
<file path=[Content_Types].xml><?xml version="1.0" encoding="utf-8"?>
<Types xmlns="http://schemas.openxmlformats.org/package/2006/content-types">
  <Default Extension="xlsm" ContentType="application/vnd.ms-excel.sheet.macroEnabled.12"/>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95D" w:rsidRPr="0088708D" w:rsidRDefault="009C095D" w:rsidP="009C095D">
      <w:pPr>
        <w:spacing w:after="0" w:line="240" w:lineRule="auto"/>
        <w:jc w:val="center"/>
        <w:rPr>
          <w:rFonts w:asciiTheme="minorHAnsi" w:hAnsiTheme="minorHAnsi"/>
          <w:b/>
          <w:sz w:val="20"/>
          <w:szCs w:val="20"/>
          <w:lang w:val="en-US"/>
        </w:rPr>
      </w:pPr>
      <w:bookmarkStart w:id="0" w:name="_GoBack"/>
      <w:bookmarkEnd w:id="0"/>
    </w:p>
    <w:p w:rsidR="009C095D" w:rsidRPr="00C66025" w:rsidRDefault="009C095D" w:rsidP="009C095D">
      <w:pPr>
        <w:spacing w:after="0" w:line="240" w:lineRule="auto"/>
        <w:jc w:val="center"/>
        <w:rPr>
          <w:rFonts w:asciiTheme="minorHAnsi" w:hAnsiTheme="minorHAnsi"/>
          <w:b/>
          <w:sz w:val="32"/>
          <w:szCs w:val="32"/>
          <w:lang w:val="en-US"/>
        </w:rPr>
      </w:pPr>
      <w:r w:rsidRPr="00C66025">
        <w:rPr>
          <w:rFonts w:asciiTheme="minorHAnsi" w:hAnsiTheme="minorHAnsi"/>
          <w:b/>
          <w:sz w:val="32"/>
          <w:szCs w:val="32"/>
          <w:lang w:val="en-US"/>
        </w:rPr>
        <w:t>C</w:t>
      </w:r>
      <w:r w:rsidR="008F7735" w:rsidRPr="00C66025">
        <w:rPr>
          <w:rFonts w:asciiTheme="minorHAnsi" w:hAnsiTheme="minorHAnsi"/>
          <w:b/>
          <w:sz w:val="32"/>
          <w:szCs w:val="32"/>
          <w:lang w:val="en-US"/>
        </w:rPr>
        <w:t>H</w:t>
      </w:r>
      <w:r w:rsidRPr="00C66025">
        <w:rPr>
          <w:rFonts w:asciiTheme="minorHAnsi" w:hAnsiTheme="minorHAnsi"/>
          <w:b/>
          <w:sz w:val="32"/>
          <w:szCs w:val="32"/>
          <w:lang w:val="en-US"/>
        </w:rPr>
        <w:t>APT</w:t>
      </w:r>
      <w:r w:rsidR="008F7735" w:rsidRPr="00C66025">
        <w:rPr>
          <w:rFonts w:asciiTheme="minorHAnsi" w:hAnsiTheme="minorHAnsi"/>
          <w:b/>
          <w:sz w:val="32"/>
          <w:szCs w:val="32"/>
          <w:lang w:val="en-US"/>
        </w:rPr>
        <w:t xml:space="preserve">ER </w:t>
      </w:r>
      <w:r w:rsidRPr="00C66025">
        <w:rPr>
          <w:rFonts w:asciiTheme="minorHAnsi" w:hAnsiTheme="minorHAnsi"/>
          <w:b/>
          <w:sz w:val="32"/>
          <w:szCs w:val="32"/>
          <w:lang w:val="en-US"/>
        </w:rPr>
        <w:t>V</w:t>
      </w:r>
    </w:p>
    <w:p w:rsidR="009C095D" w:rsidRPr="00C66025" w:rsidRDefault="008F7735" w:rsidP="009C095D">
      <w:pPr>
        <w:spacing w:after="0" w:line="240" w:lineRule="auto"/>
        <w:jc w:val="center"/>
        <w:rPr>
          <w:rFonts w:asciiTheme="minorHAnsi" w:hAnsiTheme="minorHAnsi"/>
          <w:b/>
          <w:sz w:val="32"/>
          <w:szCs w:val="32"/>
          <w:lang w:val="en-US"/>
        </w:rPr>
      </w:pPr>
      <w:r w:rsidRPr="00C66025">
        <w:rPr>
          <w:rFonts w:asciiTheme="minorHAnsi" w:hAnsiTheme="minorHAnsi"/>
          <w:b/>
          <w:sz w:val="32"/>
          <w:szCs w:val="32"/>
          <w:lang w:val="en-US"/>
        </w:rPr>
        <w:t>FOLLOW-UP TO RECOMMENDATIONS MADE BY THE IACHR IN ITS COUNTRY OR THEMATIC REPORTS</w:t>
      </w:r>
    </w:p>
    <w:p w:rsidR="009C095D" w:rsidRPr="007D47AD" w:rsidRDefault="009C095D" w:rsidP="009C095D">
      <w:pPr>
        <w:spacing w:after="0" w:line="240" w:lineRule="auto"/>
        <w:jc w:val="both"/>
        <w:rPr>
          <w:rFonts w:asciiTheme="minorHAnsi" w:hAnsiTheme="minorHAnsi"/>
          <w:b/>
          <w:sz w:val="20"/>
          <w:szCs w:val="20"/>
          <w:lang w:val="en-US"/>
        </w:rPr>
      </w:pPr>
    </w:p>
    <w:p w:rsidR="009C095D" w:rsidRPr="007D47AD" w:rsidRDefault="008F7735" w:rsidP="00B2461C">
      <w:pPr>
        <w:spacing w:after="0" w:line="240" w:lineRule="auto"/>
        <w:jc w:val="center"/>
        <w:rPr>
          <w:rFonts w:asciiTheme="minorHAnsi" w:hAnsiTheme="minorHAnsi"/>
          <w:b/>
          <w:szCs w:val="20"/>
          <w:lang w:val="en-US"/>
        </w:rPr>
      </w:pPr>
      <w:r w:rsidRPr="007D47AD">
        <w:rPr>
          <w:rFonts w:asciiTheme="minorHAnsi" w:hAnsiTheme="minorHAnsi"/>
          <w:b/>
          <w:szCs w:val="20"/>
          <w:lang w:val="en-US"/>
        </w:rPr>
        <w:t>FOURTH REPORT ON FOLLOW-UP OF RECOMMENDATIONS ISSUED BY THE IACHR IN ITS REPORT ON THE HUMAN RIGHTS SITUATION IN MEXICO</w:t>
      </w:r>
      <w:r w:rsidR="009C095D" w:rsidRPr="007D47AD">
        <w:rPr>
          <w:rStyle w:val="FootnoteReference"/>
          <w:rFonts w:asciiTheme="minorHAnsi" w:hAnsiTheme="minorHAnsi"/>
          <w:b/>
          <w:szCs w:val="20"/>
          <w:lang w:val="en-US"/>
        </w:rPr>
        <w:footnoteReference w:customMarkFollows="1" w:id="1"/>
        <w:t>*</w:t>
      </w:r>
    </w:p>
    <w:p w:rsidR="009C095D" w:rsidRPr="007D47AD" w:rsidRDefault="009C095D" w:rsidP="009C095D">
      <w:pPr>
        <w:spacing w:after="0" w:line="240" w:lineRule="auto"/>
        <w:jc w:val="both"/>
        <w:rPr>
          <w:rFonts w:asciiTheme="minorHAnsi" w:hAnsiTheme="minorHAnsi"/>
          <w:szCs w:val="20"/>
          <w:lang w:val="en-US"/>
        </w:rPr>
      </w:pPr>
    </w:p>
    <w:p w:rsidR="009C095D" w:rsidRPr="007D47AD" w:rsidRDefault="009C095D" w:rsidP="00E472A2">
      <w:pPr>
        <w:pStyle w:val="Heading1"/>
        <w:numPr>
          <w:ilvl w:val="0"/>
          <w:numId w:val="5"/>
        </w:numPr>
        <w:rPr>
          <w:rFonts w:asciiTheme="minorHAnsi" w:hAnsiTheme="minorHAnsi"/>
          <w:lang w:val="en-US"/>
        </w:rPr>
      </w:pPr>
      <w:r w:rsidRPr="007D47AD">
        <w:rPr>
          <w:rFonts w:asciiTheme="minorHAnsi" w:hAnsiTheme="minorHAnsi"/>
          <w:lang w:val="en-US"/>
        </w:rPr>
        <w:t>INTRODUCC</w:t>
      </w:r>
      <w:r w:rsidR="008F7735" w:rsidRPr="007D47AD">
        <w:rPr>
          <w:rFonts w:asciiTheme="minorHAnsi" w:hAnsiTheme="minorHAnsi"/>
          <w:lang w:val="en-US"/>
        </w:rPr>
        <w:t>TION</w:t>
      </w:r>
    </w:p>
    <w:p w:rsidR="008F7735" w:rsidRPr="007D47AD" w:rsidRDefault="008F7735" w:rsidP="00E472A2">
      <w:pPr>
        <w:numPr>
          <w:ilvl w:val="0"/>
          <w:numId w:val="6"/>
        </w:numPr>
        <w:spacing w:after="240" w:line="240" w:lineRule="auto"/>
        <w:ind w:left="0" w:firstLine="720"/>
        <w:jc w:val="both"/>
        <w:rPr>
          <w:rFonts w:asciiTheme="minorHAnsi" w:hAnsiTheme="minorHAnsi"/>
          <w:sz w:val="20"/>
          <w:szCs w:val="20"/>
          <w:lang w:val="en-US"/>
        </w:rPr>
      </w:pPr>
      <w:r w:rsidRPr="007D47AD">
        <w:rPr>
          <w:rFonts w:asciiTheme="minorHAnsi" w:hAnsiTheme="minorHAnsi"/>
          <w:sz w:val="20"/>
          <w:szCs w:val="20"/>
          <w:lang w:val="en-US"/>
        </w:rPr>
        <w:t>The purpose of this Chapter is to follow</w:t>
      </w:r>
      <w:r w:rsidR="00094325" w:rsidRPr="007D47AD">
        <w:rPr>
          <w:rFonts w:asciiTheme="minorHAnsi" w:hAnsiTheme="minorHAnsi"/>
          <w:sz w:val="20"/>
          <w:szCs w:val="20"/>
          <w:lang w:val="en-US"/>
        </w:rPr>
        <w:t xml:space="preserve"> </w:t>
      </w:r>
      <w:r w:rsidRPr="007D47AD">
        <w:rPr>
          <w:rFonts w:asciiTheme="minorHAnsi" w:hAnsiTheme="minorHAnsi"/>
          <w:sz w:val="20"/>
          <w:szCs w:val="20"/>
          <w:lang w:val="en-US"/>
        </w:rPr>
        <w:t>up on the recommendations issued in the report entitled "The Human Rights Situation in Mexico," adopted on December 31, 2015 by the Inter-American Commission on Human Rights ("the Commission," "the Inter-American Commission," or "the IACHR") pursuant to Article 59</w:t>
      </w:r>
      <w:r w:rsidR="00094325" w:rsidRPr="007D47AD">
        <w:rPr>
          <w:rFonts w:asciiTheme="minorHAnsi" w:hAnsiTheme="minorHAnsi"/>
          <w:sz w:val="20"/>
          <w:szCs w:val="20"/>
          <w:lang w:val="en-US"/>
        </w:rPr>
        <w:t>(</w:t>
      </w:r>
      <w:r w:rsidRPr="007D47AD">
        <w:rPr>
          <w:rFonts w:asciiTheme="minorHAnsi" w:hAnsiTheme="minorHAnsi"/>
          <w:sz w:val="20"/>
          <w:szCs w:val="20"/>
          <w:lang w:val="en-US"/>
        </w:rPr>
        <w:t>9</w:t>
      </w:r>
      <w:r w:rsidR="00094325" w:rsidRPr="007D47AD">
        <w:rPr>
          <w:rFonts w:asciiTheme="minorHAnsi" w:hAnsiTheme="minorHAnsi"/>
          <w:sz w:val="20"/>
          <w:szCs w:val="20"/>
          <w:lang w:val="en-US"/>
        </w:rPr>
        <w:t>)</w:t>
      </w:r>
      <w:r w:rsidRPr="007D47AD">
        <w:rPr>
          <w:rFonts w:asciiTheme="minorHAnsi" w:hAnsiTheme="minorHAnsi"/>
          <w:sz w:val="20"/>
          <w:szCs w:val="20"/>
          <w:lang w:val="en-US"/>
        </w:rPr>
        <w:t xml:space="preserve"> of its Rules of Procedure. Under that provision, by means of Chapter V of its Annual Report, the Commission shall follow-up on measures adopted to comply with the recommendations issued in the country report. Through that follow-up, the Chapter addresses the principal current human rights problems identified in the United Mexican States ("Mexico," "</w:t>
      </w:r>
      <w:r w:rsidR="00094325" w:rsidRPr="007D47AD">
        <w:rPr>
          <w:rFonts w:asciiTheme="minorHAnsi" w:hAnsiTheme="minorHAnsi"/>
          <w:sz w:val="20"/>
          <w:szCs w:val="20"/>
          <w:lang w:val="en-US"/>
        </w:rPr>
        <w:t xml:space="preserve">the </w:t>
      </w:r>
      <w:r w:rsidRPr="007D47AD">
        <w:rPr>
          <w:rFonts w:asciiTheme="minorHAnsi" w:hAnsiTheme="minorHAnsi"/>
          <w:sz w:val="20"/>
          <w:szCs w:val="20"/>
          <w:lang w:val="en-US"/>
        </w:rPr>
        <w:t>Mexican State," or "</w:t>
      </w:r>
      <w:r w:rsidR="00094325" w:rsidRPr="007D47AD">
        <w:rPr>
          <w:rFonts w:asciiTheme="minorHAnsi" w:hAnsiTheme="minorHAnsi"/>
          <w:sz w:val="20"/>
          <w:szCs w:val="20"/>
          <w:lang w:val="en-US"/>
        </w:rPr>
        <w:t xml:space="preserve">the </w:t>
      </w:r>
      <w:r w:rsidRPr="007D47AD">
        <w:rPr>
          <w:rFonts w:asciiTheme="minorHAnsi" w:hAnsiTheme="minorHAnsi"/>
          <w:sz w:val="20"/>
          <w:szCs w:val="20"/>
          <w:lang w:val="en-US"/>
        </w:rPr>
        <w:t>State"). They have to do with citizen insecurity and militarization, disappearances, torture, access to justice and impunity, the situation as regards freedom of expression, and the situation of particular groups within that context.</w:t>
      </w:r>
    </w:p>
    <w:p w:rsidR="008F7735" w:rsidRPr="007D47AD" w:rsidRDefault="008F7735" w:rsidP="00E472A2">
      <w:pPr>
        <w:numPr>
          <w:ilvl w:val="0"/>
          <w:numId w:val="6"/>
        </w:numPr>
        <w:spacing w:after="240" w:line="240" w:lineRule="auto"/>
        <w:ind w:left="0" w:firstLine="720"/>
        <w:jc w:val="both"/>
        <w:rPr>
          <w:rFonts w:asciiTheme="minorHAnsi" w:hAnsiTheme="minorHAnsi"/>
          <w:sz w:val="20"/>
          <w:szCs w:val="20"/>
          <w:lang w:val="en-US"/>
        </w:rPr>
      </w:pPr>
      <w:r w:rsidRPr="007D47AD">
        <w:rPr>
          <w:rFonts w:asciiTheme="minorHAnsi" w:hAnsiTheme="minorHAnsi"/>
          <w:sz w:val="20"/>
          <w:szCs w:val="20"/>
          <w:lang w:val="en-US"/>
        </w:rPr>
        <w:t xml:space="preserve">Invited by the United Mexican States ("Mexico," "Mexican State," or "State"), the IACHR paid an on-site visit to the country from September 28 to October 3, 2015. The IACHR wrote the Report on the Human Rights Situation in Mexico, along with a series of recommendations to the Mexican State, based on findings and information obtained before, during, and after the on-site visit. It also based its report on investigations conducted at its own initiative, information provided by the State, inputs from the various mechanisms through which the IACHR has monitored developments in the country, newspaper articles, and decisions and recommendations made by specialized international organizations, as well as other sources, pursuant to Article 59(5) of its Rules of Procedure. </w:t>
      </w:r>
    </w:p>
    <w:p w:rsidR="009C095D" w:rsidRPr="007D47AD" w:rsidRDefault="005F2575" w:rsidP="005F2575">
      <w:pPr>
        <w:numPr>
          <w:ilvl w:val="0"/>
          <w:numId w:val="6"/>
        </w:numPr>
        <w:spacing w:after="240" w:line="240" w:lineRule="auto"/>
        <w:ind w:left="0" w:firstLine="720"/>
        <w:jc w:val="both"/>
        <w:rPr>
          <w:rFonts w:asciiTheme="minorHAnsi" w:hAnsiTheme="minorHAnsi"/>
          <w:sz w:val="20"/>
          <w:szCs w:val="20"/>
          <w:lang w:val="en-US"/>
        </w:rPr>
      </w:pPr>
      <w:r w:rsidRPr="007D47AD">
        <w:rPr>
          <w:rFonts w:asciiTheme="minorHAnsi" w:hAnsiTheme="minorHAnsi"/>
          <w:sz w:val="20"/>
          <w:szCs w:val="20"/>
          <w:lang w:val="en-US"/>
        </w:rPr>
        <w:t>In the country report the Commission pointed out that Mexico had been going through a severe crisis of violence and insecurity for several years. The IACHR identified serious situations of violence, which increased following the start of the so-called "war on drugs" in 2006 and escalated to alarming levels, resulting in the deaths of more than 100,000 people since 2006, more than 27,000 disappearances acknowledged by the State, over 2,000 investigations into cases of torture, and conditions that have prompted the displacement of thousands of people in the country. According to the report, in response to the surge in violence, as of 2006 the authorities opted to increase the part played by the Armed Forces in public security tasks, which included a policy of active confrontation with organized crime and the deployment of joint operations by the Armed Forces and state and municipal security institutions. That measure triggered increased violence and grave violations of human rights, in respect of which the IACHR observed a lack of accountability by international standards.</w:t>
      </w:r>
    </w:p>
    <w:p w:rsidR="009C095D" w:rsidRPr="007D47AD" w:rsidRDefault="005F2575" w:rsidP="00E472A2">
      <w:pPr>
        <w:numPr>
          <w:ilvl w:val="0"/>
          <w:numId w:val="6"/>
        </w:numPr>
        <w:spacing w:after="240" w:line="240" w:lineRule="auto"/>
        <w:ind w:left="0" w:firstLine="720"/>
        <w:jc w:val="both"/>
        <w:rPr>
          <w:rFonts w:asciiTheme="minorHAnsi" w:hAnsiTheme="minorHAnsi"/>
          <w:sz w:val="20"/>
          <w:szCs w:val="20"/>
          <w:lang w:val="en-US"/>
        </w:rPr>
      </w:pPr>
      <w:r w:rsidRPr="007D47AD">
        <w:rPr>
          <w:rFonts w:asciiTheme="minorHAnsi" w:hAnsiTheme="minorHAnsi"/>
          <w:sz w:val="20"/>
          <w:szCs w:val="20"/>
          <w:lang w:val="en-US"/>
        </w:rPr>
        <w:t>In a context characterized by high levels of violence and security policies that have prove</w:t>
      </w:r>
      <w:r w:rsidR="00094325" w:rsidRPr="007D47AD">
        <w:rPr>
          <w:rFonts w:asciiTheme="minorHAnsi" w:hAnsiTheme="minorHAnsi"/>
          <w:sz w:val="20"/>
          <w:szCs w:val="20"/>
          <w:lang w:val="en-US"/>
        </w:rPr>
        <w:t>n</w:t>
      </w:r>
      <w:r w:rsidRPr="007D47AD">
        <w:rPr>
          <w:rFonts w:asciiTheme="minorHAnsi" w:hAnsiTheme="minorHAnsi"/>
          <w:sz w:val="20"/>
          <w:szCs w:val="20"/>
          <w:lang w:val="en-US"/>
        </w:rPr>
        <w:t xml:space="preserve"> ineffective over the years, the IACHR expressed particular concern in its Report </w:t>
      </w:r>
      <w:r w:rsidR="00094325" w:rsidRPr="007D47AD">
        <w:rPr>
          <w:rFonts w:asciiTheme="minorHAnsi" w:hAnsiTheme="minorHAnsi"/>
          <w:sz w:val="20"/>
          <w:szCs w:val="20"/>
          <w:lang w:val="en-US"/>
        </w:rPr>
        <w:t xml:space="preserve">over </w:t>
      </w:r>
      <w:r w:rsidRPr="007D47AD">
        <w:rPr>
          <w:rFonts w:asciiTheme="minorHAnsi" w:hAnsiTheme="minorHAnsi"/>
          <w:sz w:val="20"/>
          <w:szCs w:val="20"/>
          <w:lang w:val="en-US"/>
        </w:rPr>
        <w:t xml:space="preserve">reports of disappearances; the forced disappearance of 43 young students of the “Raúl Isidro Burgos” rural teachers college in the state of Guerrero, on September 26 and 27, 2014; extrajudicial executions and torture; </w:t>
      </w:r>
      <w:r w:rsidR="00094325" w:rsidRPr="007D47AD">
        <w:rPr>
          <w:rFonts w:asciiTheme="minorHAnsi" w:hAnsiTheme="minorHAnsi"/>
          <w:sz w:val="20"/>
          <w:szCs w:val="20"/>
          <w:lang w:val="en-US"/>
        </w:rPr>
        <w:t xml:space="preserve">and </w:t>
      </w:r>
      <w:r w:rsidRPr="007D47AD">
        <w:rPr>
          <w:rFonts w:asciiTheme="minorHAnsi" w:hAnsiTheme="minorHAnsi"/>
          <w:sz w:val="20"/>
          <w:szCs w:val="20"/>
          <w:lang w:val="en-US"/>
        </w:rPr>
        <w:t xml:space="preserve">the dangers to which women, children, migrants, human rights defenders, and journalists are exposed, many of whom have been victims of murder, disappearance, kidnapping, torture, threats, and harassment. The IACHR also emphasized </w:t>
      </w:r>
      <w:r w:rsidRPr="007D47AD">
        <w:rPr>
          <w:rFonts w:asciiTheme="minorHAnsi" w:hAnsiTheme="minorHAnsi"/>
          <w:sz w:val="20"/>
          <w:szCs w:val="20"/>
          <w:lang w:val="en-US"/>
        </w:rPr>
        <w:lastRenderedPageBreak/>
        <w:t>that Mexico is considered one of the most dangerous countries in the world, other than those at war, for journalists.</w:t>
      </w:r>
      <w:r w:rsidR="009C095D" w:rsidRPr="007D47AD">
        <w:rPr>
          <w:rFonts w:asciiTheme="minorHAnsi" w:hAnsiTheme="minorHAnsi" w:cs="Cambria"/>
          <w:sz w:val="20"/>
          <w:szCs w:val="20"/>
          <w:lang w:val="en-US"/>
        </w:rPr>
        <w:t xml:space="preserve"> </w:t>
      </w:r>
    </w:p>
    <w:p w:rsidR="009C095D" w:rsidRPr="007D47AD" w:rsidRDefault="005F2575" w:rsidP="005F2575">
      <w:pPr>
        <w:numPr>
          <w:ilvl w:val="0"/>
          <w:numId w:val="6"/>
        </w:numPr>
        <w:spacing w:after="240" w:line="240" w:lineRule="auto"/>
        <w:ind w:left="0" w:firstLine="720"/>
        <w:jc w:val="both"/>
        <w:rPr>
          <w:rFonts w:asciiTheme="minorHAnsi" w:hAnsiTheme="minorHAnsi"/>
          <w:sz w:val="20"/>
          <w:szCs w:val="20"/>
          <w:lang w:val="en-US"/>
        </w:rPr>
      </w:pPr>
      <w:r w:rsidRPr="007D47AD">
        <w:rPr>
          <w:rFonts w:asciiTheme="minorHAnsi" w:hAnsiTheme="minorHAnsi"/>
          <w:sz w:val="20"/>
          <w:szCs w:val="20"/>
          <w:lang w:val="en-US"/>
        </w:rPr>
        <w:t xml:space="preserve">During its on-site visit, the Commission ascertained critical levels of impunity and inadequate and insufficient care for victims and members of their families. The lack of access to justice has led to structurally embedded impunity, which has the effect of perpetuating and, in some cases, encouraging the repetition of grave human rights violations. The threats, harassment, murders, and disappearance of persons seeking truth and justice have intimidated Mexican society, as the IACHR ascertained through numerous interviews with people unwilling to report those violations to the authorities for fear of reprisals, thereby contributing to extensive under-reporting in official figures. The obstacles to access to justice, ineffectiveness of law enforcement, and the impunity often associated with them have weakened the rule of law and pose urgent challenges.   </w:t>
      </w:r>
    </w:p>
    <w:p w:rsidR="009C095D" w:rsidRPr="007D47AD" w:rsidRDefault="00924666" w:rsidP="00E472A2">
      <w:pPr>
        <w:numPr>
          <w:ilvl w:val="0"/>
          <w:numId w:val="6"/>
        </w:numPr>
        <w:spacing w:after="240" w:line="240" w:lineRule="auto"/>
        <w:ind w:left="0" w:firstLine="720"/>
        <w:jc w:val="both"/>
        <w:rPr>
          <w:rFonts w:asciiTheme="minorHAnsi" w:hAnsiTheme="minorHAnsi"/>
          <w:sz w:val="20"/>
          <w:szCs w:val="20"/>
          <w:lang w:val="en-US"/>
        </w:rPr>
      </w:pPr>
      <w:r w:rsidRPr="007D47AD">
        <w:rPr>
          <w:rFonts w:asciiTheme="minorHAnsi" w:hAnsiTheme="minorHAnsi"/>
          <w:sz w:val="20"/>
          <w:szCs w:val="20"/>
          <w:lang w:val="en-US"/>
        </w:rPr>
        <w:t>The Commission valued the measures taken by the State to deal with the situation described in the Report. In particular, it has acknowledged the important constitutional and legislat</w:t>
      </w:r>
      <w:r w:rsidR="008F75C5" w:rsidRPr="007D47AD">
        <w:rPr>
          <w:rFonts w:asciiTheme="minorHAnsi" w:hAnsiTheme="minorHAnsi"/>
          <w:sz w:val="20"/>
          <w:szCs w:val="20"/>
          <w:lang w:val="en-US"/>
        </w:rPr>
        <w:t>iv</w:t>
      </w:r>
      <w:r w:rsidRPr="007D47AD">
        <w:rPr>
          <w:rFonts w:asciiTheme="minorHAnsi" w:hAnsiTheme="minorHAnsi"/>
          <w:sz w:val="20"/>
          <w:szCs w:val="20"/>
          <w:lang w:val="en-US"/>
        </w:rPr>
        <w:t xml:space="preserve">e reforms that Mexico has embarked upon since 2011, including the amendment of the Constitution and the recently adopted protocols for investigating cases of torture and forced disappearance, as well as other initiatives mentioned in the Report. Notwithstanding the progress made, the State's response has continued to encounter shortcomings, inadequacies, and obstacles to implementation. The IACHR found a deep divide between the legislative and judicial framework and the day-to-day realities on the ground for millions of people in the country, in terms of their access to justice, crime prevention, and other government initiatives. The IACHR pointed out that the major challenge facing the Mexican State is breaking the cycle of impunity in order to achieve the effective investigation, prosecution, and punishment of those responsible for human rights violations.  </w:t>
      </w:r>
    </w:p>
    <w:p w:rsidR="009C095D" w:rsidRPr="007D47AD" w:rsidRDefault="00924666" w:rsidP="00E472A2">
      <w:pPr>
        <w:numPr>
          <w:ilvl w:val="0"/>
          <w:numId w:val="6"/>
        </w:numPr>
        <w:spacing w:after="240" w:line="240" w:lineRule="auto"/>
        <w:ind w:left="0" w:firstLine="720"/>
        <w:jc w:val="both"/>
        <w:rPr>
          <w:rFonts w:asciiTheme="minorHAnsi" w:hAnsiTheme="minorHAnsi"/>
          <w:sz w:val="20"/>
          <w:szCs w:val="20"/>
          <w:lang w:val="en-US"/>
        </w:rPr>
      </w:pPr>
      <w:r w:rsidRPr="007D47AD">
        <w:rPr>
          <w:rFonts w:asciiTheme="minorHAnsi" w:hAnsiTheme="minorHAnsi"/>
          <w:sz w:val="20"/>
          <w:szCs w:val="20"/>
          <w:lang w:val="en-US"/>
        </w:rPr>
        <w:t>The first, second, and third reports following up on the recommendations issued in the Country Report, corresponding to 2016, 2017, and 2018, respectively, included relevant comments received from the Mexican State, organizations, and civil society.</w:t>
      </w:r>
      <w:r w:rsidR="009C095D" w:rsidRPr="007D47AD">
        <w:rPr>
          <w:rFonts w:asciiTheme="minorHAnsi" w:hAnsiTheme="minorHAnsi"/>
          <w:sz w:val="20"/>
          <w:szCs w:val="20"/>
          <w:lang w:val="en-US"/>
        </w:rPr>
        <w:t xml:space="preserve"> </w:t>
      </w:r>
    </w:p>
    <w:p w:rsidR="009C095D" w:rsidRPr="007D47AD" w:rsidRDefault="00924666" w:rsidP="00E472A2">
      <w:pPr>
        <w:numPr>
          <w:ilvl w:val="0"/>
          <w:numId w:val="6"/>
        </w:numPr>
        <w:spacing w:after="240" w:line="240" w:lineRule="auto"/>
        <w:ind w:left="0" w:firstLine="720"/>
        <w:jc w:val="both"/>
        <w:rPr>
          <w:rFonts w:asciiTheme="minorHAnsi" w:hAnsiTheme="minorHAnsi"/>
          <w:sz w:val="20"/>
          <w:szCs w:val="20"/>
          <w:lang w:val="en-US"/>
        </w:rPr>
      </w:pPr>
      <w:r w:rsidRPr="007D47AD">
        <w:rPr>
          <w:rFonts w:asciiTheme="minorHAnsi" w:hAnsiTheme="minorHAnsi"/>
          <w:sz w:val="20"/>
          <w:szCs w:val="20"/>
          <w:lang w:val="en-US"/>
        </w:rPr>
        <w:t>For this report</w:t>
      </w:r>
      <w:r w:rsidR="009C095D" w:rsidRPr="007D47AD">
        <w:rPr>
          <w:rFonts w:asciiTheme="minorHAnsi" w:hAnsiTheme="minorHAnsi"/>
          <w:sz w:val="20"/>
          <w:szCs w:val="20"/>
          <w:lang w:val="en-US"/>
        </w:rPr>
        <w:t xml:space="preserve">, </w:t>
      </w:r>
      <w:r w:rsidRPr="007D47AD">
        <w:rPr>
          <w:rFonts w:asciiTheme="minorHAnsi" w:hAnsiTheme="minorHAnsi"/>
          <w:sz w:val="20"/>
          <w:szCs w:val="20"/>
          <w:lang w:val="en-US"/>
        </w:rPr>
        <w:t xml:space="preserve">by communication of September </w:t>
      </w:r>
      <w:r w:rsidR="004E7990" w:rsidRPr="007D47AD">
        <w:rPr>
          <w:rFonts w:asciiTheme="minorHAnsi" w:hAnsiTheme="minorHAnsi"/>
          <w:sz w:val="20"/>
          <w:szCs w:val="20"/>
          <w:lang w:val="en-US"/>
        </w:rPr>
        <w:t>19</w:t>
      </w:r>
      <w:r w:rsidRPr="007D47AD">
        <w:rPr>
          <w:rFonts w:asciiTheme="minorHAnsi" w:hAnsiTheme="minorHAnsi"/>
          <w:sz w:val="20"/>
          <w:szCs w:val="20"/>
          <w:lang w:val="en-US"/>
        </w:rPr>
        <w:t>,</w:t>
      </w:r>
      <w:r w:rsidR="009C095D" w:rsidRPr="007D47AD">
        <w:rPr>
          <w:rFonts w:asciiTheme="minorHAnsi" w:hAnsiTheme="minorHAnsi"/>
          <w:sz w:val="20"/>
          <w:szCs w:val="20"/>
          <w:lang w:val="en-US"/>
        </w:rPr>
        <w:t xml:space="preserve"> 20</w:t>
      </w:r>
      <w:r w:rsidR="002E6E93" w:rsidRPr="007D47AD">
        <w:rPr>
          <w:rFonts w:asciiTheme="minorHAnsi" w:hAnsiTheme="minorHAnsi"/>
          <w:sz w:val="20"/>
          <w:szCs w:val="20"/>
          <w:lang w:val="en-US"/>
        </w:rPr>
        <w:t>19</w:t>
      </w:r>
      <w:r w:rsidR="009C095D" w:rsidRPr="007D47AD">
        <w:rPr>
          <w:rFonts w:asciiTheme="minorHAnsi" w:hAnsiTheme="minorHAnsi"/>
          <w:sz w:val="20"/>
          <w:szCs w:val="20"/>
          <w:lang w:val="en-US"/>
        </w:rPr>
        <w:t xml:space="preserve">, </w:t>
      </w:r>
      <w:r w:rsidRPr="007D47AD">
        <w:rPr>
          <w:rFonts w:asciiTheme="minorHAnsi" w:hAnsiTheme="minorHAnsi"/>
          <w:sz w:val="20"/>
          <w:szCs w:val="20"/>
          <w:lang w:val="en-US"/>
        </w:rPr>
        <w:t>the IACHR asked the Mexican State to submit information regarding compliance in 2019 with the recommendations contained in the Country Report</w:t>
      </w:r>
      <w:r w:rsidRPr="007D47AD">
        <w:rPr>
          <w:rFonts w:asciiTheme="minorHAnsi" w:hAnsiTheme="minorHAnsi"/>
          <w:spacing w:val="-3"/>
          <w:sz w:val="20"/>
          <w:szCs w:val="20"/>
          <w:lang w:val="en-US"/>
        </w:rPr>
        <w:t xml:space="preserve">. The State’s response was received on </w:t>
      </w:r>
      <w:r w:rsidR="004E7990" w:rsidRPr="007D47AD">
        <w:rPr>
          <w:rFonts w:asciiTheme="minorHAnsi" w:hAnsiTheme="minorHAnsi"/>
          <w:spacing w:val="-3"/>
          <w:sz w:val="20"/>
          <w:szCs w:val="20"/>
          <w:lang w:val="en-US"/>
        </w:rPr>
        <w:t xml:space="preserve">October 20, </w:t>
      </w:r>
      <w:r w:rsidR="009C095D" w:rsidRPr="007D47AD">
        <w:rPr>
          <w:rFonts w:asciiTheme="minorHAnsi" w:hAnsiTheme="minorHAnsi"/>
          <w:spacing w:val="-3"/>
          <w:sz w:val="20"/>
          <w:szCs w:val="20"/>
          <w:lang w:val="en-US"/>
        </w:rPr>
        <w:t>201</w:t>
      </w:r>
      <w:r w:rsidR="00CB1E4B" w:rsidRPr="007D47AD">
        <w:rPr>
          <w:rFonts w:asciiTheme="minorHAnsi" w:hAnsiTheme="minorHAnsi"/>
          <w:spacing w:val="-3"/>
          <w:sz w:val="20"/>
          <w:szCs w:val="20"/>
          <w:lang w:val="en-US"/>
        </w:rPr>
        <w:t>9</w:t>
      </w:r>
      <w:r w:rsidRPr="007D47AD">
        <w:rPr>
          <w:rFonts w:asciiTheme="minorHAnsi" w:hAnsiTheme="minorHAnsi"/>
          <w:spacing w:val="-3"/>
          <w:sz w:val="20"/>
          <w:szCs w:val="20"/>
          <w:lang w:val="en-US"/>
        </w:rPr>
        <w:t>.</w:t>
      </w:r>
      <w:r w:rsidR="009C095D" w:rsidRPr="007D47AD">
        <w:rPr>
          <w:rStyle w:val="FootnoteReference"/>
          <w:rFonts w:asciiTheme="minorHAnsi" w:hAnsiTheme="minorHAnsi"/>
          <w:spacing w:val="-3"/>
          <w:sz w:val="20"/>
          <w:szCs w:val="20"/>
          <w:lang w:val="en-US"/>
        </w:rPr>
        <w:footnoteReference w:id="2"/>
      </w:r>
      <w:r w:rsidR="009C095D" w:rsidRPr="007D47AD">
        <w:rPr>
          <w:rFonts w:asciiTheme="minorHAnsi" w:hAnsiTheme="minorHAnsi"/>
          <w:spacing w:val="-3"/>
          <w:sz w:val="20"/>
          <w:szCs w:val="20"/>
          <w:lang w:val="en-US"/>
        </w:rPr>
        <w:t xml:space="preserve"> </w:t>
      </w:r>
      <w:r w:rsidRPr="007D47AD">
        <w:rPr>
          <w:rFonts w:asciiTheme="minorHAnsi" w:hAnsiTheme="minorHAnsi"/>
          <w:spacing w:val="-3"/>
          <w:sz w:val="20"/>
          <w:szCs w:val="20"/>
          <w:lang w:val="en-US"/>
        </w:rPr>
        <w:t>The Commission assigns value to and thanks the State for the information received</w:t>
      </w:r>
      <w:r w:rsidR="009C095D" w:rsidRPr="007D47AD">
        <w:rPr>
          <w:rFonts w:asciiTheme="minorHAnsi" w:hAnsiTheme="minorHAnsi"/>
          <w:spacing w:val="-3"/>
          <w:sz w:val="20"/>
          <w:szCs w:val="20"/>
          <w:lang w:val="en-US"/>
        </w:rPr>
        <w:t xml:space="preserve">, </w:t>
      </w:r>
      <w:r w:rsidRPr="007D47AD">
        <w:rPr>
          <w:rFonts w:asciiTheme="minorHAnsi" w:hAnsiTheme="minorHAnsi"/>
          <w:spacing w:val="-3"/>
          <w:sz w:val="20"/>
          <w:szCs w:val="20"/>
          <w:lang w:val="en-US"/>
        </w:rPr>
        <w:t xml:space="preserve">which, where </w:t>
      </w:r>
      <w:r w:rsidR="007E181B" w:rsidRPr="007D47AD">
        <w:rPr>
          <w:rFonts w:asciiTheme="minorHAnsi" w:hAnsiTheme="minorHAnsi"/>
          <w:spacing w:val="-3"/>
          <w:sz w:val="20"/>
          <w:szCs w:val="20"/>
          <w:lang w:val="en-US"/>
        </w:rPr>
        <w:t>applicable</w:t>
      </w:r>
      <w:r w:rsidRPr="007D47AD">
        <w:rPr>
          <w:rFonts w:asciiTheme="minorHAnsi" w:hAnsiTheme="minorHAnsi"/>
          <w:spacing w:val="-3"/>
          <w:sz w:val="20"/>
          <w:szCs w:val="20"/>
          <w:lang w:val="en-US"/>
        </w:rPr>
        <w:t xml:space="preserve">, was included in the present report. In addition, the IACHR is grateful for the information submitted by civil society organizations </w:t>
      </w:r>
      <w:r w:rsidR="00F307FD" w:rsidRPr="007D47AD">
        <w:rPr>
          <w:rFonts w:asciiTheme="minorHAnsi" w:hAnsiTheme="minorHAnsi"/>
          <w:spacing w:val="-3"/>
          <w:sz w:val="20"/>
          <w:szCs w:val="20"/>
          <w:lang w:val="en-US"/>
        </w:rPr>
        <w:t>and by th</w:t>
      </w:r>
      <w:r w:rsidR="008F75C5" w:rsidRPr="007D47AD">
        <w:rPr>
          <w:rFonts w:asciiTheme="minorHAnsi" w:hAnsiTheme="minorHAnsi"/>
          <w:spacing w:val="-3"/>
          <w:sz w:val="20"/>
          <w:szCs w:val="20"/>
          <w:lang w:val="en-US"/>
        </w:rPr>
        <w:t>e</w:t>
      </w:r>
      <w:r w:rsidR="00F307FD" w:rsidRPr="007D47AD">
        <w:rPr>
          <w:rFonts w:asciiTheme="minorHAnsi" w:hAnsiTheme="minorHAnsi"/>
          <w:spacing w:val="-3"/>
          <w:sz w:val="20"/>
          <w:szCs w:val="20"/>
          <w:lang w:val="en-US"/>
        </w:rPr>
        <w:t xml:space="preserve"> National Commission on Human Rights </w:t>
      </w:r>
      <w:r w:rsidR="009C095D" w:rsidRPr="007D47AD">
        <w:rPr>
          <w:rFonts w:asciiTheme="minorHAnsi" w:hAnsiTheme="minorHAnsi"/>
          <w:spacing w:val="-3"/>
          <w:sz w:val="20"/>
          <w:szCs w:val="20"/>
          <w:lang w:val="en-US"/>
        </w:rPr>
        <w:t>(CNDH</w:t>
      </w:r>
      <w:r w:rsidR="00F307FD" w:rsidRPr="007D47AD">
        <w:rPr>
          <w:rFonts w:asciiTheme="minorHAnsi" w:hAnsiTheme="minorHAnsi"/>
          <w:spacing w:val="-3"/>
          <w:sz w:val="20"/>
          <w:szCs w:val="20"/>
          <w:lang w:val="en-US"/>
        </w:rPr>
        <w:t>: Comisión Nacional de los Derechos Humanos</w:t>
      </w:r>
      <w:r w:rsidR="009C095D" w:rsidRPr="007D47AD">
        <w:rPr>
          <w:rFonts w:asciiTheme="minorHAnsi" w:hAnsiTheme="minorHAnsi"/>
          <w:spacing w:val="-3"/>
          <w:sz w:val="20"/>
          <w:szCs w:val="20"/>
          <w:lang w:val="en-US"/>
        </w:rPr>
        <w:t>).</w:t>
      </w:r>
    </w:p>
    <w:p w:rsidR="009C095D" w:rsidRPr="007D47AD" w:rsidRDefault="00F307FD" w:rsidP="00E472A2">
      <w:pPr>
        <w:numPr>
          <w:ilvl w:val="0"/>
          <w:numId w:val="6"/>
        </w:numPr>
        <w:spacing w:after="240" w:line="240" w:lineRule="auto"/>
        <w:ind w:left="0" w:firstLine="720"/>
        <w:jc w:val="both"/>
        <w:rPr>
          <w:rFonts w:asciiTheme="minorHAnsi" w:hAnsiTheme="minorHAnsi"/>
          <w:sz w:val="20"/>
          <w:szCs w:val="20"/>
          <w:lang w:val="en-US"/>
        </w:rPr>
      </w:pPr>
      <w:r w:rsidRPr="007D47AD">
        <w:rPr>
          <w:rFonts w:asciiTheme="minorHAnsi" w:hAnsiTheme="minorHAnsi"/>
          <w:sz w:val="20"/>
          <w:szCs w:val="20"/>
          <w:lang w:val="en-US"/>
        </w:rPr>
        <w:t>In its report on compliance with the recommendations in 2019, the Mexican State reiterated that</w:t>
      </w:r>
      <w:r w:rsidR="009C095D" w:rsidRPr="007D47AD">
        <w:rPr>
          <w:rStyle w:val="FootnoteReference"/>
          <w:rFonts w:asciiTheme="minorHAnsi" w:hAnsiTheme="minorHAnsi"/>
          <w:sz w:val="20"/>
          <w:szCs w:val="20"/>
          <w:lang w:val="en-US"/>
        </w:rPr>
        <w:footnoteReference w:id="3"/>
      </w:r>
      <w:r w:rsidR="009C095D" w:rsidRPr="007D47AD">
        <w:rPr>
          <w:rFonts w:asciiTheme="minorHAnsi" w:hAnsiTheme="minorHAnsi"/>
          <w:sz w:val="20"/>
          <w:szCs w:val="20"/>
          <w:lang w:val="en-US"/>
        </w:rPr>
        <w:t>:</w:t>
      </w:r>
    </w:p>
    <w:p w:rsidR="00D65373" w:rsidRPr="007D47AD" w:rsidRDefault="00F307FD" w:rsidP="000710E4">
      <w:pPr>
        <w:pStyle w:val="ListParagraph"/>
        <w:ind w:right="720"/>
        <w:rPr>
          <w:rFonts w:asciiTheme="minorHAnsi" w:eastAsia="Times New Roman" w:hAnsiTheme="minorHAnsi"/>
          <w:sz w:val="20"/>
          <w:szCs w:val="20"/>
          <w:lang w:val="en-US"/>
        </w:rPr>
      </w:pPr>
      <w:r w:rsidRPr="007D47AD">
        <w:rPr>
          <w:rFonts w:asciiTheme="minorHAnsi" w:eastAsia="Times New Roman" w:hAnsiTheme="minorHAnsi"/>
          <w:sz w:val="20"/>
          <w:szCs w:val="20"/>
          <w:lang w:val="en-US"/>
        </w:rPr>
        <w:t xml:space="preserve">Today, Mexican is embracing a new paradigm of respect for, and promotion and protection of fundamental rights and freedoms, the result of an unprecedented democratic process that is being promoted by the current administration. This new paradigm places the person at the center of all public policies and promotes an equitable and prosperous society respectful of human rights. </w:t>
      </w:r>
    </w:p>
    <w:p w:rsidR="00D65373" w:rsidRPr="007D47AD" w:rsidRDefault="00D65373" w:rsidP="00502568">
      <w:pPr>
        <w:pStyle w:val="ListParagraph"/>
        <w:ind w:left="0"/>
        <w:rPr>
          <w:rFonts w:asciiTheme="minorHAnsi" w:eastAsia="Times New Roman" w:hAnsiTheme="minorHAnsi"/>
          <w:sz w:val="20"/>
          <w:szCs w:val="20"/>
          <w:lang w:val="en-US"/>
        </w:rPr>
      </w:pPr>
    </w:p>
    <w:p w:rsidR="00467D0C" w:rsidRPr="007D47AD" w:rsidRDefault="00982763" w:rsidP="00E472A2">
      <w:pPr>
        <w:numPr>
          <w:ilvl w:val="0"/>
          <w:numId w:val="6"/>
        </w:numPr>
        <w:spacing w:after="240" w:line="240" w:lineRule="auto"/>
        <w:ind w:left="0" w:firstLine="720"/>
        <w:jc w:val="both"/>
        <w:rPr>
          <w:rFonts w:asciiTheme="minorHAnsi" w:hAnsiTheme="minorHAnsi"/>
          <w:sz w:val="20"/>
          <w:szCs w:val="20"/>
          <w:lang w:val="en-US"/>
        </w:rPr>
      </w:pPr>
      <w:r w:rsidRPr="007D47AD">
        <w:rPr>
          <w:rFonts w:asciiTheme="minorHAnsi" w:hAnsiTheme="minorHAnsi"/>
          <w:sz w:val="20"/>
          <w:szCs w:val="20"/>
          <w:lang w:val="en-US"/>
        </w:rPr>
        <w:t xml:space="preserve">The State further </w:t>
      </w:r>
      <w:r w:rsidR="00F307FD" w:rsidRPr="007D47AD">
        <w:rPr>
          <w:rFonts w:asciiTheme="minorHAnsi" w:hAnsiTheme="minorHAnsi"/>
          <w:sz w:val="20"/>
          <w:szCs w:val="20"/>
          <w:lang w:val="en-US"/>
        </w:rPr>
        <w:t xml:space="preserve">reiterated that in keeping with its policy on human rights, based on collaboration with the organs of the inter-American system and in compliance with its international obligations it </w:t>
      </w:r>
      <w:r w:rsidR="009C095D" w:rsidRPr="007D47AD">
        <w:rPr>
          <w:rFonts w:asciiTheme="minorHAnsi" w:hAnsiTheme="minorHAnsi"/>
          <w:sz w:val="20"/>
          <w:szCs w:val="20"/>
          <w:lang w:val="en-US"/>
        </w:rPr>
        <w:t>“</w:t>
      </w:r>
      <w:r w:rsidR="00F307FD" w:rsidRPr="007D47AD">
        <w:rPr>
          <w:rFonts w:asciiTheme="minorHAnsi" w:hAnsiTheme="minorHAnsi"/>
          <w:sz w:val="20"/>
          <w:szCs w:val="20"/>
          <w:lang w:val="en-US"/>
        </w:rPr>
        <w:t xml:space="preserve">provides specific follow-up to the recommendations of the </w:t>
      </w:r>
      <w:r w:rsidR="008F7BC7" w:rsidRPr="007D47AD">
        <w:rPr>
          <w:rFonts w:asciiTheme="minorHAnsi" w:eastAsia="Times New Roman" w:hAnsiTheme="minorHAnsi"/>
          <w:sz w:val="20"/>
          <w:szCs w:val="20"/>
          <w:lang w:val="en-US"/>
        </w:rPr>
        <w:t>[</w:t>
      </w:r>
      <w:r w:rsidR="00F307FD" w:rsidRPr="007D47AD">
        <w:rPr>
          <w:rFonts w:asciiTheme="minorHAnsi" w:eastAsia="Times New Roman" w:hAnsiTheme="minorHAnsi"/>
          <w:sz w:val="20"/>
          <w:szCs w:val="20"/>
          <w:lang w:val="en-US"/>
        </w:rPr>
        <w:t>IACHR</w:t>
      </w:r>
      <w:r w:rsidR="008F7BC7" w:rsidRPr="007D47AD">
        <w:rPr>
          <w:rFonts w:asciiTheme="minorHAnsi" w:eastAsia="Times New Roman" w:hAnsiTheme="minorHAnsi"/>
          <w:sz w:val="20"/>
          <w:szCs w:val="20"/>
          <w:lang w:val="en-US"/>
        </w:rPr>
        <w:t>]</w:t>
      </w:r>
      <w:r w:rsidR="009C095D" w:rsidRPr="007D47AD">
        <w:rPr>
          <w:rFonts w:asciiTheme="minorHAnsi" w:hAnsiTheme="minorHAnsi"/>
          <w:sz w:val="20"/>
          <w:szCs w:val="20"/>
          <w:lang w:val="en-US"/>
        </w:rPr>
        <w:t>”</w:t>
      </w:r>
      <w:r w:rsidR="004964A5" w:rsidRPr="007D47AD">
        <w:rPr>
          <w:rFonts w:asciiTheme="minorHAnsi" w:hAnsiTheme="minorHAnsi"/>
          <w:sz w:val="20"/>
          <w:szCs w:val="20"/>
          <w:lang w:val="en-US"/>
        </w:rPr>
        <w:t xml:space="preserve"> </w:t>
      </w:r>
      <w:r w:rsidR="00F307FD" w:rsidRPr="007D47AD">
        <w:rPr>
          <w:rFonts w:asciiTheme="minorHAnsi" w:hAnsiTheme="minorHAnsi"/>
          <w:sz w:val="20"/>
          <w:szCs w:val="20"/>
          <w:lang w:val="en-US"/>
        </w:rPr>
        <w:t xml:space="preserve">and submitted information related to the period from March to September </w:t>
      </w:r>
      <w:r w:rsidR="004964A5" w:rsidRPr="007D47AD">
        <w:rPr>
          <w:rFonts w:asciiTheme="minorHAnsi" w:hAnsiTheme="minorHAnsi"/>
          <w:sz w:val="20"/>
          <w:szCs w:val="20"/>
          <w:lang w:val="en-US"/>
        </w:rPr>
        <w:t xml:space="preserve">2019. </w:t>
      </w:r>
      <w:r w:rsidR="00F307FD" w:rsidRPr="007D47AD">
        <w:rPr>
          <w:rFonts w:asciiTheme="minorHAnsi" w:hAnsiTheme="minorHAnsi"/>
          <w:sz w:val="20"/>
          <w:szCs w:val="20"/>
          <w:lang w:val="en-US"/>
        </w:rPr>
        <w:t xml:space="preserve">The State reaffirmed its commitment to collaborate and to strengthen the dialogue with the IACHR for following up on its recommendations, and stated its expectation </w:t>
      </w:r>
      <w:r w:rsidR="00594182" w:rsidRPr="007D47AD">
        <w:rPr>
          <w:rFonts w:asciiTheme="minorHAnsi" w:hAnsiTheme="minorHAnsi"/>
          <w:sz w:val="20"/>
          <w:szCs w:val="20"/>
          <w:lang w:val="en-US"/>
        </w:rPr>
        <w:t xml:space="preserve">of </w:t>
      </w:r>
      <w:r w:rsidR="00F307FD" w:rsidRPr="007D47AD">
        <w:rPr>
          <w:rFonts w:asciiTheme="minorHAnsi" w:hAnsiTheme="minorHAnsi"/>
          <w:sz w:val="20"/>
          <w:szCs w:val="20"/>
          <w:lang w:val="en-US"/>
        </w:rPr>
        <w:lastRenderedPageBreak/>
        <w:t xml:space="preserve">receiving concrete, specific, and attainable </w:t>
      </w:r>
      <w:r w:rsidR="00D513E7" w:rsidRPr="007D47AD">
        <w:rPr>
          <w:rFonts w:asciiTheme="minorHAnsi" w:hAnsiTheme="minorHAnsi"/>
          <w:sz w:val="20"/>
          <w:szCs w:val="20"/>
          <w:lang w:val="en-US"/>
        </w:rPr>
        <w:t xml:space="preserve">recommendations whose implementation is </w:t>
      </w:r>
      <w:r w:rsidR="004964A5" w:rsidRPr="007D47AD">
        <w:rPr>
          <w:rFonts w:asciiTheme="minorHAnsi" w:hAnsiTheme="minorHAnsi"/>
          <w:sz w:val="20"/>
          <w:szCs w:val="20"/>
          <w:lang w:val="en-US"/>
        </w:rPr>
        <w:t xml:space="preserve">susceptible </w:t>
      </w:r>
      <w:r w:rsidR="00D513E7" w:rsidRPr="007D47AD">
        <w:rPr>
          <w:rFonts w:asciiTheme="minorHAnsi" w:hAnsiTheme="minorHAnsi"/>
          <w:sz w:val="20"/>
          <w:szCs w:val="20"/>
          <w:lang w:val="en-US"/>
        </w:rPr>
        <w:t xml:space="preserve">to </w:t>
      </w:r>
      <w:r w:rsidR="004964A5" w:rsidRPr="007D47AD">
        <w:rPr>
          <w:rFonts w:asciiTheme="minorHAnsi" w:hAnsiTheme="minorHAnsi"/>
          <w:sz w:val="20"/>
          <w:szCs w:val="20"/>
          <w:lang w:val="en-US"/>
        </w:rPr>
        <w:t>evalua</w:t>
      </w:r>
      <w:r w:rsidR="00D513E7" w:rsidRPr="007D47AD">
        <w:rPr>
          <w:rFonts w:asciiTheme="minorHAnsi" w:hAnsiTheme="minorHAnsi"/>
          <w:sz w:val="20"/>
          <w:szCs w:val="20"/>
          <w:lang w:val="en-US"/>
        </w:rPr>
        <w:t>tion and gradual measurement.</w:t>
      </w:r>
      <w:r w:rsidR="009C095D" w:rsidRPr="007D47AD">
        <w:rPr>
          <w:rStyle w:val="FootnoteReference"/>
          <w:rFonts w:asciiTheme="minorHAnsi" w:hAnsiTheme="minorHAnsi"/>
          <w:sz w:val="20"/>
          <w:szCs w:val="20"/>
          <w:lang w:val="en-US"/>
        </w:rPr>
        <w:footnoteReference w:id="4"/>
      </w:r>
    </w:p>
    <w:p w:rsidR="00B7258F" w:rsidRPr="007D47AD" w:rsidRDefault="00C23156" w:rsidP="00C23156">
      <w:pPr>
        <w:numPr>
          <w:ilvl w:val="0"/>
          <w:numId w:val="6"/>
        </w:numPr>
        <w:spacing w:after="240" w:line="240" w:lineRule="auto"/>
        <w:ind w:left="0" w:firstLine="720"/>
        <w:jc w:val="both"/>
        <w:rPr>
          <w:rFonts w:asciiTheme="minorHAnsi" w:hAnsiTheme="minorHAnsi"/>
          <w:sz w:val="20"/>
          <w:szCs w:val="20"/>
          <w:lang w:val="en-US"/>
        </w:rPr>
      </w:pPr>
      <w:r w:rsidRPr="007D47AD">
        <w:rPr>
          <w:rFonts w:asciiTheme="minorHAnsi" w:hAnsiTheme="minorHAnsi"/>
          <w:sz w:val="20"/>
          <w:szCs w:val="20"/>
          <w:lang w:val="en-US"/>
        </w:rPr>
        <w:t>The IACHR also received information submitted by the National Commission on Human Rights (</w:t>
      </w:r>
      <w:r w:rsidR="00467D0C" w:rsidRPr="007D47AD">
        <w:rPr>
          <w:rFonts w:asciiTheme="minorHAnsi" w:hAnsiTheme="minorHAnsi"/>
          <w:sz w:val="20"/>
          <w:szCs w:val="20"/>
          <w:lang w:val="en-US"/>
        </w:rPr>
        <w:t>Comisión Nacional de Derechos Humanos</w:t>
      </w:r>
      <w:r w:rsidRPr="007D47AD">
        <w:rPr>
          <w:rFonts w:asciiTheme="minorHAnsi" w:hAnsiTheme="minorHAnsi"/>
          <w:sz w:val="20"/>
          <w:szCs w:val="20"/>
          <w:lang w:val="en-US"/>
        </w:rPr>
        <w:t>)</w:t>
      </w:r>
      <w:r w:rsidR="00467D0C" w:rsidRPr="007D47AD">
        <w:rPr>
          <w:rFonts w:asciiTheme="minorHAnsi" w:hAnsiTheme="minorHAnsi"/>
          <w:sz w:val="20"/>
          <w:szCs w:val="20"/>
          <w:lang w:val="en-US"/>
        </w:rPr>
        <w:t xml:space="preserve">, </w:t>
      </w:r>
      <w:r w:rsidRPr="007D47AD">
        <w:rPr>
          <w:rFonts w:asciiTheme="minorHAnsi" w:hAnsiTheme="minorHAnsi"/>
          <w:sz w:val="20"/>
          <w:szCs w:val="20"/>
          <w:lang w:val="en-US"/>
        </w:rPr>
        <w:t xml:space="preserve">the </w:t>
      </w:r>
      <w:r w:rsidR="00467D0C" w:rsidRPr="007D47AD">
        <w:rPr>
          <w:rFonts w:asciiTheme="minorHAnsi" w:hAnsiTheme="minorHAnsi"/>
          <w:sz w:val="20"/>
          <w:szCs w:val="20"/>
          <w:lang w:val="en-US"/>
        </w:rPr>
        <w:t xml:space="preserve">Centro de Derechos Humanos Miguel Agustín Pro Juárez, </w:t>
      </w:r>
      <w:r w:rsidRPr="007D47AD">
        <w:rPr>
          <w:rFonts w:asciiTheme="minorHAnsi" w:hAnsiTheme="minorHAnsi"/>
          <w:sz w:val="20"/>
          <w:szCs w:val="20"/>
          <w:lang w:val="en-US"/>
        </w:rPr>
        <w:t xml:space="preserve">the </w:t>
      </w:r>
      <w:r w:rsidR="00467D0C" w:rsidRPr="007D47AD">
        <w:rPr>
          <w:rFonts w:asciiTheme="minorHAnsi" w:hAnsiTheme="minorHAnsi"/>
          <w:sz w:val="20"/>
          <w:szCs w:val="20"/>
          <w:lang w:val="en-US"/>
        </w:rPr>
        <w:t xml:space="preserve">Comisión Mexicana de Defensa y Promoción de los Derechos Humanos, </w:t>
      </w:r>
      <w:r w:rsidR="00594182" w:rsidRPr="007D47AD">
        <w:rPr>
          <w:rFonts w:asciiTheme="minorHAnsi" w:hAnsiTheme="minorHAnsi"/>
          <w:sz w:val="20"/>
          <w:szCs w:val="20"/>
          <w:lang w:val="en-US"/>
        </w:rPr>
        <w:t xml:space="preserve">and </w:t>
      </w:r>
      <w:r w:rsidR="00467D0C" w:rsidRPr="007D47AD">
        <w:rPr>
          <w:rFonts w:asciiTheme="minorHAnsi" w:hAnsiTheme="minorHAnsi"/>
          <w:sz w:val="20"/>
          <w:szCs w:val="20"/>
          <w:lang w:val="en-US"/>
        </w:rPr>
        <w:t>Amn</w:t>
      </w:r>
      <w:r w:rsidRPr="007D47AD">
        <w:rPr>
          <w:rFonts w:asciiTheme="minorHAnsi" w:hAnsiTheme="minorHAnsi"/>
          <w:sz w:val="20"/>
          <w:szCs w:val="20"/>
          <w:lang w:val="en-US"/>
        </w:rPr>
        <w:t>e</w:t>
      </w:r>
      <w:r w:rsidR="00467D0C" w:rsidRPr="007D47AD">
        <w:rPr>
          <w:rFonts w:asciiTheme="minorHAnsi" w:hAnsiTheme="minorHAnsi"/>
          <w:sz w:val="20"/>
          <w:szCs w:val="20"/>
          <w:lang w:val="en-US"/>
        </w:rPr>
        <w:t>st</w:t>
      </w:r>
      <w:r w:rsidRPr="007D47AD">
        <w:rPr>
          <w:rFonts w:asciiTheme="minorHAnsi" w:hAnsiTheme="minorHAnsi"/>
          <w:sz w:val="20"/>
          <w:szCs w:val="20"/>
          <w:lang w:val="en-US"/>
        </w:rPr>
        <w:t>y</w:t>
      </w:r>
      <w:r w:rsidR="00467D0C" w:rsidRPr="007D47AD">
        <w:rPr>
          <w:rFonts w:asciiTheme="minorHAnsi" w:hAnsiTheme="minorHAnsi"/>
          <w:sz w:val="20"/>
          <w:szCs w:val="20"/>
          <w:lang w:val="en-US"/>
        </w:rPr>
        <w:t xml:space="preserve"> Interna</w:t>
      </w:r>
      <w:r w:rsidRPr="007D47AD">
        <w:rPr>
          <w:rFonts w:asciiTheme="minorHAnsi" w:hAnsiTheme="minorHAnsi"/>
          <w:sz w:val="20"/>
          <w:szCs w:val="20"/>
          <w:lang w:val="en-US"/>
        </w:rPr>
        <w:t>t</w:t>
      </w:r>
      <w:r w:rsidR="00467D0C" w:rsidRPr="007D47AD">
        <w:rPr>
          <w:rFonts w:asciiTheme="minorHAnsi" w:hAnsiTheme="minorHAnsi"/>
          <w:sz w:val="20"/>
          <w:szCs w:val="20"/>
          <w:lang w:val="en-US"/>
        </w:rPr>
        <w:t xml:space="preserve">ional – </w:t>
      </w:r>
      <w:r w:rsidRPr="007D47AD">
        <w:rPr>
          <w:rFonts w:asciiTheme="minorHAnsi" w:hAnsiTheme="minorHAnsi"/>
          <w:sz w:val="20"/>
          <w:szCs w:val="20"/>
          <w:lang w:val="en-US"/>
        </w:rPr>
        <w:t xml:space="preserve">Regional Office for the Americas. </w:t>
      </w:r>
      <w:r w:rsidRPr="007D47AD">
        <w:rPr>
          <w:rFonts w:asciiTheme="minorHAnsi" w:hAnsiTheme="minorHAnsi"/>
          <w:sz w:val="20"/>
          <w:szCs w:val="20"/>
          <w:lang w:val="es-419"/>
        </w:rPr>
        <w:t xml:space="preserve">In addition, the IACHR held meetings with representative of </w:t>
      </w:r>
      <w:r w:rsidR="00467D0C" w:rsidRPr="007D47AD">
        <w:rPr>
          <w:rFonts w:asciiTheme="minorHAnsi" w:hAnsiTheme="minorHAnsi"/>
          <w:sz w:val="20"/>
          <w:szCs w:val="20"/>
          <w:lang w:val="es-419"/>
        </w:rPr>
        <w:t>FUNDAR</w:t>
      </w:r>
      <w:r w:rsidR="00594182" w:rsidRPr="007D47AD">
        <w:rPr>
          <w:rFonts w:asciiTheme="minorHAnsi" w:hAnsiTheme="minorHAnsi"/>
          <w:sz w:val="20"/>
          <w:szCs w:val="20"/>
          <w:lang w:val="es-419"/>
        </w:rPr>
        <w:t>-</w:t>
      </w:r>
      <w:r w:rsidR="00467D0C" w:rsidRPr="007D47AD">
        <w:rPr>
          <w:rFonts w:asciiTheme="minorHAnsi" w:hAnsiTheme="minorHAnsi"/>
          <w:sz w:val="20"/>
          <w:szCs w:val="20"/>
          <w:lang w:val="es-419"/>
        </w:rPr>
        <w:t>Centro de Análisis e Investigación, SERAPAZ-Servicios y Asesoría para la Paz, Fundación para la Justicia y el Estado Democrático de Derecho</w:t>
      </w:r>
      <w:r w:rsidRPr="007D47AD">
        <w:rPr>
          <w:rFonts w:asciiTheme="minorHAnsi" w:hAnsiTheme="minorHAnsi"/>
          <w:sz w:val="20"/>
          <w:szCs w:val="20"/>
          <w:lang w:val="es-419"/>
        </w:rPr>
        <w:t xml:space="preserve">, and the </w:t>
      </w:r>
      <w:r w:rsidR="00467D0C" w:rsidRPr="007D47AD">
        <w:rPr>
          <w:rFonts w:asciiTheme="minorHAnsi" w:hAnsiTheme="minorHAnsi"/>
          <w:sz w:val="20"/>
          <w:szCs w:val="20"/>
          <w:lang w:val="es-419"/>
        </w:rPr>
        <w:t>Movimiento “Por Nuestros Desaparecidos</w:t>
      </w:r>
      <w:r w:rsidRPr="007D47AD">
        <w:rPr>
          <w:rFonts w:asciiTheme="minorHAnsi" w:hAnsiTheme="minorHAnsi"/>
          <w:sz w:val="20"/>
          <w:szCs w:val="20"/>
          <w:lang w:val="es-419"/>
        </w:rPr>
        <w:t>.</w:t>
      </w:r>
      <w:r w:rsidR="00467D0C" w:rsidRPr="007D47AD">
        <w:rPr>
          <w:rFonts w:asciiTheme="minorHAnsi" w:hAnsiTheme="minorHAnsi"/>
          <w:sz w:val="20"/>
          <w:szCs w:val="20"/>
          <w:lang w:val="es-419"/>
        </w:rPr>
        <w:t xml:space="preserve">” </w:t>
      </w:r>
      <w:r w:rsidRPr="007D47AD">
        <w:rPr>
          <w:rFonts w:asciiTheme="minorHAnsi" w:hAnsiTheme="minorHAnsi"/>
          <w:sz w:val="20"/>
          <w:szCs w:val="20"/>
          <w:lang w:val="en-US"/>
        </w:rPr>
        <w:t xml:space="preserve">The IACHR has also used the information from the shadow report prepared by civil society organizations for the Sixth Review of Mexico before the Human Rights Committee and the </w:t>
      </w:r>
      <w:r w:rsidR="00594182" w:rsidRPr="007D47AD">
        <w:rPr>
          <w:rFonts w:asciiTheme="minorHAnsi" w:hAnsiTheme="minorHAnsi"/>
          <w:sz w:val="20"/>
          <w:szCs w:val="20"/>
          <w:lang w:val="en-US"/>
        </w:rPr>
        <w:t xml:space="preserve">Alternative Report of the Civil Society Organizations of Mexico to the UN Committee Against Torture </w:t>
      </w:r>
      <w:r w:rsidR="00B7258F" w:rsidRPr="007D47AD">
        <w:rPr>
          <w:rFonts w:asciiTheme="minorHAnsi" w:hAnsiTheme="minorHAnsi"/>
          <w:sz w:val="20"/>
          <w:szCs w:val="20"/>
          <w:lang w:val="en-US"/>
        </w:rPr>
        <w:t>2012</w:t>
      </w:r>
      <w:r w:rsidRPr="007D47AD">
        <w:rPr>
          <w:rFonts w:asciiTheme="minorHAnsi" w:hAnsiTheme="minorHAnsi"/>
          <w:sz w:val="20"/>
          <w:szCs w:val="20"/>
          <w:lang w:val="en-US"/>
        </w:rPr>
        <w:t>-</w:t>
      </w:r>
      <w:r w:rsidR="00B7258F" w:rsidRPr="007D47AD">
        <w:rPr>
          <w:rFonts w:asciiTheme="minorHAnsi" w:hAnsiTheme="minorHAnsi"/>
          <w:sz w:val="20"/>
          <w:szCs w:val="20"/>
          <w:lang w:val="en-US"/>
        </w:rPr>
        <w:t xml:space="preserve">2019, </w:t>
      </w:r>
      <w:r w:rsidRPr="007D47AD">
        <w:rPr>
          <w:rFonts w:asciiTheme="minorHAnsi" w:hAnsiTheme="minorHAnsi"/>
          <w:sz w:val="20"/>
          <w:szCs w:val="20"/>
          <w:lang w:val="en-US"/>
        </w:rPr>
        <w:t>as well as other public information from the organs for protecting human rights that are part of the United Nations system</w:t>
      </w:r>
      <w:r w:rsidR="00B7258F" w:rsidRPr="007D47AD">
        <w:rPr>
          <w:rFonts w:asciiTheme="minorHAnsi" w:hAnsiTheme="minorHAnsi"/>
          <w:sz w:val="20"/>
          <w:szCs w:val="20"/>
          <w:lang w:val="en-US"/>
        </w:rPr>
        <w:t xml:space="preserve">. </w:t>
      </w:r>
      <w:r w:rsidR="001C575E" w:rsidRPr="007D47AD">
        <w:rPr>
          <w:rFonts w:asciiTheme="minorHAnsi" w:hAnsiTheme="minorHAnsi"/>
          <w:sz w:val="20"/>
          <w:szCs w:val="20"/>
          <w:lang w:val="en-US"/>
        </w:rPr>
        <w:t xml:space="preserve"> </w:t>
      </w:r>
    </w:p>
    <w:p w:rsidR="002F4063" w:rsidRPr="007D47AD" w:rsidRDefault="00516F3C" w:rsidP="002F4063">
      <w:pPr>
        <w:numPr>
          <w:ilvl w:val="0"/>
          <w:numId w:val="6"/>
        </w:numPr>
        <w:spacing w:after="240" w:line="240" w:lineRule="auto"/>
        <w:ind w:left="0" w:firstLine="720"/>
        <w:jc w:val="both"/>
        <w:rPr>
          <w:rFonts w:asciiTheme="minorHAnsi" w:hAnsiTheme="minorHAnsi"/>
          <w:sz w:val="20"/>
          <w:szCs w:val="20"/>
          <w:lang w:val="en-US"/>
        </w:rPr>
      </w:pPr>
      <w:r w:rsidRPr="007D47AD">
        <w:rPr>
          <w:rFonts w:asciiTheme="minorHAnsi" w:hAnsiTheme="minorHAnsi"/>
          <w:sz w:val="20"/>
          <w:szCs w:val="20"/>
          <w:lang w:val="en-US"/>
        </w:rPr>
        <w:t>In addition, the IACHR forwarded this report to the Mexican State for its comments on December 9, 2019</w:t>
      </w:r>
      <w:r w:rsidR="00B90477" w:rsidRPr="007D47AD">
        <w:rPr>
          <w:rFonts w:asciiTheme="minorHAnsi" w:hAnsiTheme="minorHAnsi"/>
          <w:sz w:val="20"/>
          <w:szCs w:val="20"/>
          <w:lang w:val="en-US"/>
        </w:rPr>
        <w:t>, in keeping with Article 59(10) of its Rules of Procedure</w:t>
      </w:r>
      <w:r w:rsidRPr="007D47AD">
        <w:rPr>
          <w:rFonts w:asciiTheme="minorHAnsi" w:hAnsiTheme="minorHAnsi"/>
          <w:sz w:val="20"/>
          <w:szCs w:val="20"/>
          <w:lang w:val="en-US"/>
        </w:rPr>
        <w:t xml:space="preserve">. By </w:t>
      </w:r>
      <w:r w:rsidR="002F4063" w:rsidRPr="007D47AD">
        <w:rPr>
          <w:rFonts w:asciiTheme="minorHAnsi" w:hAnsiTheme="minorHAnsi"/>
          <w:sz w:val="20"/>
          <w:szCs w:val="20"/>
          <w:lang w:val="en-US"/>
        </w:rPr>
        <w:t>not</w:t>
      </w:r>
      <w:r w:rsidRPr="007D47AD">
        <w:rPr>
          <w:rFonts w:asciiTheme="minorHAnsi" w:hAnsiTheme="minorHAnsi"/>
          <w:sz w:val="20"/>
          <w:szCs w:val="20"/>
          <w:lang w:val="en-US"/>
        </w:rPr>
        <w:t>e</w:t>
      </w:r>
      <w:r w:rsidR="002F4063" w:rsidRPr="007D47AD">
        <w:rPr>
          <w:rFonts w:asciiTheme="minorHAnsi" w:hAnsiTheme="minorHAnsi"/>
          <w:sz w:val="20"/>
          <w:szCs w:val="20"/>
          <w:lang w:val="en-US"/>
        </w:rPr>
        <w:t xml:space="preserve"> No. OEA03831 </w:t>
      </w:r>
      <w:r w:rsidRPr="007D47AD">
        <w:rPr>
          <w:rFonts w:asciiTheme="minorHAnsi" w:hAnsiTheme="minorHAnsi"/>
          <w:sz w:val="20"/>
          <w:szCs w:val="20"/>
          <w:lang w:val="en-US"/>
        </w:rPr>
        <w:t xml:space="preserve">of December </w:t>
      </w:r>
      <w:r w:rsidR="002F4063" w:rsidRPr="007D47AD">
        <w:rPr>
          <w:rFonts w:asciiTheme="minorHAnsi" w:hAnsiTheme="minorHAnsi"/>
          <w:sz w:val="20"/>
          <w:szCs w:val="20"/>
          <w:lang w:val="en-US"/>
        </w:rPr>
        <w:t>16</w:t>
      </w:r>
      <w:r w:rsidRPr="007D47AD">
        <w:rPr>
          <w:rFonts w:asciiTheme="minorHAnsi" w:hAnsiTheme="minorHAnsi"/>
          <w:sz w:val="20"/>
          <w:szCs w:val="20"/>
          <w:lang w:val="en-US"/>
        </w:rPr>
        <w:t>,</w:t>
      </w:r>
      <w:r w:rsidR="002F4063" w:rsidRPr="007D47AD">
        <w:rPr>
          <w:rFonts w:asciiTheme="minorHAnsi" w:hAnsiTheme="minorHAnsi"/>
          <w:sz w:val="20"/>
          <w:szCs w:val="20"/>
          <w:lang w:val="en-US"/>
        </w:rPr>
        <w:t xml:space="preserve"> 2019 </w:t>
      </w:r>
      <w:r w:rsidRPr="007D47AD">
        <w:rPr>
          <w:rFonts w:asciiTheme="minorHAnsi" w:hAnsiTheme="minorHAnsi"/>
          <w:sz w:val="20"/>
          <w:szCs w:val="20"/>
          <w:lang w:val="en-US"/>
        </w:rPr>
        <w:t xml:space="preserve">the State requested a two-week extension, which was granted by the IACHR on December </w:t>
      </w:r>
      <w:r w:rsidR="002F4063" w:rsidRPr="007D47AD">
        <w:rPr>
          <w:rFonts w:asciiTheme="minorHAnsi" w:hAnsiTheme="minorHAnsi"/>
          <w:sz w:val="20"/>
          <w:szCs w:val="20"/>
          <w:lang w:val="en-US"/>
        </w:rPr>
        <w:t>17</w:t>
      </w:r>
      <w:r w:rsidRPr="007D47AD">
        <w:rPr>
          <w:rFonts w:asciiTheme="minorHAnsi" w:hAnsiTheme="minorHAnsi"/>
          <w:sz w:val="20"/>
          <w:szCs w:val="20"/>
          <w:lang w:val="en-US"/>
        </w:rPr>
        <w:t>,</w:t>
      </w:r>
      <w:r w:rsidR="002F4063" w:rsidRPr="007D47AD">
        <w:rPr>
          <w:rFonts w:asciiTheme="minorHAnsi" w:hAnsiTheme="minorHAnsi"/>
          <w:sz w:val="20"/>
          <w:szCs w:val="20"/>
          <w:lang w:val="en-US"/>
        </w:rPr>
        <w:t xml:space="preserve"> 2019. </w:t>
      </w:r>
      <w:r w:rsidRPr="007D47AD">
        <w:rPr>
          <w:rFonts w:asciiTheme="minorHAnsi" w:hAnsiTheme="minorHAnsi"/>
          <w:sz w:val="20"/>
          <w:szCs w:val="20"/>
          <w:lang w:val="en-US"/>
        </w:rPr>
        <w:t xml:space="preserve">The State sent its response on January </w:t>
      </w:r>
      <w:r w:rsidR="002F4063" w:rsidRPr="007D47AD">
        <w:rPr>
          <w:rFonts w:asciiTheme="minorHAnsi" w:hAnsiTheme="minorHAnsi"/>
          <w:sz w:val="20"/>
          <w:szCs w:val="20"/>
          <w:lang w:val="en-US"/>
        </w:rPr>
        <w:t>13</w:t>
      </w:r>
      <w:r w:rsidRPr="007D47AD">
        <w:rPr>
          <w:rFonts w:asciiTheme="minorHAnsi" w:hAnsiTheme="minorHAnsi"/>
          <w:sz w:val="20"/>
          <w:szCs w:val="20"/>
          <w:lang w:val="en-US"/>
        </w:rPr>
        <w:t>,</w:t>
      </w:r>
      <w:r w:rsidR="002F4063" w:rsidRPr="007D47AD">
        <w:rPr>
          <w:rFonts w:asciiTheme="minorHAnsi" w:hAnsiTheme="minorHAnsi"/>
          <w:sz w:val="20"/>
          <w:szCs w:val="20"/>
          <w:lang w:val="en-US"/>
        </w:rPr>
        <w:t xml:space="preserve"> 2020</w:t>
      </w:r>
      <w:r w:rsidR="002F4063" w:rsidRPr="007D47AD">
        <w:rPr>
          <w:rStyle w:val="FootnoteReference"/>
          <w:rFonts w:asciiTheme="minorHAnsi" w:hAnsiTheme="minorHAnsi"/>
          <w:sz w:val="20"/>
          <w:szCs w:val="20"/>
          <w:lang w:val="en-US"/>
        </w:rPr>
        <w:footnoteReference w:id="5"/>
      </w:r>
      <w:r w:rsidRPr="007D47AD">
        <w:rPr>
          <w:rFonts w:asciiTheme="minorHAnsi" w:hAnsiTheme="minorHAnsi"/>
          <w:sz w:val="20"/>
          <w:szCs w:val="20"/>
          <w:lang w:val="en-US"/>
        </w:rPr>
        <w:t xml:space="preserve">; the relevant parts were incorporated into the final version of this report. </w:t>
      </w:r>
      <w:r w:rsidR="00A7712B" w:rsidRPr="007D47AD">
        <w:rPr>
          <w:rFonts w:asciiTheme="minorHAnsi" w:hAnsiTheme="minorHAnsi"/>
          <w:sz w:val="20"/>
          <w:szCs w:val="20"/>
          <w:lang w:val="en-US"/>
        </w:rPr>
        <w:t>This Report was approved by the IACHR on February 11, 2020.</w:t>
      </w:r>
    </w:p>
    <w:p w:rsidR="002F4063" w:rsidRPr="007D47AD" w:rsidRDefault="00516F3C" w:rsidP="00516F3C">
      <w:pPr>
        <w:numPr>
          <w:ilvl w:val="0"/>
          <w:numId w:val="6"/>
        </w:numPr>
        <w:spacing w:after="240" w:line="240" w:lineRule="auto"/>
        <w:ind w:left="0" w:firstLine="720"/>
        <w:jc w:val="both"/>
        <w:rPr>
          <w:rFonts w:asciiTheme="minorHAnsi" w:hAnsiTheme="minorHAnsi"/>
          <w:sz w:val="20"/>
          <w:szCs w:val="20"/>
          <w:lang w:val="en-US"/>
        </w:rPr>
      </w:pPr>
      <w:r w:rsidRPr="007D47AD">
        <w:rPr>
          <w:rFonts w:asciiTheme="minorHAnsi" w:hAnsiTheme="minorHAnsi"/>
          <w:sz w:val="20"/>
          <w:szCs w:val="20"/>
          <w:lang w:val="en-US"/>
        </w:rPr>
        <w:t>In its observations on the draft of this report the State reiterated “its full willingness to attend to all the recommendations issued by that inter-American body, to which end it takes not</w:t>
      </w:r>
      <w:r w:rsidR="00B90477" w:rsidRPr="007D47AD">
        <w:rPr>
          <w:rFonts w:asciiTheme="minorHAnsi" w:hAnsiTheme="minorHAnsi"/>
          <w:sz w:val="20"/>
          <w:szCs w:val="20"/>
          <w:lang w:val="en-US"/>
        </w:rPr>
        <w:t>e</w:t>
      </w:r>
      <w:r w:rsidRPr="007D47AD">
        <w:rPr>
          <w:rFonts w:asciiTheme="minorHAnsi" w:hAnsiTheme="minorHAnsi"/>
          <w:sz w:val="20"/>
          <w:szCs w:val="20"/>
          <w:lang w:val="en-US"/>
        </w:rPr>
        <w:t xml:space="preserve"> of its assessment of the degree of compliance.” </w:t>
      </w:r>
      <w:r w:rsidR="00B90477" w:rsidRPr="007D47AD">
        <w:rPr>
          <w:rFonts w:asciiTheme="minorHAnsi" w:hAnsiTheme="minorHAnsi"/>
          <w:sz w:val="20"/>
          <w:szCs w:val="20"/>
          <w:lang w:val="en-US"/>
        </w:rPr>
        <w:t xml:space="preserve">Moreover, it indicated </w:t>
      </w:r>
      <w:r w:rsidRPr="007D47AD">
        <w:rPr>
          <w:rFonts w:asciiTheme="minorHAnsi" w:hAnsiTheme="minorHAnsi"/>
          <w:sz w:val="20"/>
          <w:szCs w:val="20"/>
          <w:lang w:val="en-US"/>
        </w:rPr>
        <w:t xml:space="preserve">that it </w:t>
      </w:r>
      <w:r w:rsidR="002F4063" w:rsidRPr="007D47AD">
        <w:rPr>
          <w:rFonts w:asciiTheme="minorHAnsi" w:hAnsiTheme="minorHAnsi"/>
          <w:sz w:val="20"/>
          <w:szCs w:val="20"/>
          <w:lang w:val="en-US"/>
        </w:rPr>
        <w:t>“re</w:t>
      </w:r>
      <w:r w:rsidRPr="007D47AD">
        <w:rPr>
          <w:rFonts w:asciiTheme="minorHAnsi" w:hAnsiTheme="minorHAnsi"/>
          <w:sz w:val="20"/>
          <w:szCs w:val="20"/>
          <w:lang w:val="en-US"/>
        </w:rPr>
        <w:t>iterates its commitment to follow up on and fully address the recommendations issued by the Inter-American Commission on Human Rights.”</w:t>
      </w:r>
      <w:r w:rsidR="002F4063" w:rsidRPr="007D47AD">
        <w:rPr>
          <w:rStyle w:val="FootnoteReference"/>
          <w:rFonts w:asciiTheme="minorHAnsi" w:hAnsiTheme="minorHAnsi"/>
          <w:sz w:val="20"/>
          <w:szCs w:val="20"/>
          <w:lang w:val="en-US"/>
        </w:rPr>
        <w:footnoteReference w:id="6"/>
      </w:r>
    </w:p>
    <w:p w:rsidR="009C095D" w:rsidRPr="007D47AD" w:rsidRDefault="00C23156" w:rsidP="00E472A2">
      <w:pPr>
        <w:numPr>
          <w:ilvl w:val="0"/>
          <w:numId w:val="6"/>
        </w:numPr>
        <w:spacing w:after="240" w:line="240" w:lineRule="auto"/>
        <w:ind w:left="0" w:firstLine="720"/>
        <w:jc w:val="both"/>
        <w:rPr>
          <w:rFonts w:asciiTheme="minorHAnsi" w:hAnsiTheme="minorHAnsi"/>
          <w:sz w:val="20"/>
          <w:szCs w:val="20"/>
          <w:lang w:val="en-US"/>
        </w:rPr>
      </w:pPr>
      <w:r w:rsidRPr="007D47AD">
        <w:rPr>
          <w:rFonts w:asciiTheme="minorHAnsi" w:hAnsiTheme="minorHAnsi"/>
          <w:sz w:val="20"/>
          <w:szCs w:val="20"/>
          <w:lang w:val="en-US"/>
        </w:rPr>
        <w:t xml:space="preserve">This follow-up report is divided into seven sections to consider the measures adopted by the State to implement the recommendations of the Commission and the </w:t>
      </w:r>
      <w:r w:rsidR="00594182" w:rsidRPr="007D47AD">
        <w:rPr>
          <w:rFonts w:asciiTheme="minorHAnsi" w:hAnsiTheme="minorHAnsi"/>
          <w:sz w:val="20"/>
          <w:szCs w:val="20"/>
          <w:lang w:val="en-US"/>
        </w:rPr>
        <w:t xml:space="preserve">pending </w:t>
      </w:r>
      <w:r w:rsidRPr="007D47AD">
        <w:rPr>
          <w:rFonts w:asciiTheme="minorHAnsi" w:hAnsiTheme="minorHAnsi"/>
          <w:sz w:val="20"/>
          <w:szCs w:val="20"/>
          <w:lang w:val="en-US"/>
        </w:rPr>
        <w:t xml:space="preserve">challenges. The structure used in the IACHR report that is the subject of follow-up on the recommendations has been followed. Each section refers to the </w:t>
      </w:r>
      <w:r w:rsidR="007E181B" w:rsidRPr="007D47AD">
        <w:rPr>
          <w:rFonts w:asciiTheme="minorHAnsi" w:hAnsiTheme="minorHAnsi"/>
          <w:sz w:val="20"/>
          <w:szCs w:val="20"/>
          <w:lang w:val="en-US"/>
        </w:rPr>
        <w:t>recommendations</w:t>
      </w:r>
      <w:r w:rsidRPr="007D47AD">
        <w:rPr>
          <w:rFonts w:asciiTheme="minorHAnsi" w:hAnsiTheme="minorHAnsi"/>
          <w:sz w:val="20"/>
          <w:szCs w:val="20"/>
          <w:lang w:val="en-US"/>
        </w:rPr>
        <w:t xml:space="preserve"> issued by the IACHR in the respective chapters and the main areas of progress and challenges identified by the IACHR, in light of the information submitted by the State and civil society organizations, as well as the information that the Commission has collected in </w:t>
      </w:r>
      <w:r w:rsidR="009C095D" w:rsidRPr="007D47AD">
        <w:rPr>
          <w:rFonts w:asciiTheme="minorHAnsi" w:hAnsiTheme="minorHAnsi"/>
          <w:sz w:val="20"/>
          <w:szCs w:val="20"/>
          <w:lang w:val="en-US"/>
        </w:rPr>
        <w:t>monitor</w:t>
      </w:r>
      <w:r w:rsidRPr="007D47AD">
        <w:rPr>
          <w:rFonts w:asciiTheme="minorHAnsi" w:hAnsiTheme="minorHAnsi"/>
          <w:sz w:val="20"/>
          <w:szCs w:val="20"/>
          <w:lang w:val="en-US"/>
        </w:rPr>
        <w:t>ing the general human rights situation in the country. To this end</w:t>
      </w:r>
      <w:r w:rsidR="00594182" w:rsidRPr="007D47AD">
        <w:rPr>
          <w:rFonts w:asciiTheme="minorHAnsi" w:hAnsiTheme="minorHAnsi"/>
          <w:sz w:val="20"/>
          <w:szCs w:val="20"/>
          <w:lang w:val="en-US"/>
        </w:rPr>
        <w:t>,</w:t>
      </w:r>
      <w:r w:rsidRPr="007D47AD">
        <w:rPr>
          <w:rFonts w:asciiTheme="minorHAnsi" w:hAnsiTheme="minorHAnsi"/>
          <w:sz w:val="20"/>
          <w:szCs w:val="20"/>
          <w:lang w:val="en-US"/>
        </w:rPr>
        <w:t xml:space="preserve"> the Commission has drawn on the information received from the State in public hearings, investigations conducted at the Commission’s initiative, input from the mechanism of petitions and cases</w:t>
      </w:r>
      <w:r w:rsidR="009C095D" w:rsidRPr="007D47AD">
        <w:rPr>
          <w:rFonts w:asciiTheme="minorHAnsi" w:hAnsiTheme="minorHAnsi"/>
          <w:sz w:val="20"/>
          <w:szCs w:val="20"/>
          <w:lang w:val="en-US"/>
        </w:rPr>
        <w:t xml:space="preserve">, </w:t>
      </w:r>
      <w:r w:rsidRPr="007D47AD">
        <w:rPr>
          <w:rFonts w:asciiTheme="minorHAnsi" w:hAnsiTheme="minorHAnsi"/>
          <w:sz w:val="20"/>
          <w:szCs w:val="20"/>
          <w:lang w:val="en-US"/>
        </w:rPr>
        <w:t xml:space="preserve">precautionary measures, and requests for information under the power established at Article 41 of the </w:t>
      </w:r>
      <w:r w:rsidR="009C095D" w:rsidRPr="007D47AD">
        <w:rPr>
          <w:rFonts w:asciiTheme="minorHAnsi" w:hAnsiTheme="minorHAnsi"/>
          <w:sz w:val="20"/>
          <w:szCs w:val="20"/>
          <w:lang w:val="en-US"/>
        </w:rPr>
        <w:t>American</w:t>
      </w:r>
      <w:r w:rsidRPr="007D47AD">
        <w:rPr>
          <w:rFonts w:asciiTheme="minorHAnsi" w:hAnsiTheme="minorHAnsi"/>
          <w:sz w:val="20"/>
          <w:szCs w:val="20"/>
          <w:lang w:val="en-US"/>
        </w:rPr>
        <w:t xml:space="preserve"> Convention on </w:t>
      </w:r>
      <w:r w:rsidR="009C095D" w:rsidRPr="007D47AD">
        <w:rPr>
          <w:rFonts w:asciiTheme="minorHAnsi" w:hAnsiTheme="minorHAnsi"/>
          <w:sz w:val="20"/>
          <w:szCs w:val="20"/>
          <w:lang w:val="en-US"/>
        </w:rPr>
        <w:t>Human</w:t>
      </w:r>
      <w:r w:rsidRPr="007D47AD">
        <w:rPr>
          <w:rFonts w:asciiTheme="minorHAnsi" w:hAnsiTheme="minorHAnsi"/>
          <w:sz w:val="20"/>
          <w:szCs w:val="20"/>
          <w:lang w:val="en-US"/>
        </w:rPr>
        <w:t xml:space="preserve"> Rights, </w:t>
      </w:r>
      <w:r w:rsidR="009C095D" w:rsidRPr="007D47AD">
        <w:rPr>
          <w:rFonts w:asciiTheme="minorHAnsi" w:hAnsiTheme="minorHAnsi"/>
          <w:sz w:val="20"/>
          <w:szCs w:val="20"/>
          <w:lang w:val="en-US"/>
        </w:rPr>
        <w:t>as</w:t>
      </w:r>
      <w:r w:rsidRPr="007D47AD">
        <w:rPr>
          <w:rFonts w:asciiTheme="minorHAnsi" w:hAnsiTheme="minorHAnsi"/>
          <w:sz w:val="20"/>
          <w:szCs w:val="20"/>
          <w:lang w:val="en-US"/>
        </w:rPr>
        <w:t xml:space="preserve"> well as information available from other public sources and the decisions and recommendations of specialized international agencies, among others. Finally, the IACHR presents its conclusions and recommendations. </w:t>
      </w:r>
    </w:p>
    <w:p w:rsidR="009C095D" w:rsidRPr="007D47AD" w:rsidRDefault="00C23156" w:rsidP="00E472A2">
      <w:pPr>
        <w:pStyle w:val="Heading1"/>
        <w:numPr>
          <w:ilvl w:val="0"/>
          <w:numId w:val="5"/>
        </w:numPr>
        <w:rPr>
          <w:rFonts w:asciiTheme="minorHAnsi" w:hAnsiTheme="minorHAnsi"/>
          <w:lang w:val="en-US"/>
        </w:rPr>
      </w:pPr>
      <w:r w:rsidRPr="007D47AD">
        <w:rPr>
          <w:rFonts w:asciiTheme="minorHAnsi" w:hAnsiTheme="minorHAnsi"/>
          <w:lang w:val="en-US"/>
        </w:rPr>
        <w:t xml:space="preserve">FOLLOW-UP ON </w:t>
      </w:r>
      <w:r w:rsidR="007F2C94" w:rsidRPr="007D47AD">
        <w:rPr>
          <w:rFonts w:asciiTheme="minorHAnsi" w:hAnsiTheme="minorHAnsi"/>
          <w:lang w:val="en-US"/>
        </w:rPr>
        <w:t xml:space="preserve">RECOMMENDATIONS </w:t>
      </w:r>
    </w:p>
    <w:p w:rsidR="009C095D" w:rsidRPr="007D47AD" w:rsidRDefault="007F2C94" w:rsidP="00E472A2">
      <w:pPr>
        <w:pStyle w:val="Heading2"/>
        <w:numPr>
          <w:ilvl w:val="0"/>
          <w:numId w:val="9"/>
        </w:numPr>
        <w:ind w:left="1440" w:hanging="720"/>
        <w:rPr>
          <w:rFonts w:asciiTheme="minorHAnsi" w:hAnsiTheme="minorHAnsi"/>
          <w:sz w:val="20"/>
          <w:lang w:val="en-US"/>
        </w:rPr>
      </w:pPr>
      <w:r w:rsidRPr="007D47AD">
        <w:rPr>
          <w:rFonts w:asciiTheme="minorHAnsi" w:hAnsiTheme="minorHAnsi"/>
          <w:sz w:val="20"/>
          <w:lang w:val="en-US"/>
        </w:rPr>
        <w:t xml:space="preserve">Citizen Security </w:t>
      </w:r>
    </w:p>
    <w:p w:rsidR="009C095D" w:rsidRPr="007D47AD" w:rsidRDefault="00A854F0" w:rsidP="00E472A2">
      <w:pPr>
        <w:pStyle w:val="Numberedparagraphs"/>
        <w:numPr>
          <w:ilvl w:val="0"/>
          <w:numId w:val="10"/>
        </w:numPr>
        <w:shd w:val="clear" w:color="auto" w:fill="D9D9D9"/>
        <w:spacing w:after="0"/>
        <w:ind w:hanging="720"/>
        <w:rPr>
          <w:rFonts w:asciiTheme="minorHAnsi" w:hAnsiTheme="minorHAnsi"/>
          <w:lang w:val="en-US"/>
        </w:rPr>
      </w:pPr>
      <w:r w:rsidRPr="007D47AD">
        <w:rPr>
          <w:rFonts w:asciiTheme="minorHAnsi" w:hAnsiTheme="minorHAnsi"/>
          <w:lang w:val="en-US"/>
        </w:rPr>
        <w:t xml:space="preserve">Develop a concrete plan for the gradual withdrawal of the Armed Forces from public security tasks and for the recovery of such tasks by the civilian police forces. </w:t>
      </w:r>
    </w:p>
    <w:p w:rsidR="009C095D" w:rsidRPr="007D47AD" w:rsidRDefault="00A854F0" w:rsidP="00E472A2">
      <w:pPr>
        <w:pStyle w:val="Numberedparagraphs"/>
        <w:numPr>
          <w:ilvl w:val="0"/>
          <w:numId w:val="10"/>
        </w:numPr>
        <w:shd w:val="clear" w:color="auto" w:fill="D9D9D9"/>
        <w:spacing w:after="0"/>
        <w:ind w:hanging="720"/>
        <w:rPr>
          <w:rFonts w:asciiTheme="minorHAnsi" w:hAnsiTheme="minorHAnsi"/>
          <w:lang w:val="en-US"/>
        </w:rPr>
      </w:pPr>
      <w:bookmarkStart w:id="1" w:name="_Hlk27817493"/>
      <w:r w:rsidRPr="007D47AD">
        <w:rPr>
          <w:rFonts w:asciiTheme="minorHAnsi" w:hAnsiTheme="minorHAnsi"/>
          <w:lang w:val="en-US"/>
        </w:rPr>
        <w:t>Strengthen the capacity of police forces to carry out public security tasks according to international human rights standards</w:t>
      </w:r>
      <w:bookmarkEnd w:id="1"/>
      <w:r w:rsidRPr="007D47AD">
        <w:rPr>
          <w:rFonts w:asciiTheme="minorHAnsi" w:hAnsiTheme="minorHAnsi"/>
          <w:lang w:val="en-US"/>
        </w:rPr>
        <w:t>.</w:t>
      </w:r>
    </w:p>
    <w:p w:rsidR="009C095D" w:rsidRPr="007D47AD" w:rsidRDefault="006E0753" w:rsidP="00E472A2">
      <w:pPr>
        <w:pStyle w:val="Numberedparagraphs"/>
        <w:numPr>
          <w:ilvl w:val="0"/>
          <w:numId w:val="10"/>
        </w:numPr>
        <w:shd w:val="clear" w:color="auto" w:fill="D9D9D9"/>
        <w:spacing w:after="0"/>
        <w:ind w:hanging="720"/>
        <w:rPr>
          <w:rFonts w:asciiTheme="minorHAnsi" w:hAnsiTheme="minorHAnsi"/>
          <w:lang w:val="en-US"/>
        </w:rPr>
      </w:pPr>
      <w:r w:rsidRPr="007D47AD">
        <w:rPr>
          <w:rFonts w:asciiTheme="minorHAnsi" w:hAnsiTheme="minorHAnsi"/>
          <w:lang w:val="en-US"/>
        </w:rPr>
        <w:lastRenderedPageBreak/>
        <w:t>Adopt a General Law regarding the use of force according to international human rights standards</w:t>
      </w:r>
      <w:r w:rsidR="009C095D" w:rsidRPr="007D47AD">
        <w:rPr>
          <w:rFonts w:asciiTheme="minorHAnsi" w:hAnsiTheme="minorHAnsi"/>
          <w:lang w:val="en-US"/>
        </w:rPr>
        <w:t>.</w:t>
      </w:r>
    </w:p>
    <w:p w:rsidR="009C095D" w:rsidRPr="007D47AD" w:rsidRDefault="006E0753" w:rsidP="00E472A2">
      <w:pPr>
        <w:pStyle w:val="Numberedparagraphs"/>
        <w:numPr>
          <w:ilvl w:val="0"/>
          <w:numId w:val="10"/>
        </w:numPr>
        <w:shd w:val="clear" w:color="auto" w:fill="D9D9D9"/>
        <w:spacing w:after="0"/>
        <w:ind w:hanging="720"/>
        <w:rPr>
          <w:rFonts w:asciiTheme="minorHAnsi" w:hAnsiTheme="minorHAnsi"/>
          <w:lang w:val="en-US"/>
        </w:rPr>
      </w:pPr>
      <w:r w:rsidRPr="007D47AD">
        <w:rPr>
          <w:rFonts w:asciiTheme="minorHAnsi" w:hAnsiTheme="minorHAnsi"/>
          <w:lang w:val="en-US"/>
        </w:rPr>
        <w:t>Implement measures so that federal and state public servants abstain from issuing public statements regarding the legality of the acts of security forces in cases that may constitute an undue use of force before the results of an investigation are available</w:t>
      </w:r>
      <w:r w:rsidR="009C095D" w:rsidRPr="007D47AD">
        <w:rPr>
          <w:rFonts w:asciiTheme="minorHAnsi" w:hAnsiTheme="minorHAnsi"/>
          <w:lang w:val="en-US"/>
        </w:rPr>
        <w:t xml:space="preserve">. </w:t>
      </w:r>
    </w:p>
    <w:p w:rsidR="009C095D" w:rsidRPr="007D47AD" w:rsidRDefault="006E0753" w:rsidP="00E472A2">
      <w:pPr>
        <w:pStyle w:val="Numberedparagraphs"/>
        <w:numPr>
          <w:ilvl w:val="0"/>
          <w:numId w:val="10"/>
        </w:numPr>
        <w:shd w:val="clear" w:color="auto" w:fill="D9D9D9"/>
        <w:spacing w:after="0"/>
        <w:ind w:hanging="720"/>
        <w:rPr>
          <w:rFonts w:asciiTheme="minorHAnsi" w:hAnsiTheme="minorHAnsi"/>
          <w:lang w:val="en-US"/>
        </w:rPr>
      </w:pPr>
      <w:r w:rsidRPr="007D47AD">
        <w:rPr>
          <w:rFonts w:asciiTheme="minorHAnsi" w:hAnsiTheme="minorHAnsi"/>
          <w:lang w:val="en-US"/>
        </w:rPr>
        <w:t>Adopt and implement accountability measures by an agency that is independent of all security forces, in relation to their operations and pubic security tasks whenever there is use of lethal force.</w:t>
      </w:r>
    </w:p>
    <w:p w:rsidR="009C095D" w:rsidRPr="007D47AD" w:rsidRDefault="006E0753" w:rsidP="00E472A2">
      <w:pPr>
        <w:pStyle w:val="Numberedparagraphs"/>
        <w:numPr>
          <w:ilvl w:val="0"/>
          <w:numId w:val="10"/>
        </w:numPr>
        <w:shd w:val="clear" w:color="auto" w:fill="D9D9D9"/>
        <w:spacing w:after="0"/>
        <w:ind w:hanging="720"/>
        <w:rPr>
          <w:rFonts w:asciiTheme="minorHAnsi" w:hAnsiTheme="minorHAnsi"/>
          <w:lang w:val="en-US"/>
        </w:rPr>
      </w:pPr>
      <w:r w:rsidRPr="007D47AD">
        <w:rPr>
          <w:rFonts w:asciiTheme="minorHAnsi" w:hAnsiTheme="minorHAnsi"/>
          <w:lang w:val="en-US"/>
        </w:rPr>
        <w:t>Ensure that in cases of forced disappearances, extrajudicial executions and torture, investigation lines relate not only to the material perpetrators, but also include the responsibility of those in the chain of command.</w:t>
      </w:r>
    </w:p>
    <w:p w:rsidR="009C095D" w:rsidRPr="007D47AD" w:rsidRDefault="006E0753" w:rsidP="00E472A2">
      <w:pPr>
        <w:pStyle w:val="Numberedparagraphs"/>
        <w:numPr>
          <w:ilvl w:val="0"/>
          <w:numId w:val="10"/>
        </w:numPr>
        <w:shd w:val="clear" w:color="auto" w:fill="D9D9D9"/>
        <w:spacing w:after="0"/>
        <w:ind w:hanging="720"/>
        <w:rPr>
          <w:rFonts w:asciiTheme="minorHAnsi" w:hAnsiTheme="minorHAnsi"/>
          <w:lang w:val="en-US"/>
        </w:rPr>
      </w:pPr>
      <w:r w:rsidRPr="007D47AD">
        <w:rPr>
          <w:rFonts w:asciiTheme="minorHAnsi" w:hAnsiTheme="minorHAnsi"/>
          <w:lang w:val="en-US"/>
        </w:rPr>
        <w:t xml:space="preserve">Create systems for the information, compilation and analysis of data regarding the violence that affects the different groups addressed in this Report, such as women, children and adolescents, migrants, human rights defenders, justice operators, LGBT </w:t>
      </w:r>
      <w:r w:rsidR="007E181B" w:rsidRPr="007D47AD">
        <w:rPr>
          <w:rFonts w:asciiTheme="minorHAnsi" w:hAnsiTheme="minorHAnsi"/>
          <w:lang w:val="en-US"/>
        </w:rPr>
        <w:t>persons</w:t>
      </w:r>
      <w:r w:rsidRPr="007D47AD">
        <w:rPr>
          <w:rFonts w:asciiTheme="minorHAnsi" w:hAnsiTheme="minorHAnsi"/>
          <w:lang w:val="en-US"/>
        </w:rPr>
        <w:t>, indigenous peoples, and persons deprived of liberty.</w:t>
      </w:r>
    </w:p>
    <w:p w:rsidR="009C095D" w:rsidRPr="007D47AD" w:rsidRDefault="006E0753" w:rsidP="00E472A2">
      <w:pPr>
        <w:pStyle w:val="Numberedparagraphs"/>
        <w:numPr>
          <w:ilvl w:val="0"/>
          <w:numId w:val="10"/>
        </w:numPr>
        <w:shd w:val="clear" w:color="auto" w:fill="D9D9D9"/>
        <w:spacing w:after="0"/>
        <w:ind w:hanging="720"/>
        <w:rPr>
          <w:rFonts w:asciiTheme="minorHAnsi" w:hAnsiTheme="minorHAnsi"/>
          <w:lang w:val="en-US"/>
        </w:rPr>
      </w:pPr>
      <w:r w:rsidRPr="007D47AD">
        <w:rPr>
          <w:rFonts w:asciiTheme="minorHAnsi" w:hAnsiTheme="minorHAnsi"/>
          <w:lang w:val="en-US"/>
        </w:rPr>
        <w:t>Re-direct the approach to the issue of drugs in Mexico, away from a focus on militarization and “frontal attack” using public force, to one with an integral approach of human rights and public health regarding addictions and consumption without intent to distribute.</w:t>
      </w:r>
    </w:p>
    <w:p w:rsidR="009C095D" w:rsidRPr="007D47AD" w:rsidRDefault="009C095D" w:rsidP="009C095D">
      <w:pPr>
        <w:pStyle w:val="Numberedparagraphs"/>
        <w:numPr>
          <w:ilvl w:val="0"/>
          <w:numId w:val="0"/>
        </w:numPr>
        <w:shd w:val="clear" w:color="auto" w:fill="FFFFFF"/>
        <w:spacing w:after="0"/>
        <w:ind w:left="360" w:right="720" w:hanging="360"/>
        <w:rPr>
          <w:rFonts w:asciiTheme="minorHAnsi" w:hAnsiTheme="minorHAnsi"/>
          <w:lang w:val="en-US"/>
        </w:rPr>
      </w:pPr>
    </w:p>
    <w:p w:rsidR="004964A5" w:rsidRPr="007D47AD" w:rsidRDefault="007F2C94" w:rsidP="00E472A2">
      <w:pPr>
        <w:numPr>
          <w:ilvl w:val="0"/>
          <w:numId w:val="6"/>
        </w:numPr>
        <w:spacing w:after="240" w:line="240" w:lineRule="auto"/>
        <w:ind w:left="0" w:firstLine="720"/>
        <w:jc w:val="both"/>
        <w:rPr>
          <w:rFonts w:asciiTheme="minorHAnsi" w:hAnsiTheme="minorHAnsi"/>
          <w:sz w:val="20"/>
          <w:szCs w:val="20"/>
          <w:lang w:val="en-US"/>
        </w:rPr>
      </w:pPr>
      <w:r w:rsidRPr="007D47AD">
        <w:rPr>
          <w:rFonts w:asciiTheme="minorHAnsi" w:hAnsiTheme="minorHAnsi"/>
          <w:sz w:val="20"/>
          <w:szCs w:val="20"/>
          <w:lang w:val="en-US"/>
        </w:rPr>
        <w:t>Next, the IACHR will refer to the first two recommendations,</w:t>
      </w:r>
      <w:r w:rsidR="00DC5657" w:rsidRPr="007D47AD">
        <w:rPr>
          <w:rFonts w:asciiTheme="minorHAnsi" w:hAnsiTheme="minorHAnsi"/>
          <w:sz w:val="20"/>
          <w:szCs w:val="20"/>
          <w:lang w:val="en-US"/>
        </w:rPr>
        <w:t xml:space="preserve"> </w:t>
      </w:r>
      <w:r w:rsidR="006E0753" w:rsidRPr="007D47AD">
        <w:rPr>
          <w:rFonts w:asciiTheme="minorHAnsi" w:hAnsiTheme="minorHAnsi"/>
          <w:b/>
          <w:sz w:val="20"/>
          <w:szCs w:val="20"/>
          <w:lang w:val="en-US"/>
        </w:rPr>
        <w:t xml:space="preserve">develop a concrete plan for the gradual withdrawal of the Armed Forces from public security tasks </w:t>
      </w:r>
      <w:r w:rsidRPr="007D47AD">
        <w:rPr>
          <w:rFonts w:asciiTheme="minorHAnsi" w:hAnsiTheme="minorHAnsi"/>
          <w:sz w:val="20"/>
          <w:szCs w:val="20"/>
          <w:lang w:val="en-US"/>
        </w:rPr>
        <w:t>and</w:t>
      </w:r>
      <w:r w:rsidR="00BF519C" w:rsidRPr="007D47AD">
        <w:rPr>
          <w:rFonts w:asciiTheme="minorHAnsi" w:hAnsiTheme="minorHAnsi"/>
          <w:sz w:val="20"/>
          <w:szCs w:val="20"/>
          <w:lang w:val="en-US"/>
        </w:rPr>
        <w:t xml:space="preserve"> </w:t>
      </w:r>
      <w:r w:rsidR="006E0753" w:rsidRPr="007D47AD">
        <w:rPr>
          <w:rFonts w:asciiTheme="minorHAnsi" w:hAnsiTheme="minorHAnsi"/>
          <w:b/>
          <w:color w:val="222222"/>
          <w:sz w:val="20"/>
          <w:szCs w:val="20"/>
          <w:lang w:val="en-US"/>
        </w:rPr>
        <w:t>strengthen the capacity of police forces to carry out public security tasks according to international human rights standards</w:t>
      </w:r>
      <w:r w:rsidR="008047BB" w:rsidRPr="007D47AD">
        <w:rPr>
          <w:rFonts w:asciiTheme="minorHAnsi" w:hAnsiTheme="minorHAnsi"/>
          <w:color w:val="222222"/>
          <w:sz w:val="20"/>
          <w:szCs w:val="20"/>
          <w:lang w:val="en-US"/>
        </w:rPr>
        <w:t xml:space="preserve">. </w:t>
      </w:r>
      <w:r w:rsidRPr="007D47AD">
        <w:rPr>
          <w:rFonts w:asciiTheme="minorHAnsi" w:hAnsiTheme="minorHAnsi"/>
          <w:color w:val="222222"/>
          <w:sz w:val="20"/>
          <w:szCs w:val="20"/>
          <w:lang w:val="en-US"/>
        </w:rPr>
        <w:t xml:space="preserve">In this respect, the State </w:t>
      </w:r>
      <w:r w:rsidR="007E181B" w:rsidRPr="007D47AD">
        <w:rPr>
          <w:rFonts w:asciiTheme="minorHAnsi" w:hAnsiTheme="minorHAnsi"/>
          <w:color w:val="222222"/>
          <w:sz w:val="20"/>
          <w:szCs w:val="20"/>
          <w:lang w:val="en-US"/>
        </w:rPr>
        <w:t>reported</w:t>
      </w:r>
      <w:r w:rsidRPr="007D47AD">
        <w:rPr>
          <w:rFonts w:asciiTheme="minorHAnsi" w:hAnsiTheme="minorHAnsi"/>
          <w:color w:val="222222"/>
          <w:sz w:val="20"/>
          <w:szCs w:val="20"/>
          <w:lang w:val="en-US"/>
        </w:rPr>
        <w:t xml:space="preserve"> on the process of constitutional amendments on internal security that resulted in the creation of the National Guard (</w:t>
      </w:r>
      <w:r w:rsidR="00502568" w:rsidRPr="007D47AD">
        <w:rPr>
          <w:rFonts w:asciiTheme="minorHAnsi" w:hAnsiTheme="minorHAnsi"/>
          <w:sz w:val="20"/>
          <w:szCs w:val="20"/>
          <w:lang w:val="en-US"/>
        </w:rPr>
        <w:t>Guardia Nacional</w:t>
      </w:r>
      <w:r w:rsidRPr="007D47AD">
        <w:rPr>
          <w:rFonts w:asciiTheme="minorHAnsi" w:hAnsiTheme="minorHAnsi"/>
          <w:sz w:val="20"/>
          <w:szCs w:val="20"/>
          <w:lang w:val="en-US"/>
        </w:rPr>
        <w:t>).</w:t>
      </w:r>
      <w:r w:rsidR="00502568" w:rsidRPr="007D47AD">
        <w:rPr>
          <w:rStyle w:val="FootnoteReference"/>
          <w:rFonts w:asciiTheme="minorHAnsi" w:hAnsiTheme="minorHAnsi"/>
          <w:sz w:val="20"/>
          <w:szCs w:val="20"/>
          <w:lang w:val="en-US"/>
        </w:rPr>
        <w:footnoteReference w:id="7"/>
      </w:r>
      <w:r w:rsidR="00502568" w:rsidRPr="007D47AD">
        <w:rPr>
          <w:rFonts w:asciiTheme="minorHAnsi" w:hAnsiTheme="minorHAnsi"/>
          <w:sz w:val="20"/>
          <w:szCs w:val="20"/>
          <w:lang w:val="en-US"/>
        </w:rPr>
        <w:t xml:space="preserve"> </w:t>
      </w:r>
      <w:r w:rsidR="00017898" w:rsidRPr="007D47AD">
        <w:rPr>
          <w:rFonts w:asciiTheme="minorHAnsi" w:hAnsiTheme="minorHAnsi"/>
          <w:sz w:val="20"/>
          <w:szCs w:val="20"/>
          <w:lang w:val="en-US"/>
        </w:rPr>
        <w:t xml:space="preserve"> </w:t>
      </w:r>
    </w:p>
    <w:p w:rsidR="00E80C39" w:rsidRPr="007D47AD" w:rsidRDefault="007F2C94" w:rsidP="006E2DD7">
      <w:pPr>
        <w:numPr>
          <w:ilvl w:val="0"/>
          <w:numId w:val="6"/>
        </w:numPr>
        <w:spacing w:after="240" w:line="240" w:lineRule="auto"/>
        <w:ind w:left="0" w:firstLine="720"/>
        <w:jc w:val="both"/>
        <w:rPr>
          <w:rFonts w:asciiTheme="minorHAnsi" w:hAnsiTheme="minorHAnsi"/>
          <w:sz w:val="20"/>
          <w:szCs w:val="20"/>
          <w:lang w:val="en-US"/>
        </w:rPr>
      </w:pPr>
      <w:r w:rsidRPr="007D47AD">
        <w:rPr>
          <w:rFonts w:asciiTheme="minorHAnsi" w:hAnsiTheme="minorHAnsi"/>
          <w:sz w:val="20"/>
          <w:szCs w:val="20"/>
          <w:lang w:val="en-US"/>
        </w:rPr>
        <w:t>By way of background, it should be noted that after the declaration of the unconstitutionality of the Law on Internal Security by the plenary of the Supreme Court of Justice of the Nation (</w:t>
      </w:r>
      <w:r w:rsidR="00347CF3" w:rsidRPr="007D47AD">
        <w:rPr>
          <w:rFonts w:asciiTheme="minorHAnsi" w:hAnsiTheme="minorHAnsi"/>
          <w:sz w:val="20"/>
          <w:szCs w:val="20"/>
          <w:lang w:val="en-US"/>
        </w:rPr>
        <w:t>SCJN</w:t>
      </w:r>
      <w:r w:rsidRPr="007D47AD">
        <w:rPr>
          <w:rFonts w:asciiTheme="minorHAnsi" w:hAnsiTheme="minorHAnsi"/>
          <w:sz w:val="20"/>
          <w:szCs w:val="20"/>
          <w:lang w:val="en-US"/>
        </w:rPr>
        <w:t xml:space="preserve">, or also, hereinafter, </w:t>
      </w:r>
      <w:r w:rsidR="006E2DD7" w:rsidRPr="007D47AD">
        <w:rPr>
          <w:rFonts w:asciiTheme="minorHAnsi" w:hAnsiTheme="minorHAnsi"/>
          <w:sz w:val="20"/>
          <w:szCs w:val="20"/>
          <w:lang w:val="en-US"/>
        </w:rPr>
        <w:t>Supreme Court</w:t>
      </w:r>
      <w:r w:rsidR="00347CF3" w:rsidRPr="007D47AD">
        <w:rPr>
          <w:rFonts w:asciiTheme="minorHAnsi" w:hAnsiTheme="minorHAnsi"/>
          <w:sz w:val="20"/>
          <w:szCs w:val="20"/>
          <w:lang w:val="en-US"/>
        </w:rPr>
        <w:t>)</w:t>
      </w:r>
      <w:r w:rsidR="009C095D" w:rsidRPr="007D47AD">
        <w:rPr>
          <w:rFonts w:asciiTheme="minorHAnsi" w:hAnsiTheme="minorHAnsi"/>
          <w:sz w:val="20"/>
          <w:szCs w:val="20"/>
          <w:lang w:val="en-US"/>
        </w:rPr>
        <w:t xml:space="preserve"> </w:t>
      </w:r>
      <w:r w:rsidRPr="007D47AD">
        <w:rPr>
          <w:rFonts w:asciiTheme="minorHAnsi" w:hAnsiTheme="minorHAnsi"/>
          <w:sz w:val="20"/>
          <w:szCs w:val="20"/>
          <w:lang w:val="en-US"/>
        </w:rPr>
        <w:t xml:space="preserve">on November </w:t>
      </w:r>
      <w:r w:rsidR="009C095D" w:rsidRPr="007D47AD">
        <w:rPr>
          <w:rFonts w:asciiTheme="minorHAnsi" w:hAnsiTheme="minorHAnsi"/>
          <w:sz w:val="20"/>
          <w:szCs w:val="20"/>
          <w:lang w:val="en-US"/>
        </w:rPr>
        <w:t>15</w:t>
      </w:r>
      <w:r w:rsidRPr="007D47AD">
        <w:rPr>
          <w:rFonts w:asciiTheme="minorHAnsi" w:hAnsiTheme="minorHAnsi"/>
          <w:sz w:val="20"/>
          <w:szCs w:val="20"/>
          <w:lang w:val="en-US"/>
        </w:rPr>
        <w:t>,</w:t>
      </w:r>
      <w:r w:rsidR="009C095D" w:rsidRPr="007D47AD">
        <w:rPr>
          <w:rFonts w:asciiTheme="minorHAnsi" w:hAnsiTheme="minorHAnsi"/>
          <w:sz w:val="20"/>
          <w:szCs w:val="20"/>
          <w:lang w:val="en-US"/>
        </w:rPr>
        <w:t xml:space="preserve"> 2018</w:t>
      </w:r>
      <w:r w:rsidR="00347CF3" w:rsidRPr="007D47AD">
        <w:rPr>
          <w:rStyle w:val="FootnoteReference"/>
          <w:rFonts w:asciiTheme="minorHAnsi" w:hAnsiTheme="minorHAnsi"/>
          <w:sz w:val="20"/>
          <w:szCs w:val="20"/>
          <w:lang w:val="en-US"/>
        </w:rPr>
        <w:footnoteReference w:id="8"/>
      </w:r>
      <w:r w:rsidR="00347CF3" w:rsidRPr="007D47AD">
        <w:rPr>
          <w:rFonts w:asciiTheme="minorHAnsi" w:hAnsiTheme="minorHAnsi"/>
          <w:sz w:val="20"/>
          <w:szCs w:val="20"/>
          <w:lang w:val="en-US"/>
        </w:rPr>
        <w:t xml:space="preserve"> </w:t>
      </w:r>
      <w:r w:rsidRPr="007D47AD">
        <w:rPr>
          <w:rFonts w:asciiTheme="minorHAnsi" w:hAnsiTheme="minorHAnsi"/>
          <w:sz w:val="20"/>
          <w:szCs w:val="20"/>
          <w:lang w:val="en-US"/>
        </w:rPr>
        <w:t>the Mexican government initiated a reform process to establish the National Guard, as reported by the IACHR in its 2018 Annual Report.</w:t>
      </w:r>
      <w:r w:rsidR="003049F8" w:rsidRPr="007D47AD">
        <w:rPr>
          <w:rStyle w:val="FootnoteReference"/>
          <w:rFonts w:asciiTheme="minorHAnsi" w:hAnsiTheme="minorHAnsi"/>
          <w:sz w:val="20"/>
          <w:szCs w:val="20"/>
          <w:lang w:val="en-US"/>
        </w:rPr>
        <w:footnoteReference w:id="9"/>
      </w:r>
      <w:r w:rsidR="007B084E" w:rsidRPr="007D47AD">
        <w:rPr>
          <w:rFonts w:asciiTheme="minorHAnsi" w:hAnsiTheme="minorHAnsi"/>
          <w:sz w:val="20"/>
          <w:szCs w:val="20"/>
          <w:lang w:val="en-US"/>
        </w:rPr>
        <w:t xml:space="preserve"> </w:t>
      </w:r>
      <w:r w:rsidR="00724AB3" w:rsidRPr="007D47AD">
        <w:rPr>
          <w:rFonts w:asciiTheme="minorHAnsi" w:hAnsiTheme="minorHAnsi"/>
          <w:sz w:val="20"/>
          <w:szCs w:val="20"/>
          <w:lang w:val="en-US"/>
        </w:rPr>
        <w:t>A</w:t>
      </w:r>
      <w:r w:rsidRPr="007D47AD">
        <w:rPr>
          <w:rFonts w:asciiTheme="minorHAnsi" w:hAnsiTheme="minorHAnsi"/>
          <w:sz w:val="20"/>
          <w:szCs w:val="20"/>
          <w:lang w:val="en-US"/>
        </w:rPr>
        <w:t xml:space="preserve">ccordingly, on March </w:t>
      </w:r>
      <w:r w:rsidR="007B084E" w:rsidRPr="007D47AD">
        <w:rPr>
          <w:rFonts w:asciiTheme="minorHAnsi" w:hAnsiTheme="minorHAnsi"/>
          <w:sz w:val="20"/>
          <w:szCs w:val="20"/>
          <w:lang w:val="en-US"/>
        </w:rPr>
        <w:t>26</w:t>
      </w:r>
      <w:r w:rsidRPr="007D47AD">
        <w:rPr>
          <w:rFonts w:asciiTheme="minorHAnsi" w:hAnsiTheme="minorHAnsi"/>
          <w:sz w:val="20"/>
          <w:szCs w:val="20"/>
          <w:lang w:val="en-US"/>
        </w:rPr>
        <w:t>,</w:t>
      </w:r>
      <w:r w:rsidR="007B084E" w:rsidRPr="007D47AD">
        <w:rPr>
          <w:rFonts w:asciiTheme="minorHAnsi" w:hAnsiTheme="minorHAnsi"/>
          <w:sz w:val="20"/>
          <w:szCs w:val="20"/>
          <w:lang w:val="en-US"/>
        </w:rPr>
        <w:t xml:space="preserve"> 2019</w:t>
      </w:r>
      <w:r w:rsidRPr="007D47AD">
        <w:rPr>
          <w:rFonts w:asciiTheme="minorHAnsi" w:hAnsiTheme="minorHAnsi"/>
          <w:sz w:val="20"/>
          <w:szCs w:val="20"/>
          <w:lang w:val="en-US"/>
        </w:rPr>
        <w:t>, several articles of the Mexican Constitution were amended and repealed</w:t>
      </w:r>
      <w:r w:rsidR="007B084E" w:rsidRPr="007D47AD">
        <w:rPr>
          <w:rStyle w:val="FootnoteReference"/>
          <w:rFonts w:asciiTheme="minorHAnsi" w:hAnsiTheme="minorHAnsi"/>
          <w:sz w:val="20"/>
          <w:szCs w:val="20"/>
          <w:lang w:val="en-US"/>
        </w:rPr>
        <w:footnoteReference w:id="10"/>
      </w:r>
      <w:r w:rsidR="007B084E" w:rsidRPr="007D47AD">
        <w:rPr>
          <w:rFonts w:asciiTheme="minorHAnsi" w:hAnsiTheme="minorHAnsi"/>
          <w:sz w:val="20"/>
          <w:szCs w:val="20"/>
          <w:lang w:val="en-US"/>
        </w:rPr>
        <w:t>, cre</w:t>
      </w:r>
      <w:r w:rsidRPr="007D47AD">
        <w:rPr>
          <w:rFonts w:asciiTheme="minorHAnsi" w:hAnsiTheme="minorHAnsi"/>
          <w:sz w:val="20"/>
          <w:szCs w:val="20"/>
          <w:lang w:val="en-US"/>
        </w:rPr>
        <w:t>ating the National System of Public Security and the National Guard as “a civilian police institution</w:t>
      </w:r>
      <w:r w:rsidR="00960063" w:rsidRPr="007D47AD">
        <w:rPr>
          <w:rFonts w:asciiTheme="minorHAnsi" w:hAnsiTheme="minorHAnsi"/>
          <w:sz w:val="20"/>
          <w:szCs w:val="20"/>
          <w:lang w:val="en-US"/>
        </w:rPr>
        <w:t>”</w:t>
      </w:r>
      <w:r w:rsidR="00960063" w:rsidRPr="007D47AD">
        <w:rPr>
          <w:rStyle w:val="FootnoteReference"/>
          <w:rFonts w:asciiTheme="minorHAnsi" w:hAnsiTheme="minorHAnsi"/>
          <w:sz w:val="20"/>
          <w:szCs w:val="20"/>
          <w:lang w:val="en-US"/>
        </w:rPr>
        <w:footnoteReference w:id="11"/>
      </w:r>
      <w:r w:rsidR="00960063" w:rsidRPr="007D47AD">
        <w:rPr>
          <w:rFonts w:asciiTheme="minorHAnsi" w:hAnsiTheme="minorHAnsi"/>
          <w:sz w:val="20"/>
          <w:szCs w:val="20"/>
          <w:lang w:val="en-US"/>
        </w:rPr>
        <w:t xml:space="preserve"> </w:t>
      </w:r>
      <w:r w:rsidRPr="007D47AD">
        <w:rPr>
          <w:rFonts w:asciiTheme="minorHAnsi" w:hAnsiTheme="minorHAnsi"/>
          <w:sz w:val="20"/>
          <w:szCs w:val="20"/>
          <w:lang w:val="en-US"/>
        </w:rPr>
        <w:t>attached to the Ministry of Security and Citiz</w:t>
      </w:r>
      <w:r w:rsidR="006E2DD7" w:rsidRPr="007D47AD">
        <w:rPr>
          <w:rFonts w:asciiTheme="minorHAnsi" w:hAnsiTheme="minorHAnsi"/>
          <w:sz w:val="20"/>
          <w:szCs w:val="20"/>
          <w:lang w:val="en-US"/>
        </w:rPr>
        <w:t>en</w:t>
      </w:r>
      <w:r w:rsidRPr="007D47AD">
        <w:rPr>
          <w:rFonts w:asciiTheme="minorHAnsi" w:hAnsiTheme="minorHAnsi"/>
          <w:sz w:val="20"/>
          <w:szCs w:val="20"/>
          <w:lang w:val="en-US"/>
        </w:rPr>
        <w:t xml:space="preserve"> Protection, and ordering the adoption of the respective general statutes. In addition, the reforms noted included the adoption of the </w:t>
      </w:r>
      <w:r w:rsidR="006E2DD7" w:rsidRPr="007D47AD">
        <w:rPr>
          <w:rFonts w:asciiTheme="minorHAnsi" w:hAnsiTheme="minorHAnsi"/>
          <w:sz w:val="20"/>
          <w:szCs w:val="20"/>
          <w:lang w:val="en-US"/>
        </w:rPr>
        <w:t xml:space="preserve">Federal Law on the </w:t>
      </w:r>
      <w:r w:rsidRPr="007D47AD">
        <w:rPr>
          <w:rFonts w:asciiTheme="minorHAnsi" w:hAnsiTheme="minorHAnsi"/>
          <w:sz w:val="20"/>
          <w:szCs w:val="20"/>
          <w:lang w:val="en-US"/>
        </w:rPr>
        <w:t xml:space="preserve">Use of Force and the </w:t>
      </w:r>
      <w:r w:rsidR="006E2DD7" w:rsidRPr="007D47AD">
        <w:rPr>
          <w:rFonts w:asciiTheme="minorHAnsi" w:hAnsiTheme="minorHAnsi"/>
          <w:sz w:val="20"/>
          <w:szCs w:val="20"/>
          <w:lang w:val="en-US"/>
        </w:rPr>
        <w:t xml:space="preserve">Federal Law on </w:t>
      </w:r>
      <w:r w:rsidRPr="007D47AD">
        <w:rPr>
          <w:rFonts w:asciiTheme="minorHAnsi" w:hAnsiTheme="minorHAnsi"/>
          <w:sz w:val="20"/>
          <w:szCs w:val="20"/>
          <w:lang w:val="en-US"/>
        </w:rPr>
        <w:t xml:space="preserve">Registry of Detentions. </w:t>
      </w:r>
    </w:p>
    <w:p w:rsidR="00CA266B" w:rsidRPr="007D47AD" w:rsidRDefault="007F2C94" w:rsidP="00D37C61">
      <w:pPr>
        <w:numPr>
          <w:ilvl w:val="0"/>
          <w:numId w:val="6"/>
        </w:numPr>
        <w:spacing w:after="240" w:line="240" w:lineRule="auto"/>
        <w:ind w:left="0" w:firstLine="720"/>
        <w:jc w:val="both"/>
        <w:rPr>
          <w:rFonts w:asciiTheme="minorHAnsi" w:hAnsiTheme="minorHAnsi"/>
          <w:sz w:val="20"/>
          <w:szCs w:val="20"/>
          <w:lang w:val="en-US"/>
        </w:rPr>
      </w:pPr>
      <w:r w:rsidRPr="007D47AD">
        <w:rPr>
          <w:rFonts w:asciiTheme="minorHAnsi" w:hAnsiTheme="minorHAnsi"/>
          <w:sz w:val="20"/>
          <w:szCs w:val="20"/>
          <w:lang w:val="en-US"/>
        </w:rPr>
        <w:t xml:space="preserve">The State reported that as the National Guard develops its structure, capacities, and territorial implementation, the </w:t>
      </w:r>
      <w:r w:rsidR="002D4BEF" w:rsidRPr="007D47AD">
        <w:rPr>
          <w:rFonts w:asciiTheme="minorHAnsi" w:hAnsiTheme="minorHAnsi"/>
          <w:sz w:val="20"/>
          <w:szCs w:val="20"/>
          <w:lang w:val="en-US"/>
        </w:rPr>
        <w:t>p</w:t>
      </w:r>
      <w:r w:rsidRPr="007D47AD">
        <w:rPr>
          <w:rFonts w:asciiTheme="minorHAnsi" w:hAnsiTheme="minorHAnsi"/>
          <w:sz w:val="20"/>
          <w:szCs w:val="20"/>
          <w:lang w:val="en-US"/>
        </w:rPr>
        <w:t xml:space="preserve">resident of the </w:t>
      </w:r>
      <w:r w:rsidR="002D4BEF" w:rsidRPr="007D47AD">
        <w:rPr>
          <w:rFonts w:asciiTheme="minorHAnsi" w:hAnsiTheme="minorHAnsi"/>
          <w:sz w:val="20"/>
          <w:szCs w:val="20"/>
          <w:lang w:val="en-US"/>
        </w:rPr>
        <w:t>r</w:t>
      </w:r>
      <w:r w:rsidRPr="007D47AD">
        <w:rPr>
          <w:rFonts w:asciiTheme="minorHAnsi" w:hAnsiTheme="minorHAnsi"/>
          <w:sz w:val="20"/>
          <w:szCs w:val="20"/>
          <w:lang w:val="en-US"/>
        </w:rPr>
        <w:t>epublic may make use of the permanent Armed Forces, in public security tasks on an extraordinary, regulated, overseen, subordinated, and complementary manner.</w:t>
      </w:r>
      <w:r w:rsidR="00502568" w:rsidRPr="007D47AD">
        <w:rPr>
          <w:rStyle w:val="FootnoteReference"/>
          <w:rFonts w:asciiTheme="minorHAnsi" w:hAnsiTheme="minorHAnsi"/>
          <w:sz w:val="20"/>
          <w:szCs w:val="20"/>
          <w:lang w:val="en-US"/>
        </w:rPr>
        <w:footnoteReference w:id="12"/>
      </w:r>
      <w:r w:rsidR="00502568" w:rsidRPr="007D47AD">
        <w:rPr>
          <w:rFonts w:asciiTheme="minorHAnsi" w:hAnsiTheme="minorHAnsi"/>
          <w:sz w:val="20"/>
          <w:szCs w:val="20"/>
          <w:lang w:val="en-US"/>
        </w:rPr>
        <w:t xml:space="preserve"> </w:t>
      </w:r>
      <w:r w:rsidRPr="007D47AD">
        <w:rPr>
          <w:rFonts w:asciiTheme="minorHAnsi" w:hAnsiTheme="minorHAnsi"/>
          <w:sz w:val="20"/>
          <w:szCs w:val="20"/>
          <w:lang w:val="en-US"/>
        </w:rPr>
        <w:t>In effe</w:t>
      </w:r>
      <w:r w:rsidR="002D4BEF" w:rsidRPr="007D47AD">
        <w:rPr>
          <w:rFonts w:asciiTheme="minorHAnsi" w:hAnsiTheme="minorHAnsi"/>
          <w:sz w:val="20"/>
          <w:szCs w:val="20"/>
          <w:lang w:val="en-US"/>
        </w:rPr>
        <w:t>c</w:t>
      </w:r>
      <w:r w:rsidRPr="007D47AD">
        <w:rPr>
          <w:rFonts w:asciiTheme="minorHAnsi" w:hAnsiTheme="minorHAnsi"/>
          <w:sz w:val="20"/>
          <w:szCs w:val="20"/>
          <w:lang w:val="en-US"/>
        </w:rPr>
        <w:t xml:space="preserve">t, those transitory provisions determined that </w:t>
      </w:r>
      <w:r w:rsidR="00E80C39" w:rsidRPr="007D47AD">
        <w:rPr>
          <w:rFonts w:asciiTheme="minorHAnsi" w:hAnsiTheme="minorHAnsi"/>
          <w:sz w:val="20"/>
          <w:szCs w:val="20"/>
          <w:lang w:val="en-US"/>
        </w:rPr>
        <w:t>“</w:t>
      </w:r>
      <w:r w:rsidRPr="007D47AD">
        <w:rPr>
          <w:rFonts w:asciiTheme="minorHAnsi" w:hAnsiTheme="minorHAnsi"/>
          <w:sz w:val="20"/>
          <w:szCs w:val="20"/>
          <w:lang w:val="en-US"/>
        </w:rPr>
        <w:t>the National Guard shall be constituted … by the elements of the Federal Police, Military Police, and Naval Police</w:t>
      </w:r>
      <w:r w:rsidR="00E020C2" w:rsidRPr="007D47AD">
        <w:rPr>
          <w:rFonts w:asciiTheme="minorHAnsi" w:hAnsiTheme="minorHAnsi"/>
          <w:sz w:val="20"/>
          <w:szCs w:val="20"/>
          <w:lang w:val="en-US"/>
        </w:rPr>
        <w:t>”</w:t>
      </w:r>
      <w:r w:rsidRPr="007D47AD">
        <w:rPr>
          <w:rFonts w:asciiTheme="minorHAnsi" w:hAnsiTheme="minorHAnsi"/>
          <w:sz w:val="20"/>
          <w:szCs w:val="20"/>
          <w:lang w:val="en-US"/>
        </w:rPr>
        <w:t xml:space="preserve"> </w:t>
      </w:r>
      <w:r w:rsidR="00E020C2" w:rsidRPr="007D47AD">
        <w:rPr>
          <w:rFonts w:asciiTheme="minorHAnsi" w:hAnsiTheme="minorHAnsi"/>
          <w:sz w:val="20"/>
          <w:szCs w:val="20"/>
          <w:lang w:val="en-US"/>
        </w:rPr>
        <w:t>(</w:t>
      </w:r>
      <w:r w:rsidRPr="007D47AD">
        <w:rPr>
          <w:rFonts w:asciiTheme="minorHAnsi" w:hAnsiTheme="minorHAnsi"/>
          <w:sz w:val="20"/>
          <w:szCs w:val="20"/>
          <w:lang w:val="en-US"/>
        </w:rPr>
        <w:t>second transitory article</w:t>
      </w:r>
      <w:r w:rsidR="00E020C2" w:rsidRPr="007D47AD">
        <w:rPr>
          <w:rFonts w:asciiTheme="minorHAnsi" w:hAnsiTheme="minorHAnsi"/>
          <w:sz w:val="20"/>
          <w:szCs w:val="20"/>
          <w:lang w:val="en-US"/>
        </w:rPr>
        <w:t>)</w:t>
      </w:r>
      <w:r w:rsidR="00BF6464" w:rsidRPr="007D47AD">
        <w:rPr>
          <w:rFonts w:asciiTheme="minorHAnsi" w:hAnsiTheme="minorHAnsi"/>
          <w:sz w:val="20"/>
          <w:szCs w:val="20"/>
          <w:lang w:val="en-US"/>
        </w:rPr>
        <w:t xml:space="preserve"> </w:t>
      </w:r>
      <w:r w:rsidRPr="007D47AD">
        <w:rPr>
          <w:rFonts w:asciiTheme="minorHAnsi" w:hAnsiTheme="minorHAnsi"/>
          <w:sz w:val="20"/>
          <w:szCs w:val="20"/>
          <w:lang w:val="en-US"/>
        </w:rPr>
        <w:t xml:space="preserve">and establishes a period of </w:t>
      </w:r>
      <w:r w:rsidR="002D4BEF" w:rsidRPr="007D47AD">
        <w:rPr>
          <w:rFonts w:asciiTheme="minorHAnsi" w:hAnsiTheme="minorHAnsi"/>
          <w:sz w:val="20"/>
          <w:szCs w:val="20"/>
          <w:lang w:val="en-US"/>
        </w:rPr>
        <w:t>f</w:t>
      </w:r>
      <w:r w:rsidRPr="007D47AD">
        <w:rPr>
          <w:rFonts w:asciiTheme="minorHAnsi" w:hAnsiTheme="minorHAnsi"/>
          <w:sz w:val="20"/>
          <w:szCs w:val="20"/>
          <w:lang w:val="en-US"/>
        </w:rPr>
        <w:t xml:space="preserve">ive years for the National Guard to consolidate its structure, capacities, and territorial implementation </w:t>
      </w:r>
      <w:r w:rsidR="00B2367E" w:rsidRPr="007D47AD">
        <w:rPr>
          <w:rFonts w:asciiTheme="minorHAnsi" w:hAnsiTheme="minorHAnsi"/>
          <w:sz w:val="20"/>
          <w:szCs w:val="20"/>
          <w:lang w:val="en-US"/>
        </w:rPr>
        <w:t>(</w:t>
      </w:r>
      <w:r w:rsidRPr="007D47AD">
        <w:rPr>
          <w:rFonts w:asciiTheme="minorHAnsi" w:hAnsiTheme="minorHAnsi"/>
          <w:sz w:val="20"/>
          <w:szCs w:val="20"/>
          <w:lang w:val="en-US"/>
        </w:rPr>
        <w:t xml:space="preserve">fifth transitory </w:t>
      </w:r>
      <w:r w:rsidRPr="007D47AD">
        <w:rPr>
          <w:rFonts w:asciiTheme="minorHAnsi" w:hAnsiTheme="minorHAnsi"/>
          <w:sz w:val="20"/>
          <w:szCs w:val="20"/>
          <w:lang w:val="en-US"/>
        </w:rPr>
        <w:lastRenderedPageBreak/>
        <w:t>article</w:t>
      </w:r>
      <w:r w:rsidR="00B2367E" w:rsidRPr="007D47AD">
        <w:rPr>
          <w:rFonts w:asciiTheme="minorHAnsi" w:hAnsiTheme="minorHAnsi"/>
          <w:sz w:val="20"/>
          <w:szCs w:val="20"/>
          <w:lang w:val="en-US"/>
        </w:rPr>
        <w:t>). Dur</w:t>
      </w:r>
      <w:r w:rsidRPr="007D47AD">
        <w:rPr>
          <w:rFonts w:asciiTheme="minorHAnsi" w:hAnsiTheme="minorHAnsi"/>
          <w:sz w:val="20"/>
          <w:szCs w:val="20"/>
          <w:lang w:val="en-US"/>
        </w:rPr>
        <w:t>ing that period</w:t>
      </w:r>
      <w:r w:rsidR="00B90B85" w:rsidRPr="007D47AD">
        <w:rPr>
          <w:rFonts w:asciiTheme="minorHAnsi" w:hAnsiTheme="minorHAnsi"/>
          <w:sz w:val="20"/>
          <w:szCs w:val="20"/>
          <w:lang w:val="en-US"/>
        </w:rPr>
        <w:t>, to form and start the operations of the National Guard, “the ministries in the areas of National Defense and the Navy shall participate, in keeping with the law, with the ministry of security</w:t>
      </w:r>
      <w:r w:rsidR="00B2367E" w:rsidRPr="007D47AD">
        <w:rPr>
          <w:rFonts w:asciiTheme="minorHAnsi" w:hAnsiTheme="minorHAnsi"/>
          <w:sz w:val="20"/>
          <w:szCs w:val="20"/>
          <w:lang w:val="en-US"/>
        </w:rPr>
        <w:t xml:space="preserve">, </w:t>
      </w:r>
      <w:r w:rsidR="00B90B85" w:rsidRPr="007D47AD">
        <w:rPr>
          <w:rFonts w:asciiTheme="minorHAnsi" w:hAnsiTheme="minorHAnsi"/>
          <w:sz w:val="20"/>
          <w:szCs w:val="20"/>
          <w:lang w:val="en-US"/>
        </w:rPr>
        <w:t xml:space="preserve">to establish its </w:t>
      </w:r>
      <w:r w:rsidR="00315A52" w:rsidRPr="007D47AD">
        <w:rPr>
          <w:rFonts w:asciiTheme="minorHAnsi" w:hAnsiTheme="minorHAnsi"/>
          <w:sz w:val="20"/>
          <w:szCs w:val="20"/>
          <w:lang w:val="en-US"/>
        </w:rPr>
        <w:t xml:space="preserve">hierarchical </w:t>
      </w:r>
      <w:r w:rsidR="00B90B85" w:rsidRPr="007D47AD">
        <w:rPr>
          <w:rFonts w:asciiTheme="minorHAnsi" w:hAnsiTheme="minorHAnsi"/>
          <w:sz w:val="20"/>
          <w:szCs w:val="20"/>
          <w:lang w:val="en-US"/>
        </w:rPr>
        <w:t>structure</w:t>
      </w:r>
      <w:r w:rsidR="00D37C61" w:rsidRPr="007D47AD">
        <w:rPr>
          <w:rFonts w:asciiTheme="minorHAnsi" w:hAnsiTheme="minorHAnsi"/>
          <w:sz w:val="20"/>
          <w:szCs w:val="20"/>
          <w:lang w:val="en-US"/>
        </w:rPr>
        <w:t>,</w:t>
      </w:r>
      <w:r w:rsidR="00B90B85" w:rsidRPr="007D47AD">
        <w:rPr>
          <w:rFonts w:asciiTheme="minorHAnsi" w:hAnsiTheme="minorHAnsi"/>
          <w:sz w:val="20"/>
          <w:szCs w:val="20"/>
          <w:lang w:val="en-US"/>
        </w:rPr>
        <w:t xml:space="preserve"> disciplin</w:t>
      </w:r>
      <w:r w:rsidR="00D37C61" w:rsidRPr="007D47AD">
        <w:rPr>
          <w:rFonts w:asciiTheme="minorHAnsi" w:hAnsiTheme="minorHAnsi"/>
          <w:sz w:val="20"/>
          <w:szCs w:val="20"/>
          <w:lang w:val="en-US"/>
        </w:rPr>
        <w:t>ary regimes</w:t>
      </w:r>
      <w:r w:rsidR="00B90B85" w:rsidRPr="007D47AD">
        <w:rPr>
          <w:rFonts w:asciiTheme="minorHAnsi" w:hAnsiTheme="minorHAnsi"/>
          <w:sz w:val="20"/>
          <w:szCs w:val="20"/>
          <w:lang w:val="en-US"/>
        </w:rPr>
        <w:t xml:space="preserve">, carrying out responsibilities and tasks, and services, and for implementing the provisions on entry, education, training, </w:t>
      </w:r>
      <w:r w:rsidR="00B2367E" w:rsidRPr="007D47AD">
        <w:rPr>
          <w:rFonts w:asciiTheme="minorHAnsi" w:hAnsiTheme="minorHAnsi"/>
          <w:sz w:val="20"/>
          <w:szCs w:val="20"/>
          <w:lang w:val="en-US"/>
        </w:rPr>
        <w:t>profe</w:t>
      </w:r>
      <w:r w:rsidR="00B90B85" w:rsidRPr="007D47AD">
        <w:rPr>
          <w:rFonts w:asciiTheme="minorHAnsi" w:hAnsiTheme="minorHAnsi"/>
          <w:sz w:val="20"/>
          <w:szCs w:val="20"/>
          <w:lang w:val="en-US"/>
        </w:rPr>
        <w:t>s</w:t>
      </w:r>
      <w:r w:rsidR="00B2367E" w:rsidRPr="007D47AD">
        <w:rPr>
          <w:rFonts w:asciiTheme="minorHAnsi" w:hAnsiTheme="minorHAnsi"/>
          <w:sz w:val="20"/>
          <w:szCs w:val="20"/>
          <w:lang w:val="en-US"/>
        </w:rPr>
        <w:t>sionaliza</w:t>
      </w:r>
      <w:r w:rsidR="00B90B85" w:rsidRPr="007D47AD">
        <w:rPr>
          <w:rFonts w:asciiTheme="minorHAnsi" w:hAnsiTheme="minorHAnsi"/>
          <w:sz w:val="20"/>
          <w:szCs w:val="20"/>
          <w:lang w:val="en-US"/>
        </w:rPr>
        <w:t>tio</w:t>
      </w:r>
      <w:r w:rsidR="00B2367E" w:rsidRPr="007D47AD">
        <w:rPr>
          <w:rFonts w:asciiTheme="minorHAnsi" w:hAnsiTheme="minorHAnsi"/>
          <w:sz w:val="20"/>
          <w:szCs w:val="20"/>
          <w:lang w:val="en-US"/>
        </w:rPr>
        <w:t xml:space="preserve">n, </w:t>
      </w:r>
      <w:r w:rsidR="00B90B85" w:rsidRPr="007D47AD">
        <w:rPr>
          <w:rFonts w:asciiTheme="minorHAnsi" w:hAnsiTheme="minorHAnsi"/>
          <w:sz w:val="20"/>
          <w:szCs w:val="20"/>
          <w:lang w:val="en-US"/>
        </w:rPr>
        <w:t>promotions, and benefits, which may be brought into line, as appropriate, with the provisions applicable in the area of the permanent Armed Forces</w:t>
      </w:r>
      <w:r w:rsidR="00B2367E" w:rsidRPr="007D47AD">
        <w:rPr>
          <w:rFonts w:asciiTheme="minorHAnsi" w:hAnsiTheme="minorHAnsi"/>
          <w:sz w:val="20"/>
          <w:szCs w:val="20"/>
          <w:lang w:val="en-US"/>
        </w:rPr>
        <w:t>” (</w:t>
      </w:r>
      <w:r w:rsidR="00B90B85" w:rsidRPr="007D47AD">
        <w:rPr>
          <w:rFonts w:asciiTheme="minorHAnsi" w:hAnsiTheme="minorHAnsi"/>
          <w:sz w:val="20"/>
          <w:szCs w:val="20"/>
          <w:lang w:val="en-US"/>
        </w:rPr>
        <w:t>sixth transitory article</w:t>
      </w:r>
      <w:r w:rsidR="00B2367E" w:rsidRPr="007D47AD">
        <w:rPr>
          <w:rFonts w:asciiTheme="minorHAnsi" w:hAnsiTheme="minorHAnsi"/>
          <w:sz w:val="20"/>
          <w:szCs w:val="20"/>
          <w:lang w:val="en-US"/>
        </w:rPr>
        <w:t>).</w:t>
      </w:r>
    </w:p>
    <w:p w:rsidR="008047BB" w:rsidRPr="007D47AD" w:rsidRDefault="00B90B85" w:rsidP="008047BB">
      <w:pPr>
        <w:numPr>
          <w:ilvl w:val="0"/>
          <w:numId w:val="6"/>
        </w:numPr>
        <w:spacing w:after="240" w:line="240" w:lineRule="auto"/>
        <w:ind w:left="0" w:firstLine="720"/>
        <w:jc w:val="both"/>
        <w:rPr>
          <w:rFonts w:asciiTheme="minorHAnsi" w:hAnsiTheme="minorHAnsi"/>
          <w:sz w:val="20"/>
          <w:szCs w:val="20"/>
          <w:lang w:val="en-US"/>
        </w:rPr>
      </w:pPr>
      <w:r w:rsidRPr="007D47AD">
        <w:rPr>
          <w:rFonts w:asciiTheme="minorHAnsi" w:hAnsiTheme="minorHAnsi"/>
          <w:sz w:val="20"/>
          <w:szCs w:val="20"/>
          <w:lang w:val="en-US"/>
        </w:rPr>
        <w:t>The Office of the United Nations High Commissioner for Human Rights (OHCHR) noted that the final report that approved the constitutional amendments on security preserved a civilian spirit and enshrined the exception</w:t>
      </w:r>
      <w:r w:rsidR="00D37C61" w:rsidRPr="007D47AD">
        <w:rPr>
          <w:rFonts w:asciiTheme="minorHAnsi" w:hAnsiTheme="minorHAnsi"/>
          <w:sz w:val="20"/>
          <w:szCs w:val="20"/>
          <w:lang w:val="en-US"/>
        </w:rPr>
        <w:t>al</w:t>
      </w:r>
      <w:r w:rsidRPr="007D47AD">
        <w:rPr>
          <w:rFonts w:asciiTheme="minorHAnsi" w:hAnsiTheme="minorHAnsi"/>
          <w:sz w:val="20"/>
          <w:szCs w:val="20"/>
          <w:lang w:val="en-US"/>
        </w:rPr>
        <w:t xml:space="preserve">, restricted, and limited nature of the military </w:t>
      </w:r>
      <w:r w:rsidR="008047BB" w:rsidRPr="007D47AD">
        <w:rPr>
          <w:rFonts w:asciiTheme="minorHAnsi" w:hAnsiTheme="minorHAnsi"/>
          <w:sz w:val="20"/>
          <w:szCs w:val="20"/>
          <w:lang w:val="en-US"/>
        </w:rPr>
        <w:t>jurisdic</w:t>
      </w:r>
      <w:r w:rsidRPr="007D47AD">
        <w:rPr>
          <w:rFonts w:asciiTheme="minorHAnsi" w:hAnsiTheme="minorHAnsi"/>
          <w:sz w:val="20"/>
          <w:szCs w:val="20"/>
          <w:lang w:val="en-US"/>
        </w:rPr>
        <w:t>tio</w:t>
      </w:r>
      <w:r w:rsidR="008047BB" w:rsidRPr="007D47AD">
        <w:rPr>
          <w:rFonts w:asciiTheme="minorHAnsi" w:hAnsiTheme="minorHAnsi"/>
          <w:sz w:val="20"/>
          <w:szCs w:val="20"/>
          <w:lang w:val="en-US"/>
        </w:rPr>
        <w:t>n</w:t>
      </w:r>
      <w:r w:rsidR="008047BB" w:rsidRPr="007D47AD">
        <w:rPr>
          <w:rStyle w:val="FootnoteReference"/>
          <w:rFonts w:asciiTheme="minorHAnsi" w:hAnsiTheme="minorHAnsi"/>
          <w:sz w:val="20"/>
          <w:szCs w:val="20"/>
          <w:lang w:val="en-US"/>
        </w:rPr>
        <w:footnoteReference w:id="13"/>
      </w:r>
      <w:r w:rsidR="008047BB" w:rsidRPr="007D47AD">
        <w:rPr>
          <w:rFonts w:asciiTheme="minorHAnsi" w:hAnsiTheme="minorHAnsi"/>
          <w:sz w:val="20"/>
          <w:szCs w:val="20"/>
          <w:lang w:val="en-US"/>
        </w:rPr>
        <w:t xml:space="preserve">, </w:t>
      </w:r>
      <w:r w:rsidRPr="007D47AD">
        <w:rPr>
          <w:rFonts w:asciiTheme="minorHAnsi" w:hAnsiTheme="minorHAnsi"/>
          <w:sz w:val="20"/>
          <w:szCs w:val="20"/>
          <w:lang w:val="en-US"/>
        </w:rPr>
        <w:t xml:space="preserve">although it indicated that the Law on the National Guard still maintains the paradigm of involvement of the military institutions in security policies. In addition, as regards the </w:t>
      </w:r>
      <w:r w:rsidR="00D37C61" w:rsidRPr="007D47AD">
        <w:rPr>
          <w:rFonts w:asciiTheme="minorHAnsi" w:hAnsiTheme="minorHAnsi"/>
          <w:sz w:val="20"/>
          <w:szCs w:val="20"/>
          <w:lang w:val="en-US"/>
        </w:rPr>
        <w:t xml:space="preserve">Federal Law on the </w:t>
      </w:r>
      <w:r w:rsidRPr="007D47AD">
        <w:rPr>
          <w:rFonts w:asciiTheme="minorHAnsi" w:hAnsiTheme="minorHAnsi"/>
          <w:sz w:val="20"/>
          <w:szCs w:val="20"/>
          <w:lang w:val="en-US"/>
        </w:rPr>
        <w:t xml:space="preserve">Use of Force, the OHCHR </w:t>
      </w:r>
      <w:r w:rsidR="008047BB" w:rsidRPr="007D47AD">
        <w:rPr>
          <w:rFonts w:asciiTheme="minorHAnsi" w:hAnsiTheme="minorHAnsi"/>
          <w:sz w:val="20"/>
          <w:szCs w:val="20"/>
          <w:lang w:val="en-US"/>
        </w:rPr>
        <w:t>indic</w:t>
      </w:r>
      <w:r w:rsidRPr="007D47AD">
        <w:rPr>
          <w:rFonts w:asciiTheme="minorHAnsi" w:hAnsiTheme="minorHAnsi"/>
          <w:sz w:val="20"/>
          <w:szCs w:val="20"/>
          <w:lang w:val="en-US"/>
        </w:rPr>
        <w:t>ated that its basis of application does not include immigration agents among the authorities who exercise the use of force, there is ambiguity in the regulation of lethal force, and it has shortcomings in the transparency and accountability regime</w:t>
      </w:r>
      <w:r w:rsidR="008047BB" w:rsidRPr="007D47AD">
        <w:rPr>
          <w:rFonts w:asciiTheme="minorHAnsi" w:hAnsiTheme="minorHAnsi"/>
          <w:sz w:val="20"/>
          <w:szCs w:val="20"/>
          <w:lang w:val="en-US"/>
        </w:rPr>
        <w:t>. Final</w:t>
      </w:r>
      <w:r w:rsidRPr="007D47AD">
        <w:rPr>
          <w:rFonts w:asciiTheme="minorHAnsi" w:hAnsiTheme="minorHAnsi"/>
          <w:sz w:val="20"/>
          <w:szCs w:val="20"/>
          <w:lang w:val="en-US"/>
        </w:rPr>
        <w:t>ly</w:t>
      </w:r>
      <w:r w:rsidR="008047BB" w:rsidRPr="007D47AD">
        <w:rPr>
          <w:rFonts w:asciiTheme="minorHAnsi" w:hAnsiTheme="minorHAnsi"/>
          <w:sz w:val="20"/>
          <w:szCs w:val="20"/>
          <w:lang w:val="en-US"/>
        </w:rPr>
        <w:t xml:space="preserve">, </w:t>
      </w:r>
      <w:r w:rsidRPr="007D47AD">
        <w:rPr>
          <w:rFonts w:asciiTheme="minorHAnsi" w:hAnsiTheme="minorHAnsi"/>
          <w:sz w:val="20"/>
          <w:szCs w:val="20"/>
          <w:lang w:val="en-US"/>
        </w:rPr>
        <w:t xml:space="preserve">the OHCHR also indicated that the legislative process </w:t>
      </w:r>
      <w:r w:rsidR="00D37C61" w:rsidRPr="007D47AD">
        <w:rPr>
          <w:rFonts w:asciiTheme="minorHAnsi" w:hAnsiTheme="minorHAnsi"/>
          <w:sz w:val="20"/>
          <w:szCs w:val="20"/>
          <w:lang w:val="en-US"/>
        </w:rPr>
        <w:t xml:space="preserve">following </w:t>
      </w:r>
      <w:r w:rsidRPr="007D47AD">
        <w:rPr>
          <w:rFonts w:asciiTheme="minorHAnsi" w:hAnsiTheme="minorHAnsi"/>
          <w:sz w:val="20"/>
          <w:szCs w:val="20"/>
          <w:lang w:val="en-US"/>
        </w:rPr>
        <w:t>the constitutional amendments on security was not participatory.</w:t>
      </w:r>
      <w:r w:rsidR="008047BB" w:rsidRPr="007D47AD">
        <w:rPr>
          <w:rStyle w:val="FootnoteReference"/>
          <w:rFonts w:asciiTheme="minorHAnsi" w:hAnsiTheme="minorHAnsi"/>
          <w:sz w:val="20"/>
          <w:szCs w:val="20"/>
          <w:lang w:val="en-US"/>
        </w:rPr>
        <w:footnoteReference w:id="14"/>
      </w:r>
    </w:p>
    <w:p w:rsidR="008047BB" w:rsidRPr="007D47AD" w:rsidRDefault="008047BB" w:rsidP="00C61359">
      <w:pPr>
        <w:numPr>
          <w:ilvl w:val="0"/>
          <w:numId w:val="6"/>
        </w:numPr>
        <w:spacing w:after="240" w:line="240" w:lineRule="auto"/>
        <w:ind w:left="0" w:firstLine="720"/>
        <w:jc w:val="both"/>
        <w:rPr>
          <w:rFonts w:asciiTheme="minorHAnsi" w:hAnsiTheme="minorHAnsi"/>
          <w:sz w:val="20"/>
          <w:szCs w:val="20"/>
          <w:lang w:val="en-US"/>
        </w:rPr>
      </w:pPr>
      <w:r w:rsidRPr="007D47AD">
        <w:rPr>
          <w:rFonts w:asciiTheme="minorHAnsi" w:hAnsiTheme="minorHAnsi"/>
          <w:sz w:val="20"/>
          <w:szCs w:val="20"/>
          <w:lang w:val="en-US"/>
        </w:rPr>
        <w:t>Amn</w:t>
      </w:r>
      <w:r w:rsidR="00B90B85" w:rsidRPr="007D47AD">
        <w:rPr>
          <w:rFonts w:asciiTheme="minorHAnsi" w:hAnsiTheme="minorHAnsi"/>
          <w:sz w:val="20"/>
          <w:szCs w:val="20"/>
          <w:lang w:val="en-US"/>
        </w:rPr>
        <w:t>e</w:t>
      </w:r>
      <w:r w:rsidRPr="007D47AD">
        <w:rPr>
          <w:rFonts w:asciiTheme="minorHAnsi" w:hAnsiTheme="minorHAnsi"/>
          <w:sz w:val="20"/>
          <w:szCs w:val="20"/>
          <w:lang w:val="en-US"/>
        </w:rPr>
        <w:t>st</w:t>
      </w:r>
      <w:r w:rsidR="00B90B85" w:rsidRPr="007D47AD">
        <w:rPr>
          <w:rFonts w:asciiTheme="minorHAnsi" w:hAnsiTheme="minorHAnsi"/>
          <w:sz w:val="20"/>
          <w:szCs w:val="20"/>
          <w:lang w:val="en-US"/>
        </w:rPr>
        <w:t>y</w:t>
      </w:r>
      <w:r w:rsidRPr="007D47AD">
        <w:rPr>
          <w:rFonts w:asciiTheme="minorHAnsi" w:hAnsiTheme="minorHAnsi"/>
          <w:sz w:val="20"/>
          <w:szCs w:val="20"/>
          <w:lang w:val="en-US"/>
        </w:rPr>
        <w:t xml:space="preserve"> Interna</w:t>
      </w:r>
      <w:r w:rsidR="00B90B85" w:rsidRPr="007D47AD">
        <w:rPr>
          <w:rFonts w:asciiTheme="minorHAnsi" w:hAnsiTheme="minorHAnsi"/>
          <w:sz w:val="20"/>
          <w:szCs w:val="20"/>
          <w:lang w:val="en-US"/>
        </w:rPr>
        <w:t>t</w:t>
      </w:r>
      <w:r w:rsidRPr="007D47AD">
        <w:rPr>
          <w:rFonts w:asciiTheme="minorHAnsi" w:hAnsiTheme="minorHAnsi"/>
          <w:sz w:val="20"/>
          <w:szCs w:val="20"/>
          <w:lang w:val="en-US"/>
        </w:rPr>
        <w:t xml:space="preserve">ional </w:t>
      </w:r>
      <w:r w:rsidR="00B90B85" w:rsidRPr="007D47AD">
        <w:rPr>
          <w:rFonts w:asciiTheme="minorHAnsi" w:hAnsiTheme="minorHAnsi"/>
          <w:sz w:val="20"/>
          <w:szCs w:val="20"/>
          <w:lang w:val="en-US"/>
        </w:rPr>
        <w:t xml:space="preserve">called attention to the broad powers of the National Guard in relation to internal security and criminal investigation, </w:t>
      </w:r>
      <w:r w:rsidRPr="007D47AD">
        <w:rPr>
          <w:rFonts w:asciiTheme="minorHAnsi" w:hAnsiTheme="minorHAnsi"/>
          <w:sz w:val="20"/>
          <w:szCs w:val="20"/>
          <w:lang w:val="en-US"/>
        </w:rPr>
        <w:t>inclu</w:t>
      </w:r>
      <w:r w:rsidR="00B90B85" w:rsidRPr="007D47AD">
        <w:rPr>
          <w:rFonts w:asciiTheme="minorHAnsi" w:hAnsiTheme="minorHAnsi"/>
          <w:sz w:val="20"/>
          <w:szCs w:val="20"/>
          <w:lang w:val="en-US"/>
        </w:rPr>
        <w:t xml:space="preserve">ding intercepting private communications and </w:t>
      </w:r>
      <w:r w:rsidR="00D37C61" w:rsidRPr="007D47AD">
        <w:rPr>
          <w:rFonts w:asciiTheme="minorHAnsi" w:hAnsiTheme="minorHAnsi"/>
          <w:sz w:val="20"/>
          <w:szCs w:val="20"/>
          <w:lang w:val="en-US"/>
        </w:rPr>
        <w:t xml:space="preserve">immigration </w:t>
      </w:r>
      <w:r w:rsidR="00B90B85" w:rsidRPr="007D47AD">
        <w:rPr>
          <w:rFonts w:asciiTheme="minorHAnsi" w:hAnsiTheme="minorHAnsi"/>
          <w:sz w:val="20"/>
          <w:szCs w:val="20"/>
          <w:lang w:val="en-US"/>
        </w:rPr>
        <w:t>control.</w:t>
      </w:r>
      <w:r w:rsidRPr="007D47AD">
        <w:rPr>
          <w:rStyle w:val="FootnoteReference"/>
          <w:rFonts w:asciiTheme="minorHAnsi" w:hAnsiTheme="minorHAnsi"/>
          <w:sz w:val="20"/>
          <w:szCs w:val="20"/>
          <w:lang w:val="en-US"/>
        </w:rPr>
        <w:footnoteReference w:id="15"/>
      </w:r>
      <w:r w:rsidRPr="007D47AD">
        <w:rPr>
          <w:rFonts w:asciiTheme="minorHAnsi" w:hAnsiTheme="minorHAnsi"/>
          <w:sz w:val="20"/>
          <w:szCs w:val="20"/>
          <w:lang w:val="en-US"/>
        </w:rPr>
        <w:t xml:space="preserve"> </w:t>
      </w:r>
      <w:r w:rsidR="00C61359" w:rsidRPr="007D47AD">
        <w:rPr>
          <w:rFonts w:asciiTheme="minorHAnsi" w:hAnsiTheme="minorHAnsi"/>
          <w:sz w:val="20"/>
          <w:szCs w:val="20"/>
          <w:lang w:val="en-US"/>
        </w:rPr>
        <w:t xml:space="preserve">The </w:t>
      </w:r>
      <w:r w:rsidRPr="007D47AD">
        <w:rPr>
          <w:rFonts w:asciiTheme="minorHAnsi" w:hAnsiTheme="minorHAnsi"/>
          <w:sz w:val="20"/>
          <w:szCs w:val="20"/>
          <w:lang w:val="en-US"/>
        </w:rPr>
        <w:t>Comisión Mexicana de Defensa y Promoción de los Derechos Humanos (</w:t>
      </w:r>
      <w:r w:rsidR="00C61359" w:rsidRPr="007D47AD">
        <w:rPr>
          <w:rFonts w:asciiTheme="minorHAnsi" w:hAnsiTheme="minorHAnsi"/>
          <w:sz w:val="20"/>
          <w:szCs w:val="20"/>
          <w:lang w:val="en-US"/>
        </w:rPr>
        <w:t xml:space="preserve">hereinafter </w:t>
      </w:r>
      <w:r w:rsidRPr="007D47AD">
        <w:rPr>
          <w:rFonts w:asciiTheme="minorHAnsi" w:hAnsiTheme="minorHAnsi"/>
          <w:sz w:val="20"/>
          <w:szCs w:val="20"/>
          <w:lang w:val="en-US"/>
        </w:rPr>
        <w:t>“</w:t>
      </w:r>
      <w:r w:rsidR="00C61359" w:rsidRPr="007D47AD">
        <w:rPr>
          <w:rFonts w:asciiTheme="minorHAnsi" w:hAnsiTheme="minorHAnsi"/>
          <w:sz w:val="20"/>
          <w:szCs w:val="20"/>
          <w:lang w:val="en-US"/>
        </w:rPr>
        <w:t xml:space="preserve">the </w:t>
      </w:r>
      <w:r w:rsidRPr="007D47AD">
        <w:rPr>
          <w:rFonts w:asciiTheme="minorHAnsi" w:hAnsiTheme="minorHAnsi"/>
          <w:sz w:val="20"/>
          <w:szCs w:val="20"/>
          <w:lang w:val="en-US"/>
        </w:rPr>
        <w:t>CMDPDH”) ha</w:t>
      </w:r>
      <w:r w:rsidR="00C61359" w:rsidRPr="007D47AD">
        <w:rPr>
          <w:rFonts w:asciiTheme="minorHAnsi" w:hAnsiTheme="minorHAnsi"/>
          <w:sz w:val="20"/>
          <w:szCs w:val="20"/>
          <w:lang w:val="en-US"/>
        </w:rPr>
        <w:t>s</w:t>
      </w:r>
      <w:r w:rsidRPr="007D47AD">
        <w:rPr>
          <w:rFonts w:asciiTheme="minorHAnsi" w:hAnsiTheme="minorHAnsi"/>
          <w:sz w:val="20"/>
          <w:szCs w:val="20"/>
          <w:lang w:val="en-US"/>
        </w:rPr>
        <w:t xml:space="preserve"> indica</w:t>
      </w:r>
      <w:r w:rsidR="00C61359" w:rsidRPr="007D47AD">
        <w:rPr>
          <w:rFonts w:asciiTheme="minorHAnsi" w:hAnsiTheme="minorHAnsi"/>
          <w:sz w:val="20"/>
          <w:szCs w:val="20"/>
          <w:lang w:val="en-US"/>
        </w:rPr>
        <w:t xml:space="preserve">ted that </w:t>
      </w:r>
      <w:r w:rsidRPr="007D47AD">
        <w:rPr>
          <w:rFonts w:asciiTheme="minorHAnsi" w:hAnsiTheme="minorHAnsi"/>
          <w:sz w:val="20"/>
          <w:szCs w:val="20"/>
          <w:lang w:val="en-US"/>
        </w:rPr>
        <w:t>militariza</w:t>
      </w:r>
      <w:r w:rsidR="00C61359" w:rsidRPr="007D47AD">
        <w:rPr>
          <w:rFonts w:asciiTheme="minorHAnsi" w:hAnsiTheme="minorHAnsi"/>
          <w:sz w:val="20"/>
          <w:szCs w:val="20"/>
          <w:lang w:val="en-US"/>
        </w:rPr>
        <w:t xml:space="preserve">tion continues </w:t>
      </w:r>
      <w:r w:rsidR="00DF009D" w:rsidRPr="007D47AD">
        <w:rPr>
          <w:rFonts w:asciiTheme="minorHAnsi" w:hAnsiTheme="minorHAnsi"/>
          <w:sz w:val="20"/>
          <w:szCs w:val="20"/>
          <w:lang w:val="en-US"/>
        </w:rPr>
        <w:t xml:space="preserve">to </w:t>
      </w:r>
      <w:r w:rsidR="00C61359" w:rsidRPr="007D47AD">
        <w:rPr>
          <w:rFonts w:asciiTheme="minorHAnsi" w:hAnsiTheme="minorHAnsi"/>
          <w:sz w:val="20"/>
          <w:szCs w:val="20"/>
          <w:lang w:val="en-US"/>
        </w:rPr>
        <w:t>be used as a tool for public security, result</w:t>
      </w:r>
      <w:r w:rsidR="00DF009D" w:rsidRPr="007D47AD">
        <w:rPr>
          <w:rFonts w:asciiTheme="minorHAnsi" w:hAnsiTheme="minorHAnsi"/>
          <w:sz w:val="20"/>
          <w:szCs w:val="20"/>
          <w:lang w:val="en-US"/>
        </w:rPr>
        <w:t>ing</w:t>
      </w:r>
      <w:r w:rsidR="00C61359" w:rsidRPr="007D47AD">
        <w:rPr>
          <w:rFonts w:asciiTheme="minorHAnsi" w:hAnsiTheme="minorHAnsi"/>
          <w:sz w:val="20"/>
          <w:szCs w:val="20"/>
          <w:lang w:val="en-US"/>
        </w:rPr>
        <w:t xml:space="preserve"> in high levels of violence and grave human rights violations. As of this writing in late 2019, </w:t>
      </w:r>
      <w:r w:rsidRPr="007D47AD">
        <w:rPr>
          <w:rFonts w:asciiTheme="minorHAnsi" w:hAnsiTheme="minorHAnsi"/>
          <w:sz w:val="20"/>
          <w:szCs w:val="20"/>
          <w:lang w:val="en-US"/>
        </w:rPr>
        <w:t>62</w:t>
      </w:r>
      <w:r w:rsidR="00C61359" w:rsidRPr="007D47AD">
        <w:rPr>
          <w:rFonts w:asciiTheme="minorHAnsi" w:hAnsiTheme="minorHAnsi"/>
          <w:sz w:val="20"/>
          <w:szCs w:val="20"/>
          <w:lang w:val="en-US"/>
        </w:rPr>
        <w:t>,</w:t>
      </w:r>
      <w:r w:rsidRPr="007D47AD">
        <w:rPr>
          <w:rFonts w:asciiTheme="minorHAnsi" w:hAnsiTheme="minorHAnsi"/>
          <w:sz w:val="20"/>
          <w:szCs w:val="20"/>
          <w:lang w:val="en-US"/>
        </w:rPr>
        <w:t xml:space="preserve">954 </w:t>
      </w:r>
      <w:r w:rsidR="00C61359" w:rsidRPr="007D47AD">
        <w:rPr>
          <w:rFonts w:asciiTheme="minorHAnsi" w:hAnsiTheme="minorHAnsi"/>
          <w:sz w:val="20"/>
          <w:szCs w:val="20"/>
          <w:lang w:val="en-US"/>
        </w:rPr>
        <w:t>members of the military have been deployed, a figure which, according to its report, is an all-time record.</w:t>
      </w:r>
      <w:r w:rsidRPr="007D47AD">
        <w:rPr>
          <w:rStyle w:val="FootnoteReference"/>
          <w:rFonts w:asciiTheme="minorHAnsi" w:hAnsiTheme="minorHAnsi"/>
          <w:sz w:val="20"/>
          <w:szCs w:val="20"/>
          <w:lang w:val="en-US"/>
        </w:rPr>
        <w:footnoteReference w:id="16"/>
      </w:r>
    </w:p>
    <w:p w:rsidR="008047BB" w:rsidRPr="007D47AD" w:rsidRDefault="00C61359" w:rsidP="00C61359">
      <w:pPr>
        <w:numPr>
          <w:ilvl w:val="0"/>
          <w:numId w:val="6"/>
        </w:numPr>
        <w:spacing w:after="240" w:line="240" w:lineRule="auto"/>
        <w:ind w:left="0" w:firstLine="720"/>
        <w:jc w:val="both"/>
        <w:rPr>
          <w:rFonts w:asciiTheme="minorHAnsi" w:hAnsiTheme="minorHAnsi"/>
          <w:sz w:val="20"/>
          <w:szCs w:val="20"/>
          <w:lang w:val="en-US"/>
        </w:rPr>
      </w:pPr>
      <w:r w:rsidRPr="007D47AD">
        <w:rPr>
          <w:rFonts w:asciiTheme="minorHAnsi" w:hAnsiTheme="minorHAnsi"/>
          <w:sz w:val="20"/>
          <w:szCs w:val="20"/>
          <w:lang w:val="en-US"/>
        </w:rPr>
        <w:t xml:space="preserve">In this context, as regards the recommendation </w:t>
      </w:r>
      <w:r w:rsidR="00DF009D" w:rsidRPr="007D47AD">
        <w:rPr>
          <w:rFonts w:asciiTheme="minorHAnsi" w:hAnsiTheme="minorHAnsi"/>
          <w:sz w:val="20"/>
          <w:szCs w:val="20"/>
          <w:lang w:val="en-US"/>
        </w:rPr>
        <w:t xml:space="preserve">to </w:t>
      </w:r>
      <w:r w:rsidRPr="007D47AD">
        <w:rPr>
          <w:rFonts w:asciiTheme="minorHAnsi" w:hAnsiTheme="minorHAnsi"/>
          <w:sz w:val="20"/>
          <w:szCs w:val="20"/>
          <w:lang w:val="en-US"/>
        </w:rPr>
        <w:t>remov</w:t>
      </w:r>
      <w:r w:rsidR="00DF009D" w:rsidRPr="007D47AD">
        <w:rPr>
          <w:rFonts w:asciiTheme="minorHAnsi" w:hAnsiTheme="minorHAnsi"/>
          <w:sz w:val="20"/>
          <w:szCs w:val="20"/>
          <w:lang w:val="en-US"/>
        </w:rPr>
        <w:t xml:space="preserve">e </w:t>
      </w:r>
      <w:r w:rsidRPr="007D47AD">
        <w:rPr>
          <w:rFonts w:asciiTheme="minorHAnsi" w:hAnsiTheme="minorHAnsi"/>
          <w:sz w:val="20"/>
          <w:szCs w:val="20"/>
          <w:lang w:val="en-US"/>
        </w:rPr>
        <w:t>the Armed Forces from public security tasks, the IACHR recalls that the Supreme Court</w:t>
      </w:r>
      <w:r w:rsidR="00D37C61" w:rsidRPr="007D47AD">
        <w:rPr>
          <w:rFonts w:asciiTheme="minorHAnsi" w:hAnsiTheme="minorHAnsi"/>
          <w:sz w:val="20"/>
          <w:szCs w:val="20"/>
          <w:lang w:val="en-US"/>
        </w:rPr>
        <w:t xml:space="preserve">’s determination that the </w:t>
      </w:r>
      <w:r w:rsidRPr="007D47AD">
        <w:rPr>
          <w:rFonts w:asciiTheme="minorHAnsi" w:hAnsiTheme="minorHAnsi"/>
          <w:sz w:val="20"/>
          <w:szCs w:val="20"/>
          <w:lang w:val="en-US"/>
        </w:rPr>
        <w:t xml:space="preserve">Law on Internal Security </w:t>
      </w:r>
      <w:r w:rsidR="00D37C61" w:rsidRPr="007D47AD">
        <w:rPr>
          <w:rFonts w:asciiTheme="minorHAnsi" w:hAnsiTheme="minorHAnsi"/>
          <w:sz w:val="20"/>
          <w:szCs w:val="20"/>
          <w:lang w:val="en-US"/>
        </w:rPr>
        <w:t xml:space="preserve">is </w:t>
      </w:r>
      <w:r w:rsidRPr="007D47AD">
        <w:rPr>
          <w:rFonts w:asciiTheme="minorHAnsi" w:hAnsiTheme="minorHAnsi"/>
          <w:sz w:val="20"/>
          <w:szCs w:val="20"/>
          <w:lang w:val="en-US"/>
        </w:rPr>
        <w:t xml:space="preserve">unconstitutional and in violation of Mexico’s international treaty commitments on human rights was the result of </w:t>
      </w:r>
      <w:r w:rsidR="00706A5B" w:rsidRPr="007D47AD">
        <w:rPr>
          <w:rFonts w:asciiTheme="minorHAnsi" w:hAnsiTheme="minorHAnsi"/>
          <w:sz w:val="20"/>
          <w:szCs w:val="20"/>
          <w:lang w:val="en-US"/>
        </w:rPr>
        <w:t xml:space="preserve">its </w:t>
      </w:r>
      <w:r w:rsidRPr="007D47AD">
        <w:rPr>
          <w:rFonts w:asciiTheme="minorHAnsi" w:hAnsiTheme="minorHAnsi"/>
          <w:sz w:val="20"/>
          <w:szCs w:val="20"/>
          <w:lang w:val="en-US"/>
        </w:rPr>
        <w:t>finding that it sought to normalize the use of the Armed Forces in matters of public security.</w:t>
      </w:r>
      <w:r w:rsidR="008047BB" w:rsidRPr="007D47AD">
        <w:rPr>
          <w:rStyle w:val="FootnoteReference"/>
          <w:rFonts w:asciiTheme="minorHAnsi" w:hAnsiTheme="minorHAnsi"/>
          <w:sz w:val="20"/>
          <w:szCs w:val="20"/>
          <w:lang w:val="en-US"/>
        </w:rPr>
        <w:footnoteReference w:id="17"/>
      </w:r>
      <w:r w:rsidR="008047BB" w:rsidRPr="007D47AD">
        <w:rPr>
          <w:rFonts w:asciiTheme="minorHAnsi" w:hAnsiTheme="minorHAnsi"/>
          <w:sz w:val="20"/>
          <w:szCs w:val="20"/>
          <w:lang w:val="en-US"/>
        </w:rPr>
        <w:t xml:space="preserve"> </w:t>
      </w:r>
      <w:r w:rsidRPr="007D47AD">
        <w:rPr>
          <w:rFonts w:asciiTheme="minorHAnsi" w:hAnsiTheme="minorHAnsi"/>
          <w:sz w:val="20"/>
          <w:szCs w:val="20"/>
          <w:lang w:val="en-US"/>
        </w:rPr>
        <w:t xml:space="preserve">In this </w:t>
      </w:r>
      <w:r w:rsidR="008047BB" w:rsidRPr="007D47AD">
        <w:rPr>
          <w:rFonts w:asciiTheme="minorHAnsi" w:hAnsiTheme="minorHAnsi"/>
          <w:sz w:val="20"/>
          <w:szCs w:val="20"/>
          <w:lang w:val="en-US"/>
        </w:rPr>
        <w:t xml:space="preserve">context </w:t>
      </w:r>
      <w:r w:rsidRPr="007D47AD">
        <w:rPr>
          <w:rFonts w:asciiTheme="minorHAnsi" w:hAnsiTheme="minorHAnsi"/>
          <w:sz w:val="20"/>
          <w:szCs w:val="20"/>
          <w:lang w:val="en-US"/>
        </w:rPr>
        <w:t xml:space="preserve">the Commission </w:t>
      </w:r>
      <w:r w:rsidR="008047BB" w:rsidRPr="007D47AD">
        <w:rPr>
          <w:rFonts w:asciiTheme="minorHAnsi" w:hAnsiTheme="minorHAnsi"/>
          <w:sz w:val="20"/>
          <w:szCs w:val="20"/>
          <w:lang w:val="en-US"/>
        </w:rPr>
        <w:t>reitera</w:t>
      </w:r>
      <w:r w:rsidRPr="007D47AD">
        <w:rPr>
          <w:rFonts w:asciiTheme="minorHAnsi" w:hAnsiTheme="minorHAnsi"/>
          <w:sz w:val="20"/>
          <w:szCs w:val="20"/>
          <w:lang w:val="en-US"/>
        </w:rPr>
        <w:t xml:space="preserve">tes the pronouncement of the Inter-American Court to the effect that maintaining public order and citizen security should be primarily reserved for civilian police forces. Accordingly, any participation of the </w:t>
      </w:r>
      <w:r w:rsidR="00706A5B" w:rsidRPr="007D47AD">
        <w:rPr>
          <w:rFonts w:asciiTheme="minorHAnsi" w:hAnsiTheme="minorHAnsi"/>
          <w:sz w:val="20"/>
          <w:szCs w:val="20"/>
          <w:lang w:val="en-US"/>
        </w:rPr>
        <w:t>A</w:t>
      </w:r>
      <w:r w:rsidRPr="007D47AD">
        <w:rPr>
          <w:rFonts w:asciiTheme="minorHAnsi" w:hAnsiTheme="minorHAnsi"/>
          <w:sz w:val="20"/>
          <w:szCs w:val="20"/>
          <w:lang w:val="en-US"/>
        </w:rPr>
        <w:t xml:space="preserve">rmed </w:t>
      </w:r>
      <w:r w:rsidR="00706A5B" w:rsidRPr="007D47AD">
        <w:rPr>
          <w:rFonts w:asciiTheme="minorHAnsi" w:hAnsiTheme="minorHAnsi"/>
          <w:sz w:val="20"/>
          <w:szCs w:val="20"/>
          <w:lang w:val="en-US"/>
        </w:rPr>
        <w:t>F</w:t>
      </w:r>
      <w:r w:rsidRPr="007D47AD">
        <w:rPr>
          <w:rFonts w:asciiTheme="minorHAnsi" w:hAnsiTheme="minorHAnsi"/>
          <w:sz w:val="20"/>
          <w:szCs w:val="20"/>
          <w:lang w:val="en-US"/>
        </w:rPr>
        <w:t xml:space="preserve">orces in security tasks should be </w:t>
      </w:r>
      <w:r w:rsidR="008047BB" w:rsidRPr="007D47AD">
        <w:rPr>
          <w:rFonts w:asciiTheme="minorHAnsi" w:hAnsiTheme="minorHAnsi"/>
          <w:sz w:val="20"/>
          <w:szCs w:val="20"/>
          <w:lang w:val="en-US"/>
        </w:rPr>
        <w:t>extraordinar</w:t>
      </w:r>
      <w:r w:rsidRPr="007D47AD">
        <w:rPr>
          <w:rFonts w:asciiTheme="minorHAnsi" w:hAnsiTheme="minorHAnsi"/>
          <w:sz w:val="20"/>
          <w:szCs w:val="20"/>
          <w:lang w:val="en-US"/>
        </w:rPr>
        <w:t>y</w:t>
      </w:r>
      <w:r w:rsidR="008047BB" w:rsidRPr="007D47AD">
        <w:rPr>
          <w:rFonts w:asciiTheme="minorHAnsi" w:hAnsiTheme="minorHAnsi"/>
          <w:sz w:val="20"/>
          <w:szCs w:val="20"/>
          <w:lang w:val="en-US"/>
        </w:rPr>
        <w:t>, subordina</w:t>
      </w:r>
      <w:r w:rsidRPr="007D47AD">
        <w:rPr>
          <w:rFonts w:asciiTheme="minorHAnsi" w:hAnsiTheme="minorHAnsi"/>
          <w:sz w:val="20"/>
          <w:szCs w:val="20"/>
          <w:lang w:val="en-US"/>
        </w:rPr>
        <w:t>te and complementary, and regulated and overseen.</w:t>
      </w:r>
      <w:r w:rsidR="008047BB" w:rsidRPr="007D47AD">
        <w:rPr>
          <w:rStyle w:val="FootnoteReference"/>
          <w:rFonts w:asciiTheme="minorHAnsi" w:hAnsiTheme="minorHAnsi"/>
          <w:sz w:val="20"/>
          <w:szCs w:val="20"/>
          <w:lang w:val="en-US"/>
        </w:rPr>
        <w:footnoteReference w:id="18"/>
      </w:r>
      <w:r w:rsidR="008047BB" w:rsidRPr="007D47AD">
        <w:rPr>
          <w:rFonts w:asciiTheme="minorHAnsi" w:hAnsiTheme="minorHAnsi"/>
          <w:sz w:val="20"/>
          <w:szCs w:val="20"/>
          <w:lang w:val="en-US"/>
        </w:rPr>
        <w:t xml:space="preserve"> </w:t>
      </w:r>
    </w:p>
    <w:p w:rsidR="008047BB" w:rsidRPr="007D47AD" w:rsidRDefault="00C61359" w:rsidP="007233E1">
      <w:pPr>
        <w:numPr>
          <w:ilvl w:val="0"/>
          <w:numId w:val="6"/>
        </w:numPr>
        <w:spacing w:after="240" w:line="240" w:lineRule="auto"/>
        <w:ind w:left="0" w:firstLine="720"/>
        <w:jc w:val="both"/>
        <w:rPr>
          <w:rFonts w:asciiTheme="minorHAnsi" w:hAnsiTheme="minorHAnsi"/>
          <w:sz w:val="20"/>
          <w:szCs w:val="20"/>
          <w:lang w:val="en-US"/>
        </w:rPr>
      </w:pPr>
      <w:r w:rsidRPr="007D47AD">
        <w:rPr>
          <w:rFonts w:asciiTheme="minorHAnsi" w:hAnsiTheme="minorHAnsi"/>
          <w:sz w:val="20"/>
          <w:szCs w:val="20"/>
          <w:lang w:val="en-US"/>
        </w:rPr>
        <w:t xml:space="preserve">In line with the foregoing, the IACHR finds that while the constitutional reforms determined that the National Guard is a civilian body with police functions, in its transitory regulation this new </w:t>
      </w:r>
      <w:r w:rsidR="00DF009D" w:rsidRPr="007D47AD">
        <w:rPr>
          <w:rFonts w:asciiTheme="minorHAnsi" w:hAnsiTheme="minorHAnsi"/>
          <w:sz w:val="20"/>
          <w:szCs w:val="20"/>
          <w:lang w:val="en-US"/>
        </w:rPr>
        <w:t xml:space="preserve">institution </w:t>
      </w:r>
      <w:r w:rsidRPr="007D47AD">
        <w:rPr>
          <w:rFonts w:asciiTheme="minorHAnsi" w:hAnsiTheme="minorHAnsi"/>
          <w:sz w:val="20"/>
          <w:szCs w:val="20"/>
          <w:lang w:val="en-US"/>
        </w:rPr>
        <w:t>will be made up of military personnel and have a military-type structure</w:t>
      </w:r>
      <w:r w:rsidR="008047BB" w:rsidRPr="007D47AD">
        <w:rPr>
          <w:rFonts w:asciiTheme="minorHAnsi" w:hAnsiTheme="minorHAnsi"/>
          <w:sz w:val="20"/>
          <w:szCs w:val="20"/>
          <w:lang w:val="en-US"/>
        </w:rPr>
        <w:t xml:space="preserve">, </w:t>
      </w:r>
      <w:r w:rsidRPr="007D47AD">
        <w:rPr>
          <w:rFonts w:asciiTheme="minorHAnsi" w:hAnsiTheme="minorHAnsi"/>
          <w:sz w:val="20"/>
          <w:szCs w:val="20"/>
          <w:lang w:val="en-US"/>
        </w:rPr>
        <w:t>which casts doubt precisely on its civilian nature, especially if a Brigade General of the Mexican Army has been appointed as its chief officer</w:t>
      </w:r>
      <w:r w:rsidR="008047BB" w:rsidRPr="007D47AD">
        <w:rPr>
          <w:rFonts w:asciiTheme="minorHAnsi" w:hAnsiTheme="minorHAnsi"/>
          <w:sz w:val="20"/>
          <w:szCs w:val="20"/>
          <w:lang w:val="en-US"/>
        </w:rPr>
        <w:t xml:space="preserve">, </w:t>
      </w:r>
      <w:r w:rsidRPr="007D47AD">
        <w:rPr>
          <w:rFonts w:asciiTheme="minorHAnsi" w:hAnsiTheme="minorHAnsi"/>
          <w:sz w:val="20"/>
          <w:szCs w:val="20"/>
          <w:lang w:val="en-US"/>
        </w:rPr>
        <w:t>as Amnesty International notes.</w:t>
      </w:r>
      <w:r w:rsidR="008047BB" w:rsidRPr="007D47AD">
        <w:rPr>
          <w:rStyle w:val="FootnoteReference"/>
          <w:rFonts w:asciiTheme="minorHAnsi" w:hAnsiTheme="minorHAnsi"/>
          <w:lang w:val="en-US"/>
        </w:rPr>
        <w:footnoteReference w:id="19"/>
      </w:r>
      <w:r w:rsidR="008047BB" w:rsidRPr="007D47AD">
        <w:rPr>
          <w:rFonts w:asciiTheme="minorHAnsi" w:hAnsiTheme="minorHAnsi"/>
          <w:sz w:val="20"/>
          <w:szCs w:val="20"/>
          <w:lang w:val="en-US"/>
        </w:rPr>
        <w:t xml:space="preserve"> </w:t>
      </w:r>
      <w:r w:rsidRPr="007D47AD">
        <w:rPr>
          <w:rFonts w:asciiTheme="minorHAnsi" w:hAnsiTheme="minorHAnsi"/>
          <w:sz w:val="20"/>
          <w:szCs w:val="20"/>
          <w:lang w:val="en-US"/>
        </w:rPr>
        <w:t xml:space="preserve">The </w:t>
      </w:r>
      <w:r w:rsidR="008047BB" w:rsidRPr="007D47AD">
        <w:rPr>
          <w:rFonts w:asciiTheme="minorHAnsi" w:hAnsiTheme="minorHAnsi"/>
          <w:sz w:val="20"/>
          <w:szCs w:val="20"/>
          <w:lang w:val="en-US"/>
        </w:rPr>
        <w:t>CMDPDH ha</w:t>
      </w:r>
      <w:r w:rsidRPr="007D47AD">
        <w:rPr>
          <w:rFonts w:asciiTheme="minorHAnsi" w:hAnsiTheme="minorHAnsi"/>
          <w:sz w:val="20"/>
          <w:szCs w:val="20"/>
          <w:lang w:val="en-US"/>
        </w:rPr>
        <w:t>s</w:t>
      </w:r>
      <w:r w:rsidR="008047BB" w:rsidRPr="007D47AD">
        <w:rPr>
          <w:rFonts w:asciiTheme="minorHAnsi" w:hAnsiTheme="minorHAnsi"/>
          <w:sz w:val="20"/>
          <w:szCs w:val="20"/>
          <w:lang w:val="en-US"/>
        </w:rPr>
        <w:t xml:space="preserve"> indica</w:t>
      </w:r>
      <w:r w:rsidRPr="007D47AD">
        <w:rPr>
          <w:rFonts w:asciiTheme="minorHAnsi" w:hAnsiTheme="minorHAnsi"/>
          <w:sz w:val="20"/>
          <w:szCs w:val="20"/>
          <w:lang w:val="en-US"/>
        </w:rPr>
        <w:t xml:space="preserve">ted that the National Guard is </w:t>
      </w:r>
      <w:r w:rsidR="00DF009D" w:rsidRPr="007D47AD">
        <w:rPr>
          <w:rFonts w:asciiTheme="minorHAnsi" w:hAnsiTheme="minorHAnsi"/>
          <w:i/>
          <w:iCs/>
          <w:sz w:val="20"/>
          <w:szCs w:val="20"/>
          <w:lang w:val="en-US"/>
        </w:rPr>
        <w:t>de facto</w:t>
      </w:r>
      <w:r w:rsidR="00DF009D" w:rsidRPr="007D47AD">
        <w:rPr>
          <w:rFonts w:asciiTheme="minorHAnsi" w:hAnsiTheme="minorHAnsi"/>
          <w:sz w:val="20"/>
          <w:szCs w:val="20"/>
          <w:lang w:val="en-US"/>
        </w:rPr>
        <w:t xml:space="preserve"> </w:t>
      </w:r>
      <w:r w:rsidRPr="007D47AD">
        <w:rPr>
          <w:rFonts w:asciiTheme="minorHAnsi" w:hAnsiTheme="minorHAnsi"/>
          <w:sz w:val="20"/>
          <w:szCs w:val="20"/>
          <w:lang w:val="en-US"/>
        </w:rPr>
        <w:t xml:space="preserve">a military security body, which does not </w:t>
      </w:r>
      <w:r w:rsidR="007233E1" w:rsidRPr="007D47AD">
        <w:rPr>
          <w:rFonts w:asciiTheme="minorHAnsi" w:hAnsiTheme="minorHAnsi"/>
          <w:sz w:val="20"/>
          <w:szCs w:val="20"/>
          <w:lang w:val="en-US"/>
        </w:rPr>
        <w:t xml:space="preserve">establish sufficient safeguards </w:t>
      </w:r>
      <w:r w:rsidR="00706A5B" w:rsidRPr="007D47AD">
        <w:rPr>
          <w:rFonts w:asciiTheme="minorHAnsi" w:hAnsiTheme="minorHAnsi"/>
          <w:sz w:val="20"/>
          <w:szCs w:val="20"/>
          <w:lang w:val="en-US"/>
        </w:rPr>
        <w:t xml:space="preserve">as should </w:t>
      </w:r>
      <w:r w:rsidR="00DF009D" w:rsidRPr="007D47AD">
        <w:rPr>
          <w:rFonts w:asciiTheme="minorHAnsi" w:hAnsiTheme="minorHAnsi"/>
          <w:sz w:val="20"/>
          <w:szCs w:val="20"/>
          <w:lang w:val="en-US"/>
        </w:rPr>
        <w:t xml:space="preserve">be in place for </w:t>
      </w:r>
      <w:r w:rsidR="007233E1" w:rsidRPr="007D47AD">
        <w:rPr>
          <w:rFonts w:asciiTheme="minorHAnsi" w:hAnsiTheme="minorHAnsi"/>
          <w:sz w:val="20"/>
          <w:szCs w:val="20"/>
          <w:lang w:val="en-US"/>
        </w:rPr>
        <w:t>a civilian body.</w:t>
      </w:r>
      <w:r w:rsidR="008047BB" w:rsidRPr="007D47AD">
        <w:rPr>
          <w:rStyle w:val="FootnoteReference"/>
          <w:rFonts w:asciiTheme="minorHAnsi" w:hAnsiTheme="minorHAnsi"/>
          <w:sz w:val="20"/>
          <w:szCs w:val="20"/>
          <w:lang w:val="en-US"/>
        </w:rPr>
        <w:footnoteReference w:id="20"/>
      </w:r>
      <w:r w:rsidR="008047BB" w:rsidRPr="007D47AD">
        <w:rPr>
          <w:rFonts w:asciiTheme="minorHAnsi" w:hAnsiTheme="minorHAnsi"/>
          <w:sz w:val="20"/>
          <w:szCs w:val="20"/>
          <w:lang w:val="en-US"/>
        </w:rPr>
        <w:t xml:space="preserve"> </w:t>
      </w:r>
    </w:p>
    <w:p w:rsidR="008047BB" w:rsidRPr="007D47AD" w:rsidRDefault="007233E1" w:rsidP="00DF009D">
      <w:pPr>
        <w:numPr>
          <w:ilvl w:val="0"/>
          <w:numId w:val="6"/>
        </w:numPr>
        <w:spacing w:after="240" w:line="240" w:lineRule="auto"/>
        <w:ind w:left="0" w:firstLine="720"/>
        <w:jc w:val="both"/>
        <w:rPr>
          <w:rFonts w:asciiTheme="minorHAnsi" w:hAnsiTheme="minorHAnsi"/>
          <w:sz w:val="20"/>
          <w:szCs w:val="20"/>
          <w:lang w:val="en-US"/>
        </w:rPr>
      </w:pPr>
      <w:r w:rsidRPr="007D47AD">
        <w:rPr>
          <w:rFonts w:asciiTheme="minorHAnsi" w:hAnsiTheme="minorHAnsi"/>
          <w:sz w:val="20"/>
          <w:szCs w:val="20"/>
          <w:lang w:val="en-US"/>
        </w:rPr>
        <w:lastRenderedPageBreak/>
        <w:t xml:space="preserve">According to the information submitted by the </w:t>
      </w:r>
      <w:r w:rsidR="008047BB" w:rsidRPr="007D47AD">
        <w:rPr>
          <w:rFonts w:asciiTheme="minorHAnsi" w:hAnsiTheme="minorHAnsi"/>
          <w:sz w:val="20"/>
          <w:szCs w:val="20"/>
          <w:lang w:val="en-US"/>
        </w:rPr>
        <w:t xml:space="preserve">CMDPDH, </w:t>
      </w:r>
      <w:r w:rsidRPr="007D47AD">
        <w:rPr>
          <w:rFonts w:asciiTheme="minorHAnsi" w:hAnsiTheme="minorHAnsi"/>
          <w:sz w:val="20"/>
          <w:szCs w:val="20"/>
          <w:lang w:val="en-US"/>
        </w:rPr>
        <w:t xml:space="preserve">the majority of the National Guard members are members of the Army: </w:t>
      </w:r>
      <w:r w:rsidR="008047BB" w:rsidRPr="007D47AD">
        <w:rPr>
          <w:rFonts w:asciiTheme="minorHAnsi" w:hAnsiTheme="minorHAnsi"/>
          <w:sz w:val="20"/>
          <w:szCs w:val="20"/>
          <w:lang w:val="en-US"/>
        </w:rPr>
        <w:t xml:space="preserve">35,232 </w:t>
      </w:r>
      <w:r w:rsidRPr="007D47AD">
        <w:rPr>
          <w:rFonts w:asciiTheme="minorHAnsi" w:hAnsiTheme="minorHAnsi"/>
          <w:sz w:val="20"/>
          <w:szCs w:val="20"/>
          <w:lang w:val="en-US"/>
        </w:rPr>
        <w:t xml:space="preserve">are from the </w:t>
      </w:r>
      <w:r w:rsidR="008047BB" w:rsidRPr="007D47AD">
        <w:rPr>
          <w:rFonts w:asciiTheme="minorHAnsi" w:hAnsiTheme="minorHAnsi"/>
          <w:sz w:val="20"/>
          <w:szCs w:val="20"/>
          <w:lang w:val="en-US"/>
        </w:rPr>
        <w:t>Militar</w:t>
      </w:r>
      <w:r w:rsidRPr="007D47AD">
        <w:rPr>
          <w:rFonts w:asciiTheme="minorHAnsi" w:hAnsiTheme="minorHAnsi"/>
          <w:sz w:val="20"/>
          <w:szCs w:val="20"/>
          <w:lang w:val="en-US"/>
        </w:rPr>
        <w:t>y Police</w:t>
      </w:r>
      <w:r w:rsidR="008047BB" w:rsidRPr="007D47AD">
        <w:rPr>
          <w:rFonts w:asciiTheme="minorHAnsi" w:hAnsiTheme="minorHAnsi"/>
          <w:sz w:val="20"/>
          <w:szCs w:val="20"/>
          <w:lang w:val="en-US"/>
        </w:rPr>
        <w:t xml:space="preserve">, 6,871 </w:t>
      </w:r>
      <w:r w:rsidRPr="007D47AD">
        <w:rPr>
          <w:rFonts w:asciiTheme="minorHAnsi" w:hAnsiTheme="minorHAnsi"/>
          <w:sz w:val="20"/>
          <w:szCs w:val="20"/>
          <w:lang w:val="en-US"/>
        </w:rPr>
        <w:t xml:space="preserve">from the </w:t>
      </w:r>
      <w:r w:rsidR="008047BB" w:rsidRPr="007D47AD">
        <w:rPr>
          <w:rFonts w:asciiTheme="minorHAnsi" w:hAnsiTheme="minorHAnsi"/>
          <w:sz w:val="20"/>
          <w:szCs w:val="20"/>
          <w:lang w:val="en-US"/>
        </w:rPr>
        <w:t>Naval</w:t>
      </w:r>
      <w:r w:rsidRPr="007D47AD">
        <w:rPr>
          <w:rFonts w:asciiTheme="minorHAnsi" w:hAnsiTheme="minorHAnsi"/>
          <w:sz w:val="20"/>
          <w:szCs w:val="20"/>
          <w:lang w:val="en-US"/>
        </w:rPr>
        <w:t xml:space="preserve"> Police</w:t>
      </w:r>
      <w:r w:rsidR="008047BB" w:rsidRPr="007D47AD">
        <w:rPr>
          <w:rFonts w:asciiTheme="minorHAnsi" w:hAnsiTheme="minorHAnsi"/>
          <w:sz w:val="20"/>
          <w:szCs w:val="20"/>
          <w:lang w:val="en-US"/>
        </w:rPr>
        <w:t xml:space="preserve">, </w:t>
      </w:r>
      <w:r w:rsidR="00706A5B" w:rsidRPr="007D47AD">
        <w:rPr>
          <w:rFonts w:asciiTheme="minorHAnsi" w:hAnsiTheme="minorHAnsi"/>
          <w:sz w:val="20"/>
          <w:szCs w:val="20"/>
          <w:lang w:val="en-US"/>
        </w:rPr>
        <w:t xml:space="preserve">and </w:t>
      </w:r>
      <w:r w:rsidR="008047BB" w:rsidRPr="007D47AD">
        <w:rPr>
          <w:rFonts w:asciiTheme="minorHAnsi" w:hAnsiTheme="minorHAnsi"/>
          <w:sz w:val="20"/>
          <w:szCs w:val="20"/>
          <w:lang w:val="en-US"/>
        </w:rPr>
        <w:t xml:space="preserve">14,738 </w:t>
      </w:r>
      <w:r w:rsidRPr="007D47AD">
        <w:rPr>
          <w:rFonts w:asciiTheme="minorHAnsi" w:hAnsiTheme="minorHAnsi"/>
          <w:sz w:val="20"/>
          <w:szCs w:val="20"/>
          <w:lang w:val="en-US"/>
        </w:rPr>
        <w:t xml:space="preserve">from the now-defunct Federal Police. In addition, </w:t>
      </w:r>
      <w:r w:rsidR="008047BB" w:rsidRPr="007D47AD">
        <w:rPr>
          <w:rFonts w:asciiTheme="minorHAnsi" w:hAnsiTheme="minorHAnsi"/>
          <w:sz w:val="20"/>
          <w:szCs w:val="20"/>
          <w:lang w:val="en-US"/>
        </w:rPr>
        <w:t xml:space="preserve">13,464 </w:t>
      </w:r>
      <w:r w:rsidRPr="007D47AD">
        <w:rPr>
          <w:rFonts w:asciiTheme="minorHAnsi" w:hAnsiTheme="minorHAnsi"/>
          <w:sz w:val="20"/>
          <w:szCs w:val="20"/>
          <w:lang w:val="en-US"/>
        </w:rPr>
        <w:t xml:space="preserve">members are from the Army and </w:t>
      </w:r>
      <w:r w:rsidR="008047BB" w:rsidRPr="007D47AD">
        <w:rPr>
          <w:rFonts w:asciiTheme="minorHAnsi" w:hAnsiTheme="minorHAnsi"/>
          <w:sz w:val="20"/>
          <w:szCs w:val="20"/>
          <w:lang w:val="en-US"/>
        </w:rPr>
        <w:t xml:space="preserve">615 </w:t>
      </w:r>
      <w:r w:rsidRPr="007D47AD">
        <w:rPr>
          <w:rFonts w:asciiTheme="minorHAnsi" w:hAnsiTheme="minorHAnsi"/>
          <w:sz w:val="20"/>
          <w:szCs w:val="20"/>
          <w:lang w:val="en-US"/>
        </w:rPr>
        <w:t>from the Navy, support</w:t>
      </w:r>
      <w:r w:rsidR="00DF009D" w:rsidRPr="007D47AD">
        <w:rPr>
          <w:rFonts w:asciiTheme="minorHAnsi" w:hAnsiTheme="minorHAnsi"/>
          <w:sz w:val="20"/>
          <w:szCs w:val="20"/>
          <w:lang w:val="en-US"/>
        </w:rPr>
        <w:t>ing</w:t>
      </w:r>
      <w:r w:rsidRPr="007D47AD">
        <w:rPr>
          <w:rFonts w:asciiTheme="minorHAnsi" w:hAnsiTheme="minorHAnsi"/>
          <w:sz w:val="20"/>
          <w:szCs w:val="20"/>
          <w:lang w:val="en-US"/>
        </w:rPr>
        <w:t xml:space="preserve"> the public security tasks of the National Guard</w:t>
      </w:r>
      <w:r w:rsidR="007A036E" w:rsidRPr="007D47AD">
        <w:rPr>
          <w:rFonts w:asciiTheme="minorHAnsi" w:hAnsiTheme="minorHAnsi"/>
          <w:sz w:val="20"/>
          <w:szCs w:val="20"/>
          <w:lang w:val="en-US"/>
        </w:rPr>
        <w:t xml:space="preserve">. </w:t>
      </w:r>
      <w:r w:rsidR="00144ECE" w:rsidRPr="007D47AD">
        <w:rPr>
          <w:rFonts w:asciiTheme="minorHAnsi" w:hAnsiTheme="minorHAnsi"/>
          <w:sz w:val="20"/>
          <w:szCs w:val="20"/>
          <w:lang w:val="en-US"/>
        </w:rPr>
        <w:t xml:space="preserve">Regarding its command structure, </w:t>
      </w:r>
      <w:r w:rsidR="008047BB" w:rsidRPr="007D47AD">
        <w:rPr>
          <w:rFonts w:asciiTheme="minorHAnsi" w:hAnsiTheme="minorHAnsi"/>
          <w:sz w:val="20"/>
          <w:szCs w:val="20"/>
          <w:lang w:val="en-US"/>
        </w:rPr>
        <w:t>12 generals, 11 co</w:t>
      </w:r>
      <w:r w:rsidRPr="007D47AD">
        <w:rPr>
          <w:rFonts w:asciiTheme="minorHAnsi" w:hAnsiTheme="minorHAnsi"/>
          <w:sz w:val="20"/>
          <w:szCs w:val="20"/>
          <w:lang w:val="en-US"/>
        </w:rPr>
        <w:t>l</w:t>
      </w:r>
      <w:r w:rsidR="008047BB" w:rsidRPr="007D47AD">
        <w:rPr>
          <w:rFonts w:asciiTheme="minorHAnsi" w:hAnsiTheme="minorHAnsi"/>
          <w:sz w:val="20"/>
          <w:szCs w:val="20"/>
          <w:lang w:val="en-US"/>
        </w:rPr>
        <w:t xml:space="preserve">onels, </w:t>
      </w:r>
      <w:r w:rsidRPr="007D47AD">
        <w:rPr>
          <w:rFonts w:asciiTheme="minorHAnsi" w:hAnsiTheme="minorHAnsi"/>
          <w:sz w:val="20"/>
          <w:szCs w:val="20"/>
          <w:lang w:val="en-US"/>
        </w:rPr>
        <w:t xml:space="preserve">two rear admirals, three naval captains, and three lieutenant colonels head up </w:t>
      </w:r>
      <w:r w:rsidR="008047BB" w:rsidRPr="007D47AD">
        <w:rPr>
          <w:rFonts w:asciiTheme="minorHAnsi" w:hAnsiTheme="minorHAnsi"/>
          <w:sz w:val="20"/>
          <w:szCs w:val="20"/>
          <w:lang w:val="en-US"/>
        </w:rPr>
        <w:t xml:space="preserve">31 </w:t>
      </w:r>
      <w:r w:rsidRPr="007D47AD">
        <w:rPr>
          <w:rFonts w:asciiTheme="minorHAnsi" w:hAnsiTheme="minorHAnsi"/>
          <w:sz w:val="20"/>
          <w:szCs w:val="20"/>
          <w:lang w:val="en-US"/>
        </w:rPr>
        <w:t xml:space="preserve">of the </w:t>
      </w:r>
      <w:r w:rsidR="008047BB" w:rsidRPr="007D47AD">
        <w:rPr>
          <w:rFonts w:asciiTheme="minorHAnsi" w:hAnsiTheme="minorHAnsi"/>
          <w:sz w:val="20"/>
          <w:szCs w:val="20"/>
          <w:lang w:val="en-US"/>
        </w:rPr>
        <w:t xml:space="preserve">32 </w:t>
      </w:r>
      <w:r w:rsidRPr="007D47AD">
        <w:rPr>
          <w:rFonts w:asciiTheme="minorHAnsi" w:hAnsiTheme="minorHAnsi"/>
          <w:sz w:val="20"/>
          <w:szCs w:val="20"/>
          <w:lang w:val="en-US"/>
        </w:rPr>
        <w:t>state coordinating units of the National Guard across Mexico; most are from the Army</w:t>
      </w:r>
      <w:r w:rsidR="00706A5B" w:rsidRPr="007D47AD">
        <w:rPr>
          <w:rFonts w:asciiTheme="minorHAnsi" w:hAnsiTheme="minorHAnsi"/>
          <w:sz w:val="20"/>
          <w:szCs w:val="20"/>
          <w:lang w:val="en-US"/>
        </w:rPr>
        <w:t>, while</w:t>
      </w:r>
      <w:r w:rsidRPr="007D47AD">
        <w:rPr>
          <w:rFonts w:asciiTheme="minorHAnsi" w:hAnsiTheme="minorHAnsi"/>
          <w:sz w:val="20"/>
          <w:szCs w:val="20"/>
          <w:lang w:val="en-US"/>
        </w:rPr>
        <w:t xml:space="preserve"> five are from the Navy.</w:t>
      </w:r>
      <w:r w:rsidR="00E1589F" w:rsidRPr="007D47AD">
        <w:rPr>
          <w:rStyle w:val="FootnoteReference"/>
          <w:rFonts w:asciiTheme="minorHAnsi" w:hAnsiTheme="minorHAnsi"/>
          <w:sz w:val="20"/>
          <w:szCs w:val="20"/>
          <w:lang w:val="en-US"/>
        </w:rPr>
        <w:footnoteReference w:id="21"/>
      </w:r>
      <w:r w:rsidR="008047BB" w:rsidRPr="007D47AD">
        <w:rPr>
          <w:rFonts w:asciiTheme="minorHAnsi" w:hAnsiTheme="minorHAnsi"/>
          <w:sz w:val="20"/>
          <w:szCs w:val="20"/>
          <w:lang w:val="en-US"/>
        </w:rPr>
        <w:t xml:space="preserve"> </w:t>
      </w:r>
      <w:r w:rsidR="00021801" w:rsidRPr="007D47AD">
        <w:rPr>
          <w:rFonts w:asciiTheme="minorHAnsi" w:hAnsiTheme="minorHAnsi"/>
          <w:sz w:val="20"/>
          <w:szCs w:val="20"/>
          <w:lang w:val="en-US"/>
        </w:rPr>
        <w:t>I</w:t>
      </w:r>
      <w:r w:rsidR="002F4063" w:rsidRPr="007D47AD">
        <w:rPr>
          <w:rFonts w:asciiTheme="minorHAnsi" w:hAnsiTheme="minorHAnsi"/>
          <w:sz w:val="20"/>
          <w:szCs w:val="20"/>
          <w:lang w:val="en-US"/>
        </w:rPr>
        <w:t xml:space="preserve">n </w:t>
      </w:r>
      <w:r w:rsidR="00021801" w:rsidRPr="007D47AD">
        <w:rPr>
          <w:rFonts w:asciiTheme="minorHAnsi" w:hAnsiTheme="minorHAnsi"/>
          <w:sz w:val="20"/>
          <w:szCs w:val="20"/>
          <w:lang w:val="en-US"/>
        </w:rPr>
        <w:t xml:space="preserve">its observations on the draft of this report the State indicated that personnel </w:t>
      </w:r>
      <w:r w:rsidR="00B90477" w:rsidRPr="007D47AD">
        <w:rPr>
          <w:rFonts w:asciiTheme="minorHAnsi" w:hAnsiTheme="minorHAnsi"/>
          <w:sz w:val="20"/>
          <w:szCs w:val="20"/>
          <w:lang w:val="en-US"/>
        </w:rPr>
        <w:t xml:space="preserve">from </w:t>
      </w:r>
      <w:r w:rsidR="00021801" w:rsidRPr="007D47AD">
        <w:rPr>
          <w:rFonts w:asciiTheme="minorHAnsi" w:hAnsiTheme="minorHAnsi"/>
          <w:sz w:val="20"/>
          <w:szCs w:val="20"/>
          <w:lang w:val="en-US"/>
        </w:rPr>
        <w:t xml:space="preserve">the Ministry of National Defense (SEDENA, Secretaría de Defensa Nacional) and the Ministry of the Navy (SEMAR; </w:t>
      </w:r>
      <w:r w:rsidR="002F4063" w:rsidRPr="007D47AD">
        <w:rPr>
          <w:rFonts w:asciiTheme="minorHAnsi" w:hAnsiTheme="minorHAnsi"/>
          <w:sz w:val="20"/>
          <w:szCs w:val="20"/>
          <w:lang w:val="en-US"/>
        </w:rPr>
        <w:t xml:space="preserve">Secretaría de Marina) </w:t>
      </w:r>
      <w:r w:rsidR="00021801" w:rsidRPr="007D47AD">
        <w:rPr>
          <w:rFonts w:asciiTheme="minorHAnsi" w:hAnsiTheme="minorHAnsi"/>
          <w:sz w:val="20"/>
          <w:szCs w:val="20"/>
          <w:lang w:val="en-US"/>
        </w:rPr>
        <w:t>were incorporated into the National Guard initially, and it is anticipated that new members will be recruited through public competitive hiring processes; they will gradually come to account for the majority of the National Guard. It also indicated that work has been done to approve and train the personnel with an approach based on public security and full respect for human rights.</w:t>
      </w:r>
      <w:r w:rsidR="002F4063" w:rsidRPr="007D47AD">
        <w:rPr>
          <w:rStyle w:val="FootnoteReference"/>
          <w:rFonts w:asciiTheme="minorHAnsi" w:hAnsiTheme="minorHAnsi"/>
          <w:sz w:val="20"/>
          <w:szCs w:val="20"/>
          <w:lang w:val="en-US"/>
        </w:rPr>
        <w:footnoteReference w:id="22"/>
      </w:r>
    </w:p>
    <w:p w:rsidR="008047BB" w:rsidRPr="007D47AD" w:rsidRDefault="007233E1" w:rsidP="008047BB">
      <w:pPr>
        <w:numPr>
          <w:ilvl w:val="0"/>
          <w:numId w:val="6"/>
        </w:numPr>
        <w:spacing w:after="240" w:line="240" w:lineRule="auto"/>
        <w:ind w:left="0" w:firstLine="720"/>
        <w:jc w:val="both"/>
        <w:rPr>
          <w:rFonts w:asciiTheme="minorHAnsi" w:hAnsiTheme="minorHAnsi"/>
          <w:sz w:val="20"/>
          <w:szCs w:val="20"/>
          <w:lang w:val="en-US"/>
        </w:rPr>
      </w:pPr>
      <w:r w:rsidRPr="007D47AD">
        <w:rPr>
          <w:rFonts w:asciiTheme="minorHAnsi" w:hAnsiTheme="minorHAnsi"/>
          <w:sz w:val="20"/>
          <w:szCs w:val="20"/>
          <w:lang w:val="en-US"/>
        </w:rPr>
        <w:t xml:space="preserve">In addition, and in line with the recommendation to strengthen the police in public security tasks based on human rights standards, the IACHR </w:t>
      </w:r>
      <w:r w:rsidR="008047BB" w:rsidRPr="007D47AD">
        <w:rPr>
          <w:rFonts w:asciiTheme="minorHAnsi" w:hAnsiTheme="minorHAnsi"/>
          <w:sz w:val="20"/>
          <w:szCs w:val="20"/>
          <w:lang w:val="en-US"/>
        </w:rPr>
        <w:t>observ</w:t>
      </w:r>
      <w:r w:rsidRPr="007D47AD">
        <w:rPr>
          <w:rFonts w:asciiTheme="minorHAnsi" w:hAnsiTheme="minorHAnsi"/>
          <w:sz w:val="20"/>
          <w:szCs w:val="20"/>
          <w:lang w:val="en-US"/>
        </w:rPr>
        <w:t xml:space="preserve">es that the legal changes, both constitutional and statutory, do not offer major gains in this area except as regards the use of force, which establishes an obligation to train </w:t>
      </w:r>
      <w:r w:rsidR="00144ECE" w:rsidRPr="007D47AD">
        <w:rPr>
          <w:rFonts w:asciiTheme="minorHAnsi" w:hAnsiTheme="minorHAnsi"/>
          <w:sz w:val="20"/>
          <w:szCs w:val="20"/>
          <w:lang w:val="en-US"/>
        </w:rPr>
        <w:t xml:space="preserve">the official forces </w:t>
      </w:r>
      <w:r w:rsidRPr="007D47AD">
        <w:rPr>
          <w:rFonts w:asciiTheme="minorHAnsi" w:hAnsiTheme="minorHAnsi"/>
          <w:sz w:val="20"/>
          <w:szCs w:val="20"/>
          <w:lang w:val="en-US"/>
        </w:rPr>
        <w:t>in human rights, but exclusively on the use of weapons, methods and techniques related to the use of force and lethal force</w:t>
      </w:r>
      <w:r w:rsidR="002F4063" w:rsidRPr="007D47AD">
        <w:rPr>
          <w:rFonts w:asciiTheme="minorHAnsi" w:hAnsiTheme="minorHAnsi"/>
          <w:sz w:val="20"/>
          <w:szCs w:val="20"/>
          <w:lang w:val="en-US"/>
        </w:rPr>
        <w:t xml:space="preserve">. </w:t>
      </w:r>
      <w:r w:rsidR="00021801" w:rsidRPr="007D47AD">
        <w:rPr>
          <w:rFonts w:asciiTheme="minorHAnsi" w:hAnsiTheme="minorHAnsi"/>
          <w:sz w:val="20"/>
          <w:szCs w:val="20"/>
          <w:lang w:val="en-US"/>
        </w:rPr>
        <w:t>I</w:t>
      </w:r>
      <w:r w:rsidR="002F4063" w:rsidRPr="007D47AD">
        <w:rPr>
          <w:rFonts w:asciiTheme="minorHAnsi" w:hAnsiTheme="minorHAnsi"/>
          <w:sz w:val="20"/>
          <w:szCs w:val="20"/>
          <w:lang w:val="en-US"/>
        </w:rPr>
        <w:t xml:space="preserve">n </w:t>
      </w:r>
      <w:r w:rsidR="00021801" w:rsidRPr="007D47AD">
        <w:rPr>
          <w:rFonts w:asciiTheme="minorHAnsi" w:hAnsiTheme="minorHAnsi"/>
          <w:sz w:val="20"/>
          <w:szCs w:val="20"/>
          <w:lang w:val="en-US"/>
        </w:rPr>
        <w:t xml:space="preserve">its observations on the draft of this report the State indicated that in December </w:t>
      </w:r>
      <w:r w:rsidR="002F4063" w:rsidRPr="007D47AD">
        <w:rPr>
          <w:rFonts w:asciiTheme="minorHAnsi" w:hAnsiTheme="minorHAnsi"/>
          <w:sz w:val="20"/>
          <w:szCs w:val="20"/>
          <w:lang w:val="en-US"/>
        </w:rPr>
        <w:t xml:space="preserve">2019, 1,605 </w:t>
      </w:r>
      <w:r w:rsidR="00021801" w:rsidRPr="007D47AD">
        <w:rPr>
          <w:rFonts w:asciiTheme="minorHAnsi" w:hAnsiTheme="minorHAnsi"/>
          <w:sz w:val="20"/>
          <w:szCs w:val="20"/>
          <w:lang w:val="en-US"/>
        </w:rPr>
        <w:t xml:space="preserve">men and </w:t>
      </w:r>
      <w:r w:rsidR="002F4063" w:rsidRPr="007D47AD">
        <w:rPr>
          <w:rFonts w:asciiTheme="minorHAnsi" w:hAnsiTheme="minorHAnsi"/>
          <w:sz w:val="20"/>
          <w:szCs w:val="20"/>
          <w:lang w:val="en-US"/>
        </w:rPr>
        <w:t xml:space="preserve">342 </w:t>
      </w:r>
      <w:r w:rsidR="00021801" w:rsidRPr="007D47AD">
        <w:rPr>
          <w:rFonts w:asciiTheme="minorHAnsi" w:hAnsiTheme="minorHAnsi"/>
          <w:sz w:val="20"/>
          <w:szCs w:val="20"/>
          <w:lang w:val="en-US"/>
        </w:rPr>
        <w:t xml:space="preserve">women completed training courses organized by the Lead Program for Professionalization. This program covers gender equity, attention to crime victims, criminal justice system, as well as issues related to police ethics, culture of legality, human rights, </w:t>
      </w:r>
      <w:r w:rsidR="002F4063" w:rsidRPr="007D47AD">
        <w:rPr>
          <w:rFonts w:asciiTheme="minorHAnsi" w:hAnsiTheme="minorHAnsi"/>
          <w:sz w:val="20"/>
          <w:szCs w:val="20"/>
          <w:lang w:val="en-US"/>
        </w:rPr>
        <w:t>feminicid</w:t>
      </w:r>
      <w:r w:rsidR="00021801" w:rsidRPr="007D47AD">
        <w:rPr>
          <w:rFonts w:asciiTheme="minorHAnsi" w:hAnsiTheme="minorHAnsi"/>
          <w:sz w:val="20"/>
          <w:szCs w:val="20"/>
          <w:lang w:val="en-US"/>
        </w:rPr>
        <w:t>e</w:t>
      </w:r>
      <w:r w:rsidR="002F4063" w:rsidRPr="007D47AD">
        <w:rPr>
          <w:rFonts w:asciiTheme="minorHAnsi" w:hAnsiTheme="minorHAnsi"/>
          <w:sz w:val="20"/>
          <w:szCs w:val="20"/>
          <w:lang w:val="en-US"/>
        </w:rPr>
        <w:t xml:space="preserve">s, </w:t>
      </w:r>
      <w:r w:rsidR="00021801" w:rsidRPr="007D47AD">
        <w:rPr>
          <w:rFonts w:asciiTheme="minorHAnsi" w:hAnsiTheme="minorHAnsi"/>
          <w:sz w:val="20"/>
          <w:szCs w:val="20"/>
          <w:lang w:val="en-US"/>
        </w:rPr>
        <w:t xml:space="preserve">arrests and post-arrest procedures, and police mediation and conflict management, among others. It also indicated that under National Security Strategy </w:t>
      </w:r>
      <w:r w:rsidR="002F4063" w:rsidRPr="007D47AD">
        <w:rPr>
          <w:rFonts w:asciiTheme="minorHAnsi" w:hAnsiTheme="minorHAnsi"/>
          <w:sz w:val="20"/>
          <w:szCs w:val="20"/>
          <w:lang w:val="en-US"/>
        </w:rPr>
        <w:t xml:space="preserve">2019-2024, </w:t>
      </w:r>
      <w:r w:rsidR="00021801" w:rsidRPr="007D47AD">
        <w:rPr>
          <w:rFonts w:asciiTheme="minorHAnsi" w:hAnsiTheme="minorHAnsi"/>
          <w:sz w:val="20"/>
          <w:szCs w:val="20"/>
          <w:lang w:val="en-US"/>
        </w:rPr>
        <w:t xml:space="preserve">the Commission on Human Rights for Implementing the National Model of Policing and Civic Justice seeks to draw up and update the provisions, protocols, and guides for protecting human rights in the updating and training of police through the Lead Program for </w:t>
      </w:r>
      <w:r w:rsidR="002F4063" w:rsidRPr="007D47AD">
        <w:rPr>
          <w:rFonts w:asciiTheme="minorHAnsi" w:hAnsiTheme="minorHAnsi"/>
          <w:sz w:val="20"/>
          <w:szCs w:val="20"/>
          <w:lang w:val="en-US"/>
        </w:rPr>
        <w:t>Profes</w:t>
      </w:r>
      <w:r w:rsidR="00021801" w:rsidRPr="007D47AD">
        <w:rPr>
          <w:rFonts w:asciiTheme="minorHAnsi" w:hAnsiTheme="minorHAnsi"/>
          <w:sz w:val="20"/>
          <w:szCs w:val="20"/>
          <w:lang w:val="en-US"/>
        </w:rPr>
        <w:t>s</w:t>
      </w:r>
      <w:r w:rsidR="002F4063" w:rsidRPr="007D47AD">
        <w:rPr>
          <w:rFonts w:asciiTheme="minorHAnsi" w:hAnsiTheme="minorHAnsi"/>
          <w:sz w:val="20"/>
          <w:szCs w:val="20"/>
          <w:lang w:val="en-US"/>
        </w:rPr>
        <w:t>ionaliza</w:t>
      </w:r>
      <w:r w:rsidR="00021801" w:rsidRPr="007D47AD">
        <w:rPr>
          <w:rFonts w:asciiTheme="minorHAnsi" w:hAnsiTheme="minorHAnsi"/>
          <w:sz w:val="20"/>
          <w:szCs w:val="20"/>
          <w:lang w:val="en-US"/>
        </w:rPr>
        <w:t>tio</w:t>
      </w:r>
      <w:r w:rsidR="002F4063" w:rsidRPr="007D47AD">
        <w:rPr>
          <w:rFonts w:asciiTheme="minorHAnsi" w:hAnsiTheme="minorHAnsi"/>
          <w:sz w:val="20"/>
          <w:szCs w:val="20"/>
          <w:lang w:val="en-US"/>
        </w:rPr>
        <w:t xml:space="preserve">n. </w:t>
      </w:r>
      <w:r w:rsidR="00021801" w:rsidRPr="007D47AD">
        <w:rPr>
          <w:rFonts w:asciiTheme="minorHAnsi" w:hAnsiTheme="minorHAnsi"/>
          <w:sz w:val="20"/>
          <w:szCs w:val="20"/>
          <w:lang w:val="en-US"/>
        </w:rPr>
        <w:t>In addition, it indicated that for the 2020 budget exercise</w:t>
      </w:r>
      <w:r w:rsidR="00402E7E" w:rsidRPr="007D47AD">
        <w:rPr>
          <w:rFonts w:asciiTheme="minorHAnsi" w:hAnsiTheme="minorHAnsi"/>
          <w:sz w:val="20"/>
          <w:szCs w:val="20"/>
          <w:lang w:val="en-US"/>
        </w:rPr>
        <w:t>, in the processes of coordinating funds for public security</w:t>
      </w:r>
      <w:r w:rsidR="00B90477" w:rsidRPr="007D47AD">
        <w:rPr>
          <w:rFonts w:asciiTheme="minorHAnsi" w:hAnsiTheme="minorHAnsi"/>
          <w:sz w:val="20"/>
          <w:szCs w:val="20"/>
          <w:lang w:val="en-US"/>
        </w:rPr>
        <w:t>,</w:t>
      </w:r>
      <w:r w:rsidR="00402E7E" w:rsidRPr="007D47AD">
        <w:rPr>
          <w:rFonts w:asciiTheme="minorHAnsi" w:hAnsiTheme="minorHAnsi"/>
          <w:sz w:val="20"/>
          <w:szCs w:val="20"/>
          <w:lang w:val="en-US"/>
        </w:rPr>
        <w:t xml:space="preserve"> at least 10% of the training budget should be earmarked for covering human rights and related issues.</w:t>
      </w:r>
      <w:r w:rsidR="002F4063" w:rsidRPr="007D47AD">
        <w:rPr>
          <w:rFonts w:asciiTheme="minorHAnsi" w:hAnsiTheme="minorHAnsi"/>
          <w:sz w:val="20"/>
          <w:szCs w:val="20"/>
          <w:lang w:val="en-US"/>
        </w:rPr>
        <w:t xml:space="preserve"> </w:t>
      </w:r>
      <w:r w:rsidRPr="007D47AD">
        <w:rPr>
          <w:rFonts w:asciiTheme="minorHAnsi" w:hAnsiTheme="minorHAnsi"/>
          <w:sz w:val="20"/>
          <w:szCs w:val="20"/>
          <w:lang w:val="en-US"/>
        </w:rPr>
        <w:t xml:space="preserve"> </w:t>
      </w:r>
    </w:p>
    <w:p w:rsidR="002F4063" w:rsidRPr="007D47AD" w:rsidRDefault="00402E7E" w:rsidP="002F4063">
      <w:pPr>
        <w:numPr>
          <w:ilvl w:val="0"/>
          <w:numId w:val="6"/>
        </w:numPr>
        <w:spacing w:after="240" w:line="240" w:lineRule="auto"/>
        <w:ind w:left="0" w:firstLine="720"/>
        <w:jc w:val="both"/>
        <w:rPr>
          <w:rFonts w:asciiTheme="minorHAnsi" w:hAnsiTheme="minorHAnsi"/>
          <w:sz w:val="20"/>
          <w:szCs w:val="20"/>
          <w:lang w:val="en-US"/>
        </w:rPr>
      </w:pPr>
      <w:r w:rsidRPr="007D47AD">
        <w:rPr>
          <w:rFonts w:asciiTheme="minorHAnsi" w:hAnsiTheme="minorHAnsi"/>
          <w:sz w:val="20"/>
          <w:szCs w:val="20"/>
          <w:lang w:val="en-US"/>
        </w:rPr>
        <w:t xml:space="preserve">The State also indicated that it </w:t>
      </w:r>
      <w:r w:rsidR="00B90477" w:rsidRPr="007D47AD">
        <w:rPr>
          <w:rFonts w:asciiTheme="minorHAnsi" w:hAnsiTheme="minorHAnsi"/>
          <w:sz w:val="20"/>
          <w:szCs w:val="20"/>
          <w:lang w:val="en-US"/>
        </w:rPr>
        <w:t xml:space="preserve">enjoys </w:t>
      </w:r>
      <w:r w:rsidRPr="007D47AD">
        <w:rPr>
          <w:rFonts w:asciiTheme="minorHAnsi" w:hAnsiTheme="minorHAnsi"/>
          <w:sz w:val="20"/>
          <w:szCs w:val="20"/>
          <w:lang w:val="en-US"/>
        </w:rPr>
        <w:t>the support of the Office of the United Nations High Commissioner for Human Rights, the International Committee of the Red Cross, and other international cooperation agencies.</w:t>
      </w:r>
      <w:r w:rsidR="002F4063" w:rsidRPr="007D47AD">
        <w:rPr>
          <w:rStyle w:val="FootnoteReference"/>
          <w:rFonts w:asciiTheme="minorHAnsi" w:hAnsiTheme="minorHAnsi"/>
          <w:sz w:val="20"/>
          <w:szCs w:val="20"/>
          <w:lang w:val="en-US"/>
        </w:rPr>
        <w:footnoteReference w:id="23"/>
      </w:r>
      <w:r w:rsidR="002F4063" w:rsidRPr="007D47AD">
        <w:rPr>
          <w:rFonts w:asciiTheme="minorHAnsi" w:hAnsiTheme="minorHAnsi"/>
          <w:sz w:val="20"/>
          <w:szCs w:val="20"/>
          <w:lang w:val="en-US"/>
        </w:rPr>
        <w:t xml:space="preserve"> </w:t>
      </w:r>
    </w:p>
    <w:p w:rsidR="008047BB" w:rsidRPr="007D47AD" w:rsidRDefault="008261FA" w:rsidP="008261FA">
      <w:pPr>
        <w:numPr>
          <w:ilvl w:val="0"/>
          <w:numId w:val="6"/>
        </w:numPr>
        <w:spacing w:after="240" w:line="240" w:lineRule="auto"/>
        <w:ind w:left="0" w:firstLine="720"/>
        <w:jc w:val="both"/>
        <w:rPr>
          <w:rFonts w:asciiTheme="minorHAnsi" w:hAnsiTheme="minorHAnsi"/>
          <w:sz w:val="20"/>
          <w:szCs w:val="20"/>
          <w:lang w:val="en-US"/>
        </w:rPr>
      </w:pPr>
      <w:r w:rsidRPr="007D47AD">
        <w:rPr>
          <w:rFonts w:asciiTheme="minorHAnsi" w:hAnsiTheme="minorHAnsi"/>
          <w:sz w:val="20"/>
          <w:szCs w:val="20"/>
          <w:lang w:val="en-US"/>
        </w:rPr>
        <w:t xml:space="preserve">The Commission observes regulatory, constitutional, and statutory changes, as well as the creation of systems, procedures, and institutions related to public security that have been the subject of criticisms and whose main points have not been resolved. While these processes </w:t>
      </w:r>
      <w:r w:rsidR="00706A5B" w:rsidRPr="007D47AD">
        <w:rPr>
          <w:rFonts w:asciiTheme="minorHAnsi" w:hAnsiTheme="minorHAnsi"/>
          <w:sz w:val="20"/>
          <w:szCs w:val="20"/>
          <w:lang w:val="en-US"/>
        </w:rPr>
        <w:t xml:space="preserve">– which </w:t>
      </w:r>
      <w:r w:rsidRPr="007D47AD">
        <w:rPr>
          <w:rFonts w:asciiTheme="minorHAnsi" w:hAnsiTheme="minorHAnsi"/>
          <w:sz w:val="20"/>
          <w:szCs w:val="20"/>
          <w:lang w:val="en-US"/>
        </w:rPr>
        <w:t>can be considered progress in implementing the recommendations</w:t>
      </w:r>
      <w:r w:rsidR="00706A5B" w:rsidRPr="007D47AD">
        <w:rPr>
          <w:rFonts w:asciiTheme="minorHAnsi" w:hAnsiTheme="minorHAnsi"/>
          <w:sz w:val="20"/>
          <w:szCs w:val="20"/>
          <w:lang w:val="en-US"/>
        </w:rPr>
        <w:t xml:space="preserve"> – have already begun</w:t>
      </w:r>
      <w:r w:rsidRPr="007D47AD">
        <w:rPr>
          <w:rFonts w:asciiTheme="minorHAnsi" w:hAnsiTheme="minorHAnsi"/>
          <w:sz w:val="20"/>
          <w:szCs w:val="20"/>
          <w:lang w:val="en-US"/>
        </w:rPr>
        <w:t>, the Commission also observes that they have been question</w:t>
      </w:r>
      <w:r w:rsidR="00DF009D" w:rsidRPr="007D47AD">
        <w:rPr>
          <w:rFonts w:asciiTheme="minorHAnsi" w:hAnsiTheme="minorHAnsi"/>
          <w:sz w:val="20"/>
          <w:szCs w:val="20"/>
          <w:lang w:val="en-US"/>
        </w:rPr>
        <w:t>ed</w:t>
      </w:r>
      <w:r w:rsidRPr="007D47AD">
        <w:rPr>
          <w:rFonts w:asciiTheme="minorHAnsi" w:hAnsiTheme="minorHAnsi"/>
          <w:sz w:val="20"/>
          <w:szCs w:val="20"/>
          <w:lang w:val="en-US"/>
        </w:rPr>
        <w:t xml:space="preserve"> through judicial proceedings as part of the internal institutional debate;</w:t>
      </w:r>
      <w:r w:rsidR="008047BB" w:rsidRPr="007D47AD">
        <w:rPr>
          <w:rFonts w:asciiTheme="minorHAnsi" w:hAnsiTheme="minorHAnsi"/>
          <w:sz w:val="20"/>
          <w:szCs w:val="20"/>
          <w:lang w:val="en-US"/>
        </w:rPr>
        <w:t xml:space="preserve"> </w:t>
      </w:r>
      <w:r w:rsidRPr="007D47AD">
        <w:rPr>
          <w:rFonts w:asciiTheme="minorHAnsi" w:hAnsiTheme="minorHAnsi"/>
          <w:sz w:val="20"/>
          <w:szCs w:val="20"/>
          <w:lang w:val="en-US"/>
        </w:rPr>
        <w:t>the results are still pending a decision. Mindful of the foregoing, the IACHR concludes that the two recommendations be</w:t>
      </w:r>
      <w:r w:rsidR="00706A5B" w:rsidRPr="007D47AD">
        <w:rPr>
          <w:rFonts w:asciiTheme="minorHAnsi" w:hAnsiTheme="minorHAnsi"/>
          <w:sz w:val="20"/>
          <w:szCs w:val="20"/>
          <w:lang w:val="en-US"/>
        </w:rPr>
        <w:t>ing</w:t>
      </w:r>
      <w:r w:rsidRPr="007D47AD">
        <w:rPr>
          <w:rFonts w:asciiTheme="minorHAnsi" w:hAnsiTheme="minorHAnsi"/>
          <w:sz w:val="20"/>
          <w:szCs w:val="20"/>
          <w:lang w:val="en-US"/>
        </w:rPr>
        <w:t xml:space="preserve"> analyzed are pending implementation and it will continue </w:t>
      </w:r>
      <w:r w:rsidR="00DD0808" w:rsidRPr="007D47AD">
        <w:rPr>
          <w:rFonts w:asciiTheme="minorHAnsi" w:hAnsiTheme="minorHAnsi"/>
          <w:sz w:val="20"/>
          <w:szCs w:val="20"/>
          <w:lang w:val="en-US"/>
        </w:rPr>
        <w:t xml:space="preserve">to </w:t>
      </w:r>
      <w:r w:rsidRPr="007D47AD">
        <w:rPr>
          <w:rFonts w:asciiTheme="minorHAnsi" w:hAnsiTheme="minorHAnsi"/>
          <w:sz w:val="20"/>
          <w:szCs w:val="20"/>
          <w:lang w:val="en-US"/>
        </w:rPr>
        <w:t xml:space="preserve">monitor the institutional and legal implementation mentioned, the reports on the deployment of the National Guard on the ground, and </w:t>
      </w:r>
      <w:r w:rsidR="00706A5B" w:rsidRPr="007D47AD">
        <w:rPr>
          <w:rFonts w:asciiTheme="minorHAnsi" w:hAnsiTheme="minorHAnsi"/>
          <w:sz w:val="20"/>
          <w:szCs w:val="20"/>
          <w:lang w:val="en-US"/>
        </w:rPr>
        <w:t>e</w:t>
      </w:r>
      <w:r w:rsidRPr="007D47AD">
        <w:rPr>
          <w:rFonts w:asciiTheme="minorHAnsi" w:hAnsiTheme="minorHAnsi"/>
          <w:sz w:val="20"/>
          <w:szCs w:val="20"/>
          <w:lang w:val="en-US"/>
        </w:rPr>
        <w:t>special</w:t>
      </w:r>
      <w:r w:rsidR="00706A5B" w:rsidRPr="007D47AD">
        <w:rPr>
          <w:rFonts w:asciiTheme="minorHAnsi" w:hAnsiTheme="minorHAnsi"/>
          <w:sz w:val="20"/>
          <w:szCs w:val="20"/>
          <w:lang w:val="en-US"/>
        </w:rPr>
        <w:t>ly</w:t>
      </w:r>
      <w:r w:rsidRPr="007D47AD">
        <w:rPr>
          <w:rFonts w:asciiTheme="minorHAnsi" w:hAnsiTheme="minorHAnsi"/>
          <w:sz w:val="20"/>
          <w:szCs w:val="20"/>
          <w:lang w:val="en-US"/>
        </w:rPr>
        <w:t xml:space="preserve"> the constitutional challenges that have been brought </w:t>
      </w:r>
      <w:r w:rsidR="00706A5B" w:rsidRPr="007D47AD">
        <w:rPr>
          <w:rFonts w:asciiTheme="minorHAnsi" w:hAnsiTheme="minorHAnsi"/>
          <w:sz w:val="20"/>
          <w:szCs w:val="20"/>
          <w:lang w:val="en-US"/>
        </w:rPr>
        <w:t xml:space="preserve">to </w:t>
      </w:r>
      <w:r w:rsidRPr="007D47AD">
        <w:rPr>
          <w:rFonts w:asciiTheme="minorHAnsi" w:hAnsiTheme="minorHAnsi"/>
          <w:sz w:val="20"/>
          <w:szCs w:val="20"/>
          <w:lang w:val="en-US"/>
        </w:rPr>
        <w:t xml:space="preserve">the laws </w:t>
      </w:r>
      <w:r w:rsidR="00706A5B" w:rsidRPr="007D47AD">
        <w:rPr>
          <w:rFonts w:asciiTheme="minorHAnsi" w:hAnsiTheme="minorHAnsi"/>
          <w:sz w:val="20"/>
          <w:szCs w:val="20"/>
          <w:lang w:val="en-US"/>
        </w:rPr>
        <w:t xml:space="preserve">on </w:t>
      </w:r>
      <w:r w:rsidRPr="007D47AD">
        <w:rPr>
          <w:rFonts w:asciiTheme="minorHAnsi" w:hAnsiTheme="minorHAnsi"/>
          <w:sz w:val="20"/>
          <w:szCs w:val="20"/>
          <w:lang w:val="en-US"/>
        </w:rPr>
        <w:t xml:space="preserve">public security, </w:t>
      </w:r>
      <w:r w:rsidR="00DD0808" w:rsidRPr="007D47AD">
        <w:rPr>
          <w:rFonts w:asciiTheme="minorHAnsi" w:hAnsiTheme="minorHAnsi"/>
          <w:sz w:val="20"/>
          <w:szCs w:val="20"/>
          <w:lang w:val="en-US"/>
        </w:rPr>
        <w:t xml:space="preserve">particularly </w:t>
      </w:r>
      <w:r w:rsidRPr="007D47AD">
        <w:rPr>
          <w:rFonts w:asciiTheme="minorHAnsi" w:hAnsiTheme="minorHAnsi"/>
          <w:sz w:val="20"/>
          <w:szCs w:val="20"/>
          <w:lang w:val="en-US"/>
        </w:rPr>
        <w:t xml:space="preserve">with respect to those points purportedly at odds with the rights and freedoms guaranteed in the American Convention. </w:t>
      </w:r>
    </w:p>
    <w:p w:rsidR="008D11E7" w:rsidRPr="007D47AD" w:rsidRDefault="008E063F" w:rsidP="00402E7E">
      <w:pPr>
        <w:numPr>
          <w:ilvl w:val="0"/>
          <w:numId w:val="6"/>
        </w:numPr>
        <w:spacing w:after="240" w:line="240" w:lineRule="auto"/>
        <w:ind w:left="0" w:firstLine="720"/>
        <w:jc w:val="both"/>
        <w:rPr>
          <w:rFonts w:asciiTheme="minorHAnsi" w:hAnsiTheme="minorHAnsi"/>
          <w:sz w:val="20"/>
          <w:szCs w:val="20"/>
          <w:lang w:val="en-US"/>
        </w:rPr>
      </w:pPr>
      <w:r w:rsidRPr="007D47AD">
        <w:rPr>
          <w:rFonts w:asciiTheme="minorHAnsi" w:hAnsiTheme="minorHAnsi"/>
          <w:sz w:val="20"/>
          <w:szCs w:val="20"/>
          <w:lang w:val="en-US"/>
        </w:rPr>
        <w:t xml:space="preserve">As regards the recommendation to </w:t>
      </w:r>
      <w:r w:rsidR="008047BB" w:rsidRPr="007D47AD">
        <w:rPr>
          <w:rFonts w:asciiTheme="minorHAnsi" w:hAnsiTheme="minorHAnsi"/>
          <w:b/>
          <w:color w:val="222222"/>
          <w:sz w:val="20"/>
          <w:szCs w:val="20"/>
          <w:lang w:val="en-US"/>
        </w:rPr>
        <w:t>adopt</w:t>
      </w:r>
      <w:r w:rsidRPr="007D47AD">
        <w:rPr>
          <w:rFonts w:asciiTheme="minorHAnsi" w:hAnsiTheme="minorHAnsi"/>
          <w:b/>
          <w:color w:val="222222"/>
          <w:sz w:val="20"/>
          <w:szCs w:val="20"/>
          <w:lang w:val="en-US"/>
        </w:rPr>
        <w:t xml:space="preserve"> a General </w:t>
      </w:r>
      <w:r w:rsidR="00706A5B" w:rsidRPr="007D47AD">
        <w:rPr>
          <w:rFonts w:asciiTheme="minorHAnsi" w:hAnsiTheme="minorHAnsi"/>
          <w:b/>
          <w:color w:val="222222"/>
          <w:sz w:val="20"/>
          <w:szCs w:val="20"/>
          <w:lang w:val="en-US"/>
        </w:rPr>
        <w:t>L</w:t>
      </w:r>
      <w:r w:rsidRPr="007D47AD">
        <w:rPr>
          <w:rFonts w:asciiTheme="minorHAnsi" w:hAnsiTheme="minorHAnsi"/>
          <w:b/>
          <w:color w:val="222222"/>
          <w:sz w:val="20"/>
          <w:szCs w:val="20"/>
          <w:lang w:val="en-US"/>
        </w:rPr>
        <w:t>aw on the Use of Force in keeping with international human rights standards</w:t>
      </w:r>
      <w:r w:rsidR="008047BB" w:rsidRPr="007D47AD">
        <w:rPr>
          <w:rFonts w:asciiTheme="minorHAnsi" w:hAnsiTheme="minorHAnsi"/>
          <w:color w:val="222222"/>
          <w:sz w:val="20"/>
          <w:szCs w:val="20"/>
          <w:lang w:val="en-US"/>
        </w:rPr>
        <w:t xml:space="preserve">, </w:t>
      </w:r>
      <w:r w:rsidRPr="007D47AD">
        <w:rPr>
          <w:rFonts w:asciiTheme="minorHAnsi" w:hAnsiTheme="minorHAnsi"/>
          <w:color w:val="222222"/>
          <w:sz w:val="20"/>
          <w:szCs w:val="20"/>
          <w:lang w:val="en-US"/>
        </w:rPr>
        <w:t xml:space="preserve">the State reported that after the constitutional reform process described above it adopted several provisions related to this area, including the </w:t>
      </w:r>
      <w:r w:rsidR="00706A5B" w:rsidRPr="007D47AD">
        <w:rPr>
          <w:rFonts w:asciiTheme="minorHAnsi" w:hAnsiTheme="minorHAnsi"/>
          <w:color w:val="222222"/>
          <w:sz w:val="20"/>
          <w:szCs w:val="20"/>
          <w:lang w:val="en-US"/>
        </w:rPr>
        <w:t xml:space="preserve">Federal </w:t>
      </w:r>
      <w:r w:rsidRPr="007D47AD">
        <w:rPr>
          <w:rFonts w:asciiTheme="minorHAnsi" w:hAnsiTheme="minorHAnsi"/>
          <w:color w:val="222222"/>
          <w:sz w:val="20"/>
          <w:szCs w:val="20"/>
          <w:lang w:val="en-US"/>
        </w:rPr>
        <w:t xml:space="preserve">Law on the Use of Force and the </w:t>
      </w:r>
      <w:r w:rsidR="00706A5B" w:rsidRPr="007D47AD">
        <w:rPr>
          <w:rFonts w:asciiTheme="minorHAnsi" w:hAnsiTheme="minorHAnsi"/>
          <w:color w:val="222222"/>
          <w:sz w:val="20"/>
          <w:szCs w:val="20"/>
          <w:lang w:val="en-US"/>
        </w:rPr>
        <w:t xml:space="preserve">Federal </w:t>
      </w:r>
      <w:r w:rsidRPr="007D47AD">
        <w:rPr>
          <w:rFonts w:asciiTheme="minorHAnsi" w:hAnsiTheme="minorHAnsi"/>
          <w:color w:val="222222"/>
          <w:sz w:val="20"/>
          <w:szCs w:val="20"/>
          <w:lang w:val="en-US"/>
        </w:rPr>
        <w:t>Law on the Registry of Arrests.</w:t>
      </w:r>
      <w:r w:rsidR="008D11E7" w:rsidRPr="007D47AD">
        <w:rPr>
          <w:rStyle w:val="FootnoteReference"/>
          <w:rFonts w:asciiTheme="minorHAnsi" w:hAnsiTheme="minorHAnsi"/>
          <w:sz w:val="20"/>
          <w:szCs w:val="20"/>
          <w:lang w:val="en-US"/>
        </w:rPr>
        <w:footnoteReference w:id="24"/>
      </w:r>
      <w:r w:rsidR="008D11E7" w:rsidRPr="007D47AD">
        <w:rPr>
          <w:rFonts w:asciiTheme="minorHAnsi" w:hAnsiTheme="minorHAnsi"/>
          <w:sz w:val="20"/>
          <w:szCs w:val="20"/>
          <w:lang w:val="en-US"/>
        </w:rPr>
        <w:t xml:space="preserve"> </w:t>
      </w:r>
      <w:r w:rsidRPr="007D47AD">
        <w:rPr>
          <w:rFonts w:asciiTheme="minorHAnsi" w:hAnsiTheme="minorHAnsi"/>
          <w:sz w:val="20"/>
          <w:szCs w:val="20"/>
          <w:lang w:val="en-US"/>
        </w:rPr>
        <w:t xml:space="preserve">According to the State, the Law on the Use of Force </w:t>
      </w:r>
      <w:r w:rsidRPr="007D47AD">
        <w:rPr>
          <w:rFonts w:asciiTheme="minorHAnsi" w:hAnsiTheme="minorHAnsi"/>
          <w:sz w:val="20"/>
          <w:szCs w:val="20"/>
          <w:lang w:val="en-US"/>
        </w:rPr>
        <w:lastRenderedPageBreak/>
        <w:t xml:space="preserve">supplements the Manual on the Use of Force and is a guide for </w:t>
      </w:r>
      <w:r w:rsidR="00706A5B" w:rsidRPr="007D47AD">
        <w:rPr>
          <w:rFonts w:asciiTheme="minorHAnsi" w:hAnsiTheme="minorHAnsi"/>
          <w:sz w:val="20"/>
          <w:szCs w:val="20"/>
          <w:lang w:val="en-US"/>
        </w:rPr>
        <w:t xml:space="preserve">the </w:t>
      </w:r>
      <w:r w:rsidRPr="007D47AD">
        <w:rPr>
          <w:rFonts w:asciiTheme="minorHAnsi" w:hAnsiTheme="minorHAnsi"/>
          <w:sz w:val="20"/>
          <w:szCs w:val="20"/>
          <w:lang w:val="en-US"/>
        </w:rPr>
        <w:t xml:space="preserve">action of armed forces personnel </w:t>
      </w:r>
      <w:r w:rsidR="00706A5B" w:rsidRPr="007D47AD">
        <w:rPr>
          <w:rFonts w:asciiTheme="minorHAnsi" w:hAnsiTheme="minorHAnsi"/>
          <w:sz w:val="20"/>
          <w:szCs w:val="20"/>
          <w:lang w:val="en-US"/>
        </w:rPr>
        <w:t xml:space="preserve">for </w:t>
      </w:r>
      <w:r w:rsidRPr="007D47AD">
        <w:rPr>
          <w:rFonts w:asciiTheme="minorHAnsi" w:hAnsiTheme="minorHAnsi"/>
          <w:sz w:val="20"/>
          <w:szCs w:val="20"/>
          <w:lang w:val="en-US"/>
        </w:rPr>
        <w:t>respect</w:t>
      </w:r>
      <w:r w:rsidR="00706A5B" w:rsidRPr="007D47AD">
        <w:rPr>
          <w:rFonts w:asciiTheme="minorHAnsi" w:hAnsiTheme="minorHAnsi"/>
          <w:sz w:val="20"/>
          <w:szCs w:val="20"/>
          <w:lang w:val="en-US"/>
        </w:rPr>
        <w:t>ing</w:t>
      </w:r>
      <w:r w:rsidRPr="007D47AD">
        <w:rPr>
          <w:rFonts w:asciiTheme="minorHAnsi" w:hAnsiTheme="minorHAnsi"/>
          <w:sz w:val="20"/>
          <w:szCs w:val="20"/>
          <w:lang w:val="en-US"/>
        </w:rPr>
        <w:t xml:space="preserve"> human rights in the performance of their functions. The State indicated that said law includes a training component in keeping with human rights standards.</w:t>
      </w:r>
      <w:r w:rsidR="008D11E7" w:rsidRPr="007D47AD">
        <w:rPr>
          <w:rStyle w:val="FootnoteReference"/>
          <w:rFonts w:asciiTheme="minorHAnsi" w:hAnsiTheme="minorHAnsi"/>
          <w:sz w:val="20"/>
          <w:szCs w:val="20"/>
          <w:lang w:val="en-US"/>
        </w:rPr>
        <w:footnoteReference w:id="25"/>
      </w:r>
      <w:r w:rsidR="008D11E7" w:rsidRPr="007D47AD">
        <w:rPr>
          <w:rFonts w:asciiTheme="minorHAnsi" w:hAnsiTheme="minorHAnsi"/>
          <w:sz w:val="20"/>
          <w:szCs w:val="20"/>
          <w:lang w:val="en-US"/>
        </w:rPr>
        <w:t xml:space="preserve"> </w:t>
      </w:r>
      <w:r w:rsidR="00402E7E" w:rsidRPr="007D47AD">
        <w:rPr>
          <w:rFonts w:asciiTheme="minorHAnsi" w:hAnsiTheme="minorHAnsi"/>
          <w:sz w:val="20"/>
          <w:szCs w:val="20"/>
          <w:lang w:val="en-US"/>
        </w:rPr>
        <w:t>In addition, in its observations on the draft of this report it noted that 22 high-level commanders of the Ministry of National Defense were trained, and that because of the trainings given to police personnel through the Ministry of Security and Citizen Protection</w:t>
      </w:r>
      <w:r w:rsidR="002F4063" w:rsidRPr="007D47AD">
        <w:rPr>
          <w:rFonts w:asciiTheme="minorHAnsi" w:hAnsiTheme="minorHAnsi"/>
          <w:sz w:val="20"/>
          <w:szCs w:val="20"/>
          <w:lang w:val="en-US"/>
        </w:rPr>
        <w:t xml:space="preserve">, </w:t>
      </w:r>
      <w:r w:rsidR="00402E7E" w:rsidRPr="007D47AD">
        <w:rPr>
          <w:rFonts w:asciiTheme="minorHAnsi" w:hAnsiTheme="minorHAnsi"/>
          <w:sz w:val="20"/>
          <w:szCs w:val="20"/>
          <w:lang w:val="en-US"/>
        </w:rPr>
        <w:t xml:space="preserve">complaints of alleged human rights violations fell in </w:t>
      </w:r>
      <w:r w:rsidR="002F4063" w:rsidRPr="007D47AD">
        <w:rPr>
          <w:rFonts w:asciiTheme="minorHAnsi" w:hAnsiTheme="minorHAnsi"/>
          <w:sz w:val="20"/>
          <w:szCs w:val="20"/>
          <w:lang w:val="en-US"/>
        </w:rPr>
        <w:t xml:space="preserve">2018 </w:t>
      </w:r>
      <w:r w:rsidR="00402E7E" w:rsidRPr="007D47AD">
        <w:rPr>
          <w:rFonts w:asciiTheme="minorHAnsi" w:hAnsiTheme="minorHAnsi"/>
          <w:sz w:val="20"/>
          <w:szCs w:val="20"/>
          <w:lang w:val="en-US"/>
        </w:rPr>
        <w:t>to</w:t>
      </w:r>
      <w:r w:rsidR="002F4063" w:rsidRPr="007D47AD">
        <w:rPr>
          <w:rFonts w:asciiTheme="minorHAnsi" w:hAnsiTheme="minorHAnsi"/>
          <w:sz w:val="20"/>
          <w:szCs w:val="20"/>
          <w:lang w:val="en-US"/>
        </w:rPr>
        <w:t xml:space="preserve"> 466, </w:t>
      </w:r>
      <w:r w:rsidR="00402E7E" w:rsidRPr="007D47AD">
        <w:rPr>
          <w:rFonts w:asciiTheme="minorHAnsi" w:hAnsiTheme="minorHAnsi"/>
          <w:sz w:val="20"/>
          <w:szCs w:val="20"/>
          <w:lang w:val="en-US"/>
        </w:rPr>
        <w:t xml:space="preserve">compared to </w:t>
      </w:r>
      <w:r w:rsidR="002F4063" w:rsidRPr="007D47AD">
        <w:rPr>
          <w:rFonts w:asciiTheme="minorHAnsi" w:hAnsiTheme="minorHAnsi"/>
          <w:sz w:val="20"/>
          <w:szCs w:val="20"/>
          <w:lang w:val="en-US"/>
        </w:rPr>
        <w:t xml:space="preserve">808 </w:t>
      </w:r>
      <w:r w:rsidR="00402E7E" w:rsidRPr="007D47AD">
        <w:rPr>
          <w:rFonts w:asciiTheme="minorHAnsi" w:hAnsiTheme="minorHAnsi"/>
          <w:sz w:val="20"/>
          <w:szCs w:val="20"/>
          <w:lang w:val="en-US"/>
        </w:rPr>
        <w:t xml:space="preserve">complaints in </w:t>
      </w:r>
      <w:r w:rsidR="002F4063" w:rsidRPr="007D47AD">
        <w:rPr>
          <w:rFonts w:asciiTheme="minorHAnsi" w:hAnsiTheme="minorHAnsi"/>
          <w:sz w:val="20"/>
          <w:szCs w:val="20"/>
          <w:lang w:val="en-US"/>
        </w:rPr>
        <w:t>201</w:t>
      </w:r>
      <w:r w:rsidR="00764A6E" w:rsidRPr="007D47AD">
        <w:rPr>
          <w:rFonts w:asciiTheme="minorHAnsi" w:hAnsiTheme="minorHAnsi"/>
          <w:sz w:val="20"/>
          <w:szCs w:val="20"/>
          <w:lang w:val="en-US"/>
        </w:rPr>
        <w:t>7</w:t>
      </w:r>
      <w:r w:rsidR="002F4063" w:rsidRPr="007D47AD">
        <w:rPr>
          <w:rFonts w:asciiTheme="minorHAnsi" w:hAnsiTheme="minorHAnsi"/>
          <w:sz w:val="20"/>
          <w:szCs w:val="20"/>
          <w:lang w:val="en-US"/>
        </w:rPr>
        <w:t xml:space="preserve">. </w:t>
      </w:r>
      <w:r w:rsidR="00402E7E" w:rsidRPr="007D47AD">
        <w:rPr>
          <w:rFonts w:asciiTheme="minorHAnsi" w:hAnsiTheme="minorHAnsi"/>
          <w:sz w:val="20"/>
          <w:szCs w:val="20"/>
          <w:lang w:val="en-US"/>
        </w:rPr>
        <w:t xml:space="preserve">The State did not present figures for </w:t>
      </w:r>
      <w:r w:rsidR="002F4063" w:rsidRPr="007D47AD">
        <w:rPr>
          <w:rFonts w:asciiTheme="minorHAnsi" w:hAnsiTheme="minorHAnsi"/>
          <w:sz w:val="20"/>
          <w:szCs w:val="20"/>
          <w:lang w:val="en-US"/>
        </w:rPr>
        <w:t>2019</w:t>
      </w:r>
      <w:r w:rsidR="00402E7E" w:rsidRPr="007D47AD">
        <w:rPr>
          <w:rFonts w:asciiTheme="minorHAnsi" w:hAnsiTheme="minorHAnsi"/>
          <w:sz w:val="20"/>
          <w:szCs w:val="20"/>
          <w:lang w:val="en-US"/>
        </w:rPr>
        <w:t>.</w:t>
      </w:r>
      <w:r w:rsidR="002F4063" w:rsidRPr="007D47AD">
        <w:rPr>
          <w:rStyle w:val="FootnoteReference"/>
          <w:rFonts w:asciiTheme="minorHAnsi" w:hAnsiTheme="minorHAnsi"/>
          <w:sz w:val="20"/>
          <w:szCs w:val="20"/>
          <w:lang w:val="en-US"/>
        </w:rPr>
        <w:footnoteReference w:id="26"/>
      </w:r>
    </w:p>
    <w:p w:rsidR="008047BB" w:rsidRPr="007D47AD" w:rsidRDefault="008E063F" w:rsidP="008047BB">
      <w:pPr>
        <w:numPr>
          <w:ilvl w:val="0"/>
          <w:numId w:val="6"/>
        </w:numPr>
        <w:spacing w:after="240" w:line="240" w:lineRule="auto"/>
        <w:ind w:left="0" w:firstLine="720"/>
        <w:jc w:val="both"/>
        <w:rPr>
          <w:rFonts w:asciiTheme="minorHAnsi" w:hAnsiTheme="minorHAnsi"/>
          <w:sz w:val="20"/>
          <w:szCs w:val="20"/>
          <w:lang w:val="en-US"/>
        </w:rPr>
      </w:pPr>
      <w:r w:rsidRPr="007D47AD">
        <w:rPr>
          <w:rFonts w:asciiTheme="minorHAnsi" w:hAnsiTheme="minorHAnsi"/>
          <w:sz w:val="20"/>
          <w:szCs w:val="20"/>
          <w:lang w:val="en-US"/>
        </w:rPr>
        <w:t xml:space="preserve">In July 2019 the National Commission on Human Rights </w:t>
      </w:r>
      <w:r w:rsidR="008047BB" w:rsidRPr="007D47AD">
        <w:rPr>
          <w:rFonts w:asciiTheme="minorHAnsi" w:hAnsiTheme="minorHAnsi"/>
          <w:sz w:val="20"/>
          <w:szCs w:val="20"/>
          <w:lang w:val="en-US"/>
        </w:rPr>
        <w:t>(</w:t>
      </w:r>
      <w:r w:rsidRPr="007D47AD">
        <w:rPr>
          <w:rFonts w:asciiTheme="minorHAnsi" w:hAnsiTheme="minorHAnsi"/>
          <w:sz w:val="20"/>
          <w:szCs w:val="20"/>
          <w:lang w:val="en-US"/>
        </w:rPr>
        <w:t xml:space="preserve">hereinafter </w:t>
      </w:r>
      <w:r w:rsidR="008047BB" w:rsidRPr="007D47AD">
        <w:rPr>
          <w:rFonts w:asciiTheme="minorHAnsi" w:hAnsiTheme="minorHAnsi"/>
          <w:sz w:val="20"/>
          <w:szCs w:val="20"/>
          <w:lang w:val="en-US"/>
        </w:rPr>
        <w:t>“CNDH”</w:t>
      </w:r>
      <w:r w:rsidRPr="007D47AD">
        <w:rPr>
          <w:rFonts w:asciiTheme="minorHAnsi" w:hAnsiTheme="minorHAnsi"/>
          <w:sz w:val="20"/>
          <w:szCs w:val="20"/>
          <w:lang w:val="en-US"/>
        </w:rPr>
        <w:t>: Comisión Nacional de Derechos Humanos</w:t>
      </w:r>
      <w:r w:rsidR="008047BB" w:rsidRPr="007D47AD">
        <w:rPr>
          <w:rFonts w:asciiTheme="minorHAnsi" w:hAnsiTheme="minorHAnsi"/>
          <w:sz w:val="20"/>
          <w:szCs w:val="20"/>
          <w:lang w:val="en-US"/>
        </w:rPr>
        <w:t xml:space="preserve">) </w:t>
      </w:r>
      <w:r w:rsidRPr="007D47AD">
        <w:rPr>
          <w:rFonts w:asciiTheme="minorHAnsi" w:hAnsiTheme="minorHAnsi"/>
          <w:sz w:val="20"/>
          <w:szCs w:val="20"/>
          <w:lang w:val="en-US"/>
        </w:rPr>
        <w:t>brought four constitutional challenges before the Supreme Court with respect to some clauses of the laws stem</w:t>
      </w:r>
      <w:r w:rsidR="00706A5B" w:rsidRPr="007D47AD">
        <w:rPr>
          <w:rFonts w:asciiTheme="minorHAnsi" w:hAnsiTheme="minorHAnsi"/>
          <w:sz w:val="20"/>
          <w:szCs w:val="20"/>
          <w:lang w:val="en-US"/>
        </w:rPr>
        <w:t>m</w:t>
      </w:r>
      <w:r w:rsidRPr="007D47AD">
        <w:rPr>
          <w:rFonts w:asciiTheme="minorHAnsi" w:hAnsiTheme="minorHAnsi"/>
          <w:sz w:val="20"/>
          <w:szCs w:val="20"/>
          <w:lang w:val="en-US"/>
        </w:rPr>
        <w:t>ing from the constitutional reforms already described: on the National Guard, on the use of force, on the Registry of Arrests, and on the National System of Public Security</w:t>
      </w:r>
      <w:r w:rsidR="008047BB" w:rsidRPr="007D47AD">
        <w:rPr>
          <w:rFonts w:asciiTheme="minorHAnsi" w:hAnsiTheme="minorHAnsi"/>
          <w:sz w:val="20"/>
          <w:szCs w:val="20"/>
          <w:lang w:val="en-US"/>
        </w:rPr>
        <w:t xml:space="preserve">. </w:t>
      </w:r>
      <w:r w:rsidRPr="007D47AD">
        <w:rPr>
          <w:rFonts w:asciiTheme="minorHAnsi" w:hAnsiTheme="minorHAnsi"/>
          <w:sz w:val="20"/>
          <w:szCs w:val="20"/>
          <w:lang w:val="en-US"/>
        </w:rPr>
        <w:t xml:space="preserve">In summary, the </w:t>
      </w:r>
      <w:r w:rsidR="008047BB" w:rsidRPr="007D47AD">
        <w:rPr>
          <w:rFonts w:asciiTheme="minorHAnsi" w:hAnsiTheme="minorHAnsi"/>
          <w:sz w:val="20"/>
          <w:szCs w:val="20"/>
          <w:lang w:val="en-US"/>
        </w:rPr>
        <w:t xml:space="preserve">CNDH </w:t>
      </w:r>
      <w:r w:rsidRPr="007D47AD">
        <w:rPr>
          <w:rFonts w:asciiTheme="minorHAnsi" w:hAnsiTheme="minorHAnsi"/>
          <w:sz w:val="20"/>
          <w:szCs w:val="20"/>
          <w:lang w:val="en-US"/>
        </w:rPr>
        <w:t xml:space="preserve">challenged the authority to </w:t>
      </w:r>
      <w:r w:rsidR="00DD0808" w:rsidRPr="007D47AD">
        <w:rPr>
          <w:rFonts w:asciiTheme="minorHAnsi" w:hAnsiTheme="minorHAnsi"/>
          <w:sz w:val="20"/>
          <w:szCs w:val="20"/>
          <w:lang w:val="en-US"/>
        </w:rPr>
        <w:t xml:space="preserve">stop or otherwise engage with citizens </w:t>
      </w:r>
      <w:r w:rsidR="008047BB" w:rsidRPr="007D47AD">
        <w:rPr>
          <w:rFonts w:asciiTheme="minorHAnsi" w:hAnsiTheme="minorHAnsi"/>
          <w:sz w:val="20"/>
          <w:szCs w:val="20"/>
          <w:lang w:val="en-US"/>
        </w:rPr>
        <w:t>(</w:t>
      </w:r>
      <w:r w:rsidRPr="007D47AD">
        <w:rPr>
          <w:rFonts w:asciiTheme="minorHAnsi" w:hAnsiTheme="minorHAnsi"/>
          <w:sz w:val="20"/>
          <w:szCs w:val="20"/>
          <w:lang w:val="en-US"/>
        </w:rPr>
        <w:t xml:space="preserve">arrest, </w:t>
      </w:r>
      <w:r w:rsidR="00D9695E" w:rsidRPr="007D47AD">
        <w:rPr>
          <w:rFonts w:asciiTheme="minorHAnsi" w:hAnsiTheme="minorHAnsi"/>
          <w:sz w:val="20"/>
          <w:szCs w:val="20"/>
          <w:lang w:val="en-US"/>
        </w:rPr>
        <w:t>a</w:t>
      </w:r>
      <w:r w:rsidRPr="007D47AD">
        <w:rPr>
          <w:rFonts w:asciiTheme="minorHAnsi" w:hAnsiTheme="minorHAnsi"/>
          <w:sz w:val="20"/>
          <w:szCs w:val="20"/>
          <w:lang w:val="en-US"/>
        </w:rPr>
        <w:t>sking them for information, intervening in private communications, and locating their geographic position in real time, among others</w:t>
      </w:r>
      <w:r w:rsidR="008047BB" w:rsidRPr="007D47AD">
        <w:rPr>
          <w:rFonts w:asciiTheme="minorHAnsi" w:hAnsiTheme="minorHAnsi"/>
          <w:sz w:val="20"/>
          <w:szCs w:val="20"/>
          <w:lang w:val="en-US"/>
        </w:rPr>
        <w:t xml:space="preserve">), </w:t>
      </w:r>
      <w:r w:rsidR="00121917" w:rsidRPr="007D47AD">
        <w:rPr>
          <w:rFonts w:asciiTheme="minorHAnsi" w:hAnsiTheme="minorHAnsi"/>
          <w:sz w:val="20"/>
          <w:szCs w:val="20"/>
          <w:lang w:val="en-US"/>
        </w:rPr>
        <w:t xml:space="preserve">inspection of foreign citizens </w:t>
      </w:r>
      <w:r w:rsidR="008047BB" w:rsidRPr="007D47AD">
        <w:rPr>
          <w:rFonts w:asciiTheme="minorHAnsi" w:hAnsiTheme="minorHAnsi"/>
          <w:sz w:val="20"/>
          <w:szCs w:val="20"/>
          <w:lang w:val="en-US"/>
        </w:rPr>
        <w:t>(</w:t>
      </w:r>
      <w:r w:rsidR="00121917" w:rsidRPr="007D47AD">
        <w:rPr>
          <w:rFonts w:asciiTheme="minorHAnsi" w:hAnsiTheme="minorHAnsi"/>
          <w:sz w:val="20"/>
          <w:szCs w:val="20"/>
          <w:lang w:val="en-US"/>
        </w:rPr>
        <w:t>entry and exit from the country, and verifications with respect to residents</w:t>
      </w:r>
      <w:r w:rsidR="008047BB" w:rsidRPr="007D47AD">
        <w:rPr>
          <w:rFonts w:asciiTheme="minorHAnsi" w:hAnsiTheme="minorHAnsi"/>
          <w:sz w:val="20"/>
          <w:szCs w:val="20"/>
          <w:lang w:val="en-US"/>
        </w:rPr>
        <w:t>)</w:t>
      </w:r>
      <w:r w:rsidR="00121917" w:rsidRPr="007D47AD">
        <w:rPr>
          <w:rFonts w:asciiTheme="minorHAnsi" w:hAnsiTheme="minorHAnsi"/>
          <w:sz w:val="20"/>
          <w:szCs w:val="20"/>
          <w:lang w:val="en-US"/>
        </w:rPr>
        <w:t>, and the use of lethal weapons against those who participate in public demonstrations.</w:t>
      </w:r>
      <w:r w:rsidR="008047BB" w:rsidRPr="007D47AD">
        <w:rPr>
          <w:rStyle w:val="FootnoteReference"/>
          <w:rFonts w:asciiTheme="minorHAnsi" w:hAnsiTheme="minorHAnsi"/>
          <w:sz w:val="20"/>
          <w:szCs w:val="20"/>
          <w:lang w:val="en-US"/>
        </w:rPr>
        <w:footnoteReference w:id="27"/>
      </w:r>
    </w:p>
    <w:p w:rsidR="009F4AB7" w:rsidRPr="007D47AD" w:rsidRDefault="00121917" w:rsidP="008D11E7">
      <w:pPr>
        <w:numPr>
          <w:ilvl w:val="0"/>
          <w:numId w:val="6"/>
        </w:numPr>
        <w:spacing w:after="240" w:line="240" w:lineRule="auto"/>
        <w:ind w:left="0" w:firstLine="720"/>
        <w:jc w:val="both"/>
        <w:rPr>
          <w:rFonts w:asciiTheme="minorHAnsi" w:hAnsiTheme="minorHAnsi"/>
          <w:sz w:val="20"/>
          <w:szCs w:val="20"/>
          <w:lang w:val="en-US"/>
        </w:rPr>
      </w:pPr>
      <w:r w:rsidRPr="007D47AD">
        <w:rPr>
          <w:rFonts w:asciiTheme="minorHAnsi" w:hAnsiTheme="minorHAnsi"/>
          <w:sz w:val="20"/>
          <w:szCs w:val="20"/>
          <w:lang w:val="en-US"/>
        </w:rPr>
        <w:t xml:space="preserve">The IACHR observes that the text of said Law indicates that its aim is to regulate the use of force and lethal force by the State’s public security institutions, and by the Armed Forces when they act in public security tasks. </w:t>
      </w:r>
      <w:r w:rsidR="00255BF7" w:rsidRPr="007D47AD">
        <w:rPr>
          <w:rFonts w:asciiTheme="minorHAnsi" w:hAnsiTheme="minorHAnsi"/>
          <w:sz w:val="20"/>
          <w:szCs w:val="20"/>
          <w:lang w:val="en-US"/>
        </w:rPr>
        <w:t>According to the Law, the use of force is governed by the principles of absolute necessity, legality, prevention, proportionality, and accountability, and with full respect for human rights. it also defines what is considered to be a “lethal threat” that would authorize the use of lethal force and cause death, and it classifies the conduct that merits the use of force based on its intensity.</w:t>
      </w:r>
      <w:r w:rsidR="005974D8" w:rsidRPr="007D47AD">
        <w:rPr>
          <w:rStyle w:val="FootnoteReference"/>
          <w:rFonts w:asciiTheme="minorHAnsi" w:hAnsiTheme="minorHAnsi"/>
          <w:sz w:val="20"/>
          <w:szCs w:val="20"/>
          <w:lang w:val="en-US"/>
        </w:rPr>
        <w:footnoteReference w:id="28"/>
      </w:r>
    </w:p>
    <w:p w:rsidR="00052CC0" w:rsidRPr="007D47AD" w:rsidRDefault="00255BF7" w:rsidP="00052CC0">
      <w:pPr>
        <w:numPr>
          <w:ilvl w:val="0"/>
          <w:numId w:val="6"/>
        </w:numPr>
        <w:spacing w:after="240" w:line="240" w:lineRule="auto"/>
        <w:ind w:left="0" w:firstLine="720"/>
        <w:jc w:val="both"/>
        <w:rPr>
          <w:rFonts w:asciiTheme="minorHAnsi" w:hAnsiTheme="minorHAnsi"/>
          <w:sz w:val="20"/>
          <w:szCs w:val="20"/>
          <w:lang w:val="en-US"/>
        </w:rPr>
      </w:pPr>
      <w:r w:rsidRPr="007D47AD">
        <w:rPr>
          <w:rFonts w:asciiTheme="minorHAnsi" w:hAnsiTheme="minorHAnsi"/>
          <w:sz w:val="20"/>
          <w:szCs w:val="20"/>
          <w:lang w:val="en-US"/>
        </w:rPr>
        <w:t xml:space="preserve">In addition, at its chapters IX and X, respectively, it includes the obligation to issue detailed reports that describe the operations in which force is used, and lethal </w:t>
      </w:r>
      <w:r w:rsidR="007E181B" w:rsidRPr="007D47AD">
        <w:rPr>
          <w:rFonts w:asciiTheme="minorHAnsi" w:hAnsiTheme="minorHAnsi"/>
          <w:sz w:val="20"/>
          <w:szCs w:val="20"/>
          <w:lang w:val="en-US"/>
        </w:rPr>
        <w:t>weapons</w:t>
      </w:r>
      <w:r w:rsidRPr="007D47AD">
        <w:rPr>
          <w:rFonts w:asciiTheme="minorHAnsi" w:hAnsiTheme="minorHAnsi"/>
          <w:sz w:val="20"/>
          <w:szCs w:val="20"/>
          <w:lang w:val="en-US"/>
        </w:rPr>
        <w:t xml:space="preserve">, as the case may be, and the institutionalization of training and professionalization relating to the use of force (weapons, methods, and techniques), human rights, non-discrimination, gender perspective, and police ethics and </w:t>
      </w:r>
      <w:r w:rsidR="007E181B" w:rsidRPr="007D47AD">
        <w:rPr>
          <w:rFonts w:asciiTheme="minorHAnsi" w:hAnsiTheme="minorHAnsi"/>
          <w:sz w:val="20"/>
          <w:szCs w:val="20"/>
          <w:lang w:val="en-US"/>
        </w:rPr>
        <w:t>doctrine</w:t>
      </w:r>
      <w:r w:rsidRPr="007D47AD">
        <w:rPr>
          <w:rFonts w:asciiTheme="minorHAnsi" w:hAnsiTheme="minorHAnsi"/>
          <w:sz w:val="20"/>
          <w:szCs w:val="20"/>
          <w:lang w:val="en-US"/>
        </w:rPr>
        <w:t>, among other aspects.</w:t>
      </w:r>
      <w:r w:rsidR="00052CC0" w:rsidRPr="007D47AD">
        <w:rPr>
          <w:rStyle w:val="FootnoteReference"/>
          <w:rFonts w:asciiTheme="minorHAnsi" w:hAnsiTheme="minorHAnsi"/>
          <w:sz w:val="20"/>
          <w:szCs w:val="20"/>
          <w:lang w:val="en-US"/>
        </w:rPr>
        <w:footnoteReference w:id="29"/>
      </w:r>
      <w:r w:rsidR="00052CC0" w:rsidRPr="007D47AD">
        <w:rPr>
          <w:rFonts w:asciiTheme="minorHAnsi" w:hAnsiTheme="minorHAnsi"/>
          <w:sz w:val="20"/>
          <w:szCs w:val="20"/>
          <w:lang w:val="en-US"/>
        </w:rPr>
        <w:t xml:space="preserve"> </w:t>
      </w:r>
      <w:r w:rsidRPr="007D47AD">
        <w:rPr>
          <w:rFonts w:asciiTheme="minorHAnsi" w:hAnsiTheme="minorHAnsi"/>
          <w:sz w:val="20"/>
          <w:szCs w:val="20"/>
          <w:lang w:val="en-US"/>
        </w:rPr>
        <w:t xml:space="preserve"> </w:t>
      </w:r>
    </w:p>
    <w:p w:rsidR="00BA4391" w:rsidRPr="007D47AD" w:rsidRDefault="00522FA3" w:rsidP="00B81DCA">
      <w:pPr>
        <w:numPr>
          <w:ilvl w:val="0"/>
          <w:numId w:val="6"/>
        </w:numPr>
        <w:spacing w:after="240" w:line="240" w:lineRule="auto"/>
        <w:ind w:left="0" w:firstLine="720"/>
        <w:jc w:val="both"/>
        <w:rPr>
          <w:rFonts w:asciiTheme="minorHAnsi" w:hAnsiTheme="minorHAnsi"/>
          <w:sz w:val="20"/>
          <w:szCs w:val="20"/>
          <w:lang w:val="en-US"/>
        </w:rPr>
      </w:pPr>
      <w:r w:rsidRPr="007D47AD">
        <w:rPr>
          <w:rFonts w:asciiTheme="minorHAnsi" w:hAnsiTheme="minorHAnsi"/>
          <w:sz w:val="20"/>
          <w:szCs w:val="20"/>
          <w:lang w:val="en-US"/>
        </w:rPr>
        <w:t xml:space="preserve">The </w:t>
      </w:r>
      <w:r w:rsidR="00BA4391" w:rsidRPr="007D47AD">
        <w:rPr>
          <w:rFonts w:asciiTheme="minorHAnsi" w:hAnsiTheme="minorHAnsi"/>
          <w:sz w:val="20"/>
          <w:szCs w:val="20"/>
          <w:lang w:val="en-US"/>
        </w:rPr>
        <w:t xml:space="preserve">CMDPDH </w:t>
      </w:r>
      <w:r w:rsidR="00D9695E" w:rsidRPr="007D47AD">
        <w:rPr>
          <w:rFonts w:asciiTheme="minorHAnsi" w:hAnsiTheme="minorHAnsi"/>
          <w:sz w:val="20"/>
          <w:szCs w:val="20"/>
          <w:lang w:val="en-US"/>
        </w:rPr>
        <w:t xml:space="preserve">warned </w:t>
      </w:r>
      <w:r w:rsidRPr="007D47AD">
        <w:rPr>
          <w:rFonts w:asciiTheme="minorHAnsi" w:hAnsiTheme="minorHAnsi"/>
          <w:sz w:val="20"/>
          <w:szCs w:val="20"/>
          <w:lang w:val="en-US"/>
        </w:rPr>
        <w:t xml:space="preserve">that the Law on the Use of Force authorizes the Armed Forces to carry out public security tasks without the requirements of exceptionality set out at Article </w:t>
      </w:r>
      <w:r w:rsidR="00B81DCA" w:rsidRPr="007D47AD">
        <w:rPr>
          <w:rFonts w:asciiTheme="minorHAnsi" w:hAnsiTheme="minorHAnsi"/>
          <w:sz w:val="20"/>
          <w:szCs w:val="20"/>
          <w:lang w:val="en-US"/>
        </w:rPr>
        <w:t xml:space="preserve">27 </w:t>
      </w:r>
      <w:r w:rsidRPr="007D47AD">
        <w:rPr>
          <w:rFonts w:asciiTheme="minorHAnsi" w:hAnsiTheme="minorHAnsi"/>
          <w:sz w:val="20"/>
          <w:szCs w:val="20"/>
          <w:lang w:val="en-US"/>
        </w:rPr>
        <w:t xml:space="preserve">of the </w:t>
      </w:r>
      <w:r w:rsidR="00B81DCA" w:rsidRPr="007D47AD">
        <w:rPr>
          <w:rFonts w:asciiTheme="minorHAnsi" w:hAnsiTheme="minorHAnsi"/>
          <w:sz w:val="20"/>
          <w:szCs w:val="20"/>
          <w:lang w:val="en-US"/>
        </w:rPr>
        <w:t>American</w:t>
      </w:r>
      <w:r w:rsidRPr="007D47AD">
        <w:rPr>
          <w:rFonts w:asciiTheme="minorHAnsi" w:hAnsiTheme="minorHAnsi"/>
          <w:sz w:val="20"/>
          <w:szCs w:val="20"/>
          <w:lang w:val="en-US"/>
        </w:rPr>
        <w:t xml:space="preserve"> Convention. It allows for the use of firearms without considering proper certification of the armed agents; it is </w:t>
      </w:r>
      <w:r w:rsidR="00B81DCA" w:rsidRPr="007D47AD">
        <w:rPr>
          <w:rFonts w:asciiTheme="minorHAnsi" w:hAnsiTheme="minorHAnsi"/>
          <w:sz w:val="20"/>
          <w:szCs w:val="20"/>
          <w:lang w:val="en-US"/>
        </w:rPr>
        <w:t>lax</w:t>
      </w:r>
      <w:r w:rsidRPr="007D47AD">
        <w:rPr>
          <w:rFonts w:asciiTheme="minorHAnsi" w:hAnsiTheme="minorHAnsi"/>
          <w:sz w:val="20"/>
          <w:szCs w:val="20"/>
          <w:lang w:val="en-US"/>
        </w:rPr>
        <w:t xml:space="preserve"> in the way in which it considers the firearms permitted in peacetime and for public security tasks, among other circumstances. It is of the view that the Law also inhibits the right to demonstrate and to associate peacefully and it authorizes the use of force when, in the view of the authorities, the demonstration or public assembly turns violent.</w:t>
      </w:r>
      <w:r w:rsidR="00BA4391" w:rsidRPr="007D47AD">
        <w:rPr>
          <w:rStyle w:val="FootnoteReference"/>
          <w:rFonts w:asciiTheme="minorHAnsi" w:hAnsiTheme="minorHAnsi"/>
          <w:sz w:val="20"/>
          <w:szCs w:val="20"/>
          <w:lang w:val="en-US"/>
        </w:rPr>
        <w:footnoteReference w:id="30"/>
      </w:r>
      <w:r w:rsidR="00B81DCA" w:rsidRPr="007D47AD">
        <w:rPr>
          <w:rFonts w:asciiTheme="minorHAnsi" w:hAnsiTheme="minorHAnsi"/>
          <w:sz w:val="20"/>
          <w:szCs w:val="20"/>
          <w:lang w:val="en-US"/>
        </w:rPr>
        <w:t xml:space="preserve"> </w:t>
      </w:r>
    </w:p>
    <w:p w:rsidR="00E1589F" w:rsidRPr="007D47AD" w:rsidRDefault="00522FA3" w:rsidP="00B81DCA">
      <w:pPr>
        <w:numPr>
          <w:ilvl w:val="0"/>
          <w:numId w:val="6"/>
        </w:numPr>
        <w:spacing w:after="240" w:line="240" w:lineRule="auto"/>
        <w:ind w:left="0" w:firstLine="720"/>
        <w:jc w:val="both"/>
        <w:rPr>
          <w:rFonts w:asciiTheme="minorHAnsi" w:hAnsiTheme="minorHAnsi"/>
          <w:sz w:val="20"/>
          <w:szCs w:val="20"/>
          <w:lang w:val="en-US"/>
        </w:rPr>
      </w:pPr>
      <w:r w:rsidRPr="007D47AD">
        <w:rPr>
          <w:rFonts w:asciiTheme="minorHAnsi" w:hAnsiTheme="minorHAnsi"/>
          <w:sz w:val="20"/>
          <w:szCs w:val="20"/>
          <w:lang w:val="en-US"/>
        </w:rPr>
        <w:t xml:space="preserve">Based on the foregoing, and given that the State has already adopted a General Law </w:t>
      </w:r>
      <w:r w:rsidR="00E1589F" w:rsidRPr="007D47AD">
        <w:rPr>
          <w:rFonts w:asciiTheme="minorHAnsi" w:hAnsiTheme="minorHAnsi"/>
          <w:sz w:val="20"/>
          <w:szCs w:val="20"/>
          <w:lang w:val="en-US"/>
        </w:rPr>
        <w:t xml:space="preserve">on </w:t>
      </w:r>
      <w:r w:rsidRPr="007D47AD">
        <w:rPr>
          <w:rFonts w:asciiTheme="minorHAnsi" w:hAnsiTheme="minorHAnsi"/>
          <w:sz w:val="20"/>
          <w:szCs w:val="20"/>
          <w:lang w:val="en-US"/>
        </w:rPr>
        <w:t xml:space="preserve">the Use of Force, the IACHR considers that that part of the recommendation has </w:t>
      </w:r>
      <w:r w:rsidR="00D9695E" w:rsidRPr="007D47AD">
        <w:rPr>
          <w:rFonts w:asciiTheme="minorHAnsi" w:hAnsiTheme="minorHAnsi"/>
          <w:sz w:val="20"/>
          <w:szCs w:val="20"/>
          <w:lang w:val="en-US"/>
        </w:rPr>
        <w:t xml:space="preserve">met </w:t>
      </w:r>
      <w:r w:rsidRPr="007D47AD">
        <w:rPr>
          <w:rFonts w:asciiTheme="minorHAnsi" w:hAnsiTheme="minorHAnsi"/>
          <w:sz w:val="20"/>
          <w:szCs w:val="20"/>
          <w:lang w:val="en-US"/>
        </w:rPr>
        <w:t xml:space="preserve">with partial substantial </w:t>
      </w:r>
      <w:r w:rsidRPr="007D47AD">
        <w:rPr>
          <w:rFonts w:asciiTheme="minorHAnsi" w:hAnsiTheme="minorHAnsi"/>
          <w:sz w:val="20"/>
          <w:szCs w:val="20"/>
          <w:lang w:val="en-US"/>
        </w:rPr>
        <w:lastRenderedPageBreak/>
        <w:t xml:space="preserve">compliance, while the constitutional challenges brought by the CNDH are resolved and the Law begins to be effectively implemented. </w:t>
      </w:r>
    </w:p>
    <w:p w:rsidR="00BA5344" w:rsidRPr="007D47AD" w:rsidRDefault="006C229A" w:rsidP="00F73B19">
      <w:pPr>
        <w:numPr>
          <w:ilvl w:val="0"/>
          <w:numId w:val="6"/>
        </w:numPr>
        <w:shd w:val="clear" w:color="auto" w:fill="FFFFFF"/>
        <w:spacing w:after="240" w:line="240" w:lineRule="auto"/>
        <w:ind w:left="0" w:firstLine="720"/>
        <w:jc w:val="both"/>
        <w:rPr>
          <w:rFonts w:asciiTheme="minorHAnsi" w:hAnsiTheme="minorHAnsi"/>
          <w:sz w:val="20"/>
          <w:szCs w:val="20"/>
          <w:lang w:val="en-US"/>
        </w:rPr>
      </w:pPr>
      <w:r w:rsidRPr="007D47AD">
        <w:rPr>
          <w:rFonts w:asciiTheme="minorHAnsi" w:hAnsiTheme="minorHAnsi"/>
          <w:sz w:val="20"/>
          <w:szCs w:val="20"/>
          <w:lang w:val="en-US"/>
        </w:rPr>
        <w:t xml:space="preserve">As regards the recommendation </w:t>
      </w:r>
      <w:r w:rsidR="006E0753" w:rsidRPr="007D47AD">
        <w:rPr>
          <w:rFonts w:asciiTheme="minorHAnsi" w:hAnsiTheme="minorHAnsi"/>
          <w:sz w:val="20"/>
          <w:szCs w:val="20"/>
          <w:lang w:val="en-US"/>
        </w:rPr>
        <w:t xml:space="preserve">to </w:t>
      </w:r>
      <w:r w:rsidR="006E0753" w:rsidRPr="007D47AD">
        <w:rPr>
          <w:rFonts w:asciiTheme="minorHAnsi" w:hAnsiTheme="minorHAnsi"/>
          <w:b/>
          <w:sz w:val="20"/>
          <w:szCs w:val="20"/>
          <w:lang w:val="en-US"/>
        </w:rPr>
        <w:t>adopt and implement accountability measures by an agency that is independent of all security forces, in relation to their operations and pubic security tasks whenever there is loss of life,</w:t>
      </w:r>
      <w:r w:rsidR="00F73B19" w:rsidRPr="007D47AD">
        <w:rPr>
          <w:rFonts w:asciiTheme="minorHAnsi" w:hAnsiTheme="minorHAnsi"/>
          <w:sz w:val="20"/>
          <w:szCs w:val="20"/>
          <w:lang w:val="en-US"/>
        </w:rPr>
        <w:t xml:space="preserve"> </w:t>
      </w:r>
      <w:r w:rsidRPr="007D47AD">
        <w:rPr>
          <w:rFonts w:asciiTheme="minorHAnsi" w:hAnsiTheme="minorHAnsi"/>
          <w:sz w:val="20"/>
          <w:szCs w:val="20"/>
          <w:lang w:val="en-US"/>
        </w:rPr>
        <w:t xml:space="preserve">the IACHR observes that the </w:t>
      </w:r>
      <w:r w:rsidR="00B613B2" w:rsidRPr="007D47AD">
        <w:rPr>
          <w:rFonts w:asciiTheme="minorHAnsi" w:hAnsiTheme="minorHAnsi"/>
          <w:sz w:val="20"/>
          <w:szCs w:val="20"/>
          <w:lang w:val="en-US"/>
        </w:rPr>
        <w:t xml:space="preserve">Federal </w:t>
      </w:r>
      <w:r w:rsidRPr="007D47AD">
        <w:rPr>
          <w:rFonts w:asciiTheme="minorHAnsi" w:hAnsiTheme="minorHAnsi"/>
          <w:sz w:val="20"/>
          <w:szCs w:val="20"/>
          <w:lang w:val="en-US"/>
        </w:rPr>
        <w:t>Law on the Use of Force spells out the obligation of security agents to produce reports on situations in which force was used, as already outlined in this Report. Such detailed reports should provide the data on th</w:t>
      </w:r>
      <w:r w:rsidR="00D9695E" w:rsidRPr="007D47AD">
        <w:rPr>
          <w:rFonts w:asciiTheme="minorHAnsi" w:hAnsiTheme="minorHAnsi"/>
          <w:sz w:val="20"/>
          <w:szCs w:val="20"/>
          <w:lang w:val="en-US"/>
        </w:rPr>
        <w:t>e</w:t>
      </w:r>
      <w:r w:rsidRPr="007D47AD">
        <w:rPr>
          <w:rFonts w:asciiTheme="minorHAnsi" w:hAnsiTheme="minorHAnsi"/>
          <w:sz w:val="20"/>
          <w:szCs w:val="20"/>
          <w:lang w:val="en-US"/>
        </w:rPr>
        <w:t xml:space="preserve"> agent who used force, the level of force used, and the facts that led to the deployment of force being analyzed, including data on the lethal weapons use</w:t>
      </w:r>
      <w:r w:rsidR="00D9695E" w:rsidRPr="007D47AD">
        <w:rPr>
          <w:rFonts w:asciiTheme="minorHAnsi" w:hAnsiTheme="minorHAnsi"/>
          <w:sz w:val="20"/>
          <w:szCs w:val="20"/>
          <w:lang w:val="en-US"/>
        </w:rPr>
        <w:t>d</w:t>
      </w:r>
      <w:r w:rsidRPr="007D47AD">
        <w:rPr>
          <w:rFonts w:asciiTheme="minorHAnsi" w:hAnsiTheme="minorHAnsi"/>
          <w:sz w:val="20"/>
          <w:szCs w:val="20"/>
          <w:lang w:val="en-US"/>
        </w:rPr>
        <w:t xml:space="preserve"> and their handling. </w:t>
      </w:r>
    </w:p>
    <w:p w:rsidR="00B537A8" w:rsidRPr="007D47AD" w:rsidRDefault="00016778" w:rsidP="00F73B19">
      <w:pPr>
        <w:numPr>
          <w:ilvl w:val="0"/>
          <w:numId w:val="6"/>
        </w:numPr>
        <w:shd w:val="clear" w:color="auto" w:fill="FFFFFF"/>
        <w:spacing w:after="240" w:line="240" w:lineRule="auto"/>
        <w:ind w:left="0" w:firstLine="720"/>
        <w:jc w:val="both"/>
        <w:rPr>
          <w:rFonts w:asciiTheme="minorHAnsi" w:hAnsiTheme="minorHAnsi"/>
          <w:sz w:val="20"/>
          <w:szCs w:val="20"/>
          <w:lang w:val="en-US"/>
        </w:rPr>
      </w:pPr>
      <w:r w:rsidRPr="007D47AD">
        <w:rPr>
          <w:rFonts w:asciiTheme="minorHAnsi" w:hAnsiTheme="minorHAnsi" w:cs="Calibri"/>
          <w:sz w:val="20"/>
          <w:szCs w:val="20"/>
          <w:lang w:val="en-US"/>
        </w:rPr>
        <w:t xml:space="preserve">That law also indicates that the security institutions should present annual public reports that make it possible to learn about the activities that </w:t>
      </w:r>
      <w:r w:rsidR="00D9695E" w:rsidRPr="007D47AD">
        <w:rPr>
          <w:rFonts w:asciiTheme="minorHAnsi" w:hAnsiTheme="minorHAnsi" w:cs="Calibri"/>
          <w:sz w:val="20"/>
          <w:szCs w:val="20"/>
          <w:lang w:val="en-US"/>
        </w:rPr>
        <w:t xml:space="preserve">have </w:t>
      </w:r>
      <w:r w:rsidRPr="007D47AD">
        <w:rPr>
          <w:rFonts w:asciiTheme="minorHAnsi" w:hAnsiTheme="minorHAnsi" w:cs="Calibri"/>
          <w:sz w:val="20"/>
          <w:szCs w:val="20"/>
          <w:lang w:val="en-US"/>
        </w:rPr>
        <w:t>involve</w:t>
      </w:r>
      <w:r w:rsidR="00D9695E" w:rsidRPr="007D47AD">
        <w:rPr>
          <w:rFonts w:asciiTheme="minorHAnsi" w:hAnsiTheme="minorHAnsi" w:cs="Calibri"/>
          <w:sz w:val="20"/>
          <w:szCs w:val="20"/>
          <w:lang w:val="en-US"/>
        </w:rPr>
        <w:t>d</w:t>
      </w:r>
      <w:r w:rsidRPr="007D47AD">
        <w:rPr>
          <w:rFonts w:asciiTheme="minorHAnsi" w:hAnsiTheme="minorHAnsi" w:cs="Calibri"/>
          <w:sz w:val="20"/>
          <w:szCs w:val="20"/>
          <w:lang w:val="en-US"/>
        </w:rPr>
        <w:t xml:space="preserve"> the use of force. These reports, according to the law, should contain the data </w:t>
      </w:r>
      <w:r w:rsidR="00D9695E" w:rsidRPr="007D47AD">
        <w:rPr>
          <w:rFonts w:asciiTheme="minorHAnsi" w:hAnsiTheme="minorHAnsi" w:cs="Calibri"/>
          <w:sz w:val="20"/>
          <w:szCs w:val="20"/>
          <w:lang w:val="en-US"/>
        </w:rPr>
        <w:t xml:space="preserve">on </w:t>
      </w:r>
      <w:r w:rsidRPr="007D47AD">
        <w:rPr>
          <w:rFonts w:asciiTheme="minorHAnsi" w:hAnsiTheme="minorHAnsi" w:cs="Calibri"/>
          <w:sz w:val="20"/>
          <w:szCs w:val="20"/>
          <w:lang w:val="en-US"/>
        </w:rPr>
        <w:t xml:space="preserve">detentions, results of bodily evaluations done of the persons detained, and the number of persons deceased, among others. </w:t>
      </w:r>
    </w:p>
    <w:p w:rsidR="00D3746C" w:rsidRPr="007D47AD" w:rsidRDefault="00547A56" w:rsidP="004A3CE2">
      <w:pPr>
        <w:numPr>
          <w:ilvl w:val="0"/>
          <w:numId w:val="6"/>
        </w:numPr>
        <w:shd w:val="clear" w:color="auto" w:fill="FFFFFF"/>
        <w:spacing w:after="240" w:line="240" w:lineRule="auto"/>
        <w:ind w:left="0" w:firstLine="720"/>
        <w:jc w:val="both"/>
        <w:rPr>
          <w:rFonts w:asciiTheme="minorHAnsi" w:hAnsiTheme="minorHAnsi"/>
          <w:sz w:val="20"/>
          <w:szCs w:val="20"/>
          <w:lang w:val="en-US"/>
        </w:rPr>
      </w:pPr>
      <w:r w:rsidRPr="007D47AD">
        <w:rPr>
          <w:rFonts w:asciiTheme="minorHAnsi" w:hAnsiTheme="minorHAnsi"/>
          <w:sz w:val="20"/>
          <w:szCs w:val="20"/>
          <w:lang w:val="en-US"/>
        </w:rPr>
        <w:t xml:space="preserve">In this </w:t>
      </w:r>
      <w:r w:rsidR="00B537A8" w:rsidRPr="007D47AD">
        <w:rPr>
          <w:rFonts w:asciiTheme="minorHAnsi" w:hAnsiTheme="minorHAnsi"/>
          <w:sz w:val="20"/>
          <w:szCs w:val="20"/>
          <w:lang w:val="en-US"/>
        </w:rPr>
        <w:t xml:space="preserve">respect </w:t>
      </w:r>
      <w:r w:rsidRPr="007D47AD">
        <w:rPr>
          <w:rFonts w:asciiTheme="minorHAnsi" w:hAnsiTheme="minorHAnsi"/>
          <w:sz w:val="20"/>
          <w:szCs w:val="20"/>
          <w:lang w:val="en-US"/>
        </w:rPr>
        <w:t xml:space="preserve">the State indicated that according to Article </w:t>
      </w:r>
      <w:r w:rsidR="007C2F11" w:rsidRPr="007D47AD">
        <w:rPr>
          <w:rFonts w:asciiTheme="minorHAnsi" w:hAnsiTheme="minorHAnsi"/>
          <w:sz w:val="20"/>
          <w:szCs w:val="20"/>
          <w:lang w:val="en-US"/>
        </w:rPr>
        <w:t xml:space="preserve">222 </w:t>
      </w:r>
      <w:r w:rsidRPr="007D47AD">
        <w:rPr>
          <w:rFonts w:asciiTheme="minorHAnsi" w:hAnsiTheme="minorHAnsi"/>
          <w:sz w:val="20"/>
          <w:szCs w:val="20"/>
          <w:lang w:val="en-US"/>
        </w:rPr>
        <w:t xml:space="preserve">of the Federal Code of Criminal Procedure, the authorities responsible for public security have the obligation to ensure and protect the </w:t>
      </w:r>
      <w:r w:rsidR="00D9695E" w:rsidRPr="007D47AD">
        <w:rPr>
          <w:rFonts w:asciiTheme="minorHAnsi" w:hAnsiTheme="minorHAnsi"/>
          <w:sz w:val="20"/>
          <w:szCs w:val="20"/>
          <w:lang w:val="en-US"/>
        </w:rPr>
        <w:t xml:space="preserve">crime scene </w:t>
      </w:r>
      <w:r w:rsidRPr="007D47AD">
        <w:rPr>
          <w:rFonts w:asciiTheme="minorHAnsi" w:hAnsiTheme="minorHAnsi"/>
          <w:sz w:val="20"/>
          <w:szCs w:val="20"/>
          <w:lang w:val="en-US"/>
        </w:rPr>
        <w:t xml:space="preserve">until the competent authorities arrive. In addition, it noted the obligation of the </w:t>
      </w:r>
      <w:r w:rsidR="00D9695E" w:rsidRPr="007D47AD">
        <w:rPr>
          <w:rFonts w:asciiTheme="minorHAnsi" w:hAnsiTheme="minorHAnsi"/>
          <w:sz w:val="20"/>
          <w:szCs w:val="20"/>
          <w:lang w:val="en-US"/>
        </w:rPr>
        <w:t>A</w:t>
      </w:r>
      <w:r w:rsidRPr="007D47AD">
        <w:rPr>
          <w:rFonts w:asciiTheme="minorHAnsi" w:hAnsiTheme="minorHAnsi"/>
          <w:sz w:val="20"/>
          <w:szCs w:val="20"/>
          <w:lang w:val="en-US"/>
        </w:rPr>
        <w:t xml:space="preserve">rmed </w:t>
      </w:r>
      <w:r w:rsidR="00D9695E" w:rsidRPr="007D47AD">
        <w:rPr>
          <w:rFonts w:asciiTheme="minorHAnsi" w:hAnsiTheme="minorHAnsi"/>
          <w:sz w:val="20"/>
          <w:szCs w:val="20"/>
          <w:lang w:val="en-US"/>
        </w:rPr>
        <w:t>F</w:t>
      </w:r>
      <w:r w:rsidRPr="007D47AD">
        <w:rPr>
          <w:rFonts w:asciiTheme="minorHAnsi" w:hAnsiTheme="minorHAnsi"/>
          <w:sz w:val="20"/>
          <w:szCs w:val="20"/>
          <w:lang w:val="en-US"/>
        </w:rPr>
        <w:t xml:space="preserve">orces to report any incident in which it is presumed that a crime has been committed (pursuant to Article </w:t>
      </w:r>
      <w:r w:rsidR="007A036E" w:rsidRPr="007D47AD">
        <w:rPr>
          <w:rFonts w:asciiTheme="minorHAnsi" w:hAnsiTheme="minorHAnsi"/>
          <w:sz w:val="20"/>
          <w:szCs w:val="20"/>
          <w:lang w:val="en-US"/>
        </w:rPr>
        <w:t xml:space="preserve">43 </w:t>
      </w:r>
      <w:r w:rsidRPr="007D47AD">
        <w:rPr>
          <w:rFonts w:asciiTheme="minorHAnsi" w:hAnsiTheme="minorHAnsi"/>
          <w:sz w:val="20"/>
          <w:szCs w:val="20"/>
          <w:lang w:val="en-US"/>
        </w:rPr>
        <w:t xml:space="preserve">of the </w:t>
      </w:r>
      <w:r w:rsidR="00B613B2" w:rsidRPr="007D47AD">
        <w:rPr>
          <w:rFonts w:asciiTheme="minorHAnsi" w:hAnsiTheme="minorHAnsi"/>
          <w:sz w:val="20"/>
          <w:szCs w:val="20"/>
          <w:lang w:val="en-US"/>
        </w:rPr>
        <w:t xml:space="preserve">Federal </w:t>
      </w:r>
      <w:r w:rsidRPr="007D47AD">
        <w:rPr>
          <w:rFonts w:asciiTheme="minorHAnsi" w:hAnsiTheme="minorHAnsi"/>
          <w:sz w:val="20"/>
          <w:szCs w:val="20"/>
          <w:lang w:val="en-US"/>
        </w:rPr>
        <w:t>Law on Use of Force</w:t>
      </w:r>
      <w:r w:rsidR="00D3746C" w:rsidRPr="007D47AD">
        <w:rPr>
          <w:rFonts w:asciiTheme="minorHAnsi" w:hAnsiTheme="minorHAnsi"/>
          <w:sz w:val="20"/>
          <w:szCs w:val="20"/>
          <w:lang w:val="en-US"/>
        </w:rPr>
        <w:t xml:space="preserve">), </w:t>
      </w:r>
      <w:r w:rsidRPr="007D47AD">
        <w:rPr>
          <w:rFonts w:asciiTheme="minorHAnsi" w:hAnsiTheme="minorHAnsi"/>
          <w:sz w:val="20"/>
          <w:szCs w:val="20"/>
          <w:lang w:val="en-US"/>
        </w:rPr>
        <w:t xml:space="preserve">and that those elements, including the members of the National Guard, are subject to the regime of administrative liability. </w:t>
      </w:r>
      <w:r w:rsidR="0053322D" w:rsidRPr="007D47AD">
        <w:rPr>
          <w:rFonts w:asciiTheme="minorHAnsi" w:hAnsiTheme="minorHAnsi"/>
          <w:sz w:val="20"/>
          <w:szCs w:val="20"/>
          <w:lang w:val="en-US"/>
        </w:rPr>
        <w:t>In addition, the State referred to the system of accountability that requires the submission of what are called detailed reports, whose content, in case of the use of lethal force, must: (</w:t>
      </w:r>
      <w:r w:rsidR="004A3CE2" w:rsidRPr="007D47AD">
        <w:rPr>
          <w:rFonts w:asciiTheme="minorHAnsi" w:hAnsiTheme="minorHAnsi"/>
          <w:sz w:val="20"/>
          <w:szCs w:val="20"/>
          <w:lang w:val="en-US"/>
        </w:rPr>
        <w:t xml:space="preserve">a) </w:t>
      </w:r>
      <w:r w:rsidR="0053322D" w:rsidRPr="007D47AD">
        <w:rPr>
          <w:rFonts w:asciiTheme="minorHAnsi" w:hAnsiTheme="minorHAnsi"/>
          <w:sz w:val="20"/>
          <w:szCs w:val="20"/>
          <w:lang w:val="en-US"/>
        </w:rPr>
        <w:t>spell out the reasons for making use of the firearm or explosive</w:t>
      </w:r>
      <w:r w:rsidR="004A3CE2" w:rsidRPr="007D47AD">
        <w:rPr>
          <w:rFonts w:asciiTheme="minorHAnsi" w:hAnsiTheme="minorHAnsi"/>
          <w:sz w:val="20"/>
          <w:szCs w:val="20"/>
          <w:lang w:val="en-US"/>
        </w:rPr>
        <w:t xml:space="preserve">; </w:t>
      </w:r>
      <w:r w:rsidR="0053322D" w:rsidRPr="007D47AD">
        <w:rPr>
          <w:rFonts w:asciiTheme="minorHAnsi" w:hAnsiTheme="minorHAnsi"/>
          <w:sz w:val="20"/>
          <w:szCs w:val="20"/>
          <w:lang w:val="en-US"/>
        </w:rPr>
        <w:t>(</w:t>
      </w:r>
      <w:r w:rsidR="004A3CE2" w:rsidRPr="007D47AD">
        <w:rPr>
          <w:rFonts w:asciiTheme="minorHAnsi" w:hAnsiTheme="minorHAnsi"/>
          <w:sz w:val="20"/>
          <w:szCs w:val="20"/>
          <w:lang w:val="en-US"/>
        </w:rPr>
        <w:t xml:space="preserve">b) </w:t>
      </w:r>
      <w:r w:rsidR="0053322D" w:rsidRPr="007D47AD">
        <w:rPr>
          <w:rFonts w:asciiTheme="minorHAnsi" w:hAnsiTheme="minorHAnsi"/>
          <w:sz w:val="20"/>
          <w:szCs w:val="20"/>
          <w:lang w:val="en-US"/>
        </w:rPr>
        <w:t>i</w:t>
      </w:r>
      <w:r w:rsidR="004A3CE2" w:rsidRPr="007D47AD">
        <w:rPr>
          <w:rFonts w:asciiTheme="minorHAnsi" w:hAnsiTheme="minorHAnsi"/>
          <w:sz w:val="20"/>
          <w:szCs w:val="20"/>
          <w:lang w:val="en-US"/>
        </w:rPr>
        <w:t>dentif</w:t>
      </w:r>
      <w:r w:rsidR="0053322D" w:rsidRPr="007D47AD">
        <w:rPr>
          <w:rFonts w:asciiTheme="minorHAnsi" w:hAnsiTheme="minorHAnsi"/>
          <w:sz w:val="20"/>
          <w:szCs w:val="20"/>
          <w:lang w:val="en-US"/>
        </w:rPr>
        <w:t>y the number of shots or quantity of explosive detonated</w:t>
      </w:r>
      <w:r w:rsidR="004A3CE2" w:rsidRPr="007D47AD">
        <w:rPr>
          <w:rFonts w:asciiTheme="minorHAnsi" w:hAnsiTheme="minorHAnsi"/>
          <w:sz w:val="20"/>
          <w:szCs w:val="20"/>
          <w:lang w:val="en-US"/>
        </w:rPr>
        <w:t xml:space="preserve">; </w:t>
      </w:r>
      <w:r w:rsidR="0053322D" w:rsidRPr="007D47AD">
        <w:rPr>
          <w:rFonts w:asciiTheme="minorHAnsi" w:hAnsiTheme="minorHAnsi"/>
          <w:sz w:val="20"/>
          <w:szCs w:val="20"/>
          <w:lang w:val="en-US"/>
        </w:rPr>
        <w:t>(</w:t>
      </w:r>
      <w:r w:rsidR="004A3CE2" w:rsidRPr="007D47AD">
        <w:rPr>
          <w:rFonts w:asciiTheme="minorHAnsi" w:hAnsiTheme="minorHAnsi"/>
          <w:sz w:val="20"/>
          <w:szCs w:val="20"/>
          <w:lang w:val="en-US"/>
        </w:rPr>
        <w:t>c) specif</w:t>
      </w:r>
      <w:r w:rsidR="0053322D" w:rsidRPr="007D47AD">
        <w:rPr>
          <w:rFonts w:asciiTheme="minorHAnsi" w:hAnsiTheme="minorHAnsi"/>
          <w:sz w:val="20"/>
          <w:szCs w:val="20"/>
          <w:lang w:val="en-US"/>
        </w:rPr>
        <w:t>y the type of injuries, the number and identity of the persons injured, and the material damages caused, and (</w:t>
      </w:r>
      <w:r w:rsidR="004A3CE2" w:rsidRPr="007D47AD">
        <w:rPr>
          <w:rFonts w:asciiTheme="minorHAnsi" w:hAnsiTheme="minorHAnsi"/>
          <w:sz w:val="20"/>
          <w:szCs w:val="20"/>
          <w:lang w:val="en-US"/>
        </w:rPr>
        <w:t>d) specif</w:t>
      </w:r>
      <w:r w:rsidR="0053322D" w:rsidRPr="007D47AD">
        <w:rPr>
          <w:rFonts w:asciiTheme="minorHAnsi" w:hAnsiTheme="minorHAnsi"/>
          <w:sz w:val="20"/>
          <w:szCs w:val="20"/>
          <w:lang w:val="en-US"/>
        </w:rPr>
        <w:t>y the number and identity of the persons who have lost their lives, if any.</w:t>
      </w:r>
      <w:r w:rsidR="004A3CE2" w:rsidRPr="007D47AD">
        <w:rPr>
          <w:rStyle w:val="FootnoteReference"/>
          <w:rFonts w:asciiTheme="minorHAnsi" w:hAnsiTheme="minorHAnsi"/>
          <w:sz w:val="20"/>
          <w:szCs w:val="20"/>
          <w:lang w:val="en-US"/>
        </w:rPr>
        <w:footnoteReference w:id="31"/>
      </w:r>
    </w:p>
    <w:p w:rsidR="002F4063" w:rsidRPr="007D47AD" w:rsidRDefault="0053322D" w:rsidP="00E472A2">
      <w:pPr>
        <w:numPr>
          <w:ilvl w:val="0"/>
          <w:numId w:val="6"/>
        </w:numPr>
        <w:shd w:val="clear" w:color="auto" w:fill="FFFFFF"/>
        <w:spacing w:after="240" w:line="240" w:lineRule="auto"/>
        <w:ind w:left="0" w:firstLine="720"/>
        <w:jc w:val="both"/>
        <w:rPr>
          <w:rFonts w:asciiTheme="minorHAnsi" w:eastAsia="Times New Roman" w:hAnsiTheme="minorHAnsi" w:cs="Arial"/>
          <w:sz w:val="20"/>
          <w:szCs w:val="20"/>
          <w:lang w:val="en-US"/>
        </w:rPr>
      </w:pPr>
      <w:r w:rsidRPr="007D47AD">
        <w:rPr>
          <w:rFonts w:asciiTheme="minorHAnsi" w:hAnsiTheme="minorHAnsi" w:cs="Helvetica"/>
          <w:sz w:val="20"/>
          <w:szCs w:val="20"/>
          <w:lang w:val="en-US"/>
        </w:rPr>
        <w:t xml:space="preserve">Both the IACHR and the OHCHR have emphasized the need for Mexico to supplement its efforts in the area of citizen security by adopting and implementing accountability measures by </w:t>
      </w:r>
      <w:r w:rsidR="00B5626D" w:rsidRPr="007D47AD">
        <w:rPr>
          <w:rFonts w:asciiTheme="minorHAnsi" w:hAnsiTheme="minorHAnsi" w:cs="Helvetica"/>
          <w:sz w:val="20"/>
          <w:szCs w:val="20"/>
          <w:lang w:val="en-US"/>
        </w:rPr>
        <w:t xml:space="preserve">a </w:t>
      </w:r>
      <w:r w:rsidRPr="007D47AD">
        <w:rPr>
          <w:rFonts w:asciiTheme="minorHAnsi" w:hAnsiTheme="minorHAnsi" w:cs="Helvetica"/>
          <w:sz w:val="20"/>
          <w:szCs w:val="20"/>
          <w:lang w:val="en-US"/>
        </w:rPr>
        <w:t xml:space="preserve">body independent of all the security forces in relation to public security </w:t>
      </w:r>
      <w:r w:rsidR="00D9695E" w:rsidRPr="007D47AD">
        <w:rPr>
          <w:rFonts w:asciiTheme="minorHAnsi" w:hAnsiTheme="minorHAnsi" w:cs="Helvetica"/>
          <w:sz w:val="20"/>
          <w:szCs w:val="20"/>
          <w:lang w:val="en-US"/>
        </w:rPr>
        <w:t xml:space="preserve">operations and </w:t>
      </w:r>
      <w:r w:rsidRPr="007D47AD">
        <w:rPr>
          <w:rFonts w:asciiTheme="minorHAnsi" w:hAnsiTheme="minorHAnsi" w:cs="Helvetica"/>
          <w:sz w:val="20"/>
          <w:szCs w:val="20"/>
          <w:lang w:val="en-US"/>
        </w:rPr>
        <w:t>tasks in which anyone has died.</w:t>
      </w:r>
      <w:r w:rsidR="009C095D" w:rsidRPr="007D47AD">
        <w:rPr>
          <w:rStyle w:val="FootnoteReference"/>
          <w:rFonts w:asciiTheme="minorHAnsi" w:hAnsiTheme="minorHAnsi"/>
          <w:sz w:val="20"/>
          <w:szCs w:val="20"/>
          <w:lang w:val="en-US"/>
        </w:rPr>
        <w:footnoteReference w:id="32"/>
      </w:r>
      <w:r w:rsidR="009C095D" w:rsidRPr="007D47AD">
        <w:rPr>
          <w:rFonts w:asciiTheme="minorHAnsi" w:hAnsiTheme="minorHAnsi"/>
          <w:sz w:val="20"/>
          <w:szCs w:val="20"/>
          <w:lang w:val="en-US"/>
        </w:rPr>
        <w:t xml:space="preserve"> </w:t>
      </w:r>
      <w:r w:rsidR="00B5626D" w:rsidRPr="007D47AD">
        <w:rPr>
          <w:rFonts w:asciiTheme="minorHAnsi" w:hAnsiTheme="minorHAnsi"/>
          <w:sz w:val="20"/>
          <w:szCs w:val="20"/>
          <w:lang w:val="en-US"/>
        </w:rPr>
        <w:t xml:space="preserve">While the </w:t>
      </w:r>
      <w:r w:rsidR="00D9695E" w:rsidRPr="007D47AD">
        <w:rPr>
          <w:rFonts w:asciiTheme="minorHAnsi" w:hAnsiTheme="minorHAnsi"/>
          <w:sz w:val="20"/>
          <w:szCs w:val="20"/>
          <w:lang w:val="en-US"/>
        </w:rPr>
        <w:t xml:space="preserve">Federal </w:t>
      </w:r>
      <w:r w:rsidR="00B5626D" w:rsidRPr="007D47AD">
        <w:rPr>
          <w:rFonts w:asciiTheme="minorHAnsi" w:hAnsiTheme="minorHAnsi"/>
          <w:sz w:val="20"/>
          <w:szCs w:val="20"/>
          <w:lang w:val="en-US"/>
        </w:rPr>
        <w:t xml:space="preserve">Law on the Use of Force establishes the legal obligation to produce reports, this same law </w:t>
      </w:r>
      <w:r w:rsidR="00BA5344" w:rsidRPr="007D47AD">
        <w:rPr>
          <w:rFonts w:asciiTheme="minorHAnsi" w:hAnsiTheme="minorHAnsi"/>
          <w:sz w:val="20"/>
          <w:szCs w:val="20"/>
          <w:lang w:val="en-US"/>
        </w:rPr>
        <w:t>divide</w:t>
      </w:r>
      <w:r w:rsidR="00B5626D" w:rsidRPr="007D47AD">
        <w:rPr>
          <w:rFonts w:asciiTheme="minorHAnsi" w:hAnsiTheme="minorHAnsi"/>
          <w:sz w:val="20"/>
          <w:szCs w:val="20"/>
          <w:lang w:val="en-US"/>
        </w:rPr>
        <w:t>s</w:t>
      </w:r>
      <w:r w:rsidR="00BA5344" w:rsidRPr="007D47AD">
        <w:rPr>
          <w:rFonts w:asciiTheme="minorHAnsi" w:hAnsiTheme="minorHAnsi"/>
          <w:sz w:val="20"/>
          <w:szCs w:val="20"/>
          <w:lang w:val="en-US"/>
        </w:rPr>
        <w:t xml:space="preserve"> </w:t>
      </w:r>
      <w:r w:rsidR="00B5626D" w:rsidRPr="007D47AD">
        <w:rPr>
          <w:rFonts w:asciiTheme="minorHAnsi" w:hAnsiTheme="minorHAnsi"/>
          <w:sz w:val="20"/>
          <w:szCs w:val="20"/>
          <w:lang w:val="en-US"/>
        </w:rPr>
        <w:t xml:space="preserve">the </w:t>
      </w:r>
      <w:r w:rsidR="00BA5344" w:rsidRPr="007D47AD">
        <w:rPr>
          <w:rFonts w:asciiTheme="minorHAnsi" w:hAnsiTheme="minorHAnsi"/>
          <w:sz w:val="20"/>
          <w:szCs w:val="20"/>
          <w:lang w:val="en-US"/>
        </w:rPr>
        <w:t>informa</w:t>
      </w:r>
      <w:r w:rsidR="00B5626D" w:rsidRPr="007D47AD">
        <w:rPr>
          <w:rFonts w:asciiTheme="minorHAnsi" w:hAnsiTheme="minorHAnsi"/>
          <w:sz w:val="20"/>
          <w:szCs w:val="20"/>
          <w:lang w:val="en-US"/>
        </w:rPr>
        <w:t xml:space="preserve">tion produced into the detailed reports and the public reports. This proposed division would appear to establish that only one type of information produced will be public, which is </w:t>
      </w:r>
      <w:r w:rsidR="00027135" w:rsidRPr="007D47AD">
        <w:rPr>
          <w:rFonts w:asciiTheme="minorHAnsi" w:hAnsiTheme="minorHAnsi"/>
          <w:sz w:val="20"/>
          <w:szCs w:val="20"/>
          <w:lang w:val="en-US"/>
        </w:rPr>
        <w:t>restrictiv</w:t>
      </w:r>
      <w:r w:rsidR="00B5626D" w:rsidRPr="007D47AD">
        <w:rPr>
          <w:rFonts w:asciiTheme="minorHAnsi" w:hAnsiTheme="minorHAnsi"/>
          <w:sz w:val="20"/>
          <w:szCs w:val="20"/>
          <w:lang w:val="en-US"/>
        </w:rPr>
        <w:t xml:space="preserve">e </w:t>
      </w:r>
      <w:r w:rsidR="00C304F0" w:rsidRPr="007D47AD">
        <w:rPr>
          <w:rFonts w:asciiTheme="minorHAnsi" w:hAnsiTheme="minorHAnsi"/>
          <w:sz w:val="20"/>
          <w:szCs w:val="20"/>
          <w:lang w:val="en-US"/>
        </w:rPr>
        <w:t xml:space="preserve">as regards </w:t>
      </w:r>
      <w:r w:rsidR="006D77F2" w:rsidRPr="007D47AD">
        <w:rPr>
          <w:rFonts w:asciiTheme="minorHAnsi" w:hAnsiTheme="minorHAnsi"/>
          <w:sz w:val="20"/>
          <w:szCs w:val="20"/>
          <w:lang w:val="en-US"/>
        </w:rPr>
        <w:t xml:space="preserve">the </w:t>
      </w:r>
      <w:r w:rsidR="00C304F0" w:rsidRPr="007D47AD">
        <w:rPr>
          <w:rFonts w:asciiTheme="minorHAnsi" w:hAnsiTheme="minorHAnsi"/>
          <w:sz w:val="20"/>
          <w:szCs w:val="20"/>
          <w:lang w:val="en-US"/>
        </w:rPr>
        <w:t>more technical or specific information that may be required by the citizenry for social oversight of security operations.</w:t>
      </w:r>
      <w:r w:rsidR="002F4063" w:rsidRPr="007D47AD">
        <w:rPr>
          <w:rFonts w:asciiTheme="minorHAnsi" w:hAnsiTheme="minorHAnsi"/>
          <w:sz w:val="20"/>
          <w:szCs w:val="20"/>
          <w:lang w:val="en-US"/>
        </w:rPr>
        <w:t xml:space="preserve"> </w:t>
      </w:r>
      <w:r w:rsidR="00402E7E" w:rsidRPr="007D47AD">
        <w:rPr>
          <w:rFonts w:asciiTheme="minorHAnsi" w:hAnsiTheme="minorHAnsi"/>
          <w:sz w:val="20"/>
          <w:szCs w:val="20"/>
          <w:lang w:val="en-US"/>
        </w:rPr>
        <w:t>I</w:t>
      </w:r>
      <w:r w:rsidR="002F4063" w:rsidRPr="007D47AD">
        <w:rPr>
          <w:rFonts w:asciiTheme="minorHAnsi" w:hAnsiTheme="minorHAnsi"/>
          <w:sz w:val="20"/>
          <w:szCs w:val="20"/>
          <w:lang w:val="en-US"/>
        </w:rPr>
        <w:t xml:space="preserve">n </w:t>
      </w:r>
      <w:r w:rsidR="00402E7E" w:rsidRPr="007D47AD">
        <w:rPr>
          <w:rFonts w:asciiTheme="minorHAnsi" w:hAnsiTheme="minorHAnsi"/>
          <w:sz w:val="20"/>
          <w:szCs w:val="20"/>
          <w:lang w:val="en-US"/>
        </w:rPr>
        <w:t xml:space="preserve">it observations on the draft of this report the State indicated that citizens may request that information in exercising their </w:t>
      </w:r>
      <w:r w:rsidR="009150B9" w:rsidRPr="007D47AD">
        <w:rPr>
          <w:rFonts w:asciiTheme="minorHAnsi" w:hAnsiTheme="minorHAnsi"/>
          <w:sz w:val="20"/>
          <w:szCs w:val="20"/>
          <w:lang w:val="en-US"/>
        </w:rPr>
        <w:t xml:space="preserve">right of access to the information through the National Transparency Platform and the systems for requesting information of the National Institute for Transparency, Access to Information and Protection of Personal Data </w:t>
      </w:r>
      <w:r w:rsidR="002F4063" w:rsidRPr="007D47AD">
        <w:rPr>
          <w:rFonts w:asciiTheme="minorHAnsi" w:hAnsiTheme="minorHAnsi"/>
          <w:sz w:val="20"/>
          <w:szCs w:val="20"/>
          <w:lang w:val="en-US"/>
        </w:rPr>
        <w:t>(INAI)</w:t>
      </w:r>
      <w:r w:rsidR="009150B9" w:rsidRPr="007D47AD">
        <w:rPr>
          <w:rFonts w:asciiTheme="minorHAnsi" w:hAnsiTheme="minorHAnsi"/>
          <w:sz w:val="20"/>
          <w:szCs w:val="20"/>
          <w:lang w:val="en-US"/>
        </w:rPr>
        <w:t>.</w:t>
      </w:r>
      <w:r w:rsidR="002F4063" w:rsidRPr="007D47AD">
        <w:rPr>
          <w:rStyle w:val="FootnoteReference"/>
          <w:rFonts w:asciiTheme="minorHAnsi" w:hAnsiTheme="minorHAnsi"/>
          <w:sz w:val="20"/>
          <w:szCs w:val="20"/>
          <w:lang w:val="en-US"/>
        </w:rPr>
        <w:t xml:space="preserve"> </w:t>
      </w:r>
      <w:r w:rsidR="002F4063" w:rsidRPr="007D47AD">
        <w:rPr>
          <w:rStyle w:val="FootnoteReference"/>
          <w:rFonts w:asciiTheme="minorHAnsi" w:hAnsiTheme="minorHAnsi"/>
          <w:sz w:val="20"/>
          <w:szCs w:val="20"/>
          <w:lang w:val="en-US"/>
        </w:rPr>
        <w:footnoteReference w:id="33"/>
      </w:r>
      <w:r w:rsidR="00051D7A" w:rsidRPr="007D47AD">
        <w:rPr>
          <w:rStyle w:val="FootnoteReference"/>
          <w:rFonts w:asciiTheme="minorHAnsi" w:hAnsiTheme="minorHAnsi"/>
          <w:sz w:val="20"/>
          <w:szCs w:val="20"/>
          <w:lang w:val="en-US"/>
        </w:rPr>
        <w:t xml:space="preserve"> </w:t>
      </w:r>
    </w:p>
    <w:p w:rsidR="009C095D" w:rsidRPr="007D47AD" w:rsidRDefault="00C304F0" w:rsidP="00E472A2">
      <w:pPr>
        <w:numPr>
          <w:ilvl w:val="0"/>
          <w:numId w:val="6"/>
        </w:numPr>
        <w:shd w:val="clear" w:color="auto" w:fill="FFFFFF"/>
        <w:spacing w:after="240" w:line="240" w:lineRule="auto"/>
        <w:ind w:left="0" w:firstLine="720"/>
        <w:jc w:val="both"/>
        <w:rPr>
          <w:rFonts w:asciiTheme="minorHAnsi" w:eastAsia="Times New Roman" w:hAnsiTheme="minorHAnsi" w:cs="Arial"/>
          <w:sz w:val="20"/>
          <w:szCs w:val="20"/>
          <w:lang w:val="en-US"/>
        </w:rPr>
      </w:pPr>
      <w:r w:rsidRPr="007D47AD">
        <w:rPr>
          <w:rFonts w:asciiTheme="minorHAnsi" w:hAnsiTheme="minorHAnsi"/>
          <w:sz w:val="20"/>
          <w:szCs w:val="20"/>
          <w:lang w:val="en-US"/>
        </w:rPr>
        <w:t xml:space="preserve"> </w:t>
      </w:r>
      <w:r w:rsidR="002F4063" w:rsidRPr="007D47AD">
        <w:rPr>
          <w:rFonts w:asciiTheme="minorHAnsi" w:hAnsiTheme="minorHAnsi"/>
          <w:sz w:val="20"/>
          <w:szCs w:val="20"/>
          <w:lang w:val="en-US"/>
        </w:rPr>
        <w:t>The</w:t>
      </w:r>
      <w:r w:rsidRPr="007D47AD">
        <w:rPr>
          <w:rFonts w:asciiTheme="minorHAnsi" w:hAnsiTheme="minorHAnsi"/>
          <w:sz w:val="20"/>
          <w:szCs w:val="20"/>
          <w:lang w:val="en-US"/>
        </w:rPr>
        <w:t xml:space="preserve"> Commission </w:t>
      </w:r>
      <w:r w:rsidR="002F4063" w:rsidRPr="007D47AD">
        <w:rPr>
          <w:rFonts w:asciiTheme="minorHAnsi" w:hAnsiTheme="minorHAnsi"/>
          <w:sz w:val="20"/>
          <w:szCs w:val="20"/>
          <w:lang w:val="en-US"/>
        </w:rPr>
        <w:t xml:space="preserve">also </w:t>
      </w:r>
      <w:r w:rsidRPr="007D47AD">
        <w:rPr>
          <w:rFonts w:asciiTheme="minorHAnsi" w:hAnsiTheme="minorHAnsi"/>
          <w:sz w:val="20"/>
          <w:szCs w:val="20"/>
          <w:lang w:val="en-US"/>
        </w:rPr>
        <w:t xml:space="preserve">reiterates that its recommendation </w:t>
      </w:r>
      <w:r w:rsidR="002F4063" w:rsidRPr="007D47AD">
        <w:rPr>
          <w:rFonts w:asciiTheme="minorHAnsi" w:hAnsiTheme="minorHAnsi"/>
          <w:sz w:val="20"/>
          <w:szCs w:val="20"/>
          <w:lang w:val="en-US"/>
        </w:rPr>
        <w:t>aims</w:t>
      </w:r>
      <w:r w:rsidRPr="007D47AD">
        <w:rPr>
          <w:rFonts w:asciiTheme="minorHAnsi" w:hAnsiTheme="minorHAnsi"/>
          <w:sz w:val="20"/>
          <w:szCs w:val="20"/>
          <w:lang w:val="en-US"/>
        </w:rPr>
        <w:t xml:space="preserve"> </w:t>
      </w:r>
      <w:r w:rsidR="002F4063" w:rsidRPr="007D47AD">
        <w:rPr>
          <w:rFonts w:asciiTheme="minorHAnsi" w:hAnsiTheme="minorHAnsi"/>
          <w:sz w:val="20"/>
          <w:szCs w:val="20"/>
          <w:lang w:val="en-US"/>
        </w:rPr>
        <w:t>towards that</w:t>
      </w:r>
      <w:r w:rsidRPr="007D47AD">
        <w:rPr>
          <w:rFonts w:asciiTheme="minorHAnsi" w:hAnsiTheme="minorHAnsi"/>
          <w:sz w:val="20"/>
          <w:szCs w:val="20"/>
          <w:lang w:val="en-US"/>
        </w:rPr>
        <w:t xml:space="preserve"> accountability in this area should be </w:t>
      </w:r>
      <w:r w:rsidR="006D77F2" w:rsidRPr="007D47AD">
        <w:rPr>
          <w:rFonts w:asciiTheme="minorHAnsi" w:hAnsiTheme="minorHAnsi"/>
          <w:sz w:val="20"/>
          <w:szCs w:val="20"/>
          <w:lang w:val="en-US"/>
        </w:rPr>
        <w:t xml:space="preserve">entrusted to </w:t>
      </w:r>
      <w:r w:rsidRPr="007D47AD">
        <w:rPr>
          <w:rFonts w:asciiTheme="minorHAnsi" w:hAnsiTheme="minorHAnsi"/>
          <w:sz w:val="20"/>
          <w:szCs w:val="20"/>
          <w:lang w:val="en-US"/>
        </w:rPr>
        <w:t>a body independent of the security forces</w:t>
      </w:r>
      <w:r w:rsidR="00027135" w:rsidRPr="007D47AD">
        <w:rPr>
          <w:rFonts w:asciiTheme="minorHAnsi" w:hAnsiTheme="minorHAnsi"/>
          <w:sz w:val="20"/>
          <w:szCs w:val="20"/>
          <w:lang w:val="en-US"/>
        </w:rPr>
        <w:t>, precis</w:t>
      </w:r>
      <w:r w:rsidRPr="007D47AD">
        <w:rPr>
          <w:rFonts w:asciiTheme="minorHAnsi" w:hAnsiTheme="minorHAnsi"/>
          <w:sz w:val="20"/>
          <w:szCs w:val="20"/>
          <w:lang w:val="en-US"/>
        </w:rPr>
        <w:t xml:space="preserve">ely to ensure impartiality </w:t>
      </w:r>
      <w:r w:rsidR="00D9695E" w:rsidRPr="007D47AD">
        <w:rPr>
          <w:rFonts w:asciiTheme="minorHAnsi" w:hAnsiTheme="minorHAnsi"/>
          <w:sz w:val="20"/>
          <w:szCs w:val="20"/>
          <w:lang w:val="en-US"/>
        </w:rPr>
        <w:t xml:space="preserve">in handling the </w:t>
      </w:r>
      <w:r w:rsidRPr="007D47AD">
        <w:rPr>
          <w:rFonts w:asciiTheme="minorHAnsi" w:hAnsiTheme="minorHAnsi"/>
          <w:sz w:val="20"/>
          <w:szCs w:val="20"/>
          <w:lang w:val="en-US"/>
        </w:rPr>
        <w:t xml:space="preserve">information reported. Based on the foregoing, the IACHR observes that the recommendation has met with partial compliance. </w:t>
      </w:r>
    </w:p>
    <w:p w:rsidR="00910222" w:rsidRPr="007D47AD" w:rsidRDefault="00910222" w:rsidP="00910222">
      <w:pPr>
        <w:numPr>
          <w:ilvl w:val="0"/>
          <w:numId w:val="6"/>
        </w:numPr>
        <w:shd w:val="clear" w:color="auto" w:fill="FFFFFF"/>
        <w:spacing w:after="240" w:line="240" w:lineRule="auto"/>
        <w:ind w:left="0" w:firstLine="720"/>
        <w:jc w:val="both"/>
        <w:rPr>
          <w:rFonts w:asciiTheme="minorHAnsi" w:eastAsia="Times New Roman" w:hAnsiTheme="minorHAnsi" w:cs="Arial"/>
          <w:sz w:val="20"/>
          <w:szCs w:val="20"/>
          <w:lang w:val="en-US"/>
        </w:rPr>
      </w:pPr>
      <w:r w:rsidRPr="007D47AD">
        <w:rPr>
          <w:rFonts w:asciiTheme="minorHAnsi" w:eastAsia="Times New Roman" w:hAnsiTheme="minorHAnsi" w:cs="Arial"/>
          <w:sz w:val="20"/>
          <w:szCs w:val="20"/>
          <w:lang w:val="en-US"/>
        </w:rPr>
        <w:t>Amn</w:t>
      </w:r>
      <w:r w:rsidR="00C304F0" w:rsidRPr="007D47AD">
        <w:rPr>
          <w:rFonts w:asciiTheme="minorHAnsi" w:eastAsia="Times New Roman" w:hAnsiTheme="minorHAnsi" w:cs="Arial"/>
          <w:sz w:val="20"/>
          <w:szCs w:val="20"/>
          <w:lang w:val="en-US"/>
        </w:rPr>
        <w:t>esty</w:t>
      </w:r>
      <w:r w:rsidRPr="007D47AD">
        <w:rPr>
          <w:rFonts w:asciiTheme="minorHAnsi" w:eastAsia="Times New Roman" w:hAnsiTheme="minorHAnsi" w:cs="Arial"/>
          <w:sz w:val="20"/>
          <w:szCs w:val="20"/>
          <w:lang w:val="en-US"/>
        </w:rPr>
        <w:t xml:space="preserve"> Interna</w:t>
      </w:r>
      <w:r w:rsidR="00C304F0" w:rsidRPr="007D47AD">
        <w:rPr>
          <w:rFonts w:asciiTheme="minorHAnsi" w:eastAsia="Times New Roman" w:hAnsiTheme="minorHAnsi" w:cs="Arial"/>
          <w:sz w:val="20"/>
          <w:szCs w:val="20"/>
          <w:lang w:val="en-US"/>
        </w:rPr>
        <w:t>t</w:t>
      </w:r>
      <w:r w:rsidRPr="007D47AD">
        <w:rPr>
          <w:rFonts w:asciiTheme="minorHAnsi" w:eastAsia="Times New Roman" w:hAnsiTheme="minorHAnsi" w:cs="Arial"/>
          <w:sz w:val="20"/>
          <w:szCs w:val="20"/>
          <w:lang w:val="en-US"/>
        </w:rPr>
        <w:t xml:space="preserve">ional </w:t>
      </w:r>
      <w:r w:rsidR="00C304F0" w:rsidRPr="007D47AD">
        <w:rPr>
          <w:rFonts w:asciiTheme="minorHAnsi" w:eastAsia="Times New Roman" w:hAnsiTheme="minorHAnsi" w:cs="Arial"/>
          <w:sz w:val="20"/>
          <w:szCs w:val="20"/>
          <w:lang w:val="en-US"/>
        </w:rPr>
        <w:t xml:space="preserve">has also noted the </w:t>
      </w:r>
      <w:r w:rsidRPr="007D47AD">
        <w:rPr>
          <w:rFonts w:asciiTheme="minorHAnsi" w:eastAsia="Times New Roman" w:hAnsiTheme="minorHAnsi" w:cs="Arial"/>
          <w:sz w:val="20"/>
          <w:szCs w:val="20"/>
          <w:lang w:val="en-US"/>
        </w:rPr>
        <w:t>existenc</w:t>
      </w:r>
      <w:r w:rsidR="00C304F0" w:rsidRPr="007D47AD">
        <w:rPr>
          <w:rFonts w:asciiTheme="minorHAnsi" w:eastAsia="Times New Roman" w:hAnsiTheme="minorHAnsi" w:cs="Arial"/>
          <w:sz w:val="20"/>
          <w:szCs w:val="20"/>
          <w:lang w:val="en-US"/>
        </w:rPr>
        <w:t xml:space="preserve">e of ambiguities in the </w:t>
      </w:r>
      <w:r w:rsidR="00D9695E" w:rsidRPr="007D47AD">
        <w:rPr>
          <w:rFonts w:asciiTheme="minorHAnsi" w:eastAsia="Times New Roman" w:hAnsiTheme="minorHAnsi" w:cs="Arial"/>
          <w:sz w:val="20"/>
          <w:szCs w:val="20"/>
          <w:lang w:val="en-US"/>
        </w:rPr>
        <w:t xml:space="preserve">Federal </w:t>
      </w:r>
      <w:r w:rsidR="00C304F0" w:rsidRPr="007D47AD">
        <w:rPr>
          <w:rFonts w:asciiTheme="minorHAnsi" w:eastAsia="Times New Roman" w:hAnsiTheme="minorHAnsi" w:cs="Arial"/>
          <w:sz w:val="20"/>
          <w:szCs w:val="20"/>
          <w:lang w:val="en-US"/>
        </w:rPr>
        <w:t xml:space="preserve">Law on the Use of Force, given that it does not clearly establish that any use of force, and not just lethal force, is the last </w:t>
      </w:r>
      <w:r w:rsidR="00C304F0" w:rsidRPr="007D47AD">
        <w:rPr>
          <w:rFonts w:asciiTheme="minorHAnsi" w:eastAsia="Times New Roman" w:hAnsiTheme="minorHAnsi" w:cs="Arial"/>
          <w:sz w:val="20"/>
          <w:szCs w:val="20"/>
          <w:lang w:val="en-US"/>
        </w:rPr>
        <w:lastRenderedPageBreak/>
        <w:t xml:space="preserve">alternative to which its agents may have recourse; </w:t>
      </w:r>
      <w:r w:rsidR="00D04157" w:rsidRPr="007D47AD">
        <w:rPr>
          <w:rFonts w:asciiTheme="minorHAnsi" w:eastAsia="Times New Roman" w:hAnsiTheme="minorHAnsi" w:cs="Arial"/>
          <w:sz w:val="20"/>
          <w:szCs w:val="20"/>
          <w:lang w:val="en-US"/>
        </w:rPr>
        <w:t xml:space="preserve">nor does it require public servants in charge of enforcing the law to make the necessary efforts to deactivate or diminish the tension or the conflict they face, with the objective of not using force. In its view, the law does not establish clear rules for protecting third persons, </w:t>
      </w:r>
      <w:r w:rsidR="006D77F2" w:rsidRPr="007D47AD">
        <w:rPr>
          <w:rFonts w:asciiTheme="minorHAnsi" w:eastAsia="Times New Roman" w:hAnsiTheme="minorHAnsi" w:cs="Arial"/>
          <w:sz w:val="20"/>
          <w:szCs w:val="20"/>
          <w:lang w:val="en-US"/>
        </w:rPr>
        <w:t xml:space="preserve">as called for by </w:t>
      </w:r>
      <w:r w:rsidR="00D04157" w:rsidRPr="007D47AD">
        <w:rPr>
          <w:rFonts w:asciiTheme="minorHAnsi" w:eastAsia="Times New Roman" w:hAnsiTheme="minorHAnsi" w:cs="Arial"/>
          <w:sz w:val="20"/>
          <w:szCs w:val="20"/>
          <w:lang w:val="en-US"/>
        </w:rPr>
        <w:t>international human rights law.</w:t>
      </w:r>
      <w:r w:rsidRPr="007D47AD">
        <w:rPr>
          <w:rStyle w:val="FootnoteReference"/>
          <w:rFonts w:asciiTheme="minorHAnsi" w:hAnsiTheme="minorHAnsi"/>
          <w:sz w:val="20"/>
          <w:szCs w:val="20"/>
          <w:lang w:val="en-US"/>
        </w:rPr>
        <w:footnoteReference w:id="34"/>
      </w:r>
    </w:p>
    <w:p w:rsidR="009C095D" w:rsidRPr="007D47AD" w:rsidRDefault="00D04157" w:rsidP="00D04157">
      <w:pPr>
        <w:numPr>
          <w:ilvl w:val="0"/>
          <w:numId w:val="6"/>
        </w:numPr>
        <w:shd w:val="clear" w:color="auto" w:fill="FFFFFF"/>
        <w:spacing w:after="240" w:line="240" w:lineRule="auto"/>
        <w:ind w:left="0" w:firstLine="720"/>
        <w:jc w:val="both"/>
        <w:rPr>
          <w:rFonts w:asciiTheme="minorHAnsi" w:eastAsia="Times New Roman" w:hAnsiTheme="minorHAnsi" w:cs="Arial"/>
          <w:sz w:val="20"/>
          <w:szCs w:val="20"/>
          <w:lang w:val="en-US"/>
        </w:rPr>
      </w:pPr>
      <w:r w:rsidRPr="007D47AD">
        <w:rPr>
          <w:rFonts w:asciiTheme="minorHAnsi" w:hAnsiTheme="minorHAnsi"/>
          <w:sz w:val="20"/>
          <w:szCs w:val="20"/>
          <w:lang w:val="en-US"/>
        </w:rPr>
        <w:t xml:space="preserve">As regards the recommendation to </w:t>
      </w:r>
      <w:r w:rsidR="006E0753" w:rsidRPr="007D47AD">
        <w:rPr>
          <w:rFonts w:asciiTheme="minorHAnsi" w:hAnsiTheme="minorHAnsi"/>
          <w:b/>
          <w:sz w:val="20"/>
          <w:szCs w:val="20"/>
          <w:lang w:val="en-US"/>
        </w:rPr>
        <w:t>implement measures so that federal and state public servants abstain from issuing public statements regarding the legality of the acts of security forces in cases that may constitute an undue use of force before the results of an investigation are available</w:t>
      </w:r>
      <w:r w:rsidR="009C095D" w:rsidRPr="007D47AD">
        <w:rPr>
          <w:rFonts w:asciiTheme="minorHAnsi" w:hAnsiTheme="minorHAnsi"/>
          <w:sz w:val="20"/>
          <w:szCs w:val="20"/>
          <w:lang w:val="en-US"/>
        </w:rPr>
        <w:t>,</w:t>
      </w:r>
      <w:r w:rsidR="00575180" w:rsidRPr="007D47AD">
        <w:rPr>
          <w:rFonts w:asciiTheme="minorHAnsi" w:hAnsiTheme="minorHAnsi"/>
          <w:sz w:val="20"/>
          <w:szCs w:val="20"/>
          <w:lang w:val="en-US"/>
        </w:rPr>
        <w:t xml:space="preserve"> </w:t>
      </w:r>
      <w:r w:rsidRPr="007D47AD">
        <w:rPr>
          <w:rFonts w:asciiTheme="minorHAnsi" w:hAnsiTheme="minorHAnsi"/>
          <w:sz w:val="20"/>
          <w:szCs w:val="20"/>
          <w:lang w:val="en-US"/>
        </w:rPr>
        <w:t xml:space="preserve">the Mexican State indicated that the </w:t>
      </w:r>
      <w:r w:rsidR="00F12C3A" w:rsidRPr="007D47AD">
        <w:rPr>
          <w:rFonts w:asciiTheme="minorHAnsi" w:hAnsiTheme="minorHAnsi"/>
          <w:sz w:val="20"/>
          <w:szCs w:val="20"/>
          <w:lang w:val="en-US"/>
        </w:rPr>
        <w:t xml:space="preserve">CNDH </w:t>
      </w:r>
      <w:r w:rsidR="00D9695E" w:rsidRPr="007D47AD">
        <w:rPr>
          <w:rFonts w:asciiTheme="minorHAnsi" w:hAnsiTheme="minorHAnsi"/>
          <w:sz w:val="20"/>
          <w:szCs w:val="20"/>
          <w:lang w:val="en-US"/>
        </w:rPr>
        <w:t xml:space="preserve">sent an official communication to </w:t>
      </w:r>
      <w:r w:rsidRPr="007D47AD">
        <w:rPr>
          <w:rFonts w:asciiTheme="minorHAnsi" w:hAnsiTheme="minorHAnsi"/>
          <w:sz w:val="20"/>
          <w:szCs w:val="20"/>
          <w:lang w:val="en-US"/>
        </w:rPr>
        <w:t>the Ministry of the Navy for the competent authority to approve the communiques issued by its Unit for Social Communication</w:t>
      </w:r>
      <w:r w:rsidR="002D14B8" w:rsidRPr="007D47AD">
        <w:rPr>
          <w:rFonts w:asciiTheme="minorHAnsi" w:hAnsiTheme="minorHAnsi"/>
          <w:sz w:val="20"/>
          <w:szCs w:val="20"/>
          <w:lang w:val="en-US"/>
        </w:rPr>
        <w:t xml:space="preserve"> so that the information disseminated related to operations is accurate and reliable.</w:t>
      </w:r>
      <w:r w:rsidR="00F12C3A" w:rsidRPr="007D47AD">
        <w:rPr>
          <w:rStyle w:val="FootnoteReference"/>
          <w:rFonts w:asciiTheme="minorHAnsi" w:hAnsiTheme="minorHAnsi"/>
          <w:sz w:val="20"/>
          <w:szCs w:val="20"/>
          <w:lang w:val="en-US"/>
        </w:rPr>
        <w:footnoteReference w:id="35"/>
      </w:r>
      <w:r w:rsidR="00F12C3A" w:rsidRPr="007D47AD">
        <w:rPr>
          <w:rFonts w:asciiTheme="minorHAnsi" w:hAnsiTheme="minorHAnsi"/>
          <w:sz w:val="20"/>
          <w:szCs w:val="20"/>
          <w:lang w:val="en-US"/>
        </w:rPr>
        <w:t xml:space="preserve"> </w:t>
      </w:r>
      <w:r w:rsidR="002D14B8" w:rsidRPr="007D47AD">
        <w:rPr>
          <w:rFonts w:asciiTheme="minorHAnsi" w:hAnsiTheme="minorHAnsi"/>
          <w:sz w:val="20"/>
          <w:szCs w:val="20"/>
          <w:lang w:val="en-US"/>
        </w:rPr>
        <w:t xml:space="preserve">In addition, the State referred to the detailed report provided for in Article 32 of the </w:t>
      </w:r>
      <w:r w:rsidR="006D77F2" w:rsidRPr="007D47AD">
        <w:rPr>
          <w:rFonts w:asciiTheme="minorHAnsi" w:hAnsiTheme="minorHAnsi"/>
          <w:sz w:val="20"/>
          <w:szCs w:val="20"/>
          <w:lang w:val="en-US"/>
        </w:rPr>
        <w:t xml:space="preserve">Federal </w:t>
      </w:r>
      <w:r w:rsidR="002D14B8" w:rsidRPr="007D47AD">
        <w:rPr>
          <w:rFonts w:asciiTheme="minorHAnsi" w:hAnsiTheme="minorHAnsi"/>
          <w:sz w:val="20"/>
          <w:szCs w:val="20"/>
          <w:lang w:val="en-US"/>
        </w:rPr>
        <w:t xml:space="preserve">Law on the Use of Force, mentioned above. </w:t>
      </w:r>
    </w:p>
    <w:p w:rsidR="00E1589F" w:rsidRPr="007D47AD" w:rsidRDefault="002D14B8" w:rsidP="00E1589F">
      <w:pPr>
        <w:numPr>
          <w:ilvl w:val="0"/>
          <w:numId w:val="6"/>
        </w:numPr>
        <w:shd w:val="clear" w:color="auto" w:fill="FFFFFF"/>
        <w:spacing w:after="240" w:line="240" w:lineRule="auto"/>
        <w:ind w:left="0" w:firstLine="720"/>
        <w:jc w:val="both"/>
        <w:rPr>
          <w:rFonts w:asciiTheme="minorHAnsi" w:hAnsiTheme="minorHAnsi"/>
          <w:sz w:val="20"/>
          <w:szCs w:val="20"/>
          <w:lang w:val="en-US"/>
        </w:rPr>
      </w:pPr>
      <w:r w:rsidRPr="007D47AD">
        <w:rPr>
          <w:rFonts w:asciiTheme="minorHAnsi" w:hAnsiTheme="minorHAnsi"/>
          <w:sz w:val="20"/>
          <w:szCs w:val="20"/>
          <w:lang w:val="en-US"/>
        </w:rPr>
        <w:t xml:space="preserve">The </w:t>
      </w:r>
      <w:r w:rsidR="00B81DCA" w:rsidRPr="007D47AD">
        <w:rPr>
          <w:rFonts w:asciiTheme="minorHAnsi" w:hAnsiTheme="minorHAnsi"/>
          <w:sz w:val="20"/>
          <w:szCs w:val="20"/>
          <w:lang w:val="en-US"/>
        </w:rPr>
        <w:t xml:space="preserve">CMDPDH </w:t>
      </w:r>
      <w:r w:rsidRPr="007D47AD">
        <w:rPr>
          <w:rFonts w:asciiTheme="minorHAnsi" w:hAnsiTheme="minorHAnsi"/>
          <w:sz w:val="20"/>
          <w:szCs w:val="20"/>
          <w:lang w:val="en-US"/>
        </w:rPr>
        <w:t xml:space="preserve">referred to an operation carried out in </w:t>
      </w:r>
      <w:r w:rsidR="00B81DCA" w:rsidRPr="007D47AD">
        <w:rPr>
          <w:rFonts w:asciiTheme="minorHAnsi" w:hAnsiTheme="minorHAnsi"/>
          <w:sz w:val="20"/>
          <w:szCs w:val="20"/>
          <w:lang w:val="en-US"/>
        </w:rPr>
        <w:t>Culia</w:t>
      </w:r>
      <w:r w:rsidR="00DC45F3" w:rsidRPr="007D47AD">
        <w:rPr>
          <w:rFonts w:asciiTheme="minorHAnsi" w:hAnsiTheme="minorHAnsi"/>
          <w:sz w:val="20"/>
          <w:szCs w:val="20"/>
          <w:lang w:val="en-US"/>
        </w:rPr>
        <w:t xml:space="preserve">cán, Sinaloa </w:t>
      </w:r>
      <w:r w:rsidRPr="007D47AD">
        <w:rPr>
          <w:rFonts w:asciiTheme="minorHAnsi" w:hAnsiTheme="minorHAnsi"/>
          <w:sz w:val="20"/>
          <w:szCs w:val="20"/>
          <w:lang w:val="en-US"/>
        </w:rPr>
        <w:t xml:space="preserve">against the </w:t>
      </w:r>
      <w:r w:rsidR="00B81DCA" w:rsidRPr="007D47AD">
        <w:rPr>
          <w:rFonts w:asciiTheme="minorHAnsi" w:hAnsiTheme="minorHAnsi"/>
          <w:sz w:val="20"/>
          <w:szCs w:val="20"/>
          <w:lang w:val="en-US"/>
        </w:rPr>
        <w:t>Sinaloa</w:t>
      </w:r>
      <w:r w:rsidRPr="007D47AD">
        <w:rPr>
          <w:rFonts w:asciiTheme="minorHAnsi" w:hAnsiTheme="minorHAnsi"/>
          <w:sz w:val="20"/>
          <w:szCs w:val="20"/>
          <w:lang w:val="en-US"/>
        </w:rPr>
        <w:t xml:space="preserve"> Cartel in which the son of </w:t>
      </w:r>
      <w:r w:rsidR="00DC45F3" w:rsidRPr="007D47AD">
        <w:rPr>
          <w:rFonts w:asciiTheme="minorHAnsi" w:hAnsiTheme="minorHAnsi"/>
          <w:sz w:val="20"/>
          <w:szCs w:val="20"/>
          <w:lang w:val="en-US"/>
        </w:rPr>
        <w:t xml:space="preserve">Joaquín Guzmán Loera (alias “el Chapo Guzmán”) </w:t>
      </w:r>
      <w:r w:rsidRPr="007D47AD">
        <w:rPr>
          <w:rFonts w:asciiTheme="minorHAnsi" w:hAnsiTheme="minorHAnsi"/>
          <w:sz w:val="20"/>
          <w:szCs w:val="20"/>
          <w:lang w:val="en-US"/>
        </w:rPr>
        <w:t>was briefly detained, and then released by those who were holding him</w:t>
      </w:r>
      <w:r w:rsidR="00D9695E" w:rsidRPr="007D47AD">
        <w:rPr>
          <w:rFonts w:asciiTheme="minorHAnsi" w:hAnsiTheme="minorHAnsi"/>
          <w:sz w:val="20"/>
          <w:szCs w:val="20"/>
          <w:lang w:val="en-US"/>
        </w:rPr>
        <w:t>,</w:t>
      </w:r>
      <w:r w:rsidRPr="007D47AD">
        <w:rPr>
          <w:rFonts w:asciiTheme="minorHAnsi" w:hAnsiTheme="minorHAnsi"/>
          <w:sz w:val="20"/>
          <w:szCs w:val="20"/>
          <w:lang w:val="en-US"/>
        </w:rPr>
        <w:t xml:space="preserve"> in response to threats of reprisals against their families. The CMDPDH noted that </w:t>
      </w:r>
      <w:r w:rsidR="00D9695E" w:rsidRPr="007D47AD">
        <w:rPr>
          <w:rFonts w:asciiTheme="minorHAnsi" w:hAnsiTheme="minorHAnsi"/>
          <w:sz w:val="20"/>
          <w:szCs w:val="20"/>
          <w:lang w:val="en-US"/>
        </w:rPr>
        <w:t xml:space="preserve">at </w:t>
      </w:r>
      <w:r w:rsidRPr="007D47AD">
        <w:rPr>
          <w:rFonts w:asciiTheme="minorHAnsi" w:hAnsiTheme="minorHAnsi"/>
          <w:sz w:val="20"/>
          <w:szCs w:val="20"/>
          <w:lang w:val="en-US"/>
        </w:rPr>
        <w:t xml:space="preserve">the press conference after the failed operation statements and value judgments on the legality of </w:t>
      </w:r>
      <w:r w:rsidR="00D9695E" w:rsidRPr="007D47AD">
        <w:rPr>
          <w:rFonts w:asciiTheme="minorHAnsi" w:hAnsiTheme="minorHAnsi"/>
          <w:sz w:val="20"/>
          <w:szCs w:val="20"/>
          <w:lang w:val="en-US"/>
        </w:rPr>
        <w:t>how the government agencies acted</w:t>
      </w:r>
      <w:r w:rsidR="00DC45F3" w:rsidRPr="007D47AD">
        <w:rPr>
          <w:rFonts w:asciiTheme="minorHAnsi" w:hAnsiTheme="minorHAnsi"/>
          <w:sz w:val="20"/>
          <w:szCs w:val="20"/>
          <w:lang w:val="en-US"/>
        </w:rPr>
        <w:t xml:space="preserve"> </w:t>
      </w:r>
      <w:r w:rsidR="006D77F2" w:rsidRPr="007D47AD">
        <w:rPr>
          <w:rFonts w:asciiTheme="minorHAnsi" w:hAnsiTheme="minorHAnsi"/>
          <w:sz w:val="20"/>
          <w:szCs w:val="20"/>
          <w:lang w:val="en-US"/>
        </w:rPr>
        <w:t xml:space="preserve">preceded </w:t>
      </w:r>
      <w:r w:rsidRPr="007D47AD">
        <w:rPr>
          <w:rFonts w:asciiTheme="minorHAnsi" w:hAnsiTheme="minorHAnsi"/>
          <w:sz w:val="20"/>
          <w:szCs w:val="20"/>
          <w:lang w:val="en-US"/>
        </w:rPr>
        <w:t xml:space="preserve">the investigations. </w:t>
      </w:r>
      <w:r w:rsidR="006D77F2" w:rsidRPr="007D47AD">
        <w:rPr>
          <w:rFonts w:asciiTheme="minorHAnsi" w:hAnsiTheme="minorHAnsi"/>
          <w:sz w:val="20"/>
          <w:szCs w:val="20"/>
          <w:lang w:val="en-US"/>
        </w:rPr>
        <w:t xml:space="preserve">For </w:t>
      </w:r>
      <w:r w:rsidRPr="007D47AD">
        <w:rPr>
          <w:rFonts w:asciiTheme="minorHAnsi" w:hAnsiTheme="minorHAnsi"/>
          <w:sz w:val="20"/>
          <w:szCs w:val="20"/>
          <w:lang w:val="en-US"/>
        </w:rPr>
        <w:t>example</w:t>
      </w:r>
      <w:r w:rsidR="00D9695E" w:rsidRPr="007D47AD">
        <w:rPr>
          <w:rFonts w:asciiTheme="minorHAnsi" w:hAnsiTheme="minorHAnsi"/>
          <w:sz w:val="20"/>
          <w:szCs w:val="20"/>
          <w:lang w:val="en-US"/>
        </w:rPr>
        <w:t>,</w:t>
      </w:r>
      <w:r w:rsidRPr="007D47AD">
        <w:rPr>
          <w:rFonts w:asciiTheme="minorHAnsi" w:hAnsiTheme="minorHAnsi"/>
          <w:sz w:val="20"/>
          <w:szCs w:val="20"/>
          <w:lang w:val="en-US"/>
        </w:rPr>
        <w:t xml:space="preserve"> they cite </w:t>
      </w:r>
      <w:r w:rsidR="00DC45F3" w:rsidRPr="007D47AD">
        <w:rPr>
          <w:rFonts w:asciiTheme="minorHAnsi" w:hAnsiTheme="minorHAnsi"/>
          <w:sz w:val="20"/>
          <w:szCs w:val="20"/>
          <w:lang w:val="en-US"/>
        </w:rPr>
        <w:t xml:space="preserve">Luis Cresencio Sandoval, </w:t>
      </w:r>
      <w:r w:rsidRPr="007D47AD">
        <w:rPr>
          <w:rFonts w:asciiTheme="minorHAnsi" w:hAnsiTheme="minorHAnsi"/>
          <w:sz w:val="20"/>
          <w:szCs w:val="20"/>
          <w:lang w:val="en-US"/>
        </w:rPr>
        <w:t>Minist</w:t>
      </w:r>
      <w:r w:rsidR="006D77F2" w:rsidRPr="007D47AD">
        <w:rPr>
          <w:rFonts w:asciiTheme="minorHAnsi" w:hAnsiTheme="minorHAnsi"/>
          <w:sz w:val="20"/>
          <w:szCs w:val="20"/>
          <w:lang w:val="en-US"/>
        </w:rPr>
        <w:t>er</w:t>
      </w:r>
      <w:r w:rsidR="00D9695E" w:rsidRPr="007D47AD">
        <w:rPr>
          <w:rFonts w:asciiTheme="minorHAnsi" w:hAnsiTheme="minorHAnsi"/>
          <w:sz w:val="20"/>
          <w:szCs w:val="20"/>
          <w:lang w:val="en-US"/>
        </w:rPr>
        <w:t xml:space="preserve"> </w:t>
      </w:r>
      <w:r w:rsidRPr="007D47AD">
        <w:rPr>
          <w:rFonts w:asciiTheme="minorHAnsi" w:hAnsiTheme="minorHAnsi"/>
          <w:sz w:val="20"/>
          <w:szCs w:val="20"/>
          <w:lang w:val="en-US"/>
        </w:rPr>
        <w:t>of National Defense, who issued statements on the actions of the security forces without a prior investigation</w:t>
      </w:r>
      <w:r w:rsidR="006D77F2" w:rsidRPr="007D47AD">
        <w:rPr>
          <w:rFonts w:asciiTheme="minorHAnsi" w:hAnsiTheme="minorHAnsi"/>
          <w:sz w:val="20"/>
          <w:szCs w:val="20"/>
          <w:lang w:val="en-US"/>
        </w:rPr>
        <w:t>,</w:t>
      </w:r>
      <w:r w:rsidRPr="007D47AD">
        <w:rPr>
          <w:rFonts w:asciiTheme="minorHAnsi" w:hAnsiTheme="minorHAnsi"/>
          <w:sz w:val="20"/>
          <w:szCs w:val="20"/>
          <w:lang w:val="en-US"/>
        </w:rPr>
        <w:t xml:space="preserve"> </w:t>
      </w:r>
      <w:r w:rsidR="006D77F2" w:rsidRPr="007D47AD">
        <w:rPr>
          <w:rFonts w:asciiTheme="minorHAnsi" w:hAnsiTheme="minorHAnsi"/>
          <w:sz w:val="20"/>
          <w:szCs w:val="20"/>
          <w:lang w:val="en-US"/>
        </w:rPr>
        <w:t xml:space="preserve">saying </w:t>
      </w:r>
      <w:r w:rsidRPr="007D47AD">
        <w:rPr>
          <w:rFonts w:asciiTheme="minorHAnsi" w:hAnsiTheme="minorHAnsi"/>
          <w:sz w:val="20"/>
          <w:szCs w:val="20"/>
          <w:lang w:val="en-US"/>
        </w:rPr>
        <w:t>“that priority was accorded at every moment to protecting the higher legal interest, such as the life of the civilian population, also respect for human rights and the adequate use of force, and avoiding any type of massacre.</w:t>
      </w:r>
      <w:r w:rsidR="00DC45F3" w:rsidRPr="007D47AD">
        <w:rPr>
          <w:rFonts w:asciiTheme="minorHAnsi" w:hAnsiTheme="minorHAnsi"/>
          <w:sz w:val="20"/>
          <w:szCs w:val="20"/>
          <w:lang w:val="en-US"/>
        </w:rPr>
        <w:t xml:space="preserve">” </w:t>
      </w:r>
      <w:r w:rsidRPr="007D47AD">
        <w:rPr>
          <w:rFonts w:asciiTheme="minorHAnsi" w:hAnsiTheme="minorHAnsi"/>
          <w:sz w:val="20"/>
          <w:szCs w:val="20"/>
          <w:lang w:val="en-US"/>
        </w:rPr>
        <w:t xml:space="preserve">It also quoted </w:t>
      </w:r>
      <w:r w:rsidR="00DC45F3" w:rsidRPr="007D47AD">
        <w:rPr>
          <w:rFonts w:asciiTheme="minorHAnsi" w:hAnsiTheme="minorHAnsi"/>
          <w:sz w:val="20"/>
          <w:szCs w:val="20"/>
          <w:lang w:val="en-US"/>
        </w:rPr>
        <w:t xml:space="preserve">Alfonso Durazo Montaño, </w:t>
      </w:r>
      <w:r w:rsidRPr="007D47AD">
        <w:rPr>
          <w:rFonts w:asciiTheme="minorHAnsi" w:hAnsiTheme="minorHAnsi"/>
          <w:sz w:val="20"/>
          <w:szCs w:val="20"/>
          <w:lang w:val="en-US"/>
        </w:rPr>
        <w:t>Minister of Public Security</w:t>
      </w:r>
      <w:r w:rsidR="00DC45F3" w:rsidRPr="007D47AD">
        <w:rPr>
          <w:rFonts w:asciiTheme="minorHAnsi" w:hAnsiTheme="minorHAnsi"/>
          <w:sz w:val="20"/>
          <w:szCs w:val="20"/>
          <w:lang w:val="en-US"/>
        </w:rPr>
        <w:t xml:space="preserve">, </w:t>
      </w:r>
      <w:r w:rsidRPr="007D47AD">
        <w:rPr>
          <w:rFonts w:asciiTheme="minorHAnsi" w:hAnsiTheme="minorHAnsi"/>
          <w:sz w:val="20"/>
          <w:szCs w:val="20"/>
          <w:lang w:val="en-US"/>
        </w:rPr>
        <w:t xml:space="preserve">who indicated </w:t>
      </w:r>
      <w:r w:rsidR="00D9695E" w:rsidRPr="007D47AD">
        <w:rPr>
          <w:rFonts w:asciiTheme="minorHAnsi" w:hAnsiTheme="minorHAnsi"/>
          <w:sz w:val="20"/>
          <w:szCs w:val="20"/>
          <w:lang w:val="en-US"/>
        </w:rPr>
        <w:t xml:space="preserve">at </w:t>
      </w:r>
      <w:r w:rsidRPr="007D47AD">
        <w:rPr>
          <w:rFonts w:asciiTheme="minorHAnsi" w:hAnsiTheme="minorHAnsi"/>
          <w:sz w:val="20"/>
          <w:szCs w:val="20"/>
          <w:lang w:val="en-US"/>
        </w:rPr>
        <w:t xml:space="preserve">the same press conference, </w:t>
      </w:r>
      <w:r w:rsidR="00DC45F3" w:rsidRPr="007D47AD">
        <w:rPr>
          <w:rFonts w:asciiTheme="minorHAnsi" w:hAnsiTheme="minorHAnsi"/>
          <w:sz w:val="20"/>
          <w:szCs w:val="20"/>
          <w:lang w:val="en-US"/>
        </w:rPr>
        <w:t>“</w:t>
      </w:r>
      <w:r w:rsidRPr="007D47AD">
        <w:rPr>
          <w:rFonts w:asciiTheme="minorHAnsi" w:hAnsiTheme="minorHAnsi"/>
          <w:sz w:val="20"/>
          <w:szCs w:val="20"/>
          <w:lang w:val="en-US"/>
        </w:rPr>
        <w:t>first, I think that the members of the security forces in the country, particularly the Armed Forces, the Army and the Navy, which are highly valued institutions</w:t>
      </w:r>
      <w:r w:rsidR="00DC45F3" w:rsidRPr="007D47AD">
        <w:rPr>
          <w:rFonts w:asciiTheme="minorHAnsi" w:hAnsiTheme="minorHAnsi"/>
          <w:sz w:val="20"/>
          <w:szCs w:val="20"/>
          <w:lang w:val="en-US"/>
        </w:rPr>
        <w:t xml:space="preserve">, </w:t>
      </w:r>
      <w:r w:rsidRPr="007D47AD">
        <w:rPr>
          <w:rFonts w:asciiTheme="minorHAnsi" w:hAnsiTheme="minorHAnsi"/>
          <w:sz w:val="20"/>
          <w:szCs w:val="20"/>
          <w:lang w:val="en-US"/>
        </w:rPr>
        <w:t>have done a great job for years.</w:t>
      </w:r>
      <w:r w:rsidR="00DC45F3" w:rsidRPr="007D47AD">
        <w:rPr>
          <w:rFonts w:asciiTheme="minorHAnsi" w:hAnsiTheme="minorHAnsi"/>
          <w:sz w:val="20"/>
          <w:szCs w:val="20"/>
          <w:lang w:val="en-US"/>
        </w:rPr>
        <w:t>”</w:t>
      </w:r>
      <w:r w:rsidR="00DC45F3" w:rsidRPr="007D47AD">
        <w:rPr>
          <w:rStyle w:val="FootnoteReference"/>
          <w:rFonts w:asciiTheme="minorHAnsi" w:hAnsiTheme="minorHAnsi"/>
          <w:sz w:val="20"/>
          <w:szCs w:val="20"/>
          <w:lang w:val="en-US"/>
        </w:rPr>
        <w:footnoteReference w:id="36"/>
      </w:r>
    </w:p>
    <w:p w:rsidR="002F612A" w:rsidRPr="007D47AD" w:rsidRDefault="002D14B8" w:rsidP="00E1589F">
      <w:pPr>
        <w:numPr>
          <w:ilvl w:val="0"/>
          <w:numId w:val="6"/>
        </w:numPr>
        <w:shd w:val="clear" w:color="auto" w:fill="FFFFFF"/>
        <w:spacing w:after="240" w:line="240" w:lineRule="auto"/>
        <w:ind w:left="0" w:firstLine="720"/>
        <w:jc w:val="both"/>
        <w:rPr>
          <w:rFonts w:asciiTheme="minorHAnsi" w:hAnsiTheme="minorHAnsi"/>
          <w:sz w:val="20"/>
          <w:szCs w:val="20"/>
          <w:lang w:val="en-US"/>
        </w:rPr>
      </w:pPr>
      <w:r w:rsidRPr="007D47AD">
        <w:rPr>
          <w:rFonts w:asciiTheme="minorHAnsi" w:eastAsia="Times New Roman" w:hAnsiTheme="minorHAnsi" w:cs="Arial"/>
          <w:sz w:val="20"/>
          <w:szCs w:val="20"/>
          <w:lang w:val="en-US"/>
        </w:rPr>
        <w:t xml:space="preserve">Although the participation of the CNDH </w:t>
      </w:r>
      <w:r w:rsidR="006D77F2" w:rsidRPr="007D47AD">
        <w:rPr>
          <w:rFonts w:asciiTheme="minorHAnsi" w:eastAsia="Times New Roman" w:hAnsiTheme="minorHAnsi" w:cs="Arial"/>
          <w:sz w:val="20"/>
          <w:szCs w:val="20"/>
          <w:lang w:val="en-US"/>
        </w:rPr>
        <w:t xml:space="preserve">indicates </w:t>
      </w:r>
      <w:r w:rsidRPr="007D47AD">
        <w:rPr>
          <w:rFonts w:asciiTheme="minorHAnsi" w:eastAsia="Times New Roman" w:hAnsiTheme="minorHAnsi" w:cs="Arial"/>
          <w:sz w:val="20"/>
          <w:szCs w:val="20"/>
          <w:lang w:val="en-US"/>
        </w:rPr>
        <w:t xml:space="preserve">that there are organs that are promoting the implementation of this recommendation, the information submitted is scant when it comes to evaluating the status of its implementation. Rather, </w:t>
      </w:r>
      <w:r w:rsidR="003666BD" w:rsidRPr="007D47AD">
        <w:rPr>
          <w:rFonts w:asciiTheme="minorHAnsi" w:eastAsia="Times New Roman" w:hAnsiTheme="minorHAnsi" w:cs="Arial"/>
          <w:sz w:val="20"/>
          <w:szCs w:val="20"/>
          <w:lang w:val="en-US"/>
        </w:rPr>
        <w:t>the examples that have been presented indicate that the Mexican authorities</w:t>
      </w:r>
      <w:r w:rsidR="00B260BA" w:rsidRPr="007D47AD">
        <w:rPr>
          <w:rFonts w:asciiTheme="minorHAnsi" w:eastAsia="Times New Roman" w:hAnsiTheme="minorHAnsi" w:cs="Arial"/>
          <w:sz w:val="20"/>
          <w:szCs w:val="20"/>
          <w:lang w:val="en-US"/>
        </w:rPr>
        <w:t>’ practice</w:t>
      </w:r>
      <w:r w:rsidR="003666BD" w:rsidRPr="007D47AD">
        <w:rPr>
          <w:rFonts w:asciiTheme="minorHAnsi" w:eastAsia="Times New Roman" w:hAnsiTheme="minorHAnsi" w:cs="Arial"/>
          <w:sz w:val="20"/>
          <w:szCs w:val="20"/>
          <w:lang w:val="en-US"/>
        </w:rPr>
        <w:t xml:space="preserve"> of referring to the legality of the operations before an investigation </w:t>
      </w:r>
      <w:r w:rsidR="006D77F2" w:rsidRPr="007D47AD">
        <w:rPr>
          <w:rFonts w:asciiTheme="minorHAnsi" w:eastAsia="Times New Roman" w:hAnsiTheme="minorHAnsi" w:cs="Arial"/>
          <w:sz w:val="20"/>
          <w:szCs w:val="20"/>
          <w:lang w:val="en-US"/>
        </w:rPr>
        <w:t xml:space="preserve">is carried out </w:t>
      </w:r>
      <w:r w:rsidR="003666BD" w:rsidRPr="007D47AD">
        <w:rPr>
          <w:rFonts w:asciiTheme="minorHAnsi" w:eastAsia="Times New Roman" w:hAnsiTheme="minorHAnsi" w:cs="Arial"/>
          <w:sz w:val="20"/>
          <w:szCs w:val="20"/>
          <w:lang w:val="en-US"/>
        </w:rPr>
        <w:t>have not been entirely eradicated, especially if these examples come from press conference</w:t>
      </w:r>
      <w:r w:rsidR="00B260BA" w:rsidRPr="007D47AD">
        <w:rPr>
          <w:rFonts w:asciiTheme="minorHAnsi" w:eastAsia="Times New Roman" w:hAnsiTheme="minorHAnsi" w:cs="Arial"/>
          <w:sz w:val="20"/>
          <w:szCs w:val="20"/>
          <w:lang w:val="en-US"/>
        </w:rPr>
        <w:t>s</w:t>
      </w:r>
      <w:r w:rsidR="003666BD" w:rsidRPr="007D47AD">
        <w:rPr>
          <w:rFonts w:asciiTheme="minorHAnsi" w:eastAsia="Times New Roman" w:hAnsiTheme="minorHAnsi" w:cs="Arial"/>
          <w:sz w:val="20"/>
          <w:szCs w:val="20"/>
          <w:lang w:val="en-US"/>
        </w:rPr>
        <w:t xml:space="preserve"> on major operations, such as the one in </w:t>
      </w:r>
      <w:r w:rsidR="00DC45F3" w:rsidRPr="007D47AD">
        <w:rPr>
          <w:rFonts w:asciiTheme="minorHAnsi" w:eastAsia="Times New Roman" w:hAnsiTheme="minorHAnsi" w:cs="Arial"/>
          <w:sz w:val="20"/>
          <w:szCs w:val="20"/>
          <w:lang w:val="en-US"/>
        </w:rPr>
        <w:t>Culiacán, Sinaloa.</w:t>
      </w:r>
      <w:r w:rsidR="002F4063" w:rsidRPr="007D47AD">
        <w:rPr>
          <w:rFonts w:asciiTheme="minorHAnsi" w:eastAsia="Times New Roman" w:hAnsiTheme="minorHAnsi" w:cs="Arial"/>
          <w:sz w:val="20"/>
          <w:szCs w:val="20"/>
          <w:lang w:val="en-US"/>
        </w:rPr>
        <w:t xml:space="preserve">  </w:t>
      </w:r>
      <w:r w:rsidR="009150B9" w:rsidRPr="007D47AD">
        <w:rPr>
          <w:rFonts w:asciiTheme="minorHAnsi" w:hAnsiTheme="minorHAnsi"/>
          <w:sz w:val="20"/>
          <w:szCs w:val="20"/>
          <w:lang w:val="en-US"/>
        </w:rPr>
        <w:t>In</w:t>
      </w:r>
      <w:r w:rsidR="002F4063" w:rsidRPr="007D47AD">
        <w:rPr>
          <w:rFonts w:asciiTheme="minorHAnsi" w:hAnsiTheme="minorHAnsi"/>
          <w:sz w:val="20"/>
          <w:szCs w:val="20"/>
          <w:lang w:val="en-US"/>
        </w:rPr>
        <w:t xml:space="preserve"> </w:t>
      </w:r>
      <w:r w:rsidR="009150B9" w:rsidRPr="007D47AD">
        <w:rPr>
          <w:rFonts w:asciiTheme="minorHAnsi" w:hAnsiTheme="minorHAnsi"/>
          <w:sz w:val="20"/>
          <w:szCs w:val="20"/>
          <w:lang w:val="en-US"/>
        </w:rPr>
        <w:t xml:space="preserve">its observations on the draft of this report the State indicated that the </w:t>
      </w:r>
      <w:r w:rsidR="002F4063" w:rsidRPr="007D47AD">
        <w:rPr>
          <w:rFonts w:asciiTheme="minorHAnsi" w:eastAsia="Times New Roman" w:hAnsiTheme="minorHAnsi" w:cs="Arial"/>
          <w:sz w:val="20"/>
          <w:szCs w:val="20"/>
          <w:lang w:val="en-US"/>
        </w:rPr>
        <w:t xml:space="preserve">SSPC </w:t>
      </w:r>
      <w:r w:rsidR="009150B9" w:rsidRPr="007D47AD">
        <w:rPr>
          <w:rFonts w:asciiTheme="minorHAnsi" w:eastAsia="Times New Roman" w:hAnsiTheme="minorHAnsi" w:cs="Arial"/>
          <w:sz w:val="20"/>
          <w:szCs w:val="20"/>
          <w:lang w:val="en-US"/>
        </w:rPr>
        <w:t>instructed all personnel, in the performance of their duties, not to design public policies for social communication that impair the rights of third persons, nor to show photographs or provide personal data of detainees in the media.</w:t>
      </w:r>
      <w:r w:rsidR="002F4063" w:rsidRPr="007D47AD">
        <w:rPr>
          <w:rStyle w:val="FootnoteReference"/>
          <w:rFonts w:asciiTheme="minorHAnsi" w:hAnsiTheme="minorHAnsi"/>
          <w:sz w:val="20"/>
          <w:szCs w:val="20"/>
          <w:lang w:val="en-US"/>
        </w:rPr>
        <w:footnoteReference w:id="37"/>
      </w:r>
      <w:r w:rsidR="002F4063" w:rsidRPr="007D47AD">
        <w:rPr>
          <w:rFonts w:asciiTheme="minorHAnsi" w:eastAsia="Times New Roman" w:hAnsiTheme="minorHAnsi" w:cs="Arial"/>
          <w:sz w:val="20"/>
          <w:szCs w:val="20"/>
          <w:lang w:val="en-US"/>
        </w:rPr>
        <w:t xml:space="preserve"> Despite the aforementioned, and taking into account </w:t>
      </w:r>
      <w:r w:rsidR="005920F2" w:rsidRPr="007D47AD">
        <w:rPr>
          <w:rFonts w:asciiTheme="minorHAnsi" w:eastAsia="Times New Roman" w:hAnsiTheme="minorHAnsi" w:cs="Arial"/>
          <w:sz w:val="20"/>
          <w:szCs w:val="20"/>
          <w:lang w:val="en-US"/>
        </w:rPr>
        <w:t xml:space="preserve">the information submitted by the State, </w:t>
      </w:r>
      <w:r w:rsidR="003666BD" w:rsidRPr="007D47AD">
        <w:rPr>
          <w:rFonts w:asciiTheme="minorHAnsi" w:eastAsia="Times New Roman" w:hAnsiTheme="minorHAnsi" w:cs="Arial"/>
          <w:sz w:val="20"/>
          <w:szCs w:val="20"/>
          <w:lang w:val="en-US"/>
        </w:rPr>
        <w:t xml:space="preserve">the Commission considers that the recommendation has met with partial compliance. </w:t>
      </w:r>
    </w:p>
    <w:p w:rsidR="009C095D" w:rsidRPr="007D47AD" w:rsidRDefault="003666BD" w:rsidP="00835769">
      <w:pPr>
        <w:numPr>
          <w:ilvl w:val="0"/>
          <w:numId w:val="6"/>
        </w:numPr>
        <w:shd w:val="clear" w:color="auto" w:fill="FFFFFF"/>
        <w:spacing w:after="240" w:line="240" w:lineRule="auto"/>
        <w:ind w:left="0" w:firstLine="720"/>
        <w:jc w:val="both"/>
        <w:rPr>
          <w:rFonts w:asciiTheme="minorHAnsi" w:hAnsiTheme="minorHAnsi"/>
          <w:sz w:val="20"/>
          <w:szCs w:val="20"/>
          <w:lang w:val="en-US"/>
        </w:rPr>
      </w:pPr>
      <w:r w:rsidRPr="007D47AD">
        <w:rPr>
          <w:rFonts w:asciiTheme="minorHAnsi" w:hAnsiTheme="minorHAnsi"/>
          <w:sz w:val="20"/>
          <w:szCs w:val="20"/>
          <w:lang w:val="en-US"/>
        </w:rPr>
        <w:t xml:space="preserve">As regards the recommendation </w:t>
      </w:r>
      <w:r w:rsidR="006E0753" w:rsidRPr="007D47AD">
        <w:rPr>
          <w:rFonts w:asciiTheme="minorHAnsi" w:hAnsiTheme="minorHAnsi"/>
          <w:sz w:val="20"/>
          <w:szCs w:val="20"/>
          <w:lang w:val="en-US"/>
        </w:rPr>
        <w:t xml:space="preserve">to </w:t>
      </w:r>
      <w:r w:rsidR="006E0753" w:rsidRPr="007D47AD">
        <w:rPr>
          <w:rFonts w:asciiTheme="minorHAnsi" w:hAnsiTheme="minorHAnsi"/>
          <w:b/>
          <w:sz w:val="20"/>
          <w:szCs w:val="20"/>
          <w:lang w:val="en-US"/>
        </w:rPr>
        <w:t xml:space="preserve">ensure that in cases of forced disappearances, extrajudicial executions and torture, </w:t>
      </w:r>
      <w:r w:rsidR="00B260BA" w:rsidRPr="007D47AD">
        <w:rPr>
          <w:rFonts w:asciiTheme="minorHAnsi" w:hAnsiTheme="minorHAnsi"/>
          <w:b/>
          <w:sz w:val="20"/>
          <w:szCs w:val="20"/>
          <w:lang w:val="en-US"/>
        </w:rPr>
        <w:t xml:space="preserve">lines of </w:t>
      </w:r>
      <w:r w:rsidR="006E0753" w:rsidRPr="007D47AD">
        <w:rPr>
          <w:rFonts w:asciiTheme="minorHAnsi" w:hAnsiTheme="minorHAnsi"/>
          <w:b/>
          <w:sz w:val="20"/>
          <w:szCs w:val="20"/>
          <w:lang w:val="en-US"/>
        </w:rPr>
        <w:t>investigation relate not only to the material perpetrators, but also include the responsibility of those in the chain of command,</w:t>
      </w:r>
      <w:r w:rsidRPr="007D47AD">
        <w:rPr>
          <w:rFonts w:asciiTheme="minorHAnsi" w:hAnsiTheme="minorHAnsi"/>
          <w:sz w:val="20"/>
          <w:szCs w:val="20"/>
          <w:lang w:val="en-US"/>
        </w:rPr>
        <w:t xml:space="preserve"> the State referred to the General Law on Disappearance and the General Law on Torture. It indicated that both laws establish that the criminal liability for committing those crimes extends to superiors</w:t>
      </w:r>
      <w:r w:rsidR="00835769" w:rsidRPr="007D47AD">
        <w:rPr>
          <w:rFonts w:asciiTheme="minorHAnsi" w:hAnsiTheme="minorHAnsi"/>
          <w:sz w:val="20"/>
          <w:szCs w:val="20"/>
          <w:lang w:val="en-US"/>
        </w:rPr>
        <w:t xml:space="preserve">, </w:t>
      </w:r>
      <w:r w:rsidRPr="007D47AD">
        <w:rPr>
          <w:rFonts w:asciiTheme="minorHAnsi" w:hAnsiTheme="minorHAnsi"/>
          <w:sz w:val="20"/>
          <w:szCs w:val="20"/>
          <w:lang w:val="en-US"/>
        </w:rPr>
        <w:t xml:space="preserve">and in that regard it also referred to the Code of Military Justice, which punishes the lack of </w:t>
      </w:r>
      <w:r w:rsidR="00835769" w:rsidRPr="007D47AD">
        <w:rPr>
          <w:rFonts w:asciiTheme="minorHAnsi" w:hAnsiTheme="minorHAnsi"/>
          <w:i/>
          <w:sz w:val="20"/>
          <w:szCs w:val="20"/>
          <w:lang w:val="en-US"/>
        </w:rPr>
        <w:t>notitia criminis</w:t>
      </w:r>
      <w:r w:rsidR="00835769" w:rsidRPr="007D47AD">
        <w:rPr>
          <w:rFonts w:asciiTheme="minorHAnsi" w:hAnsiTheme="minorHAnsi"/>
          <w:sz w:val="20"/>
          <w:szCs w:val="20"/>
          <w:lang w:val="en-US"/>
        </w:rPr>
        <w:t xml:space="preserve"> </w:t>
      </w:r>
      <w:r w:rsidRPr="007D47AD">
        <w:rPr>
          <w:rFonts w:asciiTheme="minorHAnsi" w:hAnsiTheme="minorHAnsi"/>
          <w:sz w:val="20"/>
          <w:szCs w:val="20"/>
          <w:lang w:val="en-US"/>
        </w:rPr>
        <w:t>by members of security forces, without prejudice to their rank</w:t>
      </w:r>
      <w:r w:rsidR="006D77F2" w:rsidRPr="007D47AD">
        <w:rPr>
          <w:rFonts w:asciiTheme="minorHAnsi" w:hAnsiTheme="minorHAnsi"/>
          <w:sz w:val="20"/>
          <w:szCs w:val="20"/>
          <w:lang w:val="en-US"/>
        </w:rPr>
        <w:t xml:space="preserve"> or hierarchical position</w:t>
      </w:r>
      <w:r w:rsidR="00B260BA" w:rsidRPr="007D47AD">
        <w:rPr>
          <w:rFonts w:asciiTheme="minorHAnsi" w:hAnsiTheme="minorHAnsi"/>
          <w:sz w:val="20"/>
          <w:szCs w:val="20"/>
          <w:lang w:val="en-US"/>
        </w:rPr>
        <w:t>.</w:t>
      </w:r>
      <w:r w:rsidRPr="007D47AD">
        <w:rPr>
          <w:rFonts w:asciiTheme="minorHAnsi" w:hAnsiTheme="minorHAnsi"/>
          <w:sz w:val="20"/>
          <w:szCs w:val="20"/>
          <w:lang w:val="en-US"/>
        </w:rPr>
        <w:t xml:space="preserve"> This type of regulation is also included in the Manual on the Use of Force. In addition, the State reiterated that the recommendations of the </w:t>
      </w:r>
      <w:r w:rsidR="00835769" w:rsidRPr="007D47AD">
        <w:rPr>
          <w:rFonts w:asciiTheme="minorHAnsi" w:hAnsiTheme="minorHAnsi"/>
          <w:sz w:val="20"/>
          <w:szCs w:val="20"/>
          <w:lang w:val="en-US"/>
        </w:rPr>
        <w:t xml:space="preserve">CNDH </w:t>
      </w:r>
      <w:r w:rsidRPr="007D47AD">
        <w:rPr>
          <w:rFonts w:asciiTheme="minorHAnsi" w:hAnsiTheme="minorHAnsi"/>
          <w:sz w:val="20"/>
          <w:szCs w:val="20"/>
          <w:lang w:val="en-US"/>
        </w:rPr>
        <w:t>to the Ministry of the Navy have been useful for initiating the inv</w:t>
      </w:r>
      <w:r w:rsidR="00B260BA" w:rsidRPr="007D47AD">
        <w:rPr>
          <w:rFonts w:asciiTheme="minorHAnsi" w:hAnsiTheme="minorHAnsi"/>
          <w:sz w:val="20"/>
          <w:szCs w:val="20"/>
          <w:lang w:val="en-US"/>
        </w:rPr>
        <w:t>e</w:t>
      </w:r>
      <w:r w:rsidRPr="007D47AD">
        <w:rPr>
          <w:rFonts w:asciiTheme="minorHAnsi" w:hAnsiTheme="minorHAnsi"/>
          <w:sz w:val="20"/>
          <w:szCs w:val="20"/>
          <w:lang w:val="en-US"/>
        </w:rPr>
        <w:t xml:space="preserve">stigations </w:t>
      </w:r>
      <w:r w:rsidR="00910B8D" w:rsidRPr="007D47AD">
        <w:rPr>
          <w:rFonts w:asciiTheme="minorHAnsi" w:hAnsiTheme="minorHAnsi"/>
          <w:sz w:val="20"/>
          <w:szCs w:val="20"/>
          <w:lang w:val="en-US"/>
        </w:rPr>
        <w:t xml:space="preserve">by </w:t>
      </w:r>
      <w:r w:rsidRPr="007D47AD">
        <w:rPr>
          <w:rFonts w:asciiTheme="minorHAnsi" w:hAnsiTheme="minorHAnsi"/>
          <w:sz w:val="20"/>
          <w:szCs w:val="20"/>
          <w:lang w:val="en-US"/>
        </w:rPr>
        <w:t xml:space="preserve">the Office of the Attorney General. </w:t>
      </w:r>
      <w:r w:rsidR="00835769" w:rsidRPr="007D47AD">
        <w:rPr>
          <w:rFonts w:asciiTheme="minorHAnsi" w:hAnsiTheme="minorHAnsi"/>
          <w:sz w:val="20"/>
          <w:szCs w:val="20"/>
          <w:lang w:val="en-US"/>
        </w:rPr>
        <w:t>Final</w:t>
      </w:r>
      <w:r w:rsidRPr="007D47AD">
        <w:rPr>
          <w:rFonts w:asciiTheme="minorHAnsi" w:hAnsiTheme="minorHAnsi"/>
          <w:sz w:val="20"/>
          <w:szCs w:val="20"/>
          <w:lang w:val="en-US"/>
        </w:rPr>
        <w:t>ly</w:t>
      </w:r>
      <w:r w:rsidR="00835769" w:rsidRPr="007D47AD">
        <w:rPr>
          <w:rFonts w:asciiTheme="minorHAnsi" w:hAnsiTheme="minorHAnsi"/>
          <w:sz w:val="20"/>
          <w:szCs w:val="20"/>
          <w:lang w:val="en-US"/>
        </w:rPr>
        <w:t xml:space="preserve">, </w:t>
      </w:r>
      <w:r w:rsidRPr="007D47AD">
        <w:rPr>
          <w:rFonts w:asciiTheme="minorHAnsi" w:hAnsiTheme="minorHAnsi"/>
          <w:sz w:val="20"/>
          <w:szCs w:val="20"/>
          <w:lang w:val="en-US"/>
        </w:rPr>
        <w:t xml:space="preserve">the State said that the adoption of the </w:t>
      </w:r>
      <w:r w:rsidR="00B260BA" w:rsidRPr="007D47AD">
        <w:rPr>
          <w:rFonts w:asciiTheme="minorHAnsi" w:hAnsiTheme="minorHAnsi"/>
          <w:sz w:val="20"/>
          <w:szCs w:val="20"/>
          <w:lang w:val="en-US"/>
        </w:rPr>
        <w:t xml:space="preserve">Federal </w:t>
      </w:r>
      <w:r w:rsidRPr="007D47AD">
        <w:rPr>
          <w:rFonts w:asciiTheme="minorHAnsi" w:hAnsiTheme="minorHAnsi"/>
          <w:sz w:val="20"/>
          <w:szCs w:val="20"/>
          <w:lang w:val="en-US"/>
        </w:rPr>
        <w:t xml:space="preserve">Law on the Use of Force has established a regime of responsibilities that establishes </w:t>
      </w:r>
      <w:r w:rsidRPr="007D47AD">
        <w:rPr>
          <w:rFonts w:asciiTheme="minorHAnsi" w:hAnsiTheme="minorHAnsi"/>
          <w:sz w:val="20"/>
          <w:szCs w:val="20"/>
          <w:lang w:val="en-US"/>
        </w:rPr>
        <w:lastRenderedPageBreak/>
        <w:t>that superiors will be responsible when they should have or have knowledge that the agents under their command have made unlawful use of force, or the tools or firearms of which they are in charge, and do not stop it or report it to the corresponding authorities.</w:t>
      </w:r>
      <w:r w:rsidR="00835769" w:rsidRPr="007D47AD">
        <w:rPr>
          <w:rStyle w:val="FootnoteReference"/>
          <w:rFonts w:asciiTheme="minorHAnsi" w:hAnsiTheme="minorHAnsi"/>
          <w:sz w:val="20"/>
          <w:szCs w:val="20"/>
          <w:lang w:val="en-US"/>
        </w:rPr>
        <w:footnoteReference w:id="38"/>
      </w:r>
      <w:r w:rsidR="005920F2" w:rsidRPr="007D47AD">
        <w:rPr>
          <w:rFonts w:asciiTheme="minorHAnsi" w:hAnsiTheme="minorHAnsi"/>
          <w:sz w:val="20"/>
          <w:szCs w:val="20"/>
          <w:lang w:val="en-US"/>
        </w:rPr>
        <w:t xml:space="preserve"> </w:t>
      </w:r>
      <w:r w:rsidR="009150B9" w:rsidRPr="007D47AD">
        <w:rPr>
          <w:rFonts w:asciiTheme="minorHAnsi" w:hAnsiTheme="minorHAnsi"/>
          <w:sz w:val="20"/>
          <w:szCs w:val="20"/>
          <w:lang w:val="en-US"/>
        </w:rPr>
        <w:t>I</w:t>
      </w:r>
      <w:r w:rsidR="005920F2" w:rsidRPr="007D47AD">
        <w:rPr>
          <w:rFonts w:asciiTheme="minorHAnsi" w:hAnsiTheme="minorHAnsi"/>
          <w:sz w:val="20"/>
          <w:szCs w:val="20"/>
          <w:lang w:val="en-US"/>
        </w:rPr>
        <w:t xml:space="preserve">n </w:t>
      </w:r>
      <w:r w:rsidR="009150B9" w:rsidRPr="007D47AD">
        <w:rPr>
          <w:rFonts w:asciiTheme="minorHAnsi" w:hAnsiTheme="minorHAnsi"/>
          <w:sz w:val="20"/>
          <w:szCs w:val="20"/>
          <w:lang w:val="en-US"/>
        </w:rPr>
        <w:t xml:space="preserve">its observations on the draft of this report the State added training actions on human rights for naval commanders of the </w:t>
      </w:r>
      <w:r w:rsidR="005920F2" w:rsidRPr="007D47AD">
        <w:rPr>
          <w:rFonts w:asciiTheme="minorHAnsi" w:hAnsiTheme="minorHAnsi"/>
          <w:sz w:val="20"/>
          <w:szCs w:val="20"/>
          <w:lang w:val="en-US"/>
        </w:rPr>
        <w:t>SEMAR</w:t>
      </w:r>
      <w:r w:rsidR="009150B9" w:rsidRPr="007D47AD">
        <w:rPr>
          <w:rFonts w:asciiTheme="minorHAnsi" w:hAnsiTheme="minorHAnsi"/>
          <w:sz w:val="20"/>
          <w:szCs w:val="20"/>
          <w:lang w:val="en-US"/>
        </w:rPr>
        <w:t>,</w:t>
      </w:r>
      <w:r w:rsidR="005920F2" w:rsidRPr="007D47AD">
        <w:rPr>
          <w:rFonts w:asciiTheme="minorHAnsi" w:hAnsiTheme="minorHAnsi"/>
          <w:sz w:val="20"/>
          <w:szCs w:val="20"/>
          <w:lang w:val="en-US"/>
        </w:rPr>
        <w:t xml:space="preserve"> </w:t>
      </w:r>
      <w:r w:rsidR="009150B9" w:rsidRPr="007D47AD">
        <w:rPr>
          <w:rFonts w:asciiTheme="minorHAnsi" w:hAnsiTheme="minorHAnsi"/>
          <w:sz w:val="20"/>
          <w:szCs w:val="20"/>
          <w:lang w:val="en-US"/>
        </w:rPr>
        <w:t xml:space="preserve">following up on recommendations of the </w:t>
      </w:r>
      <w:r w:rsidR="005920F2" w:rsidRPr="007D47AD">
        <w:rPr>
          <w:rFonts w:asciiTheme="minorHAnsi" w:hAnsiTheme="minorHAnsi"/>
          <w:sz w:val="20"/>
          <w:szCs w:val="20"/>
          <w:lang w:val="en-US"/>
        </w:rPr>
        <w:t>CNDH</w:t>
      </w:r>
      <w:r w:rsidR="009150B9" w:rsidRPr="007D47AD">
        <w:rPr>
          <w:rFonts w:asciiTheme="minorHAnsi" w:hAnsiTheme="minorHAnsi"/>
          <w:sz w:val="20"/>
          <w:szCs w:val="20"/>
          <w:lang w:val="en-US"/>
        </w:rPr>
        <w:t>.</w:t>
      </w:r>
      <w:r w:rsidR="005920F2" w:rsidRPr="007D47AD">
        <w:rPr>
          <w:rStyle w:val="FootnoteReference"/>
          <w:rFonts w:asciiTheme="minorHAnsi" w:hAnsiTheme="minorHAnsi"/>
          <w:sz w:val="20"/>
          <w:szCs w:val="20"/>
          <w:lang w:val="en-US"/>
        </w:rPr>
        <w:footnoteReference w:id="39"/>
      </w:r>
    </w:p>
    <w:p w:rsidR="009C095D" w:rsidRPr="007D47AD" w:rsidRDefault="00B260BA" w:rsidP="00E472A2">
      <w:pPr>
        <w:numPr>
          <w:ilvl w:val="0"/>
          <w:numId w:val="6"/>
        </w:numPr>
        <w:shd w:val="clear" w:color="auto" w:fill="FFFFFF"/>
        <w:spacing w:after="240" w:line="240" w:lineRule="auto"/>
        <w:ind w:left="0" w:firstLine="720"/>
        <w:jc w:val="both"/>
        <w:rPr>
          <w:rFonts w:asciiTheme="minorHAnsi" w:eastAsia="Times New Roman" w:hAnsiTheme="minorHAnsi" w:cs="Arial"/>
          <w:sz w:val="20"/>
          <w:szCs w:val="20"/>
          <w:lang w:val="en-US"/>
        </w:rPr>
      </w:pPr>
      <w:r w:rsidRPr="007D47AD">
        <w:rPr>
          <w:rFonts w:asciiTheme="minorHAnsi" w:eastAsia="Times New Roman" w:hAnsiTheme="minorHAnsi" w:cs="Arial"/>
          <w:sz w:val="20"/>
          <w:szCs w:val="20"/>
          <w:lang w:val="en-US"/>
        </w:rPr>
        <w:t>T</w:t>
      </w:r>
      <w:r w:rsidR="003666BD" w:rsidRPr="007D47AD">
        <w:rPr>
          <w:rFonts w:asciiTheme="minorHAnsi" w:eastAsia="Times New Roman" w:hAnsiTheme="minorHAnsi" w:cs="Arial"/>
          <w:sz w:val="20"/>
          <w:szCs w:val="20"/>
          <w:lang w:val="en-US"/>
        </w:rPr>
        <w:t xml:space="preserve">he IACHR notes that the </w:t>
      </w:r>
      <w:r w:rsidRPr="007D47AD">
        <w:rPr>
          <w:rFonts w:asciiTheme="minorHAnsi" w:eastAsia="Times New Roman" w:hAnsiTheme="minorHAnsi" w:cs="Arial"/>
          <w:sz w:val="20"/>
          <w:szCs w:val="20"/>
          <w:lang w:val="en-US"/>
        </w:rPr>
        <w:t xml:space="preserve">Federal </w:t>
      </w:r>
      <w:r w:rsidR="003666BD" w:rsidRPr="007D47AD">
        <w:rPr>
          <w:rFonts w:asciiTheme="minorHAnsi" w:eastAsia="Times New Roman" w:hAnsiTheme="minorHAnsi" w:cs="Arial"/>
          <w:sz w:val="20"/>
          <w:szCs w:val="20"/>
          <w:lang w:val="en-US"/>
        </w:rPr>
        <w:t xml:space="preserve">Law on the Use of Force regulates, at chapter XI, the Regime of Responsibilities. </w:t>
      </w:r>
      <w:r w:rsidR="00D746A8" w:rsidRPr="007D47AD">
        <w:rPr>
          <w:rFonts w:asciiTheme="minorHAnsi" w:eastAsia="Times New Roman" w:hAnsiTheme="minorHAnsi" w:cs="Arial"/>
          <w:sz w:val="20"/>
          <w:szCs w:val="20"/>
          <w:lang w:val="en-US"/>
        </w:rPr>
        <w:t>That law establishes that the commanders of the institutions that include public security forc</w:t>
      </w:r>
      <w:r w:rsidRPr="007D47AD">
        <w:rPr>
          <w:rFonts w:asciiTheme="minorHAnsi" w:eastAsia="Times New Roman" w:hAnsiTheme="minorHAnsi" w:cs="Arial"/>
          <w:sz w:val="20"/>
          <w:szCs w:val="20"/>
          <w:lang w:val="en-US"/>
        </w:rPr>
        <w:t>e</w:t>
      </w:r>
      <w:r w:rsidR="00D746A8" w:rsidRPr="007D47AD">
        <w:rPr>
          <w:rFonts w:asciiTheme="minorHAnsi" w:eastAsia="Times New Roman" w:hAnsiTheme="minorHAnsi" w:cs="Arial"/>
          <w:sz w:val="20"/>
          <w:szCs w:val="20"/>
          <w:lang w:val="en-US"/>
        </w:rPr>
        <w:t xml:space="preserve">s should verify that their subordinates act in keeping with the law, ensure that the unlawful use of force is punished, and uphold the obligation of all members of </w:t>
      </w:r>
      <w:r w:rsidR="00910B8D" w:rsidRPr="007D47AD">
        <w:rPr>
          <w:rFonts w:asciiTheme="minorHAnsi" w:eastAsia="Times New Roman" w:hAnsiTheme="minorHAnsi" w:cs="Arial"/>
          <w:sz w:val="20"/>
          <w:szCs w:val="20"/>
          <w:lang w:val="en-US"/>
        </w:rPr>
        <w:t xml:space="preserve">public forces </w:t>
      </w:r>
      <w:r w:rsidR="00D746A8" w:rsidRPr="007D47AD">
        <w:rPr>
          <w:rFonts w:asciiTheme="minorHAnsi" w:eastAsia="Times New Roman" w:hAnsiTheme="minorHAnsi" w:cs="Arial"/>
          <w:sz w:val="20"/>
          <w:szCs w:val="20"/>
          <w:lang w:val="en-US"/>
        </w:rPr>
        <w:t xml:space="preserve">to report to the competent authority any knowledge they come to have of the unlawful use of force. In effect, the IACHR finds that the establishment of a regime of liabilities is a step forward in fighting impunity in the area of public security; the situations regulated are delimited to the use of </w:t>
      </w:r>
      <w:r w:rsidR="00910B8D" w:rsidRPr="007D47AD">
        <w:rPr>
          <w:rFonts w:asciiTheme="minorHAnsi" w:eastAsia="Times New Roman" w:hAnsiTheme="minorHAnsi" w:cs="Arial"/>
          <w:sz w:val="20"/>
          <w:szCs w:val="20"/>
          <w:lang w:val="en-US"/>
        </w:rPr>
        <w:t xml:space="preserve">public force </w:t>
      </w:r>
      <w:r w:rsidR="00D746A8" w:rsidRPr="007D47AD">
        <w:rPr>
          <w:rFonts w:asciiTheme="minorHAnsi" w:eastAsia="Times New Roman" w:hAnsiTheme="minorHAnsi" w:cs="Arial"/>
          <w:sz w:val="20"/>
          <w:szCs w:val="20"/>
          <w:lang w:val="en-US"/>
        </w:rPr>
        <w:t>in official operations and by identified agents. Nonetheless, acts of torture, forced disappearance, and extrajudicial executions may be committed in clandestine operations, with the omission or acquiescence of state agents, or by third persons</w:t>
      </w:r>
      <w:r w:rsidR="008A0806" w:rsidRPr="007D47AD">
        <w:rPr>
          <w:rFonts w:asciiTheme="minorHAnsi" w:eastAsia="Times New Roman" w:hAnsiTheme="minorHAnsi" w:cs="Arial"/>
          <w:sz w:val="20"/>
          <w:szCs w:val="20"/>
          <w:lang w:val="en-US"/>
        </w:rPr>
        <w:t>.</w:t>
      </w:r>
      <w:r w:rsidR="00D746A8" w:rsidRPr="007D47AD">
        <w:rPr>
          <w:rFonts w:asciiTheme="minorHAnsi" w:eastAsia="Times New Roman" w:hAnsiTheme="minorHAnsi" w:cs="Arial"/>
          <w:sz w:val="20"/>
          <w:szCs w:val="20"/>
          <w:lang w:val="en-US"/>
        </w:rPr>
        <w:t xml:space="preserve"> </w:t>
      </w:r>
    </w:p>
    <w:p w:rsidR="009C095D" w:rsidRPr="007D47AD" w:rsidRDefault="00D746A8" w:rsidP="00E472A2">
      <w:pPr>
        <w:numPr>
          <w:ilvl w:val="0"/>
          <w:numId w:val="6"/>
        </w:numPr>
        <w:shd w:val="clear" w:color="auto" w:fill="FFFFFF"/>
        <w:spacing w:after="240" w:line="240" w:lineRule="auto"/>
        <w:ind w:left="0" w:firstLine="720"/>
        <w:jc w:val="both"/>
        <w:rPr>
          <w:rFonts w:asciiTheme="minorHAnsi" w:eastAsia="Times New Roman" w:hAnsiTheme="minorHAnsi" w:cs="Arial"/>
          <w:sz w:val="20"/>
          <w:szCs w:val="20"/>
          <w:lang w:val="en-US"/>
        </w:rPr>
      </w:pPr>
      <w:r w:rsidRPr="007D47AD">
        <w:rPr>
          <w:rFonts w:asciiTheme="minorHAnsi" w:eastAsia="Times New Roman" w:hAnsiTheme="minorHAnsi" w:cs="Arial"/>
          <w:sz w:val="20"/>
          <w:szCs w:val="20"/>
          <w:lang w:val="en-US"/>
        </w:rPr>
        <w:t xml:space="preserve">In addition, while the legal framework provides for investigations into forced disappearance including the chain of command, the IACHR notes that more evidence is required to evaluate the impact of the regime of liabilities on the use of force, and how it has interacted with the other </w:t>
      </w:r>
      <w:r w:rsidR="00E664B0" w:rsidRPr="007D47AD">
        <w:rPr>
          <w:rFonts w:asciiTheme="minorHAnsi" w:eastAsia="Times New Roman" w:hAnsiTheme="minorHAnsi" w:cs="Arial"/>
          <w:sz w:val="20"/>
          <w:szCs w:val="20"/>
          <w:lang w:val="en-US"/>
        </w:rPr>
        <w:t>obliga</w:t>
      </w:r>
      <w:r w:rsidRPr="007D47AD">
        <w:rPr>
          <w:rFonts w:asciiTheme="minorHAnsi" w:eastAsia="Times New Roman" w:hAnsiTheme="minorHAnsi" w:cs="Arial"/>
          <w:sz w:val="20"/>
          <w:szCs w:val="20"/>
          <w:lang w:val="en-US"/>
        </w:rPr>
        <w:t xml:space="preserve">tions to report serious violations by </w:t>
      </w:r>
      <w:r w:rsidR="00B260BA" w:rsidRPr="007D47AD">
        <w:rPr>
          <w:rFonts w:asciiTheme="minorHAnsi" w:eastAsia="Times New Roman" w:hAnsiTheme="minorHAnsi" w:cs="Arial"/>
          <w:sz w:val="20"/>
          <w:szCs w:val="20"/>
          <w:lang w:val="en-US"/>
        </w:rPr>
        <w:t xml:space="preserve">members of the forces subject to hierarchical control. </w:t>
      </w:r>
      <w:r w:rsidRPr="007D47AD">
        <w:rPr>
          <w:rFonts w:asciiTheme="minorHAnsi" w:eastAsia="Times New Roman" w:hAnsiTheme="minorHAnsi" w:cs="Arial"/>
          <w:sz w:val="20"/>
          <w:szCs w:val="20"/>
          <w:lang w:val="en-US"/>
        </w:rPr>
        <w:t xml:space="preserve">In view of the foregoing, the IACHR considers that the recommendation has met with partial compliance. </w:t>
      </w:r>
    </w:p>
    <w:p w:rsidR="00C7557F" w:rsidRPr="007D47AD" w:rsidRDefault="00D746A8" w:rsidP="009510BD">
      <w:pPr>
        <w:numPr>
          <w:ilvl w:val="0"/>
          <w:numId w:val="6"/>
        </w:numPr>
        <w:shd w:val="clear" w:color="auto" w:fill="FFFFFF"/>
        <w:spacing w:after="240" w:line="240" w:lineRule="auto"/>
        <w:ind w:left="0" w:firstLine="720"/>
        <w:jc w:val="both"/>
        <w:rPr>
          <w:rFonts w:asciiTheme="minorHAnsi" w:hAnsiTheme="minorHAnsi"/>
          <w:sz w:val="20"/>
          <w:szCs w:val="20"/>
          <w:lang w:val="en-US"/>
        </w:rPr>
      </w:pPr>
      <w:r w:rsidRPr="007D47AD">
        <w:rPr>
          <w:rFonts w:asciiTheme="minorHAnsi" w:hAnsiTheme="minorHAnsi"/>
          <w:sz w:val="20"/>
          <w:szCs w:val="20"/>
          <w:lang w:val="en-US"/>
        </w:rPr>
        <w:t xml:space="preserve">As regards the recommendation </w:t>
      </w:r>
      <w:r w:rsidR="00C84143" w:rsidRPr="007D47AD">
        <w:rPr>
          <w:rFonts w:asciiTheme="minorHAnsi" w:hAnsiTheme="minorHAnsi"/>
          <w:sz w:val="20"/>
          <w:szCs w:val="20"/>
          <w:lang w:val="en-US"/>
        </w:rPr>
        <w:t xml:space="preserve">to </w:t>
      </w:r>
      <w:r w:rsidR="009C095D" w:rsidRPr="007D47AD">
        <w:rPr>
          <w:rFonts w:asciiTheme="minorHAnsi" w:hAnsiTheme="minorHAnsi"/>
          <w:b/>
          <w:sz w:val="20"/>
          <w:szCs w:val="20"/>
          <w:lang w:val="en-US"/>
        </w:rPr>
        <w:t>crea</w:t>
      </w:r>
      <w:r w:rsidR="00C84143" w:rsidRPr="007D47AD">
        <w:rPr>
          <w:rFonts w:asciiTheme="minorHAnsi" w:hAnsiTheme="minorHAnsi"/>
          <w:b/>
          <w:sz w:val="20"/>
          <w:szCs w:val="20"/>
          <w:lang w:val="en-US"/>
        </w:rPr>
        <w:t>te</w:t>
      </w:r>
      <w:r w:rsidR="009C095D" w:rsidRPr="007D47AD">
        <w:rPr>
          <w:rFonts w:asciiTheme="minorHAnsi" w:hAnsiTheme="minorHAnsi"/>
          <w:b/>
          <w:sz w:val="20"/>
          <w:szCs w:val="20"/>
          <w:lang w:val="en-US"/>
        </w:rPr>
        <w:t xml:space="preserve"> </w:t>
      </w:r>
      <w:r w:rsidR="00C84143" w:rsidRPr="007D47AD">
        <w:rPr>
          <w:rFonts w:asciiTheme="minorHAnsi" w:hAnsiTheme="minorHAnsi"/>
          <w:b/>
          <w:sz w:val="20"/>
          <w:szCs w:val="20"/>
          <w:lang w:val="en-US"/>
        </w:rPr>
        <w:t xml:space="preserve">systems for information, compilation and analysis of data regarding the violence that affects the different groups addressed in this Report, such as women, children and adolescents, migrants, human rights defenders, justice operators, LGBT </w:t>
      </w:r>
      <w:r w:rsidR="007E181B" w:rsidRPr="007D47AD">
        <w:rPr>
          <w:rFonts w:asciiTheme="minorHAnsi" w:hAnsiTheme="minorHAnsi"/>
          <w:b/>
          <w:sz w:val="20"/>
          <w:szCs w:val="20"/>
          <w:lang w:val="en-US"/>
        </w:rPr>
        <w:t>persons</w:t>
      </w:r>
      <w:r w:rsidR="00C84143" w:rsidRPr="007D47AD">
        <w:rPr>
          <w:rFonts w:asciiTheme="minorHAnsi" w:hAnsiTheme="minorHAnsi"/>
          <w:b/>
          <w:sz w:val="20"/>
          <w:szCs w:val="20"/>
          <w:lang w:val="en-US"/>
        </w:rPr>
        <w:t xml:space="preserve">, indigenous peoples, and persons deprived of liberty, </w:t>
      </w:r>
      <w:r w:rsidRPr="007D47AD">
        <w:rPr>
          <w:rFonts w:asciiTheme="minorHAnsi" w:hAnsiTheme="minorHAnsi"/>
          <w:sz w:val="20"/>
          <w:szCs w:val="20"/>
          <w:lang w:val="en-US"/>
        </w:rPr>
        <w:t xml:space="preserve">the State indicated that in the case of children and adolescents, </w:t>
      </w:r>
      <w:r w:rsidR="009510BD" w:rsidRPr="007D47AD">
        <w:rPr>
          <w:rFonts w:asciiTheme="minorHAnsi" w:hAnsiTheme="minorHAnsi"/>
          <w:sz w:val="20"/>
          <w:szCs w:val="20"/>
          <w:lang w:val="en-US"/>
        </w:rPr>
        <w:t>the General Law on Children and Adolescents provide</w:t>
      </w:r>
      <w:r w:rsidR="00B260BA" w:rsidRPr="007D47AD">
        <w:rPr>
          <w:rFonts w:asciiTheme="minorHAnsi" w:hAnsiTheme="minorHAnsi"/>
          <w:sz w:val="20"/>
          <w:szCs w:val="20"/>
          <w:lang w:val="en-US"/>
        </w:rPr>
        <w:t>s</w:t>
      </w:r>
      <w:r w:rsidR="009510BD" w:rsidRPr="007D47AD">
        <w:rPr>
          <w:rFonts w:asciiTheme="minorHAnsi" w:hAnsiTheme="minorHAnsi"/>
          <w:sz w:val="20"/>
          <w:szCs w:val="20"/>
          <w:lang w:val="en-US"/>
        </w:rPr>
        <w:t xml:space="preserve"> for the creation of the National Information System and Special Information Systems</w:t>
      </w:r>
      <w:r w:rsidR="000B5F03" w:rsidRPr="007D47AD">
        <w:rPr>
          <w:rFonts w:asciiTheme="minorHAnsi" w:hAnsiTheme="minorHAnsi"/>
          <w:sz w:val="20"/>
          <w:szCs w:val="20"/>
          <w:lang w:val="en-US"/>
        </w:rPr>
        <w:t xml:space="preserve">, </w:t>
      </w:r>
      <w:r w:rsidR="009510BD" w:rsidRPr="007D47AD">
        <w:rPr>
          <w:rFonts w:asciiTheme="minorHAnsi" w:hAnsiTheme="minorHAnsi"/>
          <w:sz w:val="20"/>
          <w:szCs w:val="20"/>
          <w:lang w:val="en-US"/>
        </w:rPr>
        <w:t xml:space="preserve">whose administration is entrusted to the Executive Secretariat of the Integral System of Protection for Children and Adolescents </w:t>
      </w:r>
      <w:r w:rsidR="00F62C5C" w:rsidRPr="007D47AD">
        <w:rPr>
          <w:rFonts w:asciiTheme="minorHAnsi" w:hAnsiTheme="minorHAnsi"/>
          <w:sz w:val="20"/>
          <w:szCs w:val="20"/>
          <w:lang w:val="en-US"/>
        </w:rPr>
        <w:t>(</w:t>
      </w:r>
      <w:r w:rsidR="00B260BA" w:rsidRPr="007D47AD">
        <w:rPr>
          <w:rFonts w:asciiTheme="minorHAnsi" w:hAnsiTheme="minorHAnsi"/>
          <w:sz w:val="20"/>
          <w:szCs w:val="20"/>
          <w:lang w:val="en-US"/>
        </w:rPr>
        <w:t xml:space="preserve">hereinafter </w:t>
      </w:r>
      <w:r w:rsidR="00F62C5C" w:rsidRPr="007D47AD">
        <w:rPr>
          <w:rFonts w:asciiTheme="minorHAnsi" w:hAnsiTheme="minorHAnsi"/>
          <w:sz w:val="20"/>
          <w:szCs w:val="20"/>
          <w:lang w:val="en-US"/>
        </w:rPr>
        <w:t>“</w:t>
      </w:r>
      <w:r w:rsidR="00B260BA" w:rsidRPr="007D47AD">
        <w:rPr>
          <w:rFonts w:asciiTheme="minorHAnsi" w:hAnsiTheme="minorHAnsi"/>
          <w:sz w:val="20"/>
          <w:szCs w:val="20"/>
          <w:lang w:val="en-US"/>
        </w:rPr>
        <w:t xml:space="preserve">the </w:t>
      </w:r>
      <w:r w:rsidR="00F62C5C" w:rsidRPr="007D47AD">
        <w:rPr>
          <w:rFonts w:asciiTheme="minorHAnsi" w:hAnsiTheme="minorHAnsi"/>
          <w:sz w:val="20"/>
          <w:szCs w:val="20"/>
          <w:lang w:val="en-US"/>
        </w:rPr>
        <w:t>SIPINNA”</w:t>
      </w:r>
      <w:r w:rsidR="009510BD" w:rsidRPr="007D47AD">
        <w:rPr>
          <w:rFonts w:asciiTheme="minorHAnsi" w:hAnsiTheme="minorHAnsi"/>
          <w:sz w:val="20"/>
          <w:szCs w:val="20"/>
          <w:lang w:val="en-US"/>
        </w:rPr>
        <w:t>)</w:t>
      </w:r>
      <w:r w:rsidR="003E388A" w:rsidRPr="007D47AD">
        <w:rPr>
          <w:rFonts w:asciiTheme="minorHAnsi" w:hAnsiTheme="minorHAnsi"/>
          <w:sz w:val="20"/>
          <w:szCs w:val="20"/>
          <w:lang w:val="en-US"/>
        </w:rPr>
        <w:t xml:space="preserve"> </w:t>
      </w:r>
      <w:r w:rsidR="009510BD" w:rsidRPr="007D47AD">
        <w:rPr>
          <w:rFonts w:asciiTheme="minorHAnsi" w:hAnsiTheme="minorHAnsi"/>
          <w:sz w:val="20"/>
          <w:szCs w:val="20"/>
          <w:lang w:val="en-US"/>
        </w:rPr>
        <w:t xml:space="preserve">and the local protection systems. According to the State, the System is going through a moment of transformation and will soon compile, through </w:t>
      </w:r>
      <w:r w:rsidR="00C7557F" w:rsidRPr="007D47AD">
        <w:rPr>
          <w:rFonts w:asciiTheme="minorHAnsi" w:hAnsiTheme="minorHAnsi"/>
          <w:sz w:val="20"/>
          <w:szCs w:val="20"/>
          <w:lang w:val="en-US"/>
        </w:rPr>
        <w:t>148 indica</w:t>
      </w:r>
      <w:r w:rsidR="009510BD" w:rsidRPr="007D47AD">
        <w:rPr>
          <w:rFonts w:asciiTheme="minorHAnsi" w:hAnsiTheme="minorHAnsi"/>
          <w:sz w:val="20"/>
          <w:szCs w:val="20"/>
          <w:lang w:val="en-US"/>
        </w:rPr>
        <w:t xml:space="preserve">tors, data from the Specialized Technical Committee on Information </w:t>
      </w:r>
      <w:r w:rsidR="00B260BA" w:rsidRPr="007D47AD">
        <w:rPr>
          <w:rFonts w:asciiTheme="minorHAnsi" w:hAnsiTheme="minorHAnsi"/>
          <w:sz w:val="20"/>
          <w:szCs w:val="20"/>
          <w:lang w:val="en-US"/>
        </w:rPr>
        <w:t xml:space="preserve">for </w:t>
      </w:r>
      <w:r w:rsidR="009510BD" w:rsidRPr="007D47AD">
        <w:rPr>
          <w:rFonts w:asciiTheme="minorHAnsi" w:hAnsiTheme="minorHAnsi"/>
          <w:sz w:val="20"/>
          <w:szCs w:val="20"/>
          <w:lang w:val="en-US"/>
        </w:rPr>
        <w:t>Integral Protection of the Rights of Children and Adolescents</w:t>
      </w:r>
      <w:r w:rsidR="001B092A" w:rsidRPr="007D47AD">
        <w:rPr>
          <w:rFonts w:asciiTheme="minorHAnsi" w:hAnsiTheme="minorHAnsi"/>
          <w:sz w:val="20"/>
          <w:szCs w:val="20"/>
          <w:lang w:val="en-US"/>
        </w:rPr>
        <w:t xml:space="preserve"> (hereinafter “the CTEIPIDNNA”)</w:t>
      </w:r>
      <w:r w:rsidR="009510BD" w:rsidRPr="007D47AD">
        <w:rPr>
          <w:rFonts w:asciiTheme="minorHAnsi" w:hAnsiTheme="minorHAnsi"/>
          <w:sz w:val="20"/>
          <w:szCs w:val="20"/>
          <w:lang w:val="en-US"/>
        </w:rPr>
        <w:t>.</w:t>
      </w:r>
      <w:r w:rsidR="00F62C5C" w:rsidRPr="007D47AD">
        <w:rPr>
          <w:rStyle w:val="FootnoteReference"/>
          <w:rFonts w:asciiTheme="minorHAnsi" w:hAnsiTheme="minorHAnsi"/>
          <w:color w:val="222222"/>
          <w:sz w:val="20"/>
          <w:szCs w:val="20"/>
          <w:lang w:val="en-US"/>
        </w:rPr>
        <w:footnoteReference w:id="40"/>
      </w:r>
      <w:r w:rsidR="009510BD" w:rsidRPr="007D47AD">
        <w:rPr>
          <w:rFonts w:asciiTheme="minorHAnsi" w:hAnsiTheme="minorHAnsi"/>
          <w:sz w:val="20"/>
          <w:szCs w:val="20"/>
          <w:lang w:val="en-US"/>
        </w:rPr>
        <w:t xml:space="preserve"> In addition, it indicated that the collection of information on 46 indicators from the 31 states plus Mexico City is under way (mostly on special protection, violation of the privacy of children and adolescents, </w:t>
      </w:r>
      <w:r w:rsidR="00C7557F" w:rsidRPr="007D47AD">
        <w:rPr>
          <w:rFonts w:asciiTheme="minorHAnsi" w:hAnsiTheme="minorHAnsi"/>
          <w:sz w:val="20"/>
          <w:szCs w:val="20"/>
          <w:lang w:val="en-US"/>
        </w:rPr>
        <w:t>etc.)</w:t>
      </w:r>
      <w:r w:rsidR="009510BD" w:rsidRPr="007D47AD">
        <w:rPr>
          <w:rFonts w:asciiTheme="minorHAnsi" w:hAnsiTheme="minorHAnsi"/>
          <w:sz w:val="20"/>
          <w:szCs w:val="20"/>
          <w:lang w:val="en-US"/>
        </w:rPr>
        <w:t xml:space="preserve"> for their validation and entry to the National Information System.</w:t>
      </w:r>
      <w:r w:rsidR="00C7557F" w:rsidRPr="007D47AD">
        <w:rPr>
          <w:rStyle w:val="FootnoteReference"/>
          <w:rFonts w:asciiTheme="minorHAnsi" w:hAnsiTheme="minorHAnsi"/>
          <w:color w:val="222222"/>
          <w:sz w:val="20"/>
          <w:szCs w:val="20"/>
          <w:lang w:val="en-US"/>
        </w:rPr>
        <w:footnoteReference w:id="41"/>
      </w:r>
    </w:p>
    <w:p w:rsidR="00C7557F" w:rsidRPr="007D47AD" w:rsidRDefault="009510BD" w:rsidP="002C28B4">
      <w:pPr>
        <w:numPr>
          <w:ilvl w:val="0"/>
          <w:numId w:val="6"/>
        </w:numPr>
        <w:shd w:val="clear" w:color="auto" w:fill="FFFFFF"/>
        <w:spacing w:after="240" w:line="240" w:lineRule="auto"/>
        <w:ind w:left="0" w:firstLine="720"/>
        <w:jc w:val="both"/>
        <w:rPr>
          <w:rFonts w:asciiTheme="minorHAnsi" w:hAnsiTheme="minorHAnsi"/>
          <w:sz w:val="20"/>
          <w:szCs w:val="20"/>
          <w:lang w:val="en-US"/>
        </w:rPr>
      </w:pPr>
      <w:r w:rsidRPr="007D47AD">
        <w:rPr>
          <w:rFonts w:asciiTheme="minorHAnsi" w:hAnsiTheme="minorHAnsi"/>
          <w:sz w:val="20"/>
          <w:szCs w:val="20"/>
          <w:lang w:val="en-US"/>
        </w:rPr>
        <w:t xml:space="preserve">The State also referred to efforts made to reinforce the work of the </w:t>
      </w:r>
      <w:r w:rsidR="00F72AE2" w:rsidRPr="007D47AD">
        <w:rPr>
          <w:rFonts w:asciiTheme="minorHAnsi" w:hAnsiTheme="minorHAnsi"/>
          <w:sz w:val="20"/>
          <w:szCs w:val="20"/>
          <w:lang w:val="en-US"/>
        </w:rPr>
        <w:t xml:space="preserve">CTEIPIDNNA. </w:t>
      </w:r>
      <w:r w:rsidRPr="007D47AD">
        <w:rPr>
          <w:rFonts w:asciiTheme="minorHAnsi" w:hAnsiTheme="minorHAnsi"/>
          <w:sz w:val="20"/>
          <w:szCs w:val="20"/>
          <w:lang w:val="en-US"/>
        </w:rPr>
        <w:t xml:space="preserve">In its report one observes that </w:t>
      </w:r>
      <w:r w:rsidR="001B092A" w:rsidRPr="007D47AD">
        <w:rPr>
          <w:rFonts w:asciiTheme="minorHAnsi" w:hAnsiTheme="minorHAnsi"/>
          <w:sz w:val="20"/>
          <w:szCs w:val="20"/>
          <w:lang w:val="en-US"/>
        </w:rPr>
        <w:t xml:space="preserve">in 2019 </w:t>
      </w:r>
      <w:r w:rsidRPr="007D47AD">
        <w:rPr>
          <w:rFonts w:asciiTheme="minorHAnsi" w:hAnsiTheme="minorHAnsi"/>
          <w:sz w:val="20"/>
          <w:szCs w:val="20"/>
          <w:lang w:val="en-US"/>
        </w:rPr>
        <w:t xml:space="preserve">the </w:t>
      </w:r>
      <w:r w:rsidR="00F72AE2" w:rsidRPr="007D47AD">
        <w:rPr>
          <w:rFonts w:asciiTheme="minorHAnsi" w:hAnsiTheme="minorHAnsi"/>
          <w:sz w:val="20"/>
          <w:szCs w:val="20"/>
          <w:lang w:val="en-US"/>
        </w:rPr>
        <w:t>CTEIPIDNNA</w:t>
      </w:r>
      <w:r w:rsidRPr="007D47AD">
        <w:rPr>
          <w:rFonts w:asciiTheme="minorHAnsi" w:hAnsiTheme="minorHAnsi"/>
          <w:sz w:val="20"/>
          <w:szCs w:val="20"/>
          <w:lang w:val="en-US"/>
        </w:rPr>
        <w:t xml:space="preserve"> approved the road map for </w:t>
      </w:r>
      <w:r w:rsidR="003B05A9" w:rsidRPr="007D47AD">
        <w:rPr>
          <w:rFonts w:asciiTheme="minorHAnsi" w:hAnsiTheme="minorHAnsi"/>
          <w:sz w:val="20"/>
          <w:szCs w:val="20"/>
          <w:lang w:val="en-US"/>
        </w:rPr>
        <w:t xml:space="preserve">adopting </w:t>
      </w:r>
      <w:r w:rsidRPr="007D47AD">
        <w:rPr>
          <w:rFonts w:asciiTheme="minorHAnsi" w:hAnsiTheme="minorHAnsi"/>
          <w:sz w:val="20"/>
          <w:szCs w:val="20"/>
          <w:lang w:val="en-US"/>
        </w:rPr>
        <w:t xml:space="preserve">its </w:t>
      </w:r>
      <w:r w:rsidR="00F72AE2" w:rsidRPr="007D47AD">
        <w:rPr>
          <w:rFonts w:asciiTheme="minorHAnsi" w:hAnsiTheme="minorHAnsi"/>
          <w:sz w:val="20"/>
          <w:szCs w:val="20"/>
          <w:lang w:val="en-US"/>
        </w:rPr>
        <w:t xml:space="preserve">2019-2024 </w:t>
      </w:r>
      <w:r w:rsidRPr="007D47AD">
        <w:rPr>
          <w:rFonts w:asciiTheme="minorHAnsi" w:hAnsiTheme="minorHAnsi"/>
          <w:sz w:val="20"/>
          <w:szCs w:val="20"/>
          <w:lang w:val="en-US"/>
        </w:rPr>
        <w:t>work plan, and the review of the battery of indicators in the National Information System, and the process for approval of the propos</w:t>
      </w:r>
      <w:r w:rsidR="00910B8D" w:rsidRPr="007D47AD">
        <w:rPr>
          <w:rFonts w:asciiTheme="minorHAnsi" w:hAnsiTheme="minorHAnsi"/>
          <w:sz w:val="20"/>
          <w:szCs w:val="20"/>
          <w:lang w:val="en-US"/>
        </w:rPr>
        <w:t>ed</w:t>
      </w:r>
      <w:r w:rsidRPr="007D47AD">
        <w:rPr>
          <w:rFonts w:asciiTheme="minorHAnsi" w:hAnsiTheme="minorHAnsi"/>
          <w:sz w:val="20"/>
          <w:szCs w:val="20"/>
          <w:lang w:val="en-US"/>
        </w:rPr>
        <w:t xml:space="preserve"> technical standard based on the “Guidelines for incorporating the perspective of children and adol</w:t>
      </w:r>
      <w:r w:rsidR="00910B8D" w:rsidRPr="007D47AD">
        <w:rPr>
          <w:rFonts w:asciiTheme="minorHAnsi" w:hAnsiTheme="minorHAnsi"/>
          <w:sz w:val="20"/>
          <w:szCs w:val="20"/>
          <w:lang w:val="en-US"/>
        </w:rPr>
        <w:t>e</w:t>
      </w:r>
      <w:r w:rsidRPr="007D47AD">
        <w:rPr>
          <w:rFonts w:asciiTheme="minorHAnsi" w:hAnsiTheme="minorHAnsi"/>
          <w:sz w:val="20"/>
          <w:szCs w:val="20"/>
          <w:lang w:val="en-US"/>
        </w:rPr>
        <w:t>scents in the statistical projects of the National System on Statistical and Geographic Information.”</w:t>
      </w:r>
      <w:r w:rsidR="00F72AE2" w:rsidRPr="007D47AD">
        <w:rPr>
          <w:rStyle w:val="FootnoteReference"/>
          <w:rFonts w:asciiTheme="minorHAnsi" w:hAnsiTheme="minorHAnsi"/>
          <w:color w:val="222222"/>
          <w:sz w:val="20"/>
          <w:szCs w:val="20"/>
          <w:lang w:val="en-US"/>
        </w:rPr>
        <w:footnoteReference w:id="42"/>
      </w:r>
      <w:r w:rsidR="00F72AE2" w:rsidRPr="007D47AD">
        <w:rPr>
          <w:rFonts w:asciiTheme="minorHAnsi" w:hAnsiTheme="minorHAnsi"/>
          <w:sz w:val="20"/>
          <w:szCs w:val="20"/>
          <w:lang w:val="en-US"/>
        </w:rPr>
        <w:t xml:space="preserve"> </w:t>
      </w:r>
      <w:r w:rsidRPr="007D47AD">
        <w:rPr>
          <w:rFonts w:asciiTheme="minorHAnsi" w:hAnsiTheme="minorHAnsi"/>
          <w:sz w:val="20"/>
          <w:szCs w:val="20"/>
          <w:lang w:val="en-US"/>
        </w:rPr>
        <w:t xml:space="preserve">In addition, the State reported that it has a record of children and adolescents who are migrating at immigration stations or </w:t>
      </w:r>
      <w:r w:rsidR="003B05A9" w:rsidRPr="007D47AD">
        <w:rPr>
          <w:rFonts w:asciiTheme="minorHAnsi" w:hAnsiTheme="minorHAnsi"/>
          <w:sz w:val="20"/>
          <w:szCs w:val="20"/>
          <w:lang w:val="en-US"/>
        </w:rPr>
        <w:t xml:space="preserve">with </w:t>
      </w:r>
      <w:r w:rsidRPr="007D47AD">
        <w:rPr>
          <w:rFonts w:asciiTheme="minorHAnsi" w:hAnsiTheme="minorHAnsi"/>
          <w:sz w:val="20"/>
          <w:szCs w:val="20"/>
          <w:lang w:val="en-US"/>
        </w:rPr>
        <w:t>provisional stays, and a record of children and adolescents who are migrating who are at shelters of the National System fo</w:t>
      </w:r>
      <w:r w:rsidR="003B05A9" w:rsidRPr="007D47AD">
        <w:rPr>
          <w:rFonts w:asciiTheme="minorHAnsi" w:hAnsiTheme="minorHAnsi"/>
          <w:sz w:val="20"/>
          <w:szCs w:val="20"/>
          <w:lang w:val="en-US"/>
        </w:rPr>
        <w:t>r</w:t>
      </w:r>
      <w:r w:rsidRPr="007D47AD">
        <w:rPr>
          <w:rFonts w:asciiTheme="minorHAnsi" w:hAnsiTheme="minorHAnsi"/>
          <w:sz w:val="20"/>
          <w:szCs w:val="20"/>
          <w:lang w:val="en-US"/>
        </w:rPr>
        <w:t xml:space="preserve"> the Integral Development of the Family, the State System for the Integral </w:t>
      </w:r>
      <w:r w:rsidRPr="007D47AD">
        <w:rPr>
          <w:rFonts w:asciiTheme="minorHAnsi" w:hAnsiTheme="minorHAnsi"/>
          <w:sz w:val="20"/>
          <w:szCs w:val="20"/>
          <w:lang w:val="en-US"/>
        </w:rPr>
        <w:lastRenderedPageBreak/>
        <w:t>Development of the Family, the Municipal System for the Integral Development of the Family, and civi</w:t>
      </w:r>
      <w:r w:rsidR="003B05A9" w:rsidRPr="007D47AD">
        <w:rPr>
          <w:rFonts w:asciiTheme="minorHAnsi" w:hAnsiTheme="minorHAnsi"/>
          <w:sz w:val="20"/>
          <w:szCs w:val="20"/>
          <w:lang w:val="en-US"/>
        </w:rPr>
        <w:t>c</w:t>
      </w:r>
      <w:r w:rsidRPr="007D47AD">
        <w:rPr>
          <w:rFonts w:asciiTheme="minorHAnsi" w:hAnsiTheme="minorHAnsi"/>
          <w:sz w:val="20"/>
          <w:szCs w:val="20"/>
          <w:lang w:val="en-US"/>
        </w:rPr>
        <w:t xml:space="preserve"> associations, and that both data bases are updated periodically.</w:t>
      </w:r>
      <w:r w:rsidR="002C28B4" w:rsidRPr="007D47AD">
        <w:rPr>
          <w:rStyle w:val="FootnoteReference"/>
          <w:rFonts w:asciiTheme="minorHAnsi" w:hAnsiTheme="minorHAnsi"/>
          <w:sz w:val="20"/>
          <w:szCs w:val="20"/>
          <w:lang w:val="en-US"/>
        </w:rPr>
        <w:footnoteReference w:id="43"/>
      </w:r>
    </w:p>
    <w:p w:rsidR="008805D5" w:rsidRPr="007D47AD" w:rsidRDefault="00464FD1" w:rsidP="00464FD1">
      <w:pPr>
        <w:numPr>
          <w:ilvl w:val="0"/>
          <w:numId w:val="6"/>
        </w:numPr>
        <w:shd w:val="clear" w:color="auto" w:fill="FFFFFF"/>
        <w:spacing w:after="240" w:line="240" w:lineRule="auto"/>
        <w:ind w:left="0" w:firstLine="720"/>
        <w:jc w:val="both"/>
        <w:rPr>
          <w:rFonts w:asciiTheme="minorHAnsi" w:hAnsiTheme="minorHAnsi"/>
          <w:sz w:val="20"/>
          <w:szCs w:val="20"/>
          <w:lang w:val="en-US"/>
        </w:rPr>
      </w:pPr>
      <w:r w:rsidRPr="007D47AD">
        <w:rPr>
          <w:rFonts w:asciiTheme="minorHAnsi" w:hAnsiTheme="minorHAnsi"/>
          <w:sz w:val="20"/>
          <w:szCs w:val="20"/>
          <w:lang w:val="en-US"/>
        </w:rPr>
        <w:t xml:space="preserve">Moreover, the State made reference to the National Council for the Prevention of Discrimination (hereinafter </w:t>
      </w:r>
      <w:r w:rsidR="00F72AE2" w:rsidRPr="007D47AD">
        <w:rPr>
          <w:rFonts w:asciiTheme="minorHAnsi" w:hAnsiTheme="minorHAnsi"/>
          <w:sz w:val="20"/>
          <w:szCs w:val="20"/>
          <w:lang w:val="en-US"/>
        </w:rPr>
        <w:t>“CONAPRED”)</w:t>
      </w:r>
      <w:r w:rsidR="00C543A0" w:rsidRPr="007D47AD">
        <w:rPr>
          <w:rFonts w:asciiTheme="minorHAnsi" w:hAnsiTheme="minorHAnsi"/>
          <w:sz w:val="20"/>
          <w:szCs w:val="20"/>
          <w:lang w:val="en-US"/>
        </w:rPr>
        <w:t xml:space="preserve"> </w:t>
      </w:r>
      <w:r w:rsidRPr="007D47AD">
        <w:rPr>
          <w:rFonts w:asciiTheme="minorHAnsi" w:hAnsiTheme="minorHAnsi"/>
          <w:sz w:val="20"/>
          <w:szCs w:val="20"/>
          <w:lang w:val="en-US"/>
        </w:rPr>
        <w:t xml:space="preserve">and its census-related function in the context of the National Survey on Discrimination (hereinafter </w:t>
      </w:r>
      <w:r w:rsidR="00C543A0" w:rsidRPr="007D47AD">
        <w:rPr>
          <w:rFonts w:asciiTheme="minorHAnsi" w:hAnsiTheme="minorHAnsi"/>
          <w:sz w:val="20"/>
          <w:szCs w:val="20"/>
          <w:lang w:val="en-US"/>
        </w:rPr>
        <w:t>“ENADIS”)</w:t>
      </w:r>
      <w:r w:rsidRPr="007D47AD">
        <w:rPr>
          <w:rFonts w:asciiTheme="minorHAnsi" w:hAnsiTheme="minorHAnsi"/>
          <w:sz w:val="20"/>
          <w:szCs w:val="20"/>
          <w:lang w:val="en-US"/>
        </w:rPr>
        <w:t>,</w:t>
      </w:r>
      <w:r w:rsidR="00C543A0" w:rsidRPr="007D47AD">
        <w:rPr>
          <w:rFonts w:asciiTheme="minorHAnsi" w:hAnsiTheme="minorHAnsi"/>
          <w:sz w:val="20"/>
          <w:szCs w:val="20"/>
          <w:lang w:val="en-US"/>
        </w:rPr>
        <w:t xml:space="preserve"> </w:t>
      </w:r>
      <w:r w:rsidRPr="007D47AD">
        <w:rPr>
          <w:rFonts w:asciiTheme="minorHAnsi" w:hAnsiTheme="minorHAnsi"/>
          <w:sz w:val="20"/>
          <w:szCs w:val="20"/>
          <w:lang w:val="en-US"/>
        </w:rPr>
        <w:t xml:space="preserve">a tool that gives visibility to the accumulation of social disadvantages that affect persons who belong to social groups that have suffered historical discrimination, and which are present in different areas of social and everyday life. According to what was reported, the latest </w:t>
      </w:r>
      <w:r w:rsidR="00C543A0" w:rsidRPr="007D47AD">
        <w:rPr>
          <w:rFonts w:asciiTheme="minorHAnsi" w:hAnsiTheme="minorHAnsi"/>
          <w:sz w:val="20"/>
          <w:szCs w:val="20"/>
          <w:lang w:val="en-US"/>
        </w:rPr>
        <w:t xml:space="preserve">ENADIS </w:t>
      </w:r>
      <w:r w:rsidRPr="007D47AD">
        <w:rPr>
          <w:rFonts w:asciiTheme="minorHAnsi" w:hAnsiTheme="minorHAnsi"/>
          <w:sz w:val="20"/>
          <w:szCs w:val="20"/>
          <w:lang w:val="en-US"/>
        </w:rPr>
        <w:t xml:space="preserve">is from </w:t>
      </w:r>
      <w:r w:rsidR="00BB4A5C" w:rsidRPr="007D47AD">
        <w:rPr>
          <w:rFonts w:asciiTheme="minorHAnsi" w:hAnsiTheme="minorHAnsi"/>
          <w:sz w:val="20"/>
          <w:szCs w:val="20"/>
          <w:lang w:val="en-US"/>
        </w:rPr>
        <w:t xml:space="preserve">2017 </w:t>
      </w:r>
      <w:r w:rsidRPr="007D47AD">
        <w:rPr>
          <w:rFonts w:asciiTheme="minorHAnsi" w:hAnsiTheme="minorHAnsi"/>
          <w:sz w:val="20"/>
          <w:szCs w:val="20"/>
          <w:lang w:val="en-US"/>
        </w:rPr>
        <w:t xml:space="preserve">and made it possible to generate indicators for designing the public policy to prevent and fight discrimination in areas such as health, education, work, social development, fighting poverty, culture, citizen participation, and the enjoyment of civil and political rights, among others. According to the information received, </w:t>
      </w:r>
      <w:r w:rsidR="008805D5" w:rsidRPr="007D47AD">
        <w:rPr>
          <w:rFonts w:asciiTheme="minorHAnsi" w:hAnsiTheme="minorHAnsi"/>
          <w:sz w:val="20"/>
          <w:szCs w:val="20"/>
          <w:lang w:val="en-US"/>
        </w:rPr>
        <w:t xml:space="preserve">ENADIS </w:t>
      </w:r>
      <w:r w:rsidRPr="007D47AD">
        <w:rPr>
          <w:rFonts w:asciiTheme="minorHAnsi" w:hAnsiTheme="minorHAnsi"/>
          <w:sz w:val="20"/>
          <w:szCs w:val="20"/>
          <w:lang w:val="en-US"/>
        </w:rPr>
        <w:t xml:space="preserve">collected information on women, children, adolescents and youths, older persons, indigenous persons, Afro-descendants, persons with disabilities, remunerated domestic workers, persons </w:t>
      </w:r>
      <w:r w:rsidR="003B05A9" w:rsidRPr="007D47AD">
        <w:rPr>
          <w:rFonts w:asciiTheme="minorHAnsi" w:hAnsiTheme="minorHAnsi"/>
          <w:sz w:val="20"/>
          <w:szCs w:val="20"/>
          <w:lang w:val="en-US"/>
        </w:rPr>
        <w:t xml:space="preserve">of </w:t>
      </w:r>
      <w:r w:rsidRPr="007D47AD">
        <w:rPr>
          <w:rFonts w:asciiTheme="minorHAnsi" w:hAnsiTheme="minorHAnsi"/>
          <w:sz w:val="20"/>
          <w:szCs w:val="20"/>
          <w:lang w:val="en-US"/>
        </w:rPr>
        <w:t xml:space="preserve">diverse religious backgrounds, foreign persons, and </w:t>
      </w:r>
      <w:r w:rsidR="00C543A0" w:rsidRPr="007D47AD">
        <w:rPr>
          <w:rFonts w:asciiTheme="minorHAnsi" w:hAnsiTheme="minorHAnsi"/>
          <w:sz w:val="20"/>
          <w:szCs w:val="20"/>
          <w:lang w:val="en-US"/>
        </w:rPr>
        <w:t>LGBTI</w:t>
      </w:r>
      <w:r w:rsidRPr="007D47AD">
        <w:rPr>
          <w:rFonts w:asciiTheme="minorHAnsi" w:hAnsiTheme="minorHAnsi"/>
          <w:sz w:val="20"/>
          <w:szCs w:val="20"/>
          <w:lang w:val="en-US"/>
        </w:rPr>
        <w:t xml:space="preserve"> persons</w:t>
      </w:r>
      <w:r w:rsidR="00C543A0" w:rsidRPr="007D47AD">
        <w:rPr>
          <w:rFonts w:asciiTheme="minorHAnsi" w:hAnsiTheme="minorHAnsi"/>
          <w:sz w:val="20"/>
          <w:szCs w:val="20"/>
          <w:lang w:val="en-US"/>
        </w:rPr>
        <w:t xml:space="preserve">, </w:t>
      </w:r>
      <w:r w:rsidRPr="007D47AD">
        <w:rPr>
          <w:rFonts w:asciiTheme="minorHAnsi" w:hAnsiTheme="minorHAnsi"/>
          <w:sz w:val="20"/>
          <w:szCs w:val="20"/>
          <w:lang w:val="en-US"/>
        </w:rPr>
        <w:t>and prejudices and stereotypes with respect to migrants and trans persons.</w:t>
      </w:r>
      <w:r w:rsidR="00C543A0" w:rsidRPr="007D47AD">
        <w:rPr>
          <w:rStyle w:val="FootnoteReference"/>
          <w:rFonts w:asciiTheme="minorHAnsi" w:hAnsiTheme="minorHAnsi"/>
          <w:color w:val="222222"/>
          <w:sz w:val="20"/>
          <w:szCs w:val="20"/>
          <w:lang w:val="en-US"/>
        </w:rPr>
        <w:footnoteReference w:id="44"/>
      </w:r>
    </w:p>
    <w:p w:rsidR="002C28B4" w:rsidRPr="007D47AD" w:rsidRDefault="00464FD1" w:rsidP="002C28B4">
      <w:pPr>
        <w:numPr>
          <w:ilvl w:val="0"/>
          <w:numId w:val="6"/>
        </w:numPr>
        <w:shd w:val="clear" w:color="auto" w:fill="FFFFFF"/>
        <w:spacing w:after="240" w:line="240" w:lineRule="auto"/>
        <w:ind w:left="0" w:firstLine="720"/>
        <w:jc w:val="both"/>
        <w:rPr>
          <w:rFonts w:asciiTheme="minorHAnsi" w:hAnsiTheme="minorHAnsi"/>
          <w:sz w:val="20"/>
          <w:szCs w:val="20"/>
          <w:lang w:val="en-US"/>
        </w:rPr>
      </w:pPr>
      <w:r w:rsidRPr="007D47AD">
        <w:rPr>
          <w:rFonts w:asciiTheme="minorHAnsi" w:hAnsiTheme="minorHAnsi"/>
          <w:sz w:val="20"/>
          <w:szCs w:val="20"/>
          <w:lang w:val="en-US"/>
        </w:rPr>
        <w:t xml:space="preserve">In line with the foregoing, the State reported that the </w:t>
      </w:r>
      <w:r w:rsidR="008805D5" w:rsidRPr="007D47AD">
        <w:rPr>
          <w:rFonts w:asciiTheme="minorHAnsi" w:hAnsiTheme="minorHAnsi"/>
          <w:sz w:val="20"/>
          <w:szCs w:val="20"/>
          <w:lang w:val="en-US"/>
        </w:rPr>
        <w:t xml:space="preserve">CONAPRED </w:t>
      </w:r>
      <w:r w:rsidRPr="007D47AD">
        <w:rPr>
          <w:rFonts w:asciiTheme="minorHAnsi" w:hAnsiTheme="minorHAnsi"/>
          <w:sz w:val="20"/>
          <w:szCs w:val="20"/>
          <w:lang w:val="en-US"/>
        </w:rPr>
        <w:t xml:space="preserve">developed the National System on Discrimination </w:t>
      </w:r>
      <w:r w:rsidR="008805D5" w:rsidRPr="007D47AD">
        <w:rPr>
          <w:rFonts w:asciiTheme="minorHAnsi" w:hAnsiTheme="minorHAnsi"/>
          <w:sz w:val="20"/>
          <w:szCs w:val="20"/>
          <w:lang w:val="en-US"/>
        </w:rPr>
        <w:t>(</w:t>
      </w:r>
      <w:r w:rsidRPr="007D47AD">
        <w:rPr>
          <w:rFonts w:asciiTheme="minorHAnsi" w:hAnsiTheme="minorHAnsi"/>
          <w:sz w:val="20"/>
          <w:szCs w:val="20"/>
          <w:lang w:val="en-US"/>
        </w:rPr>
        <w:t xml:space="preserve">hereinafter </w:t>
      </w:r>
      <w:r w:rsidR="008805D5" w:rsidRPr="007D47AD">
        <w:rPr>
          <w:rFonts w:asciiTheme="minorHAnsi" w:hAnsiTheme="minorHAnsi"/>
          <w:sz w:val="20"/>
          <w:szCs w:val="20"/>
          <w:lang w:val="en-US"/>
        </w:rPr>
        <w:t>“SINDIS”)</w:t>
      </w:r>
      <w:r w:rsidR="003B05A9" w:rsidRPr="007D47AD">
        <w:rPr>
          <w:rFonts w:asciiTheme="minorHAnsi" w:hAnsiTheme="minorHAnsi"/>
          <w:sz w:val="20"/>
          <w:szCs w:val="20"/>
          <w:lang w:val="en-US"/>
        </w:rPr>
        <w:t>,</w:t>
      </w:r>
      <w:r w:rsidRPr="007D47AD">
        <w:rPr>
          <w:rFonts w:asciiTheme="minorHAnsi" w:hAnsiTheme="minorHAnsi"/>
          <w:sz w:val="20"/>
          <w:szCs w:val="20"/>
          <w:lang w:val="en-US"/>
        </w:rPr>
        <w:t xml:space="preserve"> which constitutes a virtual tool provid</w:t>
      </w:r>
      <w:r w:rsidR="003B05A9" w:rsidRPr="007D47AD">
        <w:rPr>
          <w:rFonts w:asciiTheme="minorHAnsi" w:hAnsiTheme="minorHAnsi"/>
          <w:sz w:val="20"/>
          <w:szCs w:val="20"/>
          <w:lang w:val="en-US"/>
        </w:rPr>
        <w:t>ing</w:t>
      </w:r>
      <w:r w:rsidRPr="007D47AD">
        <w:rPr>
          <w:rFonts w:asciiTheme="minorHAnsi" w:hAnsiTheme="minorHAnsi"/>
          <w:sz w:val="20"/>
          <w:szCs w:val="20"/>
          <w:lang w:val="en-US"/>
        </w:rPr>
        <w:t xml:space="preserve"> objective, historical, and </w:t>
      </w:r>
      <w:r w:rsidR="008805D5" w:rsidRPr="007D47AD">
        <w:rPr>
          <w:rFonts w:asciiTheme="minorHAnsi" w:hAnsiTheme="minorHAnsi"/>
          <w:sz w:val="20"/>
          <w:szCs w:val="20"/>
          <w:lang w:val="en-US"/>
        </w:rPr>
        <w:t xml:space="preserve">verifiable </w:t>
      </w:r>
      <w:r w:rsidRPr="007D47AD">
        <w:rPr>
          <w:rFonts w:asciiTheme="minorHAnsi" w:hAnsiTheme="minorHAnsi"/>
          <w:sz w:val="20"/>
          <w:szCs w:val="20"/>
          <w:lang w:val="en-US"/>
        </w:rPr>
        <w:t xml:space="preserve">information on discrimination, and </w:t>
      </w:r>
      <w:r w:rsidR="00910B8D" w:rsidRPr="007D47AD">
        <w:rPr>
          <w:rFonts w:asciiTheme="minorHAnsi" w:hAnsiTheme="minorHAnsi"/>
          <w:sz w:val="20"/>
          <w:szCs w:val="20"/>
          <w:lang w:val="en-US"/>
        </w:rPr>
        <w:t xml:space="preserve">offering </w:t>
      </w:r>
      <w:r w:rsidRPr="007D47AD">
        <w:rPr>
          <w:rFonts w:asciiTheme="minorHAnsi" w:hAnsiTheme="minorHAnsi"/>
          <w:sz w:val="20"/>
          <w:szCs w:val="20"/>
          <w:lang w:val="en-US"/>
        </w:rPr>
        <w:t xml:space="preserve">important inputs for monitoring gains in attaining the right to equality and non-discrimination in Mexico. In addition, the State reported on other bodies that also compile and systematize information on vulnerable populations such as the Executive Commission for Attention to Victims </w:t>
      </w:r>
      <w:r w:rsidR="007F0363" w:rsidRPr="007D47AD">
        <w:rPr>
          <w:rFonts w:asciiTheme="minorHAnsi" w:hAnsiTheme="minorHAnsi"/>
          <w:sz w:val="20"/>
          <w:szCs w:val="20"/>
          <w:lang w:val="en-US"/>
        </w:rPr>
        <w:t>(</w:t>
      </w:r>
      <w:r w:rsidRPr="007D47AD">
        <w:rPr>
          <w:rFonts w:asciiTheme="minorHAnsi" w:hAnsiTheme="minorHAnsi"/>
          <w:sz w:val="20"/>
          <w:szCs w:val="20"/>
          <w:lang w:val="en-US"/>
        </w:rPr>
        <w:t>hereinafter</w:t>
      </w:r>
      <w:r w:rsidR="007F0363" w:rsidRPr="007D47AD">
        <w:rPr>
          <w:rFonts w:asciiTheme="minorHAnsi" w:hAnsiTheme="minorHAnsi"/>
          <w:sz w:val="20"/>
          <w:szCs w:val="20"/>
          <w:lang w:val="en-US"/>
        </w:rPr>
        <w:t xml:space="preserve"> “CEAV”)</w:t>
      </w:r>
      <w:r w:rsidR="008805D5" w:rsidRPr="007D47AD">
        <w:rPr>
          <w:rFonts w:asciiTheme="minorHAnsi" w:hAnsiTheme="minorHAnsi"/>
          <w:sz w:val="20"/>
          <w:szCs w:val="20"/>
          <w:lang w:val="en-US"/>
        </w:rPr>
        <w:t xml:space="preserve"> </w:t>
      </w:r>
      <w:r w:rsidRPr="007D47AD">
        <w:rPr>
          <w:rFonts w:asciiTheme="minorHAnsi" w:hAnsiTheme="minorHAnsi"/>
          <w:sz w:val="20"/>
          <w:szCs w:val="20"/>
          <w:lang w:val="en-US"/>
        </w:rPr>
        <w:t xml:space="preserve">through the National Registry of Victims (hereinafter </w:t>
      </w:r>
      <w:r w:rsidR="008805D5" w:rsidRPr="007D47AD">
        <w:rPr>
          <w:rFonts w:asciiTheme="minorHAnsi" w:hAnsiTheme="minorHAnsi"/>
          <w:sz w:val="20"/>
          <w:szCs w:val="20"/>
          <w:lang w:val="en-US"/>
        </w:rPr>
        <w:t>“RENAVI”)</w:t>
      </w:r>
      <w:r w:rsidR="00BB4A5C" w:rsidRPr="007D47AD">
        <w:rPr>
          <w:rFonts w:asciiTheme="minorHAnsi" w:hAnsiTheme="minorHAnsi"/>
          <w:sz w:val="20"/>
          <w:szCs w:val="20"/>
          <w:lang w:val="en-US"/>
        </w:rPr>
        <w:t xml:space="preserve">. </w:t>
      </w:r>
      <w:r w:rsidRPr="007D47AD">
        <w:rPr>
          <w:rFonts w:asciiTheme="minorHAnsi" w:hAnsiTheme="minorHAnsi"/>
          <w:sz w:val="20"/>
          <w:szCs w:val="20"/>
          <w:lang w:val="en-US"/>
        </w:rPr>
        <w:t xml:space="preserve">Specifically, the </w:t>
      </w:r>
      <w:r w:rsidR="00BB4A5C" w:rsidRPr="007D47AD">
        <w:rPr>
          <w:rFonts w:asciiTheme="minorHAnsi" w:hAnsiTheme="minorHAnsi"/>
          <w:sz w:val="20"/>
          <w:szCs w:val="20"/>
          <w:lang w:val="en-US"/>
        </w:rPr>
        <w:t>RENAVI</w:t>
      </w:r>
      <w:r w:rsidR="002C28B4" w:rsidRPr="007D47AD">
        <w:rPr>
          <w:rFonts w:asciiTheme="minorHAnsi" w:hAnsiTheme="minorHAnsi"/>
          <w:sz w:val="20"/>
          <w:szCs w:val="20"/>
          <w:lang w:val="en-US"/>
        </w:rPr>
        <w:t xml:space="preserve"> </w:t>
      </w:r>
      <w:r w:rsidRPr="007D47AD">
        <w:rPr>
          <w:rFonts w:asciiTheme="minorHAnsi" w:hAnsiTheme="minorHAnsi"/>
          <w:sz w:val="20"/>
          <w:szCs w:val="20"/>
          <w:lang w:val="en-US"/>
        </w:rPr>
        <w:t xml:space="preserve">has been useful for identifying the type of discrimination that the </w:t>
      </w:r>
      <w:r w:rsidR="002C28B4" w:rsidRPr="007D47AD">
        <w:rPr>
          <w:rFonts w:asciiTheme="minorHAnsi" w:hAnsiTheme="minorHAnsi"/>
          <w:sz w:val="20"/>
          <w:szCs w:val="20"/>
          <w:lang w:val="en-US"/>
        </w:rPr>
        <w:t xml:space="preserve">LGTBI </w:t>
      </w:r>
      <w:r w:rsidR="00910B8D" w:rsidRPr="007D47AD">
        <w:rPr>
          <w:rFonts w:asciiTheme="minorHAnsi" w:hAnsiTheme="minorHAnsi"/>
          <w:sz w:val="20"/>
          <w:szCs w:val="20"/>
          <w:lang w:val="en-US"/>
        </w:rPr>
        <w:t xml:space="preserve">population faces in securing </w:t>
      </w:r>
      <w:r w:rsidRPr="007D47AD">
        <w:rPr>
          <w:rFonts w:asciiTheme="minorHAnsi" w:hAnsiTheme="minorHAnsi"/>
          <w:sz w:val="20"/>
          <w:szCs w:val="20"/>
          <w:lang w:val="en-US"/>
        </w:rPr>
        <w:t>services.</w:t>
      </w:r>
      <w:r w:rsidR="002C28B4" w:rsidRPr="007D47AD">
        <w:rPr>
          <w:rStyle w:val="FootnoteReference"/>
          <w:rFonts w:asciiTheme="minorHAnsi" w:hAnsiTheme="minorHAnsi"/>
          <w:color w:val="222222"/>
          <w:sz w:val="20"/>
          <w:szCs w:val="20"/>
          <w:lang w:val="en-US"/>
        </w:rPr>
        <w:footnoteReference w:id="45"/>
      </w:r>
      <w:r w:rsidRPr="007D47AD">
        <w:rPr>
          <w:rFonts w:asciiTheme="minorHAnsi" w:hAnsiTheme="minorHAnsi"/>
          <w:sz w:val="20"/>
          <w:szCs w:val="20"/>
          <w:lang w:val="en-US"/>
        </w:rPr>
        <w:t xml:space="preserve"> </w:t>
      </w:r>
    </w:p>
    <w:p w:rsidR="00A62354" w:rsidRPr="007D47AD" w:rsidRDefault="00CD7A2A" w:rsidP="00A83916">
      <w:pPr>
        <w:numPr>
          <w:ilvl w:val="0"/>
          <w:numId w:val="6"/>
        </w:numPr>
        <w:shd w:val="clear" w:color="auto" w:fill="FFFFFF"/>
        <w:spacing w:after="240" w:line="240" w:lineRule="auto"/>
        <w:ind w:left="0" w:firstLine="720"/>
        <w:jc w:val="both"/>
        <w:rPr>
          <w:rFonts w:asciiTheme="minorHAnsi" w:hAnsiTheme="minorHAnsi"/>
          <w:sz w:val="20"/>
          <w:szCs w:val="20"/>
          <w:lang w:val="en-US"/>
        </w:rPr>
      </w:pPr>
      <w:r w:rsidRPr="007D47AD">
        <w:rPr>
          <w:rFonts w:asciiTheme="minorHAnsi" w:hAnsiTheme="minorHAnsi"/>
          <w:sz w:val="20"/>
          <w:szCs w:val="20"/>
          <w:lang w:val="en-US"/>
        </w:rPr>
        <w:t xml:space="preserve">The IACHR notes that the State has also indicated that the Office of the Attorney General </w:t>
      </w:r>
      <w:r w:rsidR="002C28B4" w:rsidRPr="007D47AD">
        <w:rPr>
          <w:rFonts w:asciiTheme="minorHAnsi" w:hAnsiTheme="minorHAnsi"/>
          <w:sz w:val="20"/>
          <w:szCs w:val="20"/>
          <w:lang w:val="en-US"/>
        </w:rPr>
        <w:t>(</w:t>
      </w:r>
      <w:r w:rsidRPr="007D47AD">
        <w:rPr>
          <w:rFonts w:asciiTheme="minorHAnsi" w:hAnsiTheme="minorHAnsi"/>
          <w:sz w:val="20"/>
          <w:szCs w:val="20"/>
          <w:lang w:val="en-US"/>
        </w:rPr>
        <w:t xml:space="preserve">hereinafter </w:t>
      </w:r>
      <w:r w:rsidR="002C28B4" w:rsidRPr="007D47AD">
        <w:rPr>
          <w:rFonts w:asciiTheme="minorHAnsi" w:hAnsiTheme="minorHAnsi"/>
          <w:sz w:val="20"/>
          <w:szCs w:val="20"/>
          <w:lang w:val="en-US"/>
        </w:rPr>
        <w:t xml:space="preserve">“FGR”) </w:t>
      </w:r>
      <w:r w:rsidRPr="007D47AD">
        <w:rPr>
          <w:rFonts w:asciiTheme="minorHAnsi" w:hAnsiTheme="minorHAnsi"/>
          <w:sz w:val="20"/>
          <w:szCs w:val="20"/>
          <w:lang w:val="en-US"/>
        </w:rPr>
        <w:t>has two categories of systems of statistical information and support for investigati</w:t>
      </w:r>
      <w:r w:rsidR="00910B8D" w:rsidRPr="007D47AD">
        <w:rPr>
          <w:rFonts w:asciiTheme="minorHAnsi" w:hAnsiTheme="minorHAnsi"/>
          <w:sz w:val="20"/>
          <w:szCs w:val="20"/>
          <w:lang w:val="en-US"/>
        </w:rPr>
        <w:t>ng</w:t>
      </w:r>
      <w:r w:rsidRPr="007D47AD">
        <w:rPr>
          <w:rFonts w:asciiTheme="minorHAnsi" w:hAnsiTheme="minorHAnsi"/>
          <w:sz w:val="20"/>
          <w:szCs w:val="20"/>
          <w:lang w:val="en-US"/>
        </w:rPr>
        <w:t xml:space="preserve"> and prosecuti</w:t>
      </w:r>
      <w:r w:rsidR="00910B8D" w:rsidRPr="007D47AD">
        <w:rPr>
          <w:rFonts w:asciiTheme="minorHAnsi" w:hAnsiTheme="minorHAnsi"/>
          <w:sz w:val="20"/>
          <w:szCs w:val="20"/>
          <w:lang w:val="en-US"/>
        </w:rPr>
        <w:t>ng</w:t>
      </w:r>
      <w:r w:rsidRPr="007D47AD">
        <w:rPr>
          <w:rFonts w:asciiTheme="minorHAnsi" w:hAnsiTheme="minorHAnsi"/>
          <w:sz w:val="20"/>
          <w:szCs w:val="20"/>
          <w:lang w:val="en-US"/>
        </w:rPr>
        <w:t xml:space="preserve"> federal crimes that correspond to the </w:t>
      </w:r>
      <w:r w:rsidR="007E181B" w:rsidRPr="007D47AD">
        <w:rPr>
          <w:rFonts w:asciiTheme="minorHAnsi" w:hAnsiTheme="minorHAnsi"/>
          <w:sz w:val="20"/>
          <w:szCs w:val="20"/>
          <w:lang w:val="en-US"/>
        </w:rPr>
        <w:t>specialty</w:t>
      </w:r>
      <w:r w:rsidRPr="007D47AD">
        <w:rPr>
          <w:rFonts w:asciiTheme="minorHAnsi" w:hAnsiTheme="minorHAnsi"/>
          <w:sz w:val="20"/>
          <w:szCs w:val="20"/>
          <w:lang w:val="en-US"/>
        </w:rPr>
        <w:t xml:space="preserve"> of each of its substantive units</w:t>
      </w:r>
      <w:r w:rsidR="002C28B4" w:rsidRPr="007D47AD">
        <w:rPr>
          <w:rFonts w:asciiTheme="minorHAnsi" w:hAnsiTheme="minorHAnsi"/>
          <w:sz w:val="20"/>
          <w:szCs w:val="20"/>
          <w:lang w:val="en-US"/>
        </w:rPr>
        <w:t xml:space="preserve">, </w:t>
      </w:r>
      <w:r w:rsidRPr="007D47AD">
        <w:rPr>
          <w:rFonts w:asciiTheme="minorHAnsi" w:hAnsiTheme="minorHAnsi"/>
          <w:sz w:val="20"/>
          <w:szCs w:val="20"/>
          <w:lang w:val="en-US"/>
        </w:rPr>
        <w:t xml:space="preserve">and that stem from the complaints filed concerning crimes committed to the detriment of women, children and adolescents, migrants, human rights defenders, </w:t>
      </w:r>
      <w:r w:rsidR="003B05A9" w:rsidRPr="007D47AD">
        <w:rPr>
          <w:rFonts w:asciiTheme="minorHAnsi" w:hAnsiTheme="minorHAnsi"/>
          <w:sz w:val="20"/>
          <w:szCs w:val="20"/>
          <w:lang w:val="en-US"/>
        </w:rPr>
        <w:t xml:space="preserve">and </w:t>
      </w:r>
      <w:r w:rsidR="002C28B4" w:rsidRPr="007D47AD">
        <w:rPr>
          <w:rFonts w:asciiTheme="minorHAnsi" w:hAnsiTheme="minorHAnsi"/>
          <w:sz w:val="20"/>
          <w:szCs w:val="20"/>
          <w:lang w:val="en-US"/>
        </w:rPr>
        <w:t>LGBT</w:t>
      </w:r>
      <w:r w:rsidRPr="007D47AD">
        <w:rPr>
          <w:rFonts w:asciiTheme="minorHAnsi" w:hAnsiTheme="minorHAnsi"/>
          <w:sz w:val="20"/>
          <w:szCs w:val="20"/>
          <w:lang w:val="en-US"/>
        </w:rPr>
        <w:t xml:space="preserve"> persons</w:t>
      </w:r>
      <w:r w:rsidR="002C28B4" w:rsidRPr="007D47AD">
        <w:rPr>
          <w:rFonts w:asciiTheme="minorHAnsi" w:hAnsiTheme="minorHAnsi"/>
          <w:sz w:val="20"/>
          <w:szCs w:val="20"/>
          <w:lang w:val="en-US"/>
        </w:rPr>
        <w:t xml:space="preserve">, </w:t>
      </w:r>
      <w:r w:rsidR="003B05A9" w:rsidRPr="007D47AD">
        <w:rPr>
          <w:rFonts w:asciiTheme="minorHAnsi" w:hAnsiTheme="minorHAnsi"/>
          <w:sz w:val="20"/>
          <w:szCs w:val="20"/>
          <w:lang w:val="en-US"/>
        </w:rPr>
        <w:t xml:space="preserve">among others. </w:t>
      </w:r>
      <w:r w:rsidRPr="007D47AD">
        <w:rPr>
          <w:rFonts w:asciiTheme="minorHAnsi" w:hAnsiTheme="minorHAnsi"/>
          <w:sz w:val="20"/>
          <w:szCs w:val="20"/>
          <w:lang w:val="en-US"/>
        </w:rPr>
        <w:t>According to the State, these systems make it possible to monitor</w:t>
      </w:r>
      <w:r w:rsidR="003B05A9" w:rsidRPr="007D47AD">
        <w:rPr>
          <w:rFonts w:asciiTheme="minorHAnsi" w:hAnsiTheme="minorHAnsi"/>
          <w:sz w:val="20"/>
          <w:szCs w:val="20"/>
          <w:lang w:val="en-US"/>
        </w:rPr>
        <w:t>,</w:t>
      </w:r>
      <w:r w:rsidRPr="007D47AD">
        <w:rPr>
          <w:rFonts w:asciiTheme="minorHAnsi" w:hAnsiTheme="minorHAnsi"/>
          <w:sz w:val="20"/>
          <w:szCs w:val="20"/>
          <w:lang w:val="en-US"/>
        </w:rPr>
        <w:t xml:space="preserve"> in gene</w:t>
      </w:r>
      <w:r w:rsidR="003B05A9" w:rsidRPr="007D47AD">
        <w:rPr>
          <w:rFonts w:asciiTheme="minorHAnsi" w:hAnsiTheme="minorHAnsi"/>
          <w:sz w:val="20"/>
          <w:szCs w:val="20"/>
          <w:lang w:val="en-US"/>
        </w:rPr>
        <w:t>r</w:t>
      </w:r>
      <w:r w:rsidRPr="007D47AD">
        <w:rPr>
          <w:rFonts w:asciiTheme="minorHAnsi" w:hAnsiTheme="minorHAnsi"/>
          <w:sz w:val="20"/>
          <w:szCs w:val="20"/>
          <w:lang w:val="en-US"/>
        </w:rPr>
        <w:t>al terms</w:t>
      </w:r>
      <w:r w:rsidR="003B05A9" w:rsidRPr="007D47AD">
        <w:rPr>
          <w:rFonts w:asciiTheme="minorHAnsi" w:hAnsiTheme="minorHAnsi"/>
          <w:sz w:val="20"/>
          <w:szCs w:val="20"/>
          <w:lang w:val="en-US"/>
        </w:rPr>
        <w:t>,</w:t>
      </w:r>
      <w:r w:rsidRPr="007D47AD">
        <w:rPr>
          <w:rFonts w:asciiTheme="minorHAnsi" w:hAnsiTheme="minorHAnsi"/>
          <w:sz w:val="20"/>
          <w:szCs w:val="20"/>
          <w:lang w:val="en-US"/>
        </w:rPr>
        <w:t xml:space="preserve"> inquiries from their beginning, processing, determination, criminal proceedings before the judicial authority, and judgments, among others.</w:t>
      </w:r>
      <w:r w:rsidR="00A62354" w:rsidRPr="007D47AD">
        <w:rPr>
          <w:rStyle w:val="FootnoteReference"/>
          <w:rFonts w:asciiTheme="minorHAnsi" w:hAnsiTheme="minorHAnsi"/>
          <w:color w:val="222222"/>
          <w:sz w:val="20"/>
          <w:szCs w:val="20"/>
          <w:lang w:val="en-US"/>
        </w:rPr>
        <w:footnoteReference w:id="46"/>
      </w:r>
      <w:r w:rsidR="00A83916" w:rsidRPr="007D47AD">
        <w:rPr>
          <w:rFonts w:asciiTheme="minorHAnsi" w:hAnsiTheme="minorHAnsi"/>
          <w:sz w:val="20"/>
          <w:szCs w:val="20"/>
          <w:lang w:val="en-US"/>
        </w:rPr>
        <w:t xml:space="preserve"> </w:t>
      </w:r>
    </w:p>
    <w:p w:rsidR="00A83916" w:rsidRPr="007D47AD" w:rsidRDefault="00061532" w:rsidP="00A83916">
      <w:pPr>
        <w:numPr>
          <w:ilvl w:val="0"/>
          <w:numId w:val="6"/>
        </w:numPr>
        <w:shd w:val="clear" w:color="auto" w:fill="FFFFFF"/>
        <w:spacing w:after="240" w:line="240" w:lineRule="auto"/>
        <w:ind w:left="0" w:firstLine="720"/>
        <w:jc w:val="both"/>
        <w:rPr>
          <w:rFonts w:asciiTheme="minorHAnsi" w:hAnsiTheme="minorHAnsi"/>
          <w:sz w:val="20"/>
          <w:szCs w:val="20"/>
          <w:lang w:val="en-US"/>
        </w:rPr>
      </w:pPr>
      <w:r w:rsidRPr="007D47AD">
        <w:rPr>
          <w:rFonts w:asciiTheme="minorHAnsi" w:hAnsiTheme="minorHAnsi"/>
          <w:sz w:val="20"/>
          <w:szCs w:val="20"/>
          <w:lang w:val="en-US"/>
        </w:rPr>
        <w:t xml:space="preserve">As regards persons migrating through Mexico, the State indicated that the Unit for Investigation of Crimes against Migrants maintains internal records </w:t>
      </w:r>
      <w:r w:rsidR="003B05A9" w:rsidRPr="007D47AD">
        <w:rPr>
          <w:rFonts w:asciiTheme="minorHAnsi" w:hAnsiTheme="minorHAnsi"/>
          <w:sz w:val="20"/>
          <w:szCs w:val="20"/>
          <w:lang w:val="en-US"/>
        </w:rPr>
        <w:t xml:space="preserve">with </w:t>
      </w:r>
      <w:r w:rsidRPr="007D47AD">
        <w:rPr>
          <w:rFonts w:asciiTheme="minorHAnsi" w:hAnsiTheme="minorHAnsi"/>
          <w:sz w:val="20"/>
          <w:szCs w:val="20"/>
          <w:lang w:val="en-US"/>
        </w:rPr>
        <w:t>general data on victims, which are part of the inve</w:t>
      </w:r>
      <w:r w:rsidR="003B05A9" w:rsidRPr="007D47AD">
        <w:rPr>
          <w:rFonts w:asciiTheme="minorHAnsi" w:hAnsiTheme="minorHAnsi"/>
          <w:sz w:val="20"/>
          <w:szCs w:val="20"/>
          <w:lang w:val="en-US"/>
        </w:rPr>
        <w:t>s</w:t>
      </w:r>
      <w:r w:rsidRPr="007D47AD">
        <w:rPr>
          <w:rFonts w:asciiTheme="minorHAnsi" w:hAnsiTheme="minorHAnsi"/>
          <w:sz w:val="20"/>
          <w:szCs w:val="20"/>
          <w:lang w:val="en-US"/>
        </w:rPr>
        <w:t>tigatio</w:t>
      </w:r>
      <w:r w:rsidR="003B05A9" w:rsidRPr="007D47AD">
        <w:rPr>
          <w:rFonts w:asciiTheme="minorHAnsi" w:hAnsiTheme="minorHAnsi"/>
          <w:sz w:val="20"/>
          <w:szCs w:val="20"/>
          <w:lang w:val="en-US"/>
        </w:rPr>
        <w:t>n</w:t>
      </w:r>
      <w:r w:rsidRPr="007D47AD">
        <w:rPr>
          <w:rFonts w:asciiTheme="minorHAnsi" w:hAnsiTheme="minorHAnsi"/>
          <w:sz w:val="20"/>
          <w:szCs w:val="20"/>
          <w:lang w:val="en-US"/>
        </w:rPr>
        <w:t>s</w:t>
      </w:r>
      <w:r w:rsidR="003B05A9" w:rsidRPr="007D47AD">
        <w:rPr>
          <w:rFonts w:asciiTheme="minorHAnsi" w:hAnsiTheme="minorHAnsi"/>
          <w:sz w:val="20"/>
          <w:szCs w:val="20"/>
          <w:lang w:val="en-US"/>
        </w:rPr>
        <w:t xml:space="preserve">; </w:t>
      </w:r>
      <w:r w:rsidRPr="007D47AD">
        <w:rPr>
          <w:rFonts w:asciiTheme="minorHAnsi" w:hAnsiTheme="minorHAnsi"/>
          <w:sz w:val="20"/>
          <w:szCs w:val="20"/>
          <w:lang w:val="en-US"/>
        </w:rPr>
        <w:t>the information on age</w:t>
      </w:r>
      <w:r w:rsidR="003B05A9" w:rsidRPr="007D47AD">
        <w:rPr>
          <w:rFonts w:asciiTheme="minorHAnsi" w:hAnsiTheme="minorHAnsi"/>
          <w:sz w:val="20"/>
          <w:szCs w:val="20"/>
          <w:lang w:val="en-US"/>
        </w:rPr>
        <w:t xml:space="preserve"> should be looked at to </w:t>
      </w:r>
      <w:r w:rsidRPr="007D47AD">
        <w:rPr>
          <w:rFonts w:asciiTheme="minorHAnsi" w:hAnsiTheme="minorHAnsi"/>
          <w:sz w:val="20"/>
          <w:szCs w:val="20"/>
          <w:lang w:val="en-US"/>
        </w:rPr>
        <w:t>determine whether the person is a child or adolescent.</w:t>
      </w:r>
      <w:r w:rsidR="00A62354" w:rsidRPr="007D47AD">
        <w:rPr>
          <w:rStyle w:val="FootnoteReference"/>
          <w:rFonts w:asciiTheme="minorHAnsi" w:hAnsiTheme="minorHAnsi"/>
          <w:color w:val="222222"/>
          <w:sz w:val="20"/>
          <w:szCs w:val="20"/>
          <w:lang w:val="en-US"/>
        </w:rPr>
        <w:footnoteReference w:id="47"/>
      </w:r>
    </w:p>
    <w:p w:rsidR="00AF0EA7" w:rsidRPr="007D47AD" w:rsidRDefault="00061532" w:rsidP="00C542CC">
      <w:pPr>
        <w:numPr>
          <w:ilvl w:val="0"/>
          <w:numId w:val="6"/>
        </w:numPr>
        <w:shd w:val="clear" w:color="auto" w:fill="FFFFFF"/>
        <w:spacing w:after="240" w:line="240" w:lineRule="auto"/>
        <w:ind w:left="0" w:firstLine="720"/>
        <w:jc w:val="both"/>
        <w:rPr>
          <w:rFonts w:asciiTheme="minorHAnsi" w:hAnsiTheme="minorHAnsi"/>
          <w:sz w:val="20"/>
          <w:szCs w:val="20"/>
          <w:lang w:val="en-US"/>
        </w:rPr>
      </w:pPr>
      <w:r w:rsidRPr="007D47AD">
        <w:rPr>
          <w:rFonts w:asciiTheme="minorHAnsi" w:hAnsiTheme="minorHAnsi"/>
          <w:sz w:val="20"/>
          <w:szCs w:val="20"/>
          <w:lang w:val="en-US"/>
        </w:rPr>
        <w:t xml:space="preserve">With respect to persons deprived of liberty, the State referred to the existence of the National Survey on the Population Deprived of Liberty </w:t>
      </w:r>
      <w:r w:rsidR="006B17E1" w:rsidRPr="007D47AD">
        <w:rPr>
          <w:rFonts w:asciiTheme="minorHAnsi" w:hAnsiTheme="minorHAnsi"/>
          <w:sz w:val="20"/>
          <w:szCs w:val="20"/>
          <w:lang w:val="en-US"/>
        </w:rPr>
        <w:t>(</w:t>
      </w:r>
      <w:r w:rsidRPr="007D47AD">
        <w:rPr>
          <w:rFonts w:asciiTheme="minorHAnsi" w:hAnsiTheme="minorHAnsi"/>
          <w:sz w:val="20"/>
          <w:szCs w:val="20"/>
          <w:lang w:val="en-US"/>
        </w:rPr>
        <w:t xml:space="preserve">hereinafter </w:t>
      </w:r>
      <w:r w:rsidR="006B17E1" w:rsidRPr="007D47AD">
        <w:rPr>
          <w:rFonts w:asciiTheme="minorHAnsi" w:hAnsiTheme="minorHAnsi"/>
          <w:sz w:val="20"/>
          <w:szCs w:val="20"/>
          <w:lang w:val="en-US"/>
        </w:rPr>
        <w:t>“ENPOL”)</w:t>
      </w:r>
      <w:r w:rsidRPr="007D47AD">
        <w:rPr>
          <w:rFonts w:asciiTheme="minorHAnsi" w:hAnsiTheme="minorHAnsi"/>
          <w:sz w:val="20"/>
          <w:szCs w:val="20"/>
          <w:lang w:val="en-US"/>
        </w:rPr>
        <w:t>; and on human rights defenders and journalists, it referred to the periodic statistical reports of the Human Rights Defenders and Journalists</w:t>
      </w:r>
      <w:r w:rsidR="003B05A9" w:rsidRPr="007D47AD">
        <w:rPr>
          <w:rFonts w:asciiTheme="minorHAnsi" w:hAnsiTheme="minorHAnsi"/>
          <w:sz w:val="20"/>
          <w:szCs w:val="20"/>
          <w:lang w:val="en-US"/>
        </w:rPr>
        <w:t xml:space="preserve"> </w:t>
      </w:r>
      <w:r w:rsidR="003B05A9" w:rsidRPr="007D47AD">
        <w:rPr>
          <w:rFonts w:asciiTheme="minorHAnsi" w:hAnsiTheme="minorHAnsi"/>
          <w:sz w:val="20"/>
          <w:szCs w:val="20"/>
          <w:lang w:val="en-US"/>
        </w:rPr>
        <w:lastRenderedPageBreak/>
        <w:t>Protection Mechanism</w:t>
      </w:r>
      <w:r w:rsidRPr="007D47AD">
        <w:rPr>
          <w:rFonts w:asciiTheme="minorHAnsi" w:hAnsiTheme="minorHAnsi"/>
          <w:sz w:val="20"/>
          <w:szCs w:val="20"/>
          <w:lang w:val="en-US"/>
        </w:rPr>
        <w:t>.</w:t>
      </w:r>
      <w:r w:rsidR="006B17E1" w:rsidRPr="007D47AD">
        <w:rPr>
          <w:rStyle w:val="FootnoteReference"/>
          <w:rFonts w:asciiTheme="minorHAnsi" w:hAnsiTheme="minorHAnsi"/>
          <w:color w:val="222222"/>
          <w:sz w:val="20"/>
          <w:szCs w:val="20"/>
          <w:lang w:val="en-US"/>
        </w:rPr>
        <w:footnoteReference w:id="48"/>
      </w:r>
      <w:r w:rsidR="006B17E1" w:rsidRPr="007D47AD">
        <w:rPr>
          <w:rFonts w:asciiTheme="minorHAnsi" w:hAnsiTheme="minorHAnsi"/>
          <w:sz w:val="20"/>
          <w:szCs w:val="20"/>
          <w:lang w:val="en-US"/>
        </w:rPr>
        <w:t xml:space="preserve"> </w:t>
      </w:r>
      <w:r w:rsidRPr="007D47AD">
        <w:rPr>
          <w:rFonts w:asciiTheme="minorHAnsi" w:hAnsiTheme="minorHAnsi"/>
          <w:sz w:val="20"/>
          <w:szCs w:val="20"/>
          <w:lang w:val="en-US"/>
        </w:rPr>
        <w:t xml:space="preserve">The IACHR will specifically refer below to the suspension of the </w:t>
      </w:r>
      <w:r w:rsidR="006B17E1" w:rsidRPr="007D47AD">
        <w:rPr>
          <w:rFonts w:asciiTheme="minorHAnsi" w:hAnsiTheme="minorHAnsi"/>
          <w:sz w:val="20"/>
          <w:szCs w:val="20"/>
          <w:lang w:val="en-US"/>
        </w:rPr>
        <w:t xml:space="preserve">ENPOL </w:t>
      </w:r>
      <w:r w:rsidRPr="007D47AD">
        <w:rPr>
          <w:rFonts w:asciiTheme="minorHAnsi" w:hAnsiTheme="minorHAnsi"/>
          <w:sz w:val="20"/>
          <w:szCs w:val="20"/>
          <w:lang w:val="en-US"/>
        </w:rPr>
        <w:t xml:space="preserve">and the lack of a budget for that mechanism for </w:t>
      </w:r>
      <w:r w:rsidR="00BB4A5C" w:rsidRPr="007D47AD">
        <w:rPr>
          <w:rFonts w:asciiTheme="minorHAnsi" w:hAnsiTheme="minorHAnsi"/>
          <w:sz w:val="20"/>
          <w:szCs w:val="20"/>
          <w:lang w:val="en-US"/>
        </w:rPr>
        <w:t>2019</w:t>
      </w:r>
      <w:r w:rsidRPr="007D47AD">
        <w:rPr>
          <w:rFonts w:asciiTheme="minorHAnsi" w:hAnsiTheme="minorHAnsi"/>
          <w:sz w:val="20"/>
          <w:szCs w:val="20"/>
          <w:lang w:val="en-US"/>
        </w:rPr>
        <w:t xml:space="preserve">. </w:t>
      </w:r>
      <w:r w:rsidR="00AF0EA7" w:rsidRPr="007D47AD">
        <w:rPr>
          <w:rFonts w:asciiTheme="minorHAnsi" w:hAnsiTheme="minorHAnsi"/>
          <w:sz w:val="20"/>
          <w:szCs w:val="20"/>
          <w:lang w:val="en-US"/>
        </w:rPr>
        <w:t>Final</w:t>
      </w:r>
      <w:r w:rsidRPr="007D47AD">
        <w:rPr>
          <w:rFonts w:asciiTheme="minorHAnsi" w:hAnsiTheme="minorHAnsi"/>
          <w:sz w:val="20"/>
          <w:szCs w:val="20"/>
          <w:lang w:val="en-US"/>
        </w:rPr>
        <w:t>ly</w:t>
      </w:r>
      <w:r w:rsidR="00AF0EA7" w:rsidRPr="007D47AD">
        <w:rPr>
          <w:rFonts w:asciiTheme="minorHAnsi" w:hAnsiTheme="minorHAnsi"/>
          <w:sz w:val="20"/>
          <w:szCs w:val="20"/>
          <w:lang w:val="en-US"/>
        </w:rPr>
        <w:t>,</w:t>
      </w:r>
      <w:r w:rsidRPr="007D47AD">
        <w:rPr>
          <w:rFonts w:asciiTheme="minorHAnsi" w:hAnsiTheme="minorHAnsi"/>
          <w:sz w:val="20"/>
          <w:szCs w:val="20"/>
          <w:lang w:val="en-US"/>
        </w:rPr>
        <w:t xml:space="preserve"> with</w:t>
      </w:r>
      <w:r w:rsidR="00AF0EA7" w:rsidRPr="007D47AD">
        <w:rPr>
          <w:rFonts w:asciiTheme="minorHAnsi" w:hAnsiTheme="minorHAnsi"/>
          <w:sz w:val="20"/>
          <w:szCs w:val="20"/>
          <w:lang w:val="en-US"/>
        </w:rPr>
        <w:t xml:space="preserve"> respect </w:t>
      </w:r>
      <w:r w:rsidRPr="007D47AD">
        <w:rPr>
          <w:rFonts w:asciiTheme="minorHAnsi" w:hAnsiTheme="minorHAnsi"/>
          <w:sz w:val="20"/>
          <w:szCs w:val="20"/>
          <w:lang w:val="en-US"/>
        </w:rPr>
        <w:t xml:space="preserve">to women, the State reported that the National Institute of Statistical and Geographic Information </w:t>
      </w:r>
      <w:r w:rsidR="00AF0EA7" w:rsidRPr="007D47AD">
        <w:rPr>
          <w:rFonts w:asciiTheme="minorHAnsi" w:hAnsiTheme="minorHAnsi"/>
          <w:sz w:val="20"/>
          <w:szCs w:val="20"/>
          <w:lang w:val="en-US"/>
        </w:rPr>
        <w:t>(</w:t>
      </w:r>
      <w:r w:rsidRPr="007D47AD">
        <w:rPr>
          <w:rFonts w:asciiTheme="minorHAnsi" w:hAnsiTheme="minorHAnsi"/>
          <w:sz w:val="20"/>
          <w:szCs w:val="20"/>
          <w:lang w:val="en-US"/>
        </w:rPr>
        <w:t xml:space="preserve">hereinafter </w:t>
      </w:r>
      <w:r w:rsidR="00AF0EA7" w:rsidRPr="007D47AD">
        <w:rPr>
          <w:rFonts w:asciiTheme="minorHAnsi" w:hAnsiTheme="minorHAnsi"/>
          <w:sz w:val="20"/>
          <w:szCs w:val="20"/>
          <w:lang w:val="en-US"/>
        </w:rPr>
        <w:t xml:space="preserve">“INEGI”) </w:t>
      </w:r>
      <w:r w:rsidRPr="007D47AD">
        <w:rPr>
          <w:rFonts w:asciiTheme="minorHAnsi" w:hAnsiTheme="minorHAnsi"/>
          <w:sz w:val="20"/>
          <w:szCs w:val="20"/>
          <w:lang w:val="en-US"/>
        </w:rPr>
        <w:t xml:space="preserve">has the Integrated System of Statistics on Violence against Women </w:t>
      </w:r>
      <w:r w:rsidR="00BB4A5C" w:rsidRPr="007D47AD">
        <w:rPr>
          <w:rFonts w:asciiTheme="minorHAnsi" w:hAnsiTheme="minorHAnsi"/>
          <w:sz w:val="20"/>
          <w:szCs w:val="20"/>
          <w:lang w:val="en-US"/>
        </w:rPr>
        <w:t>(</w:t>
      </w:r>
      <w:r w:rsidRPr="007D47AD">
        <w:rPr>
          <w:rFonts w:asciiTheme="minorHAnsi" w:hAnsiTheme="minorHAnsi"/>
          <w:sz w:val="20"/>
          <w:szCs w:val="20"/>
          <w:lang w:val="en-US"/>
        </w:rPr>
        <w:t xml:space="preserve">hereinafter </w:t>
      </w:r>
      <w:r w:rsidR="00BB4A5C" w:rsidRPr="007D47AD">
        <w:rPr>
          <w:rFonts w:asciiTheme="minorHAnsi" w:hAnsiTheme="minorHAnsi"/>
          <w:sz w:val="20"/>
          <w:szCs w:val="20"/>
          <w:lang w:val="en-US"/>
        </w:rPr>
        <w:t>“SIESVIM”)</w:t>
      </w:r>
      <w:r w:rsidRPr="007D47AD">
        <w:rPr>
          <w:rFonts w:asciiTheme="minorHAnsi" w:hAnsiTheme="minorHAnsi"/>
          <w:sz w:val="20"/>
          <w:szCs w:val="20"/>
          <w:lang w:val="en-US"/>
        </w:rPr>
        <w:t xml:space="preserve">, which systematizes information on the types of violence brought to bear against women, the </w:t>
      </w:r>
      <w:r w:rsidR="00AF0EA7" w:rsidRPr="007D47AD">
        <w:rPr>
          <w:rFonts w:asciiTheme="minorHAnsi" w:hAnsiTheme="minorHAnsi"/>
          <w:sz w:val="20"/>
          <w:szCs w:val="20"/>
          <w:lang w:val="en-US"/>
        </w:rPr>
        <w:t>magnitud</w:t>
      </w:r>
      <w:r w:rsidRPr="007D47AD">
        <w:rPr>
          <w:rFonts w:asciiTheme="minorHAnsi" w:hAnsiTheme="minorHAnsi"/>
          <w:sz w:val="20"/>
          <w:szCs w:val="20"/>
          <w:lang w:val="en-US"/>
        </w:rPr>
        <w:t>e</w:t>
      </w:r>
      <w:r w:rsidR="00AF0EA7" w:rsidRPr="007D47AD">
        <w:rPr>
          <w:rFonts w:asciiTheme="minorHAnsi" w:hAnsiTheme="minorHAnsi"/>
          <w:sz w:val="20"/>
          <w:szCs w:val="20"/>
          <w:lang w:val="en-US"/>
        </w:rPr>
        <w:t xml:space="preserve">, </w:t>
      </w:r>
      <w:r w:rsidRPr="007D47AD">
        <w:rPr>
          <w:rFonts w:asciiTheme="minorHAnsi" w:hAnsiTheme="minorHAnsi"/>
          <w:sz w:val="20"/>
          <w:szCs w:val="20"/>
          <w:lang w:val="en-US"/>
        </w:rPr>
        <w:t xml:space="preserve">forms, and intensity of such violence, so that it can be a reference for supporting and upholding the definition, monitoring, and </w:t>
      </w:r>
      <w:r w:rsidR="00B613B2" w:rsidRPr="007D47AD">
        <w:rPr>
          <w:rFonts w:asciiTheme="minorHAnsi" w:hAnsiTheme="minorHAnsi"/>
          <w:sz w:val="20"/>
          <w:szCs w:val="20"/>
          <w:lang w:val="en-US"/>
        </w:rPr>
        <w:t>e</w:t>
      </w:r>
      <w:r w:rsidRPr="007D47AD">
        <w:rPr>
          <w:rFonts w:asciiTheme="minorHAnsi" w:hAnsiTheme="minorHAnsi"/>
          <w:sz w:val="20"/>
          <w:szCs w:val="20"/>
          <w:lang w:val="en-US"/>
        </w:rPr>
        <w:t xml:space="preserve">valuation of public policies aimed at eradicating </w:t>
      </w:r>
      <w:r w:rsidR="00C50A24" w:rsidRPr="007D47AD">
        <w:rPr>
          <w:rFonts w:asciiTheme="minorHAnsi" w:hAnsiTheme="minorHAnsi"/>
          <w:sz w:val="20"/>
          <w:szCs w:val="20"/>
          <w:lang w:val="en-US"/>
        </w:rPr>
        <w:t>violenc</w:t>
      </w:r>
      <w:r w:rsidRPr="007D47AD">
        <w:rPr>
          <w:rFonts w:asciiTheme="minorHAnsi" w:hAnsiTheme="minorHAnsi"/>
          <w:sz w:val="20"/>
          <w:szCs w:val="20"/>
          <w:lang w:val="en-US"/>
        </w:rPr>
        <w:t xml:space="preserve">e against women. </w:t>
      </w:r>
      <w:r w:rsidR="00C41F2B" w:rsidRPr="007D47AD">
        <w:rPr>
          <w:rFonts w:asciiTheme="minorHAnsi" w:hAnsiTheme="minorHAnsi"/>
          <w:sz w:val="20"/>
          <w:szCs w:val="20"/>
          <w:lang w:val="en-US"/>
        </w:rPr>
        <w:t xml:space="preserve">This system is made up of </w:t>
      </w:r>
      <w:r w:rsidR="009B4311" w:rsidRPr="007D47AD">
        <w:rPr>
          <w:rFonts w:asciiTheme="minorHAnsi" w:hAnsiTheme="minorHAnsi"/>
          <w:sz w:val="20"/>
          <w:szCs w:val="20"/>
          <w:lang w:val="en-US"/>
        </w:rPr>
        <w:t>272 indica</w:t>
      </w:r>
      <w:r w:rsidR="00C41F2B" w:rsidRPr="007D47AD">
        <w:rPr>
          <w:rFonts w:asciiTheme="minorHAnsi" w:hAnsiTheme="minorHAnsi"/>
          <w:sz w:val="20"/>
          <w:szCs w:val="20"/>
          <w:lang w:val="en-US"/>
        </w:rPr>
        <w:t>t</w:t>
      </w:r>
      <w:r w:rsidR="009B4311" w:rsidRPr="007D47AD">
        <w:rPr>
          <w:rFonts w:asciiTheme="minorHAnsi" w:hAnsiTheme="minorHAnsi"/>
          <w:sz w:val="20"/>
          <w:szCs w:val="20"/>
          <w:lang w:val="en-US"/>
        </w:rPr>
        <w:t xml:space="preserve">ors, </w:t>
      </w:r>
      <w:r w:rsidR="00C41F2B" w:rsidRPr="007D47AD">
        <w:rPr>
          <w:rFonts w:asciiTheme="minorHAnsi" w:hAnsiTheme="minorHAnsi"/>
          <w:sz w:val="20"/>
          <w:szCs w:val="20"/>
          <w:lang w:val="en-US"/>
        </w:rPr>
        <w:t>each designed with its corresponding technical data sheet.</w:t>
      </w:r>
      <w:r w:rsidR="00C50A24" w:rsidRPr="007D47AD">
        <w:rPr>
          <w:rStyle w:val="FootnoteReference"/>
          <w:rFonts w:asciiTheme="minorHAnsi" w:hAnsiTheme="minorHAnsi"/>
          <w:color w:val="222222"/>
          <w:sz w:val="20"/>
          <w:szCs w:val="20"/>
          <w:lang w:val="en-US"/>
        </w:rPr>
        <w:footnoteReference w:id="49"/>
      </w:r>
    </w:p>
    <w:p w:rsidR="00126272" w:rsidRPr="007D47AD" w:rsidRDefault="00C82C75" w:rsidP="00C542CC">
      <w:pPr>
        <w:numPr>
          <w:ilvl w:val="0"/>
          <w:numId w:val="6"/>
        </w:numPr>
        <w:shd w:val="clear" w:color="auto" w:fill="FFFFFF"/>
        <w:spacing w:after="240" w:line="240" w:lineRule="auto"/>
        <w:ind w:left="0" w:firstLine="720"/>
        <w:jc w:val="both"/>
        <w:rPr>
          <w:rFonts w:asciiTheme="minorHAnsi" w:hAnsiTheme="minorHAnsi"/>
          <w:sz w:val="20"/>
          <w:szCs w:val="20"/>
          <w:lang w:val="en-US"/>
        </w:rPr>
      </w:pPr>
      <w:r w:rsidRPr="007D47AD">
        <w:rPr>
          <w:rFonts w:asciiTheme="minorHAnsi" w:hAnsiTheme="minorHAnsi"/>
          <w:sz w:val="20"/>
          <w:szCs w:val="20"/>
          <w:lang w:val="en-US"/>
        </w:rPr>
        <w:t>In relation to Afro-descendants, as noted</w:t>
      </w:r>
      <w:r w:rsidR="00385F1D" w:rsidRPr="007D47AD">
        <w:rPr>
          <w:rFonts w:asciiTheme="minorHAnsi" w:hAnsiTheme="minorHAnsi"/>
          <w:sz w:val="20"/>
          <w:szCs w:val="20"/>
          <w:lang w:val="en-US"/>
        </w:rPr>
        <w:t xml:space="preserve"> above</w:t>
      </w:r>
      <w:r w:rsidRPr="007D47AD">
        <w:rPr>
          <w:rFonts w:asciiTheme="minorHAnsi" w:hAnsiTheme="minorHAnsi"/>
          <w:sz w:val="20"/>
          <w:szCs w:val="20"/>
          <w:lang w:val="en-US"/>
        </w:rPr>
        <w:t xml:space="preserve">, the IACHR </w:t>
      </w:r>
      <w:r w:rsidR="00385F1D" w:rsidRPr="007D47AD">
        <w:rPr>
          <w:rFonts w:asciiTheme="minorHAnsi" w:hAnsiTheme="minorHAnsi"/>
          <w:sz w:val="20"/>
          <w:szCs w:val="20"/>
          <w:lang w:val="en-US"/>
        </w:rPr>
        <w:t>commends the fact</w:t>
      </w:r>
      <w:r w:rsidRPr="007D47AD">
        <w:rPr>
          <w:rFonts w:asciiTheme="minorHAnsi" w:hAnsiTheme="minorHAnsi"/>
          <w:sz w:val="20"/>
          <w:szCs w:val="20"/>
          <w:lang w:val="en-US"/>
        </w:rPr>
        <w:t xml:space="preserve"> that </w:t>
      </w:r>
      <w:r w:rsidR="00385F1D" w:rsidRPr="007D47AD">
        <w:rPr>
          <w:rFonts w:asciiTheme="minorHAnsi" w:hAnsiTheme="minorHAnsi"/>
          <w:sz w:val="20"/>
          <w:szCs w:val="20"/>
          <w:lang w:val="en-US"/>
        </w:rPr>
        <w:t>“</w:t>
      </w:r>
      <w:r w:rsidRPr="007D47AD">
        <w:rPr>
          <w:rFonts w:asciiTheme="minorHAnsi" w:hAnsiTheme="minorHAnsi"/>
          <w:sz w:val="20"/>
          <w:szCs w:val="20"/>
          <w:lang w:val="en-US"/>
        </w:rPr>
        <w:t>ENADIS</w:t>
      </w:r>
      <w:r w:rsidR="00385F1D" w:rsidRPr="007D47AD">
        <w:rPr>
          <w:rFonts w:asciiTheme="minorHAnsi" w:hAnsiTheme="minorHAnsi"/>
          <w:sz w:val="20"/>
          <w:szCs w:val="20"/>
          <w:lang w:val="en-US"/>
        </w:rPr>
        <w:t>”</w:t>
      </w:r>
      <w:r w:rsidRPr="007D47AD">
        <w:rPr>
          <w:rFonts w:asciiTheme="minorHAnsi" w:hAnsiTheme="minorHAnsi"/>
          <w:sz w:val="20"/>
          <w:szCs w:val="20"/>
          <w:lang w:val="en-US"/>
        </w:rPr>
        <w:t xml:space="preserve"> included the variable related to this population in 2017, with the result that 4.7 per cent of the total population of people aged from 15 to 59 in Mexico recognized themselves as Afro-descendants</w:t>
      </w:r>
      <w:r w:rsidR="00126272" w:rsidRPr="007D47AD">
        <w:rPr>
          <w:rFonts w:asciiTheme="minorHAnsi" w:hAnsiTheme="minorHAnsi"/>
          <w:sz w:val="20"/>
          <w:szCs w:val="20"/>
          <w:vertAlign w:val="superscript"/>
          <w:lang w:val="es-US"/>
        </w:rPr>
        <w:footnoteReference w:id="50"/>
      </w:r>
      <w:r w:rsidR="00126272" w:rsidRPr="007D47AD">
        <w:rPr>
          <w:rFonts w:asciiTheme="minorHAnsi" w:hAnsiTheme="minorHAnsi"/>
          <w:sz w:val="20"/>
          <w:szCs w:val="20"/>
          <w:lang w:val="en-US"/>
        </w:rPr>
        <w:t xml:space="preserve">. </w:t>
      </w:r>
      <w:r w:rsidRPr="007D47AD">
        <w:rPr>
          <w:rFonts w:asciiTheme="minorHAnsi" w:hAnsiTheme="minorHAnsi"/>
          <w:sz w:val="20"/>
          <w:szCs w:val="20"/>
          <w:lang w:val="en-US"/>
        </w:rPr>
        <w:t xml:space="preserve">The Commission also highlights the approval of the constitutional reform of Article 2 by the Senate of the Republic of </w:t>
      </w:r>
      <w:r w:rsidR="00C542CC" w:rsidRPr="007D47AD">
        <w:rPr>
          <w:rFonts w:asciiTheme="minorHAnsi" w:hAnsiTheme="minorHAnsi"/>
          <w:sz w:val="20"/>
          <w:szCs w:val="20"/>
          <w:lang w:val="en-US"/>
        </w:rPr>
        <w:t>Mexico,</w:t>
      </w:r>
      <w:r w:rsidRPr="007D47AD">
        <w:rPr>
          <w:rFonts w:asciiTheme="minorHAnsi" w:hAnsiTheme="minorHAnsi"/>
          <w:sz w:val="20"/>
          <w:szCs w:val="20"/>
          <w:lang w:val="en-US"/>
        </w:rPr>
        <w:t xml:space="preserve"> which grants recognition to the Afro-descend</w:t>
      </w:r>
      <w:r w:rsidR="00385F1D" w:rsidRPr="007D47AD">
        <w:rPr>
          <w:rFonts w:asciiTheme="minorHAnsi" w:hAnsiTheme="minorHAnsi"/>
          <w:sz w:val="20"/>
          <w:szCs w:val="20"/>
          <w:lang w:val="en-US"/>
        </w:rPr>
        <w:t xml:space="preserve">ant population in the </w:t>
      </w:r>
      <w:r w:rsidRPr="007D47AD">
        <w:rPr>
          <w:rFonts w:asciiTheme="minorHAnsi" w:hAnsiTheme="minorHAnsi"/>
          <w:sz w:val="20"/>
          <w:szCs w:val="20"/>
          <w:lang w:val="en-US"/>
        </w:rPr>
        <w:t>Constitution</w:t>
      </w:r>
      <w:r w:rsidR="00126272" w:rsidRPr="007D47AD">
        <w:rPr>
          <w:rFonts w:asciiTheme="minorHAnsi" w:hAnsiTheme="minorHAnsi"/>
          <w:sz w:val="20"/>
          <w:szCs w:val="20"/>
          <w:vertAlign w:val="superscript"/>
          <w:lang w:val="es-US"/>
        </w:rPr>
        <w:footnoteReference w:id="51"/>
      </w:r>
      <w:r w:rsidR="00126272" w:rsidRPr="007D47AD">
        <w:rPr>
          <w:rFonts w:asciiTheme="minorHAnsi" w:hAnsiTheme="minorHAnsi"/>
          <w:sz w:val="20"/>
          <w:szCs w:val="20"/>
          <w:lang w:val="en-US"/>
        </w:rPr>
        <w:t xml:space="preserve">. </w:t>
      </w:r>
      <w:r w:rsidR="00C542CC" w:rsidRPr="007D47AD">
        <w:rPr>
          <w:rFonts w:asciiTheme="minorHAnsi" w:hAnsiTheme="minorHAnsi"/>
          <w:sz w:val="20"/>
          <w:szCs w:val="20"/>
          <w:lang w:val="en-US"/>
        </w:rPr>
        <w:t>The Commission hopes that the Mexican State will establish channels of communication with civil society organizations within the framework of the design, implementation, monitoring and evaluation of census policies, particularly with regard to the inclusion of the Afro-descendant variable in the 2020 Census, which will be carried out by the National Institute of Statistics and Geography (INEGI); in order to ensure that the question of ethnic and racial self-recognition is appropriate for both indigenous and Afro-descendant peoples.</w:t>
      </w:r>
      <w:r w:rsidR="00126272" w:rsidRPr="007D47AD">
        <w:rPr>
          <w:rFonts w:asciiTheme="minorHAnsi" w:hAnsiTheme="minorHAnsi"/>
          <w:sz w:val="20"/>
          <w:szCs w:val="20"/>
          <w:vertAlign w:val="superscript"/>
          <w:lang w:val="es-US"/>
        </w:rPr>
        <w:footnoteReference w:id="52"/>
      </w:r>
      <w:r w:rsidR="00126272" w:rsidRPr="007D47AD">
        <w:rPr>
          <w:rFonts w:asciiTheme="minorHAnsi" w:hAnsiTheme="minorHAnsi"/>
          <w:sz w:val="20"/>
          <w:szCs w:val="20"/>
          <w:lang w:val="en-US"/>
        </w:rPr>
        <w:t xml:space="preserve">. </w:t>
      </w:r>
    </w:p>
    <w:p w:rsidR="009B4311" w:rsidRPr="007D47AD" w:rsidRDefault="00C41F2B" w:rsidP="00491B17">
      <w:pPr>
        <w:numPr>
          <w:ilvl w:val="0"/>
          <w:numId w:val="6"/>
        </w:numPr>
        <w:shd w:val="clear" w:color="auto" w:fill="FFFFFF"/>
        <w:spacing w:after="240" w:line="240" w:lineRule="auto"/>
        <w:ind w:left="0" w:firstLine="720"/>
        <w:jc w:val="both"/>
        <w:rPr>
          <w:rFonts w:asciiTheme="minorHAnsi" w:hAnsiTheme="minorHAnsi"/>
          <w:color w:val="222222"/>
          <w:sz w:val="20"/>
          <w:szCs w:val="20"/>
          <w:lang w:val="en-US"/>
        </w:rPr>
      </w:pPr>
      <w:r w:rsidRPr="007D47AD">
        <w:rPr>
          <w:rFonts w:asciiTheme="minorHAnsi" w:hAnsiTheme="minorHAnsi"/>
          <w:color w:val="222222"/>
          <w:sz w:val="20"/>
          <w:szCs w:val="20"/>
          <w:lang w:val="en-US"/>
        </w:rPr>
        <w:t xml:space="preserve">In these terms, the IACHR observes that the State has developed a complete system for compiling and analyzing data on violence against women. In addition, the IACHR finds that there are instruments that make it possible to learn about some aspects of violence against children and adolescents, migrants, and </w:t>
      </w:r>
      <w:r w:rsidR="009B4311" w:rsidRPr="007D47AD">
        <w:rPr>
          <w:rFonts w:asciiTheme="minorHAnsi" w:hAnsiTheme="minorHAnsi"/>
          <w:color w:val="222222"/>
          <w:sz w:val="20"/>
          <w:szCs w:val="20"/>
          <w:lang w:val="en-US"/>
        </w:rPr>
        <w:t>LGTBI</w:t>
      </w:r>
      <w:r w:rsidRPr="007D47AD">
        <w:rPr>
          <w:rFonts w:asciiTheme="minorHAnsi" w:hAnsiTheme="minorHAnsi"/>
          <w:color w:val="222222"/>
          <w:sz w:val="20"/>
          <w:szCs w:val="20"/>
          <w:lang w:val="en-US"/>
        </w:rPr>
        <w:t xml:space="preserve"> persons</w:t>
      </w:r>
      <w:r w:rsidR="00126272" w:rsidRPr="007D47AD">
        <w:rPr>
          <w:rFonts w:asciiTheme="minorHAnsi" w:hAnsiTheme="minorHAnsi"/>
          <w:color w:val="222222"/>
          <w:sz w:val="20"/>
          <w:szCs w:val="20"/>
          <w:lang w:val="en-US"/>
        </w:rPr>
        <w:t>, and African descendants</w:t>
      </w:r>
      <w:r w:rsidR="009B4311" w:rsidRPr="007D47AD">
        <w:rPr>
          <w:rFonts w:asciiTheme="minorHAnsi" w:hAnsiTheme="minorHAnsi"/>
          <w:color w:val="222222"/>
          <w:sz w:val="20"/>
          <w:szCs w:val="20"/>
          <w:lang w:val="en-US"/>
        </w:rPr>
        <w:t xml:space="preserve">. </w:t>
      </w:r>
      <w:r w:rsidRPr="007D47AD">
        <w:rPr>
          <w:rFonts w:asciiTheme="minorHAnsi" w:hAnsiTheme="minorHAnsi"/>
          <w:color w:val="222222"/>
          <w:sz w:val="20"/>
          <w:szCs w:val="20"/>
          <w:lang w:val="en-US"/>
        </w:rPr>
        <w:t xml:space="preserve">In addition, the IACHR has </w:t>
      </w:r>
      <w:r w:rsidR="003B05A9" w:rsidRPr="007D47AD">
        <w:rPr>
          <w:rFonts w:asciiTheme="minorHAnsi" w:hAnsiTheme="minorHAnsi"/>
          <w:color w:val="222222"/>
          <w:sz w:val="20"/>
          <w:szCs w:val="20"/>
          <w:lang w:val="en-US"/>
        </w:rPr>
        <w:t xml:space="preserve">noted </w:t>
      </w:r>
      <w:r w:rsidRPr="007D47AD">
        <w:rPr>
          <w:rFonts w:asciiTheme="minorHAnsi" w:hAnsiTheme="minorHAnsi"/>
          <w:color w:val="222222"/>
          <w:sz w:val="20"/>
          <w:szCs w:val="20"/>
          <w:lang w:val="en-US"/>
        </w:rPr>
        <w:t xml:space="preserve">the report of the State </w:t>
      </w:r>
      <w:r w:rsidR="00A70025" w:rsidRPr="007D47AD">
        <w:rPr>
          <w:rFonts w:asciiTheme="minorHAnsi" w:hAnsiTheme="minorHAnsi"/>
          <w:color w:val="222222"/>
          <w:sz w:val="20"/>
          <w:szCs w:val="20"/>
          <w:lang w:val="en-US"/>
        </w:rPr>
        <w:t xml:space="preserve">regarding </w:t>
      </w:r>
      <w:r w:rsidRPr="007D47AD">
        <w:rPr>
          <w:rFonts w:asciiTheme="minorHAnsi" w:hAnsiTheme="minorHAnsi"/>
          <w:color w:val="222222"/>
          <w:sz w:val="20"/>
          <w:szCs w:val="20"/>
          <w:lang w:val="en-US"/>
        </w:rPr>
        <w:t xml:space="preserve">the </w:t>
      </w:r>
      <w:r w:rsidR="009B4311" w:rsidRPr="007D47AD">
        <w:rPr>
          <w:rFonts w:asciiTheme="minorHAnsi" w:hAnsiTheme="minorHAnsi"/>
          <w:color w:val="222222"/>
          <w:sz w:val="20"/>
          <w:szCs w:val="20"/>
          <w:lang w:val="en-US"/>
        </w:rPr>
        <w:t xml:space="preserve">ENPOL </w:t>
      </w:r>
      <w:r w:rsidRPr="007D47AD">
        <w:rPr>
          <w:rFonts w:asciiTheme="minorHAnsi" w:hAnsiTheme="minorHAnsi"/>
          <w:color w:val="222222"/>
          <w:sz w:val="20"/>
          <w:szCs w:val="20"/>
          <w:lang w:val="en-US"/>
        </w:rPr>
        <w:t xml:space="preserve">and reports </w:t>
      </w:r>
      <w:r w:rsidR="003B05A9" w:rsidRPr="007D47AD">
        <w:rPr>
          <w:rFonts w:asciiTheme="minorHAnsi" w:hAnsiTheme="minorHAnsi"/>
          <w:color w:val="222222"/>
          <w:sz w:val="20"/>
          <w:szCs w:val="20"/>
          <w:lang w:val="en-US"/>
        </w:rPr>
        <w:t xml:space="preserve">of the Protection </w:t>
      </w:r>
      <w:r w:rsidRPr="007D47AD">
        <w:rPr>
          <w:rFonts w:asciiTheme="minorHAnsi" w:hAnsiTheme="minorHAnsi"/>
          <w:color w:val="222222"/>
          <w:sz w:val="20"/>
          <w:szCs w:val="20"/>
          <w:lang w:val="en-US"/>
        </w:rPr>
        <w:t xml:space="preserve">Mechanism </w:t>
      </w:r>
      <w:r w:rsidR="003B05A9" w:rsidRPr="007D47AD">
        <w:rPr>
          <w:rFonts w:asciiTheme="minorHAnsi" w:hAnsiTheme="minorHAnsi"/>
          <w:color w:val="222222"/>
          <w:sz w:val="20"/>
          <w:szCs w:val="20"/>
          <w:lang w:val="en-US"/>
        </w:rPr>
        <w:t xml:space="preserve">for </w:t>
      </w:r>
      <w:r w:rsidRPr="007D47AD">
        <w:rPr>
          <w:rFonts w:asciiTheme="minorHAnsi" w:hAnsiTheme="minorHAnsi"/>
          <w:color w:val="222222"/>
          <w:sz w:val="20"/>
          <w:szCs w:val="20"/>
          <w:lang w:val="en-US"/>
        </w:rPr>
        <w:t xml:space="preserve">human rights defenders and </w:t>
      </w:r>
      <w:r w:rsidR="007E181B" w:rsidRPr="007D47AD">
        <w:rPr>
          <w:rFonts w:asciiTheme="minorHAnsi" w:hAnsiTheme="minorHAnsi"/>
          <w:color w:val="222222"/>
          <w:sz w:val="20"/>
          <w:szCs w:val="20"/>
          <w:lang w:val="en-US"/>
        </w:rPr>
        <w:t>journalists</w:t>
      </w:r>
      <w:r w:rsidRPr="007D47AD">
        <w:rPr>
          <w:rFonts w:asciiTheme="minorHAnsi" w:hAnsiTheme="minorHAnsi"/>
          <w:color w:val="222222"/>
          <w:sz w:val="20"/>
          <w:szCs w:val="20"/>
          <w:lang w:val="en-US"/>
        </w:rPr>
        <w:t>, with the considerations that will be explained below. In view of the foregoing, given that the information systems on persons deprived of liberty</w:t>
      </w:r>
      <w:r w:rsidR="009B4311" w:rsidRPr="007D47AD">
        <w:rPr>
          <w:rFonts w:asciiTheme="minorHAnsi" w:hAnsiTheme="minorHAnsi"/>
          <w:color w:val="222222"/>
          <w:sz w:val="20"/>
          <w:szCs w:val="20"/>
          <w:lang w:val="en-US"/>
        </w:rPr>
        <w:t xml:space="preserve">, </w:t>
      </w:r>
      <w:r w:rsidRPr="007D47AD">
        <w:rPr>
          <w:rFonts w:asciiTheme="minorHAnsi" w:hAnsiTheme="minorHAnsi"/>
          <w:color w:val="222222"/>
          <w:sz w:val="20"/>
          <w:szCs w:val="20"/>
          <w:lang w:val="en-US"/>
        </w:rPr>
        <w:t>human rights defenders, and journalists face a critical situation, the IACHR considers that these groups</w:t>
      </w:r>
      <w:r w:rsidR="003B05A9" w:rsidRPr="007D47AD">
        <w:rPr>
          <w:rFonts w:asciiTheme="minorHAnsi" w:hAnsiTheme="minorHAnsi"/>
          <w:color w:val="222222"/>
          <w:sz w:val="20"/>
          <w:szCs w:val="20"/>
          <w:lang w:val="en-US"/>
        </w:rPr>
        <w:t xml:space="preserve"> have been </w:t>
      </w:r>
      <w:r w:rsidRPr="007D47AD">
        <w:rPr>
          <w:rFonts w:asciiTheme="minorHAnsi" w:hAnsiTheme="minorHAnsi"/>
          <w:color w:val="222222"/>
          <w:sz w:val="20"/>
          <w:szCs w:val="20"/>
          <w:lang w:val="en-US"/>
        </w:rPr>
        <w:t>neglected</w:t>
      </w:r>
      <w:r w:rsidR="003B05A9" w:rsidRPr="007D47AD">
        <w:rPr>
          <w:rFonts w:asciiTheme="minorHAnsi" w:hAnsiTheme="minorHAnsi"/>
          <w:color w:val="222222"/>
          <w:sz w:val="20"/>
          <w:szCs w:val="20"/>
          <w:lang w:val="en-US"/>
        </w:rPr>
        <w:t xml:space="preserve"> when it comes to registering data on violations of their rights</w:t>
      </w:r>
      <w:r w:rsidRPr="007D47AD">
        <w:rPr>
          <w:rFonts w:asciiTheme="minorHAnsi" w:hAnsiTheme="minorHAnsi"/>
          <w:color w:val="222222"/>
          <w:sz w:val="20"/>
          <w:szCs w:val="20"/>
          <w:lang w:val="en-US"/>
        </w:rPr>
        <w:t>. The same holds for indigenous persons and peoples</w:t>
      </w:r>
      <w:r w:rsidR="003B05A9" w:rsidRPr="007D47AD">
        <w:rPr>
          <w:rFonts w:asciiTheme="minorHAnsi" w:hAnsiTheme="minorHAnsi"/>
          <w:color w:val="222222"/>
          <w:sz w:val="20"/>
          <w:szCs w:val="20"/>
          <w:lang w:val="en-US"/>
        </w:rPr>
        <w:t>,</w:t>
      </w:r>
      <w:r w:rsidRPr="007D47AD">
        <w:rPr>
          <w:rFonts w:asciiTheme="minorHAnsi" w:hAnsiTheme="minorHAnsi"/>
          <w:color w:val="222222"/>
          <w:sz w:val="20"/>
          <w:szCs w:val="20"/>
          <w:lang w:val="en-US"/>
        </w:rPr>
        <w:t xml:space="preserve"> with </w:t>
      </w:r>
      <w:r w:rsidR="003B05A9" w:rsidRPr="007D47AD">
        <w:rPr>
          <w:rFonts w:asciiTheme="minorHAnsi" w:hAnsiTheme="minorHAnsi"/>
          <w:color w:val="222222"/>
          <w:sz w:val="20"/>
          <w:szCs w:val="20"/>
          <w:lang w:val="en-US"/>
        </w:rPr>
        <w:t>r</w:t>
      </w:r>
      <w:r w:rsidRPr="007D47AD">
        <w:rPr>
          <w:rFonts w:asciiTheme="minorHAnsi" w:hAnsiTheme="minorHAnsi"/>
          <w:color w:val="222222"/>
          <w:sz w:val="20"/>
          <w:szCs w:val="20"/>
          <w:lang w:val="en-US"/>
        </w:rPr>
        <w:t>espect to whom the IACHR has not identified a specific instrument for measurement</w:t>
      </w:r>
      <w:r w:rsidR="009B4311" w:rsidRPr="007D47AD">
        <w:rPr>
          <w:rFonts w:asciiTheme="minorHAnsi" w:hAnsiTheme="minorHAnsi"/>
          <w:color w:val="222222"/>
          <w:sz w:val="20"/>
          <w:szCs w:val="20"/>
          <w:lang w:val="en-US"/>
        </w:rPr>
        <w:t xml:space="preserve">, </w:t>
      </w:r>
      <w:r w:rsidRPr="007D47AD">
        <w:rPr>
          <w:rFonts w:asciiTheme="minorHAnsi" w:hAnsiTheme="minorHAnsi"/>
          <w:color w:val="222222"/>
          <w:sz w:val="20"/>
          <w:szCs w:val="20"/>
          <w:lang w:val="en-US"/>
        </w:rPr>
        <w:t xml:space="preserve">but only tangential references. </w:t>
      </w:r>
      <w:r w:rsidR="00B86CB5" w:rsidRPr="007D47AD">
        <w:rPr>
          <w:rFonts w:asciiTheme="minorHAnsi" w:hAnsiTheme="minorHAnsi"/>
          <w:sz w:val="20"/>
          <w:szCs w:val="20"/>
          <w:lang w:val="en-US"/>
        </w:rPr>
        <w:t>In</w:t>
      </w:r>
      <w:r w:rsidR="005920F2" w:rsidRPr="007D47AD">
        <w:rPr>
          <w:rFonts w:asciiTheme="minorHAnsi" w:hAnsiTheme="minorHAnsi"/>
          <w:sz w:val="20"/>
          <w:szCs w:val="20"/>
          <w:lang w:val="en-US"/>
        </w:rPr>
        <w:t xml:space="preserve"> </w:t>
      </w:r>
      <w:r w:rsidR="00B86CB5" w:rsidRPr="007D47AD">
        <w:rPr>
          <w:rFonts w:asciiTheme="minorHAnsi" w:hAnsiTheme="minorHAnsi"/>
          <w:sz w:val="20"/>
          <w:szCs w:val="20"/>
          <w:lang w:val="en-US"/>
        </w:rPr>
        <w:t>its observation</w:t>
      </w:r>
      <w:r w:rsidR="005E163B" w:rsidRPr="007D47AD">
        <w:rPr>
          <w:rFonts w:asciiTheme="minorHAnsi" w:hAnsiTheme="minorHAnsi"/>
          <w:sz w:val="20"/>
          <w:szCs w:val="20"/>
          <w:lang w:val="en-US"/>
        </w:rPr>
        <w:t>s</w:t>
      </w:r>
      <w:r w:rsidR="00B86CB5" w:rsidRPr="007D47AD">
        <w:rPr>
          <w:rFonts w:asciiTheme="minorHAnsi" w:hAnsiTheme="minorHAnsi"/>
          <w:sz w:val="20"/>
          <w:szCs w:val="20"/>
          <w:lang w:val="en-US"/>
        </w:rPr>
        <w:t xml:space="preserve"> on the draft of this report the State indicated that the regional planning process had been concluded in seven indigenous regions, and that in the preliminary assessment submitted to the assemblies of indigenous authorities information was included </w:t>
      </w:r>
      <w:r w:rsidR="00B86CB5" w:rsidRPr="007D47AD">
        <w:rPr>
          <w:rFonts w:asciiTheme="minorHAnsi" w:hAnsiTheme="minorHAnsi"/>
          <w:color w:val="222222"/>
          <w:sz w:val="20"/>
          <w:szCs w:val="20"/>
          <w:lang w:val="en-US"/>
        </w:rPr>
        <w:t xml:space="preserve">on the </w:t>
      </w:r>
      <w:r w:rsidR="00534218" w:rsidRPr="007D47AD">
        <w:rPr>
          <w:rFonts w:asciiTheme="minorHAnsi" w:hAnsiTheme="minorHAnsi"/>
          <w:color w:val="222222"/>
          <w:sz w:val="20"/>
          <w:szCs w:val="20"/>
          <w:lang w:val="en-US"/>
        </w:rPr>
        <w:t xml:space="preserve">number of crimes in the regular criminal courts per 1,000 population </w:t>
      </w:r>
      <w:r w:rsidR="00B86CB5" w:rsidRPr="007D47AD">
        <w:rPr>
          <w:rFonts w:asciiTheme="minorHAnsi" w:hAnsiTheme="minorHAnsi"/>
          <w:color w:val="222222"/>
          <w:sz w:val="20"/>
          <w:szCs w:val="20"/>
          <w:lang w:val="en-US"/>
        </w:rPr>
        <w:t>and the homicide rates</w:t>
      </w:r>
      <w:r w:rsidR="005920F2" w:rsidRPr="007D47AD">
        <w:rPr>
          <w:rFonts w:asciiTheme="minorHAnsi" w:hAnsiTheme="minorHAnsi"/>
          <w:color w:val="222222"/>
          <w:sz w:val="20"/>
          <w:szCs w:val="20"/>
          <w:lang w:val="en-US"/>
        </w:rPr>
        <w:t>, report</w:t>
      </w:r>
      <w:r w:rsidR="00B86CB5" w:rsidRPr="007D47AD">
        <w:rPr>
          <w:rFonts w:asciiTheme="minorHAnsi" w:hAnsiTheme="minorHAnsi"/>
          <w:color w:val="222222"/>
          <w:sz w:val="20"/>
          <w:szCs w:val="20"/>
          <w:lang w:val="en-US"/>
        </w:rPr>
        <w:t xml:space="preserve">ed by the Executive Secretariat of the National Public Security System </w:t>
      </w:r>
      <w:r w:rsidR="005920F2" w:rsidRPr="007D47AD">
        <w:rPr>
          <w:rFonts w:asciiTheme="minorHAnsi" w:hAnsiTheme="minorHAnsi"/>
          <w:color w:val="222222"/>
          <w:sz w:val="20"/>
          <w:szCs w:val="20"/>
          <w:lang w:val="en-US"/>
        </w:rPr>
        <w:t>(SESNSP)</w:t>
      </w:r>
      <w:r w:rsidR="00B86CB5" w:rsidRPr="007D47AD">
        <w:rPr>
          <w:rFonts w:asciiTheme="minorHAnsi" w:hAnsiTheme="minorHAnsi"/>
          <w:sz w:val="20"/>
          <w:szCs w:val="20"/>
          <w:lang w:val="en-US"/>
        </w:rPr>
        <w:t>.</w:t>
      </w:r>
      <w:r w:rsidR="005920F2" w:rsidRPr="007D47AD">
        <w:rPr>
          <w:rStyle w:val="FootnoteReference"/>
          <w:rFonts w:asciiTheme="minorHAnsi" w:hAnsiTheme="minorHAnsi"/>
          <w:sz w:val="20"/>
          <w:szCs w:val="20"/>
          <w:lang w:val="en-US"/>
        </w:rPr>
        <w:footnoteReference w:id="53"/>
      </w:r>
    </w:p>
    <w:p w:rsidR="009B4311" w:rsidRPr="007D47AD" w:rsidRDefault="00C41F2B" w:rsidP="00491B17">
      <w:pPr>
        <w:numPr>
          <w:ilvl w:val="0"/>
          <w:numId w:val="6"/>
        </w:numPr>
        <w:shd w:val="clear" w:color="auto" w:fill="FFFFFF"/>
        <w:spacing w:after="240" w:line="240" w:lineRule="auto"/>
        <w:ind w:left="0" w:firstLine="720"/>
        <w:jc w:val="both"/>
        <w:rPr>
          <w:rFonts w:asciiTheme="minorHAnsi" w:hAnsiTheme="minorHAnsi"/>
          <w:color w:val="222222"/>
          <w:sz w:val="20"/>
          <w:szCs w:val="20"/>
          <w:lang w:val="en-US"/>
        </w:rPr>
      </w:pPr>
      <w:r w:rsidRPr="007D47AD">
        <w:rPr>
          <w:rFonts w:asciiTheme="minorHAnsi" w:hAnsiTheme="minorHAnsi"/>
          <w:color w:val="222222"/>
          <w:sz w:val="20"/>
          <w:szCs w:val="20"/>
          <w:lang w:val="en-US"/>
        </w:rPr>
        <w:t xml:space="preserve">In view of the foregoing, the Commission considers that the recommendation has met with partial compliance.  </w:t>
      </w:r>
    </w:p>
    <w:p w:rsidR="009C095D" w:rsidRPr="007D47AD" w:rsidRDefault="00297C67" w:rsidP="00B92571">
      <w:pPr>
        <w:numPr>
          <w:ilvl w:val="0"/>
          <w:numId w:val="6"/>
        </w:numPr>
        <w:shd w:val="clear" w:color="auto" w:fill="FFFFFF"/>
        <w:spacing w:after="240" w:line="240" w:lineRule="auto"/>
        <w:ind w:left="0" w:firstLine="720"/>
        <w:jc w:val="both"/>
        <w:rPr>
          <w:rFonts w:asciiTheme="minorHAnsi" w:hAnsiTheme="minorHAnsi"/>
          <w:color w:val="222222"/>
          <w:sz w:val="20"/>
          <w:szCs w:val="20"/>
          <w:lang w:val="en-US"/>
        </w:rPr>
      </w:pPr>
      <w:r w:rsidRPr="007D47AD">
        <w:rPr>
          <w:rFonts w:asciiTheme="minorHAnsi" w:hAnsiTheme="minorHAnsi"/>
          <w:sz w:val="20"/>
          <w:szCs w:val="20"/>
          <w:lang w:val="en-US"/>
        </w:rPr>
        <w:t xml:space="preserve">As regards the recommendation </w:t>
      </w:r>
      <w:r w:rsidR="003B05A9" w:rsidRPr="007D47AD">
        <w:rPr>
          <w:rFonts w:asciiTheme="minorHAnsi" w:hAnsiTheme="minorHAnsi"/>
          <w:sz w:val="20"/>
          <w:szCs w:val="20"/>
          <w:lang w:val="en-US"/>
        </w:rPr>
        <w:t xml:space="preserve">to </w:t>
      </w:r>
      <w:r w:rsidR="009C095D" w:rsidRPr="007D47AD">
        <w:rPr>
          <w:rFonts w:asciiTheme="minorHAnsi" w:hAnsiTheme="minorHAnsi"/>
          <w:b/>
          <w:bCs/>
          <w:sz w:val="20"/>
          <w:szCs w:val="20"/>
          <w:lang w:val="en-US"/>
        </w:rPr>
        <w:t>re</w:t>
      </w:r>
      <w:r w:rsidR="00C84143" w:rsidRPr="007D47AD">
        <w:rPr>
          <w:rFonts w:asciiTheme="minorHAnsi" w:hAnsiTheme="minorHAnsi"/>
          <w:b/>
          <w:bCs/>
          <w:sz w:val="20"/>
          <w:szCs w:val="20"/>
          <w:lang w:val="en-US"/>
        </w:rPr>
        <w:t>-direct the approach to the issue of drugs</w:t>
      </w:r>
      <w:r w:rsidR="009C095D" w:rsidRPr="007D47AD">
        <w:rPr>
          <w:rFonts w:asciiTheme="minorHAnsi" w:hAnsiTheme="minorHAnsi"/>
          <w:sz w:val="20"/>
          <w:szCs w:val="20"/>
          <w:lang w:val="en-US"/>
        </w:rPr>
        <w:t xml:space="preserve">, </w:t>
      </w:r>
      <w:r w:rsidRPr="007D47AD">
        <w:rPr>
          <w:rFonts w:asciiTheme="minorHAnsi" w:hAnsiTheme="minorHAnsi"/>
          <w:sz w:val="20"/>
          <w:szCs w:val="20"/>
          <w:lang w:val="en-US"/>
        </w:rPr>
        <w:t xml:space="preserve">the State reported that at present the National Guard is responsible for public security activities and operations. In addition, it reported that according to the General Bureau for the Promotion of a Culture of Human Rights, Complaints, and Inspection of the </w:t>
      </w:r>
      <w:r w:rsidR="002C28B4" w:rsidRPr="007D47AD">
        <w:rPr>
          <w:rFonts w:asciiTheme="minorHAnsi" w:hAnsiTheme="minorHAnsi"/>
          <w:color w:val="222222"/>
          <w:sz w:val="20"/>
          <w:szCs w:val="20"/>
          <w:lang w:val="en-US"/>
        </w:rPr>
        <w:t>FGR</w:t>
      </w:r>
      <w:r w:rsidR="005A0FDE" w:rsidRPr="007D47AD">
        <w:rPr>
          <w:rFonts w:asciiTheme="minorHAnsi" w:hAnsiTheme="minorHAnsi"/>
          <w:color w:val="222222"/>
          <w:sz w:val="20"/>
          <w:szCs w:val="20"/>
          <w:lang w:val="en-US"/>
        </w:rPr>
        <w:t xml:space="preserve">, </w:t>
      </w:r>
      <w:r w:rsidRPr="007D47AD">
        <w:rPr>
          <w:rFonts w:asciiTheme="minorHAnsi" w:hAnsiTheme="minorHAnsi"/>
          <w:color w:val="222222"/>
          <w:sz w:val="20"/>
          <w:szCs w:val="20"/>
          <w:lang w:val="en-US"/>
        </w:rPr>
        <w:t xml:space="preserve">in </w:t>
      </w:r>
      <w:r w:rsidR="005A0FDE" w:rsidRPr="007D47AD">
        <w:rPr>
          <w:rFonts w:asciiTheme="minorHAnsi" w:hAnsiTheme="minorHAnsi"/>
          <w:color w:val="222222"/>
          <w:sz w:val="20"/>
          <w:szCs w:val="20"/>
          <w:lang w:val="en-US"/>
        </w:rPr>
        <w:t>2019</w:t>
      </w:r>
      <w:r w:rsidRPr="007D47AD">
        <w:rPr>
          <w:rFonts w:asciiTheme="minorHAnsi" w:hAnsiTheme="minorHAnsi"/>
          <w:color w:val="222222"/>
          <w:sz w:val="20"/>
          <w:szCs w:val="20"/>
          <w:lang w:val="en-US"/>
        </w:rPr>
        <w:t>,</w:t>
      </w:r>
      <w:r w:rsidR="005A0FDE" w:rsidRPr="007D47AD">
        <w:rPr>
          <w:rFonts w:asciiTheme="minorHAnsi" w:hAnsiTheme="minorHAnsi"/>
          <w:color w:val="222222"/>
          <w:sz w:val="20"/>
          <w:szCs w:val="20"/>
          <w:lang w:val="en-US"/>
        </w:rPr>
        <w:t xml:space="preserve"> 3</w:t>
      </w:r>
      <w:r w:rsidRPr="007D47AD">
        <w:rPr>
          <w:rFonts w:asciiTheme="minorHAnsi" w:hAnsiTheme="minorHAnsi"/>
          <w:color w:val="222222"/>
          <w:sz w:val="20"/>
          <w:szCs w:val="20"/>
          <w:lang w:val="en-US"/>
        </w:rPr>
        <w:t>,</w:t>
      </w:r>
      <w:r w:rsidR="005A0FDE" w:rsidRPr="007D47AD">
        <w:rPr>
          <w:rFonts w:asciiTheme="minorHAnsi" w:hAnsiTheme="minorHAnsi"/>
          <w:color w:val="222222"/>
          <w:sz w:val="20"/>
          <w:szCs w:val="20"/>
          <w:lang w:val="en-US"/>
        </w:rPr>
        <w:t xml:space="preserve">292 </w:t>
      </w:r>
      <w:r w:rsidRPr="007D47AD">
        <w:rPr>
          <w:rFonts w:asciiTheme="minorHAnsi" w:hAnsiTheme="minorHAnsi"/>
          <w:color w:val="222222"/>
          <w:sz w:val="20"/>
          <w:szCs w:val="20"/>
          <w:lang w:val="en-US"/>
        </w:rPr>
        <w:t xml:space="preserve">public servants were trained through </w:t>
      </w:r>
      <w:r w:rsidR="005A0FDE" w:rsidRPr="007D47AD">
        <w:rPr>
          <w:rFonts w:asciiTheme="minorHAnsi" w:hAnsiTheme="minorHAnsi"/>
          <w:color w:val="222222"/>
          <w:sz w:val="20"/>
          <w:szCs w:val="20"/>
          <w:lang w:val="en-US"/>
        </w:rPr>
        <w:t xml:space="preserve">86 </w:t>
      </w:r>
      <w:r w:rsidRPr="007D47AD">
        <w:rPr>
          <w:rFonts w:asciiTheme="minorHAnsi" w:hAnsiTheme="minorHAnsi"/>
          <w:color w:val="222222"/>
          <w:sz w:val="20"/>
          <w:szCs w:val="20"/>
          <w:lang w:val="en-US"/>
        </w:rPr>
        <w:t xml:space="preserve">courses on human rights, with a total of </w:t>
      </w:r>
      <w:r w:rsidR="005A0FDE" w:rsidRPr="007D47AD">
        <w:rPr>
          <w:rFonts w:asciiTheme="minorHAnsi" w:hAnsiTheme="minorHAnsi"/>
          <w:color w:val="222222"/>
          <w:sz w:val="20"/>
          <w:szCs w:val="20"/>
          <w:lang w:val="en-US"/>
        </w:rPr>
        <w:t xml:space="preserve">981 </w:t>
      </w:r>
      <w:r w:rsidR="003B05A9" w:rsidRPr="007D47AD">
        <w:rPr>
          <w:rFonts w:asciiTheme="minorHAnsi" w:hAnsiTheme="minorHAnsi"/>
          <w:color w:val="222222"/>
          <w:sz w:val="20"/>
          <w:szCs w:val="20"/>
          <w:lang w:val="en-US"/>
        </w:rPr>
        <w:t xml:space="preserve">class </w:t>
      </w:r>
      <w:r w:rsidRPr="007D47AD">
        <w:rPr>
          <w:rFonts w:asciiTheme="minorHAnsi" w:hAnsiTheme="minorHAnsi"/>
          <w:color w:val="222222"/>
          <w:sz w:val="20"/>
          <w:szCs w:val="20"/>
          <w:lang w:val="en-US"/>
        </w:rPr>
        <w:t>hours</w:t>
      </w:r>
      <w:r w:rsidR="005A0FDE" w:rsidRPr="007D47AD">
        <w:rPr>
          <w:rFonts w:asciiTheme="minorHAnsi" w:hAnsiTheme="minorHAnsi"/>
          <w:color w:val="222222"/>
          <w:sz w:val="20"/>
          <w:szCs w:val="20"/>
          <w:lang w:val="en-US"/>
        </w:rPr>
        <w:t xml:space="preserve">. </w:t>
      </w:r>
      <w:r w:rsidRPr="007D47AD">
        <w:rPr>
          <w:rFonts w:asciiTheme="minorHAnsi" w:hAnsiTheme="minorHAnsi"/>
          <w:color w:val="222222"/>
          <w:sz w:val="20"/>
          <w:szCs w:val="20"/>
          <w:lang w:val="en-US"/>
        </w:rPr>
        <w:t xml:space="preserve">The State also indicated that pursuant to the Regulation </w:t>
      </w:r>
      <w:r w:rsidR="003B05A9" w:rsidRPr="007D47AD">
        <w:rPr>
          <w:rFonts w:asciiTheme="minorHAnsi" w:hAnsiTheme="minorHAnsi"/>
          <w:color w:val="222222"/>
          <w:sz w:val="20"/>
          <w:szCs w:val="20"/>
          <w:lang w:val="en-US"/>
        </w:rPr>
        <w:t xml:space="preserve">of </w:t>
      </w:r>
      <w:r w:rsidRPr="007D47AD">
        <w:rPr>
          <w:rFonts w:asciiTheme="minorHAnsi" w:hAnsiTheme="minorHAnsi"/>
          <w:color w:val="222222"/>
          <w:sz w:val="20"/>
          <w:szCs w:val="20"/>
          <w:lang w:val="en-US"/>
        </w:rPr>
        <w:t xml:space="preserve">the </w:t>
      </w:r>
      <w:r w:rsidRPr="007D47AD">
        <w:rPr>
          <w:rFonts w:asciiTheme="minorHAnsi" w:hAnsiTheme="minorHAnsi"/>
          <w:color w:val="222222"/>
          <w:sz w:val="20"/>
          <w:szCs w:val="20"/>
          <w:lang w:val="en-US"/>
        </w:rPr>
        <w:lastRenderedPageBreak/>
        <w:t>Organic Law of the FGR, the General Bureau for the Prevention of Crime and Community Servic</w:t>
      </w:r>
      <w:r w:rsidR="003B05A9" w:rsidRPr="007D47AD">
        <w:rPr>
          <w:rFonts w:asciiTheme="minorHAnsi" w:hAnsiTheme="minorHAnsi"/>
          <w:color w:val="222222"/>
          <w:sz w:val="20"/>
          <w:szCs w:val="20"/>
          <w:lang w:val="en-US"/>
        </w:rPr>
        <w:t>e</w:t>
      </w:r>
      <w:r w:rsidRPr="007D47AD">
        <w:rPr>
          <w:rFonts w:asciiTheme="minorHAnsi" w:hAnsiTheme="minorHAnsi"/>
          <w:color w:val="222222"/>
          <w:sz w:val="20"/>
          <w:szCs w:val="20"/>
          <w:lang w:val="en-US"/>
        </w:rPr>
        <w:t xml:space="preserve">s, it carried out </w:t>
      </w:r>
      <w:r w:rsidR="00B37206" w:rsidRPr="007D47AD">
        <w:rPr>
          <w:rFonts w:asciiTheme="minorHAnsi" w:hAnsiTheme="minorHAnsi"/>
          <w:color w:val="222222"/>
          <w:sz w:val="20"/>
          <w:szCs w:val="20"/>
          <w:lang w:val="en-US"/>
        </w:rPr>
        <w:t>1</w:t>
      </w:r>
      <w:r w:rsidRPr="007D47AD">
        <w:rPr>
          <w:rFonts w:asciiTheme="minorHAnsi" w:hAnsiTheme="minorHAnsi"/>
          <w:color w:val="222222"/>
          <w:sz w:val="20"/>
          <w:szCs w:val="20"/>
          <w:lang w:val="en-US"/>
        </w:rPr>
        <w:t>,</w:t>
      </w:r>
      <w:r w:rsidR="005A0FDE" w:rsidRPr="007D47AD">
        <w:rPr>
          <w:rFonts w:asciiTheme="minorHAnsi" w:hAnsiTheme="minorHAnsi"/>
          <w:color w:val="222222"/>
          <w:sz w:val="20"/>
          <w:szCs w:val="20"/>
          <w:lang w:val="en-US"/>
        </w:rPr>
        <w:t xml:space="preserve">013 </w:t>
      </w:r>
      <w:r w:rsidRPr="007D47AD">
        <w:rPr>
          <w:rFonts w:asciiTheme="minorHAnsi" w:hAnsiTheme="minorHAnsi"/>
          <w:color w:val="222222"/>
          <w:sz w:val="20"/>
          <w:szCs w:val="20"/>
          <w:lang w:val="en-US"/>
        </w:rPr>
        <w:t>course</w:t>
      </w:r>
      <w:r w:rsidR="003B05A9" w:rsidRPr="007D47AD">
        <w:rPr>
          <w:rFonts w:asciiTheme="minorHAnsi" w:hAnsiTheme="minorHAnsi"/>
          <w:color w:val="222222"/>
          <w:sz w:val="20"/>
          <w:szCs w:val="20"/>
          <w:lang w:val="en-US"/>
        </w:rPr>
        <w:t>s</w:t>
      </w:r>
      <w:r w:rsidRPr="007D47AD">
        <w:rPr>
          <w:rFonts w:asciiTheme="minorHAnsi" w:hAnsiTheme="minorHAnsi"/>
          <w:color w:val="222222"/>
          <w:sz w:val="20"/>
          <w:szCs w:val="20"/>
          <w:lang w:val="en-US"/>
        </w:rPr>
        <w:t xml:space="preserve"> and lectures on crime prevention and drug addiction. </w:t>
      </w:r>
      <w:r w:rsidR="00491B17" w:rsidRPr="007D47AD">
        <w:rPr>
          <w:rFonts w:asciiTheme="minorHAnsi" w:hAnsiTheme="minorHAnsi"/>
          <w:color w:val="222222"/>
          <w:sz w:val="20"/>
          <w:szCs w:val="20"/>
          <w:lang w:val="en-US"/>
        </w:rPr>
        <w:t>Final</w:t>
      </w:r>
      <w:r w:rsidR="000F03D8" w:rsidRPr="007D47AD">
        <w:rPr>
          <w:rFonts w:asciiTheme="minorHAnsi" w:hAnsiTheme="minorHAnsi"/>
          <w:color w:val="222222"/>
          <w:sz w:val="20"/>
          <w:szCs w:val="20"/>
          <w:lang w:val="en-US"/>
        </w:rPr>
        <w:t>ly</w:t>
      </w:r>
      <w:r w:rsidR="00491B17" w:rsidRPr="007D47AD">
        <w:rPr>
          <w:rFonts w:asciiTheme="minorHAnsi" w:hAnsiTheme="minorHAnsi"/>
          <w:color w:val="222222"/>
          <w:sz w:val="20"/>
          <w:szCs w:val="20"/>
          <w:lang w:val="en-US"/>
        </w:rPr>
        <w:t>,</w:t>
      </w:r>
      <w:r w:rsidR="000F03D8" w:rsidRPr="007D47AD">
        <w:rPr>
          <w:rFonts w:asciiTheme="minorHAnsi" w:hAnsiTheme="minorHAnsi"/>
          <w:color w:val="222222"/>
          <w:sz w:val="20"/>
          <w:szCs w:val="20"/>
          <w:lang w:val="en-US"/>
        </w:rPr>
        <w:t xml:space="preserve"> it indicated that the National Development Plan </w:t>
      </w:r>
      <w:r w:rsidR="00491B17" w:rsidRPr="007D47AD">
        <w:rPr>
          <w:rFonts w:asciiTheme="minorHAnsi" w:hAnsiTheme="minorHAnsi"/>
          <w:color w:val="222222"/>
          <w:sz w:val="20"/>
          <w:szCs w:val="20"/>
          <w:lang w:val="en-US"/>
        </w:rPr>
        <w:t xml:space="preserve">(2019-2024) </w:t>
      </w:r>
      <w:r w:rsidR="000F03D8" w:rsidRPr="007D47AD">
        <w:rPr>
          <w:rFonts w:asciiTheme="minorHAnsi" w:hAnsiTheme="minorHAnsi"/>
          <w:color w:val="222222"/>
          <w:sz w:val="20"/>
          <w:szCs w:val="20"/>
          <w:lang w:val="en-US"/>
        </w:rPr>
        <w:t xml:space="preserve">proposes to reformulate the antidrug effort to reduce the levels of consumption by lifting prohibitions of substances and reorienting </w:t>
      </w:r>
      <w:r w:rsidR="003B05A9" w:rsidRPr="007D47AD">
        <w:rPr>
          <w:rFonts w:asciiTheme="minorHAnsi" w:hAnsiTheme="minorHAnsi"/>
          <w:color w:val="222222"/>
          <w:sz w:val="20"/>
          <w:szCs w:val="20"/>
          <w:lang w:val="en-US"/>
        </w:rPr>
        <w:t xml:space="preserve">spending </w:t>
      </w:r>
      <w:r w:rsidR="000F03D8" w:rsidRPr="007D47AD">
        <w:rPr>
          <w:rFonts w:asciiTheme="minorHAnsi" w:hAnsiTheme="minorHAnsi"/>
          <w:color w:val="222222"/>
          <w:sz w:val="20"/>
          <w:szCs w:val="20"/>
          <w:lang w:val="en-US"/>
        </w:rPr>
        <w:t>to programs for reinsertion and detoxification.</w:t>
      </w:r>
      <w:r w:rsidR="00491B17" w:rsidRPr="007D47AD">
        <w:rPr>
          <w:rStyle w:val="FootnoteReference"/>
          <w:rFonts w:asciiTheme="minorHAnsi" w:hAnsiTheme="minorHAnsi"/>
          <w:color w:val="222222"/>
          <w:sz w:val="20"/>
          <w:szCs w:val="20"/>
          <w:lang w:val="en-US"/>
        </w:rPr>
        <w:footnoteReference w:id="54"/>
      </w:r>
      <w:r w:rsidR="000F03D8" w:rsidRPr="007D47AD">
        <w:rPr>
          <w:rFonts w:asciiTheme="minorHAnsi" w:hAnsiTheme="minorHAnsi"/>
          <w:color w:val="222222"/>
          <w:sz w:val="20"/>
          <w:szCs w:val="20"/>
          <w:lang w:val="en-US"/>
        </w:rPr>
        <w:t xml:space="preserve"> </w:t>
      </w:r>
      <w:r w:rsidR="00B92571" w:rsidRPr="007D47AD">
        <w:rPr>
          <w:rFonts w:asciiTheme="minorHAnsi" w:hAnsiTheme="minorHAnsi"/>
          <w:color w:val="222222"/>
          <w:sz w:val="20"/>
          <w:szCs w:val="20"/>
          <w:lang w:val="en-US"/>
        </w:rPr>
        <w:t>I</w:t>
      </w:r>
      <w:r w:rsidR="005920F2" w:rsidRPr="007D47AD">
        <w:rPr>
          <w:rFonts w:asciiTheme="minorHAnsi" w:hAnsiTheme="minorHAnsi"/>
          <w:sz w:val="20"/>
          <w:szCs w:val="20"/>
          <w:lang w:val="en-US"/>
        </w:rPr>
        <w:t xml:space="preserve">n </w:t>
      </w:r>
      <w:r w:rsidR="00B92571" w:rsidRPr="007D47AD">
        <w:rPr>
          <w:rFonts w:asciiTheme="minorHAnsi" w:hAnsiTheme="minorHAnsi"/>
          <w:sz w:val="20"/>
          <w:szCs w:val="20"/>
          <w:lang w:val="en-US"/>
        </w:rPr>
        <w:t xml:space="preserve">its observations on the draft of this report the State noted that the National Development Plan </w:t>
      </w:r>
      <w:r w:rsidR="005920F2" w:rsidRPr="007D47AD">
        <w:rPr>
          <w:rFonts w:asciiTheme="minorHAnsi" w:hAnsiTheme="minorHAnsi"/>
          <w:color w:val="222222"/>
          <w:sz w:val="20"/>
          <w:szCs w:val="20"/>
          <w:lang w:val="en-US"/>
        </w:rPr>
        <w:t xml:space="preserve">(2019-2024) </w:t>
      </w:r>
      <w:r w:rsidR="00B92571" w:rsidRPr="007D47AD">
        <w:rPr>
          <w:rFonts w:asciiTheme="minorHAnsi" w:hAnsiTheme="minorHAnsi"/>
          <w:color w:val="222222"/>
          <w:sz w:val="20"/>
          <w:szCs w:val="20"/>
          <w:lang w:val="en-US"/>
        </w:rPr>
        <w:t>proposes to reformulate the antidrug effort and to reduce levels of consumption by lifting prohibitions on substances and redirecting spending on reinsertion and detoxification programs.</w:t>
      </w:r>
      <w:r w:rsidR="005920F2" w:rsidRPr="007D47AD">
        <w:rPr>
          <w:rStyle w:val="FootnoteReference"/>
          <w:rFonts w:asciiTheme="minorHAnsi" w:hAnsiTheme="minorHAnsi"/>
          <w:color w:val="222222"/>
          <w:sz w:val="20"/>
          <w:szCs w:val="20"/>
          <w:lang w:val="en-US"/>
        </w:rPr>
        <w:footnoteReference w:id="55"/>
      </w:r>
      <w:r w:rsidR="005920F2" w:rsidRPr="007D47AD">
        <w:rPr>
          <w:rFonts w:asciiTheme="minorHAnsi" w:hAnsiTheme="minorHAnsi"/>
          <w:color w:val="222222"/>
          <w:sz w:val="20"/>
          <w:szCs w:val="20"/>
          <w:lang w:val="en-US"/>
        </w:rPr>
        <w:t xml:space="preserve"> </w:t>
      </w:r>
      <w:r w:rsidR="00B92571" w:rsidRPr="007D47AD">
        <w:rPr>
          <w:rFonts w:asciiTheme="minorHAnsi" w:hAnsiTheme="minorHAnsi"/>
          <w:color w:val="222222"/>
          <w:sz w:val="20"/>
          <w:szCs w:val="20"/>
          <w:lang w:val="en-US"/>
        </w:rPr>
        <w:t xml:space="preserve">It also indicated that in May </w:t>
      </w:r>
      <w:r w:rsidR="005920F2" w:rsidRPr="007D47AD">
        <w:rPr>
          <w:rFonts w:asciiTheme="minorHAnsi" w:hAnsiTheme="minorHAnsi"/>
          <w:color w:val="222222"/>
          <w:sz w:val="20"/>
          <w:szCs w:val="20"/>
          <w:lang w:val="en-US"/>
        </w:rPr>
        <w:t xml:space="preserve">2019 </w:t>
      </w:r>
      <w:r w:rsidR="00B92571" w:rsidRPr="007D47AD">
        <w:rPr>
          <w:rFonts w:asciiTheme="minorHAnsi" w:hAnsiTheme="minorHAnsi"/>
          <w:color w:val="222222"/>
          <w:sz w:val="20"/>
          <w:szCs w:val="20"/>
          <w:lang w:val="en-US"/>
        </w:rPr>
        <w:t>it adopted the “Together for Peace” (</w:t>
      </w:r>
      <w:r w:rsidR="005920F2" w:rsidRPr="007D47AD">
        <w:rPr>
          <w:rFonts w:asciiTheme="minorHAnsi" w:hAnsiTheme="minorHAnsi"/>
          <w:color w:val="222222"/>
          <w:sz w:val="20"/>
          <w:szCs w:val="20"/>
          <w:lang w:val="en-US"/>
        </w:rPr>
        <w:t>“Juntos por la Paz”</w:t>
      </w:r>
      <w:r w:rsidR="00B92571" w:rsidRPr="007D47AD">
        <w:rPr>
          <w:rFonts w:asciiTheme="minorHAnsi" w:hAnsiTheme="minorHAnsi"/>
          <w:color w:val="222222"/>
          <w:sz w:val="20"/>
          <w:szCs w:val="20"/>
          <w:lang w:val="en-US"/>
        </w:rPr>
        <w:t>)</w:t>
      </w:r>
      <w:r w:rsidR="005920F2" w:rsidRPr="007D47AD">
        <w:rPr>
          <w:rFonts w:asciiTheme="minorHAnsi" w:hAnsiTheme="minorHAnsi"/>
          <w:color w:val="222222"/>
          <w:sz w:val="20"/>
          <w:szCs w:val="20"/>
          <w:lang w:val="en-US"/>
        </w:rPr>
        <w:t xml:space="preserve"> </w:t>
      </w:r>
      <w:r w:rsidR="00B92571" w:rsidRPr="007D47AD">
        <w:rPr>
          <w:rFonts w:asciiTheme="minorHAnsi" w:hAnsiTheme="minorHAnsi"/>
          <w:color w:val="222222"/>
          <w:sz w:val="20"/>
          <w:szCs w:val="20"/>
          <w:lang w:val="en-US"/>
        </w:rPr>
        <w:t>strategy, which seeks to have an impact on the biopsychosocial determinants that prevent and reduce the use of psychoactive substances in children and adolescents.</w:t>
      </w:r>
      <w:r w:rsidR="005920F2" w:rsidRPr="007D47AD">
        <w:rPr>
          <w:rStyle w:val="FootnoteReference"/>
          <w:rFonts w:asciiTheme="minorHAnsi" w:hAnsiTheme="minorHAnsi"/>
          <w:sz w:val="20"/>
          <w:szCs w:val="20"/>
          <w:lang w:val="en-US"/>
        </w:rPr>
        <w:footnoteReference w:id="56"/>
      </w:r>
    </w:p>
    <w:p w:rsidR="00006AF0" w:rsidRPr="007D47AD" w:rsidRDefault="000F03D8" w:rsidP="000E59C3">
      <w:pPr>
        <w:numPr>
          <w:ilvl w:val="0"/>
          <w:numId w:val="6"/>
        </w:numPr>
        <w:shd w:val="clear" w:color="auto" w:fill="FFFFFF"/>
        <w:spacing w:after="240" w:line="240" w:lineRule="auto"/>
        <w:ind w:left="0" w:firstLine="720"/>
        <w:jc w:val="both"/>
        <w:rPr>
          <w:rFonts w:asciiTheme="minorHAnsi" w:hAnsiTheme="minorHAnsi"/>
          <w:sz w:val="20"/>
          <w:szCs w:val="20"/>
          <w:lang w:val="en-US"/>
        </w:rPr>
      </w:pPr>
      <w:r w:rsidRPr="007D47AD">
        <w:rPr>
          <w:rFonts w:asciiTheme="minorHAnsi" w:hAnsiTheme="minorHAnsi"/>
          <w:sz w:val="20"/>
          <w:szCs w:val="20"/>
          <w:lang w:val="en-US"/>
        </w:rPr>
        <w:t xml:space="preserve">The </w:t>
      </w:r>
      <w:r w:rsidR="00006AF0" w:rsidRPr="007D47AD">
        <w:rPr>
          <w:rFonts w:asciiTheme="minorHAnsi" w:hAnsiTheme="minorHAnsi"/>
          <w:sz w:val="20"/>
          <w:szCs w:val="20"/>
          <w:lang w:val="en-US"/>
        </w:rPr>
        <w:t xml:space="preserve">CMDPDH </w:t>
      </w:r>
      <w:r w:rsidRPr="007D47AD">
        <w:rPr>
          <w:rFonts w:asciiTheme="minorHAnsi" w:hAnsiTheme="minorHAnsi"/>
          <w:sz w:val="20"/>
          <w:szCs w:val="20"/>
          <w:lang w:val="en-US"/>
        </w:rPr>
        <w:t xml:space="preserve">reported on the </w:t>
      </w:r>
      <w:r w:rsidR="000E59C3" w:rsidRPr="007D47AD">
        <w:rPr>
          <w:rFonts w:asciiTheme="minorHAnsi" w:hAnsiTheme="minorHAnsi"/>
          <w:sz w:val="20"/>
          <w:szCs w:val="20"/>
          <w:lang w:val="en-US"/>
        </w:rPr>
        <w:t>“</w:t>
      </w:r>
      <w:r w:rsidRPr="007D47AD">
        <w:rPr>
          <w:rFonts w:asciiTheme="minorHAnsi" w:hAnsiTheme="minorHAnsi"/>
          <w:sz w:val="20"/>
          <w:szCs w:val="20"/>
          <w:lang w:val="en-US"/>
        </w:rPr>
        <w:t xml:space="preserve">Preliminary Proposed Legal Opinion on the Law for Regulation of </w:t>
      </w:r>
      <w:r w:rsidR="000E59C3" w:rsidRPr="007D47AD">
        <w:rPr>
          <w:rFonts w:asciiTheme="minorHAnsi" w:hAnsiTheme="minorHAnsi"/>
          <w:sz w:val="20"/>
          <w:szCs w:val="20"/>
          <w:lang w:val="en-US"/>
        </w:rPr>
        <w:t>Cannabis</w:t>
      </w:r>
      <w:r w:rsidRPr="007D47AD">
        <w:rPr>
          <w:rFonts w:asciiTheme="minorHAnsi" w:hAnsiTheme="minorHAnsi"/>
          <w:sz w:val="20"/>
          <w:szCs w:val="20"/>
          <w:lang w:val="en-US"/>
        </w:rPr>
        <w:t>,</w:t>
      </w:r>
      <w:r w:rsidR="000E59C3" w:rsidRPr="007D47AD">
        <w:rPr>
          <w:rFonts w:asciiTheme="minorHAnsi" w:hAnsiTheme="minorHAnsi"/>
          <w:sz w:val="20"/>
          <w:szCs w:val="20"/>
          <w:lang w:val="en-US"/>
        </w:rPr>
        <w:t>”</w:t>
      </w:r>
      <w:r w:rsidR="007F0363" w:rsidRPr="007D47AD">
        <w:rPr>
          <w:rFonts w:asciiTheme="minorHAnsi" w:hAnsiTheme="minorHAnsi"/>
          <w:sz w:val="20"/>
          <w:szCs w:val="20"/>
          <w:lang w:val="en-US"/>
        </w:rPr>
        <w:t xml:space="preserve"> present</w:t>
      </w:r>
      <w:r w:rsidRPr="007D47AD">
        <w:rPr>
          <w:rFonts w:asciiTheme="minorHAnsi" w:hAnsiTheme="minorHAnsi"/>
          <w:sz w:val="20"/>
          <w:szCs w:val="20"/>
          <w:lang w:val="en-US"/>
        </w:rPr>
        <w:t xml:space="preserve">ed in October </w:t>
      </w:r>
      <w:r w:rsidR="007F0363" w:rsidRPr="007D47AD">
        <w:rPr>
          <w:rFonts w:asciiTheme="minorHAnsi" w:hAnsiTheme="minorHAnsi"/>
          <w:sz w:val="20"/>
          <w:szCs w:val="20"/>
          <w:lang w:val="en-US"/>
        </w:rPr>
        <w:t>2019</w:t>
      </w:r>
      <w:r w:rsidR="000E59C3" w:rsidRPr="007D47AD">
        <w:rPr>
          <w:rFonts w:asciiTheme="minorHAnsi" w:hAnsiTheme="minorHAnsi"/>
          <w:sz w:val="20"/>
          <w:szCs w:val="20"/>
          <w:lang w:val="en-US"/>
        </w:rPr>
        <w:t xml:space="preserve">. </w:t>
      </w:r>
      <w:r w:rsidR="00344FC4" w:rsidRPr="007D47AD">
        <w:rPr>
          <w:rFonts w:asciiTheme="minorHAnsi" w:hAnsiTheme="minorHAnsi"/>
          <w:sz w:val="20"/>
          <w:szCs w:val="20"/>
          <w:lang w:val="en-US"/>
        </w:rPr>
        <w:t>That preliminary proposal takes up anew some of the demands of civil society experts, such as growing for one’s own use, associated growing, and a regulated market</w:t>
      </w:r>
      <w:r w:rsidR="005E7376" w:rsidRPr="007D47AD">
        <w:rPr>
          <w:rFonts w:asciiTheme="minorHAnsi" w:hAnsiTheme="minorHAnsi"/>
          <w:sz w:val="20"/>
          <w:szCs w:val="20"/>
          <w:lang w:val="en-US"/>
        </w:rPr>
        <w:t>.</w:t>
      </w:r>
      <w:r w:rsidR="00344FC4" w:rsidRPr="007D47AD">
        <w:rPr>
          <w:rFonts w:asciiTheme="minorHAnsi" w:hAnsiTheme="minorHAnsi"/>
          <w:sz w:val="20"/>
          <w:szCs w:val="20"/>
          <w:lang w:val="en-US"/>
        </w:rPr>
        <w:t xml:space="preserve"> </w:t>
      </w:r>
      <w:r w:rsidR="005E7376" w:rsidRPr="007D47AD">
        <w:rPr>
          <w:rFonts w:asciiTheme="minorHAnsi" w:hAnsiTheme="minorHAnsi"/>
          <w:sz w:val="20"/>
          <w:szCs w:val="20"/>
          <w:lang w:val="en-US"/>
        </w:rPr>
        <w:t>N</w:t>
      </w:r>
      <w:r w:rsidR="00344FC4" w:rsidRPr="007D47AD">
        <w:rPr>
          <w:rFonts w:asciiTheme="minorHAnsi" w:hAnsiTheme="minorHAnsi"/>
          <w:sz w:val="20"/>
          <w:szCs w:val="20"/>
          <w:lang w:val="en-US"/>
        </w:rPr>
        <w:t xml:space="preserve">onetheless, the </w:t>
      </w:r>
      <w:r w:rsidR="000E59C3" w:rsidRPr="007D47AD">
        <w:rPr>
          <w:rFonts w:asciiTheme="minorHAnsi" w:hAnsiTheme="minorHAnsi"/>
          <w:sz w:val="20"/>
          <w:szCs w:val="20"/>
          <w:lang w:val="en-US"/>
        </w:rPr>
        <w:t xml:space="preserve">CMDPDH </w:t>
      </w:r>
      <w:r w:rsidR="00344FC4" w:rsidRPr="007D47AD">
        <w:rPr>
          <w:rFonts w:asciiTheme="minorHAnsi" w:hAnsiTheme="minorHAnsi"/>
          <w:sz w:val="20"/>
          <w:szCs w:val="20"/>
          <w:lang w:val="en-US"/>
        </w:rPr>
        <w:t xml:space="preserve">has called attention to the proposed model being worrisome for the Mexican context. </w:t>
      </w:r>
      <w:r w:rsidR="00DB17C3" w:rsidRPr="007D47AD">
        <w:rPr>
          <w:rFonts w:asciiTheme="minorHAnsi" w:hAnsiTheme="minorHAnsi"/>
          <w:sz w:val="20"/>
          <w:szCs w:val="20"/>
          <w:lang w:val="en-US"/>
        </w:rPr>
        <w:t>In its view the preliminary proposal puts forward a high-level regulation, excludes vulnerable groups</w:t>
      </w:r>
      <w:r w:rsidR="005E7376" w:rsidRPr="007D47AD">
        <w:rPr>
          <w:rFonts w:asciiTheme="minorHAnsi" w:hAnsiTheme="minorHAnsi"/>
          <w:sz w:val="20"/>
          <w:szCs w:val="20"/>
          <w:lang w:val="en-US"/>
        </w:rPr>
        <w:t>,</w:t>
      </w:r>
      <w:r w:rsidR="000E59C3" w:rsidRPr="007D47AD">
        <w:rPr>
          <w:rFonts w:asciiTheme="minorHAnsi" w:hAnsiTheme="minorHAnsi"/>
          <w:sz w:val="20"/>
          <w:szCs w:val="20"/>
          <w:lang w:val="en-US"/>
        </w:rPr>
        <w:t xml:space="preserve"> </w:t>
      </w:r>
      <w:r w:rsidR="00DB17C3" w:rsidRPr="007D47AD">
        <w:rPr>
          <w:rFonts w:asciiTheme="minorHAnsi" w:hAnsiTheme="minorHAnsi"/>
          <w:sz w:val="20"/>
          <w:szCs w:val="20"/>
          <w:lang w:val="en-US"/>
        </w:rPr>
        <w:t xml:space="preserve">and tends to favor only the large companies in relation to market access. In addition, the </w:t>
      </w:r>
      <w:r w:rsidR="000E59C3" w:rsidRPr="007D47AD">
        <w:rPr>
          <w:rFonts w:asciiTheme="minorHAnsi" w:hAnsiTheme="minorHAnsi"/>
          <w:sz w:val="20"/>
          <w:szCs w:val="20"/>
          <w:lang w:val="en-US"/>
        </w:rPr>
        <w:t>CMDPDH indic</w:t>
      </w:r>
      <w:r w:rsidR="00DB17C3" w:rsidRPr="007D47AD">
        <w:rPr>
          <w:rFonts w:asciiTheme="minorHAnsi" w:hAnsiTheme="minorHAnsi"/>
          <w:sz w:val="20"/>
          <w:szCs w:val="20"/>
          <w:lang w:val="en-US"/>
        </w:rPr>
        <w:t xml:space="preserve">ated that the preliminary proposal in question is not harmonized with the General Law on Health and the Federal Criminal Code, setting aside the opportunity to address the decriminalization of users, the training of police bodies, and the justice system to cease the persecution, harassment, and extortion with the pretext of </w:t>
      </w:r>
      <w:r w:rsidR="000E59C3" w:rsidRPr="007D47AD">
        <w:rPr>
          <w:rFonts w:asciiTheme="minorHAnsi" w:hAnsiTheme="minorHAnsi"/>
          <w:sz w:val="20"/>
          <w:szCs w:val="20"/>
          <w:lang w:val="en-US"/>
        </w:rPr>
        <w:t>investiga</w:t>
      </w:r>
      <w:r w:rsidR="00DB17C3" w:rsidRPr="007D47AD">
        <w:rPr>
          <w:rFonts w:asciiTheme="minorHAnsi" w:hAnsiTheme="minorHAnsi"/>
          <w:sz w:val="20"/>
          <w:szCs w:val="20"/>
          <w:lang w:val="en-US"/>
        </w:rPr>
        <w:t>ting possession of marijuana.</w:t>
      </w:r>
      <w:r w:rsidR="000E59C3" w:rsidRPr="007D47AD">
        <w:rPr>
          <w:rStyle w:val="FootnoteReference"/>
          <w:rFonts w:asciiTheme="minorHAnsi" w:hAnsiTheme="minorHAnsi"/>
          <w:sz w:val="20"/>
          <w:szCs w:val="20"/>
          <w:lang w:val="en-US"/>
        </w:rPr>
        <w:footnoteReference w:id="57"/>
      </w:r>
      <w:r w:rsidR="000500CA" w:rsidRPr="007D47AD">
        <w:rPr>
          <w:rFonts w:asciiTheme="minorHAnsi" w:hAnsiTheme="minorHAnsi"/>
          <w:sz w:val="20"/>
          <w:szCs w:val="20"/>
          <w:lang w:val="en-US"/>
        </w:rPr>
        <w:t xml:space="preserve"> </w:t>
      </w:r>
    </w:p>
    <w:p w:rsidR="00B37206" w:rsidRPr="007D47AD" w:rsidRDefault="0078439E" w:rsidP="00491B17">
      <w:pPr>
        <w:numPr>
          <w:ilvl w:val="0"/>
          <w:numId w:val="6"/>
        </w:numPr>
        <w:shd w:val="clear" w:color="auto" w:fill="FFFFFF"/>
        <w:spacing w:after="240" w:line="240" w:lineRule="auto"/>
        <w:ind w:left="0" w:firstLine="720"/>
        <w:jc w:val="both"/>
        <w:rPr>
          <w:rFonts w:asciiTheme="minorHAnsi" w:hAnsiTheme="minorHAnsi"/>
          <w:color w:val="222222"/>
          <w:sz w:val="20"/>
          <w:szCs w:val="20"/>
          <w:lang w:val="en-US"/>
        </w:rPr>
      </w:pPr>
      <w:r w:rsidRPr="007D47AD">
        <w:rPr>
          <w:rFonts w:asciiTheme="minorHAnsi" w:hAnsiTheme="minorHAnsi"/>
          <w:sz w:val="20"/>
          <w:szCs w:val="20"/>
          <w:lang w:val="en-US"/>
        </w:rPr>
        <w:t xml:space="preserve">In view of the foregoing, the IACHR concludes that the recommendation has met with partial compliance. </w:t>
      </w:r>
    </w:p>
    <w:p w:rsidR="009C095D" w:rsidRPr="007D47AD" w:rsidRDefault="0078439E" w:rsidP="00E472A2">
      <w:pPr>
        <w:pStyle w:val="Heading2"/>
        <w:numPr>
          <w:ilvl w:val="0"/>
          <w:numId w:val="9"/>
        </w:numPr>
        <w:ind w:left="1440" w:hanging="810"/>
        <w:rPr>
          <w:rFonts w:asciiTheme="minorHAnsi" w:hAnsiTheme="minorHAnsi"/>
          <w:sz w:val="20"/>
          <w:lang w:val="en-US"/>
        </w:rPr>
      </w:pPr>
      <w:bookmarkStart w:id="2" w:name="_Toc442935316"/>
      <w:r w:rsidRPr="007D47AD">
        <w:rPr>
          <w:rFonts w:asciiTheme="minorHAnsi" w:hAnsiTheme="minorHAnsi"/>
          <w:sz w:val="20"/>
          <w:lang w:val="en-US"/>
        </w:rPr>
        <w:t xml:space="preserve">Persons missing and forced disappearances </w:t>
      </w:r>
      <w:bookmarkEnd w:id="2"/>
    </w:p>
    <w:p w:rsidR="009C095D" w:rsidRPr="007D47AD" w:rsidRDefault="00C84143" w:rsidP="00E472A2">
      <w:pPr>
        <w:pStyle w:val="Numberedparagraphs"/>
        <w:numPr>
          <w:ilvl w:val="0"/>
          <w:numId w:val="11"/>
        </w:numPr>
        <w:shd w:val="clear" w:color="auto" w:fill="D9D9D9"/>
        <w:spacing w:after="0"/>
        <w:ind w:hanging="720"/>
        <w:rPr>
          <w:rFonts w:asciiTheme="minorHAnsi" w:hAnsiTheme="minorHAnsi"/>
          <w:lang w:val="en-US"/>
        </w:rPr>
      </w:pPr>
      <w:r w:rsidRPr="007D47AD">
        <w:rPr>
          <w:rFonts w:asciiTheme="minorHAnsi" w:hAnsiTheme="minorHAnsi"/>
          <w:lang w:val="en-US"/>
        </w:rPr>
        <w:t xml:space="preserve">Adopt a General Law regarding Disappearances and Forced Disappearances, and adopt all necessary measures to ensure that both at the federal and state level, the laws and practices comply with international standards on the subject. </w:t>
      </w:r>
    </w:p>
    <w:p w:rsidR="009C095D" w:rsidRPr="007D47AD" w:rsidRDefault="00C84143" w:rsidP="00C84143">
      <w:pPr>
        <w:pStyle w:val="Numberedparagraphs"/>
        <w:numPr>
          <w:ilvl w:val="0"/>
          <w:numId w:val="11"/>
        </w:numPr>
        <w:shd w:val="clear" w:color="auto" w:fill="D9D9D9"/>
        <w:spacing w:after="0"/>
        <w:ind w:hanging="720"/>
        <w:rPr>
          <w:rFonts w:asciiTheme="minorHAnsi" w:hAnsiTheme="minorHAnsi"/>
          <w:lang w:val="en-US"/>
        </w:rPr>
      </w:pPr>
      <w:r w:rsidRPr="007D47AD">
        <w:rPr>
          <w:rFonts w:asciiTheme="minorHAnsi" w:hAnsiTheme="minorHAnsi"/>
          <w:lang w:val="en-US"/>
        </w:rPr>
        <w:t xml:space="preserve">Establish mechanisms of immediate search for disappeared persons in the entire national territory. </w:t>
      </w:r>
    </w:p>
    <w:p w:rsidR="009C095D" w:rsidRPr="007D47AD" w:rsidRDefault="00C84143" w:rsidP="00E472A2">
      <w:pPr>
        <w:pStyle w:val="Numberedparagraphs"/>
        <w:numPr>
          <w:ilvl w:val="0"/>
          <w:numId w:val="11"/>
        </w:numPr>
        <w:shd w:val="clear" w:color="auto" w:fill="D9D9D9"/>
        <w:spacing w:after="0"/>
        <w:ind w:hanging="720"/>
        <w:rPr>
          <w:rFonts w:asciiTheme="minorHAnsi" w:hAnsiTheme="minorHAnsi"/>
          <w:lang w:val="en-US"/>
        </w:rPr>
      </w:pPr>
      <w:r w:rsidRPr="007D47AD">
        <w:rPr>
          <w:rFonts w:asciiTheme="minorHAnsi" w:hAnsiTheme="minorHAnsi"/>
          <w:lang w:val="en-US"/>
        </w:rPr>
        <w:t xml:space="preserve">Improve the National Registry of Disappeared Persons to become a sole registry of disappearance so that it can also register a person as a victim of forced disappearance. A database should contain personal information of the disappeared persons, all necessary information, primarily genetic information and cellular samples, of relatives of disappeared persons with their consent, and genetic information and cellular samples from any unidentified person who is deprived of life. Such personal information shall be protected on the Registry’s platform in accordance </w:t>
      </w:r>
      <w:r w:rsidR="005E7376" w:rsidRPr="007D47AD">
        <w:rPr>
          <w:rFonts w:asciiTheme="minorHAnsi" w:hAnsiTheme="minorHAnsi"/>
          <w:lang w:val="en-US"/>
        </w:rPr>
        <w:t>with</w:t>
      </w:r>
      <w:r w:rsidRPr="007D47AD">
        <w:rPr>
          <w:rFonts w:asciiTheme="minorHAnsi" w:hAnsiTheme="minorHAnsi"/>
          <w:lang w:val="en-US"/>
        </w:rPr>
        <w:t xml:space="preserve"> international standards regarding access to information. </w:t>
      </w:r>
    </w:p>
    <w:p w:rsidR="009C095D" w:rsidRPr="007D47AD" w:rsidRDefault="00C84143" w:rsidP="00C84143">
      <w:pPr>
        <w:pStyle w:val="Numberedparagraphs"/>
        <w:numPr>
          <w:ilvl w:val="0"/>
          <w:numId w:val="11"/>
        </w:numPr>
        <w:shd w:val="clear" w:color="auto" w:fill="D9D9D9"/>
        <w:spacing w:after="0"/>
        <w:ind w:hanging="720"/>
        <w:rPr>
          <w:rFonts w:asciiTheme="minorHAnsi" w:hAnsiTheme="minorHAnsi"/>
          <w:lang w:val="en-US"/>
        </w:rPr>
      </w:pPr>
      <w:r w:rsidRPr="007D47AD">
        <w:rPr>
          <w:rFonts w:asciiTheme="minorHAnsi" w:hAnsiTheme="minorHAnsi"/>
          <w:lang w:val="en-US" w:eastAsia="es-ES"/>
        </w:rPr>
        <w:t xml:space="preserve">Strengthen existing mechanisms in terms of early alerts and urgent search in cases of disappearances of women and children, to ensure their effective application at the federal, state, and municipal levels. In addition, strengthen the National Registry of Data of Missing or Disappeared Persons, so that it may provide precise and reliable information about women and children who are disappeared and forcibly disappeared. </w:t>
      </w:r>
    </w:p>
    <w:p w:rsidR="009C095D" w:rsidRPr="007D47AD" w:rsidRDefault="008E65F3" w:rsidP="00C84143">
      <w:pPr>
        <w:pStyle w:val="Numberedparagraphs"/>
        <w:numPr>
          <w:ilvl w:val="0"/>
          <w:numId w:val="11"/>
        </w:numPr>
        <w:shd w:val="clear" w:color="auto" w:fill="D9D9D9"/>
        <w:spacing w:after="0"/>
        <w:ind w:hanging="720"/>
        <w:rPr>
          <w:rFonts w:asciiTheme="minorHAnsi" w:hAnsiTheme="minorHAnsi"/>
          <w:lang w:val="en-US"/>
        </w:rPr>
      </w:pPr>
      <w:r w:rsidRPr="007D47AD">
        <w:rPr>
          <w:rFonts w:asciiTheme="minorHAnsi" w:hAnsiTheme="minorHAnsi"/>
          <w:lang w:val="en-US"/>
        </w:rPr>
        <w:lastRenderedPageBreak/>
        <w:t xml:space="preserve">Follow the recommendations of the Interdisciplinary Group of Independent Experts (GIEI) in accordance with the attributes established by its mandate, specifically the reiterated request to interview the members of the Army and visit </w:t>
      </w:r>
      <w:r w:rsidR="005E7376" w:rsidRPr="007D47AD">
        <w:rPr>
          <w:rFonts w:asciiTheme="minorHAnsi" w:hAnsiTheme="minorHAnsi"/>
          <w:lang w:val="en-US"/>
        </w:rPr>
        <w:t xml:space="preserve">Battalion </w:t>
      </w:r>
      <w:r w:rsidRPr="007D47AD">
        <w:rPr>
          <w:rFonts w:asciiTheme="minorHAnsi" w:hAnsiTheme="minorHAnsi"/>
          <w:lang w:val="en-US"/>
        </w:rPr>
        <w:t>No. 27, and continue the investigation of the Ayotzinapa case. Consider utilizing similar mechanisms for other cases of gross human rights violations.</w:t>
      </w:r>
    </w:p>
    <w:p w:rsidR="009C095D" w:rsidRPr="007D47AD" w:rsidRDefault="009C095D" w:rsidP="009C095D">
      <w:pPr>
        <w:shd w:val="clear" w:color="auto" w:fill="FFFFFF"/>
        <w:spacing w:after="240" w:line="240" w:lineRule="auto"/>
        <w:ind w:left="720"/>
        <w:jc w:val="both"/>
        <w:rPr>
          <w:rFonts w:asciiTheme="minorHAnsi" w:eastAsia="Times New Roman" w:hAnsiTheme="minorHAnsi" w:cs="Arial"/>
          <w:sz w:val="20"/>
          <w:szCs w:val="20"/>
          <w:lang w:val="en-US"/>
        </w:rPr>
      </w:pPr>
    </w:p>
    <w:p w:rsidR="009C095D" w:rsidRPr="007D47AD" w:rsidRDefault="0078439E" w:rsidP="00E472A2">
      <w:pPr>
        <w:numPr>
          <w:ilvl w:val="0"/>
          <w:numId w:val="6"/>
        </w:numPr>
        <w:shd w:val="clear" w:color="auto" w:fill="FFFFFF"/>
        <w:spacing w:after="240" w:line="240" w:lineRule="auto"/>
        <w:ind w:left="0" w:firstLine="720"/>
        <w:jc w:val="both"/>
        <w:rPr>
          <w:rFonts w:asciiTheme="minorHAnsi" w:eastAsia="Times New Roman" w:hAnsiTheme="minorHAnsi" w:cs="Arial"/>
          <w:sz w:val="20"/>
          <w:szCs w:val="20"/>
          <w:lang w:val="en-US"/>
        </w:rPr>
      </w:pPr>
      <w:r w:rsidRPr="007D47AD">
        <w:rPr>
          <w:rFonts w:asciiTheme="minorHAnsi" w:hAnsiTheme="minorHAnsi" w:cs="Calibri"/>
          <w:sz w:val="20"/>
          <w:szCs w:val="20"/>
          <w:lang w:val="en-US"/>
        </w:rPr>
        <w:t xml:space="preserve">On the recommendation that calls on the State to </w:t>
      </w:r>
      <w:r w:rsidR="009C095D" w:rsidRPr="007D47AD">
        <w:rPr>
          <w:rFonts w:asciiTheme="minorHAnsi" w:hAnsiTheme="minorHAnsi" w:cs="Calibri"/>
          <w:b/>
          <w:sz w:val="20"/>
          <w:szCs w:val="20"/>
          <w:lang w:val="en-US"/>
        </w:rPr>
        <w:t>adopt</w:t>
      </w:r>
      <w:r w:rsidR="008E65F3" w:rsidRPr="007D47AD">
        <w:rPr>
          <w:rFonts w:asciiTheme="minorHAnsi" w:hAnsiTheme="minorHAnsi" w:cs="Calibri"/>
          <w:b/>
          <w:sz w:val="20"/>
          <w:szCs w:val="20"/>
          <w:lang w:val="en-US"/>
        </w:rPr>
        <w:t xml:space="preserve"> a General Law on Disappearances and Forced Disappearances, and ensure the laws and practices comply with the relevant international standards</w:t>
      </w:r>
      <w:r w:rsidR="009C095D" w:rsidRPr="007D47AD">
        <w:rPr>
          <w:rFonts w:asciiTheme="minorHAnsi" w:hAnsiTheme="minorHAnsi" w:cs="Calibri"/>
          <w:b/>
          <w:sz w:val="20"/>
          <w:szCs w:val="20"/>
          <w:lang w:val="en-US"/>
        </w:rPr>
        <w:t xml:space="preserve">, </w:t>
      </w:r>
      <w:r w:rsidRPr="007D47AD">
        <w:rPr>
          <w:rFonts w:asciiTheme="minorHAnsi" w:hAnsiTheme="minorHAnsi" w:cs="Calibri"/>
          <w:sz w:val="20"/>
          <w:szCs w:val="20"/>
          <w:lang w:val="en-US"/>
        </w:rPr>
        <w:t xml:space="preserve">as was indicated earlier, the State adopted the General Law on Forced Disappearance and Disappearance Committed by Private Persons </w:t>
      </w:r>
      <w:r w:rsidR="009C095D" w:rsidRPr="007D47AD">
        <w:rPr>
          <w:rFonts w:asciiTheme="minorHAnsi" w:hAnsiTheme="minorHAnsi"/>
          <w:sz w:val="20"/>
          <w:szCs w:val="20"/>
          <w:lang w:val="en-US"/>
        </w:rPr>
        <w:t>(</w:t>
      </w:r>
      <w:r w:rsidRPr="007D47AD">
        <w:rPr>
          <w:rFonts w:asciiTheme="minorHAnsi" w:hAnsiTheme="minorHAnsi"/>
          <w:sz w:val="20"/>
          <w:szCs w:val="20"/>
          <w:lang w:val="en-US"/>
        </w:rPr>
        <w:t xml:space="preserve">hereinafter </w:t>
      </w:r>
      <w:r w:rsidR="00526B6E" w:rsidRPr="007D47AD">
        <w:rPr>
          <w:rFonts w:asciiTheme="minorHAnsi" w:hAnsiTheme="minorHAnsi"/>
          <w:sz w:val="20"/>
          <w:szCs w:val="20"/>
          <w:lang w:val="en-US"/>
        </w:rPr>
        <w:t>“</w:t>
      </w:r>
      <w:r w:rsidRPr="007D47AD">
        <w:rPr>
          <w:rFonts w:asciiTheme="minorHAnsi" w:hAnsiTheme="minorHAnsi"/>
          <w:sz w:val="20"/>
          <w:szCs w:val="20"/>
          <w:lang w:val="en-US"/>
        </w:rPr>
        <w:t xml:space="preserve">the </w:t>
      </w:r>
      <w:r w:rsidR="00526B6E" w:rsidRPr="007D47AD">
        <w:rPr>
          <w:rFonts w:asciiTheme="minorHAnsi" w:hAnsiTheme="minorHAnsi"/>
          <w:sz w:val="20"/>
          <w:szCs w:val="20"/>
          <w:lang w:val="en-US"/>
        </w:rPr>
        <w:t>General</w:t>
      </w:r>
      <w:r w:rsidRPr="007D47AD">
        <w:rPr>
          <w:rFonts w:asciiTheme="minorHAnsi" w:hAnsiTheme="minorHAnsi"/>
          <w:sz w:val="20"/>
          <w:szCs w:val="20"/>
          <w:lang w:val="en-US"/>
        </w:rPr>
        <w:t xml:space="preserve"> Law</w:t>
      </w:r>
      <w:r w:rsidR="00526B6E" w:rsidRPr="007D47AD">
        <w:rPr>
          <w:rFonts w:asciiTheme="minorHAnsi" w:hAnsiTheme="minorHAnsi"/>
          <w:sz w:val="20"/>
          <w:szCs w:val="20"/>
          <w:lang w:val="en-US"/>
        </w:rPr>
        <w:t>”</w:t>
      </w:r>
      <w:r w:rsidR="009C095D" w:rsidRPr="007D47AD">
        <w:rPr>
          <w:rFonts w:asciiTheme="minorHAnsi" w:hAnsiTheme="minorHAnsi"/>
          <w:sz w:val="20"/>
          <w:szCs w:val="20"/>
          <w:lang w:val="en-US"/>
        </w:rPr>
        <w:t xml:space="preserve">) </w:t>
      </w:r>
      <w:r w:rsidRPr="007D47AD">
        <w:rPr>
          <w:rFonts w:asciiTheme="minorHAnsi" w:hAnsiTheme="minorHAnsi"/>
          <w:sz w:val="20"/>
          <w:szCs w:val="20"/>
          <w:lang w:val="en-US"/>
        </w:rPr>
        <w:t xml:space="preserve">on November </w:t>
      </w:r>
      <w:r w:rsidR="009C095D" w:rsidRPr="007D47AD">
        <w:rPr>
          <w:rFonts w:asciiTheme="minorHAnsi" w:hAnsiTheme="minorHAnsi" w:cs="Arial"/>
          <w:sz w:val="20"/>
          <w:szCs w:val="20"/>
          <w:lang w:val="en-US"/>
        </w:rPr>
        <w:t>17</w:t>
      </w:r>
      <w:r w:rsidRPr="007D47AD">
        <w:rPr>
          <w:rFonts w:asciiTheme="minorHAnsi" w:hAnsiTheme="minorHAnsi" w:cs="Arial"/>
          <w:sz w:val="20"/>
          <w:szCs w:val="20"/>
          <w:lang w:val="en-US"/>
        </w:rPr>
        <w:t>,</w:t>
      </w:r>
      <w:r w:rsidR="009C095D" w:rsidRPr="007D47AD">
        <w:rPr>
          <w:rFonts w:asciiTheme="minorHAnsi" w:hAnsiTheme="minorHAnsi" w:cs="Arial"/>
          <w:sz w:val="20"/>
          <w:szCs w:val="20"/>
          <w:lang w:val="en-US"/>
        </w:rPr>
        <w:t xml:space="preserve"> 2017</w:t>
      </w:r>
      <w:r w:rsidR="005E7376" w:rsidRPr="007D47AD">
        <w:rPr>
          <w:rFonts w:asciiTheme="minorHAnsi" w:hAnsiTheme="minorHAnsi" w:cs="Arial"/>
          <w:sz w:val="20"/>
          <w:szCs w:val="20"/>
          <w:lang w:val="en-US"/>
        </w:rPr>
        <w:t>;</w:t>
      </w:r>
      <w:r w:rsidR="00D2146F" w:rsidRPr="007D47AD">
        <w:rPr>
          <w:rFonts w:asciiTheme="minorHAnsi" w:hAnsiTheme="minorHAnsi" w:cs="Arial"/>
          <w:sz w:val="20"/>
          <w:szCs w:val="20"/>
          <w:lang w:val="en-US"/>
        </w:rPr>
        <w:t xml:space="preserve"> </w:t>
      </w:r>
      <w:r w:rsidR="005E7376" w:rsidRPr="007D47AD">
        <w:rPr>
          <w:rFonts w:asciiTheme="minorHAnsi" w:hAnsiTheme="minorHAnsi" w:cs="Arial"/>
          <w:sz w:val="20"/>
          <w:szCs w:val="20"/>
          <w:lang w:val="en-US"/>
        </w:rPr>
        <w:t xml:space="preserve">it </w:t>
      </w:r>
      <w:r w:rsidRPr="007D47AD">
        <w:rPr>
          <w:rFonts w:asciiTheme="minorHAnsi" w:hAnsiTheme="minorHAnsi" w:cs="Arial"/>
          <w:sz w:val="20"/>
          <w:szCs w:val="20"/>
          <w:lang w:val="en-US"/>
        </w:rPr>
        <w:t xml:space="preserve">came into force on January </w:t>
      </w:r>
      <w:r w:rsidR="00D2146F" w:rsidRPr="007D47AD">
        <w:rPr>
          <w:rFonts w:asciiTheme="minorHAnsi" w:hAnsiTheme="minorHAnsi" w:cs="Arial"/>
          <w:sz w:val="20"/>
          <w:szCs w:val="20"/>
          <w:lang w:val="en-US"/>
        </w:rPr>
        <w:t>16</w:t>
      </w:r>
      <w:r w:rsidRPr="007D47AD">
        <w:rPr>
          <w:rFonts w:asciiTheme="minorHAnsi" w:hAnsiTheme="minorHAnsi" w:cs="Arial"/>
          <w:sz w:val="20"/>
          <w:szCs w:val="20"/>
          <w:lang w:val="en-US"/>
        </w:rPr>
        <w:t>,</w:t>
      </w:r>
      <w:r w:rsidR="00D2146F" w:rsidRPr="007D47AD">
        <w:rPr>
          <w:rFonts w:asciiTheme="minorHAnsi" w:hAnsiTheme="minorHAnsi" w:cs="Arial"/>
          <w:sz w:val="20"/>
          <w:szCs w:val="20"/>
          <w:lang w:val="en-US"/>
        </w:rPr>
        <w:t xml:space="preserve"> 2018</w:t>
      </w:r>
      <w:r w:rsidR="00592F84" w:rsidRPr="007D47AD">
        <w:rPr>
          <w:rFonts w:asciiTheme="minorHAnsi" w:hAnsiTheme="minorHAnsi" w:cs="Arial"/>
          <w:sz w:val="20"/>
          <w:szCs w:val="20"/>
          <w:lang w:val="en-US"/>
        </w:rPr>
        <w:t xml:space="preserve">. </w:t>
      </w:r>
      <w:r w:rsidRPr="007D47AD">
        <w:rPr>
          <w:rFonts w:asciiTheme="minorHAnsi" w:hAnsiTheme="minorHAnsi" w:cs="Arial"/>
          <w:sz w:val="20"/>
          <w:szCs w:val="20"/>
          <w:lang w:val="en-US"/>
        </w:rPr>
        <w:t xml:space="preserve">In view of the foregoing, the State carried out the first part of the recommendation. </w:t>
      </w:r>
    </w:p>
    <w:p w:rsidR="002766A3" w:rsidRPr="007D47AD" w:rsidRDefault="006773C5" w:rsidP="002766A3">
      <w:pPr>
        <w:numPr>
          <w:ilvl w:val="0"/>
          <w:numId w:val="6"/>
        </w:numPr>
        <w:shd w:val="clear" w:color="auto" w:fill="FFFFFF"/>
        <w:spacing w:after="240" w:line="240" w:lineRule="auto"/>
        <w:ind w:left="0" w:firstLine="720"/>
        <w:jc w:val="both"/>
        <w:rPr>
          <w:rFonts w:asciiTheme="minorHAnsi" w:eastAsia="Times New Roman" w:hAnsiTheme="minorHAnsi" w:cs="Arial"/>
          <w:sz w:val="20"/>
          <w:szCs w:val="20"/>
          <w:lang w:val="en-US"/>
        </w:rPr>
      </w:pPr>
      <w:r w:rsidRPr="007D47AD">
        <w:rPr>
          <w:rFonts w:asciiTheme="minorHAnsi" w:hAnsiTheme="minorHAnsi" w:cs="Calibri"/>
          <w:sz w:val="20"/>
          <w:szCs w:val="20"/>
          <w:lang w:val="en-US"/>
        </w:rPr>
        <w:t xml:space="preserve">As regards all the other measures to ensure that the practices are in line with the relevant international standards, the State reiterated the purpose of the General Law and indicated that its implementation </w:t>
      </w:r>
      <w:r w:rsidR="007F1794" w:rsidRPr="007D47AD">
        <w:rPr>
          <w:rFonts w:asciiTheme="minorHAnsi" w:hAnsiTheme="minorHAnsi" w:cs="Calibri"/>
          <w:sz w:val="20"/>
          <w:szCs w:val="20"/>
          <w:lang w:val="en-US"/>
        </w:rPr>
        <w:t>correspond</w:t>
      </w:r>
      <w:r w:rsidRPr="007D47AD">
        <w:rPr>
          <w:rFonts w:asciiTheme="minorHAnsi" w:hAnsiTheme="minorHAnsi" w:cs="Calibri"/>
          <w:sz w:val="20"/>
          <w:szCs w:val="20"/>
          <w:lang w:val="en-US"/>
        </w:rPr>
        <w:t>s</w:t>
      </w:r>
      <w:r w:rsidR="007F1794" w:rsidRPr="007D47AD">
        <w:rPr>
          <w:rFonts w:asciiTheme="minorHAnsi" w:hAnsiTheme="minorHAnsi" w:cs="Calibri"/>
          <w:sz w:val="20"/>
          <w:szCs w:val="20"/>
          <w:lang w:val="en-US"/>
        </w:rPr>
        <w:t xml:space="preserve"> </w:t>
      </w:r>
      <w:r w:rsidRPr="007D47AD">
        <w:rPr>
          <w:rFonts w:asciiTheme="minorHAnsi" w:hAnsiTheme="minorHAnsi" w:cs="Calibri"/>
          <w:sz w:val="20"/>
          <w:szCs w:val="20"/>
          <w:lang w:val="en-US"/>
        </w:rPr>
        <w:t>to the authorities of the three levels of government, and that it should be interpreted in keeping with international standards.</w:t>
      </w:r>
      <w:r w:rsidR="009C095D" w:rsidRPr="007D47AD">
        <w:rPr>
          <w:rStyle w:val="FootnoteReference"/>
          <w:rFonts w:asciiTheme="minorHAnsi" w:hAnsiTheme="minorHAnsi"/>
          <w:sz w:val="20"/>
          <w:szCs w:val="20"/>
          <w:lang w:val="en-US"/>
        </w:rPr>
        <w:footnoteReference w:id="58"/>
      </w:r>
      <w:r w:rsidR="002766A3" w:rsidRPr="007D47AD">
        <w:rPr>
          <w:rFonts w:asciiTheme="minorHAnsi" w:hAnsiTheme="minorHAnsi"/>
          <w:sz w:val="20"/>
          <w:szCs w:val="20"/>
          <w:lang w:val="en-US"/>
        </w:rPr>
        <w:t xml:space="preserve"> </w:t>
      </w:r>
      <w:r w:rsidRPr="007D47AD">
        <w:rPr>
          <w:rFonts w:asciiTheme="minorHAnsi" w:hAnsiTheme="minorHAnsi"/>
          <w:sz w:val="20"/>
          <w:szCs w:val="20"/>
          <w:lang w:val="en-US"/>
        </w:rPr>
        <w:t xml:space="preserve">With respect to the National Search Commission (hereinafter </w:t>
      </w:r>
      <w:r w:rsidR="00E20B6E" w:rsidRPr="007D47AD">
        <w:rPr>
          <w:rFonts w:asciiTheme="minorHAnsi" w:hAnsiTheme="minorHAnsi"/>
          <w:sz w:val="20"/>
          <w:szCs w:val="20"/>
          <w:lang w:val="en-US"/>
        </w:rPr>
        <w:t xml:space="preserve">“CNB”) </w:t>
      </w:r>
      <w:r w:rsidRPr="007D47AD">
        <w:rPr>
          <w:rFonts w:asciiTheme="minorHAnsi" w:hAnsiTheme="minorHAnsi"/>
          <w:sz w:val="20"/>
          <w:szCs w:val="20"/>
          <w:lang w:val="en-US"/>
        </w:rPr>
        <w:t>it indicat</w:t>
      </w:r>
      <w:r w:rsidR="005E7376" w:rsidRPr="007D47AD">
        <w:rPr>
          <w:rFonts w:asciiTheme="minorHAnsi" w:hAnsiTheme="minorHAnsi"/>
          <w:sz w:val="20"/>
          <w:szCs w:val="20"/>
          <w:lang w:val="en-US"/>
        </w:rPr>
        <w:t>e</w:t>
      </w:r>
      <w:r w:rsidRPr="007D47AD">
        <w:rPr>
          <w:rFonts w:asciiTheme="minorHAnsi" w:hAnsiTheme="minorHAnsi"/>
          <w:sz w:val="20"/>
          <w:szCs w:val="20"/>
          <w:lang w:val="en-US"/>
        </w:rPr>
        <w:t>d that it has several means of communication (0800 line and real-time messaging systems), which operate 24 hours a day, 365 days a year, for reporting disappearances, highlighting that according to this methodology the search is not conditioned on the filing of a complaint.</w:t>
      </w:r>
      <w:r w:rsidR="002766A3" w:rsidRPr="007D47AD">
        <w:rPr>
          <w:rStyle w:val="FootnoteReference"/>
          <w:rFonts w:asciiTheme="minorHAnsi" w:hAnsiTheme="minorHAnsi"/>
          <w:sz w:val="20"/>
          <w:szCs w:val="20"/>
          <w:lang w:val="en-US"/>
        </w:rPr>
        <w:footnoteReference w:id="59"/>
      </w:r>
      <w:r w:rsidR="002766A3" w:rsidRPr="007D47AD">
        <w:rPr>
          <w:rFonts w:asciiTheme="minorHAnsi" w:eastAsia="Times New Roman" w:hAnsiTheme="minorHAnsi" w:cs="Arial"/>
          <w:sz w:val="20"/>
          <w:szCs w:val="20"/>
          <w:lang w:val="en-US"/>
        </w:rPr>
        <w:t xml:space="preserve"> </w:t>
      </w:r>
    </w:p>
    <w:p w:rsidR="009C095D" w:rsidRPr="007D47AD" w:rsidRDefault="006773C5" w:rsidP="00E472A2">
      <w:pPr>
        <w:numPr>
          <w:ilvl w:val="0"/>
          <w:numId w:val="6"/>
        </w:numPr>
        <w:shd w:val="clear" w:color="auto" w:fill="FFFFFF"/>
        <w:spacing w:after="240" w:line="240" w:lineRule="auto"/>
        <w:ind w:left="0" w:firstLine="720"/>
        <w:jc w:val="both"/>
        <w:rPr>
          <w:rFonts w:asciiTheme="minorHAnsi" w:eastAsia="Times New Roman" w:hAnsiTheme="minorHAnsi" w:cs="Arial"/>
          <w:sz w:val="20"/>
          <w:szCs w:val="20"/>
          <w:lang w:val="en-US"/>
        </w:rPr>
      </w:pPr>
      <w:r w:rsidRPr="007D47AD">
        <w:rPr>
          <w:rFonts w:asciiTheme="minorHAnsi" w:hAnsiTheme="minorHAnsi"/>
          <w:sz w:val="20"/>
          <w:szCs w:val="20"/>
          <w:lang w:val="en-US"/>
        </w:rPr>
        <w:t xml:space="preserve">In addition to the foregoing, the IACHR considers relevant the public announcement by the Ministry of Interior of seven measures to search for disappeared persons: </w:t>
      </w:r>
      <w:r w:rsidR="00E136EF" w:rsidRPr="007D47AD">
        <w:rPr>
          <w:rFonts w:asciiTheme="minorHAnsi" w:hAnsiTheme="minorHAnsi"/>
          <w:sz w:val="20"/>
          <w:szCs w:val="20"/>
          <w:lang w:val="en-US"/>
        </w:rPr>
        <w:t>(</w:t>
      </w:r>
      <w:r w:rsidR="003F0A40" w:rsidRPr="007D47AD">
        <w:rPr>
          <w:rFonts w:asciiTheme="minorHAnsi" w:hAnsiTheme="minorHAnsi"/>
          <w:sz w:val="20"/>
          <w:szCs w:val="20"/>
          <w:lang w:val="en-US"/>
        </w:rPr>
        <w:t>i</w:t>
      </w:r>
      <w:r w:rsidR="00E136EF" w:rsidRPr="007D47AD">
        <w:rPr>
          <w:rFonts w:asciiTheme="minorHAnsi" w:hAnsiTheme="minorHAnsi"/>
          <w:sz w:val="20"/>
          <w:szCs w:val="20"/>
          <w:lang w:val="en-US"/>
        </w:rPr>
        <w:t>)</w:t>
      </w:r>
      <w:r w:rsidR="003F0A40" w:rsidRPr="007D47AD">
        <w:rPr>
          <w:rFonts w:asciiTheme="minorHAnsi" w:hAnsiTheme="minorHAnsi"/>
          <w:sz w:val="20"/>
          <w:szCs w:val="20"/>
          <w:lang w:val="en-US"/>
        </w:rPr>
        <w:t xml:space="preserve"> </w:t>
      </w:r>
      <w:r w:rsidR="00E136EF" w:rsidRPr="007D47AD">
        <w:rPr>
          <w:rFonts w:asciiTheme="minorHAnsi" w:hAnsiTheme="minorHAnsi"/>
          <w:sz w:val="20"/>
          <w:szCs w:val="20"/>
          <w:lang w:val="en-US"/>
        </w:rPr>
        <w:t>searching for disappeared persons is a government priority; (</w:t>
      </w:r>
      <w:r w:rsidR="003F0A40" w:rsidRPr="007D47AD">
        <w:rPr>
          <w:rFonts w:asciiTheme="minorHAnsi" w:hAnsiTheme="minorHAnsi"/>
          <w:sz w:val="20"/>
          <w:szCs w:val="20"/>
          <w:lang w:val="en-US"/>
        </w:rPr>
        <w:t>ii</w:t>
      </w:r>
      <w:r w:rsidR="00E136EF" w:rsidRPr="007D47AD">
        <w:rPr>
          <w:rFonts w:asciiTheme="minorHAnsi" w:hAnsiTheme="minorHAnsi"/>
          <w:sz w:val="20"/>
          <w:szCs w:val="20"/>
          <w:lang w:val="en-US"/>
        </w:rPr>
        <w:t>)</w:t>
      </w:r>
      <w:r w:rsidR="003F0A40" w:rsidRPr="007D47AD">
        <w:rPr>
          <w:rFonts w:asciiTheme="minorHAnsi" w:hAnsiTheme="minorHAnsi"/>
          <w:sz w:val="20"/>
          <w:szCs w:val="20"/>
          <w:lang w:val="en-US"/>
        </w:rPr>
        <w:t xml:space="preserve"> ac</w:t>
      </w:r>
      <w:r w:rsidR="00E136EF" w:rsidRPr="007D47AD">
        <w:rPr>
          <w:rFonts w:asciiTheme="minorHAnsi" w:hAnsiTheme="minorHAnsi"/>
          <w:sz w:val="20"/>
          <w:szCs w:val="20"/>
          <w:lang w:val="en-US"/>
        </w:rPr>
        <w:t>c</w:t>
      </w:r>
      <w:r w:rsidR="003F0A40" w:rsidRPr="007D47AD">
        <w:rPr>
          <w:rFonts w:asciiTheme="minorHAnsi" w:hAnsiTheme="minorHAnsi"/>
          <w:sz w:val="20"/>
          <w:szCs w:val="20"/>
          <w:lang w:val="en-US"/>
        </w:rPr>
        <w:t>epta</w:t>
      </w:r>
      <w:r w:rsidR="00E136EF" w:rsidRPr="007D47AD">
        <w:rPr>
          <w:rFonts w:asciiTheme="minorHAnsi" w:hAnsiTheme="minorHAnsi"/>
          <w:sz w:val="20"/>
          <w:szCs w:val="20"/>
          <w:lang w:val="en-US"/>
        </w:rPr>
        <w:t xml:space="preserve">nce of the competence of the United Nations Committee </w:t>
      </w:r>
      <w:r w:rsidR="005E7376" w:rsidRPr="007D47AD">
        <w:rPr>
          <w:rFonts w:asciiTheme="minorHAnsi" w:hAnsiTheme="minorHAnsi"/>
          <w:sz w:val="20"/>
          <w:szCs w:val="20"/>
          <w:lang w:val="en-US"/>
        </w:rPr>
        <w:t xml:space="preserve">on </w:t>
      </w:r>
      <w:r w:rsidR="00E136EF" w:rsidRPr="007D47AD">
        <w:rPr>
          <w:rFonts w:asciiTheme="minorHAnsi" w:hAnsiTheme="minorHAnsi"/>
          <w:sz w:val="20"/>
          <w:szCs w:val="20"/>
          <w:lang w:val="en-US"/>
        </w:rPr>
        <w:t>Enforced Disappearance</w:t>
      </w:r>
      <w:r w:rsidR="005E7376" w:rsidRPr="007D47AD">
        <w:rPr>
          <w:rFonts w:asciiTheme="minorHAnsi" w:hAnsiTheme="minorHAnsi"/>
          <w:sz w:val="20"/>
          <w:szCs w:val="20"/>
          <w:lang w:val="en-US"/>
        </w:rPr>
        <w:t>s</w:t>
      </w:r>
      <w:r w:rsidR="00E136EF" w:rsidRPr="007D47AD">
        <w:rPr>
          <w:rFonts w:asciiTheme="minorHAnsi" w:hAnsiTheme="minorHAnsi"/>
          <w:sz w:val="20"/>
          <w:szCs w:val="20"/>
          <w:lang w:val="en-US"/>
        </w:rPr>
        <w:t xml:space="preserve"> to take stock of communications</w:t>
      </w:r>
      <w:r w:rsidR="003F0A40" w:rsidRPr="007D47AD">
        <w:rPr>
          <w:rFonts w:asciiTheme="minorHAnsi" w:hAnsiTheme="minorHAnsi"/>
          <w:sz w:val="20"/>
          <w:szCs w:val="20"/>
          <w:lang w:val="en-US"/>
        </w:rPr>
        <w:t xml:space="preserve">; </w:t>
      </w:r>
      <w:r w:rsidR="00E136EF" w:rsidRPr="007D47AD">
        <w:rPr>
          <w:rFonts w:asciiTheme="minorHAnsi" w:hAnsiTheme="minorHAnsi"/>
          <w:sz w:val="20"/>
          <w:szCs w:val="20"/>
          <w:lang w:val="en-US"/>
        </w:rPr>
        <w:t>(</w:t>
      </w:r>
      <w:r w:rsidR="003F0A40" w:rsidRPr="007D47AD">
        <w:rPr>
          <w:rFonts w:asciiTheme="minorHAnsi" w:hAnsiTheme="minorHAnsi"/>
          <w:sz w:val="20"/>
          <w:szCs w:val="20"/>
          <w:lang w:val="en-US"/>
        </w:rPr>
        <w:t>ii</w:t>
      </w:r>
      <w:r w:rsidR="00E136EF" w:rsidRPr="007D47AD">
        <w:rPr>
          <w:rFonts w:asciiTheme="minorHAnsi" w:hAnsiTheme="minorHAnsi"/>
          <w:sz w:val="20"/>
          <w:szCs w:val="20"/>
          <w:lang w:val="en-US"/>
        </w:rPr>
        <w:t>i)</w:t>
      </w:r>
      <w:r w:rsidR="003F0A40" w:rsidRPr="007D47AD">
        <w:rPr>
          <w:rFonts w:asciiTheme="minorHAnsi" w:hAnsiTheme="minorHAnsi"/>
          <w:sz w:val="20"/>
          <w:szCs w:val="20"/>
          <w:lang w:val="en-US"/>
        </w:rPr>
        <w:t xml:space="preserve"> invita</w:t>
      </w:r>
      <w:r w:rsidR="00E136EF" w:rsidRPr="007D47AD">
        <w:rPr>
          <w:rFonts w:asciiTheme="minorHAnsi" w:hAnsiTheme="minorHAnsi"/>
          <w:sz w:val="20"/>
          <w:szCs w:val="20"/>
          <w:lang w:val="en-US"/>
        </w:rPr>
        <w:t xml:space="preserve">tion to the Committee </w:t>
      </w:r>
      <w:r w:rsidR="005E7376" w:rsidRPr="007D47AD">
        <w:rPr>
          <w:rFonts w:asciiTheme="minorHAnsi" w:hAnsiTheme="minorHAnsi"/>
          <w:sz w:val="20"/>
          <w:szCs w:val="20"/>
          <w:lang w:val="en-US"/>
        </w:rPr>
        <w:t xml:space="preserve">on </w:t>
      </w:r>
      <w:r w:rsidR="00E136EF" w:rsidRPr="007D47AD">
        <w:rPr>
          <w:rFonts w:asciiTheme="minorHAnsi" w:hAnsiTheme="minorHAnsi"/>
          <w:sz w:val="20"/>
          <w:szCs w:val="20"/>
          <w:lang w:val="en-US"/>
        </w:rPr>
        <w:t>Enforced Disappearance</w:t>
      </w:r>
      <w:r w:rsidR="005E7376" w:rsidRPr="007D47AD">
        <w:rPr>
          <w:rFonts w:asciiTheme="minorHAnsi" w:hAnsiTheme="minorHAnsi"/>
          <w:sz w:val="20"/>
          <w:szCs w:val="20"/>
          <w:lang w:val="en-US"/>
        </w:rPr>
        <w:t>s</w:t>
      </w:r>
      <w:r w:rsidR="00E136EF" w:rsidRPr="007D47AD">
        <w:rPr>
          <w:rFonts w:asciiTheme="minorHAnsi" w:hAnsiTheme="minorHAnsi"/>
          <w:sz w:val="20"/>
          <w:szCs w:val="20"/>
          <w:lang w:val="en-US"/>
        </w:rPr>
        <w:t xml:space="preserve"> to make an official visit in </w:t>
      </w:r>
      <w:r w:rsidR="003F0A40" w:rsidRPr="007D47AD">
        <w:rPr>
          <w:rFonts w:asciiTheme="minorHAnsi" w:hAnsiTheme="minorHAnsi"/>
          <w:sz w:val="20"/>
          <w:szCs w:val="20"/>
          <w:lang w:val="en-US"/>
        </w:rPr>
        <w:t xml:space="preserve">2020; </w:t>
      </w:r>
      <w:r w:rsidR="00E136EF" w:rsidRPr="007D47AD">
        <w:rPr>
          <w:rFonts w:asciiTheme="minorHAnsi" w:hAnsiTheme="minorHAnsi"/>
          <w:sz w:val="20"/>
          <w:szCs w:val="20"/>
          <w:lang w:val="en-US"/>
        </w:rPr>
        <w:t>(</w:t>
      </w:r>
      <w:r w:rsidR="003F0A40" w:rsidRPr="007D47AD">
        <w:rPr>
          <w:rFonts w:asciiTheme="minorHAnsi" w:hAnsiTheme="minorHAnsi"/>
          <w:sz w:val="20"/>
          <w:szCs w:val="20"/>
          <w:lang w:val="en-US"/>
        </w:rPr>
        <w:t>iv</w:t>
      </w:r>
      <w:r w:rsidR="00E136EF" w:rsidRPr="007D47AD">
        <w:rPr>
          <w:rFonts w:asciiTheme="minorHAnsi" w:hAnsiTheme="minorHAnsi"/>
          <w:sz w:val="20"/>
          <w:szCs w:val="20"/>
          <w:lang w:val="en-US"/>
        </w:rPr>
        <w:t>)</w:t>
      </w:r>
      <w:r w:rsidR="003F0A40" w:rsidRPr="007D47AD">
        <w:rPr>
          <w:rFonts w:asciiTheme="minorHAnsi" w:hAnsiTheme="minorHAnsi"/>
          <w:sz w:val="20"/>
          <w:szCs w:val="20"/>
          <w:lang w:val="en-US"/>
        </w:rPr>
        <w:t xml:space="preserve"> </w:t>
      </w:r>
      <w:r w:rsidR="00E136EF" w:rsidRPr="007D47AD">
        <w:rPr>
          <w:rFonts w:asciiTheme="minorHAnsi" w:hAnsiTheme="minorHAnsi"/>
          <w:sz w:val="20"/>
          <w:szCs w:val="20"/>
          <w:lang w:val="en-US"/>
        </w:rPr>
        <w:t>compliance with international decisions and friendly settlements</w:t>
      </w:r>
      <w:r w:rsidR="00DC03A0" w:rsidRPr="007D47AD">
        <w:rPr>
          <w:rFonts w:asciiTheme="minorHAnsi" w:hAnsiTheme="minorHAnsi"/>
          <w:sz w:val="20"/>
          <w:szCs w:val="20"/>
          <w:lang w:val="en-US"/>
        </w:rPr>
        <w:t xml:space="preserve">; </w:t>
      </w:r>
      <w:r w:rsidR="00E136EF" w:rsidRPr="007D47AD">
        <w:rPr>
          <w:rFonts w:asciiTheme="minorHAnsi" w:hAnsiTheme="minorHAnsi"/>
          <w:sz w:val="20"/>
          <w:szCs w:val="20"/>
          <w:lang w:val="en-US"/>
        </w:rPr>
        <w:t>(</w:t>
      </w:r>
      <w:r w:rsidR="00DC03A0" w:rsidRPr="007D47AD">
        <w:rPr>
          <w:rFonts w:asciiTheme="minorHAnsi" w:hAnsiTheme="minorHAnsi"/>
          <w:sz w:val="20"/>
          <w:szCs w:val="20"/>
          <w:lang w:val="en-US"/>
        </w:rPr>
        <w:t>v</w:t>
      </w:r>
      <w:r w:rsidR="00E136EF" w:rsidRPr="007D47AD">
        <w:rPr>
          <w:rFonts w:asciiTheme="minorHAnsi" w:hAnsiTheme="minorHAnsi"/>
          <w:sz w:val="20"/>
          <w:szCs w:val="20"/>
          <w:lang w:val="en-US"/>
        </w:rPr>
        <w:t>)</w:t>
      </w:r>
      <w:r w:rsidR="00DC03A0" w:rsidRPr="007D47AD">
        <w:rPr>
          <w:rFonts w:asciiTheme="minorHAnsi" w:hAnsiTheme="minorHAnsi"/>
          <w:sz w:val="20"/>
          <w:szCs w:val="20"/>
          <w:lang w:val="en-US"/>
        </w:rPr>
        <w:t xml:space="preserve"> </w:t>
      </w:r>
      <w:r w:rsidR="00E136EF" w:rsidRPr="007D47AD">
        <w:rPr>
          <w:rFonts w:asciiTheme="minorHAnsi" w:hAnsiTheme="minorHAnsi"/>
          <w:sz w:val="20"/>
          <w:szCs w:val="20"/>
          <w:lang w:val="en-US"/>
        </w:rPr>
        <w:t>signing scientific cooperation agreements</w:t>
      </w:r>
      <w:r w:rsidR="00DC03A0" w:rsidRPr="007D47AD">
        <w:rPr>
          <w:rFonts w:asciiTheme="minorHAnsi" w:hAnsiTheme="minorHAnsi"/>
          <w:sz w:val="20"/>
          <w:szCs w:val="20"/>
          <w:lang w:val="en-US"/>
        </w:rPr>
        <w:t xml:space="preserve">; </w:t>
      </w:r>
      <w:r w:rsidR="00E136EF" w:rsidRPr="007D47AD">
        <w:rPr>
          <w:rFonts w:asciiTheme="minorHAnsi" w:hAnsiTheme="minorHAnsi"/>
          <w:sz w:val="20"/>
          <w:szCs w:val="20"/>
          <w:lang w:val="en-US"/>
        </w:rPr>
        <w:t>(</w:t>
      </w:r>
      <w:r w:rsidR="00DC03A0" w:rsidRPr="007D47AD">
        <w:rPr>
          <w:rFonts w:asciiTheme="minorHAnsi" w:hAnsiTheme="minorHAnsi"/>
          <w:sz w:val="20"/>
          <w:szCs w:val="20"/>
          <w:lang w:val="en-US"/>
        </w:rPr>
        <w:t>vi</w:t>
      </w:r>
      <w:r w:rsidR="00E136EF" w:rsidRPr="007D47AD">
        <w:rPr>
          <w:rFonts w:asciiTheme="minorHAnsi" w:hAnsiTheme="minorHAnsi"/>
          <w:sz w:val="20"/>
          <w:szCs w:val="20"/>
          <w:lang w:val="en-US"/>
        </w:rPr>
        <w:t>)</w:t>
      </w:r>
      <w:r w:rsidR="00DC03A0" w:rsidRPr="007D47AD">
        <w:rPr>
          <w:rFonts w:asciiTheme="minorHAnsi" w:hAnsiTheme="minorHAnsi"/>
          <w:sz w:val="20"/>
          <w:szCs w:val="20"/>
          <w:lang w:val="en-US"/>
        </w:rPr>
        <w:t xml:space="preserve"> </w:t>
      </w:r>
      <w:r w:rsidR="00E136EF" w:rsidRPr="007D47AD">
        <w:rPr>
          <w:rFonts w:asciiTheme="minorHAnsi" w:hAnsiTheme="minorHAnsi"/>
          <w:sz w:val="20"/>
          <w:szCs w:val="20"/>
          <w:lang w:val="en-US"/>
        </w:rPr>
        <w:t>introducing a legal initiative to establish the extraordinary forensic mechanism; and,</w:t>
      </w:r>
      <w:r w:rsidR="00DC03A0" w:rsidRPr="007D47AD">
        <w:rPr>
          <w:rFonts w:asciiTheme="minorHAnsi" w:hAnsiTheme="minorHAnsi"/>
          <w:sz w:val="20"/>
          <w:szCs w:val="20"/>
          <w:lang w:val="en-US"/>
        </w:rPr>
        <w:t xml:space="preserve"> </w:t>
      </w:r>
      <w:r w:rsidR="00E136EF" w:rsidRPr="007D47AD">
        <w:rPr>
          <w:rFonts w:asciiTheme="minorHAnsi" w:hAnsiTheme="minorHAnsi"/>
          <w:sz w:val="20"/>
          <w:szCs w:val="20"/>
          <w:lang w:val="en-US"/>
        </w:rPr>
        <w:t>(</w:t>
      </w:r>
      <w:r w:rsidR="00DC03A0" w:rsidRPr="007D47AD">
        <w:rPr>
          <w:rFonts w:asciiTheme="minorHAnsi" w:hAnsiTheme="minorHAnsi"/>
          <w:sz w:val="20"/>
          <w:szCs w:val="20"/>
          <w:lang w:val="en-US"/>
        </w:rPr>
        <w:t>vii</w:t>
      </w:r>
      <w:r w:rsidR="00E136EF" w:rsidRPr="007D47AD">
        <w:rPr>
          <w:rFonts w:asciiTheme="minorHAnsi" w:hAnsiTheme="minorHAnsi"/>
          <w:sz w:val="20"/>
          <w:szCs w:val="20"/>
          <w:lang w:val="en-US"/>
        </w:rPr>
        <w:t>)</w:t>
      </w:r>
      <w:r w:rsidR="00DC03A0" w:rsidRPr="007D47AD">
        <w:rPr>
          <w:rFonts w:asciiTheme="minorHAnsi" w:hAnsiTheme="minorHAnsi"/>
          <w:sz w:val="20"/>
          <w:szCs w:val="20"/>
          <w:lang w:val="en-US"/>
        </w:rPr>
        <w:t xml:space="preserve"> </w:t>
      </w:r>
      <w:r w:rsidR="00E136EF" w:rsidRPr="007D47AD">
        <w:rPr>
          <w:rFonts w:asciiTheme="minorHAnsi" w:hAnsiTheme="minorHAnsi"/>
          <w:sz w:val="20"/>
          <w:szCs w:val="20"/>
          <w:lang w:val="en-US"/>
        </w:rPr>
        <w:t xml:space="preserve">strengthening the </w:t>
      </w:r>
      <w:r w:rsidR="00DC03A0" w:rsidRPr="007D47AD">
        <w:rPr>
          <w:rFonts w:asciiTheme="minorHAnsi" w:hAnsiTheme="minorHAnsi"/>
          <w:sz w:val="20"/>
          <w:szCs w:val="20"/>
          <w:lang w:val="en-US"/>
        </w:rPr>
        <w:t xml:space="preserve">CNB </w:t>
      </w:r>
      <w:r w:rsidR="00E136EF" w:rsidRPr="007D47AD">
        <w:rPr>
          <w:rFonts w:asciiTheme="minorHAnsi" w:hAnsiTheme="minorHAnsi"/>
          <w:sz w:val="20"/>
          <w:szCs w:val="20"/>
          <w:lang w:val="en-US"/>
        </w:rPr>
        <w:t>with persons commissioned from the Search Unit of the Ministry of Citizen Protection.</w:t>
      </w:r>
      <w:r w:rsidR="00DC03A0" w:rsidRPr="007D47AD">
        <w:rPr>
          <w:rStyle w:val="FootnoteReference"/>
          <w:rFonts w:asciiTheme="minorHAnsi" w:hAnsiTheme="minorHAnsi"/>
          <w:sz w:val="20"/>
          <w:szCs w:val="20"/>
          <w:lang w:val="en-US"/>
        </w:rPr>
        <w:footnoteReference w:id="60"/>
      </w:r>
      <w:r w:rsidR="00DC03A0" w:rsidRPr="007D47AD">
        <w:rPr>
          <w:rFonts w:asciiTheme="minorHAnsi" w:hAnsiTheme="minorHAnsi"/>
          <w:sz w:val="20"/>
          <w:szCs w:val="20"/>
          <w:lang w:val="en-US"/>
        </w:rPr>
        <w:t xml:space="preserve">  </w:t>
      </w:r>
    </w:p>
    <w:p w:rsidR="003B684F" w:rsidRPr="007D47AD" w:rsidRDefault="00E136EF" w:rsidP="00E472A2">
      <w:pPr>
        <w:numPr>
          <w:ilvl w:val="0"/>
          <w:numId w:val="6"/>
        </w:numPr>
        <w:shd w:val="clear" w:color="auto" w:fill="FFFFFF"/>
        <w:spacing w:after="240" w:line="240" w:lineRule="auto"/>
        <w:ind w:left="0" w:firstLine="720"/>
        <w:jc w:val="both"/>
        <w:rPr>
          <w:rFonts w:asciiTheme="minorHAnsi" w:eastAsia="Times New Roman" w:hAnsiTheme="minorHAnsi" w:cs="Arial"/>
          <w:sz w:val="20"/>
          <w:szCs w:val="20"/>
          <w:lang w:val="en-US"/>
        </w:rPr>
      </w:pPr>
      <w:r w:rsidRPr="007D47AD">
        <w:rPr>
          <w:rFonts w:asciiTheme="minorHAnsi" w:hAnsiTheme="minorHAnsi"/>
          <w:sz w:val="20"/>
          <w:szCs w:val="20"/>
          <w:lang w:val="en-US"/>
        </w:rPr>
        <w:t xml:space="preserve">The </w:t>
      </w:r>
      <w:r w:rsidR="009C095D" w:rsidRPr="007D47AD">
        <w:rPr>
          <w:rFonts w:asciiTheme="minorHAnsi" w:hAnsiTheme="minorHAnsi"/>
          <w:sz w:val="20"/>
          <w:szCs w:val="20"/>
          <w:lang w:val="en-US"/>
        </w:rPr>
        <w:t xml:space="preserve">CNDH </w:t>
      </w:r>
      <w:r w:rsidRPr="007D47AD">
        <w:rPr>
          <w:rFonts w:asciiTheme="minorHAnsi" w:hAnsiTheme="minorHAnsi"/>
          <w:sz w:val="20"/>
          <w:szCs w:val="20"/>
          <w:lang w:val="en-US"/>
        </w:rPr>
        <w:t>noted that while in the last two years the State has undertaken various legislative actions to address the crisis of disappearances and to provide servic</w:t>
      </w:r>
      <w:r w:rsidR="005E7376" w:rsidRPr="007D47AD">
        <w:rPr>
          <w:rFonts w:asciiTheme="minorHAnsi" w:hAnsiTheme="minorHAnsi"/>
          <w:sz w:val="20"/>
          <w:szCs w:val="20"/>
          <w:lang w:val="en-US"/>
        </w:rPr>
        <w:t>e</w:t>
      </w:r>
      <w:r w:rsidRPr="007D47AD">
        <w:rPr>
          <w:rFonts w:asciiTheme="minorHAnsi" w:hAnsiTheme="minorHAnsi"/>
          <w:sz w:val="20"/>
          <w:szCs w:val="20"/>
          <w:lang w:val="en-US"/>
        </w:rPr>
        <w:t xml:space="preserve">s to victims, at present </w:t>
      </w:r>
      <w:r w:rsidR="0076432A" w:rsidRPr="007D47AD">
        <w:rPr>
          <w:rFonts w:asciiTheme="minorHAnsi" w:hAnsiTheme="minorHAnsi"/>
          <w:sz w:val="20"/>
          <w:szCs w:val="20"/>
          <w:lang w:val="en-US"/>
        </w:rPr>
        <w:t>“</w:t>
      </w:r>
      <w:r w:rsidRPr="007D47AD">
        <w:rPr>
          <w:rFonts w:asciiTheme="minorHAnsi" w:hAnsiTheme="minorHAnsi"/>
          <w:sz w:val="20"/>
          <w:szCs w:val="20"/>
          <w:lang w:val="en-US"/>
        </w:rPr>
        <w:t>the laws are not being adequately applied or enforced.”</w:t>
      </w:r>
      <w:r w:rsidR="009C095D" w:rsidRPr="007D47AD">
        <w:rPr>
          <w:rStyle w:val="FootnoteReference"/>
          <w:rFonts w:asciiTheme="minorHAnsi" w:hAnsiTheme="minorHAnsi"/>
          <w:sz w:val="20"/>
          <w:szCs w:val="20"/>
          <w:lang w:val="en-US"/>
        </w:rPr>
        <w:footnoteReference w:id="61"/>
      </w:r>
      <w:r w:rsidR="009C095D" w:rsidRPr="007D47AD">
        <w:rPr>
          <w:rFonts w:asciiTheme="minorHAnsi" w:hAnsiTheme="minorHAnsi" w:cs="Arial"/>
          <w:sz w:val="20"/>
          <w:szCs w:val="20"/>
          <w:lang w:val="en-US"/>
        </w:rPr>
        <w:t xml:space="preserve"> </w:t>
      </w:r>
      <w:r w:rsidRPr="007D47AD">
        <w:rPr>
          <w:rFonts w:asciiTheme="minorHAnsi" w:hAnsiTheme="minorHAnsi" w:cs="Arial"/>
          <w:sz w:val="20"/>
          <w:szCs w:val="20"/>
          <w:lang w:val="en-US"/>
        </w:rPr>
        <w:t xml:space="preserve">According to the </w:t>
      </w:r>
      <w:r w:rsidR="00E63856" w:rsidRPr="007D47AD">
        <w:rPr>
          <w:rFonts w:asciiTheme="minorHAnsi" w:hAnsiTheme="minorHAnsi" w:cs="Arial"/>
          <w:sz w:val="20"/>
          <w:szCs w:val="20"/>
          <w:lang w:val="en-US"/>
        </w:rPr>
        <w:t>“</w:t>
      </w:r>
      <w:r w:rsidRPr="007D47AD">
        <w:rPr>
          <w:rFonts w:asciiTheme="minorHAnsi" w:hAnsiTheme="minorHAnsi" w:cs="Arial"/>
          <w:sz w:val="20"/>
          <w:szCs w:val="20"/>
          <w:lang w:val="en-US"/>
        </w:rPr>
        <w:t>Thematic Shadow Report on Forced Disappearance and Disappearance by Private Persons in Mexico,” drawn up by civil society organizations specialized in the area, on occasion of the sixth review of Mexico before the Human Rights Committee, the tools for stopping the forced disappearance of persons have not been sufficient to address the humanitarian crisis.</w:t>
      </w:r>
      <w:r w:rsidR="009D475A" w:rsidRPr="007D47AD">
        <w:rPr>
          <w:rStyle w:val="FootnoteReference"/>
          <w:rFonts w:asciiTheme="minorHAnsi" w:hAnsiTheme="minorHAnsi" w:cs="Arial"/>
          <w:sz w:val="20"/>
          <w:szCs w:val="20"/>
          <w:lang w:val="en-US"/>
        </w:rPr>
        <w:footnoteReference w:id="62"/>
      </w:r>
      <w:r w:rsidR="009D475A" w:rsidRPr="007D47AD">
        <w:rPr>
          <w:rFonts w:asciiTheme="minorHAnsi" w:hAnsiTheme="minorHAnsi" w:cs="Arial"/>
          <w:sz w:val="20"/>
          <w:szCs w:val="20"/>
          <w:lang w:val="en-US"/>
        </w:rPr>
        <w:t xml:space="preserve"> </w:t>
      </w:r>
    </w:p>
    <w:p w:rsidR="00DD402B" w:rsidRPr="007D47AD" w:rsidRDefault="00CA07DD" w:rsidP="00DD402B">
      <w:pPr>
        <w:numPr>
          <w:ilvl w:val="0"/>
          <w:numId w:val="6"/>
        </w:numPr>
        <w:shd w:val="clear" w:color="auto" w:fill="FFFFFF"/>
        <w:spacing w:after="240" w:line="240" w:lineRule="auto"/>
        <w:ind w:left="0" w:firstLine="720"/>
        <w:jc w:val="both"/>
        <w:rPr>
          <w:rFonts w:asciiTheme="minorHAnsi" w:eastAsia="Times New Roman" w:hAnsiTheme="minorHAnsi" w:cs="Arial"/>
          <w:sz w:val="20"/>
          <w:szCs w:val="20"/>
          <w:lang w:val="en-US"/>
        </w:rPr>
      </w:pPr>
      <w:r w:rsidRPr="007D47AD">
        <w:rPr>
          <w:rFonts w:asciiTheme="minorHAnsi" w:eastAsia="Times New Roman" w:hAnsiTheme="minorHAnsi" w:cs="Arial"/>
          <w:sz w:val="20"/>
          <w:szCs w:val="20"/>
          <w:lang w:val="en-US"/>
        </w:rPr>
        <w:t xml:space="preserve">The </w:t>
      </w:r>
      <w:r w:rsidR="00D2146F" w:rsidRPr="007D47AD">
        <w:rPr>
          <w:rFonts w:asciiTheme="minorHAnsi" w:eastAsia="Times New Roman" w:hAnsiTheme="minorHAnsi" w:cs="Arial"/>
          <w:sz w:val="20"/>
          <w:szCs w:val="20"/>
          <w:lang w:val="en-US"/>
        </w:rPr>
        <w:t xml:space="preserve">CNDH </w:t>
      </w:r>
      <w:r w:rsidRPr="007D47AD">
        <w:rPr>
          <w:rFonts w:asciiTheme="minorHAnsi" w:eastAsia="Times New Roman" w:hAnsiTheme="minorHAnsi" w:cs="Arial"/>
          <w:sz w:val="20"/>
          <w:szCs w:val="20"/>
          <w:lang w:val="en-US"/>
        </w:rPr>
        <w:t xml:space="preserve">also </w:t>
      </w:r>
      <w:r w:rsidR="00512A9B" w:rsidRPr="007D47AD">
        <w:rPr>
          <w:rFonts w:asciiTheme="minorHAnsi" w:eastAsia="Times New Roman" w:hAnsiTheme="minorHAnsi" w:cs="Arial"/>
          <w:sz w:val="20"/>
          <w:szCs w:val="20"/>
          <w:lang w:val="en-US"/>
        </w:rPr>
        <w:t>identifi</w:t>
      </w:r>
      <w:r w:rsidRPr="007D47AD">
        <w:rPr>
          <w:rFonts w:asciiTheme="minorHAnsi" w:eastAsia="Times New Roman" w:hAnsiTheme="minorHAnsi" w:cs="Arial"/>
          <w:sz w:val="20"/>
          <w:szCs w:val="20"/>
          <w:lang w:val="en-US"/>
        </w:rPr>
        <w:t>ed as gains in the area of forced disappearance the partial reestablishment of the National System for Searching for Persons,</w:t>
      </w:r>
      <w:r w:rsidR="00A70025" w:rsidRPr="007D47AD">
        <w:rPr>
          <w:rFonts w:asciiTheme="minorHAnsi" w:eastAsia="Times New Roman" w:hAnsiTheme="minorHAnsi" w:cs="Arial"/>
          <w:sz w:val="20"/>
          <w:szCs w:val="20"/>
          <w:lang w:val="en-US"/>
        </w:rPr>
        <w:t xml:space="preserve"> the</w:t>
      </w:r>
      <w:r w:rsidRPr="007D47AD">
        <w:rPr>
          <w:rFonts w:asciiTheme="minorHAnsi" w:eastAsia="Times New Roman" w:hAnsiTheme="minorHAnsi" w:cs="Arial"/>
          <w:sz w:val="20"/>
          <w:szCs w:val="20"/>
          <w:lang w:val="en-US"/>
        </w:rPr>
        <w:t xml:space="preserve"> Issuance of the Approved Protocol</w:t>
      </w:r>
      <w:r w:rsidR="00512A9B" w:rsidRPr="007D47AD">
        <w:rPr>
          <w:rFonts w:asciiTheme="minorHAnsi" w:eastAsia="Times New Roman" w:hAnsiTheme="minorHAnsi" w:cs="Arial"/>
          <w:sz w:val="20"/>
          <w:szCs w:val="20"/>
          <w:lang w:val="en-US"/>
        </w:rPr>
        <w:t xml:space="preserve"> </w:t>
      </w:r>
      <w:r w:rsidRPr="007D47AD">
        <w:rPr>
          <w:rFonts w:asciiTheme="minorHAnsi" w:eastAsia="Times New Roman" w:hAnsiTheme="minorHAnsi" w:cs="Arial"/>
          <w:sz w:val="20"/>
          <w:szCs w:val="20"/>
          <w:lang w:val="en-US"/>
        </w:rPr>
        <w:t xml:space="preserve">for </w:t>
      </w:r>
      <w:r w:rsidRPr="007D47AD">
        <w:rPr>
          <w:rFonts w:asciiTheme="minorHAnsi" w:eastAsia="Times New Roman" w:hAnsiTheme="minorHAnsi" w:cs="Arial"/>
          <w:sz w:val="20"/>
          <w:szCs w:val="20"/>
          <w:lang w:val="en-US"/>
        </w:rPr>
        <w:lastRenderedPageBreak/>
        <w:t xml:space="preserve">Investigating the crimes of forced disappearance and disappearance committed by private persons; installation of the </w:t>
      </w:r>
      <w:r w:rsidR="00DD402B" w:rsidRPr="007D47AD">
        <w:rPr>
          <w:rFonts w:asciiTheme="minorHAnsi" w:eastAsia="Times New Roman" w:hAnsiTheme="minorHAnsi" w:cs="Arial"/>
          <w:sz w:val="20"/>
          <w:szCs w:val="20"/>
          <w:lang w:val="en-US"/>
        </w:rPr>
        <w:t>CNB</w:t>
      </w:r>
      <w:r w:rsidR="00D2146F" w:rsidRPr="007D47AD">
        <w:rPr>
          <w:rFonts w:asciiTheme="minorHAnsi" w:eastAsia="Times New Roman" w:hAnsiTheme="minorHAnsi" w:cs="Arial"/>
          <w:sz w:val="20"/>
          <w:szCs w:val="20"/>
          <w:lang w:val="en-US"/>
        </w:rPr>
        <w:t xml:space="preserve"> </w:t>
      </w:r>
      <w:r w:rsidRPr="007D47AD">
        <w:rPr>
          <w:rFonts w:asciiTheme="minorHAnsi" w:eastAsia="Times New Roman" w:hAnsiTheme="minorHAnsi" w:cs="Arial"/>
          <w:sz w:val="20"/>
          <w:szCs w:val="20"/>
          <w:lang w:val="en-US"/>
        </w:rPr>
        <w:t xml:space="preserve">and </w:t>
      </w:r>
      <w:r w:rsidR="00D2146F" w:rsidRPr="007D47AD">
        <w:rPr>
          <w:rFonts w:asciiTheme="minorHAnsi" w:eastAsia="Times New Roman" w:hAnsiTheme="minorHAnsi" w:cs="Arial"/>
          <w:sz w:val="20"/>
          <w:szCs w:val="20"/>
          <w:lang w:val="en-US"/>
        </w:rPr>
        <w:t xml:space="preserve">23 </w:t>
      </w:r>
      <w:r w:rsidRPr="007D47AD">
        <w:rPr>
          <w:rFonts w:asciiTheme="minorHAnsi" w:eastAsia="Times New Roman" w:hAnsiTheme="minorHAnsi" w:cs="Arial"/>
          <w:sz w:val="20"/>
          <w:szCs w:val="20"/>
          <w:lang w:val="en-US"/>
        </w:rPr>
        <w:t>Local Search Commi</w:t>
      </w:r>
      <w:r w:rsidR="005E7376" w:rsidRPr="007D47AD">
        <w:rPr>
          <w:rFonts w:asciiTheme="minorHAnsi" w:eastAsia="Times New Roman" w:hAnsiTheme="minorHAnsi" w:cs="Arial"/>
          <w:sz w:val="20"/>
          <w:szCs w:val="20"/>
          <w:lang w:val="en-US"/>
        </w:rPr>
        <w:t>ttees</w:t>
      </w:r>
      <w:r w:rsidR="00D2146F" w:rsidRPr="007D47AD">
        <w:rPr>
          <w:rStyle w:val="FootnoteReference"/>
          <w:rFonts w:asciiTheme="minorHAnsi" w:eastAsia="Times New Roman" w:hAnsiTheme="minorHAnsi" w:cs="Arial"/>
          <w:sz w:val="20"/>
          <w:szCs w:val="20"/>
          <w:lang w:val="en-US"/>
        </w:rPr>
        <w:footnoteReference w:id="63"/>
      </w:r>
      <w:r w:rsidRPr="007D47AD">
        <w:rPr>
          <w:rFonts w:asciiTheme="minorHAnsi" w:eastAsia="Times New Roman" w:hAnsiTheme="minorHAnsi" w:cs="Arial"/>
          <w:sz w:val="20"/>
          <w:szCs w:val="20"/>
          <w:lang w:val="en-US"/>
        </w:rPr>
        <w:t>, and the creation of the Office of the Special Prosecutor for Investi</w:t>
      </w:r>
      <w:r w:rsidR="00A70025" w:rsidRPr="007D47AD">
        <w:rPr>
          <w:rFonts w:asciiTheme="minorHAnsi" w:eastAsia="Times New Roman" w:hAnsiTheme="minorHAnsi" w:cs="Arial"/>
          <w:sz w:val="20"/>
          <w:szCs w:val="20"/>
          <w:lang w:val="en-US"/>
        </w:rPr>
        <w:t>g</w:t>
      </w:r>
      <w:r w:rsidRPr="007D47AD">
        <w:rPr>
          <w:rFonts w:asciiTheme="minorHAnsi" w:eastAsia="Times New Roman" w:hAnsiTheme="minorHAnsi" w:cs="Arial"/>
          <w:sz w:val="20"/>
          <w:szCs w:val="20"/>
          <w:lang w:val="en-US"/>
        </w:rPr>
        <w:t xml:space="preserve">ating Crimes of Forced Disappearance in the </w:t>
      </w:r>
      <w:r w:rsidR="002C28B4" w:rsidRPr="007D47AD">
        <w:rPr>
          <w:rFonts w:asciiTheme="minorHAnsi" w:eastAsia="Times New Roman" w:hAnsiTheme="minorHAnsi" w:cs="Arial"/>
          <w:sz w:val="20"/>
          <w:szCs w:val="20"/>
          <w:lang w:val="en-US"/>
        </w:rPr>
        <w:t>FGR</w:t>
      </w:r>
      <w:r w:rsidRPr="007D47AD">
        <w:rPr>
          <w:rFonts w:asciiTheme="minorHAnsi" w:eastAsia="Times New Roman" w:hAnsiTheme="minorHAnsi" w:cs="Arial"/>
          <w:sz w:val="20"/>
          <w:szCs w:val="20"/>
          <w:lang w:val="en-US"/>
        </w:rPr>
        <w:t>,</w:t>
      </w:r>
      <w:r w:rsidR="00D2146F" w:rsidRPr="007D47AD">
        <w:rPr>
          <w:rFonts w:asciiTheme="minorHAnsi" w:eastAsia="Times New Roman" w:hAnsiTheme="minorHAnsi" w:cs="Arial"/>
          <w:sz w:val="20"/>
          <w:szCs w:val="20"/>
          <w:lang w:val="en-US"/>
        </w:rPr>
        <w:t xml:space="preserve"> </w:t>
      </w:r>
      <w:r w:rsidRPr="007D47AD">
        <w:rPr>
          <w:rFonts w:asciiTheme="minorHAnsi" w:eastAsia="Times New Roman" w:hAnsiTheme="minorHAnsi" w:cs="Arial"/>
          <w:sz w:val="20"/>
          <w:szCs w:val="20"/>
          <w:lang w:val="en-US"/>
        </w:rPr>
        <w:t xml:space="preserve">and </w:t>
      </w:r>
      <w:r w:rsidR="00D2146F" w:rsidRPr="007D47AD">
        <w:rPr>
          <w:rFonts w:asciiTheme="minorHAnsi" w:eastAsia="Times New Roman" w:hAnsiTheme="minorHAnsi" w:cs="Arial"/>
          <w:sz w:val="20"/>
          <w:szCs w:val="20"/>
          <w:lang w:val="en-US"/>
        </w:rPr>
        <w:t xml:space="preserve">26 </w:t>
      </w:r>
      <w:r w:rsidRPr="007D47AD">
        <w:rPr>
          <w:rFonts w:asciiTheme="minorHAnsi" w:eastAsia="Times New Roman" w:hAnsiTheme="minorHAnsi" w:cs="Arial"/>
          <w:sz w:val="20"/>
          <w:szCs w:val="20"/>
          <w:lang w:val="en-US"/>
        </w:rPr>
        <w:t>Offices of the Special Prosecutor in the states and Mexico City.</w:t>
      </w:r>
      <w:r w:rsidR="004F1F1A" w:rsidRPr="007D47AD">
        <w:rPr>
          <w:rStyle w:val="FootnoteReference"/>
          <w:rFonts w:asciiTheme="minorHAnsi" w:eastAsia="Times New Roman" w:hAnsiTheme="minorHAnsi" w:cs="Arial"/>
          <w:sz w:val="20"/>
          <w:szCs w:val="20"/>
          <w:lang w:val="en-US"/>
        </w:rPr>
        <w:footnoteReference w:id="64"/>
      </w:r>
    </w:p>
    <w:p w:rsidR="00BC0DD5" w:rsidRPr="007D47AD" w:rsidRDefault="00CA07DD" w:rsidP="00B36EA3">
      <w:pPr>
        <w:numPr>
          <w:ilvl w:val="0"/>
          <w:numId w:val="6"/>
        </w:numPr>
        <w:shd w:val="clear" w:color="auto" w:fill="FFFFFF"/>
        <w:spacing w:after="240" w:line="240" w:lineRule="auto"/>
        <w:ind w:left="0" w:firstLine="720"/>
        <w:jc w:val="both"/>
        <w:rPr>
          <w:rFonts w:asciiTheme="minorHAnsi" w:eastAsia="Times New Roman" w:hAnsiTheme="minorHAnsi" w:cs="Arial"/>
          <w:sz w:val="20"/>
          <w:szCs w:val="20"/>
          <w:lang w:val="en-US"/>
        </w:rPr>
      </w:pPr>
      <w:r w:rsidRPr="007D47AD">
        <w:rPr>
          <w:rFonts w:asciiTheme="minorHAnsi" w:eastAsia="Times New Roman" w:hAnsiTheme="minorHAnsi" w:cs="Arial"/>
          <w:sz w:val="20"/>
          <w:szCs w:val="20"/>
          <w:lang w:val="en-US"/>
        </w:rPr>
        <w:t xml:space="preserve">After the adoption of the General Law and the formation of the </w:t>
      </w:r>
      <w:r w:rsidR="00A079BB" w:rsidRPr="007D47AD">
        <w:rPr>
          <w:rFonts w:asciiTheme="minorHAnsi" w:eastAsia="Times New Roman" w:hAnsiTheme="minorHAnsi" w:cs="Arial"/>
          <w:sz w:val="20"/>
          <w:szCs w:val="20"/>
          <w:lang w:val="en-US"/>
        </w:rPr>
        <w:t>CNB</w:t>
      </w:r>
      <w:r w:rsidR="008000C4" w:rsidRPr="007D47AD">
        <w:rPr>
          <w:rFonts w:asciiTheme="minorHAnsi" w:eastAsia="Times New Roman" w:hAnsiTheme="minorHAnsi" w:cs="Arial"/>
          <w:sz w:val="20"/>
          <w:szCs w:val="20"/>
          <w:lang w:val="en-US"/>
        </w:rPr>
        <w:t xml:space="preserve">, </w:t>
      </w:r>
      <w:r w:rsidRPr="007D47AD">
        <w:rPr>
          <w:rFonts w:asciiTheme="minorHAnsi" w:eastAsia="Times New Roman" w:hAnsiTheme="minorHAnsi" w:cs="Arial"/>
          <w:sz w:val="20"/>
          <w:szCs w:val="20"/>
          <w:lang w:val="en-US"/>
        </w:rPr>
        <w:t xml:space="preserve">the IACHR recognizes the complexity of implementing the legal mandate with respect to the creation of the National Search System (hereinafter </w:t>
      </w:r>
      <w:r w:rsidR="001A35BF" w:rsidRPr="007D47AD">
        <w:rPr>
          <w:rFonts w:asciiTheme="minorHAnsi" w:eastAsia="Times New Roman" w:hAnsiTheme="minorHAnsi" w:cs="Arial"/>
          <w:sz w:val="20"/>
          <w:szCs w:val="20"/>
          <w:lang w:val="en-US"/>
        </w:rPr>
        <w:t xml:space="preserve">“SNB”: </w:t>
      </w:r>
      <w:r w:rsidR="00F266AE" w:rsidRPr="007D47AD">
        <w:rPr>
          <w:rFonts w:asciiTheme="minorHAnsi" w:eastAsia="Times New Roman" w:hAnsiTheme="minorHAnsi" w:cs="Arial"/>
          <w:sz w:val="20"/>
          <w:szCs w:val="20"/>
          <w:lang w:val="en-US"/>
        </w:rPr>
        <w:t>Sistema Nacional de Búsqueda</w:t>
      </w:r>
      <w:r w:rsidR="009B2E28" w:rsidRPr="007D47AD">
        <w:rPr>
          <w:rFonts w:asciiTheme="minorHAnsi" w:eastAsia="Times New Roman" w:hAnsiTheme="minorHAnsi" w:cs="Arial"/>
          <w:sz w:val="20"/>
          <w:szCs w:val="20"/>
          <w:lang w:val="en-US"/>
        </w:rPr>
        <w:t>)</w:t>
      </w:r>
      <w:r w:rsidR="00FD36FA" w:rsidRPr="007D47AD">
        <w:rPr>
          <w:rFonts w:asciiTheme="minorHAnsi" w:eastAsia="Times New Roman" w:hAnsiTheme="minorHAnsi" w:cs="Arial"/>
          <w:sz w:val="20"/>
          <w:szCs w:val="20"/>
          <w:lang w:val="en-US"/>
        </w:rPr>
        <w:t xml:space="preserve">. </w:t>
      </w:r>
      <w:r w:rsidR="00B36EA3" w:rsidRPr="007D47AD">
        <w:rPr>
          <w:rFonts w:asciiTheme="minorHAnsi" w:eastAsia="Times New Roman" w:hAnsiTheme="minorHAnsi" w:cs="Arial"/>
          <w:sz w:val="20"/>
          <w:szCs w:val="20"/>
          <w:lang w:val="en-US"/>
        </w:rPr>
        <w:t>That mandate incorporates and creates a series of organs, tools, and mechanisms of coordination at the state and federal level</w:t>
      </w:r>
      <w:r w:rsidR="003C191E" w:rsidRPr="007D47AD">
        <w:rPr>
          <w:rFonts w:asciiTheme="minorHAnsi" w:eastAsia="Times New Roman" w:hAnsiTheme="minorHAnsi" w:cs="Arial"/>
          <w:sz w:val="20"/>
          <w:szCs w:val="20"/>
          <w:lang w:val="en-US"/>
        </w:rPr>
        <w:t>s</w:t>
      </w:r>
      <w:r w:rsidR="00B36EA3" w:rsidRPr="007D47AD">
        <w:rPr>
          <w:rFonts w:asciiTheme="minorHAnsi" w:eastAsia="Times New Roman" w:hAnsiTheme="minorHAnsi" w:cs="Arial"/>
          <w:sz w:val="20"/>
          <w:szCs w:val="20"/>
          <w:lang w:val="en-US"/>
        </w:rPr>
        <w:t xml:space="preserve">. In general, the IACHR attributes positive value to the reestablishment of the SNB on March 23, </w:t>
      </w:r>
      <w:r w:rsidR="00084393" w:rsidRPr="007D47AD">
        <w:rPr>
          <w:rFonts w:asciiTheme="minorHAnsi" w:eastAsia="Times New Roman" w:hAnsiTheme="minorHAnsi" w:cs="Arial"/>
          <w:sz w:val="20"/>
          <w:szCs w:val="20"/>
          <w:lang w:val="en-US"/>
        </w:rPr>
        <w:t xml:space="preserve">2019, </w:t>
      </w:r>
      <w:r w:rsidR="00B36EA3" w:rsidRPr="007D47AD">
        <w:rPr>
          <w:rFonts w:asciiTheme="minorHAnsi" w:eastAsia="Times New Roman" w:hAnsiTheme="minorHAnsi" w:cs="Arial"/>
          <w:sz w:val="20"/>
          <w:szCs w:val="20"/>
          <w:lang w:val="en-US"/>
        </w:rPr>
        <w:t>though that act did not include the participation of the Attorney General. In addition, the IACHR took note that the State reduced the budget for searching for persons</w:t>
      </w:r>
      <w:r w:rsidR="009B2E28" w:rsidRPr="007D47AD">
        <w:rPr>
          <w:rStyle w:val="FootnoteReference"/>
          <w:rFonts w:asciiTheme="minorHAnsi" w:eastAsia="Times New Roman" w:hAnsiTheme="minorHAnsi" w:cs="Arial"/>
          <w:sz w:val="20"/>
          <w:szCs w:val="20"/>
          <w:lang w:val="en-US"/>
        </w:rPr>
        <w:footnoteReference w:id="65"/>
      </w:r>
      <w:r w:rsidR="00B36EA3" w:rsidRPr="007D47AD">
        <w:rPr>
          <w:rFonts w:asciiTheme="minorHAnsi" w:eastAsia="Times New Roman" w:hAnsiTheme="minorHAnsi" w:cs="Arial"/>
          <w:sz w:val="20"/>
          <w:szCs w:val="20"/>
          <w:lang w:val="en-US"/>
        </w:rPr>
        <w:t>;</w:t>
      </w:r>
      <w:r w:rsidR="009B2E28" w:rsidRPr="007D47AD">
        <w:rPr>
          <w:rFonts w:asciiTheme="minorHAnsi" w:eastAsia="Times New Roman" w:hAnsiTheme="minorHAnsi" w:cs="Arial"/>
          <w:sz w:val="20"/>
          <w:szCs w:val="20"/>
          <w:lang w:val="en-US"/>
        </w:rPr>
        <w:t xml:space="preserve"> </w:t>
      </w:r>
      <w:r w:rsidR="00B36EA3" w:rsidRPr="007D47AD">
        <w:rPr>
          <w:rFonts w:asciiTheme="minorHAnsi" w:eastAsia="Times New Roman" w:hAnsiTheme="minorHAnsi" w:cs="Arial"/>
          <w:sz w:val="20"/>
          <w:szCs w:val="20"/>
          <w:lang w:val="en-US"/>
        </w:rPr>
        <w:t xml:space="preserve">approximately </w:t>
      </w:r>
      <w:r w:rsidR="009B2E28" w:rsidRPr="007D47AD">
        <w:rPr>
          <w:rFonts w:asciiTheme="minorHAnsi" w:eastAsia="Times New Roman" w:hAnsiTheme="minorHAnsi" w:cs="Arial"/>
          <w:sz w:val="20"/>
          <w:szCs w:val="20"/>
          <w:lang w:val="en-US"/>
        </w:rPr>
        <w:t xml:space="preserve">50% </w:t>
      </w:r>
      <w:r w:rsidR="00B36EA3" w:rsidRPr="007D47AD">
        <w:rPr>
          <w:rFonts w:asciiTheme="minorHAnsi" w:eastAsia="Times New Roman" w:hAnsiTheme="minorHAnsi" w:cs="Arial"/>
          <w:sz w:val="20"/>
          <w:szCs w:val="20"/>
          <w:lang w:val="en-US"/>
        </w:rPr>
        <w:t xml:space="preserve">was allocated to the </w:t>
      </w:r>
      <w:r w:rsidR="009B2E28" w:rsidRPr="007D47AD">
        <w:rPr>
          <w:rFonts w:asciiTheme="minorHAnsi" w:eastAsia="Times New Roman" w:hAnsiTheme="minorHAnsi" w:cs="Arial"/>
          <w:sz w:val="20"/>
          <w:szCs w:val="20"/>
          <w:lang w:val="en-US"/>
        </w:rPr>
        <w:t xml:space="preserve">CNB, </w:t>
      </w:r>
      <w:r w:rsidR="00B36EA3" w:rsidRPr="007D47AD">
        <w:rPr>
          <w:rFonts w:asciiTheme="minorHAnsi" w:eastAsia="Times New Roman" w:hAnsiTheme="minorHAnsi" w:cs="Arial"/>
          <w:sz w:val="20"/>
          <w:szCs w:val="20"/>
          <w:lang w:val="en-US"/>
        </w:rPr>
        <w:t xml:space="preserve">while the rest was earmarked for the other processes of the </w:t>
      </w:r>
      <w:r w:rsidR="009B2E28" w:rsidRPr="007D47AD">
        <w:rPr>
          <w:rFonts w:asciiTheme="minorHAnsi" w:eastAsia="Times New Roman" w:hAnsiTheme="minorHAnsi" w:cs="Arial"/>
          <w:sz w:val="20"/>
          <w:szCs w:val="20"/>
          <w:lang w:val="en-US"/>
        </w:rPr>
        <w:t>SNB</w:t>
      </w:r>
      <w:r w:rsidR="00B36EA3" w:rsidRPr="007D47AD">
        <w:rPr>
          <w:rFonts w:asciiTheme="minorHAnsi" w:eastAsia="Times New Roman" w:hAnsiTheme="minorHAnsi" w:cs="Arial"/>
          <w:sz w:val="20"/>
          <w:szCs w:val="20"/>
          <w:lang w:val="en-US"/>
        </w:rPr>
        <w:t>.</w:t>
      </w:r>
      <w:r w:rsidR="00084393" w:rsidRPr="007D47AD">
        <w:rPr>
          <w:rStyle w:val="FootnoteReference"/>
          <w:rFonts w:asciiTheme="minorHAnsi" w:eastAsia="Times New Roman" w:hAnsiTheme="minorHAnsi" w:cs="Arial"/>
          <w:sz w:val="20"/>
          <w:szCs w:val="20"/>
          <w:lang w:val="en-US"/>
        </w:rPr>
        <w:footnoteReference w:id="66"/>
      </w:r>
      <w:r w:rsidR="001A136A" w:rsidRPr="007D47AD">
        <w:rPr>
          <w:rFonts w:asciiTheme="minorHAnsi" w:eastAsia="Times New Roman" w:hAnsiTheme="minorHAnsi" w:cs="Arial"/>
          <w:sz w:val="20"/>
          <w:szCs w:val="20"/>
          <w:lang w:val="en-US"/>
        </w:rPr>
        <w:t xml:space="preserve"> </w:t>
      </w:r>
    </w:p>
    <w:p w:rsidR="004F1F1A" w:rsidRPr="007D47AD" w:rsidRDefault="00B36EA3" w:rsidP="00FD36FA">
      <w:pPr>
        <w:numPr>
          <w:ilvl w:val="0"/>
          <w:numId w:val="6"/>
        </w:numPr>
        <w:shd w:val="clear" w:color="auto" w:fill="FFFFFF"/>
        <w:spacing w:after="240" w:line="240" w:lineRule="auto"/>
        <w:ind w:left="0" w:firstLine="720"/>
        <w:jc w:val="both"/>
        <w:rPr>
          <w:rFonts w:asciiTheme="minorHAnsi" w:eastAsia="Times New Roman" w:hAnsiTheme="minorHAnsi" w:cs="Arial"/>
          <w:sz w:val="20"/>
          <w:szCs w:val="20"/>
          <w:lang w:val="en-US"/>
        </w:rPr>
      </w:pPr>
      <w:r w:rsidRPr="007D47AD">
        <w:rPr>
          <w:rFonts w:asciiTheme="minorHAnsi" w:eastAsia="Times New Roman" w:hAnsiTheme="minorHAnsi" w:cs="Arial"/>
          <w:sz w:val="20"/>
          <w:szCs w:val="20"/>
          <w:lang w:val="en-US"/>
        </w:rPr>
        <w:t xml:space="preserve">Based on the information submitted for this report, the IACHR considers that a key aspect of the General Law, </w:t>
      </w:r>
      <w:r w:rsidR="00A70025" w:rsidRPr="007D47AD">
        <w:rPr>
          <w:rFonts w:asciiTheme="minorHAnsi" w:eastAsia="Times New Roman" w:hAnsiTheme="minorHAnsi" w:cs="Arial"/>
          <w:sz w:val="20"/>
          <w:szCs w:val="20"/>
          <w:lang w:val="en-US"/>
        </w:rPr>
        <w:t xml:space="preserve">in light of </w:t>
      </w:r>
      <w:r w:rsidRPr="007D47AD">
        <w:rPr>
          <w:rFonts w:asciiTheme="minorHAnsi" w:eastAsia="Times New Roman" w:hAnsiTheme="minorHAnsi" w:cs="Arial"/>
          <w:sz w:val="20"/>
          <w:szCs w:val="20"/>
          <w:lang w:val="en-US"/>
        </w:rPr>
        <w:t>the Commission’s recommendations, is the adoption of measures for start</w:t>
      </w:r>
      <w:r w:rsidR="00A70025" w:rsidRPr="007D47AD">
        <w:rPr>
          <w:rFonts w:asciiTheme="minorHAnsi" w:eastAsia="Times New Roman" w:hAnsiTheme="minorHAnsi" w:cs="Arial"/>
          <w:sz w:val="20"/>
          <w:szCs w:val="20"/>
          <w:lang w:val="en-US"/>
        </w:rPr>
        <w:t xml:space="preserve">ing </w:t>
      </w:r>
      <w:r w:rsidRPr="007D47AD">
        <w:rPr>
          <w:rFonts w:asciiTheme="minorHAnsi" w:eastAsia="Times New Roman" w:hAnsiTheme="minorHAnsi" w:cs="Arial"/>
          <w:sz w:val="20"/>
          <w:szCs w:val="20"/>
          <w:lang w:val="en-US"/>
        </w:rPr>
        <w:t xml:space="preserve">up the </w:t>
      </w:r>
      <w:r w:rsidR="004F1F1A" w:rsidRPr="007D47AD">
        <w:rPr>
          <w:rFonts w:asciiTheme="minorHAnsi" w:eastAsia="Times New Roman" w:hAnsiTheme="minorHAnsi" w:cs="Arial"/>
          <w:sz w:val="20"/>
          <w:szCs w:val="20"/>
          <w:lang w:val="en-US"/>
        </w:rPr>
        <w:t xml:space="preserve">SNB </w:t>
      </w:r>
      <w:r w:rsidRPr="007D47AD">
        <w:rPr>
          <w:rFonts w:asciiTheme="minorHAnsi" w:eastAsia="Times New Roman" w:hAnsiTheme="minorHAnsi" w:cs="Arial"/>
          <w:sz w:val="20"/>
          <w:szCs w:val="20"/>
          <w:lang w:val="en-US"/>
        </w:rPr>
        <w:t xml:space="preserve">and the tools for managing information on disappeared persons. In these terms, in this report the Commission will review the status of the implementation of the organs that have functions, according to the General Law, in the </w:t>
      </w:r>
      <w:r w:rsidR="00512A9B" w:rsidRPr="007D47AD">
        <w:rPr>
          <w:rFonts w:asciiTheme="minorHAnsi" w:eastAsia="Times New Roman" w:hAnsiTheme="minorHAnsi" w:cs="Arial"/>
          <w:sz w:val="20"/>
          <w:szCs w:val="20"/>
          <w:lang w:val="en-US"/>
        </w:rPr>
        <w:t xml:space="preserve">SNB: </w:t>
      </w:r>
    </w:p>
    <w:p w:rsidR="007E0216" w:rsidRPr="007D47AD" w:rsidRDefault="00B36EA3" w:rsidP="00B36EA3">
      <w:pPr>
        <w:numPr>
          <w:ilvl w:val="1"/>
          <w:numId w:val="6"/>
        </w:numPr>
        <w:shd w:val="clear" w:color="auto" w:fill="FFFFFF"/>
        <w:spacing w:after="240" w:line="240" w:lineRule="auto"/>
        <w:ind w:left="1440" w:hanging="720"/>
        <w:jc w:val="both"/>
        <w:rPr>
          <w:rFonts w:asciiTheme="minorHAnsi" w:eastAsia="Times New Roman" w:hAnsiTheme="minorHAnsi" w:cs="Arial"/>
          <w:sz w:val="20"/>
          <w:szCs w:val="20"/>
          <w:lang w:val="en-US"/>
        </w:rPr>
      </w:pPr>
      <w:r w:rsidRPr="007D47AD">
        <w:rPr>
          <w:rFonts w:asciiTheme="minorHAnsi" w:eastAsia="Times New Roman" w:hAnsiTheme="minorHAnsi" w:cs="Arial"/>
          <w:sz w:val="20"/>
          <w:szCs w:val="20"/>
          <w:lang w:val="en-US"/>
        </w:rPr>
        <w:t xml:space="preserve">Local Search Committees (hereinafter “CLB”): </w:t>
      </w:r>
      <w:r w:rsidR="00025D1E" w:rsidRPr="007D47AD">
        <w:rPr>
          <w:rFonts w:asciiTheme="minorHAnsi" w:hAnsiTheme="minorHAnsi"/>
          <w:sz w:val="20"/>
          <w:szCs w:val="20"/>
          <w:lang w:val="en-US"/>
        </w:rPr>
        <w:t>i</w:t>
      </w:r>
      <w:r w:rsidR="005920F2" w:rsidRPr="007D47AD">
        <w:rPr>
          <w:rFonts w:asciiTheme="minorHAnsi" w:hAnsiTheme="minorHAnsi"/>
          <w:sz w:val="20"/>
          <w:szCs w:val="20"/>
          <w:lang w:val="en-US"/>
        </w:rPr>
        <w:t xml:space="preserve">n </w:t>
      </w:r>
      <w:r w:rsidR="00025D1E" w:rsidRPr="007D47AD">
        <w:rPr>
          <w:rFonts w:asciiTheme="minorHAnsi" w:hAnsiTheme="minorHAnsi"/>
          <w:sz w:val="20"/>
          <w:szCs w:val="20"/>
          <w:lang w:val="en-US"/>
        </w:rPr>
        <w:t xml:space="preserve">its observations on the draft of this report the State indicated that as of December </w:t>
      </w:r>
      <w:r w:rsidR="005920F2" w:rsidRPr="007D47AD">
        <w:rPr>
          <w:rFonts w:asciiTheme="minorHAnsi" w:eastAsia="Times New Roman" w:hAnsiTheme="minorHAnsi" w:cs="Arial"/>
          <w:sz w:val="20"/>
          <w:szCs w:val="20"/>
          <w:lang w:val="en-US"/>
        </w:rPr>
        <w:t>2019, 28 CLB</w:t>
      </w:r>
      <w:r w:rsidR="00025D1E" w:rsidRPr="007D47AD">
        <w:rPr>
          <w:rFonts w:asciiTheme="minorHAnsi" w:eastAsia="Times New Roman" w:hAnsiTheme="minorHAnsi" w:cs="Arial"/>
          <w:sz w:val="20"/>
          <w:szCs w:val="20"/>
          <w:lang w:val="en-US"/>
        </w:rPr>
        <w:t xml:space="preserve">s have been established; still pending is the establishment of the </w:t>
      </w:r>
      <w:r w:rsidR="005920F2" w:rsidRPr="007D47AD">
        <w:rPr>
          <w:rFonts w:asciiTheme="minorHAnsi" w:eastAsia="Times New Roman" w:hAnsiTheme="minorHAnsi" w:cs="Arial"/>
          <w:sz w:val="20"/>
          <w:szCs w:val="20"/>
          <w:lang w:val="en-US"/>
        </w:rPr>
        <w:t>CLB</w:t>
      </w:r>
      <w:r w:rsidR="00025D1E" w:rsidRPr="007D47AD">
        <w:rPr>
          <w:rFonts w:asciiTheme="minorHAnsi" w:eastAsia="Times New Roman" w:hAnsiTheme="minorHAnsi" w:cs="Arial"/>
          <w:sz w:val="20"/>
          <w:szCs w:val="20"/>
          <w:lang w:val="en-US"/>
        </w:rPr>
        <w:t>s</w:t>
      </w:r>
      <w:r w:rsidR="005920F2" w:rsidRPr="007D47AD">
        <w:rPr>
          <w:rFonts w:asciiTheme="minorHAnsi" w:eastAsia="Times New Roman" w:hAnsiTheme="minorHAnsi" w:cs="Arial"/>
          <w:sz w:val="20"/>
          <w:szCs w:val="20"/>
          <w:lang w:val="en-US"/>
        </w:rPr>
        <w:t xml:space="preserve"> </w:t>
      </w:r>
      <w:r w:rsidR="00025D1E" w:rsidRPr="007D47AD">
        <w:rPr>
          <w:rFonts w:asciiTheme="minorHAnsi" w:eastAsia="Times New Roman" w:hAnsiTheme="minorHAnsi" w:cs="Arial"/>
          <w:sz w:val="20"/>
          <w:szCs w:val="20"/>
          <w:lang w:val="en-US"/>
        </w:rPr>
        <w:t xml:space="preserve">in </w:t>
      </w:r>
      <w:r w:rsidR="005920F2" w:rsidRPr="007D47AD">
        <w:rPr>
          <w:rFonts w:asciiTheme="minorHAnsi" w:eastAsia="Times New Roman" w:hAnsiTheme="minorHAnsi" w:cs="Arial"/>
          <w:sz w:val="20"/>
          <w:szCs w:val="20"/>
          <w:lang w:val="en-US"/>
        </w:rPr>
        <w:t>Aguascalientes, Guanajuato</w:t>
      </w:r>
      <w:r w:rsidR="00025D1E" w:rsidRPr="007D47AD">
        <w:rPr>
          <w:rFonts w:asciiTheme="minorHAnsi" w:eastAsia="Times New Roman" w:hAnsiTheme="minorHAnsi" w:cs="Arial"/>
          <w:sz w:val="20"/>
          <w:szCs w:val="20"/>
          <w:lang w:val="en-US"/>
        </w:rPr>
        <w:t>,</w:t>
      </w:r>
      <w:r w:rsidR="005920F2" w:rsidRPr="007D47AD">
        <w:rPr>
          <w:rFonts w:asciiTheme="minorHAnsi" w:eastAsia="Times New Roman" w:hAnsiTheme="minorHAnsi" w:cs="Arial"/>
          <w:sz w:val="20"/>
          <w:szCs w:val="20"/>
          <w:lang w:val="en-US"/>
        </w:rPr>
        <w:t xml:space="preserve"> </w:t>
      </w:r>
      <w:r w:rsidR="00025D1E" w:rsidRPr="007D47AD">
        <w:rPr>
          <w:rFonts w:asciiTheme="minorHAnsi" w:eastAsia="Times New Roman" w:hAnsiTheme="minorHAnsi" w:cs="Arial"/>
          <w:sz w:val="20"/>
          <w:szCs w:val="20"/>
          <w:lang w:val="en-US"/>
        </w:rPr>
        <w:t xml:space="preserve">and </w:t>
      </w:r>
      <w:r w:rsidR="005920F2" w:rsidRPr="007D47AD">
        <w:rPr>
          <w:rFonts w:asciiTheme="minorHAnsi" w:eastAsia="Times New Roman" w:hAnsiTheme="minorHAnsi" w:cs="Arial"/>
          <w:sz w:val="20"/>
          <w:szCs w:val="20"/>
          <w:lang w:val="en-US"/>
        </w:rPr>
        <w:t xml:space="preserve">Yucatán. </w:t>
      </w:r>
      <w:r w:rsidR="00025D1E" w:rsidRPr="007D47AD">
        <w:rPr>
          <w:rFonts w:asciiTheme="minorHAnsi" w:eastAsia="Times New Roman" w:hAnsiTheme="minorHAnsi" w:cs="Arial"/>
          <w:sz w:val="20"/>
          <w:szCs w:val="20"/>
          <w:lang w:val="en-US"/>
        </w:rPr>
        <w:t xml:space="preserve">It also reported that </w:t>
      </w:r>
      <w:r w:rsidR="00303750" w:rsidRPr="007D47AD">
        <w:rPr>
          <w:rFonts w:asciiTheme="minorHAnsi" w:eastAsia="Times New Roman" w:hAnsiTheme="minorHAnsi" w:cs="Arial"/>
          <w:sz w:val="20"/>
          <w:szCs w:val="20"/>
          <w:lang w:val="en-US"/>
        </w:rPr>
        <w:t>more than 248 million Mexican pesos were executed to this end.</w:t>
      </w:r>
      <w:r w:rsidR="005920F2" w:rsidRPr="007D47AD">
        <w:rPr>
          <w:rStyle w:val="FootnoteReference"/>
          <w:rFonts w:asciiTheme="minorHAnsi" w:hAnsiTheme="minorHAnsi"/>
          <w:sz w:val="20"/>
          <w:szCs w:val="20"/>
          <w:lang w:val="en-US"/>
        </w:rPr>
        <w:footnoteReference w:id="67"/>
      </w:r>
      <w:r w:rsidR="005920F2" w:rsidRPr="007D47AD">
        <w:rPr>
          <w:rFonts w:asciiTheme="minorHAnsi" w:eastAsia="Times New Roman" w:hAnsiTheme="minorHAnsi" w:cs="Arial"/>
          <w:sz w:val="20"/>
          <w:szCs w:val="20"/>
          <w:lang w:val="en-US"/>
        </w:rPr>
        <w:t xml:space="preserve">  </w:t>
      </w:r>
    </w:p>
    <w:p w:rsidR="00BC0DD5" w:rsidRPr="007D47AD" w:rsidRDefault="00182F5A" w:rsidP="000710E4">
      <w:pPr>
        <w:numPr>
          <w:ilvl w:val="1"/>
          <w:numId w:val="6"/>
        </w:numPr>
        <w:shd w:val="clear" w:color="auto" w:fill="FFFFFF"/>
        <w:spacing w:after="240" w:line="240" w:lineRule="auto"/>
        <w:ind w:left="1440" w:hanging="720"/>
        <w:jc w:val="both"/>
        <w:rPr>
          <w:rFonts w:asciiTheme="minorHAnsi" w:eastAsia="Times New Roman" w:hAnsiTheme="minorHAnsi" w:cs="Arial"/>
          <w:sz w:val="20"/>
          <w:szCs w:val="20"/>
          <w:lang w:val="en-US"/>
        </w:rPr>
      </w:pPr>
      <w:r w:rsidRPr="007D47AD">
        <w:rPr>
          <w:rFonts w:asciiTheme="minorHAnsi" w:eastAsia="Times New Roman" w:hAnsiTheme="minorHAnsi" w:cs="Arial"/>
          <w:sz w:val="20"/>
          <w:szCs w:val="20"/>
          <w:lang w:val="en-US"/>
        </w:rPr>
        <w:t>National Program of Exhumations and Identification</w:t>
      </w:r>
      <w:r w:rsidR="00D079B5" w:rsidRPr="007D47AD">
        <w:rPr>
          <w:rFonts w:asciiTheme="minorHAnsi" w:eastAsia="Times New Roman" w:hAnsiTheme="minorHAnsi" w:cs="Arial"/>
          <w:sz w:val="20"/>
          <w:szCs w:val="20"/>
          <w:lang w:val="en-US"/>
        </w:rPr>
        <w:t xml:space="preserve">: </w:t>
      </w:r>
      <w:r w:rsidRPr="007D47AD">
        <w:rPr>
          <w:rFonts w:asciiTheme="minorHAnsi" w:eastAsia="Times New Roman" w:hAnsiTheme="minorHAnsi" w:cs="Arial"/>
          <w:sz w:val="20"/>
          <w:szCs w:val="20"/>
          <w:lang w:val="en-US"/>
        </w:rPr>
        <w:t xml:space="preserve">This Program is the lead instrument designated by the General Law for identifying deceased persons whose creation is entrusted to the </w:t>
      </w:r>
      <w:r w:rsidR="00785EF9" w:rsidRPr="007D47AD">
        <w:rPr>
          <w:rFonts w:asciiTheme="minorHAnsi" w:eastAsia="Times New Roman" w:hAnsiTheme="minorHAnsi" w:cs="Arial"/>
          <w:sz w:val="20"/>
          <w:szCs w:val="20"/>
          <w:lang w:val="en-US"/>
        </w:rPr>
        <w:t xml:space="preserve">Office of the Attorney General (hereinafter “PGR”: </w:t>
      </w:r>
      <w:r w:rsidR="0054224D" w:rsidRPr="007D47AD">
        <w:rPr>
          <w:rFonts w:asciiTheme="minorHAnsi" w:eastAsia="Times New Roman" w:hAnsiTheme="minorHAnsi" w:cs="Arial"/>
          <w:sz w:val="20"/>
          <w:szCs w:val="20"/>
          <w:lang w:val="en-US"/>
        </w:rPr>
        <w:t xml:space="preserve">Procuraduría General de la República). </w:t>
      </w:r>
      <w:r w:rsidRPr="007D47AD">
        <w:rPr>
          <w:rFonts w:asciiTheme="minorHAnsi" w:eastAsia="Times New Roman" w:hAnsiTheme="minorHAnsi" w:cs="Arial"/>
          <w:sz w:val="20"/>
          <w:szCs w:val="20"/>
          <w:lang w:val="en-US"/>
        </w:rPr>
        <w:t xml:space="preserve">According to a public document from the </w:t>
      </w:r>
      <w:r w:rsidR="0054224D" w:rsidRPr="007D47AD">
        <w:rPr>
          <w:rFonts w:asciiTheme="minorHAnsi" w:eastAsia="Times New Roman" w:hAnsiTheme="minorHAnsi" w:cs="Arial"/>
          <w:sz w:val="20"/>
          <w:szCs w:val="20"/>
          <w:lang w:val="en-US"/>
        </w:rPr>
        <w:t>PGR</w:t>
      </w:r>
      <w:r w:rsidR="00F42A46" w:rsidRPr="007D47AD">
        <w:rPr>
          <w:rFonts w:asciiTheme="minorHAnsi" w:eastAsia="Times New Roman" w:hAnsiTheme="minorHAnsi" w:cs="Arial"/>
          <w:sz w:val="20"/>
          <w:szCs w:val="20"/>
          <w:lang w:val="en-US"/>
        </w:rPr>
        <w:t xml:space="preserve"> </w:t>
      </w:r>
      <w:r w:rsidRPr="007D47AD">
        <w:rPr>
          <w:rFonts w:asciiTheme="minorHAnsi" w:eastAsia="Times New Roman" w:hAnsiTheme="minorHAnsi" w:cs="Arial"/>
          <w:sz w:val="20"/>
          <w:szCs w:val="20"/>
          <w:lang w:val="en-US"/>
        </w:rPr>
        <w:t xml:space="preserve">from the previous year, this organ was unable to make progress with the implementation of the National Program due to the failure to establish the </w:t>
      </w:r>
      <w:r w:rsidR="001D742B" w:rsidRPr="007D47AD">
        <w:rPr>
          <w:rFonts w:asciiTheme="minorHAnsi" w:eastAsia="Times New Roman" w:hAnsiTheme="minorHAnsi" w:cs="Arial"/>
          <w:sz w:val="20"/>
          <w:szCs w:val="20"/>
          <w:lang w:val="en-US"/>
        </w:rPr>
        <w:t>SNB</w:t>
      </w:r>
      <w:r w:rsidRPr="007D47AD">
        <w:rPr>
          <w:rFonts w:asciiTheme="minorHAnsi" w:eastAsia="Times New Roman" w:hAnsiTheme="minorHAnsi" w:cs="Arial"/>
          <w:sz w:val="20"/>
          <w:szCs w:val="20"/>
          <w:lang w:val="en-US"/>
        </w:rPr>
        <w:t>.</w:t>
      </w:r>
      <w:r w:rsidR="00F42A46" w:rsidRPr="007D47AD">
        <w:rPr>
          <w:rStyle w:val="FootnoteReference"/>
          <w:rFonts w:asciiTheme="minorHAnsi" w:eastAsia="Times New Roman" w:hAnsiTheme="minorHAnsi" w:cs="Arial"/>
          <w:sz w:val="20"/>
          <w:szCs w:val="20"/>
          <w:lang w:val="en-US"/>
        </w:rPr>
        <w:footnoteReference w:id="68"/>
      </w:r>
      <w:r w:rsidR="00F42A46" w:rsidRPr="007D47AD">
        <w:rPr>
          <w:rFonts w:asciiTheme="minorHAnsi" w:eastAsia="Times New Roman" w:hAnsiTheme="minorHAnsi" w:cs="Arial"/>
          <w:sz w:val="20"/>
          <w:szCs w:val="20"/>
          <w:lang w:val="en-US"/>
        </w:rPr>
        <w:t xml:space="preserve"> </w:t>
      </w:r>
    </w:p>
    <w:p w:rsidR="00BC0DD5" w:rsidRPr="007D47AD" w:rsidRDefault="00182F5A" w:rsidP="000710E4">
      <w:pPr>
        <w:numPr>
          <w:ilvl w:val="1"/>
          <w:numId w:val="6"/>
        </w:numPr>
        <w:shd w:val="clear" w:color="auto" w:fill="FFFFFF"/>
        <w:spacing w:after="240" w:line="240" w:lineRule="auto"/>
        <w:ind w:left="1440" w:hanging="720"/>
        <w:jc w:val="both"/>
        <w:rPr>
          <w:rFonts w:asciiTheme="minorHAnsi" w:eastAsia="Times New Roman" w:hAnsiTheme="minorHAnsi" w:cs="Arial"/>
          <w:sz w:val="20"/>
          <w:szCs w:val="20"/>
          <w:lang w:val="en-US"/>
        </w:rPr>
      </w:pPr>
      <w:r w:rsidRPr="007D47AD">
        <w:rPr>
          <w:rFonts w:asciiTheme="minorHAnsi" w:eastAsia="Times New Roman" w:hAnsiTheme="minorHAnsi" w:cs="Arial"/>
          <w:sz w:val="20"/>
          <w:szCs w:val="20"/>
          <w:lang w:val="en-US"/>
        </w:rPr>
        <w:t>National Search Program</w:t>
      </w:r>
      <w:r w:rsidR="00310F5C" w:rsidRPr="007D47AD">
        <w:rPr>
          <w:rFonts w:asciiTheme="minorHAnsi" w:eastAsia="Times New Roman" w:hAnsiTheme="minorHAnsi" w:cs="Arial"/>
          <w:sz w:val="20"/>
          <w:szCs w:val="20"/>
          <w:lang w:val="en-US"/>
        </w:rPr>
        <w:t xml:space="preserve">: </w:t>
      </w:r>
      <w:r w:rsidR="007D7AF9" w:rsidRPr="007D47AD">
        <w:rPr>
          <w:rFonts w:asciiTheme="minorHAnsi" w:eastAsia="Times New Roman" w:hAnsiTheme="minorHAnsi" w:cs="Arial"/>
          <w:sz w:val="20"/>
          <w:szCs w:val="20"/>
          <w:lang w:val="en-US"/>
        </w:rPr>
        <w:t xml:space="preserve">According to the General Law, the period for establishing said Program lapsed on September 12, 2018. In this regard, the IACHR notes its participation as an observer in meetings for constructing the methodology of the National Search Program; in the discussion the </w:t>
      </w:r>
      <w:r w:rsidR="0048622E" w:rsidRPr="007D47AD">
        <w:rPr>
          <w:rFonts w:asciiTheme="minorHAnsi" w:eastAsia="Times New Roman" w:hAnsiTheme="minorHAnsi" w:cs="Arial"/>
          <w:sz w:val="20"/>
          <w:szCs w:val="20"/>
          <w:lang w:val="en-US"/>
        </w:rPr>
        <w:t xml:space="preserve">areas on which the National Plan would be designed were presented </w:t>
      </w:r>
      <w:r w:rsidR="007D7AF9" w:rsidRPr="007D47AD">
        <w:rPr>
          <w:rFonts w:asciiTheme="minorHAnsi" w:eastAsia="Times New Roman" w:hAnsiTheme="minorHAnsi" w:cs="Arial"/>
          <w:sz w:val="20"/>
          <w:szCs w:val="20"/>
          <w:lang w:val="en-US"/>
        </w:rPr>
        <w:t>includ</w:t>
      </w:r>
      <w:r w:rsidR="0048622E" w:rsidRPr="007D47AD">
        <w:rPr>
          <w:rFonts w:asciiTheme="minorHAnsi" w:eastAsia="Times New Roman" w:hAnsiTheme="minorHAnsi" w:cs="Arial"/>
          <w:sz w:val="20"/>
          <w:szCs w:val="20"/>
          <w:lang w:val="en-US"/>
        </w:rPr>
        <w:t>ing</w:t>
      </w:r>
      <w:r w:rsidR="007D7AF9" w:rsidRPr="007D47AD">
        <w:rPr>
          <w:rFonts w:asciiTheme="minorHAnsi" w:eastAsia="Times New Roman" w:hAnsiTheme="minorHAnsi" w:cs="Arial"/>
          <w:sz w:val="20"/>
          <w:szCs w:val="20"/>
          <w:lang w:val="en-US"/>
        </w:rPr>
        <w:t xml:space="preserve"> the following items: guidelines and rules, context, family members’ participation, information management, transparency and accountability, coordination, and awareness-raising. There </w:t>
      </w:r>
      <w:r w:rsidR="007D7AF9" w:rsidRPr="007D47AD">
        <w:rPr>
          <w:rFonts w:asciiTheme="minorHAnsi" w:eastAsia="Times New Roman" w:hAnsiTheme="minorHAnsi" w:cs="Arial"/>
          <w:sz w:val="20"/>
          <w:szCs w:val="20"/>
          <w:lang w:val="en-US"/>
        </w:rPr>
        <w:lastRenderedPageBreak/>
        <w:t>was also major emphasis on including prior knowledge and the search methodologies deployed by the organizations of family members of disappeared persons.</w:t>
      </w:r>
      <w:r w:rsidR="003D172A" w:rsidRPr="007D47AD">
        <w:rPr>
          <w:rStyle w:val="FootnoteReference"/>
          <w:rFonts w:asciiTheme="minorHAnsi" w:eastAsia="Times New Roman" w:hAnsiTheme="minorHAnsi" w:cs="Arial"/>
          <w:sz w:val="20"/>
          <w:szCs w:val="20"/>
          <w:lang w:val="en-US"/>
        </w:rPr>
        <w:footnoteReference w:id="69"/>
      </w:r>
    </w:p>
    <w:p w:rsidR="00BC0DD5" w:rsidRPr="007D47AD" w:rsidRDefault="0048622E" w:rsidP="000710E4">
      <w:pPr>
        <w:numPr>
          <w:ilvl w:val="1"/>
          <w:numId w:val="6"/>
        </w:numPr>
        <w:shd w:val="clear" w:color="auto" w:fill="FFFFFF"/>
        <w:spacing w:after="240" w:line="240" w:lineRule="auto"/>
        <w:ind w:left="1440" w:hanging="720"/>
        <w:jc w:val="both"/>
        <w:rPr>
          <w:rFonts w:asciiTheme="minorHAnsi" w:eastAsia="Times New Roman" w:hAnsiTheme="minorHAnsi" w:cs="Arial"/>
          <w:sz w:val="20"/>
          <w:szCs w:val="20"/>
          <w:lang w:val="en-US"/>
        </w:rPr>
      </w:pPr>
      <w:r w:rsidRPr="007D47AD">
        <w:rPr>
          <w:rFonts w:asciiTheme="minorHAnsi" w:eastAsia="Times New Roman" w:hAnsiTheme="minorHAnsi" w:cs="Arial"/>
          <w:sz w:val="20"/>
          <w:szCs w:val="20"/>
          <w:lang w:val="en-US"/>
        </w:rPr>
        <w:t xml:space="preserve">Special Prosecutors’ Offices </w:t>
      </w:r>
      <w:r w:rsidR="003518A6" w:rsidRPr="007D47AD">
        <w:rPr>
          <w:rFonts w:asciiTheme="minorHAnsi" w:eastAsia="Times New Roman" w:hAnsiTheme="minorHAnsi" w:cs="Arial"/>
          <w:sz w:val="20"/>
          <w:szCs w:val="20"/>
          <w:lang w:val="en-US"/>
        </w:rPr>
        <w:t>(</w:t>
      </w:r>
      <w:r w:rsidR="00FD36FA" w:rsidRPr="007D47AD">
        <w:rPr>
          <w:rFonts w:asciiTheme="minorHAnsi" w:eastAsia="Times New Roman" w:hAnsiTheme="minorHAnsi" w:cs="Arial"/>
          <w:sz w:val="20"/>
          <w:szCs w:val="20"/>
          <w:lang w:val="en-US"/>
        </w:rPr>
        <w:t>Fiscalías Especializadas</w:t>
      </w:r>
      <w:r w:rsidR="003518A6" w:rsidRPr="007D47AD">
        <w:rPr>
          <w:rFonts w:asciiTheme="minorHAnsi" w:eastAsia="Times New Roman" w:hAnsiTheme="minorHAnsi" w:cs="Arial"/>
          <w:sz w:val="20"/>
          <w:szCs w:val="20"/>
          <w:lang w:val="en-US"/>
        </w:rPr>
        <w:t>)</w:t>
      </w:r>
      <w:r w:rsidR="00402A1C" w:rsidRPr="007D47AD">
        <w:rPr>
          <w:rFonts w:asciiTheme="minorHAnsi" w:eastAsia="Times New Roman" w:hAnsiTheme="minorHAnsi" w:cs="Arial"/>
          <w:sz w:val="20"/>
          <w:szCs w:val="20"/>
          <w:lang w:val="en-US"/>
        </w:rPr>
        <w:t xml:space="preserve"> </w:t>
      </w:r>
      <w:r w:rsidR="003518A6" w:rsidRPr="007D47AD">
        <w:rPr>
          <w:rFonts w:asciiTheme="minorHAnsi" w:eastAsia="Times New Roman" w:hAnsiTheme="minorHAnsi" w:cs="Arial"/>
          <w:sz w:val="20"/>
          <w:szCs w:val="20"/>
          <w:lang w:val="en-US"/>
        </w:rPr>
        <w:t xml:space="preserve">for investigating and prosecuting the crimes of forced disappearance of persons and disappearance committed by private persons (hereinafter </w:t>
      </w:r>
      <w:r w:rsidR="00402A1C" w:rsidRPr="007D47AD">
        <w:rPr>
          <w:rFonts w:asciiTheme="minorHAnsi" w:eastAsia="Times New Roman" w:hAnsiTheme="minorHAnsi" w:cs="Arial"/>
          <w:sz w:val="20"/>
          <w:szCs w:val="20"/>
          <w:lang w:val="en-US"/>
        </w:rPr>
        <w:t>“</w:t>
      </w:r>
      <w:r w:rsidRPr="007D47AD">
        <w:rPr>
          <w:rFonts w:asciiTheme="minorHAnsi" w:eastAsia="Times New Roman" w:hAnsiTheme="minorHAnsi" w:cs="Arial"/>
          <w:sz w:val="20"/>
          <w:szCs w:val="20"/>
          <w:lang w:val="en-US"/>
        </w:rPr>
        <w:t>the Special Prosecutors’ Offices</w:t>
      </w:r>
      <w:r w:rsidR="00402A1C" w:rsidRPr="007D47AD">
        <w:rPr>
          <w:rFonts w:asciiTheme="minorHAnsi" w:eastAsia="Times New Roman" w:hAnsiTheme="minorHAnsi" w:cs="Arial"/>
          <w:sz w:val="20"/>
          <w:szCs w:val="20"/>
          <w:lang w:val="en-US"/>
        </w:rPr>
        <w:t xml:space="preserve">”): </w:t>
      </w:r>
      <w:r w:rsidR="003518A6" w:rsidRPr="007D47AD">
        <w:rPr>
          <w:rFonts w:asciiTheme="minorHAnsi" w:eastAsia="Times New Roman" w:hAnsiTheme="minorHAnsi" w:cs="Arial"/>
          <w:sz w:val="20"/>
          <w:szCs w:val="20"/>
          <w:lang w:val="en-US"/>
        </w:rPr>
        <w:t xml:space="preserve">civil society organizations have reported that there is no information certain with respect to </w:t>
      </w:r>
      <w:r w:rsidR="001773C5" w:rsidRPr="007D47AD">
        <w:rPr>
          <w:rFonts w:asciiTheme="minorHAnsi" w:eastAsia="Times New Roman" w:hAnsiTheme="minorHAnsi" w:cs="Arial"/>
          <w:sz w:val="20"/>
          <w:szCs w:val="20"/>
          <w:lang w:val="en-US"/>
        </w:rPr>
        <w:t xml:space="preserve">implementation of the mandate of the General Law regarding the creation of </w:t>
      </w:r>
      <w:r w:rsidRPr="007D47AD">
        <w:rPr>
          <w:rFonts w:asciiTheme="minorHAnsi" w:eastAsia="Times New Roman" w:hAnsiTheme="minorHAnsi" w:cs="Arial"/>
          <w:sz w:val="20"/>
          <w:szCs w:val="20"/>
          <w:lang w:val="en-US"/>
        </w:rPr>
        <w:t xml:space="preserve">Special Prosecutors’ Offices, </w:t>
      </w:r>
      <w:r w:rsidR="001773C5" w:rsidRPr="007D47AD">
        <w:rPr>
          <w:rFonts w:asciiTheme="minorHAnsi" w:eastAsia="Times New Roman" w:hAnsiTheme="minorHAnsi" w:cs="Arial"/>
          <w:sz w:val="20"/>
          <w:szCs w:val="20"/>
          <w:lang w:val="en-US"/>
        </w:rPr>
        <w:t xml:space="preserve">and that rather, the Office of the Special Prosecutor for Investigating Crimes of Forced Disappearance of the </w:t>
      </w:r>
      <w:r w:rsidR="004E4A5E" w:rsidRPr="007D47AD">
        <w:rPr>
          <w:rFonts w:asciiTheme="minorHAnsi" w:eastAsia="Times New Roman" w:hAnsiTheme="minorHAnsi" w:cs="Arial"/>
          <w:bCs/>
          <w:sz w:val="20"/>
          <w:szCs w:val="20"/>
          <w:lang w:val="en-US"/>
        </w:rPr>
        <w:t>FGR</w:t>
      </w:r>
      <w:r w:rsidR="004E4A5E" w:rsidRPr="007D47AD">
        <w:rPr>
          <w:rFonts w:asciiTheme="minorHAnsi" w:eastAsia="Times New Roman" w:hAnsiTheme="minorHAnsi" w:cs="Arial"/>
          <w:sz w:val="20"/>
          <w:szCs w:val="20"/>
          <w:lang w:val="en-US"/>
        </w:rPr>
        <w:t xml:space="preserve"> </w:t>
      </w:r>
      <w:r w:rsidR="001773C5" w:rsidRPr="007D47AD">
        <w:rPr>
          <w:rFonts w:asciiTheme="minorHAnsi" w:eastAsia="Times New Roman" w:hAnsiTheme="minorHAnsi" w:cs="Arial"/>
          <w:sz w:val="20"/>
          <w:szCs w:val="20"/>
          <w:lang w:val="en-US"/>
        </w:rPr>
        <w:t xml:space="preserve">saw a 28% reduction </w:t>
      </w:r>
      <w:r w:rsidRPr="007D47AD">
        <w:rPr>
          <w:rFonts w:asciiTheme="minorHAnsi" w:eastAsia="Times New Roman" w:hAnsiTheme="minorHAnsi" w:cs="Arial"/>
          <w:sz w:val="20"/>
          <w:szCs w:val="20"/>
          <w:lang w:val="en-US"/>
        </w:rPr>
        <w:t xml:space="preserve">to </w:t>
      </w:r>
      <w:r w:rsidR="001773C5" w:rsidRPr="007D47AD">
        <w:rPr>
          <w:rFonts w:asciiTheme="minorHAnsi" w:eastAsia="Times New Roman" w:hAnsiTheme="minorHAnsi" w:cs="Arial"/>
          <w:sz w:val="20"/>
          <w:szCs w:val="20"/>
          <w:lang w:val="en-US"/>
        </w:rPr>
        <w:t xml:space="preserve">its </w:t>
      </w:r>
      <w:r w:rsidRPr="007D47AD">
        <w:rPr>
          <w:rFonts w:asciiTheme="minorHAnsi" w:eastAsia="Times New Roman" w:hAnsiTheme="minorHAnsi" w:cs="Arial"/>
          <w:sz w:val="20"/>
          <w:szCs w:val="20"/>
          <w:lang w:val="en-US"/>
        </w:rPr>
        <w:t xml:space="preserve">2019 </w:t>
      </w:r>
      <w:r w:rsidR="001773C5" w:rsidRPr="007D47AD">
        <w:rPr>
          <w:rFonts w:asciiTheme="minorHAnsi" w:eastAsia="Times New Roman" w:hAnsiTheme="minorHAnsi" w:cs="Arial"/>
          <w:sz w:val="20"/>
          <w:szCs w:val="20"/>
          <w:lang w:val="en-US"/>
        </w:rPr>
        <w:t>budget compared to the previous year.</w:t>
      </w:r>
      <w:r w:rsidR="004E4A5E" w:rsidRPr="007D47AD">
        <w:rPr>
          <w:rStyle w:val="FootnoteReference"/>
          <w:rFonts w:asciiTheme="minorHAnsi" w:eastAsia="Times New Roman" w:hAnsiTheme="minorHAnsi" w:cs="Arial"/>
          <w:sz w:val="20"/>
          <w:szCs w:val="20"/>
          <w:lang w:val="en-US"/>
        </w:rPr>
        <w:footnoteReference w:id="70"/>
      </w:r>
      <w:r w:rsidR="004E4A5E" w:rsidRPr="007D47AD">
        <w:rPr>
          <w:rFonts w:asciiTheme="minorHAnsi" w:eastAsia="Times New Roman" w:hAnsiTheme="minorHAnsi" w:cs="Arial"/>
          <w:sz w:val="20"/>
          <w:szCs w:val="20"/>
          <w:lang w:val="en-US"/>
        </w:rPr>
        <w:t xml:space="preserve"> </w:t>
      </w:r>
      <w:r w:rsidR="001773C5" w:rsidRPr="007D47AD">
        <w:rPr>
          <w:rFonts w:asciiTheme="minorHAnsi" w:eastAsia="Times New Roman" w:hAnsiTheme="minorHAnsi" w:cs="Arial"/>
          <w:sz w:val="20"/>
          <w:szCs w:val="20"/>
          <w:lang w:val="en-US"/>
        </w:rPr>
        <w:t xml:space="preserve">Nonetheless, </w:t>
      </w:r>
      <w:r w:rsidR="007E0216" w:rsidRPr="007D47AD">
        <w:rPr>
          <w:rFonts w:asciiTheme="minorHAnsi" w:eastAsia="Times New Roman" w:hAnsiTheme="minorHAnsi" w:cs="Arial"/>
          <w:sz w:val="20"/>
          <w:szCs w:val="20"/>
          <w:lang w:val="en-US"/>
        </w:rPr>
        <w:t xml:space="preserve">SERAPAZ </w:t>
      </w:r>
      <w:r w:rsidR="001773C5" w:rsidRPr="007D47AD">
        <w:rPr>
          <w:rFonts w:asciiTheme="minorHAnsi" w:eastAsia="Times New Roman" w:hAnsiTheme="minorHAnsi" w:cs="Arial"/>
          <w:sz w:val="20"/>
          <w:szCs w:val="20"/>
          <w:lang w:val="en-US"/>
        </w:rPr>
        <w:t xml:space="preserve">indicated that the following states do not yet have </w:t>
      </w:r>
      <w:r w:rsidRPr="007D47AD">
        <w:rPr>
          <w:rFonts w:asciiTheme="minorHAnsi" w:eastAsia="Times New Roman" w:hAnsiTheme="minorHAnsi" w:cs="Arial"/>
          <w:sz w:val="20"/>
          <w:szCs w:val="20"/>
          <w:lang w:val="en-US"/>
        </w:rPr>
        <w:t>Special Prosecutors’ Offices</w:t>
      </w:r>
      <w:r w:rsidR="00BA5BC6" w:rsidRPr="007D47AD">
        <w:rPr>
          <w:rFonts w:asciiTheme="minorHAnsi" w:eastAsia="Times New Roman" w:hAnsiTheme="minorHAnsi" w:cs="Arial"/>
          <w:sz w:val="20"/>
          <w:szCs w:val="20"/>
          <w:lang w:val="en-US"/>
        </w:rPr>
        <w:t>: Aguas</w:t>
      </w:r>
      <w:r w:rsidR="001773C5" w:rsidRPr="007D47AD">
        <w:rPr>
          <w:rFonts w:asciiTheme="minorHAnsi" w:eastAsia="Times New Roman" w:hAnsiTheme="minorHAnsi" w:cs="Arial"/>
          <w:sz w:val="20"/>
          <w:szCs w:val="20"/>
          <w:lang w:val="en-US"/>
        </w:rPr>
        <w:t>c</w:t>
      </w:r>
      <w:r w:rsidR="00BA5BC6" w:rsidRPr="007D47AD">
        <w:rPr>
          <w:rFonts w:asciiTheme="minorHAnsi" w:eastAsia="Times New Roman" w:hAnsiTheme="minorHAnsi" w:cs="Arial"/>
          <w:sz w:val="20"/>
          <w:szCs w:val="20"/>
          <w:lang w:val="en-US"/>
        </w:rPr>
        <w:t>alientes, Baja California Sur, Chiapas, Guanajuato, Morelos, Oaxaca, Puebla, Quintana Roo, Sonora, Tabasco</w:t>
      </w:r>
      <w:r w:rsidR="001773C5" w:rsidRPr="007D47AD">
        <w:rPr>
          <w:rFonts w:asciiTheme="minorHAnsi" w:eastAsia="Times New Roman" w:hAnsiTheme="minorHAnsi" w:cs="Arial"/>
          <w:sz w:val="20"/>
          <w:szCs w:val="20"/>
          <w:lang w:val="en-US"/>
        </w:rPr>
        <w:t>, and</w:t>
      </w:r>
      <w:r w:rsidR="00BA5BC6" w:rsidRPr="007D47AD">
        <w:rPr>
          <w:rFonts w:asciiTheme="minorHAnsi" w:eastAsia="Times New Roman" w:hAnsiTheme="minorHAnsi" w:cs="Arial"/>
          <w:sz w:val="20"/>
          <w:szCs w:val="20"/>
          <w:lang w:val="en-US"/>
        </w:rPr>
        <w:t xml:space="preserve"> Yucatán</w:t>
      </w:r>
      <w:r w:rsidR="001773C5" w:rsidRPr="007D47AD">
        <w:rPr>
          <w:rFonts w:asciiTheme="minorHAnsi" w:eastAsia="Times New Roman" w:hAnsiTheme="minorHAnsi" w:cs="Arial"/>
          <w:sz w:val="20"/>
          <w:szCs w:val="20"/>
          <w:lang w:val="en-US"/>
        </w:rPr>
        <w:t>.</w:t>
      </w:r>
      <w:r w:rsidR="007E0216" w:rsidRPr="007D47AD">
        <w:rPr>
          <w:rStyle w:val="FootnoteReference"/>
          <w:rFonts w:asciiTheme="minorHAnsi" w:eastAsia="Times New Roman" w:hAnsiTheme="minorHAnsi" w:cs="Arial"/>
          <w:sz w:val="20"/>
          <w:szCs w:val="20"/>
          <w:lang w:val="en-US"/>
        </w:rPr>
        <w:footnoteReference w:id="71"/>
      </w:r>
      <w:r w:rsidR="0057586B" w:rsidRPr="007D47AD">
        <w:rPr>
          <w:rFonts w:asciiTheme="minorHAnsi" w:eastAsia="Times New Roman" w:hAnsiTheme="minorHAnsi" w:cs="Arial"/>
          <w:sz w:val="20"/>
          <w:szCs w:val="20"/>
          <w:lang w:val="en-US"/>
        </w:rPr>
        <w:t xml:space="preserve"> </w:t>
      </w:r>
      <w:r w:rsidR="00303750" w:rsidRPr="007D47AD">
        <w:rPr>
          <w:rFonts w:asciiTheme="minorHAnsi" w:hAnsiTheme="minorHAnsi"/>
          <w:sz w:val="20"/>
          <w:szCs w:val="20"/>
          <w:lang w:val="en-US"/>
        </w:rPr>
        <w:t>I</w:t>
      </w:r>
      <w:r w:rsidR="0057586B" w:rsidRPr="007D47AD">
        <w:rPr>
          <w:rFonts w:asciiTheme="minorHAnsi" w:hAnsiTheme="minorHAnsi"/>
          <w:sz w:val="20"/>
          <w:szCs w:val="20"/>
          <w:lang w:val="en-US"/>
        </w:rPr>
        <w:t xml:space="preserve">n </w:t>
      </w:r>
      <w:r w:rsidR="00303750" w:rsidRPr="007D47AD">
        <w:rPr>
          <w:rFonts w:asciiTheme="minorHAnsi" w:hAnsiTheme="minorHAnsi"/>
          <w:sz w:val="20"/>
          <w:szCs w:val="20"/>
          <w:lang w:val="en-US"/>
        </w:rPr>
        <w:t>its observations on the draft of this report the State indicated that the Offices of Special Prosecutors (</w:t>
      </w:r>
      <w:r w:rsidR="0057586B" w:rsidRPr="007D47AD">
        <w:rPr>
          <w:rFonts w:asciiTheme="minorHAnsi" w:eastAsia="Times New Roman" w:hAnsiTheme="minorHAnsi" w:cs="Arial"/>
          <w:sz w:val="20"/>
          <w:szCs w:val="20"/>
          <w:lang w:val="en-US"/>
        </w:rPr>
        <w:t>Fiscalías Especializadas</w:t>
      </w:r>
      <w:r w:rsidR="00303750" w:rsidRPr="007D47AD">
        <w:rPr>
          <w:rFonts w:asciiTheme="minorHAnsi" w:eastAsia="Times New Roman" w:hAnsiTheme="minorHAnsi" w:cs="Arial"/>
          <w:sz w:val="20"/>
          <w:szCs w:val="20"/>
          <w:lang w:val="en-US"/>
        </w:rPr>
        <w:t>) have sufficient human and financial resources.</w:t>
      </w:r>
      <w:r w:rsidR="0057586B" w:rsidRPr="007D47AD">
        <w:rPr>
          <w:rStyle w:val="FootnoteReference"/>
          <w:rFonts w:asciiTheme="minorHAnsi" w:hAnsiTheme="minorHAnsi"/>
          <w:sz w:val="20"/>
          <w:szCs w:val="20"/>
          <w:lang w:val="en-US"/>
        </w:rPr>
        <w:footnoteReference w:id="72"/>
      </w:r>
    </w:p>
    <w:p w:rsidR="00BC0DD5" w:rsidRPr="007D47AD" w:rsidRDefault="001773C5" w:rsidP="000710E4">
      <w:pPr>
        <w:numPr>
          <w:ilvl w:val="1"/>
          <w:numId w:val="6"/>
        </w:numPr>
        <w:shd w:val="clear" w:color="auto" w:fill="FFFFFF"/>
        <w:spacing w:after="240" w:line="240" w:lineRule="auto"/>
        <w:ind w:left="1440" w:hanging="720"/>
        <w:jc w:val="both"/>
        <w:rPr>
          <w:rFonts w:asciiTheme="minorHAnsi" w:eastAsia="Times New Roman" w:hAnsiTheme="minorHAnsi" w:cs="Arial"/>
          <w:sz w:val="20"/>
          <w:szCs w:val="20"/>
          <w:lang w:val="en-US"/>
        </w:rPr>
      </w:pPr>
      <w:r w:rsidRPr="007D47AD">
        <w:rPr>
          <w:rFonts w:asciiTheme="minorHAnsi" w:eastAsia="Times New Roman" w:hAnsiTheme="minorHAnsi" w:cs="Arial"/>
          <w:sz w:val="20"/>
          <w:szCs w:val="20"/>
          <w:lang w:val="en-US"/>
        </w:rPr>
        <w:t xml:space="preserve">National Citizen Council: the Council was installed in </w:t>
      </w:r>
      <w:r w:rsidR="00D52F68" w:rsidRPr="007D47AD">
        <w:rPr>
          <w:rFonts w:asciiTheme="minorHAnsi" w:eastAsia="Times New Roman" w:hAnsiTheme="minorHAnsi" w:cs="Arial"/>
          <w:sz w:val="20"/>
          <w:szCs w:val="20"/>
          <w:lang w:val="en-US"/>
        </w:rPr>
        <w:t xml:space="preserve">2018, </w:t>
      </w:r>
      <w:r w:rsidRPr="007D47AD">
        <w:rPr>
          <w:rFonts w:asciiTheme="minorHAnsi" w:eastAsia="Times New Roman" w:hAnsiTheme="minorHAnsi" w:cs="Arial"/>
          <w:sz w:val="20"/>
          <w:szCs w:val="20"/>
          <w:lang w:val="en-US"/>
        </w:rPr>
        <w:t xml:space="preserve">yet as of the production of this report the IACHR has no information about its activities. </w:t>
      </w:r>
    </w:p>
    <w:p w:rsidR="00BA5BC6" w:rsidRPr="007D47AD" w:rsidRDefault="001773C5" w:rsidP="000710E4">
      <w:pPr>
        <w:numPr>
          <w:ilvl w:val="1"/>
          <w:numId w:val="6"/>
        </w:numPr>
        <w:shd w:val="clear" w:color="auto" w:fill="FFFFFF"/>
        <w:spacing w:after="240" w:line="240" w:lineRule="auto"/>
        <w:ind w:left="1440" w:hanging="720"/>
        <w:jc w:val="both"/>
        <w:rPr>
          <w:rFonts w:asciiTheme="minorHAnsi" w:eastAsia="Times New Roman" w:hAnsiTheme="minorHAnsi" w:cs="Arial"/>
          <w:sz w:val="20"/>
          <w:szCs w:val="20"/>
          <w:lang w:val="en-US"/>
        </w:rPr>
      </w:pPr>
      <w:r w:rsidRPr="007D47AD">
        <w:rPr>
          <w:rFonts w:asciiTheme="minorHAnsi" w:eastAsia="Times New Roman" w:hAnsiTheme="minorHAnsi" w:cs="Arial"/>
          <w:sz w:val="20"/>
          <w:szCs w:val="20"/>
          <w:lang w:val="en-US"/>
        </w:rPr>
        <w:t xml:space="preserve">Search groups: The IACHR does not have information with respect to the establishment, operation, </w:t>
      </w:r>
      <w:r w:rsidR="00225723" w:rsidRPr="007D47AD">
        <w:rPr>
          <w:rFonts w:asciiTheme="minorHAnsi" w:eastAsia="Times New Roman" w:hAnsiTheme="minorHAnsi" w:cs="Arial"/>
          <w:sz w:val="20"/>
          <w:szCs w:val="20"/>
          <w:lang w:val="en-US"/>
        </w:rPr>
        <w:t xml:space="preserve">or </w:t>
      </w:r>
      <w:r w:rsidRPr="007D47AD">
        <w:rPr>
          <w:rFonts w:asciiTheme="minorHAnsi" w:eastAsia="Times New Roman" w:hAnsiTheme="minorHAnsi" w:cs="Arial"/>
          <w:sz w:val="20"/>
          <w:szCs w:val="20"/>
          <w:lang w:val="en-US"/>
        </w:rPr>
        <w:t>startup of the search groups.</w:t>
      </w:r>
      <w:r w:rsidR="00512A9B" w:rsidRPr="007D47AD">
        <w:rPr>
          <w:rFonts w:asciiTheme="minorHAnsi" w:eastAsia="Times New Roman" w:hAnsiTheme="minorHAnsi" w:cs="Arial"/>
          <w:sz w:val="20"/>
          <w:szCs w:val="20"/>
          <w:lang w:val="en-US"/>
        </w:rPr>
        <w:t xml:space="preserve"> </w:t>
      </w:r>
      <w:r w:rsidR="004B62CB" w:rsidRPr="007D47AD">
        <w:rPr>
          <w:rFonts w:asciiTheme="minorHAnsi" w:eastAsia="Times New Roman" w:hAnsiTheme="minorHAnsi" w:cs="Arial"/>
          <w:sz w:val="20"/>
          <w:szCs w:val="20"/>
          <w:lang w:val="en-US"/>
        </w:rPr>
        <w:t xml:space="preserve"> </w:t>
      </w:r>
    </w:p>
    <w:p w:rsidR="009B2E28" w:rsidRPr="007D47AD" w:rsidRDefault="001773C5" w:rsidP="001D742B">
      <w:pPr>
        <w:numPr>
          <w:ilvl w:val="0"/>
          <w:numId w:val="6"/>
        </w:numPr>
        <w:shd w:val="clear" w:color="auto" w:fill="FFFFFF"/>
        <w:spacing w:after="240" w:line="240" w:lineRule="auto"/>
        <w:ind w:left="0" w:firstLine="720"/>
        <w:jc w:val="both"/>
        <w:rPr>
          <w:rFonts w:asciiTheme="minorHAnsi" w:eastAsia="Times New Roman" w:hAnsiTheme="minorHAnsi" w:cs="Arial"/>
          <w:sz w:val="20"/>
          <w:szCs w:val="20"/>
          <w:lang w:val="en-US"/>
        </w:rPr>
      </w:pPr>
      <w:r w:rsidRPr="007D47AD">
        <w:rPr>
          <w:rFonts w:asciiTheme="minorHAnsi" w:eastAsia="Times New Roman" w:hAnsiTheme="minorHAnsi" w:cs="Arial"/>
          <w:sz w:val="20"/>
          <w:szCs w:val="20"/>
          <w:lang w:val="en-US"/>
        </w:rPr>
        <w:t>In addition, with respe</w:t>
      </w:r>
      <w:r w:rsidR="00225723" w:rsidRPr="007D47AD">
        <w:rPr>
          <w:rFonts w:asciiTheme="minorHAnsi" w:eastAsia="Times New Roman" w:hAnsiTheme="minorHAnsi" w:cs="Arial"/>
          <w:sz w:val="20"/>
          <w:szCs w:val="20"/>
          <w:lang w:val="en-US"/>
        </w:rPr>
        <w:t>c</w:t>
      </w:r>
      <w:r w:rsidRPr="007D47AD">
        <w:rPr>
          <w:rFonts w:asciiTheme="minorHAnsi" w:eastAsia="Times New Roman" w:hAnsiTheme="minorHAnsi" w:cs="Arial"/>
          <w:sz w:val="20"/>
          <w:szCs w:val="20"/>
          <w:lang w:val="en-US"/>
        </w:rPr>
        <w:t>t to the tools for information management provided in the General Law, the following information has been received</w:t>
      </w:r>
      <w:r w:rsidR="009B2E28" w:rsidRPr="007D47AD">
        <w:rPr>
          <w:rFonts w:asciiTheme="minorHAnsi" w:eastAsia="Times New Roman" w:hAnsiTheme="minorHAnsi" w:cs="Arial"/>
          <w:sz w:val="20"/>
          <w:szCs w:val="20"/>
          <w:lang w:val="en-US"/>
        </w:rPr>
        <w:t xml:space="preserve">: </w:t>
      </w:r>
    </w:p>
    <w:p w:rsidR="009B2E28" w:rsidRPr="007D47AD" w:rsidRDefault="001773C5" w:rsidP="000710E4">
      <w:pPr>
        <w:numPr>
          <w:ilvl w:val="1"/>
          <w:numId w:val="6"/>
        </w:numPr>
        <w:shd w:val="clear" w:color="auto" w:fill="FFFFFF"/>
        <w:spacing w:after="240" w:line="240" w:lineRule="auto"/>
        <w:ind w:left="1440" w:hanging="720"/>
        <w:jc w:val="both"/>
        <w:rPr>
          <w:rFonts w:asciiTheme="minorHAnsi" w:eastAsia="Times New Roman" w:hAnsiTheme="minorHAnsi" w:cs="Arial"/>
          <w:sz w:val="20"/>
          <w:szCs w:val="20"/>
          <w:lang w:val="en-US"/>
        </w:rPr>
      </w:pPr>
      <w:r w:rsidRPr="007D47AD">
        <w:rPr>
          <w:rFonts w:asciiTheme="minorHAnsi" w:eastAsia="Times New Roman" w:hAnsiTheme="minorHAnsi" w:cs="Arial"/>
          <w:sz w:val="20"/>
          <w:szCs w:val="20"/>
          <w:lang w:val="en-US"/>
        </w:rPr>
        <w:t xml:space="preserve">National Registry of Persons Disappeared and not Located (hereinafter “RNPED”: </w:t>
      </w:r>
      <w:r w:rsidR="00FD36FA" w:rsidRPr="007D47AD">
        <w:rPr>
          <w:rFonts w:asciiTheme="minorHAnsi" w:eastAsia="Times New Roman" w:hAnsiTheme="minorHAnsi" w:cs="Arial"/>
          <w:sz w:val="20"/>
          <w:szCs w:val="20"/>
          <w:lang w:val="en-US"/>
        </w:rPr>
        <w:t>Registro Nacional</w:t>
      </w:r>
      <w:r w:rsidR="004D2224" w:rsidRPr="007D47AD">
        <w:rPr>
          <w:rFonts w:asciiTheme="minorHAnsi" w:eastAsia="Times New Roman" w:hAnsiTheme="minorHAnsi" w:cs="Arial"/>
          <w:sz w:val="20"/>
          <w:szCs w:val="20"/>
          <w:lang w:val="en-US"/>
        </w:rPr>
        <w:t xml:space="preserve"> de personas desaparecidas y no localizadas</w:t>
      </w:r>
      <w:r w:rsidR="003E7EC8" w:rsidRPr="007D47AD">
        <w:rPr>
          <w:rFonts w:asciiTheme="minorHAnsi" w:eastAsia="Times New Roman" w:hAnsiTheme="minorHAnsi" w:cs="Arial"/>
          <w:sz w:val="20"/>
          <w:szCs w:val="20"/>
          <w:lang w:val="en-US"/>
        </w:rPr>
        <w:t>)</w:t>
      </w:r>
      <w:r w:rsidR="000B7A57" w:rsidRPr="007D47AD">
        <w:rPr>
          <w:rFonts w:asciiTheme="minorHAnsi" w:eastAsia="Times New Roman" w:hAnsiTheme="minorHAnsi" w:cs="Arial"/>
          <w:sz w:val="20"/>
          <w:szCs w:val="20"/>
          <w:lang w:val="en-US"/>
        </w:rPr>
        <w:t xml:space="preserve">: </w:t>
      </w:r>
      <w:r w:rsidRPr="007D47AD">
        <w:rPr>
          <w:rFonts w:asciiTheme="minorHAnsi" w:eastAsia="Times New Roman" w:hAnsiTheme="minorHAnsi" w:cs="Arial"/>
          <w:sz w:val="20"/>
          <w:szCs w:val="20"/>
          <w:lang w:val="en-US"/>
        </w:rPr>
        <w:t xml:space="preserve">The State indicated that the </w:t>
      </w:r>
      <w:r w:rsidR="000C4045" w:rsidRPr="007D47AD">
        <w:rPr>
          <w:rFonts w:asciiTheme="minorHAnsi" w:eastAsia="Times New Roman" w:hAnsiTheme="minorHAnsi" w:cs="Arial"/>
          <w:sz w:val="20"/>
          <w:szCs w:val="20"/>
          <w:lang w:val="en-US"/>
        </w:rPr>
        <w:t xml:space="preserve">CNB </w:t>
      </w:r>
      <w:r w:rsidRPr="007D47AD">
        <w:rPr>
          <w:rFonts w:asciiTheme="minorHAnsi" w:eastAsia="Times New Roman" w:hAnsiTheme="minorHAnsi" w:cs="Arial"/>
          <w:sz w:val="20"/>
          <w:szCs w:val="20"/>
          <w:lang w:val="en-US"/>
        </w:rPr>
        <w:t xml:space="preserve">has developed a strategic plan to </w:t>
      </w:r>
      <w:r w:rsidR="000C4045" w:rsidRPr="007D47AD">
        <w:rPr>
          <w:rFonts w:asciiTheme="minorHAnsi" w:eastAsia="Times New Roman" w:hAnsiTheme="minorHAnsi" w:cs="Arial"/>
          <w:sz w:val="20"/>
          <w:szCs w:val="20"/>
          <w:lang w:val="en-US"/>
        </w:rPr>
        <w:t>“normaliz</w:t>
      </w:r>
      <w:r w:rsidRPr="007D47AD">
        <w:rPr>
          <w:rFonts w:asciiTheme="minorHAnsi" w:eastAsia="Times New Roman" w:hAnsiTheme="minorHAnsi" w:cs="Arial"/>
          <w:sz w:val="20"/>
          <w:szCs w:val="20"/>
          <w:lang w:val="en-US"/>
        </w:rPr>
        <w:t>e</w:t>
      </w:r>
      <w:r w:rsidR="000C4045" w:rsidRPr="007D47AD">
        <w:rPr>
          <w:rFonts w:asciiTheme="minorHAnsi" w:eastAsia="Times New Roman" w:hAnsiTheme="minorHAnsi" w:cs="Arial"/>
          <w:sz w:val="20"/>
          <w:szCs w:val="20"/>
          <w:lang w:val="en-US"/>
        </w:rPr>
        <w:t xml:space="preserve">” </w:t>
      </w:r>
      <w:r w:rsidRPr="007D47AD">
        <w:rPr>
          <w:rFonts w:asciiTheme="minorHAnsi" w:eastAsia="Times New Roman" w:hAnsiTheme="minorHAnsi" w:cs="Arial"/>
          <w:sz w:val="20"/>
          <w:szCs w:val="20"/>
          <w:lang w:val="en-US"/>
        </w:rPr>
        <w:t xml:space="preserve">the </w:t>
      </w:r>
      <w:r w:rsidR="000C4045" w:rsidRPr="007D47AD">
        <w:rPr>
          <w:rFonts w:asciiTheme="minorHAnsi" w:eastAsia="Times New Roman" w:hAnsiTheme="minorHAnsi" w:cs="Arial"/>
          <w:sz w:val="20"/>
          <w:szCs w:val="20"/>
          <w:lang w:val="en-US"/>
        </w:rPr>
        <w:t xml:space="preserve">RNPED </w:t>
      </w:r>
      <w:r w:rsidRPr="007D47AD">
        <w:rPr>
          <w:rFonts w:asciiTheme="minorHAnsi" w:eastAsia="Times New Roman" w:hAnsiTheme="minorHAnsi" w:cs="Arial"/>
          <w:sz w:val="20"/>
          <w:szCs w:val="20"/>
          <w:lang w:val="en-US"/>
        </w:rPr>
        <w:t xml:space="preserve">to </w:t>
      </w:r>
      <w:r w:rsidR="000C4045" w:rsidRPr="007D47AD">
        <w:rPr>
          <w:rFonts w:asciiTheme="minorHAnsi" w:eastAsia="Times New Roman" w:hAnsiTheme="minorHAnsi" w:cs="Arial"/>
          <w:sz w:val="20"/>
          <w:szCs w:val="20"/>
          <w:lang w:val="en-US"/>
        </w:rPr>
        <w:t>administ</w:t>
      </w:r>
      <w:r w:rsidRPr="007D47AD">
        <w:rPr>
          <w:rFonts w:asciiTheme="minorHAnsi" w:eastAsia="Times New Roman" w:hAnsiTheme="minorHAnsi" w:cs="Arial"/>
          <w:sz w:val="20"/>
          <w:szCs w:val="20"/>
          <w:lang w:val="en-US"/>
        </w:rPr>
        <w:t xml:space="preserve">er and coordinate its operation at the national level, and that at present the </w:t>
      </w:r>
      <w:r w:rsidR="002C28B4" w:rsidRPr="007D47AD">
        <w:rPr>
          <w:rFonts w:asciiTheme="minorHAnsi" w:eastAsia="Times New Roman" w:hAnsiTheme="minorHAnsi" w:cs="Arial"/>
          <w:sz w:val="20"/>
          <w:szCs w:val="20"/>
          <w:lang w:val="en-US"/>
        </w:rPr>
        <w:t>FGR</w:t>
      </w:r>
      <w:r w:rsidR="00561A1E" w:rsidRPr="007D47AD">
        <w:rPr>
          <w:rFonts w:asciiTheme="minorHAnsi" w:eastAsia="Times New Roman" w:hAnsiTheme="minorHAnsi" w:cs="Arial"/>
          <w:sz w:val="20"/>
          <w:szCs w:val="20"/>
          <w:lang w:val="en-US"/>
        </w:rPr>
        <w:t>,</w:t>
      </w:r>
      <w:r w:rsidR="000C4045" w:rsidRPr="007D47AD">
        <w:rPr>
          <w:rFonts w:asciiTheme="minorHAnsi" w:eastAsia="Times New Roman" w:hAnsiTheme="minorHAnsi" w:cs="Arial"/>
          <w:sz w:val="20"/>
          <w:szCs w:val="20"/>
          <w:lang w:val="en-US"/>
        </w:rPr>
        <w:t xml:space="preserve"> </w:t>
      </w:r>
      <w:r w:rsidRPr="007D47AD">
        <w:rPr>
          <w:rFonts w:asciiTheme="minorHAnsi" w:eastAsia="Times New Roman" w:hAnsiTheme="minorHAnsi" w:cs="Arial"/>
          <w:sz w:val="20"/>
          <w:szCs w:val="20"/>
          <w:lang w:val="en-US"/>
        </w:rPr>
        <w:t>the state offices of attorney</w:t>
      </w:r>
      <w:r w:rsidR="00225723" w:rsidRPr="007D47AD">
        <w:rPr>
          <w:rFonts w:asciiTheme="minorHAnsi" w:eastAsia="Times New Roman" w:hAnsiTheme="minorHAnsi" w:cs="Arial"/>
          <w:sz w:val="20"/>
          <w:szCs w:val="20"/>
          <w:lang w:val="en-US"/>
        </w:rPr>
        <w:t>s</w:t>
      </w:r>
      <w:r w:rsidRPr="007D47AD">
        <w:rPr>
          <w:rFonts w:asciiTheme="minorHAnsi" w:eastAsia="Times New Roman" w:hAnsiTheme="minorHAnsi" w:cs="Arial"/>
          <w:sz w:val="20"/>
          <w:szCs w:val="20"/>
          <w:lang w:val="en-US"/>
        </w:rPr>
        <w:t xml:space="preserve"> genera</w:t>
      </w:r>
      <w:r w:rsidR="00225723" w:rsidRPr="007D47AD">
        <w:rPr>
          <w:rFonts w:asciiTheme="minorHAnsi" w:eastAsia="Times New Roman" w:hAnsiTheme="minorHAnsi" w:cs="Arial"/>
          <w:sz w:val="20"/>
          <w:szCs w:val="20"/>
          <w:lang w:val="en-US"/>
        </w:rPr>
        <w:t>l</w:t>
      </w:r>
      <w:r w:rsidRPr="007D47AD">
        <w:rPr>
          <w:rFonts w:asciiTheme="minorHAnsi" w:eastAsia="Times New Roman" w:hAnsiTheme="minorHAnsi" w:cs="Arial"/>
          <w:sz w:val="20"/>
          <w:szCs w:val="20"/>
          <w:lang w:val="en-US"/>
        </w:rPr>
        <w:t xml:space="preserve">, and offices of special prosecutors are validating and updating the </w:t>
      </w:r>
      <w:r w:rsidR="000C4045" w:rsidRPr="007D47AD">
        <w:rPr>
          <w:rFonts w:asciiTheme="minorHAnsi" w:eastAsia="Times New Roman" w:hAnsiTheme="minorHAnsi" w:cs="Arial"/>
          <w:sz w:val="20"/>
          <w:szCs w:val="20"/>
          <w:lang w:val="en-US"/>
        </w:rPr>
        <w:t>RNPED</w:t>
      </w:r>
      <w:r w:rsidRPr="007D47AD">
        <w:rPr>
          <w:rFonts w:asciiTheme="minorHAnsi" w:eastAsia="Times New Roman" w:hAnsiTheme="minorHAnsi" w:cs="Arial"/>
          <w:sz w:val="20"/>
          <w:szCs w:val="20"/>
          <w:lang w:val="en-US"/>
        </w:rPr>
        <w:t>.</w:t>
      </w:r>
      <w:r w:rsidR="000C4045" w:rsidRPr="007D47AD">
        <w:rPr>
          <w:rStyle w:val="FootnoteReference"/>
          <w:rFonts w:asciiTheme="minorHAnsi" w:eastAsia="Times New Roman" w:hAnsiTheme="minorHAnsi" w:cs="Arial"/>
          <w:sz w:val="20"/>
          <w:szCs w:val="20"/>
          <w:lang w:val="en-US"/>
        </w:rPr>
        <w:footnoteReference w:id="73"/>
      </w:r>
      <w:r w:rsidR="000C4045" w:rsidRPr="007D47AD">
        <w:rPr>
          <w:rFonts w:asciiTheme="minorHAnsi" w:eastAsia="Times New Roman" w:hAnsiTheme="minorHAnsi" w:cs="Arial"/>
          <w:sz w:val="20"/>
          <w:szCs w:val="20"/>
          <w:lang w:val="en-US"/>
        </w:rPr>
        <w:t xml:space="preserve"> </w:t>
      </w:r>
      <w:r w:rsidRPr="007D47AD">
        <w:rPr>
          <w:rFonts w:asciiTheme="minorHAnsi" w:eastAsia="Times New Roman" w:hAnsiTheme="minorHAnsi" w:cs="Arial"/>
          <w:sz w:val="20"/>
          <w:szCs w:val="20"/>
          <w:lang w:val="en-US"/>
        </w:rPr>
        <w:t xml:space="preserve">In this </w:t>
      </w:r>
      <w:r w:rsidR="000C4045" w:rsidRPr="007D47AD">
        <w:rPr>
          <w:rFonts w:asciiTheme="minorHAnsi" w:eastAsia="Times New Roman" w:hAnsiTheme="minorHAnsi" w:cs="Arial"/>
          <w:sz w:val="20"/>
          <w:szCs w:val="20"/>
          <w:lang w:val="en-US"/>
        </w:rPr>
        <w:t xml:space="preserve">respect, </w:t>
      </w:r>
      <w:r w:rsidRPr="007D47AD">
        <w:rPr>
          <w:rFonts w:asciiTheme="minorHAnsi" w:eastAsia="Times New Roman" w:hAnsiTheme="minorHAnsi" w:cs="Arial"/>
          <w:sz w:val="20"/>
          <w:szCs w:val="20"/>
          <w:lang w:val="en-US"/>
        </w:rPr>
        <w:t xml:space="preserve">the IACHR was informed that the </w:t>
      </w:r>
      <w:r w:rsidR="00822DF9" w:rsidRPr="007D47AD">
        <w:rPr>
          <w:rFonts w:asciiTheme="minorHAnsi" w:eastAsia="Times New Roman" w:hAnsiTheme="minorHAnsi" w:cs="Arial"/>
          <w:sz w:val="20"/>
          <w:szCs w:val="20"/>
          <w:lang w:val="en-US"/>
        </w:rPr>
        <w:t xml:space="preserve">RNPED </w:t>
      </w:r>
      <w:r w:rsidRPr="007D47AD">
        <w:rPr>
          <w:rFonts w:asciiTheme="minorHAnsi" w:eastAsia="Times New Roman" w:hAnsiTheme="minorHAnsi" w:cs="Arial"/>
          <w:sz w:val="20"/>
          <w:szCs w:val="20"/>
          <w:lang w:val="en-US"/>
        </w:rPr>
        <w:t xml:space="preserve">has not been updated since April </w:t>
      </w:r>
      <w:r w:rsidR="00822DF9" w:rsidRPr="007D47AD">
        <w:rPr>
          <w:rFonts w:asciiTheme="minorHAnsi" w:eastAsia="Times New Roman" w:hAnsiTheme="minorHAnsi" w:cs="Arial"/>
          <w:sz w:val="20"/>
          <w:szCs w:val="20"/>
          <w:lang w:val="en-US"/>
        </w:rPr>
        <w:t>2018</w:t>
      </w:r>
      <w:r w:rsidR="00822DF9" w:rsidRPr="007D47AD">
        <w:rPr>
          <w:rStyle w:val="FootnoteReference"/>
          <w:rFonts w:asciiTheme="minorHAnsi" w:eastAsia="Times New Roman" w:hAnsiTheme="minorHAnsi" w:cs="Arial"/>
          <w:sz w:val="20"/>
          <w:szCs w:val="20"/>
          <w:lang w:val="en-US"/>
        </w:rPr>
        <w:footnoteReference w:id="74"/>
      </w:r>
      <w:r w:rsidR="00822DF9" w:rsidRPr="007D47AD">
        <w:rPr>
          <w:rFonts w:asciiTheme="minorHAnsi" w:eastAsia="Times New Roman" w:hAnsiTheme="minorHAnsi" w:cs="Arial"/>
          <w:sz w:val="20"/>
          <w:szCs w:val="20"/>
          <w:lang w:val="en-US"/>
        </w:rPr>
        <w:t xml:space="preserve"> </w:t>
      </w:r>
      <w:r w:rsidRPr="007D47AD">
        <w:rPr>
          <w:rFonts w:asciiTheme="minorHAnsi" w:eastAsia="Times New Roman" w:hAnsiTheme="minorHAnsi" w:cs="Arial"/>
          <w:sz w:val="20"/>
          <w:szCs w:val="20"/>
          <w:lang w:val="en-US"/>
        </w:rPr>
        <w:t>and that the census methodology has not been disseminated to the civil society organizations or the organizations of family members of persons disappeared.</w:t>
      </w:r>
      <w:r w:rsidR="003E7EC8" w:rsidRPr="007D47AD">
        <w:rPr>
          <w:rStyle w:val="FootnoteReference"/>
          <w:rFonts w:asciiTheme="minorHAnsi" w:eastAsia="Times New Roman" w:hAnsiTheme="minorHAnsi" w:cs="Arial"/>
          <w:sz w:val="20"/>
          <w:szCs w:val="20"/>
          <w:lang w:val="en-US"/>
        </w:rPr>
        <w:footnoteReference w:id="75"/>
      </w:r>
      <w:r w:rsidR="003E7EC8" w:rsidRPr="007D47AD">
        <w:rPr>
          <w:rFonts w:asciiTheme="minorHAnsi" w:eastAsia="Times New Roman" w:hAnsiTheme="minorHAnsi" w:cs="Arial"/>
          <w:sz w:val="20"/>
          <w:szCs w:val="20"/>
          <w:lang w:val="en-US"/>
        </w:rPr>
        <w:t xml:space="preserve"> </w:t>
      </w:r>
      <w:r w:rsidR="00C92135" w:rsidRPr="007D47AD">
        <w:rPr>
          <w:rFonts w:asciiTheme="minorHAnsi" w:eastAsia="Times New Roman" w:hAnsiTheme="minorHAnsi" w:cs="Arial"/>
          <w:sz w:val="20"/>
          <w:szCs w:val="20"/>
          <w:lang w:val="en-US"/>
        </w:rPr>
        <w:t xml:space="preserve">At the press conference, the head of the </w:t>
      </w:r>
      <w:r w:rsidR="002B7C3C" w:rsidRPr="007D47AD">
        <w:rPr>
          <w:rFonts w:asciiTheme="minorHAnsi" w:eastAsia="Times New Roman" w:hAnsiTheme="minorHAnsi" w:cs="Arial"/>
          <w:sz w:val="20"/>
          <w:szCs w:val="20"/>
          <w:lang w:val="en-US"/>
        </w:rPr>
        <w:t xml:space="preserve">CNB </w:t>
      </w:r>
      <w:r w:rsidR="00C92135" w:rsidRPr="007D47AD">
        <w:rPr>
          <w:rFonts w:asciiTheme="minorHAnsi" w:eastAsia="Times New Roman" w:hAnsiTheme="minorHAnsi" w:cs="Arial"/>
          <w:sz w:val="20"/>
          <w:szCs w:val="20"/>
          <w:lang w:val="en-US"/>
        </w:rPr>
        <w:t>announced the implementation of a new system for reporting disappeared persons through the means of capturing such information (Internet and telephone)</w:t>
      </w:r>
      <w:r w:rsidR="002B7C3C" w:rsidRPr="007D47AD">
        <w:rPr>
          <w:rFonts w:asciiTheme="minorHAnsi" w:eastAsia="Times New Roman" w:hAnsiTheme="minorHAnsi" w:cs="Arial"/>
          <w:sz w:val="20"/>
          <w:szCs w:val="20"/>
          <w:lang w:val="en-US"/>
        </w:rPr>
        <w:t xml:space="preserve">. </w:t>
      </w:r>
      <w:r w:rsidR="00C92135" w:rsidRPr="007D47AD">
        <w:rPr>
          <w:rFonts w:asciiTheme="minorHAnsi" w:eastAsia="Times New Roman" w:hAnsiTheme="minorHAnsi" w:cs="Arial"/>
          <w:sz w:val="20"/>
          <w:szCs w:val="20"/>
          <w:lang w:val="en-US"/>
        </w:rPr>
        <w:t xml:space="preserve">According to the information, the new platform will feed the </w:t>
      </w:r>
      <w:r w:rsidR="002B7C3C" w:rsidRPr="007D47AD">
        <w:rPr>
          <w:rFonts w:asciiTheme="minorHAnsi" w:eastAsia="Times New Roman" w:hAnsiTheme="minorHAnsi" w:cs="Arial"/>
          <w:sz w:val="20"/>
          <w:szCs w:val="20"/>
          <w:lang w:val="en-US"/>
        </w:rPr>
        <w:t xml:space="preserve">RNPED, </w:t>
      </w:r>
      <w:r w:rsidR="00C92135" w:rsidRPr="007D47AD">
        <w:rPr>
          <w:rFonts w:asciiTheme="minorHAnsi" w:eastAsia="Times New Roman" w:hAnsiTheme="minorHAnsi" w:cs="Arial"/>
          <w:sz w:val="20"/>
          <w:szCs w:val="20"/>
          <w:lang w:val="en-US"/>
        </w:rPr>
        <w:t>but not only capturing the information reported for statistical purposes; in addition, registration triggers the search and investigation actions, independent of whether a report was filed. The re</w:t>
      </w:r>
      <w:r w:rsidR="00534E67" w:rsidRPr="007D47AD">
        <w:rPr>
          <w:rFonts w:asciiTheme="minorHAnsi" w:eastAsia="Times New Roman" w:hAnsiTheme="minorHAnsi" w:cs="Arial"/>
          <w:sz w:val="20"/>
          <w:szCs w:val="20"/>
          <w:lang w:val="en-US"/>
        </w:rPr>
        <w:t xml:space="preserve">gistry </w:t>
      </w:r>
      <w:r w:rsidR="00C92135" w:rsidRPr="007D47AD">
        <w:rPr>
          <w:rFonts w:asciiTheme="minorHAnsi" w:eastAsia="Times New Roman" w:hAnsiTheme="minorHAnsi" w:cs="Arial"/>
          <w:sz w:val="20"/>
          <w:szCs w:val="20"/>
          <w:lang w:val="en-US"/>
        </w:rPr>
        <w:t>can be established by the local authorities or by citizens, even anonymously.</w:t>
      </w:r>
      <w:r w:rsidR="002B7C3C" w:rsidRPr="007D47AD">
        <w:rPr>
          <w:rStyle w:val="FootnoteReference"/>
          <w:rFonts w:asciiTheme="minorHAnsi" w:eastAsia="Times New Roman" w:hAnsiTheme="minorHAnsi" w:cs="Arial"/>
          <w:sz w:val="20"/>
          <w:szCs w:val="20"/>
          <w:lang w:val="en-US"/>
        </w:rPr>
        <w:footnoteReference w:id="76"/>
      </w:r>
      <w:r w:rsidR="002B7C3C" w:rsidRPr="007D47AD">
        <w:rPr>
          <w:rFonts w:asciiTheme="minorHAnsi" w:eastAsia="Times New Roman" w:hAnsiTheme="minorHAnsi" w:cs="Arial"/>
          <w:sz w:val="20"/>
          <w:szCs w:val="20"/>
          <w:lang w:val="en-US"/>
        </w:rPr>
        <w:t xml:space="preserve"> </w:t>
      </w:r>
      <w:r w:rsidR="00303750" w:rsidRPr="007D47AD">
        <w:rPr>
          <w:rFonts w:asciiTheme="minorHAnsi" w:hAnsiTheme="minorHAnsi"/>
          <w:sz w:val="20"/>
          <w:szCs w:val="20"/>
          <w:lang w:val="en-US"/>
        </w:rPr>
        <w:t>I</w:t>
      </w:r>
      <w:r w:rsidR="0057586B" w:rsidRPr="007D47AD">
        <w:rPr>
          <w:rFonts w:asciiTheme="minorHAnsi" w:hAnsiTheme="minorHAnsi"/>
          <w:sz w:val="20"/>
          <w:szCs w:val="20"/>
          <w:lang w:val="en-US"/>
        </w:rPr>
        <w:t xml:space="preserve">n </w:t>
      </w:r>
      <w:r w:rsidR="00303750" w:rsidRPr="007D47AD">
        <w:rPr>
          <w:rFonts w:asciiTheme="minorHAnsi" w:hAnsiTheme="minorHAnsi"/>
          <w:sz w:val="20"/>
          <w:szCs w:val="20"/>
          <w:lang w:val="en-US"/>
        </w:rPr>
        <w:t>its observations on the draft of this repor</w:t>
      </w:r>
      <w:r w:rsidR="00645A52" w:rsidRPr="007D47AD">
        <w:rPr>
          <w:rFonts w:asciiTheme="minorHAnsi" w:hAnsiTheme="minorHAnsi"/>
          <w:sz w:val="20"/>
          <w:szCs w:val="20"/>
          <w:lang w:val="en-US"/>
        </w:rPr>
        <w:t>t</w:t>
      </w:r>
      <w:r w:rsidR="00303750" w:rsidRPr="007D47AD">
        <w:rPr>
          <w:rFonts w:asciiTheme="minorHAnsi" w:hAnsiTheme="minorHAnsi"/>
          <w:sz w:val="20"/>
          <w:szCs w:val="20"/>
          <w:lang w:val="en-US"/>
        </w:rPr>
        <w:t xml:space="preserve"> the State added that the pla</w:t>
      </w:r>
      <w:r w:rsidR="00005E69" w:rsidRPr="007D47AD">
        <w:rPr>
          <w:rFonts w:asciiTheme="minorHAnsi" w:hAnsiTheme="minorHAnsi"/>
          <w:sz w:val="20"/>
          <w:szCs w:val="20"/>
          <w:lang w:val="en-US"/>
        </w:rPr>
        <w:t>t</w:t>
      </w:r>
      <w:r w:rsidR="00303750" w:rsidRPr="007D47AD">
        <w:rPr>
          <w:rFonts w:asciiTheme="minorHAnsi" w:hAnsiTheme="minorHAnsi"/>
          <w:sz w:val="20"/>
          <w:szCs w:val="20"/>
          <w:lang w:val="en-US"/>
        </w:rPr>
        <w:t xml:space="preserve">form is part of a strategy for pulling </w:t>
      </w:r>
      <w:r w:rsidR="00303750" w:rsidRPr="007D47AD">
        <w:rPr>
          <w:rFonts w:asciiTheme="minorHAnsi" w:hAnsiTheme="minorHAnsi"/>
          <w:sz w:val="20"/>
          <w:szCs w:val="20"/>
          <w:lang w:val="en-US"/>
        </w:rPr>
        <w:lastRenderedPageBreak/>
        <w:t xml:space="preserve">together the </w:t>
      </w:r>
      <w:r w:rsidR="0057586B" w:rsidRPr="007D47AD">
        <w:rPr>
          <w:rFonts w:asciiTheme="minorHAnsi" w:eastAsia="Times New Roman" w:hAnsiTheme="minorHAnsi" w:cs="Arial"/>
          <w:sz w:val="20"/>
          <w:szCs w:val="20"/>
          <w:lang w:val="en-US"/>
        </w:rPr>
        <w:t xml:space="preserve">RNPED, </w:t>
      </w:r>
      <w:r w:rsidR="00303750" w:rsidRPr="007D47AD">
        <w:rPr>
          <w:rFonts w:asciiTheme="minorHAnsi" w:eastAsia="Times New Roman" w:hAnsiTheme="minorHAnsi" w:cs="Arial"/>
          <w:sz w:val="20"/>
          <w:szCs w:val="20"/>
          <w:lang w:val="en-US"/>
        </w:rPr>
        <w:t>the first main line of which is to create the technological tool, and the second is for the different authorities to input information to the Registry automatically. It also carried out a campaign to disseminate faces and names for the search, and to raise awareness, through the campaign, of the situation of disappeared persons.</w:t>
      </w:r>
      <w:r w:rsidR="0057586B" w:rsidRPr="007D47AD">
        <w:rPr>
          <w:rStyle w:val="FootnoteReference"/>
          <w:rFonts w:asciiTheme="minorHAnsi" w:hAnsiTheme="minorHAnsi"/>
          <w:sz w:val="20"/>
          <w:szCs w:val="20"/>
          <w:lang w:val="en-US"/>
        </w:rPr>
        <w:footnoteReference w:id="77"/>
      </w:r>
    </w:p>
    <w:p w:rsidR="009B2E28" w:rsidRPr="007D47AD" w:rsidRDefault="00C92135" w:rsidP="000710E4">
      <w:pPr>
        <w:numPr>
          <w:ilvl w:val="1"/>
          <w:numId w:val="6"/>
        </w:numPr>
        <w:shd w:val="clear" w:color="auto" w:fill="FFFFFF"/>
        <w:spacing w:after="240" w:line="240" w:lineRule="auto"/>
        <w:ind w:left="1440" w:hanging="720"/>
        <w:jc w:val="both"/>
        <w:rPr>
          <w:rFonts w:asciiTheme="minorHAnsi" w:eastAsia="Times New Roman" w:hAnsiTheme="minorHAnsi" w:cs="Arial"/>
          <w:sz w:val="20"/>
          <w:szCs w:val="20"/>
          <w:lang w:val="en-US"/>
        </w:rPr>
      </w:pPr>
      <w:r w:rsidRPr="007D47AD">
        <w:rPr>
          <w:rFonts w:asciiTheme="minorHAnsi" w:eastAsia="Times New Roman" w:hAnsiTheme="minorHAnsi" w:cs="Arial"/>
          <w:sz w:val="20"/>
          <w:szCs w:val="20"/>
          <w:lang w:val="en-US"/>
        </w:rPr>
        <w:t xml:space="preserve">National Forensic Data Bank: According to the General Law, the Bank is under the </w:t>
      </w:r>
      <w:r w:rsidR="008123B4" w:rsidRPr="007D47AD">
        <w:rPr>
          <w:rFonts w:asciiTheme="minorHAnsi" w:eastAsia="Times New Roman" w:hAnsiTheme="minorHAnsi" w:cs="Arial"/>
          <w:sz w:val="20"/>
          <w:szCs w:val="20"/>
          <w:lang w:val="en-US"/>
        </w:rPr>
        <w:t>F</w:t>
      </w:r>
      <w:r w:rsidR="006D4C26" w:rsidRPr="007D47AD">
        <w:rPr>
          <w:rFonts w:asciiTheme="minorHAnsi" w:eastAsia="Times New Roman" w:hAnsiTheme="minorHAnsi" w:cs="Arial"/>
          <w:sz w:val="20"/>
          <w:szCs w:val="20"/>
          <w:lang w:val="en-US"/>
        </w:rPr>
        <w:t xml:space="preserve">GR </w:t>
      </w:r>
      <w:r w:rsidRPr="007D47AD">
        <w:rPr>
          <w:rFonts w:asciiTheme="minorHAnsi" w:eastAsia="Times New Roman" w:hAnsiTheme="minorHAnsi" w:cs="Arial"/>
          <w:sz w:val="20"/>
          <w:szCs w:val="20"/>
          <w:lang w:val="en-US"/>
        </w:rPr>
        <w:t xml:space="preserve">and its purpose is to pull together information relevant for searching for and identifying disappeared persons, but as of the date of adoption of this report it has not been created, even though the legal time </w:t>
      </w:r>
      <w:r w:rsidR="00140942" w:rsidRPr="007D47AD">
        <w:rPr>
          <w:rFonts w:asciiTheme="minorHAnsi" w:eastAsia="Times New Roman" w:hAnsiTheme="minorHAnsi" w:cs="Arial"/>
          <w:sz w:val="20"/>
          <w:szCs w:val="20"/>
          <w:lang w:val="en-US"/>
        </w:rPr>
        <w:t xml:space="preserve">for doing so </w:t>
      </w:r>
      <w:r w:rsidRPr="007D47AD">
        <w:rPr>
          <w:rFonts w:asciiTheme="minorHAnsi" w:eastAsia="Times New Roman" w:hAnsiTheme="minorHAnsi" w:cs="Arial"/>
          <w:sz w:val="20"/>
          <w:szCs w:val="20"/>
          <w:lang w:val="en-US"/>
        </w:rPr>
        <w:t>has lapsed.</w:t>
      </w:r>
      <w:r w:rsidR="00171932" w:rsidRPr="007D47AD">
        <w:rPr>
          <w:rStyle w:val="FootnoteReference"/>
          <w:rFonts w:asciiTheme="minorHAnsi" w:eastAsia="Times New Roman" w:hAnsiTheme="minorHAnsi" w:cs="Arial"/>
          <w:sz w:val="20"/>
          <w:szCs w:val="20"/>
          <w:lang w:val="en-US"/>
        </w:rPr>
        <w:footnoteReference w:id="78"/>
      </w:r>
    </w:p>
    <w:p w:rsidR="009B2E28" w:rsidRPr="007D47AD" w:rsidRDefault="007E181B" w:rsidP="000710E4">
      <w:pPr>
        <w:numPr>
          <w:ilvl w:val="1"/>
          <w:numId w:val="6"/>
        </w:numPr>
        <w:shd w:val="clear" w:color="auto" w:fill="FFFFFF"/>
        <w:spacing w:after="240" w:line="240" w:lineRule="auto"/>
        <w:ind w:left="1440" w:hanging="720"/>
        <w:jc w:val="both"/>
        <w:rPr>
          <w:rFonts w:asciiTheme="minorHAnsi" w:eastAsia="Times New Roman" w:hAnsiTheme="minorHAnsi" w:cs="Arial"/>
          <w:sz w:val="20"/>
          <w:szCs w:val="20"/>
          <w:lang w:val="en-US"/>
        </w:rPr>
      </w:pPr>
      <w:r w:rsidRPr="007D47AD">
        <w:rPr>
          <w:rFonts w:asciiTheme="minorHAnsi" w:eastAsia="Times New Roman" w:hAnsiTheme="minorHAnsi" w:cs="Arial"/>
          <w:sz w:val="20"/>
          <w:szCs w:val="20"/>
          <w:lang w:val="en-US"/>
        </w:rPr>
        <w:t>National</w:t>
      </w:r>
      <w:r w:rsidR="00C92135" w:rsidRPr="007D47AD">
        <w:rPr>
          <w:rFonts w:asciiTheme="minorHAnsi" w:eastAsia="Times New Roman" w:hAnsiTheme="minorHAnsi" w:cs="Arial"/>
          <w:sz w:val="20"/>
          <w:szCs w:val="20"/>
          <w:lang w:val="en-US"/>
        </w:rPr>
        <w:t xml:space="preserve"> Registry of Deceased Persons not identified and not claimed: According to the General </w:t>
      </w:r>
      <w:r w:rsidR="006D4C26" w:rsidRPr="007D47AD">
        <w:rPr>
          <w:rFonts w:asciiTheme="minorHAnsi" w:eastAsia="Times New Roman" w:hAnsiTheme="minorHAnsi" w:cs="Arial"/>
          <w:sz w:val="20"/>
          <w:szCs w:val="20"/>
          <w:lang w:val="en-US"/>
        </w:rPr>
        <w:t>L</w:t>
      </w:r>
      <w:r w:rsidR="00C92135" w:rsidRPr="007D47AD">
        <w:rPr>
          <w:rFonts w:asciiTheme="minorHAnsi" w:eastAsia="Times New Roman" w:hAnsiTheme="minorHAnsi" w:cs="Arial"/>
          <w:sz w:val="20"/>
          <w:szCs w:val="20"/>
          <w:lang w:val="en-US"/>
        </w:rPr>
        <w:t xml:space="preserve">aw the Registry is the instrument that </w:t>
      </w:r>
      <w:r w:rsidR="00A32EA0" w:rsidRPr="007D47AD">
        <w:rPr>
          <w:rFonts w:asciiTheme="minorHAnsi" w:eastAsia="Times New Roman" w:hAnsiTheme="minorHAnsi" w:cs="Arial"/>
          <w:sz w:val="20"/>
          <w:szCs w:val="20"/>
          <w:lang w:val="en-US"/>
        </w:rPr>
        <w:t>has pulls together the forensic information that has been processed on the human remains found in the national territory</w:t>
      </w:r>
      <w:r w:rsidR="00C735CE" w:rsidRPr="007D47AD">
        <w:rPr>
          <w:rFonts w:asciiTheme="minorHAnsi" w:eastAsia="Times New Roman" w:hAnsiTheme="minorHAnsi" w:cs="Arial"/>
          <w:sz w:val="20"/>
          <w:szCs w:val="20"/>
          <w:lang w:val="en-US"/>
        </w:rPr>
        <w:t xml:space="preserve">. </w:t>
      </w:r>
      <w:r w:rsidR="00A32EA0" w:rsidRPr="007D47AD">
        <w:rPr>
          <w:rFonts w:asciiTheme="minorHAnsi" w:eastAsia="Times New Roman" w:hAnsiTheme="minorHAnsi" w:cs="Arial"/>
          <w:sz w:val="20"/>
          <w:szCs w:val="20"/>
          <w:lang w:val="en-US"/>
        </w:rPr>
        <w:t xml:space="preserve">Establishing that Registry is a responsibility of the </w:t>
      </w:r>
      <w:r w:rsidR="008123B4" w:rsidRPr="007D47AD">
        <w:rPr>
          <w:rFonts w:asciiTheme="minorHAnsi" w:eastAsia="Times New Roman" w:hAnsiTheme="minorHAnsi" w:cs="Arial"/>
          <w:sz w:val="20"/>
          <w:szCs w:val="20"/>
          <w:lang w:val="en-US"/>
        </w:rPr>
        <w:t>F</w:t>
      </w:r>
      <w:r w:rsidR="00A17F23" w:rsidRPr="007D47AD">
        <w:rPr>
          <w:rFonts w:asciiTheme="minorHAnsi" w:eastAsia="Times New Roman" w:hAnsiTheme="minorHAnsi" w:cs="Arial"/>
          <w:sz w:val="20"/>
          <w:szCs w:val="20"/>
          <w:lang w:val="en-US"/>
        </w:rPr>
        <w:t xml:space="preserve">GR, </w:t>
      </w:r>
      <w:r w:rsidR="00A32EA0" w:rsidRPr="007D47AD">
        <w:rPr>
          <w:rFonts w:asciiTheme="minorHAnsi" w:eastAsia="Times New Roman" w:hAnsiTheme="minorHAnsi" w:cs="Arial"/>
          <w:sz w:val="20"/>
          <w:szCs w:val="20"/>
          <w:lang w:val="en-US"/>
        </w:rPr>
        <w:t>yet as of the adoption of this report it has not been established, even though the legal time for doing so has lapsed.</w:t>
      </w:r>
      <w:r w:rsidR="0057586B" w:rsidRPr="007D47AD">
        <w:rPr>
          <w:rStyle w:val="FootnoteReference"/>
          <w:rFonts w:asciiTheme="minorHAnsi" w:eastAsia="Times New Roman" w:hAnsiTheme="minorHAnsi" w:cs="Arial"/>
          <w:sz w:val="20"/>
          <w:szCs w:val="20"/>
          <w:lang w:val="en-US"/>
        </w:rPr>
        <w:footnoteReference w:id="79"/>
      </w:r>
      <w:r w:rsidR="00A32EA0" w:rsidRPr="007D47AD">
        <w:rPr>
          <w:rFonts w:asciiTheme="minorHAnsi" w:eastAsia="Times New Roman" w:hAnsiTheme="minorHAnsi" w:cs="Arial"/>
          <w:sz w:val="20"/>
          <w:szCs w:val="20"/>
          <w:lang w:val="en-US"/>
        </w:rPr>
        <w:t xml:space="preserve"> </w:t>
      </w:r>
    </w:p>
    <w:p w:rsidR="009B2E28" w:rsidRPr="007D47AD" w:rsidRDefault="00A32EA0" w:rsidP="00517B64">
      <w:pPr>
        <w:numPr>
          <w:ilvl w:val="1"/>
          <w:numId w:val="6"/>
        </w:numPr>
        <w:shd w:val="clear" w:color="auto" w:fill="FFFFFF"/>
        <w:spacing w:after="240" w:line="240" w:lineRule="auto"/>
        <w:ind w:left="1440" w:hanging="720"/>
        <w:jc w:val="both"/>
        <w:rPr>
          <w:rFonts w:asciiTheme="minorHAnsi" w:eastAsia="Times New Roman" w:hAnsiTheme="minorHAnsi" w:cs="Arial"/>
          <w:sz w:val="20"/>
          <w:szCs w:val="20"/>
          <w:lang w:val="en-US"/>
        </w:rPr>
      </w:pPr>
      <w:r w:rsidRPr="007D47AD">
        <w:rPr>
          <w:rFonts w:asciiTheme="minorHAnsi" w:eastAsia="Times New Roman" w:hAnsiTheme="minorHAnsi" w:cs="Arial"/>
          <w:sz w:val="20"/>
          <w:szCs w:val="20"/>
          <w:lang w:val="en-US"/>
        </w:rPr>
        <w:t xml:space="preserve">National </w:t>
      </w:r>
      <w:r w:rsidR="00F354E4" w:rsidRPr="007D47AD">
        <w:rPr>
          <w:rFonts w:asciiTheme="minorHAnsi" w:eastAsia="Times New Roman" w:hAnsiTheme="minorHAnsi" w:cs="Arial"/>
          <w:sz w:val="20"/>
          <w:szCs w:val="20"/>
          <w:lang w:val="en-US"/>
        </w:rPr>
        <w:t>Registr</w:t>
      </w:r>
      <w:r w:rsidRPr="007D47AD">
        <w:rPr>
          <w:rFonts w:asciiTheme="minorHAnsi" w:eastAsia="Times New Roman" w:hAnsiTheme="minorHAnsi" w:cs="Arial"/>
          <w:sz w:val="20"/>
          <w:szCs w:val="20"/>
          <w:lang w:val="en-US"/>
        </w:rPr>
        <w:t>y of Graves</w:t>
      </w:r>
      <w:r w:rsidR="00700DF6" w:rsidRPr="007D47AD">
        <w:rPr>
          <w:rFonts w:asciiTheme="minorHAnsi" w:eastAsia="Times New Roman" w:hAnsiTheme="minorHAnsi" w:cs="Arial"/>
          <w:sz w:val="20"/>
          <w:szCs w:val="20"/>
          <w:lang w:val="en-US"/>
        </w:rPr>
        <w:t xml:space="preserve">: </w:t>
      </w:r>
      <w:r w:rsidR="00517B64" w:rsidRPr="007D47AD">
        <w:rPr>
          <w:rFonts w:asciiTheme="minorHAnsi" w:eastAsia="Times New Roman" w:hAnsiTheme="minorHAnsi" w:cs="Arial"/>
          <w:sz w:val="20"/>
          <w:szCs w:val="20"/>
          <w:lang w:val="en-US"/>
        </w:rPr>
        <w:t>As of the date of the adoption of this report, that Registry has not been created even though the legal time for doing so has lapsed</w:t>
      </w:r>
      <w:r w:rsidR="00D20AE5" w:rsidRPr="007D47AD">
        <w:rPr>
          <w:rStyle w:val="FootnoteReference"/>
          <w:rFonts w:asciiTheme="minorHAnsi" w:eastAsia="Times New Roman" w:hAnsiTheme="minorHAnsi" w:cs="Arial"/>
          <w:sz w:val="20"/>
          <w:szCs w:val="20"/>
          <w:lang w:val="en-US"/>
        </w:rPr>
        <w:footnoteReference w:id="80"/>
      </w:r>
      <w:r w:rsidR="00D20AE5" w:rsidRPr="007D47AD">
        <w:rPr>
          <w:rFonts w:asciiTheme="minorHAnsi" w:eastAsia="Times New Roman" w:hAnsiTheme="minorHAnsi" w:cs="Arial"/>
          <w:sz w:val="20"/>
          <w:szCs w:val="20"/>
          <w:lang w:val="en-US"/>
        </w:rPr>
        <w:t xml:space="preserve">, </w:t>
      </w:r>
      <w:r w:rsidR="00517B64" w:rsidRPr="007D47AD">
        <w:rPr>
          <w:rFonts w:asciiTheme="minorHAnsi" w:eastAsia="Times New Roman" w:hAnsiTheme="minorHAnsi" w:cs="Arial"/>
          <w:sz w:val="20"/>
          <w:szCs w:val="20"/>
          <w:lang w:val="en-US"/>
        </w:rPr>
        <w:t xml:space="preserve">though on August </w:t>
      </w:r>
      <w:r w:rsidR="00D20AE5" w:rsidRPr="007D47AD">
        <w:rPr>
          <w:rFonts w:asciiTheme="minorHAnsi" w:eastAsia="Times New Roman" w:hAnsiTheme="minorHAnsi" w:cs="Arial"/>
          <w:sz w:val="20"/>
          <w:szCs w:val="20"/>
          <w:lang w:val="en-US"/>
        </w:rPr>
        <w:t>30</w:t>
      </w:r>
      <w:r w:rsidR="00517B64" w:rsidRPr="007D47AD">
        <w:rPr>
          <w:rFonts w:asciiTheme="minorHAnsi" w:eastAsia="Times New Roman" w:hAnsiTheme="minorHAnsi" w:cs="Arial"/>
          <w:sz w:val="20"/>
          <w:szCs w:val="20"/>
          <w:lang w:val="en-US"/>
        </w:rPr>
        <w:t>,</w:t>
      </w:r>
      <w:r w:rsidR="00D20AE5" w:rsidRPr="007D47AD">
        <w:rPr>
          <w:rFonts w:asciiTheme="minorHAnsi" w:eastAsia="Times New Roman" w:hAnsiTheme="minorHAnsi" w:cs="Arial"/>
          <w:sz w:val="20"/>
          <w:szCs w:val="20"/>
          <w:lang w:val="en-US"/>
        </w:rPr>
        <w:t xml:space="preserve"> 2019 </w:t>
      </w:r>
      <w:r w:rsidR="00517B64" w:rsidRPr="007D47AD">
        <w:rPr>
          <w:rFonts w:asciiTheme="minorHAnsi" w:eastAsia="Times New Roman" w:hAnsiTheme="minorHAnsi" w:cs="Arial"/>
          <w:sz w:val="20"/>
          <w:szCs w:val="20"/>
          <w:lang w:val="en-US"/>
        </w:rPr>
        <w:t xml:space="preserve">the </w:t>
      </w:r>
      <w:r w:rsidR="00FF6E49" w:rsidRPr="007D47AD">
        <w:rPr>
          <w:rFonts w:asciiTheme="minorHAnsi" w:eastAsia="Times New Roman" w:hAnsiTheme="minorHAnsi" w:cs="Arial"/>
          <w:sz w:val="20"/>
          <w:szCs w:val="20"/>
          <w:lang w:val="en-US"/>
        </w:rPr>
        <w:t xml:space="preserve">CNB </w:t>
      </w:r>
      <w:r w:rsidR="00517B64" w:rsidRPr="007D47AD">
        <w:rPr>
          <w:rFonts w:asciiTheme="minorHAnsi" w:eastAsia="Times New Roman" w:hAnsiTheme="minorHAnsi" w:cs="Arial"/>
          <w:sz w:val="20"/>
          <w:szCs w:val="20"/>
          <w:lang w:val="en-US"/>
        </w:rPr>
        <w:t xml:space="preserve">indicated that since </w:t>
      </w:r>
      <w:r w:rsidR="00D20AE5" w:rsidRPr="007D47AD">
        <w:rPr>
          <w:rFonts w:asciiTheme="minorHAnsi" w:eastAsia="Times New Roman" w:hAnsiTheme="minorHAnsi" w:cs="Arial"/>
          <w:sz w:val="20"/>
          <w:szCs w:val="20"/>
          <w:lang w:val="en-US"/>
        </w:rPr>
        <w:t>2006 3</w:t>
      </w:r>
      <w:r w:rsidR="00517B64" w:rsidRPr="007D47AD">
        <w:rPr>
          <w:rFonts w:asciiTheme="minorHAnsi" w:eastAsia="Times New Roman" w:hAnsiTheme="minorHAnsi" w:cs="Arial"/>
          <w:sz w:val="20"/>
          <w:szCs w:val="20"/>
          <w:lang w:val="en-US"/>
        </w:rPr>
        <w:t>,</w:t>
      </w:r>
      <w:r w:rsidR="00D20AE5" w:rsidRPr="007D47AD">
        <w:rPr>
          <w:rFonts w:asciiTheme="minorHAnsi" w:eastAsia="Times New Roman" w:hAnsiTheme="minorHAnsi" w:cs="Arial"/>
          <w:sz w:val="20"/>
          <w:szCs w:val="20"/>
          <w:lang w:val="en-US"/>
        </w:rPr>
        <w:t>024 clandestin</w:t>
      </w:r>
      <w:r w:rsidR="00517B64" w:rsidRPr="007D47AD">
        <w:rPr>
          <w:rFonts w:asciiTheme="minorHAnsi" w:eastAsia="Times New Roman" w:hAnsiTheme="minorHAnsi" w:cs="Arial"/>
          <w:sz w:val="20"/>
          <w:szCs w:val="20"/>
          <w:lang w:val="en-US"/>
        </w:rPr>
        <w:t xml:space="preserve">e graves have been found, from which </w:t>
      </w:r>
      <w:r w:rsidR="00D20AE5" w:rsidRPr="007D47AD">
        <w:rPr>
          <w:rFonts w:asciiTheme="minorHAnsi" w:eastAsia="Times New Roman" w:hAnsiTheme="minorHAnsi" w:cs="Arial"/>
          <w:sz w:val="20"/>
          <w:szCs w:val="20"/>
          <w:lang w:val="en-US"/>
        </w:rPr>
        <w:t>4</w:t>
      </w:r>
      <w:r w:rsidR="00517B64" w:rsidRPr="007D47AD">
        <w:rPr>
          <w:rFonts w:asciiTheme="minorHAnsi" w:eastAsia="Times New Roman" w:hAnsiTheme="minorHAnsi" w:cs="Arial"/>
          <w:sz w:val="20"/>
          <w:szCs w:val="20"/>
          <w:lang w:val="en-US"/>
        </w:rPr>
        <w:t>,</w:t>
      </w:r>
      <w:r w:rsidR="00D20AE5" w:rsidRPr="007D47AD">
        <w:rPr>
          <w:rFonts w:asciiTheme="minorHAnsi" w:eastAsia="Times New Roman" w:hAnsiTheme="minorHAnsi" w:cs="Arial"/>
          <w:sz w:val="20"/>
          <w:szCs w:val="20"/>
          <w:lang w:val="en-US"/>
        </w:rPr>
        <w:t xml:space="preserve">974 </w:t>
      </w:r>
      <w:r w:rsidR="00517B64" w:rsidRPr="007D47AD">
        <w:rPr>
          <w:rFonts w:asciiTheme="minorHAnsi" w:eastAsia="Times New Roman" w:hAnsiTheme="minorHAnsi" w:cs="Arial"/>
          <w:sz w:val="20"/>
          <w:szCs w:val="20"/>
          <w:lang w:val="en-US"/>
        </w:rPr>
        <w:t>bodies have been exhumed.</w:t>
      </w:r>
      <w:r w:rsidR="00700DF6" w:rsidRPr="007D47AD">
        <w:rPr>
          <w:rStyle w:val="FootnoteReference"/>
          <w:rFonts w:asciiTheme="minorHAnsi" w:eastAsia="Times New Roman" w:hAnsiTheme="minorHAnsi" w:cs="Arial"/>
          <w:sz w:val="20"/>
          <w:szCs w:val="20"/>
          <w:lang w:val="en-US"/>
        </w:rPr>
        <w:footnoteReference w:id="81"/>
      </w:r>
      <w:r w:rsidR="00700DF6" w:rsidRPr="007D47AD">
        <w:rPr>
          <w:rFonts w:asciiTheme="minorHAnsi" w:eastAsia="Times New Roman" w:hAnsiTheme="minorHAnsi" w:cs="Arial"/>
          <w:sz w:val="20"/>
          <w:szCs w:val="20"/>
          <w:lang w:val="en-US"/>
        </w:rPr>
        <w:t xml:space="preserve"> </w:t>
      </w:r>
    </w:p>
    <w:p w:rsidR="009B2E28" w:rsidRPr="007D47AD" w:rsidRDefault="00F354E4" w:rsidP="000710E4">
      <w:pPr>
        <w:numPr>
          <w:ilvl w:val="1"/>
          <w:numId w:val="6"/>
        </w:numPr>
        <w:shd w:val="clear" w:color="auto" w:fill="FFFFFF"/>
        <w:spacing w:after="240" w:line="240" w:lineRule="auto"/>
        <w:ind w:left="1440" w:hanging="720"/>
        <w:jc w:val="both"/>
        <w:rPr>
          <w:rFonts w:asciiTheme="minorHAnsi" w:eastAsia="Times New Roman" w:hAnsiTheme="minorHAnsi" w:cs="Arial"/>
          <w:sz w:val="20"/>
          <w:szCs w:val="20"/>
          <w:lang w:val="en-US"/>
        </w:rPr>
      </w:pPr>
      <w:r w:rsidRPr="007D47AD">
        <w:rPr>
          <w:rFonts w:asciiTheme="minorHAnsi" w:eastAsia="Times New Roman" w:hAnsiTheme="minorHAnsi" w:cs="Arial"/>
          <w:sz w:val="20"/>
          <w:szCs w:val="20"/>
          <w:lang w:val="en-US"/>
        </w:rPr>
        <w:t>Administrativ</w:t>
      </w:r>
      <w:r w:rsidR="00517B64" w:rsidRPr="007D47AD">
        <w:rPr>
          <w:rFonts w:asciiTheme="minorHAnsi" w:eastAsia="Times New Roman" w:hAnsiTheme="minorHAnsi" w:cs="Arial"/>
          <w:sz w:val="20"/>
          <w:szCs w:val="20"/>
          <w:lang w:val="en-US"/>
        </w:rPr>
        <w:t>e Registry of Arrests</w:t>
      </w:r>
      <w:r w:rsidR="00534E67" w:rsidRPr="007D47AD">
        <w:rPr>
          <w:rFonts w:asciiTheme="minorHAnsi" w:eastAsia="Times New Roman" w:hAnsiTheme="minorHAnsi" w:cs="Arial"/>
          <w:sz w:val="20"/>
          <w:szCs w:val="20"/>
          <w:lang w:val="en-US"/>
        </w:rPr>
        <w:t>:</w:t>
      </w:r>
      <w:r w:rsidR="00517B64" w:rsidRPr="007D47AD">
        <w:rPr>
          <w:rFonts w:asciiTheme="minorHAnsi" w:eastAsia="Times New Roman" w:hAnsiTheme="minorHAnsi" w:cs="Arial"/>
          <w:sz w:val="20"/>
          <w:szCs w:val="20"/>
          <w:lang w:val="en-US"/>
        </w:rPr>
        <w:t xml:space="preserve"> According </w:t>
      </w:r>
      <w:r w:rsidR="00534E67" w:rsidRPr="007D47AD">
        <w:rPr>
          <w:rFonts w:asciiTheme="minorHAnsi" w:eastAsia="Times New Roman" w:hAnsiTheme="minorHAnsi" w:cs="Arial"/>
          <w:sz w:val="20"/>
          <w:szCs w:val="20"/>
          <w:lang w:val="en-US"/>
        </w:rPr>
        <w:t xml:space="preserve">to what </w:t>
      </w:r>
      <w:r w:rsidR="00517B64" w:rsidRPr="007D47AD">
        <w:rPr>
          <w:rFonts w:asciiTheme="minorHAnsi" w:eastAsia="Times New Roman" w:hAnsiTheme="minorHAnsi" w:cs="Arial"/>
          <w:sz w:val="20"/>
          <w:szCs w:val="20"/>
          <w:lang w:val="en-US"/>
        </w:rPr>
        <w:t xml:space="preserve">the </w:t>
      </w:r>
      <w:r w:rsidR="009B2E28" w:rsidRPr="007D47AD">
        <w:rPr>
          <w:rFonts w:asciiTheme="minorHAnsi" w:eastAsia="Times New Roman" w:hAnsiTheme="minorHAnsi" w:cs="Arial"/>
          <w:sz w:val="20"/>
          <w:szCs w:val="20"/>
          <w:lang w:val="en-US"/>
        </w:rPr>
        <w:t>CNDH</w:t>
      </w:r>
      <w:r w:rsidR="00517B64" w:rsidRPr="007D47AD">
        <w:rPr>
          <w:rFonts w:asciiTheme="minorHAnsi" w:eastAsia="Times New Roman" w:hAnsiTheme="minorHAnsi" w:cs="Arial"/>
          <w:sz w:val="20"/>
          <w:szCs w:val="20"/>
          <w:lang w:val="en-US"/>
        </w:rPr>
        <w:t xml:space="preserve"> indicated on May</w:t>
      </w:r>
      <w:r w:rsidR="009B2E28" w:rsidRPr="007D47AD">
        <w:rPr>
          <w:rFonts w:asciiTheme="minorHAnsi" w:eastAsia="Times New Roman" w:hAnsiTheme="minorHAnsi" w:cs="Arial"/>
          <w:sz w:val="20"/>
          <w:szCs w:val="20"/>
          <w:lang w:val="en-US"/>
        </w:rPr>
        <w:t xml:space="preserve"> </w:t>
      </w:r>
      <w:r w:rsidR="00E20B6E" w:rsidRPr="007D47AD">
        <w:rPr>
          <w:rFonts w:asciiTheme="minorHAnsi" w:eastAsia="Times New Roman" w:hAnsiTheme="minorHAnsi" w:cs="Arial"/>
          <w:sz w:val="20"/>
          <w:szCs w:val="20"/>
          <w:lang w:val="en-US"/>
        </w:rPr>
        <w:t>27</w:t>
      </w:r>
      <w:r w:rsidR="00517B64" w:rsidRPr="007D47AD">
        <w:rPr>
          <w:rFonts w:asciiTheme="minorHAnsi" w:eastAsia="Times New Roman" w:hAnsiTheme="minorHAnsi" w:cs="Arial"/>
          <w:sz w:val="20"/>
          <w:szCs w:val="20"/>
          <w:lang w:val="en-US"/>
        </w:rPr>
        <w:t>,</w:t>
      </w:r>
      <w:r w:rsidR="00E20B6E" w:rsidRPr="007D47AD">
        <w:rPr>
          <w:rFonts w:asciiTheme="minorHAnsi" w:eastAsia="Times New Roman" w:hAnsiTheme="minorHAnsi" w:cs="Arial"/>
          <w:sz w:val="20"/>
          <w:szCs w:val="20"/>
          <w:lang w:val="en-US"/>
        </w:rPr>
        <w:t xml:space="preserve"> 2019</w:t>
      </w:r>
      <w:r w:rsidR="00517B64" w:rsidRPr="007D47AD">
        <w:rPr>
          <w:rFonts w:asciiTheme="minorHAnsi" w:eastAsia="Times New Roman" w:hAnsiTheme="minorHAnsi" w:cs="Arial"/>
          <w:sz w:val="20"/>
          <w:szCs w:val="20"/>
          <w:lang w:val="en-US"/>
        </w:rPr>
        <w:t>,</w:t>
      </w:r>
      <w:r w:rsidR="00E20B6E" w:rsidRPr="007D47AD">
        <w:rPr>
          <w:rFonts w:asciiTheme="minorHAnsi" w:eastAsia="Times New Roman" w:hAnsiTheme="minorHAnsi" w:cs="Arial"/>
          <w:sz w:val="20"/>
          <w:szCs w:val="20"/>
          <w:lang w:val="en-US"/>
        </w:rPr>
        <w:t xml:space="preserve"> </w:t>
      </w:r>
      <w:r w:rsidR="00517B64" w:rsidRPr="007D47AD">
        <w:rPr>
          <w:rFonts w:asciiTheme="minorHAnsi" w:eastAsia="Times New Roman" w:hAnsiTheme="minorHAnsi" w:cs="Arial"/>
          <w:sz w:val="20"/>
          <w:szCs w:val="20"/>
          <w:lang w:val="en-US"/>
        </w:rPr>
        <w:t xml:space="preserve">the </w:t>
      </w:r>
      <w:r w:rsidR="00B613B2" w:rsidRPr="007D47AD">
        <w:rPr>
          <w:rFonts w:asciiTheme="minorHAnsi" w:eastAsia="Times New Roman" w:hAnsiTheme="minorHAnsi" w:cs="Arial"/>
          <w:sz w:val="20"/>
          <w:szCs w:val="20"/>
          <w:lang w:val="en-US"/>
        </w:rPr>
        <w:t xml:space="preserve">Federal </w:t>
      </w:r>
      <w:r w:rsidR="00517B64" w:rsidRPr="007D47AD">
        <w:rPr>
          <w:rFonts w:asciiTheme="minorHAnsi" w:eastAsia="Times New Roman" w:hAnsiTheme="minorHAnsi" w:cs="Arial"/>
          <w:sz w:val="20"/>
          <w:szCs w:val="20"/>
          <w:lang w:val="en-US"/>
        </w:rPr>
        <w:t xml:space="preserve">Law on Registry of Arrests and Administrative Registry of Arrests is in the implementation phase. The </w:t>
      </w:r>
      <w:r w:rsidR="00B613B2" w:rsidRPr="007D47AD">
        <w:rPr>
          <w:rFonts w:asciiTheme="minorHAnsi" w:eastAsia="Times New Roman" w:hAnsiTheme="minorHAnsi" w:cs="Arial"/>
          <w:sz w:val="20"/>
          <w:szCs w:val="20"/>
          <w:lang w:val="en-US"/>
        </w:rPr>
        <w:t xml:space="preserve">Federal </w:t>
      </w:r>
      <w:r w:rsidR="0057586B" w:rsidRPr="007D47AD">
        <w:rPr>
          <w:rFonts w:asciiTheme="minorHAnsi" w:eastAsia="Times New Roman" w:hAnsiTheme="minorHAnsi" w:cs="Arial"/>
          <w:sz w:val="20"/>
          <w:szCs w:val="20"/>
          <w:lang w:val="en-US"/>
        </w:rPr>
        <w:t xml:space="preserve">Law on Registry of </w:t>
      </w:r>
      <w:r w:rsidR="00517B64" w:rsidRPr="007D47AD">
        <w:rPr>
          <w:rFonts w:asciiTheme="minorHAnsi" w:eastAsia="Times New Roman" w:hAnsiTheme="minorHAnsi" w:cs="Arial"/>
          <w:sz w:val="20"/>
          <w:szCs w:val="20"/>
          <w:lang w:val="en-US"/>
        </w:rPr>
        <w:t xml:space="preserve">Arrests was published and the </w:t>
      </w:r>
      <w:r w:rsidR="009B2E28" w:rsidRPr="007D47AD">
        <w:rPr>
          <w:rFonts w:asciiTheme="minorHAnsi" w:eastAsia="Times New Roman" w:hAnsiTheme="minorHAnsi" w:cs="Arial"/>
          <w:sz w:val="20"/>
          <w:szCs w:val="20"/>
          <w:lang w:val="en-US"/>
        </w:rPr>
        <w:t>Administrativ</w:t>
      </w:r>
      <w:r w:rsidR="00517B64" w:rsidRPr="007D47AD">
        <w:rPr>
          <w:rFonts w:asciiTheme="minorHAnsi" w:eastAsia="Times New Roman" w:hAnsiTheme="minorHAnsi" w:cs="Arial"/>
          <w:sz w:val="20"/>
          <w:szCs w:val="20"/>
          <w:lang w:val="en-US"/>
        </w:rPr>
        <w:t>e Registry of Arrests is in the implementation phase.</w:t>
      </w:r>
      <w:r w:rsidR="009B2E28" w:rsidRPr="007D47AD">
        <w:rPr>
          <w:rStyle w:val="FootnoteReference"/>
          <w:rFonts w:asciiTheme="minorHAnsi" w:eastAsia="Times New Roman" w:hAnsiTheme="minorHAnsi" w:cs="Arial"/>
          <w:sz w:val="20"/>
          <w:szCs w:val="20"/>
          <w:lang w:val="en-US"/>
        </w:rPr>
        <w:footnoteReference w:id="82"/>
      </w:r>
      <w:r w:rsidR="009B2E28" w:rsidRPr="007D47AD">
        <w:rPr>
          <w:rFonts w:asciiTheme="minorHAnsi" w:eastAsia="Times New Roman" w:hAnsiTheme="minorHAnsi" w:cs="Arial"/>
          <w:sz w:val="20"/>
          <w:szCs w:val="20"/>
          <w:lang w:val="en-US"/>
        </w:rPr>
        <w:t xml:space="preserve"> </w:t>
      </w:r>
    </w:p>
    <w:p w:rsidR="001A136A" w:rsidRPr="007D47AD" w:rsidRDefault="00BC3FDA" w:rsidP="000710E4">
      <w:pPr>
        <w:numPr>
          <w:ilvl w:val="1"/>
          <w:numId w:val="6"/>
        </w:numPr>
        <w:shd w:val="clear" w:color="auto" w:fill="FFFFFF"/>
        <w:spacing w:after="240" w:line="240" w:lineRule="auto"/>
        <w:ind w:left="1440" w:hanging="720"/>
        <w:jc w:val="both"/>
        <w:rPr>
          <w:rFonts w:asciiTheme="minorHAnsi" w:eastAsia="Times New Roman" w:hAnsiTheme="minorHAnsi" w:cs="Arial"/>
          <w:sz w:val="20"/>
          <w:szCs w:val="20"/>
          <w:lang w:val="en-US"/>
        </w:rPr>
      </w:pPr>
      <w:r w:rsidRPr="007D47AD">
        <w:rPr>
          <w:rFonts w:asciiTheme="minorHAnsi" w:eastAsia="Times New Roman" w:hAnsiTheme="minorHAnsi" w:cs="Arial"/>
          <w:sz w:val="20"/>
          <w:szCs w:val="20"/>
          <w:lang w:val="en-US"/>
        </w:rPr>
        <w:t>AMBER</w:t>
      </w:r>
      <w:r w:rsidR="00517B64" w:rsidRPr="007D47AD">
        <w:rPr>
          <w:rFonts w:asciiTheme="minorHAnsi" w:eastAsia="Times New Roman" w:hAnsiTheme="minorHAnsi" w:cs="Arial"/>
          <w:sz w:val="20"/>
          <w:szCs w:val="20"/>
          <w:lang w:val="en-US"/>
        </w:rPr>
        <w:t xml:space="preserve"> alert</w:t>
      </w:r>
      <w:r w:rsidR="005F42C3" w:rsidRPr="007D47AD">
        <w:rPr>
          <w:rFonts w:asciiTheme="minorHAnsi" w:eastAsia="Times New Roman" w:hAnsiTheme="minorHAnsi" w:cs="Arial"/>
          <w:sz w:val="20"/>
          <w:szCs w:val="20"/>
          <w:lang w:val="en-US"/>
        </w:rPr>
        <w:t xml:space="preserve">: </w:t>
      </w:r>
      <w:r w:rsidR="00517B64" w:rsidRPr="007D47AD">
        <w:rPr>
          <w:rFonts w:asciiTheme="minorHAnsi" w:eastAsia="Times New Roman" w:hAnsiTheme="minorHAnsi" w:cs="Arial"/>
          <w:sz w:val="20"/>
          <w:szCs w:val="20"/>
          <w:lang w:val="en-US"/>
        </w:rPr>
        <w:t xml:space="preserve">The IACHR did not identify up-to-date information with respect to the </w:t>
      </w:r>
      <w:r w:rsidR="00140942" w:rsidRPr="007D47AD">
        <w:rPr>
          <w:rFonts w:asciiTheme="minorHAnsi" w:eastAsia="Times New Roman" w:hAnsiTheme="minorHAnsi" w:cs="Arial"/>
          <w:sz w:val="20"/>
          <w:szCs w:val="20"/>
          <w:lang w:val="en-US"/>
        </w:rPr>
        <w:t xml:space="preserve">steps </w:t>
      </w:r>
      <w:r w:rsidR="00517B64" w:rsidRPr="007D47AD">
        <w:rPr>
          <w:rFonts w:asciiTheme="minorHAnsi" w:eastAsia="Times New Roman" w:hAnsiTheme="minorHAnsi" w:cs="Arial"/>
          <w:sz w:val="20"/>
          <w:szCs w:val="20"/>
          <w:lang w:val="en-US"/>
        </w:rPr>
        <w:t xml:space="preserve">for activating the </w:t>
      </w:r>
      <w:r w:rsidR="00A3384F" w:rsidRPr="007D47AD">
        <w:rPr>
          <w:rFonts w:asciiTheme="minorHAnsi" w:eastAsia="Times New Roman" w:hAnsiTheme="minorHAnsi" w:cs="Arial"/>
          <w:sz w:val="20"/>
          <w:szCs w:val="20"/>
          <w:lang w:val="en-US"/>
        </w:rPr>
        <w:t xml:space="preserve">AMBER </w:t>
      </w:r>
      <w:r w:rsidR="00517B64" w:rsidRPr="007D47AD">
        <w:rPr>
          <w:rFonts w:asciiTheme="minorHAnsi" w:eastAsia="Times New Roman" w:hAnsiTheme="minorHAnsi" w:cs="Arial"/>
          <w:sz w:val="20"/>
          <w:szCs w:val="20"/>
          <w:lang w:val="en-US"/>
        </w:rPr>
        <w:t>alert in the even</w:t>
      </w:r>
      <w:r w:rsidR="00140942" w:rsidRPr="007D47AD">
        <w:rPr>
          <w:rFonts w:asciiTheme="minorHAnsi" w:eastAsia="Times New Roman" w:hAnsiTheme="minorHAnsi" w:cs="Arial"/>
          <w:sz w:val="20"/>
          <w:szCs w:val="20"/>
          <w:lang w:val="en-US"/>
        </w:rPr>
        <w:t>t</w:t>
      </w:r>
      <w:r w:rsidR="00517B64" w:rsidRPr="007D47AD">
        <w:rPr>
          <w:rFonts w:asciiTheme="minorHAnsi" w:eastAsia="Times New Roman" w:hAnsiTheme="minorHAnsi" w:cs="Arial"/>
          <w:sz w:val="20"/>
          <w:szCs w:val="20"/>
          <w:lang w:val="en-US"/>
        </w:rPr>
        <w:t xml:space="preserve"> of a disappearance of persons. </w:t>
      </w:r>
      <w:r w:rsidR="009C6058" w:rsidRPr="007D47AD">
        <w:rPr>
          <w:rFonts w:asciiTheme="minorHAnsi" w:hAnsiTheme="minorHAnsi"/>
          <w:sz w:val="20"/>
          <w:szCs w:val="20"/>
          <w:lang w:val="en-US"/>
        </w:rPr>
        <w:t>In its observations on the draft of this report the State indicated that th</w:t>
      </w:r>
      <w:r w:rsidR="00005E69" w:rsidRPr="007D47AD">
        <w:rPr>
          <w:rFonts w:asciiTheme="minorHAnsi" w:hAnsiTheme="minorHAnsi"/>
          <w:sz w:val="20"/>
          <w:szCs w:val="20"/>
          <w:lang w:val="en-US"/>
        </w:rPr>
        <w:t xml:space="preserve">e AMBER </w:t>
      </w:r>
      <w:r w:rsidR="009C6058" w:rsidRPr="007D47AD">
        <w:rPr>
          <w:rFonts w:asciiTheme="minorHAnsi" w:hAnsiTheme="minorHAnsi"/>
          <w:sz w:val="20"/>
          <w:szCs w:val="20"/>
          <w:lang w:val="en-US"/>
        </w:rPr>
        <w:t>al</w:t>
      </w:r>
      <w:r w:rsidR="00005E69" w:rsidRPr="007D47AD">
        <w:rPr>
          <w:rFonts w:asciiTheme="minorHAnsi" w:hAnsiTheme="minorHAnsi"/>
          <w:sz w:val="20"/>
          <w:szCs w:val="20"/>
          <w:lang w:val="en-US"/>
        </w:rPr>
        <w:t>ert</w:t>
      </w:r>
      <w:r w:rsidR="009C6058" w:rsidRPr="007D47AD">
        <w:rPr>
          <w:rFonts w:asciiTheme="minorHAnsi" w:hAnsiTheme="minorHAnsi"/>
          <w:sz w:val="20"/>
          <w:szCs w:val="20"/>
          <w:lang w:val="en-US"/>
        </w:rPr>
        <w:t xml:space="preserve"> is applied after an evaluation, on a case-by-case basis.</w:t>
      </w:r>
      <w:r w:rsidR="0057586B" w:rsidRPr="007D47AD">
        <w:rPr>
          <w:rStyle w:val="FootnoteReference"/>
          <w:rFonts w:asciiTheme="minorHAnsi" w:hAnsiTheme="minorHAnsi"/>
          <w:sz w:val="20"/>
          <w:szCs w:val="20"/>
          <w:lang w:val="en-US"/>
        </w:rPr>
        <w:footnoteReference w:id="83"/>
      </w:r>
    </w:p>
    <w:p w:rsidR="00905FFC" w:rsidRPr="007D47AD" w:rsidRDefault="00517B64" w:rsidP="009C6058">
      <w:pPr>
        <w:numPr>
          <w:ilvl w:val="1"/>
          <w:numId w:val="6"/>
        </w:numPr>
        <w:shd w:val="clear" w:color="auto" w:fill="FFFFFF"/>
        <w:spacing w:after="240" w:line="240" w:lineRule="auto"/>
        <w:ind w:left="1440" w:hanging="720"/>
        <w:jc w:val="both"/>
        <w:rPr>
          <w:rFonts w:asciiTheme="minorHAnsi" w:eastAsia="Times New Roman" w:hAnsiTheme="minorHAnsi" w:cs="Arial"/>
          <w:sz w:val="20"/>
          <w:szCs w:val="20"/>
          <w:lang w:val="en-US"/>
        </w:rPr>
      </w:pPr>
      <w:r w:rsidRPr="007D47AD">
        <w:rPr>
          <w:rFonts w:asciiTheme="minorHAnsi" w:eastAsia="Times New Roman" w:hAnsiTheme="minorHAnsi" w:cs="Arial"/>
          <w:sz w:val="20"/>
          <w:szCs w:val="20"/>
          <w:lang w:val="en-US"/>
        </w:rPr>
        <w:t>Standardized Search Protocol</w:t>
      </w:r>
      <w:r w:rsidR="00905FFC" w:rsidRPr="007D47AD">
        <w:rPr>
          <w:rFonts w:asciiTheme="minorHAnsi" w:eastAsia="Times New Roman" w:hAnsiTheme="minorHAnsi" w:cs="Arial"/>
          <w:sz w:val="20"/>
          <w:szCs w:val="20"/>
          <w:lang w:val="en-US"/>
        </w:rPr>
        <w:t xml:space="preserve">: </w:t>
      </w:r>
      <w:r w:rsidRPr="007D47AD">
        <w:rPr>
          <w:rFonts w:asciiTheme="minorHAnsi" w:eastAsia="Times New Roman" w:hAnsiTheme="minorHAnsi" w:cs="Arial"/>
          <w:sz w:val="20"/>
          <w:szCs w:val="20"/>
          <w:lang w:val="en-US"/>
        </w:rPr>
        <w:t>The State reported that it will take into account, in establishing it, various theoretical and practical inputs</w:t>
      </w:r>
      <w:r w:rsidR="00140942" w:rsidRPr="007D47AD">
        <w:rPr>
          <w:rFonts w:asciiTheme="minorHAnsi" w:eastAsia="Times New Roman" w:hAnsiTheme="minorHAnsi" w:cs="Arial"/>
          <w:sz w:val="20"/>
          <w:szCs w:val="20"/>
          <w:lang w:val="en-US"/>
        </w:rPr>
        <w:t>;</w:t>
      </w:r>
      <w:r w:rsidRPr="007D47AD">
        <w:rPr>
          <w:rFonts w:asciiTheme="minorHAnsi" w:eastAsia="Times New Roman" w:hAnsiTheme="minorHAnsi" w:cs="Arial"/>
          <w:sz w:val="20"/>
          <w:szCs w:val="20"/>
          <w:lang w:val="en-US"/>
        </w:rPr>
        <w:t xml:space="preserve"> it will be designed with a differentiated approach and will be in line with the international standards of the United Nations.</w:t>
      </w:r>
      <w:r w:rsidR="00905FFC" w:rsidRPr="007D47AD">
        <w:rPr>
          <w:rStyle w:val="FootnoteReference"/>
          <w:rFonts w:asciiTheme="minorHAnsi" w:eastAsia="Times New Roman" w:hAnsiTheme="minorHAnsi" w:cs="Arial"/>
          <w:sz w:val="20"/>
          <w:szCs w:val="20"/>
          <w:lang w:val="en-US"/>
        </w:rPr>
        <w:footnoteReference w:id="84"/>
      </w:r>
      <w:r w:rsidR="00905FFC" w:rsidRPr="007D47AD">
        <w:rPr>
          <w:rFonts w:asciiTheme="minorHAnsi" w:eastAsia="Times New Roman" w:hAnsiTheme="minorHAnsi" w:cs="Arial"/>
          <w:sz w:val="20"/>
          <w:szCs w:val="20"/>
          <w:lang w:val="en-US"/>
        </w:rPr>
        <w:t xml:space="preserve"> </w:t>
      </w:r>
      <w:r w:rsidRPr="007D47AD">
        <w:rPr>
          <w:rFonts w:asciiTheme="minorHAnsi" w:eastAsia="Times New Roman" w:hAnsiTheme="minorHAnsi" w:cs="Arial"/>
          <w:sz w:val="20"/>
          <w:szCs w:val="20"/>
          <w:lang w:val="en-US"/>
        </w:rPr>
        <w:t xml:space="preserve">The Commission notes that according to the General Law the time for adopting the Search </w:t>
      </w:r>
      <w:r w:rsidR="00415FAC" w:rsidRPr="007D47AD">
        <w:rPr>
          <w:rFonts w:asciiTheme="minorHAnsi" w:eastAsia="Times New Roman" w:hAnsiTheme="minorHAnsi" w:cs="Arial"/>
          <w:sz w:val="20"/>
          <w:szCs w:val="20"/>
          <w:lang w:val="en-US"/>
        </w:rPr>
        <w:t xml:space="preserve">Protocol has lapsed </w:t>
      </w:r>
      <w:r w:rsidR="00415FAC" w:rsidRPr="007D47AD">
        <w:rPr>
          <w:rFonts w:asciiTheme="minorHAnsi" w:eastAsia="Times New Roman" w:hAnsiTheme="minorHAnsi" w:cs="Arial"/>
          <w:sz w:val="20"/>
          <w:szCs w:val="20"/>
          <w:lang w:val="en-US"/>
        </w:rPr>
        <w:lastRenderedPageBreak/>
        <w:t xml:space="preserve">and several organizations </w:t>
      </w:r>
      <w:r w:rsidR="00243B8D" w:rsidRPr="007D47AD">
        <w:rPr>
          <w:rFonts w:asciiTheme="minorHAnsi" w:eastAsia="Times New Roman" w:hAnsiTheme="minorHAnsi" w:cs="Arial"/>
          <w:sz w:val="20"/>
          <w:szCs w:val="20"/>
          <w:lang w:val="en-US"/>
        </w:rPr>
        <w:t>have expressed their concern over that delay due to the lack of guidelines for conducting searches in the national territory with a</w:t>
      </w:r>
      <w:r w:rsidR="00140942" w:rsidRPr="007D47AD">
        <w:rPr>
          <w:rFonts w:asciiTheme="minorHAnsi" w:eastAsia="Times New Roman" w:hAnsiTheme="minorHAnsi" w:cs="Arial"/>
          <w:sz w:val="20"/>
          <w:szCs w:val="20"/>
          <w:lang w:val="en-US"/>
        </w:rPr>
        <w:t>n</w:t>
      </w:r>
      <w:r w:rsidR="00243B8D" w:rsidRPr="007D47AD">
        <w:rPr>
          <w:rFonts w:asciiTheme="minorHAnsi" w:eastAsia="Times New Roman" w:hAnsiTheme="minorHAnsi" w:cs="Arial"/>
          <w:sz w:val="20"/>
          <w:szCs w:val="20"/>
          <w:lang w:val="en-US"/>
        </w:rPr>
        <w:t xml:space="preserve"> approach focused on locating persons alive as well as searching for persons who have been disappeared for a long time.</w:t>
      </w:r>
      <w:r w:rsidR="00905FFC" w:rsidRPr="007D47AD">
        <w:rPr>
          <w:rStyle w:val="FootnoteReference"/>
          <w:rFonts w:asciiTheme="minorHAnsi" w:eastAsia="Times New Roman" w:hAnsiTheme="minorHAnsi" w:cs="Arial"/>
          <w:sz w:val="20"/>
          <w:szCs w:val="20"/>
          <w:lang w:val="en-US"/>
        </w:rPr>
        <w:footnoteReference w:id="85"/>
      </w:r>
      <w:r w:rsidR="00243B8D" w:rsidRPr="007D47AD">
        <w:rPr>
          <w:rFonts w:asciiTheme="minorHAnsi" w:eastAsia="Times New Roman" w:hAnsiTheme="minorHAnsi" w:cs="Arial"/>
          <w:sz w:val="20"/>
          <w:szCs w:val="20"/>
          <w:lang w:val="en-US"/>
        </w:rPr>
        <w:t xml:space="preserve"> </w:t>
      </w:r>
      <w:r w:rsidR="009C6058" w:rsidRPr="007D47AD">
        <w:rPr>
          <w:rFonts w:asciiTheme="minorHAnsi" w:hAnsiTheme="minorHAnsi"/>
          <w:sz w:val="20"/>
          <w:szCs w:val="20"/>
          <w:lang w:val="en-US"/>
        </w:rPr>
        <w:t>I</w:t>
      </w:r>
      <w:r w:rsidR="0057586B" w:rsidRPr="007D47AD">
        <w:rPr>
          <w:rFonts w:asciiTheme="minorHAnsi" w:hAnsiTheme="minorHAnsi"/>
          <w:sz w:val="20"/>
          <w:szCs w:val="20"/>
          <w:lang w:val="en-US"/>
        </w:rPr>
        <w:t xml:space="preserve">n </w:t>
      </w:r>
      <w:r w:rsidR="009C6058" w:rsidRPr="007D47AD">
        <w:rPr>
          <w:rFonts w:asciiTheme="minorHAnsi" w:hAnsiTheme="minorHAnsi"/>
          <w:sz w:val="20"/>
          <w:szCs w:val="20"/>
          <w:lang w:val="en-US"/>
        </w:rPr>
        <w:t xml:space="preserve">its observations on the draft of this report the State reported that the </w:t>
      </w:r>
      <w:r w:rsidR="0057586B" w:rsidRPr="007D47AD">
        <w:rPr>
          <w:rFonts w:asciiTheme="minorHAnsi" w:eastAsia="Times New Roman" w:hAnsiTheme="minorHAnsi" w:cs="Arial"/>
          <w:sz w:val="20"/>
          <w:szCs w:val="20"/>
          <w:lang w:val="en-US"/>
        </w:rPr>
        <w:t xml:space="preserve">Protocol </w:t>
      </w:r>
      <w:r w:rsidR="009C6058" w:rsidRPr="007D47AD">
        <w:rPr>
          <w:rFonts w:asciiTheme="minorHAnsi" w:eastAsia="Times New Roman" w:hAnsiTheme="minorHAnsi" w:cs="Arial"/>
          <w:sz w:val="20"/>
          <w:szCs w:val="20"/>
          <w:lang w:val="en-US"/>
        </w:rPr>
        <w:t>i</w:t>
      </w:r>
      <w:r w:rsidR="00005E69" w:rsidRPr="007D47AD">
        <w:rPr>
          <w:rFonts w:asciiTheme="minorHAnsi" w:eastAsia="Times New Roman" w:hAnsiTheme="minorHAnsi" w:cs="Arial"/>
          <w:sz w:val="20"/>
          <w:szCs w:val="20"/>
          <w:lang w:val="en-US"/>
        </w:rPr>
        <w:t>s</w:t>
      </w:r>
      <w:r w:rsidR="009C6058" w:rsidRPr="007D47AD">
        <w:rPr>
          <w:rFonts w:asciiTheme="minorHAnsi" w:eastAsia="Times New Roman" w:hAnsiTheme="minorHAnsi" w:cs="Arial"/>
          <w:sz w:val="20"/>
          <w:szCs w:val="20"/>
          <w:lang w:val="en-US"/>
        </w:rPr>
        <w:t xml:space="preserve"> being drawn up and will take into account the information from the digital registry to provide input for the context analysis, so as to make it possible to design specific search strategies with a differential approach.</w:t>
      </w:r>
      <w:r w:rsidR="0057586B" w:rsidRPr="007D47AD">
        <w:rPr>
          <w:rStyle w:val="FootnoteReference"/>
          <w:rFonts w:asciiTheme="minorHAnsi" w:hAnsiTheme="minorHAnsi"/>
          <w:sz w:val="20"/>
          <w:szCs w:val="20"/>
          <w:lang w:val="en-US"/>
        </w:rPr>
        <w:footnoteReference w:id="86"/>
      </w:r>
      <w:r w:rsidR="00C10F4E" w:rsidRPr="007D47AD">
        <w:rPr>
          <w:rFonts w:asciiTheme="minorHAnsi" w:eastAsia="Times New Roman" w:hAnsiTheme="minorHAnsi" w:cs="Arial"/>
          <w:sz w:val="20"/>
          <w:szCs w:val="20"/>
          <w:lang w:val="en-US"/>
        </w:rPr>
        <w:t xml:space="preserve"> </w:t>
      </w:r>
    </w:p>
    <w:p w:rsidR="001A136A" w:rsidRPr="007D47AD" w:rsidRDefault="003564A2" w:rsidP="000710E4">
      <w:pPr>
        <w:numPr>
          <w:ilvl w:val="1"/>
          <w:numId w:val="6"/>
        </w:numPr>
        <w:shd w:val="clear" w:color="auto" w:fill="FFFFFF"/>
        <w:spacing w:after="240" w:line="240" w:lineRule="auto"/>
        <w:ind w:left="1440" w:hanging="720"/>
        <w:jc w:val="both"/>
        <w:rPr>
          <w:rFonts w:asciiTheme="minorHAnsi" w:eastAsia="Times New Roman" w:hAnsiTheme="minorHAnsi" w:cs="Arial"/>
          <w:sz w:val="20"/>
          <w:szCs w:val="20"/>
          <w:lang w:val="en-US"/>
        </w:rPr>
      </w:pPr>
      <w:r w:rsidRPr="007D47AD">
        <w:rPr>
          <w:rFonts w:asciiTheme="minorHAnsi" w:eastAsia="Times New Roman" w:hAnsiTheme="minorHAnsi" w:cs="Arial"/>
          <w:sz w:val="20"/>
          <w:szCs w:val="20"/>
          <w:lang w:val="en-US"/>
        </w:rPr>
        <w:t>Standardized Investigation Protocol</w:t>
      </w:r>
      <w:r w:rsidR="001A136A" w:rsidRPr="007D47AD">
        <w:rPr>
          <w:rFonts w:asciiTheme="minorHAnsi" w:eastAsia="Times New Roman" w:hAnsiTheme="minorHAnsi" w:cs="Arial"/>
          <w:sz w:val="20"/>
          <w:szCs w:val="20"/>
          <w:lang w:val="en-US"/>
        </w:rPr>
        <w:t>:</w:t>
      </w:r>
      <w:r w:rsidR="00905FFC" w:rsidRPr="007D47AD">
        <w:rPr>
          <w:rFonts w:asciiTheme="minorHAnsi" w:eastAsia="Times New Roman" w:hAnsiTheme="minorHAnsi" w:cs="Arial"/>
          <w:sz w:val="20"/>
          <w:szCs w:val="20"/>
          <w:lang w:val="en-US"/>
        </w:rPr>
        <w:t xml:space="preserve"> </w:t>
      </w:r>
      <w:r w:rsidRPr="007D47AD">
        <w:rPr>
          <w:rFonts w:asciiTheme="minorHAnsi" w:eastAsia="Times New Roman" w:hAnsiTheme="minorHAnsi" w:cs="Arial"/>
          <w:sz w:val="20"/>
          <w:szCs w:val="20"/>
          <w:lang w:val="en-US"/>
        </w:rPr>
        <w:t>The State referred to the “Standardized Protocol for Searching for Disappeared Persons and Investigating the Crime of Forced Disappearance.</w:t>
      </w:r>
      <w:r w:rsidR="000F7597" w:rsidRPr="007D47AD">
        <w:rPr>
          <w:rFonts w:asciiTheme="minorHAnsi" w:eastAsia="Times New Roman" w:hAnsiTheme="minorHAnsi" w:cs="Arial"/>
          <w:sz w:val="20"/>
          <w:szCs w:val="20"/>
          <w:lang w:val="en-US"/>
        </w:rPr>
        <w:t>”</w:t>
      </w:r>
      <w:r w:rsidR="000F7597" w:rsidRPr="007D47AD">
        <w:rPr>
          <w:rStyle w:val="FootnoteReference"/>
          <w:rFonts w:asciiTheme="minorHAnsi" w:eastAsia="Times New Roman" w:hAnsiTheme="minorHAnsi" w:cs="Arial"/>
          <w:sz w:val="20"/>
          <w:szCs w:val="20"/>
          <w:lang w:val="en-US"/>
        </w:rPr>
        <w:footnoteReference w:id="87"/>
      </w:r>
      <w:r w:rsidR="00E20B6E" w:rsidRPr="007D47AD">
        <w:rPr>
          <w:rFonts w:asciiTheme="minorHAnsi" w:eastAsia="Times New Roman" w:hAnsiTheme="minorHAnsi" w:cs="Arial"/>
          <w:sz w:val="20"/>
          <w:szCs w:val="20"/>
          <w:lang w:val="en-US"/>
        </w:rPr>
        <w:t xml:space="preserve"> </w:t>
      </w:r>
      <w:r w:rsidR="00160A4E" w:rsidRPr="007D47AD">
        <w:rPr>
          <w:rFonts w:asciiTheme="minorHAnsi" w:eastAsia="Times New Roman" w:hAnsiTheme="minorHAnsi" w:cs="Arial"/>
          <w:sz w:val="20"/>
          <w:szCs w:val="20"/>
          <w:lang w:val="en-US"/>
        </w:rPr>
        <w:t xml:space="preserve">According to its report, this Standardized Protocol includes activating an Urgent Search Mechanism that indicates that once the information is entered by the Center for Citizen Reports and Attention (CEDAC: </w:t>
      </w:r>
      <w:r w:rsidR="003229F0" w:rsidRPr="007D47AD">
        <w:rPr>
          <w:rFonts w:asciiTheme="minorHAnsi" w:eastAsia="Times New Roman" w:hAnsiTheme="minorHAnsi" w:cs="Arial"/>
          <w:sz w:val="20"/>
          <w:szCs w:val="20"/>
          <w:lang w:val="en-US"/>
        </w:rPr>
        <w:t xml:space="preserve">Centro de </w:t>
      </w:r>
      <w:r w:rsidR="00E20B6E" w:rsidRPr="007D47AD">
        <w:rPr>
          <w:rFonts w:asciiTheme="minorHAnsi" w:eastAsia="Times New Roman" w:hAnsiTheme="minorHAnsi" w:cs="Arial"/>
          <w:sz w:val="20"/>
          <w:szCs w:val="20"/>
          <w:lang w:val="en-US"/>
        </w:rPr>
        <w:t>Denuncia y Atención Ciudadana)</w:t>
      </w:r>
      <w:r w:rsidR="00905FFC" w:rsidRPr="007D47AD">
        <w:rPr>
          <w:rFonts w:asciiTheme="minorHAnsi" w:eastAsia="Times New Roman" w:hAnsiTheme="minorHAnsi" w:cs="Arial"/>
          <w:sz w:val="20"/>
          <w:szCs w:val="20"/>
          <w:lang w:val="en-US"/>
        </w:rPr>
        <w:t xml:space="preserve"> </w:t>
      </w:r>
      <w:r w:rsidR="00160A4E" w:rsidRPr="007D47AD">
        <w:rPr>
          <w:rFonts w:asciiTheme="minorHAnsi" w:eastAsia="Times New Roman" w:hAnsiTheme="minorHAnsi" w:cs="Arial"/>
          <w:sz w:val="20"/>
          <w:szCs w:val="20"/>
          <w:lang w:val="en-US"/>
        </w:rPr>
        <w:t>to the National System of Prosecutorial Information (SNIPD –</w:t>
      </w:r>
      <w:r w:rsidR="00905FFC" w:rsidRPr="007D47AD">
        <w:rPr>
          <w:rFonts w:asciiTheme="minorHAnsi" w:eastAsia="Times New Roman" w:hAnsiTheme="minorHAnsi" w:cs="Arial"/>
          <w:sz w:val="20"/>
          <w:szCs w:val="20"/>
          <w:lang w:val="en-US"/>
        </w:rPr>
        <w:t xml:space="preserve">Sistema Nacional de Información Ministerial </w:t>
      </w:r>
      <w:r w:rsidR="00561A1E" w:rsidRPr="007D47AD">
        <w:rPr>
          <w:rFonts w:asciiTheme="minorHAnsi" w:eastAsia="Times New Roman" w:hAnsiTheme="minorHAnsi" w:cs="Arial"/>
          <w:sz w:val="20"/>
          <w:szCs w:val="20"/>
          <w:lang w:val="en-US"/>
        </w:rPr>
        <w:t>(</w:t>
      </w:r>
      <w:r w:rsidR="00905FFC" w:rsidRPr="007D47AD">
        <w:rPr>
          <w:rFonts w:asciiTheme="minorHAnsi" w:eastAsia="Times New Roman" w:hAnsiTheme="minorHAnsi" w:cs="Arial"/>
          <w:sz w:val="20"/>
          <w:szCs w:val="20"/>
          <w:lang w:val="en-US"/>
        </w:rPr>
        <w:t>SNIPD</w:t>
      </w:r>
      <w:r w:rsidR="00140942" w:rsidRPr="007D47AD">
        <w:rPr>
          <w:rFonts w:asciiTheme="minorHAnsi" w:eastAsia="Times New Roman" w:hAnsiTheme="minorHAnsi" w:cs="Arial"/>
          <w:sz w:val="20"/>
          <w:szCs w:val="20"/>
          <w:lang w:val="en-US"/>
        </w:rPr>
        <w:t xml:space="preserve">), it triggers that National Network for Searching for Disappeared Persons </w:t>
      </w:r>
      <w:r w:rsidR="00160A4E" w:rsidRPr="007D47AD">
        <w:rPr>
          <w:rFonts w:asciiTheme="minorHAnsi" w:eastAsia="Times New Roman" w:hAnsiTheme="minorHAnsi" w:cs="Arial"/>
          <w:sz w:val="20"/>
          <w:szCs w:val="20"/>
          <w:lang w:val="en-US"/>
        </w:rPr>
        <w:t xml:space="preserve">– which in the case of children and adolescents provides for the issuance of the </w:t>
      </w:r>
      <w:r w:rsidR="00B933C5" w:rsidRPr="007D47AD">
        <w:rPr>
          <w:rFonts w:asciiTheme="minorHAnsi" w:eastAsia="Times New Roman" w:hAnsiTheme="minorHAnsi" w:cs="Arial"/>
          <w:sz w:val="20"/>
          <w:szCs w:val="20"/>
          <w:lang w:val="en-US"/>
        </w:rPr>
        <w:t>AMBER</w:t>
      </w:r>
      <w:r w:rsidR="00160A4E" w:rsidRPr="007D47AD">
        <w:rPr>
          <w:rFonts w:asciiTheme="minorHAnsi" w:eastAsia="Times New Roman" w:hAnsiTheme="minorHAnsi" w:cs="Arial"/>
          <w:sz w:val="20"/>
          <w:szCs w:val="20"/>
          <w:lang w:val="en-US"/>
        </w:rPr>
        <w:t xml:space="preserve"> Alert.</w:t>
      </w:r>
      <w:r w:rsidR="000F7597" w:rsidRPr="007D47AD">
        <w:rPr>
          <w:rStyle w:val="FootnoteReference"/>
          <w:rFonts w:asciiTheme="minorHAnsi" w:eastAsia="Times New Roman" w:hAnsiTheme="minorHAnsi" w:cs="Arial"/>
          <w:sz w:val="20"/>
          <w:szCs w:val="20"/>
          <w:lang w:val="en-US"/>
        </w:rPr>
        <w:footnoteReference w:id="88"/>
      </w:r>
      <w:r w:rsidR="00E35512" w:rsidRPr="007D47AD">
        <w:rPr>
          <w:rFonts w:asciiTheme="minorHAnsi" w:eastAsia="Times New Roman" w:hAnsiTheme="minorHAnsi" w:cs="Arial"/>
          <w:sz w:val="20"/>
          <w:szCs w:val="20"/>
          <w:lang w:val="en-US"/>
        </w:rPr>
        <w:t xml:space="preserve"> </w:t>
      </w:r>
      <w:r w:rsidR="00160A4E" w:rsidRPr="007D47AD">
        <w:rPr>
          <w:rFonts w:asciiTheme="minorHAnsi" w:eastAsia="Times New Roman" w:hAnsiTheme="minorHAnsi" w:cs="Arial"/>
          <w:sz w:val="20"/>
          <w:szCs w:val="20"/>
          <w:lang w:val="en-US"/>
        </w:rPr>
        <w:t xml:space="preserve">In addition, the IACHR finds that, pursuant to implementation of the General Law, since </w:t>
      </w:r>
      <w:r w:rsidR="00E35512" w:rsidRPr="007D47AD">
        <w:rPr>
          <w:rFonts w:asciiTheme="minorHAnsi" w:eastAsia="Times New Roman" w:hAnsiTheme="minorHAnsi" w:cs="Arial"/>
          <w:sz w:val="20"/>
          <w:szCs w:val="20"/>
          <w:lang w:val="en-US"/>
        </w:rPr>
        <w:t xml:space="preserve">2018 </w:t>
      </w:r>
      <w:r w:rsidR="00160A4E" w:rsidRPr="007D47AD">
        <w:rPr>
          <w:rFonts w:asciiTheme="minorHAnsi" w:eastAsia="Times New Roman" w:hAnsiTheme="minorHAnsi" w:cs="Arial"/>
          <w:sz w:val="20"/>
          <w:szCs w:val="20"/>
          <w:lang w:val="en-US"/>
        </w:rPr>
        <w:t xml:space="preserve">the </w:t>
      </w:r>
      <w:r w:rsidR="00E35512" w:rsidRPr="007D47AD">
        <w:rPr>
          <w:rFonts w:asciiTheme="minorHAnsi" w:eastAsia="Times New Roman" w:hAnsiTheme="minorHAnsi" w:cs="Arial"/>
          <w:sz w:val="20"/>
          <w:szCs w:val="20"/>
          <w:lang w:val="en-US"/>
        </w:rPr>
        <w:t>“</w:t>
      </w:r>
      <w:r w:rsidR="00160A4E" w:rsidRPr="007D47AD">
        <w:rPr>
          <w:rFonts w:asciiTheme="minorHAnsi" w:eastAsia="Times New Roman" w:hAnsiTheme="minorHAnsi" w:cs="Arial"/>
          <w:sz w:val="20"/>
          <w:szCs w:val="20"/>
          <w:lang w:val="en-US"/>
        </w:rPr>
        <w:t xml:space="preserve">Standardized </w:t>
      </w:r>
      <w:r w:rsidR="00E35512" w:rsidRPr="007D47AD">
        <w:rPr>
          <w:rFonts w:asciiTheme="minorHAnsi" w:eastAsia="Times New Roman" w:hAnsiTheme="minorHAnsi" w:cs="Arial"/>
          <w:sz w:val="20"/>
          <w:szCs w:val="20"/>
          <w:lang w:val="en-US"/>
        </w:rPr>
        <w:t>Protocol</w:t>
      </w:r>
      <w:r w:rsidR="000F7597" w:rsidRPr="007D47AD">
        <w:rPr>
          <w:rFonts w:asciiTheme="minorHAnsi" w:eastAsia="Times New Roman" w:hAnsiTheme="minorHAnsi" w:cs="Arial"/>
          <w:sz w:val="20"/>
          <w:szCs w:val="20"/>
          <w:lang w:val="en-US"/>
        </w:rPr>
        <w:t xml:space="preserve"> </w:t>
      </w:r>
      <w:r w:rsidR="00160A4E" w:rsidRPr="007D47AD">
        <w:rPr>
          <w:rFonts w:asciiTheme="minorHAnsi" w:eastAsia="Times New Roman" w:hAnsiTheme="minorHAnsi" w:cs="Arial"/>
          <w:sz w:val="20"/>
          <w:szCs w:val="20"/>
          <w:lang w:val="en-US"/>
        </w:rPr>
        <w:t>for Investigating Crimes against Forced Disappear</w:t>
      </w:r>
      <w:r w:rsidR="00140942" w:rsidRPr="007D47AD">
        <w:rPr>
          <w:rFonts w:asciiTheme="minorHAnsi" w:eastAsia="Times New Roman" w:hAnsiTheme="minorHAnsi" w:cs="Arial"/>
          <w:sz w:val="20"/>
          <w:szCs w:val="20"/>
          <w:lang w:val="en-US"/>
        </w:rPr>
        <w:t>ance</w:t>
      </w:r>
      <w:r w:rsidR="00160A4E" w:rsidRPr="007D47AD">
        <w:rPr>
          <w:rFonts w:asciiTheme="minorHAnsi" w:eastAsia="Times New Roman" w:hAnsiTheme="minorHAnsi" w:cs="Arial"/>
          <w:sz w:val="20"/>
          <w:szCs w:val="20"/>
          <w:lang w:val="en-US"/>
        </w:rPr>
        <w:t xml:space="preserve"> of Persons and Disappear</w:t>
      </w:r>
      <w:r w:rsidR="00140942" w:rsidRPr="007D47AD">
        <w:rPr>
          <w:rFonts w:asciiTheme="minorHAnsi" w:eastAsia="Times New Roman" w:hAnsiTheme="minorHAnsi" w:cs="Arial"/>
          <w:sz w:val="20"/>
          <w:szCs w:val="20"/>
          <w:lang w:val="en-US"/>
        </w:rPr>
        <w:t>ances</w:t>
      </w:r>
      <w:r w:rsidR="00160A4E" w:rsidRPr="007D47AD">
        <w:rPr>
          <w:rFonts w:asciiTheme="minorHAnsi" w:eastAsia="Times New Roman" w:hAnsiTheme="minorHAnsi" w:cs="Arial"/>
          <w:sz w:val="20"/>
          <w:szCs w:val="20"/>
          <w:lang w:val="en-US"/>
        </w:rPr>
        <w:t xml:space="preserve"> Committed by Private Persons</w:t>
      </w:r>
      <w:r w:rsidR="000F7597" w:rsidRPr="007D47AD">
        <w:rPr>
          <w:rFonts w:asciiTheme="minorHAnsi" w:eastAsia="Times New Roman" w:hAnsiTheme="minorHAnsi" w:cs="Arial"/>
          <w:sz w:val="20"/>
          <w:szCs w:val="20"/>
          <w:lang w:val="en-US"/>
        </w:rPr>
        <w:t>”</w:t>
      </w:r>
      <w:r w:rsidR="00160A4E" w:rsidRPr="007D47AD">
        <w:rPr>
          <w:rFonts w:asciiTheme="minorHAnsi" w:eastAsia="Times New Roman" w:hAnsiTheme="minorHAnsi" w:cs="Arial"/>
          <w:sz w:val="20"/>
          <w:szCs w:val="20"/>
          <w:lang w:val="en-US"/>
        </w:rPr>
        <w:t xml:space="preserve"> has been active and operating.</w:t>
      </w:r>
      <w:r w:rsidR="000F7597" w:rsidRPr="007D47AD">
        <w:rPr>
          <w:rStyle w:val="FootnoteReference"/>
          <w:rFonts w:asciiTheme="minorHAnsi" w:eastAsia="Times New Roman" w:hAnsiTheme="minorHAnsi" w:cs="Arial"/>
          <w:sz w:val="20"/>
          <w:szCs w:val="20"/>
          <w:lang w:val="en-US"/>
        </w:rPr>
        <w:footnoteReference w:id="89"/>
      </w:r>
      <w:r w:rsidR="000F7597" w:rsidRPr="007D47AD">
        <w:rPr>
          <w:rFonts w:asciiTheme="minorHAnsi" w:eastAsia="Times New Roman" w:hAnsiTheme="minorHAnsi" w:cs="Arial"/>
          <w:sz w:val="20"/>
          <w:szCs w:val="20"/>
          <w:lang w:val="en-US"/>
        </w:rPr>
        <w:t xml:space="preserve"> </w:t>
      </w:r>
      <w:r w:rsidR="00160A4E" w:rsidRPr="007D47AD">
        <w:rPr>
          <w:rFonts w:asciiTheme="minorHAnsi" w:eastAsia="Times New Roman" w:hAnsiTheme="minorHAnsi" w:cs="Arial"/>
          <w:sz w:val="20"/>
          <w:szCs w:val="20"/>
          <w:lang w:val="en-US"/>
        </w:rPr>
        <w:t xml:space="preserve">The IACHR was informed that this </w:t>
      </w:r>
      <w:r w:rsidR="003229F0" w:rsidRPr="007D47AD">
        <w:rPr>
          <w:rFonts w:asciiTheme="minorHAnsi" w:eastAsia="Times New Roman" w:hAnsiTheme="minorHAnsi" w:cs="Arial"/>
          <w:sz w:val="20"/>
          <w:szCs w:val="20"/>
          <w:lang w:val="en-US"/>
        </w:rPr>
        <w:t>Protocol</w:t>
      </w:r>
      <w:r w:rsidR="00D2125C" w:rsidRPr="007D47AD">
        <w:rPr>
          <w:rFonts w:asciiTheme="minorHAnsi" w:eastAsia="Times New Roman" w:hAnsiTheme="minorHAnsi" w:cs="Arial"/>
          <w:sz w:val="20"/>
          <w:szCs w:val="20"/>
          <w:lang w:val="en-US"/>
        </w:rPr>
        <w:t xml:space="preserve"> </w:t>
      </w:r>
      <w:r w:rsidR="00160A4E" w:rsidRPr="007D47AD">
        <w:rPr>
          <w:rFonts w:asciiTheme="minorHAnsi" w:eastAsia="Times New Roman" w:hAnsiTheme="minorHAnsi" w:cs="Arial"/>
          <w:sz w:val="20"/>
          <w:szCs w:val="20"/>
          <w:lang w:val="en-US"/>
        </w:rPr>
        <w:t xml:space="preserve">was adopted without consulting the organizations of victims </w:t>
      </w:r>
      <w:r w:rsidR="00140942" w:rsidRPr="007D47AD">
        <w:rPr>
          <w:rFonts w:asciiTheme="minorHAnsi" w:eastAsia="Times New Roman" w:hAnsiTheme="minorHAnsi" w:cs="Arial"/>
          <w:sz w:val="20"/>
          <w:szCs w:val="20"/>
          <w:lang w:val="en-US"/>
        </w:rPr>
        <w:t xml:space="preserve">or </w:t>
      </w:r>
      <w:r w:rsidR="00160A4E" w:rsidRPr="007D47AD">
        <w:rPr>
          <w:rFonts w:asciiTheme="minorHAnsi" w:eastAsia="Times New Roman" w:hAnsiTheme="minorHAnsi" w:cs="Arial"/>
          <w:sz w:val="20"/>
          <w:szCs w:val="20"/>
          <w:lang w:val="en-US"/>
        </w:rPr>
        <w:t>civil society, does not have approaches differentiated by vulnerable population, and has not been disseminated to the states.</w:t>
      </w:r>
      <w:r w:rsidR="00D2125C" w:rsidRPr="007D47AD">
        <w:rPr>
          <w:rStyle w:val="FootnoteReference"/>
          <w:rFonts w:asciiTheme="minorHAnsi" w:eastAsia="Times New Roman" w:hAnsiTheme="minorHAnsi" w:cs="Arial"/>
          <w:sz w:val="20"/>
          <w:szCs w:val="20"/>
          <w:lang w:val="en-US"/>
        </w:rPr>
        <w:footnoteReference w:id="90"/>
      </w:r>
      <w:r w:rsidR="00D2125C" w:rsidRPr="007D47AD">
        <w:rPr>
          <w:rFonts w:asciiTheme="minorHAnsi" w:eastAsia="Times New Roman" w:hAnsiTheme="minorHAnsi" w:cs="Arial"/>
          <w:sz w:val="20"/>
          <w:szCs w:val="20"/>
          <w:lang w:val="en-US"/>
        </w:rPr>
        <w:t xml:space="preserve"> </w:t>
      </w:r>
      <w:r w:rsidR="00140942" w:rsidRPr="007D47AD">
        <w:rPr>
          <w:rFonts w:asciiTheme="minorHAnsi" w:eastAsia="Times New Roman" w:hAnsiTheme="minorHAnsi" w:cs="Arial"/>
          <w:sz w:val="20"/>
          <w:szCs w:val="20"/>
          <w:lang w:val="en-US"/>
        </w:rPr>
        <w:t xml:space="preserve"> </w:t>
      </w:r>
    </w:p>
    <w:p w:rsidR="00D52F68" w:rsidRPr="007D47AD" w:rsidRDefault="00160A4E" w:rsidP="00FD36FA">
      <w:pPr>
        <w:numPr>
          <w:ilvl w:val="0"/>
          <w:numId w:val="6"/>
        </w:numPr>
        <w:shd w:val="clear" w:color="auto" w:fill="FFFFFF"/>
        <w:spacing w:after="240" w:line="240" w:lineRule="auto"/>
        <w:ind w:left="0" w:firstLine="720"/>
        <w:jc w:val="both"/>
        <w:rPr>
          <w:rFonts w:asciiTheme="minorHAnsi" w:eastAsia="Times New Roman" w:hAnsiTheme="minorHAnsi" w:cs="Arial"/>
          <w:sz w:val="20"/>
          <w:szCs w:val="20"/>
          <w:lang w:val="en-US"/>
        </w:rPr>
      </w:pPr>
      <w:r w:rsidRPr="007D47AD">
        <w:rPr>
          <w:rFonts w:asciiTheme="minorHAnsi" w:eastAsia="Times New Roman" w:hAnsiTheme="minorHAnsi" w:cs="Arial"/>
          <w:sz w:val="20"/>
          <w:szCs w:val="20"/>
          <w:lang w:val="en-US"/>
        </w:rPr>
        <w:t xml:space="preserve">In addition, </w:t>
      </w:r>
      <w:r w:rsidR="00AD42D3" w:rsidRPr="007D47AD">
        <w:rPr>
          <w:rFonts w:asciiTheme="minorHAnsi" w:eastAsia="Times New Roman" w:hAnsiTheme="minorHAnsi" w:cs="Arial"/>
          <w:sz w:val="20"/>
          <w:szCs w:val="20"/>
          <w:lang w:val="en-US"/>
        </w:rPr>
        <w:t xml:space="preserve">the </w:t>
      </w:r>
      <w:r w:rsidR="00F42125" w:rsidRPr="007D47AD">
        <w:rPr>
          <w:rFonts w:asciiTheme="minorHAnsi" w:eastAsia="Times New Roman" w:hAnsiTheme="minorHAnsi" w:cs="Arial"/>
          <w:sz w:val="20"/>
          <w:szCs w:val="20"/>
          <w:lang w:val="en-US"/>
        </w:rPr>
        <w:t>CNDH</w:t>
      </w:r>
      <w:r w:rsidR="00DB6486" w:rsidRPr="007D47AD">
        <w:rPr>
          <w:rStyle w:val="FootnoteReference"/>
          <w:rFonts w:asciiTheme="minorHAnsi" w:eastAsia="Times New Roman" w:hAnsiTheme="minorHAnsi" w:cs="Arial"/>
          <w:sz w:val="20"/>
          <w:szCs w:val="20"/>
          <w:lang w:val="en-US"/>
        </w:rPr>
        <w:footnoteReference w:id="91"/>
      </w:r>
      <w:r w:rsidR="00F42125" w:rsidRPr="007D47AD">
        <w:rPr>
          <w:rFonts w:asciiTheme="minorHAnsi" w:eastAsia="Times New Roman" w:hAnsiTheme="minorHAnsi" w:cs="Arial"/>
          <w:sz w:val="20"/>
          <w:szCs w:val="20"/>
          <w:lang w:val="en-US"/>
        </w:rPr>
        <w:t xml:space="preserve"> </w:t>
      </w:r>
      <w:r w:rsidR="00841999" w:rsidRPr="007D47AD">
        <w:rPr>
          <w:rFonts w:asciiTheme="minorHAnsi" w:eastAsia="Times New Roman" w:hAnsiTheme="minorHAnsi" w:cs="Arial"/>
          <w:sz w:val="20"/>
          <w:szCs w:val="20"/>
          <w:lang w:val="en-US"/>
        </w:rPr>
        <w:t>characterized as of the utmost importance the August 5, 2019 opinion of the Human Rights Committee of the United Nations</w:t>
      </w:r>
      <w:r w:rsidR="00DB6486" w:rsidRPr="007D47AD">
        <w:rPr>
          <w:rFonts w:asciiTheme="minorHAnsi" w:eastAsia="Times New Roman" w:hAnsiTheme="minorHAnsi" w:cs="Arial"/>
          <w:sz w:val="20"/>
          <w:szCs w:val="20"/>
          <w:lang w:val="en-US"/>
        </w:rPr>
        <w:t xml:space="preserve"> </w:t>
      </w:r>
      <w:r w:rsidR="00D52F68" w:rsidRPr="007D47AD">
        <w:rPr>
          <w:rFonts w:asciiTheme="minorHAnsi" w:eastAsia="Times New Roman" w:hAnsiTheme="minorHAnsi" w:cs="Arial"/>
          <w:sz w:val="20"/>
          <w:szCs w:val="20"/>
          <w:lang w:val="en-US"/>
        </w:rPr>
        <w:t>rela</w:t>
      </w:r>
      <w:r w:rsidR="00841999" w:rsidRPr="007D47AD">
        <w:rPr>
          <w:rFonts w:asciiTheme="minorHAnsi" w:eastAsia="Times New Roman" w:hAnsiTheme="minorHAnsi" w:cs="Arial"/>
          <w:sz w:val="20"/>
          <w:szCs w:val="20"/>
          <w:lang w:val="en-US"/>
        </w:rPr>
        <w:t xml:space="preserve">ted to the communication brought by the family members of </w:t>
      </w:r>
      <w:r w:rsidR="00D52F68" w:rsidRPr="007D47AD">
        <w:rPr>
          <w:rFonts w:asciiTheme="minorHAnsi" w:eastAsia="Times New Roman" w:hAnsiTheme="minorHAnsi" w:cs="Arial"/>
          <w:sz w:val="20"/>
          <w:szCs w:val="20"/>
          <w:lang w:val="en-US"/>
        </w:rPr>
        <w:t>Christian T</w:t>
      </w:r>
      <w:r w:rsidR="00222404" w:rsidRPr="007D47AD">
        <w:rPr>
          <w:rFonts w:asciiTheme="minorHAnsi" w:eastAsia="Times New Roman" w:hAnsiTheme="minorHAnsi" w:cs="Arial"/>
          <w:sz w:val="20"/>
          <w:szCs w:val="20"/>
          <w:lang w:val="en-US"/>
        </w:rPr>
        <w:t>éllez Padilla</w:t>
      </w:r>
      <w:r w:rsidR="00841999" w:rsidRPr="007D47AD">
        <w:rPr>
          <w:rFonts w:asciiTheme="minorHAnsi" w:eastAsia="Times New Roman" w:hAnsiTheme="minorHAnsi" w:cs="Arial"/>
          <w:sz w:val="20"/>
          <w:szCs w:val="20"/>
          <w:lang w:val="en-US"/>
        </w:rPr>
        <w:t xml:space="preserve">, who disappeared in </w:t>
      </w:r>
      <w:r w:rsidR="00222404" w:rsidRPr="007D47AD">
        <w:rPr>
          <w:rFonts w:asciiTheme="minorHAnsi" w:eastAsia="Times New Roman" w:hAnsiTheme="minorHAnsi" w:cs="Arial"/>
          <w:sz w:val="20"/>
          <w:szCs w:val="20"/>
          <w:lang w:val="en-US"/>
        </w:rPr>
        <w:t xml:space="preserve">Veracruz </w:t>
      </w:r>
      <w:r w:rsidR="00841999" w:rsidRPr="007D47AD">
        <w:rPr>
          <w:rFonts w:asciiTheme="minorHAnsi" w:eastAsia="Times New Roman" w:hAnsiTheme="minorHAnsi" w:cs="Arial"/>
          <w:sz w:val="20"/>
          <w:szCs w:val="20"/>
          <w:lang w:val="en-US"/>
        </w:rPr>
        <w:t xml:space="preserve">on October </w:t>
      </w:r>
      <w:r w:rsidR="00222404" w:rsidRPr="007D47AD">
        <w:rPr>
          <w:rFonts w:asciiTheme="minorHAnsi" w:eastAsia="Times New Roman" w:hAnsiTheme="minorHAnsi" w:cs="Arial"/>
          <w:sz w:val="20"/>
          <w:szCs w:val="20"/>
          <w:lang w:val="en-US"/>
        </w:rPr>
        <w:t>20</w:t>
      </w:r>
      <w:r w:rsidR="00841999" w:rsidRPr="007D47AD">
        <w:rPr>
          <w:rFonts w:asciiTheme="minorHAnsi" w:eastAsia="Times New Roman" w:hAnsiTheme="minorHAnsi" w:cs="Arial"/>
          <w:sz w:val="20"/>
          <w:szCs w:val="20"/>
          <w:lang w:val="en-US"/>
        </w:rPr>
        <w:t>,</w:t>
      </w:r>
      <w:r w:rsidR="00222404" w:rsidRPr="007D47AD">
        <w:rPr>
          <w:rFonts w:asciiTheme="minorHAnsi" w:eastAsia="Times New Roman" w:hAnsiTheme="minorHAnsi" w:cs="Arial"/>
          <w:sz w:val="20"/>
          <w:szCs w:val="20"/>
          <w:lang w:val="en-US"/>
        </w:rPr>
        <w:t xml:space="preserve"> 2010. </w:t>
      </w:r>
      <w:r w:rsidR="00841999" w:rsidRPr="007D47AD">
        <w:rPr>
          <w:rFonts w:asciiTheme="minorHAnsi" w:eastAsia="Times New Roman" w:hAnsiTheme="minorHAnsi" w:cs="Arial"/>
          <w:sz w:val="20"/>
          <w:szCs w:val="20"/>
          <w:lang w:val="en-US"/>
        </w:rPr>
        <w:t xml:space="preserve">The Committee found that Mr. </w:t>
      </w:r>
      <w:r w:rsidR="00DB6486" w:rsidRPr="007D47AD">
        <w:rPr>
          <w:rFonts w:asciiTheme="minorHAnsi" w:eastAsia="Times New Roman" w:hAnsiTheme="minorHAnsi" w:cs="Arial"/>
          <w:sz w:val="20"/>
          <w:szCs w:val="20"/>
          <w:lang w:val="en-US"/>
        </w:rPr>
        <w:t xml:space="preserve">Téllez </w:t>
      </w:r>
      <w:r w:rsidR="00841999" w:rsidRPr="007D47AD">
        <w:rPr>
          <w:rFonts w:asciiTheme="minorHAnsi" w:eastAsia="Times New Roman" w:hAnsiTheme="minorHAnsi" w:cs="Arial"/>
          <w:sz w:val="20"/>
          <w:szCs w:val="20"/>
          <w:lang w:val="en-US"/>
        </w:rPr>
        <w:t xml:space="preserve">was the victim of forced disappearance and determined that the State should conduct an exhaustive, </w:t>
      </w:r>
      <w:r w:rsidR="00BE066E" w:rsidRPr="007D47AD">
        <w:rPr>
          <w:rFonts w:asciiTheme="minorHAnsi" w:eastAsia="Times New Roman" w:hAnsiTheme="minorHAnsi" w:cs="Arial"/>
          <w:sz w:val="20"/>
          <w:szCs w:val="20"/>
          <w:lang w:val="en-US"/>
        </w:rPr>
        <w:t xml:space="preserve">rigorous, impartial, independent, and effective investigation to determine the circumstances of </w:t>
      </w:r>
      <w:r w:rsidR="003941D4" w:rsidRPr="007D47AD">
        <w:rPr>
          <w:rFonts w:asciiTheme="minorHAnsi" w:eastAsia="Times New Roman" w:hAnsiTheme="minorHAnsi" w:cs="Arial"/>
          <w:sz w:val="20"/>
          <w:szCs w:val="20"/>
          <w:lang w:val="en-US"/>
        </w:rPr>
        <w:t xml:space="preserve">his </w:t>
      </w:r>
      <w:r w:rsidR="00BE066E" w:rsidRPr="007D47AD">
        <w:rPr>
          <w:rFonts w:asciiTheme="minorHAnsi" w:eastAsia="Times New Roman" w:hAnsiTheme="minorHAnsi" w:cs="Arial"/>
          <w:sz w:val="20"/>
          <w:szCs w:val="20"/>
          <w:lang w:val="en-US"/>
        </w:rPr>
        <w:t>disappearance.</w:t>
      </w:r>
      <w:r w:rsidR="00DB6486" w:rsidRPr="007D47AD">
        <w:rPr>
          <w:rStyle w:val="FootnoteReference"/>
          <w:rFonts w:asciiTheme="minorHAnsi" w:eastAsia="Times New Roman" w:hAnsiTheme="minorHAnsi" w:cs="Arial"/>
          <w:sz w:val="20"/>
          <w:szCs w:val="20"/>
          <w:lang w:val="en-US"/>
        </w:rPr>
        <w:footnoteReference w:id="92"/>
      </w:r>
      <w:r w:rsidR="00F42125" w:rsidRPr="007D47AD">
        <w:rPr>
          <w:rFonts w:asciiTheme="minorHAnsi" w:eastAsia="Times New Roman" w:hAnsiTheme="minorHAnsi" w:cs="Arial"/>
          <w:sz w:val="20"/>
          <w:szCs w:val="20"/>
          <w:lang w:val="en-US"/>
        </w:rPr>
        <w:t xml:space="preserve"> </w:t>
      </w:r>
      <w:r w:rsidR="0088708D" w:rsidRPr="007D47AD">
        <w:rPr>
          <w:rFonts w:asciiTheme="minorHAnsi" w:hAnsiTheme="minorHAnsi"/>
          <w:sz w:val="20"/>
          <w:szCs w:val="20"/>
          <w:lang w:val="en-US"/>
        </w:rPr>
        <w:t>I</w:t>
      </w:r>
      <w:r w:rsidR="0057586B" w:rsidRPr="007D47AD">
        <w:rPr>
          <w:rFonts w:asciiTheme="minorHAnsi" w:hAnsiTheme="minorHAnsi"/>
          <w:sz w:val="20"/>
          <w:szCs w:val="20"/>
          <w:lang w:val="en-US"/>
        </w:rPr>
        <w:t xml:space="preserve">n </w:t>
      </w:r>
      <w:r w:rsidR="0088708D" w:rsidRPr="007D47AD">
        <w:rPr>
          <w:rFonts w:asciiTheme="minorHAnsi" w:hAnsiTheme="minorHAnsi"/>
          <w:sz w:val="20"/>
          <w:szCs w:val="20"/>
          <w:lang w:val="en-US"/>
        </w:rPr>
        <w:t xml:space="preserve">its observations on the draft of this report the State indicated that the </w:t>
      </w:r>
      <w:r w:rsidR="0057586B" w:rsidRPr="007D47AD">
        <w:rPr>
          <w:rFonts w:asciiTheme="minorHAnsi" w:eastAsia="Times New Roman" w:hAnsiTheme="minorHAnsi" w:cs="Arial"/>
          <w:sz w:val="20"/>
          <w:szCs w:val="20"/>
          <w:lang w:val="en-US"/>
        </w:rPr>
        <w:t xml:space="preserve">FGR </w:t>
      </w:r>
      <w:r w:rsidR="0088708D" w:rsidRPr="007D47AD">
        <w:rPr>
          <w:rFonts w:asciiTheme="minorHAnsi" w:eastAsia="Times New Roman" w:hAnsiTheme="minorHAnsi" w:cs="Arial"/>
          <w:sz w:val="20"/>
          <w:szCs w:val="20"/>
          <w:lang w:val="en-US"/>
        </w:rPr>
        <w:t xml:space="preserve">has commissioned two intelligence analysts from December </w:t>
      </w:r>
      <w:r w:rsidR="0057586B" w:rsidRPr="007D47AD">
        <w:rPr>
          <w:rFonts w:asciiTheme="minorHAnsi" w:eastAsia="Times New Roman" w:hAnsiTheme="minorHAnsi" w:cs="Arial"/>
          <w:sz w:val="20"/>
          <w:szCs w:val="20"/>
          <w:lang w:val="en-US"/>
        </w:rPr>
        <w:t xml:space="preserve">9 </w:t>
      </w:r>
      <w:r w:rsidR="0088708D" w:rsidRPr="007D47AD">
        <w:rPr>
          <w:rFonts w:asciiTheme="minorHAnsi" w:eastAsia="Times New Roman" w:hAnsiTheme="minorHAnsi" w:cs="Arial"/>
          <w:sz w:val="20"/>
          <w:szCs w:val="20"/>
          <w:lang w:val="en-US"/>
        </w:rPr>
        <w:t xml:space="preserve">to February </w:t>
      </w:r>
      <w:r w:rsidR="0057586B" w:rsidRPr="007D47AD">
        <w:rPr>
          <w:rFonts w:asciiTheme="minorHAnsi" w:eastAsia="Times New Roman" w:hAnsiTheme="minorHAnsi" w:cs="Arial"/>
          <w:sz w:val="20"/>
          <w:szCs w:val="20"/>
          <w:lang w:val="en-US"/>
        </w:rPr>
        <w:t>5</w:t>
      </w:r>
      <w:r w:rsidR="0088708D" w:rsidRPr="007D47AD">
        <w:rPr>
          <w:rFonts w:asciiTheme="minorHAnsi" w:eastAsia="Times New Roman" w:hAnsiTheme="minorHAnsi" w:cs="Arial"/>
          <w:sz w:val="20"/>
          <w:szCs w:val="20"/>
          <w:lang w:val="en-US"/>
        </w:rPr>
        <w:t>,</w:t>
      </w:r>
      <w:r w:rsidR="0057586B" w:rsidRPr="007D47AD">
        <w:rPr>
          <w:rFonts w:asciiTheme="minorHAnsi" w:eastAsia="Times New Roman" w:hAnsiTheme="minorHAnsi" w:cs="Arial"/>
          <w:sz w:val="20"/>
          <w:szCs w:val="20"/>
          <w:lang w:val="en-US"/>
        </w:rPr>
        <w:t xml:space="preserve"> 2020 </w:t>
      </w:r>
      <w:r w:rsidR="0088708D" w:rsidRPr="007D47AD">
        <w:rPr>
          <w:rFonts w:asciiTheme="minorHAnsi" w:eastAsia="Times New Roman" w:hAnsiTheme="minorHAnsi" w:cs="Arial"/>
          <w:sz w:val="20"/>
          <w:szCs w:val="20"/>
          <w:lang w:val="en-US"/>
        </w:rPr>
        <w:t xml:space="preserve">to address the matter, and that it has set up a working group made up of the </w:t>
      </w:r>
      <w:r w:rsidR="005E163B" w:rsidRPr="007D47AD">
        <w:rPr>
          <w:rFonts w:asciiTheme="minorHAnsi" w:eastAsia="Times New Roman" w:hAnsiTheme="minorHAnsi" w:cs="Arial"/>
          <w:sz w:val="20"/>
          <w:szCs w:val="20"/>
          <w:lang w:val="en-US"/>
        </w:rPr>
        <w:t xml:space="preserve">Ministry of Interior, </w:t>
      </w:r>
      <w:r w:rsidR="0088708D" w:rsidRPr="007D47AD">
        <w:rPr>
          <w:rFonts w:asciiTheme="minorHAnsi" w:eastAsia="Times New Roman" w:hAnsiTheme="minorHAnsi" w:cs="Arial"/>
          <w:sz w:val="20"/>
          <w:szCs w:val="20"/>
          <w:lang w:val="en-US"/>
        </w:rPr>
        <w:t xml:space="preserve">the </w:t>
      </w:r>
      <w:r w:rsidR="0057586B" w:rsidRPr="007D47AD">
        <w:rPr>
          <w:rFonts w:asciiTheme="minorHAnsi" w:eastAsia="Times New Roman" w:hAnsiTheme="minorHAnsi" w:cs="Arial"/>
          <w:sz w:val="20"/>
          <w:szCs w:val="20"/>
          <w:lang w:val="en-US"/>
        </w:rPr>
        <w:t>CNB</w:t>
      </w:r>
      <w:r w:rsidR="0088708D" w:rsidRPr="007D47AD">
        <w:rPr>
          <w:rFonts w:asciiTheme="minorHAnsi" w:eastAsia="Times New Roman" w:hAnsiTheme="minorHAnsi" w:cs="Arial"/>
          <w:sz w:val="20"/>
          <w:szCs w:val="20"/>
          <w:lang w:val="en-US"/>
        </w:rPr>
        <w:t xml:space="preserve">, and the Office of the Federal Prosecutor of </w:t>
      </w:r>
      <w:r w:rsidR="0057586B" w:rsidRPr="007D47AD">
        <w:rPr>
          <w:rFonts w:asciiTheme="minorHAnsi" w:eastAsia="Times New Roman" w:hAnsiTheme="minorHAnsi" w:cs="Arial"/>
          <w:sz w:val="20"/>
          <w:szCs w:val="20"/>
          <w:lang w:val="en-US"/>
        </w:rPr>
        <w:t>Veracruz</w:t>
      </w:r>
      <w:r w:rsidR="0088708D" w:rsidRPr="007D47AD">
        <w:rPr>
          <w:rFonts w:asciiTheme="minorHAnsi" w:eastAsia="Times New Roman" w:hAnsiTheme="minorHAnsi" w:cs="Arial"/>
          <w:sz w:val="20"/>
          <w:szCs w:val="20"/>
          <w:lang w:val="en-US"/>
        </w:rPr>
        <w:t>.</w:t>
      </w:r>
      <w:r w:rsidR="0057586B" w:rsidRPr="007D47AD">
        <w:rPr>
          <w:rStyle w:val="FootnoteReference"/>
          <w:rFonts w:asciiTheme="minorHAnsi" w:hAnsiTheme="minorHAnsi"/>
          <w:sz w:val="20"/>
          <w:szCs w:val="20"/>
          <w:lang w:val="en-US"/>
        </w:rPr>
        <w:footnoteReference w:id="93"/>
      </w:r>
    </w:p>
    <w:p w:rsidR="009C095D" w:rsidRPr="007D47AD" w:rsidRDefault="00BE066E" w:rsidP="00EC1BBF">
      <w:pPr>
        <w:numPr>
          <w:ilvl w:val="0"/>
          <w:numId w:val="6"/>
        </w:numPr>
        <w:shd w:val="clear" w:color="auto" w:fill="FFFFFF"/>
        <w:spacing w:after="240" w:line="240" w:lineRule="auto"/>
        <w:ind w:left="0" w:firstLine="720"/>
        <w:jc w:val="both"/>
        <w:rPr>
          <w:rFonts w:asciiTheme="minorHAnsi" w:eastAsia="Times New Roman" w:hAnsiTheme="minorHAnsi" w:cs="Arial"/>
          <w:sz w:val="20"/>
          <w:szCs w:val="20"/>
          <w:lang w:val="en-US"/>
        </w:rPr>
      </w:pPr>
      <w:r w:rsidRPr="007D47AD">
        <w:rPr>
          <w:rFonts w:asciiTheme="minorHAnsi" w:hAnsiTheme="minorHAnsi"/>
          <w:sz w:val="20"/>
          <w:szCs w:val="20"/>
          <w:lang w:val="en-US"/>
        </w:rPr>
        <w:t xml:space="preserve">Based on the aggregate information, the Commission </w:t>
      </w:r>
      <w:r w:rsidR="002766A3" w:rsidRPr="007D47AD">
        <w:rPr>
          <w:rFonts w:asciiTheme="minorHAnsi" w:hAnsiTheme="minorHAnsi"/>
          <w:sz w:val="20"/>
          <w:szCs w:val="20"/>
          <w:lang w:val="en-US"/>
        </w:rPr>
        <w:t>observ</w:t>
      </w:r>
      <w:r w:rsidRPr="007D47AD">
        <w:rPr>
          <w:rFonts w:asciiTheme="minorHAnsi" w:hAnsiTheme="minorHAnsi"/>
          <w:sz w:val="20"/>
          <w:szCs w:val="20"/>
          <w:lang w:val="en-US"/>
        </w:rPr>
        <w:t xml:space="preserve">es that with respect to the recommendation related to </w:t>
      </w:r>
      <w:r w:rsidR="00C5321C" w:rsidRPr="007D47AD">
        <w:rPr>
          <w:rFonts w:asciiTheme="minorHAnsi" w:hAnsiTheme="minorHAnsi"/>
          <w:b/>
          <w:sz w:val="20"/>
          <w:szCs w:val="20"/>
          <w:lang w:val="en-US"/>
        </w:rPr>
        <w:t>adop</w:t>
      </w:r>
      <w:r w:rsidRPr="007D47AD">
        <w:rPr>
          <w:rFonts w:asciiTheme="minorHAnsi" w:hAnsiTheme="minorHAnsi"/>
          <w:b/>
          <w:sz w:val="20"/>
          <w:szCs w:val="20"/>
          <w:lang w:val="en-US"/>
        </w:rPr>
        <w:t>ting</w:t>
      </w:r>
      <w:r w:rsidR="00C5321C" w:rsidRPr="007D47AD">
        <w:rPr>
          <w:rFonts w:asciiTheme="minorHAnsi" w:hAnsiTheme="minorHAnsi"/>
          <w:b/>
          <w:sz w:val="20"/>
          <w:szCs w:val="20"/>
          <w:lang w:val="en-US"/>
        </w:rPr>
        <w:t xml:space="preserve"> </w:t>
      </w:r>
      <w:r w:rsidR="008E65F3" w:rsidRPr="007D47AD">
        <w:rPr>
          <w:rFonts w:asciiTheme="minorHAnsi" w:hAnsiTheme="minorHAnsi"/>
          <w:b/>
          <w:sz w:val="20"/>
          <w:szCs w:val="20"/>
          <w:lang w:val="en-US"/>
        </w:rPr>
        <w:t xml:space="preserve">all necessary measures to ensure that both at the federal and state </w:t>
      </w:r>
      <w:r w:rsidR="008E65F3" w:rsidRPr="007D47AD">
        <w:rPr>
          <w:rFonts w:asciiTheme="minorHAnsi" w:hAnsiTheme="minorHAnsi"/>
          <w:b/>
          <w:sz w:val="20"/>
          <w:szCs w:val="20"/>
          <w:lang w:val="en-US"/>
        </w:rPr>
        <w:lastRenderedPageBreak/>
        <w:t xml:space="preserve">level the laws and practices comply with international standards on the subject, </w:t>
      </w:r>
      <w:r w:rsidRPr="007D47AD">
        <w:rPr>
          <w:rFonts w:asciiTheme="minorHAnsi" w:hAnsiTheme="minorHAnsi" w:cs="Arial"/>
          <w:sz w:val="20"/>
          <w:szCs w:val="20"/>
          <w:lang w:val="en-US"/>
        </w:rPr>
        <w:t xml:space="preserve">the State has adopted measures aimed at implementing the </w:t>
      </w:r>
      <w:r w:rsidR="00EC1BBF" w:rsidRPr="007D47AD">
        <w:rPr>
          <w:rFonts w:asciiTheme="minorHAnsi" w:hAnsiTheme="minorHAnsi" w:cs="Arial"/>
          <w:sz w:val="20"/>
          <w:szCs w:val="20"/>
          <w:lang w:val="en-US"/>
        </w:rPr>
        <w:t>General</w:t>
      </w:r>
      <w:r w:rsidRPr="007D47AD">
        <w:rPr>
          <w:rFonts w:asciiTheme="minorHAnsi" w:hAnsiTheme="minorHAnsi" w:cs="Arial"/>
          <w:sz w:val="20"/>
          <w:szCs w:val="20"/>
          <w:lang w:val="en-US"/>
        </w:rPr>
        <w:t xml:space="preserve"> Law</w:t>
      </w:r>
      <w:r w:rsidR="00EC1BBF" w:rsidRPr="007D47AD">
        <w:rPr>
          <w:rFonts w:asciiTheme="minorHAnsi" w:hAnsiTheme="minorHAnsi" w:cs="Arial"/>
          <w:sz w:val="20"/>
          <w:szCs w:val="20"/>
          <w:lang w:val="en-US"/>
        </w:rPr>
        <w:t xml:space="preserve">, </w:t>
      </w:r>
      <w:r w:rsidRPr="007D47AD">
        <w:rPr>
          <w:rFonts w:asciiTheme="minorHAnsi" w:hAnsiTheme="minorHAnsi" w:cs="Arial"/>
          <w:sz w:val="20"/>
          <w:szCs w:val="20"/>
          <w:lang w:val="en-US"/>
        </w:rPr>
        <w:t xml:space="preserve">specifically for implementing the National Search System </w:t>
      </w:r>
      <w:r w:rsidR="003941D4" w:rsidRPr="007D47AD">
        <w:rPr>
          <w:rFonts w:asciiTheme="minorHAnsi" w:hAnsiTheme="minorHAnsi" w:cs="Arial"/>
          <w:sz w:val="20"/>
          <w:szCs w:val="20"/>
          <w:lang w:val="en-US"/>
        </w:rPr>
        <w:t xml:space="preserve">by </w:t>
      </w:r>
      <w:r w:rsidRPr="007D47AD">
        <w:rPr>
          <w:rFonts w:asciiTheme="minorHAnsi" w:hAnsiTheme="minorHAnsi" w:cs="Arial"/>
          <w:sz w:val="20"/>
          <w:szCs w:val="20"/>
          <w:lang w:val="en-US"/>
        </w:rPr>
        <w:t>form</w:t>
      </w:r>
      <w:r w:rsidR="003941D4" w:rsidRPr="007D47AD">
        <w:rPr>
          <w:rFonts w:asciiTheme="minorHAnsi" w:hAnsiTheme="minorHAnsi" w:cs="Arial"/>
          <w:sz w:val="20"/>
          <w:szCs w:val="20"/>
          <w:lang w:val="en-US"/>
        </w:rPr>
        <w:t>ing</w:t>
      </w:r>
      <w:r w:rsidRPr="007D47AD">
        <w:rPr>
          <w:rFonts w:asciiTheme="minorHAnsi" w:hAnsiTheme="minorHAnsi" w:cs="Arial"/>
          <w:sz w:val="20"/>
          <w:szCs w:val="20"/>
          <w:lang w:val="en-US"/>
        </w:rPr>
        <w:t xml:space="preserve"> the Local Search Committees and the </w:t>
      </w:r>
      <w:r w:rsidR="003941D4" w:rsidRPr="007D47AD">
        <w:rPr>
          <w:rFonts w:asciiTheme="minorHAnsi" w:hAnsiTheme="minorHAnsi" w:cs="Arial"/>
          <w:sz w:val="20"/>
          <w:szCs w:val="20"/>
          <w:lang w:val="en-US"/>
        </w:rPr>
        <w:t xml:space="preserve">Special Prosecutors’ Offices, </w:t>
      </w:r>
      <w:r w:rsidRPr="007D47AD">
        <w:rPr>
          <w:rFonts w:asciiTheme="minorHAnsi" w:hAnsiTheme="minorHAnsi" w:cs="Arial"/>
          <w:sz w:val="20"/>
          <w:szCs w:val="20"/>
          <w:lang w:val="en-US"/>
        </w:rPr>
        <w:t xml:space="preserve">with the </w:t>
      </w:r>
      <w:r w:rsidR="003941D4" w:rsidRPr="007D47AD">
        <w:rPr>
          <w:rFonts w:asciiTheme="minorHAnsi" w:hAnsiTheme="minorHAnsi" w:cs="Arial"/>
          <w:sz w:val="20"/>
          <w:szCs w:val="20"/>
          <w:lang w:val="en-US"/>
        </w:rPr>
        <w:t xml:space="preserve">qualifications stated </w:t>
      </w:r>
      <w:r w:rsidRPr="007D47AD">
        <w:rPr>
          <w:rFonts w:asciiTheme="minorHAnsi" w:hAnsiTheme="minorHAnsi" w:cs="Arial"/>
          <w:sz w:val="20"/>
          <w:szCs w:val="20"/>
          <w:lang w:val="en-US"/>
        </w:rPr>
        <w:t xml:space="preserve">above. In this </w:t>
      </w:r>
      <w:r w:rsidR="00822DF9" w:rsidRPr="007D47AD">
        <w:rPr>
          <w:rFonts w:asciiTheme="minorHAnsi" w:hAnsiTheme="minorHAnsi" w:cs="Arial"/>
          <w:sz w:val="20"/>
          <w:szCs w:val="20"/>
          <w:lang w:val="en-US"/>
        </w:rPr>
        <w:t>s</w:t>
      </w:r>
      <w:r w:rsidR="00561A1E" w:rsidRPr="007D47AD">
        <w:rPr>
          <w:rFonts w:asciiTheme="minorHAnsi" w:hAnsiTheme="minorHAnsi" w:cs="Arial"/>
          <w:sz w:val="20"/>
          <w:szCs w:val="20"/>
          <w:lang w:val="en-US"/>
        </w:rPr>
        <w:t xml:space="preserve">cenario, </w:t>
      </w:r>
      <w:r w:rsidRPr="007D47AD">
        <w:rPr>
          <w:rFonts w:asciiTheme="minorHAnsi" w:hAnsiTheme="minorHAnsi" w:cs="Arial"/>
          <w:sz w:val="20"/>
          <w:szCs w:val="20"/>
          <w:lang w:val="en-US"/>
        </w:rPr>
        <w:t>the IACHR notes that the adoption and establishment of the National Program of Exhumations and Identification, the National Search Program</w:t>
      </w:r>
      <w:r w:rsidR="00822DF9" w:rsidRPr="007D47AD">
        <w:rPr>
          <w:rFonts w:asciiTheme="minorHAnsi" w:hAnsiTheme="minorHAnsi" w:cs="Arial"/>
          <w:sz w:val="20"/>
          <w:szCs w:val="20"/>
          <w:lang w:val="en-US"/>
        </w:rPr>
        <w:t xml:space="preserve">, </w:t>
      </w:r>
      <w:r w:rsidRPr="007D47AD">
        <w:rPr>
          <w:rFonts w:asciiTheme="minorHAnsi" w:hAnsiTheme="minorHAnsi" w:cs="Arial"/>
          <w:sz w:val="20"/>
          <w:szCs w:val="20"/>
          <w:lang w:val="en-US"/>
        </w:rPr>
        <w:t xml:space="preserve">the National Citizen Council, and the Search Groups is still incipient. One reaches the same conclusion with respect to the information management tools and bodies, as indicated above, with special emphasis on the Standardized Search Protocol. In view of the foregoing, the Commission finds that the recommendation has met with partial substantial compliance. </w:t>
      </w:r>
    </w:p>
    <w:p w:rsidR="009C095D" w:rsidRPr="007D47AD" w:rsidRDefault="00BE066E" w:rsidP="00496AFD">
      <w:pPr>
        <w:numPr>
          <w:ilvl w:val="0"/>
          <w:numId w:val="6"/>
        </w:numPr>
        <w:shd w:val="clear" w:color="auto" w:fill="FFFFFF"/>
        <w:spacing w:after="240" w:line="240" w:lineRule="auto"/>
        <w:ind w:left="0" w:firstLine="720"/>
        <w:jc w:val="both"/>
        <w:rPr>
          <w:rFonts w:asciiTheme="minorHAnsi" w:eastAsia="Times New Roman" w:hAnsiTheme="minorHAnsi" w:cs="Arial"/>
          <w:sz w:val="20"/>
          <w:szCs w:val="20"/>
          <w:lang w:val="en-US"/>
        </w:rPr>
      </w:pPr>
      <w:r w:rsidRPr="007D47AD">
        <w:rPr>
          <w:rFonts w:asciiTheme="minorHAnsi" w:hAnsiTheme="minorHAnsi" w:cs="Calibri"/>
          <w:sz w:val="20"/>
          <w:szCs w:val="20"/>
          <w:lang w:val="en-US"/>
        </w:rPr>
        <w:t>As regards the recommendation</w:t>
      </w:r>
      <w:r w:rsidR="003941D4" w:rsidRPr="007D47AD">
        <w:rPr>
          <w:rFonts w:asciiTheme="minorHAnsi" w:hAnsiTheme="minorHAnsi" w:cs="Calibri"/>
          <w:sz w:val="20"/>
          <w:szCs w:val="20"/>
          <w:lang w:val="en-US"/>
        </w:rPr>
        <w:t xml:space="preserve"> to</w:t>
      </w:r>
      <w:r w:rsidRPr="007D47AD">
        <w:rPr>
          <w:rFonts w:asciiTheme="minorHAnsi" w:hAnsiTheme="minorHAnsi" w:cs="Calibri"/>
          <w:sz w:val="20"/>
          <w:szCs w:val="20"/>
          <w:lang w:val="en-US"/>
        </w:rPr>
        <w:t xml:space="preserve"> </w:t>
      </w:r>
      <w:r w:rsidR="009C095D" w:rsidRPr="007D47AD">
        <w:rPr>
          <w:rFonts w:asciiTheme="minorHAnsi" w:eastAsia="Times New Roman" w:hAnsiTheme="minorHAnsi" w:cs="Tahoma"/>
          <w:b/>
          <w:sz w:val="20"/>
          <w:szCs w:val="20"/>
          <w:lang w:val="en-US"/>
        </w:rPr>
        <w:t>establ</w:t>
      </w:r>
      <w:r w:rsidR="008E65F3" w:rsidRPr="007D47AD">
        <w:rPr>
          <w:rFonts w:asciiTheme="minorHAnsi" w:eastAsia="Times New Roman" w:hAnsiTheme="minorHAnsi" w:cs="Tahoma"/>
          <w:b/>
          <w:sz w:val="20"/>
          <w:szCs w:val="20"/>
          <w:lang w:val="en-US"/>
        </w:rPr>
        <w:t>ish mechanisms for immediate search for disappeared persons</w:t>
      </w:r>
      <w:r w:rsidR="009C095D" w:rsidRPr="007D47AD">
        <w:rPr>
          <w:rFonts w:asciiTheme="minorHAnsi" w:eastAsia="Times New Roman" w:hAnsiTheme="minorHAnsi" w:cs="Tahoma"/>
          <w:sz w:val="20"/>
          <w:szCs w:val="20"/>
          <w:lang w:val="en-US"/>
        </w:rPr>
        <w:t xml:space="preserve">, </w:t>
      </w:r>
      <w:r w:rsidRPr="007D47AD">
        <w:rPr>
          <w:rFonts w:asciiTheme="minorHAnsi" w:eastAsia="Times New Roman" w:hAnsiTheme="minorHAnsi" w:cs="Tahoma"/>
          <w:sz w:val="20"/>
          <w:szCs w:val="20"/>
          <w:lang w:val="en-US"/>
        </w:rPr>
        <w:t xml:space="preserve">while the State described the search mechanisms undertaken by the CNB using telephones and the Internet, the Standardized Search Protocol has yet </w:t>
      </w:r>
      <w:r w:rsidR="003941D4" w:rsidRPr="007D47AD">
        <w:rPr>
          <w:rFonts w:asciiTheme="minorHAnsi" w:eastAsia="Times New Roman" w:hAnsiTheme="minorHAnsi" w:cs="Tahoma"/>
          <w:sz w:val="20"/>
          <w:szCs w:val="20"/>
          <w:lang w:val="en-US"/>
        </w:rPr>
        <w:t xml:space="preserve">to </w:t>
      </w:r>
      <w:r w:rsidRPr="007D47AD">
        <w:rPr>
          <w:rFonts w:asciiTheme="minorHAnsi" w:eastAsia="Times New Roman" w:hAnsiTheme="minorHAnsi" w:cs="Tahoma"/>
          <w:sz w:val="20"/>
          <w:szCs w:val="20"/>
          <w:lang w:val="en-US"/>
        </w:rPr>
        <w:t>b</w:t>
      </w:r>
      <w:r w:rsidR="003941D4" w:rsidRPr="007D47AD">
        <w:rPr>
          <w:rFonts w:asciiTheme="minorHAnsi" w:eastAsia="Times New Roman" w:hAnsiTheme="minorHAnsi" w:cs="Tahoma"/>
          <w:sz w:val="20"/>
          <w:szCs w:val="20"/>
          <w:lang w:val="en-US"/>
        </w:rPr>
        <w:t>e</w:t>
      </w:r>
      <w:r w:rsidRPr="007D47AD">
        <w:rPr>
          <w:rFonts w:asciiTheme="minorHAnsi" w:eastAsia="Times New Roman" w:hAnsiTheme="minorHAnsi" w:cs="Tahoma"/>
          <w:sz w:val="20"/>
          <w:szCs w:val="20"/>
          <w:lang w:val="en-US"/>
        </w:rPr>
        <w:t xml:space="preserve"> adopted, and the IACHR does not have information with respect to performance by the </w:t>
      </w:r>
      <w:r w:rsidR="00496AFD" w:rsidRPr="007D47AD">
        <w:rPr>
          <w:rFonts w:asciiTheme="minorHAnsi" w:eastAsia="Times New Roman" w:hAnsiTheme="minorHAnsi" w:cs="Tahoma"/>
          <w:sz w:val="20"/>
          <w:szCs w:val="20"/>
          <w:lang w:val="en-US"/>
        </w:rPr>
        <w:t>CLB</w:t>
      </w:r>
      <w:r w:rsidR="003941D4" w:rsidRPr="007D47AD">
        <w:rPr>
          <w:rFonts w:asciiTheme="minorHAnsi" w:eastAsia="Times New Roman" w:hAnsiTheme="minorHAnsi" w:cs="Tahoma"/>
          <w:sz w:val="20"/>
          <w:szCs w:val="20"/>
          <w:lang w:val="en-US"/>
        </w:rPr>
        <w:t xml:space="preserve"> of its functions</w:t>
      </w:r>
      <w:r w:rsidR="00496AFD" w:rsidRPr="007D47AD">
        <w:rPr>
          <w:rFonts w:asciiTheme="minorHAnsi" w:eastAsia="Times New Roman" w:hAnsiTheme="minorHAnsi" w:cs="Tahoma"/>
          <w:sz w:val="20"/>
          <w:szCs w:val="20"/>
          <w:lang w:val="en-US"/>
        </w:rPr>
        <w:t>. Final</w:t>
      </w:r>
      <w:r w:rsidRPr="007D47AD">
        <w:rPr>
          <w:rFonts w:asciiTheme="minorHAnsi" w:eastAsia="Times New Roman" w:hAnsiTheme="minorHAnsi" w:cs="Tahoma"/>
          <w:sz w:val="20"/>
          <w:szCs w:val="20"/>
          <w:lang w:val="en-US"/>
        </w:rPr>
        <w:t>ly</w:t>
      </w:r>
      <w:r w:rsidR="00496AFD" w:rsidRPr="007D47AD">
        <w:rPr>
          <w:rFonts w:asciiTheme="minorHAnsi" w:eastAsia="Times New Roman" w:hAnsiTheme="minorHAnsi" w:cs="Tahoma"/>
          <w:sz w:val="20"/>
          <w:szCs w:val="20"/>
          <w:lang w:val="en-US"/>
        </w:rPr>
        <w:t>,</w:t>
      </w:r>
      <w:r w:rsidRPr="007D47AD">
        <w:rPr>
          <w:rFonts w:asciiTheme="minorHAnsi" w:eastAsia="Times New Roman" w:hAnsiTheme="minorHAnsi" w:cs="Tahoma"/>
          <w:sz w:val="20"/>
          <w:szCs w:val="20"/>
          <w:lang w:val="en-US"/>
        </w:rPr>
        <w:t xml:space="preserve"> the Commission also finds that the State has reported on the Standardized Search and Investigation Protocol that was adopted before the entry into force of the General Law. The IACHR observes that in keeping with the current legislation, the applicable instrument is the Standardi</w:t>
      </w:r>
      <w:r w:rsidR="003941D4" w:rsidRPr="007D47AD">
        <w:rPr>
          <w:rFonts w:asciiTheme="minorHAnsi" w:eastAsia="Times New Roman" w:hAnsiTheme="minorHAnsi" w:cs="Tahoma"/>
          <w:sz w:val="20"/>
          <w:szCs w:val="20"/>
          <w:lang w:val="en-US"/>
        </w:rPr>
        <w:t>z</w:t>
      </w:r>
      <w:r w:rsidRPr="007D47AD">
        <w:rPr>
          <w:rFonts w:asciiTheme="minorHAnsi" w:eastAsia="Times New Roman" w:hAnsiTheme="minorHAnsi" w:cs="Tahoma"/>
          <w:sz w:val="20"/>
          <w:szCs w:val="20"/>
          <w:lang w:val="en-US"/>
        </w:rPr>
        <w:t xml:space="preserve">ed Investigation Protocol, yet it has been subject to criticisms by civil society organizations precisely due to </w:t>
      </w:r>
      <w:r w:rsidR="003941D4" w:rsidRPr="007D47AD">
        <w:rPr>
          <w:rFonts w:asciiTheme="minorHAnsi" w:eastAsia="Times New Roman" w:hAnsiTheme="minorHAnsi" w:cs="Tahoma"/>
          <w:sz w:val="20"/>
          <w:szCs w:val="20"/>
          <w:lang w:val="en-US"/>
        </w:rPr>
        <w:t xml:space="preserve">the failure to include them in its design. </w:t>
      </w:r>
      <w:r w:rsidRPr="007D47AD">
        <w:rPr>
          <w:rFonts w:asciiTheme="minorHAnsi" w:eastAsia="Times New Roman" w:hAnsiTheme="minorHAnsi" w:cs="Tahoma"/>
          <w:sz w:val="20"/>
          <w:szCs w:val="20"/>
          <w:lang w:val="en-US"/>
        </w:rPr>
        <w:t xml:space="preserve">The IACHR expects that </w:t>
      </w:r>
      <w:r w:rsidR="003941D4" w:rsidRPr="007D47AD">
        <w:rPr>
          <w:rFonts w:asciiTheme="minorHAnsi" w:eastAsia="Times New Roman" w:hAnsiTheme="minorHAnsi" w:cs="Tahoma"/>
          <w:sz w:val="20"/>
          <w:szCs w:val="20"/>
          <w:lang w:val="en-US"/>
        </w:rPr>
        <w:t xml:space="preserve">these observations </w:t>
      </w:r>
      <w:r w:rsidR="00534E67" w:rsidRPr="007D47AD">
        <w:rPr>
          <w:rFonts w:asciiTheme="minorHAnsi" w:eastAsia="Times New Roman" w:hAnsiTheme="minorHAnsi" w:cs="Tahoma"/>
          <w:sz w:val="20"/>
          <w:szCs w:val="20"/>
          <w:lang w:val="en-US"/>
        </w:rPr>
        <w:t xml:space="preserve">will be </w:t>
      </w:r>
      <w:r w:rsidR="003941D4" w:rsidRPr="007D47AD">
        <w:rPr>
          <w:rFonts w:asciiTheme="minorHAnsi" w:eastAsia="Times New Roman" w:hAnsiTheme="minorHAnsi" w:cs="Tahoma"/>
          <w:sz w:val="20"/>
          <w:szCs w:val="20"/>
          <w:lang w:val="en-US"/>
        </w:rPr>
        <w:t xml:space="preserve">addressed by the State </w:t>
      </w:r>
      <w:r w:rsidRPr="007D47AD">
        <w:rPr>
          <w:rFonts w:asciiTheme="minorHAnsi" w:eastAsia="Times New Roman" w:hAnsiTheme="minorHAnsi" w:cs="Tahoma"/>
          <w:sz w:val="20"/>
          <w:szCs w:val="20"/>
          <w:lang w:val="en-US"/>
        </w:rPr>
        <w:t xml:space="preserve">in </w:t>
      </w:r>
      <w:r w:rsidR="003941D4" w:rsidRPr="007D47AD">
        <w:rPr>
          <w:rFonts w:asciiTheme="minorHAnsi" w:eastAsia="Times New Roman" w:hAnsiTheme="minorHAnsi" w:cs="Tahoma"/>
          <w:sz w:val="20"/>
          <w:szCs w:val="20"/>
          <w:lang w:val="en-US"/>
        </w:rPr>
        <w:t xml:space="preserve">the </w:t>
      </w:r>
      <w:r w:rsidRPr="007D47AD">
        <w:rPr>
          <w:rFonts w:asciiTheme="minorHAnsi" w:eastAsia="Times New Roman" w:hAnsiTheme="minorHAnsi" w:cs="Tahoma"/>
          <w:sz w:val="20"/>
          <w:szCs w:val="20"/>
          <w:lang w:val="en-US"/>
        </w:rPr>
        <w:t xml:space="preserve">next version, resulting from the </w:t>
      </w:r>
      <w:r w:rsidR="003941D4" w:rsidRPr="007D47AD">
        <w:rPr>
          <w:rFonts w:asciiTheme="minorHAnsi" w:eastAsia="Times New Roman" w:hAnsiTheme="minorHAnsi" w:cs="Tahoma"/>
          <w:sz w:val="20"/>
          <w:szCs w:val="20"/>
          <w:lang w:val="en-US"/>
        </w:rPr>
        <w:t xml:space="preserve">Permanent Verification Mechanism </w:t>
      </w:r>
      <w:r w:rsidRPr="007D47AD">
        <w:rPr>
          <w:rFonts w:asciiTheme="minorHAnsi" w:eastAsia="Times New Roman" w:hAnsiTheme="minorHAnsi" w:cs="Tahoma"/>
          <w:sz w:val="20"/>
          <w:szCs w:val="20"/>
          <w:lang w:val="en-US"/>
        </w:rPr>
        <w:t xml:space="preserve">of the National Conference for Seeking Justice. In view of the foregoing, the IACHR considers that the recommendation has met with partial compliance. </w:t>
      </w:r>
    </w:p>
    <w:p w:rsidR="00554C78" w:rsidRPr="007D47AD" w:rsidRDefault="00BE066E" w:rsidP="00BE066E">
      <w:pPr>
        <w:numPr>
          <w:ilvl w:val="0"/>
          <w:numId w:val="6"/>
        </w:numPr>
        <w:shd w:val="clear" w:color="auto" w:fill="FFFFFF"/>
        <w:spacing w:after="240" w:line="240" w:lineRule="auto"/>
        <w:ind w:left="0" w:firstLine="720"/>
        <w:jc w:val="both"/>
        <w:rPr>
          <w:rFonts w:asciiTheme="minorHAnsi" w:eastAsia="Times New Roman" w:hAnsiTheme="minorHAnsi" w:cs="Arial"/>
          <w:sz w:val="20"/>
          <w:szCs w:val="20"/>
          <w:lang w:val="en-US"/>
        </w:rPr>
      </w:pPr>
      <w:r w:rsidRPr="007D47AD">
        <w:rPr>
          <w:rFonts w:asciiTheme="minorHAnsi" w:hAnsiTheme="minorHAnsi" w:cs="Calibri"/>
          <w:sz w:val="20"/>
          <w:szCs w:val="20"/>
          <w:lang w:val="en-US"/>
        </w:rPr>
        <w:t xml:space="preserve">As for the recommendation to </w:t>
      </w:r>
      <w:r w:rsidR="008E65F3" w:rsidRPr="007D47AD">
        <w:rPr>
          <w:rFonts w:asciiTheme="minorHAnsi" w:eastAsia="Times New Roman" w:hAnsiTheme="minorHAnsi" w:cs="Tahoma"/>
          <w:b/>
          <w:sz w:val="20"/>
          <w:szCs w:val="20"/>
          <w:lang w:val="en-US"/>
        </w:rPr>
        <w:t xml:space="preserve">improve the National Registry of Disappeared Persons to become a </w:t>
      </w:r>
      <w:r w:rsidR="003941D4" w:rsidRPr="007D47AD">
        <w:rPr>
          <w:rFonts w:asciiTheme="minorHAnsi" w:eastAsia="Times New Roman" w:hAnsiTheme="minorHAnsi" w:cs="Tahoma"/>
          <w:b/>
          <w:sz w:val="20"/>
          <w:szCs w:val="20"/>
          <w:lang w:val="en-US"/>
        </w:rPr>
        <w:t xml:space="preserve">single </w:t>
      </w:r>
      <w:r w:rsidR="008E65F3" w:rsidRPr="007D47AD">
        <w:rPr>
          <w:rFonts w:asciiTheme="minorHAnsi" w:eastAsia="Times New Roman" w:hAnsiTheme="minorHAnsi" w:cs="Tahoma"/>
          <w:b/>
          <w:sz w:val="20"/>
          <w:szCs w:val="20"/>
          <w:lang w:val="en-US"/>
        </w:rPr>
        <w:t>registry of disappearance with genetic and protected information</w:t>
      </w:r>
      <w:r w:rsidR="009C095D" w:rsidRPr="007D47AD">
        <w:rPr>
          <w:rFonts w:asciiTheme="minorHAnsi" w:eastAsia="Times New Roman" w:hAnsiTheme="minorHAnsi" w:cs="Tahoma"/>
          <w:b/>
          <w:sz w:val="20"/>
          <w:szCs w:val="20"/>
          <w:lang w:val="en-US"/>
        </w:rPr>
        <w:t>,</w:t>
      </w:r>
      <w:r w:rsidR="009C095D" w:rsidRPr="007D47AD">
        <w:rPr>
          <w:rFonts w:asciiTheme="minorHAnsi" w:hAnsiTheme="minorHAnsi"/>
          <w:sz w:val="20"/>
          <w:szCs w:val="20"/>
          <w:lang w:val="en-US"/>
        </w:rPr>
        <w:t xml:space="preserve"> </w:t>
      </w:r>
      <w:r w:rsidRPr="007D47AD">
        <w:rPr>
          <w:rFonts w:asciiTheme="minorHAnsi" w:hAnsiTheme="minorHAnsi"/>
          <w:sz w:val="20"/>
          <w:szCs w:val="20"/>
          <w:lang w:val="en-US"/>
        </w:rPr>
        <w:t xml:space="preserve">as already indicated, the State has undertaken the task of updating that Registry. As the Commission had noted earlier, the </w:t>
      </w:r>
      <w:r w:rsidR="009C095D" w:rsidRPr="007D47AD">
        <w:rPr>
          <w:rFonts w:asciiTheme="minorHAnsi" w:hAnsiTheme="minorHAnsi" w:cs="Calibri"/>
          <w:sz w:val="20"/>
          <w:szCs w:val="20"/>
          <w:lang w:val="en-US"/>
        </w:rPr>
        <w:t xml:space="preserve">RNPED </w:t>
      </w:r>
      <w:r w:rsidRPr="007D47AD">
        <w:rPr>
          <w:rFonts w:asciiTheme="minorHAnsi" w:hAnsiTheme="minorHAnsi" w:cs="Calibri"/>
          <w:sz w:val="20"/>
          <w:szCs w:val="20"/>
          <w:lang w:val="en-US"/>
        </w:rPr>
        <w:t xml:space="preserve">had its latest update of data on April 30, </w:t>
      </w:r>
      <w:r w:rsidR="009C095D" w:rsidRPr="007D47AD">
        <w:rPr>
          <w:rFonts w:asciiTheme="minorHAnsi" w:hAnsiTheme="minorHAnsi" w:cs="Calibri"/>
          <w:sz w:val="20"/>
          <w:szCs w:val="20"/>
          <w:lang w:val="en-US"/>
        </w:rPr>
        <w:t>2018</w:t>
      </w:r>
      <w:r w:rsidRPr="007D47AD">
        <w:rPr>
          <w:rFonts w:asciiTheme="minorHAnsi" w:hAnsiTheme="minorHAnsi" w:cs="Calibri"/>
          <w:sz w:val="20"/>
          <w:szCs w:val="20"/>
          <w:lang w:val="en-US"/>
        </w:rPr>
        <w:t xml:space="preserve">; as of that date it included </w:t>
      </w:r>
      <w:r w:rsidR="009C095D" w:rsidRPr="007D47AD">
        <w:rPr>
          <w:rFonts w:asciiTheme="minorHAnsi" w:hAnsiTheme="minorHAnsi" w:cs="Calibri"/>
          <w:sz w:val="20"/>
          <w:szCs w:val="20"/>
          <w:lang w:val="en-US"/>
        </w:rPr>
        <w:t>37</w:t>
      </w:r>
      <w:r w:rsidRPr="007D47AD">
        <w:rPr>
          <w:rFonts w:asciiTheme="minorHAnsi" w:hAnsiTheme="minorHAnsi" w:cs="Calibri"/>
          <w:sz w:val="20"/>
          <w:szCs w:val="20"/>
          <w:lang w:val="en-US"/>
        </w:rPr>
        <w:t>,</w:t>
      </w:r>
      <w:r w:rsidR="009C095D" w:rsidRPr="007D47AD">
        <w:rPr>
          <w:rFonts w:asciiTheme="minorHAnsi" w:hAnsiTheme="minorHAnsi" w:cs="Calibri"/>
          <w:sz w:val="20"/>
          <w:szCs w:val="20"/>
          <w:lang w:val="en-US"/>
        </w:rPr>
        <w:t xml:space="preserve">435 </w:t>
      </w:r>
      <w:r w:rsidRPr="007D47AD">
        <w:rPr>
          <w:rFonts w:asciiTheme="minorHAnsi" w:hAnsiTheme="minorHAnsi" w:cs="Calibri"/>
          <w:sz w:val="20"/>
          <w:szCs w:val="20"/>
          <w:lang w:val="en-US"/>
        </w:rPr>
        <w:t>disappeared</w:t>
      </w:r>
      <w:r w:rsidR="003941D4" w:rsidRPr="007D47AD">
        <w:rPr>
          <w:rFonts w:asciiTheme="minorHAnsi" w:hAnsiTheme="minorHAnsi" w:cs="Calibri"/>
          <w:sz w:val="20"/>
          <w:szCs w:val="20"/>
          <w:lang w:val="en-US"/>
        </w:rPr>
        <w:t xml:space="preserve"> persons</w:t>
      </w:r>
      <w:r w:rsidRPr="007D47AD">
        <w:rPr>
          <w:rFonts w:asciiTheme="minorHAnsi" w:hAnsiTheme="minorHAnsi" w:cs="Calibri"/>
          <w:sz w:val="20"/>
          <w:szCs w:val="20"/>
          <w:lang w:val="en-US"/>
        </w:rPr>
        <w:t>.</w:t>
      </w:r>
      <w:r w:rsidR="009C095D" w:rsidRPr="007D47AD">
        <w:rPr>
          <w:rStyle w:val="FootnoteReference"/>
          <w:rFonts w:asciiTheme="minorHAnsi" w:hAnsiTheme="minorHAnsi" w:cs="Calibri"/>
          <w:sz w:val="20"/>
          <w:szCs w:val="20"/>
          <w:lang w:val="en-US"/>
        </w:rPr>
        <w:footnoteReference w:id="94"/>
      </w:r>
      <w:r w:rsidR="009C095D" w:rsidRPr="007D47AD">
        <w:rPr>
          <w:rFonts w:asciiTheme="minorHAnsi" w:hAnsiTheme="minorHAnsi" w:cs="Calibri"/>
          <w:sz w:val="20"/>
          <w:szCs w:val="20"/>
          <w:lang w:val="en-US"/>
        </w:rPr>
        <w:t xml:space="preserve"> </w:t>
      </w:r>
      <w:r w:rsidRPr="007D47AD">
        <w:rPr>
          <w:rFonts w:asciiTheme="minorHAnsi" w:hAnsiTheme="minorHAnsi" w:cs="Calibri"/>
          <w:sz w:val="20"/>
          <w:szCs w:val="20"/>
          <w:lang w:val="en-US"/>
        </w:rPr>
        <w:t xml:space="preserve">According to what has been stipulated by the General Law, </w:t>
      </w:r>
      <w:r w:rsidRPr="007D47AD">
        <w:rPr>
          <w:rFonts w:asciiTheme="minorHAnsi" w:hAnsiTheme="minorHAnsi"/>
          <w:sz w:val="20"/>
          <w:szCs w:val="20"/>
          <w:lang w:val="en-US"/>
        </w:rPr>
        <w:t xml:space="preserve">the subsequent figures were under the </w:t>
      </w:r>
      <w:r w:rsidR="009C095D" w:rsidRPr="007D47AD">
        <w:rPr>
          <w:rFonts w:asciiTheme="minorHAnsi" w:hAnsiTheme="minorHAnsi"/>
          <w:sz w:val="20"/>
          <w:szCs w:val="20"/>
          <w:lang w:val="en-US"/>
        </w:rPr>
        <w:t>CNBP</w:t>
      </w:r>
      <w:r w:rsidR="00D33B33" w:rsidRPr="007D47AD">
        <w:rPr>
          <w:rFonts w:asciiTheme="minorHAnsi" w:hAnsiTheme="minorHAnsi"/>
          <w:sz w:val="20"/>
          <w:szCs w:val="20"/>
          <w:lang w:val="en-US"/>
        </w:rPr>
        <w:t xml:space="preserve">, </w:t>
      </w:r>
      <w:r w:rsidRPr="007D47AD">
        <w:rPr>
          <w:rFonts w:asciiTheme="minorHAnsi" w:hAnsiTheme="minorHAnsi"/>
          <w:sz w:val="20"/>
          <w:szCs w:val="20"/>
          <w:lang w:val="en-US"/>
        </w:rPr>
        <w:t xml:space="preserve">but the </w:t>
      </w:r>
      <w:r w:rsidR="001D742B" w:rsidRPr="007D47AD">
        <w:rPr>
          <w:rFonts w:asciiTheme="minorHAnsi" w:hAnsiTheme="minorHAnsi"/>
          <w:sz w:val="20"/>
          <w:szCs w:val="20"/>
          <w:lang w:val="en-US"/>
        </w:rPr>
        <w:t>RNPED</w:t>
      </w:r>
      <w:r w:rsidR="009C095D" w:rsidRPr="007D47AD">
        <w:rPr>
          <w:rFonts w:asciiTheme="minorHAnsi" w:hAnsiTheme="minorHAnsi"/>
          <w:sz w:val="20"/>
          <w:szCs w:val="20"/>
          <w:lang w:val="en-US"/>
        </w:rPr>
        <w:t xml:space="preserve"> </w:t>
      </w:r>
      <w:r w:rsidRPr="007D47AD">
        <w:rPr>
          <w:rFonts w:asciiTheme="minorHAnsi" w:hAnsiTheme="minorHAnsi"/>
          <w:sz w:val="20"/>
          <w:szCs w:val="20"/>
          <w:lang w:val="en-US"/>
        </w:rPr>
        <w:t xml:space="preserve">has been relaunched recently, thus the new methodology for feeding into it cannot be evaluated yet. Additionally, the IACHR observes with concern that the recommendation is aimed at the Registry integrating genetic and protected information, which in effect is provided for in the General Law based on the National Bank of Forensic Data and the National Registry of Persons Deceased Not Identified and Not Claimed. Nonetheless, as detailed above, these are not yet in operation. </w:t>
      </w:r>
    </w:p>
    <w:p w:rsidR="009764C8" w:rsidRPr="007D47AD" w:rsidRDefault="00EC3B26" w:rsidP="009764C8">
      <w:pPr>
        <w:numPr>
          <w:ilvl w:val="0"/>
          <w:numId w:val="6"/>
        </w:numPr>
        <w:shd w:val="clear" w:color="auto" w:fill="FFFFFF"/>
        <w:spacing w:after="240" w:line="240" w:lineRule="auto"/>
        <w:ind w:left="0" w:firstLine="720"/>
        <w:jc w:val="both"/>
        <w:rPr>
          <w:rFonts w:asciiTheme="minorHAnsi" w:eastAsia="Times New Roman" w:hAnsiTheme="minorHAnsi" w:cs="Arial"/>
          <w:sz w:val="20"/>
          <w:szCs w:val="20"/>
          <w:lang w:val="en-US"/>
        </w:rPr>
      </w:pPr>
      <w:r w:rsidRPr="007D47AD">
        <w:rPr>
          <w:rFonts w:asciiTheme="minorHAnsi" w:hAnsiTheme="minorHAnsi" w:cs="Calibri"/>
          <w:sz w:val="20"/>
          <w:szCs w:val="20"/>
          <w:lang w:val="en-US"/>
        </w:rPr>
        <w:t xml:space="preserve">This recommendation is closely related to the current process for establishing the Special Mechanism for Forensic Identification (hereinafter “the Special Mechanism”). The importance of this matter for the IACHR </w:t>
      </w:r>
      <w:r w:rsidR="003941D4" w:rsidRPr="007D47AD">
        <w:rPr>
          <w:rFonts w:asciiTheme="minorHAnsi" w:hAnsiTheme="minorHAnsi" w:cs="Calibri"/>
          <w:sz w:val="20"/>
          <w:szCs w:val="20"/>
          <w:lang w:val="en-US"/>
        </w:rPr>
        <w:t xml:space="preserve">was reflected in it calling the public hearing, during </w:t>
      </w:r>
      <w:r w:rsidRPr="007D47AD">
        <w:rPr>
          <w:rFonts w:asciiTheme="minorHAnsi" w:hAnsiTheme="minorHAnsi" w:cs="Calibri"/>
          <w:sz w:val="20"/>
          <w:szCs w:val="20"/>
          <w:lang w:val="en-US"/>
        </w:rPr>
        <w:t>its 172</w:t>
      </w:r>
      <w:r w:rsidRPr="007D47AD">
        <w:rPr>
          <w:rFonts w:asciiTheme="minorHAnsi" w:hAnsiTheme="minorHAnsi" w:cs="Calibri"/>
          <w:sz w:val="20"/>
          <w:szCs w:val="20"/>
          <w:vertAlign w:val="superscript"/>
          <w:lang w:val="en-US"/>
        </w:rPr>
        <w:t>nd</w:t>
      </w:r>
      <w:r w:rsidRPr="007D47AD">
        <w:rPr>
          <w:rFonts w:asciiTheme="minorHAnsi" w:hAnsiTheme="minorHAnsi" w:cs="Calibri"/>
          <w:sz w:val="20"/>
          <w:szCs w:val="20"/>
          <w:lang w:val="en-US"/>
        </w:rPr>
        <w:t xml:space="preserve"> Period of Sessions</w:t>
      </w:r>
      <w:r w:rsidR="003941D4" w:rsidRPr="007D47AD">
        <w:rPr>
          <w:rFonts w:asciiTheme="minorHAnsi" w:hAnsiTheme="minorHAnsi" w:cs="Calibri"/>
          <w:sz w:val="20"/>
          <w:szCs w:val="20"/>
          <w:lang w:val="en-US"/>
        </w:rPr>
        <w:t>,</w:t>
      </w:r>
      <w:r w:rsidRPr="007D47AD">
        <w:rPr>
          <w:rFonts w:asciiTheme="minorHAnsi" w:hAnsiTheme="minorHAnsi" w:cs="Calibri"/>
          <w:sz w:val="20"/>
          <w:szCs w:val="20"/>
          <w:lang w:val="en-US"/>
        </w:rPr>
        <w:t xml:space="preserve"> </w:t>
      </w:r>
      <w:r w:rsidR="003941D4" w:rsidRPr="007D47AD">
        <w:rPr>
          <w:rFonts w:asciiTheme="minorHAnsi" w:hAnsiTheme="minorHAnsi" w:cs="Calibri"/>
          <w:sz w:val="20"/>
          <w:szCs w:val="20"/>
          <w:lang w:val="en-US"/>
        </w:rPr>
        <w:t xml:space="preserve">on </w:t>
      </w:r>
      <w:r w:rsidR="009764C8" w:rsidRPr="007D47AD">
        <w:rPr>
          <w:rFonts w:asciiTheme="minorHAnsi" w:eastAsia="Times New Roman" w:hAnsiTheme="minorHAnsi" w:cs="Arial"/>
          <w:sz w:val="20"/>
          <w:szCs w:val="20"/>
          <w:lang w:val="en-US"/>
        </w:rPr>
        <w:t>“</w:t>
      </w:r>
      <w:r w:rsidRPr="007D47AD">
        <w:rPr>
          <w:rFonts w:asciiTheme="minorHAnsi" w:eastAsia="Times New Roman" w:hAnsiTheme="minorHAnsi" w:cs="Arial"/>
          <w:sz w:val="20"/>
          <w:szCs w:val="20"/>
          <w:lang w:val="en-US"/>
        </w:rPr>
        <w:t xml:space="preserve">Forced disappearances and the proposed Special Mechanism for Forensic Identification in Mexico.” </w:t>
      </w:r>
    </w:p>
    <w:p w:rsidR="009764C8" w:rsidRPr="007D47AD" w:rsidRDefault="008D3AD0" w:rsidP="009764C8">
      <w:pPr>
        <w:numPr>
          <w:ilvl w:val="0"/>
          <w:numId w:val="6"/>
        </w:numPr>
        <w:shd w:val="clear" w:color="auto" w:fill="FFFFFF"/>
        <w:spacing w:after="240" w:line="240" w:lineRule="auto"/>
        <w:ind w:left="0" w:firstLine="720"/>
        <w:jc w:val="both"/>
        <w:rPr>
          <w:rFonts w:asciiTheme="minorHAnsi" w:eastAsia="Times New Roman" w:hAnsiTheme="minorHAnsi" w:cs="Arial"/>
          <w:sz w:val="20"/>
          <w:szCs w:val="20"/>
          <w:lang w:val="en-US"/>
        </w:rPr>
      </w:pPr>
      <w:r w:rsidRPr="007D47AD">
        <w:rPr>
          <w:rFonts w:asciiTheme="minorHAnsi" w:eastAsia="Times New Roman" w:hAnsiTheme="minorHAnsi" w:cs="Arial"/>
          <w:sz w:val="20"/>
          <w:szCs w:val="20"/>
          <w:lang w:val="en-US"/>
        </w:rPr>
        <w:t>At the public hearing the civil society representatives emphasized the need to create the Special Mechanism due to the existence of a crisis that was described as the saturation and generalized distrust in the work of the State’s forensic services, the result of institutional deterioration and the context of impunity that have led to alarming figures o</w:t>
      </w:r>
      <w:r w:rsidR="00A02BBE" w:rsidRPr="007D47AD">
        <w:rPr>
          <w:rFonts w:asciiTheme="minorHAnsi" w:eastAsia="Times New Roman" w:hAnsiTheme="minorHAnsi" w:cs="Arial"/>
          <w:sz w:val="20"/>
          <w:szCs w:val="20"/>
          <w:lang w:val="en-US"/>
        </w:rPr>
        <w:t>f</w:t>
      </w:r>
      <w:r w:rsidRPr="007D47AD">
        <w:rPr>
          <w:rFonts w:asciiTheme="minorHAnsi" w:eastAsia="Times New Roman" w:hAnsiTheme="minorHAnsi" w:cs="Arial"/>
          <w:sz w:val="20"/>
          <w:szCs w:val="20"/>
          <w:lang w:val="en-US"/>
        </w:rPr>
        <w:t xml:space="preserve"> unidentified bodies and thousands of persons disappeared to whom the justice system has not been able to respond due to lack of </w:t>
      </w:r>
      <w:r w:rsidR="00A02BBE" w:rsidRPr="007D47AD">
        <w:rPr>
          <w:rFonts w:asciiTheme="minorHAnsi" w:eastAsia="Times New Roman" w:hAnsiTheme="minorHAnsi" w:cs="Arial"/>
          <w:sz w:val="20"/>
          <w:szCs w:val="20"/>
          <w:lang w:val="en-US"/>
        </w:rPr>
        <w:t>sufficient preparation</w:t>
      </w:r>
      <w:r w:rsidRPr="007D47AD">
        <w:rPr>
          <w:rFonts w:asciiTheme="minorHAnsi" w:eastAsia="Times New Roman" w:hAnsiTheme="minorHAnsi" w:cs="Arial"/>
          <w:sz w:val="20"/>
          <w:szCs w:val="20"/>
          <w:lang w:val="en-US"/>
        </w:rPr>
        <w:t>.</w:t>
      </w:r>
      <w:r w:rsidR="00024ED4" w:rsidRPr="007D47AD">
        <w:rPr>
          <w:rStyle w:val="FootnoteReference"/>
          <w:rFonts w:asciiTheme="minorHAnsi" w:eastAsia="Times New Roman" w:hAnsiTheme="minorHAnsi" w:cs="Arial"/>
          <w:sz w:val="20"/>
          <w:szCs w:val="20"/>
          <w:lang w:val="en-US"/>
        </w:rPr>
        <w:footnoteReference w:id="95"/>
      </w:r>
      <w:r w:rsidR="009764C8" w:rsidRPr="007D47AD">
        <w:rPr>
          <w:rFonts w:asciiTheme="minorHAnsi" w:eastAsia="Times New Roman" w:hAnsiTheme="minorHAnsi" w:cs="Arial"/>
          <w:sz w:val="20"/>
          <w:szCs w:val="20"/>
          <w:lang w:val="en-US"/>
        </w:rPr>
        <w:t xml:space="preserve"> </w:t>
      </w:r>
      <w:r w:rsidRPr="007D47AD">
        <w:rPr>
          <w:rFonts w:asciiTheme="minorHAnsi" w:eastAsia="Times New Roman" w:hAnsiTheme="minorHAnsi" w:cs="Arial"/>
          <w:sz w:val="20"/>
          <w:szCs w:val="20"/>
          <w:lang w:val="en-US"/>
        </w:rPr>
        <w:t xml:space="preserve">In the public hearing it was also noted that the serious forensic crisis answers to four complex phenomena. First, the </w:t>
      </w:r>
      <w:r w:rsidR="009764C8" w:rsidRPr="007D47AD">
        <w:rPr>
          <w:rFonts w:asciiTheme="minorHAnsi" w:eastAsia="Times New Roman" w:hAnsiTheme="minorHAnsi" w:cs="Arial"/>
          <w:sz w:val="20"/>
          <w:szCs w:val="20"/>
          <w:lang w:val="en-US"/>
        </w:rPr>
        <w:t>fragmenta</w:t>
      </w:r>
      <w:r w:rsidRPr="007D47AD">
        <w:rPr>
          <w:rFonts w:asciiTheme="minorHAnsi" w:eastAsia="Times New Roman" w:hAnsiTheme="minorHAnsi" w:cs="Arial"/>
          <w:sz w:val="20"/>
          <w:szCs w:val="20"/>
          <w:lang w:val="en-US"/>
        </w:rPr>
        <w:t xml:space="preserve">tion and poor quality of existing forensic information; second, the volume of evidence, for despite the </w:t>
      </w:r>
      <w:r w:rsidR="009764C8" w:rsidRPr="007D47AD">
        <w:rPr>
          <w:rFonts w:asciiTheme="minorHAnsi" w:eastAsia="Times New Roman" w:hAnsiTheme="minorHAnsi" w:cs="Arial"/>
          <w:sz w:val="20"/>
          <w:szCs w:val="20"/>
          <w:lang w:val="en-US"/>
        </w:rPr>
        <w:t>discrepanc</w:t>
      </w:r>
      <w:r w:rsidRPr="007D47AD">
        <w:rPr>
          <w:rFonts w:asciiTheme="minorHAnsi" w:eastAsia="Times New Roman" w:hAnsiTheme="minorHAnsi" w:cs="Arial"/>
          <w:sz w:val="20"/>
          <w:szCs w:val="20"/>
          <w:lang w:val="en-US"/>
        </w:rPr>
        <w:t>ies with</w:t>
      </w:r>
      <w:r w:rsidR="009764C8" w:rsidRPr="007D47AD">
        <w:rPr>
          <w:rFonts w:asciiTheme="minorHAnsi" w:eastAsia="Times New Roman" w:hAnsiTheme="minorHAnsi" w:cs="Arial"/>
          <w:sz w:val="20"/>
          <w:szCs w:val="20"/>
          <w:lang w:val="en-US"/>
        </w:rPr>
        <w:t xml:space="preserve"> respect </w:t>
      </w:r>
      <w:r w:rsidRPr="007D47AD">
        <w:rPr>
          <w:rFonts w:asciiTheme="minorHAnsi" w:eastAsia="Times New Roman" w:hAnsiTheme="minorHAnsi" w:cs="Arial"/>
          <w:sz w:val="20"/>
          <w:szCs w:val="20"/>
          <w:lang w:val="en-US"/>
        </w:rPr>
        <w:t>to all of the remains counted, it is possible to project that several thousand bodies will have to be studied</w:t>
      </w:r>
      <w:r w:rsidR="009764C8" w:rsidRPr="007D47AD">
        <w:rPr>
          <w:rFonts w:asciiTheme="minorHAnsi" w:eastAsia="Times New Roman" w:hAnsiTheme="minorHAnsi" w:cs="Arial"/>
          <w:sz w:val="20"/>
          <w:szCs w:val="20"/>
          <w:lang w:val="en-US"/>
        </w:rPr>
        <w:t xml:space="preserve">; </w:t>
      </w:r>
      <w:r w:rsidR="00A02BBE" w:rsidRPr="007D47AD">
        <w:rPr>
          <w:rFonts w:asciiTheme="minorHAnsi" w:eastAsia="Times New Roman" w:hAnsiTheme="minorHAnsi" w:cs="Arial"/>
          <w:sz w:val="20"/>
          <w:szCs w:val="20"/>
          <w:lang w:val="en-US"/>
        </w:rPr>
        <w:t xml:space="preserve">third, </w:t>
      </w:r>
      <w:r w:rsidRPr="007D47AD">
        <w:rPr>
          <w:rFonts w:asciiTheme="minorHAnsi" w:eastAsia="Times New Roman" w:hAnsiTheme="minorHAnsi" w:cs="Arial"/>
          <w:sz w:val="20"/>
          <w:szCs w:val="20"/>
          <w:lang w:val="en-US"/>
        </w:rPr>
        <w:t>the technical problems, due to multifragmentation and thermic alteration, which make it difficult to count individuals</w:t>
      </w:r>
      <w:r w:rsidR="00A02BBE" w:rsidRPr="007D47AD">
        <w:rPr>
          <w:rFonts w:asciiTheme="minorHAnsi" w:eastAsia="Times New Roman" w:hAnsiTheme="minorHAnsi" w:cs="Arial"/>
          <w:sz w:val="20"/>
          <w:szCs w:val="20"/>
          <w:lang w:val="en-US"/>
        </w:rPr>
        <w:t xml:space="preserve">; </w:t>
      </w:r>
      <w:r w:rsidRPr="007D47AD">
        <w:rPr>
          <w:rFonts w:asciiTheme="minorHAnsi" w:eastAsia="Times New Roman" w:hAnsiTheme="minorHAnsi" w:cs="Arial"/>
          <w:sz w:val="20"/>
          <w:szCs w:val="20"/>
          <w:lang w:val="en-US"/>
        </w:rPr>
        <w:t xml:space="preserve">and </w:t>
      </w:r>
      <w:r w:rsidR="00A02BBE" w:rsidRPr="007D47AD">
        <w:rPr>
          <w:rFonts w:asciiTheme="minorHAnsi" w:eastAsia="Times New Roman" w:hAnsiTheme="minorHAnsi" w:cs="Arial"/>
          <w:sz w:val="20"/>
          <w:szCs w:val="20"/>
          <w:lang w:val="en-US"/>
        </w:rPr>
        <w:t xml:space="preserve">fourth, </w:t>
      </w:r>
      <w:r w:rsidRPr="007D47AD">
        <w:rPr>
          <w:rFonts w:asciiTheme="minorHAnsi" w:eastAsia="Times New Roman" w:hAnsiTheme="minorHAnsi" w:cs="Arial"/>
          <w:sz w:val="20"/>
          <w:szCs w:val="20"/>
          <w:lang w:val="en-US"/>
        </w:rPr>
        <w:t>the traceability of the remains</w:t>
      </w:r>
      <w:r w:rsidR="009764C8" w:rsidRPr="007D47AD">
        <w:rPr>
          <w:rFonts w:asciiTheme="minorHAnsi" w:eastAsia="Times New Roman" w:hAnsiTheme="minorHAnsi" w:cs="Arial"/>
          <w:sz w:val="20"/>
          <w:szCs w:val="20"/>
          <w:lang w:val="en-US"/>
        </w:rPr>
        <w:t xml:space="preserve">, </w:t>
      </w:r>
      <w:r w:rsidRPr="007D47AD">
        <w:rPr>
          <w:rFonts w:asciiTheme="minorHAnsi" w:eastAsia="Times New Roman" w:hAnsiTheme="minorHAnsi" w:cs="Arial"/>
          <w:sz w:val="20"/>
          <w:szCs w:val="20"/>
          <w:lang w:val="en-US"/>
        </w:rPr>
        <w:t>given that there are different burial places, both official and clandestine, that must be exhumed.</w:t>
      </w:r>
      <w:r w:rsidR="009764C8" w:rsidRPr="007D47AD">
        <w:rPr>
          <w:rStyle w:val="FootnoteReference"/>
          <w:rFonts w:asciiTheme="minorHAnsi" w:eastAsia="Times New Roman" w:hAnsiTheme="minorHAnsi" w:cs="Arial"/>
          <w:sz w:val="20"/>
          <w:szCs w:val="20"/>
          <w:lang w:val="en-US"/>
        </w:rPr>
        <w:footnoteReference w:id="96"/>
      </w:r>
      <w:r w:rsidR="009764C8" w:rsidRPr="007D47AD">
        <w:rPr>
          <w:rFonts w:asciiTheme="minorHAnsi" w:eastAsia="Times New Roman" w:hAnsiTheme="minorHAnsi" w:cs="Arial"/>
          <w:sz w:val="20"/>
          <w:szCs w:val="20"/>
          <w:lang w:val="en-US"/>
        </w:rPr>
        <w:t xml:space="preserve"> </w:t>
      </w:r>
    </w:p>
    <w:p w:rsidR="009764C8" w:rsidRPr="007D47AD" w:rsidRDefault="008D3AD0" w:rsidP="009764C8">
      <w:pPr>
        <w:numPr>
          <w:ilvl w:val="0"/>
          <w:numId w:val="6"/>
        </w:numPr>
        <w:shd w:val="clear" w:color="auto" w:fill="FFFFFF"/>
        <w:spacing w:after="240" w:line="240" w:lineRule="auto"/>
        <w:ind w:left="0" w:firstLine="720"/>
        <w:jc w:val="both"/>
        <w:rPr>
          <w:rFonts w:asciiTheme="minorHAnsi" w:eastAsia="Times New Roman" w:hAnsiTheme="minorHAnsi" w:cs="Arial"/>
          <w:sz w:val="20"/>
          <w:szCs w:val="20"/>
          <w:lang w:val="en-US"/>
        </w:rPr>
      </w:pPr>
      <w:r w:rsidRPr="007D47AD">
        <w:rPr>
          <w:rFonts w:asciiTheme="minorHAnsi" w:eastAsia="Times New Roman" w:hAnsiTheme="minorHAnsi" w:cs="Arial"/>
          <w:sz w:val="20"/>
          <w:szCs w:val="20"/>
          <w:lang w:val="en-US"/>
        </w:rPr>
        <w:lastRenderedPageBreak/>
        <w:t>The State reported on the state commitment to establish the tasks of searching</w:t>
      </w:r>
      <w:r w:rsidR="0057586B" w:rsidRPr="007D47AD">
        <w:rPr>
          <w:rFonts w:asciiTheme="minorHAnsi" w:eastAsia="Times New Roman" w:hAnsiTheme="minorHAnsi" w:cs="Arial"/>
          <w:sz w:val="20"/>
          <w:szCs w:val="20"/>
          <w:lang w:val="en-US"/>
        </w:rPr>
        <w:t xml:space="preserve"> for and identifying persons in</w:t>
      </w:r>
      <w:r w:rsidRPr="007D47AD">
        <w:rPr>
          <w:rFonts w:asciiTheme="minorHAnsi" w:eastAsia="Times New Roman" w:hAnsiTheme="minorHAnsi" w:cs="Arial"/>
          <w:sz w:val="20"/>
          <w:szCs w:val="20"/>
          <w:lang w:val="en-US"/>
        </w:rPr>
        <w:t xml:space="preserve"> </w:t>
      </w:r>
      <w:r w:rsidR="00A02BBE" w:rsidRPr="007D47AD">
        <w:rPr>
          <w:rFonts w:asciiTheme="minorHAnsi" w:eastAsia="Times New Roman" w:hAnsiTheme="minorHAnsi" w:cs="Arial"/>
          <w:sz w:val="20"/>
          <w:szCs w:val="20"/>
          <w:lang w:val="en-US"/>
        </w:rPr>
        <w:t xml:space="preserve">the </w:t>
      </w:r>
      <w:r w:rsidRPr="007D47AD">
        <w:rPr>
          <w:rFonts w:asciiTheme="minorHAnsi" w:eastAsia="Times New Roman" w:hAnsiTheme="minorHAnsi" w:cs="Arial"/>
          <w:sz w:val="20"/>
          <w:szCs w:val="20"/>
          <w:lang w:val="en-US"/>
        </w:rPr>
        <w:t>context of Mexico’s forensic emergency</w:t>
      </w:r>
      <w:r w:rsidR="00A02BBE" w:rsidRPr="007D47AD">
        <w:rPr>
          <w:rFonts w:asciiTheme="minorHAnsi" w:eastAsia="Times New Roman" w:hAnsiTheme="minorHAnsi" w:cs="Arial"/>
          <w:sz w:val="20"/>
          <w:szCs w:val="20"/>
          <w:lang w:val="en-US"/>
        </w:rPr>
        <w:t xml:space="preserve"> as the Government’s principal priority</w:t>
      </w:r>
      <w:r w:rsidRPr="007D47AD">
        <w:rPr>
          <w:rFonts w:asciiTheme="minorHAnsi" w:eastAsia="Times New Roman" w:hAnsiTheme="minorHAnsi" w:cs="Arial"/>
          <w:sz w:val="20"/>
          <w:szCs w:val="20"/>
          <w:lang w:val="en-US"/>
        </w:rPr>
        <w:t>.</w:t>
      </w:r>
      <w:r w:rsidR="009764C8" w:rsidRPr="007D47AD">
        <w:rPr>
          <w:rStyle w:val="FootnoteReference"/>
          <w:rFonts w:asciiTheme="minorHAnsi" w:eastAsia="Times New Roman" w:hAnsiTheme="minorHAnsi" w:cs="Arial"/>
          <w:sz w:val="20"/>
          <w:szCs w:val="20"/>
          <w:lang w:val="en-US"/>
        </w:rPr>
        <w:footnoteReference w:id="97"/>
      </w:r>
      <w:r w:rsidR="009764C8" w:rsidRPr="007D47AD">
        <w:rPr>
          <w:rFonts w:asciiTheme="minorHAnsi" w:eastAsia="Times New Roman" w:hAnsiTheme="minorHAnsi" w:cs="Arial"/>
          <w:sz w:val="20"/>
          <w:szCs w:val="20"/>
          <w:lang w:val="en-US"/>
        </w:rPr>
        <w:t xml:space="preserve"> </w:t>
      </w:r>
    </w:p>
    <w:p w:rsidR="009764C8" w:rsidRPr="007D47AD" w:rsidRDefault="008D3AD0" w:rsidP="009764C8">
      <w:pPr>
        <w:numPr>
          <w:ilvl w:val="0"/>
          <w:numId w:val="6"/>
        </w:numPr>
        <w:shd w:val="clear" w:color="auto" w:fill="FFFFFF"/>
        <w:spacing w:after="240" w:line="240" w:lineRule="auto"/>
        <w:ind w:left="0" w:firstLine="720"/>
        <w:jc w:val="both"/>
        <w:rPr>
          <w:rFonts w:asciiTheme="minorHAnsi" w:eastAsia="Times New Roman" w:hAnsiTheme="minorHAnsi" w:cs="Arial"/>
          <w:sz w:val="20"/>
          <w:szCs w:val="20"/>
          <w:lang w:val="en-US"/>
        </w:rPr>
      </w:pPr>
      <w:r w:rsidRPr="007D47AD">
        <w:rPr>
          <w:rFonts w:asciiTheme="minorHAnsi" w:eastAsia="Times New Roman" w:hAnsiTheme="minorHAnsi" w:cs="Arial"/>
          <w:sz w:val="20"/>
          <w:szCs w:val="20"/>
          <w:lang w:val="en-US"/>
        </w:rPr>
        <w:t xml:space="preserve">In addition, according to the </w:t>
      </w:r>
      <w:r w:rsidR="009764C8" w:rsidRPr="007D47AD">
        <w:rPr>
          <w:rFonts w:asciiTheme="minorHAnsi" w:eastAsia="Times New Roman" w:hAnsiTheme="minorHAnsi" w:cs="Arial"/>
          <w:sz w:val="20"/>
          <w:szCs w:val="20"/>
          <w:lang w:val="en-US"/>
        </w:rPr>
        <w:t xml:space="preserve">Movimiento por Nuestros Desaparecidos México, </w:t>
      </w:r>
      <w:r w:rsidRPr="007D47AD">
        <w:rPr>
          <w:rFonts w:asciiTheme="minorHAnsi" w:eastAsia="Times New Roman" w:hAnsiTheme="minorHAnsi" w:cs="Arial"/>
          <w:sz w:val="20"/>
          <w:szCs w:val="20"/>
          <w:lang w:val="en-US"/>
        </w:rPr>
        <w:t xml:space="preserve">the need for this Special Mechanism also answers to the </w:t>
      </w:r>
      <w:r w:rsidR="009764C8" w:rsidRPr="007D47AD">
        <w:rPr>
          <w:rFonts w:asciiTheme="minorHAnsi" w:eastAsia="Times New Roman" w:hAnsiTheme="minorHAnsi" w:cs="Arial"/>
          <w:sz w:val="20"/>
          <w:szCs w:val="20"/>
          <w:lang w:val="en-US"/>
        </w:rPr>
        <w:t>capaci</w:t>
      </w:r>
      <w:r w:rsidRPr="007D47AD">
        <w:rPr>
          <w:rFonts w:asciiTheme="minorHAnsi" w:eastAsia="Times New Roman" w:hAnsiTheme="minorHAnsi" w:cs="Arial"/>
          <w:sz w:val="20"/>
          <w:szCs w:val="20"/>
          <w:lang w:val="en-US"/>
        </w:rPr>
        <w:t xml:space="preserve">ty of the State to process and identify corpses under its custody, which </w:t>
      </w:r>
      <w:r w:rsidR="00534E67" w:rsidRPr="007D47AD">
        <w:rPr>
          <w:rFonts w:asciiTheme="minorHAnsi" w:eastAsia="Times New Roman" w:hAnsiTheme="minorHAnsi" w:cs="Arial"/>
          <w:sz w:val="20"/>
          <w:szCs w:val="20"/>
          <w:lang w:val="en-US"/>
        </w:rPr>
        <w:t xml:space="preserve">has been outstripped, </w:t>
      </w:r>
      <w:r w:rsidR="00A02BBE" w:rsidRPr="007D47AD">
        <w:rPr>
          <w:rFonts w:asciiTheme="minorHAnsi" w:eastAsia="Times New Roman" w:hAnsiTheme="minorHAnsi" w:cs="Arial"/>
          <w:sz w:val="20"/>
          <w:szCs w:val="20"/>
          <w:lang w:val="en-US"/>
        </w:rPr>
        <w:t xml:space="preserve">causing </w:t>
      </w:r>
      <w:r w:rsidRPr="007D47AD">
        <w:rPr>
          <w:rFonts w:asciiTheme="minorHAnsi" w:eastAsia="Times New Roman" w:hAnsiTheme="minorHAnsi" w:cs="Arial"/>
          <w:sz w:val="20"/>
          <w:szCs w:val="20"/>
          <w:lang w:val="en-US"/>
        </w:rPr>
        <w:t>serious contamination of the evidence, which affects the cha</w:t>
      </w:r>
      <w:r w:rsidR="00F8169F" w:rsidRPr="007D47AD">
        <w:rPr>
          <w:rFonts w:asciiTheme="minorHAnsi" w:eastAsia="Times New Roman" w:hAnsiTheme="minorHAnsi" w:cs="Arial"/>
          <w:sz w:val="20"/>
          <w:szCs w:val="20"/>
          <w:lang w:val="en-US"/>
        </w:rPr>
        <w:t>nc</w:t>
      </w:r>
      <w:r w:rsidRPr="007D47AD">
        <w:rPr>
          <w:rFonts w:asciiTheme="minorHAnsi" w:eastAsia="Times New Roman" w:hAnsiTheme="minorHAnsi" w:cs="Arial"/>
          <w:sz w:val="20"/>
          <w:szCs w:val="20"/>
          <w:lang w:val="en-US"/>
        </w:rPr>
        <w:t xml:space="preserve">es </w:t>
      </w:r>
      <w:r w:rsidR="00F8169F" w:rsidRPr="007D47AD">
        <w:rPr>
          <w:rFonts w:asciiTheme="minorHAnsi" w:eastAsia="Times New Roman" w:hAnsiTheme="minorHAnsi" w:cs="Arial"/>
          <w:sz w:val="20"/>
          <w:szCs w:val="20"/>
          <w:lang w:val="en-US"/>
        </w:rPr>
        <w:t xml:space="preserve">of </w:t>
      </w:r>
      <w:r w:rsidRPr="007D47AD">
        <w:rPr>
          <w:rFonts w:asciiTheme="minorHAnsi" w:eastAsia="Times New Roman" w:hAnsiTheme="minorHAnsi" w:cs="Arial"/>
          <w:sz w:val="20"/>
          <w:szCs w:val="20"/>
          <w:lang w:val="en-US"/>
        </w:rPr>
        <w:t>determ</w:t>
      </w:r>
      <w:r w:rsidR="00A02BBE" w:rsidRPr="007D47AD">
        <w:rPr>
          <w:rFonts w:asciiTheme="minorHAnsi" w:eastAsia="Times New Roman" w:hAnsiTheme="minorHAnsi" w:cs="Arial"/>
          <w:sz w:val="20"/>
          <w:szCs w:val="20"/>
          <w:lang w:val="en-US"/>
        </w:rPr>
        <w:t>in</w:t>
      </w:r>
      <w:r w:rsidR="00F8169F" w:rsidRPr="007D47AD">
        <w:rPr>
          <w:rFonts w:asciiTheme="minorHAnsi" w:eastAsia="Times New Roman" w:hAnsiTheme="minorHAnsi" w:cs="Arial"/>
          <w:sz w:val="20"/>
          <w:szCs w:val="20"/>
          <w:lang w:val="en-US"/>
        </w:rPr>
        <w:t>in</w:t>
      </w:r>
      <w:r w:rsidR="00A02BBE" w:rsidRPr="007D47AD">
        <w:rPr>
          <w:rFonts w:asciiTheme="minorHAnsi" w:eastAsia="Times New Roman" w:hAnsiTheme="minorHAnsi" w:cs="Arial"/>
          <w:sz w:val="20"/>
          <w:szCs w:val="20"/>
          <w:lang w:val="en-US"/>
        </w:rPr>
        <w:t xml:space="preserve">g </w:t>
      </w:r>
      <w:r w:rsidRPr="007D47AD">
        <w:rPr>
          <w:rFonts w:asciiTheme="minorHAnsi" w:eastAsia="Times New Roman" w:hAnsiTheme="minorHAnsi" w:cs="Arial"/>
          <w:sz w:val="20"/>
          <w:szCs w:val="20"/>
          <w:lang w:val="en-US"/>
        </w:rPr>
        <w:t xml:space="preserve">the causes of death in the corpses in custody, and the possible investigation, clarification, and subsequent punishment of the </w:t>
      </w:r>
      <w:r w:rsidR="009764C8" w:rsidRPr="007D47AD">
        <w:rPr>
          <w:rFonts w:asciiTheme="minorHAnsi" w:eastAsia="Times New Roman" w:hAnsiTheme="minorHAnsi" w:cs="Arial"/>
          <w:sz w:val="20"/>
          <w:szCs w:val="20"/>
          <w:lang w:val="en-US"/>
        </w:rPr>
        <w:t>persons</w:t>
      </w:r>
      <w:r w:rsidRPr="007D47AD">
        <w:rPr>
          <w:rFonts w:asciiTheme="minorHAnsi" w:eastAsia="Times New Roman" w:hAnsiTheme="minorHAnsi" w:cs="Arial"/>
          <w:sz w:val="20"/>
          <w:szCs w:val="20"/>
          <w:lang w:val="en-US"/>
        </w:rPr>
        <w:t xml:space="preserve"> responsible</w:t>
      </w:r>
      <w:r w:rsidR="009764C8" w:rsidRPr="007D47AD">
        <w:rPr>
          <w:rFonts w:asciiTheme="minorHAnsi" w:eastAsia="Times New Roman" w:hAnsiTheme="minorHAnsi" w:cs="Arial"/>
          <w:sz w:val="20"/>
          <w:szCs w:val="20"/>
          <w:lang w:val="en-US"/>
        </w:rPr>
        <w:t xml:space="preserve"> </w:t>
      </w:r>
      <w:r w:rsidRPr="007D47AD">
        <w:rPr>
          <w:rFonts w:asciiTheme="minorHAnsi" w:eastAsia="Times New Roman" w:hAnsiTheme="minorHAnsi" w:cs="Arial"/>
          <w:sz w:val="20"/>
          <w:szCs w:val="20"/>
          <w:lang w:val="en-US"/>
        </w:rPr>
        <w:t xml:space="preserve">for those deaths, in the case of criminal events. </w:t>
      </w:r>
      <w:r w:rsidR="00716878" w:rsidRPr="007D47AD">
        <w:rPr>
          <w:rFonts w:asciiTheme="minorHAnsi" w:eastAsia="Times New Roman" w:hAnsiTheme="minorHAnsi" w:cs="Arial"/>
          <w:sz w:val="20"/>
          <w:szCs w:val="20"/>
          <w:lang w:val="en-US"/>
        </w:rPr>
        <w:t xml:space="preserve">In the face of this situation, they indicated that it is necessary for the lag in forensic identification to be addressed through an agency that </w:t>
      </w:r>
      <w:r w:rsidR="00A02BBE" w:rsidRPr="007D47AD">
        <w:rPr>
          <w:rFonts w:asciiTheme="minorHAnsi" w:eastAsia="Times New Roman" w:hAnsiTheme="minorHAnsi" w:cs="Arial"/>
          <w:sz w:val="20"/>
          <w:szCs w:val="20"/>
          <w:lang w:val="en-US"/>
        </w:rPr>
        <w:t xml:space="preserve">enjoys </w:t>
      </w:r>
      <w:r w:rsidR="00716878" w:rsidRPr="007D47AD">
        <w:rPr>
          <w:rFonts w:asciiTheme="minorHAnsi" w:eastAsia="Times New Roman" w:hAnsiTheme="minorHAnsi" w:cs="Arial"/>
          <w:sz w:val="20"/>
          <w:szCs w:val="20"/>
          <w:lang w:val="en-US"/>
        </w:rPr>
        <w:t>technical and decision-making autonomy, with a high component of international participation, both technical and financial, and with sufficient resources to carry out its mandate.</w:t>
      </w:r>
      <w:r w:rsidR="009764C8" w:rsidRPr="007D47AD">
        <w:rPr>
          <w:rStyle w:val="FootnoteReference"/>
          <w:rFonts w:asciiTheme="minorHAnsi" w:eastAsia="Times New Roman" w:hAnsiTheme="minorHAnsi" w:cs="Arial"/>
          <w:sz w:val="20"/>
          <w:szCs w:val="20"/>
          <w:lang w:val="en-US"/>
        </w:rPr>
        <w:footnoteReference w:id="98"/>
      </w:r>
      <w:r w:rsidR="009764C8" w:rsidRPr="007D47AD">
        <w:rPr>
          <w:rFonts w:asciiTheme="minorHAnsi" w:eastAsia="Times New Roman" w:hAnsiTheme="minorHAnsi" w:cs="Arial"/>
          <w:sz w:val="20"/>
          <w:szCs w:val="20"/>
          <w:lang w:val="en-US"/>
        </w:rPr>
        <w:t xml:space="preserve"> </w:t>
      </w:r>
    </w:p>
    <w:p w:rsidR="009764C8" w:rsidRPr="007D47AD" w:rsidRDefault="00716878" w:rsidP="00413C5B">
      <w:pPr>
        <w:numPr>
          <w:ilvl w:val="0"/>
          <w:numId w:val="6"/>
        </w:numPr>
        <w:shd w:val="clear" w:color="auto" w:fill="FFFFFF"/>
        <w:spacing w:after="240" w:line="240" w:lineRule="auto"/>
        <w:ind w:left="0" w:firstLine="720"/>
        <w:jc w:val="both"/>
        <w:rPr>
          <w:rFonts w:asciiTheme="minorHAnsi" w:eastAsia="Times New Roman" w:hAnsiTheme="minorHAnsi" w:cs="Arial"/>
          <w:sz w:val="20"/>
          <w:szCs w:val="20"/>
          <w:lang w:val="en-US"/>
        </w:rPr>
      </w:pPr>
      <w:r w:rsidRPr="007D47AD">
        <w:rPr>
          <w:rFonts w:asciiTheme="minorHAnsi" w:eastAsia="Times New Roman" w:hAnsiTheme="minorHAnsi" w:cs="Arial"/>
          <w:sz w:val="20"/>
          <w:szCs w:val="20"/>
          <w:lang w:val="en-US"/>
        </w:rPr>
        <w:t xml:space="preserve">In addition to the public hearing, the </w:t>
      </w:r>
      <w:r w:rsidR="00413C5B" w:rsidRPr="007D47AD">
        <w:rPr>
          <w:rFonts w:asciiTheme="minorHAnsi" w:eastAsia="Times New Roman" w:hAnsiTheme="minorHAnsi" w:cs="Arial"/>
          <w:sz w:val="20"/>
          <w:szCs w:val="20"/>
          <w:lang w:val="en-US"/>
        </w:rPr>
        <w:t xml:space="preserve">IACHR has participated as an observer </w:t>
      </w:r>
      <w:r w:rsidR="00A02BBE" w:rsidRPr="007D47AD">
        <w:rPr>
          <w:rFonts w:asciiTheme="minorHAnsi" w:eastAsia="Times New Roman" w:hAnsiTheme="minorHAnsi" w:cs="Arial"/>
          <w:sz w:val="20"/>
          <w:szCs w:val="20"/>
          <w:lang w:val="en-US"/>
        </w:rPr>
        <w:t xml:space="preserve">in </w:t>
      </w:r>
      <w:r w:rsidR="00413C5B" w:rsidRPr="007D47AD">
        <w:rPr>
          <w:rFonts w:asciiTheme="minorHAnsi" w:eastAsia="Times New Roman" w:hAnsiTheme="minorHAnsi" w:cs="Arial"/>
          <w:sz w:val="20"/>
          <w:szCs w:val="20"/>
          <w:lang w:val="en-US"/>
        </w:rPr>
        <w:t xml:space="preserve">the discussion on creating the Specialized Mechanism during </w:t>
      </w:r>
      <w:r w:rsidR="009764C8" w:rsidRPr="007D47AD">
        <w:rPr>
          <w:rFonts w:asciiTheme="minorHAnsi" w:eastAsia="Times New Roman" w:hAnsiTheme="minorHAnsi" w:cs="Arial"/>
          <w:sz w:val="20"/>
          <w:szCs w:val="20"/>
          <w:lang w:val="en-US"/>
        </w:rPr>
        <w:t>2019</w:t>
      </w:r>
      <w:r w:rsidR="007D19E5" w:rsidRPr="007D47AD">
        <w:rPr>
          <w:rFonts w:asciiTheme="minorHAnsi" w:eastAsia="Times New Roman" w:hAnsiTheme="minorHAnsi" w:cs="Arial"/>
          <w:sz w:val="20"/>
          <w:szCs w:val="20"/>
          <w:lang w:val="en-US"/>
        </w:rPr>
        <w:t xml:space="preserve">, </w:t>
      </w:r>
      <w:r w:rsidR="00413C5B" w:rsidRPr="007D47AD">
        <w:rPr>
          <w:rFonts w:asciiTheme="minorHAnsi" w:eastAsia="Times New Roman" w:hAnsiTheme="minorHAnsi" w:cs="Arial"/>
          <w:sz w:val="20"/>
          <w:szCs w:val="20"/>
          <w:lang w:val="en-US"/>
        </w:rPr>
        <w:t xml:space="preserve">regarding its design, functions, and responsibilities on several occasions, along with the civil society organizations, </w:t>
      </w:r>
      <w:r w:rsidR="00A02BBE" w:rsidRPr="007D47AD">
        <w:rPr>
          <w:rFonts w:asciiTheme="minorHAnsi" w:eastAsia="Times New Roman" w:hAnsiTheme="minorHAnsi" w:cs="Arial"/>
          <w:sz w:val="20"/>
          <w:szCs w:val="20"/>
          <w:lang w:val="en-US"/>
        </w:rPr>
        <w:t xml:space="preserve">the </w:t>
      </w:r>
      <w:r w:rsidR="00413C5B" w:rsidRPr="007D47AD">
        <w:rPr>
          <w:rFonts w:asciiTheme="minorHAnsi" w:eastAsia="Times New Roman" w:hAnsiTheme="minorHAnsi" w:cs="Arial"/>
          <w:sz w:val="20"/>
          <w:szCs w:val="20"/>
          <w:lang w:val="en-US"/>
        </w:rPr>
        <w:t>CNB, the Office of the Special Pro</w:t>
      </w:r>
      <w:r w:rsidR="00A02BBE" w:rsidRPr="007D47AD">
        <w:rPr>
          <w:rFonts w:asciiTheme="minorHAnsi" w:eastAsia="Times New Roman" w:hAnsiTheme="minorHAnsi" w:cs="Arial"/>
          <w:sz w:val="20"/>
          <w:szCs w:val="20"/>
          <w:lang w:val="en-US"/>
        </w:rPr>
        <w:t>s</w:t>
      </w:r>
      <w:r w:rsidR="00413C5B" w:rsidRPr="007D47AD">
        <w:rPr>
          <w:rFonts w:asciiTheme="minorHAnsi" w:eastAsia="Times New Roman" w:hAnsiTheme="minorHAnsi" w:cs="Arial"/>
          <w:sz w:val="20"/>
          <w:szCs w:val="20"/>
          <w:lang w:val="en-US"/>
        </w:rPr>
        <w:t xml:space="preserve">ecutor for Human Rights, and the Ministry of Interior, and finds that the main challenges in relation to that mechanism revolve around the two main issues: the legal nature of its creation, and the scope of its mandate. </w:t>
      </w:r>
    </w:p>
    <w:p w:rsidR="0057586B" w:rsidRPr="007D47AD" w:rsidRDefault="0057586B" w:rsidP="0057586B">
      <w:pPr>
        <w:numPr>
          <w:ilvl w:val="0"/>
          <w:numId w:val="6"/>
        </w:numPr>
        <w:shd w:val="clear" w:color="auto" w:fill="FFFFFF"/>
        <w:spacing w:after="240" w:line="240" w:lineRule="auto"/>
        <w:ind w:left="0" w:firstLine="720"/>
        <w:jc w:val="both"/>
        <w:rPr>
          <w:rFonts w:asciiTheme="minorHAnsi" w:eastAsia="Times New Roman" w:hAnsiTheme="minorHAnsi" w:cs="Arial"/>
          <w:sz w:val="20"/>
          <w:szCs w:val="20"/>
          <w:lang w:val="en-US"/>
        </w:rPr>
      </w:pPr>
      <w:r w:rsidRPr="007D47AD">
        <w:rPr>
          <w:rFonts w:asciiTheme="minorHAnsi" w:eastAsia="Times New Roman" w:hAnsiTheme="minorHAnsi" w:cs="Arial"/>
          <w:sz w:val="20"/>
          <w:szCs w:val="20"/>
          <w:lang w:val="en-US"/>
        </w:rPr>
        <w:t>Final</w:t>
      </w:r>
      <w:r w:rsidR="0088708D" w:rsidRPr="007D47AD">
        <w:rPr>
          <w:rFonts w:asciiTheme="minorHAnsi" w:eastAsia="Times New Roman" w:hAnsiTheme="minorHAnsi" w:cs="Arial"/>
          <w:sz w:val="20"/>
          <w:szCs w:val="20"/>
          <w:lang w:val="en-US"/>
        </w:rPr>
        <w:t xml:space="preserve">ly, on December </w:t>
      </w:r>
      <w:r w:rsidRPr="007D47AD">
        <w:rPr>
          <w:rFonts w:asciiTheme="minorHAnsi" w:eastAsia="Times New Roman" w:hAnsiTheme="minorHAnsi" w:cs="Arial"/>
          <w:sz w:val="20"/>
          <w:szCs w:val="20"/>
          <w:lang w:val="en-US"/>
        </w:rPr>
        <w:t>5</w:t>
      </w:r>
      <w:r w:rsidR="0088708D" w:rsidRPr="007D47AD">
        <w:rPr>
          <w:rFonts w:asciiTheme="minorHAnsi" w:eastAsia="Times New Roman" w:hAnsiTheme="minorHAnsi" w:cs="Arial"/>
          <w:sz w:val="20"/>
          <w:szCs w:val="20"/>
          <w:lang w:val="en-US"/>
        </w:rPr>
        <w:t>,</w:t>
      </w:r>
      <w:r w:rsidRPr="007D47AD">
        <w:rPr>
          <w:rFonts w:asciiTheme="minorHAnsi" w:eastAsia="Times New Roman" w:hAnsiTheme="minorHAnsi" w:cs="Arial"/>
          <w:sz w:val="20"/>
          <w:szCs w:val="20"/>
          <w:lang w:val="en-US"/>
        </w:rPr>
        <w:t xml:space="preserve"> 2019, </w:t>
      </w:r>
      <w:r w:rsidR="0088708D" w:rsidRPr="007D47AD">
        <w:rPr>
          <w:rFonts w:asciiTheme="minorHAnsi" w:eastAsia="Times New Roman" w:hAnsiTheme="minorHAnsi" w:cs="Arial"/>
          <w:sz w:val="20"/>
          <w:szCs w:val="20"/>
          <w:lang w:val="en-US"/>
        </w:rPr>
        <w:t xml:space="preserve">the State publicly announced the adoption of the agreement to establish the Special Mechanism as </w:t>
      </w:r>
      <w:r w:rsidR="005E163B" w:rsidRPr="007D47AD">
        <w:rPr>
          <w:rFonts w:asciiTheme="minorHAnsi" w:eastAsia="Times New Roman" w:hAnsiTheme="minorHAnsi" w:cs="Arial"/>
          <w:sz w:val="20"/>
          <w:szCs w:val="20"/>
          <w:lang w:val="en-US"/>
        </w:rPr>
        <w:t xml:space="preserve">a </w:t>
      </w:r>
      <w:r w:rsidR="0088708D" w:rsidRPr="007D47AD">
        <w:rPr>
          <w:rFonts w:asciiTheme="minorHAnsi" w:eastAsia="Times New Roman" w:hAnsiTheme="minorHAnsi" w:cs="Arial"/>
          <w:sz w:val="20"/>
          <w:szCs w:val="20"/>
          <w:lang w:val="en-US"/>
        </w:rPr>
        <w:t>result of the dialogue described above.</w:t>
      </w:r>
      <w:r w:rsidRPr="007D47AD">
        <w:rPr>
          <w:rStyle w:val="FootnoteReference"/>
          <w:rFonts w:asciiTheme="minorHAnsi" w:eastAsia="Times New Roman" w:hAnsiTheme="minorHAnsi" w:cs="Arial"/>
          <w:sz w:val="20"/>
          <w:szCs w:val="20"/>
          <w:lang w:val="en-US"/>
        </w:rPr>
        <w:footnoteReference w:id="99"/>
      </w:r>
      <w:r w:rsidRPr="007D47AD">
        <w:rPr>
          <w:rFonts w:asciiTheme="minorHAnsi" w:eastAsia="Times New Roman" w:hAnsiTheme="minorHAnsi" w:cs="Arial"/>
          <w:sz w:val="20"/>
          <w:szCs w:val="20"/>
          <w:lang w:val="en-US"/>
        </w:rPr>
        <w:t xml:space="preserve"> </w:t>
      </w:r>
      <w:r w:rsidR="0088708D" w:rsidRPr="007D47AD">
        <w:rPr>
          <w:rFonts w:asciiTheme="minorHAnsi" w:eastAsia="Times New Roman" w:hAnsiTheme="minorHAnsi" w:cs="Arial"/>
          <w:sz w:val="20"/>
          <w:szCs w:val="20"/>
          <w:lang w:val="en-US"/>
        </w:rPr>
        <w:t xml:space="preserve">The Commission views the formal decision to establish the Mechanism </w:t>
      </w:r>
      <w:r w:rsidR="005E163B" w:rsidRPr="007D47AD">
        <w:rPr>
          <w:rFonts w:asciiTheme="minorHAnsi" w:eastAsia="Times New Roman" w:hAnsiTheme="minorHAnsi" w:cs="Arial"/>
          <w:sz w:val="20"/>
          <w:szCs w:val="20"/>
          <w:lang w:val="en-US"/>
        </w:rPr>
        <w:t xml:space="preserve">in a positive light </w:t>
      </w:r>
      <w:r w:rsidR="0088708D" w:rsidRPr="007D47AD">
        <w:rPr>
          <w:rFonts w:asciiTheme="minorHAnsi" w:eastAsia="Times New Roman" w:hAnsiTheme="minorHAnsi" w:cs="Arial"/>
          <w:sz w:val="20"/>
          <w:szCs w:val="20"/>
          <w:lang w:val="en-US"/>
        </w:rPr>
        <w:t xml:space="preserve">and will monitor its normative and institutional development for starting up its work. The IACHR hopes that the Mechanism </w:t>
      </w:r>
      <w:r w:rsidR="0088708D" w:rsidRPr="007D47AD">
        <w:rPr>
          <w:rFonts w:ascii="Cambria" w:hAnsi="Cambria" w:cs="Tahoma"/>
          <w:color w:val="000000"/>
          <w:sz w:val="20"/>
          <w:szCs w:val="20"/>
          <w:lang w:val="en-US"/>
        </w:rPr>
        <w:t>adequately answers to the expectations and proposals of the specialized organizations, victims’ family members, and victims’ organizations as regards its independence and autonomy. In addition, it encourages it to adopt a multidisciplinary technical and scientific strategy in keeping with consolidated international standards in this area. The IACHR expresses its willingness to continue providing technical support in the process of constructing the Mechanism</w:t>
      </w:r>
      <w:r w:rsidR="001131B7" w:rsidRPr="007D47AD">
        <w:rPr>
          <w:rFonts w:ascii="Cambria" w:hAnsi="Cambria" w:cs="Tahoma"/>
          <w:color w:val="000000"/>
          <w:sz w:val="20"/>
          <w:szCs w:val="20"/>
          <w:lang w:val="en-US"/>
        </w:rPr>
        <w:t>, in keeping with its mandate</w:t>
      </w:r>
      <w:r w:rsidRPr="007D47AD">
        <w:rPr>
          <w:rFonts w:ascii="Cambria" w:hAnsi="Cambria" w:cs="Tahoma"/>
          <w:color w:val="000000"/>
          <w:sz w:val="20"/>
          <w:szCs w:val="20"/>
          <w:lang w:val="en-US"/>
        </w:rPr>
        <w:t>.</w:t>
      </w:r>
    </w:p>
    <w:p w:rsidR="0057586B" w:rsidRPr="007D47AD" w:rsidRDefault="00413C5B" w:rsidP="0057586B">
      <w:pPr>
        <w:numPr>
          <w:ilvl w:val="0"/>
          <w:numId w:val="6"/>
        </w:numPr>
        <w:shd w:val="clear" w:color="auto" w:fill="FFFFFF"/>
        <w:spacing w:after="240" w:line="240" w:lineRule="auto"/>
        <w:ind w:left="0" w:firstLine="720"/>
        <w:jc w:val="both"/>
        <w:rPr>
          <w:rFonts w:asciiTheme="minorHAnsi" w:eastAsia="Times New Roman" w:hAnsiTheme="minorHAnsi" w:cs="Arial"/>
          <w:sz w:val="20"/>
          <w:szCs w:val="20"/>
          <w:lang w:val="en-US"/>
        </w:rPr>
      </w:pPr>
      <w:r w:rsidRPr="007D47AD">
        <w:rPr>
          <w:rFonts w:asciiTheme="minorHAnsi" w:hAnsiTheme="minorHAnsi"/>
          <w:sz w:val="20"/>
          <w:szCs w:val="20"/>
          <w:lang w:val="en-US"/>
        </w:rPr>
        <w:t xml:space="preserve">Based on the foregoing, the IACHR notes the lack, at this time, of a national, unified, and </w:t>
      </w:r>
      <w:r w:rsidR="007E181B" w:rsidRPr="007D47AD">
        <w:rPr>
          <w:rFonts w:asciiTheme="minorHAnsi" w:hAnsiTheme="minorHAnsi"/>
          <w:sz w:val="20"/>
          <w:szCs w:val="20"/>
          <w:lang w:val="en-US"/>
        </w:rPr>
        <w:t>updated</w:t>
      </w:r>
      <w:r w:rsidRPr="007D47AD">
        <w:rPr>
          <w:rFonts w:asciiTheme="minorHAnsi" w:hAnsiTheme="minorHAnsi"/>
          <w:sz w:val="20"/>
          <w:szCs w:val="20"/>
          <w:lang w:val="en-US"/>
        </w:rPr>
        <w:t xml:space="preserve"> registry, integrated with the Forensic Data Base and its corresponding National Registry of Deceased Persons Not Identified and Not Claimed, in keeping with the General Law. In light of this situation, the IACHR understands that the recommendation has met with partial compliance. </w:t>
      </w:r>
    </w:p>
    <w:p w:rsidR="00BB2FD4" w:rsidRPr="007D47AD" w:rsidRDefault="00413C5B" w:rsidP="00BB2FD4">
      <w:pPr>
        <w:numPr>
          <w:ilvl w:val="0"/>
          <w:numId w:val="6"/>
        </w:numPr>
        <w:shd w:val="clear" w:color="auto" w:fill="FFFFFF"/>
        <w:spacing w:after="240" w:line="240" w:lineRule="auto"/>
        <w:ind w:left="0" w:firstLine="720"/>
        <w:jc w:val="both"/>
        <w:rPr>
          <w:rFonts w:asciiTheme="minorHAnsi" w:hAnsiTheme="minorHAnsi"/>
          <w:lang w:val="en-US"/>
        </w:rPr>
      </w:pPr>
      <w:r w:rsidRPr="007D47AD">
        <w:rPr>
          <w:rFonts w:asciiTheme="minorHAnsi" w:hAnsiTheme="minorHAnsi" w:cs="Calibri"/>
          <w:sz w:val="20"/>
          <w:szCs w:val="20"/>
          <w:lang w:val="en-US"/>
        </w:rPr>
        <w:t xml:space="preserve">As regards the recommendations </w:t>
      </w:r>
      <w:r w:rsidR="008E65F3" w:rsidRPr="007D47AD">
        <w:rPr>
          <w:rFonts w:asciiTheme="minorHAnsi" w:hAnsiTheme="minorHAnsi" w:cs="Calibri"/>
          <w:sz w:val="20"/>
          <w:szCs w:val="20"/>
          <w:lang w:val="en-US"/>
        </w:rPr>
        <w:t xml:space="preserve">to </w:t>
      </w:r>
      <w:r w:rsidR="008E65F3" w:rsidRPr="007D47AD">
        <w:rPr>
          <w:rFonts w:asciiTheme="minorHAnsi" w:eastAsia="Times New Roman" w:hAnsiTheme="minorHAnsi" w:cs="Tahoma"/>
          <w:b/>
          <w:color w:val="333333"/>
          <w:sz w:val="20"/>
          <w:szCs w:val="20"/>
          <w:lang w:val="en-US"/>
        </w:rPr>
        <w:t>strengthen existing mechanisms in terms of early alerts and urgent search</w:t>
      </w:r>
      <w:r w:rsidR="00722834" w:rsidRPr="007D47AD">
        <w:rPr>
          <w:rFonts w:asciiTheme="minorHAnsi" w:eastAsia="Times New Roman" w:hAnsiTheme="minorHAnsi" w:cs="Tahoma"/>
          <w:b/>
          <w:color w:val="333333"/>
          <w:sz w:val="20"/>
          <w:szCs w:val="20"/>
          <w:lang w:val="en-US"/>
        </w:rPr>
        <w:t>es</w:t>
      </w:r>
      <w:r w:rsidR="008E65F3" w:rsidRPr="007D47AD">
        <w:rPr>
          <w:rFonts w:asciiTheme="minorHAnsi" w:eastAsia="Times New Roman" w:hAnsiTheme="minorHAnsi" w:cs="Tahoma"/>
          <w:b/>
          <w:color w:val="333333"/>
          <w:sz w:val="20"/>
          <w:szCs w:val="20"/>
          <w:lang w:val="en-US"/>
        </w:rPr>
        <w:t xml:space="preserve"> in cases of disappearances of women and children</w:t>
      </w:r>
      <w:r w:rsidR="009C095D" w:rsidRPr="007D47AD">
        <w:rPr>
          <w:rFonts w:asciiTheme="minorHAnsi" w:eastAsia="Times New Roman" w:hAnsiTheme="minorHAnsi" w:cs="Tahoma"/>
          <w:color w:val="333333"/>
          <w:sz w:val="20"/>
          <w:szCs w:val="20"/>
          <w:lang w:val="en-US"/>
        </w:rPr>
        <w:t xml:space="preserve">, </w:t>
      </w:r>
      <w:r w:rsidRPr="007D47AD">
        <w:rPr>
          <w:rFonts w:asciiTheme="minorHAnsi" w:eastAsia="Times New Roman" w:hAnsiTheme="minorHAnsi" w:cs="Tahoma"/>
          <w:color w:val="333333"/>
          <w:sz w:val="20"/>
          <w:szCs w:val="20"/>
          <w:lang w:val="en-US"/>
        </w:rPr>
        <w:t>and</w:t>
      </w:r>
      <w:r w:rsidR="009C095D" w:rsidRPr="007D47AD">
        <w:rPr>
          <w:rFonts w:asciiTheme="minorHAnsi" w:eastAsia="Times New Roman" w:hAnsiTheme="minorHAnsi" w:cs="Tahoma"/>
          <w:color w:val="333333"/>
          <w:sz w:val="20"/>
          <w:szCs w:val="20"/>
          <w:lang w:val="en-US"/>
        </w:rPr>
        <w:t xml:space="preserve"> </w:t>
      </w:r>
      <w:r w:rsidR="008E65F3" w:rsidRPr="007D47AD">
        <w:rPr>
          <w:rFonts w:asciiTheme="minorHAnsi" w:eastAsia="Times New Roman" w:hAnsiTheme="minorHAnsi" w:cs="Tahoma"/>
          <w:color w:val="333333"/>
          <w:sz w:val="20"/>
          <w:szCs w:val="20"/>
          <w:lang w:val="en-US"/>
        </w:rPr>
        <w:t xml:space="preserve">to </w:t>
      </w:r>
      <w:r w:rsidR="008E65F3" w:rsidRPr="007D47AD">
        <w:rPr>
          <w:rFonts w:asciiTheme="minorHAnsi" w:eastAsia="Times New Roman" w:hAnsiTheme="minorHAnsi" w:cs="Tahoma"/>
          <w:b/>
          <w:color w:val="333333"/>
          <w:sz w:val="20"/>
          <w:szCs w:val="20"/>
          <w:lang w:val="en-US"/>
        </w:rPr>
        <w:t>strengthen the National Registry of Data of Missing or Disappeared Persons, so that it may provide precise and reliable information about women and children</w:t>
      </w:r>
      <w:r w:rsidR="009C095D" w:rsidRPr="007D47AD">
        <w:rPr>
          <w:rFonts w:asciiTheme="minorHAnsi" w:eastAsia="Times New Roman" w:hAnsiTheme="minorHAnsi" w:cs="Tahoma"/>
          <w:color w:val="333333"/>
          <w:sz w:val="20"/>
          <w:szCs w:val="20"/>
          <w:lang w:val="en-US"/>
        </w:rPr>
        <w:t xml:space="preserve">, </w:t>
      </w:r>
      <w:r w:rsidRPr="007D47AD">
        <w:rPr>
          <w:rFonts w:asciiTheme="minorHAnsi" w:eastAsia="Times New Roman" w:hAnsiTheme="minorHAnsi" w:cs="Tahoma"/>
          <w:color w:val="333333"/>
          <w:sz w:val="20"/>
          <w:szCs w:val="20"/>
          <w:lang w:val="en-US"/>
        </w:rPr>
        <w:t xml:space="preserve">the State reported </w:t>
      </w:r>
      <w:r w:rsidR="000215D6" w:rsidRPr="007D47AD">
        <w:rPr>
          <w:rFonts w:asciiTheme="minorHAnsi" w:eastAsia="Times New Roman" w:hAnsiTheme="minorHAnsi" w:cs="Tahoma"/>
          <w:color w:val="333333"/>
          <w:sz w:val="20"/>
          <w:szCs w:val="20"/>
          <w:lang w:val="en-US"/>
        </w:rPr>
        <w:t xml:space="preserve">on </w:t>
      </w:r>
      <w:r w:rsidR="007A4B45" w:rsidRPr="007D47AD">
        <w:rPr>
          <w:rFonts w:asciiTheme="minorHAnsi" w:eastAsia="Times New Roman" w:hAnsiTheme="minorHAnsi" w:cs="Tahoma"/>
          <w:color w:val="333333"/>
          <w:sz w:val="20"/>
          <w:szCs w:val="20"/>
          <w:lang w:val="en-US"/>
        </w:rPr>
        <w:t>integrati</w:t>
      </w:r>
      <w:r w:rsidR="00722834" w:rsidRPr="007D47AD">
        <w:rPr>
          <w:rFonts w:asciiTheme="minorHAnsi" w:eastAsia="Times New Roman" w:hAnsiTheme="minorHAnsi" w:cs="Tahoma"/>
          <w:color w:val="333333"/>
          <w:sz w:val="20"/>
          <w:szCs w:val="20"/>
          <w:lang w:val="en-US"/>
        </w:rPr>
        <w:t>ng</w:t>
      </w:r>
      <w:r w:rsidR="007A4B45" w:rsidRPr="007D47AD">
        <w:rPr>
          <w:rFonts w:asciiTheme="minorHAnsi" w:eastAsia="Times New Roman" w:hAnsiTheme="minorHAnsi" w:cs="Tahoma"/>
          <w:color w:val="333333"/>
          <w:sz w:val="20"/>
          <w:szCs w:val="20"/>
          <w:lang w:val="en-US"/>
        </w:rPr>
        <w:t xml:space="preserve"> a gender perspective in the draft Standardized Search Protocol, </w:t>
      </w:r>
      <w:r w:rsidR="000215D6" w:rsidRPr="007D47AD">
        <w:rPr>
          <w:rFonts w:asciiTheme="minorHAnsi" w:hAnsiTheme="minorHAnsi"/>
          <w:color w:val="000000"/>
          <w:sz w:val="20"/>
          <w:szCs w:val="20"/>
          <w:lang w:val="en-US"/>
        </w:rPr>
        <w:t xml:space="preserve">the process of drawing up immediate action guides with a differentiated approach, including women, as well as </w:t>
      </w:r>
      <w:r w:rsidR="00722834" w:rsidRPr="007D47AD">
        <w:rPr>
          <w:rFonts w:asciiTheme="minorHAnsi" w:hAnsiTheme="minorHAnsi"/>
          <w:color w:val="000000"/>
          <w:sz w:val="20"/>
          <w:szCs w:val="20"/>
          <w:lang w:val="en-US"/>
        </w:rPr>
        <w:t xml:space="preserve">the in the </w:t>
      </w:r>
      <w:r w:rsidR="000215D6" w:rsidRPr="007D47AD">
        <w:rPr>
          <w:rFonts w:asciiTheme="minorHAnsi" w:hAnsiTheme="minorHAnsi"/>
          <w:color w:val="000000"/>
          <w:sz w:val="20"/>
          <w:szCs w:val="20"/>
          <w:lang w:val="en-US"/>
        </w:rPr>
        <w:t>General Law of the National Security System</w:t>
      </w:r>
      <w:r w:rsidR="00722834" w:rsidRPr="007D47AD">
        <w:rPr>
          <w:rFonts w:asciiTheme="minorHAnsi" w:hAnsiTheme="minorHAnsi"/>
          <w:color w:val="000000"/>
          <w:sz w:val="20"/>
          <w:szCs w:val="20"/>
          <w:lang w:val="en-US"/>
        </w:rPr>
        <w:t>,</w:t>
      </w:r>
      <w:r w:rsidR="000215D6" w:rsidRPr="007D47AD">
        <w:rPr>
          <w:rFonts w:asciiTheme="minorHAnsi" w:hAnsiTheme="minorHAnsi"/>
          <w:color w:val="000000"/>
          <w:sz w:val="20"/>
          <w:szCs w:val="20"/>
          <w:lang w:val="en-US"/>
        </w:rPr>
        <w:t xml:space="preserve"> </w:t>
      </w:r>
      <w:r w:rsidR="00722834" w:rsidRPr="007D47AD">
        <w:rPr>
          <w:rFonts w:asciiTheme="minorHAnsi" w:hAnsiTheme="minorHAnsi"/>
          <w:color w:val="000000"/>
          <w:sz w:val="20"/>
          <w:szCs w:val="20"/>
          <w:lang w:val="en-US"/>
        </w:rPr>
        <w:t xml:space="preserve">which provides that </w:t>
      </w:r>
      <w:r w:rsidR="000215D6" w:rsidRPr="007D47AD">
        <w:rPr>
          <w:rFonts w:asciiTheme="minorHAnsi" w:hAnsiTheme="minorHAnsi"/>
          <w:color w:val="000000"/>
          <w:sz w:val="20"/>
          <w:szCs w:val="20"/>
          <w:lang w:val="en-US"/>
        </w:rPr>
        <w:t xml:space="preserve">alert systems and immediate action protocols need to be implemented to search for and locate </w:t>
      </w:r>
      <w:r w:rsidR="00722834" w:rsidRPr="007D47AD">
        <w:rPr>
          <w:rFonts w:asciiTheme="minorHAnsi" w:hAnsiTheme="minorHAnsi"/>
          <w:color w:val="000000"/>
          <w:sz w:val="20"/>
          <w:szCs w:val="20"/>
          <w:lang w:val="en-US"/>
        </w:rPr>
        <w:t xml:space="preserve">minors who have been kidnapped, with </w:t>
      </w:r>
      <w:r w:rsidR="000215D6" w:rsidRPr="007D47AD">
        <w:rPr>
          <w:rFonts w:asciiTheme="minorHAnsi" w:hAnsiTheme="minorHAnsi"/>
          <w:color w:val="000000"/>
          <w:sz w:val="20"/>
          <w:szCs w:val="20"/>
          <w:lang w:val="en-US"/>
        </w:rPr>
        <w:t>members of the system receiv</w:t>
      </w:r>
      <w:r w:rsidR="00722834" w:rsidRPr="007D47AD">
        <w:rPr>
          <w:rFonts w:asciiTheme="minorHAnsi" w:hAnsiTheme="minorHAnsi"/>
          <w:color w:val="000000"/>
          <w:sz w:val="20"/>
          <w:szCs w:val="20"/>
          <w:lang w:val="en-US"/>
        </w:rPr>
        <w:t>ing</w:t>
      </w:r>
      <w:r w:rsidR="000215D6" w:rsidRPr="007D47AD">
        <w:rPr>
          <w:rFonts w:asciiTheme="minorHAnsi" w:hAnsiTheme="minorHAnsi"/>
          <w:color w:val="000000"/>
          <w:sz w:val="20"/>
          <w:szCs w:val="20"/>
          <w:lang w:val="en-US"/>
        </w:rPr>
        <w:t xml:space="preserve"> the assistance of the emergency services, communications media, telecommunications service providers, nongovernmental organizations, and citizens in general.</w:t>
      </w:r>
      <w:r w:rsidR="00BB2FD4" w:rsidRPr="007D47AD">
        <w:rPr>
          <w:rStyle w:val="FootnoteReference"/>
          <w:rFonts w:asciiTheme="minorHAnsi" w:hAnsiTheme="minorHAnsi"/>
          <w:color w:val="000000"/>
          <w:sz w:val="20"/>
          <w:szCs w:val="20"/>
          <w:lang w:val="en-US"/>
        </w:rPr>
        <w:footnoteReference w:id="100"/>
      </w:r>
    </w:p>
    <w:p w:rsidR="00BB2FD4" w:rsidRPr="007D47AD" w:rsidRDefault="000215D6" w:rsidP="00BB2FD4">
      <w:pPr>
        <w:numPr>
          <w:ilvl w:val="0"/>
          <w:numId w:val="6"/>
        </w:numPr>
        <w:shd w:val="clear" w:color="auto" w:fill="FFFFFF"/>
        <w:spacing w:after="0" w:line="240" w:lineRule="auto"/>
        <w:ind w:left="0" w:firstLine="720"/>
        <w:jc w:val="both"/>
        <w:rPr>
          <w:rFonts w:asciiTheme="minorHAnsi" w:hAnsiTheme="minorHAnsi" w:cs="Arial"/>
          <w:color w:val="000000"/>
          <w:sz w:val="20"/>
          <w:szCs w:val="20"/>
          <w:lang w:val="en-US"/>
        </w:rPr>
      </w:pPr>
      <w:r w:rsidRPr="007D47AD">
        <w:rPr>
          <w:rFonts w:asciiTheme="minorHAnsi" w:hAnsiTheme="minorHAnsi"/>
          <w:color w:val="000000"/>
          <w:sz w:val="20"/>
          <w:szCs w:val="20"/>
          <w:lang w:val="en-US"/>
        </w:rPr>
        <w:t xml:space="preserve">The IACHR has continued receiving worrisome </w:t>
      </w:r>
      <w:r w:rsidR="00BB2FD4" w:rsidRPr="007D47AD">
        <w:rPr>
          <w:rFonts w:asciiTheme="minorHAnsi" w:hAnsiTheme="minorHAnsi"/>
          <w:color w:val="000000"/>
          <w:sz w:val="20"/>
          <w:szCs w:val="20"/>
          <w:lang w:val="en-US"/>
        </w:rPr>
        <w:t>report</w:t>
      </w:r>
      <w:r w:rsidRPr="007D47AD">
        <w:rPr>
          <w:rFonts w:asciiTheme="minorHAnsi" w:hAnsiTheme="minorHAnsi"/>
          <w:color w:val="000000"/>
          <w:sz w:val="20"/>
          <w:szCs w:val="20"/>
          <w:lang w:val="en-US"/>
        </w:rPr>
        <w:t xml:space="preserve">s on disappearances of women, girls, and adolescent females, attesting to the </w:t>
      </w:r>
      <w:r w:rsidR="00F8169F" w:rsidRPr="007D47AD">
        <w:rPr>
          <w:rFonts w:asciiTheme="minorHAnsi" w:hAnsiTheme="minorHAnsi"/>
          <w:color w:val="000000"/>
          <w:sz w:val="20"/>
          <w:szCs w:val="20"/>
          <w:lang w:val="en-US"/>
        </w:rPr>
        <w:t>in</w:t>
      </w:r>
      <w:r w:rsidRPr="007D47AD">
        <w:rPr>
          <w:rFonts w:asciiTheme="minorHAnsi" w:hAnsiTheme="minorHAnsi"/>
          <w:color w:val="000000"/>
          <w:sz w:val="20"/>
          <w:szCs w:val="20"/>
          <w:lang w:val="en-US"/>
        </w:rPr>
        <w:t xml:space="preserve">efficacy of the existing mechanisms and the need to strengthen </w:t>
      </w:r>
      <w:r w:rsidRPr="007D47AD">
        <w:rPr>
          <w:rFonts w:asciiTheme="minorHAnsi" w:hAnsiTheme="minorHAnsi"/>
          <w:color w:val="000000"/>
          <w:sz w:val="20"/>
          <w:szCs w:val="20"/>
          <w:lang w:val="en-US"/>
        </w:rPr>
        <w:lastRenderedPageBreak/>
        <w:t>them.</w:t>
      </w:r>
      <w:r w:rsidR="00BB2FD4" w:rsidRPr="007D47AD">
        <w:rPr>
          <w:rStyle w:val="FootnoteReference"/>
          <w:rFonts w:asciiTheme="minorHAnsi" w:hAnsiTheme="minorHAnsi"/>
          <w:color w:val="000000"/>
          <w:sz w:val="20"/>
          <w:szCs w:val="20"/>
          <w:lang w:val="en-US"/>
        </w:rPr>
        <w:footnoteReference w:id="101"/>
      </w:r>
      <w:r w:rsidR="00BB2FD4" w:rsidRPr="007D47AD">
        <w:rPr>
          <w:rFonts w:asciiTheme="minorHAnsi" w:hAnsiTheme="minorHAnsi"/>
          <w:color w:val="000000"/>
          <w:sz w:val="20"/>
          <w:szCs w:val="20"/>
          <w:lang w:val="en-US"/>
        </w:rPr>
        <w:t xml:space="preserve"> </w:t>
      </w:r>
      <w:r w:rsidRPr="007D47AD">
        <w:rPr>
          <w:rFonts w:asciiTheme="minorHAnsi" w:hAnsiTheme="minorHAnsi"/>
          <w:color w:val="000000"/>
          <w:sz w:val="20"/>
          <w:szCs w:val="20"/>
          <w:lang w:val="en-US"/>
        </w:rPr>
        <w:t xml:space="preserve">According to public figures from the National Registry of Missing </w:t>
      </w:r>
      <w:r w:rsidR="00722834" w:rsidRPr="007D47AD">
        <w:rPr>
          <w:rFonts w:asciiTheme="minorHAnsi" w:hAnsiTheme="minorHAnsi"/>
          <w:color w:val="000000"/>
          <w:sz w:val="20"/>
          <w:szCs w:val="20"/>
          <w:lang w:val="en-US"/>
        </w:rPr>
        <w:t xml:space="preserve">and </w:t>
      </w:r>
      <w:r w:rsidRPr="007D47AD">
        <w:rPr>
          <w:rFonts w:asciiTheme="minorHAnsi" w:hAnsiTheme="minorHAnsi"/>
          <w:color w:val="000000"/>
          <w:sz w:val="20"/>
          <w:szCs w:val="20"/>
          <w:lang w:val="en-US"/>
        </w:rPr>
        <w:t xml:space="preserve">Disappeared Persons, as of January </w:t>
      </w:r>
      <w:r w:rsidR="00BB2FD4" w:rsidRPr="007D47AD">
        <w:rPr>
          <w:rFonts w:asciiTheme="minorHAnsi" w:hAnsiTheme="minorHAnsi"/>
          <w:color w:val="000000"/>
          <w:sz w:val="20"/>
          <w:szCs w:val="20"/>
          <w:lang w:val="en-US"/>
        </w:rPr>
        <w:t>2019</w:t>
      </w:r>
      <w:r w:rsidRPr="007D47AD">
        <w:rPr>
          <w:rFonts w:asciiTheme="minorHAnsi" w:hAnsiTheme="minorHAnsi"/>
          <w:color w:val="000000"/>
          <w:sz w:val="20"/>
          <w:szCs w:val="20"/>
          <w:lang w:val="en-US"/>
        </w:rPr>
        <w:t>,</w:t>
      </w:r>
      <w:r w:rsidR="00BB2FD4" w:rsidRPr="007D47AD">
        <w:rPr>
          <w:rFonts w:asciiTheme="minorHAnsi" w:hAnsiTheme="minorHAnsi"/>
          <w:color w:val="000000"/>
          <w:sz w:val="20"/>
          <w:szCs w:val="20"/>
          <w:lang w:val="en-US"/>
        </w:rPr>
        <w:t xml:space="preserve"> </w:t>
      </w:r>
      <w:r w:rsidRPr="007D47AD">
        <w:rPr>
          <w:rFonts w:asciiTheme="minorHAnsi" w:hAnsiTheme="minorHAnsi"/>
          <w:color w:val="000000"/>
          <w:sz w:val="20"/>
          <w:szCs w:val="20"/>
          <w:lang w:val="en-US"/>
        </w:rPr>
        <w:t xml:space="preserve">of the total of </w:t>
      </w:r>
      <w:r w:rsidR="00BB2FD4" w:rsidRPr="007D47AD">
        <w:rPr>
          <w:rFonts w:asciiTheme="minorHAnsi" w:hAnsiTheme="minorHAnsi"/>
          <w:color w:val="000000"/>
          <w:sz w:val="20"/>
          <w:szCs w:val="20"/>
          <w:lang w:val="en-US"/>
        </w:rPr>
        <w:t>40</w:t>
      </w:r>
      <w:r w:rsidRPr="007D47AD">
        <w:rPr>
          <w:rFonts w:asciiTheme="minorHAnsi" w:hAnsiTheme="minorHAnsi"/>
          <w:color w:val="000000"/>
          <w:sz w:val="20"/>
          <w:szCs w:val="20"/>
          <w:lang w:val="en-US"/>
        </w:rPr>
        <w:t>,</w:t>
      </w:r>
      <w:r w:rsidR="00BB2FD4" w:rsidRPr="007D47AD">
        <w:rPr>
          <w:rFonts w:asciiTheme="minorHAnsi" w:hAnsiTheme="minorHAnsi"/>
          <w:color w:val="000000"/>
          <w:sz w:val="20"/>
          <w:szCs w:val="20"/>
          <w:lang w:val="en-US"/>
        </w:rPr>
        <w:t xml:space="preserve">180 </w:t>
      </w:r>
      <w:r w:rsidRPr="007D47AD">
        <w:rPr>
          <w:rFonts w:asciiTheme="minorHAnsi" w:hAnsiTheme="minorHAnsi"/>
          <w:color w:val="000000"/>
          <w:sz w:val="20"/>
          <w:szCs w:val="20"/>
          <w:lang w:val="en-US"/>
        </w:rPr>
        <w:t xml:space="preserve">missing persons, </w:t>
      </w:r>
      <w:r w:rsidR="00BB2FD4" w:rsidRPr="007D47AD">
        <w:rPr>
          <w:rFonts w:asciiTheme="minorHAnsi" w:hAnsiTheme="minorHAnsi"/>
          <w:color w:val="000000"/>
          <w:sz w:val="20"/>
          <w:szCs w:val="20"/>
          <w:lang w:val="en-US"/>
        </w:rPr>
        <w:t xml:space="preserve">25% </w:t>
      </w:r>
      <w:r w:rsidRPr="007D47AD">
        <w:rPr>
          <w:rFonts w:asciiTheme="minorHAnsi" w:hAnsiTheme="minorHAnsi"/>
          <w:color w:val="000000"/>
          <w:sz w:val="20"/>
          <w:szCs w:val="20"/>
          <w:lang w:val="en-US"/>
        </w:rPr>
        <w:t>are women.</w:t>
      </w:r>
      <w:r w:rsidR="00BB2FD4" w:rsidRPr="007D47AD">
        <w:rPr>
          <w:rStyle w:val="FootnoteReference"/>
          <w:rFonts w:asciiTheme="minorHAnsi" w:hAnsiTheme="minorHAnsi"/>
          <w:color w:val="000000"/>
          <w:sz w:val="20"/>
          <w:szCs w:val="20"/>
          <w:lang w:val="en-US"/>
        </w:rPr>
        <w:footnoteReference w:id="102"/>
      </w:r>
      <w:r w:rsidR="00BB2FD4" w:rsidRPr="007D47AD">
        <w:rPr>
          <w:rFonts w:asciiTheme="minorHAnsi" w:hAnsiTheme="minorHAnsi"/>
          <w:color w:val="000000"/>
          <w:sz w:val="20"/>
          <w:szCs w:val="20"/>
          <w:lang w:val="en-US"/>
        </w:rPr>
        <w:t xml:space="preserve"> </w:t>
      </w:r>
      <w:r w:rsidRPr="007D47AD">
        <w:rPr>
          <w:rFonts w:asciiTheme="minorHAnsi" w:hAnsiTheme="minorHAnsi"/>
          <w:color w:val="000000"/>
          <w:sz w:val="20"/>
          <w:szCs w:val="20"/>
          <w:lang w:val="en-US"/>
        </w:rPr>
        <w:t xml:space="preserve">In addition, of the 32 states (including Mexico City) that make up the Mexican Republic, the situation in the state of </w:t>
      </w:r>
      <w:r w:rsidR="00BB2FD4" w:rsidRPr="007D47AD">
        <w:rPr>
          <w:rFonts w:asciiTheme="minorHAnsi" w:hAnsiTheme="minorHAnsi"/>
          <w:color w:val="000000"/>
          <w:sz w:val="20"/>
          <w:szCs w:val="20"/>
          <w:lang w:val="en-US"/>
        </w:rPr>
        <w:t xml:space="preserve">México </w:t>
      </w:r>
      <w:r w:rsidRPr="007D47AD">
        <w:rPr>
          <w:rFonts w:asciiTheme="minorHAnsi" w:hAnsiTheme="minorHAnsi"/>
          <w:color w:val="000000"/>
          <w:sz w:val="20"/>
          <w:szCs w:val="20"/>
          <w:lang w:val="en-US"/>
        </w:rPr>
        <w:t xml:space="preserve">is </w:t>
      </w:r>
      <w:r w:rsidR="00BB2FD4" w:rsidRPr="007D47AD">
        <w:rPr>
          <w:rFonts w:asciiTheme="minorHAnsi" w:hAnsiTheme="minorHAnsi"/>
          <w:color w:val="000000"/>
          <w:sz w:val="20"/>
          <w:szCs w:val="20"/>
          <w:lang w:val="en-US"/>
        </w:rPr>
        <w:t>particular</w:t>
      </w:r>
      <w:r w:rsidRPr="007D47AD">
        <w:rPr>
          <w:rFonts w:asciiTheme="minorHAnsi" w:hAnsiTheme="minorHAnsi"/>
          <w:color w:val="000000"/>
          <w:sz w:val="20"/>
          <w:szCs w:val="20"/>
          <w:lang w:val="en-US"/>
        </w:rPr>
        <w:t>ly worrisome given that it has the largest number of disappearances of girls and women</w:t>
      </w:r>
      <w:r w:rsidR="003A3EC2" w:rsidRPr="007D47AD">
        <w:rPr>
          <w:rFonts w:asciiTheme="minorHAnsi" w:hAnsiTheme="minorHAnsi"/>
          <w:color w:val="000000"/>
          <w:sz w:val="20"/>
          <w:szCs w:val="20"/>
          <w:lang w:val="en-US"/>
        </w:rPr>
        <w:t xml:space="preserve"> as a percentage of total disappearances</w:t>
      </w:r>
      <w:r w:rsidRPr="007D47AD">
        <w:rPr>
          <w:rFonts w:asciiTheme="minorHAnsi" w:hAnsiTheme="minorHAnsi"/>
          <w:color w:val="000000"/>
          <w:sz w:val="20"/>
          <w:szCs w:val="20"/>
          <w:lang w:val="en-US"/>
        </w:rPr>
        <w:t xml:space="preserve">: </w:t>
      </w:r>
      <w:r w:rsidR="003A3EC2" w:rsidRPr="007D47AD">
        <w:rPr>
          <w:rFonts w:asciiTheme="minorHAnsi" w:hAnsiTheme="minorHAnsi"/>
          <w:color w:val="000000"/>
          <w:sz w:val="20"/>
          <w:szCs w:val="20"/>
          <w:lang w:val="en-US"/>
        </w:rPr>
        <w:t xml:space="preserve">while this ratio is 25% nationally, it is </w:t>
      </w:r>
      <w:r w:rsidR="00BB2FD4" w:rsidRPr="007D47AD">
        <w:rPr>
          <w:rFonts w:asciiTheme="minorHAnsi" w:hAnsiTheme="minorHAnsi"/>
          <w:color w:val="000000"/>
          <w:sz w:val="20"/>
          <w:szCs w:val="20"/>
          <w:lang w:val="en-US"/>
        </w:rPr>
        <w:t xml:space="preserve">46% </w:t>
      </w:r>
      <w:r w:rsidR="003A3EC2" w:rsidRPr="007D47AD">
        <w:rPr>
          <w:rFonts w:asciiTheme="minorHAnsi" w:hAnsiTheme="minorHAnsi"/>
          <w:color w:val="000000"/>
          <w:sz w:val="20"/>
          <w:szCs w:val="20"/>
          <w:lang w:val="en-US"/>
        </w:rPr>
        <w:t xml:space="preserve">in the state of </w:t>
      </w:r>
      <w:r w:rsidR="00BB2FD4" w:rsidRPr="007D47AD">
        <w:rPr>
          <w:rFonts w:asciiTheme="minorHAnsi" w:hAnsiTheme="minorHAnsi"/>
          <w:color w:val="000000"/>
          <w:sz w:val="20"/>
          <w:szCs w:val="20"/>
          <w:lang w:val="en-US"/>
        </w:rPr>
        <w:t>México</w:t>
      </w:r>
      <w:r w:rsidR="003A3EC2" w:rsidRPr="007D47AD">
        <w:rPr>
          <w:rFonts w:asciiTheme="minorHAnsi" w:hAnsiTheme="minorHAnsi"/>
          <w:color w:val="000000"/>
          <w:sz w:val="20"/>
          <w:szCs w:val="20"/>
          <w:lang w:val="en-US"/>
        </w:rPr>
        <w:t>.</w:t>
      </w:r>
      <w:r w:rsidR="00BB2FD4" w:rsidRPr="007D47AD">
        <w:rPr>
          <w:rStyle w:val="FootnoteReference"/>
          <w:rFonts w:asciiTheme="minorHAnsi" w:hAnsiTheme="minorHAnsi"/>
          <w:color w:val="000000"/>
          <w:sz w:val="20"/>
          <w:szCs w:val="20"/>
          <w:lang w:val="en-US"/>
        </w:rPr>
        <w:footnoteReference w:id="103"/>
      </w:r>
    </w:p>
    <w:p w:rsidR="00BB2FD4" w:rsidRPr="007D47AD" w:rsidRDefault="00BB2FD4" w:rsidP="00BB2FD4">
      <w:pPr>
        <w:shd w:val="clear" w:color="auto" w:fill="FFFFFF"/>
        <w:spacing w:after="0" w:line="240" w:lineRule="auto"/>
        <w:ind w:left="720"/>
        <w:jc w:val="both"/>
        <w:rPr>
          <w:rFonts w:asciiTheme="minorHAnsi" w:hAnsiTheme="minorHAnsi" w:cs="Arial"/>
          <w:color w:val="000000"/>
          <w:sz w:val="20"/>
          <w:szCs w:val="20"/>
          <w:lang w:val="en-US"/>
        </w:rPr>
      </w:pPr>
    </w:p>
    <w:p w:rsidR="00BB2FD4" w:rsidRPr="007D47AD" w:rsidRDefault="003A3EC2" w:rsidP="0057586B">
      <w:pPr>
        <w:numPr>
          <w:ilvl w:val="0"/>
          <w:numId w:val="6"/>
        </w:numPr>
        <w:spacing w:after="0" w:line="240" w:lineRule="auto"/>
        <w:ind w:left="0" w:firstLine="720"/>
        <w:jc w:val="both"/>
        <w:rPr>
          <w:rFonts w:asciiTheme="minorHAnsi" w:hAnsiTheme="minorHAnsi"/>
          <w:color w:val="000000"/>
          <w:sz w:val="20"/>
          <w:szCs w:val="20"/>
          <w:lang w:val="en-US"/>
        </w:rPr>
      </w:pPr>
      <w:r w:rsidRPr="007D47AD">
        <w:rPr>
          <w:rFonts w:asciiTheme="minorHAnsi" w:hAnsiTheme="minorHAnsi"/>
          <w:color w:val="000000"/>
          <w:sz w:val="20"/>
          <w:szCs w:val="20"/>
          <w:lang w:val="en-US"/>
        </w:rPr>
        <w:t>In addition, the IACHR views with concern the information referring to obstac</w:t>
      </w:r>
      <w:r w:rsidR="00722834" w:rsidRPr="007D47AD">
        <w:rPr>
          <w:rFonts w:asciiTheme="minorHAnsi" w:hAnsiTheme="minorHAnsi"/>
          <w:color w:val="000000"/>
          <w:sz w:val="20"/>
          <w:szCs w:val="20"/>
          <w:lang w:val="en-US"/>
        </w:rPr>
        <w:t>l</w:t>
      </w:r>
      <w:r w:rsidRPr="007D47AD">
        <w:rPr>
          <w:rFonts w:asciiTheme="minorHAnsi" w:hAnsiTheme="minorHAnsi"/>
          <w:color w:val="000000"/>
          <w:sz w:val="20"/>
          <w:szCs w:val="20"/>
          <w:lang w:val="en-US"/>
        </w:rPr>
        <w:t xml:space="preserve">es that continue to exist </w:t>
      </w:r>
      <w:r w:rsidR="00722834" w:rsidRPr="007D47AD">
        <w:rPr>
          <w:rFonts w:asciiTheme="minorHAnsi" w:hAnsiTheme="minorHAnsi"/>
          <w:color w:val="000000"/>
          <w:sz w:val="20"/>
          <w:szCs w:val="20"/>
          <w:lang w:val="en-US"/>
        </w:rPr>
        <w:t xml:space="preserve">to </w:t>
      </w:r>
      <w:r w:rsidRPr="007D47AD">
        <w:rPr>
          <w:rFonts w:asciiTheme="minorHAnsi" w:hAnsiTheme="minorHAnsi"/>
          <w:color w:val="000000"/>
          <w:sz w:val="20"/>
          <w:szCs w:val="20"/>
          <w:lang w:val="en-US"/>
        </w:rPr>
        <w:t>access</w:t>
      </w:r>
      <w:r w:rsidR="00722834" w:rsidRPr="007D47AD">
        <w:rPr>
          <w:rFonts w:asciiTheme="minorHAnsi" w:hAnsiTheme="minorHAnsi"/>
          <w:color w:val="000000"/>
          <w:sz w:val="20"/>
          <w:szCs w:val="20"/>
          <w:lang w:val="en-US"/>
        </w:rPr>
        <w:t>ing</w:t>
      </w:r>
      <w:r w:rsidRPr="007D47AD">
        <w:rPr>
          <w:rFonts w:asciiTheme="minorHAnsi" w:hAnsiTheme="minorHAnsi"/>
          <w:color w:val="000000"/>
          <w:sz w:val="20"/>
          <w:szCs w:val="20"/>
          <w:lang w:val="en-US"/>
        </w:rPr>
        <w:t xml:space="preserve"> justice in cases of disappearance of women</w:t>
      </w:r>
      <w:r w:rsidR="00722834" w:rsidRPr="007D47AD">
        <w:rPr>
          <w:rFonts w:asciiTheme="minorHAnsi" w:hAnsiTheme="minorHAnsi"/>
          <w:color w:val="000000"/>
          <w:sz w:val="20"/>
          <w:szCs w:val="20"/>
          <w:lang w:val="en-US"/>
        </w:rPr>
        <w:t>,</w:t>
      </w:r>
      <w:r w:rsidRPr="007D47AD">
        <w:rPr>
          <w:rFonts w:asciiTheme="minorHAnsi" w:hAnsiTheme="minorHAnsi"/>
          <w:color w:val="000000"/>
          <w:sz w:val="20"/>
          <w:szCs w:val="20"/>
          <w:lang w:val="en-US"/>
        </w:rPr>
        <w:t xml:space="preserve"> result</w:t>
      </w:r>
      <w:r w:rsidR="00722834" w:rsidRPr="007D47AD">
        <w:rPr>
          <w:rFonts w:asciiTheme="minorHAnsi" w:hAnsiTheme="minorHAnsi"/>
          <w:color w:val="000000"/>
          <w:sz w:val="20"/>
          <w:szCs w:val="20"/>
          <w:lang w:val="en-US"/>
        </w:rPr>
        <w:t>ing</w:t>
      </w:r>
      <w:r w:rsidRPr="007D47AD">
        <w:rPr>
          <w:rFonts w:asciiTheme="minorHAnsi" w:hAnsiTheme="minorHAnsi"/>
          <w:color w:val="000000"/>
          <w:sz w:val="20"/>
          <w:szCs w:val="20"/>
          <w:lang w:val="en-US"/>
        </w:rPr>
        <w:t xml:space="preserve"> in a situation of impunity.</w:t>
      </w:r>
      <w:r w:rsidR="00BB2FD4" w:rsidRPr="007D47AD">
        <w:rPr>
          <w:rStyle w:val="FootnoteReference"/>
          <w:rFonts w:asciiTheme="minorHAnsi" w:hAnsiTheme="minorHAnsi" w:cs="Arial"/>
          <w:color w:val="000000"/>
          <w:sz w:val="20"/>
          <w:szCs w:val="20"/>
          <w:lang w:val="en-US"/>
        </w:rPr>
        <w:footnoteReference w:id="104"/>
      </w:r>
      <w:r w:rsidRPr="007D47AD">
        <w:rPr>
          <w:rFonts w:asciiTheme="minorHAnsi" w:hAnsiTheme="minorHAnsi" w:cs="Arial"/>
          <w:color w:val="000000"/>
          <w:sz w:val="20"/>
          <w:szCs w:val="20"/>
          <w:lang w:val="en-US"/>
        </w:rPr>
        <w:t xml:space="preserve"> </w:t>
      </w:r>
      <w:r w:rsidR="00546C48" w:rsidRPr="007D47AD">
        <w:rPr>
          <w:rFonts w:asciiTheme="minorHAnsi" w:hAnsiTheme="minorHAnsi" w:cs="Arial"/>
          <w:color w:val="000000"/>
          <w:sz w:val="20"/>
          <w:szCs w:val="20"/>
          <w:lang w:val="en-US"/>
        </w:rPr>
        <w:t xml:space="preserve">According to the information received by the Commission, </w:t>
      </w:r>
      <w:r w:rsidR="00546C48" w:rsidRPr="007D47AD">
        <w:rPr>
          <w:rFonts w:asciiTheme="minorHAnsi" w:hAnsiTheme="minorHAnsi"/>
          <w:color w:val="000000"/>
          <w:sz w:val="20"/>
          <w:szCs w:val="20"/>
          <w:lang w:val="en-US"/>
        </w:rPr>
        <w:t xml:space="preserve">the barriers to access to justice encountered by the family members of disappeared women when they begin their search are the complexity of existing procedures for activating the </w:t>
      </w:r>
      <w:r w:rsidR="00BB2FD4" w:rsidRPr="007D47AD">
        <w:rPr>
          <w:rFonts w:asciiTheme="minorHAnsi" w:hAnsiTheme="minorHAnsi"/>
          <w:color w:val="000000"/>
          <w:sz w:val="20"/>
          <w:szCs w:val="20"/>
          <w:lang w:val="en-US"/>
        </w:rPr>
        <w:t xml:space="preserve">Protocolo Alba </w:t>
      </w:r>
      <w:r w:rsidR="000C525F" w:rsidRPr="007D47AD">
        <w:rPr>
          <w:rFonts w:asciiTheme="minorHAnsi" w:hAnsiTheme="minorHAnsi"/>
          <w:color w:val="000000"/>
          <w:sz w:val="20"/>
          <w:szCs w:val="20"/>
          <w:lang w:val="en-US"/>
        </w:rPr>
        <w:t xml:space="preserve">and the </w:t>
      </w:r>
      <w:r w:rsidR="00BB2FD4" w:rsidRPr="007D47AD">
        <w:rPr>
          <w:rFonts w:asciiTheme="minorHAnsi" w:hAnsiTheme="minorHAnsi"/>
          <w:color w:val="000000"/>
          <w:sz w:val="20"/>
          <w:szCs w:val="20"/>
          <w:lang w:val="en-US"/>
        </w:rPr>
        <w:t>AMBER</w:t>
      </w:r>
      <w:r w:rsidR="000C525F" w:rsidRPr="007D47AD">
        <w:rPr>
          <w:rFonts w:asciiTheme="minorHAnsi" w:hAnsiTheme="minorHAnsi"/>
          <w:color w:val="000000"/>
          <w:sz w:val="20"/>
          <w:szCs w:val="20"/>
          <w:lang w:val="en-US"/>
        </w:rPr>
        <w:t xml:space="preserve"> alert</w:t>
      </w:r>
      <w:r w:rsidR="00BB2FD4" w:rsidRPr="007D47AD">
        <w:rPr>
          <w:rFonts w:asciiTheme="minorHAnsi" w:hAnsiTheme="minorHAnsi"/>
          <w:color w:val="000000"/>
          <w:sz w:val="20"/>
          <w:szCs w:val="20"/>
          <w:lang w:val="en-US"/>
        </w:rPr>
        <w:t xml:space="preserve">; </w:t>
      </w:r>
      <w:r w:rsidR="000C525F" w:rsidRPr="007D47AD">
        <w:rPr>
          <w:rFonts w:asciiTheme="minorHAnsi" w:hAnsiTheme="minorHAnsi"/>
          <w:color w:val="000000"/>
          <w:sz w:val="20"/>
          <w:szCs w:val="20"/>
          <w:lang w:val="en-US"/>
        </w:rPr>
        <w:t xml:space="preserve">the </w:t>
      </w:r>
      <w:r w:rsidR="00BB2FD4" w:rsidRPr="007D47AD">
        <w:rPr>
          <w:rFonts w:asciiTheme="minorHAnsi" w:hAnsiTheme="minorHAnsi"/>
          <w:color w:val="000000"/>
          <w:sz w:val="20"/>
          <w:szCs w:val="20"/>
          <w:lang w:val="en-US"/>
        </w:rPr>
        <w:t>reitera</w:t>
      </w:r>
      <w:r w:rsidR="000C525F" w:rsidRPr="007D47AD">
        <w:rPr>
          <w:rFonts w:asciiTheme="minorHAnsi" w:hAnsiTheme="minorHAnsi"/>
          <w:color w:val="000000"/>
          <w:sz w:val="20"/>
          <w:szCs w:val="20"/>
          <w:lang w:val="en-US"/>
        </w:rPr>
        <w:t xml:space="preserve">ted refusal of the </w:t>
      </w:r>
      <w:r w:rsidR="00722834" w:rsidRPr="007D47AD">
        <w:rPr>
          <w:rFonts w:asciiTheme="minorHAnsi" w:hAnsiTheme="minorHAnsi"/>
          <w:color w:val="000000"/>
          <w:sz w:val="20"/>
          <w:szCs w:val="20"/>
          <w:lang w:val="en-US"/>
        </w:rPr>
        <w:t xml:space="preserve">law enforcement and justice </w:t>
      </w:r>
      <w:r w:rsidR="000C525F" w:rsidRPr="007D47AD">
        <w:rPr>
          <w:rFonts w:asciiTheme="minorHAnsi" w:hAnsiTheme="minorHAnsi"/>
          <w:color w:val="000000"/>
          <w:sz w:val="20"/>
          <w:szCs w:val="20"/>
          <w:lang w:val="en-US"/>
        </w:rPr>
        <w:t>authorities to initiate the search immediately, reporting the need to wait 72 hours before giving notice of the case; as well as the lack of harmonization of the legislation for defining, investigating, and punishing the disappearance of women, including the failure to adopt criminal statutes on forced disappearance and disappearance in some of the criminal codes of the states.</w:t>
      </w:r>
      <w:r w:rsidR="00BB2FD4" w:rsidRPr="007D47AD">
        <w:rPr>
          <w:rStyle w:val="FootnoteReference"/>
          <w:rFonts w:asciiTheme="minorHAnsi" w:hAnsiTheme="minorHAnsi"/>
          <w:color w:val="000000"/>
          <w:sz w:val="20"/>
          <w:szCs w:val="20"/>
          <w:lang w:val="en-US"/>
        </w:rPr>
        <w:footnoteReference w:id="105"/>
      </w:r>
      <w:r w:rsidR="00BB2FD4" w:rsidRPr="007D47AD">
        <w:rPr>
          <w:rFonts w:asciiTheme="minorHAnsi" w:hAnsiTheme="minorHAnsi"/>
          <w:color w:val="000000"/>
          <w:sz w:val="20"/>
          <w:szCs w:val="20"/>
          <w:lang w:val="en-US"/>
        </w:rPr>
        <w:t xml:space="preserve"> </w:t>
      </w:r>
      <w:r w:rsidR="001131B7" w:rsidRPr="007D47AD">
        <w:rPr>
          <w:rFonts w:asciiTheme="minorHAnsi" w:hAnsiTheme="minorHAnsi"/>
          <w:sz w:val="20"/>
          <w:szCs w:val="20"/>
          <w:lang w:val="en-US"/>
        </w:rPr>
        <w:t>I</w:t>
      </w:r>
      <w:r w:rsidR="0057586B" w:rsidRPr="007D47AD">
        <w:rPr>
          <w:rFonts w:asciiTheme="minorHAnsi" w:hAnsiTheme="minorHAnsi"/>
          <w:sz w:val="20"/>
          <w:szCs w:val="20"/>
          <w:lang w:val="en-US"/>
        </w:rPr>
        <w:t xml:space="preserve">n </w:t>
      </w:r>
      <w:r w:rsidR="001131B7" w:rsidRPr="007D47AD">
        <w:rPr>
          <w:rFonts w:asciiTheme="minorHAnsi" w:hAnsiTheme="minorHAnsi"/>
          <w:sz w:val="20"/>
          <w:szCs w:val="20"/>
          <w:lang w:val="en-US"/>
        </w:rPr>
        <w:t xml:space="preserve">its observations on the draft of this report the State indicated that </w:t>
      </w:r>
      <w:r w:rsidR="0057586B" w:rsidRPr="007D47AD">
        <w:rPr>
          <w:rFonts w:asciiTheme="minorHAnsi" w:hAnsiTheme="minorHAnsi"/>
          <w:color w:val="000000"/>
          <w:sz w:val="20"/>
          <w:szCs w:val="20"/>
          <w:lang w:val="en-US"/>
        </w:rPr>
        <w:t xml:space="preserve">24 </w:t>
      </w:r>
      <w:r w:rsidR="001131B7" w:rsidRPr="007D47AD">
        <w:rPr>
          <w:rFonts w:asciiTheme="minorHAnsi" w:hAnsiTheme="minorHAnsi"/>
          <w:color w:val="000000"/>
          <w:sz w:val="20"/>
          <w:szCs w:val="20"/>
          <w:lang w:val="en-US"/>
        </w:rPr>
        <w:t xml:space="preserve">states are implementing the </w:t>
      </w:r>
      <w:r w:rsidR="0057586B" w:rsidRPr="007D47AD">
        <w:rPr>
          <w:rFonts w:asciiTheme="minorHAnsi" w:hAnsiTheme="minorHAnsi"/>
          <w:color w:val="000000"/>
          <w:sz w:val="20"/>
          <w:szCs w:val="20"/>
          <w:lang w:val="en-US"/>
        </w:rPr>
        <w:t>Protocolo Alba</w:t>
      </w:r>
      <w:r w:rsidR="001131B7" w:rsidRPr="007D47AD">
        <w:rPr>
          <w:rFonts w:asciiTheme="minorHAnsi" w:hAnsiTheme="minorHAnsi"/>
          <w:color w:val="000000"/>
          <w:sz w:val="20"/>
          <w:szCs w:val="20"/>
          <w:lang w:val="en-US"/>
        </w:rPr>
        <w:t xml:space="preserve"> and that </w:t>
      </w:r>
      <w:r w:rsidR="0057586B" w:rsidRPr="007D47AD">
        <w:rPr>
          <w:rFonts w:asciiTheme="minorHAnsi" w:hAnsiTheme="minorHAnsi"/>
          <w:color w:val="000000"/>
          <w:sz w:val="20"/>
          <w:szCs w:val="20"/>
          <w:lang w:val="en-US"/>
        </w:rPr>
        <w:t xml:space="preserve">17 </w:t>
      </w:r>
      <w:r w:rsidR="001131B7" w:rsidRPr="007D47AD">
        <w:rPr>
          <w:rFonts w:asciiTheme="minorHAnsi" w:hAnsiTheme="minorHAnsi"/>
          <w:color w:val="000000"/>
          <w:sz w:val="20"/>
          <w:szCs w:val="20"/>
          <w:lang w:val="en-US"/>
        </w:rPr>
        <w:t>states have established a Technical Committee.</w:t>
      </w:r>
      <w:r w:rsidR="0057586B" w:rsidRPr="007D47AD">
        <w:rPr>
          <w:rStyle w:val="FootnoteReference"/>
          <w:rFonts w:asciiTheme="minorHAnsi" w:hAnsiTheme="minorHAnsi"/>
          <w:sz w:val="20"/>
          <w:szCs w:val="20"/>
          <w:lang w:val="en-US"/>
        </w:rPr>
        <w:footnoteReference w:id="106"/>
      </w:r>
    </w:p>
    <w:p w:rsidR="00BB2FD4" w:rsidRPr="007D47AD" w:rsidRDefault="00BB2FD4" w:rsidP="00BB2FD4">
      <w:pPr>
        <w:spacing w:after="0" w:line="240" w:lineRule="auto"/>
        <w:jc w:val="both"/>
        <w:rPr>
          <w:rFonts w:asciiTheme="minorHAnsi" w:hAnsiTheme="minorHAnsi"/>
          <w:color w:val="000000"/>
          <w:sz w:val="20"/>
          <w:szCs w:val="20"/>
          <w:lang w:val="en-US"/>
        </w:rPr>
      </w:pPr>
    </w:p>
    <w:p w:rsidR="00BB2FD4" w:rsidRPr="007D47AD" w:rsidRDefault="00EF0137" w:rsidP="0083491A">
      <w:pPr>
        <w:numPr>
          <w:ilvl w:val="0"/>
          <w:numId w:val="6"/>
        </w:numPr>
        <w:shd w:val="clear" w:color="auto" w:fill="FFFFFF"/>
        <w:spacing w:after="0" w:line="240" w:lineRule="auto"/>
        <w:ind w:left="0" w:firstLine="720"/>
        <w:jc w:val="both"/>
        <w:rPr>
          <w:rFonts w:asciiTheme="minorHAnsi" w:hAnsiTheme="minorHAnsi" w:cs="Arial"/>
          <w:color w:val="000000"/>
          <w:sz w:val="20"/>
          <w:szCs w:val="20"/>
          <w:lang w:val="en-US"/>
        </w:rPr>
      </w:pPr>
      <w:r w:rsidRPr="007D47AD">
        <w:rPr>
          <w:rFonts w:asciiTheme="minorHAnsi" w:hAnsiTheme="minorHAnsi"/>
          <w:color w:val="000000"/>
          <w:sz w:val="20"/>
          <w:szCs w:val="20"/>
          <w:lang w:val="en-US"/>
        </w:rPr>
        <w:t xml:space="preserve">As regards strengthening the </w:t>
      </w:r>
      <w:r w:rsidR="001D742B" w:rsidRPr="007D47AD">
        <w:rPr>
          <w:rFonts w:asciiTheme="minorHAnsi" w:hAnsiTheme="minorHAnsi"/>
          <w:color w:val="000000"/>
          <w:sz w:val="20"/>
          <w:szCs w:val="20"/>
          <w:lang w:val="en-US"/>
        </w:rPr>
        <w:t>RNPED</w:t>
      </w:r>
      <w:r w:rsidRPr="007D47AD">
        <w:rPr>
          <w:rFonts w:asciiTheme="minorHAnsi" w:hAnsiTheme="minorHAnsi"/>
          <w:color w:val="000000"/>
          <w:sz w:val="20"/>
          <w:szCs w:val="20"/>
          <w:lang w:val="en-US"/>
        </w:rPr>
        <w:t>, the IACHR notes the absence of an official consolidated registry of disappeared women, adolescent females, and girls in some states, which stands in the way of evaluating the magnitude of the phenomenon and adopting the appropriate policies.</w:t>
      </w:r>
      <w:r w:rsidR="00BB2FD4" w:rsidRPr="007D47AD">
        <w:rPr>
          <w:rStyle w:val="FootnoteReference"/>
          <w:rFonts w:asciiTheme="minorHAnsi" w:hAnsiTheme="minorHAnsi"/>
          <w:color w:val="000000"/>
          <w:sz w:val="20"/>
          <w:szCs w:val="20"/>
          <w:lang w:val="en-US"/>
        </w:rPr>
        <w:footnoteReference w:id="107"/>
      </w:r>
    </w:p>
    <w:p w:rsidR="0083491A" w:rsidRPr="007D47AD" w:rsidRDefault="0083491A" w:rsidP="0083491A">
      <w:pPr>
        <w:shd w:val="clear" w:color="auto" w:fill="FFFFFF"/>
        <w:spacing w:after="0" w:line="240" w:lineRule="auto"/>
        <w:jc w:val="both"/>
        <w:rPr>
          <w:rFonts w:asciiTheme="minorHAnsi" w:hAnsiTheme="minorHAnsi" w:cs="Arial"/>
          <w:color w:val="000000"/>
          <w:sz w:val="20"/>
          <w:szCs w:val="20"/>
          <w:lang w:val="en-US"/>
        </w:rPr>
      </w:pPr>
    </w:p>
    <w:p w:rsidR="0083491A" w:rsidRPr="007D47AD" w:rsidRDefault="00B833D7" w:rsidP="001D28F8">
      <w:pPr>
        <w:numPr>
          <w:ilvl w:val="0"/>
          <w:numId w:val="6"/>
        </w:numPr>
        <w:shd w:val="clear" w:color="auto" w:fill="FFFFFF"/>
        <w:spacing w:after="0" w:line="240" w:lineRule="auto"/>
        <w:ind w:left="0" w:firstLine="720"/>
        <w:jc w:val="both"/>
        <w:rPr>
          <w:rFonts w:asciiTheme="minorHAnsi" w:hAnsiTheme="minorHAnsi"/>
          <w:sz w:val="20"/>
          <w:szCs w:val="20"/>
          <w:lang w:val="en-US"/>
        </w:rPr>
      </w:pPr>
      <w:r w:rsidRPr="007D47AD">
        <w:rPr>
          <w:rFonts w:asciiTheme="minorHAnsi" w:hAnsiTheme="minorHAnsi"/>
          <w:color w:val="000000"/>
          <w:sz w:val="20"/>
          <w:szCs w:val="20"/>
          <w:lang w:val="en-US"/>
        </w:rPr>
        <w:t>The Commission observes that part of the humanitarian crisis around the disappearance of persons in Mexico includes the lack of a methodology that distinguishes forced disappearances from those attributed to private persons or organized crime, as well as those in which the whereabouts of the person are unknown for causes other than a crime, mak</w:t>
      </w:r>
      <w:r w:rsidR="00722834" w:rsidRPr="007D47AD">
        <w:rPr>
          <w:rFonts w:asciiTheme="minorHAnsi" w:hAnsiTheme="minorHAnsi"/>
          <w:color w:val="000000"/>
          <w:sz w:val="20"/>
          <w:szCs w:val="20"/>
          <w:lang w:val="en-US"/>
        </w:rPr>
        <w:t>ing</w:t>
      </w:r>
      <w:r w:rsidRPr="007D47AD">
        <w:rPr>
          <w:rFonts w:asciiTheme="minorHAnsi" w:hAnsiTheme="minorHAnsi"/>
          <w:color w:val="000000"/>
          <w:sz w:val="20"/>
          <w:szCs w:val="20"/>
          <w:lang w:val="en-US"/>
        </w:rPr>
        <w:t xml:space="preserve"> possible </w:t>
      </w:r>
      <w:r w:rsidR="00722834" w:rsidRPr="007D47AD">
        <w:rPr>
          <w:rFonts w:asciiTheme="minorHAnsi" w:hAnsiTheme="minorHAnsi"/>
          <w:color w:val="000000"/>
          <w:sz w:val="20"/>
          <w:szCs w:val="20"/>
          <w:lang w:val="en-US"/>
        </w:rPr>
        <w:t xml:space="preserve">gender-based </w:t>
      </w:r>
      <w:r w:rsidRPr="007D47AD">
        <w:rPr>
          <w:rFonts w:asciiTheme="minorHAnsi" w:hAnsiTheme="minorHAnsi"/>
          <w:color w:val="000000"/>
          <w:sz w:val="20"/>
          <w:szCs w:val="20"/>
          <w:lang w:val="en-US"/>
        </w:rPr>
        <w:t>distinction.</w:t>
      </w:r>
      <w:r w:rsidR="00BB2FD4" w:rsidRPr="007D47AD">
        <w:rPr>
          <w:rStyle w:val="FootnoteReference"/>
          <w:rFonts w:asciiTheme="minorHAnsi" w:hAnsiTheme="minorHAnsi"/>
          <w:color w:val="000000"/>
          <w:sz w:val="20"/>
          <w:szCs w:val="20"/>
          <w:lang w:val="en-US"/>
        </w:rPr>
        <w:footnoteReference w:id="108"/>
      </w:r>
      <w:r w:rsidR="00BB2FD4" w:rsidRPr="007D47AD">
        <w:rPr>
          <w:rFonts w:asciiTheme="minorHAnsi" w:hAnsiTheme="minorHAnsi"/>
          <w:color w:val="000000"/>
          <w:sz w:val="20"/>
          <w:szCs w:val="20"/>
          <w:lang w:val="en-US"/>
        </w:rPr>
        <w:t xml:space="preserve"> </w:t>
      </w:r>
      <w:r w:rsidR="001131B7" w:rsidRPr="007D47AD">
        <w:rPr>
          <w:rFonts w:asciiTheme="minorHAnsi" w:hAnsiTheme="minorHAnsi"/>
          <w:sz w:val="20"/>
          <w:szCs w:val="20"/>
          <w:lang w:val="en-US"/>
        </w:rPr>
        <w:t>I</w:t>
      </w:r>
      <w:r w:rsidR="001D28F8" w:rsidRPr="007D47AD">
        <w:rPr>
          <w:rFonts w:asciiTheme="minorHAnsi" w:hAnsiTheme="minorHAnsi"/>
          <w:sz w:val="20"/>
          <w:szCs w:val="20"/>
          <w:lang w:val="en-US"/>
        </w:rPr>
        <w:t xml:space="preserve">n </w:t>
      </w:r>
      <w:r w:rsidR="001131B7" w:rsidRPr="007D47AD">
        <w:rPr>
          <w:rFonts w:asciiTheme="minorHAnsi" w:hAnsiTheme="minorHAnsi"/>
          <w:sz w:val="20"/>
          <w:szCs w:val="20"/>
          <w:lang w:val="en-US"/>
        </w:rPr>
        <w:t xml:space="preserve">its observations on the draft of this report, the State </w:t>
      </w:r>
      <w:r w:rsidR="004D31A1" w:rsidRPr="007D47AD">
        <w:rPr>
          <w:rFonts w:asciiTheme="minorHAnsi" w:hAnsiTheme="minorHAnsi"/>
          <w:sz w:val="20"/>
          <w:szCs w:val="20"/>
          <w:lang w:val="en-US"/>
        </w:rPr>
        <w:t>said that the new platform that feeds the RNPED allows to register these differences and stablishes a workflow of the process that must be observed when a person disappears</w:t>
      </w:r>
      <w:r w:rsidR="001131B7" w:rsidRPr="007D47AD">
        <w:rPr>
          <w:rFonts w:asciiTheme="minorHAnsi" w:hAnsiTheme="minorHAnsi"/>
          <w:sz w:val="20"/>
          <w:szCs w:val="20"/>
          <w:lang w:val="en-US"/>
        </w:rPr>
        <w:t>.</w:t>
      </w:r>
      <w:r w:rsidR="001D28F8" w:rsidRPr="007D47AD">
        <w:rPr>
          <w:rStyle w:val="FootnoteReference"/>
          <w:rFonts w:asciiTheme="minorHAnsi" w:hAnsiTheme="minorHAnsi"/>
          <w:sz w:val="20"/>
          <w:szCs w:val="20"/>
          <w:lang w:val="en-US"/>
        </w:rPr>
        <w:footnoteReference w:id="109"/>
      </w:r>
      <w:r w:rsidR="001D28F8" w:rsidRPr="007D47AD">
        <w:rPr>
          <w:rFonts w:asciiTheme="minorHAnsi" w:hAnsiTheme="minorHAnsi"/>
          <w:sz w:val="20"/>
          <w:szCs w:val="20"/>
          <w:lang w:val="en-US"/>
        </w:rPr>
        <w:t xml:space="preserve"> </w:t>
      </w:r>
      <w:r w:rsidR="004D31A1" w:rsidRPr="007D47AD">
        <w:rPr>
          <w:rFonts w:asciiTheme="minorHAnsi" w:hAnsiTheme="minorHAnsi"/>
          <w:sz w:val="20"/>
          <w:szCs w:val="20"/>
          <w:lang w:val="en-US"/>
        </w:rPr>
        <w:t>Noting the aforementioned, t</w:t>
      </w:r>
      <w:r w:rsidRPr="007D47AD">
        <w:rPr>
          <w:rFonts w:asciiTheme="minorHAnsi" w:hAnsiTheme="minorHAnsi"/>
          <w:color w:val="000000"/>
          <w:sz w:val="20"/>
          <w:szCs w:val="20"/>
          <w:lang w:val="en-US"/>
        </w:rPr>
        <w:t xml:space="preserve">he IACHR finds that the recommendation has met with partial compliance. </w:t>
      </w:r>
    </w:p>
    <w:p w:rsidR="00B833D7" w:rsidRPr="007D47AD" w:rsidRDefault="00B833D7" w:rsidP="00B833D7">
      <w:pPr>
        <w:shd w:val="clear" w:color="auto" w:fill="FFFFFF"/>
        <w:spacing w:after="0" w:line="240" w:lineRule="auto"/>
        <w:jc w:val="both"/>
        <w:rPr>
          <w:rFonts w:asciiTheme="minorHAnsi" w:hAnsiTheme="minorHAnsi" w:cs="Arial"/>
          <w:color w:val="000000"/>
          <w:sz w:val="20"/>
          <w:szCs w:val="20"/>
          <w:lang w:val="en-US"/>
        </w:rPr>
      </w:pPr>
    </w:p>
    <w:p w:rsidR="009C095D" w:rsidRPr="007D47AD" w:rsidRDefault="00B833D7" w:rsidP="0084179A">
      <w:pPr>
        <w:shd w:val="clear" w:color="auto" w:fill="FFFFFF"/>
        <w:spacing w:after="240" w:line="240" w:lineRule="auto"/>
        <w:jc w:val="both"/>
        <w:rPr>
          <w:rFonts w:asciiTheme="minorHAnsi" w:hAnsiTheme="minorHAnsi"/>
          <w:sz w:val="20"/>
          <w:szCs w:val="20"/>
          <w:lang w:val="en-US"/>
        </w:rPr>
      </w:pPr>
      <w:r w:rsidRPr="007D47AD">
        <w:rPr>
          <w:rFonts w:asciiTheme="minorHAnsi" w:hAnsiTheme="minorHAnsi" w:cs="Calibri"/>
          <w:b/>
          <w:sz w:val="20"/>
          <w:szCs w:val="20"/>
          <w:lang w:val="en-US"/>
        </w:rPr>
        <w:t xml:space="preserve">Follow-up on the </w:t>
      </w:r>
      <w:r w:rsidR="009C095D" w:rsidRPr="007D47AD">
        <w:rPr>
          <w:rFonts w:asciiTheme="minorHAnsi" w:hAnsiTheme="minorHAnsi" w:cs="Calibri"/>
          <w:b/>
          <w:sz w:val="20"/>
          <w:szCs w:val="20"/>
          <w:lang w:val="en-US"/>
        </w:rPr>
        <w:t>Ayotzinapa</w:t>
      </w:r>
      <w:r w:rsidRPr="007D47AD">
        <w:rPr>
          <w:rFonts w:asciiTheme="minorHAnsi" w:hAnsiTheme="minorHAnsi" w:cs="Calibri"/>
          <w:b/>
          <w:sz w:val="20"/>
          <w:szCs w:val="20"/>
          <w:lang w:val="en-US"/>
        </w:rPr>
        <w:t xml:space="preserve"> Matter</w:t>
      </w:r>
      <w:r w:rsidR="009C095D" w:rsidRPr="007D47AD">
        <w:rPr>
          <w:rFonts w:asciiTheme="minorHAnsi" w:hAnsiTheme="minorHAnsi" w:cs="Calibri"/>
          <w:b/>
          <w:sz w:val="20"/>
          <w:szCs w:val="20"/>
          <w:lang w:val="en-US"/>
        </w:rPr>
        <w:t xml:space="preserve"> </w:t>
      </w:r>
    </w:p>
    <w:p w:rsidR="00157B5F" w:rsidRPr="007D47AD" w:rsidRDefault="006F715E" w:rsidP="00AD12E4">
      <w:pPr>
        <w:numPr>
          <w:ilvl w:val="0"/>
          <w:numId w:val="6"/>
        </w:numPr>
        <w:shd w:val="clear" w:color="auto" w:fill="FFFFFF"/>
        <w:spacing w:after="240" w:line="240" w:lineRule="auto"/>
        <w:ind w:left="0" w:firstLine="720"/>
        <w:jc w:val="both"/>
        <w:rPr>
          <w:rFonts w:asciiTheme="minorHAnsi" w:eastAsia="Times New Roman" w:hAnsiTheme="minorHAnsi"/>
          <w:color w:val="222222"/>
          <w:sz w:val="20"/>
          <w:szCs w:val="20"/>
          <w:lang w:val="en-US"/>
        </w:rPr>
      </w:pPr>
      <w:r w:rsidRPr="007D47AD">
        <w:rPr>
          <w:rFonts w:asciiTheme="minorHAnsi" w:eastAsia="Times New Roman" w:hAnsiTheme="minorHAnsi"/>
          <w:color w:val="222222"/>
          <w:sz w:val="20"/>
          <w:szCs w:val="20"/>
          <w:lang w:val="en-US"/>
        </w:rPr>
        <w:t>I</w:t>
      </w:r>
      <w:r w:rsidR="002B0CD6" w:rsidRPr="007D47AD">
        <w:rPr>
          <w:rFonts w:asciiTheme="minorHAnsi" w:eastAsia="Times New Roman" w:hAnsiTheme="minorHAnsi"/>
          <w:color w:val="222222"/>
          <w:sz w:val="20"/>
          <w:szCs w:val="20"/>
          <w:lang w:val="en-US"/>
        </w:rPr>
        <w:t>n 2019</w:t>
      </w:r>
      <w:r w:rsidRPr="007D47AD">
        <w:rPr>
          <w:rFonts w:asciiTheme="minorHAnsi" w:eastAsia="Times New Roman" w:hAnsiTheme="minorHAnsi"/>
          <w:color w:val="222222"/>
          <w:sz w:val="20"/>
          <w:szCs w:val="20"/>
          <w:lang w:val="en-US"/>
        </w:rPr>
        <w:t xml:space="preserve"> the Mechanism for Follow-up on the </w:t>
      </w:r>
      <w:r w:rsidR="002B0CD6" w:rsidRPr="007D47AD">
        <w:rPr>
          <w:rFonts w:asciiTheme="minorHAnsi" w:eastAsia="Times New Roman" w:hAnsiTheme="minorHAnsi"/>
          <w:color w:val="222222"/>
          <w:sz w:val="20"/>
          <w:szCs w:val="20"/>
          <w:lang w:val="en-US"/>
        </w:rPr>
        <w:t>A</w:t>
      </w:r>
      <w:r w:rsidR="00722834" w:rsidRPr="007D47AD">
        <w:rPr>
          <w:rFonts w:asciiTheme="minorHAnsi" w:eastAsia="Times New Roman" w:hAnsiTheme="minorHAnsi"/>
          <w:color w:val="222222"/>
          <w:sz w:val="20"/>
          <w:szCs w:val="20"/>
          <w:lang w:val="en-US"/>
        </w:rPr>
        <w:t xml:space="preserve">yotzinapa </w:t>
      </w:r>
      <w:r w:rsidRPr="007D47AD">
        <w:rPr>
          <w:rFonts w:asciiTheme="minorHAnsi" w:eastAsia="Times New Roman" w:hAnsiTheme="minorHAnsi"/>
          <w:color w:val="222222"/>
          <w:sz w:val="20"/>
          <w:szCs w:val="20"/>
          <w:lang w:val="en-US"/>
        </w:rPr>
        <w:t xml:space="preserve">Matter </w:t>
      </w:r>
      <w:r w:rsidR="002B0CD6" w:rsidRPr="007D47AD">
        <w:rPr>
          <w:rFonts w:asciiTheme="minorHAnsi" w:eastAsia="Times New Roman" w:hAnsiTheme="minorHAnsi"/>
          <w:color w:val="222222"/>
          <w:sz w:val="20"/>
          <w:szCs w:val="20"/>
          <w:lang w:val="en-US"/>
        </w:rPr>
        <w:t>(MESA) adopt</w:t>
      </w:r>
      <w:r w:rsidRPr="007D47AD">
        <w:rPr>
          <w:rFonts w:asciiTheme="minorHAnsi" w:eastAsia="Times New Roman" w:hAnsiTheme="minorHAnsi"/>
          <w:color w:val="222222"/>
          <w:sz w:val="20"/>
          <w:szCs w:val="20"/>
          <w:lang w:val="en-US"/>
        </w:rPr>
        <w:t xml:space="preserve">ed a new Work Plan to continue follow-up on the precautionary measures granted </w:t>
      </w:r>
      <w:r w:rsidR="002B0CD6" w:rsidRPr="007D47AD">
        <w:rPr>
          <w:rFonts w:asciiTheme="minorHAnsi" w:eastAsia="Times New Roman" w:hAnsiTheme="minorHAnsi"/>
          <w:color w:val="222222"/>
          <w:sz w:val="20"/>
          <w:szCs w:val="20"/>
          <w:lang w:val="en-US"/>
        </w:rPr>
        <w:t xml:space="preserve">(MC/409-14) </w:t>
      </w:r>
      <w:r w:rsidRPr="007D47AD">
        <w:rPr>
          <w:rFonts w:asciiTheme="minorHAnsi" w:eastAsia="Times New Roman" w:hAnsiTheme="minorHAnsi"/>
          <w:color w:val="222222"/>
          <w:sz w:val="20"/>
          <w:szCs w:val="20"/>
          <w:lang w:val="en-US"/>
        </w:rPr>
        <w:t xml:space="preserve">and on the recommendations </w:t>
      </w:r>
      <w:r w:rsidRPr="007D47AD">
        <w:rPr>
          <w:rFonts w:asciiTheme="minorHAnsi" w:eastAsia="Times New Roman" w:hAnsiTheme="minorHAnsi"/>
          <w:color w:val="222222"/>
          <w:sz w:val="20"/>
          <w:szCs w:val="20"/>
          <w:lang w:val="en-US"/>
        </w:rPr>
        <w:lastRenderedPageBreak/>
        <w:t xml:space="preserve">of the </w:t>
      </w:r>
      <w:r w:rsidR="002B0CD6" w:rsidRPr="007D47AD">
        <w:rPr>
          <w:rFonts w:asciiTheme="minorHAnsi" w:eastAsia="Times New Roman" w:hAnsiTheme="minorHAnsi"/>
          <w:color w:val="222222"/>
          <w:sz w:val="20"/>
          <w:szCs w:val="20"/>
          <w:lang w:val="en-US"/>
        </w:rPr>
        <w:t xml:space="preserve">GIEI </w:t>
      </w:r>
      <w:r w:rsidRPr="007D47AD">
        <w:rPr>
          <w:rFonts w:asciiTheme="minorHAnsi" w:eastAsia="Times New Roman" w:hAnsiTheme="minorHAnsi"/>
          <w:color w:val="222222"/>
          <w:sz w:val="20"/>
          <w:szCs w:val="20"/>
          <w:lang w:val="en-US"/>
        </w:rPr>
        <w:t xml:space="preserve">and the </w:t>
      </w:r>
      <w:r w:rsidR="002B0CD6" w:rsidRPr="007D47AD">
        <w:rPr>
          <w:rFonts w:asciiTheme="minorHAnsi" w:eastAsia="Times New Roman" w:hAnsiTheme="minorHAnsi"/>
          <w:color w:val="222222"/>
          <w:sz w:val="20"/>
          <w:szCs w:val="20"/>
          <w:lang w:val="en-US"/>
        </w:rPr>
        <w:t>MESA formula</w:t>
      </w:r>
      <w:r w:rsidRPr="007D47AD">
        <w:rPr>
          <w:rFonts w:asciiTheme="minorHAnsi" w:eastAsia="Times New Roman" w:hAnsiTheme="minorHAnsi"/>
          <w:color w:val="222222"/>
          <w:sz w:val="20"/>
          <w:szCs w:val="20"/>
          <w:lang w:val="en-US"/>
        </w:rPr>
        <w:t xml:space="preserve">ted in their reports, and </w:t>
      </w:r>
      <w:r w:rsidR="00722834" w:rsidRPr="007D47AD">
        <w:rPr>
          <w:rFonts w:asciiTheme="minorHAnsi" w:eastAsia="Times New Roman" w:hAnsiTheme="minorHAnsi"/>
          <w:color w:val="222222"/>
          <w:sz w:val="20"/>
          <w:szCs w:val="20"/>
          <w:lang w:val="en-US"/>
        </w:rPr>
        <w:t xml:space="preserve">it </w:t>
      </w:r>
      <w:r w:rsidRPr="007D47AD">
        <w:rPr>
          <w:rFonts w:asciiTheme="minorHAnsi" w:eastAsia="Times New Roman" w:hAnsiTheme="minorHAnsi"/>
          <w:color w:val="222222"/>
          <w:sz w:val="20"/>
          <w:szCs w:val="20"/>
          <w:lang w:val="en-US"/>
        </w:rPr>
        <w:t xml:space="preserve">began a new phase of technical assistance and permanent presence in </w:t>
      </w:r>
      <w:r w:rsidR="002B0CD6" w:rsidRPr="007D47AD">
        <w:rPr>
          <w:rFonts w:asciiTheme="minorHAnsi" w:eastAsia="Times New Roman" w:hAnsiTheme="minorHAnsi"/>
          <w:color w:val="222222"/>
          <w:sz w:val="20"/>
          <w:szCs w:val="20"/>
          <w:lang w:val="en-US"/>
        </w:rPr>
        <w:t>M</w:t>
      </w:r>
      <w:r w:rsidRPr="007D47AD">
        <w:rPr>
          <w:rFonts w:asciiTheme="minorHAnsi" w:eastAsia="Times New Roman" w:hAnsiTheme="minorHAnsi"/>
          <w:color w:val="222222"/>
          <w:sz w:val="20"/>
          <w:szCs w:val="20"/>
          <w:lang w:val="en-US"/>
        </w:rPr>
        <w:t>e</w:t>
      </w:r>
      <w:r w:rsidR="002B0CD6" w:rsidRPr="007D47AD">
        <w:rPr>
          <w:rFonts w:asciiTheme="minorHAnsi" w:eastAsia="Times New Roman" w:hAnsiTheme="minorHAnsi"/>
          <w:color w:val="222222"/>
          <w:sz w:val="20"/>
          <w:szCs w:val="20"/>
          <w:lang w:val="en-US"/>
        </w:rPr>
        <w:t>xico.</w:t>
      </w:r>
      <w:r w:rsidR="00AD12E4" w:rsidRPr="007D47AD">
        <w:rPr>
          <w:rFonts w:asciiTheme="minorHAnsi" w:eastAsia="Times New Roman" w:hAnsiTheme="minorHAnsi"/>
          <w:color w:val="222222"/>
          <w:sz w:val="20"/>
          <w:szCs w:val="20"/>
          <w:lang w:val="en-US"/>
        </w:rPr>
        <w:t xml:space="preserve"> </w:t>
      </w:r>
    </w:p>
    <w:p w:rsidR="00157B5F" w:rsidRPr="007D47AD" w:rsidRDefault="00B31EA3" w:rsidP="00D06454">
      <w:pPr>
        <w:numPr>
          <w:ilvl w:val="0"/>
          <w:numId w:val="6"/>
        </w:numPr>
        <w:shd w:val="clear" w:color="auto" w:fill="FFFFFF"/>
        <w:spacing w:after="240" w:line="240" w:lineRule="auto"/>
        <w:ind w:left="0" w:firstLine="720"/>
        <w:jc w:val="both"/>
        <w:rPr>
          <w:rFonts w:asciiTheme="minorHAnsi" w:eastAsia="Times New Roman" w:hAnsiTheme="minorHAnsi"/>
          <w:color w:val="222222"/>
          <w:sz w:val="20"/>
          <w:szCs w:val="20"/>
          <w:lang w:val="en-US"/>
        </w:rPr>
      </w:pPr>
      <w:r w:rsidRPr="007D47AD">
        <w:rPr>
          <w:rFonts w:asciiTheme="minorHAnsi" w:eastAsia="Times New Roman" w:hAnsiTheme="minorHAnsi"/>
          <w:color w:val="222222"/>
          <w:sz w:val="20"/>
          <w:szCs w:val="20"/>
          <w:lang w:val="en-US"/>
        </w:rPr>
        <w:t>I</w:t>
      </w:r>
      <w:r w:rsidR="002B0CD6" w:rsidRPr="007D47AD">
        <w:rPr>
          <w:rFonts w:asciiTheme="minorHAnsi" w:eastAsia="Times New Roman" w:hAnsiTheme="minorHAnsi"/>
          <w:color w:val="222222"/>
          <w:sz w:val="20"/>
          <w:szCs w:val="20"/>
          <w:lang w:val="en-US"/>
        </w:rPr>
        <w:t xml:space="preserve">n </w:t>
      </w:r>
      <w:r w:rsidRPr="007D47AD">
        <w:rPr>
          <w:rFonts w:asciiTheme="minorHAnsi" w:eastAsia="Times New Roman" w:hAnsiTheme="minorHAnsi"/>
          <w:color w:val="222222"/>
          <w:sz w:val="20"/>
          <w:szCs w:val="20"/>
          <w:lang w:val="en-US"/>
        </w:rPr>
        <w:t xml:space="preserve">December </w:t>
      </w:r>
      <w:r w:rsidR="002B0CD6" w:rsidRPr="007D47AD">
        <w:rPr>
          <w:rFonts w:asciiTheme="minorHAnsi" w:eastAsia="Times New Roman" w:hAnsiTheme="minorHAnsi"/>
          <w:color w:val="222222"/>
          <w:sz w:val="20"/>
          <w:szCs w:val="20"/>
          <w:lang w:val="en-US"/>
        </w:rPr>
        <w:t xml:space="preserve">2018 </w:t>
      </w:r>
      <w:r w:rsidRPr="007D47AD">
        <w:rPr>
          <w:rFonts w:asciiTheme="minorHAnsi" w:eastAsia="Times New Roman" w:hAnsiTheme="minorHAnsi"/>
          <w:color w:val="222222"/>
          <w:sz w:val="20"/>
          <w:szCs w:val="20"/>
          <w:lang w:val="en-US"/>
        </w:rPr>
        <w:t xml:space="preserve">the Mexican State created the Commission on Truth and Access to Justice for the </w:t>
      </w:r>
      <w:r w:rsidR="002B0CD6" w:rsidRPr="007D47AD">
        <w:rPr>
          <w:rFonts w:asciiTheme="minorHAnsi" w:eastAsia="Times New Roman" w:hAnsiTheme="minorHAnsi"/>
          <w:color w:val="222222"/>
          <w:sz w:val="20"/>
          <w:szCs w:val="20"/>
          <w:lang w:val="en-US"/>
        </w:rPr>
        <w:t>Ayotzinapa </w:t>
      </w:r>
      <w:r w:rsidRPr="007D47AD">
        <w:rPr>
          <w:rFonts w:asciiTheme="minorHAnsi" w:eastAsia="Times New Roman" w:hAnsiTheme="minorHAnsi"/>
          <w:color w:val="222222"/>
          <w:sz w:val="20"/>
          <w:szCs w:val="20"/>
          <w:lang w:val="en-US"/>
        </w:rPr>
        <w:t>Case (</w:t>
      </w:r>
      <w:r w:rsidR="002B0CD6" w:rsidRPr="007D47AD">
        <w:rPr>
          <w:rFonts w:asciiTheme="minorHAnsi" w:eastAsia="Times New Roman" w:hAnsiTheme="minorHAnsi"/>
          <w:color w:val="222222"/>
          <w:sz w:val="20"/>
          <w:szCs w:val="20"/>
          <w:lang w:val="en-US"/>
        </w:rPr>
        <w:t>COVAJ</w:t>
      </w:r>
      <w:r w:rsidR="00722834" w:rsidRPr="007D47AD">
        <w:rPr>
          <w:rFonts w:asciiTheme="minorHAnsi" w:eastAsia="Times New Roman" w:hAnsiTheme="minorHAnsi"/>
          <w:color w:val="222222"/>
          <w:sz w:val="20"/>
          <w:szCs w:val="20"/>
          <w:lang w:val="en-US"/>
        </w:rPr>
        <w:t xml:space="preserve">) </w:t>
      </w:r>
      <w:r w:rsidRPr="007D47AD">
        <w:rPr>
          <w:rFonts w:asciiTheme="minorHAnsi" w:eastAsia="Times New Roman" w:hAnsiTheme="minorHAnsi"/>
          <w:color w:val="222222"/>
          <w:sz w:val="20"/>
          <w:szCs w:val="20"/>
          <w:lang w:val="en-US"/>
        </w:rPr>
        <w:t xml:space="preserve">as a policy coordination mechanism to advance, from the </w:t>
      </w:r>
      <w:r w:rsidR="00722834" w:rsidRPr="007D47AD">
        <w:rPr>
          <w:rFonts w:asciiTheme="minorHAnsi" w:eastAsia="Times New Roman" w:hAnsiTheme="minorHAnsi"/>
          <w:color w:val="222222"/>
          <w:sz w:val="20"/>
          <w:szCs w:val="20"/>
          <w:lang w:val="en-US"/>
        </w:rPr>
        <w:t xml:space="preserve">appropriate offices and mechanisms, </w:t>
      </w:r>
      <w:r w:rsidRPr="007D47AD">
        <w:rPr>
          <w:rFonts w:asciiTheme="minorHAnsi" w:eastAsia="Times New Roman" w:hAnsiTheme="minorHAnsi"/>
          <w:color w:val="222222"/>
          <w:sz w:val="20"/>
          <w:szCs w:val="20"/>
          <w:lang w:val="en-US"/>
        </w:rPr>
        <w:t xml:space="preserve">in addressing the requests of the students’ family members for the purpose of clarifying the truth. The </w:t>
      </w:r>
      <w:r w:rsidR="002B0CD6" w:rsidRPr="007D47AD">
        <w:rPr>
          <w:rFonts w:asciiTheme="minorHAnsi" w:eastAsia="Times New Roman" w:hAnsiTheme="minorHAnsi"/>
          <w:color w:val="222222"/>
          <w:sz w:val="20"/>
          <w:szCs w:val="20"/>
          <w:lang w:val="en-US"/>
        </w:rPr>
        <w:t>COVAJ invit</w:t>
      </w:r>
      <w:r w:rsidRPr="007D47AD">
        <w:rPr>
          <w:rFonts w:asciiTheme="minorHAnsi" w:eastAsia="Times New Roman" w:hAnsiTheme="minorHAnsi"/>
          <w:color w:val="222222"/>
          <w:sz w:val="20"/>
          <w:szCs w:val="20"/>
          <w:lang w:val="en-US"/>
        </w:rPr>
        <w:t xml:space="preserve">ed the </w:t>
      </w:r>
      <w:r w:rsidR="002B0CD6" w:rsidRPr="007D47AD">
        <w:rPr>
          <w:rFonts w:asciiTheme="minorHAnsi" w:eastAsia="Times New Roman" w:hAnsiTheme="minorHAnsi"/>
          <w:color w:val="222222"/>
          <w:sz w:val="20"/>
          <w:szCs w:val="20"/>
          <w:lang w:val="en-US"/>
        </w:rPr>
        <w:t>Inte</w:t>
      </w:r>
      <w:r w:rsidRPr="007D47AD">
        <w:rPr>
          <w:rFonts w:asciiTheme="minorHAnsi" w:eastAsia="Times New Roman" w:hAnsiTheme="minorHAnsi"/>
          <w:color w:val="222222"/>
          <w:sz w:val="20"/>
          <w:szCs w:val="20"/>
          <w:lang w:val="en-US"/>
        </w:rPr>
        <w:t>r-Am</w:t>
      </w:r>
      <w:r w:rsidR="002B0CD6" w:rsidRPr="007D47AD">
        <w:rPr>
          <w:rFonts w:asciiTheme="minorHAnsi" w:eastAsia="Times New Roman" w:hAnsiTheme="minorHAnsi"/>
          <w:color w:val="222222"/>
          <w:sz w:val="20"/>
          <w:szCs w:val="20"/>
          <w:lang w:val="en-US"/>
        </w:rPr>
        <w:t xml:space="preserve">erican </w:t>
      </w:r>
      <w:r w:rsidRPr="007D47AD">
        <w:rPr>
          <w:rFonts w:asciiTheme="minorHAnsi" w:eastAsia="Times New Roman" w:hAnsiTheme="minorHAnsi"/>
          <w:color w:val="222222"/>
          <w:sz w:val="20"/>
          <w:szCs w:val="20"/>
          <w:lang w:val="en-US"/>
        </w:rPr>
        <w:t xml:space="preserve">Commission to </w:t>
      </w:r>
      <w:r w:rsidR="002B0CD6" w:rsidRPr="007D47AD">
        <w:rPr>
          <w:rFonts w:asciiTheme="minorHAnsi" w:eastAsia="Times New Roman" w:hAnsiTheme="minorHAnsi"/>
          <w:color w:val="222222"/>
          <w:sz w:val="20"/>
          <w:szCs w:val="20"/>
          <w:lang w:val="en-US"/>
        </w:rPr>
        <w:t>participa</w:t>
      </w:r>
      <w:r w:rsidRPr="007D47AD">
        <w:rPr>
          <w:rFonts w:asciiTheme="minorHAnsi" w:eastAsia="Times New Roman" w:hAnsiTheme="minorHAnsi"/>
          <w:color w:val="222222"/>
          <w:sz w:val="20"/>
          <w:szCs w:val="20"/>
          <w:lang w:val="en-US"/>
        </w:rPr>
        <w:t>te in it</w:t>
      </w:r>
      <w:r w:rsidR="00722834" w:rsidRPr="007D47AD">
        <w:rPr>
          <w:rFonts w:asciiTheme="minorHAnsi" w:eastAsia="Times New Roman" w:hAnsiTheme="minorHAnsi"/>
          <w:color w:val="222222"/>
          <w:sz w:val="20"/>
          <w:szCs w:val="20"/>
          <w:lang w:val="en-US"/>
        </w:rPr>
        <w:t>s activities</w:t>
      </w:r>
      <w:r w:rsidRPr="007D47AD">
        <w:rPr>
          <w:rFonts w:asciiTheme="minorHAnsi" w:eastAsia="Times New Roman" w:hAnsiTheme="minorHAnsi"/>
          <w:color w:val="222222"/>
          <w:sz w:val="20"/>
          <w:szCs w:val="20"/>
          <w:lang w:val="en-US"/>
        </w:rPr>
        <w:t xml:space="preserve">. The IACHR has saluted the creation of this Commission and regularly attends its sessions, and even asks that special sessions be held when it considers it appropriate. </w:t>
      </w:r>
      <w:r w:rsidR="00B62F1B" w:rsidRPr="007D47AD">
        <w:rPr>
          <w:rFonts w:asciiTheme="minorHAnsi" w:eastAsia="Times New Roman" w:hAnsiTheme="minorHAnsi"/>
          <w:color w:val="222222"/>
          <w:sz w:val="20"/>
          <w:szCs w:val="20"/>
          <w:lang w:val="en-US"/>
        </w:rPr>
        <w:t>The State has reporte</w:t>
      </w:r>
      <w:r w:rsidR="00722834" w:rsidRPr="007D47AD">
        <w:rPr>
          <w:rFonts w:asciiTheme="minorHAnsi" w:eastAsia="Times New Roman" w:hAnsiTheme="minorHAnsi"/>
          <w:color w:val="222222"/>
          <w:sz w:val="20"/>
          <w:szCs w:val="20"/>
          <w:lang w:val="en-US"/>
        </w:rPr>
        <w:t>d</w:t>
      </w:r>
      <w:r w:rsidR="00B62F1B" w:rsidRPr="007D47AD">
        <w:rPr>
          <w:rFonts w:asciiTheme="minorHAnsi" w:eastAsia="Times New Roman" w:hAnsiTheme="minorHAnsi"/>
          <w:color w:val="222222"/>
          <w:sz w:val="20"/>
          <w:szCs w:val="20"/>
          <w:lang w:val="en-US"/>
        </w:rPr>
        <w:t xml:space="preserve"> that through its Ministry of Foreign Affairs an agreement has been signed with the Offic</w:t>
      </w:r>
      <w:r w:rsidR="00722834" w:rsidRPr="007D47AD">
        <w:rPr>
          <w:rFonts w:asciiTheme="minorHAnsi" w:eastAsia="Times New Roman" w:hAnsiTheme="minorHAnsi"/>
          <w:color w:val="222222"/>
          <w:sz w:val="20"/>
          <w:szCs w:val="20"/>
          <w:lang w:val="en-US"/>
        </w:rPr>
        <w:t>e</w:t>
      </w:r>
      <w:r w:rsidR="00B62F1B" w:rsidRPr="007D47AD">
        <w:rPr>
          <w:rFonts w:asciiTheme="minorHAnsi" w:eastAsia="Times New Roman" w:hAnsiTheme="minorHAnsi"/>
          <w:color w:val="222222"/>
          <w:sz w:val="20"/>
          <w:szCs w:val="20"/>
          <w:lang w:val="en-US"/>
        </w:rPr>
        <w:t xml:space="preserve"> of the High Commissioner for Human Rights of the United Nations to provide technical assistance and advisory services to the </w:t>
      </w:r>
      <w:r w:rsidR="001B1FA1" w:rsidRPr="007D47AD">
        <w:rPr>
          <w:rFonts w:asciiTheme="minorHAnsi" w:eastAsia="Times New Roman" w:hAnsiTheme="minorHAnsi"/>
          <w:color w:val="222222"/>
          <w:sz w:val="20"/>
          <w:szCs w:val="20"/>
          <w:lang w:val="en-US"/>
        </w:rPr>
        <w:t>COVAJ</w:t>
      </w:r>
      <w:r w:rsidR="00B62F1B" w:rsidRPr="007D47AD">
        <w:rPr>
          <w:rFonts w:asciiTheme="minorHAnsi" w:eastAsia="Times New Roman" w:hAnsiTheme="minorHAnsi"/>
          <w:color w:val="222222"/>
          <w:sz w:val="20"/>
          <w:szCs w:val="20"/>
          <w:lang w:val="en-US"/>
        </w:rPr>
        <w:t>.</w:t>
      </w:r>
      <w:r w:rsidR="001B1FA1" w:rsidRPr="007D47AD">
        <w:rPr>
          <w:rStyle w:val="FootnoteReference"/>
          <w:rFonts w:asciiTheme="minorHAnsi" w:eastAsia="Times New Roman" w:hAnsiTheme="minorHAnsi"/>
          <w:color w:val="222222"/>
          <w:sz w:val="20"/>
          <w:szCs w:val="20"/>
          <w:lang w:val="en-US"/>
        </w:rPr>
        <w:footnoteReference w:id="110"/>
      </w:r>
      <w:r w:rsidR="001B1FA1" w:rsidRPr="007D47AD">
        <w:rPr>
          <w:rFonts w:asciiTheme="minorHAnsi" w:eastAsia="Times New Roman" w:hAnsiTheme="minorHAnsi"/>
          <w:color w:val="222222"/>
          <w:sz w:val="20"/>
          <w:szCs w:val="20"/>
          <w:lang w:val="en-US"/>
        </w:rPr>
        <w:t xml:space="preserve"> </w:t>
      </w:r>
    </w:p>
    <w:p w:rsidR="00157B5F" w:rsidRPr="007D47AD" w:rsidRDefault="00B62F1B" w:rsidP="00D06454">
      <w:pPr>
        <w:numPr>
          <w:ilvl w:val="0"/>
          <w:numId w:val="6"/>
        </w:numPr>
        <w:shd w:val="clear" w:color="auto" w:fill="FFFFFF"/>
        <w:spacing w:after="240" w:line="240" w:lineRule="auto"/>
        <w:ind w:left="0" w:firstLine="720"/>
        <w:jc w:val="both"/>
        <w:rPr>
          <w:rFonts w:asciiTheme="minorHAnsi" w:eastAsia="Times New Roman" w:hAnsiTheme="minorHAnsi"/>
          <w:color w:val="222222"/>
          <w:sz w:val="20"/>
          <w:szCs w:val="20"/>
          <w:lang w:val="en-US"/>
        </w:rPr>
      </w:pPr>
      <w:r w:rsidRPr="007D47AD">
        <w:rPr>
          <w:rFonts w:asciiTheme="minorHAnsi" w:eastAsia="Times New Roman" w:hAnsiTheme="minorHAnsi"/>
          <w:color w:val="222222"/>
          <w:sz w:val="20"/>
          <w:szCs w:val="20"/>
          <w:lang w:val="en-US"/>
        </w:rPr>
        <w:t xml:space="preserve">On March </w:t>
      </w:r>
      <w:r w:rsidR="002B0CD6" w:rsidRPr="007D47AD">
        <w:rPr>
          <w:rFonts w:asciiTheme="minorHAnsi" w:eastAsia="Times New Roman" w:hAnsiTheme="minorHAnsi"/>
          <w:color w:val="222222"/>
          <w:sz w:val="20"/>
          <w:szCs w:val="20"/>
          <w:lang w:val="en-US"/>
        </w:rPr>
        <w:t>14</w:t>
      </w:r>
      <w:r w:rsidRPr="007D47AD">
        <w:rPr>
          <w:rFonts w:asciiTheme="minorHAnsi" w:eastAsia="Times New Roman" w:hAnsiTheme="minorHAnsi"/>
          <w:color w:val="222222"/>
          <w:sz w:val="20"/>
          <w:szCs w:val="20"/>
          <w:lang w:val="en-US"/>
        </w:rPr>
        <w:t>,</w:t>
      </w:r>
      <w:r w:rsidR="002B0CD6" w:rsidRPr="007D47AD">
        <w:rPr>
          <w:rFonts w:asciiTheme="minorHAnsi" w:eastAsia="Times New Roman" w:hAnsiTheme="minorHAnsi"/>
          <w:color w:val="222222"/>
          <w:sz w:val="20"/>
          <w:szCs w:val="20"/>
          <w:lang w:val="en-US"/>
        </w:rPr>
        <w:t xml:space="preserve"> 2019, </w:t>
      </w:r>
      <w:r w:rsidRPr="007D47AD">
        <w:rPr>
          <w:rFonts w:asciiTheme="minorHAnsi" w:eastAsia="Times New Roman" w:hAnsiTheme="minorHAnsi"/>
          <w:color w:val="222222"/>
          <w:sz w:val="20"/>
          <w:szCs w:val="20"/>
          <w:lang w:val="en-US"/>
        </w:rPr>
        <w:t xml:space="preserve">the </w:t>
      </w:r>
      <w:r w:rsidR="002B0CD6" w:rsidRPr="007D47AD">
        <w:rPr>
          <w:rFonts w:asciiTheme="minorHAnsi" w:eastAsia="Times New Roman" w:hAnsiTheme="minorHAnsi"/>
          <w:color w:val="222222"/>
          <w:sz w:val="20"/>
          <w:szCs w:val="20"/>
          <w:lang w:val="en-US"/>
        </w:rPr>
        <w:t>MESA present</w:t>
      </w:r>
      <w:r w:rsidRPr="007D47AD">
        <w:rPr>
          <w:rFonts w:asciiTheme="minorHAnsi" w:eastAsia="Times New Roman" w:hAnsiTheme="minorHAnsi"/>
          <w:color w:val="222222"/>
          <w:sz w:val="20"/>
          <w:szCs w:val="20"/>
          <w:lang w:val="en-US"/>
        </w:rPr>
        <w:t xml:space="preserve">ed to the </w:t>
      </w:r>
      <w:r w:rsidR="002B0CD6" w:rsidRPr="007D47AD">
        <w:rPr>
          <w:rFonts w:asciiTheme="minorHAnsi" w:eastAsia="Times New Roman" w:hAnsiTheme="minorHAnsi"/>
          <w:color w:val="222222"/>
          <w:sz w:val="20"/>
          <w:szCs w:val="20"/>
          <w:lang w:val="en-US"/>
        </w:rPr>
        <w:t xml:space="preserve">COVAJ </w:t>
      </w:r>
      <w:r w:rsidRPr="007D47AD">
        <w:rPr>
          <w:rFonts w:asciiTheme="minorHAnsi" w:eastAsia="Times New Roman" w:hAnsiTheme="minorHAnsi"/>
          <w:color w:val="222222"/>
          <w:sz w:val="20"/>
          <w:szCs w:val="20"/>
          <w:lang w:val="en-US"/>
        </w:rPr>
        <w:t xml:space="preserve">its Final Report and Work Plan for </w:t>
      </w:r>
      <w:r w:rsidR="002B0CD6" w:rsidRPr="007D47AD">
        <w:rPr>
          <w:rFonts w:asciiTheme="minorHAnsi" w:eastAsia="Times New Roman" w:hAnsiTheme="minorHAnsi"/>
          <w:color w:val="222222"/>
          <w:sz w:val="20"/>
          <w:szCs w:val="20"/>
          <w:lang w:val="en-US"/>
        </w:rPr>
        <w:t>2019</w:t>
      </w:r>
      <w:r w:rsidR="00722834" w:rsidRPr="007D47AD">
        <w:rPr>
          <w:rFonts w:asciiTheme="minorHAnsi" w:eastAsia="Times New Roman" w:hAnsiTheme="minorHAnsi"/>
          <w:color w:val="222222"/>
          <w:sz w:val="20"/>
          <w:szCs w:val="20"/>
          <w:lang w:val="en-US"/>
        </w:rPr>
        <w:t>,</w:t>
      </w:r>
      <w:r w:rsidR="002B0CD6" w:rsidRPr="007D47AD">
        <w:rPr>
          <w:rFonts w:asciiTheme="minorHAnsi" w:eastAsia="Times New Roman" w:hAnsiTheme="minorHAnsi"/>
          <w:color w:val="222222"/>
          <w:sz w:val="20"/>
          <w:szCs w:val="20"/>
          <w:lang w:val="en-US"/>
        </w:rPr>
        <w:t xml:space="preserve"> </w:t>
      </w:r>
      <w:r w:rsidR="00722834" w:rsidRPr="007D47AD">
        <w:rPr>
          <w:rFonts w:asciiTheme="minorHAnsi" w:eastAsia="Times New Roman" w:hAnsiTheme="minorHAnsi"/>
          <w:color w:val="222222"/>
          <w:sz w:val="20"/>
          <w:szCs w:val="20"/>
          <w:lang w:val="en-US"/>
        </w:rPr>
        <w:t xml:space="preserve">in the person of </w:t>
      </w:r>
      <w:r w:rsidR="002B0CD6" w:rsidRPr="007D47AD">
        <w:rPr>
          <w:rFonts w:asciiTheme="minorHAnsi" w:eastAsia="Times New Roman" w:hAnsiTheme="minorHAnsi"/>
          <w:color w:val="222222"/>
          <w:sz w:val="20"/>
          <w:szCs w:val="20"/>
          <w:lang w:val="en-US"/>
        </w:rPr>
        <w:t>President</w:t>
      </w:r>
      <w:r w:rsidRPr="007D47AD">
        <w:rPr>
          <w:rFonts w:asciiTheme="minorHAnsi" w:eastAsia="Times New Roman" w:hAnsiTheme="minorHAnsi"/>
          <w:color w:val="222222"/>
          <w:sz w:val="20"/>
          <w:szCs w:val="20"/>
          <w:lang w:val="en-US"/>
        </w:rPr>
        <w:t xml:space="preserve"> of the IACHR, Commissioner</w:t>
      </w:r>
      <w:r w:rsidR="002B0CD6" w:rsidRPr="007D47AD">
        <w:rPr>
          <w:rFonts w:asciiTheme="minorHAnsi" w:eastAsia="Times New Roman" w:hAnsiTheme="minorHAnsi"/>
          <w:color w:val="222222"/>
          <w:sz w:val="20"/>
          <w:szCs w:val="20"/>
          <w:lang w:val="en-US"/>
        </w:rPr>
        <w:t xml:space="preserve"> Esmeralda Arosemena de Troitiño. </w:t>
      </w:r>
      <w:r w:rsidRPr="007D47AD">
        <w:rPr>
          <w:rFonts w:asciiTheme="minorHAnsi" w:eastAsia="Times New Roman" w:hAnsiTheme="minorHAnsi"/>
          <w:color w:val="222222"/>
          <w:sz w:val="20"/>
          <w:szCs w:val="20"/>
          <w:lang w:val="en-US"/>
        </w:rPr>
        <w:t xml:space="preserve">The Work Plan reinforces technical assistance to the State by establishing the Technical Accompaniment Group (GAT: </w:t>
      </w:r>
      <w:r w:rsidR="002B0CD6" w:rsidRPr="007D47AD">
        <w:rPr>
          <w:rFonts w:asciiTheme="minorHAnsi" w:eastAsia="Times New Roman" w:hAnsiTheme="minorHAnsi"/>
          <w:color w:val="222222"/>
          <w:sz w:val="20"/>
          <w:szCs w:val="20"/>
          <w:lang w:val="en-US"/>
        </w:rPr>
        <w:t>Grupo de Acompañamiento Técnic</w:t>
      </w:r>
      <w:r w:rsidRPr="007D47AD">
        <w:rPr>
          <w:rFonts w:asciiTheme="minorHAnsi" w:eastAsia="Times New Roman" w:hAnsiTheme="minorHAnsi"/>
          <w:color w:val="222222"/>
          <w:sz w:val="20"/>
          <w:szCs w:val="20"/>
          <w:lang w:val="en-US"/>
        </w:rPr>
        <w:t xml:space="preserve">o), made up of persons from the Executive Secretariat of the IACHR, </w:t>
      </w:r>
      <w:r w:rsidR="00722834" w:rsidRPr="007D47AD">
        <w:rPr>
          <w:rFonts w:asciiTheme="minorHAnsi" w:eastAsia="Times New Roman" w:hAnsiTheme="minorHAnsi"/>
          <w:color w:val="222222"/>
          <w:sz w:val="20"/>
          <w:szCs w:val="20"/>
          <w:lang w:val="en-US"/>
        </w:rPr>
        <w:t xml:space="preserve">and in </w:t>
      </w:r>
      <w:r w:rsidRPr="007D47AD">
        <w:rPr>
          <w:rFonts w:asciiTheme="minorHAnsi" w:eastAsia="Times New Roman" w:hAnsiTheme="minorHAnsi"/>
          <w:color w:val="222222"/>
          <w:sz w:val="20"/>
          <w:szCs w:val="20"/>
          <w:lang w:val="en-US"/>
        </w:rPr>
        <w:t xml:space="preserve">Mexico on a permanent basis. This </w:t>
      </w:r>
      <w:r w:rsidR="002B0CD6" w:rsidRPr="007D47AD">
        <w:rPr>
          <w:rFonts w:asciiTheme="minorHAnsi" w:eastAsia="Times New Roman" w:hAnsiTheme="minorHAnsi"/>
          <w:color w:val="222222"/>
          <w:sz w:val="20"/>
          <w:szCs w:val="20"/>
          <w:lang w:val="en-US"/>
        </w:rPr>
        <w:t>permanent</w:t>
      </w:r>
      <w:r w:rsidRPr="007D47AD">
        <w:rPr>
          <w:rFonts w:asciiTheme="minorHAnsi" w:eastAsia="Times New Roman" w:hAnsiTheme="minorHAnsi"/>
          <w:color w:val="222222"/>
          <w:sz w:val="20"/>
          <w:szCs w:val="20"/>
          <w:lang w:val="en-US"/>
        </w:rPr>
        <w:t xml:space="preserve"> presence</w:t>
      </w:r>
      <w:r w:rsidR="00722834" w:rsidRPr="007D47AD">
        <w:rPr>
          <w:rFonts w:asciiTheme="minorHAnsi" w:eastAsia="Times New Roman" w:hAnsiTheme="minorHAnsi"/>
          <w:color w:val="222222"/>
          <w:sz w:val="20"/>
          <w:szCs w:val="20"/>
          <w:lang w:val="en-US"/>
        </w:rPr>
        <w:t xml:space="preserve"> </w:t>
      </w:r>
      <w:r w:rsidRPr="007D47AD">
        <w:rPr>
          <w:rFonts w:asciiTheme="minorHAnsi" w:eastAsia="Times New Roman" w:hAnsiTheme="minorHAnsi"/>
          <w:color w:val="222222"/>
          <w:sz w:val="20"/>
          <w:szCs w:val="20"/>
          <w:lang w:val="en-US"/>
        </w:rPr>
        <w:t xml:space="preserve">in the country to </w:t>
      </w:r>
      <w:r w:rsidR="00FD42F2" w:rsidRPr="007D47AD">
        <w:rPr>
          <w:rFonts w:asciiTheme="minorHAnsi" w:eastAsia="Times New Roman" w:hAnsiTheme="minorHAnsi"/>
          <w:color w:val="222222"/>
          <w:sz w:val="20"/>
          <w:szCs w:val="20"/>
          <w:lang w:val="en-US"/>
        </w:rPr>
        <w:t xml:space="preserve">take on </w:t>
      </w:r>
      <w:r w:rsidRPr="007D47AD">
        <w:rPr>
          <w:rFonts w:asciiTheme="minorHAnsi" w:eastAsia="Times New Roman" w:hAnsiTheme="minorHAnsi"/>
          <w:color w:val="222222"/>
          <w:sz w:val="20"/>
          <w:szCs w:val="20"/>
          <w:lang w:val="en-US"/>
        </w:rPr>
        <w:t xml:space="preserve">the activities of the Work Plan is one of the special characteristics of this new phase of the Mechanism. In addition, the technical accompaniment provided by the Commission includes the participation of </w:t>
      </w:r>
      <w:r w:rsidR="002B0CD6" w:rsidRPr="007D47AD">
        <w:rPr>
          <w:rFonts w:asciiTheme="minorHAnsi" w:eastAsia="Times New Roman" w:hAnsiTheme="minorHAnsi"/>
          <w:color w:val="222222"/>
          <w:sz w:val="20"/>
          <w:szCs w:val="20"/>
          <w:lang w:val="en-US"/>
        </w:rPr>
        <w:t>expert</w:t>
      </w:r>
      <w:r w:rsidRPr="007D47AD">
        <w:rPr>
          <w:rFonts w:asciiTheme="minorHAnsi" w:eastAsia="Times New Roman" w:hAnsiTheme="minorHAnsi"/>
          <w:color w:val="222222"/>
          <w:sz w:val="20"/>
          <w:szCs w:val="20"/>
          <w:lang w:val="en-US"/>
        </w:rPr>
        <w:t>s who were part of the Interdisciplinary Group of Independent Experts (</w:t>
      </w:r>
      <w:r w:rsidR="002B0CD6" w:rsidRPr="007D47AD">
        <w:rPr>
          <w:rFonts w:asciiTheme="minorHAnsi" w:eastAsia="Times New Roman" w:hAnsiTheme="minorHAnsi"/>
          <w:color w:val="222222"/>
          <w:sz w:val="20"/>
          <w:szCs w:val="20"/>
          <w:lang w:val="en-US"/>
        </w:rPr>
        <w:t>GIEI</w:t>
      </w:r>
      <w:r w:rsidRPr="007D47AD">
        <w:rPr>
          <w:rFonts w:asciiTheme="minorHAnsi" w:eastAsia="Times New Roman" w:hAnsiTheme="minorHAnsi"/>
          <w:color w:val="222222"/>
          <w:sz w:val="20"/>
          <w:szCs w:val="20"/>
          <w:lang w:val="en-US"/>
        </w:rPr>
        <w:t xml:space="preserve">), specifically </w:t>
      </w:r>
      <w:r w:rsidR="002B0CD6" w:rsidRPr="007D47AD">
        <w:rPr>
          <w:rFonts w:asciiTheme="minorHAnsi" w:eastAsia="Times New Roman" w:hAnsiTheme="minorHAnsi"/>
          <w:color w:val="222222"/>
          <w:sz w:val="20"/>
          <w:szCs w:val="20"/>
          <w:lang w:val="en-US"/>
        </w:rPr>
        <w:t xml:space="preserve">Ángela Buitrago </w:t>
      </w:r>
      <w:r w:rsidRPr="007D47AD">
        <w:rPr>
          <w:rFonts w:asciiTheme="minorHAnsi" w:eastAsia="Times New Roman" w:hAnsiTheme="minorHAnsi"/>
          <w:color w:val="222222"/>
          <w:sz w:val="20"/>
          <w:szCs w:val="20"/>
          <w:lang w:val="en-US"/>
        </w:rPr>
        <w:t xml:space="preserve">and </w:t>
      </w:r>
      <w:r w:rsidR="002B0CD6" w:rsidRPr="007D47AD">
        <w:rPr>
          <w:rFonts w:asciiTheme="minorHAnsi" w:eastAsia="Times New Roman" w:hAnsiTheme="minorHAnsi"/>
          <w:color w:val="222222"/>
          <w:sz w:val="20"/>
          <w:szCs w:val="20"/>
          <w:lang w:val="en-US"/>
        </w:rPr>
        <w:t>Francisco Cox</w:t>
      </w:r>
      <w:r w:rsidR="001B1FA1" w:rsidRPr="007D47AD">
        <w:rPr>
          <w:rFonts w:asciiTheme="minorHAnsi" w:eastAsia="Times New Roman" w:hAnsiTheme="minorHAnsi"/>
          <w:color w:val="222222"/>
          <w:sz w:val="20"/>
          <w:szCs w:val="20"/>
          <w:lang w:val="en-US"/>
        </w:rPr>
        <w:t xml:space="preserve">, </w:t>
      </w:r>
      <w:r w:rsidRPr="007D47AD">
        <w:rPr>
          <w:rFonts w:asciiTheme="minorHAnsi" w:eastAsia="Times New Roman" w:hAnsiTheme="minorHAnsi"/>
          <w:color w:val="222222"/>
          <w:sz w:val="20"/>
          <w:szCs w:val="20"/>
          <w:lang w:val="en-US"/>
        </w:rPr>
        <w:t xml:space="preserve">and in line with the request of the parents of the disappeared students, who requested the presence of those </w:t>
      </w:r>
      <w:r w:rsidR="007E181B" w:rsidRPr="007D47AD">
        <w:rPr>
          <w:rFonts w:asciiTheme="minorHAnsi" w:eastAsia="Times New Roman" w:hAnsiTheme="minorHAnsi"/>
          <w:color w:val="222222"/>
          <w:sz w:val="20"/>
          <w:szCs w:val="20"/>
          <w:lang w:val="en-US"/>
        </w:rPr>
        <w:t>experts</w:t>
      </w:r>
      <w:r w:rsidRPr="007D47AD">
        <w:rPr>
          <w:rFonts w:asciiTheme="minorHAnsi" w:eastAsia="Times New Roman" w:hAnsiTheme="minorHAnsi"/>
          <w:color w:val="222222"/>
          <w:sz w:val="20"/>
          <w:szCs w:val="20"/>
          <w:lang w:val="en-US"/>
        </w:rPr>
        <w:t xml:space="preserve"> to contribute to the </w:t>
      </w:r>
      <w:r w:rsidR="001B1FA1" w:rsidRPr="007D47AD">
        <w:rPr>
          <w:rFonts w:asciiTheme="minorHAnsi" w:eastAsia="Times New Roman" w:hAnsiTheme="minorHAnsi"/>
          <w:color w:val="222222"/>
          <w:sz w:val="20"/>
          <w:szCs w:val="20"/>
          <w:lang w:val="en-US"/>
        </w:rPr>
        <w:t>investiga</w:t>
      </w:r>
      <w:r w:rsidRPr="007D47AD">
        <w:rPr>
          <w:rFonts w:asciiTheme="minorHAnsi" w:eastAsia="Times New Roman" w:hAnsiTheme="minorHAnsi"/>
          <w:color w:val="222222"/>
          <w:sz w:val="20"/>
          <w:szCs w:val="20"/>
          <w:lang w:val="en-US"/>
        </w:rPr>
        <w:t>tive work.</w:t>
      </w:r>
      <w:r w:rsidR="001B1FA1" w:rsidRPr="007D47AD">
        <w:rPr>
          <w:rStyle w:val="FootnoteReference"/>
          <w:rFonts w:asciiTheme="minorHAnsi" w:eastAsia="Times New Roman" w:hAnsiTheme="minorHAnsi"/>
          <w:color w:val="222222"/>
          <w:sz w:val="20"/>
          <w:szCs w:val="20"/>
          <w:lang w:val="en-US"/>
        </w:rPr>
        <w:footnoteReference w:id="111"/>
      </w:r>
      <w:r w:rsidR="001B1FA1" w:rsidRPr="007D47AD">
        <w:rPr>
          <w:rFonts w:asciiTheme="minorHAnsi" w:eastAsia="Times New Roman" w:hAnsiTheme="minorHAnsi"/>
          <w:color w:val="222222"/>
          <w:sz w:val="20"/>
          <w:szCs w:val="20"/>
          <w:lang w:val="en-US"/>
        </w:rPr>
        <w:t xml:space="preserve"> </w:t>
      </w:r>
    </w:p>
    <w:p w:rsidR="00AD12E4" w:rsidRPr="007D47AD" w:rsidRDefault="007109C8" w:rsidP="00D06454">
      <w:pPr>
        <w:numPr>
          <w:ilvl w:val="0"/>
          <w:numId w:val="6"/>
        </w:numPr>
        <w:shd w:val="clear" w:color="auto" w:fill="FFFFFF"/>
        <w:spacing w:after="240" w:line="240" w:lineRule="auto"/>
        <w:ind w:left="0" w:firstLine="720"/>
        <w:jc w:val="both"/>
        <w:rPr>
          <w:rFonts w:asciiTheme="minorHAnsi" w:eastAsia="Times New Roman" w:hAnsiTheme="minorHAnsi"/>
          <w:color w:val="222222"/>
          <w:sz w:val="20"/>
          <w:szCs w:val="20"/>
          <w:lang w:val="en-US"/>
        </w:rPr>
      </w:pPr>
      <w:r w:rsidRPr="007D47AD">
        <w:rPr>
          <w:rFonts w:asciiTheme="minorHAnsi" w:eastAsia="Times New Roman" w:hAnsiTheme="minorHAnsi"/>
          <w:color w:val="222222"/>
          <w:sz w:val="20"/>
          <w:szCs w:val="20"/>
          <w:lang w:val="en-US"/>
        </w:rPr>
        <w:t xml:space="preserve">The State reaffirmed its willingness to carry out the precautionary measure through the new phase of assistance provided by the IACHR, through the agreement on the Special Mechanism for Cooperation and Technical Assistance to accompany the </w:t>
      </w:r>
      <w:r w:rsidR="00AD12E4" w:rsidRPr="007D47AD">
        <w:rPr>
          <w:rFonts w:asciiTheme="minorHAnsi" w:eastAsia="Times New Roman" w:hAnsiTheme="minorHAnsi"/>
          <w:color w:val="222222"/>
          <w:sz w:val="20"/>
          <w:szCs w:val="20"/>
          <w:lang w:val="en-US"/>
        </w:rPr>
        <w:t xml:space="preserve">COVAJ. </w:t>
      </w:r>
      <w:r w:rsidRPr="007D47AD">
        <w:rPr>
          <w:rFonts w:asciiTheme="minorHAnsi" w:eastAsia="Times New Roman" w:hAnsiTheme="minorHAnsi"/>
          <w:color w:val="222222"/>
          <w:sz w:val="20"/>
          <w:szCs w:val="20"/>
          <w:lang w:val="en-US"/>
        </w:rPr>
        <w:t xml:space="preserve">The State </w:t>
      </w:r>
      <w:r w:rsidR="00FD42F2" w:rsidRPr="007D47AD">
        <w:rPr>
          <w:rFonts w:asciiTheme="minorHAnsi" w:eastAsia="Times New Roman" w:hAnsiTheme="minorHAnsi"/>
          <w:color w:val="222222"/>
          <w:sz w:val="20"/>
          <w:szCs w:val="20"/>
          <w:lang w:val="en-US"/>
        </w:rPr>
        <w:t xml:space="preserve">described </w:t>
      </w:r>
      <w:r w:rsidRPr="007D47AD">
        <w:rPr>
          <w:rFonts w:asciiTheme="minorHAnsi" w:eastAsia="Times New Roman" w:hAnsiTheme="minorHAnsi"/>
          <w:color w:val="222222"/>
          <w:sz w:val="20"/>
          <w:szCs w:val="20"/>
          <w:lang w:val="en-US"/>
        </w:rPr>
        <w:t xml:space="preserve">the objectives of the 2019 Work Plan mentioned above: to verify and to provide technical assistance for carrying out the recommendations issued by the Interdisciplinary Group of Independent Experts (GIEI) and the Special Mechanism for Follow-up on the </w:t>
      </w:r>
      <w:r w:rsidR="00AD12E4" w:rsidRPr="007D47AD">
        <w:rPr>
          <w:rFonts w:asciiTheme="minorHAnsi" w:eastAsia="Times New Roman" w:hAnsiTheme="minorHAnsi"/>
          <w:color w:val="222222"/>
          <w:sz w:val="20"/>
          <w:szCs w:val="20"/>
          <w:lang w:val="en-US"/>
        </w:rPr>
        <w:t xml:space="preserve">Ayotzinapa </w:t>
      </w:r>
      <w:r w:rsidRPr="007D47AD">
        <w:rPr>
          <w:rFonts w:asciiTheme="minorHAnsi" w:eastAsia="Times New Roman" w:hAnsiTheme="minorHAnsi"/>
          <w:color w:val="222222"/>
          <w:sz w:val="20"/>
          <w:szCs w:val="20"/>
          <w:lang w:val="en-US"/>
        </w:rPr>
        <w:t>Matter (</w:t>
      </w:r>
      <w:r w:rsidR="00AD12E4" w:rsidRPr="007D47AD">
        <w:rPr>
          <w:rFonts w:asciiTheme="minorHAnsi" w:eastAsia="Times New Roman" w:hAnsiTheme="minorHAnsi"/>
          <w:color w:val="222222"/>
          <w:sz w:val="20"/>
          <w:szCs w:val="20"/>
          <w:lang w:val="en-US"/>
        </w:rPr>
        <w:t>MESA</w:t>
      </w:r>
      <w:r w:rsidRPr="007D47AD">
        <w:rPr>
          <w:rFonts w:asciiTheme="minorHAnsi" w:eastAsia="Times New Roman" w:hAnsiTheme="minorHAnsi"/>
          <w:color w:val="222222"/>
          <w:sz w:val="20"/>
          <w:szCs w:val="20"/>
          <w:lang w:val="en-US"/>
        </w:rPr>
        <w:t>)</w:t>
      </w:r>
      <w:r w:rsidR="00AD12E4" w:rsidRPr="007D47AD">
        <w:rPr>
          <w:rFonts w:asciiTheme="minorHAnsi" w:eastAsia="Times New Roman" w:hAnsiTheme="minorHAnsi"/>
          <w:color w:val="222222"/>
          <w:sz w:val="20"/>
          <w:szCs w:val="20"/>
          <w:lang w:val="en-US"/>
        </w:rPr>
        <w:t xml:space="preserve">, </w:t>
      </w:r>
      <w:r w:rsidRPr="007D47AD">
        <w:rPr>
          <w:rFonts w:asciiTheme="minorHAnsi" w:eastAsia="Times New Roman" w:hAnsiTheme="minorHAnsi"/>
          <w:color w:val="222222"/>
          <w:sz w:val="20"/>
          <w:szCs w:val="20"/>
          <w:lang w:val="en-US"/>
        </w:rPr>
        <w:t xml:space="preserve">in relation to precautionary measure </w:t>
      </w:r>
      <w:r w:rsidR="00AD12E4" w:rsidRPr="007D47AD">
        <w:rPr>
          <w:rFonts w:asciiTheme="minorHAnsi" w:eastAsia="Times New Roman" w:hAnsiTheme="minorHAnsi"/>
          <w:color w:val="222222"/>
          <w:sz w:val="20"/>
          <w:szCs w:val="20"/>
          <w:lang w:val="en-US"/>
        </w:rPr>
        <w:t xml:space="preserve">MC-409-14, </w:t>
      </w:r>
      <w:r w:rsidRPr="007D47AD">
        <w:rPr>
          <w:rFonts w:asciiTheme="minorHAnsi" w:eastAsia="Times New Roman" w:hAnsiTheme="minorHAnsi"/>
          <w:color w:val="222222"/>
          <w:sz w:val="20"/>
          <w:szCs w:val="20"/>
          <w:lang w:val="en-US"/>
        </w:rPr>
        <w:t xml:space="preserve">on search, investigation, attention to victims, and structural measures as well as measures of non-repetition; and </w:t>
      </w:r>
      <w:r w:rsidR="0055322A" w:rsidRPr="007D47AD">
        <w:rPr>
          <w:rFonts w:asciiTheme="minorHAnsi" w:eastAsia="Times New Roman" w:hAnsiTheme="minorHAnsi"/>
          <w:color w:val="222222"/>
          <w:sz w:val="20"/>
          <w:szCs w:val="20"/>
          <w:lang w:val="en-US"/>
        </w:rPr>
        <w:t xml:space="preserve">to </w:t>
      </w:r>
      <w:r w:rsidRPr="007D47AD">
        <w:rPr>
          <w:rFonts w:asciiTheme="minorHAnsi" w:eastAsia="Times New Roman" w:hAnsiTheme="minorHAnsi"/>
          <w:color w:val="222222"/>
          <w:sz w:val="20"/>
          <w:szCs w:val="20"/>
          <w:lang w:val="en-US"/>
        </w:rPr>
        <w:t xml:space="preserve">provide technical assistance and support for </w:t>
      </w:r>
      <w:r w:rsidR="0055322A" w:rsidRPr="007D47AD">
        <w:rPr>
          <w:rFonts w:asciiTheme="minorHAnsi" w:eastAsia="Times New Roman" w:hAnsiTheme="minorHAnsi"/>
          <w:color w:val="222222"/>
          <w:sz w:val="20"/>
          <w:szCs w:val="20"/>
          <w:lang w:val="en-US"/>
        </w:rPr>
        <w:t xml:space="preserve">capacity-building </w:t>
      </w:r>
      <w:r w:rsidRPr="007D47AD">
        <w:rPr>
          <w:rFonts w:asciiTheme="minorHAnsi" w:eastAsia="Times New Roman" w:hAnsiTheme="minorHAnsi"/>
          <w:color w:val="222222"/>
          <w:sz w:val="20"/>
          <w:szCs w:val="20"/>
          <w:lang w:val="en-US"/>
        </w:rPr>
        <w:t>on matters related to human rights, including issues related to disappearance, search, investigation, attention to victims, and integral reparation, previously agreed upon by the parties.</w:t>
      </w:r>
      <w:r w:rsidR="00AD12E4" w:rsidRPr="007D47AD">
        <w:rPr>
          <w:rStyle w:val="FootnoteReference"/>
          <w:rFonts w:asciiTheme="minorHAnsi" w:eastAsia="Times New Roman" w:hAnsiTheme="minorHAnsi"/>
          <w:color w:val="222222"/>
          <w:sz w:val="20"/>
          <w:szCs w:val="20"/>
          <w:lang w:val="en-US"/>
        </w:rPr>
        <w:footnoteReference w:id="112"/>
      </w:r>
      <w:r w:rsidRPr="007D47AD">
        <w:rPr>
          <w:rFonts w:asciiTheme="minorHAnsi" w:eastAsia="Times New Roman" w:hAnsiTheme="minorHAnsi"/>
          <w:color w:val="222222"/>
          <w:sz w:val="20"/>
          <w:szCs w:val="20"/>
          <w:lang w:val="en-US"/>
        </w:rPr>
        <w:t xml:space="preserve"> </w:t>
      </w:r>
    </w:p>
    <w:p w:rsidR="0057586B" w:rsidRPr="007D47AD" w:rsidRDefault="0057586B" w:rsidP="0057586B">
      <w:pPr>
        <w:numPr>
          <w:ilvl w:val="0"/>
          <w:numId w:val="6"/>
        </w:numPr>
        <w:shd w:val="clear" w:color="auto" w:fill="FFFFFF"/>
        <w:spacing w:after="240" w:line="240" w:lineRule="auto"/>
        <w:ind w:left="0" w:firstLine="720"/>
        <w:jc w:val="both"/>
        <w:rPr>
          <w:rFonts w:asciiTheme="minorHAnsi" w:eastAsia="Times New Roman" w:hAnsiTheme="minorHAnsi"/>
          <w:color w:val="222222"/>
          <w:sz w:val="20"/>
          <w:szCs w:val="20"/>
          <w:lang w:val="en-US"/>
        </w:rPr>
      </w:pPr>
      <w:r w:rsidRPr="007D47AD">
        <w:rPr>
          <w:rFonts w:asciiTheme="minorHAnsi" w:eastAsia="Times New Roman" w:hAnsiTheme="minorHAnsi"/>
          <w:color w:val="222222"/>
          <w:sz w:val="20"/>
          <w:szCs w:val="20"/>
          <w:lang w:val="en-US"/>
        </w:rPr>
        <w:t>A</w:t>
      </w:r>
      <w:r w:rsidR="001131B7" w:rsidRPr="007D47AD">
        <w:rPr>
          <w:rFonts w:asciiTheme="minorHAnsi" w:eastAsia="Times New Roman" w:hAnsiTheme="minorHAnsi"/>
          <w:color w:val="222222"/>
          <w:sz w:val="20"/>
          <w:szCs w:val="20"/>
          <w:lang w:val="en-US"/>
        </w:rPr>
        <w:t xml:space="preserve">t the request of the fathers and mothers of the disappeared students who raised the need to involve independent experts with a greater capacity to take action in the investigation, the IACHR asked the State to re-install the </w:t>
      </w:r>
      <w:r w:rsidRPr="007D47AD">
        <w:rPr>
          <w:rFonts w:asciiTheme="minorHAnsi" w:eastAsia="Times New Roman" w:hAnsiTheme="minorHAnsi"/>
          <w:color w:val="222222"/>
          <w:sz w:val="20"/>
          <w:szCs w:val="20"/>
          <w:lang w:val="en-US"/>
        </w:rPr>
        <w:t xml:space="preserve">GIEI. </w:t>
      </w:r>
      <w:r w:rsidR="001131B7" w:rsidRPr="007D47AD">
        <w:rPr>
          <w:rFonts w:asciiTheme="minorHAnsi" w:eastAsia="Times New Roman" w:hAnsiTheme="minorHAnsi"/>
          <w:color w:val="222222"/>
          <w:sz w:val="20"/>
          <w:szCs w:val="20"/>
          <w:lang w:val="en-US"/>
        </w:rPr>
        <w:t xml:space="preserve">Accordingly, on January </w:t>
      </w:r>
      <w:r w:rsidRPr="007D47AD">
        <w:rPr>
          <w:rFonts w:asciiTheme="minorHAnsi" w:eastAsia="Times New Roman" w:hAnsiTheme="minorHAnsi"/>
          <w:color w:val="222222"/>
          <w:sz w:val="20"/>
          <w:szCs w:val="20"/>
          <w:lang w:val="en-US"/>
        </w:rPr>
        <w:t>9</w:t>
      </w:r>
      <w:r w:rsidR="001131B7" w:rsidRPr="007D47AD">
        <w:rPr>
          <w:rFonts w:asciiTheme="minorHAnsi" w:eastAsia="Times New Roman" w:hAnsiTheme="minorHAnsi"/>
          <w:color w:val="222222"/>
          <w:sz w:val="20"/>
          <w:szCs w:val="20"/>
          <w:lang w:val="en-US"/>
        </w:rPr>
        <w:t>,</w:t>
      </w:r>
      <w:r w:rsidRPr="007D47AD">
        <w:rPr>
          <w:rFonts w:asciiTheme="minorHAnsi" w:eastAsia="Times New Roman" w:hAnsiTheme="minorHAnsi"/>
          <w:color w:val="222222"/>
          <w:sz w:val="20"/>
          <w:szCs w:val="20"/>
          <w:lang w:val="en-US"/>
        </w:rPr>
        <w:t xml:space="preserve"> 2020, </w:t>
      </w:r>
      <w:r w:rsidR="001131B7" w:rsidRPr="007D47AD">
        <w:rPr>
          <w:rFonts w:asciiTheme="minorHAnsi" w:eastAsia="Times New Roman" w:hAnsiTheme="minorHAnsi"/>
          <w:color w:val="222222"/>
          <w:sz w:val="20"/>
          <w:szCs w:val="20"/>
          <w:lang w:val="en-US"/>
        </w:rPr>
        <w:t xml:space="preserve">the </w:t>
      </w:r>
      <w:r w:rsidRPr="007D47AD">
        <w:rPr>
          <w:rFonts w:asciiTheme="minorHAnsi" w:eastAsia="Times New Roman" w:hAnsiTheme="minorHAnsi"/>
          <w:color w:val="222222"/>
          <w:sz w:val="20"/>
          <w:szCs w:val="20"/>
          <w:lang w:val="en-US"/>
        </w:rPr>
        <w:t>COVAJ</w:t>
      </w:r>
      <w:r w:rsidR="001131B7" w:rsidRPr="007D47AD">
        <w:rPr>
          <w:rFonts w:asciiTheme="minorHAnsi" w:eastAsia="Times New Roman" w:hAnsiTheme="minorHAnsi"/>
          <w:color w:val="222222"/>
          <w:sz w:val="20"/>
          <w:szCs w:val="20"/>
          <w:lang w:val="en-US"/>
        </w:rPr>
        <w:t xml:space="preserve"> agreed that the </w:t>
      </w:r>
      <w:r w:rsidRPr="007D47AD">
        <w:rPr>
          <w:rFonts w:asciiTheme="minorHAnsi" w:eastAsia="Times New Roman" w:hAnsiTheme="minorHAnsi"/>
          <w:color w:val="222222"/>
          <w:sz w:val="20"/>
          <w:szCs w:val="20"/>
          <w:lang w:val="en-US"/>
        </w:rPr>
        <w:t xml:space="preserve">GIEI </w:t>
      </w:r>
      <w:r w:rsidR="001131B7" w:rsidRPr="007D47AD">
        <w:rPr>
          <w:rFonts w:asciiTheme="minorHAnsi" w:eastAsia="Times New Roman" w:hAnsiTheme="minorHAnsi"/>
          <w:color w:val="222222"/>
          <w:sz w:val="20"/>
          <w:szCs w:val="20"/>
          <w:lang w:val="en-US"/>
        </w:rPr>
        <w:t xml:space="preserve">would be re-installed with the prerogatives and mandates necessary for performing its functions. </w:t>
      </w:r>
    </w:p>
    <w:p w:rsidR="00157B5F" w:rsidRPr="007D47AD" w:rsidRDefault="007109C8" w:rsidP="00D06454">
      <w:pPr>
        <w:numPr>
          <w:ilvl w:val="0"/>
          <w:numId w:val="6"/>
        </w:numPr>
        <w:shd w:val="clear" w:color="auto" w:fill="FFFFFF"/>
        <w:spacing w:after="240" w:line="240" w:lineRule="auto"/>
        <w:ind w:left="0" w:firstLine="720"/>
        <w:jc w:val="both"/>
        <w:rPr>
          <w:rFonts w:asciiTheme="minorHAnsi" w:eastAsia="Times New Roman" w:hAnsiTheme="minorHAnsi"/>
          <w:color w:val="222222"/>
          <w:sz w:val="20"/>
          <w:szCs w:val="20"/>
          <w:lang w:val="en-US"/>
        </w:rPr>
      </w:pPr>
      <w:r w:rsidRPr="007D47AD">
        <w:rPr>
          <w:rFonts w:asciiTheme="minorHAnsi" w:eastAsia="Times New Roman" w:hAnsiTheme="minorHAnsi"/>
          <w:color w:val="222222"/>
          <w:sz w:val="20"/>
          <w:szCs w:val="20"/>
          <w:lang w:val="en-US"/>
        </w:rPr>
        <w:t xml:space="preserve">In following up on the main lines of the precautionary measure one notes the special interest of the IACHR in making progress in the search for the disappeared youths. In this respect, the Truth Commission has </w:t>
      </w:r>
      <w:r w:rsidR="0055322A" w:rsidRPr="007D47AD">
        <w:rPr>
          <w:rFonts w:asciiTheme="minorHAnsi" w:eastAsia="Times New Roman" w:hAnsiTheme="minorHAnsi"/>
          <w:color w:val="222222"/>
          <w:sz w:val="20"/>
          <w:szCs w:val="20"/>
          <w:lang w:val="en-US"/>
        </w:rPr>
        <w:t xml:space="preserve">taken investigative steps </w:t>
      </w:r>
      <w:r w:rsidRPr="007D47AD">
        <w:rPr>
          <w:rFonts w:asciiTheme="minorHAnsi" w:eastAsia="Times New Roman" w:hAnsiTheme="minorHAnsi"/>
          <w:color w:val="222222"/>
          <w:sz w:val="20"/>
          <w:szCs w:val="20"/>
          <w:lang w:val="en-US"/>
        </w:rPr>
        <w:t xml:space="preserve">in conjunction with the Special Unit of the Office of the Attorney General, although the students’ whereabouts have not been determined. The IACHR has taken note of the requests for information and for visits to places made by the Mexican authorities in coordination with the Truth Commission to determine the students’ whereabouts. </w:t>
      </w:r>
    </w:p>
    <w:p w:rsidR="001B1FA1" w:rsidRPr="007D47AD" w:rsidRDefault="007109C8" w:rsidP="00D06454">
      <w:pPr>
        <w:numPr>
          <w:ilvl w:val="0"/>
          <w:numId w:val="6"/>
        </w:numPr>
        <w:shd w:val="clear" w:color="auto" w:fill="FFFFFF"/>
        <w:spacing w:after="240" w:line="240" w:lineRule="auto"/>
        <w:ind w:left="0" w:firstLine="720"/>
        <w:jc w:val="both"/>
        <w:rPr>
          <w:rFonts w:asciiTheme="minorHAnsi" w:eastAsia="Times New Roman" w:hAnsiTheme="minorHAnsi"/>
          <w:color w:val="222222"/>
          <w:sz w:val="20"/>
          <w:szCs w:val="20"/>
          <w:lang w:val="en-US"/>
        </w:rPr>
      </w:pPr>
      <w:r w:rsidRPr="007D47AD">
        <w:rPr>
          <w:rFonts w:asciiTheme="minorHAnsi" w:eastAsia="Times New Roman" w:hAnsiTheme="minorHAnsi"/>
          <w:color w:val="222222"/>
          <w:sz w:val="20"/>
          <w:szCs w:val="20"/>
          <w:lang w:val="en-US"/>
        </w:rPr>
        <w:lastRenderedPageBreak/>
        <w:t xml:space="preserve">The State reported, as results of the </w:t>
      </w:r>
      <w:r w:rsidR="001B1FA1" w:rsidRPr="007D47AD">
        <w:rPr>
          <w:rFonts w:asciiTheme="minorHAnsi" w:eastAsia="Times New Roman" w:hAnsiTheme="minorHAnsi"/>
          <w:color w:val="222222"/>
          <w:sz w:val="20"/>
          <w:szCs w:val="20"/>
          <w:lang w:val="en-US"/>
        </w:rPr>
        <w:t>COVAJ</w:t>
      </w:r>
      <w:r w:rsidRPr="007D47AD">
        <w:rPr>
          <w:rFonts w:asciiTheme="minorHAnsi" w:eastAsia="Times New Roman" w:hAnsiTheme="minorHAnsi"/>
          <w:color w:val="222222"/>
          <w:sz w:val="20"/>
          <w:szCs w:val="20"/>
          <w:lang w:val="en-US"/>
        </w:rPr>
        <w:t>, a visit to the 27</w:t>
      </w:r>
      <w:r w:rsidRPr="007D47AD">
        <w:rPr>
          <w:rFonts w:asciiTheme="minorHAnsi" w:eastAsia="Times New Roman" w:hAnsiTheme="minorHAnsi"/>
          <w:color w:val="222222"/>
          <w:sz w:val="20"/>
          <w:szCs w:val="20"/>
          <w:vertAlign w:val="superscript"/>
          <w:lang w:val="en-US"/>
        </w:rPr>
        <w:t>th</w:t>
      </w:r>
      <w:r w:rsidRPr="007D47AD">
        <w:rPr>
          <w:rFonts w:asciiTheme="minorHAnsi" w:eastAsia="Times New Roman" w:hAnsiTheme="minorHAnsi"/>
          <w:color w:val="222222"/>
          <w:sz w:val="20"/>
          <w:szCs w:val="20"/>
          <w:lang w:val="en-US"/>
        </w:rPr>
        <w:t xml:space="preserve"> Infantry Battalion in </w:t>
      </w:r>
      <w:r w:rsidR="001B1FA1" w:rsidRPr="007D47AD">
        <w:rPr>
          <w:rFonts w:asciiTheme="minorHAnsi" w:eastAsia="Times New Roman" w:hAnsiTheme="minorHAnsi"/>
          <w:color w:val="222222"/>
          <w:sz w:val="20"/>
          <w:szCs w:val="20"/>
          <w:lang w:val="en-US"/>
        </w:rPr>
        <w:t xml:space="preserve">Iguala, Guerrero; </w:t>
      </w:r>
      <w:r w:rsidRPr="007D47AD">
        <w:rPr>
          <w:rFonts w:asciiTheme="minorHAnsi" w:eastAsia="Times New Roman" w:hAnsiTheme="minorHAnsi"/>
          <w:color w:val="222222"/>
          <w:sz w:val="20"/>
          <w:szCs w:val="20"/>
          <w:lang w:val="en-US"/>
        </w:rPr>
        <w:t>accompanying searches</w:t>
      </w:r>
      <w:r w:rsidR="0055322A" w:rsidRPr="007D47AD">
        <w:rPr>
          <w:rFonts w:asciiTheme="minorHAnsi" w:eastAsia="Times New Roman" w:hAnsiTheme="minorHAnsi"/>
          <w:color w:val="222222"/>
          <w:sz w:val="20"/>
          <w:szCs w:val="20"/>
          <w:lang w:val="en-US"/>
        </w:rPr>
        <w:t>;</w:t>
      </w:r>
      <w:r w:rsidRPr="007D47AD">
        <w:rPr>
          <w:rFonts w:asciiTheme="minorHAnsi" w:eastAsia="Times New Roman" w:hAnsiTheme="minorHAnsi"/>
          <w:color w:val="222222"/>
          <w:sz w:val="20"/>
          <w:szCs w:val="20"/>
          <w:lang w:val="en-US"/>
        </w:rPr>
        <w:t xml:space="preserve"> sharing information</w:t>
      </w:r>
      <w:r w:rsidR="0055322A" w:rsidRPr="007D47AD">
        <w:rPr>
          <w:rFonts w:asciiTheme="minorHAnsi" w:eastAsia="Times New Roman" w:hAnsiTheme="minorHAnsi"/>
          <w:color w:val="222222"/>
          <w:sz w:val="20"/>
          <w:szCs w:val="20"/>
          <w:lang w:val="en-US"/>
        </w:rPr>
        <w:t>;</w:t>
      </w:r>
      <w:r w:rsidRPr="007D47AD">
        <w:rPr>
          <w:rFonts w:asciiTheme="minorHAnsi" w:eastAsia="Times New Roman" w:hAnsiTheme="minorHAnsi"/>
          <w:color w:val="222222"/>
          <w:sz w:val="20"/>
          <w:szCs w:val="20"/>
          <w:lang w:val="en-US"/>
        </w:rPr>
        <w:t xml:space="preserve"> drawing up and publishing its operational guidelines</w:t>
      </w:r>
      <w:r w:rsidR="0055322A" w:rsidRPr="007D47AD">
        <w:rPr>
          <w:rFonts w:asciiTheme="minorHAnsi" w:eastAsia="Times New Roman" w:hAnsiTheme="minorHAnsi"/>
          <w:color w:val="222222"/>
          <w:sz w:val="20"/>
          <w:szCs w:val="20"/>
          <w:lang w:val="en-US"/>
        </w:rPr>
        <w:t>;</w:t>
      </w:r>
      <w:r w:rsidR="001B1FA1" w:rsidRPr="007D47AD">
        <w:rPr>
          <w:rFonts w:asciiTheme="minorHAnsi" w:eastAsia="Times New Roman" w:hAnsiTheme="minorHAnsi"/>
          <w:color w:val="222222"/>
          <w:sz w:val="20"/>
          <w:szCs w:val="20"/>
          <w:lang w:val="en-US"/>
        </w:rPr>
        <w:t xml:space="preserve"> </w:t>
      </w:r>
      <w:r w:rsidRPr="007D47AD">
        <w:rPr>
          <w:rFonts w:asciiTheme="minorHAnsi" w:eastAsia="Times New Roman" w:hAnsiTheme="minorHAnsi"/>
          <w:color w:val="222222"/>
          <w:sz w:val="20"/>
          <w:szCs w:val="20"/>
          <w:lang w:val="en-US"/>
        </w:rPr>
        <w:t xml:space="preserve">and holding its regular and special sessions. </w:t>
      </w:r>
    </w:p>
    <w:p w:rsidR="00421DBB" w:rsidRPr="007D47AD" w:rsidRDefault="007109C8" w:rsidP="0055322A">
      <w:pPr>
        <w:numPr>
          <w:ilvl w:val="0"/>
          <w:numId w:val="6"/>
        </w:numPr>
        <w:shd w:val="clear" w:color="auto" w:fill="FFFFFF"/>
        <w:spacing w:after="240" w:line="240" w:lineRule="auto"/>
        <w:ind w:left="0" w:firstLine="720"/>
        <w:jc w:val="both"/>
        <w:rPr>
          <w:rFonts w:asciiTheme="minorHAnsi" w:eastAsia="Times New Roman" w:hAnsiTheme="minorHAnsi"/>
          <w:color w:val="222222"/>
          <w:sz w:val="20"/>
          <w:szCs w:val="20"/>
          <w:lang w:val="en-US"/>
        </w:rPr>
      </w:pPr>
      <w:r w:rsidRPr="007D47AD">
        <w:rPr>
          <w:rFonts w:asciiTheme="minorHAnsi" w:eastAsia="Times New Roman" w:hAnsiTheme="minorHAnsi"/>
          <w:color w:val="222222"/>
          <w:sz w:val="20"/>
          <w:szCs w:val="20"/>
          <w:lang w:val="en-US"/>
        </w:rPr>
        <w:t xml:space="preserve">The State also indicated that by AGREEMENT </w:t>
      </w:r>
      <w:r w:rsidR="001B1FA1" w:rsidRPr="007D47AD">
        <w:rPr>
          <w:rFonts w:asciiTheme="minorHAnsi" w:eastAsia="Times New Roman" w:hAnsiTheme="minorHAnsi"/>
          <w:color w:val="222222"/>
          <w:sz w:val="20"/>
          <w:szCs w:val="20"/>
          <w:lang w:val="en-US"/>
        </w:rPr>
        <w:t xml:space="preserve">A/010/19 </w:t>
      </w:r>
      <w:r w:rsidRPr="007D47AD">
        <w:rPr>
          <w:rFonts w:asciiTheme="minorHAnsi" w:eastAsia="Times New Roman" w:hAnsiTheme="minorHAnsi"/>
          <w:color w:val="222222"/>
          <w:sz w:val="20"/>
          <w:szCs w:val="20"/>
          <w:lang w:val="en-US"/>
        </w:rPr>
        <w:t xml:space="preserve">of the </w:t>
      </w:r>
      <w:r w:rsidR="002C28B4" w:rsidRPr="007D47AD">
        <w:rPr>
          <w:rFonts w:asciiTheme="minorHAnsi" w:eastAsia="Times New Roman" w:hAnsiTheme="minorHAnsi"/>
          <w:color w:val="222222"/>
          <w:sz w:val="20"/>
          <w:szCs w:val="20"/>
          <w:lang w:val="en-US"/>
        </w:rPr>
        <w:t>FGR</w:t>
      </w:r>
      <w:r w:rsidR="001B1FA1" w:rsidRPr="007D47AD">
        <w:rPr>
          <w:rFonts w:asciiTheme="minorHAnsi" w:eastAsia="Times New Roman" w:hAnsiTheme="minorHAnsi"/>
          <w:color w:val="222222"/>
          <w:sz w:val="20"/>
          <w:szCs w:val="20"/>
          <w:lang w:val="en-US"/>
        </w:rPr>
        <w:t xml:space="preserve">, </w:t>
      </w:r>
      <w:r w:rsidRPr="007D47AD">
        <w:rPr>
          <w:rFonts w:asciiTheme="minorHAnsi" w:eastAsia="Times New Roman" w:hAnsiTheme="minorHAnsi"/>
          <w:color w:val="222222"/>
          <w:sz w:val="20"/>
          <w:szCs w:val="20"/>
          <w:lang w:val="en-US"/>
        </w:rPr>
        <w:t xml:space="preserve">on June </w:t>
      </w:r>
      <w:r w:rsidR="001B1FA1" w:rsidRPr="007D47AD">
        <w:rPr>
          <w:rFonts w:asciiTheme="minorHAnsi" w:eastAsia="Times New Roman" w:hAnsiTheme="minorHAnsi"/>
          <w:color w:val="222222"/>
          <w:sz w:val="20"/>
          <w:szCs w:val="20"/>
          <w:lang w:val="en-US"/>
        </w:rPr>
        <w:t>26</w:t>
      </w:r>
      <w:r w:rsidRPr="007D47AD">
        <w:rPr>
          <w:rFonts w:asciiTheme="minorHAnsi" w:eastAsia="Times New Roman" w:hAnsiTheme="minorHAnsi"/>
          <w:color w:val="222222"/>
          <w:sz w:val="20"/>
          <w:szCs w:val="20"/>
          <w:lang w:val="en-US"/>
        </w:rPr>
        <w:t>,</w:t>
      </w:r>
      <w:r w:rsidR="001B1FA1" w:rsidRPr="007D47AD">
        <w:rPr>
          <w:rFonts w:asciiTheme="minorHAnsi" w:eastAsia="Times New Roman" w:hAnsiTheme="minorHAnsi"/>
          <w:color w:val="222222"/>
          <w:sz w:val="20"/>
          <w:szCs w:val="20"/>
          <w:lang w:val="en-US"/>
        </w:rPr>
        <w:t xml:space="preserve"> </w:t>
      </w:r>
      <w:r w:rsidR="005E045D" w:rsidRPr="007D47AD">
        <w:rPr>
          <w:rFonts w:asciiTheme="minorHAnsi" w:eastAsia="Times New Roman" w:hAnsiTheme="minorHAnsi"/>
          <w:color w:val="222222"/>
          <w:sz w:val="20"/>
          <w:szCs w:val="20"/>
          <w:lang w:val="en-US"/>
        </w:rPr>
        <w:t xml:space="preserve">2019 </w:t>
      </w:r>
      <w:r w:rsidRPr="007D47AD">
        <w:rPr>
          <w:rFonts w:asciiTheme="minorHAnsi" w:eastAsia="Times New Roman" w:hAnsiTheme="minorHAnsi"/>
          <w:color w:val="222222"/>
          <w:sz w:val="20"/>
          <w:szCs w:val="20"/>
          <w:lang w:val="en-US"/>
        </w:rPr>
        <w:t xml:space="preserve">the Office of Investigation was replaced by the Special Unit for Investigation and Litigation of the </w:t>
      </w:r>
      <w:r w:rsidR="005E045D" w:rsidRPr="007D47AD">
        <w:rPr>
          <w:rFonts w:asciiTheme="minorHAnsi" w:eastAsia="Times New Roman" w:hAnsiTheme="minorHAnsi"/>
          <w:color w:val="222222"/>
          <w:sz w:val="20"/>
          <w:szCs w:val="20"/>
          <w:lang w:val="en-US"/>
        </w:rPr>
        <w:t xml:space="preserve">Ayotzinapa </w:t>
      </w:r>
      <w:r w:rsidRPr="007D47AD">
        <w:rPr>
          <w:rFonts w:asciiTheme="minorHAnsi" w:eastAsia="Times New Roman" w:hAnsiTheme="minorHAnsi"/>
          <w:color w:val="222222"/>
          <w:sz w:val="20"/>
          <w:szCs w:val="20"/>
          <w:lang w:val="en-US"/>
        </w:rPr>
        <w:t xml:space="preserve">Case </w:t>
      </w:r>
      <w:r w:rsidR="005E045D" w:rsidRPr="007D47AD">
        <w:rPr>
          <w:rFonts w:asciiTheme="minorHAnsi" w:eastAsia="Times New Roman" w:hAnsiTheme="minorHAnsi"/>
          <w:color w:val="222222"/>
          <w:sz w:val="20"/>
          <w:szCs w:val="20"/>
          <w:lang w:val="en-US"/>
        </w:rPr>
        <w:t>(</w:t>
      </w:r>
      <w:r w:rsidRPr="007D47AD">
        <w:rPr>
          <w:rFonts w:asciiTheme="minorHAnsi" w:eastAsia="Times New Roman" w:hAnsiTheme="minorHAnsi"/>
          <w:color w:val="222222"/>
          <w:sz w:val="20"/>
          <w:szCs w:val="20"/>
          <w:lang w:val="en-US"/>
        </w:rPr>
        <w:t xml:space="preserve">hereinafter </w:t>
      </w:r>
      <w:r w:rsidR="005E045D" w:rsidRPr="007D47AD">
        <w:rPr>
          <w:rFonts w:asciiTheme="minorHAnsi" w:eastAsia="Times New Roman" w:hAnsiTheme="minorHAnsi"/>
          <w:color w:val="222222"/>
          <w:sz w:val="20"/>
          <w:szCs w:val="20"/>
          <w:lang w:val="en-US"/>
        </w:rPr>
        <w:t>“</w:t>
      </w:r>
      <w:r w:rsidRPr="007D47AD">
        <w:rPr>
          <w:rFonts w:asciiTheme="minorHAnsi" w:eastAsia="Times New Roman" w:hAnsiTheme="minorHAnsi"/>
          <w:color w:val="222222"/>
          <w:sz w:val="20"/>
          <w:szCs w:val="20"/>
          <w:lang w:val="en-US"/>
        </w:rPr>
        <w:t>the Special Unit</w:t>
      </w:r>
      <w:r w:rsidR="005E045D" w:rsidRPr="007D47AD">
        <w:rPr>
          <w:rFonts w:asciiTheme="minorHAnsi" w:eastAsia="Times New Roman" w:hAnsiTheme="minorHAnsi"/>
          <w:color w:val="222222"/>
          <w:sz w:val="20"/>
          <w:szCs w:val="20"/>
          <w:lang w:val="en-US"/>
        </w:rPr>
        <w:t xml:space="preserve">”). </w:t>
      </w:r>
      <w:r w:rsidRPr="007D47AD">
        <w:rPr>
          <w:rFonts w:asciiTheme="minorHAnsi" w:eastAsia="Times New Roman" w:hAnsiTheme="minorHAnsi"/>
          <w:color w:val="222222"/>
          <w:sz w:val="20"/>
          <w:szCs w:val="20"/>
          <w:lang w:val="en-US"/>
        </w:rPr>
        <w:t xml:space="preserve">The IACHR has </w:t>
      </w:r>
      <w:r w:rsidR="009F1E02" w:rsidRPr="007D47AD">
        <w:rPr>
          <w:rFonts w:asciiTheme="minorHAnsi" w:eastAsia="Times New Roman" w:hAnsiTheme="minorHAnsi"/>
          <w:color w:val="222222"/>
          <w:sz w:val="20"/>
          <w:szCs w:val="20"/>
          <w:lang w:val="en-US"/>
        </w:rPr>
        <w:t xml:space="preserve">welcomed the establishment of the Special Unit and the referral </w:t>
      </w:r>
      <w:r w:rsidR="0055322A" w:rsidRPr="007D47AD">
        <w:rPr>
          <w:rFonts w:asciiTheme="minorHAnsi" w:eastAsia="Times New Roman" w:hAnsiTheme="minorHAnsi"/>
          <w:color w:val="222222"/>
          <w:sz w:val="20"/>
          <w:szCs w:val="20"/>
          <w:lang w:val="en-US"/>
        </w:rPr>
        <w:t xml:space="preserve">to </w:t>
      </w:r>
      <w:r w:rsidR="009F1E02" w:rsidRPr="007D47AD">
        <w:rPr>
          <w:rFonts w:asciiTheme="minorHAnsi" w:eastAsia="Times New Roman" w:hAnsiTheme="minorHAnsi"/>
          <w:color w:val="222222"/>
          <w:sz w:val="20"/>
          <w:szCs w:val="20"/>
          <w:lang w:val="en-US"/>
        </w:rPr>
        <w:t xml:space="preserve">and </w:t>
      </w:r>
      <w:r w:rsidR="005E045D" w:rsidRPr="007D47AD">
        <w:rPr>
          <w:rFonts w:asciiTheme="minorHAnsi" w:eastAsia="Times New Roman" w:hAnsiTheme="minorHAnsi"/>
          <w:color w:val="222222"/>
          <w:sz w:val="20"/>
          <w:szCs w:val="20"/>
          <w:lang w:val="en-US"/>
        </w:rPr>
        <w:t>centraliza</w:t>
      </w:r>
      <w:r w:rsidR="009F1E02" w:rsidRPr="007D47AD">
        <w:rPr>
          <w:rFonts w:asciiTheme="minorHAnsi" w:eastAsia="Times New Roman" w:hAnsiTheme="minorHAnsi"/>
          <w:color w:val="222222"/>
          <w:sz w:val="20"/>
          <w:szCs w:val="20"/>
          <w:lang w:val="en-US"/>
        </w:rPr>
        <w:t xml:space="preserve">tion of several matters related to the case </w:t>
      </w:r>
      <w:r w:rsidR="0055322A" w:rsidRPr="007D47AD">
        <w:rPr>
          <w:rFonts w:asciiTheme="minorHAnsi" w:eastAsia="Times New Roman" w:hAnsiTheme="minorHAnsi"/>
          <w:color w:val="222222"/>
          <w:sz w:val="20"/>
          <w:szCs w:val="20"/>
          <w:lang w:val="en-US"/>
        </w:rPr>
        <w:t xml:space="preserve">in </w:t>
      </w:r>
      <w:r w:rsidR="009F1E02" w:rsidRPr="007D47AD">
        <w:rPr>
          <w:rFonts w:asciiTheme="minorHAnsi" w:eastAsia="Times New Roman" w:hAnsiTheme="minorHAnsi"/>
          <w:color w:val="222222"/>
          <w:sz w:val="20"/>
          <w:szCs w:val="20"/>
          <w:lang w:val="en-US"/>
        </w:rPr>
        <w:t>that Unit.</w:t>
      </w:r>
      <w:r w:rsidR="00421DBB" w:rsidRPr="007D47AD">
        <w:rPr>
          <w:rFonts w:asciiTheme="minorHAnsi" w:eastAsia="Times New Roman" w:hAnsiTheme="minorHAnsi"/>
          <w:color w:val="222222"/>
          <w:sz w:val="20"/>
          <w:szCs w:val="20"/>
          <w:lang w:val="en-US"/>
        </w:rPr>
        <w:t xml:space="preserve"> </w:t>
      </w:r>
      <w:r w:rsidR="001131B7" w:rsidRPr="007D47AD">
        <w:rPr>
          <w:rFonts w:asciiTheme="minorHAnsi" w:eastAsia="Times New Roman" w:hAnsiTheme="minorHAnsi"/>
          <w:color w:val="222222"/>
          <w:sz w:val="20"/>
          <w:szCs w:val="20"/>
          <w:lang w:val="en-US"/>
        </w:rPr>
        <w:t>The</w:t>
      </w:r>
      <w:r w:rsidR="00421DBB" w:rsidRPr="007D47AD">
        <w:rPr>
          <w:rFonts w:asciiTheme="minorHAnsi" w:eastAsia="Times New Roman" w:hAnsiTheme="minorHAnsi"/>
          <w:color w:val="222222"/>
          <w:sz w:val="20"/>
          <w:szCs w:val="20"/>
          <w:lang w:val="en-US"/>
        </w:rPr>
        <w:t xml:space="preserve"> Com</w:t>
      </w:r>
      <w:r w:rsidR="001131B7" w:rsidRPr="007D47AD">
        <w:rPr>
          <w:rFonts w:asciiTheme="minorHAnsi" w:eastAsia="Times New Roman" w:hAnsiTheme="minorHAnsi"/>
          <w:color w:val="222222"/>
          <w:sz w:val="20"/>
          <w:szCs w:val="20"/>
          <w:lang w:val="en-US"/>
        </w:rPr>
        <w:t>m</w:t>
      </w:r>
      <w:r w:rsidR="00421DBB" w:rsidRPr="007D47AD">
        <w:rPr>
          <w:rFonts w:asciiTheme="minorHAnsi" w:eastAsia="Times New Roman" w:hAnsiTheme="minorHAnsi"/>
          <w:color w:val="222222"/>
          <w:sz w:val="20"/>
          <w:szCs w:val="20"/>
          <w:lang w:val="en-US"/>
        </w:rPr>
        <w:t>is</w:t>
      </w:r>
      <w:r w:rsidR="001131B7" w:rsidRPr="007D47AD">
        <w:rPr>
          <w:rFonts w:asciiTheme="minorHAnsi" w:eastAsia="Times New Roman" w:hAnsiTheme="minorHAnsi"/>
          <w:color w:val="222222"/>
          <w:sz w:val="20"/>
          <w:szCs w:val="20"/>
          <w:lang w:val="en-US"/>
        </w:rPr>
        <w:t>s</w:t>
      </w:r>
      <w:r w:rsidR="00421DBB" w:rsidRPr="007D47AD">
        <w:rPr>
          <w:rFonts w:asciiTheme="minorHAnsi" w:eastAsia="Times New Roman" w:hAnsiTheme="minorHAnsi"/>
          <w:color w:val="222222"/>
          <w:sz w:val="20"/>
          <w:szCs w:val="20"/>
          <w:lang w:val="en-US"/>
        </w:rPr>
        <w:t>i</w:t>
      </w:r>
      <w:r w:rsidR="001131B7" w:rsidRPr="007D47AD">
        <w:rPr>
          <w:rFonts w:asciiTheme="minorHAnsi" w:eastAsia="Times New Roman" w:hAnsiTheme="minorHAnsi"/>
          <w:color w:val="222222"/>
          <w:sz w:val="20"/>
          <w:szCs w:val="20"/>
          <w:lang w:val="en-US"/>
        </w:rPr>
        <w:t>o</w:t>
      </w:r>
      <w:r w:rsidR="00421DBB" w:rsidRPr="007D47AD">
        <w:rPr>
          <w:rFonts w:asciiTheme="minorHAnsi" w:eastAsia="Times New Roman" w:hAnsiTheme="minorHAnsi"/>
          <w:color w:val="222222"/>
          <w:sz w:val="20"/>
          <w:szCs w:val="20"/>
          <w:lang w:val="en-US"/>
        </w:rPr>
        <w:t>n ha</w:t>
      </w:r>
      <w:r w:rsidR="001131B7" w:rsidRPr="007D47AD">
        <w:rPr>
          <w:rFonts w:asciiTheme="minorHAnsi" w:eastAsia="Times New Roman" w:hAnsiTheme="minorHAnsi"/>
          <w:color w:val="222222"/>
          <w:sz w:val="20"/>
          <w:szCs w:val="20"/>
          <w:lang w:val="en-US"/>
        </w:rPr>
        <w:t>s</w:t>
      </w:r>
      <w:r w:rsidR="00421DBB" w:rsidRPr="007D47AD">
        <w:rPr>
          <w:rFonts w:asciiTheme="minorHAnsi" w:eastAsia="Times New Roman" w:hAnsiTheme="minorHAnsi"/>
          <w:color w:val="222222"/>
          <w:sz w:val="20"/>
          <w:szCs w:val="20"/>
          <w:lang w:val="en-US"/>
        </w:rPr>
        <w:t xml:space="preserve"> </w:t>
      </w:r>
      <w:r w:rsidR="001131B7" w:rsidRPr="007D47AD">
        <w:rPr>
          <w:rFonts w:asciiTheme="minorHAnsi" w:eastAsia="Times New Roman" w:hAnsiTheme="minorHAnsi"/>
          <w:color w:val="222222"/>
          <w:sz w:val="20"/>
          <w:szCs w:val="20"/>
          <w:lang w:val="en-US"/>
        </w:rPr>
        <w:t xml:space="preserve">learned that in </w:t>
      </w:r>
      <w:r w:rsidR="00421DBB" w:rsidRPr="007D47AD">
        <w:rPr>
          <w:rFonts w:asciiTheme="minorHAnsi" w:eastAsia="Times New Roman" w:hAnsiTheme="minorHAnsi"/>
          <w:color w:val="222222"/>
          <w:sz w:val="20"/>
          <w:szCs w:val="20"/>
          <w:lang w:val="en-US"/>
        </w:rPr>
        <w:t>2019</w:t>
      </w:r>
      <w:r w:rsidR="001131B7" w:rsidRPr="007D47AD">
        <w:rPr>
          <w:rFonts w:asciiTheme="minorHAnsi" w:eastAsia="Times New Roman" w:hAnsiTheme="minorHAnsi"/>
          <w:color w:val="222222"/>
          <w:sz w:val="20"/>
          <w:szCs w:val="20"/>
          <w:lang w:val="en-US"/>
        </w:rPr>
        <w:t xml:space="preserve"> the Special Unit </w:t>
      </w:r>
      <w:r w:rsidR="002968C0" w:rsidRPr="007D47AD">
        <w:rPr>
          <w:rFonts w:asciiTheme="minorHAnsi" w:eastAsia="Times New Roman" w:hAnsiTheme="minorHAnsi"/>
          <w:color w:val="222222"/>
          <w:sz w:val="20"/>
          <w:szCs w:val="20"/>
          <w:lang w:val="en-US"/>
        </w:rPr>
        <w:t xml:space="preserve">made </w:t>
      </w:r>
      <w:r w:rsidR="001131B7" w:rsidRPr="007D47AD">
        <w:rPr>
          <w:rFonts w:asciiTheme="minorHAnsi" w:eastAsia="Times New Roman" w:hAnsiTheme="minorHAnsi"/>
          <w:color w:val="222222"/>
          <w:sz w:val="20"/>
          <w:szCs w:val="20"/>
          <w:lang w:val="en-US"/>
        </w:rPr>
        <w:t xml:space="preserve">two </w:t>
      </w:r>
      <w:r w:rsidR="002968C0" w:rsidRPr="007D47AD">
        <w:rPr>
          <w:rFonts w:asciiTheme="minorHAnsi" w:eastAsia="Times New Roman" w:hAnsiTheme="minorHAnsi"/>
          <w:color w:val="222222"/>
          <w:sz w:val="20"/>
          <w:szCs w:val="20"/>
          <w:lang w:val="en-US"/>
        </w:rPr>
        <w:t xml:space="preserve">filings of criminal charges, </w:t>
      </w:r>
      <w:r w:rsidR="001131B7" w:rsidRPr="007D47AD">
        <w:rPr>
          <w:rFonts w:asciiTheme="minorHAnsi" w:eastAsia="Times New Roman" w:hAnsiTheme="minorHAnsi"/>
          <w:color w:val="222222"/>
          <w:sz w:val="20"/>
          <w:szCs w:val="20"/>
          <w:lang w:val="en-US"/>
        </w:rPr>
        <w:t xml:space="preserve">which are being litigated at this time. </w:t>
      </w:r>
    </w:p>
    <w:p w:rsidR="00421DBB" w:rsidRPr="007D47AD" w:rsidRDefault="001131B7" w:rsidP="00421DBB">
      <w:pPr>
        <w:numPr>
          <w:ilvl w:val="0"/>
          <w:numId w:val="6"/>
        </w:numPr>
        <w:shd w:val="clear" w:color="auto" w:fill="FFFFFF"/>
        <w:spacing w:after="240" w:line="240" w:lineRule="auto"/>
        <w:ind w:left="0" w:firstLine="720"/>
        <w:jc w:val="both"/>
        <w:rPr>
          <w:rFonts w:asciiTheme="minorHAnsi" w:eastAsia="Times New Roman" w:hAnsiTheme="minorHAnsi"/>
          <w:color w:val="222222"/>
          <w:sz w:val="20"/>
          <w:szCs w:val="20"/>
          <w:lang w:val="en-US"/>
        </w:rPr>
      </w:pPr>
      <w:r w:rsidRPr="007D47AD">
        <w:rPr>
          <w:rFonts w:asciiTheme="minorHAnsi" w:eastAsia="Times New Roman" w:hAnsiTheme="minorHAnsi"/>
          <w:color w:val="222222"/>
          <w:sz w:val="20"/>
          <w:szCs w:val="20"/>
          <w:lang w:val="en-US"/>
        </w:rPr>
        <w:t xml:space="preserve">The State referred to the legal situation of the 32 </w:t>
      </w:r>
      <w:r w:rsidR="002968C0" w:rsidRPr="007D47AD">
        <w:rPr>
          <w:rFonts w:asciiTheme="minorHAnsi" w:eastAsia="Times New Roman" w:hAnsiTheme="minorHAnsi"/>
          <w:color w:val="222222"/>
          <w:sz w:val="20"/>
          <w:szCs w:val="20"/>
          <w:lang w:val="en-US"/>
        </w:rPr>
        <w:t xml:space="preserve">individuals considered persons of interest in </w:t>
      </w:r>
      <w:r w:rsidRPr="007D47AD">
        <w:rPr>
          <w:rFonts w:asciiTheme="minorHAnsi" w:eastAsia="Times New Roman" w:hAnsiTheme="minorHAnsi"/>
          <w:color w:val="222222"/>
          <w:sz w:val="20"/>
          <w:szCs w:val="20"/>
          <w:lang w:val="en-US"/>
        </w:rPr>
        <w:t xml:space="preserve">the </w:t>
      </w:r>
      <w:r w:rsidR="00421DBB" w:rsidRPr="007D47AD">
        <w:rPr>
          <w:rFonts w:asciiTheme="minorHAnsi" w:eastAsia="Times New Roman" w:hAnsiTheme="minorHAnsi"/>
          <w:color w:val="222222"/>
          <w:sz w:val="20"/>
          <w:szCs w:val="20"/>
          <w:lang w:val="en-US"/>
        </w:rPr>
        <w:t xml:space="preserve">Ayotzinapa </w:t>
      </w:r>
      <w:r w:rsidRPr="007D47AD">
        <w:rPr>
          <w:rFonts w:asciiTheme="minorHAnsi" w:eastAsia="Times New Roman" w:hAnsiTheme="minorHAnsi"/>
          <w:color w:val="222222"/>
          <w:sz w:val="20"/>
          <w:szCs w:val="20"/>
          <w:lang w:val="en-US"/>
        </w:rPr>
        <w:t xml:space="preserve"> Case who were released in the course of </w:t>
      </w:r>
      <w:r w:rsidR="00421DBB" w:rsidRPr="007D47AD">
        <w:rPr>
          <w:rFonts w:asciiTheme="minorHAnsi" w:eastAsia="Times New Roman" w:hAnsiTheme="minorHAnsi"/>
          <w:color w:val="222222"/>
          <w:sz w:val="20"/>
          <w:szCs w:val="20"/>
          <w:lang w:val="en-US"/>
        </w:rPr>
        <w:t xml:space="preserve">2019. </w:t>
      </w:r>
      <w:r w:rsidRPr="007D47AD">
        <w:rPr>
          <w:rFonts w:asciiTheme="minorHAnsi" w:eastAsia="Times New Roman" w:hAnsiTheme="minorHAnsi"/>
          <w:color w:val="222222"/>
          <w:sz w:val="20"/>
          <w:szCs w:val="20"/>
          <w:lang w:val="en-US"/>
        </w:rPr>
        <w:t xml:space="preserve">In the case of </w:t>
      </w:r>
      <w:r w:rsidR="00421DBB" w:rsidRPr="007D47AD">
        <w:rPr>
          <w:rFonts w:asciiTheme="minorHAnsi" w:eastAsia="Times New Roman" w:hAnsiTheme="minorHAnsi"/>
          <w:color w:val="222222"/>
          <w:sz w:val="20"/>
          <w:szCs w:val="20"/>
          <w:lang w:val="en-US"/>
        </w:rPr>
        <w:t xml:space="preserve">30 persons </w:t>
      </w:r>
      <w:r w:rsidRPr="007D47AD">
        <w:rPr>
          <w:rFonts w:asciiTheme="minorHAnsi" w:eastAsia="Times New Roman" w:hAnsiTheme="minorHAnsi"/>
          <w:color w:val="222222"/>
          <w:sz w:val="20"/>
          <w:szCs w:val="20"/>
          <w:lang w:val="en-US"/>
        </w:rPr>
        <w:t>it noted that the release orders</w:t>
      </w:r>
      <w:r w:rsidR="005E163B" w:rsidRPr="007D47AD">
        <w:rPr>
          <w:rFonts w:asciiTheme="minorHAnsi" w:eastAsia="Times New Roman" w:hAnsiTheme="minorHAnsi"/>
          <w:color w:val="222222"/>
          <w:sz w:val="20"/>
          <w:szCs w:val="20"/>
          <w:lang w:val="en-US"/>
        </w:rPr>
        <w:t>,</w:t>
      </w:r>
      <w:r w:rsidRPr="007D47AD">
        <w:rPr>
          <w:rFonts w:asciiTheme="minorHAnsi" w:eastAsia="Times New Roman" w:hAnsiTheme="minorHAnsi"/>
          <w:color w:val="222222"/>
          <w:sz w:val="20"/>
          <w:szCs w:val="20"/>
          <w:lang w:val="en-US"/>
        </w:rPr>
        <w:t xml:space="preserve"> without prejudice</w:t>
      </w:r>
      <w:r w:rsidR="005E163B" w:rsidRPr="007D47AD">
        <w:rPr>
          <w:rFonts w:asciiTheme="minorHAnsi" w:eastAsia="Times New Roman" w:hAnsiTheme="minorHAnsi"/>
          <w:color w:val="222222"/>
          <w:sz w:val="20"/>
          <w:szCs w:val="20"/>
          <w:lang w:val="en-US"/>
        </w:rPr>
        <w:t>,</w:t>
      </w:r>
      <w:r w:rsidRPr="007D47AD">
        <w:rPr>
          <w:rFonts w:asciiTheme="minorHAnsi" w:eastAsia="Times New Roman" w:hAnsiTheme="minorHAnsi"/>
          <w:color w:val="222222"/>
          <w:sz w:val="20"/>
          <w:szCs w:val="20"/>
          <w:lang w:val="en-US"/>
        </w:rPr>
        <w:t xml:space="preserve"> were granted since their ties to the alleged criminal organization were not shown, and due to the exclusion of their statements as self-incriminating allegedly </w:t>
      </w:r>
      <w:r w:rsidR="002968C0" w:rsidRPr="007D47AD">
        <w:rPr>
          <w:rFonts w:asciiTheme="minorHAnsi" w:eastAsia="Times New Roman" w:hAnsiTheme="minorHAnsi"/>
          <w:color w:val="222222"/>
          <w:sz w:val="20"/>
          <w:szCs w:val="20"/>
          <w:lang w:val="en-US"/>
        </w:rPr>
        <w:t xml:space="preserve">because of </w:t>
      </w:r>
      <w:r w:rsidRPr="007D47AD">
        <w:rPr>
          <w:rFonts w:asciiTheme="minorHAnsi" w:eastAsia="Times New Roman" w:hAnsiTheme="minorHAnsi"/>
          <w:color w:val="222222"/>
          <w:sz w:val="20"/>
          <w:szCs w:val="20"/>
          <w:lang w:val="en-US"/>
        </w:rPr>
        <w:t xml:space="preserve">acts of torture. The State indicated that those procedural orders were not final </w:t>
      </w:r>
      <w:r w:rsidR="00B91DD1" w:rsidRPr="007D47AD">
        <w:rPr>
          <w:rFonts w:asciiTheme="minorHAnsi" w:eastAsia="Times New Roman" w:hAnsiTheme="minorHAnsi"/>
          <w:color w:val="222222"/>
          <w:sz w:val="20"/>
          <w:szCs w:val="20"/>
          <w:lang w:val="en-US"/>
        </w:rPr>
        <w:t xml:space="preserve">rulings nor decisions on the merits, and that if there are other criminal cases against them </w:t>
      </w:r>
      <w:r w:rsidR="00421DBB" w:rsidRPr="007D47AD">
        <w:rPr>
          <w:rFonts w:asciiTheme="minorHAnsi" w:eastAsia="Times New Roman" w:hAnsiTheme="minorHAnsi"/>
          <w:color w:val="222222"/>
          <w:sz w:val="20"/>
          <w:szCs w:val="20"/>
          <w:lang w:val="en-US"/>
        </w:rPr>
        <w:t>“</w:t>
      </w:r>
      <w:r w:rsidR="00B91DD1" w:rsidRPr="007D47AD">
        <w:rPr>
          <w:rFonts w:asciiTheme="minorHAnsi" w:eastAsia="Times New Roman" w:hAnsiTheme="minorHAnsi"/>
          <w:color w:val="222222"/>
          <w:sz w:val="20"/>
          <w:szCs w:val="20"/>
          <w:lang w:val="en-US"/>
        </w:rPr>
        <w:t xml:space="preserve">these persons could continue to be deprived of liberty.” With respect to two persons, the State indicated that they were absolved due to the lack of evidence of their participation in the crimes of organized crime and kidnapping. It also indicated that given the complexity of the facts attributed to the accused, absolution for a specific crime does not </w:t>
      </w:r>
      <w:r w:rsidR="005E163B" w:rsidRPr="007D47AD">
        <w:rPr>
          <w:rFonts w:asciiTheme="minorHAnsi" w:eastAsia="Times New Roman" w:hAnsiTheme="minorHAnsi"/>
          <w:color w:val="222222"/>
          <w:sz w:val="20"/>
          <w:szCs w:val="20"/>
          <w:lang w:val="en-US"/>
        </w:rPr>
        <w:t xml:space="preserve">mean that </w:t>
      </w:r>
      <w:r w:rsidR="00B91DD1" w:rsidRPr="007D47AD">
        <w:rPr>
          <w:rFonts w:asciiTheme="minorHAnsi" w:eastAsia="Times New Roman" w:hAnsiTheme="minorHAnsi"/>
          <w:color w:val="222222"/>
          <w:sz w:val="20"/>
          <w:szCs w:val="20"/>
          <w:lang w:val="en-US"/>
        </w:rPr>
        <w:t>other criminal proceedings against them will not continue.</w:t>
      </w:r>
      <w:r w:rsidR="00421DBB" w:rsidRPr="007D47AD">
        <w:rPr>
          <w:rStyle w:val="FootnoteReference"/>
          <w:rFonts w:asciiTheme="minorHAnsi" w:hAnsiTheme="minorHAnsi"/>
          <w:sz w:val="20"/>
          <w:szCs w:val="20"/>
          <w:lang w:val="en-US"/>
        </w:rPr>
        <w:footnoteReference w:id="113"/>
      </w:r>
    </w:p>
    <w:p w:rsidR="00D06454" w:rsidRPr="007D47AD" w:rsidRDefault="0034275D" w:rsidP="0055322A">
      <w:pPr>
        <w:numPr>
          <w:ilvl w:val="0"/>
          <w:numId w:val="6"/>
        </w:numPr>
        <w:shd w:val="clear" w:color="auto" w:fill="FFFFFF"/>
        <w:spacing w:after="240" w:line="240" w:lineRule="auto"/>
        <w:ind w:left="0" w:firstLine="720"/>
        <w:jc w:val="both"/>
        <w:rPr>
          <w:rFonts w:asciiTheme="minorHAnsi" w:eastAsia="Times New Roman" w:hAnsiTheme="minorHAnsi"/>
          <w:color w:val="222222"/>
          <w:sz w:val="20"/>
          <w:szCs w:val="20"/>
          <w:lang w:val="en-US"/>
        </w:rPr>
      </w:pPr>
      <w:r w:rsidRPr="007D47AD">
        <w:rPr>
          <w:rFonts w:asciiTheme="minorHAnsi" w:hAnsiTheme="minorHAnsi"/>
          <w:color w:val="222222"/>
          <w:sz w:val="20"/>
          <w:szCs w:val="20"/>
          <w:lang w:val="en-US"/>
        </w:rPr>
        <w:t>Marking five years since the students’ disappearance</w:t>
      </w:r>
      <w:r w:rsidR="0055322A" w:rsidRPr="007D47AD">
        <w:rPr>
          <w:rFonts w:asciiTheme="minorHAnsi" w:hAnsiTheme="minorHAnsi"/>
          <w:color w:val="222222"/>
          <w:sz w:val="20"/>
          <w:szCs w:val="20"/>
          <w:lang w:val="en-US"/>
        </w:rPr>
        <w:t>,</w:t>
      </w:r>
      <w:r w:rsidRPr="007D47AD">
        <w:rPr>
          <w:rFonts w:asciiTheme="minorHAnsi" w:hAnsiTheme="minorHAnsi"/>
          <w:color w:val="222222"/>
          <w:sz w:val="20"/>
          <w:szCs w:val="20"/>
          <w:lang w:val="en-US"/>
        </w:rPr>
        <w:t xml:space="preserve"> the Commission issued a press release in which it expressed its concern over the lack of results in terms of justice and truth. The Commission </w:t>
      </w:r>
      <w:r w:rsidR="007E181B" w:rsidRPr="007D47AD">
        <w:rPr>
          <w:rFonts w:asciiTheme="minorHAnsi" w:hAnsiTheme="minorHAnsi"/>
          <w:color w:val="222222"/>
          <w:sz w:val="20"/>
          <w:szCs w:val="20"/>
          <w:lang w:val="en-US"/>
        </w:rPr>
        <w:t>regretted</w:t>
      </w:r>
      <w:r w:rsidRPr="007D47AD">
        <w:rPr>
          <w:rFonts w:asciiTheme="minorHAnsi" w:hAnsiTheme="minorHAnsi"/>
          <w:color w:val="222222"/>
          <w:sz w:val="20"/>
          <w:szCs w:val="20"/>
          <w:lang w:val="en-US"/>
        </w:rPr>
        <w:t xml:space="preserve"> that there are still no </w:t>
      </w:r>
      <w:r w:rsidR="0055322A" w:rsidRPr="007D47AD">
        <w:rPr>
          <w:rFonts w:asciiTheme="minorHAnsi" w:hAnsiTheme="minorHAnsi"/>
          <w:color w:val="222222"/>
          <w:sz w:val="20"/>
          <w:szCs w:val="20"/>
          <w:lang w:val="en-US"/>
        </w:rPr>
        <w:t xml:space="preserve">answer as </w:t>
      </w:r>
      <w:r w:rsidRPr="007D47AD">
        <w:rPr>
          <w:rFonts w:asciiTheme="minorHAnsi" w:hAnsiTheme="minorHAnsi"/>
          <w:color w:val="222222"/>
          <w:sz w:val="20"/>
          <w:szCs w:val="20"/>
          <w:lang w:val="en-US"/>
        </w:rPr>
        <w:t xml:space="preserve">to what happened and who was involved in the events of that tragic September 26, 2014. To date no one has been convicted for the </w:t>
      </w:r>
      <w:r w:rsidR="001B7839" w:rsidRPr="007D47AD">
        <w:rPr>
          <w:rFonts w:asciiTheme="minorHAnsi" w:hAnsiTheme="minorHAnsi"/>
          <w:color w:val="222222"/>
          <w:sz w:val="20"/>
          <w:szCs w:val="20"/>
          <w:lang w:val="en-US"/>
        </w:rPr>
        <w:t>crime of forced disappearance, nor have the reported irregularities in the investigation been clarified</w:t>
      </w:r>
      <w:r w:rsidR="002B0CD6" w:rsidRPr="007D47AD">
        <w:rPr>
          <w:rFonts w:asciiTheme="minorHAnsi" w:hAnsiTheme="minorHAnsi"/>
          <w:color w:val="222222"/>
          <w:sz w:val="20"/>
          <w:szCs w:val="20"/>
          <w:lang w:val="en-US"/>
        </w:rPr>
        <w:t xml:space="preserve">. </w:t>
      </w:r>
      <w:r w:rsidR="001B7839" w:rsidRPr="007D47AD">
        <w:rPr>
          <w:rFonts w:asciiTheme="minorHAnsi" w:hAnsiTheme="minorHAnsi"/>
          <w:color w:val="222222"/>
          <w:sz w:val="20"/>
          <w:szCs w:val="20"/>
          <w:lang w:val="en-US"/>
        </w:rPr>
        <w:t xml:space="preserve">In addition, the IACHR expresses its concern over the judicial decisions that led to </w:t>
      </w:r>
      <w:r w:rsidR="0055322A" w:rsidRPr="007D47AD">
        <w:rPr>
          <w:rFonts w:asciiTheme="minorHAnsi" w:hAnsiTheme="minorHAnsi"/>
          <w:color w:val="222222"/>
          <w:sz w:val="20"/>
          <w:szCs w:val="20"/>
          <w:lang w:val="en-US"/>
        </w:rPr>
        <w:t xml:space="preserve">the </w:t>
      </w:r>
      <w:r w:rsidR="001B7839" w:rsidRPr="007D47AD">
        <w:rPr>
          <w:rFonts w:asciiTheme="minorHAnsi" w:hAnsiTheme="minorHAnsi"/>
          <w:color w:val="222222"/>
          <w:sz w:val="20"/>
          <w:szCs w:val="20"/>
          <w:lang w:val="en-US"/>
        </w:rPr>
        <w:t>release of persons purportedly associated with the events and who could have valuable information about the students’ whereabouts</w:t>
      </w:r>
      <w:r w:rsidR="002B0CD6" w:rsidRPr="007D47AD">
        <w:rPr>
          <w:rFonts w:asciiTheme="minorHAnsi" w:hAnsiTheme="minorHAnsi"/>
          <w:color w:val="222222"/>
          <w:sz w:val="20"/>
          <w:szCs w:val="20"/>
          <w:lang w:val="en-US"/>
        </w:rPr>
        <w:t xml:space="preserve">. </w:t>
      </w:r>
      <w:r w:rsidR="001B7839" w:rsidRPr="007D47AD">
        <w:rPr>
          <w:rFonts w:asciiTheme="minorHAnsi" w:hAnsiTheme="minorHAnsi"/>
          <w:color w:val="222222"/>
          <w:sz w:val="20"/>
          <w:szCs w:val="20"/>
          <w:lang w:val="en-US"/>
        </w:rPr>
        <w:t>I</w:t>
      </w:r>
      <w:r w:rsidR="0055322A" w:rsidRPr="007D47AD">
        <w:rPr>
          <w:rFonts w:asciiTheme="minorHAnsi" w:hAnsiTheme="minorHAnsi"/>
          <w:color w:val="222222"/>
          <w:sz w:val="20"/>
          <w:szCs w:val="20"/>
          <w:lang w:val="en-US"/>
        </w:rPr>
        <w:t xml:space="preserve">t also </w:t>
      </w:r>
      <w:r w:rsidR="001B7839" w:rsidRPr="007D47AD">
        <w:rPr>
          <w:rFonts w:asciiTheme="minorHAnsi" w:hAnsiTheme="minorHAnsi"/>
          <w:color w:val="222222"/>
          <w:sz w:val="20"/>
          <w:szCs w:val="20"/>
          <w:lang w:val="en-US"/>
        </w:rPr>
        <w:t xml:space="preserve">reiterated the persistence of </w:t>
      </w:r>
      <w:r w:rsidR="007E181B" w:rsidRPr="007D47AD">
        <w:rPr>
          <w:rFonts w:asciiTheme="minorHAnsi" w:hAnsiTheme="minorHAnsi"/>
          <w:color w:val="222222"/>
          <w:sz w:val="20"/>
          <w:szCs w:val="20"/>
          <w:lang w:val="en-US"/>
        </w:rPr>
        <w:t>problems</w:t>
      </w:r>
      <w:r w:rsidR="001B7839" w:rsidRPr="007D47AD">
        <w:rPr>
          <w:rFonts w:asciiTheme="minorHAnsi" w:hAnsiTheme="minorHAnsi"/>
          <w:color w:val="222222"/>
          <w:sz w:val="20"/>
          <w:szCs w:val="20"/>
          <w:lang w:val="en-US"/>
        </w:rPr>
        <w:t xml:space="preserve"> in the investigation such as a fragmented, incomplete investigation; lack of arrests and </w:t>
      </w:r>
      <w:r w:rsidR="00FD42F2" w:rsidRPr="007D47AD">
        <w:rPr>
          <w:rFonts w:asciiTheme="minorHAnsi" w:hAnsiTheme="minorHAnsi"/>
          <w:color w:val="222222"/>
          <w:sz w:val="20"/>
          <w:szCs w:val="20"/>
          <w:lang w:val="en-US"/>
        </w:rPr>
        <w:t xml:space="preserve">indictments </w:t>
      </w:r>
      <w:r w:rsidR="001B7839" w:rsidRPr="007D47AD">
        <w:rPr>
          <w:rFonts w:asciiTheme="minorHAnsi" w:hAnsiTheme="minorHAnsi"/>
          <w:color w:val="222222"/>
          <w:sz w:val="20"/>
          <w:szCs w:val="20"/>
          <w:lang w:val="en-US"/>
        </w:rPr>
        <w:t xml:space="preserve">for forced disappearance; lack of arrests of state actors for acts or omissions. </w:t>
      </w:r>
      <w:r w:rsidR="0055322A" w:rsidRPr="007D47AD">
        <w:rPr>
          <w:rFonts w:asciiTheme="minorHAnsi" w:hAnsiTheme="minorHAnsi"/>
          <w:color w:val="222222"/>
          <w:sz w:val="20"/>
          <w:szCs w:val="20"/>
          <w:lang w:val="en-US"/>
        </w:rPr>
        <w:t>T</w:t>
      </w:r>
      <w:r w:rsidR="001B7839" w:rsidRPr="007D47AD">
        <w:rPr>
          <w:rFonts w:asciiTheme="minorHAnsi" w:hAnsiTheme="minorHAnsi"/>
          <w:color w:val="222222"/>
          <w:sz w:val="20"/>
          <w:szCs w:val="20"/>
          <w:lang w:val="en-US"/>
        </w:rPr>
        <w:t xml:space="preserve">he Commission has </w:t>
      </w:r>
      <w:r w:rsidR="0055322A" w:rsidRPr="007D47AD">
        <w:rPr>
          <w:rFonts w:asciiTheme="minorHAnsi" w:hAnsiTheme="minorHAnsi"/>
          <w:color w:val="222222"/>
          <w:sz w:val="20"/>
          <w:szCs w:val="20"/>
          <w:lang w:val="en-US"/>
        </w:rPr>
        <w:t xml:space="preserve">also </w:t>
      </w:r>
      <w:r w:rsidR="001B7839" w:rsidRPr="007D47AD">
        <w:rPr>
          <w:rFonts w:asciiTheme="minorHAnsi" w:hAnsiTheme="minorHAnsi"/>
          <w:color w:val="222222"/>
          <w:sz w:val="20"/>
          <w:szCs w:val="20"/>
          <w:lang w:val="en-US"/>
        </w:rPr>
        <w:t>noted the importance of going deeper into the investigation into the members of the 27</w:t>
      </w:r>
      <w:r w:rsidR="001B7839" w:rsidRPr="007D47AD">
        <w:rPr>
          <w:rFonts w:asciiTheme="minorHAnsi" w:hAnsiTheme="minorHAnsi"/>
          <w:color w:val="222222"/>
          <w:sz w:val="20"/>
          <w:szCs w:val="20"/>
          <w:vertAlign w:val="superscript"/>
          <w:lang w:val="en-US"/>
        </w:rPr>
        <w:t>th</w:t>
      </w:r>
      <w:r w:rsidR="001B7839" w:rsidRPr="007D47AD">
        <w:rPr>
          <w:rFonts w:asciiTheme="minorHAnsi" w:hAnsiTheme="minorHAnsi"/>
          <w:color w:val="222222"/>
          <w:sz w:val="20"/>
          <w:szCs w:val="20"/>
          <w:lang w:val="en-US"/>
        </w:rPr>
        <w:t xml:space="preserve"> Battalion, and of determining the possible participation of various municipal police, state police, and federal police bodies</w:t>
      </w:r>
      <w:r w:rsidR="002B0CD6" w:rsidRPr="007D47AD">
        <w:rPr>
          <w:rFonts w:asciiTheme="minorHAnsi" w:hAnsiTheme="minorHAnsi"/>
          <w:color w:val="222222"/>
          <w:sz w:val="20"/>
          <w:szCs w:val="20"/>
          <w:lang w:val="en-US"/>
        </w:rPr>
        <w:t>.</w:t>
      </w:r>
    </w:p>
    <w:p w:rsidR="00421DBB" w:rsidRPr="007D47AD" w:rsidRDefault="00B91DD1" w:rsidP="00EE7CF9">
      <w:pPr>
        <w:numPr>
          <w:ilvl w:val="0"/>
          <w:numId w:val="6"/>
        </w:numPr>
        <w:shd w:val="clear" w:color="auto" w:fill="FFFFFF"/>
        <w:spacing w:after="240" w:line="240" w:lineRule="auto"/>
        <w:ind w:left="0" w:firstLine="720"/>
        <w:jc w:val="both"/>
        <w:rPr>
          <w:rFonts w:asciiTheme="minorHAnsi" w:eastAsia="Times New Roman" w:hAnsiTheme="minorHAnsi"/>
          <w:color w:val="222222"/>
          <w:sz w:val="20"/>
          <w:szCs w:val="20"/>
          <w:lang w:val="en-US"/>
        </w:rPr>
      </w:pPr>
      <w:r w:rsidRPr="007D47AD">
        <w:rPr>
          <w:rFonts w:asciiTheme="minorHAnsi" w:hAnsiTheme="minorHAnsi"/>
          <w:color w:val="222222"/>
          <w:sz w:val="20"/>
          <w:szCs w:val="20"/>
          <w:lang w:val="en-US"/>
        </w:rPr>
        <w:t xml:space="preserve">On the foregoing, the State indicated that the search efforts deployed have accorded priority to the active participation of the Ministry of National Defense on </w:t>
      </w:r>
      <w:r w:rsidR="00421DBB" w:rsidRPr="007D47AD">
        <w:rPr>
          <w:rFonts w:asciiTheme="minorHAnsi" w:hAnsiTheme="minorHAnsi"/>
          <w:color w:val="222222"/>
          <w:sz w:val="20"/>
          <w:szCs w:val="20"/>
          <w:lang w:val="en-US"/>
        </w:rPr>
        <w:t>“</w:t>
      </w:r>
      <w:r w:rsidRPr="007D47AD">
        <w:rPr>
          <w:rFonts w:asciiTheme="minorHAnsi" w:hAnsiTheme="minorHAnsi"/>
          <w:color w:val="222222"/>
          <w:sz w:val="20"/>
          <w:szCs w:val="20"/>
          <w:lang w:val="en-US"/>
        </w:rPr>
        <w:t xml:space="preserve">several points of interest stemming from the analysis of information by the </w:t>
      </w:r>
      <w:r w:rsidR="00421DBB" w:rsidRPr="007D47AD">
        <w:rPr>
          <w:rFonts w:asciiTheme="minorHAnsi" w:hAnsiTheme="minorHAnsi"/>
          <w:color w:val="222222"/>
          <w:sz w:val="20"/>
          <w:szCs w:val="20"/>
          <w:lang w:val="en-US"/>
        </w:rPr>
        <w:t xml:space="preserve">COVAJ, </w:t>
      </w:r>
      <w:r w:rsidRPr="007D47AD">
        <w:rPr>
          <w:rFonts w:asciiTheme="minorHAnsi" w:hAnsiTheme="minorHAnsi"/>
          <w:color w:val="222222"/>
          <w:sz w:val="20"/>
          <w:szCs w:val="20"/>
          <w:lang w:val="en-US"/>
        </w:rPr>
        <w:t xml:space="preserve">and with the support of the former members of the </w:t>
      </w:r>
      <w:r w:rsidR="00421DBB" w:rsidRPr="007D47AD">
        <w:rPr>
          <w:rFonts w:asciiTheme="minorHAnsi" w:hAnsiTheme="minorHAnsi"/>
          <w:color w:val="222222"/>
          <w:sz w:val="20"/>
          <w:szCs w:val="20"/>
          <w:lang w:val="en-US"/>
        </w:rPr>
        <w:t xml:space="preserve">GIEI, </w:t>
      </w:r>
      <w:r w:rsidRPr="007D47AD">
        <w:rPr>
          <w:rFonts w:asciiTheme="minorHAnsi" w:hAnsiTheme="minorHAnsi"/>
          <w:color w:val="222222"/>
          <w:sz w:val="20"/>
          <w:szCs w:val="20"/>
          <w:lang w:val="en-US"/>
        </w:rPr>
        <w:t>which has resulted in major advances in locating the students’ whereabouts. In addition, it reported that based on the analysis of information</w:t>
      </w:r>
      <w:r w:rsidR="005E163B" w:rsidRPr="007D47AD">
        <w:rPr>
          <w:rFonts w:asciiTheme="minorHAnsi" w:hAnsiTheme="minorHAnsi"/>
          <w:color w:val="222222"/>
          <w:sz w:val="20"/>
          <w:szCs w:val="20"/>
          <w:lang w:val="en-US"/>
        </w:rPr>
        <w:t>,</w:t>
      </w:r>
      <w:r w:rsidRPr="007D47AD">
        <w:rPr>
          <w:rFonts w:asciiTheme="minorHAnsi" w:hAnsiTheme="minorHAnsi"/>
          <w:color w:val="222222"/>
          <w:sz w:val="20"/>
          <w:szCs w:val="20"/>
          <w:lang w:val="en-US"/>
        </w:rPr>
        <w:t xml:space="preserve"> maps have been prepared of actors of interest whose likely geographic location has been </w:t>
      </w:r>
      <w:r w:rsidR="005E163B" w:rsidRPr="007D47AD">
        <w:rPr>
          <w:rFonts w:asciiTheme="minorHAnsi" w:hAnsiTheme="minorHAnsi"/>
          <w:color w:val="222222"/>
          <w:sz w:val="20"/>
          <w:szCs w:val="20"/>
          <w:lang w:val="en-US"/>
        </w:rPr>
        <w:t xml:space="preserve">determined. </w:t>
      </w:r>
      <w:r w:rsidRPr="007D47AD">
        <w:rPr>
          <w:rFonts w:asciiTheme="minorHAnsi" w:hAnsiTheme="minorHAnsi"/>
          <w:color w:val="222222"/>
          <w:sz w:val="20"/>
          <w:szCs w:val="20"/>
          <w:lang w:val="en-US"/>
        </w:rPr>
        <w:t>This has been done with the objective of establish</w:t>
      </w:r>
      <w:r w:rsidR="002968C0" w:rsidRPr="007D47AD">
        <w:rPr>
          <w:rFonts w:asciiTheme="minorHAnsi" w:hAnsiTheme="minorHAnsi"/>
          <w:color w:val="222222"/>
          <w:sz w:val="20"/>
          <w:szCs w:val="20"/>
          <w:lang w:val="en-US"/>
        </w:rPr>
        <w:t>ing</w:t>
      </w:r>
      <w:r w:rsidRPr="007D47AD">
        <w:rPr>
          <w:rFonts w:asciiTheme="minorHAnsi" w:hAnsiTheme="minorHAnsi"/>
          <w:color w:val="222222"/>
          <w:sz w:val="20"/>
          <w:szCs w:val="20"/>
          <w:lang w:val="en-US"/>
        </w:rPr>
        <w:t xml:space="preserve"> their degree of participation in the facts and their </w:t>
      </w:r>
      <w:r w:rsidR="002968C0" w:rsidRPr="007D47AD">
        <w:rPr>
          <w:rFonts w:asciiTheme="minorHAnsi" w:hAnsiTheme="minorHAnsi"/>
          <w:color w:val="222222"/>
          <w:sz w:val="20"/>
          <w:szCs w:val="20"/>
          <w:lang w:val="en-US"/>
        </w:rPr>
        <w:t xml:space="preserve">association </w:t>
      </w:r>
      <w:r w:rsidRPr="007D47AD">
        <w:rPr>
          <w:rFonts w:asciiTheme="minorHAnsi" w:hAnsiTheme="minorHAnsi"/>
          <w:color w:val="222222"/>
          <w:sz w:val="20"/>
          <w:szCs w:val="20"/>
          <w:lang w:val="en-US"/>
        </w:rPr>
        <w:t>with the criminal proceeding.</w:t>
      </w:r>
      <w:r w:rsidR="00421DBB" w:rsidRPr="007D47AD">
        <w:rPr>
          <w:rStyle w:val="FootnoteReference"/>
          <w:rFonts w:asciiTheme="minorHAnsi" w:hAnsiTheme="minorHAnsi"/>
          <w:sz w:val="20"/>
          <w:szCs w:val="20"/>
          <w:lang w:val="en-US"/>
        </w:rPr>
        <w:footnoteReference w:id="114"/>
      </w:r>
      <w:r w:rsidR="00421DBB" w:rsidRPr="007D47AD">
        <w:rPr>
          <w:rFonts w:asciiTheme="minorHAnsi" w:hAnsiTheme="minorHAnsi"/>
          <w:color w:val="222222"/>
          <w:sz w:val="20"/>
          <w:szCs w:val="20"/>
          <w:lang w:val="en-US"/>
        </w:rPr>
        <w:t xml:space="preserve"> </w:t>
      </w:r>
      <w:r w:rsidRPr="007D47AD">
        <w:rPr>
          <w:rFonts w:asciiTheme="minorHAnsi" w:hAnsiTheme="minorHAnsi"/>
          <w:color w:val="222222"/>
          <w:sz w:val="20"/>
          <w:szCs w:val="20"/>
          <w:lang w:val="en-US"/>
        </w:rPr>
        <w:t xml:space="preserve">The IACHR notes that according to what was indicated by the </w:t>
      </w:r>
      <w:r w:rsidR="00421DBB" w:rsidRPr="007D47AD">
        <w:rPr>
          <w:rFonts w:asciiTheme="minorHAnsi" w:hAnsiTheme="minorHAnsi"/>
          <w:color w:val="222222"/>
          <w:sz w:val="20"/>
          <w:szCs w:val="20"/>
          <w:lang w:val="en-US"/>
        </w:rPr>
        <w:t xml:space="preserve">COVAJ </w:t>
      </w:r>
      <w:r w:rsidRPr="007D47AD">
        <w:rPr>
          <w:rFonts w:asciiTheme="minorHAnsi" w:hAnsiTheme="minorHAnsi"/>
          <w:color w:val="222222"/>
          <w:sz w:val="20"/>
          <w:szCs w:val="20"/>
          <w:lang w:val="en-US"/>
        </w:rPr>
        <w:t xml:space="preserve">in the session of December 18, </w:t>
      </w:r>
      <w:r w:rsidR="00421DBB" w:rsidRPr="007D47AD">
        <w:rPr>
          <w:rFonts w:asciiTheme="minorHAnsi" w:hAnsiTheme="minorHAnsi"/>
          <w:color w:val="222222"/>
          <w:sz w:val="20"/>
          <w:szCs w:val="20"/>
          <w:lang w:val="en-US"/>
        </w:rPr>
        <w:t xml:space="preserve">2019, </w:t>
      </w:r>
      <w:r w:rsidRPr="007D47AD">
        <w:rPr>
          <w:rFonts w:asciiTheme="minorHAnsi" w:hAnsiTheme="minorHAnsi"/>
          <w:color w:val="222222"/>
          <w:sz w:val="20"/>
          <w:szCs w:val="20"/>
          <w:lang w:val="en-US"/>
        </w:rPr>
        <w:t xml:space="preserve">in the course of </w:t>
      </w:r>
      <w:r w:rsidR="00421DBB" w:rsidRPr="007D47AD">
        <w:rPr>
          <w:rFonts w:asciiTheme="minorHAnsi" w:hAnsiTheme="minorHAnsi"/>
          <w:color w:val="222222"/>
          <w:sz w:val="20"/>
          <w:szCs w:val="20"/>
          <w:lang w:val="en-US"/>
        </w:rPr>
        <w:t>201</w:t>
      </w:r>
      <w:r w:rsidRPr="007D47AD">
        <w:rPr>
          <w:rFonts w:asciiTheme="minorHAnsi" w:hAnsiTheme="minorHAnsi"/>
          <w:color w:val="222222"/>
          <w:sz w:val="20"/>
          <w:szCs w:val="20"/>
          <w:lang w:val="en-US"/>
        </w:rPr>
        <w:t xml:space="preserve">9, 18 search exercises were performed, including 214 points searched in 107 working days, which has yielded as a result the finding of new bony remains that are awaiting DNA analysis by an independent laboratory outside Mexico. </w:t>
      </w:r>
    </w:p>
    <w:p w:rsidR="00D06454" w:rsidRPr="007D47AD" w:rsidRDefault="00C75F5E" w:rsidP="00EE7CF9">
      <w:pPr>
        <w:numPr>
          <w:ilvl w:val="0"/>
          <w:numId w:val="6"/>
        </w:numPr>
        <w:shd w:val="clear" w:color="auto" w:fill="FFFFFF"/>
        <w:spacing w:after="240" w:line="240" w:lineRule="auto"/>
        <w:ind w:left="0" w:firstLine="720"/>
        <w:jc w:val="both"/>
        <w:rPr>
          <w:rFonts w:asciiTheme="minorHAnsi" w:eastAsia="Times New Roman" w:hAnsiTheme="minorHAnsi"/>
          <w:color w:val="222222"/>
          <w:sz w:val="20"/>
          <w:szCs w:val="20"/>
          <w:lang w:val="en-US"/>
        </w:rPr>
      </w:pPr>
      <w:r w:rsidRPr="007D47AD">
        <w:rPr>
          <w:rFonts w:asciiTheme="minorHAnsi" w:eastAsia="Times New Roman" w:hAnsiTheme="minorHAnsi"/>
          <w:color w:val="222222"/>
          <w:sz w:val="20"/>
          <w:szCs w:val="20"/>
          <w:lang w:val="en-US"/>
        </w:rPr>
        <w:t xml:space="preserve">In the area of attention to victims, the IACHR has </w:t>
      </w:r>
      <w:r w:rsidR="002B0CD6" w:rsidRPr="007D47AD">
        <w:rPr>
          <w:rFonts w:asciiTheme="minorHAnsi" w:eastAsia="Times New Roman" w:hAnsiTheme="minorHAnsi"/>
          <w:color w:val="222222"/>
          <w:sz w:val="20"/>
          <w:szCs w:val="20"/>
          <w:lang w:val="en-US"/>
        </w:rPr>
        <w:t>monitor</w:t>
      </w:r>
      <w:r w:rsidRPr="007D47AD">
        <w:rPr>
          <w:rFonts w:asciiTheme="minorHAnsi" w:eastAsia="Times New Roman" w:hAnsiTheme="minorHAnsi"/>
          <w:color w:val="222222"/>
          <w:sz w:val="20"/>
          <w:szCs w:val="20"/>
          <w:lang w:val="en-US"/>
        </w:rPr>
        <w:t xml:space="preserve">ed the progress made by the State authorities in plans to support health care for the parents of the 43 students, which includes a plan for emergency situations. </w:t>
      </w:r>
      <w:r w:rsidR="00EE7CF9" w:rsidRPr="007D47AD">
        <w:rPr>
          <w:rFonts w:asciiTheme="minorHAnsi" w:eastAsia="Times New Roman" w:hAnsiTheme="minorHAnsi"/>
          <w:color w:val="222222"/>
          <w:sz w:val="20"/>
          <w:szCs w:val="20"/>
          <w:lang w:val="en-US"/>
        </w:rPr>
        <w:t xml:space="preserve">In addition, it has followed up on the cases of students </w:t>
      </w:r>
      <w:r w:rsidR="002B0CD6" w:rsidRPr="007D47AD">
        <w:rPr>
          <w:rFonts w:asciiTheme="minorHAnsi" w:eastAsia="Times New Roman" w:hAnsiTheme="minorHAnsi"/>
          <w:color w:val="222222"/>
          <w:sz w:val="20"/>
          <w:szCs w:val="20"/>
          <w:lang w:val="en-US"/>
        </w:rPr>
        <w:t xml:space="preserve">Edgar Vargas </w:t>
      </w:r>
      <w:r w:rsidR="00EE7CF9" w:rsidRPr="007D47AD">
        <w:rPr>
          <w:rFonts w:asciiTheme="minorHAnsi" w:eastAsia="Times New Roman" w:hAnsiTheme="minorHAnsi"/>
          <w:color w:val="222222"/>
          <w:sz w:val="20"/>
          <w:szCs w:val="20"/>
          <w:lang w:val="en-US"/>
        </w:rPr>
        <w:t xml:space="preserve">and </w:t>
      </w:r>
      <w:r w:rsidR="002B0CD6" w:rsidRPr="007D47AD">
        <w:rPr>
          <w:rFonts w:asciiTheme="minorHAnsi" w:eastAsia="Times New Roman" w:hAnsiTheme="minorHAnsi"/>
          <w:color w:val="222222"/>
          <w:sz w:val="20"/>
          <w:szCs w:val="20"/>
          <w:lang w:val="en-US"/>
        </w:rPr>
        <w:t xml:space="preserve">Aldo Gutiérrez, </w:t>
      </w:r>
      <w:r w:rsidR="00770D21" w:rsidRPr="007D47AD">
        <w:rPr>
          <w:rFonts w:asciiTheme="minorHAnsi" w:eastAsia="Times New Roman" w:hAnsiTheme="minorHAnsi"/>
          <w:color w:val="222222"/>
          <w:sz w:val="20"/>
          <w:szCs w:val="20"/>
          <w:lang w:val="en-US"/>
        </w:rPr>
        <w:t xml:space="preserve">and taken </w:t>
      </w:r>
      <w:r w:rsidR="00EE7CF9" w:rsidRPr="007D47AD">
        <w:rPr>
          <w:rFonts w:asciiTheme="minorHAnsi" w:eastAsia="Times New Roman" w:hAnsiTheme="minorHAnsi"/>
          <w:color w:val="222222"/>
          <w:sz w:val="20"/>
          <w:szCs w:val="20"/>
          <w:lang w:val="en-US"/>
        </w:rPr>
        <w:t xml:space="preserve">measures to assist the family members, such as </w:t>
      </w:r>
      <w:r w:rsidR="00770D21" w:rsidRPr="007D47AD">
        <w:rPr>
          <w:rFonts w:asciiTheme="minorHAnsi" w:eastAsia="Times New Roman" w:hAnsiTheme="minorHAnsi"/>
          <w:color w:val="222222"/>
          <w:sz w:val="20"/>
          <w:szCs w:val="20"/>
          <w:lang w:val="en-US"/>
        </w:rPr>
        <w:t xml:space="preserve">putting in place </w:t>
      </w:r>
      <w:r w:rsidR="00EE7CF9" w:rsidRPr="007D47AD">
        <w:rPr>
          <w:rFonts w:asciiTheme="minorHAnsi" w:eastAsia="Times New Roman" w:hAnsiTheme="minorHAnsi"/>
          <w:color w:val="222222"/>
          <w:sz w:val="20"/>
          <w:szCs w:val="20"/>
          <w:lang w:val="en-US"/>
        </w:rPr>
        <w:t xml:space="preserve">care plans. In the context of her second official visit, Commissioner </w:t>
      </w:r>
      <w:r w:rsidR="002B0CD6" w:rsidRPr="007D47AD">
        <w:rPr>
          <w:rFonts w:asciiTheme="minorHAnsi" w:eastAsia="Times New Roman" w:hAnsiTheme="minorHAnsi"/>
          <w:color w:val="222222"/>
          <w:sz w:val="20"/>
          <w:szCs w:val="20"/>
          <w:lang w:val="en-US"/>
        </w:rPr>
        <w:t xml:space="preserve">President Esmeralda Arosemena de Troitiño </w:t>
      </w:r>
      <w:r w:rsidR="00EE7CF9" w:rsidRPr="007D47AD">
        <w:rPr>
          <w:rFonts w:asciiTheme="minorHAnsi" w:eastAsia="Times New Roman" w:hAnsiTheme="minorHAnsi"/>
          <w:color w:val="222222"/>
          <w:sz w:val="20"/>
          <w:szCs w:val="20"/>
          <w:lang w:val="en-US"/>
        </w:rPr>
        <w:t xml:space="preserve">and the </w:t>
      </w:r>
      <w:r w:rsidR="002B0CD6" w:rsidRPr="007D47AD">
        <w:rPr>
          <w:rFonts w:asciiTheme="minorHAnsi" w:eastAsia="Times New Roman" w:hAnsiTheme="minorHAnsi"/>
          <w:color w:val="222222"/>
          <w:sz w:val="20"/>
          <w:szCs w:val="20"/>
          <w:lang w:val="en-US"/>
        </w:rPr>
        <w:t>delega</w:t>
      </w:r>
      <w:r w:rsidR="00EE7CF9" w:rsidRPr="007D47AD">
        <w:rPr>
          <w:rFonts w:asciiTheme="minorHAnsi" w:eastAsia="Times New Roman" w:hAnsiTheme="minorHAnsi"/>
          <w:color w:val="222222"/>
          <w:sz w:val="20"/>
          <w:szCs w:val="20"/>
          <w:lang w:val="en-US"/>
        </w:rPr>
        <w:t xml:space="preserve">tion of the IACHR went to </w:t>
      </w:r>
      <w:r w:rsidR="002B0CD6" w:rsidRPr="007D47AD">
        <w:rPr>
          <w:rFonts w:asciiTheme="minorHAnsi" w:eastAsia="Times New Roman" w:hAnsiTheme="minorHAnsi"/>
          <w:color w:val="222222"/>
          <w:sz w:val="20"/>
          <w:szCs w:val="20"/>
          <w:lang w:val="en-US"/>
        </w:rPr>
        <w:t xml:space="preserve">Ayutla de los Libres, </w:t>
      </w:r>
      <w:r w:rsidR="00EE7CF9" w:rsidRPr="007D47AD">
        <w:rPr>
          <w:rFonts w:asciiTheme="minorHAnsi" w:eastAsia="Times New Roman" w:hAnsiTheme="minorHAnsi"/>
          <w:color w:val="222222"/>
          <w:sz w:val="20"/>
          <w:szCs w:val="20"/>
          <w:lang w:val="en-US"/>
        </w:rPr>
        <w:t xml:space="preserve">in the state of </w:t>
      </w:r>
      <w:r w:rsidR="002B0CD6" w:rsidRPr="007D47AD">
        <w:rPr>
          <w:rFonts w:asciiTheme="minorHAnsi" w:eastAsia="Times New Roman" w:hAnsiTheme="minorHAnsi"/>
          <w:color w:val="222222"/>
          <w:sz w:val="20"/>
          <w:szCs w:val="20"/>
          <w:lang w:val="en-US"/>
        </w:rPr>
        <w:t xml:space="preserve">Guerrero, </w:t>
      </w:r>
      <w:r w:rsidR="00EE7CF9" w:rsidRPr="007D47AD">
        <w:rPr>
          <w:rFonts w:asciiTheme="minorHAnsi" w:eastAsia="Times New Roman" w:hAnsiTheme="minorHAnsi"/>
          <w:color w:val="222222"/>
          <w:sz w:val="20"/>
          <w:szCs w:val="20"/>
          <w:lang w:val="en-US"/>
        </w:rPr>
        <w:t xml:space="preserve">to </w:t>
      </w:r>
      <w:r w:rsidR="002B0CD6" w:rsidRPr="007D47AD">
        <w:rPr>
          <w:rFonts w:asciiTheme="minorHAnsi" w:eastAsia="Times New Roman" w:hAnsiTheme="minorHAnsi"/>
          <w:color w:val="222222"/>
          <w:sz w:val="20"/>
          <w:szCs w:val="20"/>
          <w:lang w:val="en-US"/>
        </w:rPr>
        <w:t xml:space="preserve">visit Aldo Gutiérrez, </w:t>
      </w:r>
      <w:r w:rsidR="00EE7CF9" w:rsidRPr="007D47AD">
        <w:rPr>
          <w:rFonts w:asciiTheme="minorHAnsi" w:eastAsia="Times New Roman" w:hAnsiTheme="minorHAnsi"/>
          <w:color w:val="222222"/>
          <w:sz w:val="20"/>
          <w:szCs w:val="20"/>
          <w:lang w:val="en-US"/>
        </w:rPr>
        <w:t xml:space="preserve">a young man wounded the night of September 26, </w:t>
      </w:r>
      <w:r w:rsidR="002B0CD6" w:rsidRPr="007D47AD">
        <w:rPr>
          <w:rFonts w:asciiTheme="minorHAnsi" w:eastAsia="Times New Roman" w:hAnsiTheme="minorHAnsi"/>
          <w:color w:val="222222"/>
          <w:sz w:val="20"/>
          <w:szCs w:val="20"/>
          <w:lang w:val="en-US"/>
        </w:rPr>
        <w:t xml:space="preserve">2014, </w:t>
      </w:r>
      <w:r w:rsidR="00EE7CF9" w:rsidRPr="007D47AD">
        <w:rPr>
          <w:rFonts w:asciiTheme="minorHAnsi" w:eastAsia="Times New Roman" w:hAnsiTheme="minorHAnsi"/>
          <w:color w:val="222222"/>
          <w:sz w:val="20"/>
          <w:szCs w:val="20"/>
          <w:lang w:val="en-US"/>
        </w:rPr>
        <w:t xml:space="preserve">and his family. The Mechanism visited the house where </w:t>
      </w:r>
      <w:r w:rsidR="002B0CD6" w:rsidRPr="007D47AD">
        <w:rPr>
          <w:rFonts w:asciiTheme="minorHAnsi" w:eastAsia="Times New Roman" w:hAnsiTheme="minorHAnsi"/>
          <w:color w:val="222222"/>
          <w:sz w:val="20"/>
          <w:szCs w:val="20"/>
          <w:lang w:val="en-US"/>
        </w:rPr>
        <w:t>Aldo Gutiérrez</w:t>
      </w:r>
      <w:r w:rsidR="00EE7CF9" w:rsidRPr="007D47AD">
        <w:rPr>
          <w:rFonts w:asciiTheme="minorHAnsi" w:eastAsia="Times New Roman" w:hAnsiTheme="minorHAnsi"/>
          <w:color w:val="222222"/>
          <w:sz w:val="20"/>
          <w:szCs w:val="20"/>
          <w:lang w:val="en-US"/>
        </w:rPr>
        <w:t xml:space="preserve"> is</w:t>
      </w:r>
      <w:r w:rsidR="002B0CD6" w:rsidRPr="007D47AD">
        <w:rPr>
          <w:rFonts w:asciiTheme="minorHAnsi" w:eastAsia="Times New Roman" w:hAnsiTheme="minorHAnsi"/>
          <w:color w:val="222222"/>
          <w:sz w:val="20"/>
          <w:szCs w:val="20"/>
          <w:lang w:val="en-US"/>
        </w:rPr>
        <w:t xml:space="preserve">, </w:t>
      </w:r>
      <w:r w:rsidR="00EE7CF9" w:rsidRPr="007D47AD">
        <w:rPr>
          <w:rFonts w:asciiTheme="minorHAnsi" w:eastAsia="Times New Roman" w:hAnsiTheme="minorHAnsi"/>
          <w:color w:val="222222"/>
          <w:sz w:val="20"/>
          <w:szCs w:val="20"/>
          <w:lang w:val="en-US"/>
        </w:rPr>
        <w:t xml:space="preserve">which </w:t>
      </w:r>
      <w:r w:rsidR="00EE7CF9" w:rsidRPr="007D47AD">
        <w:rPr>
          <w:rFonts w:asciiTheme="minorHAnsi" w:eastAsia="Times New Roman" w:hAnsiTheme="minorHAnsi"/>
          <w:color w:val="222222"/>
          <w:sz w:val="20"/>
          <w:szCs w:val="20"/>
          <w:lang w:val="en-US"/>
        </w:rPr>
        <w:lastRenderedPageBreak/>
        <w:t xml:space="preserve">was designed and built so that he could receive the medical care he needs in a place situated near his family members. The delegation also met the personal physician and family members and their representatives to discuss the evolution of his health since he was transferred from Mexico City to his new home. </w:t>
      </w:r>
    </w:p>
    <w:p w:rsidR="00D06454" w:rsidRPr="007D47AD" w:rsidRDefault="002B0CD6" w:rsidP="00D06454">
      <w:pPr>
        <w:numPr>
          <w:ilvl w:val="0"/>
          <w:numId w:val="6"/>
        </w:numPr>
        <w:shd w:val="clear" w:color="auto" w:fill="FFFFFF"/>
        <w:spacing w:after="240" w:line="240" w:lineRule="auto"/>
        <w:ind w:left="0" w:firstLine="720"/>
        <w:jc w:val="both"/>
        <w:rPr>
          <w:rFonts w:asciiTheme="minorHAnsi" w:eastAsia="Times New Roman" w:hAnsiTheme="minorHAnsi"/>
          <w:color w:val="222222"/>
          <w:sz w:val="20"/>
          <w:szCs w:val="20"/>
          <w:lang w:val="en-US"/>
        </w:rPr>
      </w:pPr>
      <w:r w:rsidRPr="007D47AD">
        <w:rPr>
          <w:rFonts w:asciiTheme="minorHAnsi" w:eastAsia="Times New Roman" w:hAnsiTheme="minorHAnsi"/>
          <w:color w:val="222222"/>
          <w:sz w:val="20"/>
          <w:szCs w:val="20"/>
          <w:lang w:val="en-US"/>
        </w:rPr>
        <w:t>Rela</w:t>
      </w:r>
      <w:r w:rsidR="00EE7CF9" w:rsidRPr="007D47AD">
        <w:rPr>
          <w:rFonts w:asciiTheme="minorHAnsi" w:eastAsia="Times New Roman" w:hAnsiTheme="minorHAnsi"/>
          <w:color w:val="222222"/>
          <w:sz w:val="20"/>
          <w:szCs w:val="20"/>
          <w:lang w:val="en-US"/>
        </w:rPr>
        <w:t xml:space="preserve">ted to the structural measures, the Commission has followed up on the proposal to establish a Special Mechanism for Forensic Identification for Mexico. On May </w:t>
      </w:r>
      <w:r w:rsidRPr="007D47AD">
        <w:rPr>
          <w:rFonts w:asciiTheme="minorHAnsi" w:eastAsia="Times New Roman" w:hAnsiTheme="minorHAnsi"/>
          <w:color w:val="222222"/>
          <w:sz w:val="20"/>
          <w:szCs w:val="20"/>
          <w:lang w:val="en-US"/>
        </w:rPr>
        <w:t>9</w:t>
      </w:r>
      <w:r w:rsidR="00EE7CF9" w:rsidRPr="007D47AD">
        <w:rPr>
          <w:rFonts w:asciiTheme="minorHAnsi" w:eastAsia="Times New Roman" w:hAnsiTheme="minorHAnsi"/>
          <w:color w:val="222222"/>
          <w:sz w:val="20"/>
          <w:szCs w:val="20"/>
          <w:lang w:val="en-US"/>
        </w:rPr>
        <w:t>,</w:t>
      </w:r>
      <w:r w:rsidRPr="007D47AD">
        <w:rPr>
          <w:rFonts w:asciiTheme="minorHAnsi" w:eastAsia="Times New Roman" w:hAnsiTheme="minorHAnsi"/>
          <w:color w:val="222222"/>
          <w:sz w:val="20"/>
          <w:szCs w:val="20"/>
          <w:lang w:val="en-US"/>
        </w:rPr>
        <w:t xml:space="preserve"> 2019, </w:t>
      </w:r>
      <w:r w:rsidR="00EE7CF9" w:rsidRPr="007D47AD">
        <w:rPr>
          <w:rFonts w:asciiTheme="minorHAnsi" w:eastAsia="Times New Roman" w:hAnsiTheme="minorHAnsi"/>
          <w:color w:val="222222"/>
          <w:sz w:val="20"/>
          <w:szCs w:val="20"/>
          <w:lang w:val="en-US"/>
        </w:rPr>
        <w:t xml:space="preserve">as already indicated, a hearing was held on Forced Disappearances and </w:t>
      </w:r>
      <w:r w:rsidR="007C1408" w:rsidRPr="007D47AD">
        <w:rPr>
          <w:rFonts w:asciiTheme="minorHAnsi" w:eastAsia="Times New Roman" w:hAnsiTheme="minorHAnsi"/>
          <w:color w:val="222222"/>
          <w:sz w:val="20"/>
          <w:szCs w:val="20"/>
          <w:lang w:val="en-US"/>
        </w:rPr>
        <w:t xml:space="preserve">the </w:t>
      </w:r>
      <w:r w:rsidR="00EE7CF9" w:rsidRPr="007D47AD">
        <w:rPr>
          <w:rFonts w:asciiTheme="minorHAnsi" w:eastAsia="Times New Roman" w:hAnsiTheme="minorHAnsi"/>
          <w:color w:val="222222"/>
          <w:sz w:val="20"/>
          <w:szCs w:val="20"/>
          <w:lang w:val="en-US"/>
        </w:rPr>
        <w:t xml:space="preserve">Proposed Special Mechanism for Forensic Identification for </w:t>
      </w:r>
      <w:r w:rsidRPr="007D47AD">
        <w:rPr>
          <w:rFonts w:asciiTheme="minorHAnsi" w:eastAsia="Times New Roman" w:hAnsiTheme="minorHAnsi"/>
          <w:color w:val="222222"/>
          <w:sz w:val="20"/>
          <w:szCs w:val="20"/>
          <w:lang w:val="en-US"/>
        </w:rPr>
        <w:t>M</w:t>
      </w:r>
      <w:r w:rsidR="00EE7CF9" w:rsidRPr="007D47AD">
        <w:rPr>
          <w:rFonts w:asciiTheme="minorHAnsi" w:eastAsia="Times New Roman" w:hAnsiTheme="minorHAnsi"/>
          <w:color w:val="222222"/>
          <w:sz w:val="20"/>
          <w:szCs w:val="20"/>
          <w:lang w:val="en-US"/>
        </w:rPr>
        <w:t>e</w:t>
      </w:r>
      <w:r w:rsidRPr="007D47AD">
        <w:rPr>
          <w:rFonts w:asciiTheme="minorHAnsi" w:eastAsia="Times New Roman" w:hAnsiTheme="minorHAnsi"/>
          <w:color w:val="222222"/>
          <w:sz w:val="20"/>
          <w:szCs w:val="20"/>
          <w:lang w:val="en-US"/>
        </w:rPr>
        <w:t xml:space="preserve">xico, </w:t>
      </w:r>
      <w:r w:rsidR="00EE7CF9" w:rsidRPr="007D47AD">
        <w:rPr>
          <w:rFonts w:asciiTheme="minorHAnsi" w:eastAsia="Times New Roman" w:hAnsiTheme="minorHAnsi"/>
          <w:color w:val="222222"/>
          <w:sz w:val="20"/>
          <w:szCs w:val="20"/>
          <w:lang w:val="en-US"/>
        </w:rPr>
        <w:t xml:space="preserve">at the request of several organizations that represent </w:t>
      </w:r>
      <w:r w:rsidR="007C1408" w:rsidRPr="007D47AD">
        <w:rPr>
          <w:rFonts w:asciiTheme="minorHAnsi" w:eastAsia="Times New Roman" w:hAnsiTheme="minorHAnsi"/>
          <w:color w:val="222222"/>
          <w:sz w:val="20"/>
          <w:szCs w:val="20"/>
          <w:lang w:val="en-US"/>
        </w:rPr>
        <w:t xml:space="preserve">groupings </w:t>
      </w:r>
      <w:r w:rsidR="00EE7CF9" w:rsidRPr="007D47AD">
        <w:rPr>
          <w:rFonts w:asciiTheme="minorHAnsi" w:eastAsia="Times New Roman" w:hAnsiTheme="minorHAnsi"/>
          <w:color w:val="222222"/>
          <w:sz w:val="20"/>
          <w:szCs w:val="20"/>
          <w:lang w:val="en-US"/>
        </w:rPr>
        <w:t xml:space="preserve">of family members of disappeared persons in Mexico. </w:t>
      </w:r>
      <w:r w:rsidR="001A6A93" w:rsidRPr="007D47AD">
        <w:rPr>
          <w:rFonts w:asciiTheme="minorHAnsi" w:eastAsia="Times New Roman" w:hAnsiTheme="minorHAnsi"/>
          <w:color w:val="222222"/>
          <w:sz w:val="20"/>
          <w:szCs w:val="20"/>
          <w:lang w:val="en-US"/>
        </w:rPr>
        <w:t xml:space="preserve">Civil society said that there is a forensic crisis and highlighted the importance of establishing a special mechanism to tackle it, as indicated in the section on recommendations on forced disappearance. On July </w:t>
      </w:r>
      <w:r w:rsidRPr="007D47AD">
        <w:rPr>
          <w:rFonts w:asciiTheme="minorHAnsi" w:eastAsia="Times New Roman" w:hAnsiTheme="minorHAnsi"/>
          <w:color w:val="222222"/>
          <w:sz w:val="20"/>
          <w:szCs w:val="20"/>
          <w:lang w:val="en-US"/>
        </w:rPr>
        <w:t>30</w:t>
      </w:r>
      <w:r w:rsidR="001A6A93" w:rsidRPr="007D47AD">
        <w:rPr>
          <w:rFonts w:asciiTheme="minorHAnsi" w:eastAsia="Times New Roman" w:hAnsiTheme="minorHAnsi"/>
          <w:color w:val="222222"/>
          <w:sz w:val="20"/>
          <w:szCs w:val="20"/>
          <w:lang w:val="en-US"/>
        </w:rPr>
        <w:t>,</w:t>
      </w:r>
      <w:r w:rsidRPr="007D47AD">
        <w:rPr>
          <w:rFonts w:asciiTheme="minorHAnsi" w:eastAsia="Times New Roman" w:hAnsiTheme="minorHAnsi"/>
          <w:color w:val="222222"/>
          <w:sz w:val="20"/>
          <w:szCs w:val="20"/>
          <w:lang w:val="en-US"/>
        </w:rPr>
        <w:t xml:space="preserve"> 2019, </w:t>
      </w:r>
      <w:r w:rsidR="001A6A93" w:rsidRPr="007D47AD">
        <w:rPr>
          <w:rFonts w:asciiTheme="minorHAnsi" w:eastAsia="Times New Roman" w:hAnsiTheme="minorHAnsi"/>
          <w:color w:val="222222"/>
          <w:sz w:val="20"/>
          <w:szCs w:val="20"/>
          <w:lang w:val="en-US"/>
        </w:rPr>
        <w:t>the IACHR called a meeting to follow up on the thematic hearing to continue the dialogue and make progress in the process of understanding between civil society and the State. The Office of the United Nations High Commissioner in Mexico and the Office of the I</w:t>
      </w:r>
      <w:r w:rsidR="007C1408" w:rsidRPr="007D47AD">
        <w:rPr>
          <w:rFonts w:asciiTheme="minorHAnsi" w:eastAsia="Times New Roman" w:hAnsiTheme="minorHAnsi"/>
          <w:color w:val="222222"/>
          <w:sz w:val="20"/>
          <w:szCs w:val="20"/>
          <w:lang w:val="en-US"/>
        </w:rPr>
        <w:t>nternational Committee of the Red Cross (I</w:t>
      </w:r>
      <w:r w:rsidR="001A6A93" w:rsidRPr="007D47AD">
        <w:rPr>
          <w:rFonts w:asciiTheme="minorHAnsi" w:eastAsia="Times New Roman" w:hAnsiTheme="minorHAnsi"/>
          <w:color w:val="222222"/>
          <w:sz w:val="20"/>
          <w:szCs w:val="20"/>
          <w:lang w:val="en-US"/>
        </w:rPr>
        <w:t>CRC</w:t>
      </w:r>
      <w:r w:rsidR="007C1408" w:rsidRPr="007D47AD">
        <w:rPr>
          <w:rFonts w:asciiTheme="minorHAnsi" w:eastAsia="Times New Roman" w:hAnsiTheme="minorHAnsi"/>
          <w:color w:val="222222"/>
          <w:sz w:val="20"/>
          <w:szCs w:val="20"/>
          <w:lang w:val="en-US"/>
        </w:rPr>
        <w:t>)</w:t>
      </w:r>
      <w:r w:rsidR="001A6A93" w:rsidRPr="007D47AD">
        <w:rPr>
          <w:rFonts w:asciiTheme="minorHAnsi" w:eastAsia="Times New Roman" w:hAnsiTheme="minorHAnsi"/>
          <w:color w:val="222222"/>
          <w:sz w:val="20"/>
          <w:szCs w:val="20"/>
          <w:lang w:val="en-US"/>
        </w:rPr>
        <w:t xml:space="preserve"> in the country both accompanied the process. </w:t>
      </w:r>
    </w:p>
    <w:p w:rsidR="002B0CD6" w:rsidRPr="007D47AD" w:rsidRDefault="001A6A93" w:rsidP="00D06454">
      <w:pPr>
        <w:numPr>
          <w:ilvl w:val="0"/>
          <w:numId w:val="6"/>
        </w:numPr>
        <w:shd w:val="clear" w:color="auto" w:fill="FFFFFF"/>
        <w:spacing w:after="240" w:line="240" w:lineRule="auto"/>
        <w:ind w:left="0" w:firstLine="720"/>
        <w:jc w:val="both"/>
        <w:rPr>
          <w:rFonts w:asciiTheme="minorHAnsi" w:eastAsia="Times New Roman" w:hAnsiTheme="minorHAnsi"/>
          <w:color w:val="222222"/>
          <w:sz w:val="20"/>
          <w:szCs w:val="20"/>
          <w:lang w:val="en-US"/>
        </w:rPr>
      </w:pPr>
      <w:r w:rsidRPr="007D47AD">
        <w:rPr>
          <w:rFonts w:asciiTheme="minorHAnsi" w:eastAsia="Times New Roman" w:hAnsiTheme="minorHAnsi"/>
          <w:color w:val="222222"/>
          <w:sz w:val="20"/>
          <w:szCs w:val="20"/>
          <w:lang w:val="en-US"/>
        </w:rPr>
        <w:t>The IACHR will continue participating and performing its monitoring and technical assistance functions with respect to the tasks entailed in searching, investigating, assisting victims, and establishing structural measures of non-repetition, pursuant to the precautionary measure</w:t>
      </w:r>
      <w:r w:rsidR="00433427" w:rsidRPr="007D47AD">
        <w:rPr>
          <w:rFonts w:asciiTheme="minorHAnsi" w:eastAsia="Times New Roman" w:hAnsiTheme="minorHAnsi"/>
          <w:color w:val="222222"/>
          <w:sz w:val="20"/>
          <w:szCs w:val="20"/>
          <w:lang w:val="en-US"/>
        </w:rPr>
        <w:t>s</w:t>
      </w:r>
      <w:r w:rsidRPr="007D47AD">
        <w:rPr>
          <w:rFonts w:asciiTheme="minorHAnsi" w:eastAsia="Times New Roman" w:hAnsiTheme="minorHAnsi"/>
          <w:color w:val="222222"/>
          <w:sz w:val="20"/>
          <w:szCs w:val="20"/>
          <w:lang w:val="en-US"/>
        </w:rPr>
        <w:t xml:space="preserve"> for </w:t>
      </w:r>
      <w:r w:rsidR="00B54A97" w:rsidRPr="007D47AD">
        <w:rPr>
          <w:rFonts w:asciiTheme="minorHAnsi" w:eastAsia="Times New Roman" w:hAnsiTheme="minorHAnsi"/>
          <w:color w:val="222222"/>
          <w:sz w:val="20"/>
          <w:szCs w:val="20"/>
          <w:lang w:val="en-US"/>
        </w:rPr>
        <w:t xml:space="preserve">43 </w:t>
      </w:r>
      <w:r w:rsidRPr="007D47AD">
        <w:rPr>
          <w:rFonts w:asciiTheme="minorHAnsi" w:eastAsia="Times New Roman" w:hAnsiTheme="minorHAnsi"/>
          <w:color w:val="222222"/>
          <w:sz w:val="20"/>
          <w:szCs w:val="20"/>
          <w:lang w:val="en-US"/>
        </w:rPr>
        <w:t xml:space="preserve">disappeared students and their families, and its mandates pursuant to the American Convention and other inter-American human rights treaties. </w:t>
      </w:r>
    </w:p>
    <w:p w:rsidR="009C095D" w:rsidRPr="007D47AD" w:rsidRDefault="009C095D" w:rsidP="00E472A2">
      <w:pPr>
        <w:pStyle w:val="Heading2"/>
        <w:numPr>
          <w:ilvl w:val="0"/>
          <w:numId w:val="9"/>
        </w:numPr>
        <w:ind w:left="1440" w:hanging="720"/>
        <w:rPr>
          <w:rFonts w:asciiTheme="minorHAnsi" w:hAnsiTheme="minorHAnsi"/>
          <w:sz w:val="20"/>
          <w:lang w:val="en-US"/>
        </w:rPr>
      </w:pPr>
      <w:bookmarkStart w:id="3" w:name="_Toc442935318"/>
      <w:r w:rsidRPr="007D47AD">
        <w:rPr>
          <w:rFonts w:asciiTheme="minorHAnsi" w:hAnsiTheme="minorHAnsi"/>
          <w:sz w:val="20"/>
          <w:lang w:val="en-US"/>
        </w:rPr>
        <w:t>Tortur</w:t>
      </w:r>
      <w:r w:rsidR="001A6A93" w:rsidRPr="007D47AD">
        <w:rPr>
          <w:rFonts w:asciiTheme="minorHAnsi" w:hAnsiTheme="minorHAnsi"/>
          <w:sz w:val="20"/>
          <w:lang w:val="en-US"/>
        </w:rPr>
        <w:t>e</w:t>
      </w:r>
    </w:p>
    <w:p w:rsidR="009C095D" w:rsidRPr="007D47AD" w:rsidRDefault="009C095D" w:rsidP="00E472A2">
      <w:pPr>
        <w:pStyle w:val="Numberedparagraphs"/>
        <w:numPr>
          <w:ilvl w:val="0"/>
          <w:numId w:val="12"/>
        </w:numPr>
        <w:shd w:val="clear" w:color="auto" w:fill="D9D9D9"/>
        <w:spacing w:after="0"/>
        <w:ind w:hanging="720"/>
        <w:rPr>
          <w:rFonts w:asciiTheme="minorHAnsi" w:hAnsiTheme="minorHAnsi"/>
          <w:lang w:val="en-US"/>
        </w:rPr>
      </w:pPr>
      <w:r w:rsidRPr="007D47AD">
        <w:rPr>
          <w:rFonts w:asciiTheme="minorHAnsi" w:hAnsiTheme="minorHAnsi"/>
          <w:lang w:val="en-US"/>
        </w:rPr>
        <w:t>Adopt</w:t>
      </w:r>
      <w:r w:rsidR="009D28D1" w:rsidRPr="007D47AD">
        <w:rPr>
          <w:rFonts w:asciiTheme="minorHAnsi" w:hAnsiTheme="minorHAnsi"/>
          <w:lang w:val="en-US"/>
        </w:rPr>
        <w:t xml:space="preserve"> a </w:t>
      </w:r>
      <w:r w:rsidRPr="007D47AD">
        <w:rPr>
          <w:rFonts w:asciiTheme="minorHAnsi" w:hAnsiTheme="minorHAnsi"/>
          <w:lang w:val="en-US"/>
        </w:rPr>
        <w:t xml:space="preserve">General </w:t>
      </w:r>
      <w:r w:rsidR="009D28D1" w:rsidRPr="007D47AD">
        <w:rPr>
          <w:rFonts w:asciiTheme="minorHAnsi" w:hAnsiTheme="minorHAnsi"/>
          <w:lang w:val="en-US"/>
        </w:rPr>
        <w:t>Law against Torture and other cruel, inhuman or degrading treatment or punishment, and adopt all necessary measures to ensure that both at the federal and state level</w:t>
      </w:r>
      <w:r w:rsidR="00433427" w:rsidRPr="007D47AD">
        <w:rPr>
          <w:rFonts w:asciiTheme="minorHAnsi" w:hAnsiTheme="minorHAnsi"/>
          <w:lang w:val="en-US"/>
        </w:rPr>
        <w:t>s</w:t>
      </w:r>
      <w:r w:rsidR="009D28D1" w:rsidRPr="007D47AD">
        <w:rPr>
          <w:rFonts w:asciiTheme="minorHAnsi" w:hAnsiTheme="minorHAnsi"/>
          <w:lang w:val="en-US"/>
        </w:rPr>
        <w:t xml:space="preserve"> the laws and practices comply with international standards on the subject, particularly the Inter-American Convention to Prevent and Punish Torture and the Optional Protocol to the UN Convention Against Torture</w:t>
      </w:r>
      <w:r w:rsidRPr="007D47AD">
        <w:rPr>
          <w:rFonts w:asciiTheme="minorHAnsi" w:hAnsiTheme="minorHAnsi"/>
          <w:lang w:val="en-US"/>
        </w:rPr>
        <w:t>.</w:t>
      </w:r>
    </w:p>
    <w:p w:rsidR="009C095D" w:rsidRPr="007D47AD" w:rsidRDefault="009D28D1" w:rsidP="00E472A2">
      <w:pPr>
        <w:pStyle w:val="Numberedparagraphs"/>
        <w:numPr>
          <w:ilvl w:val="0"/>
          <w:numId w:val="12"/>
        </w:numPr>
        <w:shd w:val="clear" w:color="auto" w:fill="D9D9D9"/>
        <w:spacing w:after="0"/>
        <w:ind w:hanging="720"/>
        <w:rPr>
          <w:rFonts w:asciiTheme="minorHAnsi" w:hAnsiTheme="minorHAnsi"/>
          <w:lang w:val="en-US"/>
        </w:rPr>
      </w:pPr>
      <w:r w:rsidRPr="007D47AD">
        <w:rPr>
          <w:rFonts w:asciiTheme="minorHAnsi" w:hAnsiTheme="minorHAnsi"/>
          <w:lang w:val="en-US"/>
        </w:rPr>
        <w:t xml:space="preserve">In </w:t>
      </w:r>
      <w:r w:rsidR="009C095D" w:rsidRPr="007D47AD">
        <w:rPr>
          <w:rFonts w:asciiTheme="minorHAnsi" w:hAnsiTheme="minorHAnsi"/>
          <w:lang w:val="en-US"/>
        </w:rPr>
        <w:t xml:space="preserve">particular, </w:t>
      </w:r>
      <w:r w:rsidRPr="007D47AD">
        <w:rPr>
          <w:rFonts w:asciiTheme="minorHAnsi" w:hAnsiTheme="minorHAnsi"/>
          <w:lang w:val="en-US"/>
        </w:rPr>
        <w:t>ensure that the General Law against Torture excludes “evidence” or “confessions” obtained through the use of torture from the criminal process of the tortured person and of other persons implicated in such confessions. Establish clearly in the law that the prosecution has the burden of proof to prove the lawfulness of any questioned evidence or confession</w:t>
      </w:r>
      <w:r w:rsidR="009C095D" w:rsidRPr="007D47AD">
        <w:rPr>
          <w:rFonts w:asciiTheme="minorHAnsi" w:hAnsiTheme="minorHAnsi"/>
          <w:lang w:val="en-US" w:eastAsia="es-ES"/>
        </w:rPr>
        <w:t>.</w:t>
      </w:r>
    </w:p>
    <w:p w:rsidR="009C095D" w:rsidRPr="007D47AD" w:rsidRDefault="009C095D" w:rsidP="00E472A2">
      <w:pPr>
        <w:pStyle w:val="Numberedparagraphs"/>
        <w:numPr>
          <w:ilvl w:val="0"/>
          <w:numId w:val="12"/>
        </w:numPr>
        <w:shd w:val="clear" w:color="auto" w:fill="D9D9D9"/>
        <w:spacing w:after="0"/>
        <w:ind w:hanging="720"/>
        <w:rPr>
          <w:rFonts w:asciiTheme="minorHAnsi" w:hAnsiTheme="minorHAnsi"/>
          <w:lang w:val="en-US"/>
        </w:rPr>
      </w:pPr>
      <w:r w:rsidRPr="007D47AD">
        <w:rPr>
          <w:rFonts w:asciiTheme="minorHAnsi" w:hAnsiTheme="minorHAnsi"/>
          <w:lang w:val="en-US"/>
        </w:rPr>
        <w:t>Crea</w:t>
      </w:r>
      <w:r w:rsidR="009D28D1" w:rsidRPr="007D47AD">
        <w:rPr>
          <w:rFonts w:asciiTheme="minorHAnsi" w:hAnsiTheme="minorHAnsi"/>
          <w:lang w:val="en-US"/>
        </w:rPr>
        <w:t>te a Single National Registry of detained persons and ensure that such persons are taken immediately before a judge under risk of sanctions for failure to do so</w:t>
      </w:r>
      <w:r w:rsidRPr="007D47AD">
        <w:rPr>
          <w:rFonts w:asciiTheme="minorHAnsi" w:hAnsiTheme="minorHAnsi"/>
          <w:lang w:val="en-US"/>
        </w:rPr>
        <w:t>.</w:t>
      </w:r>
    </w:p>
    <w:p w:rsidR="009C095D" w:rsidRPr="007D47AD" w:rsidRDefault="009C095D" w:rsidP="00E472A2">
      <w:pPr>
        <w:pStyle w:val="Numberedparagraphs"/>
        <w:numPr>
          <w:ilvl w:val="0"/>
          <w:numId w:val="12"/>
        </w:numPr>
        <w:shd w:val="clear" w:color="auto" w:fill="D9D9D9"/>
        <w:spacing w:after="0"/>
        <w:ind w:hanging="720"/>
        <w:rPr>
          <w:rFonts w:asciiTheme="minorHAnsi" w:hAnsiTheme="minorHAnsi"/>
          <w:lang w:val="en-US"/>
        </w:rPr>
      </w:pPr>
      <w:r w:rsidRPr="007D47AD">
        <w:rPr>
          <w:rFonts w:asciiTheme="minorHAnsi" w:hAnsiTheme="minorHAnsi"/>
          <w:lang w:val="en-US"/>
        </w:rPr>
        <w:t>Investiga</w:t>
      </w:r>
      <w:r w:rsidR="009D28D1" w:rsidRPr="007D47AD">
        <w:rPr>
          <w:rFonts w:asciiTheme="minorHAnsi" w:hAnsiTheme="minorHAnsi"/>
          <w:lang w:val="en-US"/>
        </w:rPr>
        <w:t xml:space="preserve">te cases in which judges have not ordered an investigation where there are reports of indications that torture or mistreatment took place. Ensure that the Istanbul Protocol is applied at the national level by competent and independent authorities in an expedited manner and under risk of sanctions for failure to do so. </w:t>
      </w:r>
    </w:p>
    <w:p w:rsidR="009C095D" w:rsidRPr="007D47AD" w:rsidRDefault="009C095D" w:rsidP="00E472A2">
      <w:pPr>
        <w:pStyle w:val="Numberedparagraphs"/>
        <w:numPr>
          <w:ilvl w:val="0"/>
          <w:numId w:val="12"/>
        </w:numPr>
        <w:shd w:val="clear" w:color="auto" w:fill="D9D9D9"/>
        <w:spacing w:after="0"/>
        <w:ind w:hanging="720"/>
        <w:rPr>
          <w:rFonts w:asciiTheme="minorHAnsi" w:hAnsiTheme="minorHAnsi"/>
          <w:lang w:val="en-US"/>
        </w:rPr>
      </w:pPr>
      <w:r w:rsidRPr="007D47AD">
        <w:rPr>
          <w:rFonts w:asciiTheme="minorHAnsi" w:hAnsiTheme="minorHAnsi"/>
          <w:lang w:val="en-US"/>
        </w:rPr>
        <w:t>Establ</w:t>
      </w:r>
      <w:r w:rsidR="009D28D1" w:rsidRPr="007D47AD">
        <w:rPr>
          <w:rFonts w:asciiTheme="minorHAnsi" w:hAnsiTheme="minorHAnsi"/>
          <w:lang w:val="en-US"/>
        </w:rPr>
        <w:t>ish the mandatory use of cameras and other security protocols during investigations and inside police vehicles</w:t>
      </w:r>
      <w:r w:rsidR="00433427" w:rsidRPr="007D47AD">
        <w:rPr>
          <w:rFonts w:asciiTheme="minorHAnsi" w:hAnsiTheme="minorHAnsi"/>
          <w:lang w:val="en-US"/>
        </w:rPr>
        <w:t xml:space="preserve"> </w:t>
      </w:r>
      <w:r w:rsidR="009D28D1" w:rsidRPr="007D47AD">
        <w:rPr>
          <w:rFonts w:asciiTheme="minorHAnsi" w:hAnsiTheme="minorHAnsi"/>
          <w:lang w:val="en-US"/>
        </w:rPr>
        <w:t>as a measure to prevent torture and other cruel, inhuman and degrading treatment</w:t>
      </w:r>
      <w:r w:rsidRPr="007D47AD">
        <w:rPr>
          <w:rFonts w:asciiTheme="minorHAnsi" w:hAnsiTheme="minorHAnsi"/>
          <w:lang w:val="en-US"/>
        </w:rPr>
        <w:t>.</w:t>
      </w:r>
    </w:p>
    <w:p w:rsidR="009C095D" w:rsidRPr="007D47AD" w:rsidRDefault="009C095D" w:rsidP="00E472A2">
      <w:pPr>
        <w:pStyle w:val="Numberedparagraphs"/>
        <w:numPr>
          <w:ilvl w:val="0"/>
          <w:numId w:val="12"/>
        </w:numPr>
        <w:shd w:val="clear" w:color="auto" w:fill="D9D9D9"/>
        <w:spacing w:after="0"/>
        <w:ind w:hanging="720"/>
        <w:rPr>
          <w:rFonts w:asciiTheme="minorHAnsi" w:hAnsiTheme="minorHAnsi"/>
          <w:lang w:val="en-US"/>
        </w:rPr>
      </w:pPr>
      <w:r w:rsidRPr="007D47AD">
        <w:rPr>
          <w:rFonts w:asciiTheme="minorHAnsi" w:hAnsiTheme="minorHAnsi"/>
          <w:lang w:val="en-US"/>
        </w:rPr>
        <w:t>Establ</w:t>
      </w:r>
      <w:r w:rsidR="009D28D1" w:rsidRPr="007D47AD">
        <w:rPr>
          <w:rFonts w:asciiTheme="minorHAnsi" w:hAnsiTheme="minorHAnsi"/>
          <w:lang w:val="en-US"/>
        </w:rPr>
        <w:t xml:space="preserve">ish federal and state-level guidelines regarding the collection of uniform statistics </w:t>
      </w:r>
      <w:r w:rsidR="00433427" w:rsidRPr="007D47AD">
        <w:rPr>
          <w:rFonts w:asciiTheme="minorHAnsi" w:hAnsiTheme="minorHAnsi"/>
          <w:lang w:val="en-US"/>
        </w:rPr>
        <w:t xml:space="preserve">concerning </w:t>
      </w:r>
      <w:r w:rsidR="009D28D1" w:rsidRPr="007D47AD">
        <w:rPr>
          <w:rFonts w:asciiTheme="minorHAnsi" w:hAnsiTheme="minorHAnsi"/>
          <w:lang w:val="en-US"/>
        </w:rPr>
        <w:t>gross human rights violations. In particular, the State should improve its system to compile information that is disaggregated</w:t>
      </w:r>
      <w:r w:rsidR="002C7B82" w:rsidRPr="007D47AD">
        <w:rPr>
          <w:rFonts w:asciiTheme="minorHAnsi" w:hAnsiTheme="minorHAnsi"/>
          <w:lang w:val="en-US"/>
        </w:rPr>
        <w:t xml:space="preserve"> and </w:t>
      </w:r>
      <w:r w:rsidR="009D28D1" w:rsidRPr="007D47AD">
        <w:rPr>
          <w:rFonts w:asciiTheme="minorHAnsi" w:hAnsiTheme="minorHAnsi"/>
          <w:lang w:val="en-US"/>
        </w:rPr>
        <w:t>transparent and that follows a consistent methodology</w:t>
      </w:r>
      <w:r w:rsidRPr="007D47AD">
        <w:rPr>
          <w:rFonts w:asciiTheme="minorHAnsi" w:hAnsiTheme="minorHAnsi"/>
          <w:lang w:val="en-US"/>
        </w:rPr>
        <w:t xml:space="preserve">. </w:t>
      </w:r>
    </w:p>
    <w:p w:rsidR="009C095D" w:rsidRPr="007D47AD" w:rsidRDefault="009C095D" w:rsidP="00E472A2">
      <w:pPr>
        <w:pStyle w:val="Numberedparagraphs"/>
        <w:numPr>
          <w:ilvl w:val="0"/>
          <w:numId w:val="12"/>
        </w:numPr>
        <w:shd w:val="clear" w:color="auto" w:fill="D9D9D9"/>
        <w:spacing w:after="0"/>
        <w:ind w:hanging="720"/>
        <w:rPr>
          <w:rFonts w:asciiTheme="minorHAnsi" w:hAnsiTheme="minorHAnsi"/>
          <w:lang w:val="en-US"/>
        </w:rPr>
      </w:pPr>
      <w:r w:rsidRPr="007D47AD">
        <w:rPr>
          <w:rFonts w:asciiTheme="minorHAnsi" w:hAnsiTheme="minorHAnsi"/>
          <w:lang w:val="en-US"/>
        </w:rPr>
        <w:t>Elimina</w:t>
      </w:r>
      <w:r w:rsidR="009D28D1" w:rsidRPr="007D47AD">
        <w:rPr>
          <w:rFonts w:asciiTheme="minorHAnsi" w:hAnsiTheme="minorHAnsi"/>
          <w:lang w:val="en-US"/>
        </w:rPr>
        <w:t>te</w:t>
      </w:r>
      <w:r w:rsidRPr="007D47AD">
        <w:rPr>
          <w:rFonts w:asciiTheme="minorHAnsi" w:hAnsiTheme="minorHAnsi"/>
          <w:lang w:val="en-US"/>
        </w:rPr>
        <w:t xml:space="preserve"> </w:t>
      </w:r>
      <w:r w:rsidR="009D28D1" w:rsidRPr="007D47AD">
        <w:rPr>
          <w:rFonts w:asciiTheme="minorHAnsi" w:hAnsiTheme="minorHAnsi"/>
          <w:lang w:val="en-US"/>
        </w:rPr>
        <w:t>“</w:t>
      </w:r>
      <w:r w:rsidRPr="007D47AD">
        <w:rPr>
          <w:rFonts w:asciiTheme="minorHAnsi" w:hAnsiTheme="minorHAnsi"/>
          <w:i/>
          <w:iCs/>
          <w:lang w:val="en-US"/>
        </w:rPr>
        <w:t>arraigo</w:t>
      </w:r>
      <w:r w:rsidR="009D28D1" w:rsidRPr="007D47AD">
        <w:rPr>
          <w:rFonts w:asciiTheme="minorHAnsi" w:hAnsiTheme="minorHAnsi"/>
          <w:lang w:val="en-US"/>
        </w:rPr>
        <w:t>”</w:t>
      </w:r>
      <w:r w:rsidRPr="007D47AD">
        <w:rPr>
          <w:rFonts w:asciiTheme="minorHAnsi" w:hAnsiTheme="minorHAnsi"/>
          <w:lang w:val="en-US"/>
        </w:rPr>
        <w:t xml:space="preserve"> </w:t>
      </w:r>
      <w:r w:rsidR="009D28D1" w:rsidRPr="007D47AD">
        <w:rPr>
          <w:rFonts w:asciiTheme="minorHAnsi" w:hAnsiTheme="minorHAnsi"/>
          <w:lang w:val="en-US"/>
        </w:rPr>
        <w:t xml:space="preserve">and </w:t>
      </w:r>
      <w:r w:rsidR="009D28D1" w:rsidRPr="007D47AD">
        <w:rPr>
          <w:rFonts w:asciiTheme="minorHAnsi" w:hAnsiTheme="minorHAnsi"/>
          <w:i/>
          <w:iCs/>
          <w:lang w:val="en-US"/>
        </w:rPr>
        <w:t>quasi flagrante delicto</w:t>
      </w:r>
      <w:r w:rsidR="009D28D1" w:rsidRPr="007D47AD">
        <w:rPr>
          <w:rFonts w:asciiTheme="minorHAnsi" w:hAnsiTheme="minorHAnsi"/>
          <w:lang w:val="en-US"/>
        </w:rPr>
        <w:t xml:space="preserve"> (</w:t>
      </w:r>
      <w:r w:rsidRPr="007D47AD">
        <w:rPr>
          <w:rFonts w:asciiTheme="minorHAnsi" w:hAnsiTheme="minorHAnsi"/>
          <w:i/>
          <w:iCs/>
          <w:lang w:val="en-US"/>
        </w:rPr>
        <w:t>flagrancia equiparada</w:t>
      </w:r>
      <w:r w:rsidR="009D28D1" w:rsidRPr="007D47AD">
        <w:rPr>
          <w:rFonts w:asciiTheme="minorHAnsi" w:hAnsiTheme="minorHAnsi"/>
          <w:lang w:val="en-US"/>
        </w:rPr>
        <w:t>)</w:t>
      </w:r>
      <w:r w:rsidRPr="007D47AD">
        <w:rPr>
          <w:rFonts w:asciiTheme="minorHAnsi" w:hAnsiTheme="minorHAnsi"/>
          <w:lang w:val="en-US"/>
        </w:rPr>
        <w:t xml:space="preserve"> </w:t>
      </w:r>
      <w:r w:rsidR="009D28D1" w:rsidRPr="007D47AD">
        <w:rPr>
          <w:rFonts w:asciiTheme="minorHAnsi" w:hAnsiTheme="minorHAnsi"/>
          <w:lang w:val="en-US"/>
        </w:rPr>
        <w:t>from the Mexican legal framework</w:t>
      </w:r>
      <w:r w:rsidRPr="007D47AD">
        <w:rPr>
          <w:rFonts w:asciiTheme="minorHAnsi" w:hAnsiTheme="minorHAnsi"/>
          <w:lang w:val="en-US"/>
        </w:rPr>
        <w:t>.</w:t>
      </w:r>
    </w:p>
    <w:p w:rsidR="009C095D" w:rsidRPr="007D47AD" w:rsidRDefault="009C095D" w:rsidP="009C095D">
      <w:pPr>
        <w:pStyle w:val="Numberedparagraphs"/>
        <w:numPr>
          <w:ilvl w:val="0"/>
          <w:numId w:val="0"/>
        </w:numPr>
        <w:spacing w:after="0"/>
        <w:ind w:left="720" w:right="720"/>
        <w:rPr>
          <w:rFonts w:asciiTheme="minorHAnsi" w:hAnsiTheme="minorHAnsi"/>
          <w:lang w:val="en-US"/>
        </w:rPr>
      </w:pPr>
    </w:p>
    <w:p w:rsidR="009C095D" w:rsidRPr="007D47AD" w:rsidRDefault="001A6A93" w:rsidP="009D28D1">
      <w:pPr>
        <w:numPr>
          <w:ilvl w:val="0"/>
          <w:numId w:val="6"/>
        </w:numPr>
        <w:shd w:val="clear" w:color="auto" w:fill="FFFFFF"/>
        <w:spacing w:after="240" w:line="240" w:lineRule="auto"/>
        <w:ind w:left="0" w:firstLine="720"/>
        <w:jc w:val="both"/>
        <w:rPr>
          <w:rFonts w:asciiTheme="minorHAnsi" w:hAnsiTheme="minorHAnsi"/>
          <w:sz w:val="20"/>
          <w:szCs w:val="20"/>
          <w:lang w:val="en-US"/>
        </w:rPr>
      </w:pPr>
      <w:r w:rsidRPr="007D47AD">
        <w:rPr>
          <w:rFonts w:asciiTheme="minorHAnsi" w:eastAsia="Times New Roman" w:hAnsiTheme="minorHAnsi" w:cs="Arial"/>
          <w:sz w:val="20"/>
          <w:szCs w:val="20"/>
          <w:lang w:val="en-US"/>
        </w:rPr>
        <w:t xml:space="preserve">On the recommendation </w:t>
      </w:r>
      <w:r w:rsidR="009D28D1" w:rsidRPr="007D47AD">
        <w:rPr>
          <w:rFonts w:asciiTheme="minorHAnsi" w:eastAsia="Times New Roman" w:hAnsiTheme="minorHAnsi" w:cs="Arial"/>
          <w:sz w:val="20"/>
          <w:szCs w:val="20"/>
          <w:lang w:val="en-US"/>
        </w:rPr>
        <w:t xml:space="preserve">to </w:t>
      </w:r>
      <w:r w:rsidR="009C095D" w:rsidRPr="007D47AD">
        <w:rPr>
          <w:rFonts w:asciiTheme="minorHAnsi" w:eastAsia="Times New Roman" w:hAnsiTheme="minorHAnsi" w:cs="Arial"/>
          <w:b/>
          <w:sz w:val="20"/>
          <w:szCs w:val="20"/>
          <w:lang w:val="en-US"/>
        </w:rPr>
        <w:t>adopt</w:t>
      </w:r>
      <w:r w:rsidR="009D28D1" w:rsidRPr="007D47AD">
        <w:rPr>
          <w:rFonts w:asciiTheme="minorHAnsi" w:eastAsia="Times New Roman" w:hAnsiTheme="minorHAnsi" w:cs="Arial"/>
          <w:b/>
          <w:sz w:val="20"/>
          <w:szCs w:val="20"/>
          <w:lang w:val="en-US"/>
        </w:rPr>
        <w:t xml:space="preserve"> a General Law against Torture and ensure that the practices comply with the relevant international standards</w:t>
      </w:r>
      <w:r w:rsidR="009C095D" w:rsidRPr="007D47AD">
        <w:rPr>
          <w:rFonts w:asciiTheme="minorHAnsi" w:eastAsia="Times New Roman" w:hAnsiTheme="minorHAnsi" w:cs="Arial"/>
          <w:b/>
          <w:sz w:val="20"/>
          <w:szCs w:val="20"/>
          <w:lang w:val="en-US"/>
        </w:rPr>
        <w:t xml:space="preserve">, </w:t>
      </w:r>
      <w:r w:rsidRPr="007D47AD">
        <w:rPr>
          <w:rFonts w:asciiTheme="minorHAnsi" w:eastAsia="Times New Roman" w:hAnsiTheme="minorHAnsi" w:cs="Arial"/>
          <w:sz w:val="20"/>
          <w:szCs w:val="20"/>
          <w:lang w:val="en-US"/>
        </w:rPr>
        <w:t xml:space="preserve">the IACHR notes that the General Law to Prevent, Investigate, and Punish Torture and Other Cruel, Inhuman or Degrading Treatment or Punishment </w:t>
      </w:r>
      <w:r w:rsidR="00A35A44" w:rsidRPr="007D47AD">
        <w:rPr>
          <w:rFonts w:asciiTheme="minorHAnsi" w:eastAsia="Times New Roman" w:hAnsiTheme="minorHAnsi" w:cs="Arial"/>
          <w:sz w:val="20"/>
          <w:szCs w:val="20"/>
          <w:lang w:val="en-US"/>
        </w:rPr>
        <w:t>(</w:t>
      </w:r>
      <w:r w:rsidRPr="007D47AD">
        <w:rPr>
          <w:rFonts w:asciiTheme="minorHAnsi" w:eastAsia="Times New Roman" w:hAnsiTheme="minorHAnsi" w:cs="Arial"/>
          <w:sz w:val="20"/>
          <w:szCs w:val="20"/>
          <w:lang w:val="en-US"/>
        </w:rPr>
        <w:t xml:space="preserve">hereinafter </w:t>
      </w:r>
      <w:r w:rsidR="00A35A44" w:rsidRPr="007D47AD">
        <w:rPr>
          <w:rFonts w:asciiTheme="minorHAnsi" w:eastAsia="Times New Roman" w:hAnsiTheme="minorHAnsi" w:cs="Arial"/>
          <w:sz w:val="20"/>
          <w:szCs w:val="20"/>
          <w:lang w:val="en-US"/>
        </w:rPr>
        <w:t>“</w:t>
      </w:r>
      <w:r w:rsidRPr="007D47AD">
        <w:rPr>
          <w:rFonts w:asciiTheme="minorHAnsi" w:eastAsia="Times New Roman" w:hAnsiTheme="minorHAnsi" w:cs="Arial"/>
          <w:sz w:val="20"/>
          <w:szCs w:val="20"/>
          <w:lang w:val="en-US"/>
        </w:rPr>
        <w:t xml:space="preserve">the General Law on </w:t>
      </w:r>
      <w:r w:rsidR="00A35A44" w:rsidRPr="007D47AD">
        <w:rPr>
          <w:rFonts w:asciiTheme="minorHAnsi" w:eastAsia="Times New Roman" w:hAnsiTheme="minorHAnsi" w:cs="Arial"/>
          <w:sz w:val="20"/>
          <w:szCs w:val="20"/>
          <w:lang w:val="en-US"/>
        </w:rPr>
        <w:t>Tortur</w:t>
      </w:r>
      <w:r w:rsidRPr="007D47AD">
        <w:rPr>
          <w:rFonts w:asciiTheme="minorHAnsi" w:eastAsia="Times New Roman" w:hAnsiTheme="minorHAnsi" w:cs="Arial"/>
          <w:sz w:val="20"/>
          <w:szCs w:val="20"/>
          <w:lang w:val="en-US"/>
        </w:rPr>
        <w:t>e</w:t>
      </w:r>
      <w:r w:rsidR="00A35A44" w:rsidRPr="007D47AD">
        <w:rPr>
          <w:rFonts w:asciiTheme="minorHAnsi" w:eastAsia="Times New Roman" w:hAnsiTheme="minorHAnsi" w:cs="Arial"/>
          <w:sz w:val="20"/>
          <w:szCs w:val="20"/>
          <w:lang w:val="en-US"/>
        </w:rPr>
        <w:t>”)</w:t>
      </w:r>
      <w:r w:rsidR="009C095D" w:rsidRPr="007D47AD">
        <w:rPr>
          <w:rFonts w:asciiTheme="minorHAnsi" w:eastAsia="Times New Roman" w:hAnsiTheme="minorHAnsi" w:cs="Arial"/>
          <w:sz w:val="20"/>
          <w:szCs w:val="20"/>
          <w:lang w:val="en-US"/>
        </w:rPr>
        <w:t xml:space="preserve"> </w:t>
      </w:r>
      <w:r w:rsidRPr="007D47AD">
        <w:rPr>
          <w:rFonts w:asciiTheme="minorHAnsi" w:eastAsia="Times New Roman" w:hAnsiTheme="minorHAnsi" w:cs="Arial"/>
          <w:sz w:val="20"/>
          <w:szCs w:val="20"/>
          <w:lang w:val="en-US"/>
        </w:rPr>
        <w:t xml:space="preserve">was </w:t>
      </w:r>
      <w:r w:rsidR="009C095D" w:rsidRPr="007D47AD">
        <w:rPr>
          <w:rFonts w:asciiTheme="minorHAnsi" w:eastAsia="Times New Roman" w:hAnsiTheme="minorHAnsi" w:cs="Arial"/>
          <w:sz w:val="20"/>
          <w:szCs w:val="20"/>
          <w:lang w:val="en-US"/>
        </w:rPr>
        <w:t>publi</w:t>
      </w:r>
      <w:r w:rsidRPr="007D47AD">
        <w:rPr>
          <w:rFonts w:asciiTheme="minorHAnsi" w:eastAsia="Times New Roman" w:hAnsiTheme="minorHAnsi" w:cs="Arial"/>
          <w:sz w:val="20"/>
          <w:szCs w:val="20"/>
          <w:lang w:val="en-US"/>
        </w:rPr>
        <w:t xml:space="preserve">shed in the </w:t>
      </w:r>
      <w:r w:rsidR="009C095D" w:rsidRPr="007D47AD">
        <w:rPr>
          <w:rFonts w:asciiTheme="minorHAnsi" w:eastAsia="Times New Roman" w:hAnsiTheme="minorHAnsi" w:cs="Arial"/>
          <w:sz w:val="20"/>
          <w:szCs w:val="20"/>
          <w:lang w:val="en-US"/>
        </w:rPr>
        <w:t xml:space="preserve">Diario Oficial de la Federación </w:t>
      </w:r>
      <w:r w:rsidRPr="007D47AD">
        <w:rPr>
          <w:rFonts w:asciiTheme="minorHAnsi" w:eastAsia="Times New Roman" w:hAnsiTheme="minorHAnsi" w:cs="Arial"/>
          <w:sz w:val="20"/>
          <w:szCs w:val="20"/>
          <w:lang w:val="en-US"/>
        </w:rPr>
        <w:t xml:space="preserve">on June </w:t>
      </w:r>
      <w:r w:rsidR="009C095D" w:rsidRPr="007D47AD">
        <w:rPr>
          <w:rFonts w:asciiTheme="minorHAnsi" w:eastAsia="Times New Roman" w:hAnsiTheme="minorHAnsi" w:cs="Arial"/>
          <w:sz w:val="20"/>
          <w:szCs w:val="20"/>
          <w:lang w:val="en-US"/>
        </w:rPr>
        <w:t>26</w:t>
      </w:r>
      <w:r w:rsidRPr="007D47AD">
        <w:rPr>
          <w:rFonts w:asciiTheme="minorHAnsi" w:eastAsia="Times New Roman" w:hAnsiTheme="minorHAnsi" w:cs="Arial"/>
          <w:sz w:val="20"/>
          <w:szCs w:val="20"/>
          <w:lang w:val="en-US"/>
        </w:rPr>
        <w:t>,</w:t>
      </w:r>
      <w:r w:rsidR="009C095D" w:rsidRPr="007D47AD">
        <w:rPr>
          <w:rFonts w:asciiTheme="minorHAnsi" w:eastAsia="Times New Roman" w:hAnsiTheme="minorHAnsi" w:cs="Arial"/>
          <w:sz w:val="20"/>
          <w:szCs w:val="20"/>
          <w:lang w:val="en-US"/>
        </w:rPr>
        <w:t xml:space="preserve"> 2017. </w:t>
      </w:r>
      <w:r w:rsidRPr="007D47AD">
        <w:rPr>
          <w:rFonts w:asciiTheme="minorHAnsi" w:eastAsia="Times New Roman" w:hAnsiTheme="minorHAnsi" w:cs="Arial"/>
          <w:sz w:val="20"/>
          <w:szCs w:val="20"/>
          <w:lang w:val="en-US"/>
        </w:rPr>
        <w:t xml:space="preserve">With the publication of the law, the State has complied with the first part of the recommendation. </w:t>
      </w:r>
    </w:p>
    <w:p w:rsidR="009C095D" w:rsidRPr="007D47AD" w:rsidRDefault="001A6A93" w:rsidP="001A6A93">
      <w:pPr>
        <w:numPr>
          <w:ilvl w:val="0"/>
          <w:numId w:val="6"/>
        </w:numPr>
        <w:shd w:val="clear" w:color="auto" w:fill="FFFFFF"/>
        <w:spacing w:after="240" w:line="240" w:lineRule="auto"/>
        <w:ind w:left="0" w:firstLine="720"/>
        <w:jc w:val="both"/>
        <w:rPr>
          <w:rFonts w:asciiTheme="minorHAnsi" w:hAnsiTheme="minorHAnsi"/>
          <w:sz w:val="20"/>
          <w:szCs w:val="20"/>
          <w:lang w:val="en-US"/>
        </w:rPr>
      </w:pPr>
      <w:r w:rsidRPr="007D47AD">
        <w:rPr>
          <w:rFonts w:asciiTheme="minorHAnsi" w:eastAsia="Times New Roman" w:hAnsiTheme="minorHAnsi" w:cs="Arial"/>
          <w:sz w:val="20"/>
          <w:szCs w:val="20"/>
          <w:lang w:val="en-US"/>
        </w:rPr>
        <w:lastRenderedPageBreak/>
        <w:t>As regards the other measures included in the recommendation, the State reported that the General Bureau for the Promotion of a Human Rights Culture</w:t>
      </w:r>
      <w:r w:rsidR="00E55BD8" w:rsidRPr="007D47AD">
        <w:rPr>
          <w:rFonts w:asciiTheme="minorHAnsi" w:eastAsia="Times New Roman" w:hAnsiTheme="minorHAnsi" w:cs="Arial"/>
          <w:sz w:val="20"/>
          <w:szCs w:val="20"/>
          <w:lang w:val="en-US"/>
        </w:rPr>
        <w:t xml:space="preserve">, </w:t>
      </w:r>
      <w:r w:rsidRPr="007D47AD">
        <w:rPr>
          <w:rFonts w:asciiTheme="minorHAnsi" w:eastAsia="Times New Roman" w:hAnsiTheme="minorHAnsi" w:cs="Arial"/>
          <w:sz w:val="20"/>
          <w:szCs w:val="20"/>
          <w:lang w:val="en-US"/>
        </w:rPr>
        <w:t xml:space="preserve">Complaints and Inspection of the Office of the Special Prosecutor for Human Rights of the </w:t>
      </w:r>
      <w:r w:rsidR="00E55BD8" w:rsidRPr="007D47AD">
        <w:rPr>
          <w:rFonts w:asciiTheme="minorHAnsi" w:eastAsia="Times New Roman" w:hAnsiTheme="minorHAnsi" w:cs="Arial"/>
          <w:sz w:val="20"/>
          <w:szCs w:val="20"/>
          <w:lang w:val="en-US"/>
        </w:rPr>
        <w:t>FGR</w:t>
      </w:r>
      <w:r w:rsidR="004C0D2A" w:rsidRPr="007D47AD">
        <w:rPr>
          <w:rFonts w:asciiTheme="minorHAnsi" w:eastAsia="Times New Roman" w:hAnsiTheme="minorHAnsi" w:cs="Arial"/>
          <w:sz w:val="20"/>
          <w:szCs w:val="20"/>
          <w:lang w:val="en-US"/>
        </w:rPr>
        <w:t xml:space="preserve"> prom</w:t>
      </w:r>
      <w:r w:rsidRPr="007D47AD">
        <w:rPr>
          <w:rFonts w:asciiTheme="minorHAnsi" w:eastAsia="Times New Roman" w:hAnsiTheme="minorHAnsi" w:cs="Arial"/>
          <w:sz w:val="20"/>
          <w:szCs w:val="20"/>
          <w:lang w:val="en-US"/>
        </w:rPr>
        <w:t>otes the culture of protecting human rights by “continuously and permanently giving training courses” to the agen</w:t>
      </w:r>
      <w:r w:rsidR="002C7B82" w:rsidRPr="007D47AD">
        <w:rPr>
          <w:rFonts w:asciiTheme="minorHAnsi" w:eastAsia="Times New Roman" w:hAnsiTheme="minorHAnsi" w:cs="Arial"/>
          <w:sz w:val="20"/>
          <w:szCs w:val="20"/>
          <w:lang w:val="en-US"/>
        </w:rPr>
        <w:t>t</w:t>
      </w:r>
      <w:r w:rsidRPr="007D47AD">
        <w:rPr>
          <w:rFonts w:asciiTheme="minorHAnsi" w:eastAsia="Times New Roman" w:hAnsiTheme="minorHAnsi" w:cs="Arial"/>
          <w:sz w:val="20"/>
          <w:szCs w:val="20"/>
          <w:lang w:val="en-US"/>
        </w:rPr>
        <w:t xml:space="preserve">s of the </w:t>
      </w:r>
      <w:r w:rsidR="00FD42F2" w:rsidRPr="007D47AD">
        <w:rPr>
          <w:rFonts w:asciiTheme="minorHAnsi" w:eastAsia="Times New Roman" w:hAnsiTheme="minorHAnsi" w:cs="Arial"/>
          <w:sz w:val="20"/>
          <w:szCs w:val="20"/>
          <w:lang w:val="en-US"/>
        </w:rPr>
        <w:t xml:space="preserve">federal prosecutorial service </w:t>
      </w:r>
      <w:r w:rsidRPr="007D47AD">
        <w:rPr>
          <w:rFonts w:asciiTheme="minorHAnsi" w:eastAsia="Times New Roman" w:hAnsiTheme="minorHAnsi" w:cs="Arial"/>
          <w:sz w:val="20"/>
          <w:szCs w:val="20"/>
          <w:lang w:val="en-US"/>
        </w:rPr>
        <w:t>(</w:t>
      </w:r>
      <w:r w:rsidR="004C0D2A" w:rsidRPr="007D47AD">
        <w:rPr>
          <w:rFonts w:asciiTheme="minorHAnsi" w:eastAsia="Times New Roman" w:hAnsiTheme="minorHAnsi" w:cs="Arial"/>
          <w:sz w:val="20"/>
          <w:szCs w:val="20"/>
          <w:lang w:val="en-US"/>
        </w:rPr>
        <w:t>Ministerio Público de la Federación</w:t>
      </w:r>
      <w:r w:rsidRPr="007D47AD">
        <w:rPr>
          <w:rFonts w:asciiTheme="minorHAnsi" w:eastAsia="Times New Roman" w:hAnsiTheme="minorHAnsi" w:cs="Arial"/>
          <w:sz w:val="20"/>
          <w:szCs w:val="20"/>
          <w:lang w:val="en-US"/>
        </w:rPr>
        <w:t>)</w:t>
      </w:r>
      <w:r w:rsidR="004C0D2A" w:rsidRPr="007D47AD">
        <w:rPr>
          <w:rFonts w:asciiTheme="minorHAnsi" w:eastAsia="Times New Roman" w:hAnsiTheme="minorHAnsi" w:cs="Arial"/>
          <w:sz w:val="20"/>
          <w:szCs w:val="20"/>
          <w:lang w:val="en-US"/>
        </w:rPr>
        <w:t xml:space="preserve">, </w:t>
      </w:r>
      <w:r w:rsidRPr="007D47AD">
        <w:rPr>
          <w:rFonts w:asciiTheme="minorHAnsi" w:eastAsia="Times New Roman" w:hAnsiTheme="minorHAnsi" w:cs="Arial"/>
          <w:sz w:val="20"/>
          <w:szCs w:val="20"/>
          <w:lang w:val="en-US"/>
        </w:rPr>
        <w:t xml:space="preserve">the </w:t>
      </w:r>
      <w:r w:rsidR="00FD42F2" w:rsidRPr="007D47AD">
        <w:rPr>
          <w:rFonts w:asciiTheme="minorHAnsi" w:eastAsia="Times New Roman" w:hAnsiTheme="minorHAnsi" w:cs="Arial"/>
          <w:sz w:val="20"/>
          <w:szCs w:val="20"/>
          <w:lang w:val="en-US"/>
        </w:rPr>
        <w:t xml:space="preserve">federal prosecutorial police </w:t>
      </w:r>
      <w:r w:rsidRPr="007D47AD">
        <w:rPr>
          <w:rFonts w:asciiTheme="minorHAnsi" w:eastAsia="Times New Roman" w:hAnsiTheme="minorHAnsi" w:cs="Arial"/>
          <w:sz w:val="20"/>
          <w:szCs w:val="20"/>
          <w:lang w:val="en-US"/>
        </w:rPr>
        <w:t>(</w:t>
      </w:r>
      <w:r w:rsidR="004C0D2A" w:rsidRPr="007D47AD">
        <w:rPr>
          <w:rFonts w:asciiTheme="minorHAnsi" w:eastAsia="Times New Roman" w:hAnsiTheme="minorHAnsi" w:cs="Arial"/>
          <w:sz w:val="20"/>
          <w:szCs w:val="20"/>
          <w:lang w:val="en-US"/>
        </w:rPr>
        <w:t>Policía Federal Ministerial</w:t>
      </w:r>
      <w:r w:rsidRPr="007D47AD">
        <w:rPr>
          <w:rFonts w:asciiTheme="minorHAnsi" w:eastAsia="Times New Roman" w:hAnsiTheme="minorHAnsi" w:cs="Arial"/>
          <w:sz w:val="20"/>
          <w:szCs w:val="20"/>
          <w:lang w:val="en-US"/>
        </w:rPr>
        <w:t>)</w:t>
      </w:r>
      <w:r w:rsidR="004C0D2A" w:rsidRPr="007D47AD">
        <w:rPr>
          <w:rFonts w:asciiTheme="minorHAnsi" w:eastAsia="Times New Roman" w:hAnsiTheme="minorHAnsi" w:cs="Arial"/>
          <w:sz w:val="20"/>
          <w:szCs w:val="20"/>
          <w:lang w:val="en-US"/>
        </w:rPr>
        <w:t xml:space="preserve">, </w:t>
      </w:r>
      <w:r w:rsidRPr="007D47AD">
        <w:rPr>
          <w:rFonts w:asciiTheme="minorHAnsi" w:eastAsia="Times New Roman" w:hAnsiTheme="minorHAnsi" w:cs="Arial"/>
          <w:sz w:val="20"/>
          <w:szCs w:val="20"/>
          <w:lang w:val="en-US"/>
        </w:rPr>
        <w:t>expert and administrative personnel both federal and state. In addition, the trainin</w:t>
      </w:r>
      <w:r w:rsidR="002C7B82" w:rsidRPr="007D47AD">
        <w:rPr>
          <w:rFonts w:asciiTheme="minorHAnsi" w:eastAsia="Times New Roman" w:hAnsiTheme="minorHAnsi" w:cs="Arial"/>
          <w:sz w:val="20"/>
          <w:szCs w:val="20"/>
          <w:lang w:val="en-US"/>
        </w:rPr>
        <w:t>g</w:t>
      </w:r>
      <w:r w:rsidRPr="007D47AD">
        <w:rPr>
          <w:rFonts w:asciiTheme="minorHAnsi" w:eastAsia="Times New Roman" w:hAnsiTheme="minorHAnsi" w:cs="Arial"/>
          <w:sz w:val="20"/>
          <w:szCs w:val="20"/>
          <w:lang w:val="en-US"/>
        </w:rPr>
        <w:t xml:space="preserve">s are given to staff of the Ministries of National Defense </w:t>
      </w:r>
      <w:r w:rsidR="004C0D2A" w:rsidRPr="007D47AD">
        <w:rPr>
          <w:rFonts w:asciiTheme="minorHAnsi" w:eastAsia="Times New Roman" w:hAnsiTheme="minorHAnsi" w:cs="Arial"/>
          <w:sz w:val="20"/>
          <w:szCs w:val="20"/>
          <w:lang w:val="en-US"/>
        </w:rPr>
        <w:t>(</w:t>
      </w:r>
      <w:r w:rsidRPr="007D47AD">
        <w:rPr>
          <w:rFonts w:asciiTheme="minorHAnsi" w:eastAsia="Times New Roman" w:hAnsiTheme="minorHAnsi" w:cs="Arial"/>
          <w:sz w:val="20"/>
          <w:szCs w:val="20"/>
          <w:lang w:val="en-US"/>
        </w:rPr>
        <w:t xml:space="preserve">hereinafter </w:t>
      </w:r>
      <w:r w:rsidR="004C0D2A" w:rsidRPr="007D47AD">
        <w:rPr>
          <w:rFonts w:asciiTheme="minorHAnsi" w:eastAsia="Times New Roman" w:hAnsiTheme="minorHAnsi" w:cs="Arial"/>
          <w:sz w:val="20"/>
          <w:szCs w:val="20"/>
          <w:lang w:val="en-US"/>
        </w:rPr>
        <w:t>“</w:t>
      </w:r>
      <w:r w:rsidRPr="007D47AD">
        <w:rPr>
          <w:rFonts w:asciiTheme="minorHAnsi" w:eastAsia="Times New Roman" w:hAnsiTheme="minorHAnsi" w:cs="Arial"/>
          <w:sz w:val="20"/>
          <w:szCs w:val="20"/>
          <w:lang w:val="en-US"/>
        </w:rPr>
        <w:t xml:space="preserve">the </w:t>
      </w:r>
      <w:r w:rsidR="004C0D2A" w:rsidRPr="007D47AD">
        <w:rPr>
          <w:rFonts w:asciiTheme="minorHAnsi" w:eastAsia="Times New Roman" w:hAnsiTheme="minorHAnsi" w:cs="Arial"/>
          <w:sz w:val="20"/>
          <w:szCs w:val="20"/>
          <w:lang w:val="en-US"/>
        </w:rPr>
        <w:t>SEDENA”)</w:t>
      </w:r>
      <w:r w:rsidR="00D45BE7" w:rsidRPr="007D47AD">
        <w:rPr>
          <w:rFonts w:asciiTheme="minorHAnsi" w:eastAsia="Times New Roman" w:hAnsiTheme="minorHAnsi" w:cs="Arial"/>
          <w:sz w:val="20"/>
          <w:szCs w:val="20"/>
          <w:lang w:val="en-US"/>
        </w:rPr>
        <w:t xml:space="preserve">, </w:t>
      </w:r>
      <w:r w:rsidRPr="007D47AD">
        <w:rPr>
          <w:rFonts w:asciiTheme="minorHAnsi" w:eastAsia="Times New Roman" w:hAnsiTheme="minorHAnsi" w:cs="Arial"/>
          <w:sz w:val="20"/>
          <w:szCs w:val="20"/>
          <w:lang w:val="en-US"/>
        </w:rPr>
        <w:t xml:space="preserve">Navy, Federal Police, Deconcentrated Administrative Organ for Prevention and Social Readaptation, </w:t>
      </w:r>
      <w:r w:rsidR="002C7B82" w:rsidRPr="007D47AD">
        <w:rPr>
          <w:rFonts w:asciiTheme="minorHAnsi" w:eastAsia="Times New Roman" w:hAnsiTheme="minorHAnsi" w:cs="Arial"/>
          <w:sz w:val="20"/>
          <w:szCs w:val="20"/>
          <w:lang w:val="en-US"/>
        </w:rPr>
        <w:t xml:space="preserve">state and </w:t>
      </w:r>
      <w:r w:rsidR="007E181B" w:rsidRPr="007D47AD">
        <w:rPr>
          <w:rFonts w:asciiTheme="minorHAnsi" w:eastAsia="Times New Roman" w:hAnsiTheme="minorHAnsi" w:cs="Arial"/>
          <w:sz w:val="20"/>
          <w:szCs w:val="20"/>
          <w:lang w:val="en-US"/>
        </w:rPr>
        <w:t>federal</w:t>
      </w:r>
      <w:r w:rsidR="002C7B82" w:rsidRPr="007D47AD">
        <w:rPr>
          <w:rFonts w:asciiTheme="minorHAnsi" w:eastAsia="Times New Roman" w:hAnsiTheme="minorHAnsi" w:cs="Arial"/>
          <w:sz w:val="20"/>
          <w:szCs w:val="20"/>
          <w:lang w:val="en-US"/>
        </w:rPr>
        <w:t xml:space="preserve"> prosecutors, </w:t>
      </w:r>
      <w:r w:rsidR="00422D7A" w:rsidRPr="007D47AD">
        <w:rPr>
          <w:rFonts w:asciiTheme="minorHAnsi" w:eastAsia="Times New Roman" w:hAnsiTheme="minorHAnsi" w:cs="Arial"/>
          <w:sz w:val="20"/>
          <w:szCs w:val="20"/>
          <w:lang w:val="en-US"/>
        </w:rPr>
        <w:t xml:space="preserve">and </w:t>
      </w:r>
      <w:r w:rsidR="00FD42F2" w:rsidRPr="007D47AD">
        <w:rPr>
          <w:rFonts w:asciiTheme="minorHAnsi" w:eastAsia="Times New Roman" w:hAnsiTheme="minorHAnsi" w:cs="Arial"/>
          <w:sz w:val="20"/>
          <w:szCs w:val="20"/>
          <w:lang w:val="en-US"/>
        </w:rPr>
        <w:t>s</w:t>
      </w:r>
      <w:r w:rsidR="00422D7A" w:rsidRPr="007D47AD">
        <w:rPr>
          <w:rFonts w:asciiTheme="minorHAnsi" w:eastAsia="Times New Roman" w:hAnsiTheme="minorHAnsi" w:cs="Arial"/>
          <w:sz w:val="20"/>
          <w:szCs w:val="20"/>
          <w:lang w:val="en-US"/>
        </w:rPr>
        <w:t xml:space="preserve">ecretariats of </w:t>
      </w:r>
      <w:r w:rsidR="00FD42F2" w:rsidRPr="007D47AD">
        <w:rPr>
          <w:rFonts w:asciiTheme="minorHAnsi" w:eastAsia="Times New Roman" w:hAnsiTheme="minorHAnsi" w:cs="Arial"/>
          <w:sz w:val="20"/>
          <w:szCs w:val="20"/>
          <w:lang w:val="en-US"/>
        </w:rPr>
        <w:t>p</w:t>
      </w:r>
      <w:r w:rsidR="00422D7A" w:rsidRPr="007D47AD">
        <w:rPr>
          <w:rFonts w:asciiTheme="minorHAnsi" w:eastAsia="Times New Roman" w:hAnsiTheme="minorHAnsi" w:cs="Arial"/>
          <w:sz w:val="20"/>
          <w:szCs w:val="20"/>
          <w:lang w:val="en-US"/>
        </w:rPr>
        <w:t xml:space="preserve">ublic </w:t>
      </w:r>
      <w:r w:rsidR="00FD42F2" w:rsidRPr="007D47AD">
        <w:rPr>
          <w:rFonts w:asciiTheme="minorHAnsi" w:eastAsia="Times New Roman" w:hAnsiTheme="minorHAnsi" w:cs="Arial"/>
          <w:sz w:val="20"/>
          <w:szCs w:val="20"/>
          <w:lang w:val="en-US"/>
        </w:rPr>
        <w:t>s</w:t>
      </w:r>
      <w:r w:rsidR="00422D7A" w:rsidRPr="007D47AD">
        <w:rPr>
          <w:rFonts w:asciiTheme="minorHAnsi" w:eastAsia="Times New Roman" w:hAnsiTheme="minorHAnsi" w:cs="Arial"/>
          <w:sz w:val="20"/>
          <w:szCs w:val="20"/>
          <w:lang w:val="en-US"/>
        </w:rPr>
        <w:t>ecurity of the states.</w:t>
      </w:r>
      <w:r w:rsidR="009C095D" w:rsidRPr="007D47AD">
        <w:rPr>
          <w:rStyle w:val="FootnoteReference"/>
          <w:rFonts w:asciiTheme="minorHAnsi" w:eastAsia="Times New Roman" w:hAnsiTheme="minorHAnsi" w:cs="Arial"/>
          <w:sz w:val="20"/>
          <w:szCs w:val="20"/>
          <w:lang w:val="en-US"/>
        </w:rPr>
        <w:footnoteReference w:id="115"/>
      </w:r>
    </w:p>
    <w:p w:rsidR="009C095D" w:rsidRPr="007D47AD" w:rsidRDefault="00422D7A" w:rsidP="00422D7A">
      <w:pPr>
        <w:numPr>
          <w:ilvl w:val="0"/>
          <w:numId w:val="6"/>
        </w:numPr>
        <w:shd w:val="clear" w:color="auto" w:fill="FFFFFF"/>
        <w:spacing w:after="240" w:line="240" w:lineRule="auto"/>
        <w:ind w:left="0" w:firstLine="720"/>
        <w:jc w:val="both"/>
        <w:rPr>
          <w:rFonts w:asciiTheme="minorHAnsi" w:eastAsia="Times New Roman" w:hAnsiTheme="minorHAnsi" w:cs="Arial"/>
          <w:sz w:val="20"/>
          <w:szCs w:val="20"/>
          <w:lang w:val="en-US"/>
        </w:rPr>
      </w:pPr>
      <w:r w:rsidRPr="007D47AD">
        <w:rPr>
          <w:rFonts w:asciiTheme="minorHAnsi" w:eastAsia="Times New Roman" w:hAnsiTheme="minorHAnsi" w:cs="Arial"/>
          <w:sz w:val="20"/>
          <w:szCs w:val="20"/>
          <w:lang w:val="en-US"/>
        </w:rPr>
        <w:t xml:space="preserve">According to the Alternative Report of the Civil Society Organizations of Mexico, in the context of the seventh periodic review of Mexico before the Committee Against Torture of the United Nations </w:t>
      </w:r>
      <w:r w:rsidR="000D342C" w:rsidRPr="007D47AD">
        <w:rPr>
          <w:rFonts w:asciiTheme="minorHAnsi" w:eastAsia="Times New Roman" w:hAnsiTheme="minorHAnsi" w:cs="Arial"/>
          <w:sz w:val="20"/>
          <w:szCs w:val="20"/>
          <w:lang w:val="en-US"/>
        </w:rPr>
        <w:t>(</w:t>
      </w:r>
      <w:r w:rsidRPr="007D47AD">
        <w:rPr>
          <w:rFonts w:asciiTheme="minorHAnsi" w:eastAsia="Times New Roman" w:hAnsiTheme="minorHAnsi" w:cs="Arial"/>
          <w:sz w:val="20"/>
          <w:szCs w:val="20"/>
          <w:lang w:val="en-US"/>
        </w:rPr>
        <w:t xml:space="preserve">hereinafter </w:t>
      </w:r>
      <w:r w:rsidR="000D342C" w:rsidRPr="007D47AD">
        <w:rPr>
          <w:rFonts w:asciiTheme="minorHAnsi" w:eastAsia="Times New Roman" w:hAnsiTheme="minorHAnsi" w:cs="Arial"/>
          <w:sz w:val="20"/>
          <w:szCs w:val="20"/>
          <w:lang w:val="en-US"/>
        </w:rPr>
        <w:t>“</w:t>
      </w:r>
      <w:r w:rsidRPr="007D47AD">
        <w:rPr>
          <w:rFonts w:asciiTheme="minorHAnsi" w:eastAsia="Times New Roman" w:hAnsiTheme="minorHAnsi" w:cs="Arial"/>
          <w:sz w:val="20"/>
          <w:szCs w:val="20"/>
          <w:lang w:val="en-US"/>
        </w:rPr>
        <w:t xml:space="preserve">the </w:t>
      </w:r>
      <w:r w:rsidR="000D342C" w:rsidRPr="007D47AD">
        <w:rPr>
          <w:rFonts w:asciiTheme="minorHAnsi" w:eastAsia="Times New Roman" w:hAnsiTheme="minorHAnsi" w:cs="Arial"/>
          <w:sz w:val="20"/>
          <w:szCs w:val="20"/>
          <w:lang w:val="en-US"/>
        </w:rPr>
        <w:t>Alternativ</w:t>
      </w:r>
      <w:r w:rsidRPr="007D47AD">
        <w:rPr>
          <w:rFonts w:asciiTheme="minorHAnsi" w:eastAsia="Times New Roman" w:hAnsiTheme="minorHAnsi" w:cs="Arial"/>
          <w:sz w:val="20"/>
          <w:szCs w:val="20"/>
          <w:lang w:val="en-US"/>
        </w:rPr>
        <w:t>e Report</w:t>
      </w:r>
      <w:r w:rsidR="000D342C" w:rsidRPr="007D47AD">
        <w:rPr>
          <w:rFonts w:asciiTheme="minorHAnsi" w:eastAsia="Times New Roman" w:hAnsiTheme="minorHAnsi" w:cs="Arial"/>
          <w:sz w:val="20"/>
          <w:szCs w:val="20"/>
          <w:lang w:val="en-US"/>
        </w:rPr>
        <w:t>”)</w:t>
      </w:r>
      <w:r w:rsidR="00A35A44" w:rsidRPr="007D47AD">
        <w:rPr>
          <w:rFonts w:asciiTheme="minorHAnsi" w:eastAsia="Times New Roman" w:hAnsiTheme="minorHAnsi" w:cs="Arial"/>
          <w:sz w:val="20"/>
          <w:szCs w:val="20"/>
          <w:lang w:val="en-US"/>
        </w:rPr>
        <w:t xml:space="preserve">, </w:t>
      </w:r>
      <w:r w:rsidRPr="007D47AD">
        <w:rPr>
          <w:rFonts w:asciiTheme="minorHAnsi" w:eastAsia="Times New Roman" w:hAnsiTheme="minorHAnsi" w:cs="Arial"/>
          <w:sz w:val="20"/>
          <w:szCs w:val="20"/>
          <w:lang w:val="en-US"/>
        </w:rPr>
        <w:t xml:space="preserve">implementing the General Law on </w:t>
      </w:r>
      <w:r w:rsidR="00A35A44" w:rsidRPr="007D47AD">
        <w:rPr>
          <w:rFonts w:asciiTheme="minorHAnsi" w:eastAsia="Times New Roman" w:hAnsiTheme="minorHAnsi" w:cs="Arial"/>
          <w:sz w:val="20"/>
          <w:szCs w:val="20"/>
          <w:lang w:val="en-US"/>
        </w:rPr>
        <w:t>Tortur</w:t>
      </w:r>
      <w:r w:rsidRPr="007D47AD">
        <w:rPr>
          <w:rFonts w:asciiTheme="minorHAnsi" w:eastAsia="Times New Roman" w:hAnsiTheme="minorHAnsi" w:cs="Arial"/>
          <w:sz w:val="20"/>
          <w:szCs w:val="20"/>
          <w:lang w:val="en-US"/>
        </w:rPr>
        <w:t>e entails many challenges.</w:t>
      </w:r>
      <w:r w:rsidR="009C095D" w:rsidRPr="007D47AD">
        <w:rPr>
          <w:rStyle w:val="FootnoteReference"/>
          <w:rFonts w:asciiTheme="minorHAnsi" w:eastAsia="Times New Roman" w:hAnsiTheme="minorHAnsi" w:cs="Arial"/>
          <w:sz w:val="20"/>
          <w:szCs w:val="20"/>
          <w:lang w:val="en-US"/>
        </w:rPr>
        <w:footnoteReference w:id="116"/>
      </w:r>
      <w:r w:rsidR="009C095D" w:rsidRPr="007D47AD">
        <w:rPr>
          <w:rFonts w:asciiTheme="minorHAnsi" w:eastAsia="Times New Roman" w:hAnsiTheme="minorHAnsi" w:cs="Arial"/>
          <w:sz w:val="20"/>
          <w:szCs w:val="20"/>
          <w:lang w:val="en-US"/>
        </w:rPr>
        <w:t xml:space="preserve"> </w:t>
      </w:r>
      <w:r w:rsidRPr="007D47AD">
        <w:rPr>
          <w:rFonts w:asciiTheme="minorHAnsi" w:eastAsia="Times New Roman" w:hAnsiTheme="minorHAnsi" w:cs="Arial"/>
          <w:sz w:val="20"/>
          <w:szCs w:val="20"/>
          <w:lang w:val="en-US"/>
        </w:rPr>
        <w:t>I</w:t>
      </w:r>
      <w:r w:rsidR="009C095D" w:rsidRPr="007D47AD">
        <w:rPr>
          <w:rFonts w:asciiTheme="minorHAnsi" w:eastAsia="Times New Roman" w:hAnsiTheme="minorHAnsi" w:cs="Arial"/>
          <w:sz w:val="20"/>
          <w:szCs w:val="20"/>
          <w:lang w:val="en-US"/>
        </w:rPr>
        <w:t xml:space="preserve">n particular, </w:t>
      </w:r>
      <w:r w:rsidRPr="007D47AD">
        <w:rPr>
          <w:rFonts w:asciiTheme="minorHAnsi" w:eastAsia="Times New Roman" w:hAnsiTheme="minorHAnsi" w:cs="Arial"/>
          <w:sz w:val="20"/>
          <w:szCs w:val="20"/>
          <w:lang w:val="en-US"/>
        </w:rPr>
        <w:t>civil society organizations indicated that approximately half of the 32 states of Mexico have not established special prosecutorial units for investigating torture</w:t>
      </w:r>
      <w:r w:rsidR="00B82921" w:rsidRPr="007D47AD">
        <w:rPr>
          <w:rFonts w:asciiTheme="minorHAnsi" w:eastAsia="Times New Roman" w:hAnsiTheme="minorHAnsi" w:cs="Arial"/>
          <w:sz w:val="20"/>
          <w:szCs w:val="20"/>
          <w:lang w:val="en-US"/>
        </w:rPr>
        <w:t xml:space="preserve">, </w:t>
      </w:r>
      <w:r w:rsidRPr="007D47AD">
        <w:rPr>
          <w:rFonts w:asciiTheme="minorHAnsi" w:eastAsia="Times New Roman" w:hAnsiTheme="minorHAnsi" w:cs="Arial"/>
          <w:sz w:val="20"/>
          <w:szCs w:val="20"/>
          <w:lang w:val="en-US"/>
        </w:rPr>
        <w:t xml:space="preserve">even though the legal period for </w:t>
      </w:r>
      <w:r w:rsidR="002C7B82" w:rsidRPr="007D47AD">
        <w:rPr>
          <w:rFonts w:asciiTheme="minorHAnsi" w:eastAsia="Times New Roman" w:hAnsiTheme="minorHAnsi" w:cs="Arial"/>
          <w:sz w:val="20"/>
          <w:szCs w:val="20"/>
          <w:lang w:val="en-US"/>
        </w:rPr>
        <w:t xml:space="preserve">their </w:t>
      </w:r>
      <w:r w:rsidRPr="007D47AD">
        <w:rPr>
          <w:rFonts w:asciiTheme="minorHAnsi" w:eastAsia="Times New Roman" w:hAnsiTheme="minorHAnsi" w:cs="Arial"/>
          <w:sz w:val="20"/>
          <w:szCs w:val="20"/>
          <w:lang w:val="en-US"/>
        </w:rPr>
        <w:t xml:space="preserve">implementation has lapsed, </w:t>
      </w:r>
      <w:r w:rsidR="002C7B82" w:rsidRPr="007D47AD">
        <w:rPr>
          <w:rFonts w:asciiTheme="minorHAnsi" w:eastAsia="Times New Roman" w:hAnsiTheme="minorHAnsi" w:cs="Arial"/>
          <w:sz w:val="20"/>
          <w:szCs w:val="20"/>
          <w:lang w:val="en-US"/>
        </w:rPr>
        <w:t xml:space="preserve">as </w:t>
      </w:r>
      <w:r w:rsidRPr="007D47AD">
        <w:rPr>
          <w:rFonts w:asciiTheme="minorHAnsi" w:eastAsia="Times New Roman" w:hAnsiTheme="minorHAnsi" w:cs="Arial"/>
          <w:sz w:val="20"/>
          <w:szCs w:val="20"/>
          <w:lang w:val="en-US"/>
        </w:rPr>
        <w:t xml:space="preserve">has been indicated in this report. In addition, they called attention to possible setbacks in eradicating torture due to the risk posed by the militarized model of the National Guard and the increase in the list of crimes that call for </w:t>
      </w:r>
      <w:r w:rsidR="00D05BD7" w:rsidRPr="007D47AD">
        <w:rPr>
          <w:rFonts w:asciiTheme="minorHAnsi" w:eastAsia="Times New Roman" w:hAnsiTheme="minorHAnsi" w:cs="Arial"/>
          <w:sz w:val="20"/>
          <w:szCs w:val="20"/>
          <w:lang w:val="en-US"/>
        </w:rPr>
        <w:t xml:space="preserve">presumptive </w:t>
      </w:r>
      <w:r w:rsidRPr="007D47AD">
        <w:rPr>
          <w:rFonts w:asciiTheme="minorHAnsi" w:eastAsia="Times New Roman" w:hAnsiTheme="minorHAnsi" w:cs="Arial"/>
          <w:sz w:val="20"/>
          <w:szCs w:val="20"/>
          <w:lang w:val="en-US"/>
        </w:rPr>
        <w:t>pretrial detention.</w:t>
      </w:r>
      <w:r w:rsidR="009C095D" w:rsidRPr="007D47AD">
        <w:rPr>
          <w:rStyle w:val="FootnoteReference"/>
          <w:rFonts w:asciiTheme="minorHAnsi" w:eastAsia="Times New Roman" w:hAnsiTheme="minorHAnsi" w:cs="Arial"/>
          <w:sz w:val="20"/>
          <w:szCs w:val="20"/>
          <w:lang w:val="en-US"/>
        </w:rPr>
        <w:footnoteReference w:id="117"/>
      </w:r>
      <w:r w:rsidR="007C48BD" w:rsidRPr="007D47AD">
        <w:rPr>
          <w:rFonts w:asciiTheme="minorHAnsi" w:eastAsia="Times New Roman" w:hAnsiTheme="minorHAnsi" w:cs="Arial"/>
          <w:sz w:val="20"/>
          <w:szCs w:val="20"/>
          <w:lang w:val="en-US"/>
        </w:rPr>
        <w:t xml:space="preserve"> </w:t>
      </w:r>
      <w:r w:rsidRPr="007D47AD">
        <w:rPr>
          <w:rFonts w:asciiTheme="minorHAnsi" w:eastAsia="Times New Roman" w:hAnsiTheme="minorHAnsi" w:cs="Arial"/>
          <w:sz w:val="20"/>
          <w:szCs w:val="20"/>
          <w:lang w:val="en-US"/>
        </w:rPr>
        <w:t>In the Alternative Report civil society expresses its concern over the evolution of the “abbreviated procedure” for early termination of the criminal trial resulting from the amendment to Article 20(A)(VII) of the Constitution and the</w:t>
      </w:r>
      <w:r w:rsidR="007C48BD" w:rsidRPr="007D47AD">
        <w:rPr>
          <w:rFonts w:asciiTheme="minorHAnsi" w:eastAsia="Times New Roman" w:hAnsiTheme="minorHAnsi" w:cs="Arial"/>
          <w:sz w:val="20"/>
          <w:szCs w:val="20"/>
          <w:lang w:val="en-US"/>
        </w:rPr>
        <w:t xml:space="preserve"> </w:t>
      </w:r>
      <w:r w:rsidRPr="007D47AD">
        <w:rPr>
          <w:rFonts w:asciiTheme="minorHAnsi" w:eastAsia="Times New Roman" w:hAnsiTheme="minorHAnsi" w:cs="Arial"/>
          <w:sz w:val="20"/>
          <w:szCs w:val="20"/>
          <w:lang w:val="en-US"/>
        </w:rPr>
        <w:t xml:space="preserve">coming into force of the Federal Code of Criminal Procedure, since civil society organizations have documented the occurrence of torture and other </w:t>
      </w:r>
      <w:r w:rsidR="00024ED4" w:rsidRPr="007D47AD">
        <w:rPr>
          <w:rFonts w:asciiTheme="minorHAnsi" w:eastAsia="Times New Roman" w:hAnsiTheme="minorHAnsi" w:cs="Arial"/>
          <w:sz w:val="20"/>
          <w:szCs w:val="20"/>
          <w:lang w:val="en-US"/>
        </w:rPr>
        <w:t>cruel, inhuman</w:t>
      </w:r>
      <w:r w:rsidRPr="007D47AD">
        <w:rPr>
          <w:rFonts w:asciiTheme="minorHAnsi" w:eastAsia="Times New Roman" w:hAnsiTheme="minorHAnsi" w:cs="Arial"/>
          <w:sz w:val="20"/>
          <w:szCs w:val="20"/>
          <w:lang w:val="en-US"/>
        </w:rPr>
        <w:t xml:space="preserve"> and </w:t>
      </w:r>
      <w:r w:rsidR="00024ED4" w:rsidRPr="007D47AD">
        <w:rPr>
          <w:rFonts w:asciiTheme="minorHAnsi" w:eastAsia="Times New Roman" w:hAnsiTheme="minorHAnsi" w:cs="Arial"/>
          <w:sz w:val="20"/>
          <w:szCs w:val="20"/>
          <w:lang w:val="en-US"/>
        </w:rPr>
        <w:t>degrad</w:t>
      </w:r>
      <w:r w:rsidRPr="007D47AD">
        <w:rPr>
          <w:rFonts w:asciiTheme="minorHAnsi" w:eastAsia="Times New Roman" w:hAnsiTheme="minorHAnsi" w:cs="Arial"/>
          <w:sz w:val="20"/>
          <w:szCs w:val="20"/>
          <w:lang w:val="en-US"/>
        </w:rPr>
        <w:t>ing treatment committed by prosecutorial agents to force the accused to accept the liability of which they are accused and to waive an oral trial.</w:t>
      </w:r>
      <w:r w:rsidR="00FE1315" w:rsidRPr="007D47AD">
        <w:rPr>
          <w:rStyle w:val="FootnoteReference"/>
          <w:rFonts w:asciiTheme="minorHAnsi" w:eastAsia="Times New Roman" w:hAnsiTheme="minorHAnsi" w:cs="Arial"/>
          <w:sz w:val="20"/>
          <w:szCs w:val="20"/>
          <w:lang w:val="en-US"/>
        </w:rPr>
        <w:footnoteReference w:id="118"/>
      </w:r>
      <w:r w:rsidR="00FE1315" w:rsidRPr="007D47AD">
        <w:rPr>
          <w:rFonts w:asciiTheme="minorHAnsi" w:eastAsia="Times New Roman" w:hAnsiTheme="minorHAnsi" w:cs="Arial"/>
          <w:sz w:val="20"/>
          <w:szCs w:val="20"/>
          <w:lang w:val="en-US"/>
        </w:rPr>
        <w:t xml:space="preserve"> </w:t>
      </w:r>
      <w:r w:rsidR="002C7B82" w:rsidRPr="007D47AD">
        <w:rPr>
          <w:rFonts w:asciiTheme="minorHAnsi" w:eastAsia="Times New Roman" w:hAnsiTheme="minorHAnsi" w:cs="Arial"/>
          <w:sz w:val="20"/>
          <w:szCs w:val="20"/>
          <w:lang w:val="en-US"/>
        </w:rPr>
        <w:t xml:space="preserve"> </w:t>
      </w:r>
    </w:p>
    <w:p w:rsidR="00A44839" w:rsidRPr="007D47AD" w:rsidRDefault="00B91DD1" w:rsidP="00A44839">
      <w:pPr>
        <w:numPr>
          <w:ilvl w:val="0"/>
          <w:numId w:val="6"/>
        </w:numPr>
        <w:shd w:val="clear" w:color="auto" w:fill="FFFFFF"/>
        <w:spacing w:after="240" w:line="240" w:lineRule="auto"/>
        <w:ind w:left="0" w:firstLine="720"/>
        <w:jc w:val="both"/>
        <w:rPr>
          <w:rFonts w:asciiTheme="minorHAnsi" w:eastAsia="Times New Roman" w:hAnsiTheme="minorHAnsi" w:cs="Arial"/>
          <w:sz w:val="20"/>
          <w:szCs w:val="20"/>
          <w:lang w:val="en-US"/>
        </w:rPr>
      </w:pPr>
      <w:r w:rsidRPr="007D47AD">
        <w:rPr>
          <w:rFonts w:asciiTheme="minorHAnsi" w:hAnsiTheme="minorHAnsi"/>
          <w:sz w:val="20"/>
          <w:szCs w:val="20"/>
          <w:lang w:val="en-US"/>
        </w:rPr>
        <w:t>I</w:t>
      </w:r>
      <w:r w:rsidR="00A44839" w:rsidRPr="007D47AD">
        <w:rPr>
          <w:rFonts w:asciiTheme="minorHAnsi" w:hAnsiTheme="minorHAnsi"/>
          <w:sz w:val="20"/>
          <w:szCs w:val="20"/>
          <w:lang w:val="en-US"/>
        </w:rPr>
        <w:t xml:space="preserve">n </w:t>
      </w:r>
      <w:r w:rsidRPr="007D47AD">
        <w:rPr>
          <w:rFonts w:asciiTheme="minorHAnsi" w:hAnsiTheme="minorHAnsi"/>
          <w:sz w:val="20"/>
          <w:szCs w:val="20"/>
          <w:lang w:val="en-US"/>
        </w:rPr>
        <w:t xml:space="preserve">its observations on the draft of this report the State noted that </w:t>
      </w:r>
      <w:r w:rsidR="00195558" w:rsidRPr="007D47AD">
        <w:rPr>
          <w:rFonts w:asciiTheme="minorHAnsi" w:hAnsiTheme="minorHAnsi"/>
          <w:sz w:val="20"/>
          <w:szCs w:val="20"/>
          <w:lang w:val="en-US"/>
        </w:rPr>
        <w:t xml:space="preserve">it “reviewed and elevated” the profile of the public officials who make up of the </w:t>
      </w:r>
      <w:r w:rsidR="00174FBE" w:rsidRPr="007D47AD">
        <w:rPr>
          <w:rFonts w:asciiTheme="minorHAnsi" w:hAnsiTheme="minorHAnsi"/>
          <w:sz w:val="20"/>
          <w:szCs w:val="20"/>
          <w:lang w:val="en-US"/>
        </w:rPr>
        <w:t xml:space="preserve">Office of the Prosecutor against Torture </w:t>
      </w:r>
      <w:r w:rsidR="00195558" w:rsidRPr="007D47AD">
        <w:rPr>
          <w:rFonts w:asciiTheme="minorHAnsi" w:hAnsiTheme="minorHAnsi"/>
          <w:sz w:val="20"/>
          <w:szCs w:val="20"/>
          <w:lang w:val="en-US"/>
        </w:rPr>
        <w:t>(</w:t>
      </w:r>
      <w:r w:rsidR="00A44839" w:rsidRPr="007D47AD">
        <w:rPr>
          <w:rFonts w:asciiTheme="minorHAnsi" w:eastAsia="Times New Roman" w:hAnsiTheme="minorHAnsi" w:cs="Arial"/>
          <w:sz w:val="20"/>
          <w:szCs w:val="20"/>
          <w:lang w:val="en-US"/>
        </w:rPr>
        <w:t>Fiscalía contra la Tortura</w:t>
      </w:r>
      <w:r w:rsidR="00195558" w:rsidRPr="007D47AD">
        <w:rPr>
          <w:rFonts w:asciiTheme="minorHAnsi" w:eastAsia="Times New Roman" w:hAnsiTheme="minorHAnsi" w:cs="Arial"/>
          <w:sz w:val="20"/>
          <w:szCs w:val="20"/>
          <w:lang w:val="en-US"/>
        </w:rPr>
        <w:t>)</w:t>
      </w:r>
      <w:r w:rsidR="00A44839" w:rsidRPr="007D47AD">
        <w:rPr>
          <w:rFonts w:asciiTheme="minorHAnsi" w:eastAsia="Times New Roman" w:hAnsiTheme="minorHAnsi" w:cs="Arial"/>
          <w:sz w:val="20"/>
          <w:szCs w:val="20"/>
          <w:lang w:val="en-US"/>
        </w:rPr>
        <w:t xml:space="preserve">. </w:t>
      </w:r>
      <w:r w:rsidR="00195558" w:rsidRPr="007D47AD">
        <w:rPr>
          <w:rFonts w:asciiTheme="minorHAnsi" w:eastAsia="Times New Roman" w:hAnsiTheme="minorHAnsi" w:cs="Arial"/>
          <w:sz w:val="20"/>
          <w:szCs w:val="20"/>
          <w:lang w:val="en-US"/>
        </w:rPr>
        <w:t xml:space="preserve"> It also indicated that since October </w:t>
      </w:r>
      <w:r w:rsidR="00A44839" w:rsidRPr="007D47AD">
        <w:rPr>
          <w:rFonts w:asciiTheme="minorHAnsi" w:eastAsia="Times New Roman" w:hAnsiTheme="minorHAnsi" w:cs="Arial"/>
          <w:sz w:val="20"/>
          <w:szCs w:val="20"/>
          <w:lang w:val="en-US"/>
        </w:rPr>
        <w:t xml:space="preserve">2019 </w:t>
      </w:r>
      <w:r w:rsidR="00195558" w:rsidRPr="007D47AD">
        <w:rPr>
          <w:rFonts w:asciiTheme="minorHAnsi" w:eastAsia="Times New Roman" w:hAnsiTheme="minorHAnsi" w:cs="Arial"/>
          <w:sz w:val="20"/>
          <w:szCs w:val="20"/>
          <w:lang w:val="en-US"/>
        </w:rPr>
        <w:t xml:space="preserve">that </w:t>
      </w:r>
      <w:r w:rsidR="00174FBE" w:rsidRPr="007D47AD">
        <w:rPr>
          <w:rFonts w:asciiTheme="minorHAnsi" w:eastAsia="Times New Roman" w:hAnsiTheme="minorHAnsi" w:cs="Arial"/>
          <w:sz w:val="20"/>
          <w:szCs w:val="20"/>
          <w:lang w:val="en-US"/>
        </w:rPr>
        <w:t xml:space="preserve">Office </w:t>
      </w:r>
      <w:r w:rsidR="002C478B" w:rsidRPr="007D47AD">
        <w:rPr>
          <w:rFonts w:asciiTheme="minorHAnsi" w:eastAsia="Times New Roman" w:hAnsiTheme="minorHAnsi" w:cs="Arial"/>
          <w:sz w:val="20"/>
          <w:szCs w:val="20"/>
          <w:lang w:val="en-US"/>
        </w:rPr>
        <w:t>ha</w:t>
      </w:r>
      <w:r w:rsidR="00195558" w:rsidRPr="007D47AD">
        <w:rPr>
          <w:rFonts w:asciiTheme="minorHAnsi" w:eastAsia="Times New Roman" w:hAnsiTheme="minorHAnsi" w:cs="Arial"/>
          <w:sz w:val="20"/>
          <w:szCs w:val="20"/>
          <w:lang w:val="en-US"/>
        </w:rPr>
        <w:t xml:space="preserve">s </w:t>
      </w:r>
      <w:r w:rsidR="002C478B" w:rsidRPr="007D47AD">
        <w:rPr>
          <w:rFonts w:asciiTheme="minorHAnsi" w:eastAsia="Times New Roman" w:hAnsiTheme="minorHAnsi" w:cs="Arial"/>
          <w:sz w:val="20"/>
          <w:szCs w:val="20"/>
          <w:lang w:val="en-US"/>
        </w:rPr>
        <w:t xml:space="preserve">been </w:t>
      </w:r>
      <w:r w:rsidR="00195558" w:rsidRPr="007D47AD">
        <w:rPr>
          <w:rFonts w:asciiTheme="minorHAnsi" w:eastAsia="Times New Roman" w:hAnsiTheme="minorHAnsi" w:cs="Arial"/>
          <w:sz w:val="20"/>
          <w:szCs w:val="20"/>
          <w:lang w:val="en-US"/>
        </w:rPr>
        <w:t>engaged in a Process of Evaluation and Certification in the Standard of Competence “Promoting Attention for Torture Victims in keeping with the Istanbul Protocol.</w:t>
      </w:r>
      <w:r w:rsidR="00A44839" w:rsidRPr="007D47AD">
        <w:rPr>
          <w:rFonts w:asciiTheme="minorHAnsi" w:eastAsia="Times New Roman" w:hAnsiTheme="minorHAnsi" w:cs="Arial"/>
          <w:sz w:val="20"/>
          <w:szCs w:val="20"/>
          <w:lang w:val="en-US"/>
        </w:rPr>
        <w:t>”</w:t>
      </w:r>
      <w:r w:rsidR="00A44839" w:rsidRPr="007D47AD">
        <w:rPr>
          <w:rStyle w:val="FootnoteReference"/>
          <w:rFonts w:asciiTheme="minorHAnsi" w:hAnsiTheme="minorHAnsi"/>
          <w:sz w:val="20"/>
          <w:szCs w:val="20"/>
          <w:lang w:val="en-US"/>
        </w:rPr>
        <w:footnoteReference w:id="119"/>
      </w:r>
      <w:r w:rsidR="00A44839" w:rsidRPr="007D47AD">
        <w:rPr>
          <w:rFonts w:asciiTheme="minorHAnsi" w:eastAsia="Times New Roman" w:hAnsiTheme="minorHAnsi" w:cs="Arial"/>
          <w:sz w:val="20"/>
          <w:szCs w:val="20"/>
          <w:lang w:val="en-US"/>
        </w:rPr>
        <w:t xml:space="preserve"> </w:t>
      </w:r>
    </w:p>
    <w:p w:rsidR="000E59C3" w:rsidRPr="007D47AD" w:rsidRDefault="00047000" w:rsidP="00BE29F5">
      <w:pPr>
        <w:numPr>
          <w:ilvl w:val="0"/>
          <w:numId w:val="6"/>
        </w:numPr>
        <w:shd w:val="clear" w:color="auto" w:fill="FFFFFF"/>
        <w:spacing w:after="240" w:line="240" w:lineRule="auto"/>
        <w:ind w:left="0" w:firstLine="720"/>
        <w:jc w:val="both"/>
        <w:rPr>
          <w:rFonts w:asciiTheme="minorHAnsi" w:eastAsia="Times New Roman" w:hAnsiTheme="minorHAnsi" w:cs="Arial"/>
          <w:sz w:val="20"/>
          <w:szCs w:val="20"/>
          <w:lang w:val="en-US"/>
        </w:rPr>
      </w:pPr>
      <w:r w:rsidRPr="007D47AD">
        <w:rPr>
          <w:rFonts w:asciiTheme="minorHAnsi" w:eastAsia="Times New Roman" w:hAnsiTheme="minorHAnsi" w:cs="Arial"/>
          <w:sz w:val="20"/>
          <w:szCs w:val="20"/>
          <w:lang w:val="en-US"/>
        </w:rPr>
        <w:t>On the other hand, t</w:t>
      </w:r>
      <w:r w:rsidR="00F25E78" w:rsidRPr="007D47AD">
        <w:rPr>
          <w:rFonts w:asciiTheme="minorHAnsi" w:eastAsia="Times New Roman" w:hAnsiTheme="minorHAnsi" w:cs="Arial"/>
          <w:sz w:val="20"/>
          <w:szCs w:val="20"/>
          <w:lang w:val="en-US"/>
        </w:rPr>
        <w:t xml:space="preserve">he </w:t>
      </w:r>
      <w:r w:rsidR="000E59C3" w:rsidRPr="007D47AD">
        <w:rPr>
          <w:rFonts w:asciiTheme="minorHAnsi" w:eastAsia="Times New Roman" w:hAnsiTheme="minorHAnsi" w:cs="Arial"/>
          <w:sz w:val="20"/>
          <w:szCs w:val="20"/>
          <w:lang w:val="en-US"/>
        </w:rPr>
        <w:t xml:space="preserve">CMDPDH </w:t>
      </w:r>
      <w:r w:rsidR="00F25E78" w:rsidRPr="007D47AD">
        <w:rPr>
          <w:rFonts w:asciiTheme="minorHAnsi" w:eastAsia="Times New Roman" w:hAnsiTheme="minorHAnsi" w:cs="Arial"/>
          <w:sz w:val="20"/>
          <w:szCs w:val="20"/>
          <w:lang w:val="en-US"/>
        </w:rPr>
        <w:t xml:space="preserve">called attention to the fact that not all the states of the Republic have prosecutorial units that address the issue of torture in </w:t>
      </w:r>
      <w:r w:rsidR="00BE29F5" w:rsidRPr="007D47AD">
        <w:rPr>
          <w:rFonts w:asciiTheme="minorHAnsi" w:eastAsia="Times New Roman" w:hAnsiTheme="minorHAnsi" w:cs="Arial"/>
          <w:sz w:val="20"/>
          <w:szCs w:val="20"/>
          <w:lang w:val="en-US"/>
        </w:rPr>
        <w:t>particular</w:t>
      </w:r>
      <w:r w:rsidR="007362B8" w:rsidRPr="007D47AD">
        <w:rPr>
          <w:rFonts w:asciiTheme="minorHAnsi" w:eastAsia="Times New Roman" w:hAnsiTheme="minorHAnsi" w:cs="Arial"/>
          <w:sz w:val="20"/>
          <w:szCs w:val="20"/>
          <w:lang w:val="en-US"/>
        </w:rPr>
        <w:t>,</w:t>
      </w:r>
      <w:r w:rsidR="00BE29F5" w:rsidRPr="007D47AD">
        <w:rPr>
          <w:rFonts w:asciiTheme="minorHAnsi" w:eastAsia="Times New Roman" w:hAnsiTheme="minorHAnsi" w:cs="Arial"/>
          <w:sz w:val="20"/>
          <w:szCs w:val="20"/>
          <w:lang w:val="en-US"/>
        </w:rPr>
        <w:t xml:space="preserve"> </w:t>
      </w:r>
      <w:r w:rsidR="00F25E78" w:rsidRPr="007D47AD">
        <w:rPr>
          <w:rFonts w:asciiTheme="minorHAnsi" w:eastAsia="Times New Roman" w:hAnsiTheme="minorHAnsi" w:cs="Arial"/>
          <w:sz w:val="20"/>
          <w:szCs w:val="20"/>
          <w:lang w:val="en-US"/>
        </w:rPr>
        <w:t xml:space="preserve">as </w:t>
      </w:r>
      <w:r w:rsidR="007362B8" w:rsidRPr="007D47AD">
        <w:rPr>
          <w:rFonts w:asciiTheme="minorHAnsi" w:eastAsia="Times New Roman" w:hAnsiTheme="minorHAnsi" w:cs="Arial"/>
          <w:sz w:val="20"/>
          <w:szCs w:val="20"/>
          <w:lang w:val="en-US"/>
        </w:rPr>
        <w:t xml:space="preserve">required </w:t>
      </w:r>
      <w:r w:rsidR="00F25E78" w:rsidRPr="007D47AD">
        <w:rPr>
          <w:rFonts w:asciiTheme="minorHAnsi" w:eastAsia="Times New Roman" w:hAnsiTheme="minorHAnsi" w:cs="Arial"/>
          <w:sz w:val="20"/>
          <w:szCs w:val="20"/>
          <w:lang w:val="en-US"/>
        </w:rPr>
        <w:t xml:space="preserve">by law. According to its information, at the federal level the Office of the Prosecutor against Torture has been implemented; yet its operation has been characterized as </w:t>
      </w:r>
      <w:r w:rsidR="00BE29F5" w:rsidRPr="007D47AD">
        <w:rPr>
          <w:rFonts w:asciiTheme="minorHAnsi" w:eastAsia="Times New Roman" w:hAnsiTheme="minorHAnsi" w:cs="Arial"/>
          <w:sz w:val="20"/>
          <w:szCs w:val="20"/>
          <w:lang w:val="en-US"/>
        </w:rPr>
        <w:t>“precario</w:t>
      </w:r>
      <w:r w:rsidR="00F25E78" w:rsidRPr="007D47AD">
        <w:rPr>
          <w:rFonts w:asciiTheme="minorHAnsi" w:eastAsia="Times New Roman" w:hAnsiTheme="minorHAnsi" w:cs="Arial"/>
          <w:sz w:val="20"/>
          <w:szCs w:val="20"/>
          <w:lang w:val="en-US"/>
        </w:rPr>
        <w:t>us</w:t>
      </w:r>
      <w:r w:rsidR="00BE29F5" w:rsidRPr="007D47AD">
        <w:rPr>
          <w:rFonts w:asciiTheme="minorHAnsi" w:eastAsia="Times New Roman" w:hAnsiTheme="minorHAnsi" w:cs="Arial"/>
          <w:sz w:val="20"/>
          <w:szCs w:val="20"/>
          <w:lang w:val="en-US"/>
        </w:rPr>
        <w:t xml:space="preserve">” </w:t>
      </w:r>
      <w:r w:rsidR="00F25E78" w:rsidRPr="007D47AD">
        <w:rPr>
          <w:rFonts w:asciiTheme="minorHAnsi" w:eastAsia="Times New Roman" w:hAnsiTheme="minorHAnsi" w:cs="Arial"/>
          <w:sz w:val="20"/>
          <w:szCs w:val="20"/>
          <w:lang w:val="en-US"/>
        </w:rPr>
        <w:t xml:space="preserve">for it was only allocated </w:t>
      </w:r>
      <w:r w:rsidR="00BE29F5" w:rsidRPr="007D47AD">
        <w:rPr>
          <w:rFonts w:asciiTheme="minorHAnsi" w:eastAsia="Times New Roman" w:hAnsiTheme="minorHAnsi" w:cs="Arial"/>
          <w:sz w:val="20"/>
          <w:szCs w:val="20"/>
          <w:lang w:val="en-US"/>
        </w:rPr>
        <w:t xml:space="preserve">457,758 </w:t>
      </w:r>
      <w:r w:rsidR="00F25E78" w:rsidRPr="007D47AD">
        <w:rPr>
          <w:rFonts w:asciiTheme="minorHAnsi" w:eastAsia="Times New Roman" w:hAnsiTheme="minorHAnsi" w:cs="Arial"/>
          <w:sz w:val="20"/>
          <w:szCs w:val="20"/>
          <w:lang w:val="en-US"/>
        </w:rPr>
        <w:t>M</w:t>
      </w:r>
      <w:r w:rsidR="00BE29F5" w:rsidRPr="007D47AD">
        <w:rPr>
          <w:rFonts w:asciiTheme="minorHAnsi" w:eastAsia="Times New Roman" w:hAnsiTheme="minorHAnsi" w:cs="Arial"/>
          <w:sz w:val="20"/>
          <w:szCs w:val="20"/>
          <w:lang w:val="en-US"/>
        </w:rPr>
        <w:t>exican</w:t>
      </w:r>
      <w:r w:rsidR="00F25E78" w:rsidRPr="007D47AD">
        <w:rPr>
          <w:rFonts w:asciiTheme="minorHAnsi" w:eastAsia="Times New Roman" w:hAnsiTheme="minorHAnsi" w:cs="Arial"/>
          <w:sz w:val="20"/>
          <w:szCs w:val="20"/>
          <w:lang w:val="en-US"/>
        </w:rPr>
        <w:t xml:space="preserve"> pesos </w:t>
      </w:r>
      <w:r w:rsidR="00BE29F5" w:rsidRPr="007D47AD">
        <w:rPr>
          <w:rFonts w:asciiTheme="minorHAnsi" w:eastAsia="Times New Roman" w:hAnsiTheme="minorHAnsi" w:cs="Arial"/>
          <w:sz w:val="20"/>
          <w:szCs w:val="20"/>
          <w:lang w:val="en-US"/>
        </w:rPr>
        <w:t>(</w:t>
      </w:r>
      <w:r w:rsidR="00F25E78" w:rsidRPr="007D47AD">
        <w:rPr>
          <w:rFonts w:asciiTheme="minorHAnsi" w:eastAsia="Times New Roman" w:hAnsiTheme="minorHAnsi" w:cs="Arial"/>
          <w:sz w:val="20"/>
          <w:szCs w:val="20"/>
          <w:lang w:val="en-US"/>
        </w:rPr>
        <w:t xml:space="preserve">just over US$ 24,000) to operate in </w:t>
      </w:r>
      <w:r w:rsidR="00BE29F5" w:rsidRPr="007D47AD">
        <w:rPr>
          <w:rFonts w:asciiTheme="minorHAnsi" w:eastAsia="Times New Roman" w:hAnsiTheme="minorHAnsi" w:cs="Arial"/>
          <w:sz w:val="20"/>
          <w:szCs w:val="20"/>
          <w:lang w:val="en-US"/>
        </w:rPr>
        <w:t>2019</w:t>
      </w:r>
      <w:r w:rsidR="00F25E78" w:rsidRPr="007D47AD">
        <w:rPr>
          <w:rFonts w:asciiTheme="minorHAnsi" w:eastAsia="Times New Roman" w:hAnsiTheme="minorHAnsi" w:cs="Arial"/>
          <w:sz w:val="20"/>
          <w:szCs w:val="20"/>
          <w:lang w:val="en-US"/>
        </w:rPr>
        <w:t>.</w:t>
      </w:r>
      <w:r w:rsidR="006F5DE4" w:rsidRPr="007D47AD">
        <w:rPr>
          <w:rStyle w:val="FootnoteReference"/>
          <w:rFonts w:asciiTheme="minorHAnsi" w:hAnsiTheme="minorHAnsi"/>
          <w:sz w:val="20"/>
          <w:szCs w:val="20"/>
          <w:lang w:val="en-US"/>
        </w:rPr>
        <w:footnoteReference w:id="120"/>
      </w:r>
    </w:p>
    <w:p w:rsidR="00544C0E" w:rsidRPr="007D47AD" w:rsidRDefault="00F25E78" w:rsidP="00544C0E">
      <w:pPr>
        <w:numPr>
          <w:ilvl w:val="0"/>
          <w:numId w:val="6"/>
        </w:numPr>
        <w:shd w:val="clear" w:color="auto" w:fill="FFFFFF"/>
        <w:spacing w:after="240" w:line="240" w:lineRule="auto"/>
        <w:ind w:left="0" w:firstLine="720"/>
        <w:jc w:val="both"/>
        <w:rPr>
          <w:rFonts w:asciiTheme="minorHAnsi" w:hAnsiTheme="minorHAnsi"/>
          <w:sz w:val="20"/>
          <w:szCs w:val="20"/>
          <w:lang w:val="en-US"/>
        </w:rPr>
      </w:pPr>
      <w:r w:rsidRPr="007D47AD">
        <w:rPr>
          <w:rFonts w:asciiTheme="minorHAnsi" w:eastAsia="Times New Roman" w:hAnsiTheme="minorHAnsi" w:cs="Arial"/>
          <w:sz w:val="20"/>
          <w:szCs w:val="20"/>
          <w:lang w:val="en-US"/>
        </w:rPr>
        <w:t xml:space="preserve">The </w:t>
      </w:r>
      <w:r w:rsidR="00544C0E" w:rsidRPr="007D47AD">
        <w:rPr>
          <w:rFonts w:asciiTheme="minorHAnsi" w:eastAsia="Times New Roman" w:hAnsiTheme="minorHAnsi" w:cs="Arial"/>
          <w:sz w:val="20"/>
          <w:szCs w:val="20"/>
          <w:lang w:val="en-US"/>
        </w:rPr>
        <w:t xml:space="preserve">CNDH </w:t>
      </w:r>
      <w:r w:rsidRPr="007D47AD">
        <w:rPr>
          <w:rFonts w:asciiTheme="minorHAnsi" w:eastAsia="Times New Roman" w:hAnsiTheme="minorHAnsi" w:cs="Arial"/>
          <w:sz w:val="20"/>
          <w:szCs w:val="20"/>
          <w:lang w:val="en-US"/>
        </w:rPr>
        <w:t xml:space="preserve">indicated that torture is still a scourge in Mexico and that from </w:t>
      </w:r>
      <w:r w:rsidR="00544C0E" w:rsidRPr="007D47AD">
        <w:rPr>
          <w:rFonts w:asciiTheme="minorHAnsi" w:hAnsiTheme="minorHAnsi"/>
          <w:sz w:val="20"/>
          <w:szCs w:val="20"/>
          <w:lang w:val="en-US"/>
        </w:rPr>
        <w:t xml:space="preserve">2013 </w:t>
      </w:r>
      <w:r w:rsidRPr="007D47AD">
        <w:rPr>
          <w:rFonts w:asciiTheme="minorHAnsi" w:hAnsiTheme="minorHAnsi"/>
          <w:sz w:val="20"/>
          <w:szCs w:val="20"/>
          <w:lang w:val="en-US"/>
        </w:rPr>
        <w:t xml:space="preserve">to January </w:t>
      </w:r>
      <w:r w:rsidR="00544C0E" w:rsidRPr="007D47AD">
        <w:rPr>
          <w:rFonts w:asciiTheme="minorHAnsi" w:hAnsiTheme="minorHAnsi"/>
          <w:sz w:val="20"/>
          <w:szCs w:val="20"/>
          <w:lang w:val="en-US"/>
        </w:rPr>
        <w:t>2019</w:t>
      </w:r>
      <w:r w:rsidRPr="007D47AD">
        <w:rPr>
          <w:rFonts w:asciiTheme="minorHAnsi" w:hAnsiTheme="minorHAnsi"/>
          <w:sz w:val="20"/>
          <w:szCs w:val="20"/>
          <w:lang w:val="en-US"/>
        </w:rPr>
        <w:t xml:space="preserve"> it has opened 285 case files on complaints related to torture and </w:t>
      </w:r>
      <w:r w:rsidR="00EF06C6" w:rsidRPr="007D47AD">
        <w:rPr>
          <w:rFonts w:asciiTheme="minorHAnsi" w:hAnsiTheme="minorHAnsi"/>
          <w:sz w:val="20"/>
          <w:szCs w:val="20"/>
          <w:lang w:val="en-US"/>
        </w:rPr>
        <w:t>3</w:t>
      </w:r>
      <w:r w:rsidRPr="007D47AD">
        <w:rPr>
          <w:rFonts w:asciiTheme="minorHAnsi" w:hAnsiTheme="minorHAnsi"/>
          <w:sz w:val="20"/>
          <w:szCs w:val="20"/>
          <w:lang w:val="en-US"/>
        </w:rPr>
        <w:t>,</w:t>
      </w:r>
      <w:r w:rsidR="00EF06C6" w:rsidRPr="007D47AD">
        <w:rPr>
          <w:rFonts w:asciiTheme="minorHAnsi" w:hAnsiTheme="minorHAnsi"/>
          <w:sz w:val="20"/>
          <w:szCs w:val="20"/>
          <w:lang w:val="en-US"/>
        </w:rPr>
        <w:t xml:space="preserve">239 </w:t>
      </w:r>
      <w:r w:rsidRPr="007D47AD">
        <w:rPr>
          <w:rFonts w:asciiTheme="minorHAnsi" w:hAnsiTheme="minorHAnsi"/>
          <w:sz w:val="20"/>
          <w:szCs w:val="20"/>
          <w:lang w:val="en-US"/>
        </w:rPr>
        <w:t xml:space="preserve">on complaints for cruel, inhuman or degrading treatment. A high concentration of such complaints are found in the states of </w:t>
      </w:r>
      <w:r w:rsidR="00EF06C6" w:rsidRPr="007D47AD">
        <w:rPr>
          <w:rFonts w:asciiTheme="minorHAnsi" w:hAnsiTheme="minorHAnsi"/>
          <w:sz w:val="20"/>
          <w:szCs w:val="20"/>
          <w:lang w:val="en-US"/>
        </w:rPr>
        <w:t xml:space="preserve">México, Guerrero, Tamaulipas, </w:t>
      </w:r>
      <w:r w:rsidRPr="007D47AD">
        <w:rPr>
          <w:rFonts w:asciiTheme="minorHAnsi" w:hAnsiTheme="minorHAnsi"/>
          <w:sz w:val="20"/>
          <w:szCs w:val="20"/>
          <w:lang w:val="en-US"/>
        </w:rPr>
        <w:t xml:space="preserve">Mexico City, </w:t>
      </w:r>
      <w:r w:rsidR="00EF06C6" w:rsidRPr="007D47AD">
        <w:rPr>
          <w:rFonts w:asciiTheme="minorHAnsi" w:hAnsiTheme="minorHAnsi"/>
          <w:sz w:val="20"/>
          <w:szCs w:val="20"/>
          <w:lang w:val="en-US"/>
        </w:rPr>
        <w:t>Veracruz</w:t>
      </w:r>
      <w:r w:rsidRPr="007D47AD">
        <w:rPr>
          <w:rFonts w:asciiTheme="minorHAnsi" w:hAnsiTheme="minorHAnsi"/>
          <w:sz w:val="20"/>
          <w:szCs w:val="20"/>
          <w:lang w:val="en-US"/>
        </w:rPr>
        <w:t xml:space="preserve">, and </w:t>
      </w:r>
      <w:r w:rsidR="00EF06C6" w:rsidRPr="007D47AD">
        <w:rPr>
          <w:rFonts w:asciiTheme="minorHAnsi" w:hAnsiTheme="minorHAnsi"/>
          <w:sz w:val="20"/>
          <w:szCs w:val="20"/>
          <w:lang w:val="en-US"/>
        </w:rPr>
        <w:t xml:space="preserve">Michoacán </w:t>
      </w:r>
      <w:r w:rsidRPr="007D47AD">
        <w:rPr>
          <w:rFonts w:asciiTheme="minorHAnsi" w:hAnsiTheme="minorHAnsi"/>
          <w:sz w:val="20"/>
          <w:szCs w:val="20"/>
          <w:lang w:val="en-US"/>
        </w:rPr>
        <w:t xml:space="preserve">for acts of torture, and in </w:t>
      </w:r>
      <w:r w:rsidR="00EF06C6" w:rsidRPr="007D47AD">
        <w:rPr>
          <w:rFonts w:asciiTheme="minorHAnsi" w:hAnsiTheme="minorHAnsi"/>
          <w:sz w:val="20"/>
          <w:szCs w:val="20"/>
          <w:lang w:val="en-US"/>
        </w:rPr>
        <w:t xml:space="preserve">Tamaulipas, Veracruz, Michoacán, </w:t>
      </w:r>
      <w:r w:rsidRPr="007D47AD">
        <w:rPr>
          <w:rFonts w:asciiTheme="minorHAnsi" w:hAnsiTheme="minorHAnsi"/>
          <w:sz w:val="20"/>
          <w:szCs w:val="20"/>
          <w:lang w:val="en-US"/>
        </w:rPr>
        <w:lastRenderedPageBreak/>
        <w:t xml:space="preserve">Mexico City, state of </w:t>
      </w:r>
      <w:r w:rsidR="00EF06C6" w:rsidRPr="007D47AD">
        <w:rPr>
          <w:rFonts w:asciiTheme="minorHAnsi" w:hAnsiTheme="minorHAnsi"/>
          <w:sz w:val="20"/>
          <w:szCs w:val="20"/>
          <w:lang w:val="en-US"/>
        </w:rPr>
        <w:t xml:space="preserve">México, </w:t>
      </w:r>
      <w:r w:rsidRPr="007D47AD">
        <w:rPr>
          <w:rFonts w:asciiTheme="minorHAnsi" w:hAnsiTheme="minorHAnsi"/>
          <w:sz w:val="20"/>
          <w:szCs w:val="20"/>
          <w:lang w:val="en-US"/>
        </w:rPr>
        <w:t>and</w:t>
      </w:r>
      <w:r w:rsidR="00EF06C6" w:rsidRPr="007D47AD">
        <w:rPr>
          <w:rFonts w:asciiTheme="minorHAnsi" w:hAnsiTheme="minorHAnsi"/>
          <w:sz w:val="20"/>
          <w:szCs w:val="20"/>
          <w:lang w:val="en-US"/>
        </w:rPr>
        <w:t xml:space="preserve"> Oaxaca </w:t>
      </w:r>
      <w:r w:rsidRPr="007D47AD">
        <w:rPr>
          <w:rFonts w:asciiTheme="minorHAnsi" w:hAnsiTheme="minorHAnsi"/>
          <w:sz w:val="20"/>
          <w:szCs w:val="20"/>
          <w:lang w:val="en-US"/>
        </w:rPr>
        <w:t xml:space="preserve">for acts of cruel, inhuman and degrading treatment. In all cases the CNDH applied the corresponding </w:t>
      </w:r>
      <w:r w:rsidR="007362B8" w:rsidRPr="007D47AD">
        <w:rPr>
          <w:rFonts w:asciiTheme="minorHAnsi" w:hAnsiTheme="minorHAnsi"/>
          <w:sz w:val="20"/>
          <w:szCs w:val="20"/>
          <w:lang w:val="en-US"/>
        </w:rPr>
        <w:t xml:space="preserve">forensic </w:t>
      </w:r>
      <w:r w:rsidRPr="007D47AD">
        <w:rPr>
          <w:rFonts w:asciiTheme="minorHAnsi" w:hAnsiTheme="minorHAnsi"/>
          <w:sz w:val="20"/>
          <w:szCs w:val="20"/>
          <w:lang w:val="en-US"/>
        </w:rPr>
        <w:t>psychological evaluations in keeping with the Istanbul Protocol.</w:t>
      </w:r>
      <w:r w:rsidR="002A32DA" w:rsidRPr="007D47AD">
        <w:rPr>
          <w:rStyle w:val="FootnoteReference"/>
          <w:rFonts w:asciiTheme="minorHAnsi" w:hAnsiTheme="minorHAnsi"/>
          <w:sz w:val="20"/>
          <w:szCs w:val="20"/>
          <w:lang w:val="en-US"/>
        </w:rPr>
        <w:footnoteReference w:id="121"/>
      </w:r>
    </w:p>
    <w:p w:rsidR="00582346" w:rsidRPr="007D47AD" w:rsidRDefault="00F25E78" w:rsidP="00134C78">
      <w:pPr>
        <w:numPr>
          <w:ilvl w:val="0"/>
          <w:numId w:val="6"/>
        </w:numPr>
        <w:shd w:val="clear" w:color="auto" w:fill="FFFFFF"/>
        <w:spacing w:after="240" w:line="240" w:lineRule="auto"/>
        <w:ind w:left="0" w:firstLine="720"/>
        <w:jc w:val="both"/>
        <w:rPr>
          <w:rFonts w:asciiTheme="minorHAnsi" w:eastAsia="Times New Roman" w:hAnsiTheme="minorHAnsi" w:cs="Arial"/>
          <w:sz w:val="20"/>
          <w:szCs w:val="20"/>
          <w:lang w:val="en-US"/>
        </w:rPr>
      </w:pPr>
      <w:r w:rsidRPr="007D47AD">
        <w:rPr>
          <w:rFonts w:asciiTheme="minorHAnsi" w:eastAsia="Times New Roman" w:hAnsiTheme="minorHAnsi" w:cs="Arial"/>
          <w:sz w:val="20"/>
          <w:szCs w:val="20"/>
          <w:lang w:val="en-US"/>
        </w:rPr>
        <w:t xml:space="preserve">The Committee Against Torture of the United Nations, while noting that the General Law against Torture is in line with the international definition of said conduct, expressed concern that the statutory definition does not expressly </w:t>
      </w:r>
      <w:r w:rsidR="00134C78" w:rsidRPr="007D47AD">
        <w:rPr>
          <w:rFonts w:asciiTheme="minorHAnsi" w:eastAsia="Times New Roman" w:hAnsiTheme="minorHAnsi" w:cs="Arial"/>
          <w:sz w:val="20"/>
          <w:szCs w:val="20"/>
          <w:lang w:val="en-US"/>
        </w:rPr>
        <w:t xml:space="preserve">address </w:t>
      </w:r>
      <w:r w:rsidR="00582346" w:rsidRPr="007D47AD">
        <w:rPr>
          <w:rFonts w:asciiTheme="minorHAnsi" w:eastAsia="Times New Roman" w:hAnsiTheme="minorHAnsi" w:cs="Arial"/>
          <w:sz w:val="20"/>
          <w:szCs w:val="20"/>
          <w:lang w:val="en-US"/>
        </w:rPr>
        <w:t>“</w:t>
      </w:r>
      <w:r w:rsidR="00134C78" w:rsidRPr="007D47AD">
        <w:rPr>
          <w:rFonts w:asciiTheme="minorHAnsi" w:eastAsia="Times New Roman" w:hAnsiTheme="minorHAnsi" w:cs="Arial"/>
          <w:sz w:val="20"/>
          <w:szCs w:val="20"/>
          <w:lang w:val="en-US"/>
        </w:rPr>
        <w:t>acts of torture committed with the aim or purpose of obtaining information or a confession from a third person or acts intended to intimidate or coerce persons other than the victim</w:t>
      </w:r>
      <w:r w:rsidRPr="007D47AD">
        <w:rPr>
          <w:rFonts w:asciiTheme="minorHAnsi" w:eastAsia="Times New Roman" w:hAnsiTheme="minorHAnsi" w:cs="Arial"/>
          <w:sz w:val="20"/>
          <w:szCs w:val="20"/>
          <w:lang w:val="en-US"/>
        </w:rPr>
        <w:t>.</w:t>
      </w:r>
      <w:r w:rsidR="00582346" w:rsidRPr="007D47AD">
        <w:rPr>
          <w:rFonts w:asciiTheme="minorHAnsi" w:eastAsia="Times New Roman" w:hAnsiTheme="minorHAnsi" w:cs="Arial"/>
          <w:sz w:val="20"/>
          <w:szCs w:val="20"/>
          <w:lang w:val="en-US"/>
        </w:rPr>
        <w:t>”</w:t>
      </w:r>
      <w:r w:rsidRPr="007D47AD">
        <w:rPr>
          <w:rFonts w:asciiTheme="minorHAnsi" w:eastAsia="Times New Roman" w:hAnsiTheme="minorHAnsi" w:cs="Arial"/>
          <w:sz w:val="20"/>
          <w:szCs w:val="20"/>
          <w:lang w:val="en-US"/>
        </w:rPr>
        <w:t xml:space="preserve"> In addition, the Committee lamented the fact that despite holding consultations in </w:t>
      </w:r>
      <w:r w:rsidR="00ED0A1F" w:rsidRPr="007D47AD">
        <w:rPr>
          <w:rFonts w:asciiTheme="minorHAnsi" w:eastAsia="Times New Roman" w:hAnsiTheme="minorHAnsi" w:cs="Arial"/>
          <w:sz w:val="20"/>
          <w:szCs w:val="20"/>
          <w:lang w:val="en-US"/>
        </w:rPr>
        <w:t xml:space="preserve">2019, </w:t>
      </w:r>
      <w:r w:rsidRPr="007D47AD">
        <w:rPr>
          <w:rFonts w:asciiTheme="minorHAnsi" w:eastAsia="Times New Roman" w:hAnsiTheme="minorHAnsi" w:cs="Arial"/>
          <w:sz w:val="20"/>
          <w:szCs w:val="20"/>
          <w:lang w:val="en-US"/>
        </w:rPr>
        <w:t xml:space="preserve">the National Program against </w:t>
      </w:r>
      <w:r w:rsidR="00582346" w:rsidRPr="007D47AD">
        <w:rPr>
          <w:rFonts w:asciiTheme="minorHAnsi" w:eastAsia="Times New Roman" w:hAnsiTheme="minorHAnsi" w:cs="Arial"/>
          <w:sz w:val="20"/>
          <w:szCs w:val="20"/>
          <w:lang w:val="en-US"/>
        </w:rPr>
        <w:t>Tortur</w:t>
      </w:r>
      <w:r w:rsidRPr="007D47AD">
        <w:rPr>
          <w:rFonts w:asciiTheme="minorHAnsi" w:eastAsia="Times New Roman" w:hAnsiTheme="minorHAnsi" w:cs="Arial"/>
          <w:sz w:val="20"/>
          <w:szCs w:val="20"/>
          <w:lang w:val="en-US"/>
        </w:rPr>
        <w:t>e has not been adopted as per the legal mandate</w:t>
      </w:r>
      <w:r w:rsidR="00D10622" w:rsidRPr="007D47AD">
        <w:rPr>
          <w:rFonts w:asciiTheme="minorHAnsi" w:eastAsia="Times New Roman" w:hAnsiTheme="minorHAnsi" w:cs="Arial"/>
          <w:sz w:val="20"/>
          <w:szCs w:val="20"/>
          <w:lang w:val="en-US"/>
        </w:rPr>
        <w:t xml:space="preserve">; </w:t>
      </w:r>
      <w:r w:rsidRPr="007D47AD">
        <w:rPr>
          <w:rFonts w:asciiTheme="minorHAnsi" w:eastAsia="Times New Roman" w:hAnsiTheme="minorHAnsi" w:cs="Arial"/>
          <w:sz w:val="20"/>
          <w:szCs w:val="20"/>
          <w:lang w:val="en-US"/>
        </w:rPr>
        <w:t>that the National Mechanism for the Prevention of Torture has had scant impact</w:t>
      </w:r>
      <w:r w:rsidR="00FD42F2" w:rsidRPr="007D47AD">
        <w:rPr>
          <w:rFonts w:asciiTheme="minorHAnsi" w:eastAsia="Times New Roman" w:hAnsiTheme="minorHAnsi" w:cs="Arial"/>
          <w:sz w:val="20"/>
          <w:szCs w:val="20"/>
          <w:lang w:val="en-US"/>
        </w:rPr>
        <w:t>;</w:t>
      </w:r>
      <w:r w:rsidRPr="007D47AD">
        <w:rPr>
          <w:rFonts w:asciiTheme="minorHAnsi" w:eastAsia="Times New Roman" w:hAnsiTheme="minorHAnsi" w:cs="Arial"/>
          <w:sz w:val="20"/>
          <w:szCs w:val="20"/>
          <w:lang w:val="en-US"/>
        </w:rPr>
        <w:t xml:space="preserve"> and th</w:t>
      </w:r>
      <w:r w:rsidR="00FD42F2" w:rsidRPr="007D47AD">
        <w:rPr>
          <w:rFonts w:asciiTheme="minorHAnsi" w:eastAsia="Times New Roman" w:hAnsiTheme="minorHAnsi" w:cs="Arial"/>
          <w:sz w:val="20"/>
          <w:szCs w:val="20"/>
          <w:lang w:val="en-US"/>
        </w:rPr>
        <w:t>a</w:t>
      </w:r>
      <w:r w:rsidRPr="007D47AD">
        <w:rPr>
          <w:rFonts w:asciiTheme="minorHAnsi" w:eastAsia="Times New Roman" w:hAnsiTheme="minorHAnsi" w:cs="Arial"/>
          <w:sz w:val="20"/>
          <w:szCs w:val="20"/>
          <w:lang w:val="en-US"/>
        </w:rPr>
        <w:t>t the reform processes to strengthen it are not evident.</w:t>
      </w:r>
      <w:r w:rsidR="00D10622" w:rsidRPr="007D47AD">
        <w:rPr>
          <w:rStyle w:val="FootnoteReference"/>
          <w:rFonts w:asciiTheme="minorHAnsi" w:eastAsia="Times New Roman" w:hAnsiTheme="minorHAnsi" w:cs="Arial"/>
          <w:sz w:val="20"/>
          <w:szCs w:val="20"/>
          <w:lang w:val="en-US"/>
        </w:rPr>
        <w:footnoteReference w:id="122"/>
      </w:r>
    </w:p>
    <w:p w:rsidR="009C095D" w:rsidRPr="007D47AD" w:rsidRDefault="007B6373" w:rsidP="00DC6D48">
      <w:pPr>
        <w:numPr>
          <w:ilvl w:val="0"/>
          <w:numId w:val="6"/>
        </w:numPr>
        <w:spacing w:after="240" w:line="240" w:lineRule="auto"/>
        <w:ind w:left="0" w:firstLine="720"/>
        <w:jc w:val="both"/>
        <w:rPr>
          <w:rFonts w:asciiTheme="minorHAnsi" w:hAnsiTheme="minorHAnsi"/>
          <w:sz w:val="20"/>
          <w:szCs w:val="20"/>
          <w:lang w:val="en-US"/>
        </w:rPr>
      </w:pPr>
      <w:r w:rsidRPr="007D47AD">
        <w:rPr>
          <w:rFonts w:asciiTheme="minorHAnsi" w:hAnsiTheme="minorHAnsi" w:cs="Arial"/>
          <w:sz w:val="20"/>
          <w:szCs w:val="20"/>
          <w:lang w:val="en-US"/>
        </w:rPr>
        <w:t xml:space="preserve">In its </w:t>
      </w:r>
      <w:r w:rsidR="00F25E78" w:rsidRPr="007D47AD">
        <w:rPr>
          <w:rFonts w:asciiTheme="minorHAnsi" w:hAnsiTheme="minorHAnsi" w:cs="Arial"/>
          <w:sz w:val="20"/>
          <w:szCs w:val="20"/>
          <w:lang w:val="en-US"/>
        </w:rPr>
        <w:t xml:space="preserve">report </w:t>
      </w:r>
      <w:r w:rsidR="005A2E4A" w:rsidRPr="007D47AD">
        <w:rPr>
          <w:rFonts w:asciiTheme="minorHAnsi" w:hAnsiTheme="minorHAnsi" w:cs="Arial"/>
          <w:sz w:val="20"/>
          <w:szCs w:val="20"/>
          <w:lang w:val="en-US"/>
        </w:rPr>
        <w:t>“P</w:t>
      </w:r>
      <w:r w:rsidR="00024ED4" w:rsidRPr="007D47AD">
        <w:rPr>
          <w:rFonts w:asciiTheme="minorHAnsi" w:hAnsiTheme="minorHAnsi" w:cs="Arial"/>
          <w:sz w:val="20"/>
          <w:szCs w:val="20"/>
          <w:lang w:val="en-US"/>
        </w:rPr>
        <w:t>atrones de Impunidad”</w:t>
      </w:r>
      <w:r w:rsidRPr="007D47AD">
        <w:rPr>
          <w:rFonts w:asciiTheme="minorHAnsi" w:hAnsiTheme="minorHAnsi" w:cs="Arial"/>
          <w:sz w:val="20"/>
          <w:szCs w:val="20"/>
          <w:lang w:val="en-US"/>
        </w:rPr>
        <w:t xml:space="preserve"> (“Patterns of Impunity”),</w:t>
      </w:r>
      <w:r w:rsidR="00024ED4" w:rsidRPr="007D47AD">
        <w:rPr>
          <w:rFonts w:asciiTheme="minorHAnsi" w:hAnsiTheme="minorHAnsi" w:cs="Arial"/>
          <w:sz w:val="20"/>
          <w:szCs w:val="20"/>
          <w:lang w:val="en-US"/>
        </w:rPr>
        <w:t xml:space="preserve"> </w:t>
      </w:r>
      <w:r w:rsidR="00F25E78" w:rsidRPr="007D47AD">
        <w:rPr>
          <w:rFonts w:asciiTheme="minorHAnsi" w:hAnsiTheme="minorHAnsi" w:cs="Arial"/>
          <w:sz w:val="20"/>
          <w:szCs w:val="20"/>
          <w:lang w:val="en-US"/>
        </w:rPr>
        <w:t xml:space="preserve">the </w:t>
      </w:r>
      <w:r w:rsidR="00EE7E49" w:rsidRPr="007D47AD">
        <w:rPr>
          <w:rFonts w:asciiTheme="minorHAnsi" w:hAnsiTheme="minorHAnsi" w:cs="Arial"/>
          <w:sz w:val="20"/>
          <w:szCs w:val="20"/>
          <w:lang w:val="en-US"/>
        </w:rPr>
        <w:t xml:space="preserve">Centro PRODH </w:t>
      </w:r>
      <w:r w:rsidR="005A2E4A" w:rsidRPr="007D47AD">
        <w:rPr>
          <w:rFonts w:asciiTheme="minorHAnsi" w:hAnsiTheme="minorHAnsi" w:cs="Arial"/>
          <w:sz w:val="20"/>
          <w:szCs w:val="20"/>
          <w:lang w:val="en-US"/>
        </w:rPr>
        <w:t>indic</w:t>
      </w:r>
      <w:r w:rsidR="00F25E78" w:rsidRPr="007D47AD">
        <w:rPr>
          <w:rFonts w:asciiTheme="minorHAnsi" w:hAnsiTheme="minorHAnsi" w:cs="Arial"/>
          <w:sz w:val="20"/>
          <w:szCs w:val="20"/>
          <w:lang w:val="en-US"/>
        </w:rPr>
        <w:t xml:space="preserve">ated that in February </w:t>
      </w:r>
      <w:r w:rsidR="005A2E4A" w:rsidRPr="007D47AD">
        <w:rPr>
          <w:rFonts w:asciiTheme="minorHAnsi" w:hAnsiTheme="minorHAnsi" w:cs="Arial"/>
          <w:sz w:val="20"/>
          <w:szCs w:val="20"/>
          <w:lang w:val="en-US"/>
        </w:rPr>
        <w:t xml:space="preserve">2019, </w:t>
      </w:r>
      <w:r w:rsidR="00F25E78" w:rsidRPr="007D47AD">
        <w:rPr>
          <w:rFonts w:asciiTheme="minorHAnsi" w:hAnsiTheme="minorHAnsi" w:cs="Arial"/>
          <w:sz w:val="20"/>
          <w:szCs w:val="20"/>
          <w:lang w:val="en-US"/>
        </w:rPr>
        <w:t xml:space="preserve">the Office of the Special Prosecutor for Investigating the Crime of Torture of the </w:t>
      </w:r>
      <w:r w:rsidR="005A2E4A" w:rsidRPr="007D47AD">
        <w:rPr>
          <w:rFonts w:asciiTheme="minorHAnsi" w:hAnsiTheme="minorHAnsi" w:cs="Arial"/>
          <w:sz w:val="20"/>
          <w:szCs w:val="20"/>
          <w:lang w:val="en-US"/>
        </w:rPr>
        <w:t xml:space="preserve">FGR </w:t>
      </w:r>
      <w:r w:rsidRPr="007D47AD">
        <w:rPr>
          <w:rFonts w:asciiTheme="minorHAnsi" w:hAnsiTheme="minorHAnsi" w:cs="Arial"/>
          <w:sz w:val="20"/>
          <w:szCs w:val="20"/>
          <w:lang w:val="en-US"/>
        </w:rPr>
        <w:t xml:space="preserve">had </w:t>
      </w:r>
      <w:r w:rsidR="005A2E4A" w:rsidRPr="007D47AD">
        <w:rPr>
          <w:rFonts w:asciiTheme="minorHAnsi" w:hAnsiTheme="minorHAnsi" w:cs="Arial"/>
          <w:sz w:val="20"/>
          <w:szCs w:val="20"/>
          <w:lang w:val="en-US"/>
        </w:rPr>
        <w:t>4</w:t>
      </w:r>
      <w:r w:rsidRPr="007D47AD">
        <w:rPr>
          <w:rFonts w:asciiTheme="minorHAnsi" w:hAnsiTheme="minorHAnsi" w:cs="Arial"/>
          <w:sz w:val="20"/>
          <w:szCs w:val="20"/>
          <w:lang w:val="en-US"/>
        </w:rPr>
        <w:t>,</w:t>
      </w:r>
      <w:r w:rsidR="005A2E4A" w:rsidRPr="007D47AD">
        <w:rPr>
          <w:rFonts w:asciiTheme="minorHAnsi" w:hAnsiTheme="minorHAnsi" w:cs="Arial"/>
          <w:sz w:val="20"/>
          <w:szCs w:val="20"/>
          <w:lang w:val="en-US"/>
        </w:rPr>
        <w:t>814 investiga</w:t>
      </w:r>
      <w:r w:rsidR="00DC6D48" w:rsidRPr="007D47AD">
        <w:rPr>
          <w:rFonts w:asciiTheme="minorHAnsi" w:hAnsiTheme="minorHAnsi" w:cs="Arial"/>
          <w:sz w:val="20"/>
          <w:szCs w:val="20"/>
          <w:lang w:val="en-US"/>
        </w:rPr>
        <w:t>t</w:t>
      </w:r>
      <w:r w:rsidR="005A2E4A" w:rsidRPr="007D47AD">
        <w:rPr>
          <w:rFonts w:asciiTheme="minorHAnsi" w:hAnsiTheme="minorHAnsi" w:cs="Arial"/>
          <w:sz w:val="20"/>
          <w:szCs w:val="20"/>
          <w:lang w:val="en-US"/>
        </w:rPr>
        <w:t xml:space="preserve">ions </w:t>
      </w:r>
      <w:r w:rsidR="00DC6D48" w:rsidRPr="007D47AD">
        <w:rPr>
          <w:rFonts w:asciiTheme="minorHAnsi" w:hAnsiTheme="minorHAnsi" w:cs="Arial"/>
          <w:sz w:val="20"/>
          <w:szCs w:val="20"/>
          <w:lang w:val="en-US"/>
        </w:rPr>
        <w:t xml:space="preserve">into that crime. According to its study, from January </w:t>
      </w:r>
      <w:r w:rsidR="005A2E4A" w:rsidRPr="007D47AD">
        <w:rPr>
          <w:rFonts w:asciiTheme="minorHAnsi" w:hAnsiTheme="minorHAnsi" w:cs="Arial"/>
          <w:sz w:val="20"/>
          <w:szCs w:val="20"/>
          <w:lang w:val="en-US"/>
        </w:rPr>
        <w:t xml:space="preserve">2018 </w:t>
      </w:r>
      <w:r w:rsidR="00DC6D48" w:rsidRPr="007D47AD">
        <w:rPr>
          <w:rFonts w:asciiTheme="minorHAnsi" w:hAnsiTheme="minorHAnsi" w:cs="Arial"/>
          <w:sz w:val="20"/>
          <w:szCs w:val="20"/>
          <w:lang w:val="en-US"/>
        </w:rPr>
        <w:t xml:space="preserve">to January </w:t>
      </w:r>
      <w:r w:rsidR="005A2E4A" w:rsidRPr="007D47AD">
        <w:rPr>
          <w:rFonts w:asciiTheme="minorHAnsi" w:hAnsiTheme="minorHAnsi" w:cs="Arial"/>
          <w:sz w:val="20"/>
          <w:szCs w:val="20"/>
          <w:lang w:val="en-US"/>
        </w:rPr>
        <w:t xml:space="preserve">2019, </w:t>
      </w:r>
      <w:r w:rsidR="00DC6D48" w:rsidRPr="007D47AD">
        <w:rPr>
          <w:rFonts w:asciiTheme="minorHAnsi" w:hAnsiTheme="minorHAnsi" w:cs="Arial"/>
          <w:sz w:val="20"/>
          <w:szCs w:val="20"/>
          <w:lang w:val="en-US"/>
        </w:rPr>
        <w:t xml:space="preserve">criminal actions have been pursued on two occasions and, as of February </w:t>
      </w:r>
      <w:r w:rsidR="005A2E4A" w:rsidRPr="007D47AD">
        <w:rPr>
          <w:rFonts w:asciiTheme="minorHAnsi" w:hAnsiTheme="minorHAnsi" w:cs="Arial"/>
          <w:sz w:val="20"/>
          <w:szCs w:val="20"/>
          <w:lang w:val="en-US"/>
        </w:rPr>
        <w:t xml:space="preserve">2019, </w:t>
      </w:r>
      <w:r w:rsidR="00DC6D48" w:rsidRPr="007D47AD">
        <w:rPr>
          <w:rFonts w:asciiTheme="minorHAnsi" w:hAnsiTheme="minorHAnsi" w:cs="Arial"/>
          <w:sz w:val="20"/>
          <w:szCs w:val="20"/>
          <w:lang w:val="en-US"/>
        </w:rPr>
        <w:t xml:space="preserve">only nine persons </w:t>
      </w:r>
      <w:r w:rsidR="00134C78" w:rsidRPr="007D47AD">
        <w:rPr>
          <w:rFonts w:asciiTheme="minorHAnsi" w:hAnsiTheme="minorHAnsi" w:cs="Arial"/>
          <w:sz w:val="20"/>
          <w:szCs w:val="20"/>
          <w:lang w:val="en-US"/>
        </w:rPr>
        <w:t xml:space="preserve">had been </w:t>
      </w:r>
      <w:r w:rsidR="00DC6D48" w:rsidRPr="007D47AD">
        <w:rPr>
          <w:rFonts w:asciiTheme="minorHAnsi" w:hAnsiTheme="minorHAnsi" w:cs="Arial"/>
          <w:sz w:val="20"/>
          <w:szCs w:val="20"/>
          <w:lang w:val="en-US"/>
        </w:rPr>
        <w:t>arrested as the result of the arrest warrants issued. In addition, that report indicates that said Office of Special Prosecutor has only 46 prosecutor</w:t>
      </w:r>
      <w:r w:rsidR="00134C78" w:rsidRPr="007D47AD">
        <w:rPr>
          <w:rFonts w:asciiTheme="minorHAnsi" w:hAnsiTheme="minorHAnsi" w:cs="Arial"/>
          <w:sz w:val="20"/>
          <w:szCs w:val="20"/>
          <w:lang w:val="en-US"/>
        </w:rPr>
        <w:t>s</w:t>
      </w:r>
      <w:r w:rsidR="00DC6D48" w:rsidRPr="007D47AD">
        <w:rPr>
          <w:rFonts w:asciiTheme="minorHAnsi" w:hAnsiTheme="minorHAnsi" w:cs="Arial"/>
          <w:sz w:val="20"/>
          <w:szCs w:val="20"/>
          <w:lang w:val="en-US"/>
        </w:rPr>
        <w:t>.</w:t>
      </w:r>
      <w:r w:rsidR="00D57915" w:rsidRPr="007D47AD">
        <w:rPr>
          <w:rStyle w:val="FootnoteReference"/>
          <w:rFonts w:asciiTheme="minorHAnsi" w:hAnsiTheme="minorHAnsi" w:cs="Arial"/>
          <w:sz w:val="20"/>
          <w:szCs w:val="20"/>
          <w:lang w:val="en-US"/>
        </w:rPr>
        <w:footnoteReference w:id="123"/>
      </w:r>
      <w:r w:rsidR="00DC6D48" w:rsidRPr="007D47AD">
        <w:rPr>
          <w:rFonts w:asciiTheme="minorHAnsi" w:hAnsiTheme="minorHAnsi" w:cs="Arial"/>
          <w:sz w:val="20"/>
          <w:szCs w:val="20"/>
          <w:lang w:val="en-US"/>
        </w:rPr>
        <w:t xml:space="preserve"> </w:t>
      </w:r>
    </w:p>
    <w:p w:rsidR="009C095D" w:rsidRPr="007D47AD" w:rsidRDefault="007E181B" w:rsidP="00E472A2">
      <w:pPr>
        <w:numPr>
          <w:ilvl w:val="0"/>
          <w:numId w:val="6"/>
        </w:numPr>
        <w:shd w:val="clear" w:color="auto" w:fill="FFFFFF"/>
        <w:spacing w:after="240" w:line="240" w:lineRule="auto"/>
        <w:ind w:left="0" w:firstLine="720"/>
        <w:jc w:val="both"/>
        <w:rPr>
          <w:rFonts w:asciiTheme="minorHAnsi" w:hAnsiTheme="minorHAnsi"/>
          <w:sz w:val="20"/>
          <w:szCs w:val="20"/>
          <w:lang w:val="en-US"/>
        </w:rPr>
      </w:pPr>
      <w:r w:rsidRPr="007D47AD">
        <w:rPr>
          <w:rFonts w:asciiTheme="minorHAnsi" w:eastAsia="Times New Roman" w:hAnsiTheme="minorHAnsi" w:cs="Arial"/>
          <w:sz w:val="20"/>
          <w:szCs w:val="20"/>
          <w:lang w:val="en-US"/>
        </w:rPr>
        <w:t>Considering</w:t>
      </w:r>
      <w:r w:rsidR="00822967" w:rsidRPr="007D47AD">
        <w:rPr>
          <w:rFonts w:asciiTheme="minorHAnsi" w:eastAsia="Times New Roman" w:hAnsiTheme="minorHAnsi" w:cs="Arial"/>
          <w:sz w:val="20"/>
          <w:szCs w:val="20"/>
          <w:lang w:val="en-US"/>
        </w:rPr>
        <w:t xml:space="preserve"> the adoption of the General Law, the IACHR concludes that the recommendation has met with partial substantial compliance. Nonetheless, it reiterates the importance of the State adopting the measures necessary to guarantee that the respective practices, in terms of their programmatic and normative implementation in the different branches of government, are in keeping with that General Law and the relevant international standards.</w:t>
      </w:r>
      <w:r w:rsidR="009C095D" w:rsidRPr="007D47AD">
        <w:rPr>
          <w:rStyle w:val="FootnoteReference"/>
          <w:rFonts w:asciiTheme="minorHAnsi" w:eastAsia="Times New Roman" w:hAnsiTheme="minorHAnsi" w:cs="Arial"/>
          <w:sz w:val="20"/>
          <w:szCs w:val="20"/>
          <w:lang w:val="en-US"/>
        </w:rPr>
        <w:footnoteReference w:id="124"/>
      </w:r>
      <w:r w:rsidR="009C095D" w:rsidRPr="007D47AD">
        <w:rPr>
          <w:rFonts w:asciiTheme="minorHAnsi" w:eastAsia="Times New Roman" w:hAnsiTheme="minorHAnsi" w:cs="Arial"/>
          <w:sz w:val="20"/>
          <w:szCs w:val="20"/>
          <w:lang w:val="en-US"/>
        </w:rPr>
        <w:t xml:space="preserve"> </w:t>
      </w:r>
    </w:p>
    <w:p w:rsidR="009C095D" w:rsidRPr="007D47AD" w:rsidRDefault="00822967" w:rsidP="00E472A2">
      <w:pPr>
        <w:numPr>
          <w:ilvl w:val="0"/>
          <w:numId w:val="6"/>
        </w:numPr>
        <w:shd w:val="clear" w:color="auto" w:fill="FFFFFF"/>
        <w:spacing w:after="240" w:line="240" w:lineRule="auto"/>
        <w:ind w:left="0" w:firstLine="720"/>
        <w:jc w:val="both"/>
        <w:rPr>
          <w:rFonts w:asciiTheme="minorHAnsi" w:hAnsiTheme="minorHAnsi"/>
          <w:sz w:val="20"/>
          <w:szCs w:val="20"/>
          <w:lang w:val="en-US"/>
        </w:rPr>
      </w:pPr>
      <w:r w:rsidRPr="007D47AD">
        <w:rPr>
          <w:rFonts w:asciiTheme="minorHAnsi" w:eastAsia="Times New Roman" w:hAnsiTheme="minorHAnsi" w:cs="Arial"/>
          <w:sz w:val="20"/>
          <w:szCs w:val="20"/>
          <w:lang w:val="en-US"/>
        </w:rPr>
        <w:t>As regards the recommendation to ensure that the</w:t>
      </w:r>
      <w:r w:rsidR="009D28D1" w:rsidRPr="007D47AD">
        <w:rPr>
          <w:rFonts w:asciiTheme="minorHAnsi" w:eastAsia="Times New Roman" w:hAnsiTheme="minorHAnsi" w:cs="Arial"/>
          <w:b/>
          <w:sz w:val="20"/>
          <w:szCs w:val="20"/>
          <w:lang w:val="en-US"/>
        </w:rPr>
        <w:t xml:space="preserve"> General Law against Torture exclude</w:t>
      </w:r>
      <w:r w:rsidR="00B86635" w:rsidRPr="007D47AD">
        <w:rPr>
          <w:rFonts w:asciiTheme="minorHAnsi" w:eastAsia="Times New Roman" w:hAnsiTheme="minorHAnsi" w:cs="Arial"/>
          <w:b/>
          <w:sz w:val="20"/>
          <w:szCs w:val="20"/>
          <w:lang w:val="en-US"/>
        </w:rPr>
        <w:t>s</w:t>
      </w:r>
      <w:r w:rsidR="009D28D1" w:rsidRPr="007D47AD">
        <w:rPr>
          <w:rFonts w:asciiTheme="minorHAnsi" w:eastAsia="Times New Roman" w:hAnsiTheme="minorHAnsi" w:cs="Arial"/>
          <w:b/>
          <w:sz w:val="20"/>
          <w:szCs w:val="20"/>
          <w:lang w:val="en-US"/>
        </w:rPr>
        <w:t xml:space="preserve"> evidence and confessions obtained through torture, and that the prosecution must prove the lawfulness of any evidence challenged</w:t>
      </w:r>
      <w:r w:rsidR="009C095D" w:rsidRPr="007D47AD">
        <w:rPr>
          <w:rFonts w:asciiTheme="minorHAnsi" w:eastAsia="Times New Roman" w:hAnsiTheme="minorHAnsi" w:cs="Arial"/>
          <w:sz w:val="20"/>
          <w:szCs w:val="20"/>
          <w:lang w:val="en-US"/>
        </w:rPr>
        <w:t>,</w:t>
      </w:r>
      <w:r w:rsidRPr="007D47AD">
        <w:rPr>
          <w:rFonts w:asciiTheme="minorHAnsi" w:eastAsia="Times New Roman" w:hAnsiTheme="minorHAnsi" w:cs="Arial"/>
          <w:sz w:val="20"/>
          <w:szCs w:val="20"/>
          <w:lang w:val="en-US"/>
        </w:rPr>
        <w:t xml:space="preserve"> the IACHR observes that said Law provides, at its Article </w:t>
      </w:r>
      <w:r w:rsidR="009C095D" w:rsidRPr="007D47AD">
        <w:rPr>
          <w:rFonts w:asciiTheme="minorHAnsi" w:eastAsia="Times New Roman" w:hAnsiTheme="minorHAnsi" w:cs="Arial"/>
          <w:sz w:val="20"/>
          <w:szCs w:val="20"/>
          <w:lang w:val="en-US"/>
        </w:rPr>
        <w:t>51</w:t>
      </w:r>
      <w:r w:rsidRPr="007D47AD">
        <w:rPr>
          <w:rFonts w:asciiTheme="minorHAnsi" w:eastAsia="Times New Roman" w:hAnsiTheme="minorHAnsi" w:cs="Arial"/>
          <w:sz w:val="20"/>
          <w:szCs w:val="20"/>
          <w:lang w:val="en-US"/>
        </w:rPr>
        <w:t>, exclu</w:t>
      </w:r>
      <w:r w:rsidR="00134C78" w:rsidRPr="007D47AD">
        <w:rPr>
          <w:rFonts w:asciiTheme="minorHAnsi" w:eastAsia="Times New Roman" w:hAnsiTheme="minorHAnsi" w:cs="Arial"/>
          <w:sz w:val="20"/>
          <w:szCs w:val="20"/>
          <w:lang w:val="en-US"/>
        </w:rPr>
        <w:t>sion</w:t>
      </w:r>
      <w:r w:rsidRPr="007D47AD">
        <w:rPr>
          <w:rFonts w:asciiTheme="minorHAnsi" w:eastAsia="Times New Roman" w:hAnsiTheme="minorHAnsi" w:cs="Arial"/>
          <w:sz w:val="20"/>
          <w:szCs w:val="20"/>
          <w:lang w:val="en-US"/>
        </w:rPr>
        <w:t xml:space="preserve"> or nullity of the evidence when it has been obtained through acts of torture or by any other violation of human rights.</w:t>
      </w:r>
      <w:r w:rsidR="009C095D" w:rsidRPr="007D47AD">
        <w:rPr>
          <w:rStyle w:val="FootnoteReference"/>
          <w:rFonts w:asciiTheme="minorHAnsi" w:eastAsia="Times New Roman" w:hAnsiTheme="minorHAnsi" w:cs="Arial"/>
          <w:sz w:val="20"/>
          <w:szCs w:val="20"/>
          <w:lang w:val="en-US"/>
        </w:rPr>
        <w:footnoteReference w:id="125"/>
      </w:r>
      <w:r w:rsidR="009C095D" w:rsidRPr="007D47AD">
        <w:rPr>
          <w:rFonts w:asciiTheme="minorHAnsi" w:eastAsia="Times New Roman" w:hAnsiTheme="minorHAnsi" w:cs="Arial"/>
          <w:sz w:val="20"/>
          <w:szCs w:val="20"/>
          <w:lang w:val="en-US"/>
        </w:rPr>
        <w:t xml:space="preserve"> </w:t>
      </w:r>
      <w:r w:rsidRPr="007D47AD">
        <w:rPr>
          <w:rFonts w:asciiTheme="minorHAnsi" w:eastAsia="Times New Roman" w:hAnsiTheme="minorHAnsi" w:cs="Arial"/>
          <w:sz w:val="20"/>
          <w:szCs w:val="20"/>
          <w:lang w:val="en-US"/>
        </w:rPr>
        <w:t xml:space="preserve">In addition, that provision stipulates that </w:t>
      </w:r>
      <w:r w:rsidR="009C095D" w:rsidRPr="007D47AD">
        <w:rPr>
          <w:rFonts w:asciiTheme="minorHAnsi" w:eastAsia="Times New Roman" w:hAnsiTheme="minorHAnsi" w:cs="Arial"/>
          <w:sz w:val="20"/>
          <w:szCs w:val="20"/>
          <w:lang w:val="en-US"/>
        </w:rPr>
        <w:t>“</w:t>
      </w:r>
      <w:r w:rsidRPr="007D47AD">
        <w:rPr>
          <w:rFonts w:asciiTheme="minorHAnsi" w:eastAsia="Times New Roman" w:hAnsiTheme="minorHAnsi" w:cs="Arial"/>
          <w:sz w:val="20"/>
          <w:szCs w:val="20"/>
          <w:lang w:val="en-US"/>
        </w:rPr>
        <w:t>in all cases, the</w:t>
      </w:r>
      <w:r w:rsidR="00134C78" w:rsidRPr="007D47AD">
        <w:rPr>
          <w:rFonts w:asciiTheme="minorHAnsi" w:eastAsia="Times New Roman" w:hAnsiTheme="minorHAnsi" w:cs="Arial"/>
          <w:sz w:val="20"/>
          <w:szCs w:val="20"/>
          <w:lang w:val="en-US"/>
        </w:rPr>
        <w:t xml:space="preserve"> prosecution</w:t>
      </w:r>
      <w:r w:rsidRPr="007D47AD">
        <w:rPr>
          <w:rFonts w:asciiTheme="minorHAnsi" w:eastAsia="Times New Roman" w:hAnsiTheme="minorHAnsi" w:cs="Arial"/>
          <w:sz w:val="20"/>
          <w:szCs w:val="20"/>
          <w:lang w:val="en-US"/>
        </w:rPr>
        <w:t xml:space="preserve"> shall have the burden of showing that the evidence has been obtained lawfully.</w:t>
      </w:r>
      <w:r w:rsidR="009C095D" w:rsidRPr="007D47AD">
        <w:rPr>
          <w:rFonts w:asciiTheme="minorHAnsi" w:eastAsia="Times New Roman" w:hAnsiTheme="minorHAnsi" w:cs="Arial"/>
          <w:sz w:val="20"/>
          <w:szCs w:val="20"/>
          <w:lang w:val="en-US"/>
        </w:rPr>
        <w:t>”</w:t>
      </w:r>
      <w:r w:rsidR="009C095D" w:rsidRPr="007D47AD">
        <w:rPr>
          <w:rStyle w:val="FootnoteReference"/>
          <w:rFonts w:asciiTheme="minorHAnsi" w:eastAsia="Times New Roman" w:hAnsiTheme="minorHAnsi" w:cs="Arial"/>
          <w:sz w:val="20"/>
          <w:szCs w:val="20"/>
          <w:lang w:val="en-US"/>
        </w:rPr>
        <w:footnoteReference w:id="126"/>
      </w:r>
      <w:r w:rsidR="009C095D" w:rsidRPr="007D47AD">
        <w:rPr>
          <w:rFonts w:asciiTheme="minorHAnsi" w:eastAsia="Times New Roman" w:hAnsiTheme="minorHAnsi" w:cs="Arial"/>
          <w:sz w:val="20"/>
          <w:szCs w:val="20"/>
          <w:lang w:val="en-US"/>
        </w:rPr>
        <w:t xml:space="preserve"> </w:t>
      </w:r>
      <w:r w:rsidRPr="007D47AD">
        <w:rPr>
          <w:rFonts w:asciiTheme="minorHAnsi" w:eastAsia="Times New Roman" w:hAnsiTheme="minorHAnsi" w:cs="Arial"/>
          <w:sz w:val="20"/>
          <w:szCs w:val="20"/>
          <w:lang w:val="en-US"/>
        </w:rPr>
        <w:t xml:space="preserve">Accordingly, the IACHR considers that the recommendation has met with full compliance. </w:t>
      </w:r>
    </w:p>
    <w:p w:rsidR="009C095D" w:rsidRPr="007D47AD" w:rsidRDefault="00822967" w:rsidP="00E472A2">
      <w:pPr>
        <w:numPr>
          <w:ilvl w:val="0"/>
          <w:numId w:val="6"/>
        </w:numPr>
        <w:shd w:val="clear" w:color="auto" w:fill="FFFFFF"/>
        <w:spacing w:after="240" w:line="240" w:lineRule="auto"/>
        <w:ind w:left="0" w:firstLine="720"/>
        <w:jc w:val="both"/>
        <w:rPr>
          <w:rFonts w:asciiTheme="minorHAnsi" w:hAnsiTheme="minorHAnsi"/>
          <w:sz w:val="20"/>
          <w:szCs w:val="20"/>
          <w:lang w:val="en-US"/>
        </w:rPr>
      </w:pPr>
      <w:r w:rsidRPr="007D47AD">
        <w:rPr>
          <w:rFonts w:asciiTheme="minorHAnsi" w:eastAsia="Times New Roman" w:hAnsiTheme="minorHAnsi" w:cs="Arial"/>
          <w:sz w:val="20"/>
          <w:szCs w:val="20"/>
          <w:lang w:val="en-US"/>
        </w:rPr>
        <w:t xml:space="preserve">Without prejudice to the foregoing, it is worrisome that the Committee Against </w:t>
      </w:r>
      <w:r w:rsidR="00634901" w:rsidRPr="007D47AD">
        <w:rPr>
          <w:rFonts w:asciiTheme="minorHAnsi" w:eastAsia="Times New Roman" w:hAnsiTheme="minorHAnsi" w:cs="Arial"/>
          <w:sz w:val="20"/>
          <w:szCs w:val="20"/>
          <w:lang w:val="en-US"/>
        </w:rPr>
        <w:t>Tortur</w:t>
      </w:r>
      <w:r w:rsidRPr="007D47AD">
        <w:rPr>
          <w:rFonts w:asciiTheme="minorHAnsi" w:eastAsia="Times New Roman" w:hAnsiTheme="minorHAnsi" w:cs="Arial"/>
          <w:sz w:val="20"/>
          <w:szCs w:val="20"/>
          <w:lang w:val="en-US"/>
        </w:rPr>
        <w:t xml:space="preserve">e has reported that it accessed information that indicates that the use of </w:t>
      </w:r>
      <w:r w:rsidR="00634901" w:rsidRPr="007D47AD">
        <w:rPr>
          <w:rFonts w:asciiTheme="minorHAnsi" w:eastAsia="Times New Roman" w:hAnsiTheme="minorHAnsi" w:cs="Arial"/>
          <w:sz w:val="20"/>
          <w:szCs w:val="20"/>
          <w:lang w:val="en-US"/>
        </w:rPr>
        <w:t>tortur</w:t>
      </w:r>
      <w:r w:rsidRPr="007D47AD">
        <w:rPr>
          <w:rFonts w:asciiTheme="minorHAnsi" w:eastAsia="Times New Roman" w:hAnsiTheme="minorHAnsi" w:cs="Arial"/>
          <w:sz w:val="20"/>
          <w:szCs w:val="20"/>
          <w:lang w:val="en-US"/>
        </w:rPr>
        <w:t>e to obtain confessions continues to be usual and that the confessions obtained through torture are used against the accused as evidence of guilt before the courts.</w:t>
      </w:r>
      <w:r w:rsidR="00634901" w:rsidRPr="007D47AD">
        <w:rPr>
          <w:rStyle w:val="FootnoteReference"/>
          <w:rFonts w:asciiTheme="minorHAnsi" w:eastAsia="Times New Roman" w:hAnsiTheme="minorHAnsi" w:cs="Arial"/>
          <w:sz w:val="20"/>
          <w:szCs w:val="20"/>
          <w:lang w:val="en-US"/>
        </w:rPr>
        <w:footnoteReference w:id="127"/>
      </w:r>
      <w:r w:rsidR="00634901" w:rsidRPr="007D47AD">
        <w:rPr>
          <w:rFonts w:asciiTheme="minorHAnsi" w:eastAsia="Times New Roman" w:hAnsiTheme="minorHAnsi" w:cs="Arial"/>
          <w:sz w:val="20"/>
          <w:szCs w:val="20"/>
          <w:lang w:val="en-US"/>
        </w:rPr>
        <w:t xml:space="preserve"> </w:t>
      </w:r>
      <w:r w:rsidRPr="007D47AD">
        <w:rPr>
          <w:rFonts w:asciiTheme="minorHAnsi" w:eastAsia="Times New Roman" w:hAnsiTheme="minorHAnsi" w:cs="Arial"/>
          <w:sz w:val="20"/>
          <w:szCs w:val="20"/>
          <w:lang w:val="en-US"/>
        </w:rPr>
        <w:t xml:space="preserve">In addition, the IACHR </w:t>
      </w:r>
      <w:r w:rsidR="00634901" w:rsidRPr="007D47AD">
        <w:rPr>
          <w:rFonts w:asciiTheme="minorHAnsi" w:eastAsia="Times New Roman" w:hAnsiTheme="minorHAnsi" w:cs="Arial"/>
          <w:sz w:val="20"/>
          <w:szCs w:val="20"/>
          <w:lang w:val="en-US"/>
        </w:rPr>
        <w:t>reitera</w:t>
      </w:r>
      <w:r w:rsidRPr="007D47AD">
        <w:rPr>
          <w:rFonts w:asciiTheme="minorHAnsi" w:eastAsia="Times New Roman" w:hAnsiTheme="minorHAnsi" w:cs="Arial"/>
          <w:sz w:val="20"/>
          <w:szCs w:val="20"/>
          <w:lang w:val="en-US"/>
        </w:rPr>
        <w:t>tes its concern, shared by the civil society organizations</w:t>
      </w:r>
      <w:r w:rsidR="0075125C" w:rsidRPr="007D47AD">
        <w:rPr>
          <w:rStyle w:val="FootnoteReference"/>
          <w:rFonts w:asciiTheme="minorHAnsi" w:eastAsia="Times New Roman" w:hAnsiTheme="minorHAnsi" w:cs="Arial"/>
          <w:sz w:val="20"/>
          <w:szCs w:val="20"/>
          <w:lang w:val="en-US"/>
        </w:rPr>
        <w:footnoteReference w:id="128"/>
      </w:r>
      <w:r w:rsidR="0075125C" w:rsidRPr="007D47AD">
        <w:rPr>
          <w:rFonts w:asciiTheme="minorHAnsi" w:eastAsia="Times New Roman" w:hAnsiTheme="minorHAnsi" w:cs="Arial"/>
          <w:sz w:val="20"/>
          <w:szCs w:val="20"/>
          <w:lang w:val="en-US"/>
        </w:rPr>
        <w:t xml:space="preserve">, </w:t>
      </w:r>
      <w:r w:rsidRPr="007D47AD">
        <w:rPr>
          <w:rFonts w:asciiTheme="minorHAnsi" w:eastAsia="Times New Roman" w:hAnsiTheme="minorHAnsi" w:cs="Arial"/>
          <w:sz w:val="20"/>
          <w:szCs w:val="20"/>
          <w:lang w:val="en-US"/>
        </w:rPr>
        <w:t>over the adoption by the Supreme Court of a jurisprudential thesis that provides that only in cases of self-</w:t>
      </w:r>
      <w:r w:rsidRPr="007D47AD">
        <w:rPr>
          <w:rFonts w:asciiTheme="minorHAnsi" w:eastAsia="Times New Roman" w:hAnsiTheme="minorHAnsi" w:cs="Arial"/>
          <w:sz w:val="20"/>
          <w:szCs w:val="20"/>
          <w:lang w:val="en-US"/>
        </w:rPr>
        <w:lastRenderedPageBreak/>
        <w:t>incrimination</w:t>
      </w:r>
      <w:r w:rsidR="002C478B" w:rsidRPr="007D47AD">
        <w:rPr>
          <w:rFonts w:asciiTheme="minorHAnsi" w:eastAsia="Times New Roman" w:hAnsiTheme="minorHAnsi" w:cs="Arial"/>
          <w:sz w:val="20"/>
          <w:szCs w:val="20"/>
          <w:lang w:val="en-US"/>
        </w:rPr>
        <w:t xml:space="preserve"> must</w:t>
      </w:r>
      <w:r w:rsidRPr="007D47AD">
        <w:rPr>
          <w:rFonts w:asciiTheme="minorHAnsi" w:eastAsia="Times New Roman" w:hAnsiTheme="minorHAnsi" w:cs="Arial"/>
          <w:sz w:val="20"/>
          <w:szCs w:val="20"/>
          <w:lang w:val="en-US"/>
        </w:rPr>
        <w:t xml:space="preserve"> </w:t>
      </w:r>
      <w:r w:rsidR="00134C78" w:rsidRPr="007D47AD">
        <w:rPr>
          <w:rFonts w:asciiTheme="minorHAnsi" w:eastAsia="Times New Roman" w:hAnsiTheme="minorHAnsi" w:cs="Arial"/>
          <w:sz w:val="20"/>
          <w:szCs w:val="20"/>
          <w:lang w:val="en-US"/>
        </w:rPr>
        <w:t xml:space="preserve">one remand </w:t>
      </w:r>
      <w:r w:rsidRPr="007D47AD">
        <w:rPr>
          <w:rFonts w:asciiTheme="minorHAnsi" w:eastAsia="Times New Roman" w:hAnsiTheme="minorHAnsi" w:cs="Arial"/>
          <w:sz w:val="20"/>
          <w:szCs w:val="20"/>
          <w:lang w:val="en-US"/>
        </w:rPr>
        <w:t>a criminal proceeding in which the person convicted asse</w:t>
      </w:r>
      <w:r w:rsidR="00134C78" w:rsidRPr="007D47AD">
        <w:rPr>
          <w:rFonts w:asciiTheme="minorHAnsi" w:eastAsia="Times New Roman" w:hAnsiTheme="minorHAnsi" w:cs="Arial"/>
          <w:sz w:val="20"/>
          <w:szCs w:val="20"/>
          <w:lang w:val="en-US"/>
        </w:rPr>
        <w:t>r</w:t>
      </w:r>
      <w:r w:rsidRPr="007D47AD">
        <w:rPr>
          <w:rFonts w:asciiTheme="minorHAnsi" w:eastAsia="Times New Roman" w:hAnsiTheme="minorHAnsi" w:cs="Arial"/>
          <w:sz w:val="20"/>
          <w:szCs w:val="20"/>
          <w:lang w:val="en-US"/>
        </w:rPr>
        <w:t>t</w:t>
      </w:r>
      <w:r w:rsidR="00B86635" w:rsidRPr="007D47AD">
        <w:rPr>
          <w:rFonts w:asciiTheme="minorHAnsi" w:eastAsia="Times New Roman" w:hAnsiTheme="minorHAnsi" w:cs="Arial"/>
          <w:sz w:val="20"/>
          <w:szCs w:val="20"/>
          <w:lang w:val="en-US"/>
        </w:rPr>
        <w:t>s</w:t>
      </w:r>
      <w:r w:rsidRPr="007D47AD">
        <w:rPr>
          <w:rFonts w:asciiTheme="minorHAnsi" w:eastAsia="Times New Roman" w:hAnsiTheme="minorHAnsi" w:cs="Arial"/>
          <w:sz w:val="20"/>
          <w:szCs w:val="20"/>
          <w:lang w:val="en-US"/>
        </w:rPr>
        <w:t xml:space="preserve"> that his or her conviction was based on evidence fabricated by the use of </w:t>
      </w:r>
      <w:r w:rsidR="009C095D" w:rsidRPr="007D47AD">
        <w:rPr>
          <w:rFonts w:asciiTheme="minorHAnsi" w:eastAsia="Times New Roman" w:hAnsiTheme="minorHAnsi" w:cs="Arial"/>
          <w:sz w:val="20"/>
          <w:szCs w:val="20"/>
          <w:lang w:val="en-US"/>
        </w:rPr>
        <w:t>tortur</w:t>
      </w:r>
      <w:r w:rsidRPr="007D47AD">
        <w:rPr>
          <w:rFonts w:asciiTheme="minorHAnsi" w:eastAsia="Times New Roman" w:hAnsiTheme="minorHAnsi" w:cs="Arial"/>
          <w:sz w:val="20"/>
          <w:szCs w:val="20"/>
          <w:lang w:val="en-US"/>
        </w:rPr>
        <w:t>e.</w:t>
      </w:r>
      <w:r w:rsidR="009C095D" w:rsidRPr="007D47AD">
        <w:rPr>
          <w:rFonts w:asciiTheme="minorHAnsi" w:hAnsiTheme="minorHAnsi"/>
          <w:sz w:val="20"/>
          <w:szCs w:val="20"/>
          <w:vertAlign w:val="superscript"/>
          <w:lang w:val="en-US"/>
        </w:rPr>
        <w:footnoteReference w:id="129"/>
      </w:r>
      <w:r w:rsidR="009C095D" w:rsidRPr="007D47AD">
        <w:rPr>
          <w:rFonts w:asciiTheme="minorHAnsi" w:eastAsia="Times New Roman" w:hAnsiTheme="minorHAnsi" w:cs="Arial"/>
          <w:sz w:val="20"/>
          <w:szCs w:val="20"/>
          <w:lang w:val="en-US"/>
        </w:rPr>
        <w:t xml:space="preserve"> </w:t>
      </w:r>
      <w:r w:rsidR="00782D97" w:rsidRPr="007D47AD">
        <w:rPr>
          <w:rFonts w:asciiTheme="minorHAnsi" w:eastAsia="Times New Roman" w:hAnsiTheme="minorHAnsi" w:cs="Arial"/>
          <w:sz w:val="20"/>
          <w:szCs w:val="20"/>
          <w:lang w:val="en-US"/>
        </w:rPr>
        <w:t xml:space="preserve">In this </w:t>
      </w:r>
      <w:r w:rsidR="003D0A00" w:rsidRPr="007D47AD">
        <w:rPr>
          <w:rFonts w:asciiTheme="minorHAnsi" w:eastAsia="Times New Roman" w:hAnsiTheme="minorHAnsi" w:cs="Arial"/>
          <w:sz w:val="20"/>
          <w:szCs w:val="20"/>
          <w:lang w:val="en-US"/>
        </w:rPr>
        <w:t xml:space="preserve">respect, </w:t>
      </w:r>
      <w:r w:rsidR="00782D97" w:rsidRPr="007D47AD">
        <w:rPr>
          <w:rFonts w:asciiTheme="minorHAnsi" w:eastAsia="Times New Roman" w:hAnsiTheme="minorHAnsi" w:cs="Arial"/>
          <w:sz w:val="20"/>
          <w:szCs w:val="20"/>
          <w:lang w:val="en-US"/>
        </w:rPr>
        <w:t xml:space="preserve">in its observations the State indicated that the Supreme Court has also considered the existence of situations that merit </w:t>
      </w:r>
      <w:r w:rsidR="002C478B" w:rsidRPr="007D47AD">
        <w:rPr>
          <w:rFonts w:asciiTheme="minorHAnsi" w:eastAsia="Times New Roman" w:hAnsiTheme="minorHAnsi" w:cs="Arial"/>
          <w:sz w:val="20"/>
          <w:szCs w:val="20"/>
          <w:lang w:val="en-US"/>
        </w:rPr>
        <w:t xml:space="preserve">a new trial </w:t>
      </w:r>
      <w:r w:rsidR="00782D97" w:rsidRPr="007D47AD">
        <w:rPr>
          <w:rFonts w:asciiTheme="minorHAnsi" w:eastAsia="Times New Roman" w:hAnsiTheme="minorHAnsi" w:cs="Arial"/>
          <w:sz w:val="20"/>
          <w:szCs w:val="20"/>
          <w:lang w:val="en-US"/>
        </w:rPr>
        <w:t>even though there was no confession.</w:t>
      </w:r>
      <w:r w:rsidR="003D0A00" w:rsidRPr="007D47AD">
        <w:rPr>
          <w:rStyle w:val="FootnoteReference"/>
          <w:rFonts w:asciiTheme="minorHAnsi" w:hAnsiTheme="minorHAnsi"/>
          <w:sz w:val="20"/>
          <w:szCs w:val="20"/>
          <w:lang w:val="en-US"/>
        </w:rPr>
        <w:footnoteReference w:id="130"/>
      </w:r>
    </w:p>
    <w:p w:rsidR="00B948DF" w:rsidRPr="007D47AD" w:rsidRDefault="00822967" w:rsidP="00B948DF">
      <w:pPr>
        <w:numPr>
          <w:ilvl w:val="0"/>
          <w:numId w:val="6"/>
        </w:numPr>
        <w:shd w:val="clear" w:color="auto" w:fill="FFFFFF"/>
        <w:spacing w:after="240" w:line="240" w:lineRule="auto"/>
        <w:ind w:left="0" w:firstLine="720"/>
        <w:jc w:val="both"/>
        <w:rPr>
          <w:rFonts w:asciiTheme="minorHAnsi" w:hAnsiTheme="minorHAnsi"/>
          <w:sz w:val="20"/>
          <w:szCs w:val="20"/>
          <w:lang w:val="en-US"/>
        </w:rPr>
      </w:pPr>
      <w:r w:rsidRPr="007D47AD">
        <w:rPr>
          <w:rFonts w:asciiTheme="minorHAnsi" w:eastAsia="Times New Roman" w:hAnsiTheme="minorHAnsi" w:cs="Arial"/>
          <w:sz w:val="20"/>
          <w:szCs w:val="20"/>
          <w:lang w:val="en-US"/>
        </w:rPr>
        <w:t xml:space="preserve">As regards the recommendation </w:t>
      </w:r>
      <w:r w:rsidR="009D28D1" w:rsidRPr="007D47AD">
        <w:rPr>
          <w:rFonts w:asciiTheme="minorHAnsi" w:eastAsia="Times New Roman" w:hAnsiTheme="minorHAnsi" w:cs="Arial"/>
          <w:sz w:val="20"/>
          <w:szCs w:val="20"/>
          <w:lang w:val="en-US"/>
        </w:rPr>
        <w:t xml:space="preserve">to </w:t>
      </w:r>
      <w:r w:rsidR="009C095D" w:rsidRPr="007D47AD">
        <w:rPr>
          <w:rFonts w:asciiTheme="minorHAnsi" w:eastAsia="Times New Roman" w:hAnsiTheme="minorHAnsi" w:cs="Arial"/>
          <w:b/>
          <w:sz w:val="20"/>
          <w:szCs w:val="20"/>
          <w:lang w:val="en-US"/>
        </w:rPr>
        <w:t>crea</w:t>
      </w:r>
      <w:r w:rsidR="009D28D1" w:rsidRPr="007D47AD">
        <w:rPr>
          <w:rFonts w:asciiTheme="minorHAnsi" w:eastAsia="Times New Roman" w:hAnsiTheme="minorHAnsi" w:cs="Arial"/>
          <w:b/>
          <w:sz w:val="20"/>
          <w:szCs w:val="20"/>
          <w:lang w:val="en-US"/>
        </w:rPr>
        <w:t>te a Single National Registry of detained persons and ensure that such persons are taken immediately before a judge</w:t>
      </w:r>
      <w:r w:rsidR="009C095D" w:rsidRPr="007D47AD">
        <w:rPr>
          <w:rFonts w:asciiTheme="minorHAnsi" w:eastAsia="Times New Roman" w:hAnsiTheme="minorHAnsi" w:cs="Arial"/>
          <w:sz w:val="20"/>
          <w:szCs w:val="20"/>
          <w:lang w:val="en-US"/>
        </w:rPr>
        <w:t xml:space="preserve">, </w:t>
      </w:r>
      <w:r w:rsidRPr="007D47AD">
        <w:rPr>
          <w:rFonts w:asciiTheme="minorHAnsi" w:eastAsia="Times New Roman" w:hAnsiTheme="minorHAnsi" w:cs="Arial"/>
          <w:sz w:val="20"/>
          <w:szCs w:val="20"/>
          <w:lang w:val="en-US"/>
        </w:rPr>
        <w:t xml:space="preserve">the State reported that on May </w:t>
      </w:r>
      <w:r w:rsidR="005D6CE7" w:rsidRPr="007D47AD">
        <w:rPr>
          <w:rFonts w:asciiTheme="minorHAnsi" w:hAnsiTheme="minorHAnsi"/>
          <w:sz w:val="20"/>
          <w:szCs w:val="20"/>
          <w:lang w:val="en-US"/>
        </w:rPr>
        <w:t>27</w:t>
      </w:r>
      <w:r w:rsidRPr="007D47AD">
        <w:rPr>
          <w:rFonts w:asciiTheme="minorHAnsi" w:hAnsiTheme="minorHAnsi"/>
          <w:sz w:val="20"/>
          <w:szCs w:val="20"/>
          <w:lang w:val="en-US"/>
        </w:rPr>
        <w:t>,</w:t>
      </w:r>
      <w:r w:rsidR="005D6CE7" w:rsidRPr="007D47AD">
        <w:rPr>
          <w:rFonts w:asciiTheme="minorHAnsi" w:hAnsiTheme="minorHAnsi"/>
          <w:sz w:val="20"/>
          <w:szCs w:val="20"/>
          <w:lang w:val="en-US"/>
        </w:rPr>
        <w:t xml:space="preserve"> 2019</w:t>
      </w:r>
      <w:r w:rsidRPr="007D47AD">
        <w:rPr>
          <w:rFonts w:asciiTheme="minorHAnsi" w:hAnsiTheme="minorHAnsi"/>
          <w:sz w:val="20"/>
          <w:szCs w:val="20"/>
          <w:lang w:val="en-US"/>
        </w:rPr>
        <w:t>,</w:t>
      </w:r>
      <w:r w:rsidR="005D6CE7" w:rsidRPr="007D47AD">
        <w:rPr>
          <w:rFonts w:asciiTheme="minorHAnsi" w:hAnsiTheme="minorHAnsi"/>
          <w:sz w:val="20"/>
          <w:szCs w:val="20"/>
          <w:lang w:val="en-US"/>
        </w:rPr>
        <w:t xml:space="preserve"> </w:t>
      </w:r>
      <w:r w:rsidRPr="007D47AD">
        <w:rPr>
          <w:rFonts w:asciiTheme="minorHAnsi" w:hAnsiTheme="minorHAnsi"/>
          <w:sz w:val="20"/>
          <w:szCs w:val="20"/>
          <w:lang w:val="en-US"/>
        </w:rPr>
        <w:t xml:space="preserve">the </w:t>
      </w:r>
      <w:r w:rsidR="00B613B2" w:rsidRPr="007D47AD">
        <w:rPr>
          <w:rFonts w:asciiTheme="minorHAnsi" w:hAnsiTheme="minorHAnsi"/>
          <w:sz w:val="20"/>
          <w:szCs w:val="20"/>
          <w:lang w:val="en-US"/>
        </w:rPr>
        <w:t xml:space="preserve">Federal </w:t>
      </w:r>
      <w:r w:rsidRPr="007D47AD">
        <w:rPr>
          <w:rFonts w:asciiTheme="minorHAnsi" w:hAnsiTheme="minorHAnsi"/>
          <w:sz w:val="20"/>
          <w:szCs w:val="20"/>
          <w:lang w:val="en-US"/>
        </w:rPr>
        <w:t>Law on the Registry of Arrests was published. That statute provides for the creation of a National Registry of Arrests as part of the National System of Information on Public Security.</w:t>
      </w:r>
      <w:r w:rsidR="00B948DF" w:rsidRPr="007D47AD">
        <w:rPr>
          <w:rStyle w:val="FootnoteReference"/>
          <w:rFonts w:asciiTheme="minorHAnsi" w:eastAsia="Times New Roman" w:hAnsiTheme="minorHAnsi" w:cs="Arial"/>
          <w:sz w:val="20"/>
          <w:szCs w:val="20"/>
          <w:lang w:val="en-US"/>
        </w:rPr>
        <w:footnoteReference w:id="131"/>
      </w:r>
      <w:r w:rsidR="005D6CE7" w:rsidRPr="007D47AD">
        <w:rPr>
          <w:rFonts w:asciiTheme="minorHAnsi" w:hAnsiTheme="minorHAnsi"/>
          <w:sz w:val="20"/>
          <w:szCs w:val="20"/>
          <w:lang w:val="en-US"/>
        </w:rPr>
        <w:t xml:space="preserve"> </w:t>
      </w:r>
      <w:r w:rsidR="00782D97" w:rsidRPr="007D47AD">
        <w:rPr>
          <w:rFonts w:asciiTheme="minorHAnsi" w:hAnsiTheme="minorHAnsi"/>
          <w:sz w:val="20"/>
          <w:szCs w:val="20"/>
          <w:lang w:val="en-US"/>
        </w:rPr>
        <w:t>I</w:t>
      </w:r>
      <w:r w:rsidR="003D0A00" w:rsidRPr="007D47AD">
        <w:rPr>
          <w:rFonts w:asciiTheme="minorHAnsi" w:hAnsiTheme="minorHAnsi"/>
          <w:sz w:val="20"/>
          <w:szCs w:val="20"/>
          <w:lang w:val="en-US"/>
        </w:rPr>
        <w:t xml:space="preserve">n </w:t>
      </w:r>
      <w:r w:rsidR="00782D97" w:rsidRPr="007D47AD">
        <w:rPr>
          <w:rFonts w:asciiTheme="minorHAnsi" w:hAnsiTheme="minorHAnsi"/>
          <w:sz w:val="20"/>
          <w:szCs w:val="20"/>
          <w:lang w:val="en-US"/>
        </w:rPr>
        <w:t xml:space="preserve">its observations on the draft of this report the State reported that on November </w:t>
      </w:r>
      <w:r w:rsidR="003D0A00" w:rsidRPr="007D47AD">
        <w:rPr>
          <w:rFonts w:asciiTheme="minorHAnsi" w:hAnsiTheme="minorHAnsi"/>
          <w:sz w:val="20"/>
          <w:szCs w:val="20"/>
          <w:lang w:val="en-US"/>
        </w:rPr>
        <w:t>22</w:t>
      </w:r>
      <w:r w:rsidR="00782D97" w:rsidRPr="007D47AD">
        <w:rPr>
          <w:rFonts w:asciiTheme="minorHAnsi" w:hAnsiTheme="minorHAnsi"/>
          <w:sz w:val="20"/>
          <w:szCs w:val="20"/>
          <w:lang w:val="en-US"/>
        </w:rPr>
        <w:t>,</w:t>
      </w:r>
      <w:r w:rsidR="003D0A00" w:rsidRPr="007D47AD">
        <w:rPr>
          <w:rFonts w:asciiTheme="minorHAnsi" w:hAnsiTheme="minorHAnsi"/>
          <w:sz w:val="20"/>
          <w:szCs w:val="20"/>
          <w:lang w:val="en-US"/>
        </w:rPr>
        <w:t xml:space="preserve"> 2019</w:t>
      </w:r>
      <w:r w:rsidR="00782D97" w:rsidRPr="007D47AD">
        <w:rPr>
          <w:rFonts w:asciiTheme="minorHAnsi" w:hAnsiTheme="minorHAnsi"/>
          <w:sz w:val="20"/>
          <w:szCs w:val="20"/>
          <w:lang w:val="en-US"/>
        </w:rPr>
        <w:t>,</w:t>
      </w:r>
      <w:r w:rsidR="003D0A00" w:rsidRPr="007D47AD">
        <w:rPr>
          <w:rFonts w:asciiTheme="minorHAnsi" w:hAnsiTheme="minorHAnsi"/>
          <w:sz w:val="20"/>
          <w:szCs w:val="20"/>
          <w:lang w:val="en-US"/>
        </w:rPr>
        <w:t xml:space="preserve"> </w:t>
      </w:r>
      <w:r w:rsidR="00782D97" w:rsidRPr="007D47AD">
        <w:rPr>
          <w:rFonts w:asciiTheme="minorHAnsi" w:hAnsiTheme="minorHAnsi"/>
          <w:sz w:val="20"/>
          <w:szCs w:val="20"/>
          <w:lang w:val="en-US"/>
        </w:rPr>
        <w:t>the Guidelines for the functioning, operation, and conservation of the National Registry of Arrests were published; they regulate its operations so that it can be used on a standardized basis throughout Mexican territory.</w:t>
      </w:r>
      <w:r w:rsidR="003D0A00" w:rsidRPr="007D47AD">
        <w:rPr>
          <w:rStyle w:val="FootnoteReference"/>
          <w:rFonts w:asciiTheme="minorHAnsi" w:hAnsiTheme="minorHAnsi"/>
          <w:sz w:val="20"/>
          <w:szCs w:val="20"/>
          <w:lang w:val="en-US"/>
        </w:rPr>
        <w:footnoteReference w:id="132"/>
      </w:r>
    </w:p>
    <w:p w:rsidR="007519DF" w:rsidRPr="007D47AD" w:rsidRDefault="00822967" w:rsidP="00E472A2">
      <w:pPr>
        <w:numPr>
          <w:ilvl w:val="0"/>
          <w:numId w:val="6"/>
        </w:numPr>
        <w:shd w:val="clear" w:color="auto" w:fill="FFFFFF"/>
        <w:spacing w:after="240" w:line="240" w:lineRule="auto"/>
        <w:ind w:left="0" w:firstLine="720"/>
        <w:jc w:val="both"/>
        <w:rPr>
          <w:rFonts w:asciiTheme="minorHAnsi" w:hAnsiTheme="minorHAnsi"/>
          <w:sz w:val="20"/>
          <w:szCs w:val="20"/>
          <w:lang w:val="en-US"/>
        </w:rPr>
      </w:pPr>
      <w:r w:rsidRPr="007D47AD">
        <w:rPr>
          <w:rFonts w:asciiTheme="minorHAnsi" w:eastAsia="Times New Roman" w:hAnsiTheme="minorHAnsi" w:cs="Arial"/>
          <w:sz w:val="20"/>
          <w:szCs w:val="20"/>
          <w:lang w:val="en-US"/>
        </w:rPr>
        <w:t xml:space="preserve">According to information produced by the State, the Registry will be a data base, operated by the Ministry of Security and Citizen Protection, that will pull together the information provided by the public security institutions on the persons detained and under its custody. The </w:t>
      </w:r>
      <w:r w:rsidR="007519DF" w:rsidRPr="007D47AD">
        <w:rPr>
          <w:rFonts w:asciiTheme="minorHAnsi" w:eastAsia="Times New Roman" w:hAnsiTheme="minorHAnsi" w:cs="Arial"/>
          <w:sz w:val="20"/>
          <w:szCs w:val="20"/>
          <w:lang w:val="en-US"/>
        </w:rPr>
        <w:t xml:space="preserve">platform </w:t>
      </w:r>
      <w:r w:rsidRPr="007D47AD">
        <w:rPr>
          <w:rFonts w:asciiTheme="minorHAnsi" w:eastAsia="Times New Roman" w:hAnsiTheme="minorHAnsi" w:cs="Arial"/>
          <w:sz w:val="20"/>
          <w:szCs w:val="20"/>
          <w:lang w:val="en-US"/>
        </w:rPr>
        <w:t xml:space="preserve">will be accessible through a system of consultation that will show a public version of the information contained. In addition, the Law establishes the obligation to </w:t>
      </w:r>
      <w:r w:rsidR="00B86635" w:rsidRPr="007D47AD">
        <w:rPr>
          <w:rFonts w:asciiTheme="minorHAnsi" w:eastAsia="Times New Roman" w:hAnsiTheme="minorHAnsi" w:cs="Arial"/>
          <w:sz w:val="20"/>
          <w:szCs w:val="20"/>
          <w:lang w:val="en-US"/>
        </w:rPr>
        <w:t xml:space="preserve">register the person </w:t>
      </w:r>
      <w:r w:rsidRPr="007D47AD">
        <w:rPr>
          <w:rFonts w:asciiTheme="minorHAnsi" w:eastAsia="Times New Roman" w:hAnsiTheme="minorHAnsi" w:cs="Arial"/>
          <w:sz w:val="20"/>
          <w:szCs w:val="20"/>
          <w:lang w:val="en-US"/>
        </w:rPr>
        <w:t xml:space="preserve">immediately, </w:t>
      </w:r>
      <w:r w:rsidR="00B86635" w:rsidRPr="007D47AD">
        <w:rPr>
          <w:rFonts w:asciiTheme="minorHAnsi" w:eastAsia="Times New Roman" w:hAnsiTheme="minorHAnsi" w:cs="Arial"/>
          <w:sz w:val="20"/>
          <w:szCs w:val="20"/>
          <w:lang w:val="en-US"/>
        </w:rPr>
        <w:t xml:space="preserve">or </w:t>
      </w:r>
      <w:r w:rsidRPr="007D47AD">
        <w:rPr>
          <w:rFonts w:asciiTheme="minorHAnsi" w:eastAsia="Times New Roman" w:hAnsiTheme="minorHAnsi" w:cs="Arial"/>
          <w:sz w:val="20"/>
          <w:szCs w:val="20"/>
          <w:lang w:val="en-US"/>
        </w:rPr>
        <w:t>at the close</w:t>
      </w:r>
      <w:r w:rsidR="00134C78" w:rsidRPr="007D47AD">
        <w:rPr>
          <w:rFonts w:asciiTheme="minorHAnsi" w:eastAsia="Times New Roman" w:hAnsiTheme="minorHAnsi" w:cs="Arial"/>
          <w:sz w:val="20"/>
          <w:szCs w:val="20"/>
          <w:lang w:val="en-US"/>
        </w:rPr>
        <w:t>st</w:t>
      </w:r>
      <w:r w:rsidRPr="007D47AD">
        <w:rPr>
          <w:rFonts w:asciiTheme="minorHAnsi" w:eastAsia="Times New Roman" w:hAnsiTheme="minorHAnsi" w:cs="Arial"/>
          <w:sz w:val="20"/>
          <w:szCs w:val="20"/>
          <w:lang w:val="en-US"/>
        </w:rPr>
        <w:t xml:space="preserve"> administrative unit</w:t>
      </w:r>
      <w:r w:rsidR="00B86635" w:rsidRPr="007D47AD">
        <w:rPr>
          <w:rFonts w:asciiTheme="minorHAnsi" w:eastAsia="Times New Roman" w:hAnsiTheme="minorHAnsi" w:cs="Arial"/>
          <w:sz w:val="20"/>
          <w:szCs w:val="20"/>
          <w:lang w:val="en-US"/>
        </w:rPr>
        <w:t>,</w:t>
      </w:r>
      <w:r w:rsidRPr="007D47AD">
        <w:rPr>
          <w:rFonts w:asciiTheme="minorHAnsi" w:eastAsia="Times New Roman" w:hAnsiTheme="minorHAnsi" w:cs="Arial"/>
          <w:sz w:val="20"/>
          <w:szCs w:val="20"/>
          <w:lang w:val="en-US"/>
        </w:rPr>
        <w:t xml:space="preserve"> </w:t>
      </w:r>
      <w:r w:rsidR="00B86635" w:rsidRPr="007D47AD">
        <w:rPr>
          <w:rFonts w:asciiTheme="minorHAnsi" w:eastAsia="Times New Roman" w:hAnsiTheme="minorHAnsi" w:cs="Arial"/>
          <w:sz w:val="20"/>
          <w:szCs w:val="20"/>
          <w:lang w:val="en-US"/>
        </w:rPr>
        <w:t xml:space="preserve">once </w:t>
      </w:r>
      <w:r w:rsidRPr="007D47AD">
        <w:rPr>
          <w:rFonts w:asciiTheme="minorHAnsi" w:eastAsia="Times New Roman" w:hAnsiTheme="minorHAnsi" w:cs="Arial"/>
          <w:sz w:val="20"/>
          <w:szCs w:val="20"/>
          <w:lang w:val="en-US"/>
        </w:rPr>
        <w:t>the person arrested is placed under the custody of the public security institutions.</w:t>
      </w:r>
      <w:r w:rsidR="00FE3C44" w:rsidRPr="007D47AD">
        <w:rPr>
          <w:rStyle w:val="FootnoteReference"/>
          <w:rFonts w:asciiTheme="minorHAnsi" w:eastAsia="Times New Roman" w:hAnsiTheme="minorHAnsi" w:cs="Arial"/>
          <w:sz w:val="20"/>
          <w:szCs w:val="20"/>
          <w:lang w:val="en-US"/>
        </w:rPr>
        <w:footnoteReference w:id="133"/>
      </w:r>
      <w:r w:rsidR="00E0765F" w:rsidRPr="007D47AD">
        <w:rPr>
          <w:rFonts w:asciiTheme="minorHAnsi" w:eastAsia="Times New Roman" w:hAnsiTheme="minorHAnsi" w:cs="Arial"/>
          <w:sz w:val="20"/>
          <w:szCs w:val="20"/>
          <w:lang w:val="en-US"/>
        </w:rPr>
        <w:t xml:space="preserve"> </w:t>
      </w:r>
    </w:p>
    <w:p w:rsidR="00D6287C" w:rsidRPr="007D47AD" w:rsidRDefault="00E71FD0" w:rsidP="00E71FD0">
      <w:pPr>
        <w:numPr>
          <w:ilvl w:val="0"/>
          <w:numId w:val="6"/>
        </w:numPr>
        <w:shd w:val="clear" w:color="auto" w:fill="FFFFFF"/>
        <w:spacing w:after="240" w:line="240" w:lineRule="auto"/>
        <w:ind w:left="0" w:firstLine="720"/>
        <w:jc w:val="both"/>
        <w:rPr>
          <w:rFonts w:asciiTheme="minorHAnsi" w:eastAsia="Times New Roman" w:hAnsiTheme="minorHAnsi" w:cs="Arial"/>
          <w:sz w:val="20"/>
          <w:szCs w:val="20"/>
          <w:lang w:val="en-US"/>
        </w:rPr>
      </w:pPr>
      <w:r w:rsidRPr="007D47AD">
        <w:rPr>
          <w:rFonts w:asciiTheme="minorHAnsi" w:eastAsia="Times New Roman" w:hAnsiTheme="minorHAnsi" w:cs="Arial"/>
          <w:sz w:val="20"/>
          <w:szCs w:val="20"/>
          <w:lang w:val="en-US"/>
        </w:rPr>
        <w:t xml:space="preserve">The OHCHR welcomed the adoption of this law and indicated that its proper implementation will be a </w:t>
      </w:r>
      <w:r w:rsidR="00CB665A" w:rsidRPr="007D47AD">
        <w:rPr>
          <w:rFonts w:asciiTheme="minorHAnsi" w:eastAsia="Times New Roman" w:hAnsiTheme="minorHAnsi" w:cs="Arial"/>
          <w:sz w:val="20"/>
          <w:szCs w:val="20"/>
          <w:lang w:val="en-US"/>
        </w:rPr>
        <w:t xml:space="preserve">fundamental </w:t>
      </w:r>
      <w:r w:rsidRPr="007D47AD">
        <w:rPr>
          <w:rFonts w:asciiTheme="minorHAnsi" w:eastAsia="Times New Roman" w:hAnsiTheme="minorHAnsi" w:cs="Arial"/>
          <w:sz w:val="20"/>
          <w:szCs w:val="20"/>
          <w:lang w:val="en-US"/>
        </w:rPr>
        <w:t>safeguard for persons deprived of liberty. Nonetheless</w:t>
      </w:r>
      <w:r w:rsidR="00134C78" w:rsidRPr="007D47AD">
        <w:rPr>
          <w:rFonts w:asciiTheme="minorHAnsi" w:eastAsia="Times New Roman" w:hAnsiTheme="minorHAnsi" w:cs="Arial"/>
          <w:sz w:val="20"/>
          <w:szCs w:val="20"/>
          <w:lang w:val="en-US"/>
        </w:rPr>
        <w:t xml:space="preserve">, </w:t>
      </w:r>
      <w:r w:rsidRPr="007D47AD">
        <w:rPr>
          <w:rFonts w:asciiTheme="minorHAnsi" w:eastAsia="Times New Roman" w:hAnsiTheme="minorHAnsi" w:cs="Arial"/>
          <w:sz w:val="20"/>
          <w:szCs w:val="20"/>
          <w:lang w:val="en-US"/>
        </w:rPr>
        <w:t>it called attention to the non-inclusion of deprivations of liberty by order of the military jurisdiction</w:t>
      </w:r>
      <w:r w:rsidR="00B86635" w:rsidRPr="007D47AD">
        <w:rPr>
          <w:rFonts w:asciiTheme="minorHAnsi" w:eastAsia="Times New Roman" w:hAnsiTheme="minorHAnsi" w:cs="Arial"/>
          <w:sz w:val="20"/>
          <w:szCs w:val="20"/>
          <w:lang w:val="en-US"/>
        </w:rPr>
        <w:t xml:space="preserve"> among the foregoing situations</w:t>
      </w:r>
      <w:r w:rsidRPr="007D47AD">
        <w:rPr>
          <w:rFonts w:asciiTheme="minorHAnsi" w:eastAsia="Times New Roman" w:hAnsiTheme="minorHAnsi" w:cs="Arial"/>
          <w:sz w:val="20"/>
          <w:szCs w:val="20"/>
          <w:lang w:val="en-US"/>
        </w:rPr>
        <w:t>.</w:t>
      </w:r>
      <w:r w:rsidR="00B948DF" w:rsidRPr="007D47AD">
        <w:rPr>
          <w:rStyle w:val="FootnoteReference"/>
          <w:rFonts w:asciiTheme="minorHAnsi" w:eastAsia="Times New Roman" w:hAnsiTheme="minorHAnsi" w:cs="Arial"/>
          <w:sz w:val="20"/>
          <w:szCs w:val="20"/>
          <w:lang w:val="en-US"/>
        </w:rPr>
        <w:footnoteReference w:id="134"/>
      </w:r>
      <w:r w:rsidR="00CB665A" w:rsidRPr="007D47AD">
        <w:rPr>
          <w:rFonts w:asciiTheme="minorHAnsi" w:eastAsia="Times New Roman" w:hAnsiTheme="minorHAnsi" w:cs="Arial"/>
          <w:sz w:val="20"/>
          <w:szCs w:val="20"/>
          <w:lang w:val="en-US"/>
        </w:rPr>
        <w:t xml:space="preserve"> </w:t>
      </w:r>
      <w:r w:rsidRPr="007D47AD">
        <w:rPr>
          <w:rFonts w:asciiTheme="minorHAnsi" w:eastAsia="Times New Roman" w:hAnsiTheme="minorHAnsi" w:cs="Arial"/>
          <w:sz w:val="20"/>
          <w:szCs w:val="20"/>
          <w:lang w:val="en-US"/>
        </w:rPr>
        <w:t>That institution, before adoption of the l</w:t>
      </w:r>
      <w:r w:rsidR="00B86635" w:rsidRPr="007D47AD">
        <w:rPr>
          <w:rFonts w:asciiTheme="minorHAnsi" w:eastAsia="Times New Roman" w:hAnsiTheme="minorHAnsi" w:cs="Arial"/>
          <w:sz w:val="20"/>
          <w:szCs w:val="20"/>
          <w:lang w:val="en-US"/>
        </w:rPr>
        <w:t>a</w:t>
      </w:r>
      <w:r w:rsidRPr="007D47AD">
        <w:rPr>
          <w:rFonts w:asciiTheme="minorHAnsi" w:eastAsia="Times New Roman" w:hAnsiTheme="minorHAnsi" w:cs="Arial"/>
          <w:sz w:val="20"/>
          <w:szCs w:val="20"/>
          <w:lang w:val="en-US"/>
        </w:rPr>
        <w:t>w, had indic</w:t>
      </w:r>
      <w:r w:rsidR="00134C78" w:rsidRPr="007D47AD">
        <w:rPr>
          <w:rFonts w:asciiTheme="minorHAnsi" w:eastAsia="Times New Roman" w:hAnsiTheme="minorHAnsi" w:cs="Arial"/>
          <w:sz w:val="20"/>
          <w:szCs w:val="20"/>
          <w:lang w:val="en-US"/>
        </w:rPr>
        <w:t>a</w:t>
      </w:r>
      <w:r w:rsidRPr="007D47AD">
        <w:rPr>
          <w:rFonts w:asciiTheme="minorHAnsi" w:eastAsia="Times New Roman" w:hAnsiTheme="minorHAnsi" w:cs="Arial"/>
          <w:sz w:val="20"/>
          <w:szCs w:val="20"/>
          <w:lang w:val="en-US"/>
        </w:rPr>
        <w:t>t</w:t>
      </w:r>
      <w:r w:rsidR="00134C78" w:rsidRPr="007D47AD">
        <w:rPr>
          <w:rFonts w:asciiTheme="minorHAnsi" w:eastAsia="Times New Roman" w:hAnsiTheme="minorHAnsi" w:cs="Arial"/>
          <w:sz w:val="20"/>
          <w:szCs w:val="20"/>
          <w:lang w:val="en-US"/>
        </w:rPr>
        <w:t>e</w:t>
      </w:r>
      <w:r w:rsidRPr="007D47AD">
        <w:rPr>
          <w:rFonts w:asciiTheme="minorHAnsi" w:eastAsia="Times New Roman" w:hAnsiTheme="minorHAnsi" w:cs="Arial"/>
          <w:sz w:val="20"/>
          <w:szCs w:val="20"/>
          <w:lang w:val="en-US"/>
        </w:rPr>
        <w:t>d that it was necessary to include in the operation the registry of arrests carried out under the military jurisdiction, since it was not justifiable for that process not to include the deprivation of liberty by elements of the Armed Forces.</w:t>
      </w:r>
      <w:r w:rsidR="00B948DF" w:rsidRPr="007D47AD">
        <w:rPr>
          <w:rStyle w:val="FootnoteReference"/>
          <w:rFonts w:asciiTheme="minorHAnsi" w:eastAsia="Times New Roman" w:hAnsiTheme="minorHAnsi" w:cs="Arial"/>
          <w:sz w:val="20"/>
          <w:szCs w:val="20"/>
          <w:lang w:val="en-US"/>
        </w:rPr>
        <w:footnoteReference w:id="135"/>
      </w:r>
      <w:r w:rsidR="00EB6B97" w:rsidRPr="007D47AD">
        <w:rPr>
          <w:rFonts w:asciiTheme="minorHAnsi" w:eastAsia="Times New Roman" w:hAnsiTheme="minorHAnsi" w:cs="Arial"/>
          <w:sz w:val="20"/>
          <w:szCs w:val="20"/>
          <w:lang w:val="en-US"/>
        </w:rPr>
        <w:t xml:space="preserve"> </w:t>
      </w:r>
      <w:r w:rsidRPr="007D47AD">
        <w:rPr>
          <w:rFonts w:asciiTheme="minorHAnsi" w:eastAsia="Times New Roman" w:hAnsiTheme="minorHAnsi" w:cs="Arial"/>
          <w:sz w:val="20"/>
          <w:szCs w:val="20"/>
          <w:lang w:val="en-US"/>
        </w:rPr>
        <w:t xml:space="preserve">The IACHR </w:t>
      </w:r>
      <w:r w:rsidR="000A504B" w:rsidRPr="007D47AD">
        <w:rPr>
          <w:rFonts w:asciiTheme="minorHAnsi" w:eastAsia="Times New Roman" w:hAnsiTheme="minorHAnsi" w:cs="Arial"/>
          <w:sz w:val="20"/>
          <w:szCs w:val="20"/>
          <w:lang w:val="en-US"/>
        </w:rPr>
        <w:t>reitera</w:t>
      </w:r>
      <w:r w:rsidRPr="007D47AD">
        <w:rPr>
          <w:rFonts w:asciiTheme="minorHAnsi" w:eastAsia="Times New Roman" w:hAnsiTheme="minorHAnsi" w:cs="Arial"/>
          <w:sz w:val="20"/>
          <w:szCs w:val="20"/>
          <w:lang w:val="en-US"/>
        </w:rPr>
        <w:t xml:space="preserve">tes that the law has been the subject of a constitutional challenge brought by the </w:t>
      </w:r>
      <w:r w:rsidR="00EB6B97" w:rsidRPr="007D47AD">
        <w:rPr>
          <w:rFonts w:asciiTheme="minorHAnsi" w:eastAsia="Times New Roman" w:hAnsiTheme="minorHAnsi" w:cs="Arial"/>
          <w:sz w:val="20"/>
          <w:szCs w:val="20"/>
          <w:lang w:val="en-US"/>
        </w:rPr>
        <w:t>CNDH</w:t>
      </w:r>
      <w:r w:rsidR="00D5733B" w:rsidRPr="007D47AD">
        <w:rPr>
          <w:rFonts w:asciiTheme="minorHAnsi" w:eastAsia="Times New Roman" w:hAnsiTheme="minorHAnsi" w:cs="Arial"/>
          <w:sz w:val="20"/>
          <w:szCs w:val="20"/>
          <w:lang w:val="en-US"/>
        </w:rPr>
        <w:t xml:space="preserve"> </w:t>
      </w:r>
      <w:r w:rsidRPr="007D47AD">
        <w:rPr>
          <w:rFonts w:asciiTheme="minorHAnsi" w:eastAsia="Times New Roman" w:hAnsiTheme="minorHAnsi" w:cs="Arial"/>
          <w:sz w:val="20"/>
          <w:szCs w:val="20"/>
          <w:lang w:val="en-US"/>
        </w:rPr>
        <w:t>whose resolution is still pending.</w:t>
      </w:r>
      <w:r w:rsidR="00EB6B97" w:rsidRPr="007D47AD">
        <w:rPr>
          <w:rStyle w:val="FootnoteReference"/>
          <w:rFonts w:asciiTheme="minorHAnsi" w:eastAsia="Times New Roman" w:hAnsiTheme="minorHAnsi" w:cs="Arial"/>
          <w:sz w:val="20"/>
          <w:szCs w:val="20"/>
          <w:lang w:val="en-US"/>
        </w:rPr>
        <w:footnoteReference w:id="136"/>
      </w:r>
      <w:r w:rsidR="00EB6B97" w:rsidRPr="007D47AD">
        <w:rPr>
          <w:rFonts w:asciiTheme="minorHAnsi" w:eastAsia="Times New Roman" w:hAnsiTheme="minorHAnsi" w:cs="Arial"/>
          <w:sz w:val="20"/>
          <w:szCs w:val="20"/>
          <w:lang w:val="en-US"/>
        </w:rPr>
        <w:t xml:space="preserve"> </w:t>
      </w:r>
    </w:p>
    <w:p w:rsidR="00D5733B" w:rsidRPr="007D47AD" w:rsidRDefault="00E71FD0" w:rsidP="009D241A">
      <w:pPr>
        <w:numPr>
          <w:ilvl w:val="0"/>
          <w:numId w:val="6"/>
        </w:numPr>
        <w:shd w:val="clear" w:color="auto" w:fill="FFFFFF"/>
        <w:spacing w:after="240" w:line="240" w:lineRule="auto"/>
        <w:ind w:left="0" w:firstLine="720"/>
        <w:jc w:val="both"/>
        <w:rPr>
          <w:rFonts w:asciiTheme="minorHAnsi" w:eastAsia="Times New Roman" w:hAnsiTheme="minorHAnsi" w:cs="Arial"/>
          <w:sz w:val="20"/>
          <w:szCs w:val="20"/>
          <w:lang w:val="en-US"/>
        </w:rPr>
      </w:pPr>
      <w:r w:rsidRPr="007D47AD">
        <w:rPr>
          <w:rFonts w:asciiTheme="minorHAnsi" w:eastAsia="Times New Roman" w:hAnsiTheme="minorHAnsi" w:cs="Arial"/>
          <w:sz w:val="20"/>
          <w:szCs w:val="20"/>
          <w:lang w:val="en-US"/>
        </w:rPr>
        <w:t xml:space="preserve">In line with the foregoing, the </w:t>
      </w:r>
      <w:r w:rsidR="00D6287C" w:rsidRPr="007D47AD">
        <w:rPr>
          <w:rFonts w:asciiTheme="minorHAnsi" w:eastAsia="Times New Roman" w:hAnsiTheme="minorHAnsi" w:cs="Arial"/>
          <w:sz w:val="20"/>
          <w:szCs w:val="20"/>
          <w:lang w:val="en-US"/>
        </w:rPr>
        <w:t xml:space="preserve">Centro PRODH </w:t>
      </w:r>
      <w:r w:rsidRPr="007D47AD">
        <w:rPr>
          <w:rFonts w:asciiTheme="minorHAnsi" w:eastAsia="Times New Roman" w:hAnsiTheme="minorHAnsi" w:cs="Arial"/>
          <w:sz w:val="20"/>
          <w:szCs w:val="20"/>
          <w:lang w:val="en-US"/>
        </w:rPr>
        <w:t xml:space="preserve">indicated that said </w:t>
      </w:r>
      <w:r w:rsidR="00B86635" w:rsidRPr="007D47AD">
        <w:rPr>
          <w:rFonts w:asciiTheme="minorHAnsi" w:eastAsia="Times New Roman" w:hAnsiTheme="minorHAnsi" w:cs="Arial"/>
          <w:sz w:val="20"/>
          <w:szCs w:val="20"/>
          <w:lang w:val="en-US"/>
        </w:rPr>
        <w:t>l</w:t>
      </w:r>
      <w:r w:rsidRPr="007D47AD">
        <w:rPr>
          <w:rFonts w:asciiTheme="minorHAnsi" w:eastAsia="Times New Roman" w:hAnsiTheme="minorHAnsi" w:cs="Arial"/>
          <w:sz w:val="20"/>
          <w:szCs w:val="20"/>
          <w:lang w:val="en-US"/>
        </w:rPr>
        <w:t xml:space="preserve">aw addresses the obligations of the Armed Forces with confusing language and a fragmented regulation, at Article </w:t>
      </w:r>
      <w:r w:rsidR="00D5733B" w:rsidRPr="007D47AD">
        <w:rPr>
          <w:rFonts w:asciiTheme="minorHAnsi" w:eastAsia="Times New Roman" w:hAnsiTheme="minorHAnsi" w:cs="Arial"/>
          <w:sz w:val="20"/>
          <w:szCs w:val="20"/>
          <w:lang w:val="en-US"/>
        </w:rPr>
        <w:t xml:space="preserve">19 </w:t>
      </w:r>
      <w:r w:rsidRPr="007D47AD">
        <w:rPr>
          <w:rFonts w:asciiTheme="minorHAnsi" w:eastAsia="Times New Roman" w:hAnsiTheme="minorHAnsi" w:cs="Arial"/>
          <w:sz w:val="20"/>
          <w:szCs w:val="20"/>
          <w:lang w:val="en-US"/>
        </w:rPr>
        <w:t>and transitional Article 5, given that those provisions are subject to at least two interpret</w:t>
      </w:r>
      <w:r w:rsidR="008E1A29" w:rsidRPr="007D47AD">
        <w:rPr>
          <w:rFonts w:asciiTheme="minorHAnsi" w:eastAsia="Times New Roman" w:hAnsiTheme="minorHAnsi" w:cs="Arial"/>
          <w:sz w:val="20"/>
          <w:szCs w:val="20"/>
          <w:lang w:val="en-US"/>
        </w:rPr>
        <w:t>a</w:t>
      </w:r>
      <w:r w:rsidRPr="007D47AD">
        <w:rPr>
          <w:rFonts w:asciiTheme="minorHAnsi" w:eastAsia="Times New Roman" w:hAnsiTheme="minorHAnsi" w:cs="Arial"/>
          <w:sz w:val="20"/>
          <w:szCs w:val="20"/>
          <w:lang w:val="en-US"/>
        </w:rPr>
        <w:t>tions</w:t>
      </w:r>
      <w:r w:rsidR="00FF6E49" w:rsidRPr="007D47AD">
        <w:rPr>
          <w:rFonts w:asciiTheme="minorHAnsi" w:eastAsia="Times New Roman" w:hAnsiTheme="minorHAnsi" w:cs="Arial"/>
          <w:sz w:val="20"/>
          <w:szCs w:val="20"/>
          <w:lang w:val="en-US"/>
        </w:rPr>
        <w:t xml:space="preserve">. </w:t>
      </w:r>
      <w:r w:rsidRPr="007D47AD">
        <w:rPr>
          <w:rFonts w:asciiTheme="minorHAnsi" w:eastAsia="Times New Roman" w:hAnsiTheme="minorHAnsi" w:cs="Arial"/>
          <w:sz w:val="20"/>
          <w:szCs w:val="20"/>
          <w:lang w:val="en-US"/>
        </w:rPr>
        <w:t xml:space="preserve">According to the </w:t>
      </w:r>
      <w:r w:rsidR="00FF6E49" w:rsidRPr="007D47AD">
        <w:rPr>
          <w:rFonts w:asciiTheme="minorHAnsi" w:eastAsia="Times New Roman" w:hAnsiTheme="minorHAnsi" w:cs="Arial"/>
          <w:sz w:val="20"/>
          <w:szCs w:val="20"/>
          <w:lang w:val="en-US"/>
        </w:rPr>
        <w:t xml:space="preserve">Centro </w:t>
      </w:r>
      <w:r w:rsidR="00024ED4" w:rsidRPr="007D47AD">
        <w:rPr>
          <w:rFonts w:asciiTheme="minorHAnsi" w:eastAsia="Times New Roman" w:hAnsiTheme="minorHAnsi" w:cs="Arial"/>
          <w:sz w:val="20"/>
          <w:szCs w:val="20"/>
          <w:lang w:val="en-US"/>
        </w:rPr>
        <w:t>PRODH</w:t>
      </w:r>
      <w:r w:rsidRPr="007D47AD">
        <w:rPr>
          <w:rFonts w:asciiTheme="minorHAnsi" w:eastAsia="Times New Roman" w:hAnsiTheme="minorHAnsi" w:cs="Arial"/>
          <w:sz w:val="20"/>
          <w:szCs w:val="20"/>
          <w:lang w:val="en-US"/>
        </w:rPr>
        <w:t>, one of these interpretations appear</w:t>
      </w:r>
      <w:r w:rsidR="008E1A29" w:rsidRPr="007D47AD">
        <w:rPr>
          <w:rFonts w:asciiTheme="minorHAnsi" w:eastAsia="Times New Roman" w:hAnsiTheme="minorHAnsi" w:cs="Arial"/>
          <w:sz w:val="20"/>
          <w:szCs w:val="20"/>
          <w:lang w:val="en-US"/>
        </w:rPr>
        <w:t>s</w:t>
      </w:r>
      <w:r w:rsidRPr="007D47AD">
        <w:rPr>
          <w:rFonts w:asciiTheme="minorHAnsi" w:eastAsia="Times New Roman" w:hAnsiTheme="minorHAnsi" w:cs="Arial"/>
          <w:sz w:val="20"/>
          <w:szCs w:val="20"/>
          <w:lang w:val="en-US"/>
        </w:rPr>
        <w:t xml:space="preserve"> to justify the armed forces not having the obligation to give immediate notice of the detention to the competent police authority or to provide the information needed </w:t>
      </w:r>
      <w:r w:rsidR="008E1A29" w:rsidRPr="007D47AD">
        <w:rPr>
          <w:rFonts w:asciiTheme="minorHAnsi" w:eastAsia="Times New Roman" w:hAnsiTheme="minorHAnsi" w:cs="Arial"/>
          <w:sz w:val="20"/>
          <w:szCs w:val="20"/>
          <w:lang w:val="en-US"/>
        </w:rPr>
        <w:t xml:space="preserve">for </w:t>
      </w:r>
      <w:r w:rsidRPr="007D47AD">
        <w:rPr>
          <w:rFonts w:asciiTheme="minorHAnsi" w:eastAsia="Times New Roman" w:hAnsiTheme="minorHAnsi" w:cs="Arial"/>
          <w:sz w:val="20"/>
          <w:szCs w:val="20"/>
          <w:lang w:val="en-US"/>
        </w:rPr>
        <w:t>it to generate the corresponding record.</w:t>
      </w:r>
      <w:r w:rsidR="00D5733B" w:rsidRPr="007D47AD">
        <w:rPr>
          <w:rStyle w:val="FootnoteReference"/>
          <w:rFonts w:asciiTheme="minorHAnsi" w:eastAsia="Times New Roman" w:hAnsiTheme="minorHAnsi" w:cs="Arial"/>
          <w:sz w:val="20"/>
          <w:szCs w:val="20"/>
          <w:lang w:val="en-US"/>
        </w:rPr>
        <w:footnoteReference w:id="137"/>
      </w:r>
    </w:p>
    <w:p w:rsidR="006F5DE4" w:rsidRPr="007D47AD" w:rsidRDefault="00E71FD0" w:rsidP="00B86635">
      <w:pPr>
        <w:numPr>
          <w:ilvl w:val="0"/>
          <w:numId w:val="6"/>
        </w:numPr>
        <w:shd w:val="clear" w:color="auto" w:fill="FFFFFF"/>
        <w:spacing w:after="240" w:line="240" w:lineRule="auto"/>
        <w:ind w:left="0" w:firstLine="720"/>
        <w:jc w:val="both"/>
        <w:rPr>
          <w:rFonts w:asciiTheme="minorHAnsi" w:eastAsia="Times New Roman" w:hAnsiTheme="minorHAnsi" w:cs="Arial"/>
          <w:sz w:val="20"/>
          <w:szCs w:val="20"/>
          <w:lang w:val="en-US"/>
        </w:rPr>
      </w:pPr>
      <w:r w:rsidRPr="007D47AD">
        <w:rPr>
          <w:rFonts w:asciiTheme="minorHAnsi" w:eastAsia="Times New Roman" w:hAnsiTheme="minorHAnsi" w:cs="Arial"/>
          <w:sz w:val="20"/>
          <w:szCs w:val="20"/>
          <w:lang w:val="en-US"/>
        </w:rPr>
        <w:t xml:space="preserve">The </w:t>
      </w:r>
      <w:r w:rsidR="000A504B" w:rsidRPr="007D47AD">
        <w:rPr>
          <w:rFonts w:asciiTheme="minorHAnsi" w:eastAsia="Times New Roman" w:hAnsiTheme="minorHAnsi" w:cs="Arial"/>
          <w:sz w:val="20"/>
          <w:szCs w:val="20"/>
          <w:lang w:val="en-US"/>
        </w:rPr>
        <w:t>CMDPDH observ</w:t>
      </w:r>
      <w:r w:rsidRPr="007D47AD">
        <w:rPr>
          <w:rFonts w:asciiTheme="minorHAnsi" w:eastAsia="Times New Roman" w:hAnsiTheme="minorHAnsi" w:cs="Arial"/>
          <w:sz w:val="20"/>
          <w:szCs w:val="20"/>
          <w:lang w:val="en-US"/>
        </w:rPr>
        <w:t xml:space="preserve">ed with concern that the Law provides, in its transitory articles, for reforms of the Law on Migration for the purpose of creating a record of detained migrants. In its view, the Law </w:t>
      </w:r>
      <w:r w:rsidRPr="007D47AD">
        <w:rPr>
          <w:rFonts w:asciiTheme="minorHAnsi" w:eastAsia="Times New Roman" w:hAnsiTheme="minorHAnsi" w:cs="Arial"/>
          <w:sz w:val="20"/>
          <w:szCs w:val="20"/>
          <w:lang w:val="en-US"/>
        </w:rPr>
        <w:lastRenderedPageBreak/>
        <w:t xml:space="preserve">on Migration does not </w:t>
      </w:r>
      <w:r w:rsidR="00B86635" w:rsidRPr="007D47AD">
        <w:rPr>
          <w:rFonts w:asciiTheme="minorHAnsi" w:eastAsia="Times New Roman" w:hAnsiTheme="minorHAnsi" w:cs="Arial"/>
          <w:sz w:val="20"/>
          <w:szCs w:val="20"/>
          <w:lang w:val="en-US"/>
        </w:rPr>
        <w:t xml:space="preserve">establish </w:t>
      </w:r>
      <w:r w:rsidRPr="007D47AD">
        <w:rPr>
          <w:rFonts w:asciiTheme="minorHAnsi" w:eastAsia="Times New Roman" w:hAnsiTheme="minorHAnsi" w:cs="Arial"/>
          <w:sz w:val="20"/>
          <w:szCs w:val="20"/>
          <w:lang w:val="en-US"/>
        </w:rPr>
        <w:t xml:space="preserve">specific grounds for immigration detention. In other words, the deprivation </w:t>
      </w:r>
      <w:r w:rsidR="008E1A29" w:rsidRPr="007D47AD">
        <w:rPr>
          <w:rFonts w:asciiTheme="minorHAnsi" w:eastAsia="Times New Roman" w:hAnsiTheme="minorHAnsi" w:cs="Arial"/>
          <w:sz w:val="20"/>
          <w:szCs w:val="20"/>
          <w:lang w:val="en-US"/>
        </w:rPr>
        <w:t xml:space="preserve">of </w:t>
      </w:r>
      <w:r w:rsidRPr="007D47AD">
        <w:rPr>
          <w:rFonts w:asciiTheme="minorHAnsi" w:eastAsia="Times New Roman" w:hAnsiTheme="minorHAnsi" w:cs="Arial"/>
          <w:sz w:val="20"/>
          <w:szCs w:val="20"/>
          <w:lang w:val="en-US"/>
        </w:rPr>
        <w:t xml:space="preserve">liberty of migrants does not find parameters in the law that make it possible to evaluate the suitability, necessity, and proportionality of the detention on a case-by-case basis. For the same reason, this transitional provision would have </w:t>
      </w:r>
      <w:r w:rsidR="00787046" w:rsidRPr="007D47AD">
        <w:rPr>
          <w:rFonts w:asciiTheme="minorHAnsi" w:eastAsia="Times New Roman" w:hAnsiTheme="minorHAnsi" w:cs="Arial"/>
          <w:sz w:val="20"/>
          <w:szCs w:val="20"/>
          <w:lang w:val="en-US"/>
        </w:rPr>
        <w:t>consequences for persons seeking international protection, and could unleash automatic and arbitrary arrests.</w:t>
      </w:r>
      <w:r w:rsidR="006F5DE4" w:rsidRPr="007D47AD">
        <w:rPr>
          <w:rStyle w:val="FootnoteReference"/>
          <w:rFonts w:asciiTheme="minorHAnsi" w:hAnsiTheme="minorHAnsi"/>
          <w:sz w:val="20"/>
          <w:szCs w:val="20"/>
          <w:lang w:val="en-US"/>
        </w:rPr>
        <w:footnoteReference w:id="138"/>
      </w:r>
      <w:r w:rsidR="006F5DE4" w:rsidRPr="007D47AD">
        <w:rPr>
          <w:rFonts w:asciiTheme="minorHAnsi" w:eastAsia="Times New Roman" w:hAnsiTheme="minorHAnsi" w:cs="Arial"/>
          <w:sz w:val="20"/>
          <w:szCs w:val="20"/>
          <w:lang w:val="en-US"/>
        </w:rPr>
        <w:t xml:space="preserve"> </w:t>
      </w:r>
    </w:p>
    <w:p w:rsidR="00CB665A" w:rsidRPr="007D47AD" w:rsidRDefault="00787046" w:rsidP="009D241A">
      <w:pPr>
        <w:numPr>
          <w:ilvl w:val="0"/>
          <w:numId w:val="6"/>
        </w:numPr>
        <w:shd w:val="clear" w:color="auto" w:fill="FFFFFF"/>
        <w:spacing w:after="240" w:line="240" w:lineRule="auto"/>
        <w:ind w:left="0" w:firstLine="720"/>
        <w:jc w:val="both"/>
        <w:rPr>
          <w:rFonts w:asciiTheme="minorHAnsi" w:eastAsia="Times New Roman" w:hAnsiTheme="minorHAnsi" w:cs="Arial"/>
          <w:sz w:val="20"/>
          <w:szCs w:val="20"/>
          <w:lang w:val="en-US"/>
        </w:rPr>
      </w:pPr>
      <w:r w:rsidRPr="007D47AD">
        <w:rPr>
          <w:rFonts w:asciiTheme="minorHAnsi" w:eastAsia="Times New Roman" w:hAnsiTheme="minorHAnsi" w:cs="Arial"/>
          <w:sz w:val="20"/>
          <w:szCs w:val="20"/>
          <w:lang w:val="en-US"/>
        </w:rPr>
        <w:t>In view of the foregoing, while the Registry has been legally approved</w:t>
      </w:r>
      <w:r w:rsidR="00D5733B" w:rsidRPr="007D47AD">
        <w:rPr>
          <w:rFonts w:asciiTheme="minorHAnsi" w:eastAsia="Times New Roman" w:hAnsiTheme="minorHAnsi" w:cs="Arial"/>
          <w:sz w:val="20"/>
          <w:szCs w:val="20"/>
          <w:lang w:val="en-US"/>
        </w:rPr>
        <w:t xml:space="preserve">, </w:t>
      </w:r>
      <w:r w:rsidRPr="007D47AD">
        <w:rPr>
          <w:rFonts w:asciiTheme="minorHAnsi" w:eastAsia="Times New Roman" w:hAnsiTheme="minorHAnsi" w:cs="Arial"/>
          <w:sz w:val="20"/>
          <w:szCs w:val="20"/>
          <w:lang w:val="en-US"/>
        </w:rPr>
        <w:t xml:space="preserve">the IACHR observes that to consider this recommendation implemented the constitutional challenge by the CNDH must be resolved, and the </w:t>
      </w:r>
      <w:r w:rsidR="00D5733B" w:rsidRPr="007D47AD">
        <w:rPr>
          <w:rFonts w:asciiTheme="minorHAnsi" w:eastAsia="Times New Roman" w:hAnsiTheme="minorHAnsi" w:cs="Arial"/>
          <w:sz w:val="20"/>
          <w:szCs w:val="20"/>
          <w:lang w:val="en-US"/>
        </w:rPr>
        <w:t>Registr</w:t>
      </w:r>
      <w:r w:rsidRPr="007D47AD">
        <w:rPr>
          <w:rFonts w:asciiTheme="minorHAnsi" w:eastAsia="Times New Roman" w:hAnsiTheme="minorHAnsi" w:cs="Arial"/>
          <w:sz w:val="20"/>
          <w:szCs w:val="20"/>
          <w:lang w:val="en-US"/>
        </w:rPr>
        <w:t xml:space="preserve">y has to be implemented. Accordingly, the IACHR considers that the recommendation has </w:t>
      </w:r>
      <w:r w:rsidR="008E1A29" w:rsidRPr="007D47AD">
        <w:rPr>
          <w:rFonts w:asciiTheme="minorHAnsi" w:eastAsia="Times New Roman" w:hAnsiTheme="minorHAnsi" w:cs="Arial"/>
          <w:sz w:val="20"/>
          <w:szCs w:val="20"/>
          <w:lang w:val="en-US"/>
        </w:rPr>
        <w:t xml:space="preserve">met </w:t>
      </w:r>
      <w:r w:rsidRPr="007D47AD">
        <w:rPr>
          <w:rFonts w:asciiTheme="minorHAnsi" w:eastAsia="Times New Roman" w:hAnsiTheme="minorHAnsi" w:cs="Arial"/>
          <w:sz w:val="20"/>
          <w:szCs w:val="20"/>
          <w:lang w:val="en-US"/>
        </w:rPr>
        <w:t xml:space="preserve">with partial substantial compliance. </w:t>
      </w:r>
    </w:p>
    <w:p w:rsidR="007E4851" w:rsidRPr="007D47AD" w:rsidRDefault="00787046" w:rsidP="00E472A2">
      <w:pPr>
        <w:numPr>
          <w:ilvl w:val="0"/>
          <w:numId w:val="6"/>
        </w:numPr>
        <w:shd w:val="clear" w:color="auto" w:fill="FFFFFF"/>
        <w:spacing w:after="240" w:line="240" w:lineRule="auto"/>
        <w:ind w:left="0" w:firstLine="720"/>
        <w:jc w:val="both"/>
        <w:rPr>
          <w:rFonts w:asciiTheme="minorHAnsi" w:hAnsiTheme="minorHAnsi"/>
          <w:sz w:val="20"/>
          <w:szCs w:val="20"/>
          <w:lang w:val="en-US"/>
        </w:rPr>
      </w:pPr>
      <w:r w:rsidRPr="007D47AD">
        <w:rPr>
          <w:rFonts w:asciiTheme="minorHAnsi" w:hAnsiTheme="minorHAnsi" w:cs="Arial"/>
          <w:sz w:val="20"/>
          <w:szCs w:val="20"/>
          <w:lang w:val="en-US"/>
        </w:rPr>
        <w:t>As regards the recommendation</w:t>
      </w:r>
      <w:r w:rsidR="008E1A29" w:rsidRPr="007D47AD">
        <w:rPr>
          <w:rFonts w:asciiTheme="minorHAnsi" w:hAnsiTheme="minorHAnsi" w:cs="Arial"/>
          <w:sz w:val="20"/>
          <w:szCs w:val="20"/>
          <w:lang w:val="en-US"/>
        </w:rPr>
        <w:t xml:space="preserve"> to</w:t>
      </w:r>
      <w:r w:rsidRPr="007D47AD">
        <w:rPr>
          <w:rFonts w:asciiTheme="minorHAnsi" w:hAnsiTheme="minorHAnsi" w:cs="Arial"/>
          <w:sz w:val="20"/>
          <w:szCs w:val="20"/>
          <w:lang w:val="en-US"/>
        </w:rPr>
        <w:t xml:space="preserve"> </w:t>
      </w:r>
      <w:r w:rsidR="009D28D1" w:rsidRPr="007D47AD">
        <w:rPr>
          <w:rFonts w:asciiTheme="minorHAnsi" w:hAnsiTheme="minorHAnsi" w:cs="Arial"/>
          <w:b/>
          <w:sz w:val="20"/>
          <w:szCs w:val="20"/>
          <w:lang w:val="en-US"/>
        </w:rPr>
        <w:t>ensure that trained personnel apply the Istanbul Protocol and investigate cases in which ju</w:t>
      </w:r>
      <w:r w:rsidR="00DF7C06" w:rsidRPr="007D47AD">
        <w:rPr>
          <w:rFonts w:asciiTheme="minorHAnsi" w:hAnsiTheme="minorHAnsi" w:cs="Arial"/>
          <w:b/>
          <w:sz w:val="20"/>
          <w:szCs w:val="20"/>
          <w:lang w:val="en-US"/>
        </w:rPr>
        <w:t xml:space="preserve">dges </w:t>
      </w:r>
      <w:r w:rsidR="008E1A29" w:rsidRPr="007D47AD">
        <w:rPr>
          <w:rFonts w:asciiTheme="minorHAnsi" w:hAnsiTheme="minorHAnsi" w:cs="Arial"/>
          <w:b/>
          <w:sz w:val="20"/>
          <w:szCs w:val="20"/>
          <w:lang w:val="en-US"/>
        </w:rPr>
        <w:t>d</w:t>
      </w:r>
      <w:r w:rsidR="00DF7C06" w:rsidRPr="007D47AD">
        <w:rPr>
          <w:rFonts w:asciiTheme="minorHAnsi" w:hAnsiTheme="minorHAnsi" w:cs="Arial"/>
          <w:b/>
          <w:sz w:val="20"/>
          <w:szCs w:val="20"/>
          <w:lang w:val="en-US"/>
        </w:rPr>
        <w:t>o not order the investigation of complaints or indicia of torture</w:t>
      </w:r>
      <w:r w:rsidR="009C095D" w:rsidRPr="007D47AD">
        <w:rPr>
          <w:rFonts w:asciiTheme="minorHAnsi" w:hAnsiTheme="minorHAnsi" w:cs="Arial"/>
          <w:sz w:val="20"/>
          <w:szCs w:val="20"/>
          <w:lang w:val="en-US"/>
        </w:rPr>
        <w:t xml:space="preserve">, </w:t>
      </w:r>
      <w:r w:rsidRPr="007D47AD">
        <w:rPr>
          <w:rFonts w:asciiTheme="minorHAnsi" w:hAnsiTheme="minorHAnsi" w:cs="Arial"/>
          <w:sz w:val="20"/>
          <w:szCs w:val="20"/>
          <w:lang w:val="en-US"/>
        </w:rPr>
        <w:t xml:space="preserve">the </w:t>
      </w:r>
      <w:r w:rsidR="00CA49B2" w:rsidRPr="007D47AD">
        <w:rPr>
          <w:rFonts w:asciiTheme="minorHAnsi" w:hAnsiTheme="minorHAnsi" w:cs="Arial"/>
          <w:sz w:val="20"/>
          <w:szCs w:val="20"/>
          <w:lang w:val="en-US"/>
        </w:rPr>
        <w:t>State reiterated what was reported earlier</w:t>
      </w:r>
      <w:r w:rsidR="009C095D" w:rsidRPr="007D47AD">
        <w:rPr>
          <w:rFonts w:asciiTheme="minorHAnsi" w:hAnsiTheme="minorHAnsi" w:cs="Arial"/>
          <w:sz w:val="20"/>
          <w:szCs w:val="20"/>
          <w:vertAlign w:val="superscript"/>
          <w:lang w:val="en-US"/>
        </w:rPr>
        <w:footnoteReference w:id="139"/>
      </w:r>
      <w:r w:rsidR="00D5733B" w:rsidRPr="007D47AD">
        <w:rPr>
          <w:rFonts w:asciiTheme="minorHAnsi" w:hAnsiTheme="minorHAnsi" w:cs="Arial"/>
          <w:sz w:val="20"/>
          <w:szCs w:val="20"/>
          <w:lang w:val="en-US"/>
        </w:rPr>
        <w:t xml:space="preserve"> </w:t>
      </w:r>
      <w:r w:rsidR="00CA49B2" w:rsidRPr="007D47AD">
        <w:rPr>
          <w:rFonts w:asciiTheme="minorHAnsi" w:hAnsiTheme="minorHAnsi" w:cs="Arial"/>
          <w:sz w:val="20"/>
          <w:szCs w:val="20"/>
          <w:lang w:val="en-US"/>
        </w:rPr>
        <w:t xml:space="preserve">and indicated that </w:t>
      </w:r>
      <w:r w:rsidR="003C3B0E" w:rsidRPr="007D47AD">
        <w:rPr>
          <w:rFonts w:asciiTheme="minorHAnsi" w:hAnsiTheme="minorHAnsi" w:cs="Arial"/>
          <w:sz w:val="20"/>
          <w:szCs w:val="20"/>
          <w:lang w:val="en-US"/>
        </w:rPr>
        <w:t>“</w:t>
      </w:r>
      <w:r w:rsidR="00CA49B2" w:rsidRPr="007D47AD">
        <w:rPr>
          <w:rFonts w:asciiTheme="minorHAnsi" w:hAnsiTheme="minorHAnsi" w:cs="Arial"/>
          <w:sz w:val="20"/>
          <w:szCs w:val="20"/>
          <w:lang w:val="en-US"/>
        </w:rPr>
        <w:t>the profile of the public servants who make up the Office of the Special Prosecutor for Investigating the Crime of Torture was reviewed and upgraded; they have experience and knowledge on human rights and on how to investigate the crime of torture.</w:t>
      </w:r>
      <w:r w:rsidR="003C3B0E" w:rsidRPr="007D47AD">
        <w:rPr>
          <w:rFonts w:asciiTheme="minorHAnsi" w:hAnsiTheme="minorHAnsi" w:cs="Arial"/>
          <w:sz w:val="20"/>
          <w:szCs w:val="20"/>
          <w:lang w:val="en-US"/>
        </w:rPr>
        <w:t>”</w:t>
      </w:r>
      <w:r w:rsidR="003C3B0E" w:rsidRPr="007D47AD">
        <w:rPr>
          <w:rStyle w:val="FootnoteReference"/>
          <w:rFonts w:asciiTheme="minorHAnsi" w:hAnsiTheme="minorHAnsi" w:cs="Arial"/>
          <w:sz w:val="20"/>
          <w:szCs w:val="20"/>
          <w:lang w:val="en-US"/>
        </w:rPr>
        <w:footnoteReference w:id="140"/>
      </w:r>
    </w:p>
    <w:p w:rsidR="00265C94" w:rsidRPr="007D47AD" w:rsidRDefault="00CA49B2" w:rsidP="00CD50B7">
      <w:pPr>
        <w:numPr>
          <w:ilvl w:val="0"/>
          <w:numId w:val="6"/>
        </w:numPr>
        <w:shd w:val="clear" w:color="auto" w:fill="FFFFFF"/>
        <w:spacing w:after="240" w:line="240" w:lineRule="auto"/>
        <w:ind w:left="0" w:firstLine="720"/>
        <w:jc w:val="both"/>
        <w:rPr>
          <w:rFonts w:asciiTheme="minorHAnsi" w:hAnsiTheme="minorHAnsi"/>
          <w:sz w:val="20"/>
          <w:szCs w:val="20"/>
          <w:lang w:val="en-US"/>
        </w:rPr>
      </w:pPr>
      <w:r w:rsidRPr="007D47AD">
        <w:rPr>
          <w:rFonts w:asciiTheme="minorHAnsi" w:hAnsiTheme="minorHAnsi"/>
          <w:sz w:val="20"/>
          <w:szCs w:val="20"/>
          <w:lang w:val="en-US"/>
        </w:rPr>
        <w:t xml:space="preserve">In this </w:t>
      </w:r>
      <w:r w:rsidR="00D77625" w:rsidRPr="007D47AD">
        <w:rPr>
          <w:rFonts w:asciiTheme="minorHAnsi" w:hAnsiTheme="minorHAnsi"/>
          <w:sz w:val="20"/>
          <w:szCs w:val="20"/>
          <w:lang w:val="en-US"/>
        </w:rPr>
        <w:t xml:space="preserve">respect, </w:t>
      </w:r>
      <w:r w:rsidRPr="007D47AD">
        <w:rPr>
          <w:rFonts w:asciiTheme="minorHAnsi" w:hAnsiTheme="minorHAnsi"/>
          <w:sz w:val="20"/>
          <w:szCs w:val="20"/>
          <w:lang w:val="en-US"/>
        </w:rPr>
        <w:t xml:space="preserve">the Committee Against Torture described the shortcomings in applying the medical-psychological evaluations of the alleged victims of torture and cruel, inhuman and degrading treatment, given that these evaluations </w:t>
      </w:r>
      <w:r w:rsidR="00B86635" w:rsidRPr="007D47AD">
        <w:rPr>
          <w:rFonts w:asciiTheme="minorHAnsi" w:hAnsiTheme="minorHAnsi"/>
          <w:sz w:val="20"/>
          <w:szCs w:val="20"/>
          <w:lang w:val="en-US"/>
        </w:rPr>
        <w:t xml:space="preserve">are neither timely nor </w:t>
      </w:r>
      <w:r w:rsidRPr="007D47AD">
        <w:rPr>
          <w:rFonts w:asciiTheme="minorHAnsi" w:hAnsiTheme="minorHAnsi"/>
          <w:sz w:val="20"/>
          <w:szCs w:val="20"/>
          <w:lang w:val="en-US"/>
        </w:rPr>
        <w:t xml:space="preserve">exhaustive, which gives rise to doubts with respect </w:t>
      </w:r>
      <w:r w:rsidR="00CF1FC2" w:rsidRPr="007D47AD">
        <w:rPr>
          <w:rFonts w:asciiTheme="minorHAnsi" w:hAnsiTheme="minorHAnsi"/>
          <w:sz w:val="20"/>
          <w:szCs w:val="20"/>
          <w:lang w:val="en-US"/>
        </w:rPr>
        <w:t xml:space="preserve">to </w:t>
      </w:r>
      <w:r w:rsidR="00CD50B7" w:rsidRPr="007D47AD">
        <w:rPr>
          <w:rFonts w:asciiTheme="minorHAnsi" w:hAnsiTheme="minorHAnsi"/>
          <w:sz w:val="20"/>
          <w:szCs w:val="20"/>
          <w:lang w:val="en-US"/>
        </w:rPr>
        <w:t>the impartiality of expert physicians and psychologists. The Committee also expressed concern that negative results on the psychological tests lead to the automatic archiving of complaints of torture.</w:t>
      </w:r>
      <w:r w:rsidR="00265C94" w:rsidRPr="007D47AD">
        <w:rPr>
          <w:rStyle w:val="FootnoteReference"/>
          <w:rFonts w:asciiTheme="minorHAnsi" w:hAnsiTheme="minorHAnsi"/>
          <w:sz w:val="20"/>
          <w:szCs w:val="20"/>
          <w:lang w:val="en-US"/>
        </w:rPr>
        <w:footnoteReference w:id="141"/>
      </w:r>
      <w:r w:rsidR="00265C94" w:rsidRPr="007D47AD">
        <w:rPr>
          <w:rFonts w:asciiTheme="minorHAnsi" w:hAnsiTheme="minorHAnsi"/>
          <w:sz w:val="20"/>
          <w:szCs w:val="20"/>
          <w:lang w:val="en-US"/>
        </w:rPr>
        <w:t xml:space="preserve"> </w:t>
      </w:r>
    </w:p>
    <w:p w:rsidR="007E4851" w:rsidRPr="007D47AD" w:rsidRDefault="00CD50B7" w:rsidP="007E4851">
      <w:pPr>
        <w:numPr>
          <w:ilvl w:val="0"/>
          <w:numId w:val="6"/>
        </w:numPr>
        <w:shd w:val="clear" w:color="auto" w:fill="FFFFFF"/>
        <w:spacing w:after="240" w:line="240" w:lineRule="auto"/>
        <w:ind w:left="0" w:firstLine="720"/>
        <w:jc w:val="both"/>
        <w:rPr>
          <w:rFonts w:asciiTheme="minorHAnsi" w:hAnsiTheme="minorHAnsi"/>
          <w:sz w:val="20"/>
          <w:szCs w:val="20"/>
          <w:lang w:val="en-US"/>
        </w:rPr>
      </w:pPr>
      <w:r w:rsidRPr="007D47AD">
        <w:rPr>
          <w:rFonts w:asciiTheme="minorHAnsi" w:hAnsiTheme="minorHAnsi"/>
          <w:sz w:val="20"/>
          <w:szCs w:val="20"/>
          <w:lang w:val="en-US"/>
        </w:rPr>
        <w:t>On this same issue, the Alternative Report indicated that expert reports by physicians and psychologists have become a specific mechanism that blocks the investigation and punishment of acts of torture</w:t>
      </w:r>
      <w:r w:rsidR="00B86635" w:rsidRPr="007D47AD">
        <w:rPr>
          <w:rFonts w:asciiTheme="minorHAnsi" w:hAnsiTheme="minorHAnsi"/>
          <w:sz w:val="20"/>
          <w:szCs w:val="20"/>
          <w:lang w:val="en-US"/>
        </w:rPr>
        <w:t xml:space="preserve"> </w:t>
      </w:r>
      <w:r w:rsidRPr="007D47AD">
        <w:rPr>
          <w:rFonts w:asciiTheme="minorHAnsi" w:hAnsiTheme="minorHAnsi"/>
          <w:sz w:val="20"/>
          <w:szCs w:val="20"/>
          <w:lang w:val="en-US"/>
        </w:rPr>
        <w:t xml:space="preserve">precisely because the investigations on the occurrence of these crimes are limited to the results of these expert reports, which are produced by personnel of the </w:t>
      </w:r>
      <w:r w:rsidR="00A51B56" w:rsidRPr="007D47AD">
        <w:rPr>
          <w:rFonts w:asciiTheme="minorHAnsi" w:hAnsiTheme="minorHAnsi"/>
          <w:sz w:val="20"/>
          <w:szCs w:val="20"/>
          <w:lang w:val="en-US"/>
        </w:rPr>
        <w:t>PGR</w:t>
      </w:r>
      <w:r w:rsidRPr="007D47AD">
        <w:rPr>
          <w:rFonts w:asciiTheme="minorHAnsi" w:hAnsiTheme="minorHAnsi"/>
          <w:sz w:val="20"/>
          <w:szCs w:val="20"/>
          <w:lang w:val="en-US"/>
        </w:rPr>
        <w:t>.</w:t>
      </w:r>
      <w:r w:rsidR="00A51B56" w:rsidRPr="007D47AD">
        <w:rPr>
          <w:rStyle w:val="FootnoteReference"/>
          <w:rFonts w:asciiTheme="minorHAnsi" w:hAnsiTheme="minorHAnsi"/>
          <w:sz w:val="20"/>
          <w:szCs w:val="20"/>
          <w:lang w:val="en-US"/>
        </w:rPr>
        <w:footnoteReference w:id="142"/>
      </w:r>
      <w:r w:rsidR="006F5DE4" w:rsidRPr="007D47AD">
        <w:rPr>
          <w:rFonts w:asciiTheme="minorHAnsi" w:hAnsiTheme="minorHAnsi"/>
          <w:sz w:val="20"/>
          <w:szCs w:val="20"/>
          <w:lang w:val="en-US"/>
        </w:rPr>
        <w:t xml:space="preserve"> </w:t>
      </w:r>
      <w:r w:rsidRPr="007D47AD">
        <w:rPr>
          <w:rFonts w:asciiTheme="minorHAnsi" w:hAnsiTheme="minorHAnsi"/>
          <w:sz w:val="20"/>
          <w:szCs w:val="20"/>
          <w:lang w:val="en-US"/>
        </w:rPr>
        <w:t xml:space="preserve">On this same issue, the </w:t>
      </w:r>
      <w:r w:rsidR="006F5DE4" w:rsidRPr="007D47AD">
        <w:rPr>
          <w:rFonts w:asciiTheme="minorHAnsi" w:hAnsiTheme="minorHAnsi"/>
          <w:sz w:val="20"/>
          <w:szCs w:val="20"/>
          <w:lang w:val="en-US"/>
        </w:rPr>
        <w:t xml:space="preserve">CMDPDH </w:t>
      </w:r>
      <w:r w:rsidRPr="007D47AD">
        <w:rPr>
          <w:rFonts w:asciiTheme="minorHAnsi" w:hAnsiTheme="minorHAnsi"/>
          <w:sz w:val="20"/>
          <w:szCs w:val="20"/>
          <w:lang w:val="en-US"/>
        </w:rPr>
        <w:t>noted that it identified a trend on the part of the then-</w:t>
      </w:r>
      <w:r w:rsidR="006F5DE4" w:rsidRPr="007D47AD">
        <w:rPr>
          <w:rFonts w:asciiTheme="minorHAnsi" w:hAnsiTheme="minorHAnsi"/>
          <w:sz w:val="20"/>
          <w:szCs w:val="20"/>
          <w:lang w:val="en-US"/>
        </w:rPr>
        <w:t xml:space="preserve">PGR </w:t>
      </w:r>
      <w:r w:rsidRPr="007D47AD">
        <w:rPr>
          <w:rFonts w:asciiTheme="minorHAnsi" w:hAnsiTheme="minorHAnsi"/>
          <w:sz w:val="20"/>
          <w:szCs w:val="20"/>
          <w:lang w:val="en-US"/>
        </w:rPr>
        <w:t xml:space="preserve">to rejecting the Istanbul Protocols </w:t>
      </w:r>
      <w:r w:rsidR="00CF1FC2" w:rsidRPr="007D47AD">
        <w:rPr>
          <w:rFonts w:asciiTheme="minorHAnsi" w:hAnsiTheme="minorHAnsi"/>
          <w:sz w:val="20"/>
          <w:szCs w:val="20"/>
          <w:lang w:val="en-US"/>
        </w:rPr>
        <w:t xml:space="preserve">when </w:t>
      </w:r>
      <w:r w:rsidRPr="007D47AD">
        <w:rPr>
          <w:rFonts w:asciiTheme="minorHAnsi" w:hAnsiTheme="minorHAnsi"/>
          <w:sz w:val="20"/>
          <w:szCs w:val="20"/>
          <w:lang w:val="en-US"/>
        </w:rPr>
        <w:t xml:space="preserve">carried out independently, which, in its view, </w:t>
      </w:r>
      <w:r w:rsidR="00CF1FC2" w:rsidRPr="007D47AD">
        <w:rPr>
          <w:rFonts w:asciiTheme="minorHAnsi" w:hAnsiTheme="minorHAnsi"/>
          <w:sz w:val="20"/>
          <w:szCs w:val="20"/>
          <w:lang w:val="en-US"/>
        </w:rPr>
        <w:t xml:space="preserve">is </w:t>
      </w:r>
      <w:r w:rsidRPr="007D47AD">
        <w:rPr>
          <w:rFonts w:asciiTheme="minorHAnsi" w:hAnsiTheme="minorHAnsi"/>
          <w:sz w:val="20"/>
          <w:szCs w:val="20"/>
          <w:lang w:val="en-US"/>
        </w:rPr>
        <w:t>at odds with victims’ right of access to justice.</w:t>
      </w:r>
      <w:r w:rsidR="006F5DE4" w:rsidRPr="007D47AD">
        <w:rPr>
          <w:rStyle w:val="FootnoteReference"/>
          <w:rFonts w:asciiTheme="minorHAnsi" w:hAnsiTheme="minorHAnsi"/>
          <w:sz w:val="20"/>
          <w:szCs w:val="20"/>
          <w:lang w:val="en-US"/>
        </w:rPr>
        <w:footnoteReference w:id="143"/>
      </w:r>
      <w:r w:rsidR="006F5DE4" w:rsidRPr="007D47AD">
        <w:rPr>
          <w:rFonts w:asciiTheme="minorHAnsi" w:hAnsiTheme="minorHAnsi"/>
          <w:sz w:val="20"/>
          <w:szCs w:val="20"/>
          <w:lang w:val="en-US"/>
        </w:rPr>
        <w:t xml:space="preserve"> </w:t>
      </w:r>
    </w:p>
    <w:p w:rsidR="009C095D" w:rsidRPr="007D47AD" w:rsidRDefault="007073B0" w:rsidP="007E4851">
      <w:pPr>
        <w:numPr>
          <w:ilvl w:val="0"/>
          <w:numId w:val="6"/>
        </w:numPr>
        <w:shd w:val="clear" w:color="auto" w:fill="FFFFFF"/>
        <w:spacing w:after="240" w:line="240" w:lineRule="auto"/>
        <w:ind w:left="0" w:firstLine="720"/>
        <w:jc w:val="both"/>
        <w:rPr>
          <w:rFonts w:asciiTheme="minorHAnsi" w:hAnsiTheme="minorHAnsi"/>
          <w:sz w:val="20"/>
          <w:szCs w:val="20"/>
          <w:lang w:val="en-US"/>
        </w:rPr>
      </w:pPr>
      <w:r w:rsidRPr="007D47AD">
        <w:rPr>
          <w:rFonts w:asciiTheme="minorHAnsi" w:hAnsiTheme="minorHAnsi" w:cs="Arial"/>
          <w:vanish/>
          <w:sz w:val="20"/>
          <w:szCs w:val="20"/>
          <w:lang w:val="en-US"/>
        </w:rPr>
        <w:cr/>
      </w:r>
      <w:r w:rsidRPr="007D47AD">
        <w:rPr>
          <w:rFonts w:asciiTheme="minorHAnsi" w:hAnsiTheme="minorHAnsi" w:cs="Arial"/>
          <w:vanish/>
          <w:sz w:val="20"/>
          <w:szCs w:val="20"/>
          <w:lang w:val="es-US"/>
        </w:rPr>
        <w:t xml:space="preserve">sistenla Tortura  Estambul ndacite nvestigaciexperiencia yc onocimiento entaciDH observa que ar la CNDH.  </w:t>
      </w:r>
      <w:r w:rsidRPr="007D47AD">
        <w:rPr>
          <w:rFonts w:asciiTheme="minorHAnsi" w:hAnsiTheme="minorHAnsi" w:cs="Arial"/>
          <w:vanish/>
          <w:sz w:val="20"/>
          <w:szCs w:val="20"/>
          <w:lang w:val="en-US"/>
        </w:rPr>
        <w:t>instituciones de segu</w:t>
      </w:r>
      <w:r w:rsidR="00CD50B7" w:rsidRPr="007D47AD">
        <w:rPr>
          <w:rFonts w:asciiTheme="minorHAnsi" w:hAnsiTheme="minorHAnsi" w:cs="Arial"/>
          <w:sz w:val="20"/>
          <w:szCs w:val="20"/>
          <w:lang w:val="en-US"/>
        </w:rPr>
        <w:t xml:space="preserve">Considering the information available, the IACHR understands that there have not been sufficient gains for finding that there has been progress in carrying out this recommendation. Accordingly, the IACHR concludes that it continues to meet with partial compliance. </w:t>
      </w:r>
    </w:p>
    <w:p w:rsidR="009C095D" w:rsidRPr="007D47AD" w:rsidRDefault="00CD50B7" w:rsidP="00E472A2">
      <w:pPr>
        <w:numPr>
          <w:ilvl w:val="0"/>
          <w:numId w:val="6"/>
        </w:numPr>
        <w:shd w:val="clear" w:color="auto" w:fill="FFFFFF"/>
        <w:spacing w:after="240" w:line="240" w:lineRule="auto"/>
        <w:ind w:left="0" w:firstLine="720"/>
        <w:jc w:val="both"/>
        <w:rPr>
          <w:rFonts w:asciiTheme="minorHAnsi" w:hAnsiTheme="minorHAnsi"/>
          <w:sz w:val="20"/>
          <w:szCs w:val="20"/>
          <w:lang w:val="en-US"/>
        </w:rPr>
      </w:pPr>
      <w:r w:rsidRPr="007D47AD">
        <w:rPr>
          <w:rFonts w:asciiTheme="minorHAnsi" w:hAnsiTheme="minorHAnsi" w:cs="Arial"/>
          <w:sz w:val="20"/>
          <w:szCs w:val="20"/>
          <w:lang w:val="en-US"/>
        </w:rPr>
        <w:t xml:space="preserve">As regards the recommendation to establish </w:t>
      </w:r>
      <w:r w:rsidR="00DF7C06" w:rsidRPr="007D47AD">
        <w:rPr>
          <w:rFonts w:asciiTheme="minorHAnsi" w:hAnsiTheme="minorHAnsi" w:cs="Arial"/>
          <w:b/>
          <w:sz w:val="20"/>
          <w:szCs w:val="20"/>
          <w:lang w:val="en-US"/>
        </w:rPr>
        <w:t>the mandatory use of cameras during interrogations and patrols</w:t>
      </w:r>
      <w:r w:rsidR="009C095D" w:rsidRPr="007D47AD">
        <w:rPr>
          <w:rFonts w:asciiTheme="minorHAnsi" w:hAnsiTheme="minorHAnsi" w:cs="Arial"/>
          <w:sz w:val="20"/>
          <w:szCs w:val="20"/>
          <w:lang w:val="en-US"/>
        </w:rPr>
        <w:t xml:space="preserve">, </w:t>
      </w:r>
      <w:r w:rsidRPr="007D47AD">
        <w:rPr>
          <w:rFonts w:asciiTheme="minorHAnsi" w:hAnsiTheme="minorHAnsi" w:cs="Arial"/>
          <w:sz w:val="20"/>
          <w:szCs w:val="20"/>
          <w:lang w:val="en-US"/>
        </w:rPr>
        <w:t xml:space="preserve">the State did not submit information pertaining to 2019 </w:t>
      </w:r>
      <w:r w:rsidRPr="007D47AD">
        <w:rPr>
          <w:rFonts w:asciiTheme="minorHAnsi" w:hAnsiTheme="minorHAnsi"/>
          <w:sz w:val="20"/>
          <w:szCs w:val="20"/>
          <w:lang w:val="en-US"/>
        </w:rPr>
        <w:t xml:space="preserve">and </w:t>
      </w:r>
      <w:r w:rsidR="00A51B56" w:rsidRPr="007D47AD">
        <w:rPr>
          <w:rFonts w:asciiTheme="minorHAnsi" w:hAnsiTheme="minorHAnsi"/>
          <w:sz w:val="20"/>
          <w:szCs w:val="20"/>
          <w:lang w:val="en-US"/>
        </w:rPr>
        <w:t>indic</w:t>
      </w:r>
      <w:r w:rsidRPr="007D47AD">
        <w:rPr>
          <w:rFonts w:asciiTheme="minorHAnsi" w:hAnsiTheme="minorHAnsi"/>
          <w:sz w:val="20"/>
          <w:szCs w:val="20"/>
          <w:lang w:val="en-US"/>
        </w:rPr>
        <w:t xml:space="preserve">ated that </w:t>
      </w:r>
      <w:r w:rsidR="00A51B56" w:rsidRPr="007D47AD">
        <w:rPr>
          <w:rFonts w:asciiTheme="minorHAnsi" w:hAnsiTheme="minorHAnsi"/>
          <w:sz w:val="20"/>
          <w:szCs w:val="20"/>
          <w:lang w:val="en-US"/>
        </w:rPr>
        <w:t xml:space="preserve"> </w:t>
      </w:r>
      <w:r w:rsidRPr="007D47AD">
        <w:rPr>
          <w:rFonts w:asciiTheme="minorHAnsi" w:hAnsiTheme="minorHAnsi"/>
          <w:sz w:val="20"/>
          <w:szCs w:val="20"/>
          <w:lang w:val="en-US"/>
        </w:rPr>
        <w:t xml:space="preserve">it </w:t>
      </w:r>
      <w:r w:rsidRPr="007D47AD">
        <w:rPr>
          <w:rFonts w:asciiTheme="minorHAnsi" w:hAnsiTheme="minorHAnsi"/>
          <w:sz w:val="20"/>
          <w:szCs w:val="20"/>
          <w:lang w:val="en-US"/>
        </w:rPr>
        <w:lastRenderedPageBreak/>
        <w:t>reiterated the information provided earlier.</w:t>
      </w:r>
      <w:r w:rsidR="009C095D" w:rsidRPr="007D47AD">
        <w:rPr>
          <w:rFonts w:asciiTheme="minorHAnsi" w:hAnsiTheme="minorHAnsi" w:cs="Arial"/>
          <w:sz w:val="20"/>
          <w:szCs w:val="20"/>
          <w:vertAlign w:val="superscript"/>
          <w:lang w:val="en-US"/>
        </w:rPr>
        <w:footnoteReference w:id="144"/>
      </w:r>
      <w:r w:rsidR="009C095D" w:rsidRPr="007D47AD">
        <w:rPr>
          <w:rFonts w:asciiTheme="minorHAnsi" w:hAnsiTheme="minorHAnsi"/>
          <w:sz w:val="20"/>
          <w:szCs w:val="20"/>
          <w:lang w:val="en-US"/>
        </w:rPr>
        <w:t xml:space="preserve"> </w:t>
      </w:r>
      <w:r w:rsidRPr="007D47AD">
        <w:rPr>
          <w:rFonts w:asciiTheme="minorHAnsi" w:hAnsiTheme="minorHAnsi"/>
          <w:sz w:val="20"/>
          <w:szCs w:val="20"/>
          <w:lang w:val="en-US"/>
        </w:rPr>
        <w:t>The IACHR finds that this information does not make it possible to analyze the level of progress in carrying out the recommendation. The Committee Against Torture regretted that the State did not provide it information on the interrogation procedure.</w:t>
      </w:r>
      <w:r w:rsidR="00BF3C88" w:rsidRPr="007D47AD">
        <w:rPr>
          <w:rStyle w:val="FootnoteReference"/>
          <w:rFonts w:asciiTheme="minorHAnsi" w:hAnsiTheme="minorHAnsi"/>
          <w:sz w:val="20"/>
          <w:szCs w:val="20"/>
          <w:lang w:val="en-US"/>
        </w:rPr>
        <w:footnoteReference w:id="145"/>
      </w:r>
      <w:r w:rsidR="00BF3C88" w:rsidRPr="007D47AD">
        <w:rPr>
          <w:rFonts w:asciiTheme="minorHAnsi" w:hAnsiTheme="minorHAnsi"/>
          <w:sz w:val="20"/>
          <w:szCs w:val="20"/>
          <w:lang w:val="en-US"/>
        </w:rPr>
        <w:t xml:space="preserve"> </w:t>
      </w:r>
      <w:r w:rsidRPr="007D47AD">
        <w:rPr>
          <w:rFonts w:asciiTheme="minorHAnsi" w:hAnsiTheme="minorHAnsi"/>
          <w:sz w:val="20"/>
          <w:szCs w:val="20"/>
          <w:lang w:val="en-US"/>
        </w:rPr>
        <w:t>Given the lack of progress on this point, the IACHR finds that the recommendation has not yet been implemented</w:t>
      </w:r>
      <w:r w:rsidR="00CF1FC2" w:rsidRPr="007D47AD">
        <w:rPr>
          <w:rFonts w:asciiTheme="minorHAnsi" w:hAnsiTheme="minorHAnsi"/>
          <w:sz w:val="20"/>
          <w:szCs w:val="20"/>
          <w:lang w:val="en-US"/>
        </w:rPr>
        <w:t>.</w:t>
      </w:r>
    </w:p>
    <w:p w:rsidR="00656EB6" w:rsidRPr="007D47AD" w:rsidRDefault="00CD50B7" w:rsidP="000F1ADD">
      <w:pPr>
        <w:numPr>
          <w:ilvl w:val="0"/>
          <w:numId w:val="6"/>
        </w:numPr>
        <w:shd w:val="clear" w:color="auto" w:fill="FFFFFF"/>
        <w:spacing w:after="240" w:line="240" w:lineRule="auto"/>
        <w:ind w:left="0" w:firstLine="720"/>
        <w:jc w:val="both"/>
        <w:rPr>
          <w:rFonts w:asciiTheme="minorHAnsi" w:hAnsiTheme="minorHAnsi"/>
          <w:sz w:val="20"/>
          <w:szCs w:val="20"/>
          <w:lang w:val="es-US"/>
        </w:rPr>
      </w:pPr>
      <w:r w:rsidRPr="007D47AD">
        <w:rPr>
          <w:rFonts w:asciiTheme="minorHAnsi" w:hAnsiTheme="minorHAnsi" w:cs="Arial"/>
          <w:sz w:val="20"/>
          <w:szCs w:val="20"/>
          <w:lang w:val="en-US"/>
        </w:rPr>
        <w:t xml:space="preserve">As regards the recommendation </w:t>
      </w:r>
      <w:r w:rsidR="00DF7C06" w:rsidRPr="007D47AD">
        <w:rPr>
          <w:rFonts w:asciiTheme="minorHAnsi" w:hAnsiTheme="minorHAnsi" w:cs="Arial"/>
          <w:sz w:val="20"/>
          <w:szCs w:val="20"/>
          <w:lang w:val="en-US"/>
        </w:rPr>
        <w:t xml:space="preserve">to </w:t>
      </w:r>
      <w:r w:rsidR="00DF7C06" w:rsidRPr="007D47AD">
        <w:rPr>
          <w:rFonts w:asciiTheme="minorHAnsi" w:hAnsiTheme="minorHAnsi" w:cs="Arial"/>
          <w:b/>
          <w:sz w:val="20"/>
          <w:szCs w:val="20"/>
          <w:lang w:val="en-US"/>
        </w:rPr>
        <w:t>ensure uniform statistics and improve the system for compiling information</w:t>
      </w:r>
      <w:r w:rsidR="009C095D" w:rsidRPr="007D47AD">
        <w:rPr>
          <w:rFonts w:asciiTheme="minorHAnsi" w:hAnsiTheme="minorHAnsi" w:cs="Arial"/>
          <w:sz w:val="20"/>
          <w:szCs w:val="20"/>
          <w:lang w:val="en-US"/>
        </w:rPr>
        <w:t xml:space="preserve">, </w:t>
      </w:r>
      <w:r w:rsidRPr="007D47AD">
        <w:rPr>
          <w:rFonts w:asciiTheme="minorHAnsi" w:hAnsiTheme="minorHAnsi" w:cs="Arial"/>
          <w:sz w:val="20"/>
          <w:szCs w:val="20"/>
          <w:lang w:val="en-US"/>
        </w:rPr>
        <w:t xml:space="preserve">the State reported on the creation and organization of the National Registry </w:t>
      </w:r>
      <w:r w:rsidR="00FE1931" w:rsidRPr="007D47AD">
        <w:rPr>
          <w:rFonts w:asciiTheme="minorHAnsi" w:hAnsiTheme="minorHAnsi" w:cs="Arial"/>
          <w:sz w:val="20"/>
          <w:szCs w:val="20"/>
          <w:lang w:val="en-US"/>
        </w:rPr>
        <w:t xml:space="preserve">of the Crime of Torture as a tool of investigation and information in cases in which there are reports and investigations of torture. According to what was reported, this Registry will be coordinated by the </w:t>
      </w:r>
      <w:r w:rsidR="00BF1C8C" w:rsidRPr="007D47AD">
        <w:rPr>
          <w:rFonts w:asciiTheme="minorHAnsi" w:hAnsiTheme="minorHAnsi" w:cs="Arial"/>
          <w:sz w:val="20"/>
          <w:szCs w:val="20"/>
          <w:lang w:val="en-US"/>
        </w:rPr>
        <w:t>PGR</w:t>
      </w:r>
      <w:r w:rsidR="00FE1931" w:rsidRPr="007D47AD">
        <w:rPr>
          <w:rFonts w:asciiTheme="minorHAnsi" w:hAnsiTheme="minorHAnsi" w:cs="Arial"/>
          <w:sz w:val="20"/>
          <w:szCs w:val="20"/>
          <w:lang w:val="en-US"/>
        </w:rPr>
        <w:t>, which will pull together data bases from the law enforcement and justice institutions,</w:t>
      </w:r>
      <w:r w:rsidR="00BF1C8C" w:rsidRPr="007D47AD">
        <w:rPr>
          <w:rFonts w:asciiTheme="minorHAnsi" w:hAnsiTheme="minorHAnsi" w:cs="Arial"/>
          <w:sz w:val="20"/>
          <w:szCs w:val="20"/>
          <w:lang w:val="en-US"/>
        </w:rPr>
        <w:t xml:space="preserve"> </w:t>
      </w:r>
      <w:r w:rsidR="00FE1931" w:rsidRPr="007D47AD">
        <w:rPr>
          <w:rFonts w:asciiTheme="minorHAnsi" w:hAnsiTheme="minorHAnsi" w:cs="Arial"/>
          <w:sz w:val="20"/>
          <w:szCs w:val="20"/>
          <w:lang w:val="en-US"/>
        </w:rPr>
        <w:t xml:space="preserve">the </w:t>
      </w:r>
      <w:r w:rsidR="00656EB6" w:rsidRPr="007D47AD">
        <w:rPr>
          <w:rFonts w:asciiTheme="minorHAnsi" w:hAnsiTheme="minorHAnsi" w:cs="Arial"/>
          <w:sz w:val="20"/>
          <w:szCs w:val="20"/>
          <w:lang w:val="en-US"/>
        </w:rPr>
        <w:t xml:space="preserve">CNDH, </w:t>
      </w:r>
      <w:r w:rsidR="00FE1931" w:rsidRPr="007D47AD">
        <w:rPr>
          <w:rFonts w:asciiTheme="minorHAnsi" w:hAnsiTheme="minorHAnsi" w:cs="Arial"/>
          <w:sz w:val="20"/>
          <w:szCs w:val="20"/>
          <w:lang w:val="en-US"/>
        </w:rPr>
        <w:t xml:space="preserve">the state protection agencies, the CEAV, and the local commissions for attention to victims, and also the cases before international </w:t>
      </w:r>
      <w:r w:rsidR="00CF1FC2" w:rsidRPr="007D47AD">
        <w:rPr>
          <w:rFonts w:asciiTheme="minorHAnsi" w:hAnsiTheme="minorHAnsi" w:cs="Arial"/>
          <w:sz w:val="20"/>
          <w:szCs w:val="20"/>
          <w:lang w:val="en-US"/>
        </w:rPr>
        <w:t>mechanisms</w:t>
      </w:r>
      <w:r w:rsidR="00FE1931" w:rsidRPr="007D47AD">
        <w:rPr>
          <w:rFonts w:asciiTheme="minorHAnsi" w:hAnsiTheme="minorHAnsi" w:cs="Arial"/>
          <w:sz w:val="20"/>
          <w:szCs w:val="20"/>
          <w:lang w:val="en-US"/>
        </w:rPr>
        <w:t>.</w:t>
      </w:r>
      <w:r w:rsidR="00BF1C8C" w:rsidRPr="007D47AD">
        <w:rPr>
          <w:rFonts w:asciiTheme="minorHAnsi" w:hAnsiTheme="minorHAnsi" w:cs="Arial"/>
          <w:vanish/>
          <w:sz w:val="20"/>
          <w:szCs w:val="20"/>
          <w:lang w:val="en-US"/>
        </w:rPr>
        <w:t xml:space="preserve">bases de datos la PGR, integraros. </w:t>
      </w:r>
      <w:r w:rsidR="00BF1C8C" w:rsidRPr="007D47AD">
        <w:rPr>
          <w:rFonts w:asciiTheme="minorHAnsi" w:hAnsiTheme="minorHAnsi" w:cs="Arial"/>
          <w:vanish/>
          <w:sz w:val="20"/>
          <w:szCs w:val="20"/>
          <w:lang w:val="es-US"/>
        </w:rPr>
        <w:t xml:space="preserve">Segsto ormacimplimiento de la recomendacio son exahustivos, lo que genera dudas respecto de </w:t>
      </w:r>
      <w:r w:rsidR="009C095D" w:rsidRPr="007D47AD">
        <w:rPr>
          <w:rFonts w:asciiTheme="minorHAnsi" w:hAnsiTheme="minorHAnsi" w:cs="Arial"/>
          <w:sz w:val="20"/>
          <w:szCs w:val="20"/>
          <w:vertAlign w:val="superscript"/>
          <w:lang w:val="en-US"/>
        </w:rPr>
        <w:footnoteReference w:id="146"/>
      </w:r>
      <w:r w:rsidR="00FE1931" w:rsidRPr="007D47AD">
        <w:rPr>
          <w:rFonts w:asciiTheme="minorHAnsi" w:hAnsiTheme="minorHAnsi"/>
          <w:sz w:val="20"/>
          <w:szCs w:val="20"/>
          <w:lang w:val="es-US"/>
        </w:rPr>
        <w:t xml:space="preserve"> </w:t>
      </w:r>
      <w:r w:rsidR="00CF1FC2" w:rsidRPr="007D47AD">
        <w:rPr>
          <w:rFonts w:asciiTheme="minorHAnsi" w:hAnsiTheme="minorHAnsi"/>
          <w:sz w:val="20"/>
          <w:szCs w:val="20"/>
          <w:lang w:val="es-US"/>
        </w:rPr>
        <w:t xml:space="preserve"> </w:t>
      </w:r>
    </w:p>
    <w:p w:rsidR="00656EB6" w:rsidRPr="007D47AD" w:rsidRDefault="00FE1931" w:rsidP="00E80247">
      <w:pPr>
        <w:numPr>
          <w:ilvl w:val="0"/>
          <w:numId w:val="6"/>
        </w:numPr>
        <w:shd w:val="clear" w:color="auto" w:fill="FFFFFF"/>
        <w:spacing w:after="240" w:line="240" w:lineRule="auto"/>
        <w:ind w:left="0" w:firstLine="720"/>
        <w:jc w:val="both"/>
        <w:rPr>
          <w:rFonts w:asciiTheme="minorHAnsi" w:hAnsiTheme="minorHAnsi"/>
          <w:sz w:val="20"/>
          <w:szCs w:val="20"/>
          <w:lang w:val="en-US"/>
        </w:rPr>
      </w:pPr>
      <w:r w:rsidRPr="007D47AD">
        <w:rPr>
          <w:rFonts w:asciiTheme="minorHAnsi" w:hAnsiTheme="minorHAnsi"/>
          <w:sz w:val="20"/>
          <w:szCs w:val="20"/>
          <w:lang w:val="en-US"/>
        </w:rPr>
        <w:t>With respect to the incidence of torture</w:t>
      </w:r>
      <w:r w:rsidR="00384253" w:rsidRPr="007D47AD">
        <w:rPr>
          <w:rFonts w:asciiTheme="minorHAnsi" w:hAnsiTheme="minorHAnsi"/>
          <w:sz w:val="20"/>
          <w:szCs w:val="20"/>
          <w:lang w:val="en-US"/>
        </w:rPr>
        <w:t xml:space="preserve">, </w:t>
      </w:r>
      <w:r w:rsidRPr="007D47AD">
        <w:rPr>
          <w:rFonts w:asciiTheme="minorHAnsi" w:hAnsiTheme="minorHAnsi"/>
          <w:sz w:val="20"/>
          <w:szCs w:val="20"/>
          <w:lang w:val="en-US"/>
        </w:rPr>
        <w:t xml:space="preserve">the Committee Against Torture indicated that the State should guarantee </w:t>
      </w:r>
      <w:r w:rsidR="00E80247" w:rsidRPr="007D47AD">
        <w:rPr>
          <w:rFonts w:asciiTheme="minorHAnsi" w:hAnsiTheme="minorHAnsi"/>
          <w:sz w:val="20"/>
          <w:szCs w:val="20"/>
          <w:lang w:val="en-US"/>
        </w:rPr>
        <w:t xml:space="preserve">that </w:t>
      </w:r>
      <w:r w:rsidRPr="007D47AD">
        <w:rPr>
          <w:rFonts w:asciiTheme="minorHAnsi" w:hAnsiTheme="minorHAnsi"/>
          <w:sz w:val="20"/>
          <w:szCs w:val="20"/>
          <w:lang w:val="en-US"/>
        </w:rPr>
        <w:t xml:space="preserve">the National Survey of the Population Deprived of Liberty (hereinafter “the </w:t>
      </w:r>
      <w:r w:rsidR="00384253" w:rsidRPr="007D47AD">
        <w:rPr>
          <w:rFonts w:asciiTheme="minorHAnsi" w:hAnsiTheme="minorHAnsi"/>
          <w:sz w:val="20"/>
          <w:szCs w:val="20"/>
          <w:lang w:val="en-US"/>
        </w:rPr>
        <w:t xml:space="preserve">ENPOL”) </w:t>
      </w:r>
      <w:r w:rsidR="00E80247" w:rsidRPr="007D47AD">
        <w:rPr>
          <w:rFonts w:asciiTheme="minorHAnsi" w:hAnsiTheme="minorHAnsi"/>
          <w:sz w:val="20"/>
          <w:szCs w:val="20"/>
          <w:lang w:val="en-US"/>
        </w:rPr>
        <w:t xml:space="preserve">is carried out regularly and </w:t>
      </w:r>
      <w:r w:rsidR="007E181B" w:rsidRPr="007D47AD">
        <w:rPr>
          <w:rFonts w:asciiTheme="minorHAnsi" w:hAnsiTheme="minorHAnsi"/>
          <w:sz w:val="20"/>
          <w:szCs w:val="20"/>
          <w:lang w:val="en-US"/>
        </w:rPr>
        <w:t>publish</w:t>
      </w:r>
      <w:r w:rsidRPr="007D47AD">
        <w:rPr>
          <w:rFonts w:asciiTheme="minorHAnsi" w:hAnsiTheme="minorHAnsi"/>
          <w:sz w:val="20"/>
          <w:szCs w:val="20"/>
          <w:lang w:val="en-US"/>
        </w:rPr>
        <w:t xml:space="preserve"> its results.</w:t>
      </w:r>
      <w:r w:rsidR="00656EB6" w:rsidRPr="007D47AD">
        <w:rPr>
          <w:rStyle w:val="FootnoteReference"/>
          <w:rFonts w:asciiTheme="minorHAnsi" w:hAnsiTheme="minorHAnsi"/>
          <w:sz w:val="20"/>
          <w:szCs w:val="20"/>
          <w:lang w:val="en-US"/>
        </w:rPr>
        <w:footnoteReference w:id="147"/>
      </w:r>
      <w:r w:rsidR="00656EB6" w:rsidRPr="007D47AD">
        <w:rPr>
          <w:rFonts w:asciiTheme="minorHAnsi" w:hAnsiTheme="minorHAnsi"/>
          <w:sz w:val="20"/>
          <w:szCs w:val="20"/>
          <w:lang w:val="en-US"/>
        </w:rPr>
        <w:t xml:space="preserve"> </w:t>
      </w:r>
      <w:r w:rsidRPr="007D47AD">
        <w:rPr>
          <w:rFonts w:asciiTheme="minorHAnsi" w:hAnsiTheme="minorHAnsi"/>
          <w:sz w:val="20"/>
          <w:szCs w:val="20"/>
          <w:lang w:val="en-US"/>
        </w:rPr>
        <w:t xml:space="preserve">The </w:t>
      </w:r>
      <w:r w:rsidR="00656EB6" w:rsidRPr="007D47AD">
        <w:rPr>
          <w:rFonts w:asciiTheme="minorHAnsi" w:hAnsiTheme="minorHAnsi"/>
          <w:sz w:val="20"/>
          <w:szCs w:val="20"/>
          <w:lang w:val="en-US"/>
        </w:rPr>
        <w:t>Alternativ</w:t>
      </w:r>
      <w:r w:rsidRPr="007D47AD">
        <w:rPr>
          <w:rFonts w:asciiTheme="minorHAnsi" w:hAnsiTheme="minorHAnsi"/>
          <w:sz w:val="20"/>
          <w:szCs w:val="20"/>
          <w:lang w:val="en-US"/>
        </w:rPr>
        <w:t xml:space="preserve">e Report </w:t>
      </w:r>
      <w:r w:rsidR="00656EB6" w:rsidRPr="007D47AD">
        <w:rPr>
          <w:rFonts w:asciiTheme="minorHAnsi" w:hAnsiTheme="minorHAnsi"/>
          <w:sz w:val="20"/>
          <w:szCs w:val="20"/>
          <w:lang w:val="en-US"/>
        </w:rPr>
        <w:t>indic</w:t>
      </w:r>
      <w:r w:rsidRPr="007D47AD">
        <w:rPr>
          <w:rFonts w:asciiTheme="minorHAnsi" w:hAnsiTheme="minorHAnsi"/>
          <w:sz w:val="20"/>
          <w:szCs w:val="20"/>
          <w:lang w:val="en-US"/>
        </w:rPr>
        <w:t xml:space="preserve">ated the need to get back to the </w:t>
      </w:r>
      <w:r w:rsidR="00656EB6" w:rsidRPr="007D47AD">
        <w:rPr>
          <w:rFonts w:asciiTheme="minorHAnsi" w:hAnsiTheme="minorHAnsi"/>
          <w:sz w:val="20"/>
          <w:szCs w:val="20"/>
          <w:lang w:val="en-US"/>
        </w:rPr>
        <w:t xml:space="preserve">ENPOL </w:t>
      </w:r>
      <w:r w:rsidRPr="007D47AD">
        <w:rPr>
          <w:rFonts w:asciiTheme="minorHAnsi" w:hAnsiTheme="minorHAnsi"/>
          <w:sz w:val="20"/>
          <w:szCs w:val="20"/>
          <w:lang w:val="en-US"/>
        </w:rPr>
        <w:t>to take stock of the experiences of persons detained, prosecuted, and deprived of liberty. According to the National Institute of Statistics and Geography, the ENPOL for 2019 was to be cancelled.</w:t>
      </w:r>
      <w:r w:rsidR="000B7963" w:rsidRPr="007D47AD">
        <w:rPr>
          <w:rStyle w:val="FootnoteReference"/>
          <w:rFonts w:asciiTheme="minorHAnsi" w:hAnsiTheme="minorHAnsi"/>
          <w:sz w:val="20"/>
          <w:szCs w:val="20"/>
          <w:lang w:val="en-US"/>
        </w:rPr>
        <w:footnoteReference w:id="148"/>
      </w:r>
    </w:p>
    <w:p w:rsidR="009C095D" w:rsidRPr="007D47AD" w:rsidRDefault="00FE1931" w:rsidP="00E472A2">
      <w:pPr>
        <w:numPr>
          <w:ilvl w:val="0"/>
          <w:numId w:val="6"/>
        </w:numPr>
        <w:shd w:val="clear" w:color="auto" w:fill="FFFFFF"/>
        <w:spacing w:after="240" w:line="240" w:lineRule="auto"/>
        <w:ind w:left="0" w:firstLine="720"/>
        <w:jc w:val="both"/>
        <w:rPr>
          <w:rFonts w:asciiTheme="minorHAnsi" w:hAnsiTheme="minorHAnsi"/>
          <w:sz w:val="20"/>
          <w:szCs w:val="20"/>
          <w:lang w:val="en-US"/>
        </w:rPr>
      </w:pPr>
      <w:r w:rsidRPr="007D47AD">
        <w:rPr>
          <w:rFonts w:asciiTheme="minorHAnsi" w:hAnsiTheme="minorHAnsi" w:cs="Arial"/>
          <w:sz w:val="20"/>
          <w:szCs w:val="20"/>
          <w:lang w:val="en-US"/>
        </w:rPr>
        <w:t>In these terms, as the State has not reported on progress in implementing the Registry of the Crime of Torture</w:t>
      </w:r>
      <w:r w:rsidR="000F1ADD" w:rsidRPr="007D47AD">
        <w:rPr>
          <w:rFonts w:asciiTheme="minorHAnsi" w:hAnsiTheme="minorHAnsi" w:cs="Arial"/>
          <w:sz w:val="20"/>
          <w:szCs w:val="20"/>
          <w:lang w:val="en-US"/>
        </w:rPr>
        <w:t xml:space="preserve">, </w:t>
      </w:r>
      <w:r w:rsidRPr="007D47AD">
        <w:rPr>
          <w:rFonts w:asciiTheme="minorHAnsi" w:hAnsiTheme="minorHAnsi" w:cs="Arial"/>
          <w:sz w:val="20"/>
          <w:szCs w:val="20"/>
          <w:lang w:val="en-US"/>
        </w:rPr>
        <w:t xml:space="preserve">which was provided for by legal mandate in </w:t>
      </w:r>
      <w:r w:rsidR="000F1ADD" w:rsidRPr="007D47AD">
        <w:rPr>
          <w:rFonts w:asciiTheme="minorHAnsi" w:hAnsiTheme="minorHAnsi" w:cs="Arial"/>
          <w:sz w:val="20"/>
          <w:szCs w:val="20"/>
          <w:lang w:val="en-US"/>
        </w:rPr>
        <w:t xml:space="preserve">2017 </w:t>
      </w:r>
      <w:r w:rsidRPr="007D47AD">
        <w:rPr>
          <w:rFonts w:asciiTheme="minorHAnsi" w:hAnsiTheme="minorHAnsi" w:cs="Arial"/>
          <w:sz w:val="20"/>
          <w:szCs w:val="20"/>
          <w:lang w:val="en-US"/>
        </w:rPr>
        <w:t xml:space="preserve">and has yet </w:t>
      </w:r>
      <w:r w:rsidR="00E80247" w:rsidRPr="007D47AD">
        <w:rPr>
          <w:rFonts w:asciiTheme="minorHAnsi" w:hAnsiTheme="minorHAnsi" w:cs="Arial"/>
          <w:sz w:val="20"/>
          <w:szCs w:val="20"/>
          <w:lang w:val="en-US"/>
        </w:rPr>
        <w:t xml:space="preserve">to </w:t>
      </w:r>
      <w:r w:rsidRPr="007D47AD">
        <w:rPr>
          <w:rFonts w:asciiTheme="minorHAnsi" w:hAnsiTheme="minorHAnsi" w:cs="Arial"/>
          <w:sz w:val="20"/>
          <w:szCs w:val="20"/>
          <w:lang w:val="en-US"/>
        </w:rPr>
        <w:t xml:space="preserve">be implemented, in addition to the fact that a statistical instrument as important as the </w:t>
      </w:r>
      <w:r w:rsidR="000F1ADD" w:rsidRPr="007D47AD">
        <w:rPr>
          <w:rFonts w:asciiTheme="minorHAnsi" w:hAnsiTheme="minorHAnsi" w:cs="Arial"/>
          <w:sz w:val="20"/>
          <w:szCs w:val="20"/>
          <w:lang w:val="en-US"/>
        </w:rPr>
        <w:t xml:space="preserve">ENPOL </w:t>
      </w:r>
      <w:r w:rsidRPr="007D47AD">
        <w:rPr>
          <w:rFonts w:asciiTheme="minorHAnsi" w:hAnsiTheme="minorHAnsi" w:cs="Arial"/>
          <w:sz w:val="20"/>
          <w:szCs w:val="20"/>
          <w:lang w:val="en-US"/>
        </w:rPr>
        <w:t xml:space="preserve">has been suspended, the IACHR continues </w:t>
      </w:r>
      <w:r w:rsidR="00E80247" w:rsidRPr="007D47AD">
        <w:rPr>
          <w:rFonts w:asciiTheme="minorHAnsi" w:hAnsiTheme="minorHAnsi" w:cs="Arial"/>
          <w:sz w:val="20"/>
          <w:szCs w:val="20"/>
          <w:lang w:val="en-US"/>
        </w:rPr>
        <w:t xml:space="preserve">to find </w:t>
      </w:r>
      <w:r w:rsidRPr="007D47AD">
        <w:rPr>
          <w:rFonts w:asciiTheme="minorHAnsi" w:hAnsiTheme="minorHAnsi" w:cs="Arial"/>
          <w:sz w:val="20"/>
          <w:szCs w:val="20"/>
          <w:lang w:val="en-US"/>
        </w:rPr>
        <w:t xml:space="preserve">that its implementation is still pending. </w:t>
      </w:r>
    </w:p>
    <w:p w:rsidR="009C095D" w:rsidRPr="007D47AD" w:rsidRDefault="00FE1931" w:rsidP="00E80247">
      <w:pPr>
        <w:numPr>
          <w:ilvl w:val="0"/>
          <w:numId w:val="6"/>
        </w:numPr>
        <w:shd w:val="clear" w:color="auto" w:fill="FFFFFF"/>
        <w:spacing w:after="240" w:line="240" w:lineRule="auto"/>
        <w:ind w:left="0" w:firstLine="720"/>
        <w:jc w:val="both"/>
        <w:rPr>
          <w:rFonts w:asciiTheme="minorHAnsi" w:hAnsiTheme="minorHAnsi"/>
          <w:sz w:val="20"/>
          <w:szCs w:val="20"/>
          <w:lang w:val="en-US"/>
        </w:rPr>
      </w:pPr>
      <w:r w:rsidRPr="007D47AD">
        <w:rPr>
          <w:rFonts w:asciiTheme="minorHAnsi" w:hAnsiTheme="minorHAnsi" w:cs="Arial"/>
          <w:sz w:val="20"/>
          <w:szCs w:val="20"/>
          <w:lang w:val="en-US"/>
        </w:rPr>
        <w:t xml:space="preserve">As regards the recommendation to </w:t>
      </w:r>
      <w:r w:rsidR="009C095D" w:rsidRPr="007D47AD">
        <w:rPr>
          <w:rFonts w:asciiTheme="minorHAnsi" w:hAnsiTheme="minorHAnsi" w:cs="Arial"/>
          <w:b/>
          <w:sz w:val="20"/>
          <w:szCs w:val="20"/>
          <w:lang w:val="en-US"/>
        </w:rPr>
        <w:t>elimina</w:t>
      </w:r>
      <w:r w:rsidR="00DF7C06" w:rsidRPr="007D47AD">
        <w:rPr>
          <w:rFonts w:asciiTheme="minorHAnsi" w:hAnsiTheme="minorHAnsi" w:cs="Arial"/>
          <w:b/>
          <w:sz w:val="20"/>
          <w:szCs w:val="20"/>
          <w:lang w:val="en-US"/>
        </w:rPr>
        <w:t>te</w:t>
      </w:r>
      <w:r w:rsidR="009C095D" w:rsidRPr="007D47AD">
        <w:rPr>
          <w:rFonts w:asciiTheme="minorHAnsi" w:hAnsiTheme="minorHAnsi" w:cs="Arial"/>
          <w:b/>
          <w:sz w:val="20"/>
          <w:szCs w:val="20"/>
          <w:lang w:val="en-US"/>
        </w:rPr>
        <w:t xml:space="preserve"> </w:t>
      </w:r>
      <w:r w:rsidR="00DF7C06" w:rsidRPr="007D47AD">
        <w:rPr>
          <w:rFonts w:asciiTheme="minorHAnsi" w:hAnsiTheme="minorHAnsi" w:cs="Arial"/>
          <w:b/>
          <w:sz w:val="20"/>
          <w:szCs w:val="20"/>
          <w:lang w:val="en-US"/>
        </w:rPr>
        <w:t>“</w:t>
      </w:r>
      <w:r w:rsidR="009C095D" w:rsidRPr="007D47AD">
        <w:rPr>
          <w:rFonts w:asciiTheme="minorHAnsi" w:hAnsiTheme="minorHAnsi" w:cs="Arial"/>
          <w:b/>
          <w:i/>
          <w:iCs/>
          <w:sz w:val="20"/>
          <w:szCs w:val="20"/>
          <w:lang w:val="en-US"/>
        </w:rPr>
        <w:t>arraigo</w:t>
      </w:r>
      <w:r w:rsidR="00DF7C06" w:rsidRPr="007D47AD">
        <w:rPr>
          <w:rFonts w:asciiTheme="minorHAnsi" w:hAnsiTheme="minorHAnsi" w:cs="Arial"/>
          <w:b/>
          <w:sz w:val="20"/>
          <w:szCs w:val="20"/>
          <w:lang w:val="en-US"/>
        </w:rPr>
        <w:t>”</w:t>
      </w:r>
      <w:r w:rsidR="009C095D" w:rsidRPr="007D47AD">
        <w:rPr>
          <w:rFonts w:asciiTheme="minorHAnsi" w:hAnsiTheme="minorHAnsi" w:cs="Arial"/>
          <w:b/>
          <w:sz w:val="20"/>
          <w:szCs w:val="20"/>
          <w:lang w:val="en-US"/>
        </w:rPr>
        <w:t xml:space="preserve"> </w:t>
      </w:r>
      <w:r w:rsidR="00DF7C06" w:rsidRPr="007D47AD">
        <w:rPr>
          <w:rFonts w:asciiTheme="minorHAnsi" w:hAnsiTheme="minorHAnsi" w:cs="Arial"/>
          <w:b/>
          <w:sz w:val="20"/>
          <w:szCs w:val="20"/>
          <w:lang w:val="en-US"/>
        </w:rPr>
        <w:t xml:space="preserve">and </w:t>
      </w:r>
      <w:r w:rsidR="00DF7C06" w:rsidRPr="007D47AD">
        <w:rPr>
          <w:rFonts w:asciiTheme="minorHAnsi" w:hAnsiTheme="minorHAnsi" w:cs="Arial"/>
          <w:b/>
          <w:i/>
          <w:iCs/>
          <w:sz w:val="20"/>
          <w:szCs w:val="20"/>
          <w:lang w:val="en-US"/>
        </w:rPr>
        <w:t>quasi flagrante delicto</w:t>
      </w:r>
      <w:r w:rsidR="00DF7C06" w:rsidRPr="007D47AD">
        <w:rPr>
          <w:rFonts w:asciiTheme="minorHAnsi" w:hAnsiTheme="minorHAnsi" w:cs="Arial"/>
          <w:b/>
          <w:sz w:val="20"/>
          <w:szCs w:val="20"/>
          <w:lang w:val="en-US"/>
        </w:rPr>
        <w:t xml:space="preserve"> (</w:t>
      </w:r>
      <w:r w:rsidR="009C095D" w:rsidRPr="007D47AD">
        <w:rPr>
          <w:rFonts w:asciiTheme="minorHAnsi" w:hAnsiTheme="minorHAnsi" w:cs="Arial"/>
          <w:b/>
          <w:i/>
          <w:iCs/>
          <w:sz w:val="20"/>
          <w:szCs w:val="20"/>
          <w:lang w:val="en-US"/>
        </w:rPr>
        <w:t>flagrancia equiparada</w:t>
      </w:r>
      <w:r w:rsidR="00DF7C06" w:rsidRPr="007D47AD">
        <w:rPr>
          <w:rFonts w:asciiTheme="minorHAnsi" w:hAnsiTheme="minorHAnsi" w:cs="Arial"/>
          <w:b/>
          <w:sz w:val="20"/>
          <w:szCs w:val="20"/>
          <w:lang w:val="en-US"/>
        </w:rPr>
        <w:t>) from the law</w:t>
      </w:r>
      <w:r w:rsidR="00AD68C2" w:rsidRPr="007D47AD">
        <w:rPr>
          <w:rFonts w:asciiTheme="minorHAnsi" w:hAnsiTheme="minorHAnsi" w:cs="Arial"/>
          <w:sz w:val="20"/>
          <w:szCs w:val="20"/>
          <w:lang w:val="en-US"/>
        </w:rPr>
        <w:t xml:space="preserve">, </w:t>
      </w:r>
      <w:r w:rsidRPr="007D47AD">
        <w:rPr>
          <w:rFonts w:asciiTheme="minorHAnsi" w:hAnsiTheme="minorHAnsi" w:cs="Arial"/>
          <w:sz w:val="20"/>
          <w:szCs w:val="20"/>
          <w:lang w:val="en-US"/>
        </w:rPr>
        <w:t xml:space="preserve">the IACHR already noted that </w:t>
      </w:r>
      <w:r w:rsidR="000878B3" w:rsidRPr="007D47AD">
        <w:rPr>
          <w:rFonts w:asciiTheme="minorHAnsi" w:hAnsiTheme="minorHAnsi" w:cs="Arial"/>
          <w:i/>
          <w:iCs/>
          <w:sz w:val="20"/>
          <w:szCs w:val="20"/>
          <w:lang w:val="en-US"/>
        </w:rPr>
        <w:t>flagrancia equiparada</w:t>
      </w:r>
      <w:r w:rsidR="00E80247" w:rsidRPr="007D47AD">
        <w:rPr>
          <w:rFonts w:asciiTheme="minorHAnsi" w:hAnsiTheme="minorHAnsi" w:cs="Arial"/>
          <w:sz w:val="20"/>
          <w:szCs w:val="20"/>
          <w:lang w:val="en-US"/>
        </w:rPr>
        <w:t xml:space="preserve"> </w:t>
      </w:r>
      <w:r w:rsidR="000878B3" w:rsidRPr="007D47AD">
        <w:rPr>
          <w:rFonts w:asciiTheme="minorHAnsi" w:hAnsiTheme="minorHAnsi" w:cs="Arial"/>
          <w:sz w:val="20"/>
          <w:szCs w:val="20"/>
          <w:lang w:val="en-US"/>
        </w:rPr>
        <w:t>ha</w:t>
      </w:r>
      <w:r w:rsidRPr="007D47AD">
        <w:rPr>
          <w:rFonts w:asciiTheme="minorHAnsi" w:hAnsiTheme="minorHAnsi" w:cs="Arial"/>
          <w:sz w:val="20"/>
          <w:szCs w:val="20"/>
          <w:lang w:val="en-US"/>
        </w:rPr>
        <w:t>s</w:t>
      </w:r>
      <w:r w:rsidR="000878B3" w:rsidRPr="007D47AD">
        <w:rPr>
          <w:rFonts w:asciiTheme="minorHAnsi" w:hAnsiTheme="minorHAnsi" w:cs="Arial"/>
          <w:sz w:val="20"/>
          <w:szCs w:val="20"/>
          <w:lang w:val="en-US"/>
        </w:rPr>
        <w:t xml:space="preserve"> </w:t>
      </w:r>
      <w:r w:rsidRPr="007D47AD">
        <w:rPr>
          <w:rFonts w:asciiTheme="minorHAnsi" w:hAnsiTheme="minorHAnsi" w:cs="Arial"/>
          <w:sz w:val="20"/>
          <w:szCs w:val="20"/>
          <w:lang w:val="en-US"/>
        </w:rPr>
        <w:t xml:space="preserve">been found unconstitutional since </w:t>
      </w:r>
      <w:r w:rsidR="00F76AA9" w:rsidRPr="007D47AD">
        <w:rPr>
          <w:rFonts w:asciiTheme="minorHAnsi" w:hAnsiTheme="minorHAnsi" w:cs="Arial"/>
          <w:sz w:val="20"/>
          <w:szCs w:val="20"/>
          <w:lang w:val="en-US"/>
        </w:rPr>
        <w:t xml:space="preserve">2015 </w:t>
      </w:r>
      <w:r w:rsidRPr="007D47AD">
        <w:rPr>
          <w:rFonts w:asciiTheme="minorHAnsi" w:hAnsiTheme="minorHAnsi" w:cs="Arial"/>
          <w:sz w:val="20"/>
          <w:szCs w:val="20"/>
          <w:lang w:val="en-US"/>
        </w:rPr>
        <w:t xml:space="preserve">by the Supreme Court, thus that part of the recommendation has been fully implemented. With respect to </w:t>
      </w:r>
      <w:r w:rsidR="00E80247" w:rsidRPr="007D47AD">
        <w:rPr>
          <w:rFonts w:asciiTheme="minorHAnsi" w:hAnsiTheme="minorHAnsi" w:cs="Arial"/>
          <w:sz w:val="20"/>
          <w:szCs w:val="20"/>
          <w:lang w:val="en-US"/>
        </w:rPr>
        <w:t xml:space="preserve">the institution of </w:t>
      </w:r>
      <w:r w:rsidR="00F76AA9" w:rsidRPr="007D47AD">
        <w:rPr>
          <w:rFonts w:asciiTheme="minorHAnsi" w:hAnsiTheme="minorHAnsi" w:cs="Arial"/>
          <w:i/>
          <w:iCs/>
          <w:sz w:val="20"/>
          <w:szCs w:val="20"/>
          <w:lang w:val="en-US"/>
        </w:rPr>
        <w:t>arraigo</w:t>
      </w:r>
      <w:r w:rsidR="00F76AA9" w:rsidRPr="007D47AD">
        <w:rPr>
          <w:rFonts w:asciiTheme="minorHAnsi" w:hAnsiTheme="minorHAnsi" w:cs="Arial"/>
          <w:sz w:val="20"/>
          <w:szCs w:val="20"/>
          <w:lang w:val="en-US"/>
        </w:rPr>
        <w:t>,</w:t>
      </w:r>
      <w:r w:rsidR="009C095D" w:rsidRPr="007D47AD">
        <w:rPr>
          <w:rFonts w:asciiTheme="minorHAnsi" w:hAnsiTheme="minorHAnsi" w:cs="Arial"/>
          <w:sz w:val="20"/>
          <w:szCs w:val="20"/>
          <w:lang w:val="en-US"/>
        </w:rPr>
        <w:t xml:space="preserve"> </w:t>
      </w:r>
      <w:r w:rsidRPr="007D47AD">
        <w:rPr>
          <w:rFonts w:asciiTheme="minorHAnsi" w:hAnsiTheme="minorHAnsi" w:cs="Arial"/>
          <w:sz w:val="20"/>
          <w:szCs w:val="20"/>
          <w:lang w:val="en-US"/>
        </w:rPr>
        <w:t xml:space="preserve">the State discussed the existence of two bills presented on June 26, </w:t>
      </w:r>
      <w:r w:rsidR="000F1ADD" w:rsidRPr="007D47AD">
        <w:rPr>
          <w:rFonts w:asciiTheme="minorHAnsi" w:hAnsiTheme="minorHAnsi" w:cs="Arial"/>
          <w:sz w:val="20"/>
          <w:szCs w:val="20"/>
          <w:lang w:val="en-US"/>
        </w:rPr>
        <w:t xml:space="preserve">2019 </w:t>
      </w:r>
      <w:r w:rsidRPr="007D47AD">
        <w:rPr>
          <w:rFonts w:asciiTheme="minorHAnsi" w:hAnsiTheme="minorHAnsi" w:cs="Arial"/>
          <w:sz w:val="20"/>
          <w:szCs w:val="20"/>
          <w:lang w:val="en-US"/>
        </w:rPr>
        <w:t xml:space="preserve">and September </w:t>
      </w:r>
      <w:r w:rsidR="000F1ADD" w:rsidRPr="007D47AD">
        <w:rPr>
          <w:rFonts w:asciiTheme="minorHAnsi" w:hAnsiTheme="minorHAnsi" w:cs="Arial"/>
          <w:sz w:val="20"/>
          <w:szCs w:val="20"/>
          <w:lang w:val="en-US"/>
        </w:rPr>
        <w:t>3</w:t>
      </w:r>
      <w:r w:rsidRPr="007D47AD">
        <w:rPr>
          <w:rFonts w:asciiTheme="minorHAnsi" w:hAnsiTheme="minorHAnsi" w:cs="Arial"/>
          <w:sz w:val="20"/>
          <w:szCs w:val="20"/>
          <w:lang w:val="en-US"/>
        </w:rPr>
        <w:t>,</w:t>
      </w:r>
      <w:r w:rsidR="000F1ADD" w:rsidRPr="007D47AD">
        <w:rPr>
          <w:rFonts w:asciiTheme="minorHAnsi" w:hAnsiTheme="minorHAnsi" w:cs="Arial"/>
          <w:sz w:val="20"/>
          <w:szCs w:val="20"/>
          <w:lang w:val="en-US"/>
        </w:rPr>
        <w:t xml:space="preserve"> 2019 respectiv</w:t>
      </w:r>
      <w:r w:rsidRPr="007D47AD">
        <w:rPr>
          <w:rFonts w:asciiTheme="minorHAnsi" w:hAnsiTheme="minorHAnsi" w:cs="Arial"/>
          <w:sz w:val="20"/>
          <w:szCs w:val="20"/>
          <w:lang w:val="en-US"/>
        </w:rPr>
        <w:t>ely,</w:t>
      </w:r>
      <w:r w:rsidR="000F1ADD" w:rsidRPr="007D47AD">
        <w:rPr>
          <w:rFonts w:asciiTheme="minorHAnsi" w:hAnsiTheme="minorHAnsi" w:cs="Arial"/>
          <w:sz w:val="20"/>
          <w:szCs w:val="20"/>
          <w:lang w:val="en-US"/>
        </w:rPr>
        <w:t xml:space="preserve"> </w:t>
      </w:r>
      <w:r w:rsidRPr="007D47AD">
        <w:rPr>
          <w:rFonts w:asciiTheme="minorHAnsi" w:hAnsiTheme="minorHAnsi" w:cs="Arial"/>
          <w:sz w:val="20"/>
          <w:szCs w:val="20"/>
          <w:lang w:val="en-US"/>
        </w:rPr>
        <w:t xml:space="preserve">to amend the Constitution and repeal paragraph eight of Article 16 of that law, which instituted </w:t>
      </w:r>
      <w:r w:rsidR="00E80247" w:rsidRPr="007D47AD">
        <w:rPr>
          <w:rFonts w:asciiTheme="minorHAnsi" w:hAnsiTheme="minorHAnsi" w:cs="Arial"/>
          <w:sz w:val="20"/>
          <w:szCs w:val="20"/>
          <w:lang w:val="en-US"/>
        </w:rPr>
        <w:t>it.</w:t>
      </w:r>
      <w:r w:rsidR="002E25A3" w:rsidRPr="007D47AD">
        <w:rPr>
          <w:rStyle w:val="FootnoteReference"/>
          <w:rFonts w:asciiTheme="minorHAnsi" w:hAnsiTheme="minorHAnsi" w:cs="Arial"/>
          <w:sz w:val="20"/>
          <w:szCs w:val="20"/>
          <w:lang w:val="en-US"/>
        </w:rPr>
        <w:footnoteReference w:id="149"/>
      </w:r>
      <w:r w:rsidR="00AE49FA" w:rsidRPr="007D47AD">
        <w:rPr>
          <w:rFonts w:asciiTheme="minorHAnsi" w:hAnsiTheme="minorHAnsi" w:cs="Arial"/>
          <w:sz w:val="20"/>
          <w:szCs w:val="20"/>
          <w:lang w:val="en-US"/>
        </w:rPr>
        <w:t xml:space="preserve"> </w:t>
      </w:r>
      <w:r w:rsidRPr="007D47AD">
        <w:rPr>
          <w:rFonts w:asciiTheme="minorHAnsi" w:hAnsiTheme="minorHAnsi" w:cs="Arial"/>
          <w:sz w:val="20"/>
          <w:szCs w:val="20"/>
          <w:lang w:val="en-US"/>
        </w:rPr>
        <w:t>The IACHR values the legislat</w:t>
      </w:r>
      <w:r w:rsidR="00E80247" w:rsidRPr="007D47AD">
        <w:rPr>
          <w:rFonts w:asciiTheme="minorHAnsi" w:hAnsiTheme="minorHAnsi" w:cs="Arial"/>
          <w:sz w:val="20"/>
          <w:szCs w:val="20"/>
          <w:lang w:val="en-US"/>
        </w:rPr>
        <w:t>ive</w:t>
      </w:r>
      <w:r w:rsidRPr="007D47AD">
        <w:rPr>
          <w:rFonts w:asciiTheme="minorHAnsi" w:hAnsiTheme="minorHAnsi" w:cs="Arial"/>
          <w:sz w:val="20"/>
          <w:szCs w:val="20"/>
          <w:lang w:val="en-US"/>
        </w:rPr>
        <w:t xml:space="preserve"> debate to do away with the institution of </w:t>
      </w:r>
      <w:r w:rsidR="009C095D" w:rsidRPr="007D47AD">
        <w:rPr>
          <w:rFonts w:asciiTheme="minorHAnsi" w:hAnsiTheme="minorHAnsi" w:cs="Arial"/>
          <w:i/>
          <w:iCs/>
          <w:sz w:val="20"/>
          <w:szCs w:val="20"/>
          <w:lang w:val="en-US"/>
        </w:rPr>
        <w:t>arraigo</w:t>
      </w:r>
      <w:r w:rsidR="009C095D" w:rsidRPr="007D47AD">
        <w:rPr>
          <w:rFonts w:asciiTheme="minorHAnsi" w:hAnsiTheme="minorHAnsi" w:cs="Arial"/>
          <w:sz w:val="20"/>
          <w:szCs w:val="20"/>
          <w:lang w:val="en-US"/>
        </w:rPr>
        <w:t xml:space="preserve">. </w:t>
      </w:r>
      <w:r w:rsidRPr="007D47AD">
        <w:rPr>
          <w:rFonts w:asciiTheme="minorHAnsi" w:hAnsiTheme="minorHAnsi" w:cs="Arial"/>
          <w:sz w:val="20"/>
          <w:szCs w:val="20"/>
          <w:lang w:val="en-US"/>
        </w:rPr>
        <w:t xml:space="preserve">Nonetheless, it concludes that this recommendation </w:t>
      </w:r>
      <w:r w:rsidR="00947156" w:rsidRPr="007D47AD">
        <w:rPr>
          <w:rFonts w:asciiTheme="minorHAnsi" w:hAnsiTheme="minorHAnsi" w:cs="Arial"/>
          <w:sz w:val="20"/>
          <w:szCs w:val="20"/>
          <w:lang w:val="en-US"/>
        </w:rPr>
        <w:t xml:space="preserve">has met with partial substantial compliance. </w:t>
      </w:r>
      <w:bookmarkEnd w:id="3"/>
    </w:p>
    <w:p w:rsidR="009C095D" w:rsidRPr="007D47AD" w:rsidRDefault="009C095D" w:rsidP="00E472A2">
      <w:pPr>
        <w:pStyle w:val="Heading2"/>
        <w:numPr>
          <w:ilvl w:val="0"/>
          <w:numId w:val="9"/>
        </w:numPr>
        <w:ind w:left="1440" w:hanging="720"/>
        <w:rPr>
          <w:rFonts w:asciiTheme="minorHAnsi" w:hAnsiTheme="minorHAnsi"/>
          <w:sz w:val="20"/>
          <w:lang w:val="en-US"/>
        </w:rPr>
      </w:pPr>
      <w:r w:rsidRPr="007D47AD">
        <w:rPr>
          <w:rFonts w:asciiTheme="minorHAnsi" w:hAnsiTheme="minorHAnsi"/>
          <w:sz w:val="20"/>
          <w:lang w:val="en-US"/>
        </w:rPr>
        <w:t>Extrajudicial</w:t>
      </w:r>
      <w:r w:rsidR="00947156" w:rsidRPr="007D47AD">
        <w:rPr>
          <w:rFonts w:asciiTheme="minorHAnsi" w:hAnsiTheme="minorHAnsi"/>
          <w:sz w:val="20"/>
          <w:lang w:val="en-US"/>
        </w:rPr>
        <w:t xml:space="preserve"> executions</w:t>
      </w:r>
    </w:p>
    <w:p w:rsidR="009C095D" w:rsidRPr="007D47AD" w:rsidRDefault="00DF7C06" w:rsidP="00E472A2">
      <w:pPr>
        <w:pStyle w:val="Numberedparagraphs"/>
        <w:numPr>
          <w:ilvl w:val="0"/>
          <w:numId w:val="13"/>
        </w:numPr>
        <w:shd w:val="clear" w:color="auto" w:fill="D9D9D9"/>
        <w:spacing w:after="0"/>
        <w:ind w:hanging="720"/>
        <w:rPr>
          <w:rFonts w:asciiTheme="minorHAnsi" w:hAnsiTheme="minorHAnsi"/>
          <w:lang w:val="en-US"/>
        </w:rPr>
      </w:pPr>
      <w:r w:rsidRPr="007D47AD">
        <w:rPr>
          <w:rFonts w:asciiTheme="minorHAnsi" w:hAnsiTheme="minorHAnsi"/>
          <w:lang w:val="en-US"/>
        </w:rPr>
        <w:t>I</w:t>
      </w:r>
      <w:r w:rsidR="009C095D" w:rsidRPr="007D47AD">
        <w:rPr>
          <w:rFonts w:asciiTheme="minorHAnsi" w:hAnsiTheme="minorHAnsi"/>
          <w:lang w:val="en-US"/>
        </w:rPr>
        <w:t xml:space="preserve">n </w:t>
      </w:r>
      <w:r w:rsidRPr="007D47AD">
        <w:rPr>
          <w:rFonts w:asciiTheme="minorHAnsi" w:hAnsiTheme="minorHAnsi"/>
          <w:lang w:val="en-US"/>
        </w:rPr>
        <w:t>any act in which there is lethal use of force or loss of life at the hands of members of the security forces, undertake a comprehensive formal investigation in accordance with international standards</w:t>
      </w:r>
      <w:r w:rsidR="00E80247" w:rsidRPr="007D47AD">
        <w:rPr>
          <w:rFonts w:asciiTheme="minorHAnsi" w:hAnsiTheme="minorHAnsi"/>
          <w:lang w:val="en-US"/>
        </w:rPr>
        <w:t xml:space="preserve">; </w:t>
      </w:r>
      <w:r w:rsidRPr="007D47AD">
        <w:rPr>
          <w:rFonts w:asciiTheme="minorHAnsi" w:hAnsiTheme="minorHAnsi"/>
          <w:lang w:val="en-US"/>
        </w:rPr>
        <w:t>the investigations from the crime scene should be performed by experts who are independent of the police or military institutions.</w:t>
      </w:r>
    </w:p>
    <w:p w:rsidR="009C095D" w:rsidRPr="007D47AD" w:rsidRDefault="00DF7C06" w:rsidP="00E472A2">
      <w:pPr>
        <w:pStyle w:val="Numberedparagraphs"/>
        <w:numPr>
          <w:ilvl w:val="0"/>
          <w:numId w:val="13"/>
        </w:numPr>
        <w:shd w:val="clear" w:color="auto" w:fill="D9D9D9"/>
        <w:spacing w:after="0"/>
        <w:ind w:hanging="720"/>
        <w:rPr>
          <w:rFonts w:asciiTheme="minorHAnsi" w:hAnsiTheme="minorHAnsi"/>
          <w:lang w:val="en-US"/>
        </w:rPr>
      </w:pPr>
      <w:r w:rsidRPr="007D47AD">
        <w:rPr>
          <w:rFonts w:asciiTheme="minorHAnsi" w:hAnsiTheme="minorHAnsi"/>
          <w:lang w:val="en-US"/>
        </w:rPr>
        <w:t xml:space="preserve">Ensure that the Armed Forces register statistics regarding persons who are killed or wounded in their operations, and that the relevant investigations are initiated as appropriate. </w:t>
      </w:r>
    </w:p>
    <w:p w:rsidR="009C095D" w:rsidRPr="007D47AD" w:rsidRDefault="009C095D" w:rsidP="00E472A2">
      <w:pPr>
        <w:pStyle w:val="Numberedparagraphs"/>
        <w:numPr>
          <w:ilvl w:val="0"/>
          <w:numId w:val="13"/>
        </w:numPr>
        <w:shd w:val="clear" w:color="auto" w:fill="D9D9D9"/>
        <w:spacing w:after="0"/>
        <w:ind w:hanging="720"/>
        <w:rPr>
          <w:rFonts w:asciiTheme="minorHAnsi" w:hAnsiTheme="minorHAnsi"/>
          <w:lang w:val="en-US"/>
        </w:rPr>
      </w:pPr>
      <w:r w:rsidRPr="007D47AD">
        <w:rPr>
          <w:rFonts w:asciiTheme="minorHAnsi" w:hAnsiTheme="minorHAnsi"/>
          <w:lang w:val="en-US"/>
        </w:rPr>
        <w:lastRenderedPageBreak/>
        <w:t>Establ</w:t>
      </w:r>
      <w:r w:rsidR="00DF7C06" w:rsidRPr="007D47AD">
        <w:rPr>
          <w:rFonts w:asciiTheme="minorHAnsi" w:hAnsiTheme="minorHAnsi"/>
          <w:lang w:val="en-US"/>
        </w:rPr>
        <w:t>ish a national registry regarding the unidentified remains unearthed in cemeteries throughout the country, which are the result of violent deaths. In addition, search for clandestine graves in states with the highest levels of violence</w:t>
      </w:r>
      <w:r w:rsidRPr="007D47AD">
        <w:rPr>
          <w:rFonts w:asciiTheme="minorHAnsi" w:hAnsiTheme="minorHAnsi"/>
          <w:lang w:val="en-US"/>
        </w:rPr>
        <w:t>. </w:t>
      </w:r>
    </w:p>
    <w:p w:rsidR="009C095D" w:rsidRPr="007D47AD" w:rsidRDefault="009C095D" w:rsidP="00E472A2">
      <w:pPr>
        <w:pStyle w:val="Numberedparagraphs"/>
        <w:numPr>
          <w:ilvl w:val="0"/>
          <w:numId w:val="13"/>
        </w:numPr>
        <w:shd w:val="clear" w:color="auto" w:fill="D9D9D9"/>
        <w:spacing w:after="0"/>
        <w:ind w:hanging="720"/>
        <w:rPr>
          <w:rFonts w:asciiTheme="minorHAnsi" w:hAnsiTheme="minorHAnsi"/>
          <w:lang w:val="en-US"/>
        </w:rPr>
      </w:pPr>
      <w:r w:rsidRPr="007D47AD">
        <w:rPr>
          <w:rFonts w:asciiTheme="minorHAnsi" w:hAnsiTheme="minorHAnsi"/>
          <w:lang w:val="en-US"/>
        </w:rPr>
        <w:t>Crea</w:t>
      </w:r>
      <w:r w:rsidR="00DF7C06" w:rsidRPr="007D47AD">
        <w:rPr>
          <w:rFonts w:asciiTheme="minorHAnsi" w:hAnsiTheme="minorHAnsi"/>
          <w:lang w:val="en-US"/>
        </w:rPr>
        <w:t>te a national, autonomous institution of forensic services with adequate infrastructure, sufficient financial and human resources, and standardized protocols applicable at the national level</w:t>
      </w:r>
      <w:r w:rsidRPr="007D47AD">
        <w:rPr>
          <w:rFonts w:asciiTheme="minorHAnsi" w:hAnsiTheme="minorHAnsi"/>
          <w:lang w:val="en-US"/>
        </w:rPr>
        <w:t>.</w:t>
      </w:r>
    </w:p>
    <w:p w:rsidR="009C095D" w:rsidRPr="007D47AD" w:rsidRDefault="00DF7C06" w:rsidP="00E472A2">
      <w:pPr>
        <w:pStyle w:val="Numberedparagraphs"/>
        <w:numPr>
          <w:ilvl w:val="0"/>
          <w:numId w:val="13"/>
        </w:numPr>
        <w:shd w:val="clear" w:color="auto" w:fill="D9D9D9"/>
        <w:spacing w:after="0"/>
        <w:ind w:hanging="720"/>
        <w:rPr>
          <w:rFonts w:asciiTheme="minorHAnsi" w:hAnsiTheme="minorHAnsi"/>
          <w:lang w:val="en-US"/>
        </w:rPr>
      </w:pPr>
      <w:r w:rsidRPr="007D47AD">
        <w:rPr>
          <w:rFonts w:asciiTheme="minorHAnsi" w:hAnsiTheme="minorHAnsi"/>
          <w:lang w:val="en-US"/>
        </w:rPr>
        <w:t>Undertake all processes of unearthing and identifying remains strictly abiding by a dignified treatment of the victims’ families by all authorities of all levels of government involved in the process</w:t>
      </w:r>
      <w:r w:rsidR="009C095D" w:rsidRPr="007D47AD">
        <w:rPr>
          <w:rFonts w:asciiTheme="minorHAnsi" w:hAnsiTheme="minorHAnsi"/>
          <w:lang w:val="en-US"/>
        </w:rPr>
        <w:t>.</w:t>
      </w:r>
    </w:p>
    <w:p w:rsidR="009C095D" w:rsidRPr="007D47AD" w:rsidRDefault="009C095D" w:rsidP="00E472A2">
      <w:pPr>
        <w:pStyle w:val="Numberedparagraphs"/>
        <w:numPr>
          <w:ilvl w:val="0"/>
          <w:numId w:val="13"/>
        </w:numPr>
        <w:shd w:val="clear" w:color="auto" w:fill="D9D9D9"/>
        <w:spacing w:after="0"/>
        <w:ind w:hanging="720"/>
        <w:rPr>
          <w:rFonts w:asciiTheme="minorHAnsi" w:hAnsiTheme="minorHAnsi"/>
          <w:lang w:val="en-US"/>
        </w:rPr>
      </w:pPr>
      <w:r w:rsidRPr="007D47AD">
        <w:rPr>
          <w:rFonts w:asciiTheme="minorHAnsi" w:hAnsiTheme="minorHAnsi"/>
          <w:lang w:val="en-US"/>
        </w:rPr>
        <w:t>Continu</w:t>
      </w:r>
      <w:r w:rsidR="00DF7C06" w:rsidRPr="007D47AD">
        <w:rPr>
          <w:rFonts w:asciiTheme="minorHAnsi" w:hAnsiTheme="minorHAnsi"/>
          <w:lang w:val="en-US"/>
        </w:rPr>
        <w:t>e and expand the work of the Forensic Commission for the Identification of Remains in cases found along the routes followed by migrants. Adopt all necessary measures to create a Transnational Mechanism of Access to Justice for Migrants and their Families, as well as the creation at the federal level of a Special Prosecutor’s Office for Violent Crimes against Migrants</w:t>
      </w:r>
    </w:p>
    <w:p w:rsidR="009C095D" w:rsidRPr="007D47AD" w:rsidRDefault="009C095D" w:rsidP="00E472A2">
      <w:pPr>
        <w:pStyle w:val="Numberedparagraphs"/>
        <w:numPr>
          <w:ilvl w:val="0"/>
          <w:numId w:val="13"/>
        </w:numPr>
        <w:shd w:val="clear" w:color="auto" w:fill="D9D9D9"/>
        <w:spacing w:after="0"/>
        <w:ind w:hanging="720"/>
        <w:rPr>
          <w:rFonts w:asciiTheme="minorHAnsi" w:hAnsiTheme="minorHAnsi"/>
          <w:lang w:val="en-US"/>
        </w:rPr>
      </w:pPr>
      <w:r w:rsidRPr="007D47AD">
        <w:rPr>
          <w:rFonts w:asciiTheme="minorHAnsi" w:hAnsiTheme="minorHAnsi"/>
          <w:lang w:val="en-US"/>
        </w:rPr>
        <w:t xml:space="preserve">Implement </w:t>
      </w:r>
      <w:r w:rsidR="00DF7C06" w:rsidRPr="007D47AD">
        <w:rPr>
          <w:rFonts w:asciiTheme="minorHAnsi" w:hAnsiTheme="minorHAnsi"/>
          <w:lang w:val="en-US"/>
        </w:rPr>
        <w:t>a national mechanism to facilitate the exchange of forensic information on the unidentified remains of Mexicans and Central Americans disappeared in Mexico with the forensic databases of disappeared migrants that have been developed throughout the region</w:t>
      </w:r>
      <w:r w:rsidR="00E80247" w:rsidRPr="007D47AD">
        <w:rPr>
          <w:rFonts w:asciiTheme="minorHAnsi" w:hAnsiTheme="minorHAnsi"/>
          <w:lang w:val="en-US"/>
        </w:rPr>
        <w:t>.</w:t>
      </w:r>
    </w:p>
    <w:p w:rsidR="009C095D" w:rsidRPr="007D47AD" w:rsidRDefault="009C095D" w:rsidP="009C095D">
      <w:pPr>
        <w:shd w:val="clear" w:color="auto" w:fill="FFFFFF"/>
        <w:spacing w:after="240" w:line="240" w:lineRule="auto"/>
        <w:ind w:left="720"/>
        <w:jc w:val="both"/>
        <w:rPr>
          <w:rFonts w:asciiTheme="minorHAnsi" w:hAnsiTheme="minorHAnsi"/>
          <w:sz w:val="20"/>
          <w:szCs w:val="20"/>
          <w:lang w:val="en-US"/>
        </w:rPr>
      </w:pPr>
    </w:p>
    <w:p w:rsidR="00FF028E" w:rsidRPr="007D47AD" w:rsidRDefault="00947156" w:rsidP="00E472A2">
      <w:pPr>
        <w:numPr>
          <w:ilvl w:val="0"/>
          <w:numId w:val="6"/>
        </w:numPr>
        <w:shd w:val="clear" w:color="auto" w:fill="FFFFFF"/>
        <w:spacing w:after="240" w:line="240" w:lineRule="auto"/>
        <w:ind w:left="0" w:firstLine="720"/>
        <w:jc w:val="both"/>
        <w:rPr>
          <w:rFonts w:asciiTheme="minorHAnsi" w:hAnsiTheme="minorHAnsi"/>
          <w:sz w:val="20"/>
          <w:szCs w:val="20"/>
          <w:lang w:val="en-US"/>
        </w:rPr>
      </w:pPr>
      <w:r w:rsidRPr="007D47AD">
        <w:rPr>
          <w:rFonts w:asciiTheme="minorHAnsi" w:hAnsiTheme="minorHAnsi"/>
          <w:sz w:val="20"/>
          <w:szCs w:val="20"/>
          <w:lang w:val="en-US"/>
        </w:rPr>
        <w:t xml:space="preserve">As regards the recommendation </w:t>
      </w:r>
      <w:r w:rsidR="001E7483" w:rsidRPr="007D47AD">
        <w:rPr>
          <w:rFonts w:asciiTheme="minorHAnsi" w:hAnsiTheme="minorHAnsi"/>
          <w:b/>
          <w:sz w:val="20"/>
          <w:szCs w:val="20"/>
          <w:lang w:val="en-US"/>
        </w:rPr>
        <w:t>to undertake an investigation in keeping with international standards in those cases in which there has been loss of life at the hands of members of the security forces with experts who do not belong to those forces</w:t>
      </w:r>
      <w:r w:rsidR="009C095D" w:rsidRPr="007D47AD">
        <w:rPr>
          <w:rFonts w:asciiTheme="minorHAnsi" w:hAnsiTheme="minorHAnsi"/>
          <w:sz w:val="20"/>
          <w:szCs w:val="20"/>
          <w:lang w:val="en-US"/>
        </w:rPr>
        <w:t xml:space="preserve">, </w:t>
      </w:r>
      <w:r w:rsidRPr="007D47AD">
        <w:rPr>
          <w:rFonts w:asciiTheme="minorHAnsi" w:hAnsiTheme="minorHAnsi"/>
          <w:sz w:val="20"/>
          <w:szCs w:val="20"/>
          <w:lang w:val="en-US"/>
        </w:rPr>
        <w:t xml:space="preserve">the State reported that on June </w:t>
      </w:r>
      <w:r w:rsidR="00FF028E" w:rsidRPr="007D47AD">
        <w:rPr>
          <w:rFonts w:asciiTheme="minorHAnsi" w:hAnsiTheme="minorHAnsi"/>
          <w:sz w:val="20"/>
          <w:szCs w:val="20"/>
          <w:lang w:val="en-US"/>
        </w:rPr>
        <w:t>21</w:t>
      </w:r>
      <w:r w:rsidRPr="007D47AD">
        <w:rPr>
          <w:rFonts w:asciiTheme="minorHAnsi" w:hAnsiTheme="minorHAnsi"/>
          <w:sz w:val="20"/>
          <w:szCs w:val="20"/>
          <w:lang w:val="en-US"/>
        </w:rPr>
        <w:t>,</w:t>
      </w:r>
      <w:r w:rsidR="00FF028E" w:rsidRPr="007D47AD">
        <w:rPr>
          <w:rFonts w:asciiTheme="minorHAnsi" w:hAnsiTheme="minorHAnsi"/>
          <w:sz w:val="20"/>
          <w:szCs w:val="20"/>
          <w:lang w:val="en-US"/>
        </w:rPr>
        <w:t xml:space="preserve"> 2018 </w:t>
      </w:r>
      <w:r w:rsidRPr="007D47AD">
        <w:rPr>
          <w:rFonts w:asciiTheme="minorHAnsi" w:hAnsiTheme="minorHAnsi"/>
          <w:sz w:val="20"/>
          <w:szCs w:val="20"/>
          <w:lang w:val="en-US"/>
        </w:rPr>
        <w:t xml:space="preserve">several reforms to the Code of Military Justice and the Military Code of Criminal Procedure were </w:t>
      </w:r>
      <w:r w:rsidR="00FF028E" w:rsidRPr="007D47AD">
        <w:rPr>
          <w:rFonts w:asciiTheme="minorHAnsi" w:hAnsiTheme="minorHAnsi"/>
          <w:sz w:val="20"/>
          <w:szCs w:val="20"/>
          <w:lang w:val="en-US"/>
        </w:rPr>
        <w:t>promulga</w:t>
      </w:r>
      <w:r w:rsidRPr="007D47AD">
        <w:rPr>
          <w:rFonts w:asciiTheme="minorHAnsi" w:hAnsiTheme="minorHAnsi"/>
          <w:sz w:val="20"/>
          <w:szCs w:val="20"/>
          <w:lang w:val="en-US"/>
        </w:rPr>
        <w:t xml:space="preserve">ted in the </w:t>
      </w:r>
      <w:r w:rsidR="00FF028E" w:rsidRPr="007D47AD">
        <w:rPr>
          <w:rFonts w:asciiTheme="minorHAnsi" w:hAnsiTheme="minorHAnsi"/>
          <w:sz w:val="20"/>
          <w:szCs w:val="20"/>
          <w:lang w:val="en-US"/>
        </w:rPr>
        <w:t xml:space="preserve">Diario Oficial de la Federación </w:t>
      </w:r>
      <w:r w:rsidRPr="007D47AD">
        <w:rPr>
          <w:rFonts w:asciiTheme="minorHAnsi" w:hAnsiTheme="minorHAnsi"/>
          <w:sz w:val="20"/>
          <w:szCs w:val="20"/>
          <w:lang w:val="en-US"/>
        </w:rPr>
        <w:t>that reinforce the alignment of the military justice system with the new criminal justice system</w:t>
      </w:r>
      <w:r w:rsidR="00E80247" w:rsidRPr="007D47AD">
        <w:rPr>
          <w:rFonts w:asciiTheme="minorHAnsi" w:hAnsiTheme="minorHAnsi"/>
          <w:sz w:val="20"/>
          <w:szCs w:val="20"/>
          <w:lang w:val="en-US"/>
        </w:rPr>
        <w:t>;</w:t>
      </w:r>
      <w:r w:rsidRPr="007D47AD">
        <w:rPr>
          <w:rFonts w:asciiTheme="minorHAnsi" w:hAnsiTheme="minorHAnsi"/>
          <w:sz w:val="20"/>
          <w:szCs w:val="20"/>
          <w:lang w:val="en-US"/>
        </w:rPr>
        <w:t xml:space="preserve"> yet it did not submit information on </w:t>
      </w:r>
      <w:r w:rsidR="00FF028E" w:rsidRPr="007D47AD">
        <w:rPr>
          <w:rFonts w:asciiTheme="minorHAnsi" w:hAnsiTheme="minorHAnsi"/>
          <w:sz w:val="20"/>
          <w:szCs w:val="20"/>
          <w:lang w:val="en-US"/>
        </w:rPr>
        <w:t>2019</w:t>
      </w:r>
      <w:r w:rsidRPr="007D47AD">
        <w:rPr>
          <w:rFonts w:asciiTheme="minorHAnsi" w:hAnsiTheme="minorHAnsi"/>
          <w:sz w:val="20"/>
          <w:szCs w:val="20"/>
          <w:lang w:val="en-US"/>
        </w:rPr>
        <w:t>.</w:t>
      </w:r>
      <w:r w:rsidR="009C095D" w:rsidRPr="007D47AD">
        <w:rPr>
          <w:rStyle w:val="FootnoteReference"/>
          <w:rFonts w:asciiTheme="minorHAnsi" w:hAnsiTheme="minorHAnsi"/>
          <w:sz w:val="20"/>
          <w:szCs w:val="20"/>
          <w:lang w:val="en-US"/>
        </w:rPr>
        <w:footnoteReference w:id="150"/>
      </w:r>
      <w:r w:rsidR="009C095D" w:rsidRPr="007D47AD">
        <w:rPr>
          <w:rFonts w:asciiTheme="minorHAnsi" w:eastAsia="Times New Roman" w:hAnsiTheme="minorHAnsi"/>
          <w:sz w:val="20"/>
          <w:szCs w:val="20"/>
          <w:lang w:val="en-US"/>
        </w:rPr>
        <w:t xml:space="preserve"> </w:t>
      </w:r>
    </w:p>
    <w:p w:rsidR="009C095D" w:rsidRPr="007D47AD" w:rsidRDefault="00947156" w:rsidP="00E472A2">
      <w:pPr>
        <w:numPr>
          <w:ilvl w:val="0"/>
          <w:numId w:val="6"/>
        </w:numPr>
        <w:shd w:val="clear" w:color="auto" w:fill="FFFFFF"/>
        <w:spacing w:after="240" w:line="240" w:lineRule="auto"/>
        <w:ind w:left="0" w:firstLine="720"/>
        <w:jc w:val="both"/>
        <w:rPr>
          <w:rFonts w:asciiTheme="minorHAnsi" w:hAnsiTheme="minorHAnsi"/>
          <w:sz w:val="20"/>
          <w:szCs w:val="20"/>
          <w:lang w:val="en-US"/>
        </w:rPr>
      </w:pPr>
      <w:r w:rsidRPr="007D47AD">
        <w:rPr>
          <w:rFonts w:asciiTheme="minorHAnsi" w:eastAsia="Times New Roman" w:hAnsiTheme="minorHAnsi"/>
          <w:sz w:val="20"/>
          <w:szCs w:val="20"/>
          <w:lang w:val="en-US"/>
        </w:rPr>
        <w:t xml:space="preserve">With respect to this recommendation, what was already indicated about shortcomings in the </w:t>
      </w:r>
      <w:r w:rsidR="00E80247" w:rsidRPr="007D47AD">
        <w:rPr>
          <w:rFonts w:asciiTheme="minorHAnsi" w:eastAsia="Times New Roman" w:hAnsiTheme="minorHAnsi"/>
          <w:sz w:val="20"/>
          <w:szCs w:val="20"/>
          <w:lang w:val="en-US"/>
        </w:rPr>
        <w:t xml:space="preserve">Federal </w:t>
      </w:r>
      <w:r w:rsidRPr="007D47AD">
        <w:rPr>
          <w:rFonts w:asciiTheme="minorHAnsi" w:eastAsia="Times New Roman" w:hAnsiTheme="minorHAnsi"/>
          <w:sz w:val="20"/>
          <w:szCs w:val="20"/>
          <w:lang w:val="en-US"/>
        </w:rPr>
        <w:t xml:space="preserve">Law on the Use of Force </w:t>
      </w:r>
      <w:r w:rsidR="00E80247" w:rsidRPr="007D47AD">
        <w:rPr>
          <w:rFonts w:asciiTheme="minorHAnsi" w:eastAsia="Times New Roman" w:hAnsiTheme="minorHAnsi"/>
          <w:sz w:val="20"/>
          <w:szCs w:val="20"/>
          <w:lang w:val="en-US"/>
        </w:rPr>
        <w:t xml:space="preserve">is once again relevant </w:t>
      </w:r>
      <w:r w:rsidR="00207781" w:rsidRPr="007D47AD">
        <w:rPr>
          <w:rFonts w:asciiTheme="minorHAnsi" w:eastAsia="Times New Roman" w:hAnsiTheme="minorHAnsi"/>
          <w:sz w:val="20"/>
          <w:szCs w:val="20"/>
          <w:lang w:val="en-US"/>
        </w:rPr>
        <w:t>(</w:t>
      </w:r>
      <w:r w:rsidR="00207781" w:rsidRPr="007D47AD">
        <w:rPr>
          <w:rFonts w:asciiTheme="minorHAnsi" w:eastAsia="Times New Roman" w:hAnsiTheme="minorHAnsi"/>
          <w:i/>
          <w:sz w:val="20"/>
          <w:szCs w:val="20"/>
          <w:lang w:val="en-US"/>
        </w:rPr>
        <w:t>infra</w:t>
      </w:r>
      <w:r w:rsidR="00843DC1" w:rsidRPr="007D47AD">
        <w:rPr>
          <w:rFonts w:asciiTheme="minorHAnsi" w:eastAsia="Times New Roman" w:hAnsiTheme="minorHAnsi"/>
          <w:i/>
          <w:sz w:val="20"/>
          <w:szCs w:val="20"/>
          <w:lang w:val="en-US"/>
        </w:rPr>
        <w:t xml:space="preserve"> xx</w:t>
      </w:r>
      <w:r w:rsidR="00207781" w:rsidRPr="007D47AD">
        <w:rPr>
          <w:rFonts w:asciiTheme="minorHAnsi" w:eastAsia="Times New Roman" w:hAnsiTheme="minorHAnsi"/>
          <w:sz w:val="20"/>
          <w:szCs w:val="20"/>
          <w:lang w:val="en-US"/>
        </w:rPr>
        <w:t xml:space="preserve">). </w:t>
      </w:r>
      <w:r w:rsidRPr="007D47AD">
        <w:rPr>
          <w:rFonts w:asciiTheme="minorHAnsi" w:eastAsia="Times New Roman" w:hAnsiTheme="minorHAnsi"/>
          <w:sz w:val="20"/>
          <w:szCs w:val="20"/>
          <w:lang w:val="en-US"/>
        </w:rPr>
        <w:t xml:space="preserve">The </w:t>
      </w:r>
      <w:r w:rsidR="00207781" w:rsidRPr="007D47AD">
        <w:rPr>
          <w:rFonts w:asciiTheme="minorHAnsi" w:eastAsia="Times New Roman" w:hAnsiTheme="minorHAnsi"/>
          <w:sz w:val="20"/>
          <w:szCs w:val="20"/>
          <w:lang w:val="en-US"/>
        </w:rPr>
        <w:t xml:space="preserve">Centro PRODH </w:t>
      </w:r>
      <w:r w:rsidRPr="007D47AD">
        <w:rPr>
          <w:rFonts w:asciiTheme="minorHAnsi" w:eastAsia="Times New Roman" w:hAnsiTheme="minorHAnsi"/>
          <w:sz w:val="20"/>
          <w:szCs w:val="20"/>
          <w:lang w:val="en-US"/>
        </w:rPr>
        <w:t xml:space="preserve">has noted that this law does not include mechanisms to ensure adequate control of the use of force and lethal force. </w:t>
      </w:r>
      <w:r w:rsidR="00E80247" w:rsidRPr="007D47AD">
        <w:rPr>
          <w:rFonts w:asciiTheme="minorHAnsi" w:eastAsia="Times New Roman" w:hAnsiTheme="minorHAnsi"/>
          <w:sz w:val="20"/>
          <w:szCs w:val="20"/>
          <w:lang w:val="en-US"/>
        </w:rPr>
        <w:t xml:space="preserve">It finds that </w:t>
      </w:r>
      <w:r w:rsidRPr="007D47AD">
        <w:rPr>
          <w:rFonts w:asciiTheme="minorHAnsi" w:eastAsia="Times New Roman" w:hAnsiTheme="minorHAnsi"/>
          <w:sz w:val="20"/>
          <w:szCs w:val="20"/>
          <w:lang w:val="en-US"/>
        </w:rPr>
        <w:t xml:space="preserve">the shortcomings range from the planning phase, given that Article </w:t>
      </w:r>
      <w:r w:rsidR="00843DC1" w:rsidRPr="007D47AD">
        <w:rPr>
          <w:rFonts w:asciiTheme="minorHAnsi" w:eastAsia="Times New Roman" w:hAnsiTheme="minorHAnsi"/>
          <w:sz w:val="20"/>
          <w:szCs w:val="20"/>
          <w:lang w:val="en-US"/>
        </w:rPr>
        <w:t>36 incorpora</w:t>
      </w:r>
      <w:r w:rsidRPr="007D47AD">
        <w:rPr>
          <w:rFonts w:asciiTheme="minorHAnsi" w:eastAsia="Times New Roman" w:hAnsiTheme="minorHAnsi"/>
          <w:sz w:val="20"/>
          <w:szCs w:val="20"/>
          <w:lang w:val="en-US"/>
        </w:rPr>
        <w:t xml:space="preserve">tes a </w:t>
      </w:r>
      <w:r w:rsidR="00843DC1" w:rsidRPr="007D47AD">
        <w:rPr>
          <w:rFonts w:asciiTheme="minorHAnsi" w:eastAsia="Times New Roman" w:hAnsiTheme="minorHAnsi"/>
          <w:sz w:val="20"/>
          <w:szCs w:val="20"/>
          <w:lang w:val="en-US"/>
        </w:rPr>
        <w:t>pre</w:t>
      </w:r>
      <w:r w:rsidRPr="007D47AD">
        <w:rPr>
          <w:rFonts w:asciiTheme="minorHAnsi" w:eastAsia="Times New Roman" w:hAnsiTheme="minorHAnsi"/>
          <w:sz w:val="20"/>
          <w:szCs w:val="20"/>
          <w:lang w:val="en-US"/>
        </w:rPr>
        <w:t>-</w:t>
      </w:r>
      <w:r w:rsidR="00843DC1" w:rsidRPr="007D47AD">
        <w:rPr>
          <w:rFonts w:asciiTheme="minorHAnsi" w:eastAsia="Times New Roman" w:hAnsiTheme="minorHAnsi"/>
          <w:sz w:val="20"/>
          <w:szCs w:val="20"/>
          <w:lang w:val="en-US"/>
        </w:rPr>
        <w:t>aut</w:t>
      </w:r>
      <w:r w:rsidRPr="007D47AD">
        <w:rPr>
          <w:rFonts w:asciiTheme="minorHAnsi" w:eastAsia="Times New Roman" w:hAnsiTheme="minorHAnsi"/>
          <w:sz w:val="20"/>
          <w:szCs w:val="20"/>
          <w:lang w:val="en-US"/>
        </w:rPr>
        <w:t>h</w:t>
      </w:r>
      <w:r w:rsidR="00843DC1" w:rsidRPr="007D47AD">
        <w:rPr>
          <w:rFonts w:asciiTheme="minorHAnsi" w:eastAsia="Times New Roman" w:hAnsiTheme="minorHAnsi"/>
          <w:sz w:val="20"/>
          <w:szCs w:val="20"/>
          <w:lang w:val="en-US"/>
        </w:rPr>
        <w:t>oriza</w:t>
      </w:r>
      <w:r w:rsidRPr="007D47AD">
        <w:rPr>
          <w:rFonts w:asciiTheme="minorHAnsi" w:eastAsia="Times New Roman" w:hAnsiTheme="minorHAnsi"/>
          <w:sz w:val="20"/>
          <w:szCs w:val="20"/>
          <w:lang w:val="en-US"/>
        </w:rPr>
        <w:t>tio</w:t>
      </w:r>
      <w:r w:rsidR="00843DC1" w:rsidRPr="007D47AD">
        <w:rPr>
          <w:rFonts w:asciiTheme="minorHAnsi" w:eastAsia="Times New Roman" w:hAnsiTheme="minorHAnsi"/>
          <w:sz w:val="20"/>
          <w:szCs w:val="20"/>
          <w:lang w:val="en-US"/>
        </w:rPr>
        <w:t xml:space="preserve">n </w:t>
      </w:r>
      <w:r w:rsidRPr="007D47AD">
        <w:rPr>
          <w:rFonts w:asciiTheme="minorHAnsi" w:eastAsia="Times New Roman" w:hAnsiTheme="minorHAnsi"/>
          <w:sz w:val="20"/>
          <w:szCs w:val="20"/>
          <w:lang w:val="en-US"/>
        </w:rPr>
        <w:t xml:space="preserve">of the lethal use of force, </w:t>
      </w:r>
      <w:r w:rsidR="00E80247" w:rsidRPr="007D47AD">
        <w:rPr>
          <w:rFonts w:asciiTheme="minorHAnsi" w:eastAsia="Times New Roman" w:hAnsiTheme="minorHAnsi"/>
          <w:sz w:val="20"/>
          <w:szCs w:val="20"/>
          <w:lang w:val="en-US"/>
        </w:rPr>
        <w:t xml:space="preserve">and </w:t>
      </w:r>
      <w:r w:rsidRPr="007D47AD">
        <w:rPr>
          <w:rFonts w:asciiTheme="minorHAnsi" w:eastAsia="Times New Roman" w:hAnsiTheme="minorHAnsi"/>
          <w:sz w:val="20"/>
          <w:szCs w:val="20"/>
          <w:lang w:val="en-US"/>
        </w:rPr>
        <w:t xml:space="preserve">makes discretional the use of </w:t>
      </w:r>
      <w:r w:rsidR="00E42371" w:rsidRPr="007D47AD">
        <w:rPr>
          <w:rFonts w:asciiTheme="minorHAnsi" w:eastAsia="Times New Roman" w:hAnsiTheme="minorHAnsi"/>
          <w:sz w:val="20"/>
          <w:szCs w:val="20"/>
          <w:lang w:val="en-US"/>
        </w:rPr>
        <w:t>audiovisual</w:t>
      </w:r>
      <w:r w:rsidRPr="007D47AD">
        <w:rPr>
          <w:rFonts w:asciiTheme="minorHAnsi" w:eastAsia="Times New Roman" w:hAnsiTheme="minorHAnsi"/>
          <w:sz w:val="20"/>
          <w:szCs w:val="20"/>
          <w:lang w:val="en-US"/>
        </w:rPr>
        <w:t xml:space="preserve"> equipment for recording the operations on the ground </w:t>
      </w:r>
      <w:r w:rsidR="00E80247" w:rsidRPr="007D47AD">
        <w:rPr>
          <w:rFonts w:asciiTheme="minorHAnsi" w:eastAsia="Times New Roman" w:hAnsiTheme="minorHAnsi"/>
          <w:sz w:val="20"/>
          <w:szCs w:val="20"/>
          <w:lang w:val="en-US"/>
        </w:rPr>
        <w:t xml:space="preserve">as well the </w:t>
      </w:r>
      <w:r w:rsidRPr="007D47AD">
        <w:rPr>
          <w:rFonts w:asciiTheme="minorHAnsi" w:eastAsia="Times New Roman" w:hAnsiTheme="minorHAnsi"/>
          <w:sz w:val="20"/>
          <w:szCs w:val="20"/>
          <w:lang w:val="en-US"/>
        </w:rPr>
        <w:t xml:space="preserve">issuance of reports after the use of force that are delivered by the agents to their superiors. The security institutions have the duty to publish an annual report that summarizes </w:t>
      </w:r>
      <w:r w:rsidR="00E80247" w:rsidRPr="007D47AD">
        <w:rPr>
          <w:rFonts w:asciiTheme="minorHAnsi" w:eastAsia="Times New Roman" w:hAnsiTheme="minorHAnsi"/>
          <w:sz w:val="20"/>
          <w:szCs w:val="20"/>
          <w:lang w:val="en-US"/>
        </w:rPr>
        <w:t xml:space="preserve">their </w:t>
      </w:r>
      <w:r w:rsidRPr="007D47AD">
        <w:rPr>
          <w:rFonts w:asciiTheme="minorHAnsi" w:eastAsia="Times New Roman" w:hAnsiTheme="minorHAnsi"/>
          <w:sz w:val="20"/>
          <w:szCs w:val="20"/>
          <w:lang w:val="en-US"/>
        </w:rPr>
        <w:t>operations on the use of force</w:t>
      </w:r>
      <w:r w:rsidR="00AB0296" w:rsidRPr="007D47AD">
        <w:rPr>
          <w:rFonts w:asciiTheme="minorHAnsi" w:eastAsia="Times New Roman" w:hAnsiTheme="minorHAnsi"/>
          <w:sz w:val="20"/>
          <w:szCs w:val="20"/>
          <w:lang w:val="en-US"/>
        </w:rPr>
        <w:t xml:space="preserve">, </w:t>
      </w:r>
      <w:r w:rsidRPr="007D47AD">
        <w:rPr>
          <w:rFonts w:asciiTheme="minorHAnsi" w:eastAsia="Times New Roman" w:hAnsiTheme="minorHAnsi"/>
          <w:sz w:val="20"/>
          <w:szCs w:val="20"/>
          <w:lang w:val="en-US"/>
        </w:rPr>
        <w:t>but does not publish the reports o</w:t>
      </w:r>
      <w:r w:rsidR="00E80247" w:rsidRPr="007D47AD">
        <w:rPr>
          <w:rFonts w:asciiTheme="minorHAnsi" w:eastAsia="Times New Roman" w:hAnsiTheme="minorHAnsi"/>
          <w:sz w:val="20"/>
          <w:szCs w:val="20"/>
          <w:lang w:val="en-US"/>
        </w:rPr>
        <w:t>f</w:t>
      </w:r>
      <w:r w:rsidRPr="007D47AD">
        <w:rPr>
          <w:rFonts w:asciiTheme="minorHAnsi" w:eastAsia="Times New Roman" w:hAnsiTheme="minorHAnsi"/>
          <w:sz w:val="20"/>
          <w:szCs w:val="20"/>
          <w:lang w:val="en-US"/>
        </w:rPr>
        <w:t xml:space="preserve"> </w:t>
      </w:r>
      <w:r w:rsidR="00E80247" w:rsidRPr="007D47AD">
        <w:rPr>
          <w:rFonts w:asciiTheme="minorHAnsi" w:eastAsia="Times New Roman" w:hAnsiTheme="minorHAnsi"/>
          <w:sz w:val="20"/>
          <w:szCs w:val="20"/>
          <w:lang w:val="en-US"/>
        </w:rPr>
        <w:t xml:space="preserve">their </w:t>
      </w:r>
      <w:r w:rsidRPr="007D47AD">
        <w:rPr>
          <w:rFonts w:asciiTheme="minorHAnsi" w:eastAsia="Times New Roman" w:hAnsiTheme="minorHAnsi"/>
          <w:sz w:val="20"/>
          <w:szCs w:val="20"/>
          <w:lang w:val="en-US"/>
        </w:rPr>
        <w:t>agents, as appears from Article 35 of the Law.</w:t>
      </w:r>
      <w:r w:rsidR="00AB0296" w:rsidRPr="007D47AD">
        <w:rPr>
          <w:rStyle w:val="FootnoteReference"/>
          <w:rFonts w:asciiTheme="minorHAnsi" w:eastAsia="Times New Roman" w:hAnsiTheme="minorHAnsi"/>
          <w:sz w:val="20"/>
          <w:szCs w:val="20"/>
          <w:lang w:val="en-US"/>
        </w:rPr>
        <w:footnoteReference w:id="151"/>
      </w:r>
      <w:r w:rsidR="00AB0296" w:rsidRPr="007D47AD">
        <w:rPr>
          <w:rFonts w:asciiTheme="minorHAnsi" w:eastAsia="Times New Roman" w:hAnsiTheme="minorHAnsi"/>
          <w:sz w:val="20"/>
          <w:szCs w:val="20"/>
          <w:lang w:val="en-US"/>
        </w:rPr>
        <w:t xml:space="preserve"> </w:t>
      </w:r>
    </w:p>
    <w:p w:rsidR="00AB0296" w:rsidRPr="007D47AD" w:rsidRDefault="00947156" w:rsidP="00E80247">
      <w:pPr>
        <w:numPr>
          <w:ilvl w:val="0"/>
          <w:numId w:val="6"/>
        </w:numPr>
        <w:shd w:val="clear" w:color="auto" w:fill="FFFFFF"/>
        <w:spacing w:after="240" w:line="240" w:lineRule="auto"/>
        <w:ind w:left="0" w:firstLine="720"/>
        <w:jc w:val="both"/>
        <w:rPr>
          <w:rFonts w:asciiTheme="minorHAnsi" w:hAnsiTheme="minorHAnsi"/>
          <w:sz w:val="20"/>
          <w:szCs w:val="20"/>
          <w:lang w:val="en-US"/>
        </w:rPr>
      </w:pPr>
      <w:r w:rsidRPr="007D47AD">
        <w:rPr>
          <w:rFonts w:asciiTheme="minorHAnsi" w:eastAsia="Times New Roman" w:hAnsiTheme="minorHAnsi"/>
          <w:sz w:val="20"/>
          <w:szCs w:val="20"/>
          <w:lang w:val="en-US"/>
        </w:rPr>
        <w:t xml:space="preserve">The </w:t>
      </w:r>
      <w:r w:rsidR="0064228B" w:rsidRPr="007D47AD">
        <w:rPr>
          <w:rFonts w:asciiTheme="minorHAnsi" w:eastAsia="Times New Roman" w:hAnsiTheme="minorHAnsi"/>
          <w:sz w:val="20"/>
          <w:szCs w:val="20"/>
          <w:lang w:val="en-US"/>
        </w:rPr>
        <w:t xml:space="preserve">Centro PRODH </w:t>
      </w:r>
      <w:r w:rsidRPr="007D47AD">
        <w:rPr>
          <w:rFonts w:asciiTheme="minorHAnsi" w:eastAsia="Times New Roman" w:hAnsiTheme="minorHAnsi"/>
          <w:sz w:val="20"/>
          <w:szCs w:val="20"/>
          <w:lang w:val="en-US"/>
        </w:rPr>
        <w:t>also noted that the regime of liabilities fo</w:t>
      </w:r>
      <w:r w:rsidR="00E80247" w:rsidRPr="007D47AD">
        <w:rPr>
          <w:rFonts w:asciiTheme="minorHAnsi" w:eastAsia="Times New Roman" w:hAnsiTheme="minorHAnsi"/>
          <w:sz w:val="20"/>
          <w:szCs w:val="20"/>
          <w:lang w:val="en-US"/>
        </w:rPr>
        <w:t>r</w:t>
      </w:r>
      <w:r w:rsidRPr="007D47AD">
        <w:rPr>
          <w:rFonts w:asciiTheme="minorHAnsi" w:eastAsia="Times New Roman" w:hAnsiTheme="minorHAnsi"/>
          <w:sz w:val="20"/>
          <w:szCs w:val="20"/>
          <w:lang w:val="en-US"/>
        </w:rPr>
        <w:t xml:space="preserve"> the unlawful use of force does not clearly provide fo</w:t>
      </w:r>
      <w:r w:rsidR="00E80247" w:rsidRPr="007D47AD">
        <w:rPr>
          <w:rFonts w:asciiTheme="minorHAnsi" w:eastAsia="Times New Roman" w:hAnsiTheme="minorHAnsi"/>
          <w:sz w:val="20"/>
          <w:szCs w:val="20"/>
          <w:lang w:val="en-US"/>
        </w:rPr>
        <w:t>r</w:t>
      </w:r>
      <w:r w:rsidRPr="007D47AD">
        <w:rPr>
          <w:rFonts w:asciiTheme="minorHAnsi" w:eastAsia="Times New Roman" w:hAnsiTheme="minorHAnsi"/>
          <w:sz w:val="20"/>
          <w:szCs w:val="20"/>
          <w:lang w:val="en-US"/>
        </w:rPr>
        <w:t xml:space="preserve"> the obligation to begin an independent investigation of the scene or</w:t>
      </w:r>
      <w:r w:rsidR="00E80247" w:rsidRPr="007D47AD">
        <w:rPr>
          <w:rFonts w:asciiTheme="minorHAnsi" w:eastAsia="Times New Roman" w:hAnsiTheme="minorHAnsi"/>
          <w:sz w:val="20"/>
          <w:szCs w:val="20"/>
          <w:lang w:val="en-US"/>
        </w:rPr>
        <w:t xml:space="preserve"> of</w:t>
      </w:r>
      <w:r w:rsidRPr="007D47AD">
        <w:rPr>
          <w:rFonts w:asciiTheme="minorHAnsi" w:eastAsia="Times New Roman" w:hAnsiTheme="minorHAnsi"/>
          <w:sz w:val="20"/>
          <w:szCs w:val="20"/>
          <w:lang w:val="en-US"/>
        </w:rPr>
        <w:t xml:space="preserve"> the use of force to determine whether it was un</w:t>
      </w:r>
      <w:r w:rsidR="00E80247" w:rsidRPr="007D47AD">
        <w:rPr>
          <w:rFonts w:asciiTheme="minorHAnsi" w:eastAsia="Times New Roman" w:hAnsiTheme="minorHAnsi"/>
          <w:sz w:val="20"/>
          <w:szCs w:val="20"/>
          <w:lang w:val="en-US"/>
        </w:rPr>
        <w:t>warranted</w:t>
      </w:r>
      <w:r w:rsidRPr="007D47AD">
        <w:rPr>
          <w:rFonts w:asciiTheme="minorHAnsi" w:eastAsia="Times New Roman" w:hAnsiTheme="minorHAnsi"/>
          <w:sz w:val="20"/>
          <w:szCs w:val="20"/>
          <w:lang w:val="en-US"/>
        </w:rPr>
        <w:t>.</w:t>
      </w:r>
      <w:r w:rsidR="0064228B" w:rsidRPr="007D47AD">
        <w:rPr>
          <w:rStyle w:val="FootnoteReference"/>
          <w:rFonts w:asciiTheme="minorHAnsi" w:eastAsia="Times New Roman" w:hAnsiTheme="minorHAnsi"/>
          <w:sz w:val="20"/>
          <w:szCs w:val="20"/>
          <w:lang w:val="en-US"/>
        </w:rPr>
        <w:footnoteReference w:id="152"/>
      </w:r>
      <w:r w:rsidRPr="007D47AD">
        <w:rPr>
          <w:rFonts w:asciiTheme="minorHAnsi" w:eastAsia="Times New Roman" w:hAnsiTheme="minorHAnsi"/>
          <w:sz w:val="20"/>
          <w:szCs w:val="20"/>
          <w:lang w:val="en-US"/>
        </w:rPr>
        <w:t xml:space="preserve"> </w:t>
      </w:r>
    </w:p>
    <w:p w:rsidR="0064228B" w:rsidRPr="007D47AD" w:rsidRDefault="00947156" w:rsidP="00E472A2">
      <w:pPr>
        <w:numPr>
          <w:ilvl w:val="0"/>
          <w:numId w:val="6"/>
        </w:numPr>
        <w:shd w:val="clear" w:color="auto" w:fill="FFFFFF"/>
        <w:spacing w:after="240" w:line="240" w:lineRule="auto"/>
        <w:ind w:left="0" w:firstLine="720"/>
        <w:jc w:val="both"/>
        <w:rPr>
          <w:rFonts w:asciiTheme="minorHAnsi" w:hAnsiTheme="minorHAnsi"/>
          <w:sz w:val="20"/>
          <w:szCs w:val="20"/>
          <w:lang w:val="en-US"/>
        </w:rPr>
      </w:pPr>
      <w:r w:rsidRPr="007D47AD">
        <w:rPr>
          <w:rFonts w:asciiTheme="minorHAnsi" w:eastAsia="Times New Roman" w:hAnsiTheme="minorHAnsi"/>
          <w:sz w:val="20"/>
          <w:szCs w:val="20"/>
          <w:lang w:val="en-US"/>
        </w:rPr>
        <w:t>Given the lack of up-to-date information from the State</w:t>
      </w:r>
      <w:r w:rsidR="0064228B" w:rsidRPr="007D47AD">
        <w:rPr>
          <w:rFonts w:asciiTheme="minorHAnsi" w:eastAsia="Times New Roman" w:hAnsiTheme="minorHAnsi"/>
          <w:sz w:val="20"/>
          <w:szCs w:val="20"/>
          <w:lang w:val="en-US"/>
        </w:rPr>
        <w:t xml:space="preserve">, </w:t>
      </w:r>
      <w:r w:rsidRPr="007D47AD">
        <w:rPr>
          <w:rFonts w:asciiTheme="minorHAnsi" w:eastAsia="Times New Roman" w:hAnsiTheme="minorHAnsi"/>
          <w:sz w:val="20"/>
          <w:szCs w:val="20"/>
          <w:lang w:val="en-US"/>
        </w:rPr>
        <w:t xml:space="preserve">and the questions that have been raised about the new regulation on operations involving </w:t>
      </w:r>
      <w:r w:rsidR="00E80247" w:rsidRPr="007D47AD">
        <w:rPr>
          <w:rFonts w:asciiTheme="minorHAnsi" w:eastAsia="Times New Roman" w:hAnsiTheme="minorHAnsi"/>
          <w:sz w:val="20"/>
          <w:szCs w:val="20"/>
          <w:lang w:val="en-US"/>
        </w:rPr>
        <w:t xml:space="preserve">the </w:t>
      </w:r>
      <w:r w:rsidRPr="007D47AD">
        <w:rPr>
          <w:rFonts w:asciiTheme="minorHAnsi" w:eastAsia="Times New Roman" w:hAnsiTheme="minorHAnsi"/>
          <w:sz w:val="20"/>
          <w:szCs w:val="20"/>
          <w:lang w:val="en-US"/>
        </w:rPr>
        <w:t xml:space="preserve">use of force, </w:t>
      </w:r>
      <w:r w:rsidR="0064228B" w:rsidRPr="007D47AD">
        <w:rPr>
          <w:rFonts w:asciiTheme="minorHAnsi" w:eastAsia="Times New Roman" w:hAnsiTheme="minorHAnsi"/>
          <w:sz w:val="20"/>
          <w:szCs w:val="20"/>
          <w:lang w:val="en-US"/>
        </w:rPr>
        <w:t>especial</w:t>
      </w:r>
      <w:r w:rsidRPr="007D47AD">
        <w:rPr>
          <w:rFonts w:asciiTheme="minorHAnsi" w:eastAsia="Times New Roman" w:hAnsiTheme="minorHAnsi"/>
          <w:sz w:val="20"/>
          <w:szCs w:val="20"/>
          <w:lang w:val="en-US"/>
        </w:rPr>
        <w:t xml:space="preserve">ly in the case of the Armed </w:t>
      </w:r>
      <w:r w:rsidR="007E181B" w:rsidRPr="007D47AD">
        <w:rPr>
          <w:rFonts w:asciiTheme="minorHAnsi" w:eastAsia="Times New Roman" w:hAnsiTheme="minorHAnsi"/>
          <w:sz w:val="20"/>
          <w:szCs w:val="20"/>
          <w:lang w:val="en-US"/>
        </w:rPr>
        <w:t>Forces</w:t>
      </w:r>
      <w:r w:rsidRPr="007D47AD">
        <w:rPr>
          <w:rFonts w:asciiTheme="minorHAnsi" w:eastAsia="Times New Roman" w:hAnsiTheme="minorHAnsi"/>
          <w:sz w:val="20"/>
          <w:szCs w:val="20"/>
          <w:lang w:val="en-US"/>
        </w:rPr>
        <w:t xml:space="preserve">, the IACHR considers that this recommendation is still pending implementation. </w:t>
      </w:r>
    </w:p>
    <w:p w:rsidR="00B56398" w:rsidRPr="007D47AD" w:rsidRDefault="00947156" w:rsidP="00E472A2">
      <w:pPr>
        <w:numPr>
          <w:ilvl w:val="0"/>
          <w:numId w:val="6"/>
        </w:numPr>
        <w:shd w:val="clear" w:color="auto" w:fill="FFFFFF"/>
        <w:spacing w:after="240" w:line="240" w:lineRule="auto"/>
        <w:ind w:left="0" w:firstLine="720"/>
        <w:jc w:val="both"/>
        <w:rPr>
          <w:rFonts w:asciiTheme="minorHAnsi" w:hAnsiTheme="minorHAnsi"/>
          <w:sz w:val="20"/>
          <w:szCs w:val="20"/>
          <w:lang w:val="en-US"/>
        </w:rPr>
      </w:pPr>
      <w:r w:rsidRPr="007D47AD">
        <w:rPr>
          <w:rFonts w:asciiTheme="minorHAnsi" w:hAnsiTheme="minorHAnsi"/>
          <w:sz w:val="20"/>
          <w:szCs w:val="20"/>
          <w:lang w:val="en-US"/>
        </w:rPr>
        <w:t xml:space="preserve">On the recommendation to ensure that the armed forces </w:t>
      </w:r>
      <w:r w:rsidR="009C095D" w:rsidRPr="007D47AD">
        <w:rPr>
          <w:rFonts w:asciiTheme="minorHAnsi" w:hAnsiTheme="minorHAnsi"/>
          <w:b/>
          <w:sz w:val="20"/>
          <w:szCs w:val="20"/>
          <w:lang w:val="en-US"/>
        </w:rPr>
        <w:t>regist</w:t>
      </w:r>
      <w:r w:rsidR="001E7483" w:rsidRPr="007D47AD">
        <w:rPr>
          <w:rFonts w:asciiTheme="minorHAnsi" w:hAnsiTheme="minorHAnsi"/>
          <w:b/>
          <w:sz w:val="20"/>
          <w:szCs w:val="20"/>
          <w:lang w:val="en-US"/>
        </w:rPr>
        <w:t>er statistics regarding persons who are killed or wounded in their operations, and initiate the relevant investigations</w:t>
      </w:r>
      <w:r w:rsidR="009C095D" w:rsidRPr="007D47AD">
        <w:rPr>
          <w:rFonts w:asciiTheme="minorHAnsi" w:hAnsiTheme="minorHAnsi"/>
          <w:sz w:val="20"/>
          <w:szCs w:val="20"/>
          <w:lang w:val="en-US"/>
        </w:rPr>
        <w:t xml:space="preserve">, </w:t>
      </w:r>
      <w:r w:rsidRPr="007D47AD">
        <w:rPr>
          <w:rFonts w:asciiTheme="minorHAnsi" w:hAnsiTheme="minorHAnsi"/>
          <w:sz w:val="20"/>
          <w:szCs w:val="20"/>
          <w:lang w:val="en-US"/>
        </w:rPr>
        <w:t xml:space="preserve">the State reported that it has a data base in which are recorded the figures of dead and wounded in armed forces </w:t>
      </w:r>
      <w:r w:rsidRPr="007D47AD">
        <w:rPr>
          <w:rFonts w:asciiTheme="minorHAnsi" w:hAnsiTheme="minorHAnsi"/>
          <w:sz w:val="20"/>
          <w:szCs w:val="20"/>
          <w:lang w:val="en-US"/>
        </w:rPr>
        <w:lastRenderedPageBreak/>
        <w:t>operations and that it provides all facilities for the investigative organs to perform their functions.</w:t>
      </w:r>
      <w:r w:rsidR="00B56398" w:rsidRPr="007D47AD">
        <w:rPr>
          <w:rStyle w:val="FootnoteReference"/>
          <w:rFonts w:asciiTheme="minorHAnsi" w:hAnsiTheme="minorHAnsi"/>
          <w:sz w:val="20"/>
          <w:szCs w:val="20"/>
          <w:lang w:val="en-US"/>
        </w:rPr>
        <w:footnoteReference w:id="153"/>
      </w:r>
      <w:r w:rsidR="004D6D85" w:rsidRPr="007D47AD">
        <w:rPr>
          <w:rFonts w:asciiTheme="minorHAnsi" w:hAnsiTheme="minorHAnsi"/>
          <w:sz w:val="20"/>
          <w:szCs w:val="20"/>
          <w:lang w:val="en-US"/>
        </w:rPr>
        <w:t xml:space="preserve"> </w:t>
      </w:r>
      <w:r w:rsidRPr="007D47AD">
        <w:rPr>
          <w:rFonts w:asciiTheme="minorHAnsi" w:hAnsiTheme="minorHAnsi"/>
          <w:sz w:val="20"/>
          <w:szCs w:val="20"/>
          <w:lang w:val="en-US"/>
        </w:rPr>
        <w:t xml:space="preserve">In addition, the IACHR </w:t>
      </w:r>
      <w:r w:rsidR="000230C0" w:rsidRPr="007D47AD">
        <w:rPr>
          <w:rFonts w:asciiTheme="minorHAnsi" w:hAnsiTheme="minorHAnsi"/>
          <w:sz w:val="20"/>
          <w:szCs w:val="20"/>
          <w:lang w:val="en-US"/>
        </w:rPr>
        <w:t xml:space="preserve">goes back to its observations regarding the </w:t>
      </w:r>
      <w:r w:rsidR="00B613B2" w:rsidRPr="007D47AD">
        <w:rPr>
          <w:rFonts w:asciiTheme="minorHAnsi" w:hAnsiTheme="minorHAnsi"/>
          <w:sz w:val="20"/>
          <w:szCs w:val="20"/>
          <w:lang w:val="en-US"/>
        </w:rPr>
        <w:t xml:space="preserve">Federal </w:t>
      </w:r>
      <w:r w:rsidR="000230C0" w:rsidRPr="007D47AD">
        <w:rPr>
          <w:rFonts w:asciiTheme="minorHAnsi" w:hAnsiTheme="minorHAnsi"/>
          <w:sz w:val="20"/>
          <w:szCs w:val="20"/>
          <w:lang w:val="en-US"/>
        </w:rPr>
        <w:t xml:space="preserve">Law on the Use of Force </w:t>
      </w:r>
      <w:r w:rsidR="00885814" w:rsidRPr="007D47AD">
        <w:rPr>
          <w:rFonts w:asciiTheme="minorHAnsi" w:hAnsiTheme="minorHAnsi"/>
          <w:sz w:val="20"/>
          <w:szCs w:val="20"/>
          <w:lang w:val="en-US"/>
        </w:rPr>
        <w:t>(</w:t>
      </w:r>
      <w:r w:rsidR="00885814" w:rsidRPr="007D47AD">
        <w:rPr>
          <w:rFonts w:asciiTheme="minorHAnsi" w:hAnsiTheme="minorHAnsi"/>
          <w:i/>
          <w:sz w:val="20"/>
          <w:szCs w:val="20"/>
          <w:lang w:val="en-US"/>
        </w:rPr>
        <w:t>infra</w:t>
      </w:r>
      <w:r w:rsidR="00885814" w:rsidRPr="007D47AD">
        <w:rPr>
          <w:rFonts w:asciiTheme="minorHAnsi" w:hAnsiTheme="minorHAnsi"/>
          <w:sz w:val="20"/>
          <w:szCs w:val="20"/>
          <w:lang w:val="en-US"/>
        </w:rPr>
        <w:t xml:space="preserve"> xx) </w:t>
      </w:r>
      <w:r w:rsidR="000230C0" w:rsidRPr="007D47AD">
        <w:rPr>
          <w:rFonts w:asciiTheme="minorHAnsi" w:hAnsiTheme="minorHAnsi"/>
          <w:sz w:val="20"/>
          <w:szCs w:val="20"/>
          <w:lang w:val="en-US"/>
        </w:rPr>
        <w:t xml:space="preserve">at Article </w:t>
      </w:r>
      <w:r w:rsidR="00885814" w:rsidRPr="007D47AD">
        <w:rPr>
          <w:rFonts w:asciiTheme="minorHAnsi" w:hAnsiTheme="minorHAnsi"/>
          <w:sz w:val="20"/>
          <w:szCs w:val="20"/>
          <w:lang w:val="en-US"/>
        </w:rPr>
        <w:t xml:space="preserve">35. </w:t>
      </w:r>
      <w:r w:rsidR="000230C0" w:rsidRPr="007D47AD">
        <w:rPr>
          <w:rFonts w:asciiTheme="minorHAnsi" w:hAnsiTheme="minorHAnsi"/>
          <w:sz w:val="20"/>
          <w:szCs w:val="20"/>
          <w:lang w:val="en-US"/>
        </w:rPr>
        <w:t>While that provision stipulates the obligation of the security institutions to present annual public reports reporting on the number of persons who have died due to the use of force and data from the bodily evaluation of the persons detained, broken down by sex</w:t>
      </w:r>
      <w:r w:rsidR="00527CE7" w:rsidRPr="007D47AD">
        <w:rPr>
          <w:rFonts w:asciiTheme="minorHAnsi" w:hAnsiTheme="minorHAnsi"/>
          <w:sz w:val="20"/>
          <w:szCs w:val="20"/>
          <w:lang w:val="en-US"/>
        </w:rPr>
        <w:t>,</w:t>
      </w:r>
      <w:r w:rsidR="000230C0" w:rsidRPr="007D47AD">
        <w:rPr>
          <w:rFonts w:asciiTheme="minorHAnsi" w:hAnsiTheme="minorHAnsi"/>
          <w:sz w:val="20"/>
          <w:szCs w:val="20"/>
          <w:lang w:val="en-US"/>
        </w:rPr>
        <w:t xml:space="preserve"> these public reports are the result of the processing of information internally by the security agency itself. </w:t>
      </w:r>
    </w:p>
    <w:p w:rsidR="009C095D" w:rsidRPr="007D47AD" w:rsidRDefault="000230C0" w:rsidP="000B7836">
      <w:pPr>
        <w:numPr>
          <w:ilvl w:val="0"/>
          <w:numId w:val="6"/>
        </w:numPr>
        <w:shd w:val="clear" w:color="auto" w:fill="FFFFFF"/>
        <w:spacing w:after="240" w:line="240" w:lineRule="auto"/>
        <w:ind w:left="0" w:firstLine="720"/>
        <w:jc w:val="both"/>
        <w:rPr>
          <w:rFonts w:asciiTheme="minorHAnsi" w:hAnsiTheme="minorHAnsi"/>
          <w:sz w:val="20"/>
          <w:szCs w:val="20"/>
          <w:lang w:val="en-US"/>
        </w:rPr>
      </w:pPr>
      <w:r w:rsidRPr="007D47AD">
        <w:rPr>
          <w:rFonts w:asciiTheme="minorHAnsi" w:hAnsiTheme="minorHAnsi"/>
          <w:sz w:val="20"/>
          <w:szCs w:val="20"/>
          <w:lang w:val="en-US"/>
        </w:rPr>
        <w:t xml:space="preserve">In these terms, the IACHR considers that drawing up these records entails partial substantial compliance with the recommendation. </w:t>
      </w:r>
      <w:r w:rsidR="007E181B" w:rsidRPr="007D47AD">
        <w:rPr>
          <w:rFonts w:asciiTheme="minorHAnsi" w:hAnsiTheme="minorHAnsi"/>
          <w:sz w:val="20"/>
          <w:szCs w:val="20"/>
          <w:lang w:val="en-US"/>
        </w:rPr>
        <w:t>Nonetheless</w:t>
      </w:r>
      <w:r w:rsidR="00B573D9" w:rsidRPr="007D47AD">
        <w:rPr>
          <w:rFonts w:asciiTheme="minorHAnsi" w:hAnsiTheme="minorHAnsi"/>
          <w:sz w:val="20"/>
          <w:szCs w:val="20"/>
          <w:lang w:val="en-US"/>
        </w:rPr>
        <w:t xml:space="preserve">, for determining total compliance the IACHR considers it necessary to analyze the </w:t>
      </w:r>
      <w:r w:rsidR="00885814" w:rsidRPr="007D47AD">
        <w:rPr>
          <w:rFonts w:asciiTheme="minorHAnsi" w:hAnsiTheme="minorHAnsi"/>
          <w:sz w:val="20"/>
          <w:szCs w:val="20"/>
          <w:lang w:val="en-US"/>
        </w:rPr>
        <w:t>implementa</w:t>
      </w:r>
      <w:r w:rsidR="00B573D9" w:rsidRPr="007D47AD">
        <w:rPr>
          <w:rFonts w:asciiTheme="minorHAnsi" w:hAnsiTheme="minorHAnsi"/>
          <w:sz w:val="20"/>
          <w:szCs w:val="20"/>
          <w:lang w:val="en-US"/>
        </w:rPr>
        <w:t>tion of these</w:t>
      </w:r>
      <w:r w:rsidR="00946040" w:rsidRPr="007D47AD">
        <w:rPr>
          <w:rFonts w:asciiTheme="minorHAnsi" w:hAnsiTheme="minorHAnsi"/>
          <w:sz w:val="20"/>
          <w:szCs w:val="20"/>
          <w:lang w:val="en-US"/>
        </w:rPr>
        <w:t xml:space="preserve"> </w:t>
      </w:r>
      <w:r w:rsidR="00B573D9" w:rsidRPr="007D47AD">
        <w:rPr>
          <w:rFonts w:asciiTheme="minorHAnsi" w:hAnsiTheme="minorHAnsi"/>
          <w:sz w:val="20"/>
          <w:szCs w:val="20"/>
          <w:lang w:val="en-US"/>
        </w:rPr>
        <w:t xml:space="preserve">reports and the quality of the information published in response to the questions raised by the </w:t>
      </w:r>
      <w:r w:rsidR="00B56398" w:rsidRPr="007D47AD">
        <w:rPr>
          <w:rFonts w:asciiTheme="minorHAnsi" w:hAnsiTheme="minorHAnsi"/>
          <w:sz w:val="20"/>
          <w:szCs w:val="20"/>
          <w:lang w:val="en-US"/>
        </w:rPr>
        <w:t xml:space="preserve">Centro PRODH </w:t>
      </w:r>
      <w:r w:rsidR="00B573D9" w:rsidRPr="007D47AD">
        <w:rPr>
          <w:rFonts w:asciiTheme="minorHAnsi" w:hAnsiTheme="minorHAnsi"/>
          <w:sz w:val="20"/>
          <w:szCs w:val="20"/>
          <w:lang w:val="en-US"/>
        </w:rPr>
        <w:t>with respect to the possibility that the public report under Article 35 of the Law could be out</w:t>
      </w:r>
      <w:r w:rsidR="00527CE7" w:rsidRPr="007D47AD">
        <w:rPr>
          <w:rFonts w:asciiTheme="minorHAnsi" w:hAnsiTheme="minorHAnsi"/>
          <w:sz w:val="20"/>
          <w:szCs w:val="20"/>
          <w:lang w:val="en-US"/>
        </w:rPr>
        <w:t>-</w:t>
      </w:r>
      <w:r w:rsidR="00B573D9" w:rsidRPr="007D47AD">
        <w:rPr>
          <w:rFonts w:asciiTheme="minorHAnsi" w:hAnsiTheme="minorHAnsi"/>
          <w:sz w:val="20"/>
          <w:szCs w:val="20"/>
          <w:lang w:val="en-US"/>
        </w:rPr>
        <w:t>of</w:t>
      </w:r>
      <w:r w:rsidR="00527CE7" w:rsidRPr="007D47AD">
        <w:rPr>
          <w:rFonts w:asciiTheme="minorHAnsi" w:hAnsiTheme="minorHAnsi"/>
          <w:sz w:val="20"/>
          <w:szCs w:val="20"/>
          <w:lang w:val="en-US"/>
        </w:rPr>
        <w:t>-</w:t>
      </w:r>
      <w:r w:rsidR="00B573D9" w:rsidRPr="007D47AD">
        <w:rPr>
          <w:rFonts w:asciiTheme="minorHAnsi" w:hAnsiTheme="minorHAnsi"/>
          <w:sz w:val="20"/>
          <w:szCs w:val="20"/>
          <w:lang w:val="en-US"/>
        </w:rPr>
        <w:t xml:space="preserve">step with the detailed non-public reports that the </w:t>
      </w:r>
      <w:r w:rsidR="00527CE7" w:rsidRPr="007D47AD">
        <w:rPr>
          <w:rFonts w:asciiTheme="minorHAnsi" w:hAnsiTheme="minorHAnsi"/>
          <w:sz w:val="20"/>
          <w:szCs w:val="20"/>
          <w:lang w:val="en-US"/>
        </w:rPr>
        <w:t xml:space="preserve">agents themselves file </w:t>
      </w:r>
      <w:r w:rsidR="00B573D9" w:rsidRPr="007D47AD">
        <w:rPr>
          <w:rFonts w:asciiTheme="minorHAnsi" w:hAnsiTheme="minorHAnsi"/>
          <w:sz w:val="20"/>
          <w:szCs w:val="20"/>
          <w:lang w:val="en-US"/>
        </w:rPr>
        <w:t>after the operations in the terms of Article 32 of that Law.</w:t>
      </w:r>
      <w:r w:rsidR="00B56398" w:rsidRPr="007D47AD">
        <w:rPr>
          <w:rStyle w:val="FootnoteReference"/>
          <w:rFonts w:asciiTheme="minorHAnsi" w:hAnsiTheme="minorHAnsi"/>
          <w:sz w:val="20"/>
          <w:szCs w:val="20"/>
          <w:lang w:val="en-US"/>
        </w:rPr>
        <w:footnoteReference w:id="154"/>
      </w:r>
      <w:r w:rsidR="00B56398" w:rsidRPr="007D47AD">
        <w:rPr>
          <w:rFonts w:asciiTheme="minorHAnsi" w:hAnsiTheme="minorHAnsi"/>
          <w:sz w:val="20"/>
          <w:szCs w:val="20"/>
          <w:lang w:val="en-US"/>
        </w:rPr>
        <w:t xml:space="preserve"> </w:t>
      </w:r>
    </w:p>
    <w:p w:rsidR="009C095D" w:rsidRPr="007D47AD" w:rsidRDefault="00C533C0" w:rsidP="00E472A2">
      <w:pPr>
        <w:numPr>
          <w:ilvl w:val="0"/>
          <w:numId w:val="6"/>
        </w:numPr>
        <w:shd w:val="clear" w:color="auto" w:fill="FFFFFF"/>
        <w:spacing w:after="240" w:line="240" w:lineRule="auto"/>
        <w:ind w:left="0" w:firstLine="720"/>
        <w:jc w:val="both"/>
        <w:rPr>
          <w:rFonts w:asciiTheme="minorHAnsi" w:hAnsiTheme="minorHAnsi"/>
          <w:sz w:val="20"/>
          <w:szCs w:val="20"/>
          <w:lang w:val="en-US"/>
        </w:rPr>
      </w:pPr>
      <w:r w:rsidRPr="007D47AD">
        <w:rPr>
          <w:rFonts w:asciiTheme="minorHAnsi" w:hAnsiTheme="minorHAnsi"/>
          <w:sz w:val="20"/>
          <w:szCs w:val="20"/>
          <w:lang w:val="en-US"/>
        </w:rPr>
        <w:t xml:space="preserve">As regards the recommendation to establish </w:t>
      </w:r>
      <w:r w:rsidR="001E7483" w:rsidRPr="007D47AD">
        <w:rPr>
          <w:rFonts w:asciiTheme="minorHAnsi" w:hAnsiTheme="minorHAnsi"/>
          <w:b/>
          <w:sz w:val="20"/>
          <w:szCs w:val="20"/>
          <w:lang w:val="en-US"/>
        </w:rPr>
        <w:t>a national registry of unidentified remains and clandestine graves</w:t>
      </w:r>
      <w:r w:rsidR="009C095D" w:rsidRPr="007D47AD">
        <w:rPr>
          <w:rFonts w:asciiTheme="minorHAnsi" w:hAnsiTheme="minorHAnsi"/>
          <w:sz w:val="20"/>
          <w:szCs w:val="20"/>
          <w:lang w:val="en-US"/>
        </w:rPr>
        <w:t xml:space="preserve">, </w:t>
      </w:r>
      <w:r w:rsidRPr="007D47AD">
        <w:rPr>
          <w:rFonts w:asciiTheme="minorHAnsi" w:hAnsiTheme="minorHAnsi"/>
          <w:sz w:val="20"/>
          <w:szCs w:val="20"/>
          <w:lang w:val="en-US"/>
        </w:rPr>
        <w:t xml:space="preserve">the State reported that from March to September </w:t>
      </w:r>
      <w:r w:rsidR="000B7836" w:rsidRPr="007D47AD">
        <w:rPr>
          <w:rFonts w:asciiTheme="minorHAnsi" w:hAnsiTheme="minorHAnsi"/>
          <w:sz w:val="20"/>
          <w:szCs w:val="20"/>
          <w:lang w:val="en-US"/>
        </w:rPr>
        <w:t>2019</w:t>
      </w:r>
      <w:r w:rsidR="00527CE7" w:rsidRPr="007D47AD">
        <w:rPr>
          <w:rFonts w:asciiTheme="minorHAnsi" w:hAnsiTheme="minorHAnsi"/>
          <w:sz w:val="20"/>
          <w:szCs w:val="20"/>
          <w:lang w:val="en-US"/>
        </w:rPr>
        <w:t>,</w:t>
      </w:r>
      <w:r w:rsidR="000B7836" w:rsidRPr="007D47AD">
        <w:rPr>
          <w:rFonts w:asciiTheme="minorHAnsi" w:hAnsiTheme="minorHAnsi"/>
          <w:sz w:val="20"/>
          <w:szCs w:val="20"/>
          <w:lang w:val="en-US"/>
        </w:rPr>
        <w:t xml:space="preserve"> </w:t>
      </w:r>
      <w:r w:rsidRPr="007D47AD">
        <w:rPr>
          <w:rFonts w:asciiTheme="minorHAnsi" w:hAnsiTheme="minorHAnsi"/>
          <w:sz w:val="20"/>
          <w:szCs w:val="20"/>
          <w:lang w:val="en-US"/>
        </w:rPr>
        <w:t xml:space="preserve">17 operations were carried out to identify human remains in all Mexico </w:t>
      </w:r>
      <w:r w:rsidR="00F66D95" w:rsidRPr="007D47AD">
        <w:rPr>
          <w:rFonts w:asciiTheme="minorHAnsi" w:hAnsiTheme="minorHAnsi"/>
          <w:sz w:val="20"/>
          <w:szCs w:val="20"/>
          <w:lang w:val="en-US"/>
        </w:rPr>
        <w:t xml:space="preserve">-- </w:t>
      </w:r>
      <w:r w:rsidRPr="007D47AD">
        <w:rPr>
          <w:rFonts w:asciiTheme="minorHAnsi" w:hAnsiTheme="minorHAnsi"/>
          <w:sz w:val="20"/>
          <w:szCs w:val="20"/>
          <w:lang w:val="en-US"/>
        </w:rPr>
        <w:t xml:space="preserve">10 of </w:t>
      </w:r>
      <w:r w:rsidR="00F66D95" w:rsidRPr="007D47AD">
        <w:rPr>
          <w:rFonts w:asciiTheme="minorHAnsi" w:hAnsiTheme="minorHAnsi"/>
          <w:sz w:val="20"/>
          <w:szCs w:val="20"/>
          <w:lang w:val="en-US"/>
        </w:rPr>
        <w:t xml:space="preserve">which were </w:t>
      </w:r>
      <w:r w:rsidRPr="007D47AD">
        <w:rPr>
          <w:rFonts w:asciiTheme="minorHAnsi" w:hAnsiTheme="minorHAnsi"/>
          <w:sz w:val="20"/>
          <w:szCs w:val="20"/>
          <w:lang w:val="en-US"/>
        </w:rPr>
        <w:t>positive</w:t>
      </w:r>
      <w:r w:rsidR="00527CE7" w:rsidRPr="007D47AD">
        <w:rPr>
          <w:rFonts w:asciiTheme="minorHAnsi" w:hAnsiTheme="minorHAnsi"/>
          <w:sz w:val="20"/>
          <w:szCs w:val="20"/>
          <w:lang w:val="en-US"/>
        </w:rPr>
        <w:t xml:space="preserve"> – and </w:t>
      </w:r>
      <w:r w:rsidR="00F66D95" w:rsidRPr="007D47AD">
        <w:rPr>
          <w:rFonts w:asciiTheme="minorHAnsi" w:hAnsiTheme="minorHAnsi"/>
          <w:sz w:val="20"/>
          <w:szCs w:val="20"/>
          <w:lang w:val="en-US"/>
        </w:rPr>
        <w:t xml:space="preserve">that the CNB in coordination with the </w:t>
      </w:r>
      <w:r w:rsidR="00C92C91" w:rsidRPr="007D47AD">
        <w:rPr>
          <w:rFonts w:asciiTheme="minorHAnsi" w:hAnsiTheme="minorHAnsi"/>
          <w:sz w:val="20"/>
          <w:szCs w:val="20"/>
          <w:lang w:val="en-US"/>
        </w:rPr>
        <w:t>FGR</w:t>
      </w:r>
      <w:r w:rsidR="00F66D95" w:rsidRPr="007D47AD">
        <w:rPr>
          <w:rFonts w:asciiTheme="minorHAnsi" w:hAnsiTheme="minorHAnsi"/>
          <w:sz w:val="20"/>
          <w:szCs w:val="20"/>
          <w:lang w:val="en-US"/>
        </w:rPr>
        <w:t xml:space="preserve"> has initiated the assessment of forensic services. </w:t>
      </w:r>
      <w:r w:rsidRPr="007D47AD">
        <w:rPr>
          <w:rFonts w:asciiTheme="minorHAnsi" w:hAnsiTheme="minorHAnsi"/>
          <w:sz w:val="20"/>
          <w:szCs w:val="20"/>
          <w:lang w:val="en-US"/>
        </w:rPr>
        <w:t>It also reported that it is proposing to draw up a law on forensic issues.</w:t>
      </w:r>
      <w:r w:rsidR="000B7836" w:rsidRPr="007D47AD">
        <w:rPr>
          <w:rStyle w:val="FootnoteReference"/>
          <w:rFonts w:asciiTheme="minorHAnsi" w:hAnsiTheme="minorHAnsi"/>
          <w:sz w:val="20"/>
          <w:szCs w:val="20"/>
          <w:lang w:val="en-US"/>
        </w:rPr>
        <w:footnoteReference w:id="155"/>
      </w:r>
      <w:r w:rsidR="000B7836" w:rsidRPr="007D47AD">
        <w:rPr>
          <w:rFonts w:asciiTheme="minorHAnsi" w:hAnsiTheme="minorHAnsi"/>
          <w:sz w:val="20"/>
          <w:szCs w:val="20"/>
          <w:lang w:val="en-US"/>
        </w:rPr>
        <w:t xml:space="preserve"> </w:t>
      </w:r>
      <w:r w:rsidR="00F66D95" w:rsidRPr="007D47AD">
        <w:rPr>
          <w:rFonts w:asciiTheme="minorHAnsi" w:hAnsiTheme="minorHAnsi"/>
          <w:sz w:val="20"/>
          <w:szCs w:val="20"/>
          <w:lang w:val="en-US"/>
        </w:rPr>
        <w:t>The</w:t>
      </w:r>
      <w:r w:rsidR="000B7836" w:rsidRPr="007D47AD">
        <w:rPr>
          <w:rFonts w:asciiTheme="minorHAnsi" w:hAnsiTheme="minorHAnsi"/>
          <w:sz w:val="20"/>
          <w:szCs w:val="20"/>
          <w:lang w:val="en-US"/>
        </w:rPr>
        <w:t xml:space="preserve"> </w:t>
      </w:r>
      <w:r w:rsidR="00F66D95" w:rsidRPr="007D47AD">
        <w:rPr>
          <w:rFonts w:asciiTheme="minorHAnsi" w:hAnsiTheme="minorHAnsi"/>
          <w:sz w:val="20"/>
          <w:szCs w:val="20"/>
          <w:lang w:val="en-US"/>
        </w:rPr>
        <w:t xml:space="preserve">IACHR </w:t>
      </w:r>
      <w:r w:rsidR="000B7836" w:rsidRPr="007D47AD">
        <w:rPr>
          <w:rFonts w:asciiTheme="minorHAnsi" w:hAnsiTheme="minorHAnsi"/>
          <w:sz w:val="20"/>
          <w:szCs w:val="20"/>
          <w:lang w:val="en-US"/>
        </w:rPr>
        <w:t>reitera</w:t>
      </w:r>
      <w:r w:rsidR="00F66D95" w:rsidRPr="007D47AD">
        <w:rPr>
          <w:rFonts w:asciiTheme="minorHAnsi" w:hAnsiTheme="minorHAnsi"/>
          <w:sz w:val="20"/>
          <w:szCs w:val="20"/>
          <w:lang w:val="en-US"/>
        </w:rPr>
        <w:t xml:space="preserve">tes its observations on the National Registry of Graves and </w:t>
      </w:r>
      <w:r w:rsidR="00C92C91" w:rsidRPr="007D47AD">
        <w:rPr>
          <w:rFonts w:asciiTheme="minorHAnsi" w:hAnsiTheme="minorHAnsi"/>
          <w:sz w:val="20"/>
          <w:szCs w:val="20"/>
          <w:lang w:val="en-US"/>
        </w:rPr>
        <w:t xml:space="preserve">RNPED </w:t>
      </w:r>
      <w:r w:rsidR="00F66D95" w:rsidRPr="007D47AD">
        <w:rPr>
          <w:rFonts w:asciiTheme="minorHAnsi" w:hAnsiTheme="minorHAnsi"/>
          <w:sz w:val="20"/>
          <w:szCs w:val="20"/>
          <w:lang w:val="en-US"/>
        </w:rPr>
        <w:t xml:space="preserve">provided for in the General Law on forced disappearance </w:t>
      </w:r>
      <w:r w:rsidR="000B7836" w:rsidRPr="007D47AD">
        <w:rPr>
          <w:rFonts w:asciiTheme="minorHAnsi" w:hAnsiTheme="minorHAnsi"/>
          <w:sz w:val="20"/>
          <w:szCs w:val="20"/>
          <w:lang w:val="en-US"/>
        </w:rPr>
        <w:t>(</w:t>
      </w:r>
      <w:r w:rsidR="000B7836" w:rsidRPr="007D47AD">
        <w:rPr>
          <w:rFonts w:asciiTheme="minorHAnsi" w:hAnsiTheme="minorHAnsi"/>
          <w:i/>
          <w:sz w:val="20"/>
          <w:szCs w:val="20"/>
          <w:lang w:val="en-US"/>
        </w:rPr>
        <w:t>infra</w:t>
      </w:r>
      <w:r w:rsidR="000B7836" w:rsidRPr="007D47AD">
        <w:rPr>
          <w:rFonts w:asciiTheme="minorHAnsi" w:hAnsiTheme="minorHAnsi"/>
          <w:sz w:val="20"/>
          <w:szCs w:val="20"/>
          <w:lang w:val="en-US"/>
        </w:rPr>
        <w:t xml:space="preserve"> xx). </w:t>
      </w:r>
      <w:r w:rsidR="00F66D95" w:rsidRPr="007D47AD">
        <w:rPr>
          <w:rFonts w:asciiTheme="minorHAnsi" w:hAnsiTheme="minorHAnsi"/>
          <w:sz w:val="20"/>
          <w:szCs w:val="20"/>
          <w:lang w:val="en-US"/>
        </w:rPr>
        <w:t xml:space="preserve">The IACHR welcomes </w:t>
      </w:r>
      <w:r w:rsidR="00D80F8A" w:rsidRPr="007D47AD">
        <w:rPr>
          <w:rFonts w:asciiTheme="minorHAnsi" w:hAnsiTheme="minorHAnsi"/>
          <w:sz w:val="20"/>
          <w:szCs w:val="20"/>
          <w:lang w:val="en-US"/>
        </w:rPr>
        <w:t xml:space="preserve">the operations aimed at identifying </w:t>
      </w:r>
      <w:r w:rsidR="00527CE7" w:rsidRPr="007D47AD">
        <w:rPr>
          <w:rFonts w:asciiTheme="minorHAnsi" w:hAnsiTheme="minorHAnsi"/>
          <w:sz w:val="20"/>
          <w:szCs w:val="20"/>
          <w:lang w:val="en-US"/>
        </w:rPr>
        <w:t xml:space="preserve">human remains </w:t>
      </w:r>
      <w:r w:rsidR="00D80F8A" w:rsidRPr="007D47AD">
        <w:rPr>
          <w:rFonts w:asciiTheme="minorHAnsi" w:hAnsiTheme="minorHAnsi"/>
          <w:sz w:val="20"/>
          <w:szCs w:val="20"/>
          <w:lang w:val="en-US"/>
        </w:rPr>
        <w:t xml:space="preserve">and placing </w:t>
      </w:r>
      <w:r w:rsidR="00527CE7" w:rsidRPr="007D47AD">
        <w:rPr>
          <w:rFonts w:asciiTheme="minorHAnsi" w:hAnsiTheme="minorHAnsi"/>
          <w:sz w:val="20"/>
          <w:szCs w:val="20"/>
          <w:lang w:val="en-US"/>
        </w:rPr>
        <w:t xml:space="preserve">them </w:t>
      </w:r>
      <w:r w:rsidR="00D80F8A" w:rsidRPr="007D47AD">
        <w:rPr>
          <w:rFonts w:asciiTheme="minorHAnsi" w:hAnsiTheme="minorHAnsi"/>
          <w:sz w:val="20"/>
          <w:szCs w:val="20"/>
          <w:lang w:val="en-US"/>
        </w:rPr>
        <w:t xml:space="preserve">in custody in the context of the humanitarian crisis related to finding unidentified corpses in Mexico in the terms already indicated in this report </w:t>
      </w:r>
      <w:r w:rsidR="00C92C91" w:rsidRPr="007D47AD">
        <w:rPr>
          <w:rFonts w:asciiTheme="minorHAnsi" w:hAnsiTheme="minorHAnsi"/>
          <w:sz w:val="20"/>
          <w:szCs w:val="20"/>
          <w:lang w:val="en-US"/>
        </w:rPr>
        <w:t>(</w:t>
      </w:r>
      <w:r w:rsidR="00C92C91" w:rsidRPr="007D47AD">
        <w:rPr>
          <w:rFonts w:asciiTheme="minorHAnsi" w:hAnsiTheme="minorHAnsi"/>
          <w:i/>
          <w:sz w:val="20"/>
          <w:szCs w:val="20"/>
          <w:lang w:val="en-US"/>
        </w:rPr>
        <w:t>infra</w:t>
      </w:r>
      <w:r w:rsidR="00C92C91" w:rsidRPr="007D47AD">
        <w:rPr>
          <w:rFonts w:asciiTheme="minorHAnsi" w:hAnsiTheme="minorHAnsi"/>
          <w:sz w:val="20"/>
          <w:szCs w:val="20"/>
          <w:lang w:val="en-US"/>
        </w:rPr>
        <w:t xml:space="preserve"> XX). </w:t>
      </w:r>
      <w:r w:rsidR="00D80F8A" w:rsidRPr="007D47AD">
        <w:rPr>
          <w:rFonts w:asciiTheme="minorHAnsi" w:hAnsiTheme="minorHAnsi"/>
          <w:sz w:val="20"/>
          <w:szCs w:val="20"/>
          <w:lang w:val="en-US"/>
        </w:rPr>
        <w:t xml:space="preserve">Nonetheless, the time for creating the National Registry </w:t>
      </w:r>
      <w:r w:rsidR="00B56AB5" w:rsidRPr="007D47AD">
        <w:rPr>
          <w:rFonts w:asciiTheme="minorHAnsi" w:hAnsiTheme="minorHAnsi"/>
          <w:sz w:val="20"/>
          <w:szCs w:val="20"/>
          <w:lang w:val="en-US"/>
        </w:rPr>
        <w:t xml:space="preserve">of Graves, as per the legal mandate, has lapsed, and the </w:t>
      </w:r>
      <w:r w:rsidR="00C92C91" w:rsidRPr="007D47AD">
        <w:rPr>
          <w:rFonts w:asciiTheme="minorHAnsi" w:hAnsiTheme="minorHAnsi"/>
          <w:sz w:val="20"/>
          <w:szCs w:val="20"/>
          <w:lang w:val="en-US"/>
        </w:rPr>
        <w:t xml:space="preserve">RNPED </w:t>
      </w:r>
      <w:r w:rsidR="00B56AB5" w:rsidRPr="007D47AD">
        <w:rPr>
          <w:rFonts w:asciiTheme="minorHAnsi" w:hAnsiTheme="minorHAnsi"/>
          <w:sz w:val="20"/>
          <w:szCs w:val="20"/>
          <w:lang w:val="en-US"/>
        </w:rPr>
        <w:t xml:space="preserve">has recently been relaunched to be updated. In these terms, the Commission considers that this recommendation is </w:t>
      </w:r>
      <w:r w:rsidR="00AE49FA" w:rsidRPr="007D47AD">
        <w:rPr>
          <w:rFonts w:asciiTheme="minorHAnsi" w:hAnsiTheme="minorHAnsi"/>
          <w:sz w:val="20"/>
          <w:szCs w:val="20"/>
          <w:lang w:val="en-US"/>
        </w:rPr>
        <w:t>pend</w:t>
      </w:r>
      <w:r w:rsidR="00B56AB5" w:rsidRPr="007D47AD">
        <w:rPr>
          <w:rFonts w:asciiTheme="minorHAnsi" w:hAnsiTheme="minorHAnsi"/>
          <w:sz w:val="20"/>
          <w:szCs w:val="20"/>
          <w:lang w:val="en-US"/>
        </w:rPr>
        <w:t>ing implementation</w:t>
      </w:r>
      <w:r w:rsidR="00C92C91" w:rsidRPr="007D47AD">
        <w:rPr>
          <w:rFonts w:asciiTheme="minorHAnsi" w:hAnsiTheme="minorHAnsi"/>
          <w:sz w:val="20"/>
          <w:szCs w:val="20"/>
          <w:lang w:val="en-US"/>
        </w:rPr>
        <w:t xml:space="preserve">. </w:t>
      </w:r>
    </w:p>
    <w:p w:rsidR="009C095D" w:rsidRPr="007D47AD" w:rsidRDefault="00B56AB5" w:rsidP="00E472A2">
      <w:pPr>
        <w:numPr>
          <w:ilvl w:val="0"/>
          <w:numId w:val="6"/>
        </w:numPr>
        <w:shd w:val="clear" w:color="auto" w:fill="FFFFFF"/>
        <w:spacing w:after="240" w:line="240" w:lineRule="auto"/>
        <w:ind w:left="0" w:firstLine="720"/>
        <w:jc w:val="both"/>
        <w:rPr>
          <w:rFonts w:asciiTheme="minorHAnsi" w:hAnsiTheme="minorHAnsi"/>
          <w:sz w:val="20"/>
          <w:szCs w:val="20"/>
          <w:lang w:val="en-US"/>
        </w:rPr>
      </w:pPr>
      <w:r w:rsidRPr="007D47AD">
        <w:rPr>
          <w:rFonts w:asciiTheme="minorHAnsi" w:hAnsiTheme="minorHAnsi"/>
          <w:sz w:val="20"/>
          <w:szCs w:val="20"/>
          <w:lang w:val="en-US"/>
        </w:rPr>
        <w:t xml:space="preserve">Concerning the recommendations to establish a </w:t>
      </w:r>
      <w:r w:rsidR="009C095D" w:rsidRPr="007D47AD">
        <w:rPr>
          <w:rFonts w:asciiTheme="minorHAnsi" w:hAnsiTheme="minorHAnsi"/>
          <w:b/>
          <w:sz w:val="20"/>
          <w:szCs w:val="20"/>
          <w:lang w:val="en-US"/>
        </w:rPr>
        <w:t>na</w:t>
      </w:r>
      <w:r w:rsidR="001E7483" w:rsidRPr="007D47AD">
        <w:rPr>
          <w:rFonts w:asciiTheme="minorHAnsi" w:hAnsiTheme="minorHAnsi"/>
          <w:b/>
          <w:sz w:val="20"/>
          <w:szCs w:val="20"/>
          <w:lang w:val="en-US"/>
        </w:rPr>
        <w:t xml:space="preserve">tional, autonomous institution of forensic services </w:t>
      </w:r>
      <w:r w:rsidR="009C095D" w:rsidRPr="007D47AD">
        <w:rPr>
          <w:rFonts w:asciiTheme="minorHAnsi" w:hAnsiTheme="minorHAnsi"/>
          <w:b/>
          <w:sz w:val="20"/>
          <w:szCs w:val="20"/>
          <w:lang w:val="en-US"/>
        </w:rPr>
        <w:t xml:space="preserve"> </w:t>
      </w:r>
      <w:r w:rsidRPr="007D47AD">
        <w:rPr>
          <w:rFonts w:asciiTheme="minorHAnsi" w:hAnsiTheme="minorHAnsi"/>
          <w:sz w:val="20"/>
          <w:szCs w:val="20"/>
          <w:lang w:val="en-US"/>
        </w:rPr>
        <w:t>and</w:t>
      </w:r>
      <w:r w:rsidR="00EF2F1D" w:rsidRPr="007D47AD">
        <w:rPr>
          <w:rFonts w:asciiTheme="minorHAnsi" w:hAnsiTheme="minorHAnsi"/>
          <w:b/>
          <w:sz w:val="20"/>
          <w:szCs w:val="20"/>
          <w:lang w:val="en-US"/>
        </w:rPr>
        <w:t xml:space="preserve"> </w:t>
      </w:r>
      <w:r w:rsidR="001E7483" w:rsidRPr="007D47AD">
        <w:rPr>
          <w:rFonts w:asciiTheme="minorHAnsi" w:hAnsiTheme="minorHAnsi"/>
          <w:b/>
          <w:sz w:val="20"/>
          <w:szCs w:val="20"/>
          <w:lang w:val="en-US"/>
        </w:rPr>
        <w:t>to exhume and identify remains strictly abiding by the dignified treatment of the victims’ families</w:t>
      </w:r>
      <w:r w:rsidR="009C095D" w:rsidRPr="007D47AD">
        <w:rPr>
          <w:rFonts w:asciiTheme="minorHAnsi" w:hAnsiTheme="minorHAnsi"/>
          <w:b/>
          <w:sz w:val="20"/>
          <w:szCs w:val="20"/>
          <w:lang w:val="en-US"/>
        </w:rPr>
        <w:t>,</w:t>
      </w:r>
      <w:r w:rsidR="009C095D" w:rsidRPr="007D47AD">
        <w:rPr>
          <w:rFonts w:asciiTheme="minorHAnsi" w:hAnsiTheme="minorHAnsi"/>
          <w:sz w:val="20"/>
          <w:szCs w:val="20"/>
          <w:lang w:val="en-US"/>
        </w:rPr>
        <w:t xml:space="preserve"> </w:t>
      </w:r>
      <w:r w:rsidRPr="007D47AD">
        <w:rPr>
          <w:rFonts w:asciiTheme="minorHAnsi" w:hAnsiTheme="minorHAnsi"/>
          <w:sz w:val="20"/>
          <w:szCs w:val="20"/>
          <w:lang w:val="en-US"/>
        </w:rPr>
        <w:t xml:space="preserve">the State indicated that it proposed the creation of five autonomous regional forensic institutes that will be in the states of </w:t>
      </w:r>
      <w:r w:rsidR="00C92C91" w:rsidRPr="007D47AD">
        <w:rPr>
          <w:rFonts w:asciiTheme="minorHAnsi" w:hAnsiTheme="minorHAnsi"/>
          <w:sz w:val="20"/>
          <w:szCs w:val="20"/>
          <w:lang w:val="en-US"/>
        </w:rPr>
        <w:t>Coahuila</w:t>
      </w:r>
      <w:r w:rsidR="00E76B3D" w:rsidRPr="007D47AD">
        <w:rPr>
          <w:rFonts w:asciiTheme="minorHAnsi" w:hAnsiTheme="minorHAnsi"/>
          <w:sz w:val="20"/>
          <w:szCs w:val="20"/>
          <w:lang w:val="en-US"/>
        </w:rPr>
        <w:t xml:space="preserve"> (</w:t>
      </w:r>
      <w:r w:rsidR="00527CE7" w:rsidRPr="007D47AD">
        <w:rPr>
          <w:rFonts w:asciiTheme="minorHAnsi" w:hAnsiTheme="minorHAnsi"/>
          <w:sz w:val="20"/>
          <w:szCs w:val="20"/>
          <w:lang w:val="en-US"/>
        </w:rPr>
        <w:t xml:space="preserve">also </w:t>
      </w:r>
      <w:r w:rsidRPr="007D47AD">
        <w:rPr>
          <w:rFonts w:asciiTheme="minorHAnsi" w:hAnsiTheme="minorHAnsi"/>
          <w:sz w:val="20"/>
          <w:szCs w:val="20"/>
          <w:lang w:val="en-US"/>
        </w:rPr>
        <w:t xml:space="preserve">covering </w:t>
      </w:r>
      <w:r w:rsidR="00C92C91" w:rsidRPr="007D47AD">
        <w:rPr>
          <w:rFonts w:asciiTheme="minorHAnsi" w:hAnsiTheme="minorHAnsi"/>
          <w:sz w:val="20"/>
          <w:szCs w:val="20"/>
          <w:lang w:val="en-US"/>
        </w:rPr>
        <w:t>Chihuahua, Durango</w:t>
      </w:r>
      <w:r w:rsidRPr="007D47AD">
        <w:rPr>
          <w:rFonts w:asciiTheme="minorHAnsi" w:hAnsiTheme="minorHAnsi"/>
          <w:sz w:val="20"/>
          <w:szCs w:val="20"/>
          <w:lang w:val="en-US"/>
        </w:rPr>
        <w:t>, and</w:t>
      </w:r>
      <w:r w:rsidR="00C92C91" w:rsidRPr="007D47AD">
        <w:rPr>
          <w:rFonts w:asciiTheme="minorHAnsi" w:hAnsiTheme="minorHAnsi"/>
          <w:sz w:val="20"/>
          <w:szCs w:val="20"/>
          <w:lang w:val="en-US"/>
        </w:rPr>
        <w:t xml:space="preserve"> San Luís Potosí</w:t>
      </w:r>
      <w:r w:rsidR="00E76B3D" w:rsidRPr="007D47AD">
        <w:rPr>
          <w:rFonts w:asciiTheme="minorHAnsi" w:hAnsiTheme="minorHAnsi"/>
          <w:sz w:val="20"/>
          <w:szCs w:val="20"/>
          <w:lang w:val="en-US"/>
        </w:rPr>
        <w:t>), Nuevo León (</w:t>
      </w:r>
      <w:r w:rsidRPr="007D47AD">
        <w:rPr>
          <w:rFonts w:asciiTheme="minorHAnsi" w:hAnsiTheme="minorHAnsi"/>
          <w:sz w:val="20"/>
          <w:szCs w:val="20"/>
          <w:lang w:val="en-US"/>
        </w:rPr>
        <w:t xml:space="preserve">also covering </w:t>
      </w:r>
      <w:r w:rsidR="00E76B3D" w:rsidRPr="007D47AD">
        <w:rPr>
          <w:rFonts w:asciiTheme="minorHAnsi" w:hAnsiTheme="minorHAnsi"/>
          <w:sz w:val="20"/>
          <w:szCs w:val="20"/>
          <w:lang w:val="en-US"/>
        </w:rPr>
        <w:t>Tamaulipas), Sonora (</w:t>
      </w:r>
      <w:r w:rsidRPr="007D47AD">
        <w:rPr>
          <w:rFonts w:asciiTheme="minorHAnsi" w:hAnsiTheme="minorHAnsi"/>
          <w:sz w:val="20"/>
          <w:szCs w:val="20"/>
          <w:lang w:val="en-US"/>
        </w:rPr>
        <w:t xml:space="preserve">also including </w:t>
      </w:r>
      <w:r w:rsidR="00E76B3D" w:rsidRPr="007D47AD">
        <w:rPr>
          <w:rFonts w:asciiTheme="minorHAnsi" w:hAnsiTheme="minorHAnsi"/>
          <w:sz w:val="20"/>
          <w:szCs w:val="20"/>
          <w:lang w:val="en-US"/>
        </w:rPr>
        <w:t>Baja California, Baja California Sur</w:t>
      </w:r>
      <w:r w:rsidRPr="007D47AD">
        <w:rPr>
          <w:rFonts w:asciiTheme="minorHAnsi" w:hAnsiTheme="minorHAnsi"/>
          <w:sz w:val="20"/>
          <w:szCs w:val="20"/>
          <w:lang w:val="en-US"/>
        </w:rPr>
        <w:t xml:space="preserve">, and </w:t>
      </w:r>
      <w:r w:rsidR="00E76B3D" w:rsidRPr="007D47AD">
        <w:rPr>
          <w:rFonts w:asciiTheme="minorHAnsi" w:hAnsiTheme="minorHAnsi"/>
          <w:sz w:val="20"/>
          <w:szCs w:val="20"/>
          <w:lang w:val="en-US"/>
        </w:rPr>
        <w:t>Sinaloa), Veracruz (</w:t>
      </w:r>
      <w:r w:rsidR="00527CE7" w:rsidRPr="007D47AD">
        <w:rPr>
          <w:rFonts w:asciiTheme="minorHAnsi" w:hAnsiTheme="minorHAnsi"/>
          <w:sz w:val="20"/>
          <w:szCs w:val="20"/>
          <w:lang w:val="en-US"/>
        </w:rPr>
        <w:t xml:space="preserve">also covering </w:t>
      </w:r>
      <w:r w:rsidR="00E76B3D" w:rsidRPr="007D47AD">
        <w:rPr>
          <w:rFonts w:asciiTheme="minorHAnsi" w:hAnsiTheme="minorHAnsi"/>
          <w:sz w:val="20"/>
          <w:szCs w:val="20"/>
          <w:lang w:val="en-US"/>
        </w:rPr>
        <w:t>Puebl</w:t>
      </w:r>
      <w:r w:rsidRPr="007D47AD">
        <w:rPr>
          <w:rFonts w:asciiTheme="minorHAnsi" w:hAnsiTheme="minorHAnsi"/>
          <w:sz w:val="20"/>
          <w:szCs w:val="20"/>
          <w:lang w:val="en-US"/>
        </w:rPr>
        <w:t xml:space="preserve">a, </w:t>
      </w:r>
      <w:r w:rsidR="00E76B3D" w:rsidRPr="007D47AD">
        <w:rPr>
          <w:rFonts w:asciiTheme="minorHAnsi" w:hAnsiTheme="minorHAnsi"/>
          <w:sz w:val="20"/>
          <w:szCs w:val="20"/>
          <w:lang w:val="en-US"/>
        </w:rPr>
        <w:t>Oaxaca</w:t>
      </w:r>
      <w:r w:rsidRPr="007D47AD">
        <w:rPr>
          <w:rFonts w:asciiTheme="minorHAnsi" w:hAnsiTheme="minorHAnsi"/>
          <w:sz w:val="20"/>
          <w:szCs w:val="20"/>
          <w:lang w:val="en-US"/>
        </w:rPr>
        <w:t>, and</w:t>
      </w:r>
      <w:r w:rsidR="00E76B3D" w:rsidRPr="007D47AD">
        <w:rPr>
          <w:rFonts w:asciiTheme="minorHAnsi" w:hAnsiTheme="minorHAnsi"/>
          <w:sz w:val="20"/>
          <w:szCs w:val="20"/>
          <w:lang w:val="en-US"/>
        </w:rPr>
        <w:t xml:space="preserve"> Chiapas)</w:t>
      </w:r>
      <w:r w:rsidRPr="007D47AD">
        <w:rPr>
          <w:rFonts w:asciiTheme="minorHAnsi" w:hAnsiTheme="minorHAnsi"/>
          <w:sz w:val="20"/>
          <w:szCs w:val="20"/>
          <w:lang w:val="en-US"/>
        </w:rPr>
        <w:t xml:space="preserve">, and Mexico City </w:t>
      </w:r>
      <w:r w:rsidR="00E76B3D" w:rsidRPr="007D47AD">
        <w:rPr>
          <w:rFonts w:asciiTheme="minorHAnsi" w:hAnsiTheme="minorHAnsi"/>
          <w:sz w:val="20"/>
          <w:szCs w:val="20"/>
          <w:lang w:val="en-US"/>
        </w:rPr>
        <w:t>(</w:t>
      </w:r>
      <w:r w:rsidR="00527CE7" w:rsidRPr="007D47AD">
        <w:rPr>
          <w:rFonts w:asciiTheme="minorHAnsi" w:hAnsiTheme="minorHAnsi"/>
          <w:sz w:val="20"/>
          <w:szCs w:val="20"/>
          <w:lang w:val="en-US"/>
        </w:rPr>
        <w:t xml:space="preserve">also </w:t>
      </w:r>
      <w:r w:rsidRPr="007D47AD">
        <w:rPr>
          <w:rFonts w:asciiTheme="minorHAnsi" w:hAnsiTheme="minorHAnsi"/>
          <w:sz w:val="20"/>
          <w:szCs w:val="20"/>
          <w:lang w:val="en-US"/>
        </w:rPr>
        <w:t xml:space="preserve">covering </w:t>
      </w:r>
      <w:r w:rsidR="00E76B3D" w:rsidRPr="007D47AD">
        <w:rPr>
          <w:rFonts w:asciiTheme="minorHAnsi" w:hAnsiTheme="minorHAnsi"/>
          <w:sz w:val="20"/>
          <w:szCs w:val="20"/>
          <w:lang w:val="en-US"/>
        </w:rPr>
        <w:t xml:space="preserve">Morelos </w:t>
      </w:r>
      <w:r w:rsidRPr="007D47AD">
        <w:rPr>
          <w:rFonts w:asciiTheme="minorHAnsi" w:hAnsiTheme="minorHAnsi"/>
          <w:sz w:val="20"/>
          <w:szCs w:val="20"/>
          <w:lang w:val="en-US"/>
        </w:rPr>
        <w:t xml:space="preserve">and </w:t>
      </w:r>
      <w:r w:rsidR="00E76B3D" w:rsidRPr="007D47AD">
        <w:rPr>
          <w:rFonts w:asciiTheme="minorHAnsi" w:hAnsiTheme="minorHAnsi"/>
          <w:sz w:val="20"/>
          <w:szCs w:val="20"/>
          <w:lang w:val="en-US"/>
        </w:rPr>
        <w:t>Guerrero)</w:t>
      </w:r>
      <w:r w:rsidRPr="007D47AD">
        <w:rPr>
          <w:rFonts w:asciiTheme="minorHAnsi" w:hAnsiTheme="minorHAnsi"/>
          <w:sz w:val="20"/>
          <w:szCs w:val="20"/>
          <w:lang w:val="en-US"/>
        </w:rPr>
        <w:t>.</w:t>
      </w:r>
      <w:r w:rsidR="009C095D" w:rsidRPr="007D47AD">
        <w:rPr>
          <w:rStyle w:val="FootnoteReference"/>
          <w:rFonts w:asciiTheme="minorHAnsi" w:hAnsiTheme="minorHAnsi"/>
          <w:sz w:val="20"/>
          <w:szCs w:val="20"/>
          <w:lang w:val="en-US"/>
        </w:rPr>
        <w:footnoteReference w:id="156"/>
      </w:r>
      <w:r w:rsidR="00EF2F1D" w:rsidRPr="007D47AD">
        <w:rPr>
          <w:rFonts w:asciiTheme="minorHAnsi" w:hAnsiTheme="minorHAnsi"/>
          <w:sz w:val="20"/>
          <w:szCs w:val="20"/>
          <w:lang w:val="en-US"/>
        </w:rPr>
        <w:t xml:space="preserve"> </w:t>
      </w:r>
      <w:r w:rsidRPr="007D47AD">
        <w:rPr>
          <w:rFonts w:asciiTheme="minorHAnsi" w:hAnsiTheme="minorHAnsi"/>
          <w:sz w:val="20"/>
          <w:szCs w:val="20"/>
          <w:lang w:val="en-US"/>
        </w:rPr>
        <w:t xml:space="preserve">In addition, it noted that from December </w:t>
      </w:r>
      <w:r w:rsidR="003B2F87" w:rsidRPr="007D47AD">
        <w:rPr>
          <w:rFonts w:asciiTheme="minorHAnsi" w:hAnsiTheme="minorHAnsi"/>
          <w:sz w:val="20"/>
          <w:szCs w:val="20"/>
          <w:lang w:val="en-US"/>
        </w:rPr>
        <w:t xml:space="preserve">2017 </w:t>
      </w:r>
      <w:r w:rsidRPr="007D47AD">
        <w:rPr>
          <w:rFonts w:asciiTheme="minorHAnsi" w:hAnsiTheme="minorHAnsi"/>
          <w:sz w:val="20"/>
          <w:szCs w:val="20"/>
          <w:lang w:val="en-US"/>
        </w:rPr>
        <w:t xml:space="preserve">to August </w:t>
      </w:r>
      <w:r w:rsidR="003B2F87" w:rsidRPr="007D47AD">
        <w:rPr>
          <w:rFonts w:asciiTheme="minorHAnsi" w:hAnsiTheme="minorHAnsi"/>
          <w:sz w:val="20"/>
          <w:szCs w:val="20"/>
          <w:lang w:val="en-US"/>
        </w:rPr>
        <w:t>23</w:t>
      </w:r>
      <w:r w:rsidRPr="007D47AD">
        <w:rPr>
          <w:rFonts w:asciiTheme="minorHAnsi" w:hAnsiTheme="minorHAnsi"/>
          <w:sz w:val="20"/>
          <w:szCs w:val="20"/>
          <w:lang w:val="en-US"/>
        </w:rPr>
        <w:t>,</w:t>
      </w:r>
      <w:r w:rsidR="003B2F87" w:rsidRPr="007D47AD">
        <w:rPr>
          <w:rFonts w:asciiTheme="minorHAnsi" w:hAnsiTheme="minorHAnsi"/>
          <w:sz w:val="20"/>
          <w:szCs w:val="20"/>
          <w:lang w:val="en-US"/>
        </w:rPr>
        <w:t xml:space="preserve"> 2019</w:t>
      </w:r>
      <w:r w:rsidRPr="007D47AD">
        <w:rPr>
          <w:rFonts w:asciiTheme="minorHAnsi" w:hAnsiTheme="minorHAnsi"/>
          <w:sz w:val="20"/>
          <w:szCs w:val="20"/>
          <w:lang w:val="en-US"/>
        </w:rPr>
        <w:t>,</w:t>
      </w:r>
      <w:r w:rsidR="003B2F87" w:rsidRPr="007D47AD">
        <w:rPr>
          <w:rFonts w:asciiTheme="minorHAnsi" w:hAnsiTheme="minorHAnsi"/>
          <w:sz w:val="20"/>
          <w:szCs w:val="20"/>
          <w:lang w:val="en-US"/>
        </w:rPr>
        <w:t xml:space="preserve"> 352 </w:t>
      </w:r>
      <w:r w:rsidRPr="007D47AD">
        <w:rPr>
          <w:rFonts w:asciiTheme="minorHAnsi" w:hAnsiTheme="minorHAnsi"/>
          <w:sz w:val="20"/>
          <w:szCs w:val="20"/>
          <w:lang w:val="en-US"/>
        </w:rPr>
        <w:t xml:space="preserve">clandestine exhumation sites </w:t>
      </w:r>
      <w:r w:rsidR="00527CE7" w:rsidRPr="007D47AD">
        <w:rPr>
          <w:rFonts w:asciiTheme="minorHAnsi" w:hAnsiTheme="minorHAnsi"/>
          <w:sz w:val="20"/>
          <w:szCs w:val="20"/>
          <w:lang w:val="en-US"/>
        </w:rPr>
        <w:t xml:space="preserve">and </w:t>
      </w:r>
      <w:r w:rsidR="003B2F87" w:rsidRPr="007D47AD">
        <w:rPr>
          <w:rFonts w:asciiTheme="minorHAnsi" w:hAnsiTheme="minorHAnsi"/>
          <w:sz w:val="20"/>
          <w:szCs w:val="20"/>
          <w:lang w:val="en-US"/>
        </w:rPr>
        <w:t xml:space="preserve">594 </w:t>
      </w:r>
      <w:r w:rsidRPr="007D47AD">
        <w:rPr>
          <w:rFonts w:asciiTheme="minorHAnsi" w:hAnsiTheme="minorHAnsi"/>
          <w:sz w:val="20"/>
          <w:szCs w:val="20"/>
          <w:lang w:val="en-US"/>
        </w:rPr>
        <w:t xml:space="preserve">clandestine graves </w:t>
      </w:r>
      <w:r w:rsidR="00527CE7" w:rsidRPr="007D47AD">
        <w:rPr>
          <w:rFonts w:asciiTheme="minorHAnsi" w:hAnsiTheme="minorHAnsi"/>
          <w:sz w:val="20"/>
          <w:szCs w:val="20"/>
          <w:lang w:val="en-US"/>
        </w:rPr>
        <w:t xml:space="preserve">have been located, </w:t>
      </w:r>
      <w:r w:rsidRPr="007D47AD">
        <w:rPr>
          <w:rFonts w:asciiTheme="minorHAnsi" w:hAnsiTheme="minorHAnsi"/>
          <w:sz w:val="20"/>
          <w:szCs w:val="20"/>
          <w:lang w:val="en-US"/>
        </w:rPr>
        <w:t xml:space="preserve">and </w:t>
      </w:r>
      <w:r w:rsidR="003B2F87" w:rsidRPr="007D47AD">
        <w:rPr>
          <w:rFonts w:asciiTheme="minorHAnsi" w:hAnsiTheme="minorHAnsi"/>
          <w:sz w:val="20"/>
          <w:szCs w:val="20"/>
          <w:lang w:val="en-US"/>
        </w:rPr>
        <w:t xml:space="preserve">706 </w:t>
      </w:r>
      <w:r w:rsidRPr="007D47AD">
        <w:rPr>
          <w:rFonts w:asciiTheme="minorHAnsi" w:hAnsiTheme="minorHAnsi"/>
          <w:sz w:val="20"/>
          <w:szCs w:val="20"/>
          <w:lang w:val="en-US"/>
        </w:rPr>
        <w:t xml:space="preserve">bodies </w:t>
      </w:r>
      <w:r w:rsidR="00527CE7" w:rsidRPr="007D47AD">
        <w:rPr>
          <w:rFonts w:asciiTheme="minorHAnsi" w:hAnsiTheme="minorHAnsi"/>
          <w:sz w:val="20"/>
          <w:szCs w:val="20"/>
          <w:lang w:val="en-US"/>
        </w:rPr>
        <w:t xml:space="preserve">have been </w:t>
      </w:r>
      <w:r w:rsidRPr="007D47AD">
        <w:rPr>
          <w:rFonts w:asciiTheme="minorHAnsi" w:hAnsiTheme="minorHAnsi"/>
          <w:sz w:val="20"/>
          <w:szCs w:val="20"/>
          <w:lang w:val="en-US"/>
        </w:rPr>
        <w:t xml:space="preserve">exhumed, 206 of which have been identified and </w:t>
      </w:r>
      <w:r w:rsidR="003B2F87" w:rsidRPr="007D47AD">
        <w:rPr>
          <w:rFonts w:asciiTheme="minorHAnsi" w:hAnsiTheme="minorHAnsi"/>
          <w:sz w:val="20"/>
          <w:szCs w:val="20"/>
          <w:lang w:val="en-US"/>
        </w:rPr>
        <w:t xml:space="preserve">122 </w:t>
      </w:r>
      <w:r w:rsidRPr="007D47AD">
        <w:rPr>
          <w:rFonts w:asciiTheme="minorHAnsi" w:hAnsiTheme="minorHAnsi"/>
          <w:sz w:val="20"/>
          <w:szCs w:val="20"/>
          <w:lang w:val="en-US"/>
        </w:rPr>
        <w:t>delivered in a dignified manner to the family members.</w:t>
      </w:r>
      <w:r w:rsidR="00487453" w:rsidRPr="007D47AD">
        <w:rPr>
          <w:rStyle w:val="FootnoteReference"/>
          <w:rFonts w:asciiTheme="minorHAnsi" w:hAnsiTheme="minorHAnsi"/>
          <w:sz w:val="20"/>
          <w:szCs w:val="20"/>
          <w:lang w:val="en-US"/>
        </w:rPr>
        <w:footnoteReference w:id="157"/>
      </w:r>
      <w:r w:rsidR="009C095D" w:rsidRPr="007D47AD">
        <w:rPr>
          <w:rFonts w:asciiTheme="minorHAnsi" w:hAnsiTheme="minorHAnsi"/>
          <w:sz w:val="20"/>
          <w:szCs w:val="20"/>
          <w:lang w:val="en-US"/>
        </w:rPr>
        <w:t xml:space="preserve"> </w:t>
      </w:r>
      <w:r w:rsidRPr="007D47AD">
        <w:rPr>
          <w:rFonts w:asciiTheme="minorHAnsi" w:hAnsiTheme="minorHAnsi"/>
          <w:sz w:val="20"/>
          <w:szCs w:val="20"/>
          <w:lang w:val="en-US"/>
        </w:rPr>
        <w:t xml:space="preserve">The </w:t>
      </w:r>
      <w:r w:rsidR="00C92C91" w:rsidRPr="007D47AD">
        <w:rPr>
          <w:rFonts w:asciiTheme="minorHAnsi" w:hAnsiTheme="minorHAnsi"/>
          <w:sz w:val="20"/>
          <w:szCs w:val="20"/>
          <w:lang w:val="en-US"/>
        </w:rPr>
        <w:t>Centro PRODH indic</w:t>
      </w:r>
      <w:r w:rsidRPr="007D47AD">
        <w:rPr>
          <w:rFonts w:asciiTheme="minorHAnsi" w:hAnsiTheme="minorHAnsi"/>
          <w:sz w:val="20"/>
          <w:szCs w:val="20"/>
          <w:lang w:val="en-US"/>
        </w:rPr>
        <w:t xml:space="preserve">ated that to date these recommendations have not </w:t>
      </w:r>
      <w:r w:rsidR="00527CE7" w:rsidRPr="007D47AD">
        <w:rPr>
          <w:rFonts w:asciiTheme="minorHAnsi" w:hAnsiTheme="minorHAnsi"/>
          <w:sz w:val="20"/>
          <w:szCs w:val="20"/>
          <w:lang w:val="en-US"/>
        </w:rPr>
        <w:t>been implemented</w:t>
      </w:r>
      <w:r w:rsidRPr="007D47AD">
        <w:rPr>
          <w:rFonts w:asciiTheme="minorHAnsi" w:hAnsiTheme="minorHAnsi"/>
          <w:sz w:val="20"/>
          <w:szCs w:val="20"/>
          <w:lang w:val="en-US"/>
        </w:rPr>
        <w:t>.</w:t>
      </w:r>
      <w:r w:rsidR="00C92C91" w:rsidRPr="007D47AD">
        <w:rPr>
          <w:rStyle w:val="FootnoteReference"/>
          <w:rFonts w:asciiTheme="minorHAnsi" w:eastAsia="Times New Roman" w:hAnsiTheme="minorHAnsi"/>
          <w:sz w:val="20"/>
          <w:szCs w:val="20"/>
          <w:lang w:val="en-US"/>
        </w:rPr>
        <w:footnoteReference w:id="158"/>
      </w:r>
      <w:r w:rsidRPr="007D47AD">
        <w:rPr>
          <w:rFonts w:asciiTheme="minorHAnsi" w:hAnsiTheme="minorHAnsi"/>
          <w:sz w:val="20"/>
          <w:szCs w:val="20"/>
          <w:lang w:val="en-US"/>
        </w:rPr>
        <w:t xml:space="preserve"> </w:t>
      </w:r>
    </w:p>
    <w:p w:rsidR="009C095D" w:rsidRPr="007D47AD" w:rsidRDefault="00B56AB5" w:rsidP="00E472A2">
      <w:pPr>
        <w:numPr>
          <w:ilvl w:val="0"/>
          <w:numId w:val="6"/>
        </w:numPr>
        <w:shd w:val="clear" w:color="auto" w:fill="FFFFFF"/>
        <w:spacing w:after="240" w:line="240" w:lineRule="auto"/>
        <w:ind w:left="0" w:firstLine="720"/>
        <w:jc w:val="both"/>
        <w:rPr>
          <w:rFonts w:asciiTheme="minorHAnsi" w:hAnsiTheme="minorHAnsi"/>
          <w:sz w:val="20"/>
          <w:szCs w:val="20"/>
          <w:lang w:val="en-US"/>
        </w:rPr>
      </w:pPr>
      <w:r w:rsidRPr="007D47AD">
        <w:rPr>
          <w:rFonts w:asciiTheme="minorHAnsi" w:hAnsiTheme="minorHAnsi"/>
          <w:sz w:val="20"/>
          <w:szCs w:val="20"/>
          <w:lang w:val="en-US"/>
        </w:rPr>
        <w:t xml:space="preserve">With respect to this matter, the IACHR finds it necessary to reiterate, with respect to the gains in the creation of the Special Forensic Mechanism, that while the mandate of the Mechanism is to address the humanitarian crisis in forensic matters, in effect the reinforcing and strengthening of the current forensic services is necessary and is naturally concomitant to the attention given to that crisis to keep it from worsening. </w:t>
      </w:r>
      <w:r w:rsidR="00205001" w:rsidRPr="007D47AD">
        <w:rPr>
          <w:rFonts w:asciiTheme="minorHAnsi" w:hAnsiTheme="minorHAnsi"/>
          <w:sz w:val="20"/>
          <w:szCs w:val="20"/>
          <w:lang w:val="en-US"/>
        </w:rPr>
        <w:lastRenderedPageBreak/>
        <w:t xml:space="preserve">The Commission finds extremely worrisome the news coverage of the refrigerated trucks abandoned with </w:t>
      </w:r>
      <w:r w:rsidR="00F45A3C" w:rsidRPr="007D47AD">
        <w:rPr>
          <w:rFonts w:asciiTheme="minorHAnsi" w:hAnsiTheme="minorHAnsi"/>
          <w:sz w:val="20"/>
          <w:szCs w:val="20"/>
          <w:lang w:val="en-US"/>
        </w:rPr>
        <w:t xml:space="preserve">380 </w:t>
      </w:r>
      <w:r w:rsidR="00205001" w:rsidRPr="007D47AD">
        <w:rPr>
          <w:rFonts w:asciiTheme="minorHAnsi" w:hAnsiTheme="minorHAnsi"/>
          <w:sz w:val="20"/>
          <w:szCs w:val="20"/>
          <w:lang w:val="en-US"/>
        </w:rPr>
        <w:t xml:space="preserve">bodies, found last year in </w:t>
      </w:r>
      <w:r w:rsidR="00F45A3C" w:rsidRPr="007D47AD">
        <w:rPr>
          <w:rFonts w:asciiTheme="minorHAnsi" w:hAnsiTheme="minorHAnsi"/>
          <w:sz w:val="20"/>
          <w:szCs w:val="20"/>
          <w:lang w:val="en-US"/>
        </w:rPr>
        <w:t>Jalisco</w:t>
      </w:r>
      <w:r w:rsidR="00205001" w:rsidRPr="007D47AD">
        <w:rPr>
          <w:rFonts w:asciiTheme="minorHAnsi" w:hAnsiTheme="minorHAnsi"/>
          <w:sz w:val="20"/>
          <w:szCs w:val="20"/>
          <w:lang w:val="en-US"/>
        </w:rPr>
        <w:t xml:space="preserve">; </w:t>
      </w:r>
      <w:r w:rsidR="00527CE7" w:rsidRPr="007D47AD">
        <w:rPr>
          <w:rFonts w:asciiTheme="minorHAnsi" w:hAnsiTheme="minorHAnsi"/>
          <w:sz w:val="20"/>
          <w:szCs w:val="20"/>
          <w:lang w:val="en-US"/>
        </w:rPr>
        <w:t xml:space="preserve">it </w:t>
      </w:r>
      <w:r w:rsidR="00205001" w:rsidRPr="007D47AD">
        <w:rPr>
          <w:rFonts w:asciiTheme="minorHAnsi" w:hAnsiTheme="minorHAnsi"/>
          <w:sz w:val="20"/>
          <w:szCs w:val="20"/>
          <w:lang w:val="en-US"/>
        </w:rPr>
        <w:t>was attributed to the Jalisco Institute of Forensic Sciences (</w:t>
      </w:r>
      <w:r w:rsidR="00F45A3C" w:rsidRPr="007D47AD">
        <w:rPr>
          <w:rFonts w:asciiTheme="minorHAnsi" w:hAnsiTheme="minorHAnsi"/>
          <w:sz w:val="20"/>
          <w:szCs w:val="20"/>
          <w:lang w:val="en-US"/>
        </w:rPr>
        <w:t>Instituto Jalisciense de Ciencias Forense</w:t>
      </w:r>
      <w:r w:rsidR="000B11E3" w:rsidRPr="007D47AD">
        <w:rPr>
          <w:rFonts w:asciiTheme="minorHAnsi" w:hAnsiTheme="minorHAnsi"/>
          <w:sz w:val="20"/>
          <w:szCs w:val="20"/>
          <w:lang w:val="en-US"/>
        </w:rPr>
        <w:t>s</w:t>
      </w:r>
      <w:r w:rsidR="00205001" w:rsidRPr="007D47AD">
        <w:rPr>
          <w:rFonts w:asciiTheme="minorHAnsi" w:hAnsiTheme="minorHAnsi"/>
          <w:sz w:val="20"/>
          <w:szCs w:val="20"/>
          <w:lang w:val="en-US"/>
        </w:rPr>
        <w:t>)</w:t>
      </w:r>
      <w:r w:rsidR="00F45A3C" w:rsidRPr="007D47AD">
        <w:rPr>
          <w:rFonts w:asciiTheme="minorHAnsi" w:hAnsiTheme="minorHAnsi"/>
          <w:sz w:val="20"/>
          <w:szCs w:val="20"/>
          <w:lang w:val="en-US"/>
        </w:rPr>
        <w:t xml:space="preserve">. </w:t>
      </w:r>
      <w:r w:rsidR="00205001" w:rsidRPr="007D47AD">
        <w:rPr>
          <w:rFonts w:asciiTheme="minorHAnsi" w:hAnsiTheme="minorHAnsi"/>
          <w:sz w:val="20"/>
          <w:szCs w:val="20"/>
          <w:lang w:val="en-US"/>
        </w:rPr>
        <w:t xml:space="preserve">One year later, the State Commission on Human Rights of </w:t>
      </w:r>
      <w:r w:rsidR="00F45A3C" w:rsidRPr="007D47AD">
        <w:rPr>
          <w:rFonts w:asciiTheme="minorHAnsi" w:hAnsiTheme="minorHAnsi"/>
          <w:sz w:val="20"/>
          <w:szCs w:val="20"/>
          <w:lang w:val="en-US"/>
        </w:rPr>
        <w:t>Jalisco indic</w:t>
      </w:r>
      <w:r w:rsidR="00205001" w:rsidRPr="007D47AD">
        <w:rPr>
          <w:rFonts w:asciiTheme="minorHAnsi" w:hAnsiTheme="minorHAnsi"/>
          <w:sz w:val="20"/>
          <w:szCs w:val="20"/>
          <w:lang w:val="en-US"/>
        </w:rPr>
        <w:t>ated that</w:t>
      </w:r>
      <w:r w:rsidR="00F45A3C" w:rsidRPr="007D47AD">
        <w:rPr>
          <w:rFonts w:asciiTheme="minorHAnsi" w:hAnsiTheme="minorHAnsi"/>
          <w:sz w:val="20"/>
          <w:szCs w:val="20"/>
          <w:lang w:val="en-US"/>
        </w:rPr>
        <w:t xml:space="preserve"> </w:t>
      </w:r>
      <w:r w:rsidR="00205001" w:rsidRPr="007D47AD">
        <w:rPr>
          <w:rFonts w:asciiTheme="minorHAnsi" w:hAnsiTheme="minorHAnsi"/>
          <w:sz w:val="20"/>
          <w:szCs w:val="20"/>
          <w:lang w:val="en-US"/>
        </w:rPr>
        <w:t>given the</w:t>
      </w:r>
      <w:r w:rsidR="00527CE7" w:rsidRPr="007D47AD">
        <w:rPr>
          <w:rFonts w:asciiTheme="minorHAnsi" w:hAnsiTheme="minorHAnsi"/>
          <w:sz w:val="20"/>
          <w:szCs w:val="20"/>
          <w:lang w:val="en-US"/>
        </w:rPr>
        <w:t>ir</w:t>
      </w:r>
      <w:r w:rsidR="00205001" w:rsidRPr="007D47AD">
        <w:rPr>
          <w:rFonts w:asciiTheme="minorHAnsi" w:hAnsiTheme="minorHAnsi"/>
          <w:sz w:val="20"/>
          <w:szCs w:val="20"/>
          <w:lang w:val="en-US"/>
        </w:rPr>
        <w:t xml:space="preserve"> advanced state of decomposition, it will never be possible to identify 85 of those bodies.</w:t>
      </w:r>
      <w:r w:rsidR="00E87A4D" w:rsidRPr="007D47AD">
        <w:rPr>
          <w:rStyle w:val="FootnoteReference"/>
          <w:rFonts w:asciiTheme="minorHAnsi" w:hAnsiTheme="minorHAnsi"/>
          <w:sz w:val="20"/>
          <w:szCs w:val="20"/>
          <w:lang w:val="en-US"/>
        </w:rPr>
        <w:footnoteReference w:id="159"/>
      </w:r>
      <w:r w:rsidR="00F45A3C" w:rsidRPr="007D47AD">
        <w:rPr>
          <w:rFonts w:asciiTheme="minorHAnsi" w:hAnsiTheme="minorHAnsi"/>
          <w:sz w:val="20"/>
          <w:szCs w:val="20"/>
          <w:lang w:val="en-US"/>
        </w:rPr>
        <w:t xml:space="preserve"> </w:t>
      </w:r>
    </w:p>
    <w:p w:rsidR="009C095D" w:rsidRPr="007D47AD" w:rsidRDefault="00205001" w:rsidP="00E472A2">
      <w:pPr>
        <w:numPr>
          <w:ilvl w:val="0"/>
          <w:numId w:val="6"/>
        </w:numPr>
        <w:shd w:val="clear" w:color="auto" w:fill="FFFFFF"/>
        <w:spacing w:after="240" w:line="240" w:lineRule="auto"/>
        <w:ind w:left="0" w:firstLine="720"/>
        <w:jc w:val="both"/>
        <w:rPr>
          <w:rFonts w:asciiTheme="minorHAnsi" w:hAnsiTheme="minorHAnsi"/>
          <w:sz w:val="20"/>
          <w:szCs w:val="20"/>
          <w:lang w:val="en-US"/>
        </w:rPr>
      </w:pPr>
      <w:r w:rsidRPr="007D47AD">
        <w:rPr>
          <w:rFonts w:asciiTheme="minorHAnsi" w:hAnsiTheme="minorHAnsi"/>
          <w:sz w:val="20"/>
          <w:szCs w:val="20"/>
          <w:lang w:val="en-US"/>
        </w:rPr>
        <w:t>The IACHR values what was reported by the State and its projects for the future creation of autonomous institutions by regions, yet it notes that serious challenges persist when it comes to complying with these recommendations, and that based on the information submitted one cannot anticipate any type of specific or significant progress. Accordingly, it considers that it has not yet met with compliance. The IACHR places itself at the State’s disposal to collaborat</w:t>
      </w:r>
      <w:r w:rsidR="00527CE7" w:rsidRPr="007D47AD">
        <w:rPr>
          <w:rFonts w:asciiTheme="minorHAnsi" w:hAnsiTheme="minorHAnsi"/>
          <w:sz w:val="20"/>
          <w:szCs w:val="20"/>
          <w:lang w:val="en-US"/>
        </w:rPr>
        <w:t xml:space="preserve">e on its policy for </w:t>
      </w:r>
      <w:r w:rsidRPr="007D47AD">
        <w:rPr>
          <w:rFonts w:asciiTheme="minorHAnsi" w:hAnsiTheme="minorHAnsi"/>
          <w:sz w:val="20"/>
          <w:szCs w:val="20"/>
          <w:lang w:val="en-US"/>
        </w:rPr>
        <w:t>exhumation</w:t>
      </w:r>
      <w:r w:rsidR="00527CE7" w:rsidRPr="007D47AD">
        <w:rPr>
          <w:rFonts w:asciiTheme="minorHAnsi" w:hAnsiTheme="minorHAnsi"/>
          <w:sz w:val="20"/>
          <w:szCs w:val="20"/>
          <w:lang w:val="en-US"/>
        </w:rPr>
        <w:t>s</w:t>
      </w:r>
      <w:r w:rsidRPr="007D47AD">
        <w:rPr>
          <w:rFonts w:asciiTheme="minorHAnsi" w:hAnsiTheme="minorHAnsi"/>
          <w:sz w:val="20"/>
          <w:szCs w:val="20"/>
          <w:lang w:val="en-US"/>
        </w:rPr>
        <w:t xml:space="preserve"> and </w:t>
      </w:r>
      <w:r w:rsidR="00527CE7" w:rsidRPr="007D47AD">
        <w:rPr>
          <w:rFonts w:asciiTheme="minorHAnsi" w:hAnsiTheme="minorHAnsi"/>
          <w:sz w:val="20"/>
          <w:szCs w:val="20"/>
          <w:lang w:val="en-US"/>
        </w:rPr>
        <w:t xml:space="preserve">the </w:t>
      </w:r>
      <w:r w:rsidRPr="007D47AD">
        <w:rPr>
          <w:rFonts w:asciiTheme="minorHAnsi" w:hAnsiTheme="minorHAnsi"/>
          <w:sz w:val="20"/>
          <w:szCs w:val="20"/>
          <w:lang w:val="en-US"/>
        </w:rPr>
        <w:t xml:space="preserve">identification of human remains. </w:t>
      </w:r>
    </w:p>
    <w:p w:rsidR="001B210A" w:rsidRPr="007D47AD" w:rsidRDefault="00071C4C" w:rsidP="00CA1826">
      <w:pPr>
        <w:numPr>
          <w:ilvl w:val="0"/>
          <w:numId w:val="6"/>
        </w:numPr>
        <w:shd w:val="clear" w:color="auto" w:fill="FFFFFF"/>
        <w:spacing w:after="240" w:line="240" w:lineRule="auto"/>
        <w:ind w:left="0" w:firstLine="720"/>
        <w:jc w:val="both"/>
        <w:rPr>
          <w:rFonts w:asciiTheme="minorHAnsi" w:eastAsia="Times New Roman" w:hAnsiTheme="minorHAnsi" w:cs="Tahoma"/>
          <w:sz w:val="20"/>
          <w:szCs w:val="20"/>
          <w:lang w:val="en-US"/>
        </w:rPr>
      </w:pPr>
      <w:r w:rsidRPr="007D47AD">
        <w:rPr>
          <w:rFonts w:asciiTheme="minorHAnsi" w:hAnsiTheme="minorHAnsi"/>
          <w:sz w:val="20"/>
          <w:szCs w:val="20"/>
          <w:lang w:val="en-US"/>
        </w:rPr>
        <w:t xml:space="preserve">As regards </w:t>
      </w:r>
      <w:r w:rsidR="00527CE7" w:rsidRPr="007D47AD">
        <w:rPr>
          <w:rFonts w:asciiTheme="minorHAnsi" w:hAnsiTheme="minorHAnsi"/>
          <w:sz w:val="20"/>
          <w:szCs w:val="20"/>
          <w:lang w:val="en-US"/>
        </w:rPr>
        <w:t xml:space="preserve">the recommendations to </w:t>
      </w:r>
      <w:r w:rsidR="009C095D" w:rsidRPr="007D47AD">
        <w:rPr>
          <w:rFonts w:asciiTheme="minorHAnsi" w:hAnsiTheme="minorHAnsi"/>
          <w:b/>
          <w:sz w:val="20"/>
          <w:szCs w:val="20"/>
          <w:lang w:val="en-US"/>
        </w:rPr>
        <w:t>contin</w:t>
      </w:r>
      <w:r w:rsidR="0099525C" w:rsidRPr="007D47AD">
        <w:rPr>
          <w:rFonts w:asciiTheme="minorHAnsi" w:hAnsiTheme="minorHAnsi"/>
          <w:b/>
          <w:sz w:val="20"/>
          <w:szCs w:val="20"/>
          <w:lang w:val="en-US"/>
        </w:rPr>
        <w:t>ue and expand the work of the Forensic Commission for the Identification of Remains in cases found along the routes followed by migrants</w:t>
      </w:r>
      <w:r w:rsidR="00527CE7" w:rsidRPr="007D47AD">
        <w:rPr>
          <w:rFonts w:asciiTheme="minorHAnsi" w:hAnsiTheme="minorHAnsi"/>
          <w:b/>
          <w:sz w:val="20"/>
          <w:szCs w:val="20"/>
          <w:lang w:val="en-US"/>
        </w:rPr>
        <w:t xml:space="preserve"> </w:t>
      </w:r>
      <w:r w:rsidR="00527CE7" w:rsidRPr="007D47AD">
        <w:rPr>
          <w:rFonts w:asciiTheme="minorHAnsi" w:hAnsiTheme="minorHAnsi"/>
          <w:bCs/>
          <w:sz w:val="20"/>
          <w:szCs w:val="20"/>
          <w:lang w:val="en-US"/>
        </w:rPr>
        <w:t>and</w:t>
      </w:r>
      <w:r w:rsidR="0099525C" w:rsidRPr="007D47AD">
        <w:rPr>
          <w:rFonts w:asciiTheme="minorHAnsi" w:hAnsiTheme="minorHAnsi"/>
          <w:b/>
          <w:sz w:val="20"/>
          <w:szCs w:val="20"/>
          <w:lang w:val="en-US"/>
        </w:rPr>
        <w:t xml:space="preserve"> </w:t>
      </w:r>
      <w:r w:rsidR="00527CE7" w:rsidRPr="007D47AD">
        <w:rPr>
          <w:rFonts w:asciiTheme="minorHAnsi" w:hAnsiTheme="minorHAnsi"/>
          <w:b/>
          <w:sz w:val="20"/>
          <w:szCs w:val="20"/>
          <w:lang w:val="en-US"/>
        </w:rPr>
        <w:t xml:space="preserve"> to a</w:t>
      </w:r>
      <w:r w:rsidR="0099525C" w:rsidRPr="007D47AD">
        <w:rPr>
          <w:rFonts w:asciiTheme="minorHAnsi" w:hAnsiTheme="minorHAnsi"/>
          <w:b/>
          <w:sz w:val="20"/>
          <w:szCs w:val="20"/>
          <w:lang w:val="en-US"/>
        </w:rPr>
        <w:t xml:space="preserve">dopt all necessary measures to create a Transnational Mechanism of Access to Justice for Migrants and their Families, </w:t>
      </w:r>
      <w:r w:rsidRPr="007D47AD">
        <w:rPr>
          <w:rFonts w:asciiTheme="minorHAnsi" w:eastAsia="Times New Roman" w:hAnsiTheme="minorHAnsi" w:cs="Tahoma"/>
          <w:sz w:val="20"/>
          <w:szCs w:val="20"/>
          <w:lang w:val="en-US"/>
        </w:rPr>
        <w:t xml:space="preserve">the State reported that the Collaboration Agreement for identifying remains located in </w:t>
      </w:r>
      <w:r w:rsidR="001B210A" w:rsidRPr="007D47AD">
        <w:rPr>
          <w:rFonts w:asciiTheme="minorHAnsi" w:eastAsia="Times New Roman" w:hAnsiTheme="minorHAnsi" w:cs="Tahoma"/>
          <w:sz w:val="20"/>
          <w:szCs w:val="20"/>
          <w:lang w:val="en-US"/>
        </w:rPr>
        <w:t xml:space="preserve">San Fernando, Tamaulipas </w:t>
      </w:r>
      <w:r w:rsidRPr="007D47AD">
        <w:rPr>
          <w:rFonts w:asciiTheme="minorHAnsi" w:eastAsia="Times New Roman" w:hAnsiTheme="minorHAnsi" w:cs="Tahoma"/>
          <w:sz w:val="20"/>
          <w:szCs w:val="20"/>
          <w:lang w:val="en-US"/>
        </w:rPr>
        <w:t xml:space="preserve">and </w:t>
      </w:r>
      <w:r w:rsidR="001B210A" w:rsidRPr="007D47AD">
        <w:rPr>
          <w:rFonts w:asciiTheme="minorHAnsi" w:eastAsia="Times New Roman" w:hAnsiTheme="minorHAnsi" w:cs="Tahoma"/>
          <w:sz w:val="20"/>
          <w:szCs w:val="20"/>
          <w:lang w:val="en-US"/>
        </w:rPr>
        <w:t>Cadereyta, Nuevo León</w:t>
      </w:r>
      <w:r w:rsidRPr="007D47AD">
        <w:rPr>
          <w:rFonts w:asciiTheme="minorHAnsi" w:eastAsia="Times New Roman" w:hAnsiTheme="minorHAnsi" w:cs="Tahoma"/>
          <w:sz w:val="20"/>
          <w:szCs w:val="20"/>
          <w:lang w:val="en-US"/>
        </w:rPr>
        <w:t xml:space="preserve">, entered into by the </w:t>
      </w:r>
      <w:r w:rsidR="002C28B4" w:rsidRPr="007D47AD">
        <w:rPr>
          <w:rFonts w:asciiTheme="minorHAnsi" w:eastAsia="Times New Roman" w:hAnsiTheme="minorHAnsi" w:cs="Tahoma"/>
          <w:sz w:val="20"/>
          <w:szCs w:val="20"/>
          <w:lang w:val="en-US"/>
        </w:rPr>
        <w:t>FGR</w:t>
      </w:r>
      <w:r w:rsidR="001B210A" w:rsidRPr="007D47AD">
        <w:rPr>
          <w:rFonts w:asciiTheme="minorHAnsi" w:eastAsia="Times New Roman" w:hAnsiTheme="minorHAnsi" w:cs="Tahoma"/>
          <w:sz w:val="20"/>
          <w:szCs w:val="20"/>
          <w:lang w:val="en-US"/>
        </w:rPr>
        <w:t xml:space="preserve">, </w:t>
      </w:r>
      <w:r w:rsidRPr="007D47AD">
        <w:rPr>
          <w:rFonts w:asciiTheme="minorHAnsi" w:eastAsia="Times New Roman" w:hAnsiTheme="minorHAnsi" w:cs="Tahoma"/>
          <w:sz w:val="20"/>
          <w:szCs w:val="20"/>
          <w:lang w:val="en-US"/>
        </w:rPr>
        <w:t>the Argentine Forensic Anthropology Team, and non-governmental org</w:t>
      </w:r>
      <w:r w:rsidR="00527CE7" w:rsidRPr="007D47AD">
        <w:rPr>
          <w:rFonts w:asciiTheme="minorHAnsi" w:eastAsia="Times New Roman" w:hAnsiTheme="minorHAnsi" w:cs="Tahoma"/>
          <w:sz w:val="20"/>
          <w:szCs w:val="20"/>
          <w:lang w:val="en-US"/>
        </w:rPr>
        <w:t>a</w:t>
      </w:r>
      <w:r w:rsidRPr="007D47AD">
        <w:rPr>
          <w:rFonts w:asciiTheme="minorHAnsi" w:eastAsia="Times New Roman" w:hAnsiTheme="minorHAnsi" w:cs="Tahoma"/>
          <w:sz w:val="20"/>
          <w:szCs w:val="20"/>
          <w:lang w:val="en-US"/>
        </w:rPr>
        <w:t xml:space="preserve">nizations from several countries </w:t>
      </w:r>
      <w:r w:rsidR="00527CE7" w:rsidRPr="007D47AD">
        <w:rPr>
          <w:rFonts w:asciiTheme="minorHAnsi" w:eastAsia="Times New Roman" w:hAnsiTheme="minorHAnsi" w:cs="Tahoma"/>
          <w:sz w:val="20"/>
          <w:szCs w:val="20"/>
          <w:lang w:val="en-US"/>
        </w:rPr>
        <w:t xml:space="preserve">in </w:t>
      </w:r>
      <w:r w:rsidRPr="007D47AD">
        <w:rPr>
          <w:rFonts w:asciiTheme="minorHAnsi" w:eastAsia="Times New Roman" w:hAnsiTheme="minorHAnsi" w:cs="Tahoma"/>
          <w:sz w:val="20"/>
          <w:szCs w:val="20"/>
          <w:lang w:val="en-US"/>
        </w:rPr>
        <w:t xml:space="preserve">2013 continues to be in force today, </w:t>
      </w:r>
      <w:r w:rsidR="00BD7AB6" w:rsidRPr="007D47AD">
        <w:rPr>
          <w:rFonts w:asciiTheme="minorHAnsi" w:eastAsia="Times New Roman" w:hAnsiTheme="minorHAnsi" w:cs="Tahoma"/>
          <w:sz w:val="20"/>
          <w:szCs w:val="20"/>
          <w:lang w:val="en-US"/>
        </w:rPr>
        <w:t xml:space="preserve">for </w:t>
      </w:r>
      <w:r w:rsidRPr="007D47AD">
        <w:rPr>
          <w:rFonts w:asciiTheme="minorHAnsi" w:eastAsia="Times New Roman" w:hAnsiTheme="minorHAnsi" w:cs="Tahoma"/>
          <w:sz w:val="20"/>
          <w:szCs w:val="20"/>
          <w:lang w:val="en-US"/>
        </w:rPr>
        <w:t>since it was signed none of the parties has expressed interest in considering it concluded</w:t>
      </w:r>
      <w:r w:rsidR="00C919F2" w:rsidRPr="007D47AD">
        <w:rPr>
          <w:rFonts w:asciiTheme="minorHAnsi" w:eastAsia="Times New Roman" w:hAnsiTheme="minorHAnsi" w:cs="Tahoma"/>
          <w:sz w:val="20"/>
          <w:szCs w:val="20"/>
          <w:lang w:val="en-US"/>
        </w:rPr>
        <w:t xml:space="preserve">. </w:t>
      </w:r>
      <w:r w:rsidRPr="007D47AD">
        <w:rPr>
          <w:rFonts w:asciiTheme="minorHAnsi" w:eastAsia="Times New Roman" w:hAnsiTheme="minorHAnsi" w:cs="Tahoma"/>
          <w:sz w:val="20"/>
          <w:szCs w:val="20"/>
          <w:lang w:val="en-US"/>
        </w:rPr>
        <w:t>In addition, the State indicated that it anticipates updating the Protocol for prosecutorial action in investigating crimes committed by and against migrants in vulnerable conditions and those subject to international protection, which today provides elements that facilitate the investigation and prosecution of crimes committed by or against migrants and their families; and to take actions aimed at repairing the harm to the victims or persons offended.</w:t>
      </w:r>
      <w:r w:rsidR="001B210A" w:rsidRPr="007D47AD">
        <w:rPr>
          <w:rFonts w:asciiTheme="minorHAnsi" w:eastAsia="Times New Roman" w:hAnsiTheme="minorHAnsi" w:cs="Tahoma"/>
          <w:sz w:val="20"/>
          <w:szCs w:val="20"/>
          <w:vertAlign w:val="superscript"/>
          <w:lang w:val="en-US"/>
        </w:rPr>
        <w:footnoteReference w:id="160"/>
      </w:r>
      <w:r w:rsidRPr="007D47AD">
        <w:rPr>
          <w:rFonts w:asciiTheme="minorHAnsi" w:eastAsia="Times New Roman" w:hAnsiTheme="minorHAnsi" w:cs="Tahoma"/>
          <w:sz w:val="20"/>
          <w:szCs w:val="20"/>
          <w:lang w:val="en-US"/>
        </w:rPr>
        <w:t xml:space="preserve"> </w:t>
      </w:r>
    </w:p>
    <w:p w:rsidR="001B210A" w:rsidRPr="007D47AD" w:rsidRDefault="00071C4C" w:rsidP="00CA1826">
      <w:pPr>
        <w:numPr>
          <w:ilvl w:val="0"/>
          <w:numId w:val="6"/>
        </w:numPr>
        <w:shd w:val="clear" w:color="auto" w:fill="FFFFFF"/>
        <w:spacing w:after="240" w:line="240" w:lineRule="auto"/>
        <w:ind w:left="0" w:firstLine="720"/>
        <w:jc w:val="both"/>
        <w:rPr>
          <w:rFonts w:asciiTheme="minorHAnsi" w:eastAsia="Times New Roman" w:hAnsiTheme="minorHAnsi" w:cs="Tahoma"/>
          <w:sz w:val="20"/>
          <w:szCs w:val="20"/>
          <w:lang w:val="en-US"/>
        </w:rPr>
      </w:pPr>
      <w:r w:rsidRPr="007D47AD">
        <w:rPr>
          <w:rFonts w:asciiTheme="minorHAnsi" w:eastAsia="Times New Roman" w:hAnsiTheme="minorHAnsi" w:cs="Tahoma"/>
          <w:sz w:val="20"/>
          <w:szCs w:val="20"/>
          <w:lang w:val="en-US"/>
        </w:rPr>
        <w:t>The Commission also takes note of the report of 100 days of the work of the National Search Committee, which presents the beginning of the first regional search plan in the northe</w:t>
      </w:r>
      <w:r w:rsidR="009E1843" w:rsidRPr="007D47AD">
        <w:rPr>
          <w:rFonts w:asciiTheme="minorHAnsi" w:eastAsia="Times New Roman" w:hAnsiTheme="minorHAnsi" w:cs="Tahoma"/>
          <w:sz w:val="20"/>
          <w:szCs w:val="20"/>
          <w:lang w:val="en-US"/>
        </w:rPr>
        <w:t>a</w:t>
      </w:r>
      <w:r w:rsidRPr="007D47AD">
        <w:rPr>
          <w:rFonts w:asciiTheme="minorHAnsi" w:eastAsia="Times New Roman" w:hAnsiTheme="minorHAnsi" w:cs="Tahoma"/>
          <w:sz w:val="20"/>
          <w:szCs w:val="20"/>
          <w:lang w:val="en-US"/>
        </w:rPr>
        <w:t xml:space="preserve">st, in the states of </w:t>
      </w:r>
      <w:r w:rsidR="001B210A" w:rsidRPr="007D47AD">
        <w:rPr>
          <w:rFonts w:asciiTheme="minorHAnsi" w:eastAsia="Times New Roman" w:hAnsiTheme="minorHAnsi" w:cs="Tahoma"/>
          <w:sz w:val="20"/>
          <w:szCs w:val="20"/>
          <w:lang w:val="en-US"/>
        </w:rPr>
        <w:t>Tamaulipas, Nuevo León, Coahuila</w:t>
      </w:r>
      <w:r w:rsidRPr="007D47AD">
        <w:rPr>
          <w:rFonts w:asciiTheme="minorHAnsi" w:eastAsia="Times New Roman" w:hAnsiTheme="minorHAnsi" w:cs="Tahoma"/>
          <w:sz w:val="20"/>
          <w:szCs w:val="20"/>
          <w:lang w:val="en-US"/>
        </w:rPr>
        <w:t xml:space="preserve"> and</w:t>
      </w:r>
      <w:r w:rsidR="001B210A" w:rsidRPr="007D47AD">
        <w:rPr>
          <w:rFonts w:asciiTheme="minorHAnsi" w:eastAsia="Times New Roman" w:hAnsiTheme="minorHAnsi" w:cs="Tahoma"/>
          <w:sz w:val="20"/>
          <w:szCs w:val="20"/>
          <w:lang w:val="en-US"/>
        </w:rPr>
        <w:t xml:space="preserve"> Durango, </w:t>
      </w:r>
      <w:r w:rsidRPr="007D47AD">
        <w:rPr>
          <w:rFonts w:asciiTheme="minorHAnsi" w:eastAsia="Times New Roman" w:hAnsiTheme="minorHAnsi" w:cs="Tahoma"/>
          <w:sz w:val="20"/>
          <w:szCs w:val="20"/>
          <w:lang w:val="en-US"/>
        </w:rPr>
        <w:t>which, according to information from the State, has included the participation of families of disappeared persons, institutions of state governments, and accompaniment of international organizations.</w:t>
      </w:r>
      <w:r w:rsidR="001B210A" w:rsidRPr="007D47AD">
        <w:rPr>
          <w:rFonts w:asciiTheme="minorHAnsi" w:eastAsia="Times New Roman" w:hAnsiTheme="minorHAnsi" w:cs="Tahoma"/>
          <w:sz w:val="20"/>
          <w:szCs w:val="20"/>
          <w:vertAlign w:val="superscript"/>
          <w:lang w:val="en-US"/>
        </w:rPr>
        <w:footnoteReference w:id="161"/>
      </w:r>
    </w:p>
    <w:p w:rsidR="009C095D" w:rsidRPr="007D47AD" w:rsidRDefault="00071C4C" w:rsidP="00CA1826">
      <w:pPr>
        <w:numPr>
          <w:ilvl w:val="0"/>
          <w:numId w:val="6"/>
        </w:numPr>
        <w:shd w:val="clear" w:color="auto" w:fill="FFFFFF"/>
        <w:spacing w:after="240" w:line="240" w:lineRule="auto"/>
        <w:ind w:left="0" w:firstLine="720"/>
        <w:jc w:val="both"/>
        <w:rPr>
          <w:rFonts w:asciiTheme="minorHAnsi" w:eastAsia="Times New Roman" w:hAnsiTheme="minorHAnsi" w:cs="Tahoma"/>
          <w:sz w:val="20"/>
          <w:szCs w:val="20"/>
          <w:lang w:val="en-US"/>
        </w:rPr>
      </w:pPr>
      <w:r w:rsidRPr="007D47AD">
        <w:rPr>
          <w:rFonts w:asciiTheme="minorHAnsi" w:eastAsia="Times New Roman" w:hAnsiTheme="minorHAnsi" w:cs="Tahoma"/>
          <w:sz w:val="20"/>
          <w:szCs w:val="20"/>
          <w:lang w:val="en-US"/>
        </w:rPr>
        <w:t xml:space="preserve">While the State has taken some actions with respect to the recommendations, thus far they have </w:t>
      </w:r>
      <w:r w:rsidR="009E1843" w:rsidRPr="007D47AD">
        <w:rPr>
          <w:rFonts w:asciiTheme="minorHAnsi" w:eastAsia="Times New Roman" w:hAnsiTheme="minorHAnsi" w:cs="Tahoma"/>
          <w:sz w:val="20"/>
          <w:szCs w:val="20"/>
          <w:lang w:val="en-US"/>
        </w:rPr>
        <w:t xml:space="preserve">still </w:t>
      </w:r>
      <w:r w:rsidRPr="007D47AD">
        <w:rPr>
          <w:rFonts w:asciiTheme="minorHAnsi" w:eastAsia="Times New Roman" w:hAnsiTheme="minorHAnsi" w:cs="Tahoma"/>
          <w:sz w:val="20"/>
          <w:szCs w:val="20"/>
          <w:lang w:val="en-US"/>
        </w:rPr>
        <w:t xml:space="preserve">met with only partial compliance. </w:t>
      </w:r>
    </w:p>
    <w:p w:rsidR="00CA1826" w:rsidRPr="007D47AD" w:rsidRDefault="00071C4C" w:rsidP="00CA1826">
      <w:pPr>
        <w:numPr>
          <w:ilvl w:val="0"/>
          <w:numId w:val="6"/>
        </w:numPr>
        <w:shd w:val="clear" w:color="auto" w:fill="FFFFFF"/>
        <w:spacing w:after="0" w:line="240" w:lineRule="auto"/>
        <w:ind w:left="0" w:firstLine="720"/>
        <w:jc w:val="both"/>
        <w:rPr>
          <w:rFonts w:asciiTheme="minorHAnsi" w:hAnsiTheme="minorHAnsi"/>
          <w:sz w:val="20"/>
          <w:szCs w:val="20"/>
          <w:lang w:val="en-US"/>
        </w:rPr>
      </w:pPr>
      <w:r w:rsidRPr="007D47AD">
        <w:rPr>
          <w:rFonts w:asciiTheme="minorHAnsi" w:eastAsia="Times New Roman" w:hAnsiTheme="minorHAnsi" w:cs="Tahoma"/>
          <w:sz w:val="20"/>
          <w:szCs w:val="20"/>
          <w:lang w:val="en-US"/>
        </w:rPr>
        <w:t xml:space="preserve">With respect to the recommendation </w:t>
      </w:r>
      <w:r w:rsidR="0099525C" w:rsidRPr="007D47AD">
        <w:rPr>
          <w:rFonts w:asciiTheme="minorHAnsi" w:eastAsia="Times New Roman" w:hAnsiTheme="minorHAnsi" w:cs="Tahoma"/>
          <w:sz w:val="20"/>
          <w:szCs w:val="20"/>
          <w:lang w:val="en-US"/>
        </w:rPr>
        <w:t xml:space="preserve">to </w:t>
      </w:r>
      <w:r w:rsidR="009C095D" w:rsidRPr="007D47AD">
        <w:rPr>
          <w:rFonts w:asciiTheme="minorHAnsi" w:eastAsia="Times New Roman" w:hAnsiTheme="minorHAnsi" w:cs="Tahoma"/>
          <w:b/>
          <w:sz w:val="20"/>
          <w:szCs w:val="20"/>
          <w:lang w:val="en-US"/>
        </w:rPr>
        <w:t>implement</w:t>
      </w:r>
      <w:r w:rsidR="0099525C" w:rsidRPr="007D47AD">
        <w:rPr>
          <w:rFonts w:asciiTheme="minorHAnsi" w:eastAsia="Times New Roman" w:hAnsiTheme="minorHAnsi" w:cs="Tahoma"/>
          <w:b/>
          <w:sz w:val="20"/>
          <w:szCs w:val="20"/>
          <w:lang w:val="en-US"/>
        </w:rPr>
        <w:t xml:space="preserve"> a national mechanism to facilitate the exchange of forensic information on the unidentified remains of Mexicans and Central Americans disappeared in Mexico with the forensic databases of disappeared migrants that have been developed throughout the region,</w:t>
      </w:r>
      <w:r w:rsidR="00CA1826" w:rsidRPr="007D47AD">
        <w:rPr>
          <w:rFonts w:asciiTheme="minorHAnsi" w:hAnsiTheme="minorHAnsi"/>
          <w:sz w:val="20"/>
          <w:szCs w:val="20"/>
          <w:lang w:val="en-US"/>
        </w:rPr>
        <w:t xml:space="preserve"> </w:t>
      </w:r>
      <w:r w:rsidRPr="007D47AD">
        <w:rPr>
          <w:rFonts w:asciiTheme="minorHAnsi" w:hAnsiTheme="minorHAnsi"/>
          <w:sz w:val="20"/>
          <w:szCs w:val="20"/>
          <w:lang w:val="en-US"/>
        </w:rPr>
        <w:t xml:space="preserve">the State reported that the </w:t>
      </w:r>
      <w:r w:rsidR="00BE4F79" w:rsidRPr="007D47AD">
        <w:rPr>
          <w:rFonts w:asciiTheme="minorHAnsi" w:hAnsiTheme="minorHAnsi"/>
          <w:sz w:val="20"/>
          <w:szCs w:val="20"/>
          <w:lang w:val="en-US"/>
        </w:rPr>
        <w:t>Mechanism for Mexican Foreign Support in the Search and Investigation (</w:t>
      </w:r>
      <w:r w:rsidR="00CA1826" w:rsidRPr="007D47AD">
        <w:rPr>
          <w:rFonts w:asciiTheme="minorHAnsi" w:hAnsiTheme="minorHAnsi"/>
          <w:sz w:val="20"/>
          <w:szCs w:val="20"/>
          <w:lang w:val="en-US"/>
        </w:rPr>
        <w:t>Mecanismo de Apoyo Exterior Mexicano de Búsqueda e Investigación</w:t>
      </w:r>
      <w:r w:rsidRPr="007D47AD">
        <w:rPr>
          <w:rFonts w:asciiTheme="minorHAnsi" w:hAnsiTheme="minorHAnsi"/>
          <w:sz w:val="20"/>
          <w:szCs w:val="20"/>
          <w:lang w:val="en-US"/>
        </w:rPr>
        <w:t>)</w:t>
      </w:r>
      <w:r w:rsidR="00CA1826" w:rsidRPr="007D47AD">
        <w:rPr>
          <w:rFonts w:asciiTheme="minorHAnsi" w:hAnsiTheme="minorHAnsi"/>
          <w:sz w:val="20"/>
          <w:szCs w:val="20"/>
          <w:lang w:val="en-US"/>
        </w:rPr>
        <w:t xml:space="preserve"> </w:t>
      </w:r>
      <w:r w:rsidRPr="007D47AD">
        <w:rPr>
          <w:rFonts w:asciiTheme="minorHAnsi" w:hAnsiTheme="minorHAnsi"/>
          <w:sz w:val="20"/>
          <w:szCs w:val="20"/>
          <w:lang w:val="en-US"/>
        </w:rPr>
        <w:t xml:space="preserve">continues to operate to guarantee access to justice for migrants and their families who are in another country and who cannot file a complaint in Mexican territory, and that while the Mechanism was not specifically established for the exchange of forensic information, it does play an </w:t>
      </w:r>
      <w:r w:rsidR="00CA1826" w:rsidRPr="007D47AD">
        <w:rPr>
          <w:rFonts w:asciiTheme="minorHAnsi" w:hAnsiTheme="minorHAnsi"/>
          <w:sz w:val="20"/>
          <w:szCs w:val="20"/>
          <w:lang w:val="en-US"/>
        </w:rPr>
        <w:t>auxiliar</w:t>
      </w:r>
      <w:r w:rsidRPr="007D47AD">
        <w:rPr>
          <w:rFonts w:asciiTheme="minorHAnsi" w:hAnsiTheme="minorHAnsi"/>
          <w:sz w:val="20"/>
          <w:szCs w:val="20"/>
          <w:lang w:val="en-US"/>
        </w:rPr>
        <w:t>y</w:t>
      </w:r>
      <w:r w:rsidR="00CA1826" w:rsidRPr="007D47AD">
        <w:rPr>
          <w:rFonts w:asciiTheme="minorHAnsi" w:hAnsiTheme="minorHAnsi"/>
          <w:sz w:val="20"/>
          <w:szCs w:val="20"/>
          <w:lang w:val="en-US"/>
        </w:rPr>
        <w:t xml:space="preserve"> </w:t>
      </w:r>
      <w:r w:rsidRPr="007D47AD">
        <w:rPr>
          <w:rFonts w:asciiTheme="minorHAnsi" w:hAnsiTheme="minorHAnsi"/>
          <w:sz w:val="20"/>
          <w:szCs w:val="20"/>
          <w:lang w:val="en-US"/>
        </w:rPr>
        <w:t>role in the investigations .</w:t>
      </w:r>
      <w:r w:rsidR="00CA1826" w:rsidRPr="007D47AD">
        <w:rPr>
          <w:rStyle w:val="FootnoteReference"/>
          <w:rFonts w:asciiTheme="minorHAnsi" w:hAnsiTheme="minorHAnsi"/>
          <w:sz w:val="20"/>
          <w:szCs w:val="20"/>
          <w:lang w:val="en-US"/>
        </w:rPr>
        <w:footnoteReference w:id="162"/>
      </w:r>
    </w:p>
    <w:p w:rsidR="00CA1826" w:rsidRPr="007D47AD" w:rsidRDefault="00CA1826" w:rsidP="00CA1826">
      <w:pPr>
        <w:shd w:val="clear" w:color="auto" w:fill="FFFFFF"/>
        <w:spacing w:after="0" w:line="240" w:lineRule="auto"/>
        <w:ind w:left="720"/>
        <w:jc w:val="both"/>
        <w:rPr>
          <w:rFonts w:asciiTheme="minorHAnsi" w:hAnsiTheme="minorHAnsi"/>
          <w:sz w:val="20"/>
          <w:szCs w:val="20"/>
          <w:lang w:val="en-US"/>
        </w:rPr>
      </w:pPr>
    </w:p>
    <w:p w:rsidR="004E155D" w:rsidRPr="007D47AD" w:rsidRDefault="00071C4C" w:rsidP="00CA1826">
      <w:pPr>
        <w:numPr>
          <w:ilvl w:val="0"/>
          <w:numId w:val="6"/>
        </w:numPr>
        <w:shd w:val="clear" w:color="auto" w:fill="FFFFFF"/>
        <w:spacing w:after="0" w:line="240" w:lineRule="auto"/>
        <w:ind w:left="0" w:firstLine="720"/>
        <w:jc w:val="both"/>
        <w:rPr>
          <w:rFonts w:asciiTheme="minorHAnsi" w:hAnsiTheme="minorHAnsi"/>
          <w:sz w:val="20"/>
          <w:szCs w:val="20"/>
          <w:lang w:val="en-US"/>
        </w:rPr>
      </w:pPr>
      <w:r w:rsidRPr="007D47AD">
        <w:rPr>
          <w:rFonts w:asciiTheme="minorHAnsi" w:hAnsiTheme="minorHAnsi"/>
          <w:sz w:val="20"/>
          <w:szCs w:val="20"/>
          <w:lang w:val="en-US"/>
        </w:rPr>
        <w:t xml:space="preserve">For that reason, while the State has taken some </w:t>
      </w:r>
      <w:r w:rsidR="00CA1826" w:rsidRPr="007D47AD">
        <w:rPr>
          <w:rFonts w:asciiTheme="minorHAnsi" w:hAnsiTheme="minorHAnsi"/>
          <w:sz w:val="20"/>
          <w:szCs w:val="20"/>
          <w:lang w:val="en-US"/>
        </w:rPr>
        <w:t>ac</w:t>
      </w:r>
      <w:r w:rsidRPr="007D47AD">
        <w:rPr>
          <w:rFonts w:asciiTheme="minorHAnsi" w:hAnsiTheme="minorHAnsi"/>
          <w:sz w:val="20"/>
          <w:szCs w:val="20"/>
          <w:lang w:val="en-US"/>
        </w:rPr>
        <w:t>t</w:t>
      </w:r>
      <w:r w:rsidR="00CA1826" w:rsidRPr="007D47AD">
        <w:rPr>
          <w:rFonts w:asciiTheme="minorHAnsi" w:hAnsiTheme="minorHAnsi"/>
          <w:sz w:val="20"/>
          <w:szCs w:val="20"/>
          <w:lang w:val="en-US"/>
        </w:rPr>
        <w:t xml:space="preserve">ions </w:t>
      </w:r>
      <w:r w:rsidRPr="007D47AD">
        <w:rPr>
          <w:rFonts w:asciiTheme="minorHAnsi" w:hAnsiTheme="minorHAnsi"/>
          <w:sz w:val="20"/>
          <w:szCs w:val="20"/>
          <w:lang w:val="en-US"/>
        </w:rPr>
        <w:t xml:space="preserve">with respect to the recommendation, the IACHR maintains its </w:t>
      </w:r>
      <w:r w:rsidR="007E14D9" w:rsidRPr="007D47AD">
        <w:rPr>
          <w:rFonts w:asciiTheme="minorHAnsi" w:hAnsiTheme="minorHAnsi"/>
          <w:sz w:val="20"/>
          <w:szCs w:val="20"/>
          <w:lang w:val="en-US"/>
        </w:rPr>
        <w:t xml:space="preserve">assessment that the recommendation has met with partial substantial compliance and encourages the State to continue efforts to implement and strengthen the mechanism. </w:t>
      </w:r>
    </w:p>
    <w:p w:rsidR="004E155D" w:rsidRPr="007D47AD" w:rsidRDefault="004E155D" w:rsidP="00CA1826">
      <w:pPr>
        <w:shd w:val="clear" w:color="auto" w:fill="FFFFFF"/>
        <w:spacing w:after="0" w:line="240" w:lineRule="auto"/>
        <w:jc w:val="both"/>
        <w:rPr>
          <w:rFonts w:asciiTheme="minorHAnsi" w:hAnsiTheme="minorHAnsi" w:cs="Calibri"/>
          <w:sz w:val="20"/>
          <w:szCs w:val="20"/>
          <w:lang w:val="en-US"/>
        </w:rPr>
      </w:pPr>
    </w:p>
    <w:p w:rsidR="009C095D" w:rsidRPr="007D47AD" w:rsidRDefault="009C095D" w:rsidP="00E472A2">
      <w:pPr>
        <w:pStyle w:val="Heading2"/>
        <w:numPr>
          <w:ilvl w:val="0"/>
          <w:numId w:val="9"/>
        </w:numPr>
        <w:ind w:left="1440" w:hanging="720"/>
        <w:rPr>
          <w:rFonts w:asciiTheme="minorHAnsi" w:hAnsiTheme="minorHAnsi"/>
          <w:sz w:val="20"/>
          <w:lang w:val="en-US"/>
        </w:rPr>
      </w:pPr>
      <w:r w:rsidRPr="007D47AD">
        <w:rPr>
          <w:rFonts w:asciiTheme="minorHAnsi" w:hAnsiTheme="minorHAnsi"/>
          <w:sz w:val="20"/>
          <w:lang w:val="en-US"/>
        </w:rPr>
        <w:lastRenderedPageBreak/>
        <w:t>Acces</w:t>
      </w:r>
      <w:r w:rsidR="007E14D9" w:rsidRPr="007D47AD">
        <w:rPr>
          <w:rFonts w:asciiTheme="minorHAnsi" w:hAnsiTheme="minorHAnsi"/>
          <w:sz w:val="20"/>
          <w:lang w:val="en-US"/>
        </w:rPr>
        <w:t>s</w:t>
      </w:r>
      <w:r w:rsidRPr="007D47AD">
        <w:rPr>
          <w:rFonts w:asciiTheme="minorHAnsi" w:hAnsiTheme="minorHAnsi"/>
          <w:sz w:val="20"/>
          <w:lang w:val="en-US"/>
        </w:rPr>
        <w:t xml:space="preserve"> </w:t>
      </w:r>
      <w:r w:rsidR="007E14D9" w:rsidRPr="007D47AD">
        <w:rPr>
          <w:rFonts w:asciiTheme="minorHAnsi" w:hAnsiTheme="minorHAnsi"/>
          <w:sz w:val="20"/>
          <w:lang w:val="en-US"/>
        </w:rPr>
        <w:t xml:space="preserve">to justice </w:t>
      </w:r>
    </w:p>
    <w:p w:rsidR="009C095D" w:rsidRPr="007D47AD" w:rsidRDefault="0099525C" w:rsidP="00E472A2">
      <w:pPr>
        <w:pStyle w:val="Numberedparagraphs"/>
        <w:numPr>
          <w:ilvl w:val="0"/>
          <w:numId w:val="14"/>
        </w:numPr>
        <w:shd w:val="clear" w:color="auto" w:fill="D9D9D9"/>
        <w:spacing w:after="0"/>
        <w:ind w:hanging="720"/>
        <w:rPr>
          <w:rFonts w:asciiTheme="minorHAnsi" w:hAnsiTheme="minorHAnsi"/>
          <w:lang w:val="en-US"/>
        </w:rPr>
      </w:pPr>
      <w:r w:rsidRPr="007D47AD">
        <w:rPr>
          <w:rFonts w:asciiTheme="minorHAnsi" w:hAnsiTheme="minorHAnsi"/>
          <w:lang w:val="en-US"/>
        </w:rPr>
        <w:t>Strengthen the prosecutors’ offices throughout the country in terms of technical and independent training, with the objective of guaranteeing investigations with due diligence</w:t>
      </w:r>
      <w:r w:rsidR="009C095D" w:rsidRPr="007D47AD">
        <w:rPr>
          <w:rFonts w:asciiTheme="minorHAnsi" w:hAnsiTheme="minorHAnsi"/>
          <w:lang w:val="en-US"/>
        </w:rPr>
        <w:t>.</w:t>
      </w:r>
    </w:p>
    <w:p w:rsidR="009C095D" w:rsidRPr="007D47AD" w:rsidRDefault="009C095D" w:rsidP="00E472A2">
      <w:pPr>
        <w:pStyle w:val="Numberedparagraphs"/>
        <w:numPr>
          <w:ilvl w:val="0"/>
          <w:numId w:val="14"/>
        </w:numPr>
        <w:shd w:val="clear" w:color="auto" w:fill="D9D9D9"/>
        <w:spacing w:after="0"/>
        <w:ind w:hanging="720"/>
        <w:rPr>
          <w:rFonts w:asciiTheme="minorHAnsi" w:hAnsiTheme="minorHAnsi"/>
          <w:lang w:val="en-US"/>
        </w:rPr>
      </w:pPr>
      <w:r w:rsidRPr="007D47AD">
        <w:rPr>
          <w:rFonts w:asciiTheme="minorHAnsi" w:hAnsiTheme="minorHAnsi"/>
          <w:lang w:val="en-US"/>
        </w:rPr>
        <w:t>Establ</w:t>
      </w:r>
      <w:r w:rsidR="0099525C" w:rsidRPr="007D47AD">
        <w:rPr>
          <w:rFonts w:asciiTheme="minorHAnsi" w:hAnsiTheme="minorHAnsi"/>
          <w:lang w:val="en-US"/>
        </w:rPr>
        <w:t>ish a coherent plan regarding cooperation between prosecution authorities at the federal and state levels in the investigation of gross human rights violations, with an integral vision, specific protocols, and the adoption of technical and professional—but not political—criteria for the decision to transfer specific investigations to the federal level</w:t>
      </w:r>
      <w:r w:rsidRPr="007D47AD">
        <w:rPr>
          <w:rFonts w:asciiTheme="minorHAnsi" w:hAnsiTheme="minorHAnsi"/>
          <w:lang w:val="en-US"/>
        </w:rPr>
        <w:t>.</w:t>
      </w:r>
    </w:p>
    <w:p w:rsidR="009C095D" w:rsidRPr="007D47AD" w:rsidRDefault="009C095D" w:rsidP="00E472A2">
      <w:pPr>
        <w:pStyle w:val="Numberedparagraphs"/>
        <w:numPr>
          <w:ilvl w:val="0"/>
          <w:numId w:val="14"/>
        </w:numPr>
        <w:shd w:val="clear" w:color="auto" w:fill="D9D9D9"/>
        <w:spacing w:after="0"/>
        <w:ind w:hanging="720"/>
        <w:rPr>
          <w:rFonts w:asciiTheme="minorHAnsi" w:hAnsiTheme="minorHAnsi"/>
          <w:lang w:val="en-US"/>
        </w:rPr>
      </w:pPr>
      <w:r w:rsidRPr="007D47AD">
        <w:rPr>
          <w:rFonts w:asciiTheme="minorHAnsi" w:hAnsiTheme="minorHAnsi"/>
          <w:lang w:val="en-US"/>
        </w:rPr>
        <w:t>Adopt</w:t>
      </w:r>
      <w:r w:rsidR="0099525C" w:rsidRPr="007D47AD">
        <w:rPr>
          <w:rFonts w:asciiTheme="minorHAnsi" w:hAnsiTheme="minorHAnsi"/>
          <w:lang w:val="en-US"/>
        </w:rPr>
        <w:t xml:space="preserve"> specific protection measures for victims, their families, their representatives, witnesses, experts and defenders who participate in the investigation or search for justice, when they are at risk. Guarantee access to files to families and their legal representatives. Impose appropriate sanctions in cases of reprisals against any of these persons</w:t>
      </w:r>
      <w:r w:rsidRPr="007D47AD">
        <w:rPr>
          <w:rFonts w:asciiTheme="minorHAnsi" w:hAnsiTheme="minorHAnsi"/>
          <w:lang w:val="en-US"/>
        </w:rPr>
        <w:t>.</w:t>
      </w:r>
    </w:p>
    <w:p w:rsidR="009C095D" w:rsidRPr="007D47AD" w:rsidRDefault="009C095D" w:rsidP="00E472A2">
      <w:pPr>
        <w:pStyle w:val="Numberedparagraphs"/>
        <w:numPr>
          <w:ilvl w:val="0"/>
          <w:numId w:val="14"/>
        </w:numPr>
        <w:shd w:val="clear" w:color="auto" w:fill="D9D9D9"/>
        <w:spacing w:after="0"/>
        <w:ind w:hanging="720"/>
        <w:rPr>
          <w:rFonts w:asciiTheme="minorHAnsi" w:hAnsiTheme="minorHAnsi"/>
          <w:lang w:val="en-US"/>
        </w:rPr>
      </w:pPr>
      <w:r w:rsidRPr="007D47AD">
        <w:rPr>
          <w:rFonts w:asciiTheme="minorHAnsi" w:hAnsiTheme="minorHAnsi"/>
          <w:lang w:val="en-US"/>
        </w:rPr>
        <w:t>Adopt</w:t>
      </w:r>
      <w:r w:rsidR="0099525C" w:rsidRPr="007D47AD">
        <w:rPr>
          <w:rFonts w:asciiTheme="minorHAnsi" w:hAnsiTheme="minorHAnsi"/>
          <w:lang w:val="en-US"/>
        </w:rPr>
        <w:t xml:space="preserve"> specific protection measures for justice operators according to their particular needs and in consultation with them</w:t>
      </w:r>
      <w:r w:rsidRPr="007D47AD">
        <w:rPr>
          <w:rFonts w:asciiTheme="minorHAnsi" w:hAnsiTheme="minorHAnsi"/>
          <w:lang w:val="en-US"/>
        </w:rPr>
        <w:t>.</w:t>
      </w:r>
    </w:p>
    <w:p w:rsidR="009C095D" w:rsidRPr="007D47AD" w:rsidRDefault="0099525C" w:rsidP="00E472A2">
      <w:pPr>
        <w:pStyle w:val="Numberedparagraphs"/>
        <w:numPr>
          <w:ilvl w:val="0"/>
          <w:numId w:val="14"/>
        </w:numPr>
        <w:shd w:val="clear" w:color="auto" w:fill="D9D9D9"/>
        <w:spacing w:after="0"/>
        <w:ind w:hanging="720"/>
        <w:rPr>
          <w:rFonts w:asciiTheme="minorHAnsi" w:hAnsiTheme="minorHAnsi"/>
          <w:lang w:val="en-US"/>
        </w:rPr>
      </w:pPr>
      <w:r w:rsidRPr="007D47AD">
        <w:rPr>
          <w:rFonts w:asciiTheme="minorHAnsi" w:hAnsiTheme="minorHAnsi"/>
          <w:lang w:val="en-US"/>
        </w:rPr>
        <w:t>Ensure the implementation of the General Law of Victims and the functioning the Executive Commission of Attention to Victims at the federal and state level. In consultation with civil society organizations and with victims, analyze and address concretely the barriers that impede its effective implementation, and eliminate them.</w:t>
      </w:r>
    </w:p>
    <w:p w:rsidR="009C095D" w:rsidRPr="007D47AD" w:rsidRDefault="009C095D" w:rsidP="00E472A2">
      <w:pPr>
        <w:pStyle w:val="Numberedparagraphs"/>
        <w:numPr>
          <w:ilvl w:val="0"/>
          <w:numId w:val="14"/>
        </w:numPr>
        <w:shd w:val="clear" w:color="auto" w:fill="D9D9D9"/>
        <w:spacing w:after="0"/>
        <w:ind w:hanging="720"/>
        <w:rPr>
          <w:rFonts w:asciiTheme="minorHAnsi" w:hAnsiTheme="minorHAnsi"/>
          <w:lang w:val="en-US"/>
        </w:rPr>
      </w:pPr>
      <w:r w:rsidRPr="007D47AD">
        <w:rPr>
          <w:rFonts w:asciiTheme="minorHAnsi" w:hAnsiTheme="minorHAnsi"/>
          <w:lang w:val="en-US"/>
        </w:rPr>
        <w:t>As</w:t>
      </w:r>
      <w:r w:rsidR="0099525C" w:rsidRPr="007D47AD">
        <w:rPr>
          <w:rFonts w:asciiTheme="minorHAnsi" w:hAnsiTheme="minorHAnsi"/>
          <w:lang w:val="en-US"/>
        </w:rPr>
        <w:t>s</w:t>
      </w:r>
      <w:r w:rsidRPr="007D47AD">
        <w:rPr>
          <w:rFonts w:asciiTheme="minorHAnsi" w:hAnsiTheme="minorHAnsi"/>
          <w:lang w:val="en-US"/>
        </w:rPr>
        <w:t>um</w:t>
      </w:r>
      <w:r w:rsidR="0099525C" w:rsidRPr="007D47AD">
        <w:rPr>
          <w:rFonts w:asciiTheme="minorHAnsi" w:hAnsiTheme="minorHAnsi"/>
          <w:lang w:val="en-US"/>
        </w:rPr>
        <w:t>e</w:t>
      </w:r>
      <w:r w:rsidRPr="007D47AD">
        <w:rPr>
          <w:rFonts w:asciiTheme="minorHAnsi" w:hAnsiTheme="minorHAnsi"/>
          <w:lang w:val="en-US"/>
        </w:rPr>
        <w:t xml:space="preserve"> </w:t>
      </w:r>
      <w:r w:rsidR="0099525C" w:rsidRPr="007D47AD">
        <w:rPr>
          <w:rFonts w:asciiTheme="minorHAnsi" w:hAnsiTheme="minorHAnsi"/>
          <w:lang w:val="en-US"/>
        </w:rPr>
        <w:t>the historic responsibility of accountability for gross human rights violations. Investigate, clarify and punish the acts committed during the time period known as the Dirty War</w:t>
      </w:r>
      <w:r w:rsidRPr="007D47AD">
        <w:rPr>
          <w:rFonts w:asciiTheme="minorHAnsi" w:hAnsiTheme="minorHAnsi"/>
          <w:lang w:val="en-US"/>
        </w:rPr>
        <w:t xml:space="preserve">. </w:t>
      </w:r>
    </w:p>
    <w:p w:rsidR="009C095D" w:rsidRPr="007D47AD" w:rsidRDefault="0099525C" w:rsidP="00E472A2">
      <w:pPr>
        <w:pStyle w:val="Numberedparagraphs"/>
        <w:numPr>
          <w:ilvl w:val="0"/>
          <w:numId w:val="14"/>
        </w:numPr>
        <w:shd w:val="clear" w:color="auto" w:fill="D9D9D9"/>
        <w:spacing w:after="0"/>
        <w:ind w:hanging="720"/>
        <w:rPr>
          <w:rFonts w:asciiTheme="minorHAnsi" w:hAnsiTheme="minorHAnsi"/>
          <w:lang w:val="en-US"/>
        </w:rPr>
      </w:pPr>
      <w:r w:rsidRPr="007D47AD">
        <w:rPr>
          <w:rFonts w:asciiTheme="minorHAnsi" w:hAnsiTheme="minorHAnsi"/>
          <w:lang w:val="en-US"/>
        </w:rPr>
        <w:t>Strengthen the Mechanism of protection for human rights defenders and journalists, guaranteeing its financial sustainability in the long</w:t>
      </w:r>
      <w:r w:rsidR="009E1843" w:rsidRPr="007D47AD">
        <w:rPr>
          <w:rFonts w:asciiTheme="minorHAnsi" w:hAnsiTheme="minorHAnsi"/>
          <w:lang w:val="en-US"/>
        </w:rPr>
        <w:t xml:space="preserve"> </w:t>
      </w:r>
      <w:r w:rsidRPr="007D47AD">
        <w:rPr>
          <w:rFonts w:asciiTheme="minorHAnsi" w:hAnsiTheme="minorHAnsi"/>
          <w:lang w:val="en-US"/>
        </w:rPr>
        <w:t>term and vesting it with greater administrative autonomy, and urging the states to collaborate with it. In turn, the recommendations for the Mechanism are to evaluate and adopt differentiated protection measures taking into account gender, indigenous leaders, environmental defenders; measure the effectiveness of implemented measures; foster the institutional articulation and cooperation with the PGR; and increase the transparency of all actions to increase the trust of the beneficiaries in the mechanism. The foregoing shall be accompanied by a policy of prevention and participation by the population object of the Mechanism.</w:t>
      </w:r>
      <w:r w:rsidR="009E1843" w:rsidRPr="007D47AD">
        <w:rPr>
          <w:rFonts w:asciiTheme="minorHAnsi" w:hAnsiTheme="minorHAnsi"/>
          <w:lang w:val="en-US"/>
        </w:rPr>
        <w:t xml:space="preserve"> </w:t>
      </w:r>
    </w:p>
    <w:p w:rsidR="009C095D" w:rsidRPr="007D47AD" w:rsidRDefault="009C095D" w:rsidP="00E472A2">
      <w:pPr>
        <w:pStyle w:val="Numberedparagraphs"/>
        <w:numPr>
          <w:ilvl w:val="0"/>
          <w:numId w:val="14"/>
        </w:numPr>
        <w:shd w:val="clear" w:color="auto" w:fill="D9D9D9"/>
        <w:spacing w:after="0"/>
        <w:ind w:hanging="720"/>
        <w:rPr>
          <w:rFonts w:asciiTheme="minorHAnsi" w:hAnsiTheme="minorHAnsi"/>
          <w:lang w:val="en-US"/>
        </w:rPr>
      </w:pPr>
      <w:r w:rsidRPr="007D47AD">
        <w:rPr>
          <w:rFonts w:asciiTheme="minorHAnsi" w:hAnsiTheme="minorHAnsi"/>
          <w:lang w:val="en-US"/>
        </w:rPr>
        <w:t>Reform</w:t>
      </w:r>
      <w:r w:rsidR="0099525C" w:rsidRPr="007D47AD">
        <w:rPr>
          <w:rFonts w:asciiTheme="minorHAnsi" w:hAnsiTheme="minorHAnsi"/>
          <w:lang w:val="en-US"/>
        </w:rPr>
        <w:t xml:space="preserve"> the Code of Military Justice to provide that whenever a member of the armed forces commits acts that may constitute a human rights violation, such acts shall be judged by civil</w:t>
      </w:r>
      <w:r w:rsidR="009E1843" w:rsidRPr="007D47AD">
        <w:rPr>
          <w:rFonts w:asciiTheme="minorHAnsi" w:hAnsiTheme="minorHAnsi"/>
          <w:lang w:val="en-US"/>
        </w:rPr>
        <w:t>ian</w:t>
      </w:r>
      <w:r w:rsidR="0099525C" w:rsidRPr="007D47AD">
        <w:rPr>
          <w:rFonts w:asciiTheme="minorHAnsi" w:hAnsiTheme="minorHAnsi"/>
          <w:lang w:val="en-US"/>
        </w:rPr>
        <w:t xml:space="preserve"> </w:t>
      </w:r>
      <w:r w:rsidR="009E1843" w:rsidRPr="007D47AD">
        <w:rPr>
          <w:rFonts w:asciiTheme="minorHAnsi" w:hAnsiTheme="minorHAnsi"/>
          <w:lang w:val="en-US"/>
        </w:rPr>
        <w:t>courts</w:t>
      </w:r>
      <w:r w:rsidR="0099525C" w:rsidRPr="007D47AD">
        <w:rPr>
          <w:rFonts w:asciiTheme="minorHAnsi" w:hAnsiTheme="minorHAnsi"/>
          <w:lang w:val="en-US"/>
        </w:rPr>
        <w:t>, independent of whether the victim is a civilian or a member of the armed forces</w:t>
      </w:r>
      <w:r w:rsidRPr="007D47AD">
        <w:rPr>
          <w:rFonts w:asciiTheme="minorHAnsi" w:hAnsiTheme="minorHAnsi"/>
          <w:lang w:val="en-US"/>
        </w:rPr>
        <w:t>.</w:t>
      </w:r>
    </w:p>
    <w:p w:rsidR="009C095D" w:rsidRPr="007D47AD" w:rsidRDefault="009C095D" w:rsidP="00E472A2">
      <w:pPr>
        <w:pStyle w:val="Numberedparagraphs"/>
        <w:numPr>
          <w:ilvl w:val="0"/>
          <w:numId w:val="14"/>
        </w:numPr>
        <w:shd w:val="clear" w:color="auto" w:fill="D9D9D9"/>
        <w:spacing w:after="0"/>
        <w:ind w:hanging="720"/>
        <w:rPr>
          <w:rFonts w:asciiTheme="minorHAnsi" w:hAnsiTheme="minorHAnsi"/>
          <w:lang w:val="en-US"/>
        </w:rPr>
      </w:pPr>
      <w:r w:rsidRPr="007D47AD">
        <w:rPr>
          <w:rFonts w:asciiTheme="minorHAnsi" w:hAnsiTheme="minorHAnsi"/>
          <w:lang w:val="en-US"/>
        </w:rPr>
        <w:t>Monitor</w:t>
      </w:r>
      <w:r w:rsidR="0099525C" w:rsidRPr="007D47AD">
        <w:rPr>
          <w:rFonts w:asciiTheme="minorHAnsi" w:hAnsiTheme="minorHAnsi"/>
          <w:lang w:val="en-US"/>
        </w:rPr>
        <w:t xml:space="preserve"> the entry into force of the new criminal justice system as well as the effectiven</w:t>
      </w:r>
      <w:r w:rsidR="009E1843" w:rsidRPr="007D47AD">
        <w:rPr>
          <w:rFonts w:asciiTheme="minorHAnsi" w:hAnsiTheme="minorHAnsi"/>
          <w:lang w:val="en-US"/>
        </w:rPr>
        <w:t>e</w:t>
      </w:r>
      <w:r w:rsidR="0099525C" w:rsidRPr="007D47AD">
        <w:rPr>
          <w:rFonts w:asciiTheme="minorHAnsi" w:hAnsiTheme="minorHAnsi"/>
          <w:lang w:val="en-US"/>
        </w:rPr>
        <w:t xml:space="preserve">ss of the trainings regarding it. Include public defenders in the trainings. </w:t>
      </w:r>
    </w:p>
    <w:p w:rsidR="009C095D" w:rsidRPr="007D47AD" w:rsidRDefault="009C095D" w:rsidP="00E472A2">
      <w:pPr>
        <w:pStyle w:val="Numberedparagraphs"/>
        <w:numPr>
          <w:ilvl w:val="0"/>
          <w:numId w:val="14"/>
        </w:numPr>
        <w:shd w:val="clear" w:color="auto" w:fill="D9D9D9"/>
        <w:spacing w:after="0"/>
        <w:ind w:hanging="720"/>
        <w:rPr>
          <w:rFonts w:asciiTheme="minorHAnsi" w:hAnsiTheme="minorHAnsi"/>
          <w:lang w:val="en-US"/>
        </w:rPr>
      </w:pPr>
      <w:r w:rsidRPr="007D47AD">
        <w:rPr>
          <w:rFonts w:asciiTheme="minorHAnsi" w:hAnsiTheme="minorHAnsi"/>
          <w:lang w:val="en-US"/>
        </w:rPr>
        <w:t>Evalua</w:t>
      </w:r>
      <w:r w:rsidR="0099525C" w:rsidRPr="007D47AD">
        <w:rPr>
          <w:rFonts w:asciiTheme="minorHAnsi" w:hAnsiTheme="minorHAnsi"/>
          <w:lang w:val="en-US"/>
        </w:rPr>
        <w:t>te</w:t>
      </w:r>
      <w:r w:rsidRPr="007D47AD">
        <w:rPr>
          <w:rFonts w:asciiTheme="minorHAnsi" w:hAnsiTheme="minorHAnsi"/>
          <w:lang w:val="en-US"/>
        </w:rPr>
        <w:t xml:space="preserve"> </w:t>
      </w:r>
      <w:r w:rsidR="0099525C" w:rsidRPr="007D47AD">
        <w:rPr>
          <w:rFonts w:asciiTheme="minorHAnsi" w:hAnsiTheme="minorHAnsi"/>
          <w:lang w:val="en-US"/>
        </w:rPr>
        <w:t xml:space="preserve">the effective implementation of the new criminal justice system, as well as the areas that will require more specific monitoring, with adequate training and all necessary resources. Include permanent training for justice operators and public defenders regarding </w:t>
      </w:r>
      <w:r w:rsidR="009E1843" w:rsidRPr="007D47AD">
        <w:rPr>
          <w:rFonts w:asciiTheme="minorHAnsi" w:hAnsiTheme="minorHAnsi"/>
          <w:lang w:val="en-US"/>
        </w:rPr>
        <w:t xml:space="preserve">compliance with treaty obligations. </w:t>
      </w:r>
    </w:p>
    <w:p w:rsidR="009C095D" w:rsidRPr="007D47AD" w:rsidRDefault="009C095D" w:rsidP="009C095D">
      <w:pPr>
        <w:pStyle w:val="Numberedparagraphs"/>
        <w:numPr>
          <w:ilvl w:val="0"/>
          <w:numId w:val="0"/>
        </w:numPr>
        <w:spacing w:after="0"/>
        <w:ind w:left="360" w:right="720" w:hanging="360"/>
        <w:rPr>
          <w:rFonts w:asciiTheme="minorHAnsi" w:hAnsiTheme="minorHAnsi"/>
          <w:lang w:val="en-US"/>
        </w:rPr>
      </w:pPr>
    </w:p>
    <w:p w:rsidR="009C095D" w:rsidRPr="007D47AD" w:rsidRDefault="007E14D9" w:rsidP="00A01299">
      <w:pPr>
        <w:numPr>
          <w:ilvl w:val="0"/>
          <w:numId w:val="6"/>
        </w:numPr>
        <w:shd w:val="clear" w:color="auto" w:fill="FFFFFF"/>
        <w:spacing w:after="0" w:line="240" w:lineRule="auto"/>
        <w:ind w:left="0" w:firstLine="720"/>
        <w:jc w:val="both"/>
        <w:rPr>
          <w:rFonts w:asciiTheme="minorHAnsi" w:hAnsiTheme="minorHAnsi"/>
          <w:sz w:val="20"/>
          <w:szCs w:val="20"/>
          <w:lang w:val="en-US"/>
        </w:rPr>
      </w:pPr>
      <w:r w:rsidRPr="007D47AD">
        <w:rPr>
          <w:rFonts w:asciiTheme="minorHAnsi" w:hAnsiTheme="minorHAnsi"/>
          <w:sz w:val="20"/>
          <w:szCs w:val="20"/>
          <w:lang w:val="en-US"/>
        </w:rPr>
        <w:t xml:space="preserve">With respect to the recommendations </w:t>
      </w:r>
      <w:r w:rsidR="0099525C" w:rsidRPr="007D47AD">
        <w:rPr>
          <w:rFonts w:asciiTheme="minorHAnsi" w:hAnsiTheme="minorHAnsi"/>
          <w:sz w:val="20"/>
          <w:szCs w:val="20"/>
          <w:lang w:val="en-US"/>
        </w:rPr>
        <w:t xml:space="preserve">to </w:t>
      </w:r>
      <w:r w:rsidR="0099525C" w:rsidRPr="007D47AD">
        <w:rPr>
          <w:rFonts w:asciiTheme="minorHAnsi" w:hAnsiTheme="minorHAnsi"/>
          <w:b/>
          <w:sz w:val="20"/>
          <w:szCs w:val="20"/>
          <w:lang w:val="en-US"/>
        </w:rPr>
        <w:t xml:space="preserve">strengthen the prosecutors’ offices throughout the country </w:t>
      </w:r>
      <w:r w:rsidR="0099525C" w:rsidRPr="007D47AD">
        <w:rPr>
          <w:rFonts w:asciiTheme="minorHAnsi" w:hAnsiTheme="minorHAnsi"/>
          <w:sz w:val="20"/>
          <w:szCs w:val="20"/>
          <w:lang w:val="en-US"/>
        </w:rPr>
        <w:t>and</w:t>
      </w:r>
      <w:r w:rsidR="009C095D" w:rsidRPr="007D47AD">
        <w:rPr>
          <w:rFonts w:asciiTheme="minorHAnsi" w:hAnsiTheme="minorHAnsi"/>
          <w:sz w:val="20"/>
          <w:szCs w:val="20"/>
          <w:lang w:val="en-US"/>
        </w:rPr>
        <w:t xml:space="preserve"> </w:t>
      </w:r>
      <w:r w:rsidR="009C095D" w:rsidRPr="007D47AD">
        <w:rPr>
          <w:rFonts w:asciiTheme="minorHAnsi" w:hAnsiTheme="minorHAnsi"/>
          <w:b/>
          <w:sz w:val="20"/>
          <w:szCs w:val="20"/>
          <w:lang w:val="en-US"/>
        </w:rPr>
        <w:t>establ</w:t>
      </w:r>
      <w:r w:rsidR="0099525C" w:rsidRPr="007D47AD">
        <w:rPr>
          <w:rFonts w:asciiTheme="minorHAnsi" w:hAnsiTheme="minorHAnsi"/>
          <w:b/>
          <w:sz w:val="20"/>
          <w:szCs w:val="20"/>
          <w:lang w:val="en-US"/>
        </w:rPr>
        <w:t>ish a cooperation plan between prosecution authorities at the federal and state levels,</w:t>
      </w:r>
      <w:r w:rsidR="0058290E" w:rsidRPr="007D47AD">
        <w:rPr>
          <w:rFonts w:asciiTheme="minorHAnsi" w:hAnsiTheme="minorHAnsi"/>
          <w:sz w:val="20"/>
          <w:szCs w:val="20"/>
          <w:lang w:val="en-US"/>
        </w:rPr>
        <w:t xml:space="preserve"> </w:t>
      </w:r>
      <w:r w:rsidRPr="007D47AD">
        <w:rPr>
          <w:rFonts w:asciiTheme="minorHAnsi" w:hAnsiTheme="minorHAnsi"/>
          <w:sz w:val="20"/>
          <w:szCs w:val="20"/>
          <w:lang w:val="en-US"/>
        </w:rPr>
        <w:t xml:space="preserve">the State indicated that from March to September </w:t>
      </w:r>
      <w:r w:rsidR="00852338" w:rsidRPr="007D47AD">
        <w:rPr>
          <w:rFonts w:asciiTheme="minorHAnsi" w:hAnsiTheme="minorHAnsi"/>
          <w:sz w:val="20"/>
          <w:szCs w:val="20"/>
          <w:lang w:val="en-US"/>
        </w:rPr>
        <w:t>2019</w:t>
      </w:r>
      <w:r w:rsidRPr="007D47AD">
        <w:rPr>
          <w:rFonts w:asciiTheme="minorHAnsi" w:hAnsiTheme="minorHAnsi"/>
          <w:sz w:val="20"/>
          <w:szCs w:val="20"/>
          <w:lang w:val="en-US"/>
        </w:rPr>
        <w:t xml:space="preserve">, in all </w:t>
      </w:r>
      <w:r w:rsidR="00852338" w:rsidRPr="007D47AD">
        <w:rPr>
          <w:rFonts w:asciiTheme="minorHAnsi" w:hAnsiTheme="minorHAnsi"/>
          <w:sz w:val="20"/>
          <w:szCs w:val="20"/>
          <w:lang w:val="en-US"/>
        </w:rPr>
        <w:t xml:space="preserve">306 </w:t>
      </w:r>
      <w:r w:rsidRPr="007D47AD">
        <w:rPr>
          <w:rFonts w:asciiTheme="minorHAnsi" w:hAnsiTheme="minorHAnsi"/>
          <w:sz w:val="20"/>
          <w:szCs w:val="20"/>
          <w:lang w:val="en-US"/>
        </w:rPr>
        <w:t xml:space="preserve">public servants who perform law enforcement and justice-related functions received training in the area of human rights </w:t>
      </w:r>
      <w:r w:rsidR="00945B32" w:rsidRPr="007D47AD">
        <w:rPr>
          <w:rFonts w:asciiTheme="minorHAnsi" w:hAnsiTheme="minorHAnsi"/>
          <w:sz w:val="20"/>
          <w:szCs w:val="20"/>
          <w:lang w:val="en-US"/>
        </w:rPr>
        <w:t>(person</w:t>
      </w:r>
      <w:r w:rsidRPr="007D47AD">
        <w:rPr>
          <w:rFonts w:asciiTheme="minorHAnsi" w:hAnsiTheme="minorHAnsi"/>
          <w:sz w:val="20"/>
          <w:szCs w:val="20"/>
          <w:lang w:val="en-US"/>
        </w:rPr>
        <w:t xml:space="preserve">nel from </w:t>
      </w:r>
      <w:r w:rsidR="00945B32" w:rsidRPr="007D47AD">
        <w:rPr>
          <w:rFonts w:asciiTheme="minorHAnsi" w:hAnsiTheme="minorHAnsi"/>
          <w:sz w:val="20"/>
          <w:szCs w:val="20"/>
          <w:lang w:val="en-US"/>
        </w:rPr>
        <w:t xml:space="preserve">SEDENA </w:t>
      </w:r>
      <w:r w:rsidRPr="007D47AD">
        <w:rPr>
          <w:rFonts w:asciiTheme="minorHAnsi" w:hAnsiTheme="minorHAnsi"/>
          <w:sz w:val="20"/>
          <w:szCs w:val="20"/>
          <w:lang w:val="en-US"/>
        </w:rPr>
        <w:t xml:space="preserve">and </w:t>
      </w:r>
      <w:r w:rsidR="00945B32" w:rsidRPr="007D47AD">
        <w:rPr>
          <w:rFonts w:asciiTheme="minorHAnsi" w:hAnsiTheme="minorHAnsi"/>
          <w:sz w:val="20"/>
          <w:szCs w:val="20"/>
          <w:lang w:val="en-US"/>
        </w:rPr>
        <w:t xml:space="preserve">SEMAR, </w:t>
      </w:r>
      <w:r w:rsidRPr="007D47AD">
        <w:rPr>
          <w:rFonts w:asciiTheme="minorHAnsi" w:hAnsiTheme="minorHAnsi"/>
          <w:sz w:val="20"/>
          <w:szCs w:val="20"/>
          <w:lang w:val="en-US"/>
        </w:rPr>
        <w:t xml:space="preserve">the Federal Police, the Deconcentrated Administrative Agency for Prevention and Social Readaptation, </w:t>
      </w:r>
      <w:r w:rsidR="009E1843" w:rsidRPr="007D47AD">
        <w:rPr>
          <w:rFonts w:asciiTheme="minorHAnsi" w:hAnsiTheme="minorHAnsi"/>
          <w:sz w:val="20"/>
          <w:szCs w:val="20"/>
          <w:lang w:val="en-US"/>
        </w:rPr>
        <w:t>the state and federal prosecutors’ offices</w:t>
      </w:r>
      <w:r w:rsidR="001E4BD7" w:rsidRPr="007D47AD">
        <w:rPr>
          <w:rFonts w:asciiTheme="minorHAnsi" w:hAnsiTheme="minorHAnsi"/>
          <w:sz w:val="20"/>
          <w:szCs w:val="20"/>
          <w:lang w:val="en-US"/>
        </w:rPr>
        <w:t xml:space="preserve">, </w:t>
      </w:r>
      <w:r w:rsidR="00852338" w:rsidRPr="007D47AD">
        <w:rPr>
          <w:rFonts w:asciiTheme="minorHAnsi" w:hAnsiTheme="minorHAnsi"/>
          <w:sz w:val="20"/>
          <w:szCs w:val="20"/>
          <w:lang w:val="en-US"/>
        </w:rPr>
        <w:t>secretar</w:t>
      </w:r>
      <w:r w:rsidRPr="007D47AD">
        <w:rPr>
          <w:rFonts w:asciiTheme="minorHAnsi" w:hAnsiTheme="minorHAnsi"/>
          <w:sz w:val="20"/>
          <w:szCs w:val="20"/>
          <w:lang w:val="en-US"/>
        </w:rPr>
        <w:t xml:space="preserve">iats for public security of the states at the three levels of government). It also noted that </w:t>
      </w:r>
      <w:r w:rsidR="00BE4F79" w:rsidRPr="007D47AD">
        <w:rPr>
          <w:rFonts w:asciiTheme="minorHAnsi" w:hAnsiTheme="minorHAnsi"/>
          <w:sz w:val="20"/>
          <w:szCs w:val="20"/>
          <w:lang w:val="en-US"/>
        </w:rPr>
        <w:t xml:space="preserve">as a matter of law </w:t>
      </w:r>
      <w:r w:rsidRPr="007D47AD">
        <w:rPr>
          <w:rFonts w:asciiTheme="minorHAnsi" w:hAnsiTheme="minorHAnsi"/>
          <w:sz w:val="20"/>
          <w:szCs w:val="20"/>
          <w:lang w:val="en-US"/>
        </w:rPr>
        <w:t xml:space="preserve">cooperation between the state and federal levels </w:t>
      </w:r>
      <w:r w:rsidR="001E4BD7" w:rsidRPr="007D47AD">
        <w:rPr>
          <w:rFonts w:asciiTheme="minorHAnsi" w:hAnsiTheme="minorHAnsi"/>
          <w:sz w:val="20"/>
          <w:szCs w:val="20"/>
          <w:lang w:val="en-US"/>
        </w:rPr>
        <w:t xml:space="preserve">is </w:t>
      </w:r>
      <w:r w:rsidRPr="007D47AD">
        <w:rPr>
          <w:rFonts w:asciiTheme="minorHAnsi" w:hAnsiTheme="minorHAnsi"/>
          <w:sz w:val="20"/>
          <w:szCs w:val="20"/>
          <w:lang w:val="en-US"/>
        </w:rPr>
        <w:t>governed by the General Law on Forced Disappearance of Persons</w:t>
      </w:r>
      <w:r w:rsidR="001E4BD7" w:rsidRPr="007D47AD">
        <w:rPr>
          <w:rFonts w:asciiTheme="minorHAnsi" w:hAnsiTheme="minorHAnsi"/>
          <w:sz w:val="20"/>
          <w:szCs w:val="20"/>
          <w:lang w:val="en-US"/>
        </w:rPr>
        <w:t xml:space="preserve"> and </w:t>
      </w:r>
      <w:r w:rsidRPr="007D47AD">
        <w:rPr>
          <w:rFonts w:asciiTheme="minorHAnsi" w:hAnsiTheme="minorHAnsi"/>
          <w:sz w:val="20"/>
          <w:szCs w:val="20"/>
          <w:lang w:val="en-US"/>
        </w:rPr>
        <w:t>Disappearance Committed by Private Persons, the General Law to Prevent, Punish, and Eradicate Crimes of Human Trafficking and for the Protection and Assistance of the Victims of such Crimes, and the General Law to Prevent, Investigate, and Punish Torture and other Cruel, Inhuman or Degrading Treatment or Punishment.</w:t>
      </w:r>
      <w:r w:rsidR="00500E95" w:rsidRPr="007D47AD">
        <w:rPr>
          <w:rStyle w:val="FootnoteReference"/>
          <w:rFonts w:asciiTheme="minorHAnsi" w:hAnsiTheme="minorHAnsi"/>
          <w:sz w:val="20"/>
          <w:szCs w:val="20"/>
          <w:lang w:val="en-US"/>
        </w:rPr>
        <w:footnoteReference w:id="163"/>
      </w:r>
    </w:p>
    <w:p w:rsidR="006B4042" w:rsidRPr="007D47AD" w:rsidRDefault="006B4042" w:rsidP="00A01299">
      <w:pPr>
        <w:shd w:val="clear" w:color="auto" w:fill="FFFFFF"/>
        <w:spacing w:after="0" w:line="240" w:lineRule="auto"/>
        <w:ind w:left="720"/>
        <w:jc w:val="both"/>
        <w:rPr>
          <w:rFonts w:asciiTheme="minorHAnsi" w:hAnsiTheme="minorHAnsi"/>
          <w:sz w:val="20"/>
          <w:szCs w:val="20"/>
          <w:lang w:val="en-US"/>
        </w:rPr>
      </w:pPr>
    </w:p>
    <w:p w:rsidR="00A01299" w:rsidRPr="007D47AD" w:rsidRDefault="006A53A3" w:rsidP="00A01299">
      <w:pPr>
        <w:numPr>
          <w:ilvl w:val="0"/>
          <w:numId w:val="6"/>
        </w:numPr>
        <w:shd w:val="clear" w:color="auto" w:fill="FFFFFF"/>
        <w:spacing w:after="0" w:line="240" w:lineRule="auto"/>
        <w:ind w:left="0" w:firstLine="720"/>
        <w:jc w:val="both"/>
        <w:rPr>
          <w:rFonts w:asciiTheme="minorHAnsi" w:hAnsiTheme="minorHAnsi"/>
          <w:sz w:val="20"/>
          <w:szCs w:val="20"/>
          <w:lang w:val="en-US"/>
        </w:rPr>
      </w:pPr>
      <w:r w:rsidRPr="007D47AD">
        <w:rPr>
          <w:rFonts w:asciiTheme="minorHAnsi" w:hAnsiTheme="minorHAnsi"/>
          <w:sz w:val="20"/>
          <w:szCs w:val="20"/>
          <w:lang w:val="en-US"/>
        </w:rPr>
        <w:t>The IACHR values the training effor</w:t>
      </w:r>
      <w:r w:rsidR="001E4BD7" w:rsidRPr="007D47AD">
        <w:rPr>
          <w:rFonts w:asciiTheme="minorHAnsi" w:hAnsiTheme="minorHAnsi"/>
          <w:sz w:val="20"/>
          <w:szCs w:val="20"/>
          <w:lang w:val="en-US"/>
        </w:rPr>
        <w:t xml:space="preserve">ts and considers </w:t>
      </w:r>
      <w:r w:rsidRPr="007D47AD">
        <w:rPr>
          <w:rFonts w:asciiTheme="minorHAnsi" w:hAnsiTheme="minorHAnsi"/>
          <w:sz w:val="20"/>
          <w:szCs w:val="20"/>
          <w:lang w:val="en-US"/>
        </w:rPr>
        <w:t xml:space="preserve">that the State is making progress towards defining the cooperation functions in the law at the federal and state levels. Nonetheless, even though last year the Commission determined that this recommendation had met with partial substantial compliance, due to the lack of precision in the information reported, specifically in terms of the existence of a plan or policy, as the IACHR noted in its recommendation, it is not possible to determine the level of compliance with these recommendations. </w:t>
      </w:r>
    </w:p>
    <w:p w:rsidR="00C968FA" w:rsidRPr="007D47AD" w:rsidRDefault="00A35E40" w:rsidP="00A01299">
      <w:pPr>
        <w:shd w:val="clear" w:color="auto" w:fill="FFFFFF"/>
        <w:spacing w:after="0" w:line="240" w:lineRule="auto"/>
        <w:jc w:val="both"/>
        <w:rPr>
          <w:rFonts w:asciiTheme="minorHAnsi" w:hAnsiTheme="minorHAnsi"/>
          <w:sz w:val="20"/>
          <w:szCs w:val="20"/>
          <w:lang w:val="en-US"/>
        </w:rPr>
      </w:pPr>
      <w:r w:rsidRPr="007D47AD">
        <w:rPr>
          <w:rFonts w:asciiTheme="minorHAnsi" w:hAnsiTheme="minorHAnsi"/>
          <w:sz w:val="20"/>
          <w:szCs w:val="20"/>
          <w:lang w:val="en-US"/>
        </w:rPr>
        <w:t xml:space="preserve"> </w:t>
      </w:r>
    </w:p>
    <w:p w:rsidR="009C095D" w:rsidRPr="007D47AD" w:rsidRDefault="006A53A3" w:rsidP="00A01299">
      <w:pPr>
        <w:numPr>
          <w:ilvl w:val="0"/>
          <w:numId w:val="6"/>
        </w:numPr>
        <w:shd w:val="clear" w:color="auto" w:fill="FFFFFF"/>
        <w:spacing w:after="0" w:line="240" w:lineRule="auto"/>
        <w:ind w:left="0" w:firstLine="720"/>
        <w:jc w:val="both"/>
        <w:rPr>
          <w:rFonts w:asciiTheme="minorHAnsi" w:hAnsiTheme="minorHAnsi"/>
          <w:sz w:val="20"/>
          <w:szCs w:val="20"/>
          <w:lang w:val="en-US"/>
        </w:rPr>
      </w:pPr>
      <w:r w:rsidRPr="007D47AD">
        <w:rPr>
          <w:rFonts w:asciiTheme="minorHAnsi" w:hAnsiTheme="minorHAnsi"/>
          <w:sz w:val="20"/>
          <w:szCs w:val="20"/>
          <w:lang w:val="en-US"/>
        </w:rPr>
        <w:t>On the recommendation</w:t>
      </w:r>
      <w:r w:rsidR="0099525C" w:rsidRPr="007D47AD">
        <w:rPr>
          <w:rFonts w:asciiTheme="minorHAnsi" w:hAnsiTheme="minorHAnsi"/>
          <w:sz w:val="20"/>
          <w:szCs w:val="20"/>
          <w:lang w:val="en-US"/>
        </w:rPr>
        <w:t xml:space="preserve"> to</w:t>
      </w:r>
      <w:r w:rsidRPr="007D47AD">
        <w:rPr>
          <w:rFonts w:asciiTheme="minorHAnsi" w:hAnsiTheme="minorHAnsi"/>
          <w:sz w:val="20"/>
          <w:szCs w:val="20"/>
          <w:lang w:val="en-US"/>
        </w:rPr>
        <w:t xml:space="preserve"> </w:t>
      </w:r>
      <w:r w:rsidR="009C095D" w:rsidRPr="007D47AD">
        <w:rPr>
          <w:rFonts w:asciiTheme="minorHAnsi" w:hAnsiTheme="minorHAnsi"/>
          <w:b/>
          <w:sz w:val="20"/>
          <w:szCs w:val="20"/>
          <w:lang w:val="en-US"/>
        </w:rPr>
        <w:t>adopt</w:t>
      </w:r>
      <w:r w:rsidR="0099525C" w:rsidRPr="007D47AD">
        <w:rPr>
          <w:rFonts w:asciiTheme="minorHAnsi" w:hAnsiTheme="minorHAnsi"/>
          <w:b/>
          <w:sz w:val="20"/>
          <w:szCs w:val="20"/>
          <w:lang w:val="en-US"/>
        </w:rPr>
        <w:t xml:space="preserve"> measures of </w:t>
      </w:r>
      <w:r w:rsidR="007E181B" w:rsidRPr="007D47AD">
        <w:rPr>
          <w:rFonts w:asciiTheme="minorHAnsi" w:hAnsiTheme="minorHAnsi"/>
          <w:b/>
          <w:sz w:val="20"/>
          <w:szCs w:val="20"/>
          <w:lang w:val="en-US"/>
        </w:rPr>
        <w:t>protection</w:t>
      </w:r>
      <w:r w:rsidR="0099525C" w:rsidRPr="007D47AD">
        <w:rPr>
          <w:rFonts w:asciiTheme="minorHAnsi" w:hAnsiTheme="minorHAnsi"/>
          <w:b/>
          <w:sz w:val="20"/>
          <w:szCs w:val="20"/>
          <w:lang w:val="en-US"/>
        </w:rPr>
        <w:t xml:space="preserve"> </w:t>
      </w:r>
      <w:r w:rsidR="001E4BD7" w:rsidRPr="007D47AD">
        <w:rPr>
          <w:rFonts w:asciiTheme="minorHAnsi" w:hAnsiTheme="minorHAnsi"/>
          <w:b/>
          <w:sz w:val="20"/>
          <w:szCs w:val="20"/>
          <w:lang w:val="en-US"/>
        </w:rPr>
        <w:t xml:space="preserve">for </w:t>
      </w:r>
      <w:r w:rsidR="0099525C" w:rsidRPr="007D47AD">
        <w:rPr>
          <w:rFonts w:asciiTheme="minorHAnsi" w:hAnsiTheme="minorHAnsi"/>
          <w:b/>
          <w:sz w:val="20"/>
          <w:szCs w:val="20"/>
          <w:lang w:val="en-US"/>
        </w:rPr>
        <w:t xml:space="preserve">those who participate in the search for </w:t>
      </w:r>
      <w:r w:rsidR="007E181B" w:rsidRPr="007D47AD">
        <w:rPr>
          <w:rFonts w:asciiTheme="minorHAnsi" w:hAnsiTheme="minorHAnsi"/>
          <w:b/>
          <w:sz w:val="20"/>
          <w:szCs w:val="20"/>
          <w:lang w:val="en-US"/>
        </w:rPr>
        <w:t>justice</w:t>
      </w:r>
      <w:r w:rsidR="0099525C" w:rsidRPr="007D47AD">
        <w:rPr>
          <w:rFonts w:asciiTheme="minorHAnsi" w:hAnsiTheme="minorHAnsi"/>
          <w:b/>
          <w:sz w:val="20"/>
          <w:szCs w:val="20"/>
          <w:lang w:val="en-US"/>
        </w:rPr>
        <w:t xml:space="preserve"> when they are at risk, and ensure access to files and impose sanctions in the event of repr</w:t>
      </w:r>
      <w:r w:rsidR="00EE58D9" w:rsidRPr="007D47AD">
        <w:rPr>
          <w:rFonts w:asciiTheme="minorHAnsi" w:hAnsiTheme="minorHAnsi"/>
          <w:b/>
          <w:sz w:val="20"/>
          <w:szCs w:val="20"/>
          <w:lang w:val="en-US"/>
        </w:rPr>
        <w:t>isa</w:t>
      </w:r>
      <w:r w:rsidR="001E4BD7" w:rsidRPr="007D47AD">
        <w:rPr>
          <w:rFonts w:asciiTheme="minorHAnsi" w:hAnsiTheme="minorHAnsi"/>
          <w:b/>
          <w:sz w:val="20"/>
          <w:szCs w:val="20"/>
          <w:lang w:val="en-US"/>
        </w:rPr>
        <w:t>l</w:t>
      </w:r>
      <w:r w:rsidR="00EE58D9" w:rsidRPr="007D47AD">
        <w:rPr>
          <w:rFonts w:asciiTheme="minorHAnsi" w:hAnsiTheme="minorHAnsi"/>
          <w:b/>
          <w:sz w:val="20"/>
          <w:szCs w:val="20"/>
          <w:lang w:val="en-US"/>
        </w:rPr>
        <w:t>s</w:t>
      </w:r>
      <w:r w:rsidR="009C095D" w:rsidRPr="007D47AD">
        <w:rPr>
          <w:rFonts w:asciiTheme="minorHAnsi" w:hAnsiTheme="minorHAnsi"/>
          <w:sz w:val="20"/>
          <w:szCs w:val="20"/>
          <w:lang w:val="en-US"/>
        </w:rPr>
        <w:t xml:space="preserve">, </w:t>
      </w:r>
      <w:r w:rsidRPr="007D47AD">
        <w:rPr>
          <w:rFonts w:asciiTheme="minorHAnsi" w:hAnsiTheme="minorHAnsi"/>
          <w:sz w:val="20"/>
          <w:szCs w:val="20"/>
          <w:lang w:val="en-US"/>
        </w:rPr>
        <w:t>the State reiterated the continuous implementation of measures to protect the beneficiaries of precautionary and provisional measures of the mechanism for protecting human rights defenders and journalists, in agreement with the beneficiaries and their representatives with the aim of determining a</w:t>
      </w:r>
      <w:r w:rsidR="002C755F" w:rsidRPr="007D47AD">
        <w:rPr>
          <w:rFonts w:asciiTheme="minorHAnsi" w:hAnsiTheme="minorHAnsi"/>
          <w:sz w:val="20"/>
          <w:szCs w:val="20"/>
          <w:lang w:val="en-US"/>
        </w:rPr>
        <w:t>n</w:t>
      </w:r>
      <w:r w:rsidRPr="007D47AD">
        <w:rPr>
          <w:rFonts w:asciiTheme="minorHAnsi" w:hAnsiTheme="minorHAnsi"/>
          <w:sz w:val="20"/>
          <w:szCs w:val="20"/>
          <w:lang w:val="en-US"/>
        </w:rPr>
        <w:t xml:space="preserve"> appropriate route for guaranteeing their lives and integrity. According to the State, from March to September </w:t>
      </w:r>
      <w:r w:rsidR="00A35E40" w:rsidRPr="007D47AD">
        <w:rPr>
          <w:rFonts w:asciiTheme="minorHAnsi" w:hAnsiTheme="minorHAnsi"/>
          <w:sz w:val="20"/>
          <w:szCs w:val="20"/>
          <w:lang w:val="en-US"/>
        </w:rPr>
        <w:t>2019</w:t>
      </w:r>
      <w:r w:rsidR="00B51C68" w:rsidRPr="007D47AD">
        <w:rPr>
          <w:rFonts w:asciiTheme="minorHAnsi" w:hAnsiTheme="minorHAnsi"/>
          <w:sz w:val="20"/>
          <w:szCs w:val="20"/>
          <w:lang w:val="en-US"/>
        </w:rPr>
        <w:t>, 22 personas ha</w:t>
      </w:r>
      <w:r w:rsidRPr="007D47AD">
        <w:rPr>
          <w:rFonts w:asciiTheme="minorHAnsi" w:hAnsiTheme="minorHAnsi"/>
          <w:sz w:val="20"/>
          <w:szCs w:val="20"/>
          <w:lang w:val="en-US"/>
        </w:rPr>
        <w:t xml:space="preserve">ve accessed the </w:t>
      </w:r>
      <w:r w:rsidR="001E4BD7" w:rsidRPr="007D47AD">
        <w:rPr>
          <w:rFonts w:asciiTheme="minorHAnsi" w:hAnsiTheme="minorHAnsi"/>
          <w:sz w:val="20"/>
          <w:szCs w:val="20"/>
          <w:lang w:val="en-US"/>
        </w:rPr>
        <w:t>Protection Mec</w:t>
      </w:r>
      <w:r w:rsidRPr="007D47AD">
        <w:rPr>
          <w:rFonts w:asciiTheme="minorHAnsi" w:hAnsiTheme="minorHAnsi"/>
          <w:sz w:val="20"/>
          <w:szCs w:val="20"/>
          <w:lang w:val="en-US"/>
        </w:rPr>
        <w:t>hanism.</w:t>
      </w:r>
      <w:r w:rsidR="00B51C68" w:rsidRPr="007D47AD">
        <w:rPr>
          <w:rStyle w:val="FootnoteReference"/>
          <w:rFonts w:asciiTheme="minorHAnsi" w:hAnsiTheme="minorHAnsi"/>
          <w:sz w:val="20"/>
          <w:szCs w:val="20"/>
          <w:lang w:val="en-US"/>
        </w:rPr>
        <w:footnoteReference w:id="164"/>
      </w:r>
      <w:r w:rsidR="00B51C68" w:rsidRPr="007D47AD">
        <w:rPr>
          <w:rFonts w:asciiTheme="minorHAnsi" w:hAnsiTheme="minorHAnsi"/>
          <w:sz w:val="20"/>
          <w:szCs w:val="20"/>
          <w:lang w:val="en-US"/>
        </w:rPr>
        <w:t xml:space="preserve"> </w:t>
      </w:r>
      <w:r w:rsidR="002C755F" w:rsidRPr="007D47AD">
        <w:rPr>
          <w:rFonts w:asciiTheme="minorHAnsi" w:hAnsiTheme="minorHAnsi"/>
          <w:sz w:val="20"/>
          <w:szCs w:val="20"/>
          <w:lang w:val="en-US"/>
        </w:rPr>
        <w:t xml:space="preserve"> </w:t>
      </w:r>
      <w:r w:rsidR="00782D97" w:rsidRPr="007D47AD">
        <w:rPr>
          <w:rFonts w:asciiTheme="minorHAnsi" w:hAnsiTheme="minorHAnsi"/>
          <w:sz w:val="20"/>
          <w:szCs w:val="20"/>
          <w:lang w:val="en-US"/>
        </w:rPr>
        <w:t>I</w:t>
      </w:r>
      <w:r w:rsidR="003D0A00" w:rsidRPr="007D47AD">
        <w:rPr>
          <w:rFonts w:asciiTheme="minorHAnsi" w:hAnsiTheme="minorHAnsi"/>
          <w:sz w:val="20"/>
          <w:szCs w:val="20"/>
          <w:lang w:val="en-US"/>
        </w:rPr>
        <w:t xml:space="preserve">n </w:t>
      </w:r>
      <w:r w:rsidR="00782D97" w:rsidRPr="007D47AD">
        <w:rPr>
          <w:rFonts w:asciiTheme="minorHAnsi" w:hAnsiTheme="minorHAnsi"/>
          <w:sz w:val="20"/>
          <w:szCs w:val="20"/>
          <w:lang w:val="en-US"/>
        </w:rPr>
        <w:t xml:space="preserve">its observations on the draft of this report the State added that the </w:t>
      </w:r>
      <w:r w:rsidR="003D0A00" w:rsidRPr="007D47AD">
        <w:rPr>
          <w:rFonts w:asciiTheme="minorHAnsi" w:hAnsiTheme="minorHAnsi"/>
          <w:sz w:val="20"/>
          <w:szCs w:val="20"/>
          <w:lang w:val="en-US"/>
        </w:rPr>
        <w:t xml:space="preserve">CEAV </w:t>
      </w:r>
      <w:r w:rsidR="00782D97" w:rsidRPr="007D47AD">
        <w:rPr>
          <w:rFonts w:asciiTheme="minorHAnsi" w:hAnsiTheme="minorHAnsi"/>
          <w:sz w:val="20"/>
          <w:szCs w:val="20"/>
          <w:lang w:val="en-US"/>
        </w:rPr>
        <w:t>is also involved in the protection process.</w:t>
      </w:r>
      <w:r w:rsidR="003D0A00" w:rsidRPr="007D47AD">
        <w:rPr>
          <w:rStyle w:val="FootnoteReference"/>
          <w:rFonts w:asciiTheme="minorHAnsi" w:hAnsiTheme="minorHAnsi"/>
          <w:sz w:val="20"/>
          <w:szCs w:val="20"/>
          <w:lang w:val="en-US"/>
        </w:rPr>
        <w:footnoteReference w:id="165"/>
      </w:r>
    </w:p>
    <w:p w:rsidR="006B4042" w:rsidRPr="007D47AD" w:rsidRDefault="006B4042" w:rsidP="00A01299">
      <w:pPr>
        <w:shd w:val="clear" w:color="auto" w:fill="FFFFFF"/>
        <w:spacing w:after="0" w:line="240" w:lineRule="auto"/>
        <w:ind w:left="720"/>
        <w:jc w:val="both"/>
        <w:rPr>
          <w:rFonts w:asciiTheme="minorHAnsi" w:hAnsiTheme="minorHAnsi"/>
          <w:sz w:val="20"/>
          <w:szCs w:val="20"/>
          <w:lang w:val="en-US"/>
        </w:rPr>
      </w:pPr>
    </w:p>
    <w:p w:rsidR="00A01299" w:rsidRPr="007D47AD" w:rsidRDefault="001E4BD7" w:rsidP="0000106C">
      <w:pPr>
        <w:numPr>
          <w:ilvl w:val="0"/>
          <w:numId w:val="6"/>
        </w:numPr>
        <w:shd w:val="clear" w:color="auto" w:fill="FFFFFF"/>
        <w:spacing w:after="0" w:line="240" w:lineRule="auto"/>
        <w:ind w:left="0" w:firstLine="720"/>
        <w:jc w:val="both"/>
        <w:rPr>
          <w:rFonts w:asciiTheme="minorHAnsi" w:hAnsiTheme="minorHAnsi"/>
          <w:sz w:val="20"/>
          <w:szCs w:val="20"/>
          <w:lang w:val="en-US"/>
        </w:rPr>
      </w:pPr>
      <w:r w:rsidRPr="007D47AD">
        <w:rPr>
          <w:rFonts w:asciiTheme="minorHAnsi" w:hAnsiTheme="minorHAnsi"/>
          <w:sz w:val="20"/>
          <w:szCs w:val="20"/>
          <w:lang w:val="en-US"/>
        </w:rPr>
        <w:t>T</w:t>
      </w:r>
      <w:r w:rsidR="00EF03C6" w:rsidRPr="007D47AD">
        <w:rPr>
          <w:rFonts w:asciiTheme="minorHAnsi" w:hAnsiTheme="minorHAnsi"/>
          <w:sz w:val="20"/>
          <w:szCs w:val="20"/>
          <w:lang w:val="en-US"/>
        </w:rPr>
        <w:t>he Commission attaches positive value to the protection provided to the persons mentioned. Nonetheless, the IACHR’s recommendation goes not only to the defense of human rights defenders and journalists</w:t>
      </w:r>
      <w:r w:rsidR="00B51C68" w:rsidRPr="007D47AD">
        <w:rPr>
          <w:rFonts w:asciiTheme="minorHAnsi" w:hAnsiTheme="minorHAnsi"/>
          <w:sz w:val="20"/>
          <w:szCs w:val="20"/>
          <w:lang w:val="en-US"/>
        </w:rPr>
        <w:t xml:space="preserve">, </w:t>
      </w:r>
      <w:r w:rsidR="00EF03C6" w:rsidRPr="007D47AD">
        <w:rPr>
          <w:rFonts w:asciiTheme="minorHAnsi" w:hAnsiTheme="minorHAnsi"/>
          <w:sz w:val="20"/>
          <w:szCs w:val="20"/>
          <w:lang w:val="en-US"/>
        </w:rPr>
        <w:t>but in effect is much more comprehensive</w:t>
      </w:r>
      <w:r w:rsidRPr="007D47AD">
        <w:rPr>
          <w:rFonts w:asciiTheme="minorHAnsi" w:hAnsiTheme="minorHAnsi"/>
          <w:sz w:val="20"/>
          <w:szCs w:val="20"/>
          <w:lang w:val="en-US"/>
        </w:rPr>
        <w:t>,</w:t>
      </w:r>
      <w:r w:rsidR="00EF03C6" w:rsidRPr="007D47AD">
        <w:rPr>
          <w:rFonts w:asciiTheme="minorHAnsi" w:hAnsiTheme="minorHAnsi"/>
          <w:sz w:val="20"/>
          <w:szCs w:val="20"/>
          <w:lang w:val="en-US"/>
        </w:rPr>
        <w:t xml:space="preserve"> also includ</w:t>
      </w:r>
      <w:r w:rsidRPr="007D47AD">
        <w:rPr>
          <w:rFonts w:asciiTheme="minorHAnsi" w:hAnsiTheme="minorHAnsi"/>
          <w:sz w:val="20"/>
          <w:szCs w:val="20"/>
          <w:lang w:val="en-US"/>
        </w:rPr>
        <w:t>ing</w:t>
      </w:r>
      <w:r w:rsidR="00EF03C6" w:rsidRPr="007D47AD">
        <w:rPr>
          <w:rFonts w:asciiTheme="minorHAnsi" w:hAnsiTheme="minorHAnsi"/>
          <w:sz w:val="20"/>
          <w:szCs w:val="20"/>
          <w:lang w:val="en-US"/>
        </w:rPr>
        <w:t xml:space="preserve"> all those persons who are involved in the process of seeking and imparting justice. The </w:t>
      </w:r>
      <w:r w:rsidRPr="007D47AD">
        <w:rPr>
          <w:rFonts w:asciiTheme="minorHAnsi" w:hAnsiTheme="minorHAnsi"/>
          <w:sz w:val="20"/>
          <w:szCs w:val="20"/>
          <w:lang w:val="en-US"/>
        </w:rPr>
        <w:t xml:space="preserve">IACHR </w:t>
      </w:r>
      <w:r w:rsidR="00EF03C6" w:rsidRPr="007D47AD">
        <w:rPr>
          <w:rFonts w:asciiTheme="minorHAnsi" w:hAnsiTheme="minorHAnsi"/>
          <w:sz w:val="20"/>
          <w:szCs w:val="20"/>
          <w:lang w:val="en-US"/>
        </w:rPr>
        <w:t xml:space="preserve">will continue monitoring matters related to the adoption of these measures of protection, thus compliance with this recommendation is still pending. </w:t>
      </w:r>
    </w:p>
    <w:p w:rsidR="00A01299" w:rsidRPr="007D47AD" w:rsidRDefault="00A01299" w:rsidP="00A01299">
      <w:pPr>
        <w:shd w:val="clear" w:color="auto" w:fill="FFFFFF"/>
        <w:spacing w:after="0" w:line="240" w:lineRule="auto"/>
        <w:jc w:val="both"/>
        <w:rPr>
          <w:rFonts w:asciiTheme="minorHAnsi" w:hAnsiTheme="minorHAnsi"/>
          <w:sz w:val="20"/>
          <w:szCs w:val="20"/>
          <w:lang w:val="en-US"/>
        </w:rPr>
      </w:pPr>
    </w:p>
    <w:p w:rsidR="0000106C" w:rsidRPr="007D47AD" w:rsidRDefault="00EF03C6" w:rsidP="0000106C">
      <w:pPr>
        <w:numPr>
          <w:ilvl w:val="0"/>
          <w:numId w:val="6"/>
        </w:numPr>
        <w:shd w:val="clear" w:color="auto" w:fill="FFFFFF"/>
        <w:spacing w:after="0" w:line="240" w:lineRule="auto"/>
        <w:ind w:left="0" w:firstLine="720"/>
        <w:jc w:val="both"/>
        <w:rPr>
          <w:rFonts w:asciiTheme="minorHAnsi" w:hAnsiTheme="minorHAnsi"/>
          <w:sz w:val="20"/>
          <w:szCs w:val="20"/>
          <w:lang w:val="en-US"/>
        </w:rPr>
      </w:pPr>
      <w:r w:rsidRPr="007D47AD">
        <w:rPr>
          <w:rFonts w:asciiTheme="minorHAnsi" w:hAnsiTheme="minorHAnsi"/>
          <w:sz w:val="20"/>
          <w:szCs w:val="20"/>
          <w:lang w:val="en-US"/>
        </w:rPr>
        <w:t>As regards th</w:t>
      </w:r>
      <w:r w:rsidR="00EE58D9" w:rsidRPr="007D47AD">
        <w:rPr>
          <w:rFonts w:asciiTheme="minorHAnsi" w:hAnsiTheme="minorHAnsi"/>
          <w:sz w:val="20"/>
          <w:szCs w:val="20"/>
          <w:lang w:val="en-US"/>
        </w:rPr>
        <w:t xml:space="preserve">e recommendation </w:t>
      </w:r>
      <w:r w:rsidR="00EE58D9" w:rsidRPr="007D47AD">
        <w:rPr>
          <w:rFonts w:asciiTheme="minorHAnsi" w:hAnsiTheme="minorHAnsi"/>
          <w:b/>
          <w:sz w:val="20"/>
          <w:szCs w:val="20"/>
          <w:lang w:val="en-US"/>
        </w:rPr>
        <w:t>to adopt specific protection measures for justice operators according to their particular needs and in consultation with them</w:t>
      </w:r>
      <w:r w:rsidR="009C095D" w:rsidRPr="007D47AD">
        <w:rPr>
          <w:rFonts w:asciiTheme="minorHAnsi" w:hAnsiTheme="minorHAnsi"/>
          <w:sz w:val="20"/>
          <w:szCs w:val="20"/>
          <w:lang w:val="en-US"/>
        </w:rPr>
        <w:t xml:space="preserve">, </w:t>
      </w:r>
      <w:r w:rsidR="00782D97" w:rsidRPr="007D47AD">
        <w:rPr>
          <w:rFonts w:asciiTheme="minorHAnsi" w:hAnsiTheme="minorHAnsi"/>
          <w:sz w:val="20"/>
          <w:szCs w:val="20"/>
          <w:lang w:val="en-US"/>
        </w:rPr>
        <w:t>i</w:t>
      </w:r>
      <w:r w:rsidR="003D0A00" w:rsidRPr="007D47AD">
        <w:rPr>
          <w:rFonts w:asciiTheme="minorHAnsi" w:hAnsiTheme="minorHAnsi"/>
          <w:sz w:val="20"/>
          <w:szCs w:val="20"/>
          <w:lang w:val="en-US"/>
        </w:rPr>
        <w:t xml:space="preserve">n </w:t>
      </w:r>
      <w:r w:rsidR="00782D97" w:rsidRPr="007D47AD">
        <w:rPr>
          <w:rFonts w:asciiTheme="minorHAnsi" w:hAnsiTheme="minorHAnsi"/>
          <w:sz w:val="20"/>
          <w:szCs w:val="20"/>
          <w:lang w:val="en-US"/>
        </w:rPr>
        <w:t xml:space="preserve">its observations on the draft of this report </w:t>
      </w:r>
      <w:r w:rsidRPr="007D47AD">
        <w:rPr>
          <w:rFonts w:asciiTheme="minorHAnsi" w:hAnsiTheme="minorHAnsi"/>
          <w:sz w:val="20"/>
          <w:szCs w:val="20"/>
          <w:lang w:val="en-US"/>
        </w:rPr>
        <w:t xml:space="preserve">the State reported that in application of the General Agreement of the Plenary of the Federal Judicial Council on the Assignment, Implementation, and Removal of Security Measures for Public Servants in the Judicial Branch (approved in </w:t>
      </w:r>
      <w:r w:rsidR="00D77CF9" w:rsidRPr="007D47AD">
        <w:rPr>
          <w:rFonts w:asciiTheme="minorHAnsi" w:hAnsiTheme="minorHAnsi"/>
          <w:sz w:val="20"/>
          <w:szCs w:val="20"/>
          <w:lang w:val="en-US"/>
        </w:rPr>
        <w:t xml:space="preserve">2017), </w:t>
      </w:r>
      <w:r w:rsidR="00782D97" w:rsidRPr="007D47AD">
        <w:rPr>
          <w:rFonts w:asciiTheme="minorHAnsi" w:hAnsiTheme="minorHAnsi"/>
          <w:sz w:val="20"/>
          <w:szCs w:val="20"/>
          <w:lang w:val="en-US"/>
        </w:rPr>
        <w:t xml:space="preserve">as of November </w:t>
      </w:r>
      <w:r w:rsidR="003D0A00" w:rsidRPr="007D47AD">
        <w:rPr>
          <w:rFonts w:asciiTheme="minorHAnsi" w:hAnsiTheme="minorHAnsi"/>
          <w:sz w:val="20"/>
          <w:szCs w:val="20"/>
          <w:lang w:val="en-US"/>
        </w:rPr>
        <w:t>30</w:t>
      </w:r>
      <w:r w:rsidR="00782D97" w:rsidRPr="007D47AD">
        <w:rPr>
          <w:rFonts w:asciiTheme="minorHAnsi" w:hAnsiTheme="minorHAnsi"/>
          <w:sz w:val="20"/>
          <w:szCs w:val="20"/>
          <w:lang w:val="en-US"/>
        </w:rPr>
        <w:t>,</w:t>
      </w:r>
      <w:r w:rsidR="003D0A00" w:rsidRPr="007D47AD">
        <w:rPr>
          <w:rFonts w:asciiTheme="minorHAnsi" w:hAnsiTheme="minorHAnsi"/>
          <w:sz w:val="20"/>
          <w:szCs w:val="20"/>
          <w:lang w:val="en-US"/>
        </w:rPr>
        <w:t xml:space="preserve"> 2019, </w:t>
      </w:r>
      <w:r w:rsidR="002C478B" w:rsidRPr="007D47AD">
        <w:rPr>
          <w:rFonts w:asciiTheme="minorHAnsi" w:hAnsiTheme="minorHAnsi"/>
          <w:sz w:val="20"/>
          <w:szCs w:val="20"/>
          <w:lang w:val="en-US"/>
        </w:rPr>
        <w:t xml:space="preserve">the </w:t>
      </w:r>
      <w:r w:rsidR="00782D97" w:rsidRPr="007D47AD">
        <w:rPr>
          <w:rFonts w:asciiTheme="minorHAnsi" w:hAnsiTheme="minorHAnsi"/>
          <w:sz w:val="20"/>
          <w:szCs w:val="20"/>
          <w:lang w:val="en-US"/>
        </w:rPr>
        <w:t xml:space="preserve">Coordinating Body for Security drew up </w:t>
      </w:r>
      <w:r w:rsidR="003D0A00" w:rsidRPr="007D47AD">
        <w:rPr>
          <w:rFonts w:asciiTheme="minorHAnsi" w:hAnsiTheme="minorHAnsi"/>
          <w:sz w:val="20"/>
          <w:szCs w:val="20"/>
          <w:lang w:val="en-US"/>
        </w:rPr>
        <w:t xml:space="preserve">210 </w:t>
      </w:r>
      <w:r w:rsidR="00782D97" w:rsidRPr="007D47AD">
        <w:rPr>
          <w:rFonts w:asciiTheme="minorHAnsi" w:hAnsiTheme="minorHAnsi"/>
          <w:sz w:val="20"/>
          <w:szCs w:val="20"/>
          <w:lang w:val="en-US"/>
        </w:rPr>
        <w:t xml:space="preserve">risk assessments for public servants </w:t>
      </w:r>
      <w:r w:rsidR="002C478B" w:rsidRPr="007D47AD">
        <w:rPr>
          <w:rFonts w:asciiTheme="minorHAnsi" w:hAnsiTheme="minorHAnsi"/>
          <w:sz w:val="20"/>
          <w:szCs w:val="20"/>
          <w:lang w:val="en-US"/>
        </w:rPr>
        <w:t>in</w:t>
      </w:r>
      <w:r w:rsidR="00782D97" w:rsidRPr="007D47AD">
        <w:rPr>
          <w:rFonts w:asciiTheme="minorHAnsi" w:hAnsiTheme="minorHAnsi"/>
          <w:sz w:val="20"/>
          <w:szCs w:val="20"/>
          <w:lang w:val="en-US"/>
        </w:rPr>
        <w:t xml:space="preserve"> the </w:t>
      </w:r>
      <w:r w:rsidR="00CE4F4E" w:rsidRPr="007D47AD">
        <w:rPr>
          <w:rFonts w:asciiTheme="minorHAnsi" w:hAnsiTheme="minorHAnsi"/>
          <w:sz w:val="20"/>
          <w:szCs w:val="20"/>
          <w:lang w:val="en-US"/>
        </w:rPr>
        <w:t>F</w:t>
      </w:r>
      <w:r w:rsidR="001E74D3" w:rsidRPr="007D47AD">
        <w:rPr>
          <w:rFonts w:asciiTheme="minorHAnsi" w:hAnsiTheme="minorHAnsi"/>
          <w:sz w:val="20"/>
          <w:szCs w:val="20"/>
          <w:lang w:val="en-US"/>
        </w:rPr>
        <w:t xml:space="preserve">ederal </w:t>
      </w:r>
      <w:r w:rsidR="00CE4F4E" w:rsidRPr="007D47AD">
        <w:rPr>
          <w:rFonts w:asciiTheme="minorHAnsi" w:hAnsiTheme="minorHAnsi"/>
          <w:sz w:val="20"/>
          <w:szCs w:val="20"/>
          <w:lang w:val="en-US"/>
        </w:rPr>
        <w:t>J</w:t>
      </w:r>
      <w:r w:rsidR="001E74D3" w:rsidRPr="007D47AD">
        <w:rPr>
          <w:rFonts w:asciiTheme="minorHAnsi" w:hAnsiTheme="minorHAnsi"/>
          <w:sz w:val="20"/>
          <w:szCs w:val="20"/>
          <w:lang w:val="en-US"/>
        </w:rPr>
        <w:t>udicia</w:t>
      </w:r>
      <w:r w:rsidR="002C478B" w:rsidRPr="007D47AD">
        <w:rPr>
          <w:rFonts w:asciiTheme="minorHAnsi" w:hAnsiTheme="minorHAnsi"/>
          <w:sz w:val="20"/>
          <w:szCs w:val="20"/>
          <w:lang w:val="en-US"/>
        </w:rPr>
        <w:t>l</w:t>
      </w:r>
      <w:r w:rsidR="00CE4F4E" w:rsidRPr="007D47AD">
        <w:rPr>
          <w:rFonts w:asciiTheme="minorHAnsi" w:hAnsiTheme="minorHAnsi"/>
          <w:sz w:val="20"/>
          <w:szCs w:val="20"/>
          <w:lang w:val="en-US"/>
        </w:rPr>
        <w:t xml:space="preserve"> Branch</w:t>
      </w:r>
      <w:r w:rsidR="001E74D3" w:rsidRPr="007D47AD">
        <w:rPr>
          <w:rFonts w:asciiTheme="minorHAnsi" w:hAnsiTheme="minorHAnsi"/>
          <w:sz w:val="20"/>
          <w:szCs w:val="20"/>
          <w:lang w:val="en-US"/>
        </w:rPr>
        <w:t>.</w:t>
      </w:r>
      <w:r w:rsidR="003D0A00" w:rsidRPr="007D47AD">
        <w:rPr>
          <w:rStyle w:val="FootnoteReference"/>
          <w:rFonts w:asciiTheme="minorHAnsi" w:hAnsiTheme="minorHAnsi"/>
          <w:sz w:val="20"/>
          <w:szCs w:val="20"/>
          <w:lang w:val="en-US"/>
        </w:rPr>
        <w:footnoteReference w:id="166"/>
      </w:r>
      <w:r w:rsidR="001E74D3" w:rsidRPr="007D47AD">
        <w:rPr>
          <w:rFonts w:asciiTheme="minorHAnsi" w:hAnsiTheme="minorHAnsi"/>
          <w:sz w:val="20"/>
          <w:szCs w:val="20"/>
          <w:lang w:val="en-US"/>
        </w:rPr>
        <w:t xml:space="preserve"> </w:t>
      </w:r>
    </w:p>
    <w:p w:rsidR="006B4042" w:rsidRPr="007D47AD" w:rsidRDefault="006B4042" w:rsidP="00A01299">
      <w:pPr>
        <w:shd w:val="clear" w:color="auto" w:fill="FFFFFF"/>
        <w:spacing w:after="0" w:line="240" w:lineRule="auto"/>
        <w:jc w:val="both"/>
        <w:rPr>
          <w:rFonts w:asciiTheme="minorHAnsi" w:hAnsiTheme="minorHAnsi"/>
          <w:sz w:val="20"/>
          <w:szCs w:val="20"/>
          <w:lang w:val="en-US"/>
        </w:rPr>
      </w:pPr>
    </w:p>
    <w:p w:rsidR="00A01299" w:rsidRPr="007D47AD" w:rsidRDefault="00EF03C6" w:rsidP="00EF03C6">
      <w:pPr>
        <w:numPr>
          <w:ilvl w:val="0"/>
          <w:numId w:val="6"/>
        </w:numPr>
        <w:shd w:val="clear" w:color="auto" w:fill="FFFFFF"/>
        <w:spacing w:after="0" w:line="240" w:lineRule="auto"/>
        <w:ind w:left="0" w:firstLine="720"/>
        <w:jc w:val="both"/>
        <w:rPr>
          <w:rFonts w:asciiTheme="minorHAnsi" w:hAnsiTheme="minorHAnsi"/>
          <w:sz w:val="20"/>
          <w:szCs w:val="20"/>
          <w:lang w:val="en-US"/>
        </w:rPr>
      </w:pPr>
      <w:r w:rsidRPr="007D47AD">
        <w:rPr>
          <w:rFonts w:asciiTheme="minorHAnsi" w:hAnsiTheme="minorHAnsi"/>
          <w:sz w:val="20"/>
          <w:szCs w:val="20"/>
          <w:lang w:val="en-US"/>
        </w:rPr>
        <w:t>The adoption of measures of protection on behalf of 68 judicial officers is valued positively by the IACHR</w:t>
      </w:r>
      <w:r w:rsidR="00D77CF9" w:rsidRPr="007D47AD">
        <w:rPr>
          <w:rFonts w:asciiTheme="minorHAnsi" w:hAnsiTheme="minorHAnsi"/>
          <w:sz w:val="20"/>
          <w:szCs w:val="20"/>
          <w:lang w:val="en-US"/>
        </w:rPr>
        <w:t xml:space="preserve">, </w:t>
      </w:r>
      <w:r w:rsidRPr="007D47AD">
        <w:rPr>
          <w:rFonts w:asciiTheme="minorHAnsi" w:hAnsiTheme="minorHAnsi"/>
          <w:sz w:val="20"/>
          <w:szCs w:val="20"/>
          <w:lang w:val="en-US"/>
        </w:rPr>
        <w:t xml:space="preserve">and shows the existence of a certain level of institutionalization of the security measures and on the process of assigning them, with the intent that it be possible to verify the effectiveness of the mechanism. For the IACHR the protection of judicial officers should be taken on as an effective policy of prevention and protection that should include prompt, exhaustive, and diligent investigations of the threats, harassment, assaults, among others </w:t>
      </w:r>
      <w:r w:rsidR="00F94122" w:rsidRPr="007D47AD">
        <w:rPr>
          <w:rFonts w:asciiTheme="minorHAnsi" w:hAnsiTheme="minorHAnsi"/>
          <w:sz w:val="20"/>
          <w:szCs w:val="20"/>
          <w:lang w:val="en-US"/>
        </w:rPr>
        <w:t>act</w:t>
      </w:r>
      <w:r w:rsidRPr="007D47AD">
        <w:rPr>
          <w:rFonts w:asciiTheme="minorHAnsi" w:hAnsiTheme="minorHAnsi"/>
          <w:sz w:val="20"/>
          <w:szCs w:val="20"/>
          <w:lang w:val="en-US"/>
        </w:rPr>
        <w:t>s of</w:t>
      </w:r>
      <w:r w:rsidR="00F94122" w:rsidRPr="007D47AD">
        <w:rPr>
          <w:rFonts w:asciiTheme="minorHAnsi" w:hAnsiTheme="minorHAnsi"/>
          <w:sz w:val="20"/>
          <w:szCs w:val="20"/>
          <w:lang w:val="en-US"/>
        </w:rPr>
        <w:t xml:space="preserve"> intimida</w:t>
      </w:r>
      <w:r w:rsidRPr="007D47AD">
        <w:rPr>
          <w:rFonts w:asciiTheme="minorHAnsi" w:hAnsiTheme="minorHAnsi"/>
          <w:sz w:val="20"/>
          <w:szCs w:val="20"/>
          <w:lang w:val="en-US"/>
        </w:rPr>
        <w:t>tion or interference in their work.</w:t>
      </w:r>
      <w:r w:rsidR="00F94122" w:rsidRPr="007D47AD">
        <w:rPr>
          <w:rStyle w:val="FootnoteReference"/>
          <w:rFonts w:asciiTheme="minorHAnsi" w:hAnsiTheme="minorHAnsi"/>
          <w:sz w:val="20"/>
          <w:szCs w:val="20"/>
          <w:lang w:val="en-US"/>
        </w:rPr>
        <w:footnoteReference w:id="167"/>
      </w:r>
      <w:r w:rsidR="00F94122" w:rsidRPr="007D47AD">
        <w:rPr>
          <w:rFonts w:asciiTheme="minorHAnsi" w:hAnsiTheme="minorHAnsi"/>
          <w:sz w:val="20"/>
          <w:szCs w:val="20"/>
          <w:lang w:val="en-US"/>
        </w:rPr>
        <w:t xml:space="preserve"> </w:t>
      </w:r>
      <w:r w:rsidRPr="007D47AD">
        <w:rPr>
          <w:rFonts w:asciiTheme="minorHAnsi" w:hAnsiTheme="minorHAnsi"/>
          <w:sz w:val="20"/>
          <w:szCs w:val="20"/>
          <w:lang w:val="en-US"/>
        </w:rPr>
        <w:t xml:space="preserve">Taking note of the existence of current measures of protection, the IACHR considers that the recommendation has met with partial compliance. </w:t>
      </w:r>
    </w:p>
    <w:p w:rsidR="00A01299" w:rsidRPr="007D47AD" w:rsidRDefault="00A01299" w:rsidP="00A01299">
      <w:pPr>
        <w:shd w:val="clear" w:color="auto" w:fill="FFFFFF"/>
        <w:spacing w:after="0" w:line="240" w:lineRule="auto"/>
        <w:ind w:left="720"/>
        <w:jc w:val="both"/>
        <w:rPr>
          <w:rFonts w:asciiTheme="minorHAnsi" w:hAnsiTheme="minorHAnsi"/>
          <w:sz w:val="20"/>
          <w:szCs w:val="20"/>
          <w:lang w:val="en-US"/>
        </w:rPr>
      </w:pPr>
    </w:p>
    <w:p w:rsidR="0000106C" w:rsidRPr="007D47AD" w:rsidRDefault="00EF03C6" w:rsidP="00A01299">
      <w:pPr>
        <w:numPr>
          <w:ilvl w:val="0"/>
          <w:numId w:val="6"/>
        </w:numPr>
        <w:shd w:val="clear" w:color="auto" w:fill="FFFFFF"/>
        <w:spacing w:after="0" w:line="240" w:lineRule="auto"/>
        <w:ind w:left="0" w:firstLine="720"/>
        <w:jc w:val="both"/>
        <w:rPr>
          <w:rFonts w:asciiTheme="minorHAnsi" w:hAnsiTheme="minorHAnsi"/>
          <w:sz w:val="20"/>
          <w:szCs w:val="20"/>
          <w:lang w:val="en-US"/>
        </w:rPr>
      </w:pPr>
      <w:r w:rsidRPr="007D47AD">
        <w:rPr>
          <w:rFonts w:asciiTheme="minorHAnsi" w:hAnsiTheme="minorHAnsi"/>
          <w:sz w:val="20"/>
          <w:szCs w:val="20"/>
          <w:lang w:val="en-US"/>
        </w:rPr>
        <w:t xml:space="preserve">As regards the recommendation </w:t>
      </w:r>
      <w:r w:rsidR="001E4BD7" w:rsidRPr="007D47AD">
        <w:rPr>
          <w:rFonts w:asciiTheme="minorHAnsi" w:hAnsiTheme="minorHAnsi"/>
          <w:sz w:val="20"/>
          <w:szCs w:val="20"/>
          <w:lang w:val="en-US"/>
        </w:rPr>
        <w:t xml:space="preserve">to </w:t>
      </w:r>
      <w:r w:rsidR="009C095D" w:rsidRPr="007D47AD">
        <w:rPr>
          <w:rFonts w:asciiTheme="minorHAnsi" w:hAnsiTheme="minorHAnsi"/>
          <w:b/>
          <w:sz w:val="20"/>
          <w:szCs w:val="20"/>
          <w:lang w:val="en-US"/>
        </w:rPr>
        <w:t>implemen</w:t>
      </w:r>
      <w:r w:rsidR="00EE58D9" w:rsidRPr="007D47AD">
        <w:rPr>
          <w:rFonts w:asciiTheme="minorHAnsi" w:hAnsiTheme="minorHAnsi"/>
          <w:b/>
          <w:sz w:val="20"/>
          <w:szCs w:val="20"/>
          <w:lang w:val="en-US"/>
        </w:rPr>
        <w:t>t the General Law on Victims and the functioning of the Executive Commission of Attention to Victims,</w:t>
      </w:r>
      <w:r w:rsidRPr="007D47AD">
        <w:rPr>
          <w:rFonts w:asciiTheme="minorHAnsi" w:hAnsiTheme="minorHAnsi"/>
          <w:b/>
          <w:sz w:val="20"/>
          <w:szCs w:val="20"/>
          <w:lang w:val="en-US"/>
        </w:rPr>
        <w:t xml:space="preserve"> </w:t>
      </w:r>
      <w:r w:rsidRPr="007D47AD">
        <w:rPr>
          <w:rFonts w:asciiTheme="minorHAnsi" w:hAnsiTheme="minorHAnsi"/>
          <w:sz w:val="20"/>
          <w:szCs w:val="20"/>
          <w:lang w:val="en-US"/>
        </w:rPr>
        <w:t xml:space="preserve">the State indicated that the </w:t>
      </w:r>
      <w:r w:rsidR="00204AD1" w:rsidRPr="007D47AD">
        <w:rPr>
          <w:rFonts w:asciiTheme="minorHAnsi" w:hAnsiTheme="minorHAnsi"/>
          <w:sz w:val="20"/>
          <w:szCs w:val="20"/>
          <w:lang w:val="en-US"/>
        </w:rPr>
        <w:t xml:space="preserve">CEAV </w:t>
      </w:r>
      <w:r w:rsidRPr="007D47AD">
        <w:rPr>
          <w:rFonts w:asciiTheme="minorHAnsi" w:hAnsiTheme="minorHAnsi"/>
          <w:sz w:val="20"/>
          <w:szCs w:val="20"/>
          <w:lang w:val="en-US"/>
        </w:rPr>
        <w:t xml:space="preserve">continues accompanying the installation and strengthening of the </w:t>
      </w:r>
      <w:r w:rsidR="0042724C" w:rsidRPr="007D47AD">
        <w:rPr>
          <w:rFonts w:asciiTheme="minorHAnsi" w:hAnsiTheme="minorHAnsi"/>
          <w:sz w:val="20"/>
          <w:szCs w:val="20"/>
          <w:lang w:val="en-US"/>
        </w:rPr>
        <w:t>CEEAV</w:t>
      </w:r>
      <w:r w:rsidRPr="007D47AD">
        <w:rPr>
          <w:rFonts w:asciiTheme="minorHAnsi" w:hAnsiTheme="minorHAnsi"/>
          <w:sz w:val="20"/>
          <w:szCs w:val="20"/>
          <w:lang w:val="en-US"/>
        </w:rPr>
        <w:t>s</w:t>
      </w:r>
      <w:r w:rsidR="00204AD1" w:rsidRPr="007D47AD">
        <w:rPr>
          <w:rFonts w:asciiTheme="minorHAnsi" w:hAnsiTheme="minorHAnsi"/>
          <w:sz w:val="20"/>
          <w:szCs w:val="20"/>
          <w:lang w:val="en-US"/>
        </w:rPr>
        <w:t xml:space="preserve"> </w:t>
      </w:r>
      <w:r w:rsidRPr="007D47AD">
        <w:rPr>
          <w:rFonts w:asciiTheme="minorHAnsi" w:hAnsiTheme="minorHAnsi"/>
          <w:sz w:val="20"/>
          <w:szCs w:val="20"/>
          <w:lang w:val="en-US"/>
        </w:rPr>
        <w:t xml:space="preserve">through technical assistance, advisory services, and help in getting federal resources to the states. This </w:t>
      </w:r>
      <w:r w:rsidR="000D5C25" w:rsidRPr="007D47AD">
        <w:rPr>
          <w:rFonts w:asciiTheme="minorHAnsi" w:hAnsiTheme="minorHAnsi"/>
          <w:sz w:val="20"/>
          <w:szCs w:val="20"/>
          <w:lang w:val="en-US"/>
        </w:rPr>
        <w:t>coopera</w:t>
      </w:r>
      <w:r w:rsidRPr="007D47AD">
        <w:rPr>
          <w:rFonts w:asciiTheme="minorHAnsi" w:hAnsiTheme="minorHAnsi"/>
          <w:sz w:val="20"/>
          <w:szCs w:val="20"/>
          <w:lang w:val="en-US"/>
        </w:rPr>
        <w:t>tion</w:t>
      </w:r>
      <w:r w:rsidR="000D5C25" w:rsidRPr="007D47AD">
        <w:rPr>
          <w:rFonts w:asciiTheme="minorHAnsi" w:hAnsiTheme="minorHAnsi"/>
          <w:sz w:val="20"/>
          <w:szCs w:val="20"/>
          <w:lang w:val="en-US"/>
        </w:rPr>
        <w:t xml:space="preserve"> </w:t>
      </w:r>
      <w:r w:rsidRPr="007D47AD">
        <w:rPr>
          <w:rFonts w:asciiTheme="minorHAnsi" w:hAnsiTheme="minorHAnsi"/>
          <w:sz w:val="20"/>
          <w:szCs w:val="20"/>
          <w:lang w:val="en-US"/>
        </w:rPr>
        <w:t xml:space="preserve">is done through a subprogram called </w:t>
      </w:r>
      <w:r w:rsidR="000D5C25" w:rsidRPr="007D47AD">
        <w:rPr>
          <w:rFonts w:asciiTheme="minorHAnsi" w:hAnsiTheme="minorHAnsi"/>
          <w:sz w:val="20"/>
          <w:szCs w:val="20"/>
          <w:lang w:val="en-US"/>
        </w:rPr>
        <w:t>“</w:t>
      </w:r>
      <w:r w:rsidRPr="007D47AD">
        <w:rPr>
          <w:rFonts w:asciiTheme="minorHAnsi" w:hAnsiTheme="minorHAnsi"/>
          <w:sz w:val="20"/>
          <w:szCs w:val="20"/>
          <w:lang w:val="en-US"/>
        </w:rPr>
        <w:t xml:space="preserve">strengthening offices of legal counsel” in the context of executing the Fund for assistance </w:t>
      </w:r>
      <w:r w:rsidRPr="007D47AD">
        <w:rPr>
          <w:rFonts w:asciiTheme="minorHAnsi" w:hAnsiTheme="minorHAnsi"/>
          <w:sz w:val="20"/>
          <w:szCs w:val="20"/>
          <w:lang w:val="en-US"/>
        </w:rPr>
        <w:lastRenderedPageBreak/>
        <w:t xml:space="preserve">for public security, which also includes training, </w:t>
      </w:r>
      <w:r w:rsidR="000D5C25" w:rsidRPr="007D47AD">
        <w:rPr>
          <w:rFonts w:asciiTheme="minorHAnsi" w:hAnsiTheme="minorHAnsi"/>
          <w:sz w:val="20"/>
          <w:szCs w:val="20"/>
          <w:lang w:val="en-US"/>
        </w:rPr>
        <w:t>infrastructur</w:t>
      </w:r>
      <w:r w:rsidRPr="007D47AD">
        <w:rPr>
          <w:rFonts w:asciiTheme="minorHAnsi" w:hAnsiTheme="minorHAnsi"/>
          <w:sz w:val="20"/>
          <w:szCs w:val="20"/>
          <w:lang w:val="en-US"/>
        </w:rPr>
        <w:t>e</w:t>
      </w:r>
      <w:r w:rsidR="000D5C25" w:rsidRPr="007D47AD">
        <w:rPr>
          <w:rFonts w:asciiTheme="minorHAnsi" w:hAnsiTheme="minorHAnsi"/>
          <w:sz w:val="20"/>
          <w:szCs w:val="20"/>
          <w:lang w:val="en-US"/>
        </w:rPr>
        <w:t>, equip</w:t>
      </w:r>
      <w:r w:rsidRPr="007D47AD">
        <w:rPr>
          <w:rFonts w:asciiTheme="minorHAnsi" w:hAnsiTheme="minorHAnsi"/>
          <w:sz w:val="20"/>
          <w:szCs w:val="20"/>
          <w:lang w:val="en-US"/>
        </w:rPr>
        <w:t xml:space="preserve">ment and contracts. As reported, up to August </w:t>
      </w:r>
      <w:r w:rsidR="000D5C25" w:rsidRPr="007D47AD">
        <w:rPr>
          <w:rFonts w:asciiTheme="minorHAnsi" w:hAnsiTheme="minorHAnsi"/>
          <w:sz w:val="20"/>
          <w:szCs w:val="20"/>
          <w:lang w:val="en-US"/>
        </w:rPr>
        <w:t>2019</w:t>
      </w:r>
      <w:r w:rsidRPr="007D47AD">
        <w:rPr>
          <w:rFonts w:asciiTheme="minorHAnsi" w:hAnsiTheme="minorHAnsi"/>
          <w:sz w:val="20"/>
          <w:szCs w:val="20"/>
          <w:lang w:val="en-US"/>
        </w:rPr>
        <w:t>, in all 21 local public institutions to serve victims were established.</w:t>
      </w:r>
      <w:r w:rsidR="000D5C25" w:rsidRPr="007D47AD">
        <w:rPr>
          <w:rStyle w:val="FootnoteReference"/>
          <w:rFonts w:asciiTheme="minorHAnsi" w:hAnsiTheme="minorHAnsi"/>
          <w:sz w:val="20"/>
          <w:szCs w:val="20"/>
          <w:lang w:val="en-US"/>
        </w:rPr>
        <w:footnoteReference w:id="168"/>
      </w:r>
    </w:p>
    <w:p w:rsidR="00096FA7" w:rsidRPr="007D47AD" w:rsidRDefault="00096FA7" w:rsidP="00096FA7">
      <w:pPr>
        <w:shd w:val="clear" w:color="auto" w:fill="FFFFFF"/>
        <w:spacing w:after="0" w:line="240" w:lineRule="auto"/>
        <w:jc w:val="both"/>
        <w:rPr>
          <w:rFonts w:asciiTheme="minorHAnsi" w:hAnsiTheme="minorHAnsi"/>
          <w:sz w:val="20"/>
          <w:szCs w:val="20"/>
          <w:lang w:val="en-US"/>
        </w:rPr>
      </w:pPr>
    </w:p>
    <w:p w:rsidR="00B040FC" w:rsidRPr="007D47AD" w:rsidRDefault="00EF03C6" w:rsidP="002C073E">
      <w:pPr>
        <w:numPr>
          <w:ilvl w:val="0"/>
          <w:numId w:val="6"/>
        </w:numPr>
        <w:shd w:val="clear" w:color="auto" w:fill="FFFFFF"/>
        <w:spacing w:after="0" w:line="240" w:lineRule="auto"/>
        <w:ind w:left="0" w:firstLine="720"/>
        <w:jc w:val="both"/>
        <w:rPr>
          <w:rFonts w:asciiTheme="minorHAnsi" w:hAnsiTheme="minorHAnsi"/>
          <w:sz w:val="20"/>
          <w:szCs w:val="20"/>
          <w:lang w:val="en-US"/>
        </w:rPr>
      </w:pPr>
      <w:r w:rsidRPr="007D47AD">
        <w:rPr>
          <w:rFonts w:asciiTheme="minorHAnsi" w:hAnsiTheme="minorHAnsi"/>
          <w:sz w:val="20"/>
          <w:szCs w:val="20"/>
          <w:lang w:val="en-US"/>
        </w:rPr>
        <w:t xml:space="preserve">According to the </w:t>
      </w:r>
      <w:r w:rsidR="000D5C25" w:rsidRPr="007D47AD">
        <w:rPr>
          <w:rFonts w:asciiTheme="minorHAnsi" w:hAnsiTheme="minorHAnsi"/>
          <w:sz w:val="20"/>
          <w:szCs w:val="20"/>
          <w:lang w:val="en-US"/>
        </w:rPr>
        <w:t>CNDH</w:t>
      </w:r>
      <w:r w:rsidR="000D5C25" w:rsidRPr="007D47AD">
        <w:rPr>
          <w:rStyle w:val="FootnoteReference"/>
          <w:rFonts w:asciiTheme="minorHAnsi" w:hAnsiTheme="minorHAnsi"/>
          <w:sz w:val="20"/>
          <w:szCs w:val="20"/>
          <w:lang w:val="en-US"/>
        </w:rPr>
        <w:footnoteReference w:id="169"/>
      </w:r>
      <w:r w:rsidR="000D5C25" w:rsidRPr="007D47AD">
        <w:rPr>
          <w:rFonts w:asciiTheme="minorHAnsi" w:hAnsiTheme="minorHAnsi"/>
          <w:sz w:val="20"/>
          <w:szCs w:val="20"/>
          <w:lang w:val="en-US"/>
        </w:rPr>
        <w:t xml:space="preserve">, </w:t>
      </w:r>
      <w:r w:rsidRPr="007D47AD">
        <w:rPr>
          <w:rFonts w:asciiTheme="minorHAnsi" w:hAnsiTheme="minorHAnsi"/>
          <w:sz w:val="20"/>
          <w:szCs w:val="20"/>
          <w:lang w:val="en-US"/>
        </w:rPr>
        <w:t xml:space="preserve">nine more </w:t>
      </w:r>
      <w:r w:rsidR="000D5C25" w:rsidRPr="007D47AD">
        <w:rPr>
          <w:rFonts w:asciiTheme="minorHAnsi" w:hAnsiTheme="minorHAnsi"/>
          <w:sz w:val="20"/>
          <w:szCs w:val="20"/>
          <w:lang w:val="en-US"/>
        </w:rPr>
        <w:t>CEEAV</w:t>
      </w:r>
      <w:r w:rsidRPr="007D47AD">
        <w:rPr>
          <w:rFonts w:asciiTheme="minorHAnsi" w:hAnsiTheme="minorHAnsi"/>
          <w:sz w:val="20"/>
          <w:szCs w:val="20"/>
          <w:lang w:val="en-US"/>
        </w:rPr>
        <w:t>s have yet to be installed</w:t>
      </w:r>
      <w:r w:rsidR="000D5C25" w:rsidRPr="007D47AD">
        <w:rPr>
          <w:rStyle w:val="FootnoteReference"/>
          <w:rFonts w:asciiTheme="minorHAnsi" w:hAnsiTheme="minorHAnsi"/>
          <w:sz w:val="20"/>
          <w:szCs w:val="20"/>
          <w:lang w:val="en-US"/>
        </w:rPr>
        <w:footnoteReference w:id="170"/>
      </w:r>
      <w:r w:rsidR="007A7D7D" w:rsidRPr="007D47AD">
        <w:rPr>
          <w:rFonts w:asciiTheme="minorHAnsi" w:hAnsiTheme="minorHAnsi"/>
          <w:sz w:val="20"/>
          <w:szCs w:val="20"/>
          <w:lang w:val="en-US"/>
        </w:rPr>
        <w:t xml:space="preserve">, </w:t>
      </w:r>
      <w:r w:rsidRPr="007D47AD">
        <w:rPr>
          <w:rFonts w:asciiTheme="minorHAnsi" w:hAnsiTheme="minorHAnsi"/>
          <w:sz w:val="20"/>
          <w:szCs w:val="20"/>
          <w:lang w:val="en-US"/>
        </w:rPr>
        <w:t xml:space="preserve"> </w:t>
      </w:r>
      <w:r w:rsidR="00D21667" w:rsidRPr="007D47AD">
        <w:rPr>
          <w:rFonts w:asciiTheme="minorHAnsi" w:hAnsiTheme="minorHAnsi"/>
          <w:sz w:val="20"/>
          <w:szCs w:val="20"/>
          <w:lang w:val="en-US"/>
        </w:rPr>
        <w:t xml:space="preserve">yet as of August </w:t>
      </w:r>
      <w:r w:rsidR="000D5C66" w:rsidRPr="007D47AD">
        <w:rPr>
          <w:rFonts w:asciiTheme="minorHAnsi" w:hAnsiTheme="minorHAnsi"/>
          <w:sz w:val="20"/>
          <w:szCs w:val="20"/>
          <w:lang w:val="en-US"/>
        </w:rPr>
        <w:t xml:space="preserve">2019 </w:t>
      </w:r>
      <w:r w:rsidR="00D21667" w:rsidRPr="007D47AD">
        <w:rPr>
          <w:rFonts w:asciiTheme="minorHAnsi" w:hAnsiTheme="minorHAnsi"/>
          <w:sz w:val="20"/>
          <w:szCs w:val="20"/>
          <w:lang w:val="en-US"/>
        </w:rPr>
        <w:t xml:space="preserve">it was only able to </w:t>
      </w:r>
      <w:r w:rsidR="000D5C66" w:rsidRPr="007D47AD">
        <w:rPr>
          <w:rFonts w:asciiTheme="minorHAnsi" w:hAnsiTheme="minorHAnsi"/>
          <w:sz w:val="20"/>
          <w:szCs w:val="20"/>
          <w:lang w:val="en-US"/>
        </w:rPr>
        <w:t>corrobora</w:t>
      </w:r>
      <w:r w:rsidR="00D21667" w:rsidRPr="007D47AD">
        <w:rPr>
          <w:rFonts w:asciiTheme="minorHAnsi" w:hAnsiTheme="minorHAnsi"/>
          <w:sz w:val="20"/>
          <w:szCs w:val="20"/>
          <w:lang w:val="en-US"/>
        </w:rPr>
        <w:t xml:space="preserve">te the installation and operation </w:t>
      </w:r>
      <w:r w:rsidR="000D5C66" w:rsidRPr="007D47AD">
        <w:rPr>
          <w:rFonts w:asciiTheme="minorHAnsi" w:hAnsiTheme="minorHAnsi"/>
          <w:sz w:val="20"/>
          <w:szCs w:val="20"/>
          <w:lang w:val="en-US"/>
        </w:rPr>
        <w:t xml:space="preserve"> </w:t>
      </w:r>
      <w:r w:rsidR="00D21667" w:rsidRPr="007D47AD">
        <w:rPr>
          <w:rFonts w:asciiTheme="minorHAnsi" w:hAnsiTheme="minorHAnsi"/>
          <w:sz w:val="20"/>
          <w:szCs w:val="20"/>
          <w:lang w:val="en-US"/>
        </w:rPr>
        <w:t xml:space="preserve">of the </w:t>
      </w:r>
      <w:r w:rsidR="000D5C66" w:rsidRPr="007D47AD">
        <w:rPr>
          <w:rFonts w:asciiTheme="minorHAnsi" w:hAnsiTheme="minorHAnsi"/>
          <w:sz w:val="20"/>
          <w:szCs w:val="20"/>
          <w:lang w:val="en-US"/>
        </w:rPr>
        <w:t>CEEAV</w:t>
      </w:r>
      <w:r w:rsidR="00D21667" w:rsidRPr="007D47AD">
        <w:rPr>
          <w:rFonts w:asciiTheme="minorHAnsi" w:hAnsiTheme="minorHAnsi"/>
          <w:sz w:val="20"/>
          <w:szCs w:val="20"/>
          <w:lang w:val="en-US"/>
        </w:rPr>
        <w:t>s</w:t>
      </w:r>
      <w:r w:rsidR="000D5C66" w:rsidRPr="007D47AD">
        <w:rPr>
          <w:rFonts w:asciiTheme="minorHAnsi" w:hAnsiTheme="minorHAnsi"/>
          <w:sz w:val="20"/>
          <w:szCs w:val="20"/>
          <w:lang w:val="en-US"/>
        </w:rPr>
        <w:t xml:space="preserve"> </w:t>
      </w:r>
      <w:r w:rsidR="00D21667" w:rsidRPr="007D47AD">
        <w:rPr>
          <w:rFonts w:asciiTheme="minorHAnsi" w:hAnsiTheme="minorHAnsi"/>
          <w:sz w:val="20"/>
          <w:szCs w:val="20"/>
          <w:lang w:val="en-US"/>
        </w:rPr>
        <w:t xml:space="preserve">in </w:t>
      </w:r>
      <w:r w:rsidR="000D5C66" w:rsidRPr="007D47AD">
        <w:rPr>
          <w:rFonts w:asciiTheme="minorHAnsi" w:hAnsiTheme="minorHAnsi"/>
          <w:sz w:val="20"/>
          <w:szCs w:val="20"/>
          <w:lang w:val="en-US"/>
        </w:rPr>
        <w:t xml:space="preserve">Sinaloa </w:t>
      </w:r>
      <w:r w:rsidR="00D21667" w:rsidRPr="007D47AD">
        <w:rPr>
          <w:rFonts w:asciiTheme="minorHAnsi" w:hAnsiTheme="minorHAnsi"/>
          <w:sz w:val="20"/>
          <w:szCs w:val="20"/>
          <w:lang w:val="en-US"/>
        </w:rPr>
        <w:t>and Mexico City</w:t>
      </w:r>
      <w:r w:rsidR="000D5C66" w:rsidRPr="007D47AD">
        <w:rPr>
          <w:rFonts w:asciiTheme="minorHAnsi" w:hAnsiTheme="minorHAnsi"/>
          <w:sz w:val="20"/>
          <w:szCs w:val="20"/>
          <w:lang w:val="en-US"/>
        </w:rPr>
        <w:t>.</w:t>
      </w:r>
    </w:p>
    <w:p w:rsidR="00B040FC" w:rsidRPr="007D47AD" w:rsidRDefault="00B040FC" w:rsidP="002C073E">
      <w:pPr>
        <w:shd w:val="clear" w:color="auto" w:fill="FFFFFF"/>
        <w:spacing w:after="0" w:line="240" w:lineRule="auto"/>
        <w:ind w:left="720"/>
        <w:jc w:val="both"/>
        <w:rPr>
          <w:rFonts w:asciiTheme="minorHAnsi" w:hAnsiTheme="minorHAnsi"/>
          <w:sz w:val="20"/>
          <w:szCs w:val="20"/>
          <w:lang w:val="en-US"/>
        </w:rPr>
      </w:pPr>
    </w:p>
    <w:p w:rsidR="0000106C" w:rsidRPr="007D47AD" w:rsidRDefault="00D21667" w:rsidP="00D937BC">
      <w:pPr>
        <w:numPr>
          <w:ilvl w:val="0"/>
          <w:numId w:val="6"/>
        </w:numPr>
        <w:shd w:val="clear" w:color="auto" w:fill="FFFFFF"/>
        <w:spacing w:after="0" w:line="240" w:lineRule="auto"/>
        <w:ind w:left="0" w:firstLine="720"/>
        <w:jc w:val="both"/>
        <w:rPr>
          <w:rFonts w:asciiTheme="minorHAnsi" w:hAnsiTheme="minorHAnsi"/>
          <w:sz w:val="20"/>
          <w:szCs w:val="20"/>
          <w:lang w:val="en-US"/>
        </w:rPr>
      </w:pPr>
      <w:r w:rsidRPr="007D47AD">
        <w:rPr>
          <w:rFonts w:asciiTheme="minorHAnsi" w:hAnsiTheme="minorHAnsi"/>
          <w:sz w:val="20"/>
          <w:szCs w:val="20"/>
          <w:lang w:val="en-US"/>
        </w:rPr>
        <w:t xml:space="preserve">The IACHR notes that in 2019 the </w:t>
      </w:r>
      <w:r w:rsidR="008A389B" w:rsidRPr="007D47AD">
        <w:rPr>
          <w:rFonts w:asciiTheme="minorHAnsi" w:hAnsiTheme="minorHAnsi"/>
          <w:sz w:val="20"/>
          <w:szCs w:val="20"/>
          <w:lang w:val="en-US"/>
        </w:rPr>
        <w:t xml:space="preserve">CEAV </w:t>
      </w:r>
      <w:r w:rsidRPr="007D47AD">
        <w:rPr>
          <w:rFonts w:asciiTheme="minorHAnsi" w:hAnsiTheme="minorHAnsi"/>
          <w:sz w:val="20"/>
          <w:szCs w:val="20"/>
          <w:lang w:val="en-US"/>
        </w:rPr>
        <w:t xml:space="preserve">conducted an open public consultation on attention to victims in Mexico with a view to undertaking an assessment that would make it possible to plan its operations for the </w:t>
      </w:r>
      <w:r w:rsidR="008A389B" w:rsidRPr="007D47AD">
        <w:rPr>
          <w:rFonts w:asciiTheme="minorHAnsi" w:hAnsiTheme="minorHAnsi"/>
          <w:sz w:val="20"/>
          <w:szCs w:val="20"/>
          <w:lang w:val="en-US"/>
        </w:rPr>
        <w:t>2019</w:t>
      </w:r>
      <w:r w:rsidRPr="007D47AD">
        <w:rPr>
          <w:rFonts w:asciiTheme="minorHAnsi" w:hAnsiTheme="minorHAnsi"/>
          <w:sz w:val="20"/>
          <w:szCs w:val="20"/>
          <w:lang w:val="en-US"/>
        </w:rPr>
        <w:t>-</w:t>
      </w:r>
      <w:r w:rsidR="008A389B" w:rsidRPr="007D47AD">
        <w:rPr>
          <w:rFonts w:asciiTheme="minorHAnsi" w:hAnsiTheme="minorHAnsi"/>
          <w:sz w:val="20"/>
          <w:szCs w:val="20"/>
          <w:lang w:val="en-US"/>
        </w:rPr>
        <w:t>2024</w:t>
      </w:r>
      <w:r w:rsidRPr="007D47AD">
        <w:rPr>
          <w:rFonts w:asciiTheme="minorHAnsi" w:hAnsiTheme="minorHAnsi"/>
          <w:sz w:val="20"/>
          <w:szCs w:val="20"/>
          <w:lang w:val="en-US"/>
        </w:rPr>
        <w:t xml:space="preserve"> period</w:t>
      </w:r>
      <w:r w:rsidR="008A389B" w:rsidRPr="007D47AD">
        <w:rPr>
          <w:rFonts w:asciiTheme="minorHAnsi" w:hAnsiTheme="minorHAnsi"/>
          <w:sz w:val="20"/>
          <w:szCs w:val="20"/>
          <w:lang w:val="en-US"/>
        </w:rPr>
        <w:t>.</w:t>
      </w:r>
      <w:r w:rsidR="007A7D7D" w:rsidRPr="007D47AD">
        <w:rPr>
          <w:rFonts w:asciiTheme="minorHAnsi" w:hAnsiTheme="minorHAnsi"/>
          <w:sz w:val="20"/>
          <w:szCs w:val="20"/>
          <w:lang w:val="en-US"/>
        </w:rPr>
        <w:t xml:space="preserve"> </w:t>
      </w:r>
      <w:r w:rsidR="001E74D3" w:rsidRPr="007D47AD">
        <w:rPr>
          <w:rFonts w:asciiTheme="minorHAnsi" w:hAnsiTheme="minorHAnsi"/>
          <w:sz w:val="20"/>
          <w:szCs w:val="20"/>
          <w:lang w:val="en-US"/>
        </w:rPr>
        <w:t>I</w:t>
      </w:r>
      <w:r w:rsidR="003D0A00" w:rsidRPr="007D47AD">
        <w:rPr>
          <w:rFonts w:asciiTheme="minorHAnsi" w:hAnsiTheme="minorHAnsi"/>
          <w:sz w:val="20"/>
          <w:szCs w:val="20"/>
          <w:lang w:val="en-US"/>
        </w:rPr>
        <w:t xml:space="preserve">n </w:t>
      </w:r>
      <w:r w:rsidR="001E74D3" w:rsidRPr="007D47AD">
        <w:rPr>
          <w:rFonts w:asciiTheme="minorHAnsi" w:hAnsiTheme="minorHAnsi"/>
          <w:sz w:val="20"/>
          <w:szCs w:val="20"/>
          <w:lang w:val="en-US"/>
        </w:rPr>
        <w:t xml:space="preserve">its observations on the draft of this report the State indicated that the public consultation received </w:t>
      </w:r>
      <w:r w:rsidR="003D0A00" w:rsidRPr="007D47AD">
        <w:rPr>
          <w:rFonts w:asciiTheme="minorHAnsi" w:hAnsiTheme="minorHAnsi"/>
          <w:sz w:val="20"/>
          <w:szCs w:val="20"/>
          <w:lang w:val="en-US"/>
        </w:rPr>
        <w:t xml:space="preserve">383 </w:t>
      </w:r>
      <w:r w:rsidR="001E74D3" w:rsidRPr="007D47AD">
        <w:rPr>
          <w:rFonts w:asciiTheme="minorHAnsi" w:hAnsiTheme="minorHAnsi"/>
          <w:sz w:val="20"/>
          <w:szCs w:val="20"/>
          <w:lang w:val="en-US"/>
        </w:rPr>
        <w:t>questionnaires.</w:t>
      </w:r>
      <w:r w:rsidR="003D0A00" w:rsidRPr="007D47AD">
        <w:rPr>
          <w:rStyle w:val="FootnoteReference"/>
          <w:rFonts w:asciiTheme="minorHAnsi" w:hAnsiTheme="minorHAnsi"/>
          <w:sz w:val="20"/>
          <w:szCs w:val="20"/>
          <w:lang w:val="en-US"/>
        </w:rPr>
        <w:footnoteReference w:id="171"/>
      </w:r>
      <w:r w:rsidR="003D0A00" w:rsidRPr="007D47AD">
        <w:rPr>
          <w:rFonts w:asciiTheme="minorHAnsi" w:hAnsiTheme="minorHAnsi"/>
          <w:sz w:val="20"/>
          <w:szCs w:val="20"/>
          <w:lang w:val="en-US"/>
        </w:rPr>
        <w:t xml:space="preserve"> </w:t>
      </w:r>
      <w:r w:rsidRPr="007D47AD">
        <w:rPr>
          <w:rFonts w:asciiTheme="minorHAnsi" w:hAnsiTheme="minorHAnsi"/>
          <w:sz w:val="20"/>
          <w:szCs w:val="20"/>
          <w:lang w:val="en-US"/>
        </w:rPr>
        <w:t xml:space="preserve">The survey revealed that there are shortcomings in care for victims in terms of personnel available to help them, and that at least half the victims who received support or accompaniment obtained advisory services, representation, and legal counseling, and approximately </w:t>
      </w:r>
      <w:r w:rsidR="00E2449F" w:rsidRPr="007D47AD">
        <w:rPr>
          <w:rFonts w:asciiTheme="minorHAnsi" w:hAnsiTheme="minorHAnsi"/>
          <w:sz w:val="20"/>
          <w:szCs w:val="20"/>
          <w:lang w:val="en-US"/>
        </w:rPr>
        <w:t xml:space="preserve">3 </w:t>
      </w:r>
      <w:r w:rsidRPr="007D47AD">
        <w:rPr>
          <w:rFonts w:asciiTheme="minorHAnsi" w:hAnsiTheme="minorHAnsi"/>
          <w:sz w:val="20"/>
          <w:szCs w:val="20"/>
          <w:lang w:val="en-US"/>
        </w:rPr>
        <w:t xml:space="preserve">of every </w:t>
      </w:r>
      <w:r w:rsidR="00E2449F" w:rsidRPr="007D47AD">
        <w:rPr>
          <w:rFonts w:asciiTheme="minorHAnsi" w:hAnsiTheme="minorHAnsi"/>
          <w:sz w:val="20"/>
          <w:szCs w:val="20"/>
          <w:lang w:val="en-US"/>
        </w:rPr>
        <w:t xml:space="preserve">10 </w:t>
      </w:r>
      <w:r w:rsidRPr="007D47AD">
        <w:rPr>
          <w:rFonts w:asciiTheme="minorHAnsi" w:hAnsiTheme="minorHAnsi"/>
          <w:sz w:val="20"/>
          <w:szCs w:val="20"/>
          <w:lang w:val="en-US"/>
        </w:rPr>
        <w:t xml:space="preserve">received psychological first aid or emotional containment, </w:t>
      </w:r>
      <w:r w:rsidR="001E4BD7" w:rsidRPr="007D47AD">
        <w:rPr>
          <w:rFonts w:asciiTheme="minorHAnsi" w:hAnsiTheme="minorHAnsi"/>
          <w:sz w:val="20"/>
          <w:szCs w:val="20"/>
          <w:lang w:val="en-US"/>
        </w:rPr>
        <w:t xml:space="preserve">short-term therapy, </w:t>
      </w:r>
      <w:r w:rsidRPr="007D47AD">
        <w:rPr>
          <w:rFonts w:asciiTheme="minorHAnsi" w:hAnsiTheme="minorHAnsi"/>
          <w:sz w:val="20"/>
          <w:szCs w:val="20"/>
          <w:lang w:val="en-US"/>
        </w:rPr>
        <w:t>and social work. It is worrisome that of the persons surveyed, half of the persons consider unsatisfactory or very unsatisfactory the actions of the state authorities when it comes to clarifying the human rights violations of which these persons have been victims</w:t>
      </w:r>
      <w:r w:rsidR="00E2449F" w:rsidRPr="007D47AD">
        <w:rPr>
          <w:rFonts w:asciiTheme="minorHAnsi" w:hAnsiTheme="minorHAnsi"/>
          <w:sz w:val="20"/>
          <w:szCs w:val="20"/>
          <w:lang w:val="en-US"/>
        </w:rPr>
        <w:t>.</w:t>
      </w:r>
      <w:r w:rsidR="00E2449F" w:rsidRPr="007D47AD">
        <w:rPr>
          <w:rStyle w:val="FootnoteReference"/>
          <w:rFonts w:asciiTheme="minorHAnsi" w:hAnsiTheme="minorHAnsi"/>
          <w:sz w:val="20"/>
          <w:szCs w:val="20"/>
          <w:lang w:val="en-US"/>
        </w:rPr>
        <w:footnoteReference w:id="172"/>
      </w:r>
    </w:p>
    <w:p w:rsidR="0000106C" w:rsidRPr="007D47AD" w:rsidRDefault="0000106C" w:rsidP="0000106C">
      <w:pPr>
        <w:shd w:val="clear" w:color="auto" w:fill="FFFFFF"/>
        <w:spacing w:after="0" w:line="240" w:lineRule="auto"/>
        <w:jc w:val="both"/>
        <w:rPr>
          <w:rFonts w:asciiTheme="minorHAnsi" w:hAnsiTheme="minorHAnsi"/>
          <w:sz w:val="20"/>
          <w:szCs w:val="20"/>
          <w:lang w:val="en-US"/>
        </w:rPr>
      </w:pPr>
    </w:p>
    <w:p w:rsidR="0000106C" w:rsidRPr="007D47AD" w:rsidRDefault="00D21667" w:rsidP="00B040FC">
      <w:pPr>
        <w:numPr>
          <w:ilvl w:val="0"/>
          <w:numId w:val="6"/>
        </w:numPr>
        <w:shd w:val="clear" w:color="auto" w:fill="FFFFFF"/>
        <w:spacing w:after="0" w:line="240" w:lineRule="auto"/>
        <w:ind w:left="0" w:firstLine="720"/>
        <w:jc w:val="both"/>
        <w:rPr>
          <w:rFonts w:asciiTheme="minorHAnsi" w:hAnsiTheme="minorHAnsi"/>
          <w:sz w:val="20"/>
          <w:szCs w:val="20"/>
          <w:lang w:val="en-US"/>
        </w:rPr>
      </w:pPr>
      <w:r w:rsidRPr="007D47AD">
        <w:rPr>
          <w:rFonts w:asciiTheme="minorHAnsi" w:hAnsiTheme="minorHAnsi"/>
          <w:sz w:val="20"/>
          <w:szCs w:val="20"/>
          <w:lang w:val="en-US"/>
        </w:rPr>
        <w:t xml:space="preserve">In other words, the Commission observes that there is progress in installing the </w:t>
      </w:r>
      <w:r w:rsidR="005A4FC8" w:rsidRPr="007D47AD">
        <w:rPr>
          <w:rFonts w:asciiTheme="minorHAnsi" w:hAnsiTheme="minorHAnsi"/>
          <w:sz w:val="20"/>
          <w:szCs w:val="20"/>
          <w:lang w:val="en-US"/>
        </w:rPr>
        <w:t>CEEAV</w:t>
      </w:r>
      <w:r w:rsidRPr="007D47AD">
        <w:rPr>
          <w:rFonts w:asciiTheme="minorHAnsi" w:hAnsiTheme="minorHAnsi"/>
          <w:sz w:val="20"/>
          <w:szCs w:val="20"/>
          <w:lang w:val="en-US"/>
        </w:rPr>
        <w:t>s</w:t>
      </w:r>
      <w:r w:rsidR="005A4FC8" w:rsidRPr="007D47AD">
        <w:rPr>
          <w:rFonts w:asciiTheme="minorHAnsi" w:hAnsiTheme="minorHAnsi"/>
          <w:sz w:val="20"/>
          <w:szCs w:val="20"/>
          <w:lang w:val="en-US"/>
        </w:rPr>
        <w:t xml:space="preserve"> </w:t>
      </w:r>
      <w:r w:rsidR="00BE4F79" w:rsidRPr="007D47AD">
        <w:rPr>
          <w:rFonts w:asciiTheme="minorHAnsi" w:hAnsiTheme="minorHAnsi"/>
          <w:sz w:val="20"/>
          <w:szCs w:val="20"/>
          <w:lang w:val="en-US"/>
        </w:rPr>
        <w:t>for</w:t>
      </w:r>
      <w:r w:rsidRPr="007D47AD">
        <w:rPr>
          <w:rFonts w:asciiTheme="minorHAnsi" w:hAnsiTheme="minorHAnsi"/>
          <w:sz w:val="20"/>
          <w:szCs w:val="20"/>
          <w:lang w:val="en-US"/>
        </w:rPr>
        <w:t xml:space="preserve"> implement</w:t>
      </w:r>
      <w:r w:rsidR="00BE4F79" w:rsidRPr="007D47AD">
        <w:rPr>
          <w:rFonts w:asciiTheme="minorHAnsi" w:hAnsiTheme="minorHAnsi"/>
          <w:sz w:val="20"/>
          <w:szCs w:val="20"/>
          <w:lang w:val="en-US"/>
        </w:rPr>
        <w:t xml:space="preserve">ing </w:t>
      </w:r>
      <w:r w:rsidRPr="007D47AD">
        <w:rPr>
          <w:rFonts w:asciiTheme="minorHAnsi" w:hAnsiTheme="minorHAnsi"/>
          <w:sz w:val="20"/>
          <w:szCs w:val="20"/>
          <w:lang w:val="en-US"/>
        </w:rPr>
        <w:t>the National System for Attention</w:t>
      </w:r>
      <w:r w:rsidR="001E4BD7" w:rsidRPr="007D47AD">
        <w:rPr>
          <w:rFonts w:asciiTheme="minorHAnsi" w:hAnsiTheme="minorHAnsi"/>
          <w:sz w:val="20"/>
          <w:szCs w:val="20"/>
          <w:lang w:val="en-US"/>
        </w:rPr>
        <w:t xml:space="preserve"> to Victims</w:t>
      </w:r>
      <w:r w:rsidRPr="007D47AD">
        <w:rPr>
          <w:rFonts w:asciiTheme="minorHAnsi" w:hAnsiTheme="minorHAnsi"/>
          <w:sz w:val="20"/>
          <w:szCs w:val="20"/>
          <w:lang w:val="en-US"/>
        </w:rPr>
        <w:t xml:space="preserve">, provided for in the General Law on Victims of </w:t>
      </w:r>
      <w:r w:rsidR="005A4FC8" w:rsidRPr="007D47AD">
        <w:rPr>
          <w:rFonts w:asciiTheme="minorHAnsi" w:hAnsiTheme="minorHAnsi"/>
          <w:sz w:val="20"/>
          <w:szCs w:val="20"/>
          <w:lang w:val="en-US"/>
        </w:rPr>
        <w:t xml:space="preserve">2013. </w:t>
      </w:r>
      <w:r w:rsidRPr="007D47AD">
        <w:rPr>
          <w:rFonts w:asciiTheme="minorHAnsi" w:hAnsiTheme="minorHAnsi"/>
          <w:sz w:val="20"/>
          <w:szCs w:val="20"/>
          <w:lang w:val="en-US"/>
        </w:rPr>
        <w:t>Now that several years have elapsed and that many states</w:t>
      </w:r>
      <w:r w:rsidR="005A4FC8" w:rsidRPr="007D47AD">
        <w:rPr>
          <w:rStyle w:val="FootnoteReference"/>
          <w:rFonts w:asciiTheme="minorHAnsi" w:hAnsiTheme="minorHAnsi"/>
          <w:sz w:val="20"/>
          <w:szCs w:val="20"/>
          <w:lang w:val="en-US"/>
        </w:rPr>
        <w:footnoteReference w:id="173"/>
      </w:r>
      <w:r w:rsidR="005A4FC8" w:rsidRPr="007D47AD">
        <w:rPr>
          <w:rFonts w:asciiTheme="minorHAnsi" w:hAnsiTheme="minorHAnsi"/>
          <w:sz w:val="20"/>
          <w:szCs w:val="20"/>
          <w:lang w:val="en-US"/>
        </w:rPr>
        <w:t xml:space="preserve"> </w:t>
      </w:r>
      <w:r w:rsidRPr="007D47AD">
        <w:rPr>
          <w:rFonts w:asciiTheme="minorHAnsi" w:hAnsiTheme="minorHAnsi"/>
          <w:sz w:val="20"/>
          <w:szCs w:val="20"/>
          <w:lang w:val="en-US"/>
        </w:rPr>
        <w:t xml:space="preserve">of the Federation have yet to establish the </w:t>
      </w:r>
      <w:r w:rsidR="005A4FC8" w:rsidRPr="007D47AD">
        <w:rPr>
          <w:rFonts w:asciiTheme="minorHAnsi" w:hAnsiTheme="minorHAnsi"/>
          <w:sz w:val="20"/>
          <w:szCs w:val="20"/>
          <w:lang w:val="en-US"/>
        </w:rPr>
        <w:t>CEEAV</w:t>
      </w:r>
      <w:r w:rsidRPr="007D47AD">
        <w:rPr>
          <w:rFonts w:asciiTheme="minorHAnsi" w:hAnsiTheme="minorHAnsi"/>
          <w:sz w:val="20"/>
          <w:szCs w:val="20"/>
          <w:lang w:val="en-US"/>
        </w:rPr>
        <w:t>s</w:t>
      </w:r>
      <w:r w:rsidR="005A4FC8" w:rsidRPr="007D47AD">
        <w:rPr>
          <w:rFonts w:asciiTheme="minorHAnsi" w:hAnsiTheme="minorHAnsi"/>
          <w:sz w:val="20"/>
          <w:szCs w:val="20"/>
          <w:lang w:val="en-US"/>
        </w:rPr>
        <w:t xml:space="preserve">, </w:t>
      </w:r>
      <w:r w:rsidRPr="007D47AD">
        <w:rPr>
          <w:rFonts w:asciiTheme="minorHAnsi" w:hAnsiTheme="minorHAnsi"/>
          <w:sz w:val="20"/>
          <w:szCs w:val="20"/>
          <w:lang w:val="en-US"/>
        </w:rPr>
        <w:t xml:space="preserve">the IACHR considers that the recommendation has met with partial compliance. </w:t>
      </w:r>
    </w:p>
    <w:p w:rsidR="0000106C" w:rsidRPr="007D47AD" w:rsidRDefault="005A4FC8" w:rsidP="00B040FC">
      <w:pPr>
        <w:shd w:val="clear" w:color="auto" w:fill="FFFFFF"/>
        <w:spacing w:after="0" w:line="240" w:lineRule="auto"/>
        <w:ind w:left="720"/>
        <w:jc w:val="both"/>
        <w:rPr>
          <w:rFonts w:asciiTheme="minorHAnsi" w:hAnsiTheme="minorHAnsi"/>
          <w:sz w:val="20"/>
          <w:szCs w:val="20"/>
          <w:lang w:val="en-US"/>
        </w:rPr>
      </w:pPr>
      <w:r w:rsidRPr="007D47AD">
        <w:rPr>
          <w:rFonts w:asciiTheme="minorHAnsi" w:hAnsiTheme="minorHAnsi"/>
          <w:sz w:val="20"/>
          <w:szCs w:val="20"/>
          <w:lang w:val="en-US"/>
        </w:rPr>
        <w:t xml:space="preserve"> </w:t>
      </w:r>
    </w:p>
    <w:p w:rsidR="00B040FC" w:rsidRPr="007D47AD" w:rsidRDefault="00D21667" w:rsidP="002C073E">
      <w:pPr>
        <w:numPr>
          <w:ilvl w:val="0"/>
          <w:numId w:val="6"/>
        </w:numPr>
        <w:shd w:val="clear" w:color="auto" w:fill="FFFFFF"/>
        <w:spacing w:after="0" w:line="240" w:lineRule="auto"/>
        <w:ind w:left="0" w:firstLine="720"/>
        <w:jc w:val="both"/>
        <w:rPr>
          <w:rFonts w:asciiTheme="minorHAnsi" w:hAnsiTheme="minorHAnsi"/>
          <w:sz w:val="20"/>
          <w:szCs w:val="20"/>
          <w:lang w:val="en-US"/>
        </w:rPr>
      </w:pPr>
      <w:r w:rsidRPr="007D47AD">
        <w:rPr>
          <w:rFonts w:asciiTheme="minorHAnsi" w:hAnsiTheme="minorHAnsi"/>
          <w:sz w:val="20"/>
          <w:szCs w:val="20"/>
          <w:lang w:val="en-US"/>
        </w:rPr>
        <w:t xml:space="preserve">As regards the recommendation </w:t>
      </w:r>
      <w:r w:rsidR="008B19A5" w:rsidRPr="007D47AD">
        <w:rPr>
          <w:rFonts w:asciiTheme="minorHAnsi" w:hAnsiTheme="minorHAnsi"/>
          <w:sz w:val="20"/>
          <w:szCs w:val="20"/>
          <w:lang w:val="en-US"/>
        </w:rPr>
        <w:t xml:space="preserve">to ensure </w:t>
      </w:r>
      <w:r w:rsidR="008B19A5" w:rsidRPr="007D47AD">
        <w:rPr>
          <w:rFonts w:asciiTheme="minorHAnsi" w:hAnsiTheme="minorHAnsi"/>
          <w:b/>
          <w:sz w:val="20"/>
          <w:szCs w:val="20"/>
          <w:lang w:val="en-US"/>
        </w:rPr>
        <w:t>accountability for gross human rights violations</w:t>
      </w:r>
      <w:r w:rsidR="001E4BD7" w:rsidRPr="007D47AD">
        <w:rPr>
          <w:rFonts w:asciiTheme="minorHAnsi" w:hAnsiTheme="minorHAnsi"/>
          <w:b/>
          <w:sz w:val="20"/>
          <w:szCs w:val="20"/>
          <w:lang w:val="en-US"/>
        </w:rPr>
        <w:t xml:space="preserve"> and to i</w:t>
      </w:r>
      <w:r w:rsidR="008B19A5" w:rsidRPr="007D47AD">
        <w:rPr>
          <w:rFonts w:asciiTheme="minorHAnsi" w:hAnsiTheme="minorHAnsi"/>
          <w:b/>
          <w:sz w:val="20"/>
          <w:szCs w:val="20"/>
          <w:lang w:val="en-US"/>
        </w:rPr>
        <w:t>nvestigate, clarify and punish the acts committed during the time period known as the Dirty War</w:t>
      </w:r>
      <w:r w:rsidR="009C095D" w:rsidRPr="007D47AD">
        <w:rPr>
          <w:rFonts w:asciiTheme="minorHAnsi" w:hAnsiTheme="minorHAnsi"/>
          <w:sz w:val="20"/>
          <w:szCs w:val="20"/>
          <w:lang w:val="en-US"/>
        </w:rPr>
        <w:t>,</w:t>
      </w:r>
      <w:r w:rsidR="00375A9D" w:rsidRPr="007D47AD">
        <w:rPr>
          <w:rFonts w:asciiTheme="minorHAnsi" w:hAnsiTheme="minorHAnsi"/>
          <w:sz w:val="20"/>
          <w:szCs w:val="20"/>
          <w:lang w:val="en-US"/>
        </w:rPr>
        <w:t xml:space="preserve"> </w:t>
      </w:r>
      <w:r w:rsidRPr="007D47AD">
        <w:rPr>
          <w:rFonts w:asciiTheme="minorHAnsi" w:hAnsiTheme="minorHAnsi"/>
          <w:sz w:val="20"/>
          <w:szCs w:val="20"/>
          <w:lang w:val="en-US"/>
        </w:rPr>
        <w:t xml:space="preserve">the State indicated that following up on the “Agreement by which several measures are ordered to seek justice for crimes committed against persons associated with social and political movements of the past,” public apologies were offered to </w:t>
      </w:r>
      <w:r w:rsidR="00375A9D" w:rsidRPr="007D47AD">
        <w:rPr>
          <w:rFonts w:asciiTheme="minorHAnsi" w:hAnsiTheme="minorHAnsi"/>
          <w:sz w:val="20"/>
          <w:szCs w:val="20"/>
          <w:lang w:val="en-US"/>
        </w:rPr>
        <w:t xml:space="preserve">Martha Alicia Camacho Loaisa </w:t>
      </w:r>
      <w:r w:rsidRPr="007D47AD">
        <w:rPr>
          <w:rFonts w:asciiTheme="minorHAnsi" w:hAnsiTheme="minorHAnsi"/>
          <w:sz w:val="20"/>
          <w:szCs w:val="20"/>
          <w:lang w:val="en-US"/>
        </w:rPr>
        <w:t xml:space="preserve">and </w:t>
      </w:r>
      <w:r w:rsidR="00375A9D" w:rsidRPr="007D47AD">
        <w:rPr>
          <w:rFonts w:asciiTheme="minorHAnsi" w:hAnsiTheme="minorHAnsi"/>
          <w:sz w:val="20"/>
          <w:szCs w:val="20"/>
          <w:lang w:val="en-US"/>
        </w:rPr>
        <w:t>José Manuel Alapizco Lizárraga (</w:t>
      </w:r>
      <w:r w:rsidRPr="007D47AD">
        <w:rPr>
          <w:rFonts w:asciiTheme="minorHAnsi" w:hAnsiTheme="minorHAnsi"/>
          <w:sz w:val="20"/>
          <w:szCs w:val="20"/>
          <w:lang w:val="en-US"/>
        </w:rPr>
        <w:t>members of the L</w:t>
      </w:r>
      <w:r w:rsidR="00375A9D" w:rsidRPr="007D47AD">
        <w:rPr>
          <w:rFonts w:asciiTheme="minorHAnsi" w:hAnsiTheme="minorHAnsi"/>
          <w:sz w:val="20"/>
          <w:szCs w:val="20"/>
          <w:lang w:val="en-US"/>
        </w:rPr>
        <w:t xml:space="preserve">iga </w:t>
      </w:r>
      <w:r w:rsidRPr="007D47AD">
        <w:rPr>
          <w:rFonts w:asciiTheme="minorHAnsi" w:hAnsiTheme="minorHAnsi"/>
          <w:sz w:val="20"/>
          <w:szCs w:val="20"/>
          <w:lang w:val="en-US"/>
        </w:rPr>
        <w:t>C</w:t>
      </w:r>
      <w:r w:rsidR="00375A9D" w:rsidRPr="007D47AD">
        <w:rPr>
          <w:rFonts w:asciiTheme="minorHAnsi" w:hAnsiTheme="minorHAnsi"/>
          <w:sz w:val="20"/>
          <w:szCs w:val="20"/>
          <w:lang w:val="en-US"/>
        </w:rPr>
        <w:t xml:space="preserve">omunista 23 de </w:t>
      </w:r>
      <w:r w:rsidR="00BE4F79" w:rsidRPr="007D47AD">
        <w:rPr>
          <w:rFonts w:asciiTheme="minorHAnsi" w:hAnsiTheme="minorHAnsi"/>
          <w:sz w:val="20"/>
          <w:szCs w:val="20"/>
          <w:lang w:val="en-US"/>
        </w:rPr>
        <w:t>S</w:t>
      </w:r>
      <w:r w:rsidR="00375A9D" w:rsidRPr="007D47AD">
        <w:rPr>
          <w:rFonts w:asciiTheme="minorHAnsi" w:hAnsiTheme="minorHAnsi"/>
          <w:sz w:val="20"/>
          <w:szCs w:val="20"/>
          <w:lang w:val="en-US"/>
        </w:rPr>
        <w:t>eptiembre</w:t>
      </w:r>
      <w:r w:rsidRPr="007D47AD">
        <w:rPr>
          <w:rFonts w:asciiTheme="minorHAnsi" w:hAnsiTheme="minorHAnsi"/>
          <w:sz w:val="20"/>
          <w:szCs w:val="20"/>
          <w:lang w:val="en-US"/>
        </w:rPr>
        <w:t>,</w:t>
      </w:r>
      <w:r w:rsidR="00375A9D" w:rsidRPr="007D47AD">
        <w:rPr>
          <w:rFonts w:asciiTheme="minorHAnsi" w:hAnsiTheme="minorHAnsi"/>
          <w:sz w:val="20"/>
          <w:szCs w:val="20"/>
          <w:lang w:val="en-US"/>
        </w:rPr>
        <w:t xml:space="preserve"> </w:t>
      </w:r>
      <w:r w:rsidRPr="007D47AD">
        <w:rPr>
          <w:rFonts w:asciiTheme="minorHAnsi" w:hAnsiTheme="minorHAnsi"/>
          <w:sz w:val="20"/>
          <w:szCs w:val="20"/>
          <w:lang w:val="en-US"/>
        </w:rPr>
        <w:t xml:space="preserve">who were arbitrarily detained by state agents on August </w:t>
      </w:r>
      <w:r w:rsidR="00375A9D" w:rsidRPr="007D47AD">
        <w:rPr>
          <w:rFonts w:asciiTheme="minorHAnsi" w:hAnsiTheme="minorHAnsi"/>
          <w:sz w:val="20"/>
          <w:szCs w:val="20"/>
          <w:lang w:val="en-US"/>
        </w:rPr>
        <w:t>19</w:t>
      </w:r>
      <w:r w:rsidRPr="007D47AD">
        <w:rPr>
          <w:rFonts w:asciiTheme="minorHAnsi" w:hAnsiTheme="minorHAnsi"/>
          <w:sz w:val="20"/>
          <w:szCs w:val="20"/>
          <w:lang w:val="en-US"/>
        </w:rPr>
        <w:t>,</w:t>
      </w:r>
      <w:r w:rsidR="00375A9D" w:rsidRPr="007D47AD">
        <w:rPr>
          <w:rFonts w:asciiTheme="minorHAnsi" w:hAnsiTheme="minorHAnsi"/>
          <w:sz w:val="20"/>
          <w:szCs w:val="20"/>
          <w:lang w:val="en-US"/>
        </w:rPr>
        <w:t xml:space="preserve"> 1977</w:t>
      </w:r>
      <w:r w:rsidRPr="007D47AD">
        <w:rPr>
          <w:rFonts w:asciiTheme="minorHAnsi" w:hAnsiTheme="minorHAnsi"/>
          <w:sz w:val="20"/>
          <w:szCs w:val="20"/>
          <w:lang w:val="en-US"/>
        </w:rPr>
        <w:t>.</w:t>
      </w:r>
      <w:r w:rsidR="00375A9D" w:rsidRPr="007D47AD">
        <w:rPr>
          <w:rStyle w:val="FootnoteReference"/>
          <w:rFonts w:asciiTheme="minorHAnsi" w:hAnsiTheme="minorHAnsi"/>
          <w:sz w:val="20"/>
          <w:szCs w:val="20"/>
          <w:lang w:val="en-US"/>
        </w:rPr>
        <w:footnoteReference w:id="174"/>
      </w:r>
      <w:r w:rsidR="00375A9D" w:rsidRPr="007D47AD">
        <w:rPr>
          <w:rFonts w:asciiTheme="minorHAnsi" w:hAnsiTheme="minorHAnsi"/>
          <w:sz w:val="20"/>
          <w:szCs w:val="20"/>
          <w:lang w:val="en-US"/>
        </w:rPr>
        <w:t xml:space="preserve"> </w:t>
      </w:r>
      <w:r w:rsidRPr="007D47AD">
        <w:rPr>
          <w:rFonts w:asciiTheme="minorHAnsi" w:hAnsiTheme="minorHAnsi"/>
          <w:sz w:val="20"/>
          <w:szCs w:val="20"/>
          <w:lang w:val="en-US"/>
        </w:rPr>
        <w:t xml:space="preserve">In this respect, the </w:t>
      </w:r>
      <w:r w:rsidR="00176E29" w:rsidRPr="007D47AD">
        <w:rPr>
          <w:rFonts w:asciiTheme="minorHAnsi" w:hAnsiTheme="minorHAnsi"/>
          <w:sz w:val="20"/>
          <w:szCs w:val="20"/>
          <w:lang w:val="en-US"/>
        </w:rPr>
        <w:t>Centro PRODH indic</w:t>
      </w:r>
      <w:r w:rsidRPr="007D47AD">
        <w:rPr>
          <w:rFonts w:asciiTheme="minorHAnsi" w:hAnsiTheme="minorHAnsi"/>
          <w:sz w:val="20"/>
          <w:szCs w:val="20"/>
          <w:lang w:val="en-US"/>
        </w:rPr>
        <w:t>ated that the recommendation has not been implemented</w:t>
      </w:r>
      <w:r w:rsidR="001E74D3" w:rsidRPr="007D47AD">
        <w:rPr>
          <w:rFonts w:asciiTheme="minorHAnsi" w:hAnsiTheme="minorHAnsi"/>
          <w:sz w:val="20"/>
          <w:szCs w:val="20"/>
          <w:lang w:val="en-US"/>
        </w:rPr>
        <w:t>.</w:t>
      </w:r>
      <w:r w:rsidR="001D28F8" w:rsidRPr="007D47AD">
        <w:rPr>
          <w:rStyle w:val="FootnoteReference"/>
          <w:rFonts w:asciiTheme="minorHAnsi" w:hAnsiTheme="minorHAnsi"/>
          <w:sz w:val="20"/>
          <w:szCs w:val="20"/>
          <w:lang w:val="en-US"/>
        </w:rPr>
        <w:footnoteReference w:id="175"/>
      </w:r>
      <w:r w:rsidR="00176E29" w:rsidRPr="007D47AD">
        <w:rPr>
          <w:rFonts w:asciiTheme="minorHAnsi" w:hAnsiTheme="minorHAnsi"/>
          <w:sz w:val="20"/>
          <w:szCs w:val="20"/>
          <w:lang w:val="en-US"/>
        </w:rPr>
        <w:t xml:space="preserve"> </w:t>
      </w:r>
    </w:p>
    <w:p w:rsidR="00B040FC" w:rsidRPr="007D47AD" w:rsidRDefault="00B040FC" w:rsidP="002C073E">
      <w:pPr>
        <w:shd w:val="clear" w:color="auto" w:fill="FFFFFF"/>
        <w:spacing w:after="0" w:line="240" w:lineRule="auto"/>
        <w:ind w:left="720"/>
        <w:jc w:val="both"/>
        <w:rPr>
          <w:rFonts w:asciiTheme="minorHAnsi" w:hAnsiTheme="minorHAnsi"/>
          <w:sz w:val="20"/>
          <w:szCs w:val="20"/>
          <w:lang w:val="en-US"/>
        </w:rPr>
      </w:pPr>
    </w:p>
    <w:p w:rsidR="0000106C" w:rsidRPr="007D47AD" w:rsidRDefault="00D21667" w:rsidP="003D0A00">
      <w:pPr>
        <w:numPr>
          <w:ilvl w:val="0"/>
          <w:numId w:val="6"/>
        </w:numPr>
        <w:shd w:val="clear" w:color="auto" w:fill="FFFFFF"/>
        <w:spacing w:after="0" w:line="240" w:lineRule="auto"/>
        <w:ind w:left="0" w:firstLine="720"/>
        <w:jc w:val="both"/>
        <w:rPr>
          <w:rFonts w:asciiTheme="minorHAnsi" w:hAnsiTheme="minorHAnsi"/>
          <w:sz w:val="20"/>
          <w:szCs w:val="20"/>
          <w:lang w:val="en-US"/>
        </w:rPr>
      </w:pPr>
      <w:r w:rsidRPr="007D47AD">
        <w:rPr>
          <w:rFonts w:asciiTheme="minorHAnsi" w:hAnsiTheme="minorHAnsi"/>
          <w:sz w:val="20"/>
          <w:szCs w:val="20"/>
          <w:lang w:val="en-US"/>
        </w:rPr>
        <w:t xml:space="preserve">In addition, the Commission notes that in February </w:t>
      </w:r>
      <w:r w:rsidR="007A7D7D" w:rsidRPr="007D47AD">
        <w:rPr>
          <w:rFonts w:asciiTheme="minorHAnsi" w:hAnsiTheme="minorHAnsi"/>
          <w:sz w:val="20"/>
          <w:szCs w:val="20"/>
          <w:lang w:val="en-US"/>
        </w:rPr>
        <w:t>2019</w:t>
      </w:r>
      <w:r w:rsidRPr="007D47AD">
        <w:rPr>
          <w:rFonts w:asciiTheme="minorHAnsi" w:hAnsiTheme="minorHAnsi"/>
          <w:sz w:val="20"/>
          <w:szCs w:val="20"/>
          <w:lang w:val="en-US"/>
        </w:rPr>
        <w:t xml:space="preserve"> the </w:t>
      </w:r>
      <w:r w:rsidR="007F7538" w:rsidRPr="007D47AD">
        <w:rPr>
          <w:rFonts w:asciiTheme="minorHAnsi" w:hAnsiTheme="minorHAnsi"/>
          <w:sz w:val="20"/>
          <w:szCs w:val="20"/>
          <w:lang w:val="en-US"/>
        </w:rPr>
        <w:t>CEAV present</w:t>
      </w:r>
      <w:r w:rsidRPr="007D47AD">
        <w:rPr>
          <w:rFonts w:asciiTheme="minorHAnsi" w:hAnsiTheme="minorHAnsi"/>
          <w:sz w:val="20"/>
          <w:szCs w:val="20"/>
          <w:lang w:val="en-US"/>
        </w:rPr>
        <w:t xml:space="preserve">ed a Plan for Attention and Reparation to the Victims of the Political Violence of the Past. That </w:t>
      </w:r>
      <w:r w:rsidR="007A7D7D" w:rsidRPr="007D47AD">
        <w:rPr>
          <w:rFonts w:asciiTheme="minorHAnsi" w:hAnsiTheme="minorHAnsi"/>
          <w:sz w:val="20"/>
          <w:szCs w:val="20"/>
          <w:lang w:val="en-US"/>
        </w:rPr>
        <w:t>Plan</w:t>
      </w:r>
      <w:r w:rsidR="00176E29" w:rsidRPr="007D47AD">
        <w:rPr>
          <w:rFonts w:asciiTheme="minorHAnsi" w:hAnsiTheme="minorHAnsi"/>
          <w:sz w:val="20"/>
          <w:szCs w:val="20"/>
          <w:lang w:val="en-US"/>
        </w:rPr>
        <w:t xml:space="preserve"> establ</w:t>
      </w:r>
      <w:r w:rsidRPr="007D47AD">
        <w:rPr>
          <w:rFonts w:asciiTheme="minorHAnsi" w:hAnsiTheme="minorHAnsi"/>
          <w:sz w:val="20"/>
          <w:szCs w:val="20"/>
          <w:lang w:val="en-US"/>
        </w:rPr>
        <w:t xml:space="preserve">ishes measures of reparation as the result of a participatory process that included the victims. In addition, </w:t>
      </w:r>
      <w:r w:rsidR="00620AFC" w:rsidRPr="007D47AD">
        <w:rPr>
          <w:rFonts w:asciiTheme="minorHAnsi" w:hAnsiTheme="minorHAnsi"/>
          <w:sz w:val="20"/>
          <w:szCs w:val="20"/>
          <w:lang w:val="en-US"/>
        </w:rPr>
        <w:t>that Plan creates a center of truth and memory and a national day to remember of the victims of that period, among other measures of satisfaction, restitution, and non-repetition.</w:t>
      </w:r>
      <w:r w:rsidR="00176E29" w:rsidRPr="007D47AD">
        <w:rPr>
          <w:rStyle w:val="FootnoteReference"/>
          <w:rFonts w:asciiTheme="minorHAnsi" w:hAnsiTheme="minorHAnsi"/>
          <w:sz w:val="20"/>
          <w:szCs w:val="20"/>
          <w:lang w:val="en-US"/>
        </w:rPr>
        <w:footnoteReference w:id="176"/>
      </w:r>
      <w:r w:rsidR="00176E29" w:rsidRPr="007D47AD">
        <w:rPr>
          <w:rFonts w:asciiTheme="minorHAnsi" w:hAnsiTheme="minorHAnsi"/>
          <w:sz w:val="20"/>
          <w:szCs w:val="20"/>
          <w:lang w:val="en-US"/>
        </w:rPr>
        <w:t xml:space="preserve"> </w:t>
      </w:r>
      <w:r w:rsidR="001E74D3" w:rsidRPr="007D47AD">
        <w:rPr>
          <w:rFonts w:asciiTheme="minorHAnsi" w:hAnsiTheme="minorHAnsi"/>
          <w:sz w:val="20"/>
          <w:szCs w:val="20"/>
          <w:lang w:val="en-US"/>
        </w:rPr>
        <w:t>I</w:t>
      </w:r>
      <w:r w:rsidR="003D0A00" w:rsidRPr="007D47AD">
        <w:rPr>
          <w:rFonts w:asciiTheme="minorHAnsi" w:hAnsiTheme="minorHAnsi"/>
          <w:sz w:val="20"/>
          <w:szCs w:val="20"/>
          <w:lang w:val="en-US"/>
        </w:rPr>
        <w:t xml:space="preserve">n </w:t>
      </w:r>
      <w:r w:rsidR="001E74D3" w:rsidRPr="007D47AD">
        <w:rPr>
          <w:rFonts w:asciiTheme="minorHAnsi" w:hAnsiTheme="minorHAnsi"/>
          <w:sz w:val="20"/>
          <w:szCs w:val="20"/>
          <w:lang w:val="en-US"/>
        </w:rPr>
        <w:t xml:space="preserve">its observations on the draft of this report the State added that as regards these victims the </w:t>
      </w:r>
      <w:r w:rsidR="003D0A00" w:rsidRPr="007D47AD">
        <w:rPr>
          <w:rFonts w:asciiTheme="minorHAnsi" w:hAnsiTheme="minorHAnsi"/>
          <w:sz w:val="20"/>
          <w:szCs w:val="20"/>
          <w:lang w:val="en-US"/>
        </w:rPr>
        <w:t xml:space="preserve">CEAV </w:t>
      </w:r>
      <w:r w:rsidR="001E74D3" w:rsidRPr="007D47AD">
        <w:rPr>
          <w:rFonts w:asciiTheme="minorHAnsi" w:hAnsiTheme="minorHAnsi"/>
          <w:sz w:val="20"/>
          <w:szCs w:val="20"/>
          <w:lang w:val="en-US"/>
        </w:rPr>
        <w:t xml:space="preserve">has issued nine resolutions </w:t>
      </w:r>
      <w:r w:rsidR="002C478B" w:rsidRPr="007D47AD">
        <w:rPr>
          <w:rFonts w:asciiTheme="minorHAnsi" w:hAnsiTheme="minorHAnsi"/>
          <w:sz w:val="20"/>
          <w:szCs w:val="20"/>
          <w:lang w:val="en-US"/>
        </w:rPr>
        <w:t xml:space="preserve">on food assistance </w:t>
      </w:r>
      <w:r w:rsidR="001E74D3" w:rsidRPr="007D47AD">
        <w:rPr>
          <w:rFonts w:asciiTheme="minorHAnsi" w:hAnsiTheme="minorHAnsi"/>
          <w:sz w:val="20"/>
          <w:szCs w:val="20"/>
          <w:lang w:val="en-US"/>
        </w:rPr>
        <w:lastRenderedPageBreak/>
        <w:t xml:space="preserve">encompassing </w:t>
      </w:r>
      <w:r w:rsidR="003D0A00" w:rsidRPr="007D47AD">
        <w:rPr>
          <w:rFonts w:asciiTheme="minorHAnsi" w:hAnsiTheme="minorHAnsi"/>
          <w:sz w:val="20"/>
          <w:szCs w:val="20"/>
          <w:lang w:val="en-US"/>
        </w:rPr>
        <w:t xml:space="preserve">370 </w:t>
      </w:r>
      <w:r w:rsidR="001E74D3" w:rsidRPr="007D47AD">
        <w:rPr>
          <w:rFonts w:asciiTheme="minorHAnsi" w:hAnsiTheme="minorHAnsi"/>
          <w:sz w:val="20"/>
          <w:szCs w:val="20"/>
          <w:lang w:val="en-US"/>
        </w:rPr>
        <w:t xml:space="preserve">families, for more than </w:t>
      </w:r>
      <w:r w:rsidR="003D0A00" w:rsidRPr="007D47AD">
        <w:rPr>
          <w:rFonts w:asciiTheme="minorHAnsi" w:hAnsiTheme="minorHAnsi"/>
          <w:sz w:val="20"/>
          <w:szCs w:val="20"/>
          <w:lang w:val="en-US"/>
        </w:rPr>
        <w:t xml:space="preserve">9 </w:t>
      </w:r>
      <w:r w:rsidR="001E74D3" w:rsidRPr="007D47AD">
        <w:rPr>
          <w:rFonts w:asciiTheme="minorHAnsi" w:hAnsiTheme="minorHAnsi"/>
          <w:sz w:val="20"/>
          <w:szCs w:val="20"/>
          <w:lang w:val="en-US"/>
        </w:rPr>
        <w:t xml:space="preserve">million Mexican pesos; and </w:t>
      </w:r>
      <w:r w:rsidR="002C478B" w:rsidRPr="007D47AD">
        <w:rPr>
          <w:rFonts w:asciiTheme="minorHAnsi" w:hAnsiTheme="minorHAnsi"/>
          <w:sz w:val="20"/>
          <w:szCs w:val="20"/>
          <w:lang w:val="en-US"/>
        </w:rPr>
        <w:t xml:space="preserve">five </w:t>
      </w:r>
      <w:r w:rsidR="001E74D3" w:rsidRPr="007D47AD">
        <w:rPr>
          <w:rFonts w:asciiTheme="minorHAnsi" w:hAnsiTheme="minorHAnsi"/>
          <w:sz w:val="20"/>
          <w:szCs w:val="20"/>
          <w:lang w:val="en-US"/>
        </w:rPr>
        <w:t xml:space="preserve">resolutions for integral reparation to </w:t>
      </w:r>
      <w:r w:rsidR="003D0A00" w:rsidRPr="007D47AD">
        <w:rPr>
          <w:rFonts w:asciiTheme="minorHAnsi" w:hAnsiTheme="minorHAnsi"/>
          <w:sz w:val="20"/>
          <w:szCs w:val="20"/>
          <w:lang w:val="en-US"/>
        </w:rPr>
        <w:t xml:space="preserve">14 </w:t>
      </w:r>
      <w:r w:rsidR="001E74D3" w:rsidRPr="007D47AD">
        <w:rPr>
          <w:rFonts w:asciiTheme="minorHAnsi" w:hAnsiTheme="minorHAnsi"/>
          <w:sz w:val="20"/>
          <w:szCs w:val="20"/>
          <w:lang w:val="en-US"/>
        </w:rPr>
        <w:t xml:space="preserve">victims, for almost </w:t>
      </w:r>
      <w:r w:rsidR="003D0A00" w:rsidRPr="007D47AD">
        <w:rPr>
          <w:rFonts w:asciiTheme="minorHAnsi" w:hAnsiTheme="minorHAnsi"/>
          <w:sz w:val="20"/>
          <w:szCs w:val="20"/>
          <w:lang w:val="en-US"/>
        </w:rPr>
        <w:t xml:space="preserve">14 </w:t>
      </w:r>
      <w:r w:rsidR="001E74D3" w:rsidRPr="007D47AD">
        <w:rPr>
          <w:rFonts w:asciiTheme="minorHAnsi" w:hAnsiTheme="minorHAnsi"/>
          <w:sz w:val="20"/>
          <w:szCs w:val="20"/>
          <w:lang w:val="en-US"/>
        </w:rPr>
        <w:t>million Mexican pesos.</w:t>
      </w:r>
      <w:r w:rsidR="003D0A00" w:rsidRPr="007D47AD">
        <w:rPr>
          <w:rStyle w:val="FootnoteReference"/>
          <w:rFonts w:asciiTheme="minorHAnsi" w:hAnsiTheme="minorHAnsi"/>
          <w:sz w:val="20"/>
          <w:szCs w:val="20"/>
          <w:lang w:val="en-US"/>
        </w:rPr>
        <w:footnoteReference w:id="177"/>
      </w:r>
    </w:p>
    <w:p w:rsidR="0000106C" w:rsidRPr="007D47AD" w:rsidRDefault="0000106C" w:rsidP="00B040FC">
      <w:pPr>
        <w:shd w:val="clear" w:color="auto" w:fill="FFFFFF"/>
        <w:spacing w:after="0" w:line="240" w:lineRule="auto"/>
        <w:jc w:val="both"/>
        <w:rPr>
          <w:rFonts w:asciiTheme="minorHAnsi" w:hAnsiTheme="minorHAnsi"/>
          <w:sz w:val="20"/>
          <w:szCs w:val="20"/>
          <w:lang w:val="en-US"/>
        </w:rPr>
      </w:pPr>
    </w:p>
    <w:p w:rsidR="002C073E" w:rsidRPr="007D47AD" w:rsidRDefault="00620AFC" w:rsidP="00D937BC">
      <w:pPr>
        <w:numPr>
          <w:ilvl w:val="0"/>
          <w:numId w:val="6"/>
        </w:numPr>
        <w:shd w:val="clear" w:color="auto" w:fill="FFFFFF"/>
        <w:spacing w:after="0" w:line="240" w:lineRule="auto"/>
        <w:ind w:left="0" w:firstLine="720"/>
        <w:jc w:val="both"/>
        <w:rPr>
          <w:rFonts w:asciiTheme="minorHAnsi" w:hAnsiTheme="minorHAnsi"/>
          <w:sz w:val="20"/>
          <w:szCs w:val="20"/>
          <w:lang w:val="en-US"/>
        </w:rPr>
      </w:pPr>
      <w:r w:rsidRPr="007D47AD">
        <w:rPr>
          <w:rFonts w:asciiTheme="minorHAnsi" w:hAnsiTheme="minorHAnsi"/>
          <w:sz w:val="20"/>
          <w:szCs w:val="20"/>
          <w:shd w:val="clear" w:color="auto" w:fill="FFFFFF"/>
          <w:lang w:val="en-US"/>
        </w:rPr>
        <w:t xml:space="preserve">In 2018 the Commission </w:t>
      </w:r>
      <w:r w:rsidR="005137C7" w:rsidRPr="007D47AD">
        <w:rPr>
          <w:rFonts w:asciiTheme="minorHAnsi" w:hAnsiTheme="minorHAnsi"/>
          <w:sz w:val="20"/>
          <w:szCs w:val="20"/>
          <w:shd w:val="clear" w:color="auto" w:fill="FFFFFF"/>
          <w:lang w:val="en-US"/>
        </w:rPr>
        <w:t xml:space="preserve">was informed that an indirect </w:t>
      </w:r>
      <w:r w:rsidR="009C095D" w:rsidRPr="007D47AD">
        <w:rPr>
          <w:rFonts w:asciiTheme="minorHAnsi" w:hAnsiTheme="minorHAnsi"/>
          <w:i/>
          <w:iCs/>
          <w:sz w:val="20"/>
          <w:szCs w:val="20"/>
          <w:shd w:val="clear" w:color="auto" w:fill="FFFFFF"/>
          <w:lang w:val="en-US"/>
        </w:rPr>
        <w:t>amparo</w:t>
      </w:r>
      <w:r w:rsidR="009C095D" w:rsidRPr="007D47AD">
        <w:rPr>
          <w:rFonts w:asciiTheme="minorHAnsi" w:hAnsiTheme="minorHAnsi"/>
          <w:sz w:val="20"/>
          <w:szCs w:val="20"/>
          <w:shd w:val="clear" w:color="auto" w:fill="FFFFFF"/>
          <w:lang w:val="en-US"/>
        </w:rPr>
        <w:t xml:space="preserve"> </w:t>
      </w:r>
      <w:r w:rsidR="005137C7" w:rsidRPr="007D47AD">
        <w:rPr>
          <w:rFonts w:asciiTheme="minorHAnsi" w:hAnsiTheme="minorHAnsi"/>
          <w:sz w:val="20"/>
          <w:szCs w:val="20"/>
          <w:shd w:val="clear" w:color="auto" w:fill="FFFFFF"/>
          <w:lang w:val="en-US"/>
        </w:rPr>
        <w:t xml:space="preserve">was filed against the Ministry of Public Education by Article </w:t>
      </w:r>
      <w:r w:rsidR="009C095D" w:rsidRPr="007D47AD">
        <w:rPr>
          <w:rFonts w:asciiTheme="minorHAnsi" w:hAnsiTheme="minorHAnsi"/>
          <w:sz w:val="20"/>
          <w:szCs w:val="20"/>
          <w:shd w:val="clear" w:color="auto" w:fill="FFFFFF"/>
          <w:lang w:val="en-US"/>
        </w:rPr>
        <w:t xml:space="preserve">19, Indignación, </w:t>
      </w:r>
      <w:r w:rsidR="005137C7" w:rsidRPr="007D47AD">
        <w:rPr>
          <w:rFonts w:asciiTheme="minorHAnsi" w:hAnsiTheme="minorHAnsi"/>
          <w:sz w:val="20"/>
          <w:szCs w:val="20"/>
          <w:shd w:val="clear" w:color="auto" w:fill="FFFFFF"/>
          <w:lang w:val="en-US"/>
        </w:rPr>
        <w:t xml:space="preserve">the </w:t>
      </w:r>
      <w:r w:rsidR="009C095D" w:rsidRPr="007D47AD">
        <w:rPr>
          <w:rFonts w:asciiTheme="minorHAnsi" w:hAnsiTheme="minorHAnsi"/>
          <w:sz w:val="20"/>
          <w:szCs w:val="20"/>
          <w:shd w:val="clear" w:color="auto" w:fill="FFFFFF"/>
          <w:lang w:val="en-US"/>
        </w:rPr>
        <w:t>Centro ProDH,</w:t>
      </w:r>
      <w:r w:rsidR="005137C7" w:rsidRPr="007D47AD">
        <w:rPr>
          <w:rFonts w:asciiTheme="minorHAnsi" w:hAnsiTheme="minorHAnsi"/>
          <w:sz w:val="20"/>
          <w:szCs w:val="20"/>
          <w:shd w:val="clear" w:color="auto" w:fill="FFFFFF"/>
          <w:lang w:val="en-US"/>
        </w:rPr>
        <w:t xml:space="preserve"> and</w:t>
      </w:r>
      <w:r w:rsidR="009C095D" w:rsidRPr="007D47AD">
        <w:rPr>
          <w:rFonts w:asciiTheme="minorHAnsi" w:hAnsiTheme="minorHAnsi"/>
          <w:sz w:val="20"/>
          <w:szCs w:val="20"/>
          <w:shd w:val="clear" w:color="auto" w:fill="FFFFFF"/>
          <w:lang w:val="en-US"/>
        </w:rPr>
        <w:t xml:space="preserve"> Carlos Escoffié</w:t>
      </w:r>
      <w:r w:rsidR="005137C7" w:rsidRPr="007D47AD">
        <w:rPr>
          <w:rFonts w:asciiTheme="minorHAnsi" w:hAnsiTheme="minorHAnsi"/>
          <w:sz w:val="20"/>
          <w:szCs w:val="20"/>
          <w:shd w:val="clear" w:color="auto" w:fill="FFFFFF"/>
          <w:lang w:val="en-US"/>
        </w:rPr>
        <w:t xml:space="preserve"> asking that </w:t>
      </w:r>
      <w:r w:rsidR="00031103" w:rsidRPr="007D47AD">
        <w:rPr>
          <w:rFonts w:asciiTheme="minorHAnsi" w:hAnsiTheme="minorHAnsi"/>
          <w:sz w:val="20"/>
          <w:szCs w:val="20"/>
          <w:shd w:val="clear" w:color="auto" w:fill="FFFFFF"/>
          <w:lang w:val="en-US"/>
        </w:rPr>
        <w:t xml:space="preserve">information on </w:t>
      </w:r>
      <w:r w:rsidR="005137C7" w:rsidRPr="007D47AD">
        <w:rPr>
          <w:rFonts w:asciiTheme="minorHAnsi" w:hAnsiTheme="minorHAnsi"/>
          <w:sz w:val="20"/>
          <w:szCs w:val="20"/>
          <w:shd w:val="clear" w:color="auto" w:fill="FFFFFF"/>
          <w:lang w:val="en-US"/>
        </w:rPr>
        <w:t>the so-called “dirty war” be included in public education.</w:t>
      </w:r>
      <w:r w:rsidR="009C095D" w:rsidRPr="007D47AD">
        <w:rPr>
          <w:rStyle w:val="FootnoteReference"/>
          <w:rFonts w:asciiTheme="minorHAnsi" w:hAnsiTheme="minorHAnsi"/>
          <w:sz w:val="20"/>
          <w:szCs w:val="20"/>
          <w:shd w:val="clear" w:color="auto" w:fill="FFFFFF"/>
          <w:lang w:val="en-US"/>
        </w:rPr>
        <w:footnoteReference w:id="178"/>
      </w:r>
      <w:r w:rsidR="009C095D" w:rsidRPr="007D47AD">
        <w:rPr>
          <w:rFonts w:asciiTheme="minorHAnsi" w:hAnsiTheme="minorHAnsi"/>
          <w:sz w:val="20"/>
          <w:szCs w:val="20"/>
          <w:shd w:val="clear" w:color="auto" w:fill="FFFFFF"/>
          <w:lang w:val="en-US"/>
        </w:rPr>
        <w:t xml:space="preserve"> </w:t>
      </w:r>
      <w:r w:rsidR="005137C7" w:rsidRPr="007D47AD">
        <w:rPr>
          <w:rFonts w:asciiTheme="minorHAnsi" w:hAnsiTheme="minorHAnsi"/>
          <w:sz w:val="20"/>
          <w:szCs w:val="20"/>
          <w:shd w:val="clear" w:color="auto" w:fill="FFFFFF"/>
          <w:lang w:val="en-US"/>
        </w:rPr>
        <w:t xml:space="preserve">To date the decision in that </w:t>
      </w:r>
      <w:r w:rsidR="005137C7" w:rsidRPr="007D47AD">
        <w:rPr>
          <w:rFonts w:asciiTheme="minorHAnsi" w:hAnsiTheme="minorHAnsi"/>
          <w:i/>
          <w:iCs/>
          <w:sz w:val="20"/>
          <w:szCs w:val="20"/>
          <w:shd w:val="clear" w:color="auto" w:fill="FFFFFF"/>
          <w:lang w:val="en-US"/>
        </w:rPr>
        <w:t>amparo</w:t>
      </w:r>
      <w:r w:rsidR="005137C7" w:rsidRPr="007D47AD">
        <w:rPr>
          <w:rFonts w:asciiTheme="minorHAnsi" w:hAnsiTheme="minorHAnsi"/>
          <w:sz w:val="20"/>
          <w:szCs w:val="20"/>
          <w:shd w:val="clear" w:color="auto" w:fill="FFFFFF"/>
          <w:lang w:val="en-US"/>
        </w:rPr>
        <w:t xml:space="preserve"> is pending. </w:t>
      </w:r>
    </w:p>
    <w:p w:rsidR="002C073E" w:rsidRPr="007D47AD" w:rsidRDefault="002C073E" w:rsidP="002C073E">
      <w:pPr>
        <w:shd w:val="clear" w:color="auto" w:fill="FFFFFF"/>
        <w:spacing w:after="0" w:line="240" w:lineRule="auto"/>
        <w:jc w:val="both"/>
        <w:rPr>
          <w:rFonts w:asciiTheme="minorHAnsi" w:hAnsiTheme="minorHAnsi"/>
          <w:sz w:val="20"/>
          <w:szCs w:val="20"/>
          <w:shd w:val="clear" w:color="auto" w:fill="FFFFFF"/>
          <w:lang w:val="en-US"/>
        </w:rPr>
      </w:pPr>
    </w:p>
    <w:p w:rsidR="002C073E" w:rsidRPr="007D47AD" w:rsidRDefault="005137C7" w:rsidP="002C073E">
      <w:pPr>
        <w:numPr>
          <w:ilvl w:val="0"/>
          <w:numId w:val="6"/>
        </w:numPr>
        <w:shd w:val="clear" w:color="auto" w:fill="FFFFFF"/>
        <w:spacing w:after="0" w:line="240" w:lineRule="auto"/>
        <w:ind w:left="0" w:firstLine="720"/>
        <w:jc w:val="both"/>
        <w:rPr>
          <w:rFonts w:asciiTheme="minorHAnsi" w:hAnsiTheme="minorHAnsi"/>
          <w:sz w:val="20"/>
          <w:szCs w:val="20"/>
          <w:lang w:val="en-US"/>
        </w:rPr>
      </w:pPr>
      <w:r w:rsidRPr="007D47AD">
        <w:rPr>
          <w:rFonts w:asciiTheme="minorHAnsi" w:hAnsiTheme="minorHAnsi"/>
          <w:sz w:val="20"/>
          <w:szCs w:val="20"/>
          <w:lang w:val="en-US"/>
        </w:rPr>
        <w:t xml:space="preserve">The Commission finds that the authorities of the State </w:t>
      </w:r>
      <w:r w:rsidR="009C095D" w:rsidRPr="007D47AD">
        <w:rPr>
          <w:rFonts w:asciiTheme="minorHAnsi" w:hAnsiTheme="minorHAnsi"/>
          <w:sz w:val="20"/>
          <w:szCs w:val="20"/>
          <w:lang w:val="en-US"/>
        </w:rPr>
        <w:t>ha</w:t>
      </w:r>
      <w:r w:rsidRPr="007D47AD">
        <w:rPr>
          <w:rFonts w:asciiTheme="minorHAnsi" w:hAnsiTheme="minorHAnsi"/>
          <w:sz w:val="20"/>
          <w:szCs w:val="20"/>
          <w:lang w:val="en-US"/>
        </w:rPr>
        <w:t>ve adopted decision</w:t>
      </w:r>
      <w:r w:rsidR="00031103" w:rsidRPr="007D47AD">
        <w:rPr>
          <w:rFonts w:asciiTheme="minorHAnsi" w:hAnsiTheme="minorHAnsi"/>
          <w:sz w:val="20"/>
          <w:szCs w:val="20"/>
          <w:lang w:val="en-US"/>
        </w:rPr>
        <w:t>s</w:t>
      </w:r>
      <w:r w:rsidRPr="007D47AD">
        <w:rPr>
          <w:rFonts w:asciiTheme="minorHAnsi" w:hAnsiTheme="minorHAnsi"/>
          <w:sz w:val="20"/>
          <w:szCs w:val="20"/>
          <w:lang w:val="en-US"/>
        </w:rPr>
        <w:t xml:space="preserve"> on reparation of the victims, and that it is necessary to </w:t>
      </w:r>
      <w:r w:rsidR="00176E29" w:rsidRPr="007D47AD">
        <w:rPr>
          <w:rFonts w:asciiTheme="minorHAnsi" w:hAnsiTheme="minorHAnsi"/>
          <w:sz w:val="20"/>
          <w:szCs w:val="20"/>
          <w:lang w:val="en-US"/>
        </w:rPr>
        <w:t>observ</w:t>
      </w:r>
      <w:r w:rsidRPr="007D47AD">
        <w:rPr>
          <w:rFonts w:asciiTheme="minorHAnsi" w:hAnsiTheme="minorHAnsi"/>
          <w:sz w:val="20"/>
          <w:szCs w:val="20"/>
          <w:lang w:val="en-US"/>
        </w:rPr>
        <w:t xml:space="preserve">e the evolution of these processes for determining the gains in carrying out the recommendation being analyzed. Therefore, the IACHR concludes that this recommendation has met with partial compliance. </w:t>
      </w:r>
    </w:p>
    <w:p w:rsidR="002C073E" w:rsidRPr="007D47AD" w:rsidRDefault="002C073E" w:rsidP="002C073E">
      <w:pPr>
        <w:shd w:val="clear" w:color="auto" w:fill="FFFFFF"/>
        <w:spacing w:after="0" w:line="240" w:lineRule="auto"/>
        <w:jc w:val="both"/>
        <w:rPr>
          <w:rFonts w:asciiTheme="minorHAnsi" w:hAnsiTheme="minorHAnsi"/>
          <w:sz w:val="20"/>
          <w:szCs w:val="20"/>
          <w:lang w:val="en-US"/>
        </w:rPr>
      </w:pPr>
    </w:p>
    <w:p w:rsidR="002C073E" w:rsidRPr="007D47AD" w:rsidRDefault="005137C7" w:rsidP="002C073E">
      <w:pPr>
        <w:numPr>
          <w:ilvl w:val="0"/>
          <w:numId w:val="6"/>
        </w:numPr>
        <w:shd w:val="clear" w:color="auto" w:fill="FFFFFF"/>
        <w:spacing w:after="0" w:line="240" w:lineRule="auto"/>
        <w:ind w:left="0" w:firstLine="720"/>
        <w:jc w:val="both"/>
        <w:rPr>
          <w:rFonts w:asciiTheme="minorHAnsi" w:hAnsiTheme="minorHAnsi"/>
          <w:sz w:val="20"/>
          <w:szCs w:val="20"/>
          <w:lang w:val="en-US"/>
        </w:rPr>
      </w:pPr>
      <w:r w:rsidRPr="007D47AD">
        <w:rPr>
          <w:rFonts w:asciiTheme="minorHAnsi" w:hAnsiTheme="minorHAnsi"/>
          <w:sz w:val="20"/>
          <w:szCs w:val="20"/>
          <w:lang w:val="en-US"/>
        </w:rPr>
        <w:t xml:space="preserve">As regards the recommendation on </w:t>
      </w:r>
      <w:r w:rsidR="009C095D" w:rsidRPr="007D47AD">
        <w:rPr>
          <w:rFonts w:asciiTheme="minorHAnsi" w:hAnsiTheme="minorHAnsi"/>
          <w:b/>
          <w:sz w:val="20"/>
          <w:szCs w:val="20"/>
          <w:lang w:val="en-US"/>
        </w:rPr>
        <w:t>reform</w:t>
      </w:r>
      <w:r w:rsidRPr="007D47AD">
        <w:rPr>
          <w:rFonts w:asciiTheme="minorHAnsi" w:hAnsiTheme="minorHAnsi"/>
          <w:b/>
          <w:sz w:val="20"/>
          <w:szCs w:val="20"/>
          <w:lang w:val="en-US"/>
        </w:rPr>
        <w:t xml:space="preserve"> of the Military Justice Code</w:t>
      </w:r>
      <w:r w:rsidR="009C095D" w:rsidRPr="007D47AD">
        <w:rPr>
          <w:rFonts w:asciiTheme="minorHAnsi" w:hAnsiTheme="minorHAnsi"/>
          <w:sz w:val="20"/>
          <w:szCs w:val="20"/>
          <w:lang w:val="en-US"/>
        </w:rPr>
        <w:t xml:space="preserve">, </w:t>
      </w:r>
      <w:r w:rsidRPr="007D47AD">
        <w:rPr>
          <w:rFonts w:asciiTheme="minorHAnsi" w:hAnsiTheme="minorHAnsi"/>
          <w:sz w:val="20"/>
          <w:szCs w:val="20"/>
          <w:lang w:val="en-US"/>
        </w:rPr>
        <w:t xml:space="preserve">the State reiterated that since the </w:t>
      </w:r>
      <w:r w:rsidR="006541A4" w:rsidRPr="007D47AD">
        <w:rPr>
          <w:rFonts w:asciiTheme="minorHAnsi" w:hAnsiTheme="minorHAnsi"/>
          <w:sz w:val="20"/>
          <w:szCs w:val="20"/>
          <w:lang w:val="en-US"/>
        </w:rPr>
        <w:t xml:space="preserve">2014 </w:t>
      </w:r>
      <w:r w:rsidRPr="007D47AD">
        <w:rPr>
          <w:rFonts w:asciiTheme="minorHAnsi" w:hAnsiTheme="minorHAnsi"/>
          <w:sz w:val="20"/>
          <w:szCs w:val="20"/>
          <w:lang w:val="en-US"/>
        </w:rPr>
        <w:t xml:space="preserve">reform of the Code of Military Justice, the Federal Code of Criminal Procedure, and the Law that Establishes the Minimum Rules on Social Readaptation of Convicts, the military jurisdiction is restricted and it ensures that human rights violations are prosecuted in civilian courts. It also reported that as a result the Ministry of National Defense has declined jurisdiction in favor of civilian authorities when the matter implies </w:t>
      </w:r>
      <w:r w:rsidR="006541A4" w:rsidRPr="007D47AD">
        <w:rPr>
          <w:rFonts w:asciiTheme="minorHAnsi" w:hAnsiTheme="minorHAnsi"/>
          <w:sz w:val="20"/>
          <w:szCs w:val="20"/>
          <w:lang w:val="en-US"/>
        </w:rPr>
        <w:t>human</w:t>
      </w:r>
      <w:r w:rsidRPr="007D47AD">
        <w:rPr>
          <w:rFonts w:asciiTheme="minorHAnsi" w:hAnsiTheme="minorHAnsi"/>
          <w:sz w:val="20"/>
          <w:szCs w:val="20"/>
          <w:lang w:val="en-US"/>
        </w:rPr>
        <w:t xml:space="preserve"> rights violations allegedly committed by military personnel to the detriment of </w:t>
      </w:r>
      <w:r w:rsidR="006541A4" w:rsidRPr="007D47AD">
        <w:rPr>
          <w:rFonts w:asciiTheme="minorHAnsi" w:hAnsiTheme="minorHAnsi"/>
          <w:sz w:val="20"/>
          <w:szCs w:val="20"/>
          <w:lang w:val="en-US"/>
        </w:rPr>
        <w:t>civil</w:t>
      </w:r>
      <w:r w:rsidRPr="007D47AD">
        <w:rPr>
          <w:rFonts w:asciiTheme="minorHAnsi" w:hAnsiTheme="minorHAnsi"/>
          <w:sz w:val="20"/>
          <w:szCs w:val="20"/>
          <w:lang w:val="en-US"/>
        </w:rPr>
        <w:t>ians.</w:t>
      </w:r>
      <w:r w:rsidR="006541A4" w:rsidRPr="007D47AD">
        <w:rPr>
          <w:rStyle w:val="FootnoteReference"/>
          <w:rFonts w:asciiTheme="minorHAnsi" w:hAnsiTheme="minorHAnsi"/>
          <w:sz w:val="20"/>
          <w:szCs w:val="20"/>
          <w:lang w:val="en-US"/>
        </w:rPr>
        <w:footnoteReference w:id="179"/>
      </w:r>
      <w:r w:rsidR="009C095D" w:rsidRPr="007D47AD">
        <w:rPr>
          <w:rFonts w:asciiTheme="minorHAnsi" w:hAnsiTheme="minorHAnsi"/>
          <w:sz w:val="20"/>
          <w:szCs w:val="20"/>
          <w:lang w:val="en-US"/>
        </w:rPr>
        <w:t xml:space="preserve"> </w:t>
      </w:r>
    </w:p>
    <w:p w:rsidR="002C073E" w:rsidRPr="007D47AD" w:rsidRDefault="002C073E" w:rsidP="002C073E">
      <w:pPr>
        <w:shd w:val="clear" w:color="auto" w:fill="FFFFFF"/>
        <w:spacing w:after="0" w:line="240" w:lineRule="auto"/>
        <w:jc w:val="both"/>
        <w:rPr>
          <w:rFonts w:asciiTheme="minorHAnsi" w:hAnsiTheme="minorHAnsi"/>
          <w:sz w:val="20"/>
          <w:szCs w:val="20"/>
          <w:lang w:val="en-US"/>
        </w:rPr>
      </w:pPr>
    </w:p>
    <w:p w:rsidR="002C073E" w:rsidRPr="007D47AD" w:rsidRDefault="005137C7" w:rsidP="002C073E">
      <w:pPr>
        <w:numPr>
          <w:ilvl w:val="0"/>
          <w:numId w:val="6"/>
        </w:numPr>
        <w:shd w:val="clear" w:color="auto" w:fill="FFFFFF"/>
        <w:spacing w:after="0" w:line="240" w:lineRule="auto"/>
        <w:ind w:left="0" w:firstLine="720"/>
        <w:jc w:val="both"/>
        <w:rPr>
          <w:rFonts w:asciiTheme="minorHAnsi" w:hAnsiTheme="minorHAnsi"/>
          <w:sz w:val="20"/>
          <w:szCs w:val="20"/>
          <w:lang w:val="en-US"/>
        </w:rPr>
      </w:pPr>
      <w:r w:rsidRPr="007D47AD">
        <w:rPr>
          <w:rFonts w:asciiTheme="minorHAnsi" w:hAnsiTheme="minorHAnsi"/>
          <w:sz w:val="20"/>
          <w:szCs w:val="20"/>
          <w:lang w:val="en-US"/>
        </w:rPr>
        <w:t xml:space="preserve">The Commission recalls that since the </w:t>
      </w:r>
      <w:r w:rsidR="009C095D" w:rsidRPr="007D47AD">
        <w:rPr>
          <w:rFonts w:asciiTheme="minorHAnsi" w:hAnsiTheme="minorHAnsi"/>
          <w:sz w:val="20"/>
          <w:szCs w:val="20"/>
          <w:lang w:val="en-US"/>
        </w:rPr>
        <w:t xml:space="preserve">2017 </w:t>
      </w:r>
      <w:r w:rsidRPr="007D47AD">
        <w:rPr>
          <w:rFonts w:asciiTheme="minorHAnsi" w:hAnsiTheme="minorHAnsi"/>
          <w:sz w:val="20"/>
          <w:szCs w:val="20"/>
          <w:lang w:val="en-US"/>
        </w:rPr>
        <w:t>Annual Report it noted that said amendment to the Code was pending, for the current legislation continues, without partially adapting to inter-American standards</w:t>
      </w:r>
      <w:r w:rsidR="009C095D" w:rsidRPr="007D47AD">
        <w:rPr>
          <w:rFonts w:asciiTheme="minorHAnsi" w:hAnsiTheme="minorHAnsi"/>
          <w:sz w:val="20"/>
          <w:szCs w:val="20"/>
          <w:lang w:val="en-US"/>
        </w:rPr>
        <w:t xml:space="preserve">, </w:t>
      </w:r>
      <w:r w:rsidRPr="007D47AD">
        <w:rPr>
          <w:rFonts w:asciiTheme="minorHAnsi" w:hAnsiTheme="minorHAnsi"/>
          <w:sz w:val="20"/>
          <w:szCs w:val="20"/>
          <w:lang w:val="en-US"/>
        </w:rPr>
        <w:t xml:space="preserve">as </w:t>
      </w:r>
      <w:r w:rsidR="00031103" w:rsidRPr="007D47AD">
        <w:rPr>
          <w:rFonts w:asciiTheme="minorHAnsi" w:hAnsiTheme="minorHAnsi"/>
          <w:sz w:val="20"/>
          <w:szCs w:val="20"/>
          <w:lang w:val="en-US"/>
        </w:rPr>
        <w:t xml:space="preserve">has been </w:t>
      </w:r>
      <w:r w:rsidRPr="007D47AD">
        <w:rPr>
          <w:rFonts w:asciiTheme="minorHAnsi" w:hAnsiTheme="minorHAnsi"/>
          <w:sz w:val="20"/>
          <w:szCs w:val="20"/>
          <w:lang w:val="en-US"/>
        </w:rPr>
        <w:t>noted by the I/A Court HR in supervising compliance with some judgments against Mexico.</w:t>
      </w:r>
      <w:r w:rsidR="009C095D" w:rsidRPr="007D47AD">
        <w:rPr>
          <w:rStyle w:val="FootnoteReference"/>
          <w:rFonts w:asciiTheme="minorHAnsi" w:hAnsiTheme="minorHAnsi"/>
          <w:sz w:val="20"/>
          <w:szCs w:val="20"/>
          <w:lang w:val="en-US"/>
        </w:rPr>
        <w:footnoteReference w:id="180"/>
      </w:r>
      <w:r w:rsidR="00196B0F" w:rsidRPr="007D47AD">
        <w:rPr>
          <w:rFonts w:asciiTheme="minorHAnsi" w:hAnsiTheme="minorHAnsi"/>
          <w:sz w:val="20"/>
          <w:szCs w:val="20"/>
          <w:lang w:val="en-US"/>
        </w:rPr>
        <w:t xml:space="preserve"> </w:t>
      </w:r>
      <w:r w:rsidRPr="007D47AD">
        <w:rPr>
          <w:rFonts w:asciiTheme="minorHAnsi" w:hAnsiTheme="minorHAnsi"/>
          <w:sz w:val="20"/>
          <w:szCs w:val="20"/>
          <w:lang w:val="en-US"/>
        </w:rPr>
        <w:t>Mindful of the foregoing, the Commission reiterates the need for the State to carry out that recommendation, which is still pending implementation so that it is recognized that the military criminal jurisdiction does not apply to human rights violations</w:t>
      </w:r>
      <w:r w:rsidR="009C095D" w:rsidRPr="007D47AD">
        <w:rPr>
          <w:rFonts w:asciiTheme="minorHAnsi" w:hAnsiTheme="minorHAnsi"/>
          <w:sz w:val="20"/>
          <w:szCs w:val="20"/>
          <w:lang w:val="en-US"/>
        </w:rPr>
        <w:t xml:space="preserve">, </w:t>
      </w:r>
      <w:r w:rsidRPr="007D47AD">
        <w:rPr>
          <w:rFonts w:asciiTheme="minorHAnsi" w:hAnsiTheme="minorHAnsi"/>
          <w:sz w:val="20"/>
          <w:szCs w:val="20"/>
          <w:lang w:val="en-US"/>
        </w:rPr>
        <w:t>whether the person at the receiving end is a civilian or member of the military</w:t>
      </w:r>
      <w:r w:rsidR="009C095D" w:rsidRPr="007D47AD">
        <w:rPr>
          <w:rFonts w:asciiTheme="minorHAnsi" w:hAnsiTheme="minorHAnsi"/>
          <w:sz w:val="20"/>
          <w:szCs w:val="20"/>
          <w:lang w:val="en-US"/>
        </w:rPr>
        <w:t>.</w:t>
      </w:r>
      <w:r w:rsidR="00196B0F" w:rsidRPr="007D47AD">
        <w:rPr>
          <w:rFonts w:asciiTheme="minorHAnsi" w:hAnsiTheme="minorHAnsi"/>
          <w:sz w:val="20"/>
          <w:szCs w:val="20"/>
          <w:lang w:val="en-US"/>
        </w:rPr>
        <w:t xml:space="preserve"> </w:t>
      </w:r>
    </w:p>
    <w:p w:rsidR="002C073E" w:rsidRPr="007D47AD" w:rsidRDefault="002C073E" w:rsidP="002C073E">
      <w:pPr>
        <w:shd w:val="clear" w:color="auto" w:fill="FFFFFF"/>
        <w:spacing w:after="0" w:line="240" w:lineRule="auto"/>
        <w:ind w:left="720"/>
        <w:jc w:val="both"/>
        <w:rPr>
          <w:rFonts w:asciiTheme="minorHAnsi" w:hAnsiTheme="minorHAnsi"/>
          <w:sz w:val="20"/>
          <w:szCs w:val="20"/>
          <w:lang w:val="en-US"/>
        </w:rPr>
      </w:pPr>
      <w:r w:rsidRPr="007D47AD">
        <w:rPr>
          <w:rFonts w:asciiTheme="minorHAnsi" w:hAnsiTheme="minorHAnsi"/>
          <w:sz w:val="20"/>
          <w:szCs w:val="20"/>
          <w:lang w:val="en-US"/>
        </w:rPr>
        <w:t xml:space="preserve"> </w:t>
      </w:r>
    </w:p>
    <w:p w:rsidR="00096FA7" w:rsidRPr="007D47AD" w:rsidRDefault="005137C7" w:rsidP="00D937BC">
      <w:pPr>
        <w:numPr>
          <w:ilvl w:val="0"/>
          <w:numId w:val="6"/>
        </w:numPr>
        <w:shd w:val="clear" w:color="auto" w:fill="FFFFFF"/>
        <w:spacing w:after="0" w:line="240" w:lineRule="auto"/>
        <w:ind w:left="0" w:firstLine="720"/>
        <w:jc w:val="both"/>
        <w:rPr>
          <w:rFonts w:asciiTheme="minorHAnsi" w:hAnsiTheme="minorHAnsi"/>
          <w:sz w:val="20"/>
          <w:szCs w:val="20"/>
          <w:lang w:val="en-US"/>
        </w:rPr>
      </w:pPr>
      <w:r w:rsidRPr="007D47AD">
        <w:rPr>
          <w:rFonts w:asciiTheme="minorHAnsi" w:hAnsiTheme="minorHAnsi"/>
          <w:sz w:val="20"/>
          <w:szCs w:val="20"/>
          <w:lang w:val="en-US"/>
        </w:rPr>
        <w:t xml:space="preserve">With respect to the recommendations </w:t>
      </w:r>
      <w:r w:rsidR="00C02FE9" w:rsidRPr="007D47AD">
        <w:rPr>
          <w:rFonts w:asciiTheme="minorHAnsi" w:hAnsiTheme="minorHAnsi"/>
          <w:sz w:val="20"/>
          <w:szCs w:val="20"/>
          <w:lang w:val="en-US"/>
        </w:rPr>
        <w:t xml:space="preserve">to </w:t>
      </w:r>
      <w:r w:rsidR="009C095D" w:rsidRPr="007D47AD">
        <w:rPr>
          <w:rFonts w:asciiTheme="minorHAnsi" w:hAnsiTheme="minorHAnsi"/>
          <w:b/>
          <w:sz w:val="20"/>
          <w:szCs w:val="20"/>
          <w:lang w:val="en-US"/>
        </w:rPr>
        <w:t xml:space="preserve">monitor </w:t>
      </w:r>
      <w:r w:rsidR="00C02FE9" w:rsidRPr="007D47AD">
        <w:rPr>
          <w:rFonts w:asciiTheme="minorHAnsi" w:hAnsiTheme="minorHAnsi"/>
          <w:b/>
          <w:sz w:val="20"/>
          <w:szCs w:val="20"/>
          <w:lang w:val="en-US"/>
        </w:rPr>
        <w:t xml:space="preserve">the entry into force of the new criminal justice system </w:t>
      </w:r>
      <w:r w:rsidRPr="007D47AD">
        <w:rPr>
          <w:rFonts w:asciiTheme="minorHAnsi" w:hAnsiTheme="minorHAnsi"/>
          <w:sz w:val="20"/>
          <w:szCs w:val="20"/>
          <w:lang w:val="en-US"/>
        </w:rPr>
        <w:t>and</w:t>
      </w:r>
      <w:r w:rsidR="009C095D" w:rsidRPr="007D47AD">
        <w:rPr>
          <w:rFonts w:asciiTheme="minorHAnsi" w:hAnsiTheme="minorHAnsi"/>
          <w:sz w:val="20"/>
          <w:szCs w:val="20"/>
          <w:lang w:val="en-US"/>
        </w:rPr>
        <w:t xml:space="preserve"> </w:t>
      </w:r>
      <w:r w:rsidR="00C02FE9" w:rsidRPr="007D47AD">
        <w:rPr>
          <w:rFonts w:asciiTheme="minorHAnsi" w:hAnsiTheme="minorHAnsi"/>
          <w:b/>
          <w:sz w:val="20"/>
          <w:szCs w:val="20"/>
          <w:lang w:val="en-US"/>
        </w:rPr>
        <w:t>evaluate its effective implementation</w:t>
      </w:r>
      <w:r w:rsidR="009C095D" w:rsidRPr="007D47AD">
        <w:rPr>
          <w:rFonts w:asciiTheme="minorHAnsi" w:hAnsiTheme="minorHAnsi"/>
          <w:sz w:val="20"/>
          <w:szCs w:val="20"/>
          <w:lang w:val="en-US"/>
        </w:rPr>
        <w:t xml:space="preserve">, </w:t>
      </w:r>
      <w:r w:rsidRPr="007D47AD">
        <w:rPr>
          <w:rFonts w:asciiTheme="minorHAnsi" w:hAnsiTheme="minorHAnsi"/>
          <w:sz w:val="20"/>
          <w:szCs w:val="20"/>
          <w:lang w:val="en-US"/>
        </w:rPr>
        <w:t xml:space="preserve">the State noted that it trained </w:t>
      </w:r>
      <w:r w:rsidR="00E03108" w:rsidRPr="007D47AD">
        <w:rPr>
          <w:rFonts w:asciiTheme="minorHAnsi" w:hAnsiTheme="minorHAnsi"/>
          <w:sz w:val="20"/>
          <w:szCs w:val="20"/>
          <w:lang w:val="en-US"/>
        </w:rPr>
        <w:t xml:space="preserve">132 </w:t>
      </w:r>
      <w:r w:rsidRPr="007D47AD">
        <w:rPr>
          <w:rFonts w:asciiTheme="minorHAnsi" w:hAnsiTheme="minorHAnsi"/>
          <w:sz w:val="20"/>
          <w:szCs w:val="20"/>
          <w:lang w:val="en-US"/>
        </w:rPr>
        <w:t xml:space="preserve">public defenders to strengthen their litigation skills in the context of the adversarial criminal justice framework </w:t>
      </w:r>
      <w:r w:rsidR="00B7459E" w:rsidRPr="007D47AD">
        <w:rPr>
          <w:rFonts w:asciiTheme="minorHAnsi" w:hAnsiTheme="minorHAnsi"/>
          <w:sz w:val="20"/>
          <w:szCs w:val="20"/>
          <w:lang w:val="en-US"/>
        </w:rPr>
        <w:t xml:space="preserve">to </w:t>
      </w:r>
      <w:r w:rsidR="00E03108" w:rsidRPr="007D47AD">
        <w:rPr>
          <w:rFonts w:asciiTheme="minorHAnsi" w:hAnsiTheme="minorHAnsi"/>
          <w:sz w:val="20"/>
          <w:szCs w:val="20"/>
          <w:lang w:val="en-US"/>
        </w:rPr>
        <w:t>g</w:t>
      </w:r>
      <w:r w:rsidR="00B7459E" w:rsidRPr="007D47AD">
        <w:rPr>
          <w:rFonts w:asciiTheme="minorHAnsi" w:hAnsiTheme="minorHAnsi"/>
          <w:sz w:val="20"/>
          <w:szCs w:val="20"/>
          <w:lang w:val="en-US"/>
        </w:rPr>
        <w:t>u</w:t>
      </w:r>
      <w:r w:rsidR="00E03108" w:rsidRPr="007D47AD">
        <w:rPr>
          <w:rFonts w:asciiTheme="minorHAnsi" w:hAnsiTheme="minorHAnsi"/>
          <w:sz w:val="20"/>
          <w:szCs w:val="20"/>
          <w:lang w:val="en-US"/>
        </w:rPr>
        <w:t>arant</w:t>
      </w:r>
      <w:r w:rsidR="00B7459E" w:rsidRPr="007D47AD">
        <w:rPr>
          <w:rFonts w:asciiTheme="minorHAnsi" w:hAnsiTheme="minorHAnsi"/>
          <w:sz w:val="20"/>
          <w:szCs w:val="20"/>
          <w:lang w:val="en-US"/>
        </w:rPr>
        <w:t xml:space="preserve">ee an adequate defense for persons facing criminal charges. In addition, it reported that three training activities were carried out: </w:t>
      </w:r>
      <w:r w:rsidR="00E03108" w:rsidRPr="007D47AD">
        <w:rPr>
          <w:rFonts w:asciiTheme="minorHAnsi" w:hAnsiTheme="minorHAnsi"/>
          <w:sz w:val="20"/>
          <w:szCs w:val="20"/>
          <w:lang w:val="en-US"/>
        </w:rPr>
        <w:t>(i) “</w:t>
      </w:r>
      <w:r w:rsidR="00B7459E" w:rsidRPr="007D47AD">
        <w:rPr>
          <w:rFonts w:asciiTheme="minorHAnsi" w:hAnsiTheme="minorHAnsi"/>
          <w:sz w:val="20"/>
          <w:szCs w:val="20"/>
          <w:lang w:val="en-US"/>
        </w:rPr>
        <w:t>Exchange of experiences on the areas of opportunity and prospects of the New Criminal Justice System,</w:t>
      </w:r>
      <w:r w:rsidR="00E03108" w:rsidRPr="007D47AD">
        <w:rPr>
          <w:rFonts w:asciiTheme="minorHAnsi" w:hAnsiTheme="minorHAnsi"/>
          <w:sz w:val="20"/>
          <w:szCs w:val="20"/>
          <w:lang w:val="en-US"/>
        </w:rPr>
        <w:t xml:space="preserve">” </w:t>
      </w:r>
      <w:r w:rsidR="00B7459E" w:rsidRPr="007D47AD">
        <w:rPr>
          <w:rFonts w:asciiTheme="minorHAnsi" w:hAnsiTheme="minorHAnsi"/>
          <w:sz w:val="20"/>
          <w:szCs w:val="20"/>
          <w:lang w:val="en-US"/>
        </w:rPr>
        <w:t xml:space="preserve">geared to circuit and district judges, from June 5 to 28, </w:t>
      </w:r>
      <w:r w:rsidR="00E03108" w:rsidRPr="007D47AD">
        <w:rPr>
          <w:rFonts w:asciiTheme="minorHAnsi" w:hAnsiTheme="minorHAnsi"/>
          <w:sz w:val="20"/>
          <w:szCs w:val="20"/>
          <w:lang w:val="en-US"/>
        </w:rPr>
        <w:t>2019; (ii) “Diploma</w:t>
      </w:r>
      <w:r w:rsidR="00B7459E" w:rsidRPr="007D47AD">
        <w:rPr>
          <w:rFonts w:asciiTheme="minorHAnsi" w:hAnsiTheme="minorHAnsi"/>
          <w:sz w:val="20"/>
          <w:szCs w:val="20"/>
          <w:lang w:val="en-US"/>
        </w:rPr>
        <w:t xml:space="preserve"> in Training and Preparation of Assistants at Federal Criminal Justice Centers,” geared to public servants in the Federal Judicial Branch</w:t>
      </w:r>
      <w:r w:rsidR="00E03108" w:rsidRPr="007D47AD">
        <w:rPr>
          <w:rFonts w:asciiTheme="minorHAnsi" w:hAnsiTheme="minorHAnsi"/>
          <w:sz w:val="20"/>
          <w:szCs w:val="20"/>
          <w:lang w:val="en-US"/>
        </w:rPr>
        <w:t xml:space="preserve">, </w:t>
      </w:r>
      <w:r w:rsidR="00B7459E" w:rsidRPr="007D47AD">
        <w:rPr>
          <w:rFonts w:asciiTheme="minorHAnsi" w:hAnsiTheme="minorHAnsi"/>
          <w:sz w:val="20"/>
          <w:szCs w:val="20"/>
          <w:lang w:val="en-US"/>
        </w:rPr>
        <w:t xml:space="preserve">June </w:t>
      </w:r>
      <w:r w:rsidR="00E03108" w:rsidRPr="007D47AD">
        <w:rPr>
          <w:rFonts w:asciiTheme="minorHAnsi" w:hAnsiTheme="minorHAnsi"/>
          <w:sz w:val="20"/>
          <w:szCs w:val="20"/>
          <w:lang w:val="en-US"/>
        </w:rPr>
        <w:t xml:space="preserve">10 </w:t>
      </w:r>
      <w:r w:rsidR="00B7459E" w:rsidRPr="007D47AD">
        <w:rPr>
          <w:rFonts w:asciiTheme="minorHAnsi" w:hAnsiTheme="minorHAnsi"/>
          <w:sz w:val="20"/>
          <w:szCs w:val="20"/>
          <w:lang w:val="en-US"/>
        </w:rPr>
        <w:t xml:space="preserve">to September </w:t>
      </w:r>
      <w:r w:rsidR="00E03108" w:rsidRPr="007D47AD">
        <w:rPr>
          <w:rFonts w:asciiTheme="minorHAnsi" w:hAnsiTheme="minorHAnsi"/>
          <w:sz w:val="20"/>
          <w:szCs w:val="20"/>
          <w:lang w:val="en-US"/>
        </w:rPr>
        <w:t>13</w:t>
      </w:r>
      <w:r w:rsidR="00B7459E" w:rsidRPr="007D47AD">
        <w:rPr>
          <w:rFonts w:asciiTheme="minorHAnsi" w:hAnsiTheme="minorHAnsi"/>
          <w:sz w:val="20"/>
          <w:szCs w:val="20"/>
          <w:lang w:val="en-US"/>
        </w:rPr>
        <w:t>,</w:t>
      </w:r>
      <w:r w:rsidR="00E03108" w:rsidRPr="007D47AD">
        <w:rPr>
          <w:rFonts w:asciiTheme="minorHAnsi" w:hAnsiTheme="minorHAnsi"/>
          <w:sz w:val="20"/>
          <w:szCs w:val="20"/>
          <w:lang w:val="en-US"/>
        </w:rPr>
        <w:t xml:space="preserve"> 2019; </w:t>
      </w:r>
      <w:r w:rsidR="00B7459E" w:rsidRPr="007D47AD">
        <w:rPr>
          <w:rFonts w:asciiTheme="minorHAnsi" w:hAnsiTheme="minorHAnsi"/>
          <w:sz w:val="20"/>
          <w:szCs w:val="20"/>
          <w:lang w:val="en-US"/>
        </w:rPr>
        <w:t>and</w:t>
      </w:r>
      <w:r w:rsidR="00E03108" w:rsidRPr="007D47AD">
        <w:rPr>
          <w:rFonts w:asciiTheme="minorHAnsi" w:hAnsiTheme="minorHAnsi"/>
          <w:sz w:val="20"/>
          <w:szCs w:val="20"/>
          <w:lang w:val="en-US"/>
        </w:rPr>
        <w:t xml:space="preserve"> (iii) “Diploma</w:t>
      </w:r>
      <w:r w:rsidR="00B7459E" w:rsidRPr="007D47AD">
        <w:rPr>
          <w:rFonts w:asciiTheme="minorHAnsi" w:hAnsiTheme="minorHAnsi"/>
          <w:sz w:val="20"/>
          <w:szCs w:val="20"/>
          <w:lang w:val="en-US"/>
        </w:rPr>
        <w:t xml:space="preserve"> in Law of Criminal Enforcement,” geared to judicial personnel</w:t>
      </w:r>
      <w:r w:rsidR="00E03108" w:rsidRPr="007D47AD">
        <w:rPr>
          <w:rFonts w:asciiTheme="minorHAnsi" w:hAnsiTheme="minorHAnsi"/>
          <w:sz w:val="20"/>
          <w:szCs w:val="20"/>
          <w:lang w:val="en-US"/>
        </w:rPr>
        <w:t xml:space="preserve">, </w:t>
      </w:r>
      <w:r w:rsidR="00B7459E" w:rsidRPr="007D47AD">
        <w:rPr>
          <w:rFonts w:asciiTheme="minorHAnsi" w:hAnsiTheme="minorHAnsi"/>
          <w:sz w:val="20"/>
          <w:szCs w:val="20"/>
          <w:lang w:val="en-US"/>
        </w:rPr>
        <w:t xml:space="preserve">from September </w:t>
      </w:r>
      <w:r w:rsidR="00E03108" w:rsidRPr="007D47AD">
        <w:rPr>
          <w:rFonts w:asciiTheme="minorHAnsi" w:hAnsiTheme="minorHAnsi"/>
          <w:sz w:val="20"/>
          <w:szCs w:val="20"/>
          <w:lang w:val="en-US"/>
        </w:rPr>
        <w:t xml:space="preserve">2 </w:t>
      </w:r>
      <w:r w:rsidR="00B7459E" w:rsidRPr="007D47AD">
        <w:rPr>
          <w:rFonts w:asciiTheme="minorHAnsi" w:hAnsiTheme="minorHAnsi"/>
          <w:sz w:val="20"/>
          <w:szCs w:val="20"/>
          <w:lang w:val="en-US"/>
        </w:rPr>
        <w:t xml:space="preserve">to November </w:t>
      </w:r>
      <w:r w:rsidR="00E03108" w:rsidRPr="007D47AD">
        <w:rPr>
          <w:rFonts w:asciiTheme="minorHAnsi" w:hAnsiTheme="minorHAnsi"/>
          <w:sz w:val="20"/>
          <w:szCs w:val="20"/>
          <w:lang w:val="en-US"/>
        </w:rPr>
        <w:t>8</w:t>
      </w:r>
      <w:r w:rsidR="00B7459E" w:rsidRPr="007D47AD">
        <w:rPr>
          <w:rFonts w:asciiTheme="minorHAnsi" w:hAnsiTheme="minorHAnsi"/>
          <w:sz w:val="20"/>
          <w:szCs w:val="20"/>
          <w:lang w:val="en-US"/>
        </w:rPr>
        <w:t>, 2019.</w:t>
      </w:r>
      <w:r w:rsidR="009C095D" w:rsidRPr="007D47AD">
        <w:rPr>
          <w:rStyle w:val="FootnoteReference"/>
          <w:rFonts w:asciiTheme="minorHAnsi" w:hAnsiTheme="minorHAnsi"/>
          <w:sz w:val="20"/>
          <w:szCs w:val="20"/>
          <w:lang w:val="en-US"/>
        </w:rPr>
        <w:footnoteReference w:id="181"/>
      </w:r>
      <w:r w:rsidR="00E03108" w:rsidRPr="007D47AD">
        <w:rPr>
          <w:rFonts w:asciiTheme="minorHAnsi" w:hAnsiTheme="minorHAnsi"/>
          <w:sz w:val="20"/>
          <w:szCs w:val="20"/>
          <w:lang w:val="en-US"/>
        </w:rPr>
        <w:t xml:space="preserve"> </w:t>
      </w:r>
      <w:r w:rsidR="00B7459E" w:rsidRPr="007D47AD">
        <w:rPr>
          <w:rFonts w:asciiTheme="minorHAnsi" w:hAnsiTheme="minorHAnsi"/>
          <w:sz w:val="20"/>
          <w:szCs w:val="20"/>
          <w:lang w:val="en-US"/>
        </w:rPr>
        <w:t>In addition, the State recognizes that implementing the model is a process that is under way and that it considers that it has partially complied with the recommendation, and will generate quantitative and qualitative information to evaluate the effectiveness of the reform.</w:t>
      </w:r>
      <w:r w:rsidR="00CA769E" w:rsidRPr="007D47AD">
        <w:rPr>
          <w:rStyle w:val="FootnoteReference"/>
          <w:rFonts w:asciiTheme="minorHAnsi" w:hAnsiTheme="minorHAnsi"/>
          <w:sz w:val="20"/>
          <w:szCs w:val="20"/>
          <w:lang w:val="en-US"/>
        </w:rPr>
        <w:footnoteReference w:id="182"/>
      </w:r>
    </w:p>
    <w:p w:rsidR="00096FA7" w:rsidRPr="007D47AD" w:rsidRDefault="00096FA7" w:rsidP="00096FA7">
      <w:pPr>
        <w:shd w:val="clear" w:color="auto" w:fill="FFFFFF"/>
        <w:spacing w:after="0" w:line="240" w:lineRule="auto"/>
        <w:ind w:left="720"/>
        <w:jc w:val="both"/>
        <w:rPr>
          <w:rFonts w:asciiTheme="minorHAnsi" w:hAnsiTheme="minorHAnsi"/>
          <w:sz w:val="20"/>
          <w:szCs w:val="20"/>
          <w:lang w:val="en-US"/>
        </w:rPr>
      </w:pPr>
    </w:p>
    <w:p w:rsidR="002C073E" w:rsidRPr="007D47AD" w:rsidRDefault="00B7459E" w:rsidP="00B7459E">
      <w:pPr>
        <w:numPr>
          <w:ilvl w:val="0"/>
          <w:numId w:val="6"/>
        </w:numPr>
        <w:shd w:val="clear" w:color="auto" w:fill="FFFFFF"/>
        <w:spacing w:after="0" w:line="240" w:lineRule="auto"/>
        <w:ind w:left="0" w:firstLine="720"/>
        <w:jc w:val="both"/>
        <w:rPr>
          <w:rFonts w:asciiTheme="minorHAnsi" w:hAnsiTheme="minorHAnsi"/>
          <w:sz w:val="20"/>
          <w:szCs w:val="20"/>
          <w:lang w:val="en-US"/>
        </w:rPr>
      </w:pPr>
      <w:r w:rsidRPr="007D47AD">
        <w:rPr>
          <w:rFonts w:asciiTheme="minorHAnsi" w:hAnsiTheme="minorHAnsi"/>
          <w:sz w:val="20"/>
          <w:szCs w:val="20"/>
          <w:lang w:val="en-US"/>
        </w:rPr>
        <w:t xml:space="preserve">In its previous report the IACHR described the process of citizen discussion around the appointment of the person who would serve as Attorney General, as part of the reform process of the transition </w:t>
      </w:r>
      <w:r w:rsidR="008F1AE3" w:rsidRPr="007D47AD">
        <w:rPr>
          <w:rFonts w:asciiTheme="minorHAnsi" w:hAnsiTheme="minorHAnsi"/>
          <w:sz w:val="20"/>
          <w:szCs w:val="20"/>
          <w:lang w:val="en-US"/>
        </w:rPr>
        <w:lastRenderedPageBreak/>
        <w:t xml:space="preserve">to the adversarial model </w:t>
      </w:r>
      <w:r w:rsidRPr="007D47AD">
        <w:rPr>
          <w:rFonts w:asciiTheme="minorHAnsi" w:hAnsiTheme="minorHAnsi"/>
          <w:sz w:val="20"/>
          <w:szCs w:val="20"/>
          <w:lang w:val="en-US"/>
        </w:rPr>
        <w:t>in criminal justice.</w:t>
      </w:r>
      <w:r w:rsidR="00C968FA" w:rsidRPr="007D47AD">
        <w:rPr>
          <w:rStyle w:val="FootnoteReference"/>
          <w:rFonts w:asciiTheme="minorHAnsi" w:hAnsiTheme="minorHAnsi"/>
          <w:sz w:val="20"/>
          <w:szCs w:val="20"/>
          <w:lang w:val="en-US"/>
        </w:rPr>
        <w:footnoteReference w:id="183"/>
      </w:r>
      <w:r w:rsidR="00C968FA" w:rsidRPr="007D47AD">
        <w:rPr>
          <w:rFonts w:asciiTheme="minorHAnsi" w:hAnsiTheme="minorHAnsi"/>
          <w:sz w:val="20"/>
          <w:szCs w:val="20"/>
          <w:lang w:val="en-US"/>
        </w:rPr>
        <w:t xml:space="preserve"> Final</w:t>
      </w:r>
      <w:r w:rsidRPr="007D47AD">
        <w:rPr>
          <w:rFonts w:asciiTheme="minorHAnsi" w:hAnsiTheme="minorHAnsi"/>
          <w:sz w:val="20"/>
          <w:szCs w:val="20"/>
          <w:lang w:val="en-US"/>
        </w:rPr>
        <w:t>ly</w:t>
      </w:r>
      <w:r w:rsidR="00C968FA" w:rsidRPr="007D47AD">
        <w:rPr>
          <w:rFonts w:asciiTheme="minorHAnsi" w:hAnsiTheme="minorHAnsi"/>
          <w:sz w:val="20"/>
          <w:szCs w:val="20"/>
          <w:lang w:val="en-US"/>
        </w:rPr>
        <w:t>,</w:t>
      </w:r>
      <w:r w:rsidRPr="007D47AD">
        <w:rPr>
          <w:rFonts w:asciiTheme="minorHAnsi" w:hAnsiTheme="minorHAnsi"/>
          <w:sz w:val="20"/>
          <w:szCs w:val="20"/>
          <w:lang w:val="en-US"/>
        </w:rPr>
        <w:t xml:space="preserve"> on January</w:t>
      </w:r>
      <w:r w:rsidR="00C968FA" w:rsidRPr="007D47AD">
        <w:rPr>
          <w:rFonts w:asciiTheme="minorHAnsi" w:hAnsiTheme="minorHAnsi"/>
          <w:sz w:val="20"/>
          <w:szCs w:val="20"/>
          <w:lang w:val="en-US"/>
        </w:rPr>
        <w:t xml:space="preserve"> 19</w:t>
      </w:r>
      <w:r w:rsidRPr="007D47AD">
        <w:rPr>
          <w:rFonts w:asciiTheme="minorHAnsi" w:hAnsiTheme="minorHAnsi"/>
          <w:sz w:val="20"/>
          <w:szCs w:val="20"/>
          <w:lang w:val="en-US"/>
        </w:rPr>
        <w:t>, 2019, the Senate elected the first Attorney General of the Republic</w:t>
      </w:r>
      <w:r w:rsidR="008F1AE3" w:rsidRPr="007D47AD">
        <w:rPr>
          <w:rFonts w:asciiTheme="minorHAnsi" w:hAnsiTheme="minorHAnsi"/>
          <w:sz w:val="20"/>
          <w:szCs w:val="20"/>
          <w:lang w:val="en-US"/>
        </w:rPr>
        <w:t xml:space="preserve"> with the title</w:t>
      </w:r>
      <w:r w:rsidRPr="007D47AD">
        <w:rPr>
          <w:rFonts w:asciiTheme="minorHAnsi" w:hAnsiTheme="minorHAnsi"/>
          <w:sz w:val="20"/>
          <w:szCs w:val="20"/>
          <w:lang w:val="en-US"/>
        </w:rPr>
        <w:t xml:space="preserve"> </w:t>
      </w:r>
      <w:r w:rsidR="00C968FA" w:rsidRPr="007D47AD">
        <w:rPr>
          <w:rFonts w:asciiTheme="minorHAnsi" w:hAnsiTheme="minorHAnsi"/>
          <w:sz w:val="20"/>
          <w:szCs w:val="20"/>
          <w:lang w:val="en-US"/>
        </w:rPr>
        <w:t xml:space="preserve">Fiscal General de la República, </w:t>
      </w:r>
      <w:r w:rsidRPr="007D47AD">
        <w:rPr>
          <w:rFonts w:asciiTheme="minorHAnsi" w:hAnsiTheme="minorHAnsi"/>
          <w:sz w:val="20"/>
          <w:szCs w:val="20"/>
          <w:lang w:val="en-US"/>
        </w:rPr>
        <w:t>who</w:t>
      </w:r>
      <w:r w:rsidR="008F1AE3" w:rsidRPr="007D47AD">
        <w:rPr>
          <w:rFonts w:asciiTheme="minorHAnsi" w:hAnsiTheme="minorHAnsi"/>
          <w:sz w:val="20"/>
          <w:szCs w:val="20"/>
          <w:lang w:val="en-US"/>
        </w:rPr>
        <w:t>se</w:t>
      </w:r>
      <w:r w:rsidRPr="007D47AD">
        <w:rPr>
          <w:rFonts w:asciiTheme="minorHAnsi" w:hAnsiTheme="minorHAnsi"/>
          <w:sz w:val="20"/>
          <w:szCs w:val="20"/>
          <w:lang w:val="en-US"/>
        </w:rPr>
        <w:t xml:space="preserve"> term lasts nine years</w:t>
      </w:r>
      <w:r w:rsidR="008F1AE3" w:rsidRPr="007D47AD">
        <w:rPr>
          <w:rFonts w:asciiTheme="minorHAnsi" w:hAnsiTheme="minorHAnsi"/>
          <w:sz w:val="20"/>
          <w:szCs w:val="20"/>
          <w:lang w:val="en-US"/>
        </w:rPr>
        <w:t>;</w:t>
      </w:r>
      <w:r w:rsidRPr="007D47AD">
        <w:rPr>
          <w:rFonts w:asciiTheme="minorHAnsi" w:hAnsiTheme="minorHAnsi"/>
          <w:sz w:val="20"/>
          <w:szCs w:val="20"/>
          <w:lang w:val="en-US"/>
        </w:rPr>
        <w:t xml:space="preserve"> nonetheless, since this happened </w:t>
      </w:r>
      <w:r w:rsidR="00C968FA" w:rsidRPr="007D47AD">
        <w:rPr>
          <w:rFonts w:asciiTheme="minorHAnsi" w:hAnsiTheme="minorHAnsi"/>
          <w:sz w:val="20"/>
          <w:szCs w:val="20"/>
          <w:lang w:val="en-US"/>
        </w:rPr>
        <w:t xml:space="preserve">México Evalúa </w:t>
      </w:r>
      <w:r w:rsidRPr="007D47AD">
        <w:rPr>
          <w:rFonts w:asciiTheme="minorHAnsi" w:hAnsiTheme="minorHAnsi"/>
          <w:sz w:val="20"/>
          <w:szCs w:val="20"/>
          <w:lang w:val="en-US"/>
        </w:rPr>
        <w:t xml:space="preserve">has </w:t>
      </w:r>
      <w:r w:rsidR="00C968FA" w:rsidRPr="007D47AD">
        <w:rPr>
          <w:rFonts w:asciiTheme="minorHAnsi" w:hAnsiTheme="minorHAnsi"/>
          <w:sz w:val="20"/>
          <w:szCs w:val="20"/>
          <w:lang w:val="en-US"/>
        </w:rPr>
        <w:t>indica</w:t>
      </w:r>
      <w:r w:rsidRPr="007D47AD">
        <w:rPr>
          <w:rFonts w:asciiTheme="minorHAnsi" w:hAnsiTheme="minorHAnsi"/>
          <w:sz w:val="20"/>
          <w:szCs w:val="20"/>
          <w:lang w:val="en-US"/>
        </w:rPr>
        <w:t>ted that there is little information with respect to the status of the transition to the new criminal justice system.</w:t>
      </w:r>
      <w:r w:rsidR="00C968FA" w:rsidRPr="007D47AD">
        <w:rPr>
          <w:rStyle w:val="FootnoteReference"/>
          <w:rFonts w:asciiTheme="minorHAnsi" w:hAnsiTheme="minorHAnsi"/>
          <w:sz w:val="20"/>
          <w:szCs w:val="20"/>
          <w:lang w:val="en-US"/>
        </w:rPr>
        <w:footnoteReference w:id="184"/>
      </w:r>
    </w:p>
    <w:p w:rsidR="002C073E" w:rsidRPr="007D47AD" w:rsidRDefault="002C073E" w:rsidP="00D937BC">
      <w:pPr>
        <w:shd w:val="clear" w:color="auto" w:fill="FFFFFF"/>
        <w:spacing w:after="0" w:line="240" w:lineRule="auto"/>
        <w:jc w:val="both"/>
        <w:rPr>
          <w:rFonts w:asciiTheme="minorHAnsi" w:hAnsiTheme="minorHAnsi"/>
          <w:sz w:val="20"/>
          <w:szCs w:val="20"/>
          <w:lang w:val="en-US"/>
        </w:rPr>
      </w:pPr>
    </w:p>
    <w:p w:rsidR="002C073E" w:rsidRPr="007D47AD" w:rsidRDefault="00B7459E" w:rsidP="002C073E">
      <w:pPr>
        <w:numPr>
          <w:ilvl w:val="0"/>
          <w:numId w:val="6"/>
        </w:numPr>
        <w:shd w:val="clear" w:color="auto" w:fill="FFFFFF"/>
        <w:spacing w:after="0" w:line="240" w:lineRule="auto"/>
        <w:ind w:left="0" w:firstLine="720"/>
        <w:jc w:val="both"/>
        <w:rPr>
          <w:rFonts w:asciiTheme="minorHAnsi" w:hAnsiTheme="minorHAnsi"/>
          <w:sz w:val="20"/>
          <w:szCs w:val="20"/>
          <w:lang w:val="en-US"/>
        </w:rPr>
      </w:pPr>
      <w:r w:rsidRPr="007D47AD">
        <w:rPr>
          <w:rFonts w:asciiTheme="minorHAnsi" w:hAnsiTheme="minorHAnsi"/>
          <w:sz w:val="20"/>
          <w:szCs w:val="20"/>
          <w:lang w:val="en-US"/>
        </w:rPr>
        <w:t>In addition, the report of the observatory of the transition</w:t>
      </w:r>
      <w:r w:rsidR="00CA769E" w:rsidRPr="007D47AD">
        <w:rPr>
          <w:rFonts w:asciiTheme="minorHAnsi" w:hAnsiTheme="minorHAnsi"/>
          <w:sz w:val="20"/>
          <w:szCs w:val="20"/>
          <w:lang w:val="en-US"/>
        </w:rPr>
        <w:t>,</w:t>
      </w:r>
      <w:r w:rsidR="00C968FA" w:rsidRPr="007D47AD">
        <w:rPr>
          <w:rFonts w:asciiTheme="minorHAnsi" w:hAnsiTheme="minorHAnsi"/>
          <w:sz w:val="20"/>
          <w:szCs w:val="20"/>
          <w:lang w:val="en-US"/>
        </w:rPr>
        <w:t xml:space="preserve"> </w:t>
      </w:r>
      <w:r w:rsidRPr="007D47AD">
        <w:rPr>
          <w:rFonts w:asciiTheme="minorHAnsi" w:hAnsiTheme="minorHAnsi"/>
          <w:sz w:val="20"/>
          <w:szCs w:val="20"/>
          <w:lang w:val="en-US"/>
        </w:rPr>
        <w:t xml:space="preserve">by </w:t>
      </w:r>
      <w:r w:rsidR="00C968FA" w:rsidRPr="007D47AD">
        <w:rPr>
          <w:rFonts w:asciiTheme="minorHAnsi" w:hAnsiTheme="minorHAnsi"/>
          <w:sz w:val="20"/>
          <w:szCs w:val="20"/>
          <w:lang w:val="en-US"/>
        </w:rPr>
        <w:t>México Evalúa</w:t>
      </w:r>
      <w:r w:rsidR="00CA769E" w:rsidRPr="007D47AD">
        <w:rPr>
          <w:rFonts w:asciiTheme="minorHAnsi" w:hAnsiTheme="minorHAnsi"/>
          <w:sz w:val="20"/>
          <w:szCs w:val="20"/>
          <w:lang w:val="en-US"/>
        </w:rPr>
        <w:t>,</w:t>
      </w:r>
      <w:r w:rsidR="00C968FA" w:rsidRPr="007D47AD">
        <w:rPr>
          <w:rFonts w:asciiTheme="minorHAnsi" w:hAnsiTheme="minorHAnsi"/>
          <w:sz w:val="20"/>
          <w:szCs w:val="20"/>
          <w:lang w:val="en-US"/>
        </w:rPr>
        <w:t xml:space="preserve"> </w:t>
      </w:r>
      <w:r w:rsidR="00096FA7" w:rsidRPr="007D47AD">
        <w:rPr>
          <w:rFonts w:asciiTheme="minorHAnsi" w:hAnsiTheme="minorHAnsi"/>
          <w:sz w:val="20"/>
          <w:szCs w:val="20"/>
          <w:lang w:val="en-US"/>
        </w:rPr>
        <w:t>ha</w:t>
      </w:r>
      <w:r w:rsidRPr="007D47AD">
        <w:rPr>
          <w:rFonts w:asciiTheme="minorHAnsi" w:hAnsiTheme="minorHAnsi"/>
          <w:sz w:val="20"/>
          <w:szCs w:val="20"/>
          <w:lang w:val="en-US"/>
        </w:rPr>
        <w:t>s</w:t>
      </w:r>
      <w:r w:rsidR="00096FA7" w:rsidRPr="007D47AD">
        <w:rPr>
          <w:rFonts w:asciiTheme="minorHAnsi" w:hAnsiTheme="minorHAnsi"/>
          <w:sz w:val="20"/>
          <w:szCs w:val="20"/>
          <w:lang w:val="en-US"/>
        </w:rPr>
        <w:t xml:space="preserve"> indica</w:t>
      </w:r>
      <w:r w:rsidRPr="007D47AD">
        <w:rPr>
          <w:rFonts w:asciiTheme="minorHAnsi" w:hAnsiTheme="minorHAnsi"/>
          <w:sz w:val="20"/>
          <w:szCs w:val="20"/>
          <w:lang w:val="en-US"/>
        </w:rPr>
        <w:t>ted</w:t>
      </w:r>
      <w:r w:rsidR="00C968FA" w:rsidRPr="007D47AD">
        <w:rPr>
          <w:rFonts w:asciiTheme="minorHAnsi" w:hAnsiTheme="minorHAnsi"/>
          <w:sz w:val="20"/>
          <w:szCs w:val="20"/>
          <w:lang w:val="en-US"/>
        </w:rPr>
        <w:t xml:space="preserve"> “</w:t>
      </w:r>
      <w:r w:rsidRPr="007D47AD">
        <w:rPr>
          <w:rFonts w:asciiTheme="minorHAnsi" w:hAnsiTheme="minorHAnsi"/>
          <w:sz w:val="20"/>
          <w:szCs w:val="20"/>
          <w:lang w:val="en-US"/>
        </w:rPr>
        <w:t xml:space="preserve">that to date the transition lacks mechanisms of transparency, publicity, and accountability,” and that it is necessary for corrective measures to take into consideration a wide-ranging inter-institutional dialogue with society. </w:t>
      </w:r>
      <w:r w:rsidR="001B416C" w:rsidRPr="007D47AD">
        <w:rPr>
          <w:rFonts w:asciiTheme="minorHAnsi" w:hAnsiTheme="minorHAnsi"/>
          <w:sz w:val="20"/>
          <w:szCs w:val="20"/>
          <w:lang w:val="en-US"/>
        </w:rPr>
        <w:t xml:space="preserve">The report in question finds that the levels of transformation of the criminal justices system in terms of </w:t>
      </w:r>
      <w:r w:rsidR="00C968FA" w:rsidRPr="007D47AD">
        <w:rPr>
          <w:rFonts w:asciiTheme="minorHAnsi" w:hAnsiTheme="minorHAnsi"/>
          <w:sz w:val="20"/>
          <w:szCs w:val="20"/>
          <w:lang w:val="en-US"/>
        </w:rPr>
        <w:t>autonom</w:t>
      </w:r>
      <w:r w:rsidR="001B416C" w:rsidRPr="007D47AD">
        <w:rPr>
          <w:rFonts w:asciiTheme="minorHAnsi" w:hAnsiTheme="minorHAnsi"/>
          <w:sz w:val="20"/>
          <w:szCs w:val="20"/>
          <w:lang w:val="en-US"/>
        </w:rPr>
        <w:t>y</w:t>
      </w:r>
      <w:r w:rsidR="00C968FA" w:rsidRPr="007D47AD">
        <w:rPr>
          <w:rFonts w:asciiTheme="minorHAnsi" w:hAnsiTheme="minorHAnsi"/>
          <w:sz w:val="20"/>
          <w:szCs w:val="20"/>
          <w:lang w:val="en-US"/>
        </w:rPr>
        <w:t xml:space="preserve">, </w:t>
      </w:r>
      <w:r w:rsidR="001B416C" w:rsidRPr="007D47AD">
        <w:rPr>
          <w:rFonts w:asciiTheme="minorHAnsi" w:hAnsiTheme="minorHAnsi"/>
          <w:sz w:val="20"/>
          <w:szCs w:val="20"/>
          <w:lang w:val="en-US"/>
        </w:rPr>
        <w:t>institutional development, legal development, and pace of change are quite low.</w:t>
      </w:r>
      <w:r w:rsidR="00C968FA" w:rsidRPr="007D47AD">
        <w:rPr>
          <w:rStyle w:val="FootnoteReference"/>
          <w:rFonts w:asciiTheme="minorHAnsi" w:hAnsiTheme="minorHAnsi"/>
          <w:sz w:val="20"/>
          <w:szCs w:val="20"/>
          <w:lang w:val="en-US"/>
        </w:rPr>
        <w:footnoteReference w:id="185"/>
      </w:r>
    </w:p>
    <w:p w:rsidR="002C073E" w:rsidRPr="007D47AD" w:rsidRDefault="002C073E" w:rsidP="002C073E">
      <w:pPr>
        <w:shd w:val="clear" w:color="auto" w:fill="FFFFFF"/>
        <w:spacing w:after="0" w:line="240" w:lineRule="auto"/>
        <w:ind w:left="720"/>
        <w:jc w:val="both"/>
        <w:rPr>
          <w:rFonts w:asciiTheme="minorHAnsi" w:hAnsiTheme="minorHAnsi"/>
          <w:sz w:val="20"/>
          <w:szCs w:val="20"/>
          <w:lang w:val="en-US"/>
        </w:rPr>
      </w:pPr>
    </w:p>
    <w:p w:rsidR="002C073E" w:rsidRPr="007D47AD" w:rsidRDefault="001B416C" w:rsidP="002C073E">
      <w:pPr>
        <w:numPr>
          <w:ilvl w:val="0"/>
          <w:numId w:val="6"/>
        </w:numPr>
        <w:shd w:val="clear" w:color="auto" w:fill="FFFFFF"/>
        <w:spacing w:after="0" w:line="240" w:lineRule="auto"/>
        <w:ind w:left="0" w:firstLine="720"/>
        <w:jc w:val="both"/>
        <w:rPr>
          <w:rFonts w:asciiTheme="minorHAnsi" w:hAnsiTheme="minorHAnsi"/>
          <w:sz w:val="20"/>
          <w:szCs w:val="20"/>
          <w:lang w:val="en-US"/>
        </w:rPr>
      </w:pPr>
      <w:r w:rsidRPr="007D47AD">
        <w:rPr>
          <w:rFonts w:asciiTheme="minorHAnsi" w:hAnsiTheme="minorHAnsi"/>
          <w:sz w:val="20"/>
          <w:szCs w:val="20"/>
          <w:lang w:val="en-US"/>
        </w:rPr>
        <w:t xml:space="preserve">The </w:t>
      </w:r>
      <w:r w:rsidR="00CA769E" w:rsidRPr="007D47AD">
        <w:rPr>
          <w:rFonts w:asciiTheme="minorHAnsi" w:hAnsiTheme="minorHAnsi"/>
          <w:sz w:val="20"/>
          <w:szCs w:val="20"/>
          <w:lang w:val="en-US"/>
        </w:rPr>
        <w:t>Centro PRODH indic</w:t>
      </w:r>
      <w:r w:rsidRPr="007D47AD">
        <w:rPr>
          <w:rFonts w:asciiTheme="minorHAnsi" w:hAnsiTheme="minorHAnsi"/>
          <w:sz w:val="20"/>
          <w:szCs w:val="20"/>
          <w:lang w:val="en-US"/>
        </w:rPr>
        <w:t xml:space="preserve">ated that </w:t>
      </w:r>
      <w:r w:rsidR="008F1AE3" w:rsidRPr="007D47AD">
        <w:rPr>
          <w:rFonts w:asciiTheme="minorHAnsi" w:hAnsiTheme="minorHAnsi"/>
          <w:sz w:val="20"/>
          <w:szCs w:val="20"/>
          <w:lang w:val="en-US"/>
        </w:rPr>
        <w:t xml:space="preserve">it has </w:t>
      </w:r>
      <w:r w:rsidRPr="007D47AD">
        <w:rPr>
          <w:rFonts w:asciiTheme="minorHAnsi" w:hAnsiTheme="minorHAnsi"/>
          <w:sz w:val="20"/>
          <w:szCs w:val="20"/>
          <w:lang w:val="en-US"/>
        </w:rPr>
        <w:t>accompan</w:t>
      </w:r>
      <w:r w:rsidR="008F1AE3" w:rsidRPr="007D47AD">
        <w:rPr>
          <w:rFonts w:asciiTheme="minorHAnsi" w:hAnsiTheme="minorHAnsi"/>
          <w:sz w:val="20"/>
          <w:szCs w:val="20"/>
          <w:lang w:val="en-US"/>
        </w:rPr>
        <w:t>ied</w:t>
      </w:r>
      <w:r w:rsidRPr="007D47AD">
        <w:rPr>
          <w:rFonts w:asciiTheme="minorHAnsi" w:hAnsiTheme="minorHAnsi"/>
          <w:sz w:val="20"/>
          <w:szCs w:val="20"/>
          <w:lang w:val="en-US"/>
        </w:rPr>
        <w:t xml:space="preserve"> several innocent victims who have been criminalized in the new criminal justice system, identifying the persistence of certain vices such as admitting illegal evidence and due process violations favorable to the prosecut</w:t>
      </w:r>
      <w:r w:rsidR="008F1AE3" w:rsidRPr="007D47AD">
        <w:rPr>
          <w:rFonts w:asciiTheme="minorHAnsi" w:hAnsiTheme="minorHAnsi"/>
          <w:sz w:val="20"/>
          <w:szCs w:val="20"/>
          <w:lang w:val="en-US"/>
        </w:rPr>
        <w:t>ion</w:t>
      </w:r>
      <w:r w:rsidRPr="007D47AD">
        <w:rPr>
          <w:rFonts w:asciiTheme="minorHAnsi" w:hAnsiTheme="minorHAnsi"/>
          <w:sz w:val="20"/>
          <w:szCs w:val="20"/>
          <w:lang w:val="en-US"/>
        </w:rPr>
        <w:t>.</w:t>
      </w:r>
      <w:r w:rsidR="00155FA4" w:rsidRPr="007D47AD">
        <w:rPr>
          <w:rStyle w:val="FootnoteReference"/>
          <w:rFonts w:asciiTheme="minorHAnsi" w:hAnsiTheme="minorHAnsi"/>
          <w:sz w:val="20"/>
          <w:szCs w:val="20"/>
          <w:lang w:val="en-US"/>
        </w:rPr>
        <w:footnoteReference w:id="186"/>
      </w:r>
    </w:p>
    <w:p w:rsidR="002C073E" w:rsidRPr="007D47AD" w:rsidRDefault="002C073E" w:rsidP="002C073E">
      <w:pPr>
        <w:shd w:val="clear" w:color="auto" w:fill="FFFFFF"/>
        <w:spacing w:after="0" w:line="240" w:lineRule="auto"/>
        <w:jc w:val="both"/>
        <w:rPr>
          <w:rFonts w:asciiTheme="minorHAnsi" w:hAnsiTheme="minorHAnsi"/>
          <w:sz w:val="20"/>
          <w:szCs w:val="20"/>
          <w:lang w:val="en-US"/>
        </w:rPr>
      </w:pPr>
    </w:p>
    <w:p w:rsidR="009C095D" w:rsidRPr="007D47AD" w:rsidRDefault="001B416C" w:rsidP="002C073E">
      <w:pPr>
        <w:numPr>
          <w:ilvl w:val="0"/>
          <w:numId w:val="6"/>
        </w:numPr>
        <w:shd w:val="clear" w:color="auto" w:fill="FFFFFF"/>
        <w:spacing w:after="0" w:line="240" w:lineRule="auto"/>
        <w:ind w:left="0" w:firstLine="720"/>
        <w:jc w:val="both"/>
        <w:rPr>
          <w:rFonts w:asciiTheme="minorHAnsi" w:hAnsiTheme="minorHAnsi"/>
          <w:sz w:val="20"/>
          <w:szCs w:val="20"/>
          <w:lang w:val="en-US"/>
        </w:rPr>
      </w:pPr>
      <w:r w:rsidRPr="007D47AD">
        <w:rPr>
          <w:rFonts w:asciiTheme="minorHAnsi" w:hAnsiTheme="minorHAnsi"/>
          <w:sz w:val="20"/>
          <w:szCs w:val="20"/>
          <w:lang w:val="en-US"/>
        </w:rPr>
        <w:t xml:space="preserve">Mindful of the foregoing information, the IACHR finds that this recommendation has met with </w:t>
      </w:r>
      <w:r w:rsidR="009C095D" w:rsidRPr="007D47AD">
        <w:rPr>
          <w:rFonts w:asciiTheme="minorHAnsi" w:hAnsiTheme="minorHAnsi"/>
          <w:sz w:val="20"/>
          <w:szCs w:val="20"/>
          <w:lang w:val="en-US"/>
        </w:rPr>
        <w:t>par</w:t>
      </w:r>
      <w:r w:rsidRPr="007D47AD">
        <w:rPr>
          <w:rFonts w:asciiTheme="minorHAnsi" w:hAnsiTheme="minorHAnsi"/>
          <w:sz w:val="20"/>
          <w:szCs w:val="20"/>
          <w:lang w:val="en-US"/>
        </w:rPr>
        <w:t>t</w:t>
      </w:r>
      <w:r w:rsidR="009C095D" w:rsidRPr="007D47AD">
        <w:rPr>
          <w:rFonts w:asciiTheme="minorHAnsi" w:hAnsiTheme="minorHAnsi"/>
          <w:sz w:val="20"/>
          <w:szCs w:val="20"/>
          <w:lang w:val="en-US"/>
        </w:rPr>
        <w:t>ial</w:t>
      </w:r>
      <w:r w:rsidRPr="007D47AD">
        <w:rPr>
          <w:rFonts w:asciiTheme="minorHAnsi" w:hAnsiTheme="minorHAnsi"/>
          <w:sz w:val="20"/>
          <w:szCs w:val="20"/>
          <w:lang w:val="en-US"/>
        </w:rPr>
        <w:t xml:space="preserve"> compliance</w:t>
      </w:r>
      <w:r w:rsidR="009C095D" w:rsidRPr="007D47AD">
        <w:rPr>
          <w:rFonts w:asciiTheme="minorHAnsi" w:hAnsiTheme="minorHAnsi"/>
          <w:sz w:val="20"/>
          <w:szCs w:val="20"/>
          <w:lang w:val="en-US"/>
        </w:rPr>
        <w:t xml:space="preserve">. </w:t>
      </w:r>
    </w:p>
    <w:p w:rsidR="002C073E" w:rsidRPr="007D47AD" w:rsidRDefault="002C073E" w:rsidP="002C073E">
      <w:pPr>
        <w:shd w:val="clear" w:color="auto" w:fill="FFFFFF"/>
        <w:spacing w:after="0" w:line="240" w:lineRule="auto"/>
        <w:jc w:val="both"/>
        <w:rPr>
          <w:rFonts w:asciiTheme="minorHAnsi" w:hAnsiTheme="minorHAnsi"/>
          <w:sz w:val="20"/>
          <w:szCs w:val="20"/>
          <w:lang w:val="en-US"/>
        </w:rPr>
      </w:pPr>
    </w:p>
    <w:p w:rsidR="009C095D" w:rsidRPr="007D47AD" w:rsidRDefault="008F1AE3" w:rsidP="00E472A2">
      <w:pPr>
        <w:pStyle w:val="Heading2"/>
        <w:numPr>
          <w:ilvl w:val="0"/>
          <w:numId w:val="9"/>
        </w:numPr>
        <w:ind w:left="1440" w:hanging="720"/>
        <w:rPr>
          <w:rFonts w:asciiTheme="minorHAnsi" w:hAnsiTheme="minorHAnsi"/>
          <w:sz w:val="20"/>
          <w:lang w:val="en-US"/>
        </w:rPr>
      </w:pPr>
      <w:r w:rsidRPr="007D47AD">
        <w:rPr>
          <w:rFonts w:asciiTheme="minorHAnsi" w:hAnsiTheme="minorHAnsi"/>
          <w:sz w:val="20"/>
          <w:lang w:val="en-US"/>
        </w:rPr>
        <w:t xml:space="preserve">Impairment of </w:t>
      </w:r>
      <w:r w:rsidR="001B416C" w:rsidRPr="007D47AD">
        <w:rPr>
          <w:rFonts w:asciiTheme="minorHAnsi" w:hAnsiTheme="minorHAnsi"/>
          <w:sz w:val="20"/>
          <w:lang w:val="en-US"/>
        </w:rPr>
        <w:t xml:space="preserve">rights of particular groups </w:t>
      </w:r>
    </w:p>
    <w:p w:rsidR="009C095D" w:rsidRPr="007D47AD" w:rsidRDefault="009C095D" w:rsidP="00E472A2">
      <w:pPr>
        <w:pStyle w:val="Heading3"/>
        <w:numPr>
          <w:ilvl w:val="2"/>
          <w:numId w:val="7"/>
        </w:numPr>
        <w:shd w:val="clear" w:color="auto" w:fill="auto"/>
        <w:spacing w:before="0"/>
        <w:ind w:left="1440" w:hanging="720"/>
        <w:rPr>
          <w:rFonts w:asciiTheme="minorHAnsi" w:hAnsiTheme="minorHAnsi"/>
          <w:sz w:val="20"/>
          <w:szCs w:val="20"/>
          <w:lang w:val="en-US"/>
        </w:rPr>
      </w:pPr>
      <w:r w:rsidRPr="007D47AD">
        <w:rPr>
          <w:rFonts w:asciiTheme="minorHAnsi" w:hAnsiTheme="minorHAnsi"/>
          <w:sz w:val="20"/>
          <w:szCs w:val="20"/>
          <w:lang w:val="en-US"/>
        </w:rPr>
        <w:t>LGBT</w:t>
      </w:r>
      <w:r w:rsidR="001B416C" w:rsidRPr="007D47AD">
        <w:rPr>
          <w:rFonts w:asciiTheme="minorHAnsi" w:hAnsiTheme="minorHAnsi"/>
          <w:sz w:val="20"/>
          <w:szCs w:val="20"/>
          <w:lang w:val="en-US"/>
        </w:rPr>
        <w:t xml:space="preserve"> persons</w:t>
      </w:r>
    </w:p>
    <w:p w:rsidR="009C095D" w:rsidRPr="007D47AD" w:rsidRDefault="009C095D" w:rsidP="00C02FE9">
      <w:pPr>
        <w:pStyle w:val="Numberedparagraphs"/>
        <w:numPr>
          <w:ilvl w:val="0"/>
          <w:numId w:val="15"/>
        </w:numPr>
        <w:shd w:val="clear" w:color="auto" w:fill="D9D9D9"/>
        <w:spacing w:after="0"/>
        <w:ind w:left="1354" w:hanging="634"/>
        <w:rPr>
          <w:rFonts w:asciiTheme="minorHAnsi" w:hAnsiTheme="minorHAnsi"/>
          <w:lang w:val="en-US"/>
        </w:rPr>
      </w:pPr>
      <w:r w:rsidRPr="007D47AD">
        <w:rPr>
          <w:rFonts w:asciiTheme="minorHAnsi" w:hAnsiTheme="minorHAnsi"/>
          <w:lang w:val="en-US"/>
        </w:rPr>
        <w:t xml:space="preserve">Adopt </w:t>
      </w:r>
      <w:r w:rsidR="00C02FE9" w:rsidRPr="007D47AD">
        <w:rPr>
          <w:rFonts w:asciiTheme="minorHAnsi" w:hAnsiTheme="minorHAnsi"/>
          <w:lang w:val="en-US"/>
        </w:rPr>
        <w:t>necessary measures to investigate, punish and repair acts of violence against LGBT persons, according to international standards regarding due diligence. Investigations of cases of violence against LGBT persons must be free of stereotypical notions of LGBT persons and should include a determination of whether the acts were committed because of the sexual orientation or gender identity of the victims</w:t>
      </w:r>
      <w:r w:rsidRPr="007D47AD">
        <w:rPr>
          <w:rFonts w:asciiTheme="minorHAnsi" w:hAnsiTheme="minorHAnsi"/>
          <w:lang w:val="en-US"/>
        </w:rPr>
        <w:t xml:space="preserve"> </w:t>
      </w:r>
    </w:p>
    <w:p w:rsidR="009C095D" w:rsidRPr="007D47AD" w:rsidRDefault="009C095D" w:rsidP="00E472A2">
      <w:pPr>
        <w:pStyle w:val="Numberedparagraphs"/>
        <w:numPr>
          <w:ilvl w:val="0"/>
          <w:numId w:val="15"/>
        </w:numPr>
        <w:shd w:val="clear" w:color="auto" w:fill="D9D9D9"/>
        <w:spacing w:after="0"/>
        <w:ind w:left="1354" w:hanging="634"/>
        <w:rPr>
          <w:rFonts w:asciiTheme="minorHAnsi" w:hAnsiTheme="minorHAnsi"/>
          <w:lang w:val="en-US"/>
        </w:rPr>
      </w:pPr>
      <w:r w:rsidRPr="007D47AD">
        <w:rPr>
          <w:rFonts w:asciiTheme="minorHAnsi" w:hAnsiTheme="minorHAnsi"/>
          <w:lang w:val="en-US"/>
        </w:rPr>
        <w:t>Adopt</w:t>
      </w:r>
      <w:r w:rsidR="00C02FE9" w:rsidRPr="007D47AD">
        <w:rPr>
          <w:rFonts w:asciiTheme="minorHAnsi" w:hAnsiTheme="minorHAnsi"/>
          <w:lang w:val="en-US"/>
        </w:rPr>
        <w:t xml:space="preserve"> necessary measures in terms of prevention of violence, including legislative measures and public policies aimed at eradicating social discrimination towards LGBT persons, which causes and reinforces violence based on prejudice</w:t>
      </w:r>
      <w:r w:rsidRPr="007D47AD">
        <w:rPr>
          <w:rFonts w:asciiTheme="minorHAnsi" w:hAnsiTheme="minorHAnsi"/>
          <w:lang w:val="en-US"/>
        </w:rPr>
        <w:t xml:space="preserve">. </w:t>
      </w:r>
    </w:p>
    <w:p w:rsidR="009C095D" w:rsidRPr="007D47AD" w:rsidRDefault="009C095D" w:rsidP="00E10427">
      <w:pPr>
        <w:pStyle w:val="Heading3"/>
        <w:numPr>
          <w:ilvl w:val="0"/>
          <w:numId w:val="0"/>
        </w:numPr>
        <w:spacing w:before="0" w:after="0"/>
        <w:rPr>
          <w:rFonts w:asciiTheme="minorHAnsi" w:hAnsiTheme="minorHAnsi"/>
          <w:sz w:val="20"/>
          <w:szCs w:val="20"/>
          <w:lang w:val="en-US"/>
        </w:rPr>
      </w:pPr>
    </w:p>
    <w:p w:rsidR="00CA33E2" w:rsidRPr="007D47AD" w:rsidRDefault="001B416C" w:rsidP="00CA33E2">
      <w:pPr>
        <w:numPr>
          <w:ilvl w:val="0"/>
          <w:numId w:val="6"/>
        </w:numPr>
        <w:shd w:val="clear" w:color="auto" w:fill="FFFFFF"/>
        <w:spacing w:after="0" w:line="240" w:lineRule="auto"/>
        <w:ind w:left="0" w:firstLine="720"/>
        <w:jc w:val="both"/>
        <w:rPr>
          <w:rFonts w:asciiTheme="minorHAnsi" w:hAnsiTheme="minorHAnsi"/>
          <w:sz w:val="20"/>
          <w:szCs w:val="20"/>
          <w:lang w:val="en-US"/>
        </w:rPr>
      </w:pPr>
      <w:r w:rsidRPr="007D47AD">
        <w:rPr>
          <w:rFonts w:asciiTheme="minorHAnsi" w:hAnsiTheme="minorHAnsi"/>
          <w:sz w:val="20"/>
          <w:szCs w:val="20"/>
          <w:lang w:val="en-US"/>
        </w:rPr>
        <w:t xml:space="preserve">On the recommendation to </w:t>
      </w:r>
      <w:r w:rsidR="009C095D" w:rsidRPr="007D47AD">
        <w:rPr>
          <w:rFonts w:asciiTheme="minorHAnsi" w:hAnsiTheme="minorHAnsi"/>
          <w:b/>
          <w:sz w:val="20"/>
          <w:szCs w:val="20"/>
          <w:lang w:val="en-US"/>
        </w:rPr>
        <w:t>investiga</w:t>
      </w:r>
      <w:r w:rsidRPr="007D47AD">
        <w:rPr>
          <w:rFonts w:asciiTheme="minorHAnsi" w:hAnsiTheme="minorHAnsi"/>
          <w:b/>
          <w:sz w:val="20"/>
          <w:szCs w:val="20"/>
          <w:lang w:val="en-US"/>
        </w:rPr>
        <w:t>te</w:t>
      </w:r>
      <w:r w:rsidR="009C095D" w:rsidRPr="007D47AD">
        <w:rPr>
          <w:rFonts w:asciiTheme="minorHAnsi" w:hAnsiTheme="minorHAnsi"/>
          <w:b/>
          <w:sz w:val="20"/>
          <w:szCs w:val="20"/>
          <w:lang w:val="en-US"/>
        </w:rPr>
        <w:t xml:space="preserve">, </w:t>
      </w:r>
      <w:r w:rsidRPr="007D47AD">
        <w:rPr>
          <w:rFonts w:asciiTheme="minorHAnsi" w:hAnsiTheme="minorHAnsi"/>
          <w:b/>
          <w:sz w:val="20"/>
          <w:szCs w:val="20"/>
          <w:lang w:val="en-US"/>
        </w:rPr>
        <w:t xml:space="preserve">punish, and make reparation for acts of violence against </w:t>
      </w:r>
      <w:r w:rsidR="009C095D" w:rsidRPr="007D47AD">
        <w:rPr>
          <w:rFonts w:asciiTheme="minorHAnsi" w:hAnsiTheme="minorHAnsi"/>
          <w:b/>
          <w:sz w:val="20"/>
          <w:szCs w:val="20"/>
          <w:lang w:val="en-US"/>
        </w:rPr>
        <w:t>LGBT</w:t>
      </w:r>
      <w:r w:rsidRPr="007D47AD">
        <w:rPr>
          <w:rFonts w:asciiTheme="minorHAnsi" w:hAnsiTheme="minorHAnsi"/>
          <w:b/>
          <w:sz w:val="20"/>
          <w:szCs w:val="20"/>
          <w:lang w:val="en-US"/>
        </w:rPr>
        <w:t xml:space="preserve"> persons</w:t>
      </w:r>
      <w:r w:rsidR="009C095D" w:rsidRPr="007D47AD">
        <w:rPr>
          <w:rFonts w:asciiTheme="minorHAnsi" w:hAnsiTheme="minorHAnsi"/>
          <w:sz w:val="20"/>
          <w:szCs w:val="20"/>
          <w:lang w:val="en-US"/>
        </w:rPr>
        <w:t xml:space="preserve">, </w:t>
      </w:r>
      <w:r w:rsidRPr="007D47AD">
        <w:rPr>
          <w:rFonts w:asciiTheme="minorHAnsi" w:hAnsiTheme="minorHAnsi"/>
          <w:sz w:val="20"/>
          <w:szCs w:val="20"/>
          <w:lang w:val="en-US"/>
        </w:rPr>
        <w:t xml:space="preserve">the State referred once again to the </w:t>
      </w:r>
      <w:r w:rsidR="00891C76" w:rsidRPr="007D47AD">
        <w:rPr>
          <w:rFonts w:asciiTheme="minorHAnsi" w:hAnsiTheme="minorHAnsi"/>
          <w:sz w:val="20"/>
          <w:szCs w:val="20"/>
          <w:lang w:val="en-US"/>
        </w:rPr>
        <w:t>SINDIS</w:t>
      </w:r>
      <w:r w:rsidR="0042724C" w:rsidRPr="007D47AD">
        <w:rPr>
          <w:rFonts w:asciiTheme="minorHAnsi" w:hAnsiTheme="minorHAnsi"/>
          <w:sz w:val="20"/>
          <w:szCs w:val="20"/>
          <w:lang w:val="en-US"/>
        </w:rPr>
        <w:t xml:space="preserve"> </w:t>
      </w:r>
      <w:r w:rsidRPr="007D47AD">
        <w:rPr>
          <w:rFonts w:asciiTheme="minorHAnsi" w:hAnsiTheme="minorHAnsi"/>
          <w:sz w:val="20"/>
          <w:szCs w:val="20"/>
          <w:lang w:val="en-US"/>
        </w:rPr>
        <w:t>as an instrument for compiling information on acts of discrimination.</w:t>
      </w:r>
      <w:r w:rsidR="00891C76" w:rsidRPr="007D47AD">
        <w:rPr>
          <w:rFonts w:asciiTheme="minorHAnsi" w:hAnsiTheme="minorHAnsi"/>
          <w:sz w:val="20"/>
          <w:szCs w:val="20"/>
          <w:vertAlign w:val="superscript"/>
          <w:lang w:val="en-US"/>
        </w:rPr>
        <w:footnoteReference w:id="187"/>
      </w:r>
      <w:r w:rsidRPr="007D47AD">
        <w:rPr>
          <w:rFonts w:asciiTheme="minorHAnsi" w:hAnsiTheme="minorHAnsi"/>
          <w:sz w:val="20"/>
          <w:szCs w:val="20"/>
          <w:lang w:val="en-US"/>
        </w:rPr>
        <w:t xml:space="preserve"> Along those same lines, the </w:t>
      </w:r>
      <w:r w:rsidR="00096FA7" w:rsidRPr="007D47AD">
        <w:rPr>
          <w:rFonts w:asciiTheme="minorHAnsi" w:hAnsiTheme="minorHAnsi"/>
          <w:sz w:val="20"/>
          <w:szCs w:val="20"/>
          <w:lang w:val="en-US"/>
        </w:rPr>
        <w:t>RENAVI</w:t>
      </w:r>
      <w:r w:rsidR="00891C76" w:rsidRPr="007D47AD">
        <w:rPr>
          <w:rFonts w:asciiTheme="minorHAnsi" w:hAnsiTheme="minorHAnsi"/>
          <w:sz w:val="20"/>
          <w:szCs w:val="20"/>
          <w:lang w:val="en-US"/>
        </w:rPr>
        <w:t xml:space="preserve"> </w:t>
      </w:r>
      <w:r w:rsidRPr="007D47AD">
        <w:rPr>
          <w:rFonts w:asciiTheme="minorHAnsi" w:hAnsiTheme="minorHAnsi"/>
          <w:sz w:val="20"/>
          <w:szCs w:val="20"/>
          <w:lang w:val="en-US"/>
        </w:rPr>
        <w:t xml:space="preserve">compiles information related to violations suffered by </w:t>
      </w:r>
      <w:r w:rsidR="00891C76" w:rsidRPr="007D47AD">
        <w:rPr>
          <w:rFonts w:asciiTheme="minorHAnsi" w:hAnsiTheme="minorHAnsi"/>
          <w:sz w:val="20"/>
          <w:szCs w:val="20"/>
          <w:lang w:val="en-US"/>
        </w:rPr>
        <w:t xml:space="preserve">LGBT </w:t>
      </w:r>
      <w:r w:rsidRPr="007D47AD">
        <w:rPr>
          <w:rFonts w:asciiTheme="minorHAnsi" w:hAnsiTheme="minorHAnsi"/>
          <w:sz w:val="20"/>
          <w:szCs w:val="20"/>
          <w:lang w:val="en-US"/>
        </w:rPr>
        <w:t>persons and</w:t>
      </w:r>
      <w:r w:rsidR="00891C76" w:rsidRPr="007D47AD">
        <w:rPr>
          <w:rFonts w:asciiTheme="minorHAnsi" w:hAnsiTheme="minorHAnsi"/>
          <w:sz w:val="20"/>
          <w:szCs w:val="20"/>
          <w:lang w:val="en-US"/>
        </w:rPr>
        <w:t xml:space="preserve">, </w:t>
      </w:r>
      <w:r w:rsidRPr="007D47AD">
        <w:rPr>
          <w:rFonts w:asciiTheme="minorHAnsi" w:hAnsiTheme="minorHAnsi"/>
          <w:sz w:val="20"/>
          <w:szCs w:val="20"/>
          <w:lang w:val="en-US"/>
        </w:rPr>
        <w:t xml:space="preserve">as part of its implementation it trained </w:t>
      </w:r>
      <w:r w:rsidR="007B02E5" w:rsidRPr="007D47AD">
        <w:rPr>
          <w:rFonts w:asciiTheme="minorHAnsi" w:hAnsiTheme="minorHAnsi"/>
          <w:sz w:val="20"/>
          <w:szCs w:val="20"/>
          <w:lang w:val="en-US"/>
        </w:rPr>
        <w:t xml:space="preserve">100% </w:t>
      </w:r>
      <w:r w:rsidRPr="007D47AD">
        <w:rPr>
          <w:rFonts w:asciiTheme="minorHAnsi" w:hAnsiTheme="minorHAnsi"/>
          <w:sz w:val="20"/>
          <w:szCs w:val="20"/>
          <w:lang w:val="en-US"/>
        </w:rPr>
        <w:t>of its public servants.</w:t>
      </w:r>
      <w:r w:rsidR="00891C76" w:rsidRPr="007D47AD">
        <w:rPr>
          <w:rFonts w:asciiTheme="minorHAnsi" w:hAnsiTheme="minorHAnsi"/>
          <w:sz w:val="20"/>
          <w:szCs w:val="20"/>
          <w:vertAlign w:val="superscript"/>
          <w:lang w:val="en-US"/>
        </w:rPr>
        <w:footnoteReference w:id="188"/>
      </w:r>
      <w:r w:rsidR="00891C76" w:rsidRPr="007D47AD">
        <w:rPr>
          <w:rFonts w:asciiTheme="minorHAnsi" w:hAnsiTheme="minorHAnsi"/>
          <w:sz w:val="20"/>
          <w:szCs w:val="20"/>
          <w:lang w:val="en-US"/>
        </w:rPr>
        <w:t xml:space="preserve"> </w:t>
      </w:r>
      <w:r w:rsidRPr="007D47AD">
        <w:rPr>
          <w:rFonts w:asciiTheme="minorHAnsi" w:hAnsiTheme="minorHAnsi"/>
          <w:sz w:val="20"/>
          <w:szCs w:val="20"/>
          <w:lang w:val="en-US"/>
        </w:rPr>
        <w:t xml:space="preserve">At the same time, the Commission notes with special emphasis the information on inclusion of </w:t>
      </w:r>
      <w:r w:rsidR="00891C76" w:rsidRPr="007D47AD">
        <w:rPr>
          <w:rFonts w:asciiTheme="minorHAnsi" w:hAnsiTheme="minorHAnsi"/>
          <w:sz w:val="20"/>
          <w:szCs w:val="20"/>
          <w:lang w:val="en-US"/>
        </w:rPr>
        <w:t xml:space="preserve">LGBTI </w:t>
      </w:r>
      <w:r w:rsidRPr="007D47AD">
        <w:rPr>
          <w:rFonts w:asciiTheme="minorHAnsi" w:hAnsiTheme="minorHAnsi"/>
          <w:sz w:val="20"/>
          <w:szCs w:val="20"/>
          <w:lang w:val="en-US"/>
        </w:rPr>
        <w:t>persons in the context of the</w:t>
      </w:r>
      <w:r w:rsidR="008F1AE3" w:rsidRPr="007D47AD">
        <w:rPr>
          <w:rFonts w:asciiTheme="minorHAnsi" w:hAnsiTheme="minorHAnsi"/>
          <w:sz w:val="20"/>
          <w:szCs w:val="20"/>
          <w:lang w:val="en-US"/>
        </w:rPr>
        <w:t xml:space="preserve"> 2</w:t>
      </w:r>
      <w:r w:rsidR="00891C76" w:rsidRPr="007D47AD">
        <w:rPr>
          <w:rFonts w:asciiTheme="minorHAnsi" w:hAnsiTheme="minorHAnsi"/>
          <w:sz w:val="20"/>
          <w:szCs w:val="20"/>
          <w:lang w:val="en-US"/>
        </w:rPr>
        <w:t>019-2022</w:t>
      </w:r>
      <w:r w:rsidRPr="007D47AD">
        <w:rPr>
          <w:rFonts w:asciiTheme="minorHAnsi" w:hAnsiTheme="minorHAnsi"/>
          <w:sz w:val="20"/>
          <w:szCs w:val="20"/>
          <w:lang w:val="en-US"/>
        </w:rPr>
        <w:t xml:space="preserve"> National Development Plan</w:t>
      </w:r>
      <w:r w:rsidR="00891C76" w:rsidRPr="007D47AD">
        <w:rPr>
          <w:rFonts w:asciiTheme="minorHAnsi" w:hAnsiTheme="minorHAnsi"/>
          <w:sz w:val="20"/>
          <w:szCs w:val="20"/>
          <w:vertAlign w:val="superscript"/>
          <w:lang w:val="en-US"/>
        </w:rPr>
        <w:footnoteReference w:id="189"/>
      </w:r>
      <w:r w:rsidR="00891C76" w:rsidRPr="007D47AD">
        <w:rPr>
          <w:rFonts w:asciiTheme="minorHAnsi" w:hAnsiTheme="minorHAnsi"/>
          <w:sz w:val="20"/>
          <w:szCs w:val="20"/>
          <w:lang w:val="en-US"/>
        </w:rPr>
        <w:t>, as</w:t>
      </w:r>
      <w:r w:rsidRPr="007D47AD">
        <w:rPr>
          <w:rFonts w:asciiTheme="minorHAnsi" w:hAnsiTheme="minorHAnsi"/>
          <w:sz w:val="20"/>
          <w:szCs w:val="20"/>
          <w:lang w:val="en-US"/>
        </w:rPr>
        <w:t xml:space="preserve"> well as the </w:t>
      </w:r>
      <w:r w:rsidR="00891C76" w:rsidRPr="007D47AD">
        <w:rPr>
          <w:rFonts w:asciiTheme="minorHAnsi" w:hAnsiTheme="minorHAnsi"/>
          <w:sz w:val="20"/>
          <w:szCs w:val="20"/>
          <w:lang w:val="en-US"/>
        </w:rPr>
        <w:t>ratifica</w:t>
      </w:r>
      <w:r w:rsidRPr="007D47AD">
        <w:rPr>
          <w:rFonts w:asciiTheme="minorHAnsi" w:hAnsiTheme="minorHAnsi"/>
          <w:sz w:val="20"/>
          <w:szCs w:val="20"/>
          <w:lang w:val="en-US"/>
        </w:rPr>
        <w:t>tio</w:t>
      </w:r>
      <w:r w:rsidR="00891C76" w:rsidRPr="007D47AD">
        <w:rPr>
          <w:rFonts w:asciiTheme="minorHAnsi" w:hAnsiTheme="minorHAnsi"/>
          <w:sz w:val="20"/>
          <w:szCs w:val="20"/>
          <w:lang w:val="en-US"/>
        </w:rPr>
        <w:t xml:space="preserve">n, </w:t>
      </w:r>
      <w:r w:rsidRPr="007D47AD">
        <w:rPr>
          <w:rFonts w:asciiTheme="minorHAnsi" w:hAnsiTheme="minorHAnsi"/>
          <w:sz w:val="20"/>
          <w:szCs w:val="20"/>
          <w:lang w:val="en-US"/>
        </w:rPr>
        <w:t xml:space="preserve">by the Senate of </w:t>
      </w:r>
      <w:r w:rsidR="00891C76" w:rsidRPr="007D47AD">
        <w:rPr>
          <w:rFonts w:asciiTheme="minorHAnsi" w:hAnsiTheme="minorHAnsi"/>
          <w:sz w:val="20"/>
          <w:szCs w:val="20"/>
          <w:lang w:val="en-US"/>
        </w:rPr>
        <w:t>M</w:t>
      </w:r>
      <w:r w:rsidRPr="007D47AD">
        <w:rPr>
          <w:rFonts w:asciiTheme="minorHAnsi" w:hAnsiTheme="minorHAnsi"/>
          <w:sz w:val="20"/>
          <w:szCs w:val="20"/>
          <w:lang w:val="en-US"/>
        </w:rPr>
        <w:t>e</w:t>
      </w:r>
      <w:r w:rsidR="00891C76" w:rsidRPr="007D47AD">
        <w:rPr>
          <w:rFonts w:asciiTheme="minorHAnsi" w:hAnsiTheme="minorHAnsi"/>
          <w:sz w:val="20"/>
          <w:szCs w:val="20"/>
          <w:lang w:val="en-US"/>
        </w:rPr>
        <w:t xml:space="preserve">xico, </w:t>
      </w:r>
      <w:r w:rsidRPr="007D47AD">
        <w:rPr>
          <w:rFonts w:asciiTheme="minorHAnsi" w:hAnsiTheme="minorHAnsi"/>
          <w:sz w:val="20"/>
          <w:szCs w:val="20"/>
          <w:lang w:val="en-US"/>
        </w:rPr>
        <w:t>of the Inter-American Convention Against All Forms of Discrimination and Intolerance.</w:t>
      </w:r>
      <w:r w:rsidR="00891C76" w:rsidRPr="007D47AD">
        <w:rPr>
          <w:rFonts w:asciiTheme="minorHAnsi" w:hAnsiTheme="minorHAnsi"/>
          <w:sz w:val="20"/>
          <w:szCs w:val="20"/>
          <w:vertAlign w:val="superscript"/>
          <w:lang w:val="en-US"/>
        </w:rPr>
        <w:footnoteReference w:id="190"/>
      </w:r>
      <w:r w:rsidRPr="007D47AD">
        <w:rPr>
          <w:rFonts w:asciiTheme="minorHAnsi" w:hAnsiTheme="minorHAnsi"/>
          <w:sz w:val="20"/>
          <w:szCs w:val="20"/>
          <w:lang w:val="en-US"/>
        </w:rPr>
        <w:t xml:space="preserve"> </w:t>
      </w:r>
    </w:p>
    <w:p w:rsidR="00AA17BE" w:rsidRPr="007D47AD" w:rsidRDefault="001C1847" w:rsidP="00D937BC">
      <w:pPr>
        <w:shd w:val="clear" w:color="auto" w:fill="FFFFFF"/>
        <w:spacing w:after="0" w:line="240" w:lineRule="auto"/>
        <w:ind w:left="720"/>
        <w:jc w:val="both"/>
        <w:rPr>
          <w:rFonts w:asciiTheme="minorHAnsi" w:hAnsiTheme="minorHAnsi"/>
          <w:sz w:val="20"/>
          <w:szCs w:val="20"/>
          <w:lang w:val="en-US"/>
        </w:rPr>
      </w:pPr>
      <w:r w:rsidRPr="007D47AD">
        <w:rPr>
          <w:rFonts w:asciiTheme="minorHAnsi" w:hAnsiTheme="minorHAnsi"/>
          <w:sz w:val="20"/>
          <w:szCs w:val="20"/>
          <w:lang w:val="en-US"/>
        </w:rPr>
        <w:t xml:space="preserve"> </w:t>
      </w:r>
    </w:p>
    <w:p w:rsidR="00AA17BE" w:rsidRPr="007D47AD" w:rsidRDefault="001B416C" w:rsidP="00CF4CD2">
      <w:pPr>
        <w:numPr>
          <w:ilvl w:val="0"/>
          <w:numId w:val="6"/>
        </w:numPr>
        <w:shd w:val="clear" w:color="auto" w:fill="FFFFFF"/>
        <w:spacing w:after="0" w:line="240" w:lineRule="auto"/>
        <w:ind w:left="0" w:firstLine="720"/>
        <w:jc w:val="both"/>
        <w:rPr>
          <w:rFonts w:asciiTheme="minorHAnsi" w:hAnsiTheme="minorHAnsi"/>
          <w:sz w:val="20"/>
          <w:szCs w:val="20"/>
          <w:lang w:val="en-US"/>
        </w:rPr>
      </w:pPr>
      <w:r w:rsidRPr="007D47AD">
        <w:rPr>
          <w:rFonts w:asciiTheme="minorHAnsi" w:hAnsiTheme="minorHAnsi"/>
          <w:sz w:val="20"/>
          <w:szCs w:val="20"/>
          <w:lang w:val="en-US"/>
        </w:rPr>
        <w:t xml:space="preserve">The State also referred in general to the system of complaints before the </w:t>
      </w:r>
      <w:r w:rsidR="00AA17BE" w:rsidRPr="007D47AD">
        <w:rPr>
          <w:rFonts w:asciiTheme="minorHAnsi" w:hAnsiTheme="minorHAnsi"/>
          <w:sz w:val="20"/>
          <w:szCs w:val="20"/>
          <w:lang w:val="en-US"/>
        </w:rPr>
        <w:t>CONAPRED</w:t>
      </w:r>
      <w:r w:rsidR="008F1AE3" w:rsidRPr="007D47AD">
        <w:rPr>
          <w:rFonts w:asciiTheme="minorHAnsi" w:hAnsiTheme="minorHAnsi"/>
          <w:sz w:val="20"/>
          <w:szCs w:val="20"/>
          <w:lang w:val="en-US"/>
        </w:rPr>
        <w:t>,</w:t>
      </w:r>
      <w:r w:rsidR="00AA17BE" w:rsidRPr="007D47AD">
        <w:rPr>
          <w:rFonts w:asciiTheme="minorHAnsi" w:hAnsiTheme="minorHAnsi"/>
          <w:sz w:val="20"/>
          <w:szCs w:val="20"/>
          <w:lang w:val="en-US"/>
        </w:rPr>
        <w:t xml:space="preserve"> indic</w:t>
      </w:r>
      <w:r w:rsidRPr="007D47AD">
        <w:rPr>
          <w:rFonts w:asciiTheme="minorHAnsi" w:hAnsiTheme="minorHAnsi"/>
          <w:sz w:val="20"/>
          <w:szCs w:val="20"/>
          <w:lang w:val="en-US"/>
        </w:rPr>
        <w:t>ating that this administrative organ</w:t>
      </w:r>
      <w:r w:rsidR="00AA17BE" w:rsidRPr="007D47AD">
        <w:rPr>
          <w:rFonts w:asciiTheme="minorHAnsi" w:hAnsiTheme="minorHAnsi"/>
          <w:sz w:val="20"/>
          <w:szCs w:val="20"/>
          <w:lang w:val="en-US"/>
        </w:rPr>
        <w:t xml:space="preserve"> “</w:t>
      </w:r>
      <w:r w:rsidRPr="007D47AD">
        <w:rPr>
          <w:rFonts w:asciiTheme="minorHAnsi" w:hAnsiTheme="minorHAnsi"/>
          <w:sz w:val="20"/>
          <w:szCs w:val="20"/>
          <w:lang w:val="en-US"/>
        </w:rPr>
        <w:t xml:space="preserve">seeks on a priority basis conciliation between the parties for alleged </w:t>
      </w:r>
      <w:r w:rsidRPr="007D47AD">
        <w:rPr>
          <w:rFonts w:asciiTheme="minorHAnsi" w:hAnsiTheme="minorHAnsi"/>
          <w:sz w:val="20"/>
          <w:szCs w:val="20"/>
          <w:lang w:val="en-US"/>
        </w:rPr>
        <w:lastRenderedPageBreak/>
        <w:t xml:space="preserve">acts of discrimination.” Based on its authority, the </w:t>
      </w:r>
      <w:r w:rsidR="00AA17BE" w:rsidRPr="007D47AD">
        <w:rPr>
          <w:rFonts w:asciiTheme="minorHAnsi" w:hAnsiTheme="minorHAnsi"/>
          <w:sz w:val="20"/>
          <w:szCs w:val="20"/>
          <w:lang w:val="en-US"/>
        </w:rPr>
        <w:t xml:space="preserve">CONAPRED </w:t>
      </w:r>
      <w:r w:rsidRPr="007D47AD">
        <w:rPr>
          <w:rFonts w:asciiTheme="minorHAnsi" w:hAnsiTheme="minorHAnsi"/>
          <w:sz w:val="20"/>
          <w:szCs w:val="20"/>
          <w:lang w:val="en-US"/>
        </w:rPr>
        <w:t xml:space="preserve">can restore the right violated, order compensation for the harm caused, publicly admonish the </w:t>
      </w:r>
      <w:r w:rsidR="008F1AE3" w:rsidRPr="007D47AD">
        <w:rPr>
          <w:rFonts w:asciiTheme="minorHAnsi" w:hAnsiTheme="minorHAnsi"/>
          <w:sz w:val="20"/>
          <w:szCs w:val="20"/>
          <w:lang w:val="en-US"/>
        </w:rPr>
        <w:t>offender</w:t>
      </w:r>
      <w:r w:rsidR="00AA17BE" w:rsidRPr="007D47AD">
        <w:rPr>
          <w:rFonts w:asciiTheme="minorHAnsi" w:hAnsiTheme="minorHAnsi"/>
          <w:sz w:val="20"/>
          <w:szCs w:val="20"/>
          <w:lang w:val="en-US"/>
        </w:rPr>
        <w:t xml:space="preserve">, </w:t>
      </w:r>
      <w:r w:rsidRPr="007D47AD">
        <w:rPr>
          <w:rFonts w:asciiTheme="minorHAnsi" w:hAnsiTheme="minorHAnsi"/>
          <w:sz w:val="20"/>
          <w:szCs w:val="20"/>
          <w:lang w:val="en-US"/>
        </w:rPr>
        <w:t xml:space="preserve">seek public or private apologies, and request guarantees of non-repetition. This year, from March to September </w:t>
      </w:r>
      <w:r w:rsidR="00AA17BE" w:rsidRPr="007D47AD">
        <w:rPr>
          <w:rFonts w:asciiTheme="minorHAnsi" w:hAnsiTheme="minorHAnsi"/>
          <w:sz w:val="20"/>
          <w:szCs w:val="20"/>
          <w:lang w:val="en-US"/>
        </w:rPr>
        <w:t xml:space="preserve">2019 </w:t>
      </w:r>
      <w:r w:rsidRPr="007D47AD">
        <w:rPr>
          <w:rFonts w:asciiTheme="minorHAnsi" w:hAnsiTheme="minorHAnsi"/>
          <w:sz w:val="20"/>
          <w:szCs w:val="20"/>
          <w:lang w:val="en-US"/>
        </w:rPr>
        <w:t xml:space="preserve">the </w:t>
      </w:r>
      <w:r w:rsidR="00AA17BE" w:rsidRPr="007D47AD">
        <w:rPr>
          <w:rFonts w:asciiTheme="minorHAnsi" w:hAnsiTheme="minorHAnsi"/>
          <w:sz w:val="20"/>
          <w:szCs w:val="20"/>
          <w:lang w:val="en-US"/>
        </w:rPr>
        <w:t xml:space="preserve">CONAPRED </w:t>
      </w:r>
      <w:r w:rsidRPr="007D47AD">
        <w:rPr>
          <w:rFonts w:asciiTheme="minorHAnsi" w:hAnsiTheme="minorHAnsi"/>
          <w:sz w:val="20"/>
          <w:szCs w:val="20"/>
          <w:lang w:val="en-US"/>
        </w:rPr>
        <w:t xml:space="preserve">handled </w:t>
      </w:r>
      <w:r w:rsidR="00AA17BE" w:rsidRPr="007D47AD">
        <w:rPr>
          <w:rFonts w:asciiTheme="minorHAnsi" w:hAnsiTheme="minorHAnsi"/>
          <w:sz w:val="20"/>
          <w:szCs w:val="20"/>
          <w:lang w:val="en-US"/>
        </w:rPr>
        <w:t xml:space="preserve">22 </w:t>
      </w:r>
      <w:r w:rsidRPr="007D47AD">
        <w:rPr>
          <w:rFonts w:asciiTheme="minorHAnsi" w:hAnsiTheme="minorHAnsi"/>
          <w:sz w:val="20"/>
          <w:szCs w:val="20"/>
          <w:lang w:val="en-US"/>
        </w:rPr>
        <w:t xml:space="preserve">cases of complaints characterized as acts of discrimination attributed both to private persons </w:t>
      </w:r>
      <w:r w:rsidR="00096FA7" w:rsidRPr="007D47AD">
        <w:rPr>
          <w:rFonts w:asciiTheme="minorHAnsi" w:hAnsiTheme="minorHAnsi"/>
          <w:sz w:val="20"/>
          <w:szCs w:val="20"/>
          <w:lang w:val="en-US"/>
        </w:rPr>
        <w:t>(10</w:t>
      </w:r>
      <w:r w:rsidR="00E677A6" w:rsidRPr="007D47AD">
        <w:rPr>
          <w:rFonts w:asciiTheme="minorHAnsi" w:hAnsiTheme="minorHAnsi"/>
          <w:sz w:val="20"/>
          <w:szCs w:val="20"/>
          <w:lang w:val="en-US"/>
        </w:rPr>
        <w:t xml:space="preserve"> ca</w:t>
      </w:r>
      <w:r w:rsidR="00BE4F79" w:rsidRPr="007D47AD">
        <w:rPr>
          <w:rFonts w:asciiTheme="minorHAnsi" w:hAnsiTheme="minorHAnsi"/>
          <w:sz w:val="20"/>
          <w:szCs w:val="20"/>
          <w:lang w:val="en-US"/>
        </w:rPr>
        <w:t>s</w:t>
      </w:r>
      <w:r w:rsidRPr="007D47AD">
        <w:rPr>
          <w:rFonts w:asciiTheme="minorHAnsi" w:hAnsiTheme="minorHAnsi"/>
          <w:sz w:val="20"/>
          <w:szCs w:val="20"/>
          <w:lang w:val="en-US"/>
        </w:rPr>
        <w:t>e</w:t>
      </w:r>
      <w:r w:rsidR="00E677A6" w:rsidRPr="007D47AD">
        <w:rPr>
          <w:rFonts w:asciiTheme="minorHAnsi" w:hAnsiTheme="minorHAnsi"/>
          <w:sz w:val="20"/>
          <w:szCs w:val="20"/>
          <w:lang w:val="en-US"/>
        </w:rPr>
        <w:t xml:space="preserve">s) </w:t>
      </w:r>
      <w:r w:rsidRPr="007D47AD">
        <w:rPr>
          <w:rFonts w:asciiTheme="minorHAnsi" w:hAnsiTheme="minorHAnsi"/>
          <w:sz w:val="20"/>
          <w:szCs w:val="20"/>
          <w:lang w:val="en-US"/>
        </w:rPr>
        <w:t xml:space="preserve">and state agents </w:t>
      </w:r>
      <w:r w:rsidR="00E677A6" w:rsidRPr="007D47AD">
        <w:rPr>
          <w:rFonts w:asciiTheme="minorHAnsi" w:hAnsiTheme="minorHAnsi"/>
          <w:sz w:val="20"/>
          <w:szCs w:val="20"/>
          <w:lang w:val="en-US"/>
        </w:rPr>
        <w:t>(12 cas</w:t>
      </w:r>
      <w:r w:rsidRPr="007D47AD">
        <w:rPr>
          <w:rFonts w:asciiTheme="minorHAnsi" w:hAnsiTheme="minorHAnsi"/>
          <w:sz w:val="20"/>
          <w:szCs w:val="20"/>
          <w:lang w:val="en-US"/>
        </w:rPr>
        <w:t>e</w:t>
      </w:r>
      <w:r w:rsidR="00E677A6" w:rsidRPr="007D47AD">
        <w:rPr>
          <w:rFonts w:asciiTheme="minorHAnsi" w:hAnsiTheme="minorHAnsi"/>
          <w:sz w:val="20"/>
          <w:szCs w:val="20"/>
          <w:lang w:val="en-US"/>
        </w:rPr>
        <w:t>s</w:t>
      </w:r>
      <w:r w:rsidR="00E17D94" w:rsidRPr="007D47AD">
        <w:rPr>
          <w:rFonts w:asciiTheme="minorHAnsi" w:hAnsiTheme="minorHAnsi"/>
          <w:sz w:val="20"/>
          <w:szCs w:val="20"/>
          <w:lang w:val="en-US"/>
        </w:rPr>
        <w:t>).</w:t>
      </w:r>
      <w:r w:rsidR="00E677A6" w:rsidRPr="007D47AD">
        <w:rPr>
          <w:rFonts w:asciiTheme="minorHAnsi" w:hAnsiTheme="minorHAnsi"/>
          <w:sz w:val="20"/>
          <w:szCs w:val="20"/>
          <w:vertAlign w:val="superscript"/>
          <w:lang w:val="en-US"/>
        </w:rPr>
        <w:footnoteReference w:id="191"/>
      </w:r>
      <w:r w:rsidR="00774776" w:rsidRPr="007D47AD">
        <w:rPr>
          <w:rFonts w:asciiTheme="minorHAnsi" w:hAnsiTheme="minorHAnsi"/>
          <w:sz w:val="20"/>
          <w:szCs w:val="20"/>
          <w:lang w:val="en-US"/>
        </w:rPr>
        <w:t xml:space="preserve"> </w:t>
      </w:r>
      <w:r w:rsidR="00F23223" w:rsidRPr="007D47AD">
        <w:rPr>
          <w:rFonts w:asciiTheme="minorHAnsi" w:hAnsiTheme="minorHAnsi"/>
          <w:sz w:val="20"/>
          <w:szCs w:val="20"/>
          <w:lang w:val="en-US"/>
        </w:rPr>
        <w:t>I</w:t>
      </w:r>
      <w:r w:rsidR="00774776" w:rsidRPr="007D47AD">
        <w:rPr>
          <w:rFonts w:asciiTheme="minorHAnsi" w:hAnsiTheme="minorHAnsi"/>
          <w:sz w:val="20"/>
          <w:szCs w:val="20"/>
          <w:lang w:val="en-US"/>
        </w:rPr>
        <w:t xml:space="preserve">n </w:t>
      </w:r>
      <w:r w:rsidR="00F23223" w:rsidRPr="007D47AD">
        <w:rPr>
          <w:rFonts w:asciiTheme="minorHAnsi" w:hAnsiTheme="minorHAnsi"/>
          <w:sz w:val="20"/>
          <w:szCs w:val="20"/>
          <w:lang w:val="en-US"/>
        </w:rPr>
        <w:t xml:space="preserve">its observations on the draft of this report the State reported on the institutional position of </w:t>
      </w:r>
      <w:r w:rsidR="00774776" w:rsidRPr="007D47AD">
        <w:rPr>
          <w:rFonts w:asciiTheme="minorHAnsi" w:hAnsiTheme="minorHAnsi"/>
          <w:sz w:val="20"/>
          <w:szCs w:val="20"/>
          <w:lang w:val="en-US"/>
        </w:rPr>
        <w:t>CONAPRED</w:t>
      </w:r>
      <w:r w:rsidR="00F23223" w:rsidRPr="007D47AD">
        <w:rPr>
          <w:rFonts w:asciiTheme="minorHAnsi" w:hAnsiTheme="minorHAnsi"/>
          <w:sz w:val="20"/>
          <w:szCs w:val="20"/>
          <w:lang w:val="en-US"/>
        </w:rPr>
        <w:t>,</w:t>
      </w:r>
      <w:r w:rsidR="00774776" w:rsidRPr="007D47AD">
        <w:rPr>
          <w:rFonts w:asciiTheme="minorHAnsi" w:hAnsiTheme="minorHAnsi"/>
          <w:sz w:val="20"/>
          <w:szCs w:val="20"/>
          <w:lang w:val="en-US"/>
        </w:rPr>
        <w:t xml:space="preserve"> </w:t>
      </w:r>
      <w:r w:rsidR="00F23223" w:rsidRPr="007D47AD">
        <w:rPr>
          <w:rFonts w:asciiTheme="minorHAnsi" w:hAnsiTheme="minorHAnsi"/>
          <w:sz w:val="20"/>
          <w:szCs w:val="20"/>
          <w:lang w:val="en-US"/>
        </w:rPr>
        <w:t xml:space="preserve">alerting about the possibility of an amendment to the state law on health of the state of </w:t>
      </w:r>
      <w:r w:rsidR="00774776" w:rsidRPr="007D47AD">
        <w:rPr>
          <w:rFonts w:asciiTheme="minorHAnsi" w:hAnsiTheme="minorHAnsi"/>
          <w:sz w:val="20"/>
          <w:szCs w:val="20"/>
          <w:lang w:val="en-US"/>
        </w:rPr>
        <w:t>Nuevo León rela</w:t>
      </w:r>
      <w:r w:rsidR="00F23223" w:rsidRPr="007D47AD">
        <w:rPr>
          <w:rFonts w:asciiTheme="minorHAnsi" w:hAnsiTheme="minorHAnsi"/>
          <w:sz w:val="20"/>
          <w:szCs w:val="20"/>
          <w:lang w:val="en-US"/>
        </w:rPr>
        <w:t xml:space="preserve">ted to conscientious objection of medical and nursing personnel so as to refrain from performing certain medical procedures. The </w:t>
      </w:r>
      <w:r w:rsidR="00774776" w:rsidRPr="007D47AD">
        <w:rPr>
          <w:rFonts w:asciiTheme="minorHAnsi" w:hAnsiTheme="minorHAnsi"/>
          <w:sz w:val="20"/>
          <w:szCs w:val="20"/>
          <w:lang w:val="en-US"/>
        </w:rPr>
        <w:t xml:space="preserve">CONAPRED </w:t>
      </w:r>
      <w:r w:rsidR="00F23223" w:rsidRPr="007D47AD">
        <w:rPr>
          <w:rFonts w:asciiTheme="minorHAnsi" w:hAnsiTheme="minorHAnsi"/>
          <w:sz w:val="20"/>
          <w:szCs w:val="20"/>
          <w:lang w:val="en-US"/>
        </w:rPr>
        <w:t xml:space="preserve">noted that conscientious objection cannot suspend the delivery of medical services to the citizens, especially if that objection </w:t>
      </w:r>
      <w:r w:rsidR="00CF4CD2" w:rsidRPr="007D47AD">
        <w:rPr>
          <w:rFonts w:asciiTheme="minorHAnsi" w:hAnsiTheme="minorHAnsi"/>
          <w:sz w:val="20"/>
          <w:szCs w:val="20"/>
          <w:lang w:val="en-US"/>
        </w:rPr>
        <w:t>could be motivated by some of the motives noted by the law as discriminatory</w:t>
      </w:r>
      <w:r w:rsidR="002C478B" w:rsidRPr="007D47AD">
        <w:rPr>
          <w:rFonts w:asciiTheme="minorHAnsi" w:hAnsiTheme="minorHAnsi"/>
          <w:sz w:val="20"/>
          <w:szCs w:val="20"/>
          <w:lang w:val="en-US"/>
        </w:rPr>
        <w:t>.</w:t>
      </w:r>
      <w:r w:rsidR="00774776" w:rsidRPr="007D47AD">
        <w:rPr>
          <w:rStyle w:val="FootnoteReference"/>
          <w:rFonts w:asciiTheme="minorHAnsi" w:hAnsiTheme="minorHAnsi"/>
          <w:sz w:val="20"/>
          <w:szCs w:val="20"/>
          <w:lang w:val="en-US"/>
        </w:rPr>
        <w:footnoteReference w:id="192"/>
      </w:r>
    </w:p>
    <w:p w:rsidR="00774776" w:rsidRPr="007D47AD" w:rsidRDefault="00774776" w:rsidP="00774776">
      <w:pPr>
        <w:shd w:val="clear" w:color="auto" w:fill="FFFFFF"/>
        <w:spacing w:after="0" w:line="240" w:lineRule="auto"/>
        <w:ind w:left="720"/>
        <w:jc w:val="both"/>
        <w:rPr>
          <w:rFonts w:asciiTheme="minorHAnsi" w:hAnsiTheme="minorHAnsi"/>
          <w:sz w:val="20"/>
          <w:szCs w:val="20"/>
          <w:lang w:val="en-US"/>
        </w:rPr>
      </w:pPr>
    </w:p>
    <w:p w:rsidR="00774776" w:rsidRPr="007D47AD" w:rsidRDefault="00CF4CD2" w:rsidP="00CF4CD2">
      <w:pPr>
        <w:numPr>
          <w:ilvl w:val="0"/>
          <w:numId w:val="6"/>
        </w:numPr>
        <w:shd w:val="clear" w:color="auto" w:fill="FFFFFF"/>
        <w:spacing w:after="0" w:line="240" w:lineRule="auto"/>
        <w:ind w:left="0" w:firstLine="720"/>
        <w:jc w:val="both"/>
        <w:rPr>
          <w:rFonts w:asciiTheme="minorHAnsi" w:hAnsiTheme="minorHAnsi"/>
          <w:sz w:val="20"/>
          <w:szCs w:val="20"/>
          <w:lang w:val="en-US"/>
        </w:rPr>
      </w:pPr>
      <w:r w:rsidRPr="007D47AD">
        <w:rPr>
          <w:rFonts w:asciiTheme="minorHAnsi" w:hAnsiTheme="minorHAnsi"/>
          <w:sz w:val="20"/>
          <w:szCs w:val="20"/>
          <w:lang w:val="en-US"/>
        </w:rPr>
        <w:t xml:space="preserve">In addition, the State indicated that the </w:t>
      </w:r>
      <w:r w:rsidR="00774776" w:rsidRPr="007D47AD">
        <w:rPr>
          <w:rFonts w:asciiTheme="minorHAnsi" w:hAnsiTheme="minorHAnsi"/>
          <w:sz w:val="20"/>
          <w:szCs w:val="20"/>
          <w:lang w:val="en-US"/>
        </w:rPr>
        <w:t xml:space="preserve">CONAPRED </w:t>
      </w:r>
      <w:r w:rsidRPr="007D47AD">
        <w:rPr>
          <w:rFonts w:asciiTheme="minorHAnsi" w:hAnsiTheme="minorHAnsi"/>
          <w:sz w:val="20"/>
          <w:szCs w:val="20"/>
          <w:lang w:val="en-US"/>
        </w:rPr>
        <w:t xml:space="preserve">began to conduct the first Intersex Survey. The State added in its observations that the </w:t>
      </w:r>
      <w:r w:rsidR="00774776" w:rsidRPr="007D47AD">
        <w:rPr>
          <w:rFonts w:asciiTheme="minorHAnsi" w:hAnsiTheme="minorHAnsi"/>
          <w:sz w:val="20"/>
          <w:szCs w:val="20"/>
          <w:lang w:val="en-US"/>
        </w:rPr>
        <w:t xml:space="preserve">FGR </w:t>
      </w:r>
      <w:r w:rsidRPr="007D47AD">
        <w:rPr>
          <w:rFonts w:asciiTheme="minorHAnsi" w:hAnsiTheme="minorHAnsi"/>
          <w:sz w:val="20"/>
          <w:szCs w:val="20"/>
          <w:lang w:val="en-US"/>
        </w:rPr>
        <w:t xml:space="preserve">trains its personnel in the </w:t>
      </w:r>
      <w:r w:rsidR="00774776" w:rsidRPr="007D47AD">
        <w:rPr>
          <w:rFonts w:asciiTheme="minorHAnsi" w:hAnsiTheme="minorHAnsi"/>
          <w:sz w:val="20"/>
          <w:szCs w:val="20"/>
          <w:lang w:val="en-US"/>
        </w:rPr>
        <w:t xml:space="preserve">“Protocol </w:t>
      </w:r>
      <w:r w:rsidRPr="007D47AD">
        <w:rPr>
          <w:rFonts w:asciiTheme="minorHAnsi" w:hAnsiTheme="minorHAnsi"/>
          <w:sz w:val="20"/>
          <w:szCs w:val="20"/>
          <w:lang w:val="en-US"/>
        </w:rPr>
        <w:t>for Action for Personnel of the Justice and Law Enforcement Agencies of the Country in cases that involve Sexual Orientation or Gender Identity.</w:t>
      </w:r>
      <w:r w:rsidR="00774776" w:rsidRPr="007D47AD">
        <w:rPr>
          <w:rFonts w:asciiTheme="minorHAnsi" w:hAnsiTheme="minorHAnsi"/>
          <w:sz w:val="20"/>
          <w:szCs w:val="20"/>
          <w:lang w:val="en-US"/>
        </w:rPr>
        <w:t>”</w:t>
      </w:r>
      <w:r w:rsidR="00774776" w:rsidRPr="007D47AD">
        <w:rPr>
          <w:rStyle w:val="FootnoteReference"/>
          <w:rFonts w:asciiTheme="minorHAnsi" w:hAnsiTheme="minorHAnsi"/>
          <w:sz w:val="20"/>
          <w:szCs w:val="20"/>
          <w:lang w:val="en-US"/>
        </w:rPr>
        <w:footnoteReference w:id="193"/>
      </w:r>
      <w:r w:rsidR="00774776" w:rsidRPr="007D47AD">
        <w:rPr>
          <w:rFonts w:asciiTheme="minorHAnsi" w:hAnsiTheme="minorHAnsi"/>
          <w:sz w:val="20"/>
          <w:szCs w:val="20"/>
          <w:lang w:val="en-US"/>
        </w:rPr>
        <w:t xml:space="preserve"> </w:t>
      </w:r>
    </w:p>
    <w:p w:rsidR="00CA33E2" w:rsidRPr="007D47AD" w:rsidRDefault="00CA33E2" w:rsidP="00D937BC">
      <w:pPr>
        <w:shd w:val="clear" w:color="auto" w:fill="FFFFFF"/>
        <w:spacing w:after="0" w:line="240" w:lineRule="auto"/>
        <w:jc w:val="both"/>
        <w:rPr>
          <w:rFonts w:asciiTheme="minorHAnsi" w:hAnsiTheme="minorHAnsi"/>
          <w:sz w:val="20"/>
          <w:szCs w:val="20"/>
          <w:lang w:val="en-US"/>
        </w:rPr>
      </w:pPr>
    </w:p>
    <w:p w:rsidR="00CA33E2" w:rsidRPr="007D47AD" w:rsidRDefault="00E17D94" w:rsidP="00D937BC">
      <w:pPr>
        <w:numPr>
          <w:ilvl w:val="0"/>
          <w:numId w:val="6"/>
        </w:numPr>
        <w:shd w:val="clear" w:color="auto" w:fill="FFFFFF"/>
        <w:spacing w:after="0" w:line="240" w:lineRule="auto"/>
        <w:ind w:left="0" w:firstLine="720"/>
        <w:jc w:val="both"/>
        <w:rPr>
          <w:rFonts w:asciiTheme="minorHAnsi" w:hAnsiTheme="minorHAnsi"/>
          <w:sz w:val="20"/>
          <w:szCs w:val="20"/>
          <w:lang w:val="en-US"/>
        </w:rPr>
      </w:pPr>
      <w:r w:rsidRPr="007D47AD">
        <w:rPr>
          <w:rFonts w:asciiTheme="minorHAnsi" w:hAnsiTheme="minorHAnsi"/>
          <w:sz w:val="20"/>
          <w:szCs w:val="20"/>
          <w:lang w:val="en-US"/>
        </w:rPr>
        <w:t xml:space="preserve">The IACHR also received information that violence against </w:t>
      </w:r>
      <w:r w:rsidR="00891C76" w:rsidRPr="007D47AD">
        <w:rPr>
          <w:rFonts w:asciiTheme="minorHAnsi" w:hAnsiTheme="minorHAnsi"/>
          <w:sz w:val="20"/>
          <w:szCs w:val="20"/>
          <w:lang w:val="en-US"/>
        </w:rPr>
        <w:t xml:space="preserve">LGBTI </w:t>
      </w:r>
      <w:r w:rsidRPr="007D47AD">
        <w:rPr>
          <w:rFonts w:asciiTheme="minorHAnsi" w:hAnsiTheme="minorHAnsi"/>
          <w:sz w:val="20"/>
          <w:szCs w:val="20"/>
          <w:lang w:val="en-US"/>
        </w:rPr>
        <w:t xml:space="preserve">persons in Mexico continues to be common, such as the assassination of </w:t>
      </w:r>
      <w:r w:rsidR="008F1AE3" w:rsidRPr="007D47AD">
        <w:rPr>
          <w:rFonts w:asciiTheme="minorHAnsi" w:hAnsiTheme="minorHAnsi"/>
          <w:sz w:val="20"/>
          <w:szCs w:val="20"/>
          <w:lang w:val="en-US"/>
        </w:rPr>
        <w:t>Muxe</w:t>
      </w:r>
      <w:r w:rsidRPr="007D47AD">
        <w:rPr>
          <w:rFonts w:asciiTheme="minorHAnsi" w:hAnsiTheme="minorHAnsi"/>
          <w:sz w:val="20"/>
          <w:szCs w:val="20"/>
          <w:lang w:val="en-US"/>
        </w:rPr>
        <w:t xml:space="preserve"> human rights defender </w:t>
      </w:r>
      <w:r w:rsidR="00891C76" w:rsidRPr="007D47AD">
        <w:rPr>
          <w:rFonts w:asciiTheme="minorHAnsi" w:hAnsiTheme="minorHAnsi"/>
          <w:sz w:val="20"/>
          <w:szCs w:val="20"/>
          <w:lang w:val="en-US"/>
        </w:rPr>
        <w:t xml:space="preserve">Oscar Cazorla, </w:t>
      </w:r>
      <w:r w:rsidRPr="007D47AD">
        <w:rPr>
          <w:rFonts w:asciiTheme="minorHAnsi" w:hAnsiTheme="minorHAnsi"/>
          <w:sz w:val="20"/>
          <w:szCs w:val="20"/>
          <w:lang w:val="en-US"/>
        </w:rPr>
        <w:t xml:space="preserve">on February </w:t>
      </w:r>
      <w:r w:rsidR="00891C76" w:rsidRPr="007D47AD">
        <w:rPr>
          <w:rFonts w:asciiTheme="minorHAnsi" w:hAnsiTheme="minorHAnsi"/>
          <w:sz w:val="20"/>
          <w:szCs w:val="20"/>
          <w:lang w:val="en-US"/>
        </w:rPr>
        <w:t>9</w:t>
      </w:r>
      <w:r w:rsidRPr="007D47AD">
        <w:rPr>
          <w:rFonts w:asciiTheme="minorHAnsi" w:hAnsiTheme="minorHAnsi"/>
          <w:sz w:val="20"/>
          <w:szCs w:val="20"/>
          <w:lang w:val="en-US"/>
        </w:rPr>
        <w:t>,</w:t>
      </w:r>
      <w:r w:rsidR="00891C76" w:rsidRPr="007D47AD">
        <w:rPr>
          <w:rFonts w:asciiTheme="minorHAnsi" w:hAnsiTheme="minorHAnsi"/>
          <w:sz w:val="20"/>
          <w:szCs w:val="20"/>
          <w:lang w:val="en-US"/>
        </w:rPr>
        <w:t xml:space="preserve"> </w:t>
      </w:r>
      <w:r w:rsidR="0042724C" w:rsidRPr="007D47AD">
        <w:rPr>
          <w:rFonts w:asciiTheme="minorHAnsi" w:hAnsiTheme="minorHAnsi"/>
          <w:sz w:val="20"/>
          <w:szCs w:val="20"/>
          <w:lang w:val="en-US"/>
        </w:rPr>
        <w:t xml:space="preserve">2019 </w:t>
      </w:r>
      <w:r w:rsidRPr="007D47AD">
        <w:rPr>
          <w:rFonts w:asciiTheme="minorHAnsi" w:hAnsiTheme="minorHAnsi"/>
          <w:sz w:val="20"/>
          <w:szCs w:val="20"/>
          <w:lang w:val="en-US"/>
        </w:rPr>
        <w:t>in</w:t>
      </w:r>
      <w:r w:rsidR="00891C76" w:rsidRPr="007D47AD">
        <w:rPr>
          <w:rFonts w:asciiTheme="minorHAnsi" w:hAnsiTheme="minorHAnsi"/>
          <w:sz w:val="20"/>
          <w:szCs w:val="20"/>
          <w:lang w:val="en-US"/>
        </w:rPr>
        <w:t xml:space="preserve"> Oaxaca</w:t>
      </w:r>
      <w:r w:rsidRPr="007D47AD">
        <w:rPr>
          <w:rFonts w:asciiTheme="minorHAnsi" w:hAnsiTheme="minorHAnsi"/>
          <w:sz w:val="20"/>
          <w:szCs w:val="20"/>
          <w:lang w:val="en-US"/>
        </w:rPr>
        <w:t>.</w:t>
      </w:r>
      <w:r w:rsidR="00891C76" w:rsidRPr="007D47AD">
        <w:rPr>
          <w:rFonts w:asciiTheme="minorHAnsi" w:hAnsiTheme="minorHAnsi"/>
          <w:sz w:val="20"/>
          <w:szCs w:val="20"/>
          <w:vertAlign w:val="superscript"/>
          <w:lang w:val="en-US"/>
        </w:rPr>
        <w:footnoteReference w:id="194"/>
      </w:r>
      <w:r w:rsidR="00891C76" w:rsidRPr="007D47AD">
        <w:rPr>
          <w:rFonts w:asciiTheme="minorHAnsi" w:hAnsiTheme="minorHAnsi"/>
          <w:sz w:val="20"/>
          <w:szCs w:val="20"/>
          <w:lang w:val="en-US"/>
        </w:rPr>
        <w:t xml:space="preserve"> </w:t>
      </w:r>
      <w:r w:rsidRPr="007D47AD">
        <w:rPr>
          <w:rFonts w:asciiTheme="minorHAnsi" w:hAnsiTheme="minorHAnsi"/>
          <w:sz w:val="20"/>
          <w:szCs w:val="20"/>
          <w:lang w:val="en-US"/>
        </w:rPr>
        <w:t xml:space="preserve">According to information that is public, as of July 2019 the investigation carried out by the Office of the Attorney General of the State of </w:t>
      </w:r>
      <w:r w:rsidR="00891C76" w:rsidRPr="007D47AD">
        <w:rPr>
          <w:rFonts w:asciiTheme="minorHAnsi" w:hAnsiTheme="minorHAnsi"/>
          <w:sz w:val="20"/>
          <w:szCs w:val="20"/>
          <w:lang w:val="en-US"/>
        </w:rPr>
        <w:t xml:space="preserve">Oaxaca </w:t>
      </w:r>
      <w:r w:rsidRPr="007D47AD">
        <w:rPr>
          <w:rFonts w:asciiTheme="minorHAnsi" w:hAnsiTheme="minorHAnsi"/>
          <w:sz w:val="20"/>
          <w:szCs w:val="20"/>
          <w:lang w:val="en-US"/>
        </w:rPr>
        <w:t>had not made any headway in identifying the persons responsible for the crime.</w:t>
      </w:r>
      <w:r w:rsidR="00891C76" w:rsidRPr="007D47AD">
        <w:rPr>
          <w:rFonts w:asciiTheme="minorHAnsi" w:hAnsiTheme="minorHAnsi"/>
          <w:sz w:val="20"/>
          <w:szCs w:val="20"/>
          <w:vertAlign w:val="superscript"/>
          <w:lang w:val="en-US"/>
        </w:rPr>
        <w:footnoteReference w:id="195"/>
      </w:r>
      <w:r w:rsidR="00891C76" w:rsidRPr="007D47AD">
        <w:rPr>
          <w:rFonts w:asciiTheme="minorHAnsi" w:hAnsiTheme="minorHAnsi"/>
          <w:sz w:val="20"/>
          <w:szCs w:val="20"/>
          <w:lang w:val="en-US"/>
        </w:rPr>
        <w:t xml:space="preserve"> </w:t>
      </w:r>
      <w:r w:rsidRPr="007D47AD">
        <w:rPr>
          <w:rFonts w:asciiTheme="minorHAnsi" w:hAnsiTheme="minorHAnsi"/>
          <w:sz w:val="20"/>
          <w:szCs w:val="20"/>
          <w:lang w:val="en-US"/>
        </w:rPr>
        <w:t xml:space="preserve">In addition, the assassinations of </w:t>
      </w:r>
      <w:r w:rsidR="00891C76" w:rsidRPr="007D47AD">
        <w:rPr>
          <w:rFonts w:asciiTheme="minorHAnsi" w:hAnsiTheme="minorHAnsi"/>
          <w:sz w:val="20"/>
          <w:szCs w:val="20"/>
          <w:lang w:val="en-US"/>
        </w:rPr>
        <w:t xml:space="preserve">Miguel Ángel Medina Lara, </w:t>
      </w:r>
      <w:r w:rsidRPr="007D47AD">
        <w:rPr>
          <w:rFonts w:asciiTheme="minorHAnsi" w:hAnsiTheme="minorHAnsi"/>
          <w:sz w:val="20"/>
          <w:szCs w:val="20"/>
          <w:lang w:val="en-US"/>
        </w:rPr>
        <w:t>i</w:t>
      </w:r>
      <w:r w:rsidR="00891C76" w:rsidRPr="007D47AD">
        <w:rPr>
          <w:rFonts w:asciiTheme="minorHAnsi" w:hAnsiTheme="minorHAnsi"/>
          <w:sz w:val="20"/>
          <w:szCs w:val="20"/>
          <w:lang w:val="en-US"/>
        </w:rPr>
        <w:t>n Veracruz</w:t>
      </w:r>
      <w:r w:rsidR="00891C76" w:rsidRPr="007D47AD">
        <w:rPr>
          <w:rFonts w:asciiTheme="minorHAnsi" w:hAnsiTheme="minorHAnsi"/>
          <w:sz w:val="20"/>
          <w:szCs w:val="20"/>
          <w:vertAlign w:val="superscript"/>
          <w:lang w:val="en-US"/>
        </w:rPr>
        <w:footnoteReference w:id="196"/>
      </w:r>
      <w:r w:rsidR="00891C76" w:rsidRPr="007D47AD">
        <w:rPr>
          <w:rFonts w:asciiTheme="minorHAnsi" w:hAnsiTheme="minorHAnsi"/>
          <w:sz w:val="20"/>
          <w:szCs w:val="20"/>
          <w:lang w:val="en-US"/>
        </w:rPr>
        <w:t xml:space="preserve">; Renata Spencer, </w:t>
      </w:r>
      <w:r w:rsidRPr="007D47AD">
        <w:rPr>
          <w:rFonts w:asciiTheme="minorHAnsi" w:hAnsiTheme="minorHAnsi"/>
          <w:sz w:val="20"/>
          <w:szCs w:val="20"/>
          <w:lang w:val="en-US"/>
        </w:rPr>
        <w:t>i</w:t>
      </w:r>
      <w:r w:rsidR="00891C76" w:rsidRPr="007D47AD">
        <w:rPr>
          <w:rFonts w:asciiTheme="minorHAnsi" w:hAnsiTheme="minorHAnsi"/>
          <w:sz w:val="20"/>
          <w:szCs w:val="20"/>
          <w:lang w:val="en-US"/>
        </w:rPr>
        <w:t>n Hidalgo</w:t>
      </w:r>
      <w:r w:rsidR="00891C76" w:rsidRPr="007D47AD">
        <w:rPr>
          <w:rFonts w:asciiTheme="minorHAnsi" w:hAnsiTheme="minorHAnsi"/>
          <w:sz w:val="20"/>
          <w:szCs w:val="20"/>
          <w:vertAlign w:val="superscript"/>
          <w:lang w:val="en-US"/>
        </w:rPr>
        <w:footnoteReference w:id="197"/>
      </w:r>
      <w:r w:rsidR="00891C76" w:rsidRPr="007D47AD">
        <w:rPr>
          <w:rFonts w:asciiTheme="minorHAnsi" w:hAnsiTheme="minorHAnsi"/>
          <w:sz w:val="20"/>
          <w:szCs w:val="20"/>
          <w:lang w:val="en-US"/>
        </w:rPr>
        <w:t xml:space="preserve">; Hugo Méndez Hernández, </w:t>
      </w:r>
      <w:r w:rsidRPr="007D47AD">
        <w:rPr>
          <w:rFonts w:asciiTheme="minorHAnsi" w:hAnsiTheme="minorHAnsi"/>
          <w:sz w:val="20"/>
          <w:szCs w:val="20"/>
          <w:lang w:val="en-US"/>
        </w:rPr>
        <w:t>i</w:t>
      </w:r>
      <w:r w:rsidR="00891C76" w:rsidRPr="007D47AD">
        <w:rPr>
          <w:rFonts w:asciiTheme="minorHAnsi" w:hAnsiTheme="minorHAnsi"/>
          <w:sz w:val="20"/>
          <w:szCs w:val="20"/>
          <w:lang w:val="en-US"/>
        </w:rPr>
        <w:t>n Tehuacán</w:t>
      </w:r>
      <w:r w:rsidR="00891C76" w:rsidRPr="007D47AD">
        <w:rPr>
          <w:rFonts w:asciiTheme="minorHAnsi" w:hAnsiTheme="minorHAnsi"/>
          <w:sz w:val="20"/>
          <w:szCs w:val="20"/>
          <w:vertAlign w:val="superscript"/>
          <w:lang w:val="en-US"/>
        </w:rPr>
        <w:footnoteReference w:id="198"/>
      </w:r>
      <w:r w:rsidR="00891C76" w:rsidRPr="007D47AD">
        <w:rPr>
          <w:rFonts w:asciiTheme="minorHAnsi" w:hAnsiTheme="minorHAnsi"/>
          <w:sz w:val="20"/>
          <w:szCs w:val="20"/>
          <w:lang w:val="en-US"/>
        </w:rPr>
        <w:t xml:space="preserve">; Carly, </w:t>
      </w:r>
      <w:r w:rsidRPr="007D47AD">
        <w:rPr>
          <w:rFonts w:asciiTheme="minorHAnsi" w:hAnsiTheme="minorHAnsi"/>
          <w:sz w:val="20"/>
          <w:szCs w:val="20"/>
          <w:lang w:val="en-US"/>
        </w:rPr>
        <w:t>i</w:t>
      </w:r>
      <w:r w:rsidR="00891C76" w:rsidRPr="007D47AD">
        <w:rPr>
          <w:rFonts w:asciiTheme="minorHAnsi" w:hAnsiTheme="minorHAnsi"/>
          <w:sz w:val="20"/>
          <w:szCs w:val="20"/>
          <w:lang w:val="en-US"/>
        </w:rPr>
        <w:t>n Oaxaca</w:t>
      </w:r>
      <w:r w:rsidR="00891C76" w:rsidRPr="007D47AD">
        <w:rPr>
          <w:rFonts w:asciiTheme="minorHAnsi" w:hAnsiTheme="minorHAnsi"/>
          <w:sz w:val="20"/>
          <w:szCs w:val="20"/>
          <w:vertAlign w:val="superscript"/>
          <w:lang w:val="en-US"/>
        </w:rPr>
        <w:footnoteReference w:id="199"/>
      </w:r>
      <w:r w:rsidR="00891C76" w:rsidRPr="007D47AD">
        <w:rPr>
          <w:rFonts w:asciiTheme="minorHAnsi" w:hAnsiTheme="minorHAnsi"/>
          <w:sz w:val="20"/>
          <w:szCs w:val="20"/>
          <w:lang w:val="en-US"/>
        </w:rPr>
        <w:t xml:space="preserve">; Armando Ladrón de Guevara Jiménez, </w:t>
      </w:r>
      <w:r w:rsidRPr="007D47AD">
        <w:rPr>
          <w:rFonts w:asciiTheme="minorHAnsi" w:hAnsiTheme="minorHAnsi"/>
          <w:sz w:val="20"/>
          <w:szCs w:val="20"/>
          <w:lang w:val="en-US"/>
        </w:rPr>
        <w:t>i</w:t>
      </w:r>
      <w:r w:rsidR="00891C76" w:rsidRPr="007D47AD">
        <w:rPr>
          <w:rFonts w:asciiTheme="minorHAnsi" w:hAnsiTheme="minorHAnsi"/>
          <w:sz w:val="20"/>
          <w:szCs w:val="20"/>
          <w:lang w:val="en-US"/>
        </w:rPr>
        <w:t>n Carlos Carillo</w:t>
      </w:r>
      <w:r w:rsidR="00891C76" w:rsidRPr="007D47AD">
        <w:rPr>
          <w:rFonts w:asciiTheme="minorHAnsi" w:hAnsiTheme="minorHAnsi"/>
          <w:sz w:val="20"/>
          <w:szCs w:val="20"/>
          <w:vertAlign w:val="superscript"/>
          <w:lang w:val="en-US"/>
        </w:rPr>
        <w:footnoteReference w:id="200"/>
      </w:r>
      <w:r w:rsidR="00891C76" w:rsidRPr="007D47AD">
        <w:rPr>
          <w:rFonts w:asciiTheme="minorHAnsi" w:hAnsiTheme="minorHAnsi"/>
          <w:sz w:val="20"/>
          <w:szCs w:val="20"/>
          <w:lang w:val="en-US"/>
        </w:rPr>
        <w:t xml:space="preserve">; </w:t>
      </w:r>
      <w:r w:rsidRPr="007D47AD">
        <w:rPr>
          <w:rFonts w:asciiTheme="minorHAnsi" w:hAnsiTheme="minorHAnsi"/>
          <w:sz w:val="20"/>
          <w:szCs w:val="20"/>
          <w:lang w:val="en-US"/>
        </w:rPr>
        <w:t xml:space="preserve">and </w:t>
      </w:r>
      <w:r w:rsidR="00891C76" w:rsidRPr="007D47AD">
        <w:rPr>
          <w:rFonts w:asciiTheme="minorHAnsi" w:hAnsiTheme="minorHAnsi"/>
          <w:sz w:val="20"/>
          <w:szCs w:val="20"/>
          <w:lang w:val="en-US"/>
        </w:rPr>
        <w:t xml:space="preserve">Guadalupe López Grajales, </w:t>
      </w:r>
      <w:r w:rsidRPr="007D47AD">
        <w:rPr>
          <w:rFonts w:asciiTheme="minorHAnsi" w:hAnsiTheme="minorHAnsi"/>
          <w:sz w:val="20"/>
          <w:szCs w:val="20"/>
          <w:lang w:val="en-US"/>
        </w:rPr>
        <w:t>i</w:t>
      </w:r>
      <w:r w:rsidR="00891C76" w:rsidRPr="007D47AD">
        <w:rPr>
          <w:rFonts w:asciiTheme="minorHAnsi" w:hAnsiTheme="minorHAnsi"/>
          <w:sz w:val="20"/>
          <w:szCs w:val="20"/>
          <w:lang w:val="en-US"/>
        </w:rPr>
        <w:t>n Emiliano Zapata</w:t>
      </w:r>
      <w:r w:rsidR="00891C76" w:rsidRPr="007D47AD">
        <w:rPr>
          <w:rFonts w:asciiTheme="minorHAnsi" w:hAnsiTheme="minorHAnsi"/>
          <w:sz w:val="20"/>
          <w:szCs w:val="20"/>
          <w:vertAlign w:val="superscript"/>
          <w:lang w:val="en-US"/>
        </w:rPr>
        <w:footnoteReference w:id="201"/>
      </w:r>
      <w:r w:rsidR="00891C76" w:rsidRPr="007D47AD">
        <w:rPr>
          <w:rFonts w:asciiTheme="minorHAnsi" w:hAnsiTheme="minorHAnsi"/>
          <w:sz w:val="20"/>
          <w:szCs w:val="20"/>
          <w:lang w:val="en-US"/>
        </w:rPr>
        <w:t xml:space="preserve"> represent </w:t>
      </w:r>
      <w:r w:rsidRPr="007D47AD">
        <w:rPr>
          <w:rFonts w:asciiTheme="minorHAnsi" w:hAnsiTheme="minorHAnsi"/>
          <w:sz w:val="20"/>
          <w:szCs w:val="20"/>
          <w:lang w:val="en-US"/>
        </w:rPr>
        <w:t xml:space="preserve">only some of the assassinations of </w:t>
      </w:r>
      <w:r w:rsidR="00891C76" w:rsidRPr="007D47AD">
        <w:rPr>
          <w:rFonts w:asciiTheme="minorHAnsi" w:hAnsiTheme="minorHAnsi"/>
          <w:sz w:val="20"/>
          <w:szCs w:val="20"/>
          <w:lang w:val="en-US"/>
        </w:rPr>
        <w:t xml:space="preserve">LGBTI </w:t>
      </w:r>
      <w:r w:rsidRPr="007D47AD">
        <w:rPr>
          <w:rFonts w:asciiTheme="minorHAnsi" w:hAnsiTheme="minorHAnsi"/>
          <w:sz w:val="20"/>
          <w:szCs w:val="20"/>
          <w:lang w:val="en-US"/>
        </w:rPr>
        <w:t xml:space="preserve">persons in </w:t>
      </w:r>
      <w:r w:rsidR="00891C76" w:rsidRPr="007D47AD">
        <w:rPr>
          <w:rFonts w:asciiTheme="minorHAnsi" w:hAnsiTheme="minorHAnsi"/>
          <w:sz w:val="20"/>
          <w:szCs w:val="20"/>
          <w:lang w:val="en-US"/>
        </w:rPr>
        <w:t>M</w:t>
      </w:r>
      <w:r w:rsidRPr="007D47AD">
        <w:rPr>
          <w:rFonts w:asciiTheme="minorHAnsi" w:hAnsiTheme="minorHAnsi"/>
          <w:sz w:val="20"/>
          <w:szCs w:val="20"/>
          <w:lang w:val="en-US"/>
        </w:rPr>
        <w:t>e</w:t>
      </w:r>
      <w:r w:rsidR="00891C76" w:rsidRPr="007D47AD">
        <w:rPr>
          <w:rFonts w:asciiTheme="minorHAnsi" w:hAnsiTheme="minorHAnsi"/>
          <w:sz w:val="20"/>
          <w:szCs w:val="20"/>
          <w:lang w:val="en-US"/>
        </w:rPr>
        <w:t xml:space="preserve">xico, </w:t>
      </w:r>
      <w:r w:rsidRPr="007D47AD">
        <w:rPr>
          <w:rFonts w:asciiTheme="minorHAnsi" w:hAnsiTheme="minorHAnsi"/>
          <w:sz w:val="20"/>
          <w:szCs w:val="20"/>
          <w:lang w:val="en-US"/>
        </w:rPr>
        <w:t xml:space="preserve">which, according to information provided to the IACHR, </w:t>
      </w:r>
      <w:r w:rsidR="008F1AE3" w:rsidRPr="007D47AD">
        <w:rPr>
          <w:rFonts w:asciiTheme="minorHAnsi" w:hAnsiTheme="minorHAnsi"/>
          <w:sz w:val="20"/>
          <w:szCs w:val="20"/>
          <w:lang w:val="en-US"/>
        </w:rPr>
        <w:t xml:space="preserve">number </w:t>
      </w:r>
      <w:r w:rsidRPr="007D47AD">
        <w:rPr>
          <w:rFonts w:asciiTheme="minorHAnsi" w:hAnsiTheme="minorHAnsi"/>
          <w:sz w:val="20"/>
          <w:szCs w:val="20"/>
          <w:lang w:val="en-US"/>
        </w:rPr>
        <w:t>29 cases so far this year.</w:t>
      </w:r>
      <w:r w:rsidR="00891C76" w:rsidRPr="007D47AD">
        <w:rPr>
          <w:rFonts w:asciiTheme="minorHAnsi" w:hAnsiTheme="minorHAnsi"/>
          <w:sz w:val="20"/>
          <w:szCs w:val="20"/>
          <w:vertAlign w:val="superscript"/>
          <w:lang w:val="en-US"/>
        </w:rPr>
        <w:footnoteReference w:id="202"/>
      </w:r>
      <w:r w:rsidR="00891C76" w:rsidRPr="007D47AD">
        <w:rPr>
          <w:rFonts w:asciiTheme="minorHAnsi" w:hAnsiTheme="minorHAnsi"/>
          <w:sz w:val="20"/>
          <w:szCs w:val="20"/>
          <w:lang w:val="en-US"/>
        </w:rPr>
        <w:t xml:space="preserve"> </w:t>
      </w:r>
      <w:r w:rsidR="000027F5" w:rsidRPr="007D47AD">
        <w:rPr>
          <w:rFonts w:asciiTheme="minorHAnsi" w:hAnsiTheme="minorHAnsi"/>
          <w:sz w:val="20"/>
          <w:szCs w:val="20"/>
          <w:lang w:val="en-US"/>
        </w:rPr>
        <w:t xml:space="preserve">In this regard, </w:t>
      </w:r>
      <w:r w:rsidRPr="007D47AD">
        <w:rPr>
          <w:rFonts w:asciiTheme="minorHAnsi" w:hAnsiTheme="minorHAnsi"/>
          <w:sz w:val="20"/>
          <w:szCs w:val="20"/>
          <w:lang w:val="en-US"/>
        </w:rPr>
        <w:t xml:space="preserve">the Commission urges the State to conduct an exhaustive and impartial investigation, and to prosecute and punish the persons responsible for these acts. </w:t>
      </w:r>
    </w:p>
    <w:p w:rsidR="00CA33E2" w:rsidRPr="007D47AD" w:rsidRDefault="00CA33E2" w:rsidP="00D937BC">
      <w:pPr>
        <w:shd w:val="clear" w:color="auto" w:fill="FFFFFF"/>
        <w:spacing w:after="0" w:line="240" w:lineRule="auto"/>
        <w:ind w:left="720"/>
        <w:jc w:val="both"/>
        <w:rPr>
          <w:rFonts w:asciiTheme="minorHAnsi" w:hAnsiTheme="minorHAnsi"/>
          <w:sz w:val="20"/>
          <w:szCs w:val="20"/>
          <w:lang w:val="en-US"/>
        </w:rPr>
      </w:pPr>
    </w:p>
    <w:p w:rsidR="000069D9" w:rsidRPr="007D47AD" w:rsidRDefault="00E17D94" w:rsidP="00D937BC">
      <w:pPr>
        <w:numPr>
          <w:ilvl w:val="0"/>
          <w:numId w:val="6"/>
        </w:numPr>
        <w:shd w:val="clear" w:color="auto" w:fill="FFFFFF"/>
        <w:spacing w:after="0" w:line="240" w:lineRule="auto"/>
        <w:ind w:left="0" w:firstLine="720"/>
        <w:jc w:val="both"/>
        <w:rPr>
          <w:rFonts w:asciiTheme="minorHAnsi" w:hAnsiTheme="minorHAnsi"/>
          <w:sz w:val="20"/>
          <w:szCs w:val="20"/>
          <w:lang w:val="en-US"/>
        </w:rPr>
      </w:pPr>
      <w:r w:rsidRPr="007D47AD">
        <w:rPr>
          <w:rFonts w:asciiTheme="minorHAnsi" w:hAnsiTheme="minorHAnsi"/>
          <w:sz w:val="20"/>
          <w:szCs w:val="20"/>
          <w:lang w:val="en-US"/>
        </w:rPr>
        <w:t xml:space="preserve">The IACHR reminds the State of the importance of receiving substantive information and data on the effective action </w:t>
      </w:r>
      <w:r w:rsidR="00936A24" w:rsidRPr="007D47AD">
        <w:rPr>
          <w:rFonts w:asciiTheme="minorHAnsi" w:hAnsiTheme="minorHAnsi"/>
          <w:sz w:val="20"/>
          <w:szCs w:val="20"/>
          <w:lang w:val="en-US"/>
        </w:rPr>
        <w:t xml:space="preserve">of </w:t>
      </w:r>
      <w:r w:rsidRPr="007D47AD">
        <w:rPr>
          <w:rFonts w:asciiTheme="minorHAnsi" w:hAnsiTheme="minorHAnsi"/>
          <w:sz w:val="20"/>
          <w:szCs w:val="20"/>
          <w:lang w:val="en-US"/>
        </w:rPr>
        <w:t>the instituti</w:t>
      </w:r>
      <w:r w:rsidR="00936A24" w:rsidRPr="007D47AD">
        <w:rPr>
          <w:rFonts w:asciiTheme="minorHAnsi" w:hAnsiTheme="minorHAnsi"/>
          <w:sz w:val="20"/>
          <w:szCs w:val="20"/>
          <w:lang w:val="en-US"/>
        </w:rPr>
        <w:t>on</w:t>
      </w:r>
      <w:r w:rsidRPr="007D47AD">
        <w:rPr>
          <w:rFonts w:asciiTheme="minorHAnsi" w:hAnsiTheme="minorHAnsi"/>
          <w:sz w:val="20"/>
          <w:szCs w:val="20"/>
          <w:lang w:val="en-US"/>
        </w:rPr>
        <w:t xml:space="preserve">s that see to the struggle against violence impacting the </w:t>
      </w:r>
      <w:r w:rsidR="003040AF" w:rsidRPr="007D47AD">
        <w:rPr>
          <w:rFonts w:asciiTheme="minorHAnsi" w:hAnsiTheme="minorHAnsi"/>
          <w:sz w:val="20"/>
          <w:szCs w:val="20"/>
          <w:lang w:val="en-US"/>
        </w:rPr>
        <w:t>LGTBI</w:t>
      </w:r>
      <w:r w:rsidRPr="007D47AD">
        <w:rPr>
          <w:rFonts w:asciiTheme="minorHAnsi" w:hAnsiTheme="minorHAnsi"/>
          <w:sz w:val="20"/>
          <w:szCs w:val="20"/>
          <w:lang w:val="en-US"/>
        </w:rPr>
        <w:t xml:space="preserve"> population. Accordingly, the IACHR </w:t>
      </w:r>
      <w:r w:rsidR="003040AF" w:rsidRPr="007D47AD">
        <w:rPr>
          <w:rFonts w:asciiTheme="minorHAnsi" w:hAnsiTheme="minorHAnsi"/>
          <w:sz w:val="20"/>
          <w:szCs w:val="20"/>
          <w:lang w:val="en-US"/>
        </w:rPr>
        <w:t>consider</w:t>
      </w:r>
      <w:r w:rsidRPr="007D47AD">
        <w:rPr>
          <w:rFonts w:asciiTheme="minorHAnsi" w:hAnsiTheme="minorHAnsi"/>
          <w:sz w:val="20"/>
          <w:szCs w:val="20"/>
          <w:lang w:val="en-US"/>
        </w:rPr>
        <w:t xml:space="preserve">s that the recommendation continues to meet with </w:t>
      </w:r>
      <w:r w:rsidR="009A301E" w:rsidRPr="007D47AD">
        <w:rPr>
          <w:rFonts w:asciiTheme="minorHAnsi" w:hAnsiTheme="minorHAnsi"/>
          <w:sz w:val="20"/>
          <w:szCs w:val="20"/>
          <w:lang w:val="en-US"/>
        </w:rPr>
        <w:t>par</w:t>
      </w:r>
      <w:r w:rsidRPr="007D47AD">
        <w:rPr>
          <w:rFonts w:asciiTheme="minorHAnsi" w:hAnsiTheme="minorHAnsi"/>
          <w:sz w:val="20"/>
          <w:szCs w:val="20"/>
          <w:lang w:val="en-US"/>
        </w:rPr>
        <w:t>t</w:t>
      </w:r>
      <w:r w:rsidR="009A301E" w:rsidRPr="007D47AD">
        <w:rPr>
          <w:rFonts w:asciiTheme="minorHAnsi" w:hAnsiTheme="minorHAnsi"/>
          <w:sz w:val="20"/>
          <w:szCs w:val="20"/>
          <w:lang w:val="en-US"/>
        </w:rPr>
        <w:t>ial</w:t>
      </w:r>
      <w:r w:rsidRPr="007D47AD">
        <w:rPr>
          <w:rFonts w:asciiTheme="minorHAnsi" w:hAnsiTheme="minorHAnsi"/>
          <w:sz w:val="20"/>
          <w:szCs w:val="20"/>
          <w:lang w:val="en-US"/>
        </w:rPr>
        <w:t xml:space="preserve"> compliance</w:t>
      </w:r>
      <w:r w:rsidR="009A301E" w:rsidRPr="007D47AD">
        <w:rPr>
          <w:rFonts w:asciiTheme="minorHAnsi" w:hAnsiTheme="minorHAnsi"/>
          <w:sz w:val="20"/>
          <w:szCs w:val="20"/>
          <w:lang w:val="en-US"/>
        </w:rPr>
        <w:t>.</w:t>
      </w:r>
    </w:p>
    <w:p w:rsidR="00CA33E2" w:rsidRPr="007D47AD" w:rsidRDefault="00CA33E2" w:rsidP="00D937BC">
      <w:pPr>
        <w:shd w:val="clear" w:color="auto" w:fill="FFFFFF"/>
        <w:spacing w:after="0" w:line="240" w:lineRule="auto"/>
        <w:ind w:left="720"/>
        <w:jc w:val="both"/>
        <w:rPr>
          <w:rFonts w:asciiTheme="minorHAnsi" w:hAnsiTheme="minorHAnsi"/>
          <w:sz w:val="20"/>
          <w:szCs w:val="20"/>
          <w:lang w:val="en-US"/>
        </w:rPr>
      </w:pPr>
    </w:p>
    <w:p w:rsidR="00891C76" w:rsidRPr="007D47AD" w:rsidRDefault="00E17D94" w:rsidP="00E17D94">
      <w:pPr>
        <w:numPr>
          <w:ilvl w:val="0"/>
          <w:numId w:val="6"/>
        </w:numPr>
        <w:shd w:val="clear" w:color="auto" w:fill="FFFFFF"/>
        <w:spacing w:after="0" w:line="240" w:lineRule="auto"/>
        <w:ind w:left="0" w:firstLine="720"/>
        <w:jc w:val="both"/>
        <w:rPr>
          <w:rFonts w:asciiTheme="minorHAnsi" w:hAnsiTheme="minorHAnsi"/>
          <w:sz w:val="20"/>
          <w:szCs w:val="20"/>
          <w:lang w:val="en-US"/>
        </w:rPr>
      </w:pPr>
      <w:r w:rsidRPr="007D47AD">
        <w:rPr>
          <w:rStyle w:val="Nenhum"/>
          <w:rFonts w:asciiTheme="minorHAnsi" w:hAnsiTheme="minorHAnsi" w:cs="Calibri"/>
          <w:sz w:val="20"/>
          <w:szCs w:val="20"/>
          <w:lang w:val="en-US"/>
        </w:rPr>
        <w:t xml:space="preserve">As for the recommendation that urges the State </w:t>
      </w:r>
      <w:r w:rsidR="00C02FE9" w:rsidRPr="007D47AD">
        <w:rPr>
          <w:rStyle w:val="Nenhum"/>
          <w:rFonts w:asciiTheme="minorHAnsi" w:hAnsiTheme="minorHAnsi" w:cs="Calibri"/>
          <w:b/>
          <w:sz w:val="20"/>
          <w:szCs w:val="20"/>
          <w:lang w:val="en-US"/>
        </w:rPr>
        <w:t>to</w:t>
      </w:r>
      <w:r w:rsidR="00E0218E" w:rsidRPr="007D47AD">
        <w:rPr>
          <w:rStyle w:val="Nenhum"/>
          <w:rFonts w:asciiTheme="minorHAnsi" w:hAnsiTheme="minorHAnsi" w:cs="Calibri"/>
          <w:b/>
          <w:sz w:val="20"/>
          <w:szCs w:val="20"/>
          <w:lang w:val="en-US"/>
        </w:rPr>
        <w:t xml:space="preserve"> adopt </w:t>
      </w:r>
      <w:r w:rsidR="00C02FE9" w:rsidRPr="007D47AD">
        <w:rPr>
          <w:rStyle w:val="Nenhum"/>
          <w:rFonts w:asciiTheme="minorHAnsi" w:hAnsiTheme="minorHAnsi" w:cs="Calibri"/>
          <w:b/>
          <w:sz w:val="20"/>
          <w:szCs w:val="20"/>
          <w:lang w:val="en-US"/>
        </w:rPr>
        <w:t xml:space="preserve">measures to prevent violence aimed at eradicating social discrimination against </w:t>
      </w:r>
      <w:r w:rsidR="00E0218E" w:rsidRPr="007D47AD">
        <w:rPr>
          <w:rStyle w:val="Nenhum"/>
          <w:rFonts w:asciiTheme="minorHAnsi" w:hAnsiTheme="minorHAnsi" w:cs="Calibri"/>
          <w:b/>
          <w:sz w:val="20"/>
          <w:szCs w:val="20"/>
          <w:lang w:val="en-US"/>
        </w:rPr>
        <w:t>LGB</w:t>
      </w:r>
      <w:r w:rsidR="00C02FE9" w:rsidRPr="007D47AD">
        <w:rPr>
          <w:rStyle w:val="Nenhum"/>
          <w:rFonts w:asciiTheme="minorHAnsi" w:hAnsiTheme="minorHAnsi" w:cs="Calibri"/>
          <w:b/>
          <w:sz w:val="20"/>
          <w:szCs w:val="20"/>
          <w:lang w:val="en-US"/>
        </w:rPr>
        <w:t xml:space="preserve">T persons, </w:t>
      </w:r>
      <w:r w:rsidRPr="007D47AD">
        <w:rPr>
          <w:rFonts w:asciiTheme="minorHAnsi" w:hAnsiTheme="minorHAnsi"/>
          <w:sz w:val="20"/>
          <w:szCs w:val="20"/>
          <w:lang w:val="en-US"/>
        </w:rPr>
        <w:t>the IACHR salutes the decision of the Supreme Court that guaranteed the right to register children’s birth certificates by same-sex couples</w:t>
      </w:r>
      <w:r w:rsidR="00891C76" w:rsidRPr="007D47AD">
        <w:rPr>
          <w:rFonts w:asciiTheme="minorHAnsi" w:hAnsiTheme="minorHAnsi"/>
          <w:sz w:val="20"/>
          <w:szCs w:val="20"/>
          <w:vertAlign w:val="superscript"/>
          <w:lang w:val="en-US"/>
        </w:rPr>
        <w:footnoteReference w:id="203"/>
      </w:r>
      <w:r w:rsidR="00891C76" w:rsidRPr="007D47AD">
        <w:rPr>
          <w:rFonts w:asciiTheme="minorHAnsi" w:hAnsiTheme="minorHAnsi"/>
          <w:sz w:val="20"/>
          <w:szCs w:val="20"/>
          <w:lang w:val="en-US"/>
        </w:rPr>
        <w:t xml:space="preserve">, </w:t>
      </w:r>
      <w:r w:rsidRPr="007D47AD">
        <w:rPr>
          <w:rFonts w:asciiTheme="minorHAnsi" w:hAnsiTheme="minorHAnsi"/>
          <w:sz w:val="20"/>
          <w:szCs w:val="20"/>
          <w:lang w:val="en-US"/>
        </w:rPr>
        <w:t xml:space="preserve">and </w:t>
      </w:r>
      <w:r w:rsidRPr="007D47AD">
        <w:rPr>
          <w:rFonts w:asciiTheme="minorHAnsi" w:hAnsiTheme="minorHAnsi"/>
          <w:sz w:val="20"/>
          <w:szCs w:val="20"/>
          <w:lang w:val="en-US"/>
        </w:rPr>
        <w:lastRenderedPageBreak/>
        <w:t xml:space="preserve">found unconstitutional the heteronormative limitation of the concept of family in </w:t>
      </w:r>
      <w:r w:rsidR="00891C76" w:rsidRPr="007D47AD">
        <w:rPr>
          <w:rFonts w:asciiTheme="minorHAnsi" w:hAnsiTheme="minorHAnsi"/>
          <w:sz w:val="20"/>
          <w:szCs w:val="20"/>
          <w:lang w:val="en-US"/>
        </w:rPr>
        <w:t>Nuevo León</w:t>
      </w:r>
      <w:r w:rsidRPr="007D47AD">
        <w:rPr>
          <w:rFonts w:asciiTheme="minorHAnsi" w:hAnsiTheme="minorHAnsi"/>
          <w:sz w:val="20"/>
          <w:szCs w:val="20"/>
          <w:lang w:val="en-US"/>
        </w:rPr>
        <w:t>.</w:t>
      </w:r>
      <w:r w:rsidR="00891C76" w:rsidRPr="007D47AD">
        <w:rPr>
          <w:rFonts w:asciiTheme="minorHAnsi" w:hAnsiTheme="minorHAnsi"/>
          <w:sz w:val="20"/>
          <w:szCs w:val="20"/>
          <w:vertAlign w:val="superscript"/>
          <w:lang w:val="en-US"/>
        </w:rPr>
        <w:footnoteReference w:id="204"/>
      </w:r>
      <w:r w:rsidR="00891C76" w:rsidRPr="007D47AD">
        <w:rPr>
          <w:rFonts w:asciiTheme="minorHAnsi" w:hAnsiTheme="minorHAnsi"/>
          <w:sz w:val="20"/>
          <w:szCs w:val="20"/>
          <w:lang w:val="en-US"/>
        </w:rPr>
        <w:t xml:space="preserve"> </w:t>
      </w:r>
      <w:r w:rsidRPr="007D47AD">
        <w:rPr>
          <w:rFonts w:asciiTheme="minorHAnsi" w:hAnsiTheme="minorHAnsi"/>
          <w:sz w:val="20"/>
          <w:szCs w:val="20"/>
          <w:lang w:val="en-US"/>
        </w:rPr>
        <w:t xml:space="preserve">The Commission also learned of changes and legal adaptations made to guarantee marriage equality in </w:t>
      </w:r>
      <w:r w:rsidR="00891C76" w:rsidRPr="007D47AD">
        <w:rPr>
          <w:rFonts w:asciiTheme="minorHAnsi" w:hAnsiTheme="minorHAnsi"/>
          <w:sz w:val="20"/>
          <w:szCs w:val="20"/>
          <w:lang w:val="en-US"/>
        </w:rPr>
        <w:t>Hidalgo</w:t>
      </w:r>
      <w:r w:rsidR="00891C76" w:rsidRPr="007D47AD">
        <w:rPr>
          <w:rFonts w:asciiTheme="minorHAnsi" w:hAnsiTheme="minorHAnsi"/>
          <w:sz w:val="20"/>
          <w:szCs w:val="20"/>
          <w:vertAlign w:val="superscript"/>
          <w:lang w:val="en-US"/>
        </w:rPr>
        <w:footnoteReference w:id="205"/>
      </w:r>
      <w:r w:rsidR="00891C76" w:rsidRPr="007D47AD">
        <w:rPr>
          <w:rFonts w:asciiTheme="minorHAnsi" w:hAnsiTheme="minorHAnsi"/>
          <w:sz w:val="20"/>
          <w:szCs w:val="20"/>
          <w:lang w:val="en-US"/>
        </w:rPr>
        <w:t>, Baja California Su</w:t>
      </w:r>
      <w:r w:rsidR="00936A24" w:rsidRPr="007D47AD">
        <w:rPr>
          <w:rFonts w:asciiTheme="minorHAnsi" w:hAnsiTheme="minorHAnsi"/>
          <w:sz w:val="20"/>
          <w:szCs w:val="20"/>
          <w:lang w:val="en-US"/>
        </w:rPr>
        <w:t>r</w:t>
      </w:r>
      <w:r w:rsidR="00891C76" w:rsidRPr="007D47AD">
        <w:rPr>
          <w:rFonts w:asciiTheme="minorHAnsi" w:hAnsiTheme="minorHAnsi"/>
          <w:sz w:val="20"/>
          <w:szCs w:val="20"/>
          <w:vertAlign w:val="superscript"/>
          <w:lang w:val="en-US"/>
        </w:rPr>
        <w:footnoteReference w:id="206"/>
      </w:r>
      <w:r w:rsidR="00891C76" w:rsidRPr="007D47AD">
        <w:rPr>
          <w:rFonts w:asciiTheme="minorHAnsi" w:hAnsiTheme="minorHAnsi"/>
          <w:sz w:val="20"/>
          <w:szCs w:val="20"/>
          <w:lang w:val="en-US"/>
        </w:rPr>
        <w:t>, Oaxaca</w:t>
      </w:r>
      <w:r w:rsidR="00891C76" w:rsidRPr="007D47AD">
        <w:rPr>
          <w:rFonts w:asciiTheme="minorHAnsi" w:hAnsiTheme="minorHAnsi"/>
          <w:sz w:val="20"/>
          <w:szCs w:val="20"/>
          <w:vertAlign w:val="superscript"/>
          <w:lang w:val="en-US"/>
        </w:rPr>
        <w:footnoteReference w:id="207"/>
      </w:r>
      <w:r w:rsidRPr="007D47AD">
        <w:rPr>
          <w:rFonts w:asciiTheme="minorHAnsi" w:hAnsiTheme="minorHAnsi"/>
          <w:sz w:val="20"/>
          <w:szCs w:val="20"/>
          <w:lang w:val="en-US"/>
        </w:rPr>
        <w:t>,</w:t>
      </w:r>
      <w:r w:rsidR="00891C76" w:rsidRPr="007D47AD">
        <w:rPr>
          <w:rFonts w:asciiTheme="minorHAnsi" w:hAnsiTheme="minorHAnsi"/>
          <w:sz w:val="20"/>
          <w:szCs w:val="20"/>
          <w:lang w:val="en-US"/>
        </w:rPr>
        <w:t xml:space="preserve"> </w:t>
      </w:r>
      <w:r w:rsidRPr="007D47AD">
        <w:rPr>
          <w:rFonts w:asciiTheme="minorHAnsi" w:hAnsiTheme="minorHAnsi"/>
          <w:sz w:val="20"/>
          <w:szCs w:val="20"/>
          <w:lang w:val="en-US"/>
        </w:rPr>
        <w:t xml:space="preserve">and </w:t>
      </w:r>
      <w:r w:rsidR="00891C76" w:rsidRPr="007D47AD">
        <w:rPr>
          <w:rFonts w:asciiTheme="minorHAnsi" w:hAnsiTheme="minorHAnsi"/>
          <w:sz w:val="20"/>
          <w:szCs w:val="20"/>
          <w:lang w:val="en-US"/>
        </w:rPr>
        <w:t>San Luis Potosí</w:t>
      </w:r>
      <w:r w:rsidRPr="007D47AD">
        <w:rPr>
          <w:rFonts w:asciiTheme="minorHAnsi" w:hAnsiTheme="minorHAnsi"/>
          <w:sz w:val="20"/>
          <w:szCs w:val="20"/>
          <w:lang w:val="en-US"/>
        </w:rPr>
        <w:t>.</w:t>
      </w:r>
      <w:r w:rsidR="00891C76" w:rsidRPr="007D47AD">
        <w:rPr>
          <w:rFonts w:asciiTheme="minorHAnsi" w:hAnsiTheme="minorHAnsi"/>
          <w:sz w:val="20"/>
          <w:szCs w:val="20"/>
          <w:vertAlign w:val="superscript"/>
          <w:lang w:val="en-US"/>
        </w:rPr>
        <w:footnoteReference w:id="208"/>
      </w:r>
      <w:r w:rsidR="00891C76" w:rsidRPr="007D47AD">
        <w:rPr>
          <w:rFonts w:asciiTheme="minorHAnsi" w:hAnsiTheme="minorHAnsi"/>
          <w:sz w:val="20"/>
          <w:szCs w:val="20"/>
          <w:lang w:val="en-US"/>
        </w:rPr>
        <w:t xml:space="preserve"> </w:t>
      </w:r>
      <w:r w:rsidRPr="007D47AD">
        <w:rPr>
          <w:rFonts w:asciiTheme="minorHAnsi" w:hAnsiTheme="minorHAnsi"/>
          <w:sz w:val="20"/>
          <w:szCs w:val="20"/>
          <w:lang w:val="en-US"/>
        </w:rPr>
        <w:t>In addition, the Commission recognizes the instruction of the Ministry of Foreign Affairs of Mexico to its consulates for them to proceed to make the adaptations required so that all persons, without any distinction based on sex, can contract marriage.</w:t>
      </w:r>
      <w:r w:rsidR="00891C76" w:rsidRPr="007D47AD">
        <w:rPr>
          <w:rFonts w:asciiTheme="minorHAnsi" w:hAnsiTheme="minorHAnsi"/>
          <w:sz w:val="20"/>
          <w:szCs w:val="20"/>
          <w:vertAlign w:val="superscript"/>
          <w:lang w:val="en-US"/>
        </w:rPr>
        <w:footnoteReference w:id="209"/>
      </w:r>
      <w:r w:rsidR="00891C76" w:rsidRPr="007D47AD">
        <w:rPr>
          <w:rFonts w:asciiTheme="minorHAnsi" w:hAnsiTheme="minorHAnsi"/>
          <w:sz w:val="20"/>
          <w:szCs w:val="20"/>
          <w:lang w:val="en-US"/>
        </w:rPr>
        <w:t xml:space="preserve"> </w:t>
      </w:r>
    </w:p>
    <w:p w:rsidR="00CA33E2" w:rsidRPr="007D47AD" w:rsidRDefault="00CA33E2" w:rsidP="00CA33E2">
      <w:pPr>
        <w:shd w:val="clear" w:color="auto" w:fill="FFFFFF"/>
        <w:spacing w:after="0" w:line="240" w:lineRule="auto"/>
        <w:ind w:left="720"/>
        <w:jc w:val="both"/>
        <w:rPr>
          <w:rFonts w:asciiTheme="minorHAnsi" w:hAnsiTheme="minorHAnsi"/>
          <w:sz w:val="20"/>
          <w:szCs w:val="20"/>
          <w:lang w:val="en-US"/>
        </w:rPr>
      </w:pPr>
    </w:p>
    <w:p w:rsidR="00CA33E2" w:rsidRPr="007D47AD" w:rsidRDefault="00E17D94" w:rsidP="00CA33E2">
      <w:pPr>
        <w:numPr>
          <w:ilvl w:val="0"/>
          <w:numId w:val="6"/>
        </w:numPr>
        <w:shd w:val="clear" w:color="auto" w:fill="FFFFFF"/>
        <w:spacing w:after="0" w:line="240" w:lineRule="auto"/>
        <w:ind w:left="0" w:firstLine="720"/>
        <w:jc w:val="both"/>
        <w:rPr>
          <w:rFonts w:asciiTheme="minorHAnsi" w:hAnsiTheme="minorHAnsi"/>
          <w:sz w:val="20"/>
          <w:szCs w:val="20"/>
          <w:lang w:val="en-US"/>
        </w:rPr>
      </w:pPr>
      <w:r w:rsidRPr="007D47AD">
        <w:rPr>
          <w:rFonts w:asciiTheme="minorHAnsi" w:hAnsiTheme="minorHAnsi"/>
          <w:sz w:val="20"/>
          <w:szCs w:val="20"/>
          <w:lang w:val="en-US"/>
        </w:rPr>
        <w:t xml:space="preserve">The IACHR takes note that marriage to any person independent of that person’s sex has not been approved </w:t>
      </w:r>
      <w:r w:rsidR="004A4F79" w:rsidRPr="007D47AD">
        <w:rPr>
          <w:rFonts w:asciiTheme="minorHAnsi" w:hAnsiTheme="minorHAnsi"/>
          <w:sz w:val="20"/>
          <w:szCs w:val="20"/>
          <w:lang w:val="en-US"/>
        </w:rPr>
        <w:t xml:space="preserve">in </w:t>
      </w:r>
      <w:r w:rsidR="00891C76" w:rsidRPr="007D47AD">
        <w:rPr>
          <w:rFonts w:asciiTheme="minorHAnsi" w:hAnsiTheme="minorHAnsi"/>
          <w:sz w:val="20"/>
          <w:szCs w:val="20"/>
          <w:lang w:val="en-US"/>
        </w:rPr>
        <w:t xml:space="preserve">Durango, Guanajuato, </w:t>
      </w:r>
      <w:r w:rsidR="00936A24" w:rsidRPr="007D47AD">
        <w:rPr>
          <w:rFonts w:asciiTheme="minorHAnsi" w:hAnsiTheme="minorHAnsi"/>
          <w:sz w:val="20"/>
          <w:szCs w:val="20"/>
          <w:lang w:val="en-US"/>
        </w:rPr>
        <w:t xml:space="preserve">the </w:t>
      </w:r>
      <w:r w:rsidR="004A4F79" w:rsidRPr="007D47AD">
        <w:rPr>
          <w:rFonts w:asciiTheme="minorHAnsi" w:hAnsiTheme="minorHAnsi"/>
          <w:sz w:val="20"/>
          <w:szCs w:val="20"/>
          <w:lang w:val="en-US"/>
        </w:rPr>
        <w:t xml:space="preserve">state of </w:t>
      </w:r>
      <w:r w:rsidR="00891C76" w:rsidRPr="007D47AD">
        <w:rPr>
          <w:rFonts w:asciiTheme="minorHAnsi" w:hAnsiTheme="minorHAnsi"/>
          <w:sz w:val="20"/>
          <w:szCs w:val="20"/>
          <w:lang w:val="en-US"/>
        </w:rPr>
        <w:t>México, Sinaloa</w:t>
      </w:r>
      <w:r w:rsidR="00891C76" w:rsidRPr="007D47AD">
        <w:rPr>
          <w:rFonts w:asciiTheme="minorHAnsi" w:hAnsiTheme="minorHAnsi"/>
          <w:sz w:val="20"/>
          <w:szCs w:val="20"/>
          <w:vertAlign w:val="superscript"/>
          <w:lang w:val="en-US"/>
        </w:rPr>
        <w:footnoteReference w:id="210"/>
      </w:r>
      <w:r w:rsidR="00891C76" w:rsidRPr="007D47AD">
        <w:rPr>
          <w:rFonts w:asciiTheme="minorHAnsi" w:hAnsiTheme="minorHAnsi"/>
          <w:sz w:val="20"/>
          <w:szCs w:val="20"/>
          <w:lang w:val="en-US"/>
        </w:rPr>
        <w:t>, Sonora, Tabasco, Tlaxcala, Veracruz, Yucatán</w:t>
      </w:r>
      <w:r w:rsidR="00891C76" w:rsidRPr="007D47AD">
        <w:rPr>
          <w:rFonts w:asciiTheme="minorHAnsi" w:hAnsiTheme="minorHAnsi"/>
          <w:sz w:val="20"/>
          <w:szCs w:val="20"/>
          <w:vertAlign w:val="superscript"/>
          <w:lang w:val="en-US"/>
        </w:rPr>
        <w:footnoteReference w:id="211"/>
      </w:r>
      <w:r w:rsidR="00891C76" w:rsidRPr="007D47AD">
        <w:rPr>
          <w:rFonts w:asciiTheme="minorHAnsi" w:hAnsiTheme="minorHAnsi"/>
          <w:sz w:val="20"/>
          <w:szCs w:val="20"/>
          <w:lang w:val="en-US"/>
        </w:rPr>
        <w:t>, Zacatecas</w:t>
      </w:r>
      <w:r w:rsidR="004A4F79" w:rsidRPr="007D47AD">
        <w:rPr>
          <w:rFonts w:asciiTheme="minorHAnsi" w:hAnsiTheme="minorHAnsi"/>
          <w:sz w:val="20"/>
          <w:szCs w:val="20"/>
          <w:lang w:val="en-US"/>
        </w:rPr>
        <w:t>,</w:t>
      </w:r>
      <w:r w:rsidR="00891C76" w:rsidRPr="007D47AD">
        <w:rPr>
          <w:rFonts w:asciiTheme="minorHAnsi" w:hAnsiTheme="minorHAnsi"/>
          <w:sz w:val="20"/>
          <w:szCs w:val="20"/>
          <w:lang w:val="en-US"/>
        </w:rPr>
        <w:t xml:space="preserve"> </w:t>
      </w:r>
      <w:r w:rsidR="004A4F79" w:rsidRPr="007D47AD">
        <w:rPr>
          <w:rFonts w:asciiTheme="minorHAnsi" w:hAnsiTheme="minorHAnsi"/>
          <w:sz w:val="20"/>
          <w:szCs w:val="20"/>
          <w:lang w:val="en-US"/>
        </w:rPr>
        <w:t xml:space="preserve">or </w:t>
      </w:r>
      <w:r w:rsidR="00891C76" w:rsidRPr="007D47AD">
        <w:rPr>
          <w:rFonts w:asciiTheme="minorHAnsi" w:hAnsiTheme="minorHAnsi"/>
          <w:sz w:val="20"/>
          <w:szCs w:val="20"/>
          <w:lang w:val="en-US"/>
        </w:rPr>
        <w:t>Tamaulipas</w:t>
      </w:r>
      <w:r w:rsidR="00CA33E2" w:rsidRPr="007D47AD">
        <w:rPr>
          <w:rFonts w:asciiTheme="minorHAnsi" w:hAnsiTheme="minorHAnsi"/>
          <w:sz w:val="20"/>
          <w:szCs w:val="20"/>
          <w:lang w:val="en-US"/>
        </w:rPr>
        <w:t>.</w:t>
      </w:r>
    </w:p>
    <w:p w:rsidR="00CA33E2" w:rsidRPr="007D47AD" w:rsidRDefault="00CA33E2" w:rsidP="00CA33E2">
      <w:pPr>
        <w:shd w:val="clear" w:color="auto" w:fill="FFFFFF"/>
        <w:spacing w:after="0" w:line="240" w:lineRule="auto"/>
        <w:jc w:val="both"/>
        <w:rPr>
          <w:rFonts w:asciiTheme="minorHAnsi" w:hAnsiTheme="minorHAnsi"/>
          <w:sz w:val="20"/>
          <w:szCs w:val="20"/>
          <w:lang w:val="en-US"/>
        </w:rPr>
      </w:pPr>
    </w:p>
    <w:p w:rsidR="00CA33E2" w:rsidRPr="007D47AD" w:rsidRDefault="004A4F79" w:rsidP="00CA33E2">
      <w:pPr>
        <w:numPr>
          <w:ilvl w:val="0"/>
          <w:numId w:val="6"/>
        </w:numPr>
        <w:shd w:val="clear" w:color="auto" w:fill="FFFFFF"/>
        <w:spacing w:after="0" w:line="240" w:lineRule="auto"/>
        <w:ind w:left="0" w:firstLine="720"/>
        <w:jc w:val="both"/>
        <w:rPr>
          <w:rFonts w:asciiTheme="minorHAnsi" w:hAnsiTheme="minorHAnsi"/>
          <w:sz w:val="20"/>
          <w:szCs w:val="20"/>
          <w:lang w:val="en-US"/>
        </w:rPr>
      </w:pPr>
      <w:r w:rsidRPr="007D47AD">
        <w:rPr>
          <w:rFonts w:asciiTheme="minorHAnsi" w:hAnsiTheme="minorHAnsi"/>
          <w:sz w:val="20"/>
          <w:szCs w:val="20"/>
          <w:lang w:val="en-US"/>
        </w:rPr>
        <w:t>The Commission notes in a positive</w:t>
      </w:r>
      <w:r w:rsidR="00936A24" w:rsidRPr="007D47AD">
        <w:rPr>
          <w:rFonts w:asciiTheme="minorHAnsi" w:hAnsiTheme="minorHAnsi"/>
          <w:sz w:val="20"/>
          <w:szCs w:val="20"/>
          <w:lang w:val="en-US"/>
        </w:rPr>
        <w:t xml:space="preserve"> </w:t>
      </w:r>
      <w:r w:rsidRPr="007D47AD">
        <w:rPr>
          <w:rFonts w:asciiTheme="minorHAnsi" w:hAnsiTheme="minorHAnsi"/>
          <w:sz w:val="20"/>
          <w:szCs w:val="20"/>
          <w:lang w:val="en-US"/>
        </w:rPr>
        <w:t xml:space="preserve">light the reforms </w:t>
      </w:r>
      <w:r w:rsidR="00936A24" w:rsidRPr="007D47AD">
        <w:rPr>
          <w:rFonts w:asciiTheme="minorHAnsi" w:hAnsiTheme="minorHAnsi"/>
          <w:sz w:val="20"/>
          <w:szCs w:val="20"/>
          <w:lang w:val="en-US"/>
        </w:rPr>
        <w:t xml:space="preserve">of </w:t>
      </w:r>
      <w:r w:rsidRPr="007D47AD">
        <w:rPr>
          <w:rFonts w:asciiTheme="minorHAnsi" w:hAnsiTheme="minorHAnsi"/>
          <w:sz w:val="20"/>
          <w:szCs w:val="20"/>
          <w:lang w:val="en-US"/>
        </w:rPr>
        <w:t>the Constitution of Mexico that made sex education and reproductive education compulsory</w:t>
      </w:r>
      <w:r w:rsidR="00891C76" w:rsidRPr="007D47AD">
        <w:rPr>
          <w:rFonts w:asciiTheme="minorHAnsi" w:hAnsiTheme="minorHAnsi"/>
          <w:sz w:val="20"/>
          <w:szCs w:val="20"/>
          <w:lang w:val="en-US"/>
        </w:rPr>
        <w:t xml:space="preserve">, </w:t>
      </w:r>
      <w:r w:rsidRPr="007D47AD">
        <w:rPr>
          <w:rFonts w:asciiTheme="minorHAnsi" w:hAnsiTheme="minorHAnsi"/>
          <w:sz w:val="20"/>
          <w:szCs w:val="20"/>
          <w:lang w:val="en-US"/>
        </w:rPr>
        <w:t>with a gender perspective based on respect for the human rights to equality and non-discrimination.</w:t>
      </w:r>
      <w:r w:rsidR="00891C76" w:rsidRPr="007D47AD">
        <w:rPr>
          <w:rFonts w:asciiTheme="minorHAnsi" w:hAnsiTheme="minorHAnsi"/>
          <w:sz w:val="20"/>
          <w:szCs w:val="20"/>
          <w:vertAlign w:val="superscript"/>
          <w:lang w:val="en-US"/>
        </w:rPr>
        <w:footnoteReference w:id="212"/>
      </w:r>
      <w:r w:rsidRPr="007D47AD">
        <w:rPr>
          <w:rFonts w:asciiTheme="minorHAnsi" w:hAnsiTheme="minorHAnsi"/>
          <w:sz w:val="20"/>
          <w:szCs w:val="20"/>
          <w:lang w:val="en-US"/>
        </w:rPr>
        <w:t xml:space="preserve"> In that sense the IACHR </w:t>
      </w:r>
      <w:r w:rsidR="00891C76" w:rsidRPr="007D47AD">
        <w:rPr>
          <w:rFonts w:asciiTheme="minorHAnsi" w:hAnsiTheme="minorHAnsi"/>
          <w:sz w:val="20"/>
          <w:szCs w:val="20"/>
          <w:lang w:val="en-US"/>
        </w:rPr>
        <w:t>reitera</w:t>
      </w:r>
      <w:r w:rsidRPr="007D47AD">
        <w:rPr>
          <w:rFonts w:asciiTheme="minorHAnsi" w:hAnsiTheme="minorHAnsi"/>
          <w:sz w:val="20"/>
          <w:szCs w:val="20"/>
          <w:lang w:val="en-US"/>
        </w:rPr>
        <w:t xml:space="preserve">tes that education in human rights plays a key role when it comes to addressing and </w:t>
      </w:r>
      <w:r w:rsidR="00891C76" w:rsidRPr="007D47AD">
        <w:rPr>
          <w:rFonts w:asciiTheme="minorHAnsi" w:hAnsiTheme="minorHAnsi"/>
          <w:sz w:val="20"/>
          <w:szCs w:val="20"/>
          <w:lang w:val="en-US"/>
        </w:rPr>
        <w:t>elimina</w:t>
      </w:r>
      <w:r w:rsidRPr="007D47AD">
        <w:rPr>
          <w:rFonts w:asciiTheme="minorHAnsi" w:hAnsiTheme="minorHAnsi"/>
          <w:sz w:val="20"/>
          <w:szCs w:val="20"/>
          <w:lang w:val="en-US"/>
        </w:rPr>
        <w:t>ting structural prejudices, historical forms of discrimination,</w:t>
      </w:r>
      <w:r w:rsidR="00891C76" w:rsidRPr="007D47AD">
        <w:rPr>
          <w:rFonts w:asciiTheme="minorHAnsi" w:hAnsiTheme="minorHAnsi"/>
          <w:sz w:val="20"/>
          <w:szCs w:val="20"/>
          <w:lang w:val="en-US"/>
        </w:rPr>
        <w:t xml:space="preserve"> stereot</w:t>
      </w:r>
      <w:r w:rsidRPr="007D47AD">
        <w:rPr>
          <w:rFonts w:asciiTheme="minorHAnsi" w:hAnsiTheme="minorHAnsi"/>
          <w:sz w:val="20"/>
          <w:szCs w:val="20"/>
          <w:lang w:val="en-US"/>
        </w:rPr>
        <w:t>y</w:t>
      </w:r>
      <w:r w:rsidR="00891C76" w:rsidRPr="007D47AD">
        <w:rPr>
          <w:rFonts w:asciiTheme="minorHAnsi" w:hAnsiTheme="minorHAnsi"/>
          <w:sz w:val="20"/>
          <w:szCs w:val="20"/>
          <w:lang w:val="en-US"/>
        </w:rPr>
        <w:t>p</w:t>
      </w:r>
      <w:r w:rsidRPr="007D47AD">
        <w:rPr>
          <w:rFonts w:asciiTheme="minorHAnsi" w:hAnsiTheme="minorHAnsi"/>
          <w:sz w:val="20"/>
          <w:szCs w:val="20"/>
          <w:lang w:val="en-US"/>
        </w:rPr>
        <w:t>e</w:t>
      </w:r>
      <w:r w:rsidR="00891C76" w:rsidRPr="007D47AD">
        <w:rPr>
          <w:rFonts w:asciiTheme="minorHAnsi" w:hAnsiTheme="minorHAnsi"/>
          <w:sz w:val="20"/>
          <w:szCs w:val="20"/>
          <w:lang w:val="en-US"/>
        </w:rPr>
        <w:t>s</w:t>
      </w:r>
      <w:r w:rsidRPr="007D47AD">
        <w:rPr>
          <w:rFonts w:asciiTheme="minorHAnsi" w:hAnsiTheme="minorHAnsi"/>
          <w:sz w:val="20"/>
          <w:szCs w:val="20"/>
          <w:lang w:val="en-US"/>
        </w:rPr>
        <w:t xml:space="preserve">, and </w:t>
      </w:r>
      <w:r w:rsidR="00891C76" w:rsidRPr="007D47AD">
        <w:rPr>
          <w:rFonts w:asciiTheme="minorHAnsi" w:hAnsiTheme="minorHAnsi"/>
          <w:sz w:val="20"/>
          <w:szCs w:val="20"/>
          <w:lang w:val="en-US"/>
        </w:rPr>
        <w:t>fals</w:t>
      </w:r>
      <w:r w:rsidRPr="007D47AD">
        <w:rPr>
          <w:rFonts w:asciiTheme="minorHAnsi" w:hAnsiTheme="minorHAnsi"/>
          <w:sz w:val="20"/>
          <w:szCs w:val="20"/>
          <w:lang w:val="en-US"/>
        </w:rPr>
        <w:t>e concepts concerning persons with diverse sexual orientations or gender identities.</w:t>
      </w:r>
      <w:r w:rsidR="00891C76" w:rsidRPr="007D47AD">
        <w:rPr>
          <w:rFonts w:asciiTheme="minorHAnsi" w:hAnsiTheme="minorHAnsi"/>
          <w:sz w:val="20"/>
          <w:szCs w:val="20"/>
          <w:vertAlign w:val="superscript"/>
          <w:lang w:val="en-US"/>
        </w:rPr>
        <w:footnoteReference w:id="213"/>
      </w:r>
      <w:r w:rsidR="00891C76" w:rsidRPr="007D47AD">
        <w:rPr>
          <w:rFonts w:asciiTheme="minorHAnsi" w:hAnsiTheme="minorHAnsi"/>
          <w:sz w:val="20"/>
          <w:szCs w:val="20"/>
          <w:lang w:val="en-US"/>
        </w:rPr>
        <w:t xml:space="preserve"> </w:t>
      </w:r>
    </w:p>
    <w:p w:rsidR="00CA33E2" w:rsidRPr="007D47AD" w:rsidRDefault="00CA33E2" w:rsidP="00213860">
      <w:pPr>
        <w:shd w:val="clear" w:color="auto" w:fill="FFFFFF"/>
        <w:spacing w:after="0" w:line="240" w:lineRule="auto"/>
        <w:jc w:val="both"/>
        <w:rPr>
          <w:rFonts w:asciiTheme="minorHAnsi" w:hAnsiTheme="minorHAnsi"/>
          <w:sz w:val="20"/>
          <w:szCs w:val="20"/>
          <w:lang w:val="en-US"/>
        </w:rPr>
      </w:pPr>
    </w:p>
    <w:p w:rsidR="00891C76" w:rsidRPr="007D47AD" w:rsidRDefault="00252376" w:rsidP="00CA33E2">
      <w:pPr>
        <w:numPr>
          <w:ilvl w:val="0"/>
          <w:numId w:val="6"/>
        </w:numPr>
        <w:shd w:val="clear" w:color="auto" w:fill="FFFFFF"/>
        <w:spacing w:after="0" w:line="240" w:lineRule="auto"/>
        <w:ind w:left="0" w:firstLine="720"/>
        <w:jc w:val="both"/>
        <w:rPr>
          <w:rFonts w:asciiTheme="minorHAnsi" w:hAnsiTheme="minorHAnsi"/>
          <w:sz w:val="20"/>
          <w:szCs w:val="20"/>
          <w:lang w:val="en-US"/>
        </w:rPr>
      </w:pPr>
      <w:r w:rsidRPr="007D47AD">
        <w:rPr>
          <w:rFonts w:asciiTheme="minorHAnsi" w:hAnsiTheme="minorHAnsi"/>
          <w:sz w:val="20"/>
          <w:szCs w:val="20"/>
          <w:lang w:val="en-US"/>
        </w:rPr>
        <w:t xml:space="preserve">Regarding the right to health of persons with diverse gender identities and expressions, the IACHR received with satisfaction the information on the startup of activities, in </w:t>
      </w:r>
      <w:r w:rsidR="00891C76" w:rsidRPr="007D47AD">
        <w:rPr>
          <w:rFonts w:asciiTheme="minorHAnsi" w:hAnsiTheme="minorHAnsi"/>
          <w:sz w:val="20"/>
          <w:szCs w:val="20"/>
          <w:lang w:val="en-US"/>
        </w:rPr>
        <w:t xml:space="preserve">Jalisco, </w:t>
      </w:r>
      <w:r w:rsidRPr="007D47AD">
        <w:rPr>
          <w:rFonts w:asciiTheme="minorHAnsi" w:hAnsiTheme="minorHAnsi"/>
          <w:sz w:val="20"/>
          <w:szCs w:val="20"/>
          <w:lang w:val="en-US"/>
        </w:rPr>
        <w:t>of the first health care unit devoted to trans persons in Mexico.</w:t>
      </w:r>
      <w:r w:rsidR="00891C76" w:rsidRPr="007D47AD">
        <w:rPr>
          <w:rFonts w:asciiTheme="minorHAnsi" w:hAnsiTheme="minorHAnsi"/>
          <w:sz w:val="20"/>
          <w:szCs w:val="20"/>
          <w:vertAlign w:val="superscript"/>
          <w:lang w:val="en-US"/>
        </w:rPr>
        <w:footnoteReference w:id="214"/>
      </w:r>
      <w:r w:rsidR="00891C76" w:rsidRPr="007D47AD">
        <w:rPr>
          <w:rFonts w:asciiTheme="minorHAnsi" w:hAnsiTheme="minorHAnsi"/>
          <w:sz w:val="20"/>
          <w:szCs w:val="20"/>
          <w:lang w:val="en-US"/>
        </w:rPr>
        <w:t xml:space="preserve"> </w:t>
      </w:r>
      <w:r w:rsidRPr="007D47AD">
        <w:rPr>
          <w:rFonts w:asciiTheme="minorHAnsi" w:hAnsiTheme="minorHAnsi"/>
          <w:sz w:val="20"/>
          <w:szCs w:val="20"/>
          <w:lang w:val="en-US"/>
        </w:rPr>
        <w:t xml:space="preserve">Among the services provided by the new unit are specialized care in areas such as </w:t>
      </w:r>
      <w:r w:rsidR="00891C76" w:rsidRPr="007D47AD">
        <w:rPr>
          <w:rFonts w:asciiTheme="minorHAnsi" w:hAnsiTheme="minorHAnsi"/>
          <w:sz w:val="20"/>
          <w:szCs w:val="20"/>
          <w:lang w:val="en-US"/>
        </w:rPr>
        <w:t>sexolog</w:t>
      </w:r>
      <w:r w:rsidRPr="007D47AD">
        <w:rPr>
          <w:rFonts w:asciiTheme="minorHAnsi" w:hAnsiTheme="minorHAnsi"/>
          <w:sz w:val="20"/>
          <w:szCs w:val="20"/>
          <w:lang w:val="en-US"/>
        </w:rPr>
        <w:t>y</w:t>
      </w:r>
      <w:r w:rsidR="00891C76" w:rsidRPr="007D47AD">
        <w:rPr>
          <w:rFonts w:asciiTheme="minorHAnsi" w:hAnsiTheme="minorHAnsi"/>
          <w:sz w:val="20"/>
          <w:szCs w:val="20"/>
          <w:lang w:val="en-US"/>
        </w:rPr>
        <w:t>, endocrinolog</w:t>
      </w:r>
      <w:r w:rsidRPr="007D47AD">
        <w:rPr>
          <w:rFonts w:asciiTheme="minorHAnsi" w:hAnsiTheme="minorHAnsi"/>
          <w:sz w:val="20"/>
          <w:szCs w:val="20"/>
          <w:lang w:val="en-US"/>
        </w:rPr>
        <w:t>y</w:t>
      </w:r>
      <w:r w:rsidR="00891C76" w:rsidRPr="007D47AD">
        <w:rPr>
          <w:rFonts w:asciiTheme="minorHAnsi" w:hAnsiTheme="minorHAnsi"/>
          <w:sz w:val="20"/>
          <w:szCs w:val="20"/>
          <w:lang w:val="en-US"/>
        </w:rPr>
        <w:t>, urolog</w:t>
      </w:r>
      <w:r w:rsidRPr="007D47AD">
        <w:rPr>
          <w:rFonts w:asciiTheme="minorHAnsi" w:hAnsiTheme="minorHAnsi"/>
          <w:sz w:val="20"/>
          <w:szCs w:val="20"/>
          <w:lang w:val="en-US"/>
        </w:rPr>
        <w:t>y</w:t>
      </w:r>
      <w:r w:rsidR="00891C76" w:rsidRPr="007D47AD">
        <w:rPr>
          <w:rFonts w:asciiTheme="minorHAnsi" w:hAnsiTheme="minorHAnsi"/>
          <w:sz w:val="20"/>
          <w:szCs w:val="20"/>
          <w:lang w:val="en-US"/>
        </w:rPr>
        <w:t>, g</w:t>
      </w:r>
      <w:r w:rsidRPr="007D47AD">
        <w:rPr>
          <w:rFonts w:asciiTheme="minorHAnsi" w:hAnsiTheme="minorHAnsi"/>
          <w:sz w:val="20"/>
          <w:szCs w:val="20"/>
          <w:lang w:val="en-US"/>
        </w:rPr>
        <w:t>y</w:t>
      </w:r>
      <w:r w:rsidR="00891C76" w:rsidRPr="007D47AD">
        <w:rPr>
          <w:rFonts w:asciiTheme="minorHAnsi" w:hAnsiTheme="minorHAnsi"/>
          <w:sz w:val="20"/>
          <w:szCs w:val="20"/>
          <w:lang w:val="en-US"/>
        </w:rPr>
        <w:t>necolog</w:t>
      </w:r>
      <w:r w:rsidRPr="007D47AD">
        <w:rPr>
          <w:rFonts w:asciiTheme="minorHAnsi" w:hAnsiTheme="minorHAnsi"/>
          <w:sz w:val="20"/>
          <w:szCs w:val="20"/>
          <w:lang w:val="en-US"/>
        </w:rPr>
        <w:t>y,</w:t>
      </w:r>
      <w:r w:rsidR="00891C76" w:rsidRPr="007D47AD">
        <w:rPr>
          <w:rFonts w:asciiTheme="minorHAnsi" w:hAnsiTheme="minorHAnsi"/>
          <w:sz w:val="20"/>
          <w:szCs w:val="20"/>
          <w:lang w:val="en-US"/>
        </w:rPr>
        <w:t xml:space="preserve"> </w:t>
      </w:r>
      <w:r w:rsidRPr="007D47AD">
        <w:rPr>
          <w:rFonts w:asciiTheme="minorHAnsi" w:hAnsiTheme="minorHAnsi"/>
          <w:sz w:val="20"/>
          <w:szCs w:val="20"/>
          <w:lang w:val="en-US"/>
        </w:rPr>
        <w:t xml:space="preserve">and </w:t>
      </w:r>
      <w:r w:rsidR="00891C76" w:rsidRPr="007D47AD">
        <w:rPr>
          <w:rFonts w:asciiTheme="minorHAnsi" w:hAnsiTheme="minorHAnsi"/>
          <w:sz w:val="20"/>
          <w:szCs w:val="20"/>
          <w:lang w:val="en-US"/>
        </w:rPr>
        <w:t>laborat</w:t>
      </w:r>
      <w:r w:rsidRPr="007D47AD">
        <w:rPr>
          <w:rFonts w:asciiTheme="minorHAnsi" w:hAnsiTheme="minorHAnsi"/>
          <w:sz w:val="20"/>
          <w:szCs w:val="20"/>
          <w:lang w:val="en-US"/>
        </w:rPr>
        <w:t>ory</w:t>
      </w:r>
      <w:r w:rsidR="00891C76" w:rsidRPr="007D47AD">
        <w:rPr>
          <w:rFonts w:asciiTheme="minorHAnsi" w:hAnsiTheme="minorHAnsi"/>
          <w:sz w:val="20"/>
          <w:szCs w:val="20"/>
          <w:lang w:val="en-US"/>
        </w:rPr>
        <w:t>, as</w:t>
      </w:r>
      <w:r w:rsidRPr="007D47AD">
        <w:rPr>
          <w:rFonts w:asciiTheme="minorHAnsi" w:hAnsiTheme="minorHAnsi"/>
          <w:sz w:val="20"/>
          <w:szCs w:val="20"/>
          <w:lang w:val="en-US"/>
        </w:rPr>
        <w:t xml:space="preserve"> well as training of health care professionals to se</w:t>
      </w:r>
      <w:r w:rsidR="00936A24" w:rsidRPr="007D47AD">
        <w:rPr>
          <w:rFonts w:asciiTheme="minorHAnsi" w:hAnsiTheme="minorHAnsi"/>
          <w:sz w:val="20"/>
          <w:szCs w:val="20"/>
          <w:lang w:val="en-US"/>
        </w:rPr>
        <w:t>r</w:t>
      </w:r>
      <w:r w:rsidRPr="007D47AD">
        <w:rPr>
          <w:rFonts w:asciiTheme="minorHAnsi" w:hAnsiTheme="minorHAnsi"/>
          <w:sz w:val="20"/>
          <w:szCs w:val="20"/>
          <w:lang w:val="en-US"/>
        </w:rPr>
        <w:t>ve trans persons.</w:t>
      </w:r>
      <w:r w:rsidR="00891C76" w:rsidRPr="007D47AD">
        <w:rPr>
          <w:rFonts w:asciiTheme="minorHAnsi" w:hAnsiTheme="minorHAnsi"/>
          <w:sz w:val="20"/>
          <w:szCs w:val="20"/>
          <w:vertAlign w:val="superscript"/>
          <w:lang w:val="en-US"/>
        </w:rPr>
        <w:footnoteReference w:id="215"/>
      </w:r>
      <w:r w:rsidR="00891C76" w:rsidRPr="007D47AD">
        <w:rPr>
          <w:rFonts w:asciiTheme="minorHAnsi" w:hAnsiTheme="minorHAnsi"/>
          <w:sz w:val="20"/>
          <w:szCs w:val="20"/>
          <w:lang w:val="en-US"/>
        </w:rPr>
        <w:t xml:space="preserve">   </w:t>
      </w:r>
    </w:p>
    <w:p w:rsidR="00CA33E2" w:rsidRPr="007D47AD" w:rsidRDefault="00CA33E2" w:rsidP="00CA33E2">
      <w:pPr>
        <w:shd w:val="clear" w:color="auto" w:fill="FFFFFF"/>
        <w:spacing w:after="0" w:line="240" w:lineRule="auto"/>
        <w:ind w:left="720"/>
        <w:jc w:val="both"/>
        <w:rPr>
          <w:rFonts w:asciiTheme="minorHAnsi" w:hAnsiTheme="minorHAnsi"/>
          <w:sz w:val="20"/>
          <w:szCs w:val="20"/>
          <w:lang w:val="en-US"/>
        </w:rPr>
      </w:pPr>
    </w:p>
    <w:p w:rsidR="00096FA7" w:rsidRPr="007D47AD" w:rsidRDefault="00252376" w:rsidP="00CA33E2">
      <w:pPr>
        <w:numPr>
          <w:ilvl w:val="0"/>
          <w:numId w:val="6"/>
        </w:numPr>
        <w:shd w:val="clear" w:color="auto" w:fill="FFFFFF"/>
        <w:spacing w:after="0" w:line="240" w:lineRule="auto"/>
        <w:ind w:left="0" w:firstLine="720"/>
        <w:jc w:val="both"/>
        <w:rPr>
          <w:rFonts w:asciiTheme="minorHAnsi" w:hAnsiTheme="minorHAnsi"/>
          <w:sz w:val="20"/>
          <w:szCs w:val="20"/>
          <w:lang w:val="en-US"/>
        </w:rPr>
      </w:pPr>
      <w:r w:rsidRPr="007D47AD">
        <w:rPr>
          <w:rFonts w:asciiTheme="minorHAnsi" w:hAnsiTheme="minorHAnsi"/>
          <w:sz w:val="20"/>
          <w:szCs w:val="20"/>
          <w:lang w:val="en-US"/>
        </w:rPr>
        <w:t>Despite the gains</w:t>
      </w:r>
      <w:r w:rsidR="00936A24" w:rsidRPr="007D47AD">
        <w:rPr>
          <w:rFonts w:asciiTheme="minorHAnsi" w:hAnsiTheme="minorHAnsi"/>
          <w:sz w:val="20"/>
          <w:szCs w:val="20"/>
          <w:lang w:val="en-US"/>
        </w:rPr>
        <w:t>,</w:t>
      </w:r>
      <w:r w:rsidRPr="007D47AD">
        <w:rPr>
          <w:rFonts w:asciiTheme="minorHAnsi" w:hAnsiTheme="minorHAnsi"/>
          <w:sz w:val="20"/>
          <w:szCs w:val="20"/>
          <w:lang w:val="en-US"/>
        </w:rPr>
        <w:t xml:space="preserve"> the Commission took note with concern of the adoption of health laws in </w:t>
      </w:r>
      <w:r w:rsidR="00891C76" w:rsidRPr="007D47AD">
        <w:rPr>
          <w:rFonts w:asciiTheme="minorHAnsi" w:hAnsiTheme="minorHAnsi"/>
          <w:sz w:val="20"/>
          <w:szCs w:val="20"/>
          <w:lang w:val="en-US"/>
        </w:rPr>
        <w:t>Morelos</w:t>
      </w:r>
      <w:r w:rsidR="00891C76" w:rsidRPr="007D47AD">
        <w:rPr>
          <w:rFonts w:asciiTheme="minorHAnsi" w:hAnsiTheme="minorHAnsi"/>
          <w:sz w:val="20"/>
          <w:szCs w:val="20"/>
          <w:vertAlign w:val="superscript"/>
          <w:lang w:val="en-US"/>
        </w:rPr>
        <w:footnoteReference w:id="216"/>
      </w:r>
      <w:r w:rsidR="00891C76" w:rsidRPr="007D47AD">
        <w:rPr>
          <w:rFonts w:asciiTheme="minorHAnsi" w:hAnsiTheme="minorHAnsi"/>
          <w:sz w:val="20"/>
          <w:szCs w:val="20"/>
          <w:lang w:val="en-US"/>
        </w:rPr>
        <w:t xml:space="preserve"> </w:t>
      </w:r>
      <w:r w:rsidRPr="007D47AD">
        <w:rPr>
          <w:rFonts w:asciiTheme="minorHAnsi" w:hAnsiTheme="minorHAnsi"/>
          <w:sz w:val="20"/>
          <w:szCs w:val="20"/>
          <w:lang w:val="en-US"/>
        </w:rPr>
        <w:t xml:space="preserve">and </w:t>
      </w:r>
      <w:r w:rsidR="00891C76" w:rsidRPr="007D47AD">
        <w:rPr>
          <w:rFonts w:asciiTheme="minorHAnsi" w:hAnsiTheme="minorHAnsi"/>
          <w:sz w:val="20"/>
          <w:szCs w:val="20"/>
          <w:lang w:val="en-US"/>
        </w:rPr>
        <w:t>Nuevo León</w:t>
      </w:r>
      <w:r w:rsidR="00891C76" w:rsidRPr="007D47AD">
        <w:rPr>
          <w:rFonts w:asciiTheme="minorHAnsi" w:hAnsiTheme="minorHAnsi"/>
          <w:sz w:val="20"/>
          <w:szCs w:val="20"/>
          <w:vertAlign w:val="superscript"/>
          <w:lang w:val="en-US"/>
        </w:rPr>
        <w:footnoteReference w:id="217"/>
      </w:r>
      <w:r w:rsidR="00891C76" w:rsidRPr="007D47AD">
        <w:rPr>
          <w:rFonts w:asciiTheme="minorHAnsi" w:hAnsiTheme="minorHAnsi"/>
          <w:sz w:val="20"/>
          <w:szCs w:val="20"/>
          <w:lang w:val="en-US"/>
        </w:rPr>
        <w:t xml:space="preserve"> </w:t>
      </w:r>
      <w:r w:rsidRPr="007D47AD">
        <w:rPr>
          <w:rFonts w:asciiTheme="minorHAnsi" w:hAnsiTheme="minorHAnsi"/>
          <w:sz w:val="20"/>
          <w:szCs w:val="20"/>
          <w:lang w:val="en-US"/>
        </w:rPr>
        <w:t xml:space="preserve">that allow service </w:t>
      </w:r>
      <w:r w:rsidR="007E181B" w:rsidRPr="007D47AD">
        <w:rPr>
          <w:rFonts w:asciiTheme="minorHAnsi" w:hAnsiTheme="minorHAnsi"/>
          <w:sz w:val="20"/>
          <w:szCs w:val="20"/>
          <w:lang w:val="en-US"/>
        </w:rPr>
        <w:t>providers</w:t>
      </w:r>
      <w:r w:rsidRPr="007D47AD">
        <w:rPr>
          <w:rFonts w:asciiTheme="minorHAnsi" w:hAnsiTheme="minorHAnsi"/>
          <w:sz w:val="20"/>
          <w:szCs w:val="20"/>
          <w:lang w:val="en-US"/>
        </w:rPr>
        <w:t xml:space="preserve"> in the health sector to </w:t>
      </w:r>
      <w:r w:rsidR="00936A24" w:rsidRPr="007D47AD">
        <w:rPr>
          <w:rFonts w:asciiTheme="minorHAnsi" w:hAnsiTheme="minorHAnsi"/>
          <w:sz w:val="20"/>
          <w:szCs w:val="20"/>
          <w:lang w:val="en-US"/>
        </w:rPr>
        <w:t xml:space="preserve">refuse to </w:t>
      </w:r>
      <w:r w:rsidRPr="007D47AD">
        <w:rPr>
          <w:rFonts w:asciiTheme="minorHAnsi" w:hAnsiTheme="minorHAnsi"/>
          <w:sz w:val="20"/>
          <w:szCs w:val="20"/>
          <w:lang w:val="en-US"/>
        </w:rPr>
        <w:t xml:space="preserve">provide medical care to </w:t>
      </w:r>
      <w:r w:rsidR="00891C76" w:rsidRPr="007D47AD">
        <w:rPr>
          <w:rFonts w:asciiTheme="minorHAnsi" w:hAnsiTheme="minorHAnsi"/>
          <w:sz w:val="20"/>
          <w:szCs w:val="20"/>
          <w:lang w:val="en-US"/>
        </w:rPr>
        <w:t>LGBTI</w:t>
      </w:r>
      <w:r w:rsidRPr="007D47AD">
        <w:rPr>
          <w:rFonts w:asciiTheme="minorHAnsi" w:hAnsiTheme="minorHAnsi"/>
          <w:sz w:val="20"/>
          <w:szCs w:val="20"/>
          <w:lang w:val="en-US"/>
        </w:rPr>
        <w:t xml:space="preserve"> persons</w:t>
      </w:r>
      <w:r w:rsidR="00891C76" w:rsidRPr="007D47AD">
        <w:rPr>
          <w:rFonts w:asciiTheme="minorHAnsi" w:hAnsiTheme="minorHAnsi"/>
          <w:sz w:val="20"/>
          <w:szCs w:val="20"/>
          <w:lang w:val="en-US"/>
        </w:rPr>
        <w:t xml:space="preserve">, </w:t>
      </w:r>
      <w:r w:rsidRPr="007D47AD">
        <w:rPr>
          <w:rFonts w:asciiTheme="minorHAnsi" w:hAnsiTheme="minorHAnsi"/>
          <w:sz w:val="20"/>
          <w:szCs w:val="20"/>
          <w:lang w:val="en-US"/>
        </w:rPr>
        <w:t>based on it not being in accord with their thought</w:t>
      </w:r>
      <w:r w:rsidR="00936A24" w:rsidRPr="007D47AD">
        <w:rPr>
          <w:rFonts w:asciiTheme="minorHAnsi" w:hAnsiTheme="minorHAnsi"/>
          <w:sz w:val="20"/>
          <w:szCs w:val="20"/>
          <w:lang w:val="en-US"/>
        </w:rPr>
        <w:t>s</w:t>
      </w:r>
      <w:r w:rsidRPr="007D47AD">
        <w:rPr>
          <w:rFonts w:asciiTheme="minorHAnsi" w:hAnsiTheme="minorHAnsi"/>
          <w:sz w:val="20"/>
          <w:szCs w:val="20"/>
          <w:lang w:val="en-US"/>
        </w:rPr>
        <w:t xml:space="preserve"> or belief</w:t>
      </w:r>
      <w:r w:rsidR="00936A24" w:rsidRPr="007D47AD">
        <w:rPr>
          <w:rFonts w:asciiTheme="minorHAnsi" w:hAnsiTheme="minorHAnsi"/>
          <w:sz w:val="20"/>
          <w:szCs w:val="20"/>
          <w:lang w:val="en-US"/>
        </w:rPr>
        <w:t>s</w:t>
      </w:r>
      <w:r w:rsidRPr="007D47AD">
        <w:rPr>
          <w:rFonts w:asciiTheme="minorHAnsi" w:hAnsiTheme="minorHAnsi"/>
          <w:sz w:val="20"/>
          <w:szCs w:val="20"/>
          <w:lang w:val="en-US"/>
        </w:rPr>
        <w:t xml:space="preserve">. As regards </w:t>
      </w:r>
      <w:r w:rsidR="00936A24" w:rsidRPr="007D47AD">
        <w:rPr>
          <w:rFonts w:asciiTheme="minorHAnsi" w:hAnsiTheme="minorHAnsi"/>
          <w:sz w:val="20"/>
          <w:szCs w:val="20"/>
          <w:lang w:val="en-US"/>
        </w:rPr>
        <w:t xml:space="preserve">conscientious </w:t>
      </w:r>
      <w:r w:rsidRPr="007D47AD">
        <w:rPr>
          <w:rFonts w:asciiTheme="minorHAnsi" w:hAnsiTheme="minorHAnsi"/>
          <w:sz w:val="20"/>
          <w:szCs w:val="20"/>
          <w:lang w:val="en-US"/>
        </w:rPr>
        <w:t>objection</w:t>
      </w:r>
      <w:r w:rsidR="00891C76" w:rsidRPr="007D47AD">
        <w:rPr>
          <w:rFonts w:asciiTheme="minorHAnsi" w:hAnsiTheme="minorHAnsi"/>
          <w:sz w:val="20"/>
          <w:szCs w:val="20"/>
          <w:lang w:val="en-US"/>
        </w:rPr>
        <w:t xml:space="preserve">, </w:t>
      </w:r>
      <w:r w:rsidRPr="007D47AD">
        <w:rPr>
          <w:rFonts w:asciiTheme="minorHAnsi" w:hAnsiTheme="minorHAnsi"/>
          <w:sz w:val="20"/>
          <w:szCs w:val="20"/>
          <w:lang w:val="en-US"/>
        </w:rPr>
        <w:t xml:space="preserve">the IACHR recalls that all states have the obligation to undertake a detailed review of the laws, regulations, practices, and public policies whose drafting or </w:t>
      </w:r>
      <w:r w:rsidR="00891C76" w:rsidRPr="007D47AD">
        <w:rPr>
          <w:rFonts w:asciiTheme="minorHAnsi" w:hAnsiTheme="minorHAnsi"/>
          <w:sz w:val="20"/>
          <w:szCs w:val="20"/>
          <w:lang w:val="en-US"/>
        </w:rPr>
        <w:t>implementa</w:t>
      </w:r>
      <w:r w:rsidRPr="007D47AD">
        <w:rPr>
          <w:rFonts w:asciiTheme="minorHAnsi" w:hAnsiTheme="minorHAnsi"/>
          <w:sz w:val="20"/>
          <w:szCs w:val="20"/>
          <w:lang w:val="en-US"/>
        </w:rPr>
        <w:t xml:space="preserve">tion may have discriminatory repercussions on access for </w:t>
      </w:r>
      <w:r w:rsidR="00891C76" w:rsidRPr="007D47AD">
        <w:rPr>
          <w:rFonts w:asciiTheme="minorHAnsi" w:hAnsiTheme="minorHAnsi"/>
          <w:sz w:val="20"/>
          <w:szCs w:val="20"/>
          <w:lang w:val="en-US"/>
        </w:rPr>
        <w:t xml:space="preserve">LGBTI </w:t>
      </w:r>
      <w:r w:rsidRPr="007D47AD">
        <w:rPr>
          <w:rFonts w:asciiTheme="minorHAnsi" w:hAnsiTheme="minorHAnsi"/>
          <w:sz w:val="20"/>
          <w:szCs w:val="20"/>
          <w:lang w:val="en-US"/>
        </w:rPr>
        <w:t xml:space="preserve">persons to health services. </w:t>
      </w:r>
    </w:p>
    <w:p w:rsidR="00891C76" w:rsidRPr="007D47AD" w:rsidRDefault="00891C76" w:rsidP="00096FA7">
      <w:pPr>
        <w:shd w:val="clear" w:color="auto" w:fill="FFFFFF"/>
        <w:spacing w:after="0" w:line="240" w:lineRule="auto"/>
        <w:jc w:val="both"/>
        <w:rPr>
          <w:rFonts w:asciiTheme="minorHAnsi" w:hAnsiTheme="minorHAnsi"/>
          <w:sz w:val="20"/>
          <w:szCs w:val="20"/>
          <w:lang w:val="en-US"/>
        </w:rPr>
      </w:pPr>
      <w:r w:rsidRPr="007D47AD">
        <w:rPr>
          <w:rFonts w:asciiTheme="minorHAnsi" w:hAnsiTheme="minorHAnsi"/>
          <w:sz w:val="20"/>
          <w:szCs w:val="20"/>
          <w:lang w:val="en-US"/>
        </w:rPr>
        <w:t xml:space="preserve"> </w:t>
      </w:r>
    </w:p>
    <w:p w:rsidR="00891C76" w:rsidRPr="007D47AD" w:rsidRDefault="00E6354B" w:rsidP="00936A24">
      <w:pPr>
        <w:numPr>
          <w:ilvl w:val="0"/>
          <w:numId w:val="6"/>
        </w:numPr>
        <w:shd w:val="clear" w:color="auto" w:fill="FFFFFF"/>
        <w:spacing w:after="0" w:line="240" w:lineRule="auto"/>
        <w:ind w:left="0" w:firstLine="720"/>
        <w:jc w:val="both"/>
        <w:rPr>
          <w:rFonts w:asciiTheme="minorHAnsi" w:hAnsiTheme="minorHAnsi"/>
          <w:sz w:val="20"/>
          <w:szCs w:val="20"/>
          <w:lang w:val="en-US"/>
        </w:rPr>
      </w:pPr>
      <w:r w:rsidRPr="007D47AD">
        <w:rPr>
          <w:rFonts w:asciiTheme="minorHAnsi" w:hAnsiTheme="minorHAnsi"/>
          <w:sz w:val="20"/>
          <w:szCs w:val="20"/>
          <w:lang w:val="en-US"/>
        </w:rPr>
        <w:lastRenderedPageBreak/>
        <w:t xml:space="preserve">The Commission received worrisome information that medical centers continue to exist that offer therapies with the intent to </w:t>
      </w:r>
      <w:r w:rsidR="00891C76" w:rsidRPr="007D47AD">
        <w:rPr>
          <w:rFonts w:asciiTheme="minorHAnsi" w:hAnsiTheme="minorHAnsi"/>
          <w:sz w:val="20"/>
          <w:szCs w:val="20"/>
          <w:lang w:val="en-US"/>
        </w:rPr>
        <w:t>“modif</w:t>
      </w:r>
      <w:r w:rsidRPr="007D47AD">
        <w:rPr>
          <w:rFonts w:asciiTheme="minorHAnsi" w:hAnsiTheme="minorHAnsi"/>
          <w:sz w:val="20"/>
          <w:szCs w:val="20"/>
          <w:lang w:val="en-US"/>
        </w:rPr>
        <w:t>y</w:t>
      </w:r>
      <w:r w:rsidR="00891C76" w:rsidRPr="007D47AD">
        <w:rPr>
          <w:rFonts w:asciiTheme="minorHAnsi" w:hAnsiTheme="minorHAnsi"/>
          <w:sz w:val="20"/>
          <w:szCs w:val="20"/>
          <w:lang w:val="en-US"/>
        </w:rPr>
        <w:t xml:space="preserve">” </w:t>
      </w:r>
      <w:r w:rsidRPr="007D47AD">
        <w:rPr>
          <w:rFonts w:asciiTheme="minorHAnsi" w:hAnsiTheme="minorHAnsi"/>
          <w:sz w:val="20"/>
          <w:szCs w:val="20"/>
          <w:lang w:val="en-US"/>
        </w:rPr>
        <w:t>the sexual orientation of persons in Mexico.</w:t>
      </w:r>
      <w:r w:rsidR="00891C76" w:rsidRPr="007D47AD">
        <w:rPr>
          <w:rFonts w:asciiTheme="minorHAnsi" w:hAnsiTheme="minorHAnsi"/>
          <w:sz w:val="20"/>
          <w:szCs w:val="20"/>
          <w:vertAlign w:val="superscript"/>
          <w:lang w:val="en-US"/>
        </w:rPr>
        <w:footnoteReference w:id="218"/>
      </w:r>
      <w:r w:rsidR="00891C76" w:rsidRPr="007D47AD">
        <w:rPr>
          <w:rFonts w:asciiTheme="minorHAnsi" w:hAnsiTheme="minorHAnsi"/>
          <w:sz w:val="20"/>
          <w:szCs w:val="20"/>
          <w:lang w:val="en-US"/>
        </w:rPr>
        <w:t xml:space="preserve"> </w:t>
      </w:r>
      <w:r w:rsidRPr="007D47AD">
        <w:rPr>
          <w:rFonts w:asciiTheme="minorHAnsi" w:hAnsiTheme="minorHAnsi"/>
          <w:sz w:val="20"/>
          <w:szCs w:val="20"/>
          <w:lang w:val="en-US"/>
        </w:rPr>
        <w:t xml:space="preserve">On this </w:t>
      </w:r>
      <w:r w:rsidR="00936A24" w:rsidRPr="007D47AD">
        <w:rPr>
          <w:rFonts w:asciiTheme="minorHAnsi" w:hAnsiTheme="minorHAnsi"/>
          <w:sz w:val="20"/>
          <w:szCs w:val="20"/>
          <w:lang w:val="en-US"/>
        </w:rPr>
        <w:t>issue</w:t>
      </w:r>
      <w:r w:rsidRPr="007D47AD">
        <w:rPr>
          <w:rFonts w:asciiTheme="minorHAnsi" w:hAnsiTheme="minorHAnsi"/>
          <w:sz w:val="20"/>
          <w:szCs w:val="20"/>
          <w:lang w:val="en-US"/>
        </w:rPr>
        <w:t xml:space="preserve">, the Commission reminds the State that such techniques are harmful, ineffective, unethical, </w:t>
      </w:r>
      <w:r w:rsidR="00936A24" w:rsidRPr="007D47AD">
        <w:rPr>
          <w:rFonts w:asciiTheme="minorHAnsi" w:hAnsiTheme="minorHAnsi"/>
          <w:sz w:val="20"/>
          <w:szCs w:val="20"/>
          <w:lang w:val="en-US"/>
        </w:rPr>
        <w:t xml:space="preserve">and </w:t>
      </w:r>
      <w:r w:rsidRPr="007D47AD">
        <w:rPr>
          <w:rFonts w:asciiTheme="minorHAnsi" w:hAnsiTheme="minorHAnsi"/>
          <w:sz w:val="20"/>
          <w:szCs w:val="20"/>
          <w:lang w:val="en-US"/>
        </w:rPr>
        <w:t>lack any scientific basis, in addition to possibly constituting a form of torture.</w:t>
      </w:r>
      <w:r w:rsidR="00891C76" w:rsidRPr="007D47AD">
        <w:rPr>
          <w:rFonts w:asciiTheme="minorHAnsi" w:hAnsiTheme="minorHAnsi"/>
          <w:sz w:val="20"/>
          <w:szCs w:val="20"/>
          <w:vertAlign w:val="superscript"/>
          <w:lang w:val="en-US"/>
        </w:rPr>
        <w:footnoteReference w:id="219"/>
      </w:r>
    </w:p>
    <w:p w:rsidR="00CA33E2" w:rsidRPr="007D47AD" w:rsidRDefault="00CA33E2" w:rsidP="00CA33E2">
      <w:pPr>
        <w:shd w:val="clear" w:color="auto" w:fill="FFFFFF"/>
        <w:spacing w:after="0" w:line="240" w:lineRule="auto"/>
        <w:ind w:left="720"/>
        <w:jc w:val="both"/>
        <w:rPr>
          <w:rFonts w:asciiTheme="minorHAnsi" w:hAnsiTheme="minorHAnsi"/>
          <w:sz w:val="20"/>
          <w:szCs w:val="20"/>
          <w:lang w:val="en-US"/>
        </w:rPr>
      </w:pPr>
    </w:p>
    <w:p w:rsidR="00891C76" w:rsidRPr="007D47AD" w:rsidRDefault="00E6354B" w:rsidP="00CA33E2">
      <w:pPr>
        <w:numPr>
          <w:ilvl w:val="0"/>
          <w:numId w:val="6"/>
        </w:numPr>
        <w:shd w:val="clear" w:color="auto" w:fill="FFFFFF"/>
        <w:spacing w:after="0" w:line="240" w:lineRule="auto"/>
        <w:ind w:left="0" w:firstLine="720"/>
        <w:jc w:val="both"/>
        <w:rPr>
          <w:rFonts w:asciiTheme="minorHAnsi" w:hAnsiTheme="minorHAnsi"/>
          <w:sz w:val="20"/>
          <w:szCs w:val="20"/>
          <w:lang w:val="en-US"/>
        </w:rPr>
      </w:pPr>
      <w:r w:rsidRPr="007D47AD">
        <w:rPr>
          <w:rFonts w:asciiTheme="minorHAnsi" w:hAnsiTheme="minorHAnsi"/>
          <w:sz w:val="20"/>
          <w:szCs w:val="20"/>
          <w:lang w:val="en-US"/>
        </w:rPr>
        <w:t xml:space="preserve">The Commission also learned of the legal changes in </w:t>
      </w:r>
      <w:r w:rsidR="00891C76" w:rsidRPr="007D47AD">
        <w:rPr>
          <w:rFonts w:asciiTheme="minorHAnsi" w:hAnsiTheme="minorHAnsi"/>
          <w:sz w:val="20"/>
          <w:szCs w:val="20"/>
          <w:lang w:val="en-US"/>
        </w:rPr>
        <w:t>Colima</w:t>
      </w:r>
      <w:r w:rsidR="00891C76" w:rsidRPr="007D47AD">
        <w:rPr>
          <w:rFonts w:asciiTheme="minorHAnsi" w:hAnsiTheme="minorHAnsi"/>
          <w:sz w:val="20"/>
          <w:szCs w:val="20"/>
          <w:vertAlign w:val="superscript"/>
          <w:lang w:val="en-US"/>
        </w:rPr>
        <w:footnoteReference w:id="220"/>
      </w:r>
      <w:r w:rsidR="00891C76" w:rsidRPr="007D47AD">
        <w:rPr>
          <w:rFonts w:asciiTheme="minorHAnsi" w:hAnsiTheme="minorHAnsi"/>
          <w:sz w:val="20"/>
          <w:szCs w:val="20"/>
          <w:lang w:val="en-US"/>
        </w:rPr>
        <w:t xml:space="preserve"> </w:t>
      </w:r>
      <w:r w:rsidRPr="007D47AD">
        <w:rPr>
          <w:rFonts w:asciiTheme="minorHAnsi" w:hAnsiTheme="minorHAnsi"/>
          <w:sz w:val="20"/>
          <w:szCs w:val="20"/>
          <w:lang w:val="en-US"/>
        </w:rPr>
        <w:t xml:space="preserve">and </w:t>
      </w:r>
      <w:r w:rsidR="00891C76" w:rsidRPr="007D47AD">
        <w:rPr>
          <w:rFonts w:asciiTheme="minorHAnsi" w:hAnsiTheme="minorHAnsi"/>
          <w:sz w:val="20"/>
          <w:szCs w:val="20"/>
          <w:lang w:val="en-US"/>
        </w:rPr>
        <w:t>Hidalgo</w:t>
      </w:r>
      <w:r w:rsidR="00891C76" w:rsidRPr="007D47AD">
        <w:rPr>
          <w:rFonts w:asciiTheme="minorHAnsi" w:hAnsiTheme="minorHAnsi"/>
          <w:sz w:val="20"/>
          <w:szCs w:val="20"/>
          <w:vertAlign w:val="superscript"/>
          <w:lang w:val="en-US"/>
        </w:rPr>
        <w:footnoteReference w:id="221"/>
      </w:r>
      <w:r w:rsidR="00891C76" w:rsidRPr="007D47AD">
        <w:rPr>
          <w:rFonts w:asciiTheme="minorHAnsi" w:hAnsiTheme="minorHAnsi"/>
          <w:sz w:val="20"/>
          <w:szCs w:val="20"/>
          <w:lang w:val="en-US"/>
        </w:rPr>
        <w:t xml:space="preserve"> </w:t>
      </w:r>
      <w:r w:rsidRPr="007D47AD">
        <w:rPr>
          <w:rFonts w:asciiTheme="minorHAnsi" w:hAnsiTheme="minorHAnsi"/>
          <w:sz w:val="20"/>
          <w:szCs w:val="20"/>
          <w:lang w:val="en-US"/>
        </w:rPr>
        <w:t>i</w:t>
      </w:r>
      <w:r w:rsidR="00891C76" w:rsidRPr="007D47AD">
        <w:rPr>
          <w:rFonts w:asciiTheme="minorHAnsi" w:hAnsiTheme="minorHAnsi"/>
          <w:sz w:val="20"/>
          <w:szCs w:val="20"/>
          <w:lang w:val="en-US"/>
        </w:rPr>
        <w:t>n 2019</w:t>
      </w:r>
      <w:r w:rsidRPr="007D47AD">
        <w:rPr>
          <w:rFonts w:asciiTheme="minorHAnsi" w:hAnsiTheme="minorHAnsi"/>
          <w:sz w:val="20"/>
          <w:szCs w:val="20"/>
          <w:lang w:val="en-US"/>
        </w:rPr>
        <w:t xml:space="preserve"> that made it possible to recognize gender identity as per one’s self-perception through administrative procedures. On this issue, the IACHR values the legislative processes that have been undertaken, recalling that gender identity is an essential part of the right to identity, and, therefore, </w:t>
      </w:r>
      <w:r w:rsidR="00936A24" w:rsidRPr="007D47AD">
        <w:rPr>
          <w:rFonts w:asciiTheme="minorHAnsi" w:hAnsiTheme="minorHAnsi"/>
          <w:sz w:val="20"/>
          <w:szCs w:val="20"/>
          <w:lang w:val="en-US"/>
        </w:rPr>
        <w:t>that t</w:t>
      </w:r>
      <w:r w:rsidRPr="007D47AD">
        <w:rPr>
          <w:rFonts w:asciiTheme="minorHAnsi" w:hAnsiTheme="minorHAnsi"/>
          <w:sz w:val="20"/>
          <w:szCs w:val="20"/>
          <w:lang w:val="en-US"/>
        </w:rPr>
        <w:t>he State ha</w:t>
      </w:r>
      <w:r w:rsidR="00936A24" w:rsidRPr="007D47AD">
        <w:rPr>
          <w:rFonts w:asciiTheme="minorHAnsi" w:hAnsiTheme="minorHAnsi"/>
          <w:sz w:val="20"/>
          <w:szCs w:val="20"/>
          <w:lang w:val="en-US"/>
        </w:rPr>
        <w:t>s</w:t>
      </w:r>
      <w:r w:rsidRPr="007D47AD">
        <w:rPr>
          <w:rFonts w:asciiTheme="minorHAnsi" w:hAnsiTheme="minorHAnsi"/>
          <w:sz w:val="20"/>
          <w:szCs w:val="20"/>
          <w:lang w:val="en-US"/>
        </w:rPr>
        <w:t xml:space="preserve"> the o</w:t>
      </w:r>
      <w:r w:rsidR="00936A24" w:rsidRPr="007D47AD">
        <w:rPr>
          <w:rFonts w:asciiTheme="minorHAnsi" w:hAnsiTheme="minorHAnsi"/>
          <w:sz w:val="20"/>
          <w:szCs w:val="20"/>
          <w:lang w:val="en-US"/>
        </w:rPr>
        <w:t>b</w:t>
      </w:r>
      <w:r w:rsidRPr="007D47AD">
        <w:rPr>
          <w:rFonts w:asciiTheme="minorHAnsi" w:hAnsiTheme="minorHAnsi"/>
          <w:sz w:val="20"/>
          <w:szCs w:val="20"/>
          <w:lang w:val="en-US"/>
        </w:rPr>
        <w:t xml:space="preserve">ligation to adopt measures, without delay, aimed at expeditious, </w:t>
      </w:r>
      <w:r w:rsidR="00891C76" w:rsidRPr="007D47AD">
        <w:rPr>
          <w:rFonts w:asciiTheme="minorHAnsi" w:hAnsiTheme="minorHAnsi"/>
          <w:sz w:val="20"/>
          <w:szCs w:val="20"/>
          <w:lang w:val="en-US"/>
        </w:rPr>
        <w:t>transparent</w:t>
      </w:r>
      <w:r w:rsidRPr="007D47AD">
        <w:rPr>
          <w:rFonts w:asciiTheme="minorHAnsi" w:hAnsiTheme="minorHAnsi"/>
          <w:sz w:val="20"/>
          <w:szCs w:val="20"/>
          <w:lang w:val="en-US"/>
        </w:rPr>
        <w:t>, and accessible</w:t>
      </w:r>
      <w:r w:rsidR="00891C76" w:rsidRPr="007D47AD">
        <w:rPr>
          <w:rFonts w:asciiTheme="minorHAnsi" w:hAnsiTheme="minorHAnsi"/>
          <w:sz w:val="20"/>
          <w:szCs w:val="20"/>
          <w:lang w:val="en-US"/>
        </w:rPr>
        <w:t xml:space="preserve"> </w:t>
      </w:r>
      <w:r w:rsidRPr="007D47AD">
        <w:rPr>
          <w:rFonts w:asciiTheme="minorHAnsi" w:hAnsiTheme="minorHAnsi"/>
          <w:sz w:val="20"/>
          <w:szCs w:val="20"/>
          <w:lang w:val="en-US"/>
        </w:rPr>
        <w:t>legal recognition  of gender identity.</w:t>
      </w:r>
      <w:r w:rsidR="00891C76" w:rsidRPr="007D47AD">
        <w:rPr>
          <w:rFonts w:asciiTheme="minorHAnsi" w:hAnsiTheme="minorHAnsi"/>
          <w:sz w:val="20"/>
          <w:szCs w:val="20"/>
          <w:vertAlign w:val="superscript"/>
          <w:lang w:val="en-US"/>
        </w:rPr>
        <w:footnoteReference w:id="222"/>
      </w:r>
    </w:p>
    <w:p w:rsidR="00CA33E2" w:rsidRPr="007D47AD" w:rsidRDefault="00CA33E2" w:rsidP="00CA33E2">
      <w:pPr>
        <w:shd w:val="clear" w:color="auto" w:fill="FFFFFF"/>
        <w:spacing w:after="0" w:line="240" w:lineRule="auto"/>
        <w:jc w:val="both"/>
        <w:rPr>
          <w:rFonts w:asciiTheme="minorHAnsi" w:hAnsiTheme="minorHAnsi"/>
          <w:sz w:val="20"/>
          <w:szCs w:val="20"/>
          <w:lang w:val="en-US"/>
        </w:rPr>
      </w:pPr>
    </w:p>
    <w:p w:rsidR="00CA33E2" w:rsidRPr="007D47AD" w:rsidRDefault="00E6354B" w:rsidP="00213860">
      <w:pPr>
        <w:numPr>
          <w:ilvl w:val="0"/>
          <w:numId w:val="6"/>
        </w:numPr>
        <w:shd w:val="clear" w:color="auto" w:fill="FFFFFF"/>
        <w:spacing w:after="0" w:line="240" w:lineRule="auto"/>
        <w:ind w:left="0" w:firstLine="720"/>
        <w:jc w:val="both"/>
        <w:rPr>
          <w:rFonts w:asciiTheme="minorHAnsi" w:hAnsiTheme="minorHAnsi"/>
          <w:sz w:val="20"/>
          <w:szCs w:val="20"/>
          <w:lang w:val="en-US"/>
        </w:rPr>
      </w:pPr>
      <w:r w:rsidRPr="007D47AD">
        <w:rPr>
          <w:rFonts w:asciiTheme="minorHAnsi" w:hAnsiTheme="minorHAnsi"/>
          <w:sz w:val="20"/>
          <w:szCs w:val="20"/>
          <w:lang w:val="en-US"/>
        </w:rPr>
        <w:t xml:space="preserve">The Commission recognizes significant gains in Mexico when it comes to </w:t>
      </w:r>
      <w:r w:rsidR="00936A24" w:rsidRPr="007D47AD">
        <w:rPr>
          <w:rFonts w:asciiTheme="minorHAnsi" w:hAnsiTheme="minorHAnsi"/>
          <w:sz w:val="20"/>
          <w:szCs w:val="20"/>
          <w:lang w:val="en-US"/>
        </w:rPr>
        <w:t>c</w:t>
      </w:r>
      <w:r w:rsidRPr="007D47AD">
        <w:rPr>
          <w:rFonts w:asciiTheme="minorHAnsi" w:hAnsiTheme="minorHAnsi"/>
          <w:sz w:val="20"/>
          <w:szCs w:val="20"/>
          <w:lang w:val="en-US"/>
        </w:rPr>
        <w:t>ar</w:t>
      </w:r>
      <w:r w:rsidR="00936A24" w:rsidRPr="007D47AD">
        <w:rPr>
          <w:rFonts w:asciiTheme="minorHAnsi" w:hAnsiTheme="minorHAnsi"/>
          <w:sz w:val="20"/>
          <w:szCs w:val="20"/>
          <w:lang w:val="en-US"/>
        </w:rPr>
        <w:t>r</w:t>
      </w:r>
      <w:r w:rsidRPr="007D47AD">
        <w:rPr>
          <w:rFonts w:asciiTheme="minorHAnsi" w:hAnsiTheme="minorHAnsi"/>
          <w:sz w:val="20"/>
          <w:szCs w:val="20"/>
          <w:lang w:val="en-US"/>
        </w:rPr>
        <w:t xml:space="preserve">ying out the recommendations related to violence and non-discrimination against </w:t>
      </w:r>
      <w:r w:rsidR="00891C76" w:rsidRPr="007D47AD">
        <w:rPr>
          <w:rFonts w:asciiTheme="minorHAnsi" w:hAnsiTheme="minorHAnsi"/>
          <w:sz w:val="20"/>
          <w:szCs w:val="20"/>
          <w:lang w:val="en-US"/>
        </w:rPr>
        <w:t>LGBTI</w:t>
      </w:r>
      <w:r w:rsidRPr="007D47AD">
        <w:rPr>
          <w:rFonts w:asciiTheme="minorHAnsi" w:hAnsiTheme="minorHAnsi"/>
          <w:sz w:val="20"/>
          <w:szCs w:val="20"/>
          <w:lang w:val="en-US"/>
        </w:rPr>
        <w:t xml:space="preserve"> persons</w:t>
      </w:r>
      <w:r w:rsidR="00891C76" w:rsidRPr="007D47AD">
        <w:rPr>
          <w:rFonts w:asciiTheme="minorHAnsi" w:hAnsiTheme="minorHAnsi"/>
          <w:sz w:val="20"/>
          <w:szCs w:val="20"/>
          <w:lang w:val="en-US"/>
        </w:rPr>
        <w:t xml:space="preserve">. </w:t>
      </w:r>
    </w:p>
    <w:p w:rsidR="00932506" w:rsidRPr="007D47AD" w:rsidRDefault="00932506" w:rsidP="00C82C75">
      <w:pPr>
        <w:shd w:val="clear" w:color="auto" w:fill="FFFFFF"/>
        <w:spacing w:after="0" w:line="240" w:lineRule="auto"/>
        <w:ind w:left="720"/>
        <w:jc w:val="both"/>
        <w:rPr>
          <w:rFonts w:asciiTheme="minorHAnsi" w:hAnsiTheme="minorHAnsi"/>
          <w:sz w:val="20"/>
          <w:szCs w:val="20"/>
          <w:lang w:val="en-US"/>
        </w:rPr>
      </w:pPr>
    </w:p>
    <w:p w:rsidR="003A1482" w:rsidRPr="007D47AD" w:rsidRDefault="00E6354B" w:rsidP="00C82C75">
      <w:pPr>
        <w:numPr>
          <w:ilvl w:val="0"/>
          <w:numId w:val="6"/>
        </w:numPr>
        <w:shd w:val="clear" w:color="auto" w:fill="FFFFFF"/>
        <w:spacing w:after="0" w:line="240" w:lineRule="auto"/>
        <w:ind w:left="0" w:firstLine="720"/>
        <w:jc w:val="both"/>
        <w:rPr>
          <w:rFonts w:asciiTheme="minorHAnsi" w:hAnsiTheme="minorHAnsi"/>
          <w:sz w:val="20"/>
          <w:szCs w:val="20"/>
          <w:lang w:val="en-US"/>
        </w:rPr>
      </w:pPr>
      <w:r w:rsidRPr="007D47AD">
        <w:rPr>
          <w:rFonts w:asciiTheme="minorHAnsi" w:hAnsiTheme="minorHAnsi"/>
          <w:sz w:val="20"/>
          <w:szCs w:val="20"/>
          <w:lang w:val="en-US"/>
        </w:rPr>
        <w:t xml:space="preserve">Based on the foregoing, the IACHR concludes that the recommendation has met with partial compliance. In this regard, the IACHR reiterates its appeal to the State to continue its work to prevent and investigate </w:t>
      </w:r>
      <w:r w:rsidR="009C095D" w:rsidRPr="007D47AD">
        <w:rPr>
          <w:rFonts w:asciiTheme="minorHAnsi" w:hAnsiTheme="minorHAnsi"/>
          <w:sz w:val="20"/>
          <w:szCs w:val="20"/>
          <w:lang w:val="en-US"/>
        </w:rPr>
        <w:t>violenc</w:t>
      </w:r>
      <w:r w:rsidRPr="007D47AD">
        <w:rPr>
          <w:rFonts w:asciiTheme="minorHAnsi" w:hAnsiTheme="minorHAnsi"/>
          <w:sz w:val="20"/>
          <w:szCs w:val="20"/>
          <w:lang w:val="en-US"/>
        </w:rPr>
        <w:t xml:space="preserve">e committed against </w:t>
      </w:r>
      <w:r w:rsidR="009C095D" w:rsidRPr="007D47AD">
        <w:rPr>
          <w:rFonts w:asciiTheme="minorHAnsi" w:hAnsiTheme="minorHAnsi"/>
          <w:sz w:val="20"/>
          <w:szCs w:val="20"/>
          <w:lang w:val="en-US"/>
        </w:rPr>
        <w:t xml:space="preserve">LGBTI </w:t>
      </w:r>
      <w:r w:rsidRPr="007D47AD">
        <w:rPr>
          <w:rFonts w:asciiTheme="minorHAnsi" w:hAnsiTheme="minorHAnsi"/>
          <w:sz w:val="20"/>
          <w:szCs w:val="20"/>
          <w:lang w:val="en-US"/>
        </w:rPr>
        <w:t xml:space="preserve">persons by adopting affirmative measures that fight the structural causes of violence </w:t>
      </w:r>
      <w:r w:rsidR="009C095D" w:rsidRPr="007D47AD">
        <w:rPr>
          <w:rFonts w:asciiTheme="minorHAnsi" w:hAnsiTheme="minorHAnsi"/>
          <w:sz w:val="20"/>
          <w:szCs w:val="20"/>
          <w:lang w:val="en-US"/>
        </w:rPr>
        <w:t>bas</w:t>
      </w:r>
      <w:r w:rsidRPr="007D47AD">
        <w:rPr>
          <w:rFonts w:asciiTheme="minorHAnsi" w:hAnsiTheme="minorHAnsi"/>
          <w:sz w:val="20"/>
          <w:szCs w:val="20"/>
          <w:lang w:val="en-US"/>
        </w:rPr>
        <w:t>ed on prejudices against these persons.</w:t>
      </w:r>
      <w:r w:rsidR="00C82C75" w:rsidRPr="007D47AD">
        <w:rPr>
          <w:rFonts w:asciiTheme="minorHAnsi" w:hAnsiTheme="minorHAnsi"/>
          <w:sz w:val="20"/>
          <w:szCs w:val="20"/>
          <w:lang w:val="en-US"/>
        </w:rPr>
        <w:t xml:space="preserve"> </w:t>
      </w:r>
      <w:r w:rsidR="008F1DE4" w:rsidRPr="007D47AD">
        <w:rPr>
          <w:rFonts w:asciiTheme="minorHAnsi" w:hAnsiTheme="minorHAnsi"/>
          <w:sz w:val="20"/>
          <w:szCs w:val="20"/>
          <w:lang w:val="en-US"/>
        </w:rPr>
        <w:t>Thus</w:t>
      </w:r>
      <w:r w:rsidR="00C82C75" w:rsidRPr="007D47AD">
        <w:rPr>
          <w:rFonts w:asciiTheme="minorHAnsi" w:hAnsiTheme="minorHAnsi"/>
          <w:sz w:val="20"/>
          <w:szCs w:val="20"/>
          <w:lang w:val="en-US"/>
        </w:rPr>
        <w:t>, the IACHR finds it necessary that these measures take special consideration of groups that may be susceptible to multiple discrimination, both because of their sexual orientation and ethnic-racial or national origin. It is therefore recommended to include an intersectional approach in the implementation of public policies that benefit LGBTI people and Afro-descendants</w:t>
      </w:r>
      <w:r w:rsidR="003A1482" w:rsidRPr="007D47AD">
        <w:rPr>
          <w:rFonts w:asciiTheme="minorHAnsi" w:hAnsiTheme="minorHAnsi"/>
          <w:sz w:val="20"/>
          <w:szCs w:val="20"/>
          <w:lang w:val="en-US"/>
        </w:rPr>
        <w:t>.</w:t>
      </w:r>
      <w:r w:rsidR="00C82C75" w:rsidRPr="007D47AD">
        <w:rPr>
          <w:rFonts w:asciiTheme="minorHAnsi" w:hAnsiTheme="minorHAnsi"/>
          <w:sz w:val="20"/>
          <w:szCs w:val="20"/>
          <w:lang w:val="en-US"/>
        </w:rPr>
        <w:t xml:space="preserve"> </w:t>
      </w:r>
    </w:p>
    <w:p w:rsidR="003A1482" w:rsidRPr="007D47AD" w:rsidRDefault="003A1482" w:rsidP="003A1482">
      <w:pPr>
        <w:pStyle w:val="ListParagraph"/>
        <w:rPr>
          <w:rFonts w:asciiTheme="minorHAnsi" w:hAnsiTheme="minorHAnsi"/>
          <w:sz w:val="20"/>
          <w:szCs w:val="20"/>
          <w:lang w:val="en-US"/>
        </w:rPr>
      </w:pPr>
    </w:p>
    <w:p w:rsidR="009C095D" w:rsidRPr="007D47AD" w:rsidRDefault="00E6354B" w:rsidP="00CA33E2">
      <w:pPr>
        <w:numPr>
          <w:ilvl w:val="0"/>
          <w:numId w:val="6"/>
        </w:numPr>
        <w:shd w:val="clear" w:color="auto" w:fill="FFFFFF"/>
        <w:spacing w:after="0" w:line="240" w:lineRule="auto"/>
        <w:ind w:left="0" w:firstLine="720"/>
        <w:jc w:val="both"/>
        <w:rPr>
          <w:rFonts w:asciiTheme="minorHAnsi" w:hAnsiTheme="minorHAnsi"/>
          <w:sz w:val="20"/>
          <w:szCs w:val="20"/>
          <w:lang w:val="en-US"/>
        </w:rPr>
      </w:pPr>
      <w:r w:rsidRPr="007D47AD">
        <w:rPr>
          <w:rFonts w:asciiTheme="minorHAnsi" w:hAnsiTheme="minorHAnsi"/>
          <w:sz w:val="20"/>
          <w:szCs w:val="20"/>
          <w:lang w:val="en-US"/>
        </w:rPr>
        <w:t xml:space="preserve">In addition, the Commission urges the Mexican State to harmonize its domestic legislation </w:t>
      </w:r>
      <w:r w:rsidR="00936A24" w:rsidRPr="007D47AD">
        <w:rPr>
          <w:rFonts w:asciiTheme="minorHAnsi" w:hAnsiTheme="minorHAnsi"/>
          <w:sz w:val="20"/>
          <w:szCs w:val="20"/>
          <w:lang w:val="en-US"/>
        </w:rPr>
        <w:t xml:space="preserve">in the states </w:t>
      </w:r>
      <w:r w:rsidRPr="007D47AD">
        <w:rPr>
          <w:rFonts w:asciiTheme="minorHAnsi" w:hAnsiTheme="minorHAnsi"/>
          <w:sz w:val="20"/>
          <w:szCs w:val="20"/>
          <w:lang w:val="en-US"/>
        </w:rPr>
        <w:t xml:space="preserve">in relation to the rights related to freely developing one’s civil life, such as marriage or personal data in identification documents, as well as </w:t>
      </w:r>
      <w:r w:rsidR="00936A24" w:rsidRPr="007D47AD">
        <w:rPr>
          <w:rFonts w:asciiTheme="minorHAnsi" w:hAnsiTheme="minorHAnsi"/>
          <w:sz w:val="20"/>
          <w:szCs w:val="20"/>
          <w:lang w:val="en-US"/>
        </w:rPr>
        <w:t xml:space="preserve">to </w:t>
      </w:r>
      <w:r w:rsidRPr="007D47AD">
        <w:rPr>
          <w:rFonts w:asciiTheme="minorHAnsi" w:hAnsiTheme="minorHAnsi"/>
          <w:sz w:val="20"/>
          <w:szCs w:val="20"/>
          <w:lang w:val="en-US"/>
        </w:rPr>
        <w:t xml:space="preserve">accessing economic, social, and cultural rights, such as the rights to health and education. </w:t>
      </w:r>
    </w:p>
    <w:p w:rsidR="00932506" w:rsidRPr="007D47AD" w:rsidRDefault="00932506" w:rsidP="00CA33E2">
      <w:pPr>
        <w:shd w:val="clear" w:color="auto" w:fill="FFFFFF"/>
        <w:spacing w:after="0" w:line="240" w:lineRule="auto"/>
        <w:jc w:val="both"/>
        <w:rPr>
          <w:rFonts w:asciiTheme="minorHAnsi" w:hAnsiTheme="minorHAnsi"/>
          <w:sz w:val="20"/>
          <w:szCs w:val="20"/>
          <w:lang w:val="en-US"/>
        </w:rPr>
      </w:pPr>
    </w:p>
    <w:p w:rsidR="00932506" w:rsidRPr="007D47AD" w:rsidRDefault="00932506" w:rsidP="00CA33E2">
      <w:pPr>
        <w:shd w:val="clear" w:color="auto" w:fill="FFFFFF"/>
        <w:spacing w:after="0" w:line="240" w:lineRule="auto"/>
        <w:jc w:val="both"/>
        <w:rPr>
          <w:rFonts w:asciiTheme="minorHAnsi" w:hAnsiTheme="minorHAnsi"/>
          <w:sz w:val="20"/>
          <w:szCs w:val="20"/>
          <w:lang w:val="en-US"/>
        </w:rPr>
      </w:pPr>
    </w:p>
    <w:p w:rsidR="009C095D" w:rsidRPr="007D47AD" w:rsidRDefault="00E6354B" w:rsidP="00E472A2">
      <w:pPr>
        <w:pStyle w:val="Heading3"/>
        <w:numPr>
          <w:ilvl w:val="2"/>
          <w:numId w:val="7"/>
        </w:numPr>
        <w:shd w:val="clear" w:color="auto" w:fill="auto"/>
        <w:spacing w:before="0"/>
        <w:ind w:left="1440" w:hanging="720"/>
        <w:rPr>
          <w:rFonts w:asciiTheme="minorHAnsi" w:hAnsiTheme="minorHAnsi"/>
          <w:sz w:val="20"/>
          <w:szCs w:val="20"/>
          <w:lang w:val="en-US"/>
        </w:rPr>
      </w:pPr>
      <w:r w:rsidRPr="007D47AD">
        <w:rPr>
          <w:rFonts w:asciiTheme="minorHAnsi" w:hAnsiTheme="minorHAnsi"/>
          <w:sz w:val="20"/>
          <w:szCs w:val="20"/>
          <w:lang w:val="en-US"/>
        </w:rPr>
        <w:t xml:space="preserve">Women </w:t>
      </w:r>
    </w:p>
    <w:p w:rsidR="009C095D" w:rsidRPr="007D47AD" w:rsidRDefault="009C095D" w:rsidP="00E472A2">
      <w:pPr>
        <w:pStyle w:val="Numberedparagraphs"/>
        <w:numPr>
          <w:ilvl w:val="0"/>
          <w:numId w:val="16"/>
        </w:numPr>
        <w:shd w:val="clear" w:color="auto" w:fill="D9D9D9"/>
        <w:spacing w:after="0"/>
        <w:ind w:hanging="720"/>
        <w:rPr>
          <w:rFonts w:asciiTheme="minorHAnsi" w:hAnsiTheme="minorHAnsi"/>
          <w:lang w:val="en-US" w:eastAsia="es-ES"/>
        </w:rPr>
      </w:pPr>
      <w:r w:rsidRPr="007D47AD">
        <w:rPr>
          <w:rFonts w:asciiTheme="minorHAnsi" w:hAnsiTheme="minorHAnsi"/>
          <w:lang w:val="en-US" w:eastAsia="es-ES"/>
        </w:rPr>
        <w:t xml:space="preserve">Implement </w:t>
      </w:r>
      <w:r w:rsidR="00C02FE9" w:rsidRPr="007D47AD">
        <w:rPr>
          <w:rFonts w:asciiTheme="minorHAnsi" w:hAnsiTheme="minorHAnsi"/>
          <w:lang w:val="en-US" w:eastAsia="es-ES"/>
        </w:rPr>
        <w:t>and strengthen measures that incorporate a gender perspective to comply with the duty to act with due diligence to prevent, punish and eradicate violence and discrimination against women, including specific efforts to comply with the obligation to prevent, investigate, punish and repair human rights violations against women; this includes training and monitoring of the authorities in charge of stages beginning with the investigation, including health services in the context of justice</w:t>
      </w:r>
      <w:r w:rsidRPr="007D47AD">
        <w:rPr>
          <w:rFonts w:asciiTheme="minorHAnsi" w:hAnsiTheme="minorHAnsi"/>
          <w:lang w:val="en-US" w:eastAsia="es-ES"/>
        </w:rPr>
        <w:t>.</w:t>
      </w:r>
    </w:p>
    <w:p w:rsidR="009C095D" w:rsidRPr="007D47AD" w:rsidRDefault="009C095D" w:rsidP="00E472A2">
      <w:pPr>
        <w:pStyle w:val="Numberedparagraphs"/>
        <w:numPr>
          <w:ilvl w:val="0"/>
          <w:numId w:val="16"/>
        </w:numPr>
        <w:shd w:val="clear" w:color="auto" w:fill="D9D9D9"/>
        <w:spacing w:after="0"/>
        <w:ind w:hanging="720"/>
        <w:rPr>
          <w:rFonts w:asciiTheme="minorHAnsi" w:hAnsiTheme="minorHAnsi"/>
          <w:lang w:val="en-US" w:eastAsia="es-ES"/>
        </w:rPr>
      </w:pPr>
      <w:r w:rsidRPr="007D47AD">
        <w:rPr>
          <w:rFonts w:asciiTheme="minorHAnsi" w:hAnsiTheme="minorHAnsi"/>
          <w:lang w:val="en-US" w:eastAsia="es-ES"/>
        </w:rPr>
        <w:t>Adopt</w:t>
      </w:r>
      <w:r w:rsidR="00C02FE9" w:rsidRPr="007D47AD">
        <w:rPr>
          <w:rFonts w:asciiTheme="minorHAnsi" w:hAnsiTheme="minorHAnsi"/>
          <w:lang w:val="en-US" w:eastAsia="es-ES"/>
        </w:rPr>
        <w:t xml:space="preserve"> necessary measures to prevent, punish and eradicate acts of sexual violence and other forms of violence, torture and cruel, inhuman or degrading treatment by security forces against women, especially those who are deprived of liberty</w:t>
      </w:r>
      <w:r w:rsidRPr="007D47AD">
        <w:rPr>
          <w:rFonts w:asciiTheme="minorHAnsi" w:hAnsiTheme="minorHAnsi"/>
          <w:lang w:val="en-US" w:eastAsia="es-ES"/>
        </w:rPr>
        <w:t>.</w:t>
      </w:r>
    </w:p>
    <w:p w:rsidR="009C095D" w:rsidRPr="007D47AD" w:rsidRDefault="009C095D" w:rsidP="00E472A2">
      <w:pPr>
        <w:pStyle w:val="Numberedparagraphs"/>
        <w:numPr>
          <w:ilvl w:val="0"/>
          <w:numId w:val="16"/>
        </w:numPr>
        <w:shd w:val="clear" w:color="auto" w:fill="D9D9D9"/>
        <w:spacing w:after="0"/>
        <w:ind w:hanging="720"/>
        <w:rPr>
          <w:rFonts w:asciiTheme="minorHAnsi" w:hAnsiTheme="minorHAnsi"/>
          <w:lang w:val="en-US" w:eastAsia="es-ES"/>
        </w:rPr>
      </w:pPr>
      <w:r w:rsidRPr="007D47AD">
        <w:rPr>
          <w:rFonts w:asciiTheme="minorHAnsi" w:hAnsiTheme="minorHAnsi"/>
          <w:lang w:val="en-US" w:eastAsia="es-ES"/>
        </w:rPr>
        <w:t>Implement</w:t>
      </w:r>
      <w:r w:rsidR="00C02FE9" w:rsidRPr="007D47AD">
        <w:rPr>
          <w:rFonts w:asciiTheme="minorHAnsi" w:hAnsiTheme="minorHAnsi"/>
          <w:lang w:val="en-US" w:eastAsia="es-ES"/>
        </w:rPr>
        <w:t xml:space="preserve"> uniform protocols by the prosecutorial authorities for crimes related to violence against women, as well as proper supervision of their implementation </w:t>
      </w:r>
    </w:p>
    <w:p w:rsidR="009C095D" w:rsidRPr="007D47AD" w:rsidRDefault="009C095D" w:rsidP="00E472A2">
      <w:pPr>
        <w:pStyle w:val="Numberedparagraphs"/>
        <w:numPr>
          <w:ilvl w:val="0"/>
          <w:numId w:val="16"/>
        </w:numPr>
        <w:shd w:val="clear" w:color="auto" w:fill="D9D9D9"/>
        <w:spacing w:after="0"/>
        <w:ind w:hanging="720"/>
        <w:rPr>
          <w:rFonts w:asciiTheme="minorHAnsi" w:hAnsiTheme="minorHAnsi"/>
          <w:lang w:val="en-US" w:eastAsia="es-ES"/>
        </w:rPr>
      </w:pPr>
      <w:r w:rsidRPr="007D47AD">
        <w:rPr>
          <w:rFonts w:asciiTheme="minorHAnsi" w:hAnsiTheme="minorHAnsi"/>
          <w:lang w:val="en-US" w:eastAsia="es-ES"/>
        </w:rPr>
        <w:t>Adopt</w:t>
      </w:r>
      <w:r w:rsidR="00C02FE9" w:rsidRPr="007D47AD">
        <w:rPr>
          <w:rFonts w:asciiTheme="minorHAnsi" w:hAnsiTheme="minorHAnsi"/>
          <w:lang w:val="en-US" w:eastAsia="es-ES"/>
        </w:rPr>
        <w:t xml:space="preserve"> public policies aimed at restructuring stereotypes regarding the role of women in society and promote the eradication of socio-cultural patterns of discrimination that impede their access to justice, including training programs and integral policies for the prevention of violence against women</w:t>
      </w:r>
      <w:r w:rsidRPr="007D47AD">
        <w:rPr>
          <w:rFonts w:asciiTheme="minorHAnsi" w:hAnsiTheme="minorHAnsi"/>
          <w:lang w:val="en-US" w:eastAsia="es-ES"/>
        </w:rPr>
        <w:t>.</w:t>
      </w:r>
    </w:p>
    <w:p w:rsidR="009C095D" w:rsidRPr="007D47AD" w:rsidRDefault="009C095D" w:rsidP="00C02FE9">
      <w:pPr>
        <w:pStyle w:val="Numberedparagraphs"/>
        <w:numPr>
          <w:ilvl w:val="0"/>
          <w:numId w:val="16"/>
        </w:numPr>
        <w:shd w:val="clear" w:color="auto" w:fill="D9D9D9"/>
        <w:spacing w:after="0"/>
        <w:ind w:hanging="720"/>
        <w:rPr>
          <w:rFonts w:asciiTheme="minorHAnsi" w:hAnsiTheme="minorHAnsi"/>
          <w:lang w:val="en-US" w:eastAsia="es-ES"/>
        </w:rPr>
      </w:pPr>
      <w:r w:rsidRPr="007D47AD">
        <w:rPr>
          <w:rFonts w:asciiTheme="minorHAnsi" w:hAnsiTheme="minorHAnsi"/>
          <w:lang w:val="en-US" w:eastAsia="es-ES"/>
        </w:rPr>
        <w:lastRenderedPageBreak/>
        <w:t>D</w:t>
      </w:r>
      <w:r w:rsidR="00C02FE9" w:rsidRPr="007D47AD">
        <w:rPr>
          <w:rFonts w:asciiTheme="minorHAnsi" w:hAnsiTheme="minorHAnsi"/>
          <w:lang w:val="en-US" w:eastAsia="es-ES"/>
        </w:rPr>
        <w:t>esign and implement culturally adequate policies, with the participation of indigenous women, and apply a comprehensive and holistic focus that has as its objective prevention, investigation, punishment and reparation of acts of violence and discrimination committed against them</w:t>
      </w:r>
      <w:r w:rsidRPr="007D47AD">
        <w:rPr>
          <w:rFonts w:asciiTheme="minorHAnsi" w:hAnsiTheme="minorHAnsi"/>
          <w:lang w:val="en-US" w:eastAsia="es-ES"/>
        </w:rPr>
        <w:t xml:space="preserve">. </w:t>
      </w:r>
    </w:p>
    <w:p w:rsidR="009C095D" w:rsidRPr="007D47AD" w:rsidRDefault="009C095D" w:rsidP="009C095D">
      <w:pPr>
        <w:shd w:val="clear" w:color="auto" w:fill="FFFFFF"/>
        <w:spacing w:after="240" w:line="240" w:lineRule="auto"/>
        <w:ind w:left="720"/>
        <w:jc w:val="both"/>
        <w:rPr>
          <w:rFonts w:asciiTheme="minorHAnsi" w:hAnsiTheme="minorHAnsi"/>
          <w:sz w:val="20"/>
          <w:szCs w:val="20"/>
          <w:lang w:val="en-US"/>
        </w:rPr>
      </w:pPr>
    </w:p>
    <w:p w:rsidR="00D75245" w:rsidRPr="007D47AD" w:rsidRDefault="00C02FE9" w:rsidP="007B054E">
      <w:pPr>
        <w:numPr>
          <w:ilvl w:val="0"/>
          <w:numId w:val="6"/>
        </w:numPr>
        <w:shd w:val="clear" w:color="auto" w:fill="FFFFFF"/>
        <w:spacing w:after="0" w:line="240" w:lineRule="auto"/>
        <w:ind w:left="0" w:firstLine="720"/>
        <w:jc w:val="both"/>
        <w:rPr>
          <w:rFonts w:asciiTheme="minorHAnsi" w:hAnsiTheme="minorHAnsi"/>
          <w:sz w:val="20"/>
          <w:szCs w:val="20"/>
          <w:lang w:val="en-US"/>
        </w:rPr>
      </w:pPr>
      <w:r w:rsidRPr="007D47AD">
        <w:rPr>
          <w:rFonts w:asciiTheme="minorHAnsi" w:hAnsiTheme="minorHAnsi"/>
          <w:b/>
          <w:sz w:val="20"/>
          <w:szCs w:val="20"/>
          <w:lang w:val="en-US"/>
        </w:rPr>
        <w:t>As regards implementing and strengthening measures to comply with the obligations to act with due diligence to prevent, punish, and eradicate violence and discrimination against women</w:t>
      </w:r>
      <w:r w:rsidR="00C878BC" w:rsidRPr="007D47AD">
        <w:rPr>
          <w:rFonts w:asciiTheme="minorHAnsi" w:hAnsiTheme="minorHAnsi"/>
          <w:sz w:val="20"/>
          <w:szCs w:val="20"/>
          <w:lang w:val="en-US"/>
        </w:rPr>
        <w:t xml:space="preserve">, </w:t>
      </w:r>
      <w:r w:rsidR="005D2481" w:rsidRPr="007D47AD">
        <w:rPr>
          <w:rFonts w:asciiTheme="minorHAnsi" w:hAnsiTheme="minorHAnsi"/>
          <w:sz w:val="20"/>
          <w:szCs w:val="20"/>
          <w:lang w:val="en-US"/>
        </w:rPr>
        <w:t xml:space="preserve">the State reported that the National Commission for Preventing and Eradicating Violence Against Women (CONAVIM) launched the </w:t>
      </w:r>
      <w:r w:rsidR="00936A24" w:rsidRPr="007D47AD">
        <w:rPr>
          <w:rFonts w:asciiTheme="minorHAnsi" w:hAnsiTheme="minorHAnsi"/>
          <w:sz w:val="20"/>
          <w:szCs w:val="20"/>
          <w:lang w:val="en-US"/>
        </w:rPr>
        <w:t xml:space="preserve">call for bids for the </w:t>
      </w:r>
      <w:r w:rsidR="005D2481" w:rsidRPr="007D47AD">
        <w:rPr>
          <w:rFonts w:asciiTheme="minorHAnsi" w:hAnsiTheme="minorHAnsi"/>
          <w:sz w:val="20"/>
          <w:szCs w:val="20"/>
          <w:lang w:val="en-US"/>
        </w:rPr>
        <w:t>“Process for certifying the Women’s Justice Centers in the 2019 System of Institutional Integrity” with a view to fostering the institutional capacities of the Women’s Justice Centers (CJM) that participate in implementing the methodology of the Institutional Integrity System</w:t>
      </w:r>
      <w:r w:rsidR="006763DB" w:rsidRPr="007D47AD">
        <w:rPr>
          <w:rFonts w:asciiTheme="minorHAnsi" w:hAnsiTheme="minorHAnsi"/>
          <w:sz w:val="20"/>
          <w:szCs w:val="20"/>
          <w:lang w:val="en-US"/>
        </w:rPr>
        <w:t xml:space="preserve">, accrediting and acknowledging </w:t>
      </w:r>
      <w:r w:rsidR="00424F2D" w:rsidRPr="007D47AD">
        <w:rPr>
          <w:rFonts w:asciiTheme="minorHAnsi" w:hAnsiTheme="minorHAnsi"/>
          <w:sz w:val="20"/>
          <w:szCs w:val="20"/>
          <w:lang w:val="en-US"/>
        </w:rPr>
        <w:t xml:space="preserve">their </w:t>
      </w:r>
      <w:r w:rsidR="006763DB" w:rsidRPr="007D47AD">
        <w:rPr>
          <w:rFonts w:asciiTheme="minorHAnsi" w:hAnsiTheme="minorHAnsi"/>
          <w:sz w:val="20"/>
          <w:szCs w:val="20"/>
          <w:lang w:val="en-US"/>
        </w:rPr>
        <w:t xml:space="preserve">gains in the continuous improvement of </w:t>
      </w:r>
      <w:r w:rsidR="00424F2D" w:rsidRPr="007D47AD">
        <w:rPr>
          <w:rFonts w:asciiTheme="minorHAnsi" w:hAnsiTheme="minorHAnsi"/>
          <w:sz w:val="20"/>
          <w:szCs w:val="20"/>
          <w:lang w:val="en-US"/>
        </w:rPr>
        <w:t xml:space="preserve">their </w:t>
      </w:r>
      <w:r w:rsidR="006763DB" w:rsidRPr="007D47AD">
        <w:rPr>
          <w:rFonts w:asciiTheme="minorHAnsi" w:hAnsiTheme="minorHAnsi"/>
          <w:sz w:val="20"/>
          <w:szCs w:val="20"/>
          <w:lang w:val="en-US"/>
        </w:rPr>
        <w:t>organization and on the quality of the services that women victims of violence are provided, along with their children, to help ensure their access to justice and the exercise of their human rights.</w:t>
      </w:r>
      <w:r w:rsidR="00C878BC" w:rsidRPr="007D47AD">
        <w:rPr>
          <w:rStyle w:val="FootnoteReference"/>
          <w:rFonts w:asciiTheme="minorHAnsi" w:hAnsiTheme="minorHAnsi"/>
          <w:sz w:val="20"/>
          <w:szCs w:val="20"/>
          <w:lang w:val="en-US"/>
        </w:rPr>
        <w:footnoteReference w:id="223"/>
      </w:r>
    </w:p>
    <w:p w:rsidR="00C878BC" w:rsidRPr="007D47AD" w:rsidRDefault="00C878BC" w:rsidP="00D75245">
      <w:pPr>
        <w:shd w:val="clear" w:color="auto" w:fill="FFFFFF"/>
        <w:spacing w:after="0" w:line="240" w:lineRule="auto"/>
        <w:ind w:left="720"/>
        <w:jc w:val="both"/>
        <w:rPr>
          <w:rFonts w:asciiTheme="minorHAnsi" w:hAnsiTheme="minorHAnsi"/>
          <w:sz w:val="20"/>
          <w:szCs w:val="20"/>
          <w:lang w:val="en-US"/>
        </w:rPr>
      </w:pPr>
      <w:r w:rsidRPr="007D47AD">
        <w:rPr>
          <w:rFonts w:asciiTheme="minorHAnsi" w:hAnsiTheme="minorHAnsi"/>
          <w:sz w:val="20"/>
          <w:szCs w:val="20"/>
          <w:lang w:val="en-US"/>
        </w:rPr>
        <w:t xml:space="preserve"> </w:t>
      </w:r>
    </w:p>
    <w:p w:rsidR="00C878BC" w:rsidRPr="007D47AD" w:rsidRDefault="006763DB" w:rsidP="00424F2D">
      <w:pPr>
        <w:numPr>
          <w:ilvl w:val="0"/>
          <w:numId w:val="6"/>
        </w:numPr>
        <w:shd w:val="clear" w:color="auto" w:fill="FFFFFF"/>
        <w:spacing w:after="0" w:line="240" w:lineRule="auto"/>
        <w:ind w:left="0" w:firstLine="720"/>
        <w:jc w:val="both"/>
        <w:rPr>
          <w:rFonts w:asciiTheme="minorHAnsi" w:hAnsiTheme="minorHAnsi"/>
          <w:sz w:val="20"/>
          <w:szCs w:val="20"/>
          <w:lang w:val="en-US"/>
        </w:rPr>
      </w:pPr>
      <w:r w:rsidRPr="007D47AD">
        <w:rPr>
          <w:rFonts w:asciiTheme="minorHAnsi" w:hAnsiTheme="minorHAnsi"/>
          <w:sz w:val="20"/>
          <w:szCs w:val="20"/>
          <w:lang w:val="en-US"/>
        </w:rPr>
        <w:t>In addition, the State described numerous activities involving training and education on human rights, women’s rights, and gender equality.</w:t>
      </w:r>
      <w:r w:rsidR="00DB446C" w:rsidRPr="007D47AD">
        <w:rPr>
          <w:rStyle w:val="FootnoteReference"/>
          <w:rFonts w:asciiTheme="minorHAnsi" w:hAnsiTheme="minorHAnsi"/>
          <w:sz w:val="20"/>
          <w:szCs w:val="20"/>
          <w:lang w:val="en-US"/>
        </w:rPr>
        <w:footnoteReference w:id="224"/>
      </w:r>
      <w:r w:rsidR="00C878BC" w:rsidRPr="007D47AD">
        <w:rPr>
          <w:rFonts w:asciiTheme="minorHAnsi" w:hAnsiTheme="minorHAnsi"/>
          <w:sz w:val="20"/>
          <w:szCs w:val="20"/>
          <w:lang w:val="en-US"/>
        </w:rPr>
        <w:t xml:space="preserve"> </w:t>
      </w:r>
      <w:r w:rsidRPr="007D47AD">
        <w:rPr>
          <w:rFonts w:asciiTheme="minorHAnsi" w:hAnsiTheme="minorHAnsi"/>
          <w:sz w:val="20"/>
          <w:szCs w:val="20"/>
          <w:lang w:val="en-US"/>
        </w:rPr>
        <w:t>Regarding sexual violence, the Commission was informed that the Ministry of Health is implementing the strategy ai</w:t>
      </w:r>
      <w:r w:rsidR="00424F2D" w:rsidRPr="007D47AD">
        <w:rPr>
          <w:rFonts w:asciiTheme="minorHAnsi" w:hAnsiTheme="minorHAnsi"/>
          <w:sz w:val="20"/>
          <w:szCs w:val="20"/>
          <w:lang w:val="en-US"/>
        </w:rPr>
        <w:t>m</w:t>
      </w:r>
      <w:r w:rsidRPr="007D47AD">
        <w:rPr>
          <w:rFonts w:asciiTheme="minorHAnsi" w:hAnsiTheme="minorHAnsi"/>
          <w:sz w:val="20"/>
          <w:szCs w:val="20"/>
          <w:lang w:val="en-US"/>
        </w:rPr>
        <w:t>ed at “reinforcing essential health care for persons who experience sexual violence,” for which specific resources are earmarked; it has reviewed and</w:t>
      </w:r>
      <w:r w:rsidR="00424F2D" w:rsidRPr="007D47AD">
        <w:rPr>
          <w:rFonts w:asciiTheme="minorHAnsi" w:hAnsiTheme="minorHAnsi"/>
          <w:sz w:val="20"/>
          <w:szCs w:val="20"/>
          <w:lang w:val="en-US"/>
        </w:rPr>
        <w:t xml:space="preserve"> </w:t>
      </w:r>
      <w:r w:rsidRPr="007D47AD">
        <w:rPr>
          <w:rFonts w:asciiTheme="minorHAnsi" w:hAnsiTheme="minorHAnsi"/>
          <w:sz w:val="20"/>
          <w:szCs w:val="20"/>
          <w:lang w:val="en-US"/>
        </w:rPr>
        <w:t>updated the context of regulations and guidance; and it has programmed integral supervision in the health servic</w:t>
      </w:r>
      <w:r w:rsidR="00424F2D" w:rsidRPr="007D47AD">
        <w:rPr>
          <w:rFonts w:asciiTheme="minorHAnsi" w:hAnsiTheme="minorHAnsi"/>
          <w:sz w:val="20"/>
          <w:szCs w:val="20"/>
          <w:lang w:val="en-US"/>
        </w:rPr>
        <w:t>e</w:t>
      </w:r>
      <w:r w:rsidRPr="007D47AD">
        <w:rPr>
          <w:rFonts w:asciiTheme="minorHAnsi" w:hAnsiTheme="minorHAnsi"/>
          <w:sz w:val="20"/>
          <w:szCs w:val="20"/>
          <w:lang w:val="en-US"/>
        </w:rPr>
        <w:t>s of the 10 states identified as priority.</w:t>
      </w:r>
      <w:r w:rsidR="00C878BC" w:rsidRPr="007D47AD">
        <w:rPr>
          <w:rStyle w:val="FootnoteReference"/>
          <w:rFonts w:asciiTheme="minorHAnsi" w:hAnsiTheme="minorHAnsi"/>
          <w:sz w:val="20"/>
          <w:szCs w:val="20"/>
          <w:lang w:val="en-US"/>
        </w:rPr>
        <w:footnoteReference w:id="225"/>
      </w:r>
      <w:r w:rsidR="00C878BC" w:rsidRPr="007D47AD">
        <w:rPr>
          <w:rFonts w:asciiTheme="minorHAnsi" w:hAnsiTheme="minorHAnsi"/>
          <w:sz w:val="20"/>
          <w:szCs w:val="20"/>
          <w:lang w:val="en-US"/>
        </w:rPr>
        <w:t xml:space="preserve"> </w:t>
      </w:r>
      <w:r w:rsidRPr="007D47AD">
        <w:rPr>
          <w:rFonts w:asciiTheme="minorHAnsi" w:hAnsiTheme="minorHAnsi"/>
          <w:sz w:val="20"/>
          <w:szCs w:val="20"/>
          <w:lang w:val="en-US"/>
        </w:rPr>
        <w:t xml:space="preserve">In addition, the IACHR was informed of the creation </w:t>
      </w:r>
      <w:r w:rsidR="00424F2D" w:rsidRPr="007D47AD">
        <w:rPr>
          <w:rFonts w:asciiTheme="minorHAnsi" w:hAnsiTheme="minorHAnsi"/>
          <w:sz w:val="20"/>
          <w:szCs w:val="20"/>
          <w:lang w:val="en-US"/>
        </w:rPr>
        <w:t xml:space="preserve">of the </w:t>
      </w:r>
      <w:r w:rsidRPr="007D47AD">
        <w:rPr>
          <w:rFonts w:asciiTheme="minorHAnsi" w:hAnsiTheme="minorHAnsi"/>
          <w:sz w:val="20"/>
          <w:szCs w:val="20"/>
          <w:lang w:val="en-US"/>
        </w:rPr>
        <w:t>Technical Secretariat on Gender Equality and Attention to Vulnerable Groups by the Federal Institute of the Office of the Public Defender</w:t>
      </w:r>
      <w:r w:rsidR="00C878BC" w:rsidRPr="007D47AD">
        <w:rPr>
          <w:rFonts w:asciiTheme="minorHAnsi" w:hAnsiTheme="minorHAnsi"/>
          <w:sz w:val="20"/>
          <w:szCs w:val="20"/>
          <w:lang w:val="en-US"/>
        </w:rPr>
        <w:t xml:space="preserve">, </w:t>
      </w:r>
      <w:r w:rsidRPr="007D47AD">
        <w:rPr>
          <w:rFonts w:asciiTheme="minorHAnsi" w:hAnsiTheme="minorHAnsi"/>
          <w:sz w:val="20"/>
          <w:szCs w:val="20"/>
          <w:lang w:val="en-US"/>
        </w:rPr>
        <w:t xml:space="preserve">with the aim of guaranteeing the rights of underprivileged persons who historically have experienced marginalization and discrimination. </w:t>
      </w:r>
      <w:r w:rsidR="00424F2D" w:rsidRPr="007D47AD">
        <w:rPr>
          <w:rFonts w:asciiTheme="minorHAnsi" w:hAnsiTheme="minorHAnsi"/>
          <w:sz w:val="20"/>
          <w:szCs w:val="20"/>
          <w:lang w:val="en-US"/>
        </w:rPr>
        <w:t xml:space="preserve">Its </w:t>
      </w:r>
      <w:r w:rsidRPr="007D47AD">
        <w:rPr>
          <w:rFonts w:asciiTheme="minorHAnsi" w:hAnsiTheme="minorHAnsi"/>
          <w:sz w:val="20"/>
          <w:szCs w:val="20"/>
          <w:lang w:val="en-US"/>
        </w:rPr>
        <w:t>activities include strengthening the offices of legal counsel and public defenders’ offices on issues of gender perspective with the aim of eradicating violence and discrimination against women.</w:t>
      </w:r>
      <w:r w:rsidR="00C878BC" w:rsidRPr="007D47AD">
        <w:rPr>
          <w:rStyle w:val="FootnoteReference"/>
          <w:rFonts w:asciiTheme="minorHAnsi" w:hAnsiTheme="minorHAnsi"/>
          <w:sz w:val="20"/>
          <w:szCs w:val="20"/>
          <w:lang w:val="en-US"/>
        </w:rPr>
        <w:footnoteReference w:id="226"/>
      </w:r>
      <w:r w:rsidR="00C878BC" w:rsidRPr="007D47AD">
        <w:rPr>
          <w:rFonts w:asciiTheme="minorHAnsi" w:hAnsiTheme="minorHAnsi"/>
          <w:sz w:val="20"/>
          <w:szCs w:val="20"/>
          <w:lang w:val="en-US"/>
        </w:rPr>
        <w:t xml:space="preserve"> </w:t>
      </w:r>
    </w:p>
    <w:p w:rsidR="00C878BC" w:rsidRPr="007D47AD" w:rsidRDefault="00C878BC" w:rsidP="00C878BC">
      <w:pPr>
        <w:pStyle w:val="CuerpoB"/>
        <w:ind w:firstLine="720"/>
        <w:jc w:val="both"/>
        <w:rPr>
          <w:rFonts w:asciiTheme="minorHAnsi" w:eastAsia="Arial" w:hAnsiTheme="minorHAnsi" w:cs="Arial"/>
          <w:sz w:val="20"/>
          <w:szCs w:val="20"/>
          <w:lang w:val="en-US"/>
        </w:rPr>
      </w:pPr>
    </w:p>
    <w:p w:rsidR="00C878BC" w:rsidRPr="007D47AD" w:rsidRDefault="00124408" w:rsidP="00C878BC">
      <w:pPr>
        <w:numPr>
          <w:ilvl w:val="0"/>
          <w:numId w:val="6"/>
        </w:numPr>
        <w:shd w:val="clear" w:color="auto" w:fill="FFFFFF"/>
        <w:spacing w:after="0" w:line="240" w:lineRule="auto"/>
        <w:ind w:left="0" w:firstLine="720"/>
        <w:jc w:val="both"/>
        <w:rPr>
          <w:rFonts w:asciiTheme="minorHAnsi" w:eastAsia="Arial" w:hAnsiTheme="minorHAnsi" w:cs="Arial"/>
          <w:sz w:val="20"/>
          <w:szCs w:val="20"/>
          <w:lang w:val="en-US"/>
        </w:rPr>
      </w:pPr>
      <w:r w:rsidRPr="007D47AD">
        <w:rPr>
          <w:rFonts w:asciiTheme="minorHAnsi" w:hAnsiTheme="minorHAnsi"/>
          <w:sz w:val="20"/>
          <w:szCs w:val="20"/>
          <w:lang w:val="en-US"/>
        </w:rPr>
        <w:t xml:space="preserve">The Commission also notes that </w:t>
      </w:r>
      <w:r w:rsidR="00424F2D" w:rsidRPr="007D47AD">
        <w:rPr>
          <w:rFonts w:asciiTheme="minorHAnsi" w:hAnsiTheme="minorHAnsi"/>
          <w:sz w:val="20"/>
          <w:szCs w:val="20"/>
          <w:lang w:val="en-US"/>
        </w:rPr>
        <w:t>as of</w:t>
      </w:r>
      <w:r w:rsidRPr="007D47AD">
        <w:rPr>
          <w:rFonts w:asciiTheme="minorHAnsi" w:hAnsiTheme="minorHAnsi"/>
          <w:sz w:val="20"/>
          <w:szCs w:val="20"/>
          <w:lang w:val="en-US"/>
        </w:rPr>
        <w:t xml:space="preserve"> June 18, </w:t>
      </w:r>
      <w:r w:rsidR="00C878BC" w:rsidRPr="007D47AD">
        <w:rPr>
          <w:rFonts w:asciiTheme="minorHAnsi" w:hAnsiTheme="minorHAnsi"/>
          <w:sz w:val="20"/>
          <w:szCs w:val="20"/>
          <w:lang w:val="en-US"/>
        </w:rPr>
        <w:t xml:space="preserve">2019, </w:t>
      </w:r>
      <w:r w:rsidRPr="007D47AD">
        <w:rPr>
          <w:rFonts w:asciiTheme="minorHAnsi" w:hAnsiTheme="minorHAnsi"/>
          <w:sz w:val="20"/>
          <w:szCs w:val="20"/>
          <w:lang w:val="en-US"/>
        </w:rPr>
        <w:t xml:space="preserve">all the states have published their </w:t>
      </w:r>
      <w:r w:rsidR="007E52D5" w:rsidRPr="007D47AD">
        <w:rPr>
          <w:rFonts w:asciiTheme="minorHAnsi" w:hAnsiTheme="minorHAnsi"/>
          <w:sz w:val="20"/>
          <w:szCs w:val="20"/>
          <w:lang w:val="en-US"/>
        </w:rPr>
        <w:t xml:space="preserve">respective laws on access to a life free from violence against women, and that of all of them only Campeche has not regulated it. In addition, the Commission was informed that the states have </w:t>
      </w:r>
      <w:r w:rsidR="00424F2D" w:rsidRPr="007D47AD">
        <w:rPr>
          <w:rFonts w:asciiTheme="minorHAnsi" w:hAnsiTheme="minorHAnsi"/>
          <w:sz w:val="20"/>
          <w:szCs w:val="20"/>
          <w:lang w:val="en-US"/>
        </w:rPr>
        <w:t xml:space="preserve">legislated on </w:t>
      </w:r>
      <w:r w:rsidR="007E52D5" w:rsidRPr="007D47AD">
        <w:rPr>
          <w:rFonts w:asciiTheme="minorHAnsi" w:hAnsiTheme="minorHAnsi"/>
          <w:sz w:val="20"/>
          <w:szCs w:val="20"/>
          <w:lang w:val="en-US"/>
        </w:rPr>
        <w:t xml:space="preserve">new modalities of violence adapted to their context, including obstetric violence, </w:t>
      </w:r>
      <w:r w:rsidR="00424F2D" w:rsidRPr="007D47AD">
        <w:rPr>
          <w:rFonts w:asciiTheme="minorHAnsi" w:hAnsiTheme="minorHAnsi"/>
          <w:sz w:val="20"/>
          <w:szCs w:val="20"/>
          <w:lang w:val="en-US"/>
        </w:rPr>
        <w:t xml:space="preserve">on which there is legislation </w:t>
      </w:r>
      <w:r w:rsidR="007E52D5" w:rsidRPr="007D47AD">
        <w:rPr>
          <w:rFonts w:asciiTheme="minorHAnsi" w:hAnsiTheme="minorHAnsi"/>
          <w:sz w:val="20"/>
          <w:szCs w:val="20"/>
          <w:lang w:val="en-US"/>
        </w:rPr>
        <w:t xml:space="preserve">in 25 states; and violence in the couple, </w:t>
      </w:r>
      <w:r w:rsidR="00424F2D" w:rsidRPr="007D47AD">
        <w:rPr>
          <w:rFonts w:asciiTheme="minorHAnsi" w:hAnsiTheme="minorHAnsi"/>
          <w:sz w:val="20"/>
          <w:szCs w:val="20"/>
          <w:lang w:val="en-US"/>
        </w:rPr>
        <w:t xml:space="preserve">on which there is legislative in </w:t>
      </w:r>
      <w:r w:rsidR="007E52D5" w:rsidRPr="007D47AD">
        <w:rPr>
          <w:rFonts w:asciiTheme="minorHAnsi" w:hAnsiTheme="minorHAnsi"/>
          <w:sz w:val="20"/>
          <w:szCs w:val="20"/>
          <w:lang w:val="en-US"/>
        </w:rPr>
        <w:t>at least 11 states.</w:t>
      </w:r>
      <w:r w:rsidR="00C878BC" w:rsidRPr="007D47AD">
        <w:rPr>
          <w:rStyle w:val="FootnoteReference"/>
          <w:rFonts w:asciiTheme="minorHAnsi" w:hAnsiTheme="minorHAnsi"/>
          <w:sz w:val="20"/>
          <w:szCs w:val="20"/>
          <w:lang w:val="en-US"/>
        </w:rPr>
        <w:footnoteReference w:id="227"/>
      </w:r>
    </w:p>
    <w:p w:rsidR="00C878BC" w:rsidRPr="007D47AD" w:rsidRDefault="00C878BC" w:rsidP="00C878BC">
      <w:pPr>
        <w:pStyle w:val="CuerpoB"/>
        <w:ind w:firstLine="720"/>
        <w:jc w:val="both"/>
        <w:rPr>
          <w:rFonts w:asciiTheme="minorHAnsi" w:eastAsia="Arial" w:hAnsiTheme="minorHAnsi" w:cs="Arial"/>
          <w:sz w:val="20"/>
          <w:szCs w:val="20"/>
          <w:lang w:val="en-US"/>
        </w:rPr>
      </w:pPr>
    </w:p>
    <w:p w:rsidR="00C878BC" w:rsidRPr="007D47AD" w:rsidRDefault="007E52D5" w:rsidP="00C878BC">
      <w:pPr>
        <w:numPr>
          <w:ilvl w:val="0"/>
          <w:numId w:val="6"/>
        </w:numPr>
        <w:shd w:val="clear" w:color="auto" w:fill="FFFFFF"/>
        <w:spacing w:after="0" w:line="240" w:lineRule="auto"/>
        <w:ind w:left="0" w:firstLine="720"/>
        <w:jc w:val="both"/>
        <w:rPr>
          <w:rFonts w:asciiTheme="minorHAnsi" w:eastAsia="Arial" w:hAnsiTheme="minorHAnsi" w:cs="Arial"/>
          <w:sz w:val="20"/>
          <w:szCs w:val="20"/>
          <w:lang w:val="en-US"/>
        </w:rPr>
      </w:pPr>
      <w:r w:rsidRPr="007D47AD">
        <w:rPr>
          <w:rFonts w:asciiTheme="minorHAnsi" w:hAnsiTheme="minorHAnsi"/>
          <w:sz w:val="20"/>
          <w:szCs w:val="20"/>
          <w:lang w:val="en-US"/>
        </w:rPr>
        <w:t>In addition, the IACHR notes that there are 30 procedures for alerts of gender violence against women, 18 of which have resulted in declarations of such alerts in 17 states. In this regard</w:t>
      </w:r>
      <w:r w:rsidR="00C878BC" w:rsidRPr="007D47AD">
        <w:rPr>
          <w:rFonts w:asciiTheme="minorHAnsi" w:hAnsiTheme="minorHAnsi"/>
          <w:sz w:val="20"/>
          <w:szCs w:val="20"/>
          <w:lang w:val="en-US"/>
        </w:rPr>
        <w:t xml:space="preserve">, Veracruz </w:t>
      </w:r>
      <w:r w:rsidRPr="007D47AD">
        <w:rPr>
          <w:rFonts w:asciiTheme="minorHAnsi" w:hAnsiTheme="minorHAnsi"/>
          <w:sz w:val="20"/>
          <w:szCs w:val="20"/>
          <w:lang w:val="en-US"/>
        </w:rPr>
        <w:t xml:space="preserve">is the only one that has declared two alerts, the first for femincidal violence and the second for </w:t>
      </w:r>
      <w:r w:rsidR="00BE4F79" w:rsidRPr="007D47AD">
        <w:rPr>
          <w:rFonts w:asciiTheme="minorHAnsi" w:hAnsiTheme="minorHAnsi"/>
          <w:sz w:val="20"/>
          <w:szCs w:val="20"/>
          <w:lang w:val="en-US"/>
        </w:rPr>
        <w:t xml:space="preserve">comparative insult </w:t>
      </w:r>
      <w:r w:rsidRPr="007D47AD">
        <w:rPr>
          <w:rFonts w:asciiTheme="minorHAnsi" w:hAnsiTheme="minorHAnsi"/>
          <w:sz w:val="20"/>
          <w:szCs w:val="20"/>
          <w:lang w:val="en-US"/>
        </w:rPr>
        <w:t>(</w:t>
      </w:r>
      <w:r w:rsidR="00C878BC" w:rsidRPr="007D47AD">
        <w:rPr>
          <w:rFonts w:asciiTheme="minorHAnsi" w:hAnsiTheme="minorHAnsi"/>
          <w:sz w:val="20"/>
          <w:szCs w:val="20"/>
          <w:lang w:val="en-US"/>
        </w:rPr>
        <w:t xml:space="preserve">Agravio </w:t>
      </w:r>
      <w:r w:rsidR="00C878BC" w:rsidRPr="007D47AD">
        <w:rPr>
          <w:rFonts w:asciiTheme="minorHAnsi" w:hAnsiTheme="minorHAnsi"/>
          <w:sz w:val="20"/>
          <w:szCs w:val="20"/>
          <w:lang w:val="en-US"/>
        </w:rPr>
        <w:lastRenderedPageBreak/>
        <w:t>Comparado</w:t>
      </w:r>
      <w:r w:rsidRPr="007D47AD">
        <w:rPr>
          <w:rFonts w:asciiTheme="minorHAnsi" w:hAnsiTheme="minorHAnsi"/>
          <w:sz w:val="20"/>
          <w:szCs w:val="20"/>
          <w:lang w:val="en-US"/>
        </w:rPr>
        <w:t>)</w:t>
      </w:r>
      <w:r w:rsidR="00C878BC" w:rsidRPr="007D47AD">
        <w:rPr>
          <w:rFonts w:asciiTheme="minorHAnsi" w:hAnsiTheme="minorHAnsi"/>
          <w:sz w:val="20"/>
          <w:szCs w:val="20"/>
          <w:lang w:val="en-US"/>
        </w:rPr>
        <w:t xml:space="preserve">, </w:t>
      </w:r>
      <w:r w:rsidRPr="007D47AD">
        <w:rPr>
          <w:rFonts w:asciiTheme="minorHAnsi" w:hAnsiTheme="minorHAnsi"/>
          <w:sz w:val="20"/>
          <w:szCs w:val="20"/>
          <w:lang w:val="en-US"/>
        </w:rPr>
        <w:t>the latter due to having legislation that violates women’s human rights.</w:t>
      </w:r>
      <w:r w:rsidR="00C878BC" w:rsidRPr="007D47AD">
        <w:rPr>
          <w:rStyle w:val="FootnoteReference"/>
          <w:rFonts w:asciiTheme="minorHAnsi" w:hAnsiTheme="minorHAnsi"/>
          <w:sz w:val="20"/>
          <w:szCs w:val="20"/>
          <w:lang w:val="en-US"/>
        </w:rPr>
        <w:footnoteReference w:id="228"/>
      </w:r>
      <w:r w:rsidR="00C878BC" w:rsidRPr="007D47AD">
        <w:rPr>
          <w:rFonts w:asciiTheme="minorHAnsi" w:hAnsiTheme="minorHAnsi"/>
          <w:sz w:val="20"/>
          <w:szCs w:val="20"/>
          <w:lang w:val="en-US"/>
        </w:rPr>
        <w:t xml:space="preserve"> </w:t>
      </w:r>
      <w:r w:rsidRPr="007D47AD">
        <w:rPr>
          <w:rFonts w:asciiTheme="minorHAnsi" w:hAnsiTheme="minorHAnsi"/>
          <w:sz w:val="20"/>
          <w:szCs w:val="20"/>
          <w:lang w:val="en-US"/>
        </w:rPr>
        <w:t xml:space="preserve">Moreover, during </w:t>
      </w:r>
      <w:r w:rsidR="00C878BC" w:rsidRPr="007D47AD">
        <w:rPr>
          <w:rFonts w:asciiTheme="minorHAnsi" w:hAnsiTheme="minorHAnsi"/>
          <w:sz w:val="20"/>
          <w:szCs w:val="20"/>
          <w:lang w:val="en-US"/>
        </w:rPr>
        <w:t>2019</w:t>
      </w:r>
      <w:r w:rsidRPr="007D47AD">
        <w:rPr>
          <w:rFonts w:asciiTheme="minorHAnsi" w:hAnsiTheme="minorHAnsi"/>
          <w:sz w:val="20"/>
          <w:szCs w:val="20"/>
          <w:lang w:val="en-US"/>
        </w:rPr>
        <w:t xml:space="preserve"> the State has furthered actions to strengthen the work of the Women’s Justice Centers</w:t>
      </w:r>
      <w:r w:rsidR="00C878BC" w:rsidRPr="007D47AD">
        <w:rPr>
          <w:rFonts w:asciiTheme="minorHAnsi" w:hAnsiTheme="minorHAnsi"/>
          <w:sz w:val="20"/>
          <w:szCs w:val="20"/>
          <w:lang w:val="en-US"/>
        </w:rPr>
        <w:t xml:space="preserve">, </w:t>
      </w:r>
      <w:r w:rsidRPr="007D47AD">
        <w:rPr>
          <w:rFonts w:asciiTheme="minorHAnsi" w:hAnsiTheme="minorHAnsi"/>
          <w:sz w:val="20"/>
          <w:szCs w:val="20"/>
          <w:lang w:val="en-US"/>
        </w:rPr>
        <w:t xml:space="preserve">in a coordinated agenda against gender violence, in which </w:t>
      </w:r>
      <w:r w:rsidR="00C878BC" w:rsidRPr="007D47AD">
        <w:rPr>
          <w:rFonts w:asciiTheme="minorHAnsi" w:hAnsiTheme="minorHAnsi"/>
          <w:sz w:val="20"/>
          <w:szCs w:val="20"/>
          <w:lang w:val="en-US"/>
        </w:rPr>
        <w:t xml:space="preserve">40 </w:t>
      </w:r>
      <w:r w:rsidRPr="007D47AD">
        <w:rPr>
          <w:rFonts w:asciiTheme="minorHAnsi" w:hAnsiTheme="minorHAnsi"/>
          <w:sz w:val="20"/>
          <w:szCs w:val="20"/>
          <w:lang w:val="en-US"/>
        </w:rPr>
        <w:t xml:space="preserve">such centers have participated, with the aim of building collaborative mechanisms among the different actors associated with the </w:t>
      </w:r>
      <w:r w:rsidR="00C834C0" w:rsidRPr="007D47AD">
        <w:rPr>
          <w:rFonts w:asciiTheme="minorHAnsi" w:hAnsiTheme="minorHAnsi"/>
          <w:sz w:val="20"/>
          <w:szCs w:val="20"/>
          <w:lang w:val="en-US"/>
        </w:rPr>
        <w:t>Women’s Justice Centers</w:t>
      </w:r>
      <w:r w:rsidR="00D75245" w:rsidRPr="007D47AD">
        <w:rPr>
          <w:rFonts w:asciiTheme="minorHAnsi" w:hAnsiTheme="minorHAnsi"/>
          <w:sz w:val="20"/>
          <w:szCs w:val="20"/>
          <w:lang w:val="en-US"/>
        </w:rPr>
        <w:t>,</w:t>
      </w:r>
      <w:r w:rsidRPr="007D47AD">
        <w:rPr>
          <w:rFonts w:asciiTheme="minorHAnsi" w:hAnsiTheme="minorHAnsi"/>
          <w:sz w:val="20"/>
          <w:szCs w:val="20"/>
          <w:lang w:val="en-US"/>
        </w:rPr>
        <w:t xml:space="preserve"> and in addition, the United Nations Office </w:t>
      </w:r>
      <w:r w:rsidR="00BE4F79" w:rsidRPr="007D47AD">
        <w:rPr>
          <w:rFonts w:asciiTheme="minorHAnsi" w:hAnsiTheme="minorHAnsi"/>
          <w:sz w:val="20"/>
          <w:szCs w:val="20"/>
          <w:lang w:val="en-US"/>
        </w:rPr>
        <w:t xml:space="preserve">on </w:t>
      </w:r>
      <w:r w:rsidRPr="007D47AD">
        <w:rPr>
          <w:rFonts w:asciiTheme="minorHAnsi" w:hAnsiTheme="minorHAnsi"/>
          <w:sz w:val="20"/>
          <w:szCs w:val="20"/>
          <w:lang w:val="en-US"/>
        </w:rPr>
        <w:t xml:space="preserve">Drugs and Crime </w:t>
      </w:r>
      <w:r w:rsidR="00C878BC" w:rsidRPr="007D47AD">
        <w:rPr>
          <w:rFonts w:asciiTheme="minorHAnsi" w:hAnsiTheme="minorHAnsi"/>
          <w:sz w:val="20"/>
          <w:szCs w:val="20"/>
          <w:lang w:val="en-US"/>
        </w:rPr>
        <w:t xml:space="preserve">(UNODC) </w:t>
      </w:r>
      <w:r w:rsidRPr="007D47AD">
        <w:rPr>
          <w:rFonts w:asciiTheme="minorHAnsi" w:hAnsiTheme="minorHAnsi"/>
          <w:sz w:val="20"/>
          <w:szCs w:val="20"/>
          <w:lang w:val="en-US"/>
        </w:rPr>
        <w:t xml:space="preserve">and with the United Nations Population Fund </w:t>
      </w:r>
      <w:r w:rsidR="00C878BC" w:rsidRPr="007D47AD">
        <w:rPr>
          <w:rFonts w:asciiTheme="minorHAnsi" w:hAnsiTheme="minorHAnsi"/>
          <w:sz w:val="20"/>
          <w:szCs w:val="20"/>
          <w:lang w:val="en-US"/>
        </w:rPr>
        <w:t>(UNFPA).</w:t>
      </w:r>
      <w:r w:rsidR="00C878BC" w:rsidRPr="007D47AD">
        <w:rPr>
          <w:rStyle w:val="FootnoteReference"/>
          <w:rFonts w:asciiTheme="minorHAnsi" w:hAnsiTheme="minorHAnsi"/>
          <w:sz w:val="20"/>
          <w:szCs w:val="20"/>
          <w:lang w:val="en-US"/>
        </w:rPr>
        <w:footnoteReference w:id="229"/>
      </w:r>
      <w:r w:rsidR="00C878BC" w:rsidRPr="007D47AD">
        <w:rPr>
          <w:rFonts w:asciiTheme="minorHAnsi" w:hAnsiTheme="minorHAnsi"/>
          <w:sz w:val="20"/>
          <w:szCs w:val="20"/>
          <w:lang w:val="en-US"/>
        </w:rPr>
        <w:t xml:space="preserve"> </w:t>
      </w:r>
      <w:r w:rsidR="00124ECF" w:rsidRPr="007D47AD">
        <w:rPr>
          <w:rFonts w:asciiTheme="minorHAnsi" w:hAnsiTheme="minorHAnsi"/>
          <w:sz w:val="20"/>
          <w:szCs w:val="20"/>
          <w:lang w:val="en-US"/>
        </w:rPr>
        <w:t xml:space="preserve">In addition, on </w:t>
      </w:r>
      <w:r w:rsidR="00BE4F79" w:rsidRPr="007D47AD">
        <w:rPr>
          <w:rFonts w:asciiTheme="minorHAnsi" w:hAnsiTheme="minorHAnsi"/>
          <w:sz w:val="20"/>
          <w:szCs w:val="20"/>
          <w:lang w:val="en-US"/>
        </w:rPr>
        <w:t xml:space="preserve">occasion of </w:t>
      </w:r>
      <w:r w:rsidR="00124ECF" w:rsidRPr="007D47AD">
        <w:rPr>
          <w:rFonts w:asciiTheme="minorHAnsi" w:hAnsiTheme="minorHAnsi"/>
          <w:sz w:val="20"/>
          <w:szCs w:val="20"/>
          <w:lang w:val="en-US"/>
        </w:rPr>
        <w:t xml:space="preserve">the National Forum of Liaisons of the National Bank of Data and Information on Cases of Violence against Women, and the National Meeting of the </w:t>
      </w:r>
      <w:r w:rsidR="00C878BC" w:rsidRPr="007D47AD">
        <w:rPr>
          <w:rFonts w:asciiTheme="minorHAnsi" w:hAnsiTheme="minorHAnsi"/>
          <w:sz w:val="20"/>
          <w:szCs w:val="20"/>
          <w:lang w:val="en-US"/>
        </w:rPr>
        <w:t>BANAVIM</w:t>
      </w:r>
      <w:r w:rsidR="00124ECF" w:rsidRPr="007D47AD">
        <w:rPr>
          <w:rFonts w:asciiTheme="minorHAnsi" w:hAnsiTheme="minorHAnsi"/>
          <w:sz w:val="20"/>
          <w:szCs w:val="20"/>
          <w:lang w:val="en-US"/>
        </w:rPr>
        <w:t xml:space="preserve"> with liaisons from the superior courts of justice, it is reported that from January to May </w:t>
      </w:r>
      <w:r w:rsidR="00C878BC" w:rsidRPr="007D47AD">
        <w:rPr>
          <w:rFonts w:asciiTheme="minorHAnsi" w:hAnsiTheme="minorHAnsi"/>
          <w:sz w:val="20"/>
          <w:szCs w:val="20"/>
          <w:lang w:val="en-US"/>
        </w:rPr>
        <w:t xml:space="preserve">2019 </w:t>
      </w:r>
      <w:r w:rsidR="00124ECF" w:rsidRPr="007D47AD">
        <w:rPr>
          <w:rFonts w:asciiTheme="minorHAnsi" w:hAnsiTheme="minorHAnsi"/>
          <w:sz w:val="20"/>
          <w:szCs w:val="20"/>
          <w:lang w:val="en-US"/>
        </w:rPr>
        <w:t xml:space="preserve">there were </w:t>
      </w:r>
      <w:r w:rsidR="00C878BC" w:rsidRPr="007D47AD">
        <w:rPr>
          <w:rFonts w:asciiTheme="minorHAnsi" w:hAnsiTheme="minorHAnsi"/>
          <w:sz w:val="20"/>
          <w:szCs w:val="20"/>
          <w:lang w:val="en-US"/>
        </w:rPr>
        <w:t>37</w:t>
      </w:r>
      <w:r w:rsidR="00124ECF" w:rsidRPr="007D47AD">
        <w:rPr>
          <w:rFonts w:asciiTheme="minorHAnsi" w:hAnsiTheme="minorHAnsi"/>
          <w:sz w:val="20"/>
          <w:szCs w:val="20"/>
          <w:lang w:val="en-US"/>
        </w:rPr>
        <w:t>,</w:t>
      </w:r>
      <w:r w:rsidR="00C878BC" w:rsidRPr="007D47AD">
        <w:rPr>
          <w:rFonts w:asciiTheme="minorHAnsi" w:hAnsiTheme="minorHAnsi"/>
          <w:sz w:val="20"/>
          <w:szCs w:val="20"/>
          <w:lang w:val="en-US"/>
        </w:rPr>
        <w:t>237 cas</w:t>
      </w:r>
      <w:r w:rsidR="00124ECF" w:rsidRPr="007D47AD">
        <w:rPr>
          <w:rFonts w:asciiTheme="minorHAnsi" w:hAnsiTheme="minorHAnsi"/>
          <w:sz w:val="20"/>
          <w:szCs w:val="20"/>
          <w:lang w:val="en-US"/>
        </w:rPr>
        <w:t>es of violence against women.</w:t>
      </w:r>
      <w:r w:rsidR="00C878BC" w:rsidRPr="007D47AD">
        <w:rPr>
          <w:rStyle w:val="FootnoteReference"/>
          <w:rFonts w:asciiTheme="minorHAnsi" w:hAnsiTheme="minorHAnsi"/>
          <w:sz w:val="20"/>
          <w:szCs w:val="20"/>
          <w:lang w:val="en-US"/>
        </w:rPr>
        <w:footnoteReference w:id="230"/>
      </w:r>
    </w:p>
    <w:p w:rsidR="00C878BC" w:rsidRPr="007D47AD" w:rsidRDefault="00C878BC" w:rsidP="00C878BC">
      <w:pPr>
        <w:pStyle w:val="ListParagraph"/>
        <w:ind w:left="0" w:firstLine="720"/>
        <w:rPr>
          <w:rFonts w:asciiTheme="minorHAnsi" w:hAnsiTheme="minorHAnsi"/>
          <w:color w:val="000000"/>
          <w:sz w:val="20"/>
          <w:szCs w:val="20"/>
          <w:lang w:val="en-US"/>
        </w:rPr>
      </w:pPr>
    </w:p>
    <w:p w:rsidR="00C878BC" w:rsidRPr="007D47AD" w:rsidRDefault="00BB458A" w:rsidP="00C878BC">
      <w:pPr>
        <w:numPr>
          <w:ilvl w:val="0"/>
          <w:numId w:val="6"/>
        </w:numPr>
        <w:shd w:val="clear" w:color="auto" w:fill="FFFFFF"/>
        <w:spacing w:after="0" w:line="240" w:lineRule="auto"/>
        <w:ind w:left="0" w:firstLine="720"/>
        <w:jc w:val="both"/>
        <w:rPr>
          <w:rFonts w:asciiTheme="minorHAnsi" w:hAnsiTheme="minorHAnsi"/>
          <w:color w:val="000000"/>
          <w:sz w:val="20"/>
          <w:szCs w:val="20"/>
          <w:lang w:val="en-US"/>
        </w:rPr>
      </w:pPr>
      <w:r w:rsidRPr="007D47AD">
        <w:rPr>
          <w:rFonts w:asciiTheme="minorHAnsi" w:hAnsiTheme="minorHAnsi"/>
          <w:color w:val="000000"/>
          <w:sz w:val="20"/>
          <w:szCs w:val="20"/>
          <w:lang w:val="en-US"/>
        </w:rPr>
        <w:t>As regards murders of women based on their gender, the Commission welcomes the adoption of statutes providing for the crime of feminicide throughout Mexico</w:t>
      </w:r>
      <w:r w:rsidR="00C878BC" w:rsidRPr="007D47AD">
        <w:rPr>
          <w:rFonts w:asciiTheme="minorHAnsi" w:hAnsiTheme="minorHAnsi"/>
          <w:color w:val="000000"/>
          <w:sz w:val="20"/>
          <w:szCs w:val="20"/>
          <w:vertAlign w:val="superscript"/>
          <w:lang w:val="en-US"/>
        </w:rPr>
        <w:footnoteReference w:id="231"/>
      </w:r>
      <w:r w:rsidR="00C878BC" w:rsidRPr="007D47AD">
        <w:rPr>
          <w:rFonts w:asciiTheme="minorHAnsi" w:hAnsiTheme="minorHAnsi"/>
          <w:color w:val="000000"/>
          <w:sz w:val="20"/>
          <w:szCs w:val="20"/>
          <w:lang w:val="en-US"/>
        </w:rPr>
        <w:t xml:space="preserve"> </w:t>
      </w:r>
      <w:r w:rsidRPr="007D47AD">
        <w:rPr>
          <w:rFonts w:asciiTheme="minorHAnsi" w:hAnsiTheme="minorHAnsi"/>
          <w:color w:val="000000"/>
          <w:sz w:val="20"/>
          <w:szCs w:val="20"/>
          <w:lang w:val="en-US"/>
        </w:rPr>
        <w:t xml:space="preserve">establishing that the willful murder of a woman occurs when the victim is threatened or rendered incommunicado before dying, when degrading lesions are inflicted on her, or when her corpse is put on display. The </w:t>
      </w:r>
      <w:r w:rsidR="00C878BC" w:rsidRPr="007D47AD">
        <w:rPr>
          <w:rFonts w:asciiTheme="minorHAnsi" w:hAnsiTheme="minorHAnsi"/>
          <w:color w:val="000000"/>
          <w:sz w:val="20"/>
          <w:szCs w:val="20"/>
          <w:lang w:val="en-US"/>
        </w:rPr>
        <w:t>text</w:t>
      </w:r>
      <w:r w:rsidRPr="007D47AD">
        <w:rPr>
          <w:rFonts w:asciiTheme="minorHAnsi" w:hAnsiTheme="minorHAnsi"/>
          <w:color w:val="000000"/>
          <w:sz w:val="20"/>
          <w:szCs w:val="20"/>
          <w:lang w:val="en-US"/>
        </w:rPr>
        <w:t xml:space="preserve"> also indicates sanctions for those public servants who by act or omission delay the attention given to this crime, as well as mechanisms for making reparation for the harm to the family members of the women murdered.</w:t>
      </w:r>
      <w:r w:rsidR="00C878BC" w:rsidRPr="007D47AD">
        <w:rPr>
          <w:rStyle w:val="FootnoteReference"/>
          <w:rFonts w:asciiTheme="minorHAnsi" w:hAnsiTheme="minorHAnsi"/>
          <w:color w:val="000000"/>
          <w:sz w:val="20"/>
          <w:szCs w:val="20"/>
          <w:lang w:val="en-US"/>
        </w:rPr>
        <w:footnoteReference w:id="232"/>
      </w:r>
      <w:r w:rsidR="00C878BC" w:rsidRPr="007D47AD">
        <w:rPr>
          <w:rFonts w:asciiTheme="minorHAnsi" w:hAnsiTheme="minorHAnsi"/>
          <w:color w:val="000000"/>
          <w:sz w:val="20"/>
          <w:szCs w:val="20"/>
          <w:lang w:val="en-US"/>
        </w:rPr>
        <w:t xml:space="preserve"> </w:t>
      </w:r>
      <w:r w:rsidRPr="007D47AD">
        <w:rPr>
          <w:rFonts w:asciiTheme="minorHAnsi" w:hAnsiTheme="minorHAnsi"/>
          <w:color w:val="000000"/>
          <w:sz w:val="20"/>
          <w:szCs w:val="20"/>
          <w:lang w:val="en-US"/>
        </w:rPr>
        <w:t xml:space="preserve">In this </w:t>
      </w:r>
      <w:r w:rsidR="00C878BC" w:rsidRPr="007D47AD">
        <w:rPr>
          <w:rFonts w:asciiTheme="minorHAnsi" w:hAnsiTheme="minorHAnsi"/>
          <w:color w:val="000000"/>
          <w:sz w:val="20"/>
          <w:szCs w:val="20"/>
          <w:lang w:val="en-US"/>
        </w:rPr>
        <w:t xml:space="preserve">respect, </w:t>
      </w:r>
      <w:r w:rsidRPr="007D47AD">
        <w:rPr>
          <w:rFonts w:asciiTheme="minorHAnsi" w:hAnsiTheme="minorHAnsi"/>
          <w:color w:val="000000"/>
          <w:sz w:val="20"/>
          <w:szCs w:val="20"/>
          <w:lang w:val="en-US"/>
        </w:rPr>
        <w:t>the IACHR observes that until now of the country’s 32 states, 19 have a stat</w:t>
      </w:r>
      <w:r w:rsidR="00612D71" w:rsidRPr="007D47AD">
        <w:rPr>
          <w:rFonts w:asciiTheme="minorHAnsi" w:hAnsiTheme="minorHAnsi"/>
          <w:color w:val="000000"/>
          <w:sz w:val="20"/>
          <w:szCs w:val="20"/>
          <w:lang w:val="en-US"/>
        </w:rPr>
        <w:t xml:space="preserve">utory definition that complies in full or in part with the characteristics for being able to show the offense and </w:t>
      </w:r>
      <w:r w:rsidR="00C878BC" w:rsidRPr="007D47AD">
        <w:rPr>
          <w:rFonts w:asciiTheme="minorHAnsi" w:hAnsiTheme="minorHAnsi"/>
          <w:color w:val="000000"/>
          <w:sz w:val="20"/>
          <w:szCs w:val="20"/>
          <w:lang w:val="en-US"/>
        </w:rPr>
        <w:t xml:space="preserve">13 </w:t>
      </w:r>
      <w:r w:rsidR="00612D71" w:rsidRPr="007D47AD">
        <w:rPr>
          <w:rFonts w:asciiTheme="minorHAnsi" w:hAnsiTheme="minorHAnsi"/>
          <w:color w:val="000000"/>
          <w:sz w:val="20"/>
          <w:szCs w:val="20"/>
          <w:lang w:val="en-US"/>
        </w:rPr>
        <w:t>do not yet have an adequate criminal statute.</w:t>
      </w:r>
      <w:r w:rsidR="00C878BC" w:rsidRPr="007D47AD">
        <w:rPr>
          <w:rStyle w:val="FootnoteReference"/>
          <w:rFonts w:asciiTheme="minorHAnsi" w:hAnsiTheme="minorHAnsi"/>
          <w:color w:val="000000"/>
          <w:sz w:val="20"/>
          <w:szCs w:val="20"/>
          <w:lang w:val="en-US"/>
        </w:rPr>
        <w:footnoteReference w:id="233"/>
      </w:r>
      <w:r w:rsidR="00FC74D6" w:rsidRPr="007D47AD">
        <w:rPr>
          <w:rFonts w:asciiTheme="minorHAnsi" w:hAnsiTheme="minorHAnsi"/>
          <w:color w:val="000000"/>
          <w:sz w:val="20"/>
          <w:szCs w:val="20"/>
          <w:lang w:val="en-US"/>
        </w:rPr>
        <w:t xml:space="preserve"> </w:t>
      </w:r>
      <w:r w:rsidR="00C878BC" w:rsidRPr="007D47AD">
        <w:rPr>
          <w:rFonts w:asciiTheme="minorHAnsi" w:hAnsiTheme="minorHAnsi"/>
          <w:color w:val="000000"/>
          <w:sz w:val="20"/>
          <w:szCs w:val="20"/>
          <w:lang w:val="en-US"/>
        </w:rPr>
        <w:t xml:space="preserve"> </w:t>
      </w:r>
    </w:p>
    <w:p w:rsidR="00C878BC" w:rsidRPr="007D47AD" w:rsidRDefault="00C878BC" w:rsidP="00C878BC">
      <w:pPr>
        <w:shd w:val="clear" w:color="auto" w:fill="FFFFFF"/>
        <w:spacing w:after="0" w:line="240" w:lineRule="auto"/>
        <w:jc w:val="both"/>
        <w:rPr>
          <w:rFonts w:asciiTheme="minorHAnsi" w:hAnsiTheme="minorHAnsi"/>
          <w:color w:val="000000"/>
          <w:sz w:val="20"/>
          <w:szCs w:val="20"/>
          <w:lang w:val="en-US"/>
        </w:rPr>
      </w:pPr>
    </w:p>
    <w:p w:rsidR="00C878BC" w:rsidRPr="007D47AD" w:rsidRDefault="000A47DD" w:rsidP="00DB446C">
      <w:pPr>
        <w:numPr>
          <w:ilvl w:val="0"/>
          <w:numId w:val="6"/>
        </w:numPr>
        <w:shd w:val="clear" w:color="auto" w:fill="FFFFFF"/>
        <w:spacing w:after="0" w:line="240" w:lineRule="auto"/>
        <w:ind w:left="0" w:firstLine="720"/>
        <w:jc w:val="both"/>
        <w:rPr>
          <w:rFonts w:asciiTheme="minorHAnsi" w:hAnsiTheme="minorHAnsi"/>
          <w:color w:val="000000"/>
          <w:sz w:val="20"/>
          <w:szCs w:val="20"/>
          <w:lang w:val="en-US"/>
        </w:rPr>
      </w:pPr>
      <w:r w:rsidRPr="007D47AD">
        <w:rPr>
          <w:rFonts w:asciiTheme="minorHAnsi" w:hAnsiTheme="minorHAnsi"/>
          <w:color w:val="000000"/>
          <w:sz w:val="20"/>
          <w:szCs w:val="20"/>
          <w:lang w:val="en-US"/>
        </w:rPr>
        <w:t xml:space="preserve">Without prejudice to the foregoing, the Commission reiterates its concern over the high number of assassinations of women </w:t>
      </w:r>
      <w:r w:rsidR="00424F2D" w:rsidRPr="007D47AD">
        <w:rPr>
          <w:rFonts w:asciiTheme="minorHAnsi" w:hAnsiTheme="minorHAnsi"/>
          <w:color w:val="000000"/>
          <w:sz w:val="20"/>
          <w:szCs w:val="20"/>
          <w:lang w:val="en-US"/>
        </w:rPr>
        <w:t xml:space="preserve">in Mexico </w:t>
      </w:r>
      <w:r w:rsidRPr="007D47AD">
        <w:rPr>
          <w:rFonts w:asciiTheme="minorHAnsi" w:hAnsiTheme="minorHAnsi"/>
          <w:color w:val="000000"/>
          <w:sz w:val="20"/>
          <w:szCs w:val="20"/>
          <w:lang w:val="en-US"/>
        </w:rPr>
        <w:t xml:space="preserve">due to their gender, as well as </w:t>
      </w:r>
      <w:r w:rsidR="00424F2D" w:rsidRPr="007D47AD">
        <w:rPr>
          <w:rFonts w:asciiTheme="minorHAnsi" w:hAnsiTheme="minorHAnsi"/>
          <w:color w:val="000000"/>
          <w:sz w:val="20"/>
          <w:szCs w:val="20"/>
          <w:lang w:val="en-US"/>
        </w:rPr>
        <w:t xml:space="preserve">over </w:t>
      </w:r>
      <w:r w:rsidRPr="007D47AD">
        <w:rPr>
          <w:rFonts w:asciiTheme="minorHAnsi" w:hAnsiTheme="minorHAnsi"/>
          <w:color w:val="000000"/>
          <w:sz w:val="20"/>
          <w:szCs w:val="20"/>
          <w:lang w:val="en-US"/>
        </w:rPr>
        <w:t>the widespread impunity around these cases.</w:t>
      </w:r>
      <w:r w:rsidR="00C878BC" w:rsidRPr="007D47AD">
        <w:rPr>
          <w:rFonts w:asciiTheme="minorHAnsi" w:hAnsiTheme="minorHAnsi"/>
          <w:color w:val="000000"/>
          <w:sz w:val="20"/>
          <w:szCs w:val="20"/>
          <w:vertAlign w:val="superscript"/>
          <w:lang w:val="en-US"/>
        </w:rPr>
        <w:footnoteReference w:id="234"/>
      </w:r>
      <w:r w:rsidR="00C878BC" w:rsidRPr="007D47AD">
        <w:rPr>
          <w:rFonts w:asciiTheme="minorHAnsi" w:hAnsiTheme="minorHAnsi"/>
          <w:color w:val="000000"/>
          <w:sz w:val="20"/>
          <w:szCs w:val="20"/>
          <w:lang w:val="en-US"/>
        </w:rPr>
        <w:t xml:space="preserve"> </w:t>
      </w:r>
      <w:r w:rsidRPr="007D47AD">
        <w:rPr>
          <w:rFonts w:asciiTheme="minorHAnsi" w:hAnsiTheme="minorHAnsi"/>
          <w:color w:val="000000"/>
          <w:sz w:val="20"/>
          <w:szCs w:val="20"/>
          <w:lang w:val="en-US"/>
        </w:rPr>
        <w:t xml:space="preserve">According to data from the Executive Secretariat of the National System of Public Security, from 2015 to June 2019 in all </w:t>
      </w:r>
      <w:r w:rsidR="00C878BC" w:rsidRPr="007D47AD">
        <w:rPr>
          <w:rFonts w:asciiTheme="minorHAnsi" w:hAnsiTheme="minorHAnsi"/>
          <w:color w:val="000000"/>
          <w:sz w:val="20"/>
          <w:szCs w:val="20"/>
          <w:lang w:val="en-US"/>
        </w:rPr>
        <w:t xml:space="preserve">3,080 </w:t>
      </w:r>
      <w:r w:rsidR="00424F2D" w:rsidRPr="007D47AD">
        <w:rPr>
          <w:rFonts w:asciiTheme="minorHAnsi" w:hAnsiTheme="minorHAnsi"/>
          <w:color w:val="000000"/>
          <w:sz w:val="20"/>
          <w:szCs w:val="20"/>
          <w:lang w:val="en-US"/>
        </w:rPr>
        <w:t xml:space="preserve">purported </w:t>
      </w:r>
      <w:r w:rsidR="00C878BC" w:rsidRPr="007D47AD">
        <w:rPr>
          <w:rFonts w:asciiTheme="minorHAnsi" w:hAnsiTheme="minorHAnsi"/>
          <w:color w:val="000000"/>
          <w:sz w:val="20"/>
          <w:szCs w:val="20"/>
          <w:lang w:val="en-US"/>
        </w:rPr>
        <w:t>feminicid</w:t>
      </w:r>
      <w:r w:rsidRPr="007D47AD">
        <w:rPr>
          <w:rFonts w:asciiTheme="minorHAnsi" w:hAnsiTheme="minorHAnsi"/>
          <w:color w:val="000000"/>
          <w:sz w:val="20"/>
          <w:szCs w:val="20"/>
          <w:lang w:val="en-US"/>
        </w:rPr>
        <w:t>e</w:t>
      </w:r>
      <w:r w:rsidR="00C878BC" w:rsidRPr="007D47AD">
        <w:rPr>
          <w:rFonts w:asciiTheme="minorHAnsi" w:hAnsiTheme="minorHAnsi"/>
          <w:color w:val="000000"/>
          <w:sz w:val="20"/>
          <w:szCs w:val="20"/>
          <w:lang w:val="en-US"/>
        </w:rPr>
        <w:t>s</w:t>
      </w:r>
      <w:r w:rsidRPr="007D47AD">
        <w:rPr>
          <w:rFonts w:asciiTheme="minorHAnsi" w:hAnsiTheme="minorHAnsi"/>
          <w:color w:val="000000"/>
          <w:sz w:val="20"/>
          <w:szCs w:val="20"/>
          <w:lang w:val="en-US"/>
        </w:rPr>
        <w:t xml:space="preserve"> have been committed</w:t>
      </w:r>
      <w:r w:rsidR="00C878BC" w:rsidRPr="007D47AD">
        <w:rPr>
          <w:rFonts w:asciiTheme="minorHAnsi" w:hAnsiTheme="minorHAnsi"/>
          <w:color w:val="000000"/>
          <w:sz w:val="20"/>
          <w:szCs w:val="20"/>
          <w:lang w:val="en-US"/>
        </w:rPr>
        <w:t xml:space="preserve">, </w:t>
      </w:r>
      <w:r w:rsidRPr="007D47AD">
        <w:rPr>
          <w:rFonts w:asciiTheme="minorHAnsi" w:hAnsiTheme="minorHAnsi"/>
          <w:color w:val="000000"/>
          <w:sz w:val="20"/>
          <w:szCs w:val="20"/>
          <w:lang w:val="en-US"/>
        </w:rPr>
        <w:t xml:space="preserve">and there have been </w:t>
      </w:r>
      <w:r w:rsidR="00C878BC" w:rsidRPr="007D47AD">
        <w:rPr>
          <w:rFonts w:asciiTheme="minorHAnsi" w:hAnsiTheme="minorHAnsi"/>
          <w:color w:val="000000"/>
          <w:sz w:val="20"/>
          <w:szCs w:val="20"/>
          <w:lang w:val="en-US"/>
        </w:rPr>
        <w:t xml:space="preserve">10,610 </w:t>
      </w:r>
      <w:r w:rsidR="00424F2D" w:rsidRPr="007D47AD">
        <w:rPr>
          <w:rFonts w:asciiTheme="minorHAnsi" w:hAnsiTheme="minorHAnsi"/>
          <w:color w:val="000000"/>
          <w:sz w:val="20"/>
          <w:szCs w:val="20"/>
          <w:lang w:val="en-US"/>
        </w:rPr>
        <w:t xml:space="preserve">purported </w:t>
      </w:r>
      <w:r w:rsidRPr="007D47AD">
        <w:rPr>
          <w:rFonts w:asciiTheme="minorHAnsi" w:hAnsiTheme="minorHAnsi"/>
          <w:color w:val="000000"/>
          <w:sz w:val="20"/>
          <w:szCs w:val="20"/>
          <w:lang w:val="en-US"/>
        </w:rPr>
        <w:t xml:space="preserve">women victims of </w:t>
      </w:r>
      <w:r w:rsidR="0048039D" w:rsidRPr="007D47AD">
        <w:rPr>
          <w:rFonts w:asciiTheme="minorHAnsi" w:hAnsiTheme="minorHAnsi"/>
          <w:color w:val="000000"/>
          <w:sz w:val="20"/>
          <w:szCs w:val="20"/>
          <w:lang w:val="en-US"/>
        </w:rPr>
        <w:t xml:space="preserve">intentional </w:t>
      </w:r>
      <w:r w:rsidRPr="007D47AD">
        <w:rPr>
          <w:rFonts w:asciiTheme="minorHAnsi" w:hAnsiTheme="minorHAnsi"/>
          <w:color w:val="000000"/>
          <w:sz w:val="20"/>
          <w:szCs w:val="20"/>
          <w:lang w:val="en-US"/>
        </w:rPr>
        <w:t>homicide. In the first six months of 2019 a total of 1,812 women have been assassinated, i.e. 10 women per day on average.</w:t>
      </w:r>
      <w:r w:rsidR="00C878BC" w:rsidRPr="007D47AD">
        <w:rPr>
          <w:rStyle w:val="FootnoteReference"/>
          <w:rFonts w:asciiTheme="minorHAnsi" w:hAnsiTheme="minorHAnsi"/>
          <w:color w:val="000000"/>
          <w:sz w:val="20"/>
          <w:szCs w:val="20"/>
          <w:lang w:val="en-US"/>
        </w:rPr>
        <w:footnoteReference w:id="235"/>
      </w:r>
      <w:r w:rsidR="00C878BC" w:rsidRPr="007D47AD">
        <w:rPr>
          <w:rFonts w:asciiTheme="minorHAnsi" w:hAnsiTheme="minorHAnsi"/>
          <w:color w:val="000000"/>
          <w:sz w:val="20"/>
          <w:szCs w:val="20"/>
          <w:lang w:val="en-US"/>
        </w:rPr>
        <w:t xml:space="preserve"> </w:t>
      </w:r>
      <w:r w:rsidR="0081328A" w:rsidRPr="007D47AD">
        <w:rPr>
          <w:rFonts w:asciiTheme="minorHAnsi" w:hAnsiTheme="minorHAnsi"/>
          <w:color w:val="000000"/>
          <w:sz w:val="20"/>
          <w:szCs w:val="20"/>
          <w:lang w:val="en-US"/>
        </w:rPr>
        <w:t xml:space="preserve">As for sexual violence, in Mexico sex crimes against women increased 20% during the first half of </w:t>
      </w:r>
      <w:r w:rsidR="00C878BC" w:rsidRPr="007D47AD">
        <w:rPr>
          <w:rFonts w:asciiTheme="minorHAnsi" w:hAnsiTheme="minorHAnsi"/>
          <w:color w:val="000000"/>
          <w:sz w:val="20"/>
          <w:szCs w:val="20"/>
          <w:lang w:val="en-US"/>
        </w:rPr>
        <w:t>2019</w:t>
      </w:r>
      <w:r w:rsidR="0081328A" w:rsidRPr="007D47AD">
        <w:rPr>
          <w:rFonts w:asciiTheme="minorHAnsi" w:hAnsiTheme="minorHAnsi"/>
          <w:color w:val="000000"/>
          <w:sz w:val="20"/>
          <w:szCs w:val="20"/>
          <w:lang w:val="en-US"/>
        </w:rPr>
        <w:t xml:space="preserve"> compared to the same period last year, according to calculations by the federal government. The prosecutorial services have opened at least </w:t>
      </w:r>
      <w:r w:rsidR="00C878BC" w:rsidRPr="007D47AD">
        <w:rPr>
          <w:rFonts w:asciiTheme="minorHAnsi" w:hAnsiTheme="minorHAnsi"/>
          <w:color w:val="000000"/>
          <w:sz w:val="20"/>
          <w:szCs w:val="20"/>
          <w:lang w:val="en-US"/>
        </w:rPr>
        <w:t>22</w:t>
      </w:r>
      <w:r w:rsidR="0081328A" w:rsidRPr="007D47AD">
        <w:rPr>
          <w:rFonts w:asciiTheme="minorHAnsi" w:hAnsiTheme="minorHAnsi"/>
          <w:color w:val="000000"/>
          <w:sz w:val="20"/>
          <w:szCs w:val="20"/>
          <w:lang w:val="en-US"/>
        </w:rPr>
        <w:t>,</w:t>
      </w:r>
      <w:r w:rsidR="00C878BC" w:rsidRPr="007D47AD">
        <w:rPr>
          <w:rFonts w:asciiTheme="minorHAnsi" w:hAnsiTheme="minorHAnsi"/>
          <w:color w:val="000000"/>
          <w:sz w:val="20"/>
          <w:szCs w:val="20"/>
          <w:lang w:val="en-US"/>
        </w:rPr>
        <w:t xml:space="preserve">749 </w:t>
      </w:r>
      <w:r w:rsidR="0081328A" w:rsidRPr="007D47AD">
        <w:rPr>
          <w:rFonts w:asciiTheme="minorHAnsi" w:hAnsiTheme="minorHAnsi"/>
          <w:color w:val="000000"/>
          <w:sz w:val="20"/>
          <w:szCs w:val="20"/>
          <w:lang w:val="en-US"/>
        </w:rPr>
        <w:t xml:space="preserve">investigative files for some sex crime against women this year, whereas in </w:t>
      </w:r>
      <w:r w:rsidR="00C878BC" w:rsidRPr="007D47AD">
        <w:rPr>
          <w:rFonts w:asciiTheme="minorHAnsi" w:hAnsiTheme="minorHAnsi"/>
          <w:color w:val="000000"/>
          <w:sz w:val="20"/>
          <w:szCs w:val="20"/>
          <w:lang w:val="en-US"/>
        </w:rPr>
        <w:t xml:space="preserve">2018 </w:t>
      </w:r>
      <w:r w:rsidR="0081328A" w:rsidRPr="007D47AD">
        <w:rPr>
          <w:rFonts w:asciiTheme="minorHAnsi" w:hAnsiTheme="minorHAnsi"/>
          <w:color w:val="000000"/>
          <w:sz w:val="20"/>
          <w:szCs w:val="20"/>
          <w:lang w:val="en-US"/>
        </w:rPr>
        <w:t>only 18,</w:t>
      </w:r>
      <w:r w:rsidR="00C878BC" w:rsidRPr="007D47AD">
        <w:rPr>
          <w:rFonts w:asciiTheme="minorHAnsi" w:hAnsiTheme="minorHAnsi"/>
          <w:color w:val="000000"/>
          <w:sz w:val="20"/>
          <w:szCs w:val="20"/>
          <w:lang w:val="en-US"/>
        </w:rPr>
        <w:t xml:space="preserve">970 </w:t>
      </w:r>
      <w:r w:rsidR="0081328A" w:rsidRPr="007D47AD">
        <w:rPr>
          <w:rFonts w:asciiTheme="minorHAnsi" w:hAnsiTheme="minorHAnsi"/>
          <w:color w:val="000000"/>
          <w:sz w:val="20"/>
          <w:szCs w:val="20"/>
          <w:lang w:val="en-US"/>
        </w:rPr>
        <w:t xml:space="preserve">such cases were investigated. A total of 10,522 cases of sexual abuse have been recorded, which represents a </w:t>
      </w:r>
      <w:r w:rsidR="00C878BC" w:rsidRPr="007D47AD">
        <w:rPr>
          <w:rFonts w:asciiTheme="minorHAnsi" w:hAnsiTheme="minorHAnsi"/>
          <w:color w:val="000000"/>
          <w:sz w:val="20"/>
          <w:szCs w:val="20"/>
          <w:lang w:val="en-US"/>
        </w:rPr>
        <w:t xml:space="preserve">30.1% </w:t>
      </w:r>
      <w:r w:rsidR="0081328A" w:rsidRPr="007D47AD">
        <w:rPr>
          <w:rFonts w:asciiTheme="minorHAnsi" w:hAnsiTheme="minorHAnsi"/>
          <w:color w:val="000000"/>
          <w:sz w:val="20"/>
          <w:szCs w:val="20"/>
          <w:lang w:val="en-US"/>
        </w:rPr>
        <w:t xml:space="preserve">increase with respect to the previous year, at the same time as the reports of sexual harassment increased </w:t>
      </w:r>
      <w:r w:rsidR="00C878BC" w:rsidRPr="007D47AD">
        <w:rPr>
          <w:rFonts w:asciiTheme="minorHAnsi" w:hAnsiTheme="minorHAnsi"/>
          <w:color w:val="000000"/>
          <w:sz w:val="20"/>
          <w:szCs w:val="20"/>
          <w:lang w:val="en-US"/>
        </w:rPr>
        <w:t xml:space="preserve">54.3%, </w:t>
      </w:r>
      <w:r w:rsidR="0081328A" w:rsidRPr="007D47AD">
        <w:rPr>
          <w:rFonts w:asciiTheme="minorHAnsi" w:hAnsiTheme="minorHAnsi"/>
          <w:color w:val="000000"/>
          <w:sz w:val="20"/>
          <w:szCs w:val="20"/>
          <w:lang w:val="en-US"/>
        </w:rPr>
        <w:t xml:space="preserve">from </w:t>
      </w:r>
      <w:r w:rsidR="00C878BC" w:rsidRPr="007D47AD">
        <w:rPr>
          <w:rFonts w:asciiTheme="minorHAnsi" w:hAnsiTheme="minorHAnsi"/>
          <w:color w:val="000000"/>
          <w:sz w:val="20"/>
          <w:szCs w:val="20"/>
          <w:lang w:val="en-US"/>
        </w:rPr>
        <w:t>1</w:t>
      </w:r>
      <w:r w:rsidR="0081328A" w:rsidRPr="007D47AD">
        <w:rPr>
          <w:rFonts w:asciiTheme="minorHAnsi" w:hAnsiTheme="minorHAnsi"/>
          <w:color w:val="000000"/>
          <w:sz w:val="20"/>
          <w:szCs w:val="20"/>
          <w:lang w:val="en-US"/>
        </w:rPr>
        <w:t>,</w:t>
      </w:r>
      <w:r w:rsidR="00C878BC" w:rsidRPr="007D47AD">
        <w:rPr>
          <w:rFonts w:asciiTheme="minorHAnsi" w:hAnsiTheme="minorHAnsi"/>
          <w:color w:val="000000"/>
          <w:sz w:val="20"/>
          <w:szCs w:val="20"/>
          <w:lang w:val="en-US"/>
        </w:rPr>
        <w:t xml:space="preserve">154 </w:t>
      </w:r>
      <w:r w:rsidR="0081328A" w:rsidRPr="007D47AD">
        <w:rPr>
          <w:rFonts w:asciiTheme="minorHAnsi" w:hAnsiTheme="minorHAnsi"/>
          <w:color w:val="000000"/>
          <w:sz w:val="20"/>
          <w:szCs w:val="20"/>
          <w:lang w:val="en-US"/>
        </w:rPr>
        <w:t xml:space="preserve">investigative files for January to June 2018 to </w:t>
      </w:r>
      <w:r w:rsidR="00C878BC" w:rsidRPr="007D47AD">
        <w:rPr>
          <w:rFonts w:asciiTheme="minorHAnsi" w:hAnsiTheme="minorHAnsi"/>
          <w:color w:val="000000"/>
          <w:sz w:val="20"/>
          <w:szCs w:val="20"/>
          <w:lang w:val="en-US"/>
        </w:rPr>
        <w:t>1</w:t>
      </w:r>
      <w:r w:rsidR="0081328A" w:rsidRPr="007D47AD">
        <w:rPr>
          <w:rFonts w:asciiTheme="minorHAnsi" w:hAnsiTheme="minorHAnsi"/>
          <w:color w:val="000000"/>
          <w:sz w:val="20"/>
          <w:szCs w:val="20"/>
          <w:lang w:val="en-US"/>
        </w:rPr>
        <w:t>,</w:t>
      </w:r>
      <w:r w:rsidR="00C878BC" w:rsidRPr="007D47AD">
        <w:rPr>
          <w:rFonts w:asciiTheme="minorHAnsi" w:hAnsiTheme="minorHAnsi"/>
          <w:color w:val="000000"/>
          <w:sz w:val="20"/>
          <w:szCs w:val="20"/>
          <w:lang w:val="en-US"/>
        </w:rPr>
        <w:t xml:space="preserve">780 </w:t>
      </w:r>
      <w:r w:rsidR="0081328A" w:rsidRPr="007D47AD">
        <w:rPr>
          <w:rFonts w:asciiTheme="minorHAnsi" w:hAnsiTheme="minorHAnsi"/>
          <w:color w:val="000000"/>
          <w:sz w:val="20"/>
          <w:szCs w:val="20"/>
          <w:lang w:val="en-US"/>
        </w:rPr>
        <w:t xml:space="preserve">in </w:t>
      </w:r>
      <w:r w:rsidR="00C878BC" w:rsidRPr="007D47AD">
        <w:rPr>
          <w:rFonts w:asciiTheme="minorHAnsi" w:hAnsiTheme="minorHAnsi"/>
          <w:color w:val="000000"/>
          <w:sz w:val="20"/>
          <w:szCs w:val="20"/>
          <w:lang w:val="en-US"/>
        </w:rPr>
        <w:t>2019</w:t>
      </w:r>
      <w:r w:rsidR="0081328A" w:rsidRPr="007D47AD">
        <w:rPr>
          <w:rFonts w:asciiTheme="minorHAnsi" w:hAnsiTheme="minorHAnsi"/>
          <w:color w:val="000000"/>
          <w:sz w:val="20"/>
          <w:szCs w:val="20"/>
          <w:lang w:val="en-US"/>
        </w:rPr>
        <w:t>.</w:t>
      </w:r>
      <w:r w:rsidR="00C878BC" w:rsidRPr="007D47AD">
        <w:rPr>
          <w:rStyle w:val="FootnoteReference"/>
          <w:rFonts w:asciiTheme="minorHAnsi" w:hAnsiTheme="minorHAnsi"/>
          <w:color w:val="000000"/>
          <w:sz w:val="20"/>
          <w:szCs w:val="20"/>
          <w:lang w:val="en-US"/>
        </w:rPr>
        <w:footnoteReference w:id="236"/>
      </w:r>
      <w:r w:rsidR="00C878BC" w:rsidRPr="007D47AD">
        <w:rPr>
          <w:rFonts w:asciiTheme="minorHAnsi" w:hAnsiTheme="minorHAnsi"/>
          <w:color w:val="000000"/>
          <w:sz w:val="20"/>
          <w:szCs w:val="20"/>
          <w:lang w:val="en-US"/>
        </w:rPr>
        <w:t xml:space="preserve"> </w:t>
      </w:r>
      <w:r w:rsidR="00CF4CD2" w:rsidRPr="007D47AD">
        <w:rPr>
          <w:rFonts w:asciiTheme="minorHAnsi" w:hAnsiTheme="minorHAnsi"/>
          <w:sz w:val="20"/>
          <w:szCs w:val="20"/>
          <w:lang w:val="en-US"/>
        </w:rPr>
        <w:t>I</w:t>
      </w:r>
      <w:r w:rsidR="00DB446C" w:rsidRPr="007D47AD">
        <w:rPr>
          <w:rFonts w:asciiTheme="minorHAnsi" w:hAnsiTheme="minorHAnsi"/>
          <w:sz w:val="20"/>
          <w:szCs w:val="20"/>
          <w:lang w:val="en-US"/>
        </w:rPr>
        <w:t xml:space="preserve">n </w:t>
      </w:r>
      <w:r w:rsidR="00CF4CD2" w:rsidRPr="007D47AD">
        <w:rPr>
          <w:rFonts w:asciiTheme="minorHAnsi" w:hAnsiTheme="minorHAnsi"/>
          <w:sz w:val="20"/>
          <w:szCs w:val="20"/>
          <w:lang w:val="en-US"/>
        </w:rPr>
        <w:t xml:space="preserve">its observations on the draft of this report </w:t>
      </w:r>
      <w:r w:rsidR="00CF4CD2" w:rsidRPr="007D47AD">
        <w:rPr>
          <w:rFonts w:asciiTheme="minorHAnsi" w:hAnsiTheme="minorHAnsi"/>
          <w:sz w:val="20"/>
          <w:szCs w:val="20"/>
          <w:lang w:val="en-US"/>
        </w:rPr>
        <w:lastRenderedPageBreak/>
        <w:t xml:space="preserve">the State added that the </w:t>
      </w:r>
      <w:r w:rsidR="00DB446C" w:rsidRPr="007D47AD">
        <w:rPr>
          <w:rFonts w:asciiTheme="minorHAnsi" w:hAnsiTheme="minorHAnsi"/>
          <w:color w:val="000000"/>
          <w:sz w:val="20"/>
          <w:szCs w:val="20"/>
          <w:lang w:val="en-US"/>
        </w:rPr>
        <w:t xml:space="preserve">CEAV </w:t>
      </w:r>
      <w:r w:rsidR="00CF4CD2" w:rsidRPr="007D47AD">
        <w:rPr>
          <w:rFonts w:asciiTheme="minorHAnsi" w:hAnsiTheme="minorHAnsi"/>
          <w:color w:val="000000"/>
          <w:sz w:val="20"/>
          <w:szCs w:val="20"/>
          <w:lang w:val="en-US"/>
        </w:rPr>
        <w:t xml:space="preserve">is drawing up the Protocol for </w:t>
      </w:r>
      <w:r w:rsidR="009715CE" w:rsidRPr="007D47AD">
        <w:rPr>
          <w:rFonts w:asciiTheme="minorHAnsi" w:hAnsiTheme="minorHAnsi"/>
          <w:color w:val="000000"/>
          <w:sz w:val="20"/>
          <w:szCs w:val="20"/>
          <w:lang w:val="en-US"/>
        </w:rPr>
        <w:t xml:space="preserve">Attention and Integral Reparation of Harm to Victims of </w:t>
      </w:r>
      <w:r w:rsidR="00DB446C" w:rsidRPr="007D47AD">
        <w:rPr>
          <w:rFonts w:asciiTheme="minorHAnsi" w:hAnsiTheme="minorHAnsi"/>
          <w:color w:val="000000"/>
          <w:sz w:val="20"/>
          <w:szCs w:val="20"/>
          <w:lang w:val="en-US"/>
        </w:rPr>
        <w:t>Feminicid</w:t>
      </w:r>
      <w:r w:rsidR="009715CE" w:rsidRPr="007D47AD">
        <w:rPr>
          <w:rFonts w:asciiTheme="minorHAnsi" w:hAnsiTheme="minorHAnsi"/>
          <w:color w:val="000000"/>
          <w:sz w:val="20"/>
          <w:szCs w:val="20"/>
          <w:lang w:val="en-US"/>
        </w:rPr>
        <w:t>e.</w:t>
      </w:r>
      <w:r w:rsidR="00DB446C" w:rsidRPr="007D47AD">
        <w:rPr>
          <w:rStyle w:val="FootnoteReference"/>
          <w:rFonts w:asciiTheme="minorHAnsi" w:hAnsiTheme="minorHAnsi"/>
          <w:sz w:val="20"/>
          <w:szCs w:val="20"/>
          <w:lang w:val="en-US"/>
        </w:rPr>
        <w:t xml:space="preserve"> </w:t>
      </w:r>
      <w:r w:rsidR="00DB446C" w:rsidRPr="007D47AD">
        <w:rPr>
          <w:rStyle w:val="FootnoteReference"/>
          <w:rFonts w:asciiTheme="minorHAnsi" w:hAnsiTheme="minorHAnsi"/>
          <w:sz w:val="20"/>
          <w:szCs w:val="20"/>
          <w:lang w:val="en-US"/>
        </w:rPr>
        <w:footnoteReference w:id="237"/>
      </w:r>
    </w:p>
    <w:p w:rsidR="00C878BC" w:rsidRPr="007D47AD" w:rsidRDefault="00C878BC" w:rsidP="00C878BC">
      <w:pPr>
        <w:shd w:val="clear" w:color="auto" w:fill="FFFFFF"/>
        <w:spacing w:after="0" w:line="240" w:lineRule="auto"/>
        <w:ind w:left="720"/>
        <w:jc w:val="both"/>
        <w:rPr>
          <w:rFonts w:asciiTheme="minorHAnsi" w:hAnsiTheme="minorHAnsi"/>
          <w:color w:val="000000"/>
          <w:sz w:val="20"/>
          <w:szCs w:val="20"/>
          <w:lang w:val="en-US"/>
        </w:rPr>
      </w:pPr>
    </w:p>
    <w:p w:rsidR="00DB446C" w:rsidRPr="007D47AD" w:rsidRDefault="0081328A" w:rsidP="00DB446C">
      <w:pPr>
        <w:numPr>
          <w:ilvl w:val="0"/>
          <w:numId w:val="6"/>
        </w:numPr>
        <w:shd w:val="clear" w:color="auto" w:fill="FFFFFF"/>
        <w:spacing w:after="0" w:line="240" w:lineRule="auto"/>
        <w:ind w:left="0" w:firstLine="720"/>
        <w:jc w:val="both"/>
        <w:rPr>
          <w:rFonts w:asciiTheme="minorHAnsi" w:hAnsiTheme="minorHAnsi"/>
          <w:color w:val="000000"/>
          <w:sz w:val="20"/>
          <w:szCs w:val="20"/>
          <w:lang w:val="en-US"/>
        </w:rPr>
      </w:pPr>
      <w:r w:rsidRPr="007D47AD">
        <w:rPr>
          <w:rFonts w:asciiTheme="minorHAnsi" w:hAnsiTheme="minorHAnsi"/>
          <w:color w:val="000000"/>
          <w:sz w:val="20"/>
          <w:szCs w:val="20"/>
          <w:lang w:val="en-US"/>
        </w:rPr>
        <w:t xml:space="preserve">In addition, the Commission has learned of federal budget adjustments that would have a negative impact on the National Commission to Prevent and Eradicate Violence Against Women </w:t>
      </w:r>
      <w:r w:rsidR="00C878BC" w:rsidRPr="007D47AD">
        <w:rPr>
          <w:rFonts w:asciiTheme="minorHAnsi" w:hAnsiTheme="minorHAnsi"/>
          <w:color w:val="000000"/>
          <w:sz w:val="20"/>
          <w:szCs w:val="20"/>
          <w:lang w:val="en-US"/>
        </w:rPr>
        <w:t xml:space="preserve">(CONAVIM), </w:t>
      </w:r>
      <w:r w:rsidRPr="007D47AD">
        <w:rPr>
          <w:rFonts w:asciiTheme="minorHAnsi" w:hAnsiTheme="minorHAnsi"/>
          <w:color w:val="000000"/>
          <w:sz w:val="20"/>
          <w:szCs w:val="20"/>
          <w:lang w:val="en-US"/>
        </w:rPr>
        <w:t xml:space="preserve">whose budget would be cut </w:t>
      </w:r>
      <w:r w:rsidR="00C878BC" w:rsidRPr="007D47AD">
        <w:rPr>
          <w:rFonts w:asciiTheme="minorHAnsi" w:hAnsiTheme="minorHAnsi"/>
          <w:color w:val="000000"/>
          <w:sz w:val="20"/>
          <w:szCs w:val="20"/>
          <w:lang w:val="en-US"/>
        </w:rPr>
        <w:t>30%</w:t>
      </w:r>
      <w:r w:rsidRPr="007D47AD">
        <w:rPr>
          <w:rFonts w:asciiTheme="minorHAnsi" w:hAnsiTheme="minorHAnsi"/>
          <w:color w:val="000000"/>
          <w:sz w:val="20"/>
          <w:szCs w:val="20"/>
          <w:lang w:val="en-US"/>
        </w:rPr>
        <w:t xml:space="preserve">, and the Program to Support Women’s Agencies in the States would disappear; it is the only program </w:t>
      </w:r>
      <w:r w:rsidR="009F5C21" w:rsidRPr="007D47AD">
        <w:rPr>
          <w:rFonts w:asciiTheme="minorHAnsi" w:hAnsiTheme="minorHAnsi"/>
          <w:color w:val="000000"/>
          <w:sz w:val="20"/>
          <w:szCs w:val="20"/>
          <w:lang w:val="en-US"/>
        </w:rPr>
        <w:t xml:space="preserve">geared to </w:t>
      </w:r>
      <w:r w:rsidRPr="007D47AD">
        <w:rPr>
          <w:rFonts w:asciiTheme="minorHAnsi" w:hAnsiTheme="minorHAnsi"/>
          <w:color w:val="000000"/>
          <w:sz w:val="20"/>
          <w:szCs w:val="20"/>
          <w:lang w:val="en-US"/>
        </w:rPr>
        <w:t>the states for fighting gender inequality. At the same time, civil society organizations report new limitations on accessing public funds and, in particular, for operating shelters for women victims of violence.</w:t>
      </w:r>
      <w:r w:rsidR="00C878BC" w:rsidRPr="007D47AD">
        <w:rPr>
          <w:rFonts w:asciiTheme="minorHAnsi" w:hAnsiTheme="minorHAnsi"/>
          <w:color w:val="000000"/>
          <w:vertAlign w:val="superscript"/>
          <w:lang w:val="en-US"/>
        </w:rPr>
        <w:footnoteReference w:id="238"/>
      </w:r>
      <w:r w:rsidR="00C878BC" w:rsidRPr="007D47AD">
        <w:rPr>
          <w:rFonts w:asciiTheme="minorHAnsi" w:hAnsiTheme="minorHAnsi"/>
          <w:color w:val="000000"/>
          <w:sz w:val="20"/>
          <w:szCs w:val="20"/>
          <w:lang w:val="en-US"/>
        </w:rPr>
        <w:t xml:space="preserve"> </w:t>
      </w:r>
      <w:r w:rsidR="009F5C21" w:rsidRPr="007D47AD">
        <w:rPr>
          <w:rFonts w:asciiTheme="minorHAnsi" w:hAnsiTheme="minorHAnsi"/>
          <w:color w:val="000000"/>
          <w:sz w:val="20"/>
          <w:szCs w:val="20"/>
          <w:lang w:val="en-US"/>
        </w:rPr>
        <w:t xml:space="preserve">With the </w:t>
      </w:r>
      <w:r w:rsidR="00A24461" w:rsidRPr="007D47AD">
        <w:rPr>
          <w:rFonts w:asciiTheme="minorHAnsi" w:hAnsiTheme="minorHAnsi"/>
          <w:color w:val="000000"/>
          <w:sz w:val="20"/>
          <w:szCs w:val="20"/>
          <w:lang w:val="en-US"/>
        </w:rPr>
        <w:t>withdraw</w:t>
      </w:r>
      <w:r w:rsidR="009F5C21" w:rsidRPr="007D47AD">
        <w:rPr>
          <w:rFonts w:asciiTheme="minorHAnsi" w:hAnsiTheme="minorHAnsi"/>
          <w:color w:val="000000"/>
          <w:sz w:val="20"/>
          <w:szCs w:val="20"/>
          <w:lang w:val="en-US"/>
        </w:rPr>
        <w:t>al</w:t>
      </w:r>
      <w:r w:rsidR="00A24461" w:rsidRPr="007D47AD">
        <w:rPr>
          <w:rFonts w:asciiTheme="minorHAnsi" w:hAnsiTheme="minorHAnsi"/>
          <w:color w:val="000000"/>
          <w:sz w:val="20"/>
          <w:szCs w:val="20"/>
          <w:lang w:val="en-US"/>
        </w:rPr>
        <w:t xml:space="preserve"> </w:t>
      </w:r>
      <w:r w:rsidR="009F5C21" w:rsidRPr="007D47AD">
        <w:rPr>
          <w:rFonts w:asciiTheme="minorHAnsi" w:hAnsiTheme="minorHAnsi"/>
          <w:color w:val="000000"/>
          <w:sz w:val="20"/>
          <w:szCs w:val="20"/>
          <w:lang w:val="en-US"/>
        </w:rPr>
        <w:t xml:space="preserve">of </w:t>
      </w:r>
      <w:r w:rsidR="00A24461" w:rsidRPr="007D47AD">
        <w:rPr>
          <w:rFonts w:asciiTheme="minorHAnsi" w:hAnsiTheme="minorHAnsi"/>
          <w:color w:val="000000"/>
          <w:sz w:val="20"/>
          <w:szCs w:val="20"/>
          <w:lang w:val="en-US"/>
        </w:rPr>
        <w:t xml:space="preserve">funds from the State, the agencies </w:t>
      </w:r>
      <w:r w:rsidR="009F5C21" w:rsidRPr="007D47AD">
        <w:rPr>
          <w:rFonts w:asciiTheme="minorHAnsi" w:hAnsiTheme="minorHAnsi"/>
          <w:color w:val="000000"/>
          <w:sz w:val="20"/>
          <w:szCs w:val="20"/>
          <w:lang w:val="en-US"/>
        </w:rPr>
        <w:t xml:space="preserve">or mechanisms </w:t>
      </w:r>
      <w:r w:rsidR="00A24461" w:rsidRPr="007D47AD">
        <w:rPr>
          <w:rFonts w:asciiTheme="minorHAnsi" w:hAnsiTheme="minorHAnsi"/>
          <w:color w:val="000000"/>
          <w:sz w:val="20"/>
          <w:szCs w:val="20"/>
          <w:lang w:val="en-US"/>
        </w:rPr>
        <w:t xml:space="preserve">are at the discretion of what the states contribute for their financing, which may give rise to a precarious and fragile situation not only for such initiatives but also for the women who such support is designed to benefit. </w:t>
      </w:r>
      <w:r w:rsidR="009715CE" w:rsidRPr="007D47AD">
        <w:rPr>
          <w:rFonts w:asciiTheme="minorHAnsi" w:hAnsiTheme="minorHAnsi"/>
          <w:sz w:val="20"/>
          <w:szCs w:val="20"/>
          <w:lang w:val="en-US"/>
        </w:rPr>
        <w:t>I</w:t>
      </w:r>
      <w:r w:rsidR="00DB446C" w:rsidRPr="007D47AD">
        <w:rPr>
          <w:rFonts w:asciiTheme="minorHAnsi" w:hAnsiTheme="minorHAnsi"/>
          <w:sz w:val="20"/>
          <w:szCs w:val="20"/>
          <w:lang w:val="en-US"/>
        </w:rPr>
        <w:t xml:space="preserve">n </w:t>
      </w:r>
      <w:r w:rsidR="009715CE" w:rsidRPr="007D47AD">
        <w:rPr>
          <w:rFonts w:asciiTheme="minorHAnsi" w:hAnsiTheme="minorHAnsi"/>
          <w:sz w:val="20"/>
          <w:szCs w:val="20"/>
          <w:lang w:val="en-US"/>
        </w:rPr>
        <w:t xml:space="preserve">its observations on the draft of this report the State indicated that the </w:t>
      </w:r>
      <w:r w:rsidR="00DB446C" w:rsidRPr="007D47AD">
        <w:rPr>
          <w:rFonts w:asciiTheme="minorHAnsi" w:hAnsiTheme="minorHAnsi"/>
          <w:color w:val="000000"/>
          <w:sz w:val="20"/>
          <w:szCs w:val="20"/>
          <w:lang w:val="en-US"/>
        </w:rPr>
        <w:t>CONAVIM adopt</w:t>
      </w:r>
      <w:r w:rsidR="009715CE" w:rsidRPr="007D47AD">
        <w:rPr>
          <w:rFonts w:asciiTheme="minorHAnsi" w:hAnsiTheme="minorHAnsi"/>
          <w:color w:val="000000"/>
          <w:sz w:val="20"/>
          <w:szCs w:val="20"/>
          <w:lang w:val="en-US"/>
        </w:rPr>
        <w:t xml:space="preserve">ed the Integral Program in this area for </w:t>
      </w:r>
      <w:r w:rsidR="00DB446C" w:rsidRPr="007D47AD">
        <w:rPr>
          <w:rFonts w:asciiTheme="minorHAnsi" w:hAnsiTheme="minorHAnsi"/>
          <w:color w:val="000000"/>
          <w:sz w:val="20"/>
          <w:szCs w:val="20"/>
          <w:lang w:val="en-US"/>
        </w:rPr>
        <w:t xml:space="preserve">2019-2024 </w:t>
      </w:r>
      <w:r w:rsidR="009715CE" w:rsidRPr="007D47AD">
        <w:rPr>
          <w:rFonts w:asciiTheme="minorHAnsi" w:hAnsiTheme="minorHAnsi"/>
          <w:color w:val="000000"/>
          <w:sz w:val="20"/>
          <w:szCs w:val="20"/>
          <w:lang w:val="en-US"/>
        </w:rPr>
        <w:t>and stepped up its work related to access to justice in cases related to violence against women.</w:t>
      </w:r>
      <w:r w:rsidR="00DB446C" w:rsidRPr="007D47AD">
        <w:rPr>
          <w:rStyle w:val="FootnoteReference"/>
          <w:rFonts w:asciiTheme="minorHAnsi" w:hAnsiTheme="minorHAnsi"/>
          <w:sz w:val="20"/>
          <w:szCs w:val="20"/>
          <w:lang w:val="en-US"/>
        </w:rPr>
        <w:footnoteReference w:id="239"/>
      </w:r>
    </w:p>
    <w:p w:rsidR="00C878BC" w:rsidRPr="007D47AD" w:rsidRDefault="00C878BC" w:rsidP="00DB446C">
      <w:pPr>
        <w:shd w:val="clear" w:color="auto" w:fill="FFFFFF"/>
        <w:spacing w:after="0" w:line="240" w:lineRule="auto"/>
        <w:ind w:left="720"/>
        <w:jc w:val="both"/>
        <w:rPr>
          <w:rFonts w:asciiTheme="minorHAnsi" w:hAnsiTheme="minorHAnsi"/>
          <w:color w:val="000000"/>
          <w:sz w:val="20"/>
          <w:szCs w:val="20"/>
          <w:lang w:val="en-US"/>
        </w:rPr>
      </w:pPr>
    </w:p>
    <w:p w:rsidR="00C878BC" w:rsidRPr="007D47AD" w:rsidRDefault="00A24461" w:rsidP="00C878BC">
      <w:pPr>
        <w:numPr>
          <w:ilvl w:val="0"/>
          <w:numId w:val="6"/>
        </w:numPr>
        <w:shd w:val="clear" w:color="auto" w:fill="FFFFFF"/>
        <w:spacing w:after="0" w:line="240" w:lineRule="auto"/>
        <w:ind w:left="0" w:firstLine="720"/>
        <w:jc w:val="both"/>
        <w:rPr>
          <w:rFonts w:asciiTheme="minorHAnsi" w:hAnsiTheme="minorHAnsi"/>
          <w:color w:val="000000"/>
          <w:sz w:val="20"/>
          <w:szCs w:val="20"/>
          <w:lang w:val="en-US"/>
        </w:rPr>
      </w:pPr>
      <w:r w:rsidRPr="007D47AD">
        <w:rPr>
          <w:rFonts w:asciiTheme="minorHAnsi" w:hAnsiTheme="minorHAnsi"/>
          <w:color w:val="000000"/>
          <w:sz w:val="20"/>
          <w:szCs w:val="20"/>
          <w:lang w:val="en-US"/>
        </w:rPr>
        <w:t xml:space="preserve">As regards incorporating the gender perspective in the administration of justice, the Commission is satisfied with the adoption of the Protocol for Judging with </w:t>
      </w:r>
      <w:r w:rsidR="009F5C21" w:rsidRPr="007D47AD">
        <w:rPr>
          <w:rFonts w:asciiTheme="minorHAnsi" w:hAnsiTheme="minorHAnsi"/>
          <w:color w:val="000000"/>
          <w:sz w:val="20"/>
          <w:szCs w:val="20"/>
          <w:lang w:val="en-US"/>
        </w:rPr>
        <w:t xml:space="preserve">a </w:t>
      </w:r>
      <w:r w:rsidRPr="007D47AD">
        <w:rPr>
          <w:rFonts w:asciiTheme="minorHAnsi" w:hAnsiTheme="minorHAnsi"/>
          <w:color w:val="000000"/>
          <w:sz w:val="20"/>
          <w:szCs w:val="20"/>
          <w:lang w:val="en-US"/>
        </w:rPr>
        <w:t xml:space="preserve">Gender Perspective, at the same time that it views with concern the various obstacles that women continue to face when it comes to accessing justice in conditions of equality and without discrimination, resulting in serious indicators of impunity. In this </w:t>
      </w:r>
      <w:r w:rsidR="00C878BC" w:rsidRPr="007D47AD">
        <w:rPr>
          <w:rFonts w:asciiTheme="minorHAnsi" w:hAnsiTheme="minorHAnsi"/>
          <w:color w:val="000000"/>
          <w:sz w:val="20"/>
          <w:szCs w:val="20"/>
          <w:lang w:val="en-US"/>
        </w:rPr>
        <w:t xml:space="preserve">respect, </w:t>
      </w:r>
      <w:r w:rsidRPr="007D47AD">
        <w:rPr>
          <w:rFonts w:asciiTheme="minorHAnsi" w:hAnsiTheme="minorHAnsi"/>
          <w:color w:val="000000"/>
          <w:sz w:val="20"/>
          <w:szCs w:val="20"/>
          <w:lang w:val="en-US"/>
        </w:rPr>
        <w:t xml:space="preserve">the Commission notes that the periodic reports of the Office of the Attorney General </w:t>
      </w:r>
      <w:r w:rsidRPr="007D47AD">
        <w:rPr>
          <w:rFonts w:asciiTheme="minorHAnsi" w:hAnsiTheme="minorHAnsi" w:cs="TimesNewRomanPSMT"/>
          <w:color w:val="000000"/>
          <w:sz w:val="20"/>
          <w:szCs w:val="20"/>
          <w:lang w:val="en-US"/>
        </w:rPr>
        <w:t xml:space="preserve">of the state of </w:t>
      </w:r>
      <w:r w:rsidR="00C878BC" w:rsidRPr="007D47AD">
        <w:rPr>
          <w:rFonts w:asciiTheme="minorHAnsi" w:hAnsiTheme="minorHAnsi" w:cs="TimesNewRomanPSMT"/>
          <w:color w:val="000000"/>
          <w:sz w:val="20"/>
          <w:szCs w:val="20"/>
          <w:lang w:val="en-US"/>
        </w:rPr>
        <w:t xml:space="preserve">México (FGJEM) </w:t>
      </w:r>
      <w:r w:rsidR="00505A3A" w:rsidRPr="007D47AD">
        <w:rPr>
          <w:rFonts w:asciiTheme="minorHAnsi" w:hAnsiTheme="minorHAnsi" w:cs="TimesNewRomanPSMT"/>
          <w:color w:val="000000"/>
          <w:sz w:val="20"/>
          <w:szCs w:val="20"/>
          <w:lang w:val="en-US"/>
        </w:rPr>
        <w:t xml:space="preserve">reflect actions to reduce the high rates of impunity in crimes against women. On that basis, it was reported that from January </w:t>
      </w:r>
      <w:r w:rsidR="00C878BC" w:rsidRPr="007D47AD">
        <w:rPr>
          <w:rFonts w:asciiTheme="minorHAnsi" w:hAnsiTheme="minorHAnsi" w:cs="TimesNewRomanPSMT"/>
          <w:color w:val="000000"/>
          <w:sz w:val="20"/>
          <w:szCs w:val="20"/>
          <w:lang w:val="en-US"/>
        </w:rPr>
        <w:t xml:space="preserve">2018 </w:t>
      </w:r>
      <w:r w:rsidR="00505A3A" w:rsidRPr="007D47AD">
        <w:rPr>
          <w:rFonts w:asciiTheme="minorHAnsi" w:hAnsiTheme="minorHAnsi" w:cs="TimesNewRomanPSMT"/>
          <w:color w:val="000000"/>
          <w:sz w:val="20"/>
          <w:szCs w:val="20"/>
          <w:lang w:val="en-US"/>
        </w:rPr>
        <w:t xml:space="preserve">to March </w:t>
      </w:r>
      <w:r w:rsidR="00C878BC" w:rsidRPr="007D47AD">
        <w:rPr>
          <w:rFonts w:asciiTheme="minorHAnsi" w:hAnsiTheme="minorHAnsi" w:cs="TimesNewRomanPSMT"/>
          <w:color w:val="000000"/>
          <w:sz w:val="20"/>
          <w:szCs w:val="20"/>
          <w:lang w:val="en-US"/>
        </w:rPr>
        <w:t xml:space="preserve">2019, </w:t>
      </w:r>
      <w:r w:rsidR="00505A3A" w:rsidRPr="007D47AD">
        <w:rPr>
          <w:rFonts w:asciiTheme="minorHAnsi" w:hAnsiTheme="minorHAnsi" w:cs="TimesNewRomanPSMT"/>
          <w:color w:val="000000"/>
          <w:sz w:val="20"/>
          <w:szCs w:val="20"/>
          <w:lang w:val="en-US"/>
        </w:rPr>
        <w:t>17 convictions were obtained, including one of the longest prison sentenc</w:t>
      </w:r>
      <w:r w:rsidR="009F5C21" w:rsidRPr="007D47AD">
        <w:rPr>
          <w:rFonts w:asciiTheme="minorHAnsi" w:hAnsiTheme="minorHAnsi" w:cs="TimesNewRomanPSMT"/>
          <w:color w:val="000000"/>
          <w:sz w:val="20"/>
          <w:szCs w:val="20"/>
          <w:lang w:val="en-US"/>
        </w:rPr>
        <w:t>e</w:t>
      </w:r>
      <w:r w:rsidR="00505A3A" w:rsidRPr="007D47AD">
        <w:rPr>
          <w:rFonts w:asciiTheme="minorHAnsi" w:hAnsiTheme="minorHAnsi" w:cs="TimesNewRomanPSMT"/>
          <w:color w:val="000000"/>
          <w:sz w:val="20"/>
          <w:szCs w:val="20"/>
          <w:lang w:val="en-US"/>
        </w:rPr>
        <w:t xml:space="preserve">s in Latin America, </w:t>
      </w:r>
      <w:r w:rsidR="00C878BC" w:rsidRPr="007D47AD">
        <w:rPr>
          <w:rFonts w:asciiTheme="minorHAnsi" w:hAnsiTheme="minorHAnsi" w:cs="TimesNewRomanPSMT"/>
          <w:color w:val="000000"/>
          <w:sz w:val="20"/>
          <w:szCs w:val="20"/>
          <w:lang w:val="en-US"/>
        </w:rPr>
        <w:t xml:space="preserve">99 </w:t>
      </w:r>
      <w:r w:rsidR="00505A3A" w:rsidRPr="007D47AD">
        <w:rPr>
          <w:rFonts w:asciiTheme="minorHAnsi" w:hAnsiTheme="minorHAnsi" w:cs="TimesNewRomanPSMT"/>
          <w:color w:val="000000"/>
          <w:sz w:val="20"/>
          <w:szCs w:val="20"/>
          <w:lang w:val="en-US"/>
        </w:rPr>
        <w:t xml:space="preserve">years and six months for the crime of human trafficking for sexual exploitation </w:t>
      </w:r>
      <w:r w:rsidR="0048039D" w:rsidRPr="007D47AD">
        <w:rPr>
          <w:rFonts w:asciiTheme="minorHAnsi" w:hAnsiTheme="minorHAnsi" w:cs="TimesNewRomanPSMT"/>
          <w:color w:val="000000"/>
          <w:sz w:val="20"/>
          <w:szCs w:val="20"/>
          <w:lang w:val="en-US"/>
        </w:rPr>
        <w:t xml:space="preserve">by means of concubinage </w:t>
      </w:r>
      <w:r w:rsidR="00505A3A" w:rsidRPr="007D47AD">
        <w:rPr>
          <w:rFonts w:asciiTheme="minorHAnsi" w:hAnsiTheme="minorHAnsi" w:cs="TimesNewRomanPSMT"/>
          <w:color w:val="000000"/>
          <w:sz w:val="20"/>
          <w:szCs w:val="20"/>
          <w:lang w:val="en-US"/>
        </w:rPr>
        <w:t>and forced begging.</w:t>
      </w:r>
      <w:r w:rsidR="00C878BC" w:rsidRPr="007D47AD">
        <w:rPr>
          <w:rStyle w:val="FootnoteReference"/>
          <w:rFonts w:asciiTheme="minorHAnsi" w:hAnsiTheme="minorHAnsi" w:cs="TimesNewRomanPSMT"/>
          <w:color w:val="000000"/>
          <w:sz w:val="20"/>
          <w:szCs w:val="20"/>
          <w:lang w:val="en-US"/>
        </w:rPr>
        <w:footnoteReference w:id="240"/>
      </w:r>
    </w:p>
    <w:p w:rsidR="00C878BC" w:rsidRPr="007D47AD" w:rsidRDefault="00C878BC" w:rsidP="00C878BC">
      <w:pPr>
        <w:shd w:val="clear" w:color="auto" w:fill="FFFFFF"/>
        <w:spacing w:after="0" w:line="240" w:lineRule="auto"/>
        <w:jc w:val="both"/>
        <w:rPr>
          <w:rFonts w:asciiTheme="minorHAnsi" w:hAnsiTheme="minorHAnsi"/>
          <w:color w:val="000000"/>
          <w:sz w:val="20"/>
          <w:szCs w:val="20"/>
          <w:lang w:val="en-US"/>
        </w:rPr>
      </w:pPr>
    </w:p>
    <w:p w:rsidR="00C878BC" w:rsidRPr="007D47AD" w:rsidRDefault="00310E5B" w:rsidP="00C878BC">
      <w:pPr>
        <w:numPr>
          <w:ilvl w:val="0"/>
          <w:numId w:val="6"/>
        </w:numPr>
        <w:shd w:val="clear" w:color="auto" w:fill="FFFFFF"/>
        <w:spacing w:after="0" w:line="240" w:lineRule="auto"/>
        <w:ind w:left="0" w:firstLine="720"/>
        <w:jc w:val="both"/>
        <w:rPr>
          <w:rFonts w:asciiTheme="minorHAnsi" w:hAnsiTheme="minorHAnsi"/>
          <w:color w:val="000000"/>
          <w:sz w:val="20"/>
          <w:szCs w:val="20"/>
          <w:lang w:val="en-US"/>
        </w:rPr>
      </w:pPr>
      <w:r w:rsidRPr="007D47AD">
        <w:rPr>
          <w:rFonts w:asciiTheme="minorHAnsi" w:hAnsiTheme="minorHAnsi"/>
          <w:color w:val="000000"/>
          <w:sz w:val="20"/>
          <w:szCs w:val="20"/>
          <w:lang w:val="en-US"/>
        </w:rPr>
        <w:t xml:space="preserve">In addition, with respect to the implementation </w:t>
      </w:r>
      <w:r w:rsidR="009F5C21" w:rsidRPr="007D47AD">
        <w:rPr>
          <w:rFonts w:asciiTheme="minorHAnsi" w:hAnsiTheme="minorHAnsi"/>
          <w:color w:val="000000"/>
          <w:sz w:val="20"/>
          <w:szCs w:val="20"/>
          <w:lang w:val="en-US"/>
        </w:rPr>
        <w:t xml:space="preserve">of the </w:t>
      </w:r>
      <w:r w:rsidRPr="007D47AD">
        <w:rPr>
          <w:rFonts w:asciiTheme="minorHAnsi" w:hAnsiTheme="minorHAnsi"/>
          <w:color w:val="000000"/>
          <w:sz w:val="20"/>
          <w:szCs w:val="20"/>
          <w:lang w:val="en-US"/>
        </w:rPr>
        <w:t xml:space="preserve">General Law on Access for Women to a Life Free from Violence, the Commission was informed that the </w:t>
      </w:r>
      <w:r w:rsidR="00C878BC" w:rsidRPr="007D47AD">
        <w:rPr>
          <w:rFonts w:asciiTheme="minorHAnsi" w:hAnsiTheme="minorHAnsi"/>
          <w:color w:val="000000"/>
          <w:sz w:val="20"/>
          <w:szCs w:val="20"/>
          <w:lang w:val="en-US"/>
        </w:rPr>
        <w:t xml:space="preserve">CONAVIM </w:t>
      </w:r>
      <w:r w:rsidRPr="007D47AD">
        <w:rPr>
          <w:rFonts w:asciiTheme="minorHAnsi" w:hAnsiTheme="minorHAnsi"/>
          <w:color w:val="000000"/>
          <w:sz w:val="20"/>
          <w:szCs w:val="20"/>
          <w:lang w:val="en-US"/>
        </w:rPr>
        <w:t>began a process of certif</w:t>
      </w:r>
      <w:r w:rsidR="009F5C21" w:rsidRPr="007D47AD">
        <w:rPr>
          <w:rFonts w:asciiTheme="minorHAnsi" w:hAnsiTheme="minorHAnsi"/>
          <w:color w:val="000000"/>
          <w:sz w:val="20"/>
          <w:szCs w:val="20"/>
          <w:lang w:val="en-US"/>
        </w:rPr>
        <w:t>ying</w:t>
      </w:r>
      <w:r w:rsidRPr="007D47AD">
        <w:rPr>
          <w:rFonts w:asciiTheme="minorHAnsi" w:hAnsiTheme="minorHAnsi"/>
          <w:color w:val="000000"/>
          <w:sz w:val="20"/>
          <w:szCs w:val="20"/>
          <w:lang w:val="en-US"/>
        </w:rPr>
        <w:t xml:space="preserve"> indicators of the System of Institutional Integrity to ensure </w:t>
      </w:r>
      <w:r w:rsidR="009F5C21" w:rsidRPr="007D47AD">
        <w:rPr>
          <w:rFonts w:asciiTheme="minorHAnsi" w:hAnsiTheme="minorHAnsi"/>
          <w:color w:val="000000"/>
          <w:sz w:val="20"/>
          <w:szCs w:val="20"/>
          <w:lang w:val="en-US"/>
        </w:rPr>
        <w:t xml:space="preserve">the </w:t>
      </w:r>
      <w:r w:rsidRPr="007D47AD">
        <w:rPr>
          <w:rFonts w:asciiTheme="minorHAnsi" w:hAnsiTheme="minorHAnsi"/>
          <w:color w:val="000000"/>
          <w:sz w:val="20"/>
          <w:szCs w:val="20"/>
          <w:lang w:val="en-US"/>
        </w:rPr>
        <w:t xml:space="preserve">implementation of actions aimed at prevention, attention, punishment, and eradication of violence against women in the country, as well as promoting gender equality. To date, 20 Women’s Justice Centers have been certified, seven in fiscal year 2017, 11 in fiscal year </w:t>
      </w:r>
      <w:r w:rsidR="00C878BC" w:rsidRPr="007D47AD">
        <w:rPr>
          <w:rFonts w:asciiTheme="minorHAnsi" w:hAnsiTheme="minorHAnsi"/>
          <w:color w:val="000000"/>
          <w:sz w:val="20"/>
          <w:szCs w:val="20"/>
          <w:lang w:val="en-US"/>
        </w:rPr>
        <w:t>2018</w:t>
      </w:r>
      <w:r w:rsidRPr="007D47AD">
        <w:rPr>
          <w:rFonts w:asciiTheme="minorHAnsi" w:hAnsiTheme="minorHAnsi"/>
          <w:color w:val="000000"/>
          <w:sz w:val="20"/>
          <w:szCs w:val="20"/>
          <w:lang w:val="en-US"/>
        </w:rPr>
        <w:t>, and two in fiscal year</w:t>
      </w:r>
      <w:r w:rsidR="00213860" w:rsidRPr="007D47AD">
        <w:rPr>
          <w:rFonts w:asciiTheme="minorHAnsi" w:hAnsiTheme="minorHAnsi"/>
          <w:color w:val="000000"/>
          <w:sz w:val="20"/>
          <w:szCs w:val="20"/>
          <w:lang w:val="en-US"/>
        </w:rPr>
        <w:t xml:space="preserve"> 2019</w:t>
      </w:r>
      <w:r w:rsidRPr="007D47AD">
        <w:rPr>
          <w:rFonts w:asciiTheme="minorHAnsi" w:hAnsiTheme="minorHAnsi"/>
          <w:color w:val="000000"/>
          <w:sz w:val="20"/>
          <w:szCs w:val="20"/>
          <w:lang w:val="en-US"/>
        </w:rPr>
        <w:t>.</w:t>
      </w:r>
      <w:r w:rsidR="00C878BC" w:rsidRPr="007D47AD">
        <w:rPr>
          <w:rFonts w:asciiTheme="minorHAnsi" w:hAnsiTheme="minorHAnsi"/>
          <w:color w:val="000000"/>
          <w:sz w:val="20"/>
          <w:szCs w:val="20"/>
          <w:vertAlign w:val="superscript"/>
          <w:lang w:val="en-US"/>
        </w:rPr>
        <w:footnoteReference w:id="241"/>
      </w:r>
    </w:p>
    <w:p w:rsidR="00C878BC" w:rsidRPr="007D47AD" w:rsidRDefault="00C878BC" w:rsidP="00C878BC">
      <w:pPr>
        <w:shd w:val="clear" w:color="auto" w:fill="FFFFFF"/>
        <w:spacing w:after="0" w:line="240" w:lineRule="auto"/>
        <w:ind w:left="720"/>
        <w:jc w:val="both"/>
        <w:rPr>
          <w:rFonts w:asciiTheme="minorHAnsi" w:hAnsiTheme="minorHAnsi"/>
          <w:color w:val="000000"/>
          <w:sz w:val="20"/>
          <w:szCs w:val="20"/>
          <w:lang w:val="en-US"/>
        </w:rPr>
      </w:pPr>
    </w:p>
    <w:p w:rsidR="003D011F" w:rsidRPr="007D47AD" w:rsidRDefault="00310E5B" w:rsidP="00C878BC">
      <w:pPr>
        <w:numPr>
          <w:ilvl w:val="0"/>
          <w:numId w:val="6"/>
        </w:numPr>
        <w:shd w:val="clear" w:color="auto" w:fill="FFFFFF"/>
        <w:spacing w:after="0" w:line="240" w:lineRule="auto"/>
        <w:ind w:left="0" w:firstLine="720"/>
        <w:jc w:val="both"/>
        <w:rPr>
          <w:rFonts w:asciiTheme="minorHAnsi" w:hAnsiTheme="minorHAnsi"/>
          <w:color w:val="000000"/>
          <w:sz w:val="20"/>
          <w:szCs w:val="20"/>
          <w:lang w:val="en-US"/>
        </w:rPr>
      </w:pPr>
      <w:r w:rsidRPr="007D47AD">
        <w:rPr>
          <w:rFonts w:asciiTheme="minorHAnsi" w:hAnsiTheme="minorHAnsi"/>
          <w:color w:val="000000"/>
          <w:sz w:val="20"/>
          <w:szCs w:val="20"/>
          <w:lang w:val="en-US"/>
        </w:rPr>
        <w:t xml:space="preserve">The Commission also views with concern that in Mexico </w:t>
      </w:r>
      <w:r w:rsidR="00C878BC" w:rsidRPr="007D47AD">
        <w:rPr>
          <w:rFonts w:asciiTheme="minorHAnsi" w:hAnsiTheme="minorHAnsi" w:cs="Arial"/>
          <w:color w:val="000000"/>
          <w:sz w:val="20"/>
          <w:szCs w:val="20"/>
          <w:shd w:val="clear" w:color="auto" w:fill="FFFFFF"/>
          <w:lang w:val="en-US"/>
        </w:rPr>
        <w:t xml:space="preserve">93% </w:t>
      </w:r>
      <w:r w:rsidRPr="007D47AD">
        <w:rPr>
          <w:rFonts w:asciiTheme="minorHAnsi" w:hAnsiTheme="minorHAnsi" w:cs="Arial"/>
          <w:color w:val="000000"/>
          <w:sz w:val="20"/>
          <w:szCs w:val="20"/>
          <w:shd w:val="clear" w:color="auto" w:fill="FFFFFF"/>
          <w:lang w:val="en-US"/>
        </w:rPr>
        <w:t>of all crimes related to violence against women go unresolved</w:t>
      </w:r>
      <w:r w:rsidR="00C878BC" w:rsidRPr="007D47AD">
        <w:rPr>
          <w:rFonts w:asciiTheme="minorHAnsi" w:hAnsiTheme="minorHAnsi" w:cs="Arial"/>
          <w:color w:val="000000"/>
          <w:sz w:val="20"/>
          <w:szCs w:val="20"/>
          <w:shd w:val="clear" w:color="auto" w:fill="FFFFFF"/>
          <w:lang w:val="en-US"/>
        </w:rPr>
        <w:t xml:space="preserve">, </w:t>
      </w:r>
      <w:r w:rsidRPr="007D47AD">
        <w:rPr>
          <w:rFonts w:asciiTheme="minorHAnsi" w:hAnsiTheme="minorHAnsi" w:cs="Arial"/>
          <w:color w:val="000000"/>
          <w:sz w:val="20"/>
          <w:szCs w:val="20"/>
          <w:shd w:val="clear" w:color="auto" w:fill="FFFFFF"/>
          <w:lang w:val="en-US"/>
        </w:rPr>
        <w:t xml:space="preserve">including femicides and sexual violence, according to the National System of Public Security </w:t>
      </w:r>
      <w:r w:rsidR="00C878BC" w:rsidRPr="007D47AD">
        <w:rPr>
          <w:rFonts w:asciiTheme="minorHAnsi" w:hAnsiTheme="minorHAnsi" w:cs="Arial"/>
          <w:color w:val="000000"/>
          <w:sz w:val="20"/>
          <w:szCs w:val="20"/>
          <w:shd w:val="clear" w:color="auto" w:fill="FFFFFF"/>
          <w:lang w:val="en-US"/>
        </w:rPr>
        <w:t>(SNSP)</w:t>
      </w:r>
      <w:r w:rsidRPr="007D47AD">
        <w:rPr>
          <w:rFonts w:asciiTheme="minorHAnsi" w:hAnsiTheme="minorHAnsi" w:cs="Arial"/>
          <w:color w:val="000000"/>
          <w:sz w:val="20"/>
          <w:szCs w:val="20"/>
          <w:shd w:val="clear" w:color="auto" w:fill="FFFFFF"/>
          <w:lang w:val="en-US"/>
        </w:rPr>
        <w:t>.</w:t>
      </w:r>
      <w:r w:rsidR="0019428B" w:rsidRPr="007D47AD">
        <w:rPr>
          <w:rStyle w:val="FootnoteReference"/>
          <w:rFonts w:asciiTheme="minorHAnsi" w:hAnsiTheme="minorHAnsi"/>
          <w:color w:val="000000"/>
          <w:sz w:val="20"/>
          <w:szCs w:val="20"/>
          <w:lang w:val="en-US"/>
        </w:rPr>
        <w:t xml:space="preserve"> </w:t>
      </w:r>
      <w:r w:rsidR="0019428B" w:rsidRPr="007D47AD">
        <w:rPr>
          <w:rStyle w:val="FootnoteReference"/>
          <w:rFonts w:asciiTheme="minorHAnsi" w:hAnsiTheme="minorHAnsi"/>
          <w:color w:val="000000"/>
          <w:sz w:val="20"/>
          <w:szCs w:val="20"/>
          <w:lang w:val="en-US"/>
        </w:rPr>
        <w:footnoteReference w:id="242"/>
      </w:r>
      <w:r w:rsidR="00C878BC" w:rsidRPr="007D47AD">
        <w:rPr>
          <w:rFonts w:asciiTheme="minorHAnsi" w:hAnsiTheme="minorHAnsi" w:cs="Arial"/>
          <w:color w:val="000000"/>
          <w:sz w:val="20"/>
          <w:szCs w:val="20"/>
          <w:shd w:val="clear" w:color="auto" w:fill="FFFFFF"/>
          <w:lang w:val="en-US"/>
        </w:rPr>
        <w:t xml:space="preserve"> </w:t>
      </w:r>
      <w:r w:rsidRPr="007D47AD">
        <w:rPr>
          <w:rFonts w:asciiTheme="minorHAnsi" w:hAnsiTheme="minorHAnsi" w:cs="Arial"/>
          <w:color w:val="000000"/>
          <w:sz w:val="20"/>
          <w:szCs w:val="20"/>
          <w:shd w:val="clear" w:color="auto" w:fill="FFFFFF"/>
          <w:lang w:val="en-US"/>
        </w:rPr>
        <w:t xml:space="preserve">According to public information, </w:t>
      </w:r>
      <w:r w:rsidR="00331091" w:rsidRPr="007D47AD">
        <w:rPr>
          <w:rFonts w:asciiTheme="minorHAnsi" w:hAnsiTheme="minorHAnsi" w:cs="Arial"/>
          <w:color w:val="000000"/>
          <w:sz w:val="20"/>
          <w:szCs w:val="20"/>
          <w:shd w:val="clear" w:color="auto" w:fill="FFFFFF"/>
          <w:lang w:val="en-US"/>
        </w:rPr>
        <w:t xml:space="preserve">in only 11% of rape cares is an investigative file opened, and of these only </w:t>
      </w:r>
      <w:r w:rsidR="00C878BC" w:rsidRPr="007D47AD">
        <w:rPr>
          <w:rFonts w:asciiTheme="minorHAnsi" w:hAnsiTheme="minorHAnsi" w:cs="Arial"/>
          <w:color w:val="000000"/>
          <w:sz w:val="20"/>
          <w:szCs w:val="20"/>
          <w:shd w:val="clear" w:color="auto" w:fill="FFFFFF"/>
          <w:lang w:val="en-US"/>
        </w:rPr>
        <w:t xml:space="preserve">2.4% </w:t>
      </w:r>
      <w:r w:rsidR="00331091" w:rsidRPr="007D47AD">
        <w:rPr>
          <w:rFonts w:asciiTheme="minorHAnsi" w:hAnsiTheme="minorHAnsi" w:cs="Arial"/>
          <w:color w:val="000000"/>
          <w:sz w:val="20"/>
          <w:szCs w:val="20"/>
          <w:shd w:val="clear" w:color="auto" w:fill="FFFFFF"/>
          <w:lang w:val="en-US"/>
        </w:rPr>
        <w:t>result in a judgment.</w:t>
      </w:r>
      <w:r w:rsidR="00C878BC" w:rsidRPr="007D47AD">
        <w:rPr>
          <w:rStyle w:val="FootnoteReference"/>
          <w:rFonts w:asciiTheme="minorHAnsi" w:hAnsiTheme="minorHAnsi" w:cs="Arial"/>
          <w:color w:val="000000"/>
          <w:sz w:val="20"/>
          <w:szCs w:val="20"/>
          <w:shd w:val="clear" w:color="auto" w:fill="FFFFFF"/>
          <w:lang w:val="en-US"/>
        </w:rPr>
        <w:footnoteReference w:id="243"/>
      </w:r>
      <w:r w:rsidR="00C878BC" w:rsidRPr="007D47AD">
        <w:rPr>
          <w:rFonts w:asciiTheme="minorHAnsi" w:hAnsiTheme="minorHAnsi" w:cs="Arial"/>
          <w:color w:val="000000"/>
          <w:sz w:val="20"/>
          <w:szCs w:val="20"/>
          <w:shd w:val="clear" w:color="auto" w:fill="FFFFFF"/>
          <w:lang w:val="en-US"/>
        </w:rPr>
        <w:t xml:space="preserve"> </w:t>
      </w:r>
      <w:r w:rsidR="00331091" w:rsidRPr="007D47AD">
        <w:rPr>
          <w:rFonts w:asciiTheme="minorHAnsi" w:hAnsiTheme="minorHAnsi" w:cs="Arial"/>
          <w:color w:val="000000"/>
          <w:sz w:val="20"/>
          <w:szCs w:val="20"/>
          <w:shd w:val="clear" w:color="auto" w:fill="FFFFFF"/>
          <w:lang w:val="en-US"/>
        </w:rPr>
        <w:t xml:space="preserve">In this respect, the IACHR has said that impunity in the face of violence against women stems from stereotype-based interpretive criteria in resolving cases; the scant knowledge of women’s rights among members of the judiciary and </w:t>
      </w:r>
      <w:r w:rsidR="009F5C21" w:rsidRPr="007D47AD">
        <w:rPr>
          <w:rFonts w:asciiTheme="minorHAnsi" w:hAnsiTheme="minorHAnsi" w:cs="Arial"/>
          <w:color w:val="000000"/>
          <w:sz w:val="20"/>
          <w:szCs w:val="20"/>
          <w:shd w:val="clear" w:color="auto" w:fill="FFFFFF"/>
          <w:lang w:val="en-US"/>
        </w:rPr>
        <w:t xml:space="preserve">law-enforcement personnel </w:t>
      </w:r>
      <w:r w:rsidR="00331091" w:rsidRPr="007D47AD">
        <w:rPr>
          <w:rFonts w:asciiTheme="minorHAnsi" w:hAnsiTheme="minorHAnsi" w:cs="Arial"/>
          <w:color w:val="000000"/>
          <w:sz w:val="20"/>
          <w:szCs w:val="20"/>
          <w:shd w:val="clear" w:color="auto" w:fill="FFFFFF"/>
          <w:lang w:val="en-US"/>
        </w:rPr>
        <w:t>including the police; the lack of accountability of judges whose judicial performance does not take into account gender issues; the</w:t>
      </w:r>
      <w:r w:rsidR="009F5C21" w:rsidRPr="007D47AD">
        <w:rPr>
          <w:rFonts w:asciiTheme="minorHAnsi" w:hAnsiTheme="minorHAnsi" w:cs="Arial"/>
          <w:color w:val="000000"/>
          <w:sz w:val="20"/>
          <w:szCs w:val="20"/>
          <w:shd w:val="clear" w:color="auto" w:fill="FFFFFF"/>
          <w:lang w:val="en-US"/>
        </w:rPr>
        <w:t xml:space="preserve"> </w:t>
      </w:r>
      <w:r w:rsidR="00331091" w:rsidRPr="007D47AD">
        <w:rPr>
          <w:rFonts w:asciiTheme="minorHAnsi" w:hAnsiTheme="minorHAnsi" w:cs="Arial"/>
          <w:color w:val="000000"/>
          <w:sz w:val="20"/>
          <w:szCs w:val="20"/>
          <w:shd w:val="clear" w:color="auto" w:fill="FFFFFF"/>
          <w:lang w:val="en-US"/>
        </w:rPr>
        <w:t>scan</w:t>
      </w:r>
      <w:r w:rsidR="009F5C21" w:rsidRPr="007D47AD">
        <w:rPr>
          <w:rFonts w:asciiTheme="minorHAnsi" w:hAnsiTheme="minorHAnsi" w:cs="Arial"/>
          <w:color w:val="000000"/>
          <w:sz w:val="20"/>
          <w:szCs w:val="20"/>
          <w:shd w:val="clear" w:color="auto" w:fill="FFFFFF"/>
          <w:lang w:val="en-US"/>
        </w:rPr>
        <w:t>t</w:t>
      </w:r>
      <w:r w:rsidR="00331091" w:rsidRPr="007D47AD">
        <w:rPr>
          <w:rFonts w:asciiTheme="minorHAnsi" w:hAnsiTheme="minorHAnsi" w:cs="Arial"/>
          <w:color w:val="000000"/>
          <w:sz w:val="20"/>
          <w:szCs w:val="20"/>
          <w:shd w:val="clear" w:color="auto" w:fill="FFFFFF"/>
          <w:lang w:val="en-US"/>
        </w:rPr>
        <w:t xml:space="preserve"> public access to judicial decisions; the financial, linguistic, and geographic </w:t>
      </w:r>
      <w:r w:rsidR="00331091" w:rsidRPr="007D47AD">
        <w:rPr>
          <w:rFonts w:asciiTheme="minorHAnsi" w:hAnsiTheme="minorHAnsi"/>
          <w:color w:val="000000"/>
          <w:sz w:val="20"/>
          <w:szCs w:val="20"/>
          <w:lang w:val="en-US"/>
        </w:rPr>
        <w:t xml:space="preserve">barriers that thwart access to justice for low-income women, indigenous and rural women, and women with disabilities; </w:t>
      </w:r>
      <w:r w:rsidR="007A4C94" w:rsidRPr="007D47AD">
        <w:rPr>
          <w:rFonts w:asciiTheme="minorHAnsi" w:hAnsiTheme="minorHAnsi"/>
          <w:color w:val="000000"/>
          <w:sz w:val="20"/>
          <w:szCs w:val="20"/>
          <w:lang w:val="en-US"/>
        </w:rPr>
        <w:t xml:space="preserve">women’s scant </w:t>
      </w:r>
      <w:r w:rsidR="007A4C94" w:rsidRPr="007D47AD">
        <w:rPr>
          <w:rFonts w:asciiTheme="minorHAnsi" w:hAnsiTheme="minorHAnsi"/>
          <w:color w:val="000000"/>
          <w:sz w:val="20"/>
          <w:szCs w:val="20"/>
          <w:lang w:val="en-US"/>
        </w:rPr>
        <w:lastRenderedPageBreak/>
        <w:t>knowledge, in particular women victims of gender violence, of their rights and the avenues of legal recourse available to them.</w:t>
      </w:r>
      <w:r w:rsidR="00C878BC" w:rsidRPr="007D47AD">
        <w:rPr>
          <w:rStyle w:val="FootnoteReference"/>
          <w:rFonts w:asciiTheme="minorHAnsi" w:hAnsiTheme="minorHAnsi"/>
          <w:color w:val="000000"/>
          <w:sz w:val="20"/>
          <w:szCs w:val="20"/>
          <w:lang w:val="en-US"/>
        </w:rPr>
        <w:footnoteReference w:id="244"/>
      </w:r>
    </w:p>
    <w:p w:rsidR="00C878BC" w:rsidRPr="007D47AD" w:rsidRDefault="00C878BC" w:rsidP="003D011F">
      <w:pPr>
        <w:shd w:val="clear" w:color="auto" w:fill="FFFFFF"/>
        <w:spacing w:after="0" w:line="240" w:lineRule="auto"/>
        <w:ind w:left="720"/>
        <w:jc w:val="both"/>
        <w:rPr>
          <w:rFonts w:asciiTheme="minorHAnsi" w:hAnsiTheme="minorHAnsi"/>
          <w:color w:val="000000"/>
          <w:sz w:val="20"/>
          <w:szCs w:val="20"/>
          <w:lang w:val="en-US"/>
        </w:rPr>
      </w:pPr>
      <w:r w:rsidRPr="007D47AD">
        <w:rPr>
          <w:rFonts w:asciiTheme="minorHAnsi" w:hAnsiTheme="minorHAnsi"/>
          <w:color w:val="000000"/>
          <w:sz w:val="20"/>
          <w:szCs w:val="20"/>
          <w:lang w:val="en-US"/>
        </w:rPr>
        <w:t xml:space="preserve">  </w:t>
      </w:r>
    </w:p>
    <w:p w:rsidR="00C878BC" w:rsidRPr="007D47AD" w:rsidRDefault="007A4C94" w:rsidP="00C878BC">
      <w:pPr>
        <w:numPr>
          <w:ilvl w:val="0"/>
          <w:numId w:val="6"/>
        </w:numPr>
        <w:shd w:val="clear" w:color="auto" w:fill="FFFFFF"/>
        <w:spacing w:after="0" w:line="240" w:lineRule="auto"/>
        <w:ind w:left="0" w:firstLine="720"/>
        <w:jc w:val="both"/>
        <w:rPr>
          <w:rStyle w:val="m002d8320586899623630245numberedparagraphschar"/>
          <w:rFonts w:asciiTheme="minorHAnsi" w:hAnsiTheme="minorHAnsi"/>
          <w:color w:val="000000"/>
          <w:sz w:val="20"/>
          <w:szCs w:val="20"/>
          <w:lang w:val="en-US"/>
        </w:rPr>
      </w:pPr>
      <w:r w:rsidRPr="007D47AD">
        <w:rPr>
          <w:rFonts w:asciiTheme="minorHAnsi" w:hAnsiTheme="minorHAnsi"/>
          <w:color w:val="000000"/>
          <w:sz w:val="20"/>
          <w:szCs w:val="20"/>
          <w:lang w:val="en-US"/>
        </w:rPr>
        <w:t>In view of the foregoing, the IACHR recognizes the State’s efforts and calls on it to intensify them with the aim of follow</w:t>
      </w:r>
      <w:r w:rsidR="00246905" w:rsidRPr="007D47AD">
        <w:rPr>
          <w:rFonts w:asciiTheme="minorHAnsi" w:hAnsiTheme="minorHAnsi"/>
          <w:color w:val="000000"/>
          <w:sz w:val="20"/>
          <w:szCs w:val="20"/>
          <w:lang w:val="en-US"/>
        </w:rPr>
        <w:t xml:space="preserve">ing </w:t>
      </w:r>
      <w:r w:rsidRPr="007D47AD">
        <w:rPr>
          <w:rFonts w:asciiTheme="minorHAnsi" w:hAnsiTheme="minorHAnsi"/>
          <w:color w:val="000000"/>
          <w:sz w:val="20"/>
          <w:szCs w:val="20"/>
          <w:lang w:val="en-US"/>
        </w:rPr>
        <w:t xml:space="preserve">up on its recommendation to implement and strengthen measures to carry out the duty to act with due diligence to prevent, punish, and eradicate violence and discrimination against women, </w:t>
      </w:r>
      <w:r w:rsidR="00C878BC" w:rsidRPr="007D47AD">
        <w:rPr>
          <w:rFonts w:asciiTheme="minorHAnsi" w:hAnsiTheme="minorHAnsi"/>
          <w:color w:val="000000"/>
          <w:sz w:val="20"/>
          <w:szCs w:val="20"/>
          <w:lang w:val="en-US"/>
        </w:rPr>
        <w:t>incorpor</w:t>
      </w:r>
      <w:r w:rsidR="009F5C21" w:rsidRPr="007D47AD">
        <w:rPr>
          <w:rFonts w:asciiTheme="minorHAnsi" w:hAnsiTheme="minorHAnsi"/>
          <w:color w:val="000000"/>
          <w:sz w:val="20"/>
          <w:szCs w:val="20"/>
          <w:lang w:val="en-US"/>
        </w:rPr>
        <w:t>at</w:t>
      </w:r>
      <w:r w:rsidRPr="007D47AD">
        <w:rPr>
          <w:rFonts w:asciiTheme="minorHAnsi" w:hAnsiTheme="minorHAnsi"/>
          <w:color w:val="000000"/>
          <w:sz w:val="20"/>
          <w:szCs w:val="20"/>
          <w:lang w:val="en-US"/>
        </w:rPr>
        <w:t xml:space="preserve">ing a gender </w:t>
      </w:r>
      <w:r w:rsidR="00C878BC" w:rsidRPr="007D47AD">
        <w:rPr>
          <w:rFonts w:asciiTheme="minorHAnsi" w:hAnsiTheme="minorHAnsi"/>
          <w:color w:val="000000"/>
          <w:sz w:val="20"/>
          <w:szCs w:val="20"/>
          <w:lang w:val="en-US"/>
        </w:rPr>
        <w:t>perspectiv</w:t>
      </w:r>
      <w:r w:rsidRPr="007D47AD">
        <w:rPr>
          <w:rFonts w:asciiTheme="minorHAnsi" w:hAnsiTheme="minorHAnsi"/>
          <w:color w:val="000000"/>
          <w:sz w:val="20"/>
          <w:szCs w:val="20"/>
          <w:lang w:val="en-US"/>
        </w:rPr>
        <w:t xml:space="preserve">e, including specific efforts to carry out the obligations to prevent, investigate, punish, and make reparation for violations of women’s human rights. Based on the foregoing, the IACHR observes that the recommendation has met with partial compliance. </w:t>
      </w:r>
    </w:p>
    <w:p w:rsidR="00C878BC" w:rsidRPr="007D47AD" w:rsidRDefault="00C878BC" w:rsidP="00C878BC">
      <w:pPr>
        <w:shd w:val="clear" w:color="auto" w:fill="FFFFFF"/>
        <w:spacing w:after="0" w:line="240" w:lineRule="auto"/>
        <w:ind w:left="720"/>
        <w:jc w:val="both"/>
        <w:rPr>
          <w:rFonts w:asciiTheme="minorHAnsi" w:hAnsiTheme="minorHAnsi"/>
          <w:color w:val="000000"/>
          <w:sz w:val="20"/>
          <w:szCs w:val="20"/>
          <w:lang w:val="en-US"/>
        </w:rPr>
      </w:pPr>
    </w:p>
    <w:p w:rsidR="00C878BC" w:rsidRPr="007D47AD" w:rsidRDefault="00C02FE9" w:rsidP="00C878BC">
      <w:pPr>
        <w:numPr>
          <w:ilvl w:val="0"/>
          <w:numId w:val="6"/>
        </w:numPr>
        <w:shd w:val="clear" w:color="auto" w:fill="FFFFFF"/>
        <w:spacing w:after="0" w:line="240" w:lineRule="auto"/>
        <w:ind w:left="0" w:firstLine="720"/>
        <w:jc w:val="both"/>
        <w:rPr>
          <w:rFonts w:asciiTheme="minorHAnsi" w:hAnsiTheme="minorHAnsi" w:cs="TimesNewRomanPSMT"/>
          <w:color w:val="000000"/>
          <w:sz w:val="20"/>
          <w:szCs w:val="20"/>
          <w:lang w:val="en-US"/>
        </w:rPr>
      </w:pPr>
      <w:r w:rsidRPr="007D47AD">
        <w:rPr>
          <w:rFonts w:asciiTheme="minorHAnsi" w:hAnsiTheme="minorHAnsi"/>
          <w:bCs/>
          <w:color w:val="000000"/>
          <w:sz w:val="20"/>
          <w:szCs w:val="20"/>
          <w:lang w:val="en-US"/>
        </w:rPr>
        <w:t>With respect to the recommendation</w:t>
      </w:r>
      <w:r w:rsidRPr="007D47AD">
        <w:rPr>
          <w:rFonts w:asciiTheme="minorHAnsi" w:hAnsiTheme="minorHAnsi"/>
          <w:b/>
          <w:color w:val="000000"/>
          <w:sz w:val="20"/>
          <w:szCs w:val="20"/>
          <w:lang w:val="en-US"/>
        </w:rPr>
        <w:t xml:space="preserve"> to adopt necessary measures to prevent, punish and eradicate acts of sexual violence and other forms of violence, torture and cruel, inhuman or degrading treatment by security forces against women, especially those who are deprived of liberty</w:t>
      </w:r>
      <w:r w:rsidR="00C878BC" w:rsidRPr="007D47AD">
        <w:rPr>
          <w:rFonts w:asciiTheme="minorHAnsi" w:hAnsiTheme="minorHAnsi"/>
          <w:color w:val="000000"/>
          <w:sz w:val="20"/>
          <w:szCs w:val="20"/>
          <w:lang w:val="en-US"/>
        </w:rPr>
        <w:t xml:space="preserve">, </w:t>
      </w:r>
      <w:r w:rsidR="007A4C94" w:rsidRPr="007D47AD">
        <w:rPr>
          <w:rFonts w:asciiTheme="minorHAnsi" w:hAnsiTheme="minorHAnsi"/>
          <w:color w:val="000000"/>
          <w:sz w:val="20"/>
          <w:szCs w:val="20"/>
          <w:lang w:val="en-US"/>
        </w:rPr>
        <w:t xml:space="preserve">the Commission views positively the information according to which </w:t>
      </w:r>
      <w:r w:rsidR="009F5C21" w:rsidRPr="007D47AD">
        <w:rPr>
          <w:rFonts w:asciiTheme="minorHAnsi" w:hAnsiTheme="minorHAnsi"/>
          <w:color w:val="000000"/>
          <w:sz w:val="20"/>
          <w:szCs w:val="20"/>
          <w:lang w:val="en-US"/>
        </w:rPr>
        <w:t xml:space="preserve">a road map </w:t>
      </w:r>
      <w:r w:rsidR="007A4C94" w:rsidRPr="007D47AD">
        <w:rPr>
          <w:rFonts w:asciiTheme="minorHAnsi" w:hAnsiTheme="minorHAnsi"/>
          <w:color w:val="000000"/>
          <w:sz w:val="20"/>
          <w:szCs w:val="20"/>
          <w:lang w:val="en-US"/>
        </w:rPr>
        <w:t xml:space="preserve">was approved by the Mechanism for Follow-up on Cases of Sexual Torture of Women, for strengthening that instrument </w:t>
      </w:r>
      <w:r w:rsidR="007A4C94" w:rsidRPr="007D47AD">
        <w:rPr>
          <w:rFonts w:asciiTheme="minorHAnsi" w:hAnsiTheme="minorHAnsi" w:cs="TimesNewRomanPSMT"/>
          <w:color w:val="000000"/>
          <w:sz w:val="20"/>
          <w:szCs w:val="20"/>
          <w:lang w:val="en-US"/>
        </w:rPr>
        <w:t xml:space="preserve">as well as promoting a presidential decree to strengthen its </w:t>
      </w:r>
      <w:r w:rsidR="009F5C21" w:rsidRPr="007D47AD">
        <w:rPr>
          <w:rFonts w:asciiTheme="minorHAnsi" w:hAnsiTheme="minorHAnsi" w:cs="TimesNewRomanPSMT"/>
          <w:color w:val="000000"/>
          <w:sz w:val="20"/>
          <w:szCs w:val="20"/>
          <w:lang w:val="en-US"/>
        </w:rPr>
        <w:t xml:space="preserve">powers and </w:t>
      </w:r>
      <w:r w:rsidR="004E08FB" w:rsidRPr="007D47AD">
        <w:rPr>
          <w:rFonts w:asciiTheme="minorHAnsi" w:hAnsiTheme="minorHAnsi" w:cs="TimesNewRomanPSMT"/>
          <w:color w:val="000000"/>
          <w:sz w:val="20"/>
          <w:szCs w:val="20"/>
          <w:lang w:val="en-US"/>
        </w:rPr>
        <w:t>attributions</w:t>
      </w:r>
      <w:r w:rsidR="009F5C21" w:rsidRPr="007D47AD">
        <w:rPr>
          <w:rFonts w:asciiTheme="minorHAnsi" w:hAnsiTheme="minorHAnsi" w:cs="TimesNewRomanPSMT"/>
          <w:color w:val="000000"/>
          <w:sz w:val="20"/>
          <w:szCs w:val="20"/>
          <w:lang w:val="en-US"/>
        </w:rPr>
        <w:t xml:space="preserve">, </w:t>
      </w:r>
      <w:r w:rsidR="007A4C94" w:rsidRPr="007D47AD">
        <w:rPr>
          <w:rFonts w:asciiTheme="minorHAnsi" w:hAnsiTheme="minorHAnsi" w:cs="TimesNewRomanPSMT"/>
          <w:color w:val="000000"/>
          <w:sz w:val="20"/>
          <w:szCs w:val="20"/>
          <w:lang w:val="en-US"/>
        </w:rPr>
        <w:t xml:space="preserve">to ensure it a technical structure and budget of its own, to address possible </w:t>
      </w:r>
      <w:r w:rsidR="004E08FB" w:rsidRPr="007D47AD">
        <w:rPr>
          <w:rFonts w:asciiTheme="minorHAnsi" w:hAnsiTheme="minorHAnsi" w:cs="TimesNewRomanPSMT"/>
          <w:color w:val="000000"/>
          <w:sz w:val="20"/>
          <w:szCs w:val="20"/>
          <w:lang w:val="en-US"/>
        </w:rPr>
        <w:t>reports throughout</w:t>
      </w:r>
      <w:r w:rsidR="007A4C94" w:rsidRPr="007D47AD">
        <w:rPr>
          <w:rFonts w:asciiTheme="minorHAnsi" w:hAnsiTheme="minorHAnsi" w:cs="TimesNewRomanPSMT"/>
          <w:color w:val="000000"/>
          <w:sz w:val="20"/>
          <w:szCs w:val="20"/>
          <w:lang w:val="en-US"/>
        </w:rPr>
        <w:t xml:space="preserve"> the State and generate public policies to prevent the sexual torture of women.</w:t>
      </w:r>
      <w:r w:rsidR="00C878BC" w:rsidRPr="007D47AD">
        <w:rPr>
          <w:rStyle w:val="FootnoteReference"/>
          <w:rFonts w:asciiTheme="minorHAnsi" w:hAnsiTheme="minorHAnsi" w:cs="TimesNewRomanPSMT"/>
          <w:color w:val="000000"/>
          <w:sz w:val="20"/>
          <w:szCs w:val="20"/>
          <w:lang w:val="en-US"/>
        </w:rPr>
        <w:footnoteReference w:id="245"/>
      </w:r>
      <w:r w:rsidR="00DB446C" w:rsidRPr="007D47AD">
        <w:rPr>
          <w:rFonts w:asciiTheme="minorHAnsi" w:hAnsiTheme="minorHAnsi" w:cs="TimesNewRomanPSMT"/>
          <w:color w:val="000000"/>
          <w:sz w:val="20"/>
          <w:szCs w:val="20"/>
          <w:lang w:val="en-US"/>
        </w:rPr>
        <w:t xml:space="preserve"> </w:t>
      </w:r>
      <w:r w:rsidR="003C1E5E" w:rsidRPr="007D47AD">
        <w:rPr>
          <w:rFonts w:asciiTheme="minorHAnsi" w:hAnsiTheme="minorHAnsi" w:cs="TimesNewRomanPSMT"/>
          <w:color w:val="000000"/>
          <w:sz w:val="20"/>
          <w:szCs w:val="20"/>
          <w:lang w:val="en-US"/>
        </w:rPr>
        <w:t>I</w:t>
      </w:r>
      <w:r w:rsidR="00DB446C" w:rsidRPr="007D47AD">
        <w:rPr>
          <w:rFonts w:asciiTheme="minorHAnsi" w:hAnsiTheme="minorHAnsi" w:cs="TimesNewRomanPSMT"/>
          <w:color w:val="000000"/>
          <w:sz w:val="20"/>
          <w:szCs w:val="20"/>
          <w:lang w:val="en-US"/>
        </w:rPr>
        <w:t xml:space="preserve">n </w:t>
      </w:r>
      <w:r w:rsidR="003C1E5E" w:rsidRPr="007D47AD">
        <w:rPr>
          <w:rFonts w:asciiTheme="minorHAnsi" w:hAnsiTheme="minorHAnsi" w:cs="TimesNewRomanPSMT"/>
          <w:color w:val="000000"/>
          <w:sz w:val="20"/>
          <w:szCs w:val="20"/>
          <w:lang w:val="en-US"/>
        </w:rPr>
        <w:t xml:space="preserve">its observations on the draft of this report the State noted that from March to December </w:t>
      </w:r>
      <w:r w:rsidR="00DB446C" w:rsidRPr="007D47AD">
        <w:rPr>
          <w:rFonts w:asciiTheme="minorHAnsi" w:hAnsiTheme="minorHAnsi" w:cs="TimesNewRomanPSMT"/>
          <w:color w:val="000000"/>
          <w:sz w:val="20"/>
          <w:szCs w:val="20"/>
          <w:lang w:val="en-US"/>
        </w:rPr>
        <w:t>2019</w:t>
      </w:r>
      <w:r w:rsidR="003C1E5E" w:rsidRPr="007D47AD">
        <w:rPr>
          <w:rFonts w:asciiTheme="minorHAnsi" w:hAnsiTheme="minorHAnsi" w:cs="TimesNewRomanPSMT"/>
          <w:color w:val="000000"/>
          <w:sz w:val="20"/>
          <w:szCs w:val="20"/>
          <w:lang w:val="en-US"/>
        </w:rPr>
        <w:t xml:space="preserve">, 13 training activities </w:t>
      </w:r>
      <w:r w:rsidR="00211993" w:rsidRPr="007D47AD">
        <w:rPr>
          <w:rFonts w:asciiTheme="minorHAnsi" w:hAnsiTheme="minorHAnsi" w:cs="TimesNewRomanPSMT"/>
          <w:color w:val="000000"/>
          <w:sz w:val="20"/>
          <w:szCs w:val="20"/>
          <w:lang w:val="en-US"/>
        </w:rPr>
        <w:t xml:space="preserve">were held on violence against women in which more than </w:t>
      </w:r>
      <w:r w:rsidR="00DB446C" w:rsidRPr="007D47AD">
        <w:rPr>
          <w:rFonts w:asciiTheme="minorHAnsi" w:hAnsiTheme="minorHAnsi" w:cs="TimesNewRomanPSMT"/>
          <w:color w:val="000000"/>
          <w:sz w:val="20"/>
          <w:szCs w:val="20"/>
          <w:lang w:val="en-US"/>
        </w:rPr>
        <w:t>1</w:t>
      </w:r>
      <w:r w:rsidR="00211993" w:rsidRPr="007D47AD">
        <w:rPr>
          <w:rFonts w:asciiTheme="minorHAnsi" w:hAnsiTheme="minorHAnsi" w:cs="TimesNewRomanPSMT"/>
          <w:color w:val="000000"/>
          <w:sz w:val="20"/>
          <w:szCs w:val="20"/>
          <w:lang w:val="en-US"/>
        </w:rPr>
        <w:t>,</w:t>
      </w:r>
      <w:r w:rsidR="00DB446C" w:rsidRPr="007D47AD">
        <w:rPr>
          <w:rFonts w:asciiTheme="minorHAnsi" w:hAnsiTheme="minorHAnsi" w:cs="TimesNewRomanPSMT"/>
          <w:color w:val="000000"/>
          <w:sz w:val="20"/>
          <w:szCs w:val="20"/>
          <w:lang w:val="en-US"/>
        </w:rPr>
        <w:t xml:space="preserve">500 </w:t>
      </w:r>
      <w:r w:rsidR="00211993" w:rsidRPr="007D47AD">
        <w:rPr>
          <w:rFonts w:asciiTheme="minorHAnsi" w:hAnsiTheme="minorHAnsi" w:cs="TimesNewRomanPSMT"/>
          <w:color w:val="000000"/>
          <w:sz w:val="20"/>
          <w:szCs w:val="20"/>
          <w:lang w:val="en-US"/>
        </w:rPr>
        <w:t xml:space="preserve">officials </w:t>
      </w:r>
      <w:r w:rsidR="00617FCE" w:rsidRPr="007D47AD">
        <w:rPr>
          <w:rFonts w:asciiTheme="minorHAnsi" w:hAnsiTheme="minorHAnsi" w:cs="TimesNewRomanPSMT"/>
          <w:color w:val="000000"/>
          <w:sz w:val="20"/>
          <w:szCs w:val="20"/>
          <w:lang w:val="en-US"/>
        </w:rPr>
        <w:t>f</w:t>
      </w:r>
      <w:r w:rsidR="00211993" w:rsidRPr="007D47AD">
        <w:rPr>
          <w:rFonts w:asciiTheme="minorHAnsi" w:hAnsiTheme="minorHAnsi" w:cs="TimesNewRomanPSMT"/>
          <w:color w:val="000000"/>
          <w:sz w:val="20"/>
          <w:szCs w:val="20"/>
          <w:lang w:val="en-US"/>
        </w:rPr>
        <w:t xml:space="preserve">rom the </w:t>
      </w:r>
      <w:r w:rsidR="00DB446C" w:rsidRPr="007D47AD">
        <w:rPr>
          <w:rFonts w:asciiTheme="minorHAnsi" w:hAnsiTheme="minorHAnsi" w:cs="TimesNewRomanPSMT"/>
          <w:color w:val="000000"/>
          <w:sz w:val="20"/>
          <w:szCs w:val="20"/>
          <w:lang w:val="en-US"/>
        </w:rPr>
        <w:t>FGR</w:t>
      </w:r>
      <w:r w:rsidR="00211993" w:rsidRPr="007D47AD">
        <w:rPr>
          <w:rFonts w:asciiTheme="minorHAnsi" w:hAnsiTheme="minorHAnsi" w:cs="TimesNewRomanPSMT"/>
          <w:color w:val="000000"/>
          <w:sz w:val="20"/>
          <w:szCs w:val="20"/>
          <w:lang w:val="en-US"/>
        </w:rPr>
        <w:t xml:space="preserve"> participated; informational documents on the subject were </w:t>
      </w:r>
      <w:r w:rsidR="00617FCE" w:rsidRPr="007D47AD">
        <w:rPr>
          <w:rFonts w:asciiTheme="minorHAnsi" w:hAnsiTheme="minorHAnsi" w:cs="TimesNewRomanPSMT"/>
          <w:color w:val="000000"/>
          <w:sz w:val="20"/>
          <w:szCs w:val="20"/>
          <w:lang w:val="en-US"/>
        </w:rPr>
        <w:t xml:space="preserve">also </w:t>
      </w:r>
      <w:r w:rsidR="00211993" w:rsidRPr="007D47AD">
        <w:rPr>
          <w:rFonts w:asciiTheme="minorHAnsi" w:hAnsiTheme="minorHAnsi" w:cs="TimesNewRomanPSMT"/>
          <w:color w:val="000000"/>
          <w:sz w:val="20"/>
          <w:szCs w:val="20"/>
          <w:lang w:val="en-US"/>
        </w:rPr>
        <w:t>distributed.</w:t>
      </w:r>
      <w:r w:rsidR="00DB446C" w:rsidRPr="007D47AD">
        <w:rPr>
          <w:rStyle w:val="FootnoteReference"/>
          <w:rFonts w:asciiTheme="minorHAnsi" w:hAnsiTheme="minorHAnsi"/>
          <w:sz w:val="20"/>
          <w:szCs w:val="20"/>
          <w:lang w:val="en-US"/>
        </w:rPr>
        <w:footnoteReference w:id="246"/>
      </w:r>
      <w:r w:rsidR="00DB446C" w:rsidRPr="007D47AD">
        <w:rPr>
          <w:rFonts w:asciiTheme="minorHAnsi" w:hAnsiTheme="minorHAnsi" w:cs="TimesNewRomanPSMT"/>
          <w:color w:val="000000"/>
          <w:sz w:val="20"/>
          <w:szCs w:val="20"/>
          <w:lang w:val="en-US"/>
        </w:rPr>
        <w:t xml:space="preserve"> </w:t>
      </w:r>
      <w:r w:rsidR="00211993" w:rsidRPr="007D47AD">
        <w:rPr>
          <w:rFonts w:asciiTheme="minorHAnsi" w:hAnsiTheme="minorHAnsi" w:cs="TimesNewRomanPSMT"/>
          <w:color w:val="000000"/>
          <w:sz w:val="20"/>
          <w:szCs w:val="20"/>
          <w:lang w:val="en-US"/>
        </w:rPr>
        <w:t xml:space="preserve">In addition, it noted that the </w:t>
      </w:r>
      <w:r w:rsidR="00DB446C" w:rsidRPr="007D47AD">
        <w:rPr>
          <w:rFonts w:asciiTheme="minorHAnsi" w:hAnsiTheme="minorHAnsi"/>
          <w:color w:val="000000"/>
          <w:sz w:val="20"/>
          <w:szCs w:val="20"/>
          <w:lang w:val="en-US"/>
        </w:rPr>
        <w:t xml:space="preserve">CEAV, </w:t>
      </w:r>
      <w:r w:rsidR="00211993" w:rsidRPr="007D47AD">
        <w:rPr>
          <w:rFonts w:asciiTheme="minorHAnsi" w:hAnsiTheme="minorHAnsi"/>
          <w:color w:val="000000"/>
          <w:sz w:val="20"/>
          <w:szCs w:val="20"/>
          <w:lang w:val="en-US"/>
        </w:rPr>
        <w:t>in coordination with the Ministry of Interior, participated in the Specialized Workshop for Addressing Sexual Exploitation of Children and Adolescents</w:t>
      </w:r>
      <w:r w:rsidR="00DB446C" w:rsidRPr="007D47AD">
        <w:rPr>
          <w:rFonts w:asciiTheme="minorHAnsi" w:hAnsiTheme="minorHAnsi"/>
          <w:color w:val="000000"/>
          <w:sz w:val="20"/>
          <w:szCs w:val="20"/>
          <w:lang w:val="en-US"/>
        </w:rPr>
        <w:t xml:space="preserve">, </w:t>
      </w:r>
      <w:r w:rsidR="00211993" w:rsidRPr="007D47AD">
        <w:rPr>
          <w:rFonts w:asciiTheme="minorHAnsi" w:hAnsiTheme="minorHAnsi"/>
          <w:color w:val="000000"/>
          <w:sz w:val="20"/>
          <w:szCs w:val="20"/>
          <w:lang w:val="en-US"/>
        </w:rPr>
        <w:t xml:space="preserve">Human Trafficking, and Child Labor in the travel and tourism </w:t>
      </w:r>
      <w:r w:rsidR="00DB446C" w:rsidRPr="007D47AD">
        <w:rPr>
          <w:rFonts w:asciiTheme="minorHAnsi" w:hAnsiTheme="minorHAnsi"/>
          <w:color w:val="000000"/>
          <w:sz w:val="20"/>
          <w:szCs w:val="20"/>
          <w:lang w:val="en-US"/>
        </w:rPr>
        <w:t>sector</w:t>
      </w:r>
      <w:r w:rsidR="00211993" w:rsidRPr="007D47AD">
        <w:rPr>
          <w:rFonts w:asciiTheme="minorHAnsi" w:hAnsiTheme="minorHAnsi"/>
          <w:color w:val="000000"/>
          <w:sz w:val="20"/>
          <w:szCs w:val="20"/>
          <w:lang w:val="en-US"/>
        </w:rPr>
        <w:t>.</w:t>
      </w:r>
      <w:r w:rsidR="00DB446C" w:rsidRPr="007D47AD">
        <w:rPr>
          <w:rStyle w:val="FootnoteReference"/>
          <w:rFonts w:asciiTheme="minorHAnsi" w:hAnsiTheme="minorHAnsi"/>
          <w:sz w:val="20"/>
          <w:szCs w:val="20"/>
          <w:lang w:val="en-US"/>
        </w:rPr>
        <w:footnoteReference w:id="247"/>
      </w:r>
    </w:p>
    <w:p w:rsidR="00C878BC" w:rsidRPr="007D47AD" w:rsidRDefault="00C878BC" w:rsidP="00C878BC">
      <w:pPr>
        <w:shd w:val="clear" w:color="auto" w:fill="FFFFFF"/>
        <w:spacing w:after="0" w:line="240" w:lineRule="auto"/>
        <w:jc w:val="both"/>
        <w:rPr>
          <w:rFonts w:asciiTheme="minorHAnsi" w:hAnsiTheme="minorHAnsi" w:cs="TimesNewRomanPSMT"/>
          <w:color w:val="000000"/>
          <w:sz w:val="20"/>
          <w:szCs w:val="20"/>
          <w:lang w:val="en-US"/>
        </w:rPr>
      </w:pPr>
    </w:p>
    <w:p w:rsidR="00C878BC" w:rsidRPr="007D47AD" w:rsidRDefault="007A4C94" w:rsidP="00C878BC">
      <w:pPr>
        <w:numPr>
          <w:ilvl w:val="0"/>
          <w:numId w:val="6"/>
        </w:numPr>
        <w:shd w:val="clear" w:color="auto" w:fill="FFFFFF"/>
        <w:spacing w:after="0" w:line="240" w:lineRule="auto"/>
        <w:ind w:left="0" w:firstLine="720"/>
        <w:jc w:val="both"/>
        <w:rPr>
          <w:rFonts w:asciiTheme="minorHAnsi" w:hAnsiTheme="minorHAnsi" w:cs="TimesNewRomanPSMT"/>
          <w:color w:val="000000"/>
          <w:sz w:val="20"/>
          <w:szCs w:val="20"/>
          <w:lang w:val="en-US"/>
        </w:rPr>
      </w:pPr>
      <w:r w:rsidRPr="007D47AD">
        <w:rPr>
          <w:rFonts w:asciiTheme="minorHAnsi" w:hAnsiTheme="minorHAnsi"/>
          <w:bCs/>
          <w:color w:val="000000"/>
          <w:sz w:val="20"/>
          <w:szCs w:val="20"/>
          <w:lang w:val="en-US"/>
        </w:rPr>
        <w:t>In addition, the Commission was informed that the National Conference of the Penitentiary System approved</w:t>
      </w:r>
      <w:r w:rsidR="00C878BC" w:rsidRPr="007D47AD">
        <w:rPr>
          <w:rFonts w:asciiTheme="minorHAnsi" w:hAnsiTheme="minorHAnsi"/>
          <w:sz w:val="20"/>
          <w:szCs w:val="20"/>
          <w:lang w:val="en-US"/>
        </w:rPr>
        <w:t xml:space="preserve">, </w:t>
      </w:r>
      <w:r w:rsidRPr="007D47AD">
        <w:rPr>
          <w:rFonts w:asciiTheme="minorHAnsi" w:hAnsiTheme="minorHAnsi"/>
          <w:i/>
          <w:iCs/>
          <w:sz w:val="20"/>
          <w:szCs w:val="20"/>
          <w:lang w:val="en-US"/>
        </w:rPr>
        <w:t>inter alia</w:t>
      </w:r>
      <w:r w:rsidRPr="007D47AD">
        <w:rPr>
          <w:rFonts w:asciiTheme="minorHAnsi" w:hAnsiTheme="minorHAnsi"/>
          <w:sz w:val="20"/>
          <w:szCs w:val="20"/>
          <w:lang w:val="en-US"/>
        </w:rPr>
        <w:t>, the protocols for action to prevent sexual assaults, suicides and torture, cruel, inhuman, and degrading treatment of persons deprived of liberty</w:t>
      </w:r>
      <w:r w:rsidR="00C878BC" w:rsidRPr="007D47AD">
        <w:rPr>
          <w:rFonts w:asciiTheme="minorHAnsi" w:hAnsiTheme="minorHAnsi"/>
          <w:sz w:val="20"/>
          <w:szCs w:val="20"/>
          <w:lang w:val="en-US"/>
        </w:rPr>
        <w:t xml:space="preserve">, </w:t>
      </w:r>
      <w:r w:rsidRPr="007D47AD">
        <w:rPr>
          <w:rFonts w:asciiTheme="minorHAnsi" w:hAnsiTheme="minorHAnsi"/>
          <w:sz w:val="20"/>
          <w:szCs w:val="20"/>
          <w:lang w:val="en-US"/>
        </w:rPr>
        <w:t xml:space="preserve">which include international human rights standards. In addition, the National Center for Crime Prevention and Citizen Participation of the Executive Secretariat of the National Public Security System </w:t>
      </w:r>
      <w:r w:rsidR="00C878BC" w:rsidRPr="007D47AD">
        <w:rPr>
          <w:rFonts w:asciiTheme="minorHAnsi" w:hAnsiTheme="minorHAnsi"/>
          <w:sz w:val="20"/>
          <w:szCs w:val="20"/>
          <w:lang w:val="en-US"/>
        </w:rPr>
        <w:t>inclu</w:t>
      </w:r>
      <w:r w:rsidRPr="007D47AD">
        <w:rPr>
          <w:rFonts w:asciiTheme="minorHAnsi" w:hAnsiTheme="minorHAnsi"/>
          <w:sz w:val="20"/>
          <w:szCs w:val="20"/>
          <w:lang w:val="en-US"/>
        </w:rPr>
        <w:t>ded</w:t>
      </w:r>
      <w:r w:rsidR="009F5C21" w:rsidRPr="007D47AD">
        <w:rPr>
          <w:rFonts w:asciiTheme="minorHAnsi" w:hAnsiTheme="minorHAnsi"/>
          <w:sz w:val="20"/>
          <w:szCs w:val="20"/>
          <w:lang w:val="en-US"/>
        </w:rPr>
        <w:t>,</w:t>
      </w:r>
      <w:r w:rsidRPr="007D47AD">
        <w:rPr>
          <w:rFonts w:asciiTheme="minorHAnsi" w:hAnsiTheme="minorHAnsi"/>
          <w:sz w:val="20"/>
          <w:szCs w:val="20"/>
          <w:lang w:val="en-US"/>
        </w:rPr>
        <w:t xml:space="preserve"> among </w:t>
      </w:r>
      <w:r w:rsidR="009F5C21" w:rsidRPr="007D47AD">
        <w:rPr>
          <w:rFonts w:asciiTheme="minorHAnsi" w:hAnsiTheme="minorHAnsi"/>
          <w:sz w:val="20"/>
          <w:szCs w:val="20"/>
          <w:lang w:val="en-US"/>
        </w:rPr>
        <w:t xml:space="preserve">the </w:t>
      </w:r>
      <w:r w:rsidRPr="007D47AD">
        <w:rPr>
          <w:rFonts w:asciiTheme="minorHAnsi" w:hAnsiTheme="minorHAnsi"/>
          <w:sz w:val="20"/>
          <w:szCs w:val="20"/>
          <w:lang w:val="en-US"/>
        </w:rPr>
        <w:t xml:space="preserve">priority objectives of </w:t>
      </w:r>
      <w:r w:rsidR="009F5C21" w:rsidRPr="007D47AD">
        <w:rPr>
          <w:rFonts w:asciiTheme="minorHAnsi" w:hAnsiTheme="minorHAnsi"/>
          <w:sz w:val="20"/>
          <w:szCs w:val="20"/>
          <w:lang w:val="en-US"/>
        </w:rPr>
        <w:t xml:space="preserve">its </w:t>
      </w:r>
      <w:r w:rsidRPr="007D47AD">
        <w:rPr>
          <w:rFonts w:asciiTheme="minorHAnsi" w:hAnsiTheme="minorHAnsi"/>
          <w:sz w:val="20"/>
          <w:szCs w:val="20"/>
          <w:lang w:val="en-US"/>
        </w:rPr>
        <w:t>Six-year National Prevention Plan</w:t>
      </w:r>
      <w:r w:rsidR="009F5C21" w:rsidRPr="007D47AD">
        <w:rPr>
          <w:rFonts w:asciiTheme="minorHAnsi" w:hAnsiTheme="minorHAnsi"/>
          <w:sz w:val="20"/>
          <w:szCs w:val="20"/>
          <w:lang w:val="en-US"/>
        </w:rPr>
        <w:t xml:space="preserve">, implementing </w:t>
      </w:r>
      <w:r w:rsidRPr="007D47AD">
        <w:rPr>
          <w:rFonts w:asciiTheme="minorHAnsi" w:hAnsiTheme="minorHAnsi"/>
          <w:sz w:val="20"/>
          <w:szCs w:val="20"/>
          <w:lang w:val="en-US"/>
        </w:rPr>
        <w:t xml:space="preserve">programs for training and professionalizing the National Guard and the police institutions on women’s rights; </w:t>
      </w:r>
      <w:r w:rsidR="009F5C21" w:rsidRPr="007D47AD">
        <w:rPr>
          <w:rFonts w:asciiTheme="minorHAnsi" w:hAnsiTheme="minorHAnsi"/>
          <w:sz w:val="20"/>
          <w:szCs w:val="20"/>
          <w:lang w:val="en-US"/>
        </w:rPr>
        <w:t xml:space="preserve">and </w:t>
      </w:r>
      <w:r w:rsidRPr="007D47AD">
        <w:rPr>
          <w:rFonts w:asciiTheme="minorHAnsi" w:hAnsiTheme="minorHAnsi"/>
          <w:sz w:val="20"/>
          <w:szCs w:val="20"/>
          <w:lang w:val="en-US"/>
        </w:rPr>
        <w:t>promot</w:t>
      </w:r>
      <w:r w:rsidR="009F5C21" w:rsidRPr="007D47AD">
        <w:rPr>
          <w:rFonts w:asciiTheme="minorHAnsi" w:hAnsiTheme="minorHAnsi"/>
          <w:sz w:val="20"/>
          <w:szCs w:val="20"/>
          <w:lang w:val="en-US"/>
        </w:rPr>
        <w:t>ing</w:t>
      </w:r>
      <w:r w:rsidRPr="007D47AD">
        <w:rPr>
          <w:rFonts w:asciiTheme="minorHAnsi" w:hAnsiTheme="minorHAnsi"/>
          <w:sz w:val="20"/>
          <w:szCs w:val="20"/>
          <w:lang w:val="en-US"/>
        </w:rPr>
        <w:t xml:space="preserve"> the prisons incorporating a gender perspective as a cross-cutting </w:t>
      </w:r>
      <w:r w:rsidR="009F5C21" w:rsidRPr="007D47AD">
        <w:rPr>
          <w:rFonts w:asciiTheme="minorHAnsi" w:hAnsiTheme="minorHAnsi"/>
          <w:sz w:val="20"/>
          <w:szCs w:val="20"/>
          <w:lang w:val="en-US"/>
        </w:rPr>
        <w:t xml:space="preserve">theme </w:t>
      </w:r>
      <w:r w:rsidRPr="007D47AD">
        <w:rPr>
          <w:rFonts w:asciiTheme="minorHAnsi" w:hAnsiTheme="minorHAnsi"/>
          <w:sz w:val="20"/>
          <w:szCs w:val="20"/>
          <w:lang w:val="en-US"/>
        </w:rPr>
        <w:t>in the programs for social reinsertion that benefit women deprived of liberty and their children.</w:t>
      </w:r>
      <w:r w:rsidR="00C878BC" w:rsidRPr="007D47AD">
        <w:rPr>
          <w:rStyle w:val="FootnoteReference"/>
          <w:rFonts w:asciiTheme="minorHAnsi" w:hAnsiTheme="minorHAnsi"/>
          <w:sz w:val="20"/>
          <w:szCs w:val="20"/>
          <w:lang w:val="en-US"/>
        </w:rPr>
        <w:footnoteReference w:id="248"/>
      </w:r>
      <w:r w:rsidR="00C878BC" w:rsidRPr="007D47AD">
        <w:rPr>
          <w:rFonts w:asciiTheme="minorHAnsi" w:hAnsiTheme="minorHAnsi"/>
          <w:sz w:val="20"/>
          <w:szCs w:val="20"/>
          <w:lang w:val="en-US"/>
        </w:rPr>
        <w:t xml:space="preserve"> </w:t>
      </w:r>
      <w:r w:rsidRPr="007D47AD">
        <w:rPr>
          <w:rFonts w:asciiTheme="minorHAnsi" w:hAnsiTheme="minorHAnsi"/>
          <w:sz w:val="20"/>
          <w:szCs w:val="20"/>
          <w:lang w:val="en-US"/>
        </w:rPr>
        <w:t xml:space="preserve">In addition, the </w:t>
      </w:r>
      <w:r w:rsidR="009F5C21" w:rsidRPr="007D47AD">
        <w:rPr>
          <w:rFonts w:asciiTheme="minorHAnsi" w:hAnsiTheme="minorHAnsi"/>
          <w:sz w:val="20"/>
          <w:szCs w:val="20"/>
          <w:lang w:val="en-US"/>
        </w:rPr>
        <w:t xml:space="preserve">Ministry of the Navy </w:t>
      </w:r>
      <w:r w:rsidRPr="007D47AD">
        <w:rPr>
          <w:rFonts w:asciiTheme="minorHAnsi" w:hAnsiTheme="minorHAnsi"/>
          <w:sz w:val="20"/>
          <w:szCs w:val="20"/>
          <w:lang w:val="en-US"/>
        </w:rPr>
        <w:t xml:space="preserve">held several trainings on human rights geared to its naval personnel including </w:t>
      </w:r>
      <w:r w:rsidR="009F5C21" w:rsidRPr="007D47AD">
        <w:rPr>
          <w:rFonts w:asciiTheme="minorHAnsi" w:hAnsiTheme="minorHAnsi"/>
          <w:sz w:val="20"/>
          <w:szCs w:val="20"/>
          <w:lang w:val="en-US"/>
        </w:rPr>
        <w:t xml:space="preserve">trainings </w:t>
      </w:r>
      <w:r w:rsidRPr="007D47AD">
        <w:rPr>
          <w:rFonts w:asciiTheme="minorHAnsi" w:hAnsiTheme="minorHAnsi"/>
          <w:sz w:val="20"/>
          <w:szCs w:val="20"/>
          <w:lang w:val="en-US"/>
        </w:rPr>
        <w:t>on Torture and Other Cruel, Inhuman or Degrading Treatment or Punishment</w:t>
      </w:r>
      <w:r w:rsidR="00C878BC" w:rsidRPr="007D47AD">
        <w:rPr>
          <w:rFonts w:asciiTheme="minorHAnsi" w:hAnsiTheme="minorHAnsi"/>
          <w:sz w:val="20"/>
          <w:szCs w:val="20"/>
          <w:lang w:val="en-US"/>
        </w:rPr>
        <w:t xml:space="preserve">, </w:t>
      </w:r>
      <w:r w:rsidRPr="007D47AD">
        <w:rPr>
          <w:rFonts w:asciiTheme="minorHAnsi" w:hAnsiTheme="minorHAnsi"/>
          <w:sz w:val="20"/>
          <w:szCs w:val="20"/>
          <w:lang w:val="en-US"/>
        </w:rPr>
        <w:t xml:space="preserve">which include aspects related to </w:t>
      </w:r>
      <w:r w:rsidR="009F5C21" w:rsidRPr="007D47AD">
        <w:rPr>
          <w:rFonts w:asciiTheme="minorHAnsi" w:hAnsiTheme="minorHAnsi"/>
          <w:sz w:val="20"/>
          <w:szCs w:val="20"/>
          <w:lang w:val="en-US"/>
        </w:rPr>
        <w:t>se</w:t>
      </w:r>
      <w:r w:rsidRPr="007D47AD">
        <w:rPr>
          <w:rFonts w:asciiTheme="minorHAnsi" w:hAnsiTheme="minorHAnsi"/>
          <w:sz w:val="20"/>
          <w:szCs w:val="20"/>
          <w:lang w:val="en-US"/>
        </w:rPr>
        <w:t xml:space="preserve">xual </w:t>
      </w:r>
      <w:r w:rsidR="009F5C21" w:rsidRPr="007D47AD">
        <w:rPr>
          <w:rFonts w:asciiTheme="minorHAnsi" w:hAnsiTheme="minorHAnsi"/>
          <w:sz w:val="20"/>
          <w:szCs w:val="20"/>
          <w:lang w:val="en-US"/>
        </w:rPr>
        <w:t>t</w:t>
      </w:r>
      <w:r w:rsidRPr="007D47AD">
        <w:rPr>
          <w:rFonts w:asciiTheme="minorHAnsi" w:hAnsiTheme="minorHAnsi"/>
          <w:sz w:val="20"/>
          <w:szCs w:val="20"/>
          <w:lang w:val="en-US"/>
        </w:rPr>
        <w:t xml:space="preserve">orture as well as </w:t>
      </w:r>
      <w:r w:rsidR="009F5C21" w:rsidRPr="007D47AD">
        <w:rPr>
          <w:rFonts w:asciiTheme="minorHAnsi" w:hAnsiTheme="minorHAnsi"/>
          <w:sz w:val="20"/>
          <w:szCs w:val="20"/>
          <w:lang w:val="en-US"/>
        </w:rPr>
        <w:t>t</w:t>
      </w:r>
      <w:r w:rsidRPr="007D47AD">
        <w:rPr>
          <w:rFonts w:asciiTheme="minorHAnsi" w:hAnsiTheme="minorHAnsi"/>
          <w:sz w:val="20"/>
          <w:szCs w:val="20"/>
          <w:lang w:val="en-US"/>
        </w:rPr>
        <w:t>reatment of vulnerable groups, placing emphasis on women and minors.</w:t>
      </w:r>
      <w:r w:rsidR="00C878BC" w:rsidRPr="007D47AD">
        <w:rPr>
          <w:rStyle w:val="FootnoteReference"/>
          <w:rFonts w:asciiTheme="minorHAnsi" w:hAnsiTheme="minorHAnsi"/>
          <w:sz w:val="20"/>
          <w:szCs w:val="20"/>
          <w:lang w:val="en-US"/>
        </w:rPr>
        <w:footnoteReference w:id="249"/>
      </w:r>
    </w:p>
    <w:p w:rsidR="00DB446C" w:rsidRPr="007D47AD" w:rsidRDefault="00DB446C" w:rsidP="00DB446C">
      <w:pPr>
        <w:shd w:val="clear" w:color="auto" w:fill="FFFFFF"/>
        <w:spacing w:after="0" w:line="240" w:lineRule="auto"/>
        <w:ind w:left="720"/>
        <w:jc w:val="both"/>
        <w:rPr>
          <w:rFonts w:asciiTheme="minorHAnsi" w:hAnsiTheme="minorHAnsi" w:cs="TimesNewRomanPSMT"/>
          <w:color w:val="000000"/>
          <w:sz w:val="20"/>
          <w:szCs w:val="20"/>
          <w:lang w:val="en-US"/>
        </w:rPr>
      </w:pPr>
    </w:p>
    <w:p w:rsidR="00DB446C" w:rsidRPr="007D47AD" w:rsidRDefault="00211993" w:rsidP="00DB446C">
      <w:pPr>
        <w:numPr>
          <w:ilvl w:val="0"/>
          <w:numId w:val="6"/>
        </w:numPr>
        <w:shd w:val="clear" w:color="auto" w:fill="FFFFFF"/>
        <w:spacing w:after="0" w:line="240" w:lineRule="auto"/>
        <w:ind w:left="0" w:firstLine="720"/>
        <w:jc w:val="both"/>
        <w:rPr>
          <w:rFonts w:asciiTheme="minorHAnsi" w:hAnsiTheme="minorHAnsi" w:cs="TimesNewRomanPSMT"/>
          <w:color w:val="000000"/>
          <w:sz w:val="20"/>
          <w:szCs w:val="20"/>
          <w:lang w:val="en-US"/>
        </w:rPr>
      </w:pPr>
      <w:r w:rsidRPr="007D47AD">
        <w:rPr>
          <w:rFonts w:asciiTheme="minorHAnsi" w:hAnsiTheme="minorHAnsi"/>
          <w:sz w:val="20"/>
          <w:szCs w:val="20"/>
          <w:lang w:val="en-US"/>
        </w:rPr>
        <w:t xml:space="preserve">In addition, the IACHR has taken note that the Head of Government of Mexico City decreed the </w:t>
      </w:r>
      <w:r w:rsidR="00B00551" w:rsidRPr="007D47AD">
        <w:rPr>
          <w:rFonts w:asciiTheme="minorHAnsi" w:hAnsiTheme="minorHAnsi"/>
          <w:sz w:val="20"/>
          <w:szCs w:val="20"/>
          <w:lang w:val="en-US"/>
        </w:rPr>
        <w:t xml:space="preserve">Alert for Violence against Women on November </w:t>
      </w:r>
      <w:r w:rsidR="00DB446C" w:rsidRPr="007D47AD">
        <w:rPr>
          <w:rFonts w:asciiTheme="minorHAnsi" w:hAnsiTheme="minorHAnsi"/>
          <w:sz w:val="20"/>
          <w:szCs w:val="20"/>
          <w:lang w:val="en-US"/>
        </w:rPr>
        <w:t>23</w:t>
      </w:r>
      <w:r w:rsidR="00B00551" w:rsidRPr="007D47AD">
        <w:rPr>
          <w:rFonts w:asciiTheme="minorHAnsi" w:hAnsiTheme="minorHAnsi"/>
          <w:sz w:val="20"/>
          <w:szCs w:val="20"/>
          <w:lang w:val="en-US"/>
        </w:rPr>
        <w:t>,</w:t>
      </w:r>
      <w:r w:rsidR="00DB446C" w:rsidRPr="007D47AD">
        <w:rPr>
          <w:rFonts w:asciiTheme="minorHAnsi" w:hAnsiTheme="minorHAnsi"/>
          <w:sz w:val="20"/>
          <w:szCs w:val="20"/>
          <w:lang w:val="en-US"/>
        </w:rPr>
        <w:t xml:space="preserve"> 2019, </w:t>
      </w:r>
      <w:r w:rsidR="00B00551" w:rsidRPr="007D47AD">
        <w:rPr>
          <w:rFonts w:asciiTheme="minorHAnsi" w:hAnsiTheme="minorHAnsi"/>
          <w:sz w:val="20"/>
          <w:szCs w:val="20"/>
          <w:lang w:val="en-US"/>
        </w:rPr>
        <w:t xml:space="preserve">and that it </w:t>
      </w:r>
      <w:r w:rsidR="00790ECA" w:rsidRPr="007D47AD">
        <w:rPr>
          <w:rFonts w:asciiTheme="minorHAnsi" w:hAnsiTheme="minorHAnsi"/>
          <w:sz w:val="20"/>
          <w:szCs w:val="20"/>
          <w:lang w:val="en-US"/>
        </w:rPr>
        <w:t xml:space="preserve">is </w:t>
      </w:r>
      <w:r w:rsidR="00B00551" w:rsidRPr="007D47AD">
        <w:rPr>
          <w:rFonts w:asciiTheme="minorHAnsi" w:hAnsiTheme="minorHAnsi"/>
          <w:sz w:val="20"/>
          <w:szCs w:val="20"/>
          <w:lang w:val="en-US"/>
        </w:rPr>
        <w:t>institut</w:t>
      </w:r>
      <w:r w:rsidR="00790ECA" w:rsidRPr="007D47AD">
        <w:rPr>
          <w:rFonts w:asciiTheme="minorHAnsi" w:hAnsiTheme="minorHAnsi"/>
          <w:sz w:val="20"/>
          <w:szCs w:val="20"/>
          <w:lang w:val="en-US"/>
        </w:rPr>
        <w:t>ing</w:t>
      </w:r>
      <w:r w:rsidR="00B00551" w:rsidRPr="007D47AD">
        <w:rPr>
          <w:rFonts w:asciiTheme="minorHAnsi" w:hAnsiTheme="minorHAnsi"/>
          <w:sz w:val="20"/>
          <w:szCs w:val="20"/>
          <w:lang w:val="en-US"/>
        </w:rPr>
        <w:t xml:space="preserve"> five measures: (</w:t>
      </w:r>
      <w:r w:rsidR="00DB446C" w:rsidRPr="007D47AD">
        <w:rPr>
          <w:rFonts w:asciiTheme="minorHAnsi" w:hAnsiTheme="minorHAnsi"/>
          <w:sz w:val="20"/>
          <w:szCs w:val="20"/>
          <w:lang w:val="en-US"/>
        </w:rPr>
        <w:t xml:space="preserve">1) </w:t>
      </w:r>
      <w:r w:rsidR="00B00551" w:rsidRPr="007D47AD">
        <w:rPr>
          <w:rFonts w:asciiTheme="minorHAnsi" w:hAnsiTheme="minorHAnsi"/>
          <w:sz w:val="20"/>
          <w:szCs w:val="20"/>
          <w:lang w:val="en-US"/>
        </w:rPr>
        <w:t>the creation of the Public Registry of Sex Offenders</w:t>
      </w:r>
      <w:r w:rsidR="00DB446C" w:rsidRPr="007D47AD">
        <w:rPr>
          <w:rFonts w:asciiTheme="minorHAnsi" w:hAnsiTheme="minorHAnsi"/>
          <w:sz w:val="20"/>
          <w:szCs w:val="20"/>
          <w:lang w:val="en-US"/>
        </w:rPr>
        <w:t xml:space="preserve">, </w:t>
      </w:r>
      <w:r w:rsidR="00B00551" w:rsidRPr="007D47AD">
        <w:rPr>
          <w:rFonts w:asciiTheme="minorHAnsi" w:hAnsiTheme="minorHAnsi"/>
          <w:sz w:val="20"/>
          <w:szCs w:val="20"/>
          <w:lang w:val="en-US"/>
        </w:rPr>
        <w:t>(</w:t>
      </w:r>
      <w:r w:rsidR="00DB446C" w:rsidRPr="007D47AD">
        <w:rPr>
          <w:rFonts w:asciiTheme="minorHAnsi" w:hAnsiTheme="minorHAnsi"/>
          <w:sz w:val="20"/>
          <w:szCs w:val="20"/>
          <w:lang w:val="en-US"/>
        </w:rPr>
        <w:t xml:space="preserve">2) </w:t>
      </w:r>
      <w:r w:rsidR="00790ECA" w:rsidRPr="007D47AD">
        <w:rPr>
          <w:rFonts w:asciiTheme="minorHAnsi" w:hAnsiTheme="minorHAnsi"/>
          <w:sz w:val="20"/>
          <w:szCs w:val="20"/>
          <w:lang w:val="en-US"/>
        </w:rPr>
        <w:t xml:space="preserve">appeals to </w:t>
      </w:r>
      <w:r w:rsidR="00B00551" w:rsidRPr="007D47AD">
        <w:rPr>
          <w:rFonts w:asciiTheme="minorHAnsi" w:hAnsiTheme="minorHAnsi"/>
          <w:sz w:val="20"/>
          <w:szCs w:val="20"/>
          <w:lang w:val="en-US"/>
        </w:rPr>
        <w:t>the Mexico City legislature to approve laws to eradicate digital harassment and the creation of the DNA data base of sexual offenders, (</w:t>
      </w:r>
      <w:r w:rsidR="00DB446C" w:rsidRPr="007D47AD">
        <w:rPr>
          <w:rFonts w:asciiTheme="minorHAnsi" w:hAnsiTheme="minorHAnsi"/>
          <w:sz w:val="20"/>
          <w:szCs w:val="20"/>
          <w:lang w:val="en-US"/>
        </w:rPr>
        <w:t>3) Cent</w:t>
      </w:r>
      <w:r w:rsidR="00B00551" w:rsidRPr="007D47AD">
        <w:rPr>
          <w:rFonts w:asciiTheme="minorHAnsi" w:hAnsiTheme="minorHAnsi"/>
          <w:sz w:val="20"/>
          <w:szCs w:val="20"/>
          <w:lang w:val="en-US"/>
        </w:rPr>
        <w:t>er for Attentio</w:t>
      </w:r>
      <w:r w:rsidR="00790ECA" w:rsidRPr="007D47AD">
        <w:rPr>
          <w:rFonts w:asciiTheme="minorHAnsi" w:hAnsiTheme="minorHAnsi"/>
          <w:sz w:val="20"/>
          <w:szCs w:val="20"/>
          <w:lang w:val="en-US"/>
        </w:rPr>
        <w:t>n</w:t>
      </w:r>
      <w:r w:rsidR="00B00551" w:rsidRPr="007D47AD">
        <w:rPr>
          <w:rFonts w:asciiTheme="minorHAnsi" w:hAnsiTheme="minorHAnsi"/>
          <w:sz w:val="20"/>
          <w:szCs w:val="20"/>
          <w:lang w:val="en-US"/>
        </w:rPr>
        <w:t xml:space="preserve"> </w:t>
      </w:r>
      <w:r w:rsidR="00B00551" w:rsidRPr="007D47AD">
        <w:rPr>
          <w:rFonts w:asciiTheme="minorHAnsi" w:hAnsiTheme="minorHAnsi"/>
          <w:sz w:val="20"/>
          <w:szCs w:val="20"/>
          <w:lang w:val="en-US"/>
        </w:rPr>
        <w:lastRenderedPageBreak/>
        <w:t>for Women, (</w:t>
      </w:r>
      <w:r w:rsidR="00DB446C" w:rsidRPr="007D47AD">
        <w:rPr>
          <w:rFonts w:asciiTheme="minorHAnsi" w:hAnsiTheme="minorHAnsi"/>
          <w:sz w:val="20"/>
          <w:szCs w:val="20"/>
          <w:lang w:val="en-US"/>
        </w:rPr>
        <w:t xml:space="preserve">4) </w:t>
      </w:r>
      <w:r w:rsidR="00B00551" w:rsidRPr="007D47AD">
        <w:rPr>
          <w:rFonts w:asciiTheme="minorHAnsi" w:hAnsiTheme="minorHAnsi"/>
          <w:sz w:val="20"/>
          <w:szCs w:val="20"/>
          <w:lang w:val="en-US"/>
        </w:rPr>
        <w:t>improving services at prosecutorial offices; and (</w:t>
      </w:r>
      <w:r w:rsidR="00DB446C" w:rsidRPr="007D47AD">
        <w:rPr>
          <w:rFonts w:asciiTheme="minorHAnsi" w:hAnsiTheme="minorHAnsi"/>
          <w:sz w:val="20"/>
          <w:szCs w:val="20"/>
          <w:lang w:val="en-US"/>
        </w:rPr>
        <w:t xml:space="preserve">5) </w:t>
      </w:r>
      <w:r w:rsidR="00B00551" w:rsidRPr="007D47AD">
        <w:rPr>
          <w:rFonts w:asciiTheme="minorHAnsi" w:hAnsiTheme="minorHAnsi"/>
          <w:sz w:val="20"/>
          <w:szCs w:val="20"/>
          <w:lang w:val="en-US"/>
        </w:rPr>
        <w:t xml:space="preserve">increasing the number of routes in the program </w:t>
      </w:r>
      <w:r w:rsidR="00DB446C" w:rsidRPr="007D47AD">
        <w:rPr>
          <w:rFonts w:asciiTheme="minorHAnsi" w:hAnsiTheme="minorHAnsi"/>
          <w:sz w:val="20"/>
          <w:szCs w:val="20"/>
          <w:lang w:val="en-US"/>
        </w:rPr>
        <w:t>“</w:t>
      </w:r>
      <w:r w:rsidR="00B00551" w:rsidRPr="007D47AD">
        <w:rPr>
          <w:rFonts w:asciiTheme="minorHAnsi" w:hAnsiTheme="minorHAnsi"/>
          <w:sz w:val="20"/>
          <w:szCs w:val="20"/>
          <w:lang w:val="en-US"/>
        </w:rPr>
        <w:t>Safe paths, walk free and safe,” which seeks to create violence-free spaces for women.</w:t>
      </w:r>
      <w:r w:rsidR="00DB446C" w:rsidRPr="007D47AD">
        <w:rPr>
          <w:rStyle w:val="FootnoteReference"/>
          <w:rFonts w:asciiTheme="minorHAnsi" w:hAnsiTheme="minorHAnsi"/>
          <w:sz w:val="20"/>
          <w:szCs w:val="20"/>
          <w:lang w:val="en-US"/>
        </w:rPr>
        <w:footnoteReference w:id="250"/>
      </w:r>
      <w:r w:rsidR="00DB446C" w:rsidRPr="007D47AD">
        <w:rPr>
          <w:rFonts w:asciiTheme="minorHAnsi" w:hAnsiTheme="minorHAnsi"/>
          <w:sz w:val="20"/>
          <w:szCs w:val="20"/>
          <w:lang w:val="en-US"/>
        </w:rPr>
        <w:t xml:space="preserve"> </w:t>
      </w:r>
    </w:p>
    <w:p w:rsidR="00C878BC" w:rsidRPr="007D47AD" w:rsidRDefault="00C878BC" w:rsidP="00DB446C">
      <w:pPr>
        <w:shd w:val="clear" w:color="auto" w:fill="FFFFFF"/>
        <w:spacing w:after="0" w:line="240" w:lineRule="auto"/>
        <w:ind w:left="720"/>
        <w:jc w:val="both"/>
        <w:rPr>
          <w:rFonts w:asciiTheme="minorHAnsi" w:hAnsiTheme="minorHAnsi" w:cs="TimesNewRomanPSMT"/>
          <w:color w:val="000000"/>
          <w:sz w:val="20"/>
          <w:szCs w:val="20"/>
          <w:lang w:val="en-US"/>
        </w:rPr>
      </w:pPr>
    </w:p>
    <w:p w:rsidR="00C878BC" w:rsidRPr="007D47AD" w:rsidRDefault="007A4C94" w:rsidP="0019428B">
      <w:pPr>
        <w:numPr>
          <w:ilvl w:val="0"/>
          <w:numId w:val="6"/>
        </w:numPr>
        <w:shd w:val="clear" w:color="auto" w:fill="FFFFFF"/>
        <w:spacing w:after="0" w:line="240" w:lineRule="auto"/>
        <w:ind w:left="0" w:firstLine="720"/>
        <w:jc w:val="both"/>
        <w:rPr>
          <w:rFonts w:asciiTheme="minorHAnsi" w:hAnsiTheme="minorHAnsi"/>
          <w:color w:val="000000"/>
          <w:sz w:val="20"/>
          <w:szCs w:val="20"/>
          <w:lang w:val="en-US"/>
        </w:rPr>
      </w:pPr>
      <w:r w:rsidRPr="007D47AD">
        <w:rPr>
          <w:rFonts w:asciiTheme="minorHAnsi" w:hAnsiTheme="minorHAnsi"/>
          <w:color w:val="000000"/>
          <w:sz w:val="20"/>
          <w:szCs w:val="20"/>
          <w:lang w:val="en-US"/>
        </w:rPr>
        <w:t xml:space="preserve">Sexual violence and especially sexual violence as a form of torture directed against women deprived of liberty continues to be a matter of concern </w:t>
      </w:r>
      <w:r w:rsidR="0058338A" w:rsidRPr="007D47AD">
        <w:rPr>
          <w:rFonts w:asciiTheme="minorHAnsi" w:hAnsiTheme="minorHAnsi"/>
          <w:color w:val="000000"/>
          <w:sz w:val="20"/>
          <w:szCs w:val="20"/>
          <w:lang w:val="en-US"/>
        </w:rPr>
        <w:t xml:space="preserve">for the IACHR. According to the information communicated to the Commission, </w:t>
      </w:r>
      <w:r w:rsidR="00C878BC" w:rsidRPr="007D47AD">
        <w:rPr>
          <w:rFonts w:asciiTheme="minorHAnsi" w:hAnsiTheme="minorHAnsi"/>
          <w:color w:val="000000"/>
          <w:sz w:val="20"/>
          <w:szCs w:val="20"/>
          <w:lang w:val="en-US"/>
        </w:rPr>
        <w:t xml:space="preserve">8 </w:t>
      </w:r>
      <w:r w:rsidR="0058338A" w:rsidRPr="007D47AD">
        <w:rPr>
          <w:rFonts w:asciiTheme="minorHAnsi" w:hAnsiTheme="minorHAnsi"/>
          <w:color w:val="000000"/>
          <w:sz w:val="20"/>
          <w:szCs w:val="20"/>
          <w:lang w:val="en-US"/>
        </w:rPr>
        <w:t xml:space="preserve">of every </w:t>
      </w:r>
      <w:r w:rsidR="00C878BC" w:rsidRPr="007D47AD">
        <w:rPr>
          <w:rFonts w:asciiTheme="minorHAnsi" w:hAnsiTheme="minorHAnsi"/>
          <w:color w:val="000000"/>
          <w:sz w:val="20"/>
          <w:szCs w:val="20"/>
          <w:lang w:val="en-US"/>
        </w:rPr>
        <w:t xml:space="preserve">10 </w:t>
      </w:r>
      <w:r w:rsidR="0058338A" w:rsidRPr="007D47AD">
        <w:rPr>
          <w:rFonts w:asciiTheme="minorHAnsi" w:hAnsiTheme="minorHAnsi"/>
          <w:color w:val="000000"/>
          <w:sz w:val="20"/>
          <w:szCs w:val="20"/>
          <w:lang w:val="en-US"/>
        </w:rPr>
        <w:t xml:space="preserve">women detained in Mexico from </w:t>
      </w:r>
      <w:r w:rsidR="00C878BC" w:rsidRPr="007D47AD">
        <w:rPr>
          <w:rFonts w:asciiTheme="minorHAnsi" w:hAnsiTheme="minorHAnsi"/>
          <w:color w:val="000000"/>
          <w:sz w:val="20"/>
          <w:szCs w:val="20"/>
          <w:lang w:val="en-US"/>
        </w:rPr>
        <w:t xml:space="preserve">2009 </w:t>
      </w:r>
      <w:r w:rsidR="0058338A" w:rsidRPr="007D47AD">
        <w:rPr>
          <w:rFonts w:asciiTheme="minorHAnsi" w:hAnsiTheme="minorHAnsi"/>
          <w:color w:val="000000"/>
          <w:sz w:val="20"/>
          <w:szCs w:val="20"/>
          <w:lang w:val="en-US"/>
        </w:rPr>
        <w:t xml:space="preserve">to </w:t>
      </w:r>
      <w:r w:rsidR="00C878BC" w:rsidRPr="007D47AD">
        <w:rPr>
          <w:rFonts w:asciiTheme="minorHAnsi" w:hAnsiTheme="minorHAnsi"/>
          <w:color w:val="000000"/>
          <w:sz w:val="20"/>
          <w:szCs w:val="20"/>
          <w:lang w:val="en-US"/>
        </w:rPr>
        <w:t xml:space="preserve">2016 </w:t>
      </w:r>
      <w:r w:rsidR="0058338A" w:rsidRPr="007D47AD">
        <w:rPr>
          <w:rFonts w:asciiTheme="minorHAnsi" w:hAnsiTheme="minorHAnsi"/>
          <w:color w:val="000000"/>
          <w:sz w:val="20"/>
          <w:szCs w:val="20"/>
          <w:lang w:val="en-US"/>
        </w:rPr>
        <w:t>were victims of torture before being brought before a judge</w:t>
      </w:r>
      <w:r w:rsidR="00C878BC" w:rsidRPr="007D47AD">
        <w:rPr>
          <w:rStyle w:val="FootnoteReference"/>
          <w:rFonts w:asciiTheme="minorHAnsi" w:hAnsiTheme="minorHAnsi"/>
          <w:color w:val="000000"/>
          <w:sz w:val="20"/>
          <w:szCs w:val="20"/>
          <w:lang w:val="en-US"/>
        </w:rPr>
        <w:footnoteReference w:id="251"/>
      </w:r>
      <w:r w:rsidR="00C878BC" w:rsidRPr="007D47AD">
        <w:rPr>
          <w:rFonts w:asciiTheme="minorHAnsi" w:hAnsiTheme="minorHAnsi"/>
          <w:color w:val="000000"/>
          <w:sz w:val="20"/>
          <w:szCs w:val="20"/>
          <w:lang w:val="en-US"/>
        </w:rPr>
        <w:t xml:space="preserve">, </w:t>
      </w:r>
      <w:r w:rsidR="0058338A" w:rsidRPr="007D47AD">
        <w:rPr>
          <w:rFonts w:asciiTheme="minorHAnsi" w:hAnsiTheme="minorHAnsi"/>
          <w:color w:val="000000"/>
          <w:sz w:val="20"/>
          <w:szCs w:val="20"/>
          <w:lang w:val="en-US"/>
        </w:rPr>
        <w:t>which shows that sexual torture of women in the custody of various Mexican security forces is not exceptional, but rather occurs with worrisome regularity and is related to high levels of impunity.</w:t>
      </w:r>
      <w:r w:rsidR="00C878BC" w:rsidRPr="007D47AD">
        <w:rPr>
          <w:rStyle w:val="FootnoteReference"/>
          <w:rFonts w:asciiTheme="minorHAnsi" w:hAnsiTheme="minorHAnsi" w:cs="Arial"/>
          <w:color w:val="000000"/>
          <w:sz w:val="20"/>
          <w:szCs w:val="20"/>
          <w:lang w:val="en-US"/>
        </w:rPr>
        <w:footnoteReference w:id="252"/>
      </w:r>
      <w:r w:rsidR="00C878BC" w:rsidRPr="007D47AD">
        <w:rPr>
          <w:rFonts w:asciiTheme="minorHAnsi" w:hAnsiTheme="minorHAnsi" w:cs="Arial"/>
          <w:color w:val="000000"/>
          <w:sz w:val="20"/>
          <w:szCs w:val="20"/>
          <w:lang w:val="en-US"/>
        </w:rPr>
        <w:t xml:space="preserve"> </w:t>
      </w:r>
      <w:r w:rsidR="0058338A" w:rsidRPr="007D47AD">
        <w:rPr>
          <w:rFonts w:asciiTheme="minorHAnsi" w:hAnsiTheme="minorHAnsi" w:cs="Arial"/>
          <w:color w:val="000000"/>
          <w:sz w:val="20"/>
          <w:szCs w:val="20"/>
          <w:lang w:val="en-US"/>
        </w:rPr>
        <w:t>Moreover, the IACHR has continued receiving information on acts of sexual violence by the security forces with the aim of obtaining forced confessions, especially in the context of the militarized security policy and what has been called the “war on drug</w:t>
      </w:r>
      <w:r w:rsidR="00427301" w:rsidRPr="007D47AD">
        <w:rPr>
          <w:rFonts w:asciiTheme="minorHAnsi" w:hAnsiTheme="minorHAnsi" w:cs="Arial"/>
          <w:color w:val="000000"/>
          <w:sz w:val="20"/>
          <w:szCs w:val="20"/>
          <w:lang w:val="en-US"/>
        </w:rPr>
        <w:t>-trafficking</w:t>
      </w:r>
      <w:r w:rsidR="0058338A" w:rsidRPr="007D47AD">
        <w:rPr>
          <w:rFonts w:asciiTheme="minorHAnsi" w:hAnsiTheme="minorHAnsi" w:cs="Arial"/>
          <w:color w:val="000000"/>
          <w:sz w:val="20"/>
          <w:szCs w:val="20"/>
          <w:lang w:val="en-US"/>
        </w:rPr>
        <w:t>.”</w:t>
      </w:r>
      <w:r w:rsidR="00C878BC" w:rsidRPr="007D47AD">
        <w:rPr>
          <w:rStyle w:val="FootnoteReference"/>
          <w:rFonts w:asciiTheme="minorHAnsi" w:hAnsiTheme="minorHAnsi"/>
          <w:color w:val="000000"/>
          <w:sz w:val="20"/>
          <w:szCs w:val="20"/>
          <w:lang w:val="en-US"/>
        </w:rPr>
        <w:footnoteReference w:id="253"/>
      </w:r>
      <w:r w:rsidR="00C878BC" w:rsidRPr="007D47AD">
        <w:rPr>
          <w:rFonts w:asciiTheme="minorHAnsi" w:hAnsiTheme="minorHAnsi"/>
          <w:color w:val="000000"/>
          <w:sz w:val="20"/>
          <w:szCs w:val="20"/>
          <w:lang w:val="en-US"/>
        </w:rPr>
        <w:t xml:space="preserve"> </w:t>
      </w:r>
      <w:r w:rsidR="0058338A" w:rsidRPr="007D47AD">
        <w:rPr>
          <w:rFonts w:asciiTheme="minorHAnsi" w:hAnsiTheme="minorHAnsi"/>
          <w:color w:val="000000"/>
          <w:sz w:val="20"/>
          <w:szCs w:val="20"/>
          <w:lang w:val="en-US"/>
        </w:rPr>
        <w:t xml:space="preserve">In this respect, the Commission received information related to the complaint lodged with the United Nations due to sexual violence directed against women deprived of liberty in </w:t>
      </w:r>
      <w:r w:rsidR="00C878BC" w:rsidRPr="007D47AD">
        <w:rPr>
          <w:rFonts w:asciiTheme="minorHAnsi" w:hAnsiTheme="minorHAnsi" w:cs="Arial"/>
          <w:color w:val="000000"/>
          <w:sz w:val="20"/>
          <w:szCs w:val="20"/>
          <w:lang w:val="en-US"/>
        </w:rPr>
        <w:t>M</w:t>
      </w:r>
      <w:r w:rsidR="0058338A" w:rsidRPr="007D47AD">
        <w:rPr>
          <w:rFonts w:asciiTheme="minorHAnsi" w:hAnsiTheme="minorHAnsi" w:cs="Arial"/>
          <w:color w:val="000000"/>
          <w:sz w:val="20"/>
          <w:szCs w:val="20"/>
          <w:lang w:val="en-US"/>
        </w:rPr>
        <w:t>e</w:t>
      </w:r>
      <w:r w:rsidR="00C878BC" w:rsidRPr="007D47AD">
        <w:rPr>
          <w:rFonts w:asciiTheme="minorHAnsi" w:hAnsiTheme="minorHAnsi" w:cs="Arial"/>
          <w:color w:val="000000"/>
          <w:sz w:val="20"/>
          <w:szCs w:val="20"/>
          <w:lang w:val="en-US"/>
        </w:rPr>
        <w:t xml:space="preserve">xico. </w:t>
      </w:r>
      <w:r w:rsidR="0058338A" w:rsidRPr="007D47AD">
        <w:rPr>
          <w:rFonts w:asciiTheme="minorHAnsi" w:hAnsiTheme="minorHAnsi" w:cs="Arial"/>
          <w:color w:val="000000"/>
          <w:sz w:val="20"/>
          <w:szCs w:val="20"/>
          <w:lang w:val="en-US"/>
        </w:rPr>
        <w:t xml:space="preserve">According to these reports, </w:t>
      </w:r>
      <w:r w:rsidR="00C878BC" w:rsidRPr="007D47AD">
        <w:rPr>
          <w:rFonts w:asciiTheme="minorHAnsi" w:hAnsiTheme="minorHAnsi" w:cs="Arial"/>
          <w:color w:val="000000"/>
          <w:sz w:val="20"/>
          <w:szCs w:val="20"/>
          <w:lang w:val="en-US"/>
        </w:rPr>
        <w:t xml:space="preserve">sexual </w:t>
      </w:r>
      <w:r w:rsidR="0058338A" w:rsidRPr="007D47AD">
        <w:rPr>
          <w:rFonts w:asciiTheme="minorHAnsi" w:hAnsiTheme="minorHAnsi" w:cs="Arial"/>
          <w:color w:val="000000"/>
          <w:sz w:val="20"/>
          <w:szCs w:val="20"/>
          <w:lang w:val="en-US"/>
        </w:rPr>
        <w:t xml:space="preserve">violence </w:t>
      </w:r>
      <w:r w:rsidR="00C878BC" w:rsidRPr="007D47AD">
        <w:rPr>
          <w:rFonts w:asciiTheme="minorHAnsi" w:hAnsiTheme="minorHAnsi" w:cs="Arial"/>
          <w:color w:val="000000"/>
          <w:sz w:val="20"/>
          <w:szCs w:val="20"/>
          <w:lang w:val="en-US"/>
        </w:rPr>
        <w:t>inclu</w:t>
      </w:r>
      <w:r w:rsidR="0058338A" w:rsidRPr="007D47AD">
        <w:rPr>
          <w:rFonts w:asciiTheme="minorHAnsi" w:hAnsiTheme="minorHAnsi" w:cs="Arial"/>
          <w:color w:val="000000"/>
          <w:sz w:val="20"/>
          <w:szCs w:val="20"/>
          <w:lang w:val="en-US"/>
        </w:rPr>
        <w:t>des rape, threat of rape, groping and electric</w:t>
      </w:r>
      <w:r w:rsidR="00427301" w:rsidRPr="007D47AD">
        <w:rPr>
          <w:rFonts w:asciiTheme="minorHAnsi" w:hAnsiTheme="minorHAnsi" w:cs="Arial"/>
          <w:color w:val="000000"/>
          <w:sz w:val="20"/>
          <w:szCs w:val="20"/>
          <w:lang w:val="en-US"/>
        </w:rPr>
        <w:t>al</w:t>
      </w:r>
      <w:r w:rsidR="0058338A" w:rsidRPr="007D47AD">
        <w:rPr>
          <w:rFonts w:asciiTheme="minorHAnsi" w:hAnsiTheme="minorHAnsi" w:cs="Arial"/>
          <w:color w:val="000000"/>
          <w:sz w:val="20"/>
          <w:szCs w:val="20"/>
          <w:lang w:val="en-US"/>
        </w:rPr>
        <w:t xml:space="preserve"> discharges on the breasts, </w:t>
      </w:r>
      <w:r w:rsidR="004E08FB" w:rsidRPr="007D47AD">
        <w:rPr>
          <w:rFonts w:asciiTheme="minorHAnsi" w:hAnsiTheme="minorHAnsi" w:cs="Arial"/>
          <w:color w:val="000000"/>
          <w:sz w:val="20"/>
          <w:szCs w:val="20"/>
          <w:lang w:val="en-US"/>
        </w:rPr>
        <w:t>glutei</w:t>
      </w:r>
      <w:r w:rsidR="0058338A" w:rsidRPr="007D47AD">
        <w:rPr>
          <w:rFonts w:asciiTheme="minorHAnsi" w:hAnsiTheme="minorHAnsi" w:cs="Arial"/>
          <w:color w:val="000000"/>
          <w:sz w:val="20"/>
          <w:szCs w:val="20"/>
          <w:lang w:val="en-US"/>
        </w:rPr>
        <w:t>, or genitals, as well as women being forced to engage in sexual acts.</w:t>
      </w:r>
      <w:r w:rsidR="00C878BC" w:rsidRPr="007D47AD">
        <w:rPr>
          <w:rStyle w:val="FootnoteReference"/>
          <w:rFonts w:asciiTheme="minorHAnsi" w:hAnsiTheme="minorHAnsi" w:cs="Arial"/>
          <w:color w:val="000000"/>
          <w:sz w:val="20"/>
          <w:szCs w:val="20"/>
          <w:lang w:val="en-US"/>
        </w:rPr>
        <w:footnoteReference w:id="254"/>
      </w:r>
    </w:p>
    <w:p w:rsidR="00213860" w:rsidRPr="007D47AD" w:rsidRDefault="00213860" w:rsidP="00213860">
      <w:pPr>
        <w:shd w:val="clear" w:color="auto" w:fill="FFFFFF"/>
        <w:spacing w:after="0" w:line="240" w:lineRule="auto"/>
        <w:ind w:left="720"/>
        <w:jc w:val="both"/>
        <w:rPr>
          <w:rFonts w:asciiTheme="minorHAnsi" w:hAnsiTheme="minorHAnsi"/>
          <w:color w:val="000000"/>
          <w:sz w:val="20"/>
          <w:szCs w:val="20"/>
          <w:lang w:val="en-US"/>
        </w:rPr>
      </w:pPr>
    </w:p>
    <w:p w:rsidR="00C878BC" w:rsidRPr="007D47AD" w:rsidRDefault="0058338A" w:rsidP="00C878BC">
      <w:pPr>
        <w:numPr>
          <w:ilvl w:val="0"/>
          <w:numId w:val="6"/>
        </w:numPr>
        <w:shd w:val="clear" w:color="auto" w:fill="FFFFFF"/>
        <w:spacing w:after="0" w:line="240" w:lineRule="auto"/>
        <w:ind w:left="0" w:firstLine="720"/>
        <w:jc w:val="both"/>
        <w:rPr>
          <w:rFonts w:asciiTheme="minorHAnsi" w:hAnsiTheme="minorHAnsi"/>
          <w:color w:val="000000"/>
          <w:sz w:val="20"/>
          <w:szCs w:val="20"/>
          <w:lang w:val="en-US"/>
        </w:rPr>
      </w:pPr>
      <w:r w:rsidRPr="007D47AD">
        <w:rPr>
          <w:rFonts w:asciiTheme="minorHAnsi" w:hAnsiTheme="minorHAnsi"/>
          <w:color w:val="000000"/>
          <w:sz w:val="20"/>
          <w:szCs w:val="20"/>
          <w:lang w:val="en-US"/>
        </w:rPr>
        <w:t xml:space="preserve">In this regard, the Commission is concerned about the shortcomings that persist in the investigation of such acts, and notes the deficits in detecting and </w:t>
      </w:r>
      <w:r w:rsidR="0019428B" w:rsidRPr="007D47AD">
        <w:rPr>
          <w:rFonts w:asciiTheme="minorHAnsi" w:hAnsiTheme="minorHAnsi"/>
          <w:color w:val="000000"/>
          <w:sz w:val="20"/>
          <w:szCs w:val="20"/>
          <w:lang w:val="en-US"/>
        </w:rPr>
        <w:t>document</w:t>
      </w:r>
      <w:r w:rsidRPr="007D47AD">
        <w:rPr>
          <w:rFonts w:asciiTheme="minorHAnsi" w:hAnsiTheme="minorHAnsi"/>
          <w:color w:val="000000"/>
          <w:sz w:val="20"/>
          <w:szCs w:val="20"/>
          <w:lang w:val="en-US"/>
        </w:rPr>
        <w:t>ing</w:t>
      </w:r>
      <w:r w:rsidR="0019428B" w:rsidRPr="007D47AD">
        <w:rPr>
          <w:rFonts w:asciiTheme="minorHAnsi" w:hAnsiTheme="minorHAnsi"/>
          <w:color w:val="000000"/>
          <w:sz w:val="20"/>
          <w:szCs w:val="20"/>
          <w:lang w:val="en-US"/>
        </w:rPr>
        <w:t xml:space="preserve"> </w:t>
      </w:r>
      <w:r w:rsidR="00C9234D" w:rsidRPr="007D47AD">
        <w:rPr>
          <w:rFonts w:asciiTheme="minorHAnsi" w:hAnsiTheme="minorHAnsi"/>
          <w:color w:val="000000"/>
          <w:sz w:val="20"/>
          <w:szCs w:val="20"/>
          <w:lang w:val="en-US"/>
        </w:rPr>
        <w:t>tortur</w:t>
      </w:r>
      <w:r w:rsidRPr="007D47AD">
        <w:rPr>
          <w:rFonts w:asciiTheme="minorHAnsi" w:hAnsiTheme="minorHAnsi"/>
          <w:color w:val="000000"/>
          <w:sz w:val="20"/>
          <w:szCs w:val="20"/>
          <w:lang w:val="en-US"/>
        </w:rPr>
        <w:t>e and other abusive treatment. This is due to the deficiency of the initial medical exams and</w:t>
      </w:r>
      <w:r w:rsidR="00427301" w:rsidRPr="007D47AD">
        <w:rPr>
          <w:rFonts w:asciiTheme="minorHAnsi" w:hAnsiTheme="minorHAnsi"/>
          <w:color w:val="000000"/>
          <w:sz w:val="20"/>
          <w:szCs w:val="20"/>
          <w:lang w:val="en-US"/>
        </w:rPr>
        <w:t xml:space="preserve"> </w:t>
      </w:r>
      <w:r w:rsidRPr="007D47AD">
        <w:rPr>
          <w:rFonts w:asciiTheme="minorHAnsi" w:hAnsiTheme="minorHAnsi"/>
          <w:color w:val="000000"/>
          <w:sz w:val="20"/>
          <w:szCs w:val="20"/>
          <w:lang w:val="en-US"/>
        </w:rPr>
        <w:t>underestimat</w:t>
      </w:r>
      <w:r w:rsidR="00427301" w:rsidRPr="007D47AD">
        <w:rPr>
          <w:rFonts w:asciiTheme="minorHAnsi" w:hAnsiTheme="minorHAnsi"/>
          <w:color w:val="000000"/>
          <w:sz w:val="20"/>
          <w:szCs w:val="20"/>
          <w:lang w:val="en-US"/>
        </w:rPr>
        <w:t xml:space="preserve">ing </w:t>
      </w:r>
      <w:r w:rsidRPr="007D47AD">
        <w:rPr>
          <w:rFonts w:asciiTheme="minorHAnsi" w:hAnsiTheme="minorHAnsi"/>
          <w:color w:val="000000"/>
          <w:sz w:val="20"/>
          <w:szCs w:val="20"/>
          <w:lang w:val="en-US"/>
        </w:rPr>
        <w:t>the seriousness of the injuries; the delay in applying medical-forensic expert studies</w:t>
      </w:r>
      <w:r w:rsidR="00427301" w:rsidRPr="007D47AD">
        <w:rPr>
          <w:rFonts w:asciiTheme="minorHAnsi" w:hAnsiTheme="minorHAnsi"/>
          <w:color w:val="000000"/>
          <w:sz w:val="20"/>
          <w:szCs w:val="20"/>
          <w:lang w:val="en-US"/>
        </w:rPr>
        <w:t>, which</w:t>
      </w:r>
      <w:r w:rsidRPr="007D47AD">
        <w:rPr>
          <w:rFonts w:asciiTheme="minorHAnsi" w:hAnsiTheme="minorHAnsi"/>
          <w:color w:val="000000"/>
          <w:sz w:val="20"/>
          <w:szCs w:val="20"/>
          <w:lang w:val="en-US"/>
        </w:rPr>
        <w:t xml:space="preserve"> may take months or years after the </w:t>
      </w:r>
      <w:r w:rsidR="00C878BC" w:rsidRPr="007D47AD">
        <w:rPr>
          <w:rFonts w:asciiTheme="minorHAnsi" w:hAnsiTheme="minorHAnsi"/>
          <w:color w:val="000000"/>
          <w:sz w:val="20"/>
          <w:szCs w:val="20"/>
          <w:lang w:val="en-US"/>
        </w:rPr>
        <w:t>tortur</w:t>
      </w:r>
      <w:r w:rsidRPr="007D47AD">
        <w:rPr>
          <w:rFonts w:asciiTheme="minorHAnsi" w:hAnsiTheme="minorHAnsi"/>
          <w:color w:val="000000"/>
          <w:sz w:val="20"/>
          <w:szCs w:val="20"/>
          <w:lang w:val="en-US"/>
        </w:rPr>
        <w:t>e was inflicted</w:t>
      </w:r>
      <w:r w:rsidR="00C878BC" w:rsidRPr="007D47AD">
        <w:rPr>
          <w:rFonts w:asciiTheme="minorHAnsi" w:hAnsiTheme="minorHAnsi"/>
          <w:color w:val="000000"/>
          <w:sz w:val="20"/>
          <w:szCs w:val="20"/>
          <w:lang w:val="en-US"/>
        </w:rPr>
        <w:t>;</w:t>
      </w:r>
      <w:r w:rsidRPr="007D47AD">
        <w:rPr>
          <w:rFonts w:asciiTheme="minorHAnsi" w:hAnsiTheme="minorHAnsi"/>
          <w:color w:val="000000"/>
          <w:sz w:val="20"/>
          <w:szCs w:val="20"/>
          <w:lang w:val="en-US"/>
        </w:rPr>
        <w:t xml:space="preserve"> </w:t>
      </w:r>
      <w:r w:rsidR="00427301" w:rsidRPr="007D47AD">
        <w:rPr>
          <w:rFonts w:asciiTheme="minorHAnsi" w:hAnsiTheme="minorHAnsi"/>
          <w:color w:val="000000"/>
          <w:sz w:val="20"/>
          <w:szCs w:val="20"/>
          <w:lang w:val="en-US"/>
        </w:rPr>
        <w:t xml:space="preserve">and </w:t>
      </w:r>
      <w:r w:rsidRPr="007D47AD">
        <w:rPr>
          <w:rFonts w:asciiTheme="minorHAnsi" w:hAnsiTheme="minorHAnsi"/>
          <w:color w:val="000000"/>
          <w:sz w:val="20"/>
          <w:szCs w:val="20"/>
          <w:lang w:val="en-US"/>
        </w:rPr>
        <w:t xml:space="preserve">the lack of a gender perspective in the expert </w:t>
      </w:r>
      <w:r w:rsidR="00427301" w:rsidRPr="007D47AD">
        <w:rPr>
          <w:rFonts w:asciiTheme="minorHAnsi" w:hAnsiTheme="minorHAnsi"/>
          <w:color w:val="000000"/>
          <w:sz w:val="20"/>
          <w:szCs w:val="20"/>
          <w:lang w:val="en-US"/>
        </w:rPr>
        <w:t xml:space="preserve">examinations. </w:t>
      </w:r>
      <w:r w:rsidRPr="007D47AD">
        <w:rPr>
          <w:rFonts w:asciiTheme="minorHAnsi" w:hAnsiTheme="minorHAnsi"/>
          <w:color w:val="000000"/>
          <w:sz w:val="20"/>
          <w:szCs w:val="20"/>
          <w:lang w:val="en-US"/>
        </w:rPr>
        <w:t>In addition</w:t>
      </w:r>
      <w:r w:rsidR="00C9234D" w:rsidRPr="007D47AD">
        <w:rPr>
          <w:rFonts w:asciiTheme="minorHAnsi" w:hAnsiTheme="minorHAnsi"/>
          <w:color w:val="000000"/>
          <w:sz w:val="20"/>
          <w:szCs w:val="20"/>
          <w:lang w:val="en-US"/>
        </w:rPr>
        <w:t xml:space="preserve">, </w:t>
      </w:r>
      <w:r w:rsidRPr="007D47AD">
        <w:rPr>
          <w:rFonts w:asciiTheme="minorHAnsi" w:hAnsiTheme="minorHAnsi"/>
          <w:color w:val="000000"/>
          <w:sz w:val="20"/>
          <w:szCs w:val="20"/>
          <w:lang w:val="en-US"/>
        </w:rPr>
        <w:t>given that discriminatory gender-based stereotypes persist, the victims’ testimony was considered fully credible</w:t>
      </w:r>
      <w:r w:rsidR="00427301" w:rsidRPr="007D47AD">
        <w:rPr>
          <w:rFonts w:asciiTheme="minorHAnsi" w:hAnsiTheme="minorHAnsi"/>
          <w:color w:val="000000"/>
          <w:sz w:val="20"/>
          <w:szCs w:val="20"/>
          <w:lang w:val="en-US"/>
        </w:rPr>
        <w:t>,</w:t>
      </w:r>
      <w:r w:rsidRPr="007D47AD">
        <w:rPr>
          <w:rFonts w:asciiTheme="minorHAnsi" w:hAnsiTheme="minorHAnsi"/>
          <w:color w:val="000000"/>
          <w:sz w:val="20"/>
          <w:szCs w:val="20"/>
          <w:lang w:val="en-US"/>
        </w:rPr>
        <w:t xml:space="preserve"> </w:t>
      </w:r>
      <w:r w:rsidR="00427301" w:rsidRPr="007D47AD">
        <w:rPr>
          <w:rFonts w:asciiTheme="minorHAnsi" w:hAnsiTheme="minorHAnsi"/>
          <w:color w:val="000000"/>
          <w:sz w:val="20"/>
          <w:szCs w:val="20"/>
          <w:lang w:val="en-US"/>
        </w:rPr>
        <w:t xml:space="preserve">and </w:t>
      </w:r>
      <w:r w:rsidRPr="007D47AD">
        <w:rPr>
          <w:rFonts w:asciiTheme="minorHAnsi" w:hAnsiTheme="minorHAnsi"/>
          <w:color w:val="000000"/>
          <w:sz w:val="20"/>
          <w:szCs w:val="20"/>
          <w:lang w:val="en-US"/>
        </w:rPr>
        <w:t>signifying re-victimization of the women and additional obstacles to their access to justice.</w:t>
      </w:r>
      <w:r w:rsidR="00C878BC" w:rsidRPr="007D47AD">
        <w:rPr>
          <w:rStyle w:val="FootnoteReference"/>
          <w:rFonts w:asciiTheme="minorHAnsi" w:hAnsiTheme="minorHAnsi"/>
          <w:color w:val="000000"/>
          <w:sz w:val="20"/>
          <w:szCs w:val="20"/>
          <w:lang w:val="en-US"/>
        </w:rPr>
        <w:footnoteReference w:id="255"/>
      </w:r>
      <w:r w:rsidRPr="007D47AD">
        <w:rPr>
          <w:rFonts w:asciiTheme="minorHAnsi" w:hAnsiTheme="minorHAnsi"/>
          <w:color w:val="000000"/>
          <w:sz w:val="20"/>
          <w:szCs w:val="20"/>
          <w:lang w:val="en-US"/>
        </w:rPr>
        <w:t xml:space="preserve"> </w:t>
      </w:r>
      <w:r w:rsidR="00C878BC" w:rsidRPr="007D47AD">
        <w:rPr>
          <w:rFonts w:asciiTheme="minorHAnsi" w:hAnsiTheme="minorHAnsi" w:cs="Arial"/>
          <w:color w:val="000000"/>
          <w:sz w:val="20"/>
          <w:szCs w:val="20"/>
          <w:lang w:val="en-US"/>
        </w:rPr>
        <w:t>A</w:t>
      </w:r>
      <w:r w:rsidRPr="007D47AD">
        <w:rPr>
          <w:rFonts w:asciiTheme="minorHAnsi" w:hAnsiTheme="minorHAnsi" w:cs="Arial"/>
          <w:color w:val="000000"/>
          <w:sz w:val="20"/>
          <w:szCs w:val="20"/>
          <w:lang w:val="en-US"/>
        </w:rPr>
        <w:t>ccordingly, despite the increase in reports of this type of violence</w:t>
      </w:r>
      <w:r w:rsidR="00C878BC" w:rsidRPr="007D47AD">
        <w:rPr>
          <w:rStyle w:val="FootnoteReference"/>
          <w:rFonts w:asciiTheme="minorHAnsi" w:hAnsiTheme="minorHAnsi"/>
          <w:color w:val="000000"/>
          <w:sz w:val="20"/>
          <w:szCs w:val="20"/>
          <w:lang w:val="en-US"/>
        </w:rPr>
        <w:footnoteReference w:id="256"/>
      </w:r>
      <w:r w:rsidR="00C878BC" w:rsidRPr="007D47AD">
        <w:rPr>
          <w:rFonts w:asciiTheme="minorHAnsi" w:hAnsiTheme="minorHAnsi"/>
          <w:color w:val="000000"/>
          <w:sz w:val="20"/>
          <w:szCs w:val="20"/>
          <w:lang w:val="en-US"/>
        </w:rPr>
        <w:t xml:space="preserve"> </w:t>
      </w:r>
      <w:r w:rsidRPr="007D47AD">
        <w:rPr>
          <w:rFonts w:asciiTheme="minorHAnsi" w:hAnsiTheme="minorHAnsi"/>
          <w:color w:val="000000"/>
          <w:sz w:val="20"/>
          <w:szCs w:val="20"/>
          <w:lang w:val="en-US"/>
        </w:rPr>
        <w:t xml:space="preserve">and the </w:t>
      </w:r>
      <w:r w:rsidR="00427301" w:rsidRPr="007D47AD">
        <w:rPr>
          <w:rFonts w:asciiTheme="minorHAnsi" w:hAnsiTheme="minorHAnsi"/>
          <w:color w:val="000000"/>
          <w:sz w:val="20"/>
          <w:szCs w:val="20"/>
          <w:lang w:val="en-US"/>
        </w:rPr>
        <w:t xml:space="preserve">large </w:t>
      </w:r>
      <w:r w:rsidRPr="007D47AD">
        <w:rPr>
          <w:rFonts w:asciiTheme="minorHAnsi" w:hAnsiTheme="minorHAnsi"/>
          <w:color w:val="000000"/>
          <w:sz w:val="20"/>
          <w:szCs w:val="20"/>
          <w:lang w:val="en-US"/>
        </w:rPr>
        <w:t xml:space="preserve">number of complaints lodged by women for acts of sexual violence as a form of </w:t>
      </w:r>
      <w:r w:rsidR="00C878BC" w:rsidRPr="007D47AD">
        <w:rPr>
          <w:rFonts w:asciiTheme="minorHAnsi" w:hAnsiTheme="minorHAnsi"/>
          <w:color w:val="000000"/>
          <w:sz w:val="20"/>
          <w:szCs w:val="20"/>
          <w:lang w:val="en-US"/>
        </w:rPr>
        <w:t>tortur</w:t>
      </w:r>
      <w:r w:rsidRPr="007D47AD">
        <w:rPr>
          <w:rFonts w:asciiTheme="minorHAnsi" w:hAnsiTheme="minorHAnsi"/>
          <w:color w:val="000000"/>
          <w:sz w:val="20"/>
          <w:szCs w:val="20"/>
          <w:lang w:val="en-US"/>
        </w:rPr>
        <w:t>e</w:t>
      </w:r>
      <w:r w:rsidR="00C878BC" w:rsidRPr="007D47AD">
        <w:rPr>
          <w:rFonts w:asciiTheme="minorHAnsi" w:hAnsiTheme="minorHAnsi"/>
          <w:color w:val="000000"/>
          <w:sz w:val="20"/>
          <w:szCs w:val="20"/>
          <w:lang w:val="en-US"/>
        </w:rPr>
        <w:t xml:space="preserve">, </w:t>
      </w:r>
      <w:r w:rsidRPr="007D47AD">
        <w:rPr>
          <w:rFonts w:asciiTheme="minorHAnsi" w:hAnsiTheme="minorHAnsi"/>
          <w:color w:val="000000"/>
          <w:sz w:val="20"/>
          <w:szCs w:val="20"/>
          <w:lang w:val="en-US"/>
        </w:rPr>
        <w:t xml:space="preserve">the authorities’ response has not complied with the international commitments of the State </w:t>
      </w:r>
      <w:r w:rsidR="002142FF" w:rsidRPr="007D47AD">
        <w:rPr>
          <w:rFonts w:asciiTheme="minorHAnsi" w:hAnsiTheme="minorHAnsi"/>
          <w:color w:val="000000"/>
          <w:sz w:val="20"/>
          <w:szCs w:val="20"/>
          <w:lang w:val="en-US"/>
        </w:rPr>
        <w:t xml:space="preserve">regarding </w:t>
      </w:r>
      <w:r w:rsidR="00C878BC" w:rsidRPr="007D47AD">
        <w:rPr>
          <w:rFonts w:asciiTheme="minorHAnsi" w:hAnsiTheme="minorHAnsi"/>
          <w:color w:val="000000"/>
          <w:sz w:val="20"/>
          <w:szCs w:val="20"/>
          <w:lang w:val="en-US"/>
        </w:rPr>
        <w:t>investiga</w:t>
      </w:r>
      <w:r w:rsidR="002142FF" w:rsidRPr="007D47AD">
        <w:rPr>
          <w:rFonts w:asciiTheme="minorHAnsi" w:hAnsiTheme="minorHAnsi"/>
          <w:color w:val="000000"/>
          <w:sz w:val="20"/>
          <w:szCs w:val="20"/>
          <w:lang w:val="en-US"/>
        </w:rPr>
        <w:t>tio</w:t>
      </w:r>
      <w:r w:rsidR="00C878BC" w:rsidRPr="007D47AD">
        <w:rPr>
          <w:rFonts w:asciiTheme="minorHAnsi" w:hAnsiTheme="minorHAnsi"/>
          <w:color w:val="000000"/>
          <w:sz w:val="20"/>
          <w:szCs w:val="20"/>
          <w:lang w:val="en-US"/>
        </w:rPr>
        <w:t xml:space="preserve">n, </w:t>
      </w:r>
      <w:r w:rsidR="002142FF" w:rsidRPr="007D47AD">
        <w:rPr>
          <w:rFonts w:asciiTheme="minorHAnsi" w:hAnsiTheme="minorHAnsi"/>
          <w:color w:val="000000"/>
          <w:sz w:val="20"/>
          <w:szCs w:val="20"/>
          <w:lang w:val="en-US"/>
        </w:rPr>
        <w:t xml:space="preserve">prosecution, punishment, and reparation. </w:t>
      </w:r>
    </w:p>
    <w:p w:rsidR="00C878BC" w:rsidRPr="007D47AD" w:rsidRDefault="00C878BC" w:rsidP="00C878BC">
      <w:pPr>
        <w:shd w:val="clear" w:color="auto" w:fill="FFFFFF"/>
        <w:spacing w:after="0" w:line="240" w:lineRule="auto"/>
        <w:ind w:left="720"/>
        <w:jc w:val="both"/>
        <w:rPr>
          <w:rFonts w:asciiTheme="minorHAnsi" w:hAnsiTheme="minorHAnsi"/>
          <w:color w:val="000000"/>
          <w:sz w:val="20"/>
          <w:szCs w:val="20"/>
          <w:lang w:val="en-US"/>
        </w:rPr>
      </w:pPr>
    </w:p>
    <w:p w:rsidR="00C878BC" w:rsidRPr="007D47AD" w:rsidRDefault="002142FF" w:rsidP="00C878BC">
      <w:pPr>
        <w:numPr>
          <w:ilvl w:val="0"/>
          <w:numId w:val="6"/>
        </w:numPr>
        <w:shd w:val="clear" w:color="auto" w:fill="FFFFFF"/>
        <w:spacing w:after="0" w:line="240" w:lineRule="auto"/>
        <w:ind w:left="0" w:firstLine="720"/>
        <w:jc w:val="both"/>
        <w:rPr>
          <w:rFonts w:asciiTheme="minorHAnsi" w:hAnsiTheme="minorHAnsi"/>
          <w:color w:val="000000"/>
          <w:sz w:val="20"/>
          <w:szCs w:val="20"/>
          <w:lang w:val="en-US"/>
        </w:rPr>
      </w:pPr>
      <w:r w:rsidRPr="007D47AD">
        <w:rPr>
          <w:rFonts w:asciiTheme="minorHAnsi" w:hAnsiTheme="minorHAnsi"/>
          <w:color w:val="000000"/>
          <w:sz w:val="20"/>
          <w:szCs w:val="20"/>
          <w:lang w:val="en-US"/>
        </w:rPr>
        <w:t xml:space="preserve">Moreover, the IACHR has noted the importance of the November 20, 2018 judgment of the Inter-American Court regarding the international responsibility of the Mexican State for the victims of sexual torture in </w:t>
      </w:r>
      <w:r w:rsidR="00C878BC" w:rsidRPr="007D47AD">
        <w:rPr>
          <w:rFonts w:asciiTheme="minorHAnsi" w:hAnsiTheme="minorHAnsi"/>
          <w:color w:val="000000"/>
          <w:sz w:val="20"/>
          <w:szCs w:val="20"/>
          <w:lang w:val="en-US"/>
        </w:rPr>
        <w:t>Atenco</w:t>
      </w:r>
      <w:r w:rsidRPr="007D47AD">
        <w:rPr>
          <w:rFonts w:asciiTheme="minorHAnsi" w:hAnsiTheme="minorHAnsi"/>
          <w:color w:val="000000"/>
          <w:sz w:val="20"/>
          <w:szCs w:val="20"/>
          <w:lang w:val="en-US"/>
        </w:rPr>
        <w:t>.</w:t>
      </w:r>
      <w:r w:rsidR="00C878BC" w:rsidRPr="007D47AD">
        <w:rPr>
          <w:rStyle w:val="FootnoteReference"/>
          <w:rFonts w:asciiTheme="minorHAnsi" w:hAnsiTheme="minorHAnsi"/>
          <w:color w:val="000000"/>
          <w:sz w:val="20"/>
          <w:szCs w:val="20"/>
          <w:lang w:val="en-US"/>
        </w:rPr>
        <w:footnoteReference w:id="257"/>
      </w:r>
      <w:r w:rsidR="00C9234D" w:rsidRPr="007D47AD">
        <w:rPr>
          <w:rFonts w:asciiTheme="minorHAnsi" w:hAnsiTheme="minorHAnsi"/>
          <w:color w:val="000000"/>
          <w:sz w:val="20"/>
          <w:szCs w:val="20"/>
          <w:lang w:val="en-US"/>
        </w:rPr>
        <w:t xml:space="preserve"> </w:t>
      </w:r>
      <w:r w:rsidRPr="007D47AD">
        <w:rPr>
          <w:rFonts w:asciiTheme="minorHAnsi" w:hAnsiTheme="minorHAnsi"/>
          <w:color w:val="000000"/>
          <w:sz w:val="20"/>
          <w:szCs w:val="20"/>
          <w:lang w:val="en-US"/>
        </w:rPr>
        <w:t xml:space="preserve">In this regard, the Commission continues to be vigilant </w:t>
      </w:r>
      <w:r w:rsidR="00427301" w:rsidRPr="007D47AD">
        <w:rPr>
          <w:rFonts w:asciiTheme="minorHAnsi" w:hAnsiTheme="minorHAnsi"/>
          <w:color w:val="000000"/>
          <w:sz w:val="20"/>
          <w:szCs w:val="20"/>
          <w:lang w:val="en-US"/>
        </w:rPr>
        <w:t xml:space="preserve">of </w:t>
      </w:r>
      <w:r w:rsidRPr="007D47AD">
        <w:rPr>
          <w:rFonts w:asciiTheme="minorHAnsi" w:hAnsiTheme="minorHAnsi"/>
          <w:color w:val="000000"/>
          <w:sz w:val="20"/>
          <w:szCs w:val="20"/>
          <w:lang w:val="en-US"/>
        </w:rPr>
        <w:t>the measures taken by the State to comply fully with that judgment.</w:t>
      </w:r>
      <w:r w:rsidR="00C878BC" w:rsidRPr="007D47AD">
        <w:rPr>
          <w:rStyle w:val="FootnoteReference"/>
          <w:rFonts w:asciiTheme="minorHAnsi" w:hAnsiTheme="minorHAnsi"/>
          <w:color w:val="000000"/>
          <w:sz w:val="20"/>
          <w:szCs w:val="20"/>
          <w:lang w:val="en-US"/>
        </w:rPr>
        <w:footnoteReference w:id="258"/>
      </w:r>
      <w:r w:rsidR="00C878BC" w:rsidRPr="007D47AD">
        <w:rPr>
          <w:rFonts w:asciiTheme="minorHAnsi" w:hAnsiTheme="minorHAnsi"/>
          <w:color w:val="000000"/>
          <w:sz w:val="20"/>
          <w:szCs w:val="20"/>
          <w:lang w:val="en-US"/>
        </w:rPr>
        <w:t xml:space="preserve"> </w:t>
      </w:r>
      <w:r w:rsidR="00C878BC" w:rsidRPr="007D47AD">
        <w:rPr>
          <w:rFonts w:asciiTheme="minorHAnsi" w:hAnsiTheme="minorHAnsi" w:cs="Arial"/>
          <w:color w:val="000000"/>
          <w:sz w:val="20"/>
          <w:szCs w:val="20"/>
          <w:shd w:val="clear" w:color="auto" w:fill="FFFFFF"/>
          <w:lang w:val="en-US"/>
        </w:rPr>
        <w:t> </w:t>
      </w:r>
    </w:p>
    <w:p w:rsidR="00901176" w:rsidRPr="007D47AD" w:rsidRDefault="00901176" w:rsidP="00901176">
      <w:pPr>
        <w:pStyle w:val="ListParagraph"/>
        <w:rPr>
          <w:rFonts w:asciiTheme="minorHAnsi" w:hAnsiTheme="minorHAnsi"/>
          <w:color w:val="000000"/>
          <w:sz w:val="20"/>
          <w:szCs w:val="20"/>
          <w:lang w:val="en-US"/>
        </w:rPr>
      </w:pPr>
    </w:p>
    <w:p w:rsidR="00901176" w:rsidRPr="007D47AD" w:rsidRDefault="00A1316C" w:rsidP="00AD315C">
      <w:pPr>
        <w:numPr>
          <w:ilvl w:val="0"/>
          <w:numId w:val="6"/>
        </w:numPr>
        <w:shd w:val="clear" w:color="auto" w:fill="FFFFFF"/>
        <w:spacing w:after="0" w:line="240" w:lineRule="auto"/>
        <w:ind w:left="0" w:firstLine="720"/>
        <w:jc w:val="both"/>
        <w:rPr>
          <w:rFonts w:asciiTheme="minorHAnsi" w:hAnsiTheme="minorHAnsi"/>
          <w:color w:val="000000"/>
          <w:sz w:val="20"/>
          <w:szCs w:val="20"/>
          <w:lang w:val="en-US"/>
        </w:rPr>
      </w:pPr>
      <w:r w:rsidRPr="007D47AD">
        <w:rPr>
          <w:rFonts w:asciiTheme="minorHAnsi" w:hAnsiTheme="minorHAnsi" w:cs="TimesNewRomanPSMT"/>
          <w:color w:val="000000"/>
          <w:sz w:val="20"/>
          <w:szCs w:val="20"/>
          <w:lang w:val="en-US"/>
        </w:rPr>
        <w:t>I</w:t>
      </w:r>
      <w:r w:rsidR="00901176" w:rsidRPr="007D47AD">
        <w:rPr>
          <w:rFonts w:asciiTheme="minorHAnsi" w:hAnsiTheme="minorHAnsi" w:cs="TimesNewRomanPSMT"/>
          <w:color w:val="000000"/>
          <w:sz w:val="20"/>
          <w:szCs w:val="20"/>
          <w:lang w:val="en-US"/>
        </w:rPr>
        <w:t xml:space="preserve">n </w:t>
      </w:r>
      <w:r w:rsidRPr="007D47AD">
        <w:rPr>
          <w:rFonts w:asciiTheme="minorHAnsi" w:hAnsiTheme="minorHAnsi" w:cs="TimesNewRomanPSMT"/>
          <w:color w:val="000000"/>
          <w:sz w:val="20"/>
          <w:szCs w:val="20"/>
          <w:lang w:val="en-US"/>
        </w:rPr>
        <w:t>its observations on the draft of this report the State</w:t>
      </w:r>
      <w:r w:rsidR="00AD315C" w:rsidRPr="007D47AD">
        <w:rPr>
          <w:rFonts w:asciiTheme="minorHAnsi" w:hAnsiTheme="minorHAnsi" w:cs="TimesNewRomanPSMT"/>
          <w:color w:val="000000"/>
          <w:sz w:val="20"/>
          <w:szCs w:val="20"/>
          <w:lang w:val="en-US"/>
        </w:rPr>
        <w:t xml:space="preserve"> </w:t>
      </w:r>
      <w:r w:rsidR="00AD315C" w:rsidRPr="007D47AD">
        <w:rPr>
          <w:rFonts w:asciiTheme="minorHAnsi" w:hAnsiTheme="minorHAnsi"/>
          <w:color w:val="222222"/>
          <w:sz w:val="20"/>
          <w:szCs w:val="20"/>
          <w:lang w:val="en"/>
        </w:rPr>
        <w:t xml:space="preserve">reported that CONAVIM promotes measures in the design of the Comprehensive Program to Prevent, Address, Punish and Eradicate Violence </w:t>
      </w:r>
      <w:r w:rsidR="00AD315C" w:rsidRPr="007D47AD">
        <w:rPr>
          <w:rFonts w:asciiTheme="minorHAnsi" w:hAnsiTheme="minorHAnsi"/>
          <w:color w:val="222222"/>
          <w:sz w:val="20"/>
          <w:szCs w:val="20"/>
          <w:lang w:val="en"/>
        </w:rPr>
        <w:lastRenderedPageBreak/>
        <w:t>Against Women (PIPASEVM) 2019-2024 which is currently under evaluation by the Ministry of Finance and Public Credit, anticipating its publication by January 2020</w:t>
      </w:r>
      <w:r w:rsidRPr="007D47AD">
        <w:rPr>
          <w:rFonts w:asciiTheme="minorHAnsi" w:hAnsiTheme="minorHAnsi"/>
          <w:color w:val="000000"/>
          <w:sz w:val="20"/>
          <w:szCs w:val="20"/>
          <w:lang w:val="en-US"/>
        </w:rPr>
        <w:t>.</w:t>
      </w:r>
      <w:r w:rsidR="00901176" w:rsidRPr="007D47AD">
        <w:rPr>
          <w:rStyle w:val="FootnoteReference"/>
          <w:rFonts w:asciiTheme="minorHAnsi" w:hAnsiTheme="minorHAnsi"/>
          <w:sz w:val="20"/>
          <w:szCs w:val="20"/>
          <w:lang w:val="en-US"/>
        </w:rPr>
        <w:footnoteReference w:id="259"/>
      </w:r>
    </w:p>
    <w:p w:rsidR="00C878BC" w:rsidRPr="007D47AD" w:rsidRDefault="00C878BC" w:rsidP="00901176">
      <w:pPr>
        <w:shd w:val="clear" w:color="auto" w:fill="FFFFFF"/>
        <w:spacing w:after="0" w:line="240" w:lineRule="auto"/>
        <w:jc w:val="both"/>
        <w:rPr>
          <w:rFonts w:asciiTheme="minorHAnsi" w:hAnsiTheme="minorHAnsi"/>
          <w:color w:val="000000"/>
          <w:sz w:val="20"/>
          <w:szCs w:val="20"/>
          <w:lang w:val="en-US"/>
        </w:rPr>
      </w:pPr>
    </w:p>
    <w:p w:rsidR="00C878BC" w:rsidRPr="007D47AD" w:rsidRDefault="002142FF" w:rsidP="00223AED">
      <w:pPr>
        <w:numPr>
          <w:ilvl w:val="0"/>
          <w:numId w:val="6"/>
        </w:numPr>
        <w:shd w:val="clear" w:color="auto" w:fill="FFFFFF"/>
        <w:spacing w:after="0" w:line="240" w:lineRule="auto"/>
        <w:ind w:left="0" w:firstLine="720"/>
        <w:jc w:val="both"/>
        <w:rPr>
          <w:rStyle w:val="m002d8320586899623630245numberedparagraphschar"/>
          <w:rFonts w:asciiTheme="minorHAnsi" w:hAnsiTheme="minorHAnsi"/>
          <w:color w:val="000000"/>
          <w:sz w:val="20"/>
          <w:szCs w:val="20"/>
          <w:lang w:val="en-US"/>
        </w:rPr>
      </w:pPr>
      <w:r w:rsidRPr="007D47AD">
        <w:rPr>
          <w:rFonts w:asciiTheme="minorHAnsi" w:hAnsiTheme="minorHAnsi" w:cs="Calibri Light"/>
          <w:color w:val="000000"/>
          <w:sz w:val="20"/>
          <w:szCs w:val="20"/>
          <w:lang w:val="en-US"/>
        </w:rPr>
        <w:t>As regards the foregoing, the Commission views with concern the information received</w:t>
      </w:r>
      <w:r w:rsidR="001668AD" w:rsidRPr="007D47AD">
        <w:rPr>
          <w:rFonts w:asciiTheme="minorHAnsi" w:hAnsiTheme="minorHAnsi" w:cs="Calibri Light"/>
          <w:color w:val="000000"/>
          <w:sz w:val="20"/>
          <w:szCs w:val="20"/>
          <w:lang w:val="en-US"/>
        </w:rPr>
        <w:t>,</w:t>
      </w:r>
      <w:r w:rsidRPr="007D47AD">
        <w:rPr>
          <w:rFonts w:asciiTheme="minorHAnsi" w:hAnsiTheme="minorHAnsi" w:cs="Calibri Light"/>
          <w:color w:val="000000"/>
          <w:sz w:val="20"/>
          <w:szCs w:val="20"/>
          <w:lang w:val="en-US"/>
        </w:rPr>
        <w:t xml:space="preserve"> </w:t>
      </w:r>
      <w:r w:rsidR="001668AD" w:rsidRPr="007D47AD">
        <w:rPr>
          <w:rFonts w:asciiTheme="minorHAnsi" w:hAnsiTheme="minorHAnsi" w:cs="Calibri Light"/>
          <w:color w:val="000000"/>
          <w:sz w:val="20"/>
          <w:szCs w:val="20"/>
          <w:lang w:val="en-US"/>
        </w:rPr>
        <w:t xml:space="preserve">which </w:t>
      </w:r>
      <w:r w:rsidRPr="007D47AD">
        <w:rPr>
          <w:rFonts w:asciiTheme="minorHAnsi" w:hAnsiTheme="minorHAnsi" w:cs="Calibri Light"/>
          <w:color w:val="000000"/>
          <w:sz w:val="20"/>
          <w:szCs w:val="20"/>
          <w:lang w:val="en-US"/>
        </w:rPr>
        <w:t xml:space="preserve">described the extent of sexual violence committed against women during their detention, transfer, entry to prison, and deprivation of liberty in Mexico. Based on the foregoing, the IACHR considers that the recommendation has not yet met with compliance. </w:t>
      </w:r>
    </w:p>
    <w:p w:rsidR="00223AED" w:rsidRPr="007D47AD" w:rsidRDefault="00223AED" w:rsidP="00223AED">
      <w:pPr>
        <w:shd w:val="clear" w:color="auto" w:fill="FFFFFF"/>
        <w:spacing w:after="0" w:line="240" w:lineRule="auto"/>
        <w:jc w:val="both"/>
        <w:rPr>
          <w:rStyle w:val="m002d8320586899623630245numberedparagraphschar"/>
          <w:rFonts w:asciiTheme="minorHAnsi" w:hAnsiTheme="minorHAnsi"/>
          <w:color w:val="000000"/>
          <w:sz w:val="20"/>
          <w:szCs w:val="20"/>
          <w:lang w:val="en-US"/>
        </w:rPr>
      </w:pPr>
    </w:p>
    <w:p w:rsidR="00C878BC" w:rsidRPr="007D47AD" w:rsidRDefault="002142FF" w:rsidP="00C878BC">
      <w:pPr>
        <w:numPr>
          <w:ilvl w:val="0"/>
          <w:numId w:val="6"/>
        </w:numPr>
        <w:shd w:val="clear" w:color="auto" w:fill="FFFFFF"/>
        <w:spacing w:after="0" w:line="240" w:lineRule="auto"/>
        <w:ind w:left="0" w:firstLine="720"/>
        <w:jc w:val="both"/>
        <w:rPr>
          <w:rFonts w:asciiTheme="minorHAnsi" w:hAnsiTheme="minorHAnsi"/>
          <w:color w:val="000000"/>
          <w:sz w:val="20"/>
          <w:szCs w:val="20"/>
          <w:lang w:val="en-US"/>
        </w:rPr>
      </w:pPr>
      <w:r w:rsidRPr="007D47AD">
        <w:rPr>
          <w:rFonts w:asciiTheme="minorHAnsi" w:hAnsiTheme="minorHAnsi"/>
          <w:color w:val="000000"/>
          <w:sz w:val="20"/>
          <w:szCs w:val="20"/>
          <w:lang w:val="en-US"/>
        </w:rPr>
        <w:t>In addition, the Commission received information from the State following up on its</w:t>
      </w:r>
      <w:r w:rsidR="00C02FE9" w:rsidRPr="007D47AD">
        <w:rPr>
          <w:rFonts w:asciiTheme="minorHAnsi" w:hAnsiTheme="minorHAnsi"/>
          <w:color w:val="000000"/>
          <w:sz w:val="20"/>
          <w:szCs w:val="20"/>
          <w:lang w:val="en-US"/>
        </w:rPr>
        <w:t xml:space="preserve"> recommendation </w:t>
      </w:r>
      <w:r w:rsidR="00C02FE9" w:rsidRPr="007D47AD">
        <w:rPr>
          <w:rFonts w:asciiTheme="minorHAnsi" w:hAnsiTheme="minorHAnsi"/>
          <w:b/>
          <w:color w:val="000000"/>
          <w:sz w:val="20"/>
          <w:szCs w:val="20"/>
          <w:lang w:val="en-US"/>
        </w:rPr>
        <w:t>to i</w:t>
      </w:r>
      <w:r w:rsidR="00C878BC" w:rsidRPr="007D47AD">
        <w:rPr>
          <w:rFonts w:asciiTheme="minorHAnsi" w:hAnsiTheme="minorHAnsi"/>
          <w:b/>
          <w:color w:val="000000"/>
          <w:sz w:val="20"/>
          <w:szCs w:val="20"/>
          <w:lang w:val="en-US"/>
        </w:rPr>
        <w:t>mplement</w:t>
      </w:r>
      <w:r w:rsidR="00C02FE9" w:rsidRPr="007D47AD">
        <w:rPr>
          <w:rFonts w:asciiTheme="minorHAnsi" w:hAnsiTheme="minorHAnsi"/>
          <w:b/>
          <w:color w:val="000000"/>
          <w:sz w:val="20"/>
          <w:szCs w:val="20"/>
          <w:lang w:val="en-US"/>
        </w:rPr>
        <w:t xml:space="preserve"> uniform protocols by the prosecutorial authorities for crimes related to violence against women, as well as proper supervision of their implementation</w:t>
      </w:r>
      <w:r w:rsidR="00C878BC" w:rsidRPr="007D47AD">
        <w:rPr>
          <w:rFonts w:asciiTheme="minorHAnsi" w:hAnsiTheme="minorHAnsi"/>
          <w:color w:val="000000"/>
          <w:sz w:val="20"/>
          <w:szCs w:val="20"/>
          <w:lang w:val="en-US"/>
        </w:rPr>
        <w:t xml:space="preserve">. </w:t>
      </w:r>
      <w:r w:rsidRPr="007D47AD">
        <w:rPr>
          <w:rFonts w:asciiTheme="minorHAnsi" w:hAnsiTheme="minorHAnsi"/>
          <w:color w:val="000000"/>
          <w:sz w:val="20"/>
          <w:szCs w:val="20"/>
          <w:lang w:val="en-US"/>
        </w:rPr>
        <w:t xml:space="preserve"> </w:t>
      </w:r>
    </w:p>
    <w:p w:rsidR="00C878BC" w:rsidRPr="007D47AD" w:rsidRDefault="00C878BC" w:rsidP="00C878BC">
      <w:pPr>
        <w:shd w:val="clear" w:color="auto" w:fill="FFFFFF"/>
        <w:spacing w:after="0" w:line="240" w:lineRule="auto"/>
        <w:jc w:val="both"/>
        <w:rPr>
          <w:rFonts w:asciiTheme="minorHAnsi" w:hAnsiTheme="minorHAnsi"/>
          <w:color w:val="000000"/>
          <w:sz w:val="20"/>
          <w:szCs w:val="20"/>
          <w:lang w:val="en-US"/>
        </w:rPr>
      </w:pPr>
    </w:p>
    <w:p w:rsidR="00C878BC" w:rsidRPr="007D47AD" w:rsidRDefault="002142FF" w:rsidP="00C878BC">
      <w:pPr>
        <w:numPr>
          <w:ilvl w:val="0"/>
          <w:numId w:val="6"/>
        </w:numPr>
        <w:shd w:val="clear" w:color="auto" w:fill="FFFFFF"/>
        <w:spacing w:after="0" w:line="240" w:lineRule="auto"/>
        <w:ind w:left="0" w:firstLine="720"/>
        <w:jc w:val="both"/>
        <w:rPr>
          <w:rFonts w:asciiTheme="minorHAnsi" w:hAnsiTheme="minorHAnsi"/>
          <w:color w:val="000000"/>
          <w:sz w:val="20"/>
          <w:szCs w:val="20"/>
          <w:lang w:val="en-US"/>
        </w:rPr>
      </w:pPr>
      <w:r w:rsidRPr="007D47AD">
        <w:rPr>
          <w:rFonts w:asciiTheme="minorHAnsi" w:hAnsiTheme="minorHAnsi"/>
          <w:color w:val="000000"/>
          <w:sz w:val="20"/>
          <w:szCs w:val="20"/>
          <w:lang w:val="en-US"/>
        </w:rPr>
        <w:t>In this respect, and as noted above, the Commission attaches a positive value to the adoption by at least 23 states of a protocol on feminicide</w:t>
      </w:r>
      <w:r w:rsidR="00C878BC" w:rsidRPr="007D47AD">
        <w:rPr>
          <w:rStyle w:val="FootnoteReference"/>
          <w:rFonts w:asciiTheme="minorHAnsi" w:hAnsiTheme="minorHAnsi" w:cs="TimesNewRomanPSMT"/>
          <w:color w:val="000000"/>
          <w:sz w:val="20"/>
          <w:szCs w:val="20"/>
          <w:lang w:val="en-US"/>
        </w:rPr>
        <w:footnoteReference w:id="260"/>
      </w:r>
      <w:r w:rsidR="00C878BC" w:rsidRPr="007D47AD">
        <w:rPr>
          <w:rFonts w:asciiTheme="minorHAnsi" w:hAnsiTheme="minorHAnsi" w:cs="TimesNewRomanPSMT"/>
          <w:color w:val="000000"/>
          <w:sz w:val="20"/>
          <w:szCs w:val="20"/>
          <w:lang w:val="en-US"/>
        </w:rPr>
        <w:t>, a</w:t>
      </w:r>
      <w:r w:rsidRPr="007D47AD">
        <w:rPr>
          <w:rFonts w:asciiTheme="minorHAnsi" w:hAnsiTheme="minorHAnsi" w:cs="TimesNewRomanPSMT"/>
          <w:color w:val="000000"/>
          <w:sz w:val="20"/>
          <w:szCs w:val="20"/>
          <w:lang w:val="en-US"/>
        </w:rPr>
        <w:t xml:space="preserve">nd that the publication of the </w:t>
      </w:r>
      <w:r w:rsidR="00C878BC" w:rsidRPr="007D47AD">
        <w:rPr>
          <w:rFonts w:asciiTheme="minorHAnsi" w:hAnsiTheme="minorHAnsi"/>
          <w:color w:val="000000"/>
          <w:sz w:val="20"/>
          <w:szCs w:val="20"/>
          <w:lang w:val="en-US"/>
        </w:rPr>
        <w:t>Protoco</w:t>
      </w:r>
      <w:r w:rsidRPr="007D47AD">
        <w:rPr>
          <w:rFonts w:asciiTheme="minorHAnsi" w:hAnsiTheme="minorHAnsi"/>
          <w:color w:val="000000"/>
          <w:sz w:val="20"/>
          <w:szCs w:val="20"/>
          <w:lang w:val="en-US"/>
        </w:rPr>
        <w:t>l</w:t>
      </w:r>
      <w:r w:rsidR="00C878BC" w:rsidRPr="007D47AD">
        <w:rPr>
          <w:rFonts w:asciiTheme="minorHAnsi" w:hAnsiTheme="minorHAnsi"/>
          <w:color w:val="000000"/>
          <w:sz w:val="20"/>
          <w:szCs w:val="20"/>
          <w:lang w:val="en-US"/>
        </w:rPr>
        <w:t xml:space="preserve"> </w:t>
      </w:r>
      <w:r w:rsidRPr="007D47AD">
        <w:rPr>
          <w:rFonts w:asciiTheme="minorHAnsi" w:hAnsiTheme="minorHAnsi"/>
          <w:color w:val="000000"/>
          <w:sz w:val="20"/>
          <w:szCs w:val="20"/>
          <w:lang w:val="en-US"/>
        </w:rPr>
        <w:t xml:space="preserve">to Judge with a Gender </w:t>
      </w:r>
      <w:r w:rsidR="00C878BC" w:rsidRPr="007D47AD">
        <w:rPr>
          <w:rFonts w:asciiTheme="minorHAnsi" w:hAnsiTheme="minorHAnsi"/>
          <w:color w:val="000000"/>
          <w:sz w:val="20"/>
          <w:szCs w:val="20"/>
          <w:lang w:val="en-US"/>
        </w:rPr>
        <w:t>Perspectiv</w:t>
      </w:r>
      <w:r w:rsidRPr="007D47AD">
        <w:rPr>
          <w:rFonts w:asciiTheme="minorHAnsi" w:hAnsiTheme="minorHAnsi"/>
          <w:color w:val="000000"/>
          <w:sz w:val="20"/>
          <w:szCs w:val="20"/>
          <w:lang w:val="en-US"/>
        </w:rPr>
        <w:t xml:space="preserve">e has enabled the Federal Judicial Branch to </w:t>
      </w:r>
      <w:r w:rsidR="001668AD" w:rsidRPr="007D47AD">
        <w:rPr>
          <w:rFonts w:asciiTheme="minorHAnsi" w:hAnsiTheme="minorHAnsi"/>
          <w:color w:val="000000"/>
          <w:sz w:val="20"/>
          <w:szCs w:val="20"/>
          <w:lang w:val="en-US"/>
        </w:rPr>
        <w:t xml:space="preserve">render more </w:t>
      </w:r>
      <w:r w:rsidRPr="007D47AD">
        <w:rPr>
          <w:rFonts w:asciiTheme="minorHAnsi" w:hAnsiTheme="minorHAnsi"/>
          <w:color w:val="000000"/>
          <w:sz w:val="20"/>
          <w:szCs w:val="20"/>
          <w:lang w:val="en-US"/>
        </w:rPr>
        <w:t xml:space="preserve">judgments that incorporate a gender </w:t>
      </w:r>
      <w:r w:rsidR="00C878BC" w:rsidRPr="007D47AD">
        <w:rPr>
          <w:rFonts w:asciiTheme="minorHAnsi" w:hAnsiTheme="minorHAnsi"/>
          <w:color w:val="000000"/>
          <w:sz w:val="20"/>
          <w:szCs w:val="20"/>
          <w:lang w:val="en-US"/>
        </w:rPr>
        <w:t>perspectiv</w:t>
      </w:r>
      <w:r w:rsidRPr="007D47AD">
        <w:rPr>
          <w:rFonts w:asciiTheme="minorHAnsi" w:hAnsiTheme="minorHAnsi"/>
          <w:color w:val="000000"/>
          <w:sz w:val="20"/>
          <w:szCs w:val="20"/>
          <w:lang w:val="en-US"/>
        </w:rPr>
        <w:t>e</w:t>
      </w:r>
      <w:r w:rsidR="00C878BC" w:rsidRPr="007D47AD">
        <w:rPr>
          <w:rFonts w:asciiTheme="minorHAnsi" w:hAnsiTheme="minorHAnsi"/>
          <w:color w:val="000000"/>
          <w:sz w:val="20"/>
          <w:szCs w:val="20"/>
          <w:lang w:val="en-US"/>
        </w:rPr>
        <w:t xml:space="preserve">. </w:t>
      </w:r>
      <w:r w:rsidRPr="007D47AD">
        <w:rPr>
          <w:rFonts w:asciiTheme="minorHAnsi" w:hAnsiTheme="minorHAnsi"/>
          <w:color w:val="000000"/>
          <w:sz w:val="20"/>
          <w:szCs w:val="20"/>
          <w:lang w:val="en-US"/>
        </w:rPr>
        <w:t xml:space="preserve">In addition, the Commission notes that all the states have published laws on access to a life free from violence against women </w:t>
      </w:r>
      <w:r w:rsidRPr="007D47AD">
        <w:rPr>
          <w:rFonts w:asciiTheme="minorHAnsi" w:hAnsiTheme="minorHAnsi" w:cs="TimesNewRomanPSMT"/>
          <w:color w:val="000000"/>
          <w:sz w:val="20"/>
          <w:szCs w:val="20"/>
          <w:lang w:val="en-US"/>
        </w:rPr>
        <w:t xml:space="preserve">and have considered </w:t>
      </w:r>
      <w:r w:rsidRPr="007D47AD">
        <w:rPr>
          <w:rFonts w:asciiTheme="minorHAnsi" w:hAnsiTheme="minorHAnsi"/>
          <w:color w:val="000000"/>
          <w:sz w:val="20"/>
          <w:szCs w:val="20"/>
          <w:lang w:val="en-US"/>
        </w:rPr>
        <w:t xml:space="preserve">new modalities of violence as a response to the context of violence that women suffer: obstetric </w:t>
      </w:r>
      <w:r w:rsidR="00C878BC" w:rsidRPr="007D47AD">
        <w:rPr>
          <w:rFonts w:asciiTheme="minorHAnsi" w:hAnsiTheme="minorHAnsi"/>
          <w:color w:val="000000"/>
          <w:sz w:val="20"/>
          <w:szCs w:val="20"/>
          <w:lang w:val="en-US"/>
        </w:rPr>
        <w:t>violenc</w:t>
      </w:r>
      <w:r w:rsidRPr="007D47AD">
        <w:rPr>
          <w:rFonts w:asciiTheme="minorHAnsi" w:hAnsiTheme="minorHAnsi"/>
          <w:color w:val="000000"/>
          <w:sz w:val="20"/>
          <w:szCs w:val="20"/>
          <w:lang w:val="en-US"/>
        </w:rPr>
        <w:t xml:space="preserve">e, codified in </w:t>
      </w:r>
      <w:r w:rsidR="00C878BC" w:rsidRPr="007D47AD">
        <w:rPr>
          <w:rFonts w:asciiTheme="minorHAnsi" w:hAnsiTheme="minorHAnsi"/>
          <w:color w:val="000000"/>
          <w:sz w:val="20"/>
          <w:szCs w:val="20"/>
          <w:lang w:val="en-US"/>
        </w:rPr>
        <w:t xml:space="preserve">25 </w:t>
      </w:r>
      <w:r w:rsidRPr="007D47AD">
        <w:rPr>
          <w:rFonts w:asciiTheme="minorHAnsi" w:hAnsiTheme="minorHAnsi"/>
          <w:color w:val="000000"/>
          <w:sz w:val="20"/>
          <w:szCs w:val="20"/>
          <w:lang w:val="en-US"/>
        </w:rPr>
        <w:t>states; and violence in the couple, provided for in 11 states.</w:t>
      </w:r>
      <w:r w:rsidR="00C878BC" w:rsidRPr="007D47AD">
        <w:rPr>
          <w:rStyle w:val="FootnoteReference"/>
          <w:rFonts w:asciiTheme="minorHAnsi" w:hAnsiTheme="minorHAnsi"/>
          <w:color w:val="000000"/>
          <w:sz w:val="20"/>
          <w:szCs w:val="20"/>
          <w:lang w:val="en-US"/>
        </w:rPr>
        <w:footnoteReference w:id="261"/>
      </w:r>
      <w:r w:rsidR="00C878BC" w:rsidRPr="007D47AD">
        <w:rPr>
          <w:rFonts w:asciiTheme="minorHAnsi" w:hAnsiTheme="minorHAnsi"/>
          <w:color w:val="000000"/>
          <w:sz w:val="20"/>
          <w:szCs w:val="20"/>
          <w:lang w:val="en-US"/>
        </w:rPr>
        <w:t xml:space="preserve">   </w:t>
      </w:r>
    </w:p>
    <w:p w:rsidR="00C878BC" w:rsidRPr="007D47AD" w:rsidRDefault="00C878BC" w:rsidP="00C878BC">
      <w:pPr>
        <w:shd w:val="clear" w:color="auto" w:fill="FFFFFF"/>
        <w:spacing w:after="0" w:line="240" w:lineRule="auto"/>
        <w:jc w:val="both"/>
        <w:rPr>
          <w:rFonts w:asciiTheme="minorHAnsi" w:hAnsiTheme="minorHAnsi"/>
          <w:color w:val="000000"/>
          <w:sz w:val="20"/>
          <w:szCs w:val="20"/>
          <w:lang w:val="en-US"/>
        </w:rPr>
      </w:pPr>
    </w:p>
    <w:p w:rsidR="00C878BC" w:rsidRPr="007D47AD" w:rsidRDefault="00C97E8B" w:rsidP="00C97E8B">
      <w:pPr>
        <w:numPr>
          <w:ilvl w:val="0"/>
          <w:numId w:val="6"/>
        </w:numPr>
        <w:shd w:val="clear" w:color="auto" w:fill="FFFFFF"/>
        <w:spacing w:after="0" w:line="240" w:lineRule="auto"/>
        <w:ind w:left="0" w:firstLine="720"/>
        <w:jc w:val="both"/>
        <w:rPr>
          <w:rFonts w:asciiTheme="minorHAnsi" w:hAnsiTheme="minorHAnsi"/>
          <w:color w:val="000000"/>
          <w:sz w:val="20"/>
          <w:szCs w:val="20"/>
          <w:lang w:val="en-US"/>
        </w:rPr>
      </w:pPr>
      <w:r w:rsidRPr="007D47AD">
        <w:rPr>
          <w:rFonts w:asciiTheme="minorHAnsi" w:hAnsiTheme="minorHAnsi"/>
          <w:color w:val="000000"/>
          <w:sz w:val="20"/>
          <w:szCs w:val="20"/>
          <w:lang w:val="en-US"/>
        </w:rPr>
        <w:t xml:space="preserve">The Commission was also informed of the beginning of the process of updating the </w:t>
      </w:r>
      <w:r w:rsidR="00C878BC" w:rsidRPr="007D47AD">
        <w:rPr>
          <w:rFonts w:asciiTheme="minorHAnsi" w:hAnsiTheme="minorHAnsi"/>
          <w:color w:val="000000"/>
          <w:sz w:val="20"/>
          <w:szCs w:val="20"/>
          <w:lang w:val="en-US"/>
        </w:rPr>
        <w:t xml:space="preserve">“Protocol </w:t>
      </w:r>
      <w:r w:rsidRPr="007D47AD">
        <w:rPr>
          <w:rFonts w:asciiTheme="minorHAnsi" w:hAnsiTheme="minorHAnsi"/>
          <w:color w:val="000000"/>
          <w:sz w:val="20"/>
          <w:szCs w:val="20"/>
          <w:lang w:val="en-US"/>
        </w:rPr>
        <w:t xml:space="preserve">for Judging with a Gender </w:t>
      </w:r>
      <w:r w:rsidR="00C878BC" w:rsidRPr="007D47AD">
        <w:rPr>
          <w:rFonts w:asciiTheme="minorHAnsi" w:hAnsiTheme="minorHAnsi"/>
          <w:color w:val="000000"/>
          <w:sz w:val="20"/>
          <w:szCs w:val="20"/>
          <w:lang w:val="en-US"/>
        </w:rPr>
        <w:t>Perspectiv</w:t>
      </w:r>
      <w:r w:rsidRPr="007D47AD">
        <w:rPr>
          <w:rFonts w:asciiTheme="minorHAnsi" w:hAnsiTheme="minorHAnsi"/>
          <w:color w:val="000000"/>
          <w:sz w:val="20"/>
          <w:szCs w:val="20"/>
          <w:lang w:val="en-US"/>
        </w:rPr>
        <w:t>e,</w:t>
      </w:r>
      <w:r w:rsidR="00C878BC" w:rsidRPr="007D47AD">
        <w:rPr>
          <w:rFonts w:asciiTheme="minorHAnsi" w:hAnsiTheme="minorHAnsi"/>
          <w:color w:val="000000"/>
          <w:sz w:val="20"/>
          <w:szCs w:val="20"/>
          <w:lang w:val="en-US"/>
        </w:rPr>
        <w:t xml:space="preserve">” </w:t>
      </w:r>
      <w:r w:rsidR="00BF3B7D" w:rsidRPr="007D47AD">
        <w:rPr>
          <w:rFonts w:asciiTheme="minorHAnsi" w:hAnsiTheme="minorHAnsi"/>
          <w:color w:val="000000"/>
          <w:sz w:val="20"/>
          <w:szCs w:val="20"/>
          <w:lang w:val="en-US"/>
        </w:rPr>
        <w:t xml:space="preserve">beginning with a consultative process that includes the participation of civil society, </w:t>
      </w:r>
      <w:r w:rsidR="00C878BC" w:rsidRPr="007D47AD">
        <w:rPr>
          <w:rFonts w:asciiTheme="minorHAnsi" w:hAnsiTheme="minorHAnsi"/>
          <w:color w:val="000000"/>
          <w:sz w:val="20"/>
          <w:szCs w:val="20"/>
          <w:lang w:val="en-US"/>
        </w:rPr>
        <w:t xml:space="preserve">academia, </w:t>
      </w:r>
      <w:r w:rsidR="00BF3B7D" w:rsidRPr="007D47AD">
        <w:rPr>
          <w:rFonts w:asciiTheme="minorHAnsi" w:hAnsiTheme="minorHAnsi"/>
          <w:color w:val="000000"/>
          <w:sz w:val="20"/>
          <w:szCs w:val="20"/>
          <w:lang w:val="en-US"/>
        </w:rPr>
        <w:t xml:space="preserve">and judicial officers. The </w:t>
      </w:r>
      <w:r w:rsidR="007C7983" w:rsidRPr="007D47AD">
        <w:rPr>
          <w:rFonts w:asciiTheme="minorHAnsi" w:hAnsiTheme="minorHAnsi"/>
          <w:color w:val="000000"/>
          <w:sz w:val="20"/>
          <w:szCs w:val="20"/>
          <w:lang w:val="en-US"/>
        </w:rPr>
        <w:t>FGR</w:t>
      </w:r>
      <w:r w:rsidR="00C878BC" w:rsidRPr="007D47AD">
        <w:rPr>
          <w:rFonts w:asciiTheme="minorHAnsi" w:hAnsiTheme="minorHAnsi"/>
          <w:color w:val="000000"/>
          <w:sz w:val="20"/>
          <w:szCs w:val="20"/>
          <w:lang w:val="en-US"/>
        </w:rPr>
        <w:t xml:space="preserve">, </w:t>
      </w:r>
      <w:r w:rsidR="00BF3B7D" w:rsidRPr="007D47AD">
        <w:rPr>
          <w:rFonts w:asciiTheme="minorHAnsi" w:hAnsiTheme="minorHAnsi"/>
          <w:color w:val="000000"/>
          <w:sz w:val="20"/>
          <w:szCs w:val="20"/>
          <w:lang w:val="en-US"/>
        </w:rPr>
        <w:t xml:space="preserve">which is in charge of coordinating the </w:t>
      </w:r>
      <w:r w:rsidR="00C878BC" w:rsidRPr="007D47AD">
        <w:rPr>
          <w:rFonts w:asciiTheme="minorHAnsi" w:hAnsiTheme="minorHAnsi"/>
          <w:color w:val="000000"/>
          <w:sz w:val="20"/>
          <w:szCs w:val="20"/>
          <w:lang w:val="en-US"/>
        </w:rPr>
        <w:t xml:space="preserve">“Protocol </w:t>
      </w:r>
      <w:r w:rsidR="00BF3B7D" w:rsidRPr="007D47AD">
        <w:rPr>
          <w:rFonts w:asciiTheme="minorHAnsi" w:hAnsiTheme="minorHAnsi"/>
          <w:color w:val="000000"/>
          <w:sz w:val="20"/>
          <w:szCs w:val="20"/>
          <w:lang w:val="en-US"/>
        </w:rPr>
        <w:t xml:space="preserve">for the prevention, attention, and punishment of sexual harassment” of the institutions and offices of the Federal Public Administration, began to draw up a proposed internal model of attention to replace the above-noted Protocol in December </w:t>
      </w:r>
      <w:r w:rsidR="00C878BC" w:rsidRPr="007D47AD">
        <w:rPr>
          <w:rFonts w:asciiTheme="minorHAnsi" w:hAnsiTheme="minorHAnsi"/>
          <w:color w:val="000000"/>
          <w:sz w:val="20"/>
          <w:szCs w:val="20"/>
          <w:lang w:val="en-US"/>
        </w:rPr>
        <w:t xml:space="preserve">2019. </w:t>
      </w:r>
      <w:r w:rsidR="00BF3B7D" w:rsidRPr="007D47AD">
        <w:rPr>
          <w:rFonts w:asciiTheme="minorHAnsi" w:hAnsiTheme="minorHAnsi"/>
          <w:color w:val="000000"/>
          <w:sz w:val="20"/>
          <w:szCs w:val="20"/>
          <w:lang w:val="en-US"/>
        </w:rPr>
        <w:t xml:space="preserve">In addition, the protocols for prosecutorial, police, and expert action with a gender </w:t>
      </w:r>
      <w:r w:rsidR="00C878BC" w:rsidRPr="007D47AD">
        <w:rPr>
          <w:rFonts w:asciiTheme="minorHAnsi" w:hAnsiTheme="minorHAnsi"/>
          <w:sz w:val="20"/>
          <w:szCs w:val="20"/>
          <w:lang w:val="en-US"/>
        </w:rPr>
        <w:t>perspectiv</w:t>
      </w:r>
      <w:r w:rsidR="00BF3B7D" w:rsidRPr="007D47AD">
        <w:rPr>
          <w:rFonts w:asciiTheme="minorHAnsi" w:hAnsiTheme="minorHAnsi"/>
          <w:sz w:val="20"/>
          <w:szCs w:val="20"/>
          <w:lang w:val="en-US"/>
        </w:rPr>
        <w:t>e</w:t>
      </w:r>
      <w:r w:rsidR="00C878BC" w:rsidRPr="007D47AD">
        <w:rPr>
          <w:rFonts w:asciiTheme="minorHAnsi" w:hAnsiTheme="minorHAnsi"/>
          <w:sz w:val="20"/>
          <w:szCs w:val="20"/>
          <w:lang w:val="en-US"/>
        </w:rPr>
        <w:t xml:space="preserve"> </w:t>
      </w:r>
      <w:r w:rsidR="00BF3B7D" w:rsidRPr="007D47AD">
        <w:rPr>
          <w:rFonts w:asciiTheme="minorHAnsi" w:hAnsiTheme="minorHAnsi"/>
          <w:sz w:val="20"/>
          <w:szCs w:val="20"/>
          <w:lang w:val="en-US"/>
        </w:rPr>
        <w:t xml:space="preserve">for the crime of </w:t>
      </w:r>
      <w:r w:rsidR="00C878BC" w:rsidRPr="007D47AD">
        <w:rPr>
          <w:rFonts w:asciiTheme="minorHAnsi" w:hAnsiTheme="minorHAnsi"/>
          <w:sz w:val="20"/>
          <w:szCs w:val="20"/>
          <w:lang w:val="en-US"/>
        </w:rPr>
        <w:t>feminicid</w:t>
      </w:r>
      <w:r w:rsidR="00BF3B7D" w:rsidRPr="007D47AD">
        <w:rPr>
          <w:rFonts w:asciiTheme="minorHAnsi" w:hAnsiTheme="minorHAnsi"/>
          <w:sz w:val="20"/>
          <w:szCs w:val="20"/>
          <w:lang w:val="en-US"/>
        </w:rPr>
        <w:t xml:space="preserve">e and for sexual </w:t>
      </w:r>
      <w:r w:rsidR="00C878BC" w:rsidRPr="007D47AD">
        <w:rPr>
          <w:rFonts w:asciiTheme="minorHAnsi" w:hAnsiTheme="minorHAnsi"/>
          <w:sz w:val="20"/>
          <w:szCs w:val="20"/>
          <w:lang w:val="en-US"/>
        </w:rPr>
        <w:t>violenc</w:t>
      </w:r>
      <w:r w:rsidR="00BF3B7D" w:rsidRPr="007D47AD">
        <w:rPr>
          <w:rFonts w:asciiTheme="minorHAnsi" w:hAnsiTheme="minorHAnsi"/>
          <w:sz w:val="20"/>
          <w:szCs w:val="20"/>
          <w:lang w:val="en-US"/>
        </w:rPr>
        <w:t xml:space="preserve">e, as well as the </w:t>
      </w:r>
      <w:r w:rsidR="00A25C66" w:rsidRPr="007D47AD">
        <w:rPr>
          <w:rFonts w:asciiTheme="minorHAnsi" w:hAnsiTheme="minorHAnsi"/>
          <w:sz w:val="20"/>
          <w:szCs w:val="20"/>
          <w:lang w:val="en-US"/>
        </w:rPr>
        <w:t xml:space="preserve">Standardized Protocol for Action with a gender perspective </w:t>
      </w:r>
      <w:r w:rsidR="001668AD" w:rsidRPr="007D47AD">
        <w:rPr>
          <w:rFonts w:asciiTheme="minorHAnsi" w:hAnsiTheme="minorHAnsi"/>
          <w:sz w:val="20"/>
          <w:szCs w:val="20"/>
          <w:lang w:val="en-US"/>
        </w:rPr>
        <w:t xml:space="preserve">for </w:t>
      </w:r>
      <w:r w:rsidR="00A25C66" w:rsidRPr="007D47AD">
        <w:rPr>
          <w:rFonts w:asciiTheme="minorHAnsi" w:hAnsiTheme="minorHAnsi"/>
          <w:sz w:val="20"/>
          <w:szCs w:val="20"/>
          <w:lang w:val="en-US"/>
        </w:rPr>
        <w:t xml:space="preserve">investigating the crimes of human trafficking for sexual exploitation, drawn up by the </w:t>
      </w:r>
      <w:r w:rsidR="00C878BC" w:rsidRPr="007D47AD">
        <w:rPr>
          <w:rFonts w:asciiTheme="minorHAnsi" w:hAnsiTheme="minorHAnsi"/>
          <w:sz w:val="20"/>
          <w:szCs w:val="20"/>
          <w:lang w:val="en-US"/>
        </w:rPr>
        <w:t xml:space="preserve">FGR, </w:t>
      </w:r>
      <w:r w:rsidR="00A25C66" w:rsidRPr="007D47AD">
        <w:rPr>
          <w:rFonts w:asciiTheme="minorHAnsi" w:hAnsiTheme="minorHAnsi"/>
          <w:sz w:val="20"/>
          <w:szCs w:val="20"/>
          <w:lang w:val="en-US"/>
        </w:rPr>
        <w:t>are being validated within the FGR.</w:t>
      </w:r>
      <w:r w:rsidR="00C878BC" w:rsidRPr="007D47AD">
        <w:rPr>
          <w:rStyle w:val="FootnoteReference"/>
          <w:rFonts w:asciiTheme="minorHAnsi" w:hAnsiTheme="minorHAnsi"/>
          <w:sz w:val="20"/>
          <w:szCs w:val="20"/>
          <w:lang w:val="en-US"/>
        </w:rPr>
        <w:footnoteReference w:id="262"/>
      </w:r>
    </w:p>
    <w:p w:rsidR="00901176" w:rsidRPr="007D47AD" w:rsidRDefault="00901176" w:rsidP="00901176">
      <w:pPr>
        <w:shd w:val="clear" w:color="auto" w:fill="FFFFFF"/>
        <w:spacing w:after="0" w:line="240" w:lineRule="auto"/>
        <w:jc w:val="both"/>
        <w:rPr>
          <w:rFonts w:asciiTheme="minorHAnsi" w:hAnsiTheme="minorHAnsi"/>
          <w:color w:val="000000"/>
          <w:sz w:val="20"/>
          <w:szCs w:val="20"/>
          <w:lang w:val="en-US"/>
        </w:rPr>
      </w:pPr>
    </w:p>
    <w:p w:rsidR="00901176" w:rsidRPr="007D47AD" w:rsidRDefault="004B6FAF" w:rsidP="00901176">
      <w:pPr>
        <w:numPr>
          <w:ilvl w:val="0"/>
          <w:numId w:val="6"/>
        </w:numPr>
        <w:shd w:val="clear" w:color="auto" w:fill="FFFFFF"/>
        <w:spacing w:after="0" w:line="240" w:lineRule="auto"/>
        <w:ind w:left="0" w:firstLine="720"/>
        <w:jc w:val="both"/>
        <w:rPr>
          <w:rFonts w:asciiTheme="minorHAnsi" w:hAnsiTheme="minorHAnsi"/>
          <w:color w:val="000000"/>
          <w:sz w:val="20"/>
          <w:szCs w:val="20"/>
          <w:lang w:val="en-US"/>
        </w:rPr>
      </w:pPr>
      <w:r w:rsidRPr="007D47AD">
        <w:rPr>
          <w:rFonts w:asciiTheme="minorHAnsi" w:hAnsiTheme="minorHAnsi"/>
          <w:sz w:val="20"/>
          <w:szCs w:val="20"/>
          <w:lang w:val="en-US"/>
        </w:rPr>
        <w:t xml:space="preserve">In its observations on the draft of this report the State noted that the </w:t>
      </w:r>
      <w:r w:rsidR="00901176" w:rsidRPr="007D47AD">
        <w:rPr>
          <w:rFonts w:asciiTheme="minorHAnsi" w:hAnsiTheme="minorHAnsi"/>
          <w:color w:val="000000"/>
          <w:sz w:val="20"/>
          <w:szCs w:val="20"/>
          <w:lang w:val="en-US"/>
        </w:rPr>
        <w:t xml:space="preserve">FGR </w:t>
      </w:r>
      <w:r w:rsidRPr="007D47AD">
        <w:rPr>
          <w:rFonts w:asciiTheme="minorHAnsi" w:hAnsiTheme="minorHAnsi"/>
          <w:color w:val="000000"/>
          <w:sz w:val="20"/>
          <w:szCs w:val="20"/>
          <w:lang w:val="en-US"/>
        </w:rPr>
        <w:t>was preparing a proposal for institutional guidelines to prevent and investigate sexual harassment and stalking to replace the Protocol for preventing, responding to, and punishing sexual harassment and stalking.</w:t>
      </w:r>
      <w:r w:rsidR="00901176" w:rsidRPr="007D47AD">
        <w:rPr>
          <w:rStyle w:val="FootnoteReference"/>
          <w:rFonts w:asciiTheme="minorHAnsi" w:hAnsiTheme="minorHAnsi"/>
          <w:sz w:val="20"/>
          <w:szCs w:val="20"/>
          <w:lang w:val="en-US"/>
        </w:rPr>
        <w:footnoteReference w:id="263"/>
      </w:r>
    </w:p>
    <w:p w:rsidR="00C878BC" w:rsidRPr="007D47AD" w:rsidRDefault="00C878BC" w:rsidP="00C878BC">
      <w:pPr>
        <w:shd w:val="clear" w:color="auto" w:fill="FFFFFF"/>
        <w:spacing w:after="0"/>
        <w:ind w:firstLine="720"/>
        <w:jc w:val="both"/>
        <w:rPr>
          <w:rFonts w:asciiTheme="minorHAnsi" w:hAnsiTheme="minorHAnsi"/>
          <w:color w:val="000000"/>
          <w:sz w:val="20"/>
          <w:szCs w:val="20"/>
          <w:lang w:val="en-US"/>
        </w:rPr>
      </w:pPr>
    </w:p>
    <w:p w:rsidR="00C878BC" w:rsidRPr="007D47AD" w:rsidRDefault="00A25C66" w:rsidP="00A25C66">
      <w:pPr>
        <w:numPr>
          <w:ilvl w:val="0"/>
          <w:numId w:val="6"/>
        </w:numPr>
        <w:shd w:val="clear" w:color="auto" w:fill="FFFFFF"/>
        <w:spacing w:after="0" w:line="240" w:lineRule="auto"/>
        <w:ind w:left="0" w:firstLine="720"/>
        <w:jc w:val="both"/>
        <w:rPr>
          <w:rStyle w:val="m002d8320586899623630245numberedparagraphschar"/>
          <w:rFonts w:asciiTheme="minorHAnsi" w:hAnsiTheme="minorHAnsi"/>
          <w:color w:val="000000"/>
          <w:sz w:val="20"/>
          <w:szCs w:val="20"/>
          <w:lang w:val="en-US"/>
        </w:rPr>
      </w:pPr>
      <w:r w:rsidRPr="007D47AD">
        <w:rPr>
          <w:rFonts w:asciiTheme="minorHAnsi" w:hAnsiTheme="minorHAnsi"/>
          <w:color w:val="000000"/>
          <w:sz w:val="20"/>
          <w:szCs w:val="20"/>
          <w:lang w:val="en-US"/>
        </w:rPr>
        <w:t xml:space="preserve">The Commission observes this information in a positive light and calls on the State to continue its efforts to ensure that the adoption of those protocols </w:t>
      </w:r>
      <w:r w:rsidR="00214C39" w:rsidRPr="007D47AD">
        <w:rPr>
          <w:rFonts w:asciiTheme="minorHAnsi" w:hAnsiTheme="minorHAnsi"/>
          <w:color w:val="000000"/>
          <w:sz w:val="20"/>
          <w:szCs w:val="20"/>
          <w:lang w:val="en-US"/>
        </w:rPr>
        <w:t>are</w:t>
      </w:r>
      <w:r w:rsidRPr="007D47AD">
        <w:rPr>
          <w:rFonts w:asciiTheme="minorHAnsi" w:hAnsiTheme="minorHAnsi"/>
          <w:color w:val="000000"/>
          <w:sz w:val="20"/>
          <w:szCs w:val="20"/>
          <w:lang w:val="en-US"/>
        </w:rPr>
        <w:t xml:space="preserve"> national in scope, </w:t>
      </w:r>
      <w:r w:rsidR="00C878BC" w:rsidRPr="007D47AD">
        <w:rPr>
          <w:rFonts w:asciiTheme="minorHAnsi" w:hAnsiTheme="minorHAnsi"/>
          <w:color w:val="000000"/>
          <w:sz w:val="20"/>
          <w:szCs w:val="20"/>
          <w:lang w:val="en-US"/>
        </w:rPr>
        <w:t>especial</w:t>
      </w:r>
      <w:r w:rsidRPr="007D47AD">
        <w:rPr>
          <w:rFonts w:asciiTheme="minorHAnsi" w:hAnsiTheme="minorHAnsi"/>
          <w:color w:val="000000"/>
          <w:sz w:val="20"/>
          <w:szCs w:val="20"/>
          <w:lang w:val="en-US"/>
        </w:rPr>
        <w:t xml:space="preserve">ly the </w:t>
      </w:r>
      <w:r w:rsidR="00C878BC" w:rsidRPr="007D47AD">
        <w:rPr>
          <w:rFonts w:asciiTheme="minorHAnsi" w:hAnsiTheme="minorHAnsi"/>
          <w:color w:val="000000"/>
          <w:sz w:val="20"/>
          <w:szCs w:val="20"/>
          <w:lang w:val="en-US"/>
        </w:rPr>
        <w:t xml:space="preserve">protocol </w:t>
      </w:r>
      <w:r w:rsidRPr="007D47AD">
        <w:rPr>
          <w:rFonts w:asciiTheme="minorHAnsi" w:hAnsiTheme="minorHAnsi"/>
          <w:color w:val="000000"/>
          <w:sz w:val="20"/>
          <w:szCs w:val="20"/>
          <w:lang w:val="en-US"/>
        </w:rPr>
        <w:t xml:space="preserve">on </w:t>
      </w:r>
      <w:r w:rsidR="00C878BC" w:rsidRPr="007D47AD">
        <w:rPr>
          <w:rFonts w:asciiTheme="minorHAnsi" w:hAnsiTheme="minorHAnsi"/>
          <w:color w:val="000000"/>
          <w:sz w:val="20"/>
          <w:szCs w:val="20"/>
          <w:lang w:val="en-US"/>
        </w:rPr>
        <w:t>feminicid</w:t>
      </w:r>
      <w:r w:rsidRPr="007D47AD">
        <w:rPr>
          <w:rFonts w:asciiTheme="minorHAnsi" w:hAnsiTheme="minorHAnsi"/>
          <w:color w:val="000000"/>
          <w:sz w:val="20"/>
          <w:szCs w:val="20"/>
          <w:lang w:val="en-US"/>
        </w:rPr>
        <w:t>e</w:t>
      </w:r>
      <w:r w:rsidR="00C878BC" w:rsidRPr="007D47AD">
        <w:rPr>
          <w:rFonts w:asciiTheme="minorHAnsi" w:hAnsiTheme="minorHAnsi"/>
          <w:color w:val="000000"/>
          <w:sz w:val="20"/>
          <w:szCs w:val="20"/>
          <w:lang w:val="en-US"/>
        </w:rPr>
        <w:t xml:space="preserve">; </w:t>
      </w:r>
      <w:r w:rsidRPr="007D47AD">
        <w:rPr>
          <w:rFonts w:asciiTheme="minorHAnsi" w:hAnsiTheme="minorHAnsi"/>
          <w:color w:val="000000"/>
          <w:sz w:val="20"/>
          <w:szCs w:val="20"/>
          <w:lang w:val="en-US"/>
        </w:rPr>
        <w:t xml:space="preserve">to guarantee the effective implementation of all of them; to reinforce the mechanisms for monitoring and </w:t>
      </w:r>
      <w:r w:rsidR="00C878BC" w:rsidRPr="007D47AD">
        <w:rPr>
          <w:rFonts w:asciiTheme="minorHAnsi" w:hAnsiTheme="minorHAnsi"/>
          <w:color w:val="000000"/>
          <w:sz w:val="20"/>
          <w:szCs w:val="20"/>
          <w:lang w:val="en-US"/>
        </w:rPr>
        <w:t>supervisi</w:t>
      </w:r>
      <w:r w:rsidRPr="007D47AD">
        <w:rPr>
          <w:rFonts w:asciiTheme="minorHAnsi" w:hAnsiTheme="minorHAnsi"/>
          <w:color w:val="000000"/>
          <w:sz w:val="20"/>
          <w:szCs w:val="20"/>
          <w:lang w:val="en-US"/>
        </w:rPr>
        <w:t xml:space="preserve">ng their implementation; and </w:t>
      </w:r>
      <w:r w:rsidR="00214C39" w:rsidRPr="007D47AD">
        <w:rPr>
          <w:rFonts w:asciiTheme="minorHAnsi" w:hAnsiTheme="minorHAnsi"/>
          <w:color w:val="000000"/>
          <w:sz w:val="20"/>
          <w:szCs w:val="20"/>
          <w:lang w:val="en-US"/>
        </w:rPr>
        <w:t xml:space="preserve">to </w:t>
      </w:r>
      <w:r w:rsidRPr="007D47AD">
        <w:rPr>
          <w:rFonts w:asciiTheme="minorHAnsi" w:hAnsiTheme="minorHAnsi"/>
          <w:color w:val="000000"/>
          <w:sz w:val="20"/>
          <w:szCs w:val="20"/>
          <w:lang w:val="en-US"/>
        </w:rPr>
        <w:t xml:space="preserve">inform the IACHR of those actions. Based on the foregoing, the IACHR observes that the recommendation continues to meet with partial compliance. </w:t>
      </w:r>
    </w:p>
    <w:p w:rsidR="00C878BC" w:rsidRPr="007D47AD" w:rsidRDefault="00C878BC" w:rsidP="00C878BC">
      <w:pPr>
        <w:shd w:val="clear" w:color="auto" w:fill="FFFFFF"/>
        <w:spacing w:after="0"/>
        <w:ind w:firstLine="720"/>
        <w:jc w:val="both"/>
        <w:rPr>
          <w:rStyle w:val="m002d8320586899623630245numberedparagraphschar"/>
          <w:rFonts w:asciiTheme="minorHAnsi" w:hAnsiTheme="minorHAnsi"/>
          <w:b/>
          <w:bCs/>
          <w:i/>
          <w:iCs/>
          <w:color w:val="000000"/>
          <w:sz w:val="20"/>
          <w:szCs w:val="20"/>
          <w:lang w:val="en-US"/>
        </w:rPr>
      </w:pPr>
    </w:p>
    <w:p w:rsidR="00C878BC" w:rsidRPr="007D47AD" w:rsidRDefault="00A25C66" w:rsidP="00C878BC">
      <w:pPr>
        <w:numPr>
          <w:ilvl w:val="0"/>
          <w:numId w:val="6"/>
        </w:numPr>
        <w:shd w:val="clear" w:color="auto" w:fill="FFFFFF"/>
        <w:spacing w:after="0" w:line="240" w:lineRule="auto"/>
        <w:ind w:left="0" w:firstLine="720"/>
        <w:jc w:val="both"/>
        <w:rPr>
          <w:rFonts w:asciiTheme="minorHAnsi" w:hAnsiTheme="minorHAnsi"/>
          <w:lang w:val="en-US"/>
        </w:rPr>
      </w:pPr>
      <w:r w:rsidRPr="007D47AD">
        <w:rPr>
          <w:rFonts w:asciiTheme="minorHAnsi" w:hAnsiTheme="minorHAnsi"/>
          <w:color w:val="000000"/>
          <w:sz w:val="20"/>
          <w:szCs w:val="20"/>
          <w:lang w:val="en-US"/>
        </w:rPr>
        <w:lastRenderedPageBreak/>
        <w:t>With respect to</w:t>
      </w:r>
      <w:r w:rsidR="00C02FE9" w:rsidRPr="007D47AD">
        <w:rPr>
          <w:rFonts w:asciiTheme="minorHAnsi" w:hAnsiTheme="minorHAnsi"/>
          <w:color w:val="000000"/>
          <w:sz w:val="20"/>
          <w:szCs w:val="20"/>
          <w:lang w:val="en-US"/>
        </w:rPr>
        <w:t xml:space="preserve"> the recommendation to </w:t>
      </w:r>
      <w:r w:rsidR="00C878BC" w:rsidRPr="007D47AD">
        <w:rPr>
          <w:rFonts w:asciiTheme="minorHAnsi" w:hAnsiTheme="minorHAnsi"/>
          <w:b/>
          <w:color w:val="000000"/>
          <w:sz w:val="20"/>
          <w:szCs w:val="20"/>
          <w:lang w:val="en-US"/>
        </w:rPr>
        <w:t>adop</w:t>
      </w:r>
      <w:r w:rsidR="00C02FE9" w:rsidRPr="007D47AD">
        <w:rPr>
          <w:rFonts w:asciiTheme="minorHAnsi" w:hAnsiTheme="minorHAnsi"/>
          <w:b/>
          <w:color w:val="000000"/>
          <w:sz w:val="20"/>
          <w:szCs w:val="20"/>
          <w:lang w:val="en-US"/>
        </w:rPr>
        <w:t>t public policies aimed at restructuring stereotypes regarding the role of women in society and promote the eradication of socio-cultural patterns of discrimination that impede their access to justice</w:t>
      </w:r>
      <w:r w:rsidR="00C878BC" w:rsidRPr="007D47AD">
        <w:rPr>
          <w:rFonts w:asciiTheme="minorHAnsi" w:hAnsiTheme="minorHAnsi"/>
          <w:b/>
          <w:color w:val="000000"/>
          <w:sz w:val="20"/>
          <w:szCs w:val="20"/>
          <w:lang w:val="en-US"/>
        </w:rPr>
        <w:t xml:space="preserve">, </w:t>
      </w:r>
      <w:r w:rsidRPr="007D47AD">
        <w:rPr>
          <w:rFonts w:asciiTheme="minorHAnsi" w:hAnsiTheme="minorHAnsi"/>
          <w:bCs/>
          <w:color w:val="000000"/>
          <w:sz w:val="20"/>
          <w:szCs w:val="20"/>
          <w:lang w:val="en-US"/>
        </w:rPr>
        <w:t xml:space="preserve">the Commission was informed of the drawing up of the National Program for Equality between Women and Men </w:t>
      </w:r>
      <w:r w:rsidR="00C878BC" w:rsidRPr="007D47AD">
        <w:rPr>
          <w:rFonts w:asciiTheme="minorHAnsi" w:hAnsiTheme="minorHAnsi"/>
          <w:bCs/>
          <w:color w:val="000000"/>
          <w:sz w:val="20"/>
          <w:szCs w:val="20"/>
          <w:lang w:val="en-US"/>
        </w:rPr>
        <w:t xml:space="preserve">2019-2024 (PROIGUALDAD), </w:t>
      </w:r>
      <w:r w:rsidRPr="007D47AD">
        <w:rPr>
          <w:rFonts w:asciiTheme="minorHAnsi" w:hAnsiTheme="minorHAnsi"/>
          <w:bCs/>
          <w:color w:val="000000"/>
          <w:sz w:val="20"/>
          <w:szCs w:val="20"/>
          <w:lang w:val="en-US"/>
        </w:rPr>
        <w:t>which includes as a priority line giving impetus to the transformation of sociocultural behaviors and norms for fostering a culture free from violence and discrimination against women and girls, with a gender and intersectional perspective.</w:t>
      </w:r>
      <w:r w:rsidR="00901176" w:rsidRPr="007D47AD">
        <w:rPr>
          <w:rStyle w:val="FootnoteReference"/>
          <w:rFonts w:asciiTheme="minorHAnsi" w:hAnsiTheme="minorHAnsi"/>
          <w:bCs/>
          <w:color w:val="000000"/>
          <w:sz w:val="20"/>
          <w:szCs w:val="20"/>
          <w:lang w:val="en-US"/>
        </w:rPr>
        <w:footnoteReference w:id="264"/>
      </w:r>
      <w:r w:rsidR="00901176" w:rsidRPr="007D47AD">
        <w:rPr>
          <w:rFonts w:asciiTheme="minorHAnsi" w:hAnsiTheme="minorHAnsi"/>
          <w:bCs/>
          <w:color w:val="000000"/>
          <w:sz w:val="20"/>
          <w:szCs w:val="20"/>
          <w:lang w:val="en-US"/>
        </w:rPr>
        <w:t xml:space="preserve">  </w:t>
      </w:r>
      <w:r w:rsidR="004B6FAF" w:rsidRPr="007D47AD">
        <w:rPr>
          <w:rFonts w:asciiTheme="minorHAnsi" w:hAnsiTheme="minorHAnsi"/>
          <w:bCs/>
          <w:color w:val="000000"/>
          <w:sz w:val="20"/>
          <w:szCs w:val="20"/>
          <w:lang w:val="en-US"/>
        </w:rPr>
        <w:t>In its observations on the draft of this report the State added that said plan is still awaiting an opinion from the Ministry of Finance and Public Credit.</w:t>
      </w:r>
      <w:r w:rsidR="00901176" w:rsidRPr="007D47AD">
        <w:rPr>
          <w:rStyle w:val="FootnoteReference"/>
          <w:rFonts w:asciiTheme="minorHAnsi" w:hAnsiTheme="minorHAnsi"/>
          <w:sz w:val="20"/>
          <w:szCs w:val="20"/>
          <w:lang w:val="en-US"/>
        </w:rPr>
        <w:footnoteReference w:id="265"/>
      </w:r>
      <w:r w:rsidR="00901176" w:rsidRPr="007D47AD">
        <w:rPr>
          <w:rFonts w:asciiTheme="minorHAnsi" w:hAnsiTheme="minorHAnsi"/>
          <w:bCs/>
          <w:color w:val="000000"/>
          <w:sz w:val="20"/>
          <w:szCs w:val="20"/>
          <w:lang w:val="en-US"/>
        </w:rPr>
        <w:t xml:space="preserve"> </w:t>
      </w:r>
      <w:r w:rsidR="00C878BC" w:rsidRPr="007D47AD">
        <w:rPr>
          <w:rFonts w:asciiTheme="minorHAnsi" w:hAnsiTheme="minorHAnsi"/>
          <w:bCs/>
          <w:color w:val="000000"/>
          <w:sz w:val="20"/>
          <w:szCs w:val="20"/>
          <w:lang w:val="en-US"/>
        </w:rPr>
        <w:t xml:space="preserve"> </w:t>
      </w:r>
      <w:r w:rsidR="009D4026" w:rsidRPr="007D47AD">
        <w:rPr>
          <w:rFonts w:asciiTheme="minorHAnsi" w:hAnsiTheme="minorHAnsi"/>
          <w:bCs/>
          <w:color w:val="000000"/>
          <w:sz w:val="20"/>
          <w:szCs w:val="20"/>
          <w:lang w:val="en-US"/>
        </w:rPr>
        <w:t xml:space="preserve">In addition, </w:t>
      </w:r>
      <w:r w:rsidR="00C878BC" w:rsidRPr="007D47AD">
        <w:rPr>
          <w:rFonts w:asciiTheme="minorHAnsi" w:hAnsiTheme="minorHAnsi"/>
          <w:sz w:val="20"/>
          <w:szCs w:val="20"/>
          <w:lang w:val="en-US"/>
        </w:rPr>
        <w:t xml:space="preserve">INMUJERES </w:t>
      </w:r>
      <w:r w:rsidR="009D4026" w:rsidRPr="007D47AD">
        <w:rPr>
          <w:rFonts w:asciiTheme="minorHAnsi" w:hAnsiTheme="minorHAnsi"/>
          <w:sz w:val="20"/>
          <w:szCs w:val="20"/>
          <w:lang w:val="en-US"/>
        </w:rPr>
        <w:t xml:space="preserve">promotes various campaigns such as </w:t>
      </w:r>
      <w:r w:rsidR="00C878BC" w:rsidRPr="007D47AD">
        <w:rPr>
          <w:rFonts w:asciiTheme="minorHAnsi" w:hAnsiTheme="minorHAnsi"/>
          <w:sz w:val="20"/>
          <w:szCs w:val="20"/>
          <w:lang w:val="en-US"/>
        </w:rPr>
        <w:t>“</w:t>
      </w:r>
      <w:r w:rsidR="00E42493" w:rsidRPr="007D47AD">
        <w:rPr>
          <w:rFonts w:asciiTheme="minorHAnsi" w:hAnsiTheme="minorHAnsi"/>
          <w:sz w:val="20"/>
          <w:szCs w:val="20"/>
          <w:lang w:val="en-US"/>
        </w:rPr>
        <w:t xml:space="preserve">November </w:t>
      </w:r>
      <w:r w:rsidR="00C878BC" w:rsidRPr="007D47AD">
        <w:rPr>
          <w:rFonts w:asciiTheme="minorHAnsi" w:hAnsiTheme="minorHAnsi"/>
          <w:sz w:val="20"/>
          <w:szCs w:val="20"/>
          <w:lang w:val="en-US"/>
        </w:rPr>
        <w:t xml:space="preserve">25. </w:t>
      </w:r>
      <w:r w:rsidR="00E42493" w:rsidRPr="007D47AD">
        <w:rPr>
          <w:rFonts w:asciiTheme="minorHAnsi" w:hAnsiTheme="minorHAnsi"/>
          <w:sz w:val="20"/>
          <w:szCs w:val="20"/>
          <w:lang w:val="en-US"/>
        </w:rPr>
        <w:t>Fighting gender violence</w:t>
      </w:r>
      <w:r w:rsidR="009D4026" w:rsidRPr="007D47AD">
        <w:rPr>
          <w:rFonts w:asciiTheme="minorHAnsi" w:hAnsiTheme="minorHAnsi"/>
          <w:sz w:val="20"/>
          <w:szCs w:val="20"/>
          <w:lang w:val="en-US"/>
        </w:rPr>
        <w:t>,</w:t>
      </w:r>
      <w:r w:rsidR="00C878BC" w:rsidRPr="007D47AD">
        <w:rPr>
          <w:rFonts w:asciiTheme="minorHAnsi" w:hAnsiTheme="minorHAnsi"/>
          <w:sz w:val="20"/>
          <w:szCs w:val="20"/>
          <w:lang w:val="en-US"/>
        </w:rPr>
        <w:t>” “</w:t>
      </w:r>
      <w:r w:rsidR="00E42493" w:rsidRPr="007D47AD">
        <w:rPr>
          <w:rFonts w:asciiTheme="minorHAnsi" w:hAnsiTheme="minorHAnsi"/>
          <w:sz w:val="20"/>
          <w:szCs w:val="20"/>
          <w:lang w:val="en-US"/>
        </w:rPr>
        <w:t>Fight violence. Live without violence</w:t>
      </w:r>
      <w:r w:rsidR="009D4026" w:rsidRPr="007D47AD">
        <w:rPr>
          <w:rFonts w:asciiTheme="minorHAnsi" w:hAnsiTheme="minorHAnsi"/>
          <w:sz w:val="20"/>
          <w:szCs w:val="20"/>
          <w:lang w:val="en-US"/>
        </w:rPr>
        <w:t>,</w:t>
      </w:r>
      <w:r w:rsidR="00C878BC" w:rsidRPr="007D47AD">
        <w:rPr>
          <w:rFonts w:asciiTheme="minorHAnsi" w:hAnsiTheme="minorHAnsi"/>
          <w:sz w:val="20"/>
          <w:szCs w:val="20"/>
          <w:lang w:val="en-US"/>
        </w:rPr>
        <w:t xml:space="preserve">” </w:t>
      </w:r>
      <w:r w:rsidR="009D4026" w:rsidRPr="007D47AD">
        <w:rPr>
          <w:rFonts w:asciiTheme="minorHAnsi" w:hAnsiTheme="minorHAnsi"/>
          <w:sz w:val="20"/>
          <w:szCs w:val="20"/>
          <w:lang w:val="en-US"/>
        </w:rPr>
        <w:t xml:space="preserve">and </w:t>
      </w:r>
      <w:r w:rsidR="00C878BC" w:rsidRPr="007D47AD">
        <w:rPr>
          <w:rFonts w:asciiTheme="minorHAnsi" w:hAnsiTheme="minorHAnsi"/>
          <w:sz w:val="20"/>
          <w:szCs w:val="20"/>
          <w:lang w:val="en-US"/>
        </w:rPr>
        <w:t>“</w:t>
      </w:r>
      <w:r w:rsidR="00E42493" w:rsidRPr="007D47AD">
        <w:rPr>
          <w:rFonts w:asciiTheme="minorHAnsi" w:hAnsiTheme="minorHAnsi"/>
          <w:sz w:val="20"/>
          <w:szCs w:val="20"/>
          <w:lang w:val="en-US"/>
        </w:rPr>
        <w:t>For your rights. Dating without violence,</w:t>
      </w:r>
      <w:r w:rsidR="00C878BC" w:rsidRPr="007D47AD">
        <w:rPr>
          <w:rFonts w:asciiTheme="minorHAnsi" w:hAnsiTheme="minorHAnsi"/>
          <w:sz w:val="20"/>
          <w:szCs w:val="20"/>
          <w:lang w:val="en-US"/>
        </w:rPr>
        <w:t xml:space="preserve">” </w:t>
      </w:r>
      <w:r w:rsidR="009D4026" w:rsidRPr="007D47AD">
        <w:rPr>
          <w:rFonts w:asciiTheme="minorHAnsi" w:hAnsiTheme="minorHAnsi"/>
          <w:sz w:val="20"/>
          <w:szCs w:val="20"/>
          <w:lang w:val="en-US"/>
        </w:rPr>
        <w:t xml:space="preserve">as well as </w:t>
      </w:r>
      <w:r w:rsidR="00C878BC" w:rsidRPr="007D47AD">
        <w:rPr>
          <w:rFonts w:asciiTheme="minorHAnsi" w:hAnsiTheme="minorHAnsi"/>
          <w:sz w:val="20"/>
          <w:szCs w:val="20"/>
          <w:lang w:val="en-US"/>
        </w:rPr>
        <w:t>“</w:t>
      </w:r>
      <w:r w:rsidR="00E42493" w:rsidRPr="007D47AD">
        <w:rPr>
          <w:rFonts w:asciiTheme="minorHAnsi" w:hAnsiTheme="minorHAnsi"/>
          <w:sz w:val="20"/>
          <w:szCs w:val="20"/>
          <w:lang w:val="en-US"/>
        </w:rPr>
        <w:t>In search of equality, for your rights</w:t>
      </w:r>
      <w:r w:rsidR="009D4026" w:rsidRPr="007D47AD">
        <w:rPr>
          <w:rFonts w:asciiTheme="minorHAnsi" w:hAnsiTheme="minorHAnsi"/>
          <w:sz w:val="20"/>
          <w:szCs w:val="20"/>
          <w:lang w:val="en-US"/>
        </w:rPr>
        <w:t>,</w:t>
      </w:r>
      <w:r w:rsidR="00C878BC" w:rsidRPr="007D47AD">
        <w:rPr>
          <w:rFonts w:asciiTheme="minorHAnsi" w:hAnsiTheme="minorHAnsi"/>
          <w:sz w:val="20"/>
          <w:szCs w:val="20"/>
          <w:lang w:val="en-US"/>
        </w:rPr>
        <w:t xml:space="preserve">” </w:t>
      </w:r>
      <w:r w:rsidR="009D4026" w:rsidRPr="007D47AD">
        <w:rPr>
          <w:rFonts w:asciiTheme="minorHAnsi" w:hAnsiTheme="minorHAnsi"/>
          <w:sz w:val="20"/>
          <w:szCs w:val="20"/>
          <w:lang w:val="en-US"/>
        </w:rPr>
        <w:t>in different versions. The campaigns seek to raise awareness in society to do away with gender stereotypes and roles, promoting a framework of relations of equality as between women and men, and girls and boys.</w:t>
      </w:r>
      <w:r w:rsidR="00C878BC" w:rsidRPr="007D47AD">
        <w:rPr>
          <w:rStyle w:val="FootnoteReference"/>
          <w:rFonts w:asciiTheme="minorHAnsi" w:hAnsiTheme="minorHAnsi"/>
          <w:sz w:val="20"/>
          <w:szCs w:val="20"/>
          <w:lang w:val="en-US"/>
        </w:rPr>
        <w:footnoteReference w:id="266"/>
      </w:r>
      <w:r w:rsidR="00901176" w:rsidRPr="007D47AD">
        <w:rPr>
          <w:rFonts w:asciiTheme="minorHAnsi" w:hAnsiTheme="minorHAnsi"/>
          <w:sz w:val="20"/>
          <w:szCs w:val="20"/>
          <w:lang w:val="en-US"/>
        </w:rPr>
        <w:t xml:space="preserve"> </w:t>
      </w:r>
      <w:r w:rsidR="004B6FAF" w:rsidRPr="007D47AD">
        <w:rPr>
          <w:rFonts w:asciiTheme="minorHAnsi" w:hAnsiTheme="minorHAnsi"/>
          <w:sz w:val="20"/>
          <w:szCs w:val="20"/>
          <w:lang w:val="en-US"/>
        </w:rPr>
        <w:t>In</w:t>
      </w:r>
      <w:r w:rsidR="00901176" w:rsidRPr="007D47AD">
        <w:rPr>
          <w:rFonts w:asciiTheme="minorHAnsi" w:hAnsiTheme="minorHAnsi"/>
          <w:sz w:val="20"/>
          <w:szCs w:val="20"/>
          <w:lang w:val="en-US"/>
        </w:rPr>
        <w:t xml:space="preserve"> </w:t>
      </w:r>
      <w:r w:rsidR="004B6FAF" w:rsidRPr="007D47AD">
        <w:rPr>
          <w:rFonts w:asciiTheme="minorHAnsi" w:hAnsiTheme="minorHAnsi"/>
          <w:sz w:val="20"/>
          <w:szCs w:val="20"/>
          <w:lang w:val="en-US"/>
        </w:rPr>
        <w:t>its observations on the draft of this report the State reported that it is seeking to implement a “feminist foreign policy” to give visibility to women’s contributions to foreign policy and global actions.</w:t>
      </w:r>
      <w:r w:rsidR="00901176" w:rsidRPr="007D47AD">
        <w:rPr>
          <w:rStyle w:val="FootnoteReference"/>
          <w:rFonts w:asciiTheme="minorHAnsi" w:hAnsiTheme="minorHAnsi"/>
          <w:sz w:val="20"/>
          <w:szCs w:val="20"/>
          <w:lang w:val="en-US"/>
        </w:rPr>
        <w:footnoteReference w:id="267"/>
      </w:r>
    </w:p>
    <w:p w:rsidR="00C878BC" w:rsidRPr="007D47AD" w:rsidRDefault="00C878BC" w:rsidP="00C878BC">
      <w:pPr>
        <w:shd w:val="clear" w:color="auto" w:fill="FFFFFF"/>
        <w:spacing w:after="0"/>
        <w:ind w:firstLine="720"/>
        <w:jc w:val="both"/>
        <w:rPr>
          <w:rFonts w:asciiTheme="minorHAnsi" w:hAnsiTheme="minorHAnsi"/>
          <w:color w:val="000000"/>
          <w:sz w:val="20"/>
          <w:szCs w:val="20"/>
          <w:lang w:val="en-US"/>
        </w:rPr>
      </w:pPr>
    </w:p>
    <w:p w:rsidR="003A1482" w:rsidRPr="007D47AD" w:rsidRDefault="002615E7" w:rsidP="002615E7">
      <w:pPr>
        <w:numPr>
          <w:ilvl w:val="0"/>
          <w:numId w:val="6"/>
        </w:numPr>
        <w:shd w:val="clear" w:color="auto" w:fill="FFFFFF"/>
        <w:spacing w:after="0" w:line="240" w:lineRule="auto"/>
        <w:ind w:left="0" w:firstLine="720"/>
        <w:jc w:val="both"/>
        <w:rPr>
          <w:rFonts w:asciiTheme="minorHAnsi" w:hAnsiTheme="minorHAnsi"/>
          <w:lang w:val="en-US"/>
        </w:rPr>
      </w:pPr>
      <w:r w:rsidRPr="007D47AD">
        <w:rPr>
          <w:rFonts w:asciiTheme="minorHAnsi" w:hAnsiTheme="minorHAnsi"/>
          <w:sz w:val="20"/>
          <w:szCs w:val="20"/>
          <w:lang w:val="en-US"/>
        </w:rPr>
        <w:t>The IACHR closely observed the declaration of the Mexico City Human Rights Commission (CDHDF), in which it expressed the urgency of guaranteeing the political participation and consultation of Afro-Mexican women in the process of generating secondary legislation derived from the Political Constitution of Mexico City; In order to eradicate racial discrimination, racism and related forms of intolerance that hinder the fundamental rights of Afro-Mexican women, promoting the inclusion of the gender perspective in government policies, programmes and actions aimed at addressing the multiple forms of discrimination of which they are part of</w:t>
      </w:r>
      <w:r w:rsidR="003A1482" w:rsidRPr="007D47AD">
        <w:rPr>
          <w:rStyle w:val="FootnoteReference"/>
          <w:rFonts w:asciiTheme="minorHAnsi" w:hAnsiTheme="minorHAnsi"/>
          <w:sz w:val="20"/>
          <w:szCs w:val="20"/>
          <w:lang w:val="es-US"/>
        </w:rPr>
        <w:footnoteReference w:id="268"/>
      </w:r>
      <w:r w:rsidR="003A1482" w:rsidRPr="007D47AD">
        <w:rPr>
          <w:rFonts w:asciiTheme="minorHAnsi" w:hAnsiTheme="minorHAnsi"/>
          <w:sz w:val="20"/>
          <w:szCs w:val="20"/>
          <w:lang w:val="en-US"/>
        </w:rPr>
        <w:t xml:space="preserve">. </w:t>
      </w:r>
    </w:p>
    <w:p w:rsidR="003A1482" w:rsidRPr="007D47AD" w:rsidRDefault="003A1482" w:rsidP="003A1482">
      <w:pPr>
        <w:pStyle w:val="ListParagraph"/>
        <w:rPr>
          <w:rFonts w:asciiTheme="minorHAnsi" w:hAnsiTheme="minorHAnsi"/>
          <w:color w:val="000000"/>
          <w:sz w:val="20"/>
          <w:szCs w:val="20"/>
          <w:lang w:val="en-US"/>
        </w:rPr>
      </w:pPr>
    </w:p>
    <w:p w:rsidR="00FA7B3C" w:rsidRPr="007D47AD" w:rsidRDefault="009D4026" w:rsidP="00901176">
      <w:pPr>
        <w:numPr>
          <w:ilvl w:val="0"/>
          <w:numId w:val="6"/>
        </w:numPr>
        <w:shd w:val="clear" w:color="auto" w:fill="FFFFFF"/>
        <w:spacing w:after="0" w:line="240" w:lineRule="auto"/>
        <w:ind w:left="0" w:firstLine="720"/>
        <w:jc w:val="both"/>
        <w:rPr>
          <w:rFonts w:asciiTheme="minorHAnsi" w:hAnsiTheme="minorHAnsi"/>
          <w:color w:val="000000"/>
          <w:sz w:val="20"/>
          <w:szCs w:val="20"/>
          <w:lang w:val="en-US"/>
        </w:rPr>
      </w:pPr>
      <w:r w:rsidRPr="007D47AD">
        <w:rPr>
          <w:rFonts w:asciiTheme="minorHAnsi" w:hAnsiTheme="minorHAnsi"/>
          <w:color w:val="000000"/>
          <w:sz w:val="20"/>
          <w:szCs w:val="20"/>
          <w:lang w:val="en-US"/>
        </w:rPr>
        <w:t xml:space="preserve">The IACHR has positively embraced the drawing up of a constitutional amendment on parity in public offices as between women and women, which represents a major step forward. Nonetheless, structural changes are still needed for women to have real and effective parity participation, i.e. it not only implies that women are </w:t>
      </w:r>
      <w:r w:rsidR="00C878BC" w:rsidRPr="007D47AD">
        <w:rPr>
          <w:rFonts w:asciiTheme="minorHAnsi" w:hAnsiTheme="minorHAnsi"/>
          <w:color w:val="000000"/>
          <w:sz w:val="20"/>
          <w:szCs w:val="20"/>
          <w:lang w:val="en-US"/>
        </w:rPr>
        <w:t xml:space="preserve">50% </w:t>
      </w:r>
      <w:r w:rsidRPr="007D47AD">
        <w:rPr>
          <w:rFonts w:asciiTheme="minorHAnsi" w:hAnsiTheme="minorHAnsi"/>
          <w:color w:val="000000"/>
          <w:sz w:val="20"/>
          <w:szCs w:val="20"/>
          <w:lang w:val="en-US"/>
        </w:rPr>
        <w:t>of those who make the decisions, but that they do so without any discrimination or violence.</w:t>
      </w:r>
      <w:r w:rsidR="00C878BC" w:rsidRPr="007D47AD">
        <w:rPr>
          <w:rStyle w:val="FootnoteReference"/>
          <w:rFonts w:asciiTheme="minorHAnsi" w:hAnsiTheme="minorHAnsi"/>
          <w:color w:val="000000"/>
          <w:sz w:val="20"/>
          <w:szCs w:val="20"/>
          <w:lang w:val="en-US"/>
        </w:rPr>
        <w:footnoteReference w:id="269"/>
      </w:r>
      <w:r w:rsidR="00FA7B3C" w:rsidRPr="007D47AD">
        <w:rPr>
          <w:rFonts w:asciiTheme="minorHAnsi" w:hAnsiTheme="minorHAnsi"/>
          <w:color w:val="000000"/>
          <w:sz w:val="20"/>
          <w:szCs w:val="20"/>
          <w:lang w:val="en-US"/>
        </w:rPr>
        <w:t xml:space="preserve"> </w:t>
      </w:r>
      <w:r w:rsidR="004B6FAF" w:rsidRPr="007D47AD">
        <w:rPr>
          <w:rFonts w:asciiTheme="minorHAnsi" w:hAnsiTheme="minorHAnsi"/>
          <w:sz w:val="20"/>
          <w:szCs w:val="20"/>
          <w:lang w:val="en-US"/>
        </w:rPr>
        <w:t>I</w:t>
      </w:r>
      <w:r w:rsidR="00901176" w:rsidRPr="007D47AD">
        <w:rPr>
          <w:rFonts w:asciiTheme="minorHAnsi" w:hAnsiTheme="minorHAnsi"/>
          <w:sz w:val="20"/>
          <w:szCs w:val="20"/>
          <w:lang w:val="en-US"/>
        </w:rPr>
        <w:t xml:space="preserve">n </w:t>
      </w:r>
      <w:r w:rsidR="004B6FAF" w:rsidRPr="007D47AD">
        <w:rPr>
          <w:rFonts w:asciiTheme="minorHAnsi" w:hAnsiTheme="minorHAnsi"/>
          <w:sz w:val="20"/>
          <w:szCs w:val="20"/>
          <w:lang w:val="en-US"/>
        </w:rPr>
        <w:t>its observations on the draft of this report</w:t>
      </w:r>
      <w:r w:rsidR="00790ECA" w:rsidRPr="007D47AD">
        <w:rPr>
          <w:rFonts w:asciiTheme="minorHAnsi" w:hAnsiTheme="minorHAnsi"/>
          <w:sz w:val="20"/>
          <w:szCs w:val="20"/>
          <w:lang w:val="en-US"/>
        </w:rPr>
        <w:t xml:space="preserve"> </w:t>
      </w:r>
      <w:r w:rsidR="004B6FAF" w:rsidRPr="007D47AD">
        <w:rPr>
          <w:rFonts w:asciiTheme="minorHAnsi" w:hAnsiTheme="minorHAnsi"/>
          <w:sz w:val="20"/>
          <w:szCs w:val="20"/>
          <w:lang w:val="en-US"/>
        </w:rPr>
        <w:t xml:space="preserve">the State reported </w:t>
      </w:r>
      <w:r w:rsidR="003662C4" w:rsidRPr="007D47AD">
        <w:rPr>
          <w:rFonts w:asciiTheme="minorHAnsi" w:hAnsiTheme="minorHAnsi"/>
          <w:sz w:val="20"/>
          <w:szCs w:val="20"/>
          <w:lang w:val="en-US"/>
        </w:rPr>
        <w:t xml:space="preserve">that Articles </w:t>
      </w:r>
      <w:r w:rsidR="00901176" w:rsidRPr="007D47AD">
        <w:rPr>
          <w:rFonts w:asciiTheme="minorHAnsi" w:hAnsiTheme="minorHAnsi"/>
          <w:color w:val="000000"/>
          <w:sz w:val="20"/>
          <w:szCs w:val="20"/>
          <w:lang w:val="en-US"/>
        </w:rPr>
        <w:t>2, 4, 35, 41, 52, 53, 56, 96</w:t>
      </w:r>
      <w:r w:rsidR="003662C4" w:rsidRPr="007D47AD">
        <w:rPr>
          <w:rFonts w:asciiTheme="minorHAnsi" w:hAnsiTheme="minorHAnsi"/>
          <w:color w:val="000000"/>
          <w:sz w:val="20"/>
          <w:szCs w:val="20"/>
          <w:lang w:val="en-US"/>
        </w:rPr>
        <w:t>,</w:t>
      </w:r>
      <w:r w:rsidR="00901176" w:rsidRPr="007D47AD">
        <w:rPr>
          <w:rFonts w:asciiTheme="minorHAnsi" w:hAnsiTheme="minorHAnsi"/>
          <w:color w:val="000000"/>
          <w:sz w:val="20"/>
          <w:szCs w:val="20"/>
          <w:lang w:val="en-US"/>
        </w:rPr>
        <w:t xml:space="preserve"> </w:t>
      </w:r>
      <w:r w:rsidR="003662C4" w:rsidRPr="007D47AD">
        <w:rPr>
          <w:rFonts w:asciiTheme="minorHAnsi" w:hAnsiTheme="minorHAnsi"/>
          <w:color w:val="000000"/>
          <w:sz w:val="20"/>
          <w:szCs w:val="20"/>
          <w:lang w:val="en-US"/>
        </w:rPr>
        <w:t xml:space="preserve">and </w:t>
      </w:r>
      <w:r w:rsidR="00901176" w:rsidRPr="007D47AD">
        <w:rPr>
          <w:rFonts w:asciiTheme="minorHAnsi" w:hAnsiTheme="minorHAnsi"/>
          <w:color w:val="000000"/>
          <w:sz w:val="20"/>
          <w:szCs w:val="20"/>
          <w:lang w:val="en-US"/>
        </w:rPr>
        <w:t xml:space="preserve">115 </w:t>
      </w:r>
      <w:r w:rsidR="003662C4" w:rsidRPr="007D47AD">
        <w:rPr>
          <w:rFonts w:asciiTheme="minorHAnsi" w:hAnsiTheme="minorHAnsi"/>
          <w:color w:val="000000"/>
          <w:sz w:val="20"/>
          <w:szCs w:val="20"/>
          <w:lang w:val="en-US"/>
        </w:rPr>
        <w:t xml:space="preserve">of the Constitution have been reformed in respect of gender parity, and indicated that 1,500 officials of the Ministry of Interior received training from the </w:t>
      </w:r>
      <w:r w:rsidR="00901176" w:rsidRPr="007D47AD">
        <w:rPr>
          <w:rFonts w:asciiTheme="minorHAnsi" w:hAnsiTheme="minorHAnsi"/>
          <w:color w:val="000000"/>
          <w:sz w:val="20"/>
          <w:szCs w:val="20"/>
          <w:lang w:val="en-US"/>
        </w:rPr>
        <w:t xml:space="preserve">CONAVIM </w:t>
      </w:r>
      <w:r w:rsidR="003662C4" w:rsidRPr="007D47AD">
        <w:rPr>
          <w:rFonts w:asciiTheme="minorHAnsi" w:hAnsiTheme="minorHAnsi"/>
          <w:color w:val="000000"/>
          <w:sz w:val="20"/>
          <w:szCs w:val="20"/>
          <w:lang w:val="en-US"/>
        </w:rPr>
        <w:t>on gender perspective and eradicating violence against women.</w:t>
      </w:r>
      <w:r w:rsidR="00901176" w:rsidRPr="007D47AD">
        <w:rPr>
          <w:rStyle w:val="FootnoteReference"/>
          <w:rFonts w:asciiTheme="minorHAnsi" w:hAnsiTheme="minorHAnsi"/>
          <w:sz w:val="20"/>
          <w:szCs w:val="20"/>
          <w:lang w:val="en-US"/>
        </w:rPr>
        <w:footnoteReference w:id="270"/>
      </w:r>
    </w:p>
    <w:p w:rsidR="00FA7B3C" w:rsidRPr="007D47AD" w:rsidRDefault="00FA7B3C" w:rsidP="00FA7B3C">
      <w:pPr>
        <w:shd w:val="clear" w:color="auto" w:fill="FFFFFF"/>
        <w:spacing w:after="0" w:line="240" w:lineRule="auto"/>
        <w:jc w:val="both"/>
        <w:rPr>
          <w:rFonts w:asciiTheme="minorHAnsi" w:hAnsiTheme="minorHAnsi"/>
          <w:color w:val="000000"/>
          <w:sz w:val="20"/>
          <w:szCs w:val="20"/>
          <w:lang w:val="en-US"/>
        </w:rPr>
      </w:pPr>
    </w:p>
    <w:p w:rsidR="00C878BC" w:rsidRPr="007D47AD" w:rsidRDefault="009D4026" w:rsidP="009D4026">
      <w:pPr>
        <w:numPr>
          <w:ilvl w:val="0"/>
          <w:numId w:val="6"/>
        </w:numPr>
        <w:shd w:val="clear" w:color="auto" w:fill="FFFFFF"/>
        <w:spacing w:after="0" w:line="240" w:lineRule="auto"/>
        <w:ind w:left="0" w:firstLine="720"/>
        <w:jc w:val="both"/>
        <w:rPr>
          <w:rFonts w:asciiTheme="minorHAnsi" w:hAnsiTheme="minorHAnsi"/>
          <w:color w:val="000000"/>
          <w:sz w:val="20"/>
          <w:szCs w:val="20"/>
          <w:lang w:val="en-US"/>
        </w:rPr>
      </w:pPr>
      <w:r w:rsidRPr="007D47AD">
        <w:rPr>
          <w:rFonts w:asciiTheme="minorHAnsi" w:hAnsiTheme="minorHAnsi"/>
          <w:color w:val="000000"/>
          <w:sz w:val="20"/>
          <w:szCs w:val="20"/>
          <w:lang w:val="en-US"/>
        </w:rPr>
        <w:t xml:space="preserve">Moreover, the Commission notes in a positive light the approval of the 2014-2018 National Program for Equality and Non-Discrimination yet views with concern the persistence of discriminatory provisions on grounds of sex in the </w:t>
      </w:r>
      <w:r w:rsidR="00C878BC" w:rsidRPr="007D47AD">
        <w:rPr>
          <w:rFonts w:asciiTheme="minorHAnsi" w:hAnsiTheme="minorHAnsi"/>
          <w:color w:val="000000"/>
          <w:sz w:val="20"/>
          <w:szCs w:val="20"/>
          <w:lang w:val="en-US"/>
        </w:rPr>
        <w:t>legisla</w:t>
      </w:r>
      <w:r w:rsidRPr="007D47AD">
        <w:rPr>
          <w:rFonts w:asciiTheme="minorHAnsi" w:hAnsiTheme="minorHAnsi"/>
          <w:color w:val="000000"/>
          <w:sz w:val="20"/>
          <w:szCs w:val="20"/>
          <w:lang w:val="en-US"/>
        </w:rPr>
        <w:t>tio</w:t>
      </w:r>
      <w:r w:rsidR="00C878BC" w:rsidRPr="007D47AD">
        <w:rPr>
          <w:rFonts w:asciiTheme="minorHAnsi" w:hAnsiTheme="minorHAnsi"/>
          <w:color w:val="000000"/>
          <w:sz w:val="20"/>
          <w:szCs w:val="20"/>
          <w:lang w:val="en-US"/>
        </w:rPr>
        <w:t xml:space="preserve">n </w:t>
      </w:r>
      <w:r w:rsidRPr="007D47AD">
        <w:rPr>
          <w:rFonts w:asciiTheme="minorHAnsi" w:hAnsiTheme="minorHAnsi"/>
          <w:color w:val="000000"/>
          <w:sz w:val="20"/>
          <w:szCs w:val="20"/>
          <w:lang w:val="en-US"/>
        </w:rPr>
        <w:t>and the lack of harmonization of the civil and criminal codes of the states</w:t>
      </w:r>
      <w:r w:rsidR="00062B25" w:rsidRPr="007D47AD">
        <w:rPr>
          <w:rFonts w:asciiTheme="minorHAnsi" w:hAnsiTheme="minorHAnsi"/>
          <w:color w:val="000000"/>
          <w:sz w:val="20"/>
          <w:szCs w:val="20"/>
          <w:lang w:val="en-US"/>
        </w:rPr>
        <w:t>, which</w:t>
      </w:r>
      <w:r w:rsidRPr="007D47AD">
        <w:rPr>
          <w:rFonts w:asciiTheme="minorHAnsi" w:hAnsiTheme="minorHAnsi"/>
          <w:color w:val="000000"/>
          <w:sz w:val="20"/>
          <w:szCs w:val="20"/>
          <w:lang w:val="en-US"/>
        </w:rPr>
        <w:t xml:space="preserve"> stands in the way of the effective application of the Convention and the national legislation on gender equality</w:t>
      </w:r>
      <w:r w:rsidR="00485656" w:rsidRPr="007D47AD">
        <w:rPr>
          <w:rFonts w:asciiTheme="minorHAnsi" w:hAnsiTheme="minorHAnsi"/>
          <w:color w:val="000000"/>
          <w:sz w:val="20"/>
          <w:szCs w:val="20"/>
          <w:lang w:val="en-US"/>
        </w:rPr>
        <w:t>. Moreover,</w:t>
      </w:r>
      <w:r w:rsidRPr="007D47AD">
        <w:rPr>
          <w:rFonts w:asciiTheme="minorHAnsi" w:hAnsiTheme="minorHAnsi"/>
          <w:color w:val="000000"/>
          <w:sz w:val="20"/>
          <w:szCs w:val="20"/>
          <w:lang w:val="en-US"/>
        </w:rPr>
        <w:t xml:space="preserve"> the lack of effective mechanisms and the </w:t>
      </w:r>
      <w:r w:rsidR="00C878BC" w:rsidRPr="007D47AD">
        <w:rPr>
          <w:rFonts w:asciiTheme="minorHAnsi" w:hAnsiTheme="minorHAnsi"/>
          <w:color w:val="000000"/>
          <w:sz w:val="20"/>
          <w:szCs w:val="20"/>
          <w:lang w:val="en-US"/>
        </w:rPr>
        <w:t>insuf</w:t>
      </w:r>
      <w:r w:rsidRPr="007D47AD">
        <w:rPr>
          <w:rFonts w:asciiTheme="minorHAnsi" w:hAnsiTheme="minorHAnsi"/>
          <w:color w:val="000000"/>
          <w:sz w:val="20"/>
          <w:szCs w:val="20"/>
          <w:lang w:val="en-US"/>
        </w:rPr>
        <w:t>f</w:t>
      </w:r>
      <w:r w:rsidR="00C878BC" w:rsidRPr="007D47AD">
        <w:rPr>
          <w:rFonts w:asciiTheme="minorHAnsi" w:hAnsiTheme="minorHAnsi"/>
          <w:color w:val="000000"/>
          <w:sz w:val="20"/>
          <w:szCs w:val="20"/>
          <w:lang w:val="en-US"/>
        </w:rPr>
        <w:t>icienc</w:t>
      </w:r>
      <w:r w:rsidRPr="007D47AD">
        <w:rPr>
          <w:rFonts w:asciiTheme="minorHAnsi" w:hAnsiTheme="minorHAnsi"/>
          <w:color w:val="000000"/>
          <w:sz w:val="20"/>
          <w:szCs w:val="20"/>
          <w:lang w:val="en-US"/>
        </w:rPr>
        <w:t>y</w:t>
      </w:r>
      <w:r w:rsidR="00C878BC" w:rsidRPr="007D47AD">
        <w:rPr>
          <w:rFonts w:asciiTheme="minorHAnsi" w:hAnsiTheme="minorHAnsi"/>
          <w:color w:val="000000"/>
          <w:sz w:val="20"/>
          <w:szCs w:val="20"/>
          <w:lang w:val="en-US"/>
        </w:rPr>
        <w:t xml:space="preserve"> </w:t>
      </w:r>
      <w:r w:rsidRPr="007D47AD">
        <w:rPr>
          <w:rFonts w:asciiTheme="minorHAnsi" w:hAnsiTheme="minorHAnsi"/>
          <w:color w:val="000000"/>
          <w:sz w:val="20"/>
          <w:szCs w:val="20"/>
          <w:lang w:val="en-US"/>
        </w:rPr>
        <w:t>of the state budgets allocated to enforc</w:t>
      </w:r>
      <w:r w:rsidR="00485656" w:rsidRPr="007D47AD">
        <w:rPr>
          <w:rFonts w:asciiTheme="minorHAnsi" w:hAnsiTheme="minorHAnsi"/>
          <w:color w:val="000000"/>
          <w:sz w:val="20"/>
          <w:szCs w:val="20"/>
          <w:lang w:val="en-US"/>
        </w:rPr>
        <w:t xml:space="preserve">e </w:t>
      </w:r>
      <w:r w:rsidRPr="007D47AD">
        <w:rPr>
          <w:rFonts w:asciiTheme="minorHAnsi" w:hAnsiTheme="minorHAnsi"/>
          <w:color w:val="000000"/>
          <w:sz w:val="20"/>
          <w:szCs w:val="20"/>
          <w:lang w:val="en-US"/>
        </w:rPr>
        <w:t>the laws on gender equality and women’s right to a life free from violence</w:t>
      </w:r>
      <w:r w:rsidR="00485656" w:rsidRPr="007D47AD">
        <w:rPr>
          <w:rFonts w:asciiTheme="minorHAnsi" w:hAnsiTheme="minorHAnsi"/>
          <w:color w:val="000000"/>
          <w:sz w:val="20"/>
          <w:szCs w:val="20"/>
          <w:lang w:val="en-US"/>
        </w:rPr>
        <w:t>,</w:t>
      </w:r>
      <w:r w:rsidRPr="007D47AD">
        <w:rPr>
          <w:rFonts w:asciiTheme="minorHAnsi" w:hAnsiTheme="minorHAnsi"/>
          <w:color w:val="000000"/>
          <w:sz w:val="20"/>
          <w:szCs w:val="20"/>
          <w:lang w:val="en-US"/>
        </w:rPr>
        <w:t xml:space="preserve"> </w:t>
      </w:r>
      <w:r w:rsidR="00D1334C" w:rsidRPr="007D47AD">
        <w:rPr>
          <w:rFonts w:asciiTheme="minorHAnsi" w:hAnsiTheme="minorHAnsi"/>
          <w:color w:val="000000"/>
          <w:sz w:val="20"/>
          <w:szCs w:val="20"/>
          <w:lang w:val="en-US"/>
        </w:rPr>
        <w:t xml:space="preserve">and the lack of </w:t>
      </w:r>
      <w:r w:rsidR="00246905" w:rsidRPr="007D47AD">
        <w:rPr>
          <w:rFonts w:asciiTheme="minorHAnsi" w:hAnsiTheme="minorHAnsi"/>
          <w:color w:val="000000"/>
          <w:sz w:val="20"/>
          <w:szCs w:val="20"/>
          <w:lang w:val="en-US"/>
        </w:rPr>
        <w:t>follow-up</w:t>
      </w:r>
      <w:r w:rsidR="00D1334C" w:rsidRPr="007D47AD">
        <w:rPr>
          <w:rFonts w:asciiTheme="minorHAnsi" w:hAnsiTheme="minorHAnsi"/>
          <w:color w:val="000000"/>
          <w:sz w:val="20"/>
          <w:szCs w:val="20"/>
          <w:lang w:val="en-US"/>
        </w:rPr>
        <w:t xml:space="preserve">, have not made it possible to put an end to discrimination, especially in its intersectional forms, </w:t>
      </w:r>
      <w:r w:rsidRPr="007D47AD">
        <w:rPr>
          <w:rFonts w:asciiTheme="minorHAnsi" w:hAnsiTheme="minorHAnsi"/>
          <w:color w:val="000000"/>
          <w:sz w:val="20"/>
          <w:szCs w:val="20"/>
          <w:lang w:val="en-US"/>
        </w:rPr>
        <w:t xml:space="preserve">and in </w:t>
      </w:r>
      <w:r w:rsidR="00C878BC" w:rsidRPr="007D47AD">
        <w:rPr>
          <w:rFonts w:asciiTheme="minorHAnsi" w:hAnsiTheme="minorHAnsi"/>
          <w:color w:val="000000"/>
          <w:sz w:val="20"/>
          <w:szCs w:val="20"/>
          <w:lang w:val="en-US"/>
        </w:rPr>
        <w:t xml:space="preserve">particular </w:t>
      </w:r>
      <w:r w:rsidRPr="007D47AD">
        <w:rPr>
          <w:rFonts w:asciiTheme="minorHAnsi" w:hAnsiTheme="minorHAnsi"/>
          <w:color w:val="000000"/>
          <w:sz w:val="20"/>
          <w:szCs w:val="20"/>
          <w:lang w:val="en-US"/>
        </w:rPr>
        <w:t xml:space="preserve">as it affects indigenous women, Afro-Mexican women, migrant women, women with disabilities, lesbian, bisexual, and transgender women, and intersex persons; </w:t>
      </w:r>
      <w:r w:rsidR="00062B25" w:rsidRPr="007D47AD">
        <w:rPr>
          <w:rFonts w:asciiTheme="minorHAnsi" w:hAnsiTheme="minorHAnsi"/>
          <w:color w:val="000000"/>
          <w:sz w:val="20"/>
          <w:szCs w:val="20"/>
          <w:lang w:val="en-US"/>
        </w:rPr>
        <w:t xml:space="preserve">and </w:t>
      </w:r>
      <w:r w:rsidRPr="007D47AD">
        <w:rPr>
          <w:rFonts w:asciiTheme="minorHAnsi" w:hAnsiTheme="minorHAnsi"/>
          <w:color w:val="000000"/>
          <w:sz w:val="20"/>
          <w:szCs w:val="20"/>
          <w:lang w:val="en-US"/>
        </w:rPr>
        <w:t xml:space="preserve">the lack of a unified criminal code and of a judicial </w:t>
      </w:r>
      <w:r w:rsidRPr="007D47AD">
        <w:rPr>
          <w:rFonts w:asciiTheme="minorHAnsi" w:hAnsiTheme="minorHAnsi"/>
          <w:color w:val="000000"/>
          <w:sz w:val="20"/>
          <w:szCs w:val="20"/>
          <w:lang w:val="en-US"/>
        </w:rPr>
        <w:lastRenderedPageBreak/>
        <w:t>mechanism for resolving the cases of discrimination against women has resulted in low rates of prosecution of cases of discrimination on grounds of sex.</w:t>
      </w:r>
      <w:r w:rsidR="00C878BC" w:rsidRPr="007D47AD">
        <w:rPr>
          <w:rStyle w:val="FootnoteReference"/>
          <w:rFonts w:asciiTheme="minorHAnsi" w:hAnsiTheme="minorHAnsi"/>
          <w:color w:val="000000"/>
          <w:sz w:val="20"/>
          <w:szCs w:val="20"/>
          <w:lang w:val="en-US"/>
        </w:rPr>
        <w:footnoteReference w:id="271"/>
      </w:r>
      <w:r w:rsidRPr="007D47AD">
        <w:rPr>
          <w:rFonts w:asciiTheme="minorHAnsi" w:hAnsiTheme="minorHAnsi"/>
          <w:color w:val="000000"/>
          <w:sz w:val="20"/>
          <w:szCs w:val="20"/>
          <w:lang w:val="en-US"/>
        </w:rPr>
        <w:t xml:space="preserve"> </w:t>
      </w:r>
    </w:p>
    <w:p w:rsidR="00C878BC" w:rsidRPr="007D47AD" w:rsidRDefault="00C878BC" w:rsidP="00C878BC">
      <w:pPr>
        <w:shd w:val="clear" w:color="auto" w:fill="FFFFFF"/>
        <w:spacing w:after="0"/>
        <w:ind w:firstLine="720"/>
        <w:jc w:val="both"/>
        <w:rPr>
          <w:rFonts w:asciiTheme="minorHAnsi" w:hAnsiTheme="minorHAnsi"/>
          <w:color w:val="000000"/>
          <w:sz w:val="20"/>
          <w:szCs w:val="20"/>
          <w:lang w:val="en-US"/>
        </w:rPr>
      </w:pPr>
    </w:p>
    <w:p w:rsidR="00C878BC" w:rsidRPr="007D47AD" w:rsidRDefault="009D4026" w:rsidP="00C878BC">
      <w:pPr>
        <w:numPr>
          <w:ilvl w:val="0"/>
          <w:numId w:val="6"/>
        </w:numPr>
        <w:shd w:val="clear" w:color="auto" w:fill="FFFFFF"/>
        <w:spacing w:after="0" w:line="240" w:lineRule="auto"/>
        <w:ind w:left="0" w:firstLine="720"/>
        <w:jc w:val="both"/>
        <w:rPr>
          <w:rStyle w:val="m002d8320586899623630245numberedparagraphschar"/>
          <w:rFonts w:asciiTheme="minorHAnsi" w:hAnsiTheme="minorHAnsi"/>
          <w:color w:val="000000"/>
          <w:sz w:val="20"/>
          <w:szCs w:val="20"/>
          <w:lang w:val="en-US"/>
        </w:rPr>
      </w:pPr>
      <w:r w:rsidRPr="007D47AD">
        <w:rPr>
          <w:rFonts w:asciiTheme="minorHAnsi" w:hAnsiTheme="minorHAnsi"/>
          <w:color w:val="000000"/>
          <w:sz w:val="20"/>
          <w:szCs w:val="20"/>
          <w:lang w:val="en-US"/>
        </w:rPr>
        <w:t xml:space="preserve">The Commission is concerned about the </w:t>
      </w:r>
      <w:r w:rsidR="00C878BC" w:rsidRPr="007D47AD">
        <w:rPr>
          <w:rFonts w:asciiTheme="minorHAnsi" w:hAnsiTheme="minorHAnsi"/>
          <w:color w:val="000000"/>
          <w:sz w:val="20"/>
          <w:szCs w:val="20"/>
          <w:lang w:val="en-US"/>
        </w:rPr>
        <w:t>normaliza</w:t>
      </w:r>
      <w:r w:rsidRPr="007D47AD">
        <w:rPr>
          <w:rFonts w:asciiTheme="minorHAnsi" w:hAnsiTheme="minorHAnsi"/>
          <w:color w:val="000000"/>
          <w:sz w:val="20"/>
          <w:szCs w:val="20"/>
          <w:lang w:val="en-US"/>
        </w:rPr>
        <w:t xml:space="preserve">tion and </w:t>
      </w:r>
      <w:r w:rsidR="00C878BC" w:rsidRPr="007D47AD">
        <w:rPr>
          <w:rFonts w:asciiTheme="minorHAnsi" w:hAnsiTheme="minorHAnsi"/>
          <w:color w:val="000000"/>
          <w:sz w:val="20"/>
          <w:szCs w:val="20"/>
          <w:lang w:val="en-US"/>
        </w:rPr>
        <w:t>toleranc</w:t>
      </w:r>
      <w:r w:rsidRPr="007D47AD">
        <w:rPr>
          <w:rFonts w:asciiTheme="minorHAnsi" w:hAnsiTheme="minorHAnsi"/>
          <w:color w:val="000000"/>
          <w:sz w:val="20"/>
          <w:szCs w:val="20"/>
          <w:lang w:val="en-US"/>
        </w:rPr>
        <w:t xml:space="preserve">e of violence against women, as well as the prevalence of stereotyped and sexualized images </w:t>
      </w:r>
      <w:r w:rsidR="00575A38" w:rsidRPr="007D47AD">
        <w:rPr>
          <w:rFonts w:asciiTheme="minorHAnsi" w:hAnsiTheme="minorHAnsi"/>
          <w:color w:val="000000"/>
          <w:sz w:val="20"/>
          <w:szCs w:val="20"/>
          <w:lang w:val="en-US"/>
        </w:rPr>
        <w:t>to which women are subjected in the media, in particular stereotyped representations and negative images of indigenous women, Afro-Mexican women, migrant women, and refugee and asylum-seeking women in the media.</w:t>
      </w:r>
      <w:r w:rsidR="00C878BC" w:rsidRPr="007D47AD">
        <w:rPr>
          <w:rStyle w:val="FootnoteReference"/>
          <w:rFonts w:asciiTheme="minorHAnsi" w:hAnsiTheme="minorHAnsi"/>
          <w:color w:val="000000"/>
          <w:sz w:val="20"/>
          <w:szCs w:val="20"/>
          <w:lang w:val="en-US"/>
        </w:rPr>
        <w:footnoteReference w:id="272"/>
      </w:r>
      <w:r w:rsidR="00C878BC" w:rsidRPr="007D47AD">
        <w:rPr>
          <w:rFonts w:asciiTheme="minorHAnsi" w:hAnsiTheme="minorHAnsi"/>
          <w:color w:val="000000"/>
          <w:sz w:val="20"/>
          <w:szCs w:val="20"/>
          <w:lang w:val="en-US"/>
        </w:rPr>
        <w:t xml:space="preserve"> </w:t>
      </w:r>
      <w:r w:rsidR="00575A38" w:rsidRPr="007D47AD">
        <w:rPr>
          <w:rFonts w:asciiTheme="minorHAnsi" w:hAnsiTheme="minorHAnsi"/>
          <w:color w:val="000000"/>
          <w:sz w:val="20"/>
          <w:szCs w:val="20"/>
          <w:lang w:val="en-US"/>
        </w:rPr>
        <w:t xml:space="preserve">Based on the foregoing, the IACHR observes that the recommendation has not yet met with compliance. </w:t>
      </w:r>
    </w:p>
    <w:p w:rsidR="00C878BC" w:rsidRPr="007D47AD" w:rsidRDefault="00C878BC" w:rsidP="00C878BC">
      <w:pPr>
        <w:shd w:val="clear" w:color="auto" w:fill="FFFFFF"/>
        <w:spacing w:after="0"/>
        <w:ind w:firstLine="720"/>
        <w:jc w:val="both"/>
        <w:rPr>
          <w:rStyle w:val="m002d8320586899623630245numberedparagraphschar"/>
          <w:rFonts w:asciiTheme="minorHAnsi" w:hAnsiTheme="minorHAnsi"/>
          <w:color w:val="000000"/>
          <w:sz w:val="20"/>
          <w:szCs w:val="20"/>
          <w:lang w:val="en-US"/>
        </w:rPr>
      </w:pPr>
    </w:p>
    <w:p w:rsidR="00C878BC" w:rsidRPr="007D47AD" w:rsidRDefault="00575A38" w:rsidP="00C878BC">
      <w:pPr>
        <w:numPr>
          <w:ilvl w:val="0"/>
          <w:numId w:val="6"/>
        </w:numPr>
        <w:shd w:val="clear" w:color="auto" w:fill="FFFFFF"/>
        <w:spacing w:after="0" w:line="240" w:lineRule="auto"/>
        <w:ind w:left="0" w:firstLine="720"/>
        <w:jc w:val="both"/>
        <w:rPr>
          <w:rFonts w:asciiTheme="minorHAnsi" w:hAnsiTheme="minorHAnsi"/>
          <w:sz w:val="20"/>
          <w:szCs w:val="20"/>
          <w:lang w:val="en-US"/>
        </w:rPr>
      </w:pPr>
      <w:r w:rsidRPr="007D47AD">
        <w:rPr>
          <w:rFonts w:asciiTheme="minorHAnsi" w:hAnsiTheme="minorHAnsi"/>
          <w:color w:val="000000"/>
          <w:sz w:val="20"/>
          <w:szCs w:val="20"/>
          <w:lang w:val="en-US"/>
        </w:rPr>
        <w:t>With respect to the</w:t>
      </w:r>
      <w:r w:rsidR="00C02FE9" w:rsidRPr="007D47AD">
        <w:rPr>
          <w:rFonts w:asciiTheme="minorHAnsi" w:hAnsiTheme="minorHAnsi"/>
          <w:color w:val="000000"/>
          <w:sz w:val="20"/>
          <w:szCs w:val="20"/>
          <w:lang w:val="en-US"/>
        </w:rPr>
        <w:t xml:space="preserve"> recommendation to</w:t>
      </w:r>
      <w:r w:rsidRPr="007D47AD">
        <w:rPr>
          <w:rFonts w:asciiTheme="minorHAnsi" w:hAnsiTheme="minorHAnsi"/>
          <w:color w:val="000000"/>
          <w:sz w:val="20"/>
          <w:szCs w:val="20"/>
          <w:lang w:val="en-US"/>
        </w:rPr>
        <w:t xml:space="preserve"> </w:t>
      </w:r>
      <w:r w:rsidR="00C878BC" w:rsidRPr="007D47AD">
        <w:rPr>
          <w:rFonts w:asciiTheme="minorHAnsi" w:hAnsiTheme="minorHAnsi"/>
          <w:b/>
          <w:color w:val="000000"/>
          <w:sz w:val="20"/>
          <w:szCs w:val="20"/>
          <w:lang w:val="en-US"/>
        </w:rPr>
        <w:t>d</w:t>
      </w:r>
      <w:r w:rsidR="00C02FE9" w:rsidRPr="007D47AD">
        <w:rPr>
          <w:rFonts w:asciiTheme="minorHAnsi" w:hAnsiTheme="minorHAnsi"/>
          <w:b/>
          <w:color w:val="000000"/>
          <w:sz w:val="20"/>
          <w:szCs w:val="20"/>
          <w:lang w:val="en-US"/>
        </w:rPr>
        <w:t xml:space="preserve">esign and </w:t>
      </w:r>
      <w:r w:rsidR="00C878BC" w:rsidRPr="007D47AD">
        <w:rPr>
          <w:rFonts w:asciiTheme="minorHAnsi" w:hAnsiTheme="minorHAnsi"/>
          <w:b/>
          <w:color w:val="000000"/>
          <w:sz w:val="20"/>
          <w:szCs w:val="20"/>
          <w:lang w:val="en-US"/>
        </w:rPr>
        <w:t>implement</w:t>
      </w:r>
      <w:r w:rsidR="00C02FE9" w:rsidRPr="007D47AD">
        <w:rPr>
          <w:rFonts w:asciiTheme="minorHAnsi" w:hAnsiTheme="minorHAnsi"/>
          <w:b/>
          <w:color w:val="000000"/>
          <w:sz w:val="20"/>
          <w:szCs w:val="20"/>
          <w:lang w:val="en-US"/>
        </w:rPr>
        <w:t xml:space="preserve"> culturally adequate policies</w:t>
      </w:r>
      <w:r w:rsidR="00C751CE" w:rsidRPr="007D47AD">
        <w:rPr>
          <w:rFonts w:asciiTheme="minorHAnsi" w:hAnsiTheme="minorHAnsi"/>
          <w:b/>
          <w:color w:val="000000"/>
          <w:sz w:val="20"/>
          <w:szCs w:val="20"/>
          <w:lang w:val="en-US"/>
        </w:rPr>
        <w:t xml:space="preserve"> to prevent, investigate, punish, and make reparation for acts of </w:t>
      </w:r>
      <w:r w:rsidR="00C878BC" w:rsidRPr="007D47AD">
        <w:rPr>
          <w:rFonts w:asciiTheme="minorHAnsi" w:hAnsiTheme="minorHAnsi"/>
          <w:b/>
          <w:color w:val="000000"/>
          <w:sz w:val="20"/>
          <w:szCs w:val="20"/>
          <w:lang w:val="en-US"/>
        </w:rPr>
        <w:t>discrimina</w:t>
      </w:r>
      <w:r w:rsidR="00C751CE" w:rsidRPr="007D47AD">
        <w:rPr>
          <w:rFonts w:asciiTheme="minorHAnsi" w:hAnsiTheme="minorHAnsi"/>
          <w:b/>
          <w:color w:val="000000"/>
          <w:sz w:val="20"/>
          <w:szCs w:val="20"/>
          <w:lang w:val="en-US"/>
        </w:rPr>
        <w:t>tion against indigenous women</w:t>
      </w:r>
      <w:r w:rsidR="00C751CE" w:rsidRPr="007D47AD">
        <w:rPr>
          <w:rFonts w:asciiTheme="minorHAnsi" w:hAnsiTheme="minorHAnsi"/>
          <w:color w:val="000000"/>
          <w:sz w:val="20"/>
          <w:szCs w:val="20"/>
          <w:lang w:val="en-US"/>
        </w:rPr>
        <w:t xml:space="preserve">, </w:t>
      </w:r>
      <w:r w:rsidRPr="007D47AD">
        <w:rPr>
          <w:rFonts w:asciiTheme="minorHAnsi" w:hAnsiTheme="minorHAnsi"/>
          <w:color w:val="000000"/>
          <w:sz w:val="20"/>
          <w:szCs w:val="20"/>
          <w:lang w:val="en-US"/>
        </w:rPr>
        <w:t xml:space="preserve">the State informed the Commission that the </w:t>
      </w:r>
      <w:r w:rsidR="00C878BC" w:rsidRPr="007D47AD">
        <w:rPr>
          <w:rFonts w:asciiTheme="minorHAnsi" w:hAnsiTheme="minorHAnsi"/>
          <w:sz w:val="20"/>
          <w:szCs w:val="20"/>
          <w:lang w:val="en-US"/>
        </w:rPr>
        <w:t xml:space="preserve">FGR </w:t>
      </w:r>
      <w:r w:rsidRPr="007D47AD">
        <w:rPr>
          <w:rFonts w:asciiTheme="minorHAnsi" w:hAnsiTheme="minorHAnsi"/>
          <w:sz w:val="20"/>
          <w:szCs w:val="20"/>
          <w:lang w:val="en-US"/>
        </w:rPr>
        <w:t>is carrying out a publicity campaign to support the rights of the indigenous peoples</w:t>
      </w:r>
      <w:r w:rsidR="00062B25" w:rsidRPr="007D47AD">
        <w:rPr>
          <w:rFonts w:asciiTheme="minorHAnsi" w:hAnsiTheme="minorHAnsi"/>
          <w:sz w:val="20"/>
          <w:szCs w:val="20"/>
          <w:lang w:val="en-US"/>
        </w:rPr>
        <w:t>,</w:t>
      </w:r>
      <w:r w:rsidRPr="007D47AD">
        <w:rPr>
          <w:rFonts w:asciiTheme="minorHAnsi" w:hAnsiTheme="minorHAnsi"/>
          <w:sz w:val="20"/>
          <w:szCs w:val="20"/>
          <w:lang w:val="en-US"/>
        </w:rPr>
        <w:t xml:space="preserve"> to which end it has undertaken 35 dissemination actions on the issues of Rights of the Victim and the Accused, as well as</w:t>
      </w:r>
      <w:r w:rsidR="00062B25" w:rsidRPr="007D47AD">
        <w:rPr>
          <w:rFonts w:asciiTheme="minorHAnsi" w:hAnsiTheme="minorHAnsi"/>
          <w:sz w:val="20"/>
          <w:szCs w:val="20"/>
          <w:lang w:val="en-US"/>
        </w:rPr>
        <w:t xml:space="preserve"> </w:t>
      </w:r>
      <w:r w:rsidRPr="007D47AD">
        <w:rPr>
          <w:rFonts w:asciiTheme="minorHAnsi" w:hAnsiTheme="minorHAnsi"/>
          <w:sz w:val="20"/>
          <w:szCs w:val="20"/>
          <w:lang w:val="en-US"/>
        </w:rPr>
        <w:t xml:space="preserve">preventing crimes against health and gender violence.  These actions are broadcast on the radio stations of the National Institute of Indigenous Peoples </w:t>
      </w:r>
      <w:r w:rsidR="00062B25" w:rsidRPr="007D47AD">
        <w:rPr>
          <w:rFonts w:asciiTheme="minorHAnsi" w:hAnsiTheme="minorHAnsi"/>
          <w:sz w:val="20"/>
          <w:szCs w:val="20"/>
          <w:lang w:val="en-US"/>
        </w:rPr>
        <w:t>in</w:t>
      </w:r>
      <w:r w:rsidRPr="007D47AD">
        <w:rPr>
          <w:rFonts w:asciiTheme="minorHAnsi" w:hAnsiTheme="minorHAnsi"/>
          <w:sz w:val="20"/>
          <w:szCs w:val="20"/>
          <w:lang w:val="en-US"/>
        </w:rPr>
        <w:t xml:space="preserve"> the states of </w:t>
      </w:r>
      <w:r w:rsidR="00C878BC" w:rsidRPr="007D47AD">
        <w:rPr>
          <w:rFonts w:asciiTheme="minorHAnsi" w:hAnsiTheme="minorHAnsi"/>
          <w:sz w:val="20"/>
          <w:szCs w:val="20"/>
          <w:lang w:val="en-US"/>
        </w:rPr>
        <w:t>Oaxaca, Guerrero, Chiapas</w:t>
      </w:r>
      <w:r w:rsidRPr="007D47AD">
        <w:rPr>
          <w:rFonts w:asciiTheme="minorHAnsi" w:hAnsiTheme="minorHAnsi"/>
          <w:sz w:val="20"/>
          <w:szCs w:val="20"/>
          <w:lang w:val="en-US"/>
        </w:rPr>
        <w:t>, and</w:t>
      </w:r>
      <w:r w:rsidR="00C878BC" w:rsidRPr="007D47AD">
        <w:rPr>
          <w:rFonts w:asciiTheme="minorHAnsi" w:hAnsiTheme="minorHAnsi"/>
          <w:sz w:val="20"/>
          <w:szCs w:val="20"/>
          <w:lang w:val="en-US"/>
        </w:rPr>
        <w:t xml:space="preserve"> Baja California, </w:t>
      </w:r>
      <w:r w:rsidRPr="007D47AD">
        <w:rPr>
          <w:rFonts w:asciiTheme="minorHAnsi" w:hAnsiTheme="minorHAnsi"/>
          <w:sz w:val="20"/>
          <w:szCs w:val="20"/>
          <w:lang w:val="en-US"/>
        </w:rPr>
        <w:t>with messages in the M</w:t>
      </w:r>
      <w:r w:rsidR="00C878BC" w:rsidRPr="007D47AD">
        <w:rPr>
          <w:rFonts w:asciiTheme="minorHAnsi" w:hAnsiTheme="minorHAnsi"/>
          <w:sz w:val="20"/>
          <w:szCs w:val="20"/>
          <w:lang w:val="en-US"/>
        </w:rPr>
        <w:t xml:space="preserve">ixe, </w:t>
      </w:r>
      <w:r w:rsidRPr="007D47AD">
        <w:rPr>
          <w:rFonts w:asciiTheme="minorHAnsi" w:hAnsiTheme="minorHAnsi"/>
          <w:sz w:val="20"/>
          <w:szCs w:val="20"/>
          <w:lang w:val="en-US"/>
        </w:rPr>
        <w:t>M</w:t>
      </w:r>
      <w:r w:rsidR="00C878BC" w:rsidRPr="007D47AD">
        <w:rPr>
          <w:rFonts w:asciiTheme="minorHAnsi" w:hAnsiTheme="minorHAnsi"/>
          <w:sz w:val="20"/>
          <w:szCs w:val="20"/>
          <w:lang w:val="en-US"/>
        </w:rPr>
        <w:t xml:space="preserve">ixteco, </w:t>
      </w:r>
      <w:r w:rsidRPr="007D47AD">
        <w:rPr>
          <w:rFonts w:asciiTheme="minorHAnsi" w:hAnsiTheme="minorHAnsi"/>
          <w:sz w:val="20"/>
          <w:szCs w:val="20"/>
          <w:lang w:val="en-US"/>
        </w:rPr>
        <w:t>N</w:t>
      </w:r>
      <w:r w:rsidR="00C878BC" w:rsidRPr="007D47AD">
        <w:rPr>
          <w:rFonts w:asciiTheme="minorHAnsi" w:hAnsiTheme="minorHAnsi"/>
          <w:sz w:val="20"/>
          <w:szCs w:val="20"/>
          <w:lang w:val="en-US"/>
        </w:rPr>
        <w:t xml:space="preserve">áhuatl, </w:t>
      </w:r>
      <w:r w:rsidRPr="007D47AD">
        <w:rPr>
          <w:rFonts w:asciiTheme="minorHAnsi" w:hAnsiTheme="minorHAnsi"/>
          <w:sz w:val="20"/>
          <w:szCs w:val="20"/>
          <w:lang w:val="en-US"/>
        </w:rPr>
        <w:t>T</w:t>
      </w:r>
      <w:r w:rsidR="00C878BC" w:rsidRPr="007D47AD">
        <w:rPr>
          <w:rFonts w:asciiTheme="minorHAnsi" w:hAnsiTheme="minorHAnsi"/>
          <w:sz w:val="20"/>
          <w:szCs w:val="20"/>
          <w:lang w:val="en-US"/>
        </w:rPr>
        <w:t xml:space="preserve">lapaneco, </w:t>
      </w:r>
      <w:r w:rsidRPr="007D47AD">
        <w:rPr>
          <w:rFonts w:asciiTheme="minorHAnsi" w:hAnsiTheme="minorHAnsi"/>
          <w:sz w:val="20"/>
          <w:szCs w:val="20"/>
          <w:lang w:val="en-US"/>
        </w:rPr>
        <w:t>T</w:t>
      </w:r>
      <w:r w:rsidR="00C878BC" w:rsidRPr="007D47AD">
        <w:rPr>
          <w:rFonts w:asciiTheme="minorHAnsi" w:hAnsiTheme="minorHAnsi"/>
          <w:sz w:val="20"/>
          <w:szCs w:val="20"/>
          <w:lang w:val="en-US"/>
        </w:rPr>
        <w:t xml:space="preserve">zeltal, </w:t>
      </w:r>
      <w:r w:rsidRPr="007D47AD">
        <w:rPr>
          <w:rFonts w:asciiTheme="minorHAnsi" w:hAnsiTheme="minorHAnsi"/>
          <w:sz w:val="20"/>
          <w:szCs w:val="20"/>
          <w:lang w:val="en-US"/>
        </w:rPr>
        <w:t>Z</w:t>
      </w:r>
      <w:r w:rsidR="00C878BC" w:rsidRPr="007D47AD">
        <w:rPr>
          <w:rFonts w:asciiTheme="minorHAnsi" w:hAnsiTheme="minorHAnsi"/>
          <w:sz w:val="20"/>
          <w:szCs w:val="20"/>
          <w:lang w:val="en-US"/>
        </w:rPr>
        <w:t xml:space="preserve">apoteco, </w:t>
      </w:r>
      <w:r w:rsidRPr="007D47AD">
        <w:rPr>
          <w:rFonts w:asciiTheme="minorHAnsi" w:hAnsiTheme="minorHAnsi"/>
          <w:sz w:val="20"/>
          <w:szCs w:val="20"/>
          <w:lang w:val="en-US"/>
        </w:rPr>
        <w:t>C</w:t>
      </w:r>
      <w:r w:rsidR="00C878BC" w:rsidRPr="007D47AD">
        <w:rPr>
          <w:rFonts w:asciiTheme="minorHAnsi" w:hAnsiTheme="minorHAnsi"/>
          <w:sz w:val="20"/>
          <w:szCs w:val="20"/>
          <w:lang w:val="en-US"/>
        </w:rPr>
        <w:t>hinanteco</w:t>
      </w:r>
      <w:r w:rsidRPr="007D47AD">
        <w:rPr>
          <w:rFonts w:asciiTheme="minorHAnsi" w:hAnsiTheme="minorHAnsi"/>
          <w:sz w:val="20"/>
          <w:szCs w:val="20"/>
          <w:lang w:val="en-US"/>
        </w:rPr>
        <w:t>, and</w:t>
      </w:r>
      <w:r w:rsidR="00C878BC" w:rsidRPr="007D47AD">
        <w:rPr>
          <w:rFonts w:asciiTheme="minorHAnsi" w:hAnsiTheme="minorHAnsi"/>
          <w:sz w:val="20"/>
          <w:szCs w:val="20"/>
          <w:lang w:val="en-US"/>
        </w:rPr>
        <w:t xml:space="preserve"> </w:t>
      </w:r>
      <w:r w:rsidRPr="007D47AD">
        <w:rPr>
          <w:rFonts w:asciiTheme="minorHAnsi" w:hAnsiTheme="minorHAnsi"/>
          <w:sz w:val="20"/>
          <w:szCs w:val="20"/>
          <w:lang w:val="en-US"/>
        </w:rPr>
        <w:t>Tzotzil languages</w:t>
      </w:r>
      <w:r w:rsidR="00C878BC" w:rsidRPr="007D47AD">
        <w:rPr>
          <w:rFonts w:asciiTheme="minorHAnsi" w:hAnsiTheme="minorHAnsi"/>
          <w:sz w:val="20"/>
          <w:szCs w:val="20"/>
          <w:lang w:val="en-US"/>
        </w:rPr>
        <w:t xml:space="preserve">. </w:t>
      </w:r>
      <w:r w:rsidRPr="007D47AD">
        <w:rPr>
          <w:rFonts w:asciiTheme="minorHAnsi" w:hAnsiTheme="minorHAnsi"/>
          <w:sz w:val="20"/>
          <w:szCs w:val="20"/>
          <w:lang w:val="en-US"/>
        </w:rPr>
        <w:t xml:space="preserve">In addition to this campaign, the State has reported having carried out eight training activities on </w:t>
      </w:r>
      <w:r w:rsidR="00C878BC" w:rsidRPr="007D47AD">
        <w:rPr>
          <w:rFonts w:asciiTheme="minorHAnsi" w:hAnsiTheme="minorHAnsi"/>
          <w:sz w:val="20"/>
          <w:szCs w:val="20"/>
          <w:lang w:val="en-US"/>
        </w:rPr>
        <w:t>"</w:t>
      </w:r>
      <w:r w:rsidR="00062B25" w:rsidRPr="007D47AD">
        <w:rPr>
          <w:rFonts w:asciiTheme="minorHAnsi" w:hAnsiTheme="minorHAnsi"/>
          <w:sz w:val="20"/>
          <w:szCs w:val="20"/>
          <w:lang w:val="en-US"/>
        </w:rPr>
        <w:t>The</w:t>
      </w:r>
      <w:r w:rsidR="00C878BC" w:rsidRPr="007D47AD">
        <w:rPr>
          <w:rFonts w:asciiTheme="minorHAnsi" w:hAnsiTheme="minorHAnsi"/>
          <w:sz w:val="20"/>
          <w:szCs w:val="20"/>
          <w:lang w:val="en-US"/>
        </w:rPr>
        <w:t xml:space="preserve"> Importanc</w:t>
      </w:r>
      <w:r w:rsidR="00062B25" w:rsidRPr="007D47AD">
        <w:rPr>
          <w:rFonts w:asciiTheme="minorHAnsi" w:hAnsiTheme="minorHAnsi"/>
          <w:sz w:val="20"/>
          <w:szCs w:val="20"/>
          <w:lang w:val="en-US"/>
        </w:rPr>
        <w:t>e of Expert Evidence in Social Anthropology for Respecting the Human Rights of Indigenous and Afro-Mexican Peoples with a Gender Perspective</w:t>
      </w:r>
      <w:r w:rsidRPr="007D47AD">
        <w:rPr>
          <w:rFonts w:asciiTheme="minorHAnsi" w:hAnsiTheme="minorHAnsi"/>
          <w:sz w:val="20"/>
          <w:szCs w:val="20"/>
          <w:lang w:val="en-US"/>
        </w:rPr>
        <w:t>.</w:t>
      </w:r>
      <w:r w:rsidR="00C878BC" w:rsidRPr="007D47AD">
        <w:rPr>
          <w:rFonts w:asciiTheme="minorHAnsi" w:hAnsiTheme="minorHAnsi"/>
          <w:sz w:val="20"/>
          <w:szCs w:val="20"/>
          <w:lang w:val="en-US"/>
        </w:rPr>
        <w:t>”</w:t>
      </w:r>
      <w:r w:rsidR="00C878BC" w:rsidRPr="007D47AD">
        <w:rPr>
          <w:rStyle w:val="FootnoteReference"/>
          <w:rFonts w:asciiTheme="minorHAnsi" w:hAnsiTheme="minorHAnsi"/>
          <w:sz w:val="20"/>
          <w:szCs w:val="20"/>
          <w:lang w:val="en-US"/>
        </w:rPr>
        <w:footnoteReference w:id="273"/>
      </w:r>
      <w:r w:rsidRPr="007D47AD">
        <w:rPr>
          <w:rFonts w:asciiTheme="minorHAnsi" w:hAnsiTheme="minorHAnsi"/>
          <w:sz w:val="20"/>
          <w:szCs w:val="20"/>
          <w:lang w:val="en-US"/>
        </w:rPr>
        <w:t xml:space="preserve"> </w:t>
      </w:r>
      <w:r w:rsidR="003662C4" w:rsidRPr="007D47AD">
        <w:rPr>
          <w:rFonts w:asciiTheme="minorHAnsi" w:hAnsiTheme="minorHAnsi"/>
          <w:sz w:val="20"/>
          <w:szCs w:val="20"/>
          <w:lang w:val="en-US"/>
        </w:rPr>
        <w:t>The State reiterated this information in its observations on this report.</w:t>
      </w:r>
      <w:r w:rsidR="00901176" w:rsidRPr="007D47AD">
        <w:rPr>
          <w:rStyle w:val="FootnoteReference"/>
          <w:rFonts w:asciiTheme="minorHAnsi" w:hAnsiTheme="minorHAnsi"/>
          <w:sz w:val="20"/>
          <w:szCs w:val="20"/>
          <w:lang w:val="en-US"/>
        </w:rPr>
        <w:footnoteReference w:id="274"/>
      </w:r>
    </w:p>
    <w:p w:rsidR="00C878BC" w:rsidRPr="007D47AD" w:rsidRDefault="00C878BC" w:rsidP="00C878BC">
      <w:pPr>
        <w:shd w:val="clear" w:color="auto" w:fill="FFFFFF"/>
        <w:spacing w:after="0"/>
        <w:ind w:firstLine="720"/>
        <w:jc w:val="both"/>
        <w:rPr>
          <w:rFonts w:asciiTheme="minorHAnsi" w:hAnsiTheme="minorHAnsi"/>
          <w:color w:val="000000"/>
          <w:sz w:val="20"/>
          <w:szCs w:val="20"/>
          <w:lang w:val="en-US"/>
        </w:rPr>
      </w:pPr>
    </w:p>
    <w:p w:rsidR="00C878BC" w:rsidRPr="007D47AD" w:rsidRDefault="00182A11" w:rsidP="00C878BC">
      <w:pPr>
        <w:numPr>
          <w:ilvl w:val="0"/>
          <w:numId w:val="6"/>
        </w:numPr>
        <w:shd w:val="clear" w:color="auto" w:fill="FFFFFF"/>
        <w:spacing w:after="0" w:line="240" w:lineRule="auto"/>
        <w:ind w:left="0" w:firstLine="720"/>
        <w:jc w:val="both"/>
        <w:rPr>
          <w:rFonts w:asciiTheme="minorHAnsi" w:hAnsiTheme="minorHAnsi"/>
          <w:color w:val="000000"/>
          <w:sz w:val="20"/>
          <w:szCs w:val="20"/>
          <w:lang w:val="en-US"/>
        </w:rPr>
      </w:pPr>
      <w:r w:rsidRPr="007D47AD">
        <w:rPr>
          <w:rFonts w:asciiTheme="minorHAnsi" w:hAnsiTheme="minorHAnsi"/>
          <w:color w:val="000000"/>
          <w:sz w:val="20"/>
          <w:szCs w:val="20"/>
          <w:lang w:val="en-US"/>
        </w:rPr>
        <w:t>According to public information, the prevalence of multiple forms of violence and discrimination persists with a negative impact on indigenous women, compromising their access to education, work, culturally appropriate health care, as well as participation in public life and decision-making.</w:t>
      </w:r>
      <w:r w:rsidR="00C878BC" w:rsidRPr="007D47AD">
        <w:rPr>
          <w:rStyle w:val="FootnoteReference"/>
          <w:rFonts w:asciiTheme="minorHAnsi" w:hAnsiTheme="minorHAnsi"/>
          <w:color w:val="000000"/>
          <w:sz w:val="20"/>
          <w:szCs w:val="20"/>
          <w:lang w:val="en-US"/>
        </w:rPr>
        <w:footnoteReference w:id="275"/>
      </w:r>
      <w:r w:rsidR="00C878BC" w:rsidRPr="007D47AD">
        <w:rPr>
          <w:rFonts w:asciiTheme="minorHAnsi" w:hAnsiTheme="minorHAnsi"/>
          <w:color w:val="000000"/>
          <w:sz w:val="20"/>
          <w:szCs w:val="20"/>
          <w:lang w:val="en-US"/>
        </w:rPr>
        <w:t xml:space="preserve"> </w:t>
      </w:r>
      <w:r w:rsidRPr="007D47AD">
        <w:rPr>
          <w:rFonts w:asciiTheme="minorHAnsi" w:hAnsiTheme="minorHAnsi"/>
          <w:color w:val="000000"/>
          <w:sz w:val="20"/>
          <w:szCs w:val="20"/>
          <w:lang w:val="en-US"/>
        </w:rPr>
        <w:t xml:space="preserve">Moreover, the Commission notes the prevalence of domestic violence and sexual violence against indigenous women, as well as discriminatory practices and violence against indigenous women by sexual and reproductive health care personnel in the public health institutions at the moment of accessing sexual and reproductive health care, which in some cases has led to sterilizations without free and informed consent, according to information from </w:t>
      </w:r>
      <w:r w:rsidR="00FA7B3C" w:rsidRPr="007D47AD">
        <w:rPr>
          <w:rFonts w:asciiTheme="minorHAnsi" w:hAnsiTheme="minorHAnsi"/>
          <w:color w:val="000000"/>
          <w:sz w:val="20"/>
          <w:szCs w:val="20"/>
          <w:lang w:val="en-US"/>
        </w:rPr>
        <w:t>2018</w:t>
      </w:r>
      <w:r w:rsidRPr="007D47AD">
        <w:rPr>
          <w:rFonts w:asciiTheme="minorHAnsi" w:hAnsiTheme="minorHAnsi"/>
          <w:color w:val="000000"/>
          <w:sz w:val="20"/>
          <w:szCs w:val="20"/>
          <w:lang w:val="en-US"/>
        </w:rPr>
        <w:t>.</w:t>
      </w:r>
      <w:r w:rsidR="00C878BC" w:rsidRPr="007D47AD">
        <w:rPr>
          <w:rStyle w:val="FootnoteReference"/>
          <w:rFonts w:asciiTheme="minorHAnsi" w:hAnsiTheme="minorHAnsi"/>
          <w:color w:val="000000"/>
          <w:sz w:val="20"/>
          <w:szCs w:val="20"/>
          <w:lang w:val="en-US"/>
        </w:rPr>
        <w:footnoteReference w:id="276"/>
      </w:r>
      <w:r w:rsidR="00C878BC" w:rsidRPr="007D47AD">
        <w:rPr>
          <w:rFonts w:asciiTheme="minorHAnsi" w:hAnsiTheme="minorHAnsi"/>
          <w:color w:val="000000"/>
          <w:sz w:val="20"/>
          <w:szCs w:val="20"/>
          <w:lang w:val="en-US"/>
        </w:rPr>
        <w:t xml:space="preserve"> </w:t>
      </w:r>
    </w:p>
    <w:p w:rsidR="00C878BC" w:rsidRPr="007D47AD" w:rsidRDefault="00C878BC" w:rsidP="00C878BC">
      <w:pPr>
        <w:pStyle w:val="ListParagraph"/>
        <w:ind w:left="0" w:firstLine="720"/>
        <w:rPr>
          <w:rFonts w:asciiTheme="minorHAnsi" w:hAnsiTheme="minorHAnsi"/>
          <w:color w:val="000000"/>
          <w:sz w:val="20"/>
          <w:szCs w:val="20"/>
          <w:lang w:val="en-US"/>
        </w:rPr>
      </w:pPr>
    </w:p>
    <w:p w:rsidR="00C878BC" w:rsidRPr="007D47AD" w:rsidRDefault="00182A11" w:rsidP="00C878BC">
      <w:pPr>
        <w:numPr>
          <w:ilvl w:val="0"/>
          <w:numId w:val="6"/>
        </w:numPr>
        <w:shd w:val="clear" w:color="auto" w:fill="FFFFFF"/>
        <w:spacing w:after="0" w:line="240" w:lineRule="auto"/>
        <w:ind w:left="0" w:firstLine="720"/>
        <w:jc w:val="both"/>
        <w:rPr>
          <w:rFonts w:asciiTheme="minorHAnsi" w:hAnsiTheme="minorHAnsi"/>
          <w:color w:val="000000"/>
          <w:sz w:val="20"/>
          <w:szCs w:val="20"/>
          <w:lang w:val="en-US"/>
        </w:rPr>
      </w:pPr>
      <w:r w:rsidRPr="007D47AD">
        <w:rPr>
          <w:rFonts w:asciiTheme="minorHAnsi" w:hAnsiTheme="minorHAnsi"/>
          <w:color w:val="000000"/>
          <w:sz w:val="20"/>
          <w:szCs w:val="20"/>
          <w:lang w:val="en-US"/>
        </w:rPr>
        <w:t>As regards access to justice, the Commission has been informed that in most cases when indigenous women victims of violence lodge complaints they do so before their traditional authorities, given their geographic proximity,  and relationship with their authorities, access in their own language and, in many cases, the absence or lack of perceived effectiveness of the justice system of the State.</w:t>
      </w:r>
      <w:r w:rsidR="00C878BC" w:rsidRPr="007D47AD">
        <w:rPr>
          <w:rStyle w:val="FootnoteReference"/>
          <w:rFonts w:asciiTheme="minorHAnsi" w:hAnsiTheme="minorHAnsi"/>
          <w:color w:val="000000"/>
          <w:sz w:val="20"/>
          <w:szCs w:val="20"/>
          <w:lang w:val="en-US"/>
        </w:rPr>
        <w:footnoteReference w:id="277"/>
      </w:r>
      <w:r w:rsidR="00C878BC" w:rsidRPr="007D47AD">
        <w:rPr>
          <w:rFonts w:asciiTheme="minorHAnsi" w:hAnsiTheme="minorHAnsi"/>
          <w:color w:val="000000"/>
          <w:sz w:val="20"/>
          <w:szCs w:val="20"/>
          <w:lang w:val="en-US"/>
        </w:rPr>
        <w:t xml:space="preserve"> </w:t>
      </w:r>
      <w:r w:rsidRPr="007D47AD">
        <w:rPr>
          <w:rFonts w:asciiTheme="minorHAnsi" w:hAnsiTheme="minorHAnsi"/>
          <w:color w:val="000000"/>
          <w:sz w:val="20"/>
          <w:szCs w:val="20"/>
          <w:lang w:val="en-US"/>
        </w:rPr>
        <w:t xml:space="preserve">Nonetheless, even though the indigenous legal systems are afforded constitutional recognition, in practice the State has rendered invisible their importance and contribution to resolving disputes, without granting budgets for strengthening </w:t>
      </w:r>
      <w:r w:rsidRPr="007D47AD">
        <w:rPr>
          <w:rFonts w:asciiTheme="minorHAnsi" w:hAnsiTheme="minorHAnsi"/>
          <w:color w:val="000000"/>
          <w:sz w:val="20"/>
          <w:szCs w:val="20"/>
          <w:lang w:val="en-US"/>
        </w:rPr>
        <w:lastRenderedPageBreak/>
        <w:t>them, instead limiting their operations through practices or secondary legislation that keeps th</w:t>
      </w:r>
      <w:r w:rsidR="00062B25" w:rsidRPr="007D47AD">
        <w:rPr>
          <w:rFonts w:asciiTheme="minorHAnsi" w:hAnsiTheme="minorHAnsi"/>
          <w:color w:val="000000"/>
          <w:sz w:val="20"/>
          <w:szCs w:val="20"/>
          <w:lang w:val="en-US"/>
        </w:rPr>
        <w:t>is</w:t>
      </w:r>
      <w:r w:rsidRPr="007D47AD">
        <w:rPr>
          <w:rFonts w:asciiTheme="minorHAnsi" w:hAnsiTheme="minorHAnsi"/>
          <w:color w:val="000000"/>
          <w:sz w:val="20"/>
          <w:szCs w:val="20"/>
          <w:lang w:val="en-US"/>
        </w:rPr>
        <w:t xml:space="preserve"> justice system from resolving cases of violence against women. These practices have weakened indigenous justice and with it the possibility of responding indigenous women’s expectations for justice.</w:t>
      </w:r>
      <w:r w:rsidR="00C878BC" w:rsidRPr="007D47AD">
        <w:rPr>
          <w:rStyle w:val="FootnoteReference"/>
          <w:rFonts w:asciiTheme="minorHAnsi" w:hAnsiTheme="minorHAnsi"/>
          <w:color w:val="000000"/>
          <w:sz w:val="20"/>
          <w:szCs w:val="20"/>
          <w:lang w:val="en-US"/>
        </w:rPr>
        <w:footnoteReference w:id="278"/>
      </w:r>
      <w:r w:rsidR="00C878BC" w:rsidRPr="007D47AD">
        <w:rPr>
          <w:rFonts w:asciiTheme="minorHAnsi" w:hAnsiTheme="minorHAnsi"/>
          <w:color w:val="000000"/>
          <w:sz w:val="20"/>
          <w:szCs w:val="20"/>
          <w:lang w:val="en-US"/>
        </w:rPr>
        <w:t xml:space="preserve"> </w:t>
      </w:r>
      <w:r w:rsidRPr="007D47AD">
        <w:rPr>
          <w:rFonts w:asciiTheme="minorHAnsi" w:hAnsiTheme="minorHAnsi"/>
          <w:color w:val="000000"/>
          <w:sz w:val="20"/>
          <w:szCs w:val="20"/>
          <w:lang w:val="en-US"/>
        </w:rPr>
        <w:t>The IACHR observes that this lack of adequate coordination between the regular court</w:t>
      </w:r>
      <w:r w:rsidR="00062B25" w:rsidRPr="007D47AD">
        <w:rPr>
          <w:rFonts w:asciiTheme="minorHAnsi" w:hAnsiTheme="minorHAnsi"/>
          <w:color w:val="000000"/>
          <w:sz w:val="20"/>
          <w:szCs w:val="20"/>
          <w:lang w:val="en-US"/>
        </w:rPr>
        <w:t>s</w:t>
      </w:r>
      <w:r w:rsidRPr="007D47AD">
        <w:rPr>
          <w:rFonts w:asciiTheme="minorHAnsi" w:hAnsiTheme="minorHAnsi"/>
          <w:color w:val="000000"/>
          <w:sz w:val="20"/>
          <w:szCs w:val="20"/>
          <w:lang w:val="en-US"/>
        </w:rPr>
        <w:t xml:space="preserve"> and the indigenous jurisdiction may constitute an obstacles to effective access to justice for indigenous women who are victims of gender violence.</w:t>
      </w:r>
      <w:r w:rsidR="00C878BC" w:rsidRPr="007D47AD">
        <w:rPr>
          <w:rStyle w:val="FootnoteReference"/>
          <w:rFonts w:asciiTheme="minorHAnsi" w:hAnsiTheme="minorHAnsi"/>
          <w:color w:val="000000"/>
          <w:sz w:val="20"/>
          <w:szCs w:val="20"/>
          <w:lang w:val="en-US"/>
        </w:rPr>
        <w:footnoteReference w:id="279"/>
      </w:r>
      <w:r w:rsidR="00C878BC" w:rsidRPr="007D47AD">
        <w:rPr>
          <w:rFonts w:asciiTheme="minorHAnsi" w:hAnsiTheme="minorHAnsi"/>
          <w:color w:val="000000"/>
          <w:sz w:val="20"/>
          <w:szCs w:val="20"/>
          <w:lang w:val="en-US"/>
        </w:rPr>
        <w:t xml:space="preserve"> </w:t>
      </w:r>
    </w:p>
    <w:p w:rsidR="00C878BC" w:rsidRPr="007D47AD" w:rsidRDefault="00C878BC" w:rsidP="00C878BC">
      <w:pPr>
        <w:shd w:val="clear" w:color="auto" w:fill="FFFFFF"/>
        <w:spacing w:after="0"/>
        <w:ind w:firstLine="720"/>
        <w:jc w:val="both"/>
        <w:rPr>
          <w:rFonts w:asciiTheme="minorHAnsi" w:hAnsiTheme="minorHAnsi"/>
          <w:color w:val="000000"/>
          <w:sz w:val="20"/>
          <w:szCs w:val="20"/>
          <w:lang w:val="en-US"/>
        </w:rPr>
      </w:pPr>
    </w:p>
    <w:p w:rsidR="00FA7B3C" w:rsidRPr="007D47AD" w:rsidRDefault="00182A11" w:rsidP="0082016B">
      <w:pPr>
        <w:numPr>
          <w:ilvl w:val="0"/>
          <w:numId w:val="6"/>
        </w:numPr>
        <w:shd w:val="clear" w:color="auto" w:fill="FFFFFF"/>
        <w:spacing w:after="0" w:line="240" w:lineRule="auto"/>
        <w:ind w:left="0" w:firstLine="720"/>
        <w:jc w:val="both"/>
        <w:rPr>
          <w:rFonts w:asciiTheme="minorHAnsi" w:hAnsiTheme="minorHAnsi"/>
          <w:color w:val="000000"/>
          <w:sz w:val="20"/>
          <w:szCs w:val="20"/>
          <w:lang w:val="en-US"/>
        </w:rPr>
      </w:pPr>
      <w:r w:rsidRPr="007D47AD">
        <w:rPr>
          <w:rFonts w:asciiTheme="minorHAnsi" w:hAnsiTheme="minorHAnsi"/>
          <w:color w:val="000000"/>
          <w:sz w:val="20"/>
          <w:szCs w:val="20"/>
          <w:lang w:val="en-US"/>
        </w:rPr>
        <w:t xml:space="preserve">The Commission also notes other obstacles to access to justice for indigenous women in equal conditions, such as </w:t>
      </w:r>
      <w:r w:rsidR="008211D4" w:rsidRPr="007D47AD">
        <w:rPr>
          <w:rFonts w:asciiTheme="minorHAnsi" w:hAnsiTheme="minorHAnsi"/>
          <w:color w:val="000000"/>
          <w:sz w:val="20"/>
          <w:szCs w:val="20"/>
          <w:lang w:val="en-US"/>
        </w:rPr>
        <w:t>failings in national coverage and the physical distance</w:t>
      </w:r>
      <w:r w:rsidR="00062B25" w:rsidRPr="007D47AD">
        <w:rPr>
          <w:rFonts w:asciiTheme="minorHAnsi" w:hAnsiTheme="minorHAnsi"/>
          <w:color w:val="000000"/>
          <w:sz w:val="20"/>
          <w:szCs w:val="20"/>
          <w:lang w:val="en-US"/>
        </w:rPr>
        <w:t>s</w:t>
      </w:r>
      <w:r w:rsidR="008211D4" w:rsidRPr="007D47AD">
        <w:rPr>
          <w:rFonts w:asciiTheme="minorHAnsi" w:hAnsiTheme="minorHAnsi"/>
          <w:color w:val="000000"/>
          <w:sz w:val="20"/>
          <w:szCs w:val="20"/>
          <w:lang w:val="en-US"/>
        </w:rPr>
        <w:t xml:space="preserve"> to offices where complaints are to be lodged. </w:t>
      </w:r>
      <w:r w:rsidR="0082016B" w:rsidRPr="007D47AD">
        <w:rPr>
          <w:rFonts w:asciiTheme="minorHAnsi" w:hAnsiTheme="minorHAnsi"/>
          <w:color w:val="000000"/>
          <w:sz w:val="20"/>
          <w:szCs w:val="20"/>
          <w:lang w:val="en-US"/>
        </w:rPr>
        <w:t xml:space="preserve">Moreover, there are not sufficient guarantees for them to have interpreters and defense counsel in all trials and proceedings who understand their language and culture. According to the information available, there are approximately </w:t>
      </w:r>
      <w:r w:rsidR="00C878BC" w:rsidRPr="007D47AD">
        <w:rPr>
          <w:rFonts w:asciiTheme="minorHAnsi" w:hAnsiTheme="minorHAnsi"/>
          <w:color w:val="000000"/>
          <w:sz w:val="20"/>
          <w:szCs w:val="20"/>
          <w:lang w:val="en-US"/>
        </w:rPr>
        <w:t>1</w:t>
      </w:r>
      <w:r w:rsidR="0082016B" w:rsidRPr="007D47AD">
        <w:rPr>
          <w:rFonts w:asciiTheme="minorHAnsi" w:hAnsiTheme="minorHAnsi"/>
          <w:color w:val="000000"/>
          <w:sz w:val="20"/>
          <w:szCs w:val="20"/>
          <w:lang w:val="en-US"/>
        </w:rPr>
        <w:t>,</w:t>
      </w:r>
      <w:r w:rsidR="00C878BC" w:rsidRPr="007D47AD">
        <w:rPr>
          <w:rFonts w:asciiTheme="minorHAnsi" w:hAnsiTheme="minorHAnsi"/>
          <w:color w:val="000000"/>
          <w:sz w:val="20"/>
          <w:szCs w:val="20"/>
          <w:lang w:val="en-US"/>
        </w:rPr>
        <w:t xml:space="preserve">649 </w:t>
      </w:r>
      <w:r w:rsidR="0082016B" w:rsidRPr="007D47AD">
        <w:rPr>
          <w:rFonts w:asciiTheme="minorHAnsi" w:hAnsiTheme="minorHAnsi"/>
          <w:color w:val="000000"/>
          <w:sz w:val="20"/>
          <w:szCs w:val="20"/>
          <w:lang w:val="en-US"/>
        </w:rPr>
        <w:t xml:space="preserve">interpreters accredited by the National Institute of Indigenous Languages nationwide, </w:t>
      </w:r>
      <w:r w:rsidR="00062B25" w:rsidRPr="007D47AD">
        <w:rPr>
          <w:rFonts w:asciiTheme="minorHAnsi" w:hAnsiTheme="minorHAnsi"/>
          <w:color w:val="000000"/>
          <w:sz w:val="20"/>
          <w:szCs w:val="20"/>
          <w:lang w:val="en-US"/>
        </w:rPr>
        <w:t xml:space="preserve">while </w:t>
      </w:r>
      <w:r w:rsidR="0082016B" w:rsidRPr="007D47AD">
        <w:rPr>
          <w:rFonts w:asciiTheme="minorHAnsi" w:hAnsiTheme="minorHAnsi"/>
          <w:color w:val="000000"/>
          <w:sz w:val="20"/>
          <w:szCs w:val="20"/>
          <w:lang w:val="en-US"/>
        </w:rPr>
        <w:t>only 25 persons make up the corps of bilingual public defenders in Mexico, as indicated in detail in the recommendations on indigenous persons and peoples. The lack of translators and interpreters</w:t>
      </w:r>
      <w:r w:rsidR="00C878BC" w:rsidRPr="007D47AD">
        <w:rPr>
          <w:rFonts w:asciiTheme="minorHAnsi" w:hAnsiTheme="minorHAnsi"/>
          <w:color w:val="000000"/>
          <w:sz w:val="20"/>
          <w:szCs w:val="20"/>
          <w:lang w:val="en-US"/>
        </w:rPr>
        <w:t xml:space="preserve">, </w:t>
      </w:r>
      <w:r w:rsidR="0082016B" w:rsidRPr="007D47AD">
        <w:rPr>
          <w:rFonts w:asciiTheme="minorHAnsi" w:hAnsiTheme="minorHAnsi"/>
          <w:color w:val="000000"/>
          <w:sz w:val="20"/>
          <w:szCs w:val="20"/>
          <w:lang w:val="en-US"/>
        </w:rPr>
        <w:t>in the case of women victims of violence, become</w:t>
      </w:r>
      <w:r w:rsidR="00062B25" w:rsidRPr="007D47AD">
        <w:rPr>
          <w:rFonts w:asciiTheme="minorHAnsi" w:hAnsiTheme="minorHAnsi"/>
          <w:color w:val="000000"/>
          <w:sz w:val="20"/>
          <w:szCs w:val="20"/>
          <w:lang w:val="en-US"/>
        </w:rPr>
        <w:t>s</w:t>
      </w:r>
      <w:r w:rsidR="0082016B" w:rsidRPr="007D47AD">
        <w:rPr>
          <w:rFonts w:asciiTheme="minorHAnsi" w:hAnsiTheme="minorHAnsi"/>
          <w:color w:val="000000"/>
          <w:sz w:val="20"/>
          <w:szCs w:val="20"/>
          <w:lang w:val="en-US"/>
        </w:rPr>
        <w:t xml:space="preserve"> </w:t>
      </w:r>
      <w:r w:rsidR="00062B25" w:rsidRPr="007D47AD">
        <w:rPr>
          <w:rFonts w:asciiTheme="minorHAnsi" w:hAnsiTheme="minorHAnsi"/>
          <w:color w:val="000000"/>
          <w:sz w:val="20"/>
          <w:szCs w:val="20"/>
          <w:lang w:val="en-US"/>
        </w:rPr>
        <w:t xml:space="preserve">a </w:t>
      </w:r>
      <w:r w:rsidR="0082016B" w:rsidRPr="007D47AD">
        <w:rPr>
          <w:rFonts w:asciiTheme="minorHAnsi" w:hAnsiTheme="minorHAnsi"/>
          <w:color w:val="000000"/>
          <w:sz w:val="20"/>
          <w:szCs w:val="20"/>
          <w:lang w:val="en-US"/>
        </w:rPr>
        <w:t>concrete obstacle when it comes to reporting crimes and following up on their proceedings.</w:t>
      </w:r>
      <w:r w:rsidR="00C878BC" w:rsidRPr="007D47AD">
        <w:rPr>
          <w:rStyle w:val="FootnoteReference"/>
          <w:rFonts w:asciiTheme="minorHAnsi" w:hAnsiTheme="minorHAnsi"/>
          <w:color w:val="000000"/>
          <w:sz w:val="20"/>
          <w:szCs w:val="20"/>
          <w:lang w:val="en-US"/>
        </w:rPr>
        <w:footnoteReference w:id="280"/>
      </w:r>
    </w:p>
    <w:p w:rsidR="00C878BC" w:rsidRPr="007D47AD" w:rsidRDefault="00C878BC" w:rsidP="00FA7B3C">
      <w:pPr>
        <w:shd w:val="clear" w:color="auto" w:fill="FFFFFF"/>
        <w:spacing w:after="0" w:line="240" w:lineRule="auto"/>
        <w:jc w:val="both"/>
        <w:rPr>
          <w:rFonts w:asciiTheme="minorHAnsi" w:hAnsiTheme="minorHAnsi"/>
          <w:color w:val="000000"/>
          <w:sz w:val="20"/>
          <w:szCs w:val="20"/>
          <w:lang w:val="en-US"/>
        </w:rPr>
      </w:pPr>
      <w:r w:rsidRPr="007D47AD">
        <w:rPr>
          <w:rFonts w:asciiTheme="minorHAnsi" w:hAnsiTheme="minorHAnsi"/>
          <w:color w:val="000000"/>
          <w:sz w:val="20"/>
          <w:szCs w:val="20"/>
          <w:lang w:val="en-US"/>
        </w:rPr>
        <w:t xml:space="preserve"> </w:t>
      </w:r>
    </w:p>
    <w:p w:rsidR="00C878BC" w:rsidRPr="007D47AD" w:rsidRDefault="0082016B" w:rsidP="00D90232">
      <w:pPr>
        <w:numPr>
          <w:ilvl w:val="0"/>
          <w:numId w:val="6"/>
        </w:numPr>
        <w:shd w:val="clear" w:color="auto" w:fill="FFFFFF"/>
        <w:spacing w:after="0" w:line="240" w:lineRule="auto"/>
        <w:ind w:left="0" w:firstLine="720"/>
        <w:jc w:val="both"/>
        <w:rPr>
          <w:rFonts w:asciiTheme="minorHAnsi" w:hAnsiTheme="minorHAnsi"/>
          <w:color w:val="000000"/>
          <w:sz w:val="20"/>
          <w:szCs w:val="20"/>
          <w:lang w:val="en-US"/>
        </w:rPr>
      </w:pPr>
      <w:r w:rsidRPr="007D47AD">
        <w:rPr>
          <w:rFonts w:asciiTheme="minorHAnsi" w:hAnsiTheme="minorHAnsi"/>
          <w:color w:val="000000"/>
          <w:sz w:val="20"/>
          <w:szCs w:val="20"/>
          <w:lang w:val="en-US"/>
        </w:rPr>
        <w:t xml:space="preserve">The Commission observes the lack of official </w:t>
      </w:r>
      <w:r w:rsidR="00D90232" w:rsidRPr="007D47AD">
        <w:rPr>
          <w:rFonts w:asciiTheme="minorHAnsi" w:hAnsiTheme="minorHAnsi"/>
          <w:color w:val="000000"/>
          <w:sz w:val="20"/>
          <w:szCs w:val="20"/>
          <w:lang w:val="en-US"/>
        </w:rPr>
        <w:t>data broken down by gender and ethnic or racial origin, so as to make it possible to adequately assess the phenomenon of violence against indigenous women. For example, in the National Survey on the Dynamic of Relations in the Home, which monitors violence against women in the country, if the woman interviewed does not speak Spanish, the interview is concluded without capturing her testimony. According to the information available, this practice is common in most of the surveys on violence and access to justice, resulting in the disproportionate exclusion of indigenous women.</w:t>
      </w:r>
      <w:r w:rsidR="00C878BC" w:rsidRPr="007D47AD">
        <w:rPr>
          <w:rStyle w:val="FootnoteReference"/>
          <w:rFonts w:asciiTheme="minorHAnsi" w:hAnsiTheme="minorHAnsi"/>
          <w:color w:val="000000"/>
          <w:sz w:val="20"/>
          <w:szCs w:val="20"/>
          <w:lang w:val="en-US"/>
        </w:rPr>
        <w:footnoteReference w:id="281"/>
      </w:r>
      <w:r w:rsidR="00C878BC" w:rsidRPr="007D47AD">
        <w:rPr>
          <w:rFonts w:asciiTheme="minorHAnsi" w:hAnsiTheme="minorHAnsi"/>
          <w:color w:val="000000"/>
          <w:sz w:val="20"/>
          <w:szCs w:val="20"/>
          <w:lang w:val="en-US"/>
        </w:rPr>
        <w:t xml:space="preserve"> </w:t>
      </w:r>
      <w:r w:rsidR="00D90232" w:rsidRPr="007D47AD">
        <w:rPr>
          <w:rFonts w:asciiTheme="minorHAnsi" w:hAnsiTheme="minorHAnsi"/>
          <w:color w:val="000000"/>
          <w:sz w:val="20"/>
          <w:szCs w:val="20"/>
          <w:lang w:val="en-US"/>
        </w:rPr>
        <w:t>The Commis</w:t>
      </w:r>
      <w:r w:rsidR="00720F6A" w:rsidRPr="007D47AD">
        <w:rPr>
          <w:rFonts w:asciiTheme="minorHAnsi" w:hAnsiTheme="minorHAnsi"/>
          <w:color w:val="000000"/>
          <w:sz w:val="20"/>
          <w:szCs w:val="20"/>
          <w:lang w:val="en-US"/>
        </w:rPr>
        <w:t>si</w:t>
      </w:r>
      <w:r w:rsidR="00D90232" w:rsidRPr="007D47AD">
        <w:rPr>
          <w:rFonts w:asciiTheme="minorHAnsi" w:hAnsiTheme="minorHAnsi"/>
          <w:color w:val="000000"/>
          <w:sz w:val="20"/>
          <w:szCs w:val="20"/>
          <w:lang w:val="en-US"/>
        </w:rPr>
        <w:t xml:space="preserve">on also observes that in </w:t>
      </w:r>
      <w:r w:rsidR="00C878BC" w:rsidRPr="007D47AD">
        <w:rPr>
          <w:rFonts w:asciiTheme="minorHAnsi" w:hAnsiTheme="minorHAnsi"/>
          <w:color w:val="000000"/>
          <w:sz w:val="20"/>
          <w:szCs w:val="20"/>
          <w:lang w:val="en-US"/>
        </w:rPr>
        <w:t xml:space="preserve">2012 </w:t>
      </w:r>
      <w:r w:rsidR="00D90232" w:rsidRPr="007D47AD">
        <w:rPr>
          <w:rFonts w:asciiTheme="minorHAnsi" w:hAnsiTheme="minorHAnsi"/>
          <w:color w:val="000000"/>
          <w:sz w:val="20"/>
          <w:szCs w:val="20"/>
          <w:lang w:val="en-US"/>
        </w:rPr>
        <w:t xml:space="preserve">the variable was included as to whether the victims of homicide spoke an indigenous language. In the case of women, however, of the total </w:t>
      </w:r>
      <w:r w:rsidR="004E08FB" w:rsidRPr="007D47AD">
        <w:rPr>
          <w:rFonts w:asciiTheme="minorHAnsi" w:hAnsiTheme="minorHAnsi"/>
          <w:color w:val="000000"/>
          <w:sz w:val="20"/>
          <w:szCs w:val="20"/>
          <w:lang w:val="en-US"/>
        </w:rPr>
        <w:t>homicides</w:t>
      </w:r>
      <w:r w:rsidR="00D90232" w:rsidRPr="007D47AD">
        <w:rPr>
          <w:rFonts w:asciiTheme="minorHAnsi" w:hAnsiTheme="minorHAnsi"/>
          <w:color w:val="000000"/>
          <w:sz w:val="20"/>
          <w:szCs w:val="20"/>
          <w:lang w:val="en-US"/>
        </w:rPr>
        <w:t xml:space="preserve"> perpetrated from </w:t>
      </w:r>
      <w:r w:rsidR="00C878BC" w:rsidRPr="007D47AD">
        <w:rPr>
          <w:rFonts w:asciiTheme="minorHAnsi" w:hAnsiTheme="minorHAnsi"/>
          <w:color w:val="000000"/>
          <w:sz w:val="20"/>
          <w:szCs w:val="20"/>
          <w:lang w:val="en-US"/>
        </w:rPr>
        <w:t xml:space="preserve">2012 </w:t>
      </w:r>
      <w:r w:rsidR="00D90232" w:rsidRPr="007D47AD">
        <w:rPr>
          <w:rFonts w:asciiTheme="minorHAnsi" w:hAnsiTheme="minorHAnsi"/>
          <w:color w:val="000000"/>
          <w:sz w:val="20"/>
          <w:szCs w:val="20"/>
          <w:lang w:val="en-US"/>
        </w:rPr>
        <w:t xml:space="preserve">to </w:t>
      </w:r>
      <w:r w:rsidR="00C878BC" w:rsidRPr="007D47AD">
        <w:rPr>
          <w:rFonts w:asciiTheme="minorHAnsi" w:hAnsiTheme="minorHAnsi"/>
          <w:color w:val="000000"/>
          <w:sz w:val="20"/>
          <w:szCs w:val="20"/>
          <w:lang w:val="en-US"/>
        </w:rPr>
        <w:t xml:space="preserve">2017, </w:t>
      </w:r>
      <w:r w:rsidR="00D90232" w:rsidRPr="007D47AD">
        <w:rPr>
          <w:rFonts w:asciiTheme="minorHAnsi" w:hAnsiTheme="minorHAnsi"/>
          <w:color w:val="000000"/>
          <w:sz w:val="20"/>
          <w:szCs w:val="20"/>
          <w:lang w:val="en-US"/>
        </w:rPr>
        <w:t xml:space="preserve">in </w:t>
      </w:r>
      <w:r w:rsidR="00C878BC" w:rsidRPr="007D47AD">
        <w:rPr>
          <w:rFonts w:asciiTheme="minorHAnsi" w:hAnsiTheme="minorHAnsi"/>
          <w:color w:val="000000"/>
          <w:sz w:val="20"/>
          <w:szCs w:val="20"/>
          <w:lang w:val="en-US"/>
        </w:rPr>
        <w:t xml:space="preserve">41.9% </w:t>
      </w:r>
      <w:r w:rsidR="00D90232" w:rsidRPr="007D47AD">
        <w:rPr>
          <w:rFonts w:asciiTheme="minorHAnsi" w:hAnsiTheme="minorHAnsi"/>
          <w:color w:val="000000"/>
          <w:sz w:val="20"/>
          <w:szCs w:val="20"/>
          <w:lang w:val="en-US"/>
        </w:rPr>
        <w:t>of the cases language was ignored, which implies that even considering language as the sole indi</w:t>
      </w:r>
      <w:r w:rsidR="00720F6A" w:rsidRPr="007D47AD">
        <w:rPr>
          <w:rFonts w:asciiTheme="minorHAnsi" w:hAnsiTheme="minorHAnsi"/>
          <w:color w:val="000000"/>
          <w:sz w:val="20"/>
          <w:szCs w:val="20"/>
          <w:lang w:val="en-US"/>
        </w:rPr>
        <w:t xml:space="preserve">cator </w:t>
      </w:r>
      <w:r w:rsidR="00D90232" w:rsidRPr="007D47AD">
        <w:rPr>
          <w:rFonts w:asciiTheme="minorHAnsi" w:hAnsiTheme="minorHAnsi"/>
          <w:color w:val="000000"/>
          <w:sz w:val="20"/>
          <w:szCs w:val="20"/>
          <w:lang w:val="en-US"/>
        </w:rPr>
        <w:t xml:space="preserve">of a person’s ethnic origin, it is not possible to know for sure how many indigenous women have been murdered in </w:t>
      </w:r>
      <w:r w:rsidR="00C878BC" w:rsidRPr="007D47AD">
        <w:rPr>
          <w:rFonts w:asciiTheme="minorHAnsi" w:hAnsiTheme="minorHAnsi"/>
          <w:color w:val="000000"/>
          <w:sz w:val="20"/>
          <w:szCs w:val="20"/>
          <w:lang w:val="en-US"/>
        </w:rPr>
        <w:t>M</w:t>
      </w:r>
      <w:r w:rsidR="00D90232" w:rsidRPr="007D47AD">
        <w:rPr>
          <w:rFonts w:asciiTheme="minorHAnsi" w:hAnsiTheme="minorHAnsi"/>
          <w:color w:val="000000"/>
          <w:sz w:val="20"/>
          <w:szCs w:val="20"/>
          <w:lang w:val="en-US"/>
        </w:rPr>
        <w:t>e</w:t>
      </w:r>
      <w:r w:rsidR="00C878BC" w:rsidRPr="007D47AD">
        <w:rPr>
          <w:rFonts w:asciiTheme="minorHAnsi" w:hAnsiTheme="minorHAnsi"/>
          <w:color w:val="000000"/>
          <w:sz w:val="20"/>
          <w:szCs w:val="20"/>
          <w:lang w:val="en-US"/>
        </w:rPr>
        <w:t>xico</w:t>
      </w:r>
      <w:r w:rsidR="00D90232" w:rsidRPr="007D47AD">
        <w:rPr>
          <w:rFonts w:asciiTheme="minorHAnsi" w:hAnsiTheme="minorHAnsi"/>
          <w:color w:val="000000"/>
          <w:sz w:val="20"/>
          <w:szCs w:val="20"/>
          <w:lang w:val="en-US"/>
        </w:rPr>
        <w:t>.</w:t>
      </w:r>
      <w:r w:rsidR="00C878BC" w:rsidRPr="007D47AD">
        <w:rPr>
          <w:rStyle w:val="FootnoteReference"/>
          <w:rFonts w:asciiTheme="minorHAnsi" w:hAnsiTheme="minorHAnsi"/>
          <w:color w:val="000000"/>
          <w:sz w:val="20"/>
          <w:szCs w:val="20"/>
          <w:lang w:val="en-US"/>
        </w:rPr>
        <w:footnoteReference w:id="282"/>
      </w:r>
      <w:r w:rsidR="00C878BC" w:rsidRPr="007D47AD">
        <w:rPr>
          <w:rFonts w:asciiTheme="minorHAnsi" w:hAnsiTheme="minorHAnsi"/>
          <w:color w:val="000000"/>
          <w:lang w:val="en-US"/>
        </w:rPr>
        <w:t xml:space="preserve"> </w:t>
      </w:r>
    </w:p>
    <w:p w:rsidR="00C878BC" w:rsidRPr="007D47AD" w:rsidRDefault="00C878BC" w:rsidP="00C878BC">
      <w:pPr>
        <w:shd w:val="clear" w:color="auto" w:fill="FFFFFF"/>
        <w:spacing w:after="0"/>
        <w:ind w:firstLine="720"/>
        <w:jc w:val="both"/>
        <w:rPr>
          <w:rFonts w:asciiTheme="minorHAnsi" w:hAnsiTheme="minorHAnsi"/>
          <w:color w:val="000000"/>
          <w:sz w:val="20"/>
          <w:szCs w:val="20"/>
          <w:lang w:val="en-US"/>
        </w:rPr>
      </w:pPr>
    </w:p>
    <w:p w:rsidR="00C878BC" w:rsidRPr="007D47AD" w:rsidRDefault="002058AC" w:rsidP="00C878BC">
      <w:pPr>
        <w:numPr>
          <w:ilvl w:val="0"/>
          <w:numId w:val="6"/>
        </w:numPr>
        <w:shd w:val="clear" w:color="auto" w:fill="FFFFFF"/>
        <w:spacing w:after="0" w:line="240" w:lineRule="auto"/>
        <w:ind w:left="0" w:firstLine="720"/>
        <w:jc w:val="both"/>
        <w:rPr>
          <w:rStyle w:val="m002d8320586899623630245numberedparagraphschar"/>
          <w:rFonts w:asciiTheme="minorHAnsi" w:hAnsiTheme="minorHAnsi"/>
          <w:color w:val="000000"/>
          <w:sz w:val="20"/>
          <w:szCs w:val="20"/>
          <w:lang w:val="en-US"/>
        </w:rPr>
      </w:pPr>
      <w:r w:rsidRPr="007D47AD">
        <w:rPr>
          <w:rFonts w:asciiTheme="minorHAnsi" w:hAnsiTheme="minorHAnsi"/>
          <w:color w:val="000000"/>
          <w:sz w:val="20"/>
          <w:szCs w:val="20"/>
          <w:lang w:val="en-US"/>
        </w:rPr>
        <w:t xml:space="preserve">According to the information available, the Commission observes the lack of a structured and coordinated strategy in the design and implementation of culturally appropriate policies for preventing, investigating, punishing, and making reparation for acts of discrimination against indigenous women, associating it with the institutional expression of historical discrimination that indigenous women have faced and will continue facing in Mexico. In this context, the IACHR </w:t>
      </w:r>
      <w:r w:rsidR="00C878BC" w:rsidRPr="007D47AD">
        <w:rPr>
          <w:rFonts w:asciiTheme="minorHAnsi" w:hAnsiTheme="minorHAnsi"/>
          <w:color w:val="000000"/>
          <w:sz w:val="20"/>
          <w:szCs w:val="20"/>
          <w:lang w:val="en-US"/>
        </w:rPr>
        <w:t>reitera</w:t>
      </w:r>
      <w:r w:rsidRPr="007D47AD">
        <w:rPr>
          <w:rFonts w:asciiTheme="minorHAnsi" w:hAnsiTheme="minorHAnsi"/>
          <w:color w:val="000000"/>
          <w:sz w:val="20"/>
          <w:szCs w:val="20"/>
          <w:lang w:val="en-US"/>
        </w:rPr>
        <w:t>tes its recommendation to the State and urges it to channel all necessary efforts to adequately address the needs of indigenous women; to adopt the measures necessary for ensuring access to justice for all of them</w:t>
      </w:r>
      <w:r w:rsidR="00C878BC" w:rsidRPr="007D47AD">
        <w:rPr>
          <w:rFonts w:asciiTheme="minorHAnsi" w:hAnsiTheme="minorHAnsi"/>
          <w:color w:val="000000"/>
          <w:sz w:val="20"/>
          <w:szCs w:val="20"/>
          <w:lang w:val="en-US"/>
        </w:rPr>
        <w:t xml:space="preserve">; </w:t>
      </w:r>
      <w:r w:rsidRPr="007D47AD">
        <w:rPr>
          <w:rFonts w:asciiTheme="minorHAnsi" w:hAnsiTheme="minorHAnsi"/>
          <w:color w:val="000000"/>
          <w:sz w:val="20"/>
          <w:szCs w:val="20"/>
          <w:lang w:val="en-US"/>
        </w:rPr>
        <w:t xml:space="preserve">to </w:t>
      </w:r>
      <w:r w:rsidR="00C878BC" w:rsidRPr="007D47AD">
        <w:rPr>
          <w:rFonts w:asciiTheme="minorHAnsi" w:hAnsiTheme="minorHAnsi"/>
          <w:color w:val="000000"/>
          <w:sz w:val="20"/>
          <w:szCs w:val="20"/>
          <w:lang w:val="en-US"/>
        </w:rPr>
        <w:t>adopt</w:t>
      </w:r>
      <w:r w:rsidRPr="007D47AD">
        <w:rPr>
          <w:rFonts w:asciiTheme="minorHAnsi" w:hAnsiTheme="minorHAnsi"/>
          <w:color w:val="000000"/>
          <w:sz w:val="20"/>
          <w:szCs w:val="20"/>
          <w:lang w:val="en-US"/>
        </w:rPr>
        <w:t xml:space="preserve"> policies that integrate a differentiated approach and gender perspective in carrying out its duty of due diligence; to generate properly </w:t>
      </w:r>
      <w:r w:rsidR="00A05094" w:rsidRPr="007D47AD">
        <w:rPr>
          <w:rFonts w:asciiTheme="minorHAnsi" w:hAnsiTheme="minorHAnsi"/>
          <w:color w:val="000000"/>
          <w:sz w:val="20"/>
          <w:szCs w:val="20"/>
          <w:lang w:val="en-US"/>
        </w:rPr>
        <w:t xml:space="preserve">disaggregated </w:t>
      </w:r>
      <w:r w:rsidRPr="007D47AD">
        <w:rPr>
          <w:rFonts w:asciiTheme="minorHAnsi" w:hAnsiTheme="minorHAnsi"/>
          <w:color w:val="000000"/>
          <w:sz w:val="20"/>
          <w:szCs w:val="20"/>
          <w:lang w:val="en-US"/>
        </w:rPr>
        <w:t>statistica</w:t>
      </w:r>
      <w:r w:rsidR="00A05094" w:rsidRPr="007D47AD">
        <w:rPr>
          <w:rFonts w:asciiTheme="minorHAnsi" w:hAnsiTheme="minorHAnsi"/>
          <w:color w:val="000000"/>
          <w:sz w:val="20"/>
          <w:szCs w:val="20"/>
          <w:lang w:val="en-US"/>
        </w:rPr>
        <w:t>l</w:t>
      </w:r>
      <w:r w:rsidRPr="007D47AD">
        <w:rPr>
          <w:rFonts w:asciiTheme="minorHAnsi" w:hAnsiTheme="minorHAnsi"/>
          <w:color w:val="000000"/>
          <w:sz w:val="20"/>
          <w:szCs w:val="20"/>
          <w:lang w:val="en-US"/>
        </w:rPr>
        <w:t xml:space="preserve"> data</w:t>
      </w:r>
      <w:r w:rsidR="00C878BC" w:rsidRPr="007D47AD">
        <w:rPr>
          <w:rFonts w:asciiTheme="minorHAnsi" w:hAnsiTheme="minorHAnsi"/>
          <w:color w:val="000000"/>
          <w:sz w:val="20"/>
          <w:szCs w:val="20"/>
          <w:lang w:val="en-US"/>
        </w:rPr>
        <w:t>;</w:t>
      </w:r>
      <w:r w:rsidRPr="007D47AD">
        <w:rPr>
          <w:rFonts w:asciiTheme="minorHAnsi" w:hAnsiTheme="minorHAnsi"/>
          <w:color w:val="000000"/>
          <w:sz w:val="20"/>
          <w:szCs w:val="20"/>
          <w:lang w:val="en-US"/>
        </w:rPr>
        <w:t xml:space="preserve"> and to report to the Commission on all </w:t>
      </w:r>
      <w:r w:rsidR="00A05094" w:rsidRPr="007D47AD">
        <w:rPr>
          <w:rFonts w:asciiTheme="minorHAnsi" w:hAnsiTheme="minorHAnsi"/>
          <w:color w:val="000000"/>
          <w:sz w:val="20"/>
          <w:szCs w:val="20"/>
          <w:lang w:val="en-US"/>
        </w:rPr>
        <w:t xml:space="preserve">of these points. </w:t>
      </w:r>
      <w:r w:rsidRPr="007D47AD">
        <w:rPr>
          <w:rFonts w:asciiTheme="minorHAnsi" w:hAnsiTheme="minorHAnsi"/>
          <w:color w:val="000000"/>
          <w:sz w:val="20"/>
          <w:szCs w:val="20"/>
          <w:lang w:val="en-US"/>
        </w:rPr>
        <w:t xml:space="preserve">Based on the foregoing, the IACHR observes that the </w:t>
      </w:r>
      <w:r w:rsidR="003F0CD4" w:rsidRPr="007D47AD">
        <w:rPr>
          <w:rFonts w:asciiTheme="minorHAnsi" w:hAnsiTheme="minorHAnsi"/>
          <w:color w:val="000000"/>
          <w:sz w:val="20"/>
          <w:szCs w:val="20"/>
          <w:lang w:val="en-US"/>
        </w:rPr>
        <w:t xml:space="preserve">recommendation has yet to be implemented. </w:t>
      </w:r>
    </w:p>
    <w:p w:rsidR="00C878BC" w:rsidRPr="007D47AD" w:rsidRDefault="00C878BC" w:rsidP="00A03EC4">
      <w:pPr>
        <w:shd w:val="clear" w:color="auto" w:fill="FFFFFF"/>
        <w:spacing w:after="0" w:line="240" w:lineRule="auto"/>
        <w:jc w:val="both"/>
        <w:rPr>
          <w:rFonts w:asciiTheme="minorHAnsi" w:hAnsiTheme="minorHAnsi"/>
          <w:color w:val="000000"/>
          <w:sz w:val="20"/>
          <w:szCs w:val="20"/>
          <w:lang w:val="en-US"/>
        </w:rPr>
      </w:pPr>
    </w:p>
    <w:p w:rsidR="009C095D" w:rsidRPr="007D47AD" w:rsidRDefault="003F0CD4" w:rsidP="003F0CD4">
      <w:pPr>
        <w:pStyle w:val="Heading3"/>
        <w:numPr>
          <w:ilvl w:val="2"/>
          <w:numId w:val="7"/>
        </w:numPr>
        <w:shd w:val="clear" w:color="auto" w:fill="auto"/>
        <w:spacing w:before="0"/>
        <w:ind w:left="1440" w:hanging="720"/>
        <w:rPr>
          <w:rFonts w:asciiTheme="minorHAnsi" w:hAnsiTheme="minorHAnsi"/>
          <w:sz w:val="20"/>
          <w:szCs w:val="20"/>
          <w:lang w:val="en-US"/>
        </w:rPr>
      </w:pPr>
      <w:r w:rsidRPr="007D47AD">
        <w:rPr>
          <w:rFonts w:asciiTheme="minorHAnsi" w:hAnsiTheme="minorHAnsi"/>
          <w:sz w:val="20"/>
          <w:szCs w:val="20"/>
          <w:lang w:val="en-US"/>
        </w:rPr>
        <w:t xml:space="preserve">Children and </w:t>
      </w:r>
      <w:r w:rsidR="009C095D" w:rsidRPr="007D47AD">
        <w:rPr>
          <w:rFonts w:asciiTheme="minorHAnsi" w:hAnsiTheme="minorHAnsi"/>
          <w:sz w:val="20"/>
          <w:szCs w:val="20"/>
          <w:lang w:val="en-US"/>
        </w:rPr>
        <w:t>adolescents</w:t>
      </w:r>
    </w:p>
    <w:p w:rsidR="009C095D" w:rsidRPr="007D47AD" w:rsidRDefault="00C751CE" w:rsidP="00E472A2">
      <w:pPr>
        <w:pStyle w:val="Numberedparagraphs"/>
        <w:numPr>
          <w:ilvl w:val="0"/>
          <w:numId w:val="17"/>
        </w:numPr>
        <w:shd w:val="clear" w:color="auto" w:fill="D9D9D9"/>
        <w:tabs>
          <w:tab w:val="left" w:pos="1440"/>
        </w:tabs>
        <w:spacing w:after="0"/>
        <w:ind w:left="1440" w:hanging="720"/>
        <w:rPr>
          <w:rFonts w:asciiTheme="minorHAnsi" w:hAnsiTheme="minorHAnsi"/>
          <w:lang w:val="en-US"/>
        </w:rPr>
      </w:pPr>
      <w:r w:rsidRPr="007D47AD">
        <w:rPr>
          <w:rFonts w:asciiTheme="minorHAnsi" w:hAnsiTheme="minorHAnsi"/>
          <w:lang w:val="en-US"/>
        </w:rPr>
        <w:t>Develop</w:t>
      </w:r>
      <w:r w:rsidR="009C095D" w:rsidRPr="007D47AD">
        <w:rPr>
          <w:rFonts w:asciiTheme="minorHAnsi" w:hAnsiTheme="minorHAnsi"/>
          <w:lang w:val="en-US"/>
        </w:rPr>
        <w:t xml:space="preserve"> </w:t>
      </w:r>
      <w:r w:rsidRPr="007D47AD">
        <w:rPr>
          <w:rFonts w:asciiTheme="minorHAnsi" w:hAnsiTheme="minorHAnsi"/>
          <w:lang w:val="en-US"/>
        </w:rPr>
        <w:t>operational protocols for the police regarding interventions involving children and adolescents, aimed at ensuring the protection of their rights</w:t>
      </w:r>
      <w:r w:rsidR="009C095D" w:rsidRPr="007D47AD">
        <w:rPr>
          <w:rFonts w:asciiTheme="minorHAnsi" w:hAnsiTheme="minorHAnsi"/>
          <w:lang w:val="en-US"/>
        </w:rPr>
        <w:t>.</w:t>
      </w:r>
    </w:p>
    <w:p w:rsidR="009C095D" w:rsidRPr="007D47AD" w:rsidRDefault="00C751CE" w:rsidP="00E472A2">
      <w:pPr>
        <w:pStyle w:val="Numberedparagraphs"/>
        <w:numPr>
          <w:ilvl w:val="0"/>
          <w:numId w:val="17"/>
        </w:numPr>
        <w:shd w:val="clear" w:color="auto" w:fill="D9D9D9"/>
        <w:tabs>
          <w:tab w:val="left" w:pos="1440"/>
        </w:tabs>
        <w:spacing w:after="0"/>
        <w:ind w:left="1440" w:hanging="720"/>
        <w:rPr>
          <w:rFonts w:asciiTheme="minorHAnsi" w:hAnsiTheme="minorHAnsi"/>
          <w:lang w:val="en-US"/>
        </w:rPr>
      </w:pPr>
      <w:r w:rsidRPr="007D47AD">
        <w:rPr>
          <w:rFonts w:asciiTheme="minorHAnsi" w:hAnsiTheme="minorHAnsi"/>
          <w:lang w:val="en-US" w:eastAsia="es-ES"/>
        </w:rPr>
        <w:lastRenderedPageBreak/>
        <w:t xml:space="preserve">Implement and strengthen measures to fulfill the duty to act with due diligence to prevent, punish and eradicate violence against children and adolescents, including concrete efforts to fulfill the obligations to prevent, investigate, punish and repair human rights violations and consider the </w:t>
      </w:r>
      <w:r w:rsidR="004E08FB" w:rsidRPr="007D47AD">
        <w:rPr>
          <w:rFonts w:asciiTheme="minorHAnsi" w:hAnsiTheme="minorHAnsi"/>
          <w:lang w:val="en-US" w:eastAsia="es-ES"/>
        </w:rPr>
        <w:t>corresponding</w:t>
      </w:r>
      <w:r w:rsidRPr="007D47AD">
        <w:rPr>
          <w:rFonts w:asciiTheme="minorHAnsi" w:hAnsiTheme="minorHAnsi"/>
          <w:lang w:val="en-US" w:eastAsia="es-ES"/>
        </w:rPr>
        <w:t xml:space="preserve"> aggravating factors related to the age of the victim.</w:t>
      </w:r>
      <w:r w:rsidR="009C095D" w:rsidRPr="007D47AD">
        <w:rPr>
          <w:rFonts w:asciiTheme="minorHAnsi" w:hAnsiTheme="minorHAnsi"/>
          <w:lang w:val="en-US" w:eastAsia="es-ES"/>
        </w:rPr>
        <w:t xml:space="preserve"> </w:t>
      </w:r>
    </w:p>
    <w:p w:rsidR="00C751CE" w:rsidRPr="007D47AD" w:rsidRDefault="00C751CE" w:rsidP="00C751CE">
      <w:pPr>
        <w:shd w:val="clear" w:color="auto" w:fill="FFFFFF"/>
        <w:spacing w:after="240" w:line="240" w:lineRule="auto"/>
        <w:jc w:val="both"/>
        <w:rPr>
          <w:rFonts w:asciiTheme="minorHAnsi" w:eastAsia="Cambria" w:hAnsiTheme="minorHAnsi" w:cs="Cambria"/>
          <w:sz w:val="20"/>
          <w:szCs w:val="20"/>
          <w:lang w:val="en-US"/>
        </w:rPr>
      </w:pPr>
    </w:p>
    <w:p w:rsidR="003A01C2" w:rsidRPr="007D47AD" w:rsidRDefault="003F0CD4" w:rsidP="003A01C2">
      <w:pPr>
        <w:numPr>
          <w:ilvl w:val="0"/>
          <w:numId w:val="6"/>
        </w:numPr>
        <w:shd w:val="clear" w:color="auto" w:fill="FFFFFF"/>
        <w:spacing w:after="240" w:line="240" w:lineRule="auto"/>
        <w:ind w:left="0" w:firstLine="720"/>
        <w:jc w:val="both"/>
        <w:rPr>
          <w:rFonts w:asciiTheme="minorHAnsi" w:eastAsia="Cambria" w:hAnsiTheme="minorHAnsi" w:cs="Cambria"/>
          <w:sz w:val="20"/>
          <w:szCs w:val="20"/>
          <w:lang w:val="en-US"/>
        </w:rPr>
      </w:pPr>
      <w:r w:rsidRPr="007D47AD">
        <w:rPr>
          <w:rFonts w:asciiTheme="minorHAnsi" w:eastAsia="Cambria" w:hAnsiTheme="minorHAnsi" w:cs="Cambria"/>
          <w:sz w:val="20"/>
          <w:szCs w:val="20"/>
          <w:lang w:val="en-US"/>
        </w:rPr>
        <w:t xml:space="preserve">As regards </w:t>
      </w:r>
      <w:r w:rsidR="00C751CE" w:rsidRPr="007D47AD">
        <w:rPr>
          <w:rFonts w:asciiTheme="minorHAnsi" w:eastAsia="Cambria" w:hAnsiTheme="minorHAnsi" w:cs="Cambria"/>
          <w:b/>
          <w:sz w:val="20"/>
          <w:szCs w:val="20"/>
          <w:lang w:val="en-US"/>
        </w:rPr>
        <w:t>developing operational protocols for the police regarding interventions involving children and adolescents, aimed at ensuring the protection of their rights</w:t>
      </w:r>
      <w:r w:rsidR="003A01C2" w:rsidRPr="007D47AD">
        <w:rPr>
          <w:rFonts w:asciiTheme="minorHAnsi" w:eastAsia="Cambria" w:hAnsiTheme="minorHAnsi" w:cs="Cambria"/>
          <w:sz w:val="20"/>
          <w:szCs w:val="20"/>
          <w:lang w:val="en-US"/>
        </w:rPr>
        <w:t xml:space="preserve">, </w:t>
      </w:r>
      <w:r w:rsidRPr="007D47AD">
        <w:rPr>
          <w:rFonts w:asciiTheme="minorHAnsi" w:eastAsia="Cambria" w:hAnsiTheme="minorHAnsi" w:cs="Cambria"/>
          <w:sz w:val="20"/>
          <w:szCs w:val="20"/>
          <w:lang w:val="en-US"/>
        </w:rPr>
        <w:t xml:space="preserve">the State reported that on July </w:t>
      </w:r>
      <w:r w:rsidR="003A01C2" w:rsidRPr="007D47AD">
        <w:rPr>
          <w:rFonts w:asciiTheme="minorHAnsi" w:eastAsia="Cambria" w:hAnsiTheme="minorHAnsi" w:cs="Cambria"/>
          <w:sz w:val="20"/>
          <w:szCs w:val="20"/>
          <w:lang w:val="en-US"/>
        </w:rPr>
        <w:t>16</w:t>
      </w:r>
      <w:r w:rsidRPr="007D47AD">
        <w:rPr>
          <w:rFonts w:asciiTheme="minorHAnsi" w:eastAsia="Cambria" w:hAnsiTheme="minorHAnsi" w:cs="Cambria"/>
          <w:sz w:val="20"/>
          <w:szCs w:val="20"/>
          <w:lang w:val="en-US"/>
        </w:rPr>
        <w:t>,</w:t>
      </w:r>
      <w:r w:rsidR="003A01C2" w:rsidRPr="007D47AD">
        <w:rPr>
          <w:rFonts w:asciiTheme="minorHAnsi" w:eastAsia="Cambria" w:hAnsiTheme="minorHAnsi" w:cs="Cambria"/>
          <w:sz w:val="20"/>
          <w:szCs w:val="20"/>
          <w:lang w:val="en-US"/>
        </w:rPr>
        <w:t xml:space="preserve"> 2019 </w:t>
      </w:r>
      <w:r w:rsidRPr="007D47AD">
        <w:rPr>
          <w:rFonts w:asciiTheme="minorHAnsi" w:eastAsia="Cambria" w:hAnsiTheme="minorHAnsi" w:cs="Cambria"/>
          <w:sz w:val="20"/>
          <w:szCs w:val="20"/>
          <w:lang w:val="en-US"/>
        </w:rPr>
        <w:t xml:space="preserve">the 2019-2024 Mexico Action Plan was presented following up on Mexico’s accession to the </w:t>
      </w:r>
      <w:r w:rsidR="009D68FB" w:rsidRPr="007D47AD">
        <w:rPr>
          <w:rFonts w:asciiTheme="minorHAnsi" w:eastAsia="Cambria" w:hAnsiTheme="minorHAnsi" w:cs="Cambria"/>
          <w:sz w:val="20"/>
          <w:szCs w:val="20"/>
          <w:lang w:val="en-US"/>
        </w:rPr>
        <w:t xml:space="preserve">Global Partnership to End Violence Against Children </w:t>
      </w:r>
      <w:r w:rsidRPr="007D47AD">
        <w:rPr>
          <w:rFonts w:asciiTheme="minorHAnsi" w:eastAsia="Cambria" w:hAnsiTheme="minorHAnsi" w:cs="Cambria"/>
          <w:sz w:val="20"/>
          <w:szCs w:val="20"/>
          <w:lang w:val="en-US"/>
        </w:rPr>
        <w:t xml:space="preserve">in </w:t>
      </w:r>
      <w:r w:rsidR="003A01C2" w:rsidRPr="007D47AD">
        <w:rPr>
          <w:rFonts w:asciiTheme="minorHAnsi" w:eastAsia="Cambria" w:hAnsiTheme="minorHAnsi" w:cs="Cambria"/>
          <w:sz w:val="20"/>
          <w:szCs w:val="20"/>
          <w:lang w:val="en-US"/>
        </w:rPr>
        <w:t>2017</w:t>
      </w:r>
      <w:r w:rsidR="003A01C2" w:rsidRPr="007D47AD">
        <w:rPr>
          <w:rFonts w:asciiTheme="minorHAnsi" w:eastAsia="Cambria" w:hAnsiTheme="minorHAnsi" w:cs="Cambria"/>
          <w:sz w:val="20"/>
          <w:szCs w:val="20"/>
          <w:vertAlign w:val="superscript"/>
          <w:lang w:val="en-US"/>
        </w:rPr>
        <w:footnoteReference w:id="283"/>
      </w:r>
      <w:r w:rsidRPr="007D47AD">
        <w:rPr>
          <w:rFonts w:asciiTheme="minorHAnsi" w:eastAsia="Cambria" w:hAnsiTheme="minorHAnsi" w:cs="Cambria"/>
          <w:sz w:val="20"/>
          <w:szCs w:val="20"/>
          <w:lang w:val="en-US"/>
        </w:rPr>
        <w:t xml:space="preserve">, to put an end to all forms of violence against that population. As reported, the Plan has four strategies, one of which is focused on the subject matter of this recommendation and has been called </w:t>
      </w:r>
      <w:r w:rsidR="003A01C2" w:rsidRPr="007D47AD">
        <w:rPr>
          <w:rFonts w:asciiTheme="minorHAnsi" w:eastAsia="Cambria" w:hAnsiTheme="minorHAnsi" w:cs="Cambria"/>
          <w:sz w:val="20"/>
          <w:szCs w:val="20"/>
          <w:lang w:val="en-US"/>
        </w:rPr>
        <w:t>“</w:t>
      </w:r>
      <w:r w:rsidR="004E08FB" w:rsidRPr="007D47AD">
        <w:rPr>
          <w:rFonts w:asciiTheme="minorHAnsi" w:eastAsia="Cambria" w:hAnsiTheme="minorHAnsi" w:cs="Cambria"/>
          <w:sz w:val="20"/>
          <w:szCs w:val="20"/>
          <w:lang w:val="en-US"/>
        </w:rPr>
        <w:t>Public</w:t>
      </w:r>
      <w:r w:rsidR="00A05094" w:rsidRPr="007D47AD">
        <w:rPr>
          <w:rFonts w:asciiTheme="minorHAnsi" w:eastAsia="Cambria" w:hAnsiTheme="minorHAnsi" w:cs="Cambria"/>
          <w:sz w:val="20"/>
          <w:szCs w:val="20"/>
          <w:lang w:val="en-US"/>
        </w:rPr>
        <w:t xml:space="preserve"> security and social participation of children and adol</w:t>
      </w:r>
      <w:r w:rsidR="00485656" w:rsidRPr="007D47AD">
        <w:rPr>
          <w:rFonts w:asciiTheme="minorHAnsi" w:eastAsia="Cambria" w:hAnsiTheme="minorHAnsi" w:cs="Cambria"/>
          <w:sz w:val="20"/>
          <w:szCs w:val="20"/>
          <w:lang w:val="en-US"/>
        </w:rPr>
        <w:t>e</w:t>
      </w:r>
      <w:r w:rsidR="00A05094" w:rsidRPr="007D47AD">
        <w:rPr>
          <w:rFonts w:asciiTheme="minorHAnsi" w:eastAsia="Cambria" w:hAnsiTheme="minorHAnsi" w:cs="Cambria"/>
          <w:sz w:val="20"/>
          <w:szCs w:val="20"/>
          <w:lang w:val="en-US"/>
        </w:rPr>
        <w:t>scents</w:t>
      </w:r>
      <w:r w:rsidRPr="007D47AD">
        <w:rPr>
          <w:rFonts w:asciiTheme="minorHAnsi" w:eastAsia="Cambria" w:hAnsiTheme="minorHAnsi" w:cs="Cambria"/>
          <w:sz w:val="20"/>
          <w:szCs w:val="20"/>
          <w:lang w:val="en-US"/>
        </w:rPr>
        <w:t>,</w:t>
      </w:r>
      <w:r w:rsidR="003A01C2" w:rsidRPr="007D47AD">
        <w:rPr>
          <w:rFonts w:asciiTheme="minorHAnsi" w:eastAsia="Cambria" w:hAnsiTheme="minorHAnsi" w:cs="Cambria"/>
          <w:sz w:val="20"/>
          <w:szCs w:val="20"/>
          <w:lang w:val="en-US"/>
        </w:rPr>
        <w:t xml:space="preserve">” </w:t>
      </w:r>
      <w:r w:rsidRPr="007D47AD">
        <w:rPr>
          <w:rFonts w:asciiTheme="minorHAnsi" w:eastAsia="Cambria" w:hAnsiTheme="minorHAnsi" w:cs="Cambria"/>
          <w:sz w:val="20"/>
          <w:szCs w:val="20"/>
          <w:lang w:val="en-US"/>
        </w:rPr>
        <w:t xml:space="preserve">whose monitoring has been </w:t>
      </w:r>
      <w:r w:rsidR="004E08FB" w:rsidRPr="007D47AD">
        <w:rPr>
          <w:rFonts w:asciiTheme="minorHAnsi" w:eastAsia="Cambria" w:hAnsiTheme="minorHAnsi" w:cs="Cambria"/>
          <w:sz w:val="20"/>
          <w:szCs w:val="20"/>
          <w:lang w:val="en-US"/>
        </w:rPr>
        <w:t>entrusted</w:t>
      </w:r>
      <w:r w:rsidRPr="007D47AD">
        <w:rPr>
          <w:rFonts w:asciiTheme="minorHAnsi" w:eastAsia="Cambria" w:hAnsiTheme="minorHAnsi" w:cs="Cambria"/>
          <w:sz w:val="20"/>
          <w:szCs w:val="20"/>
          <w:lang w:val="en-US"/>
        </w:rPr>
        <w:t xml:space="preserve"> to the Ministry of Public Security and Citizen Protection. In addition, this strategy contains the line of action called </w:t>
      </w:r>
      <w:r w:rsidR="003A01C2" w:rsidRPr="007D47AD">
        <w:rPr>
          <w:rFonts w:asciiTheme="minorHAnsi" w:eastAsia="Cambria" w:hAnsiTheme="minorHAnsi" w:cs="Cambria"/>
          <w:sz w:val="20"/>
          <w:szCs w:val="20"/>
          <w:lang w:val="en-US"/>
        </w:rPr>
        <w:t>“</w:t>
      </w:r>
      <w:r w:rsidRPr="007D47AD">
        <w:rPr>
          <w:rFonts w:asciiTheme="minorHAnsi" w:eastAsia="Cambria" w:hAnsiTheme="minorHAnsi" w:cs="Cambria"/>
          <w:sz w:val="20"/>
          <w:szCs w:val="20"/>
          <w:lang w:val="en-US"/>
        </w:rPr>
        <w:t>Strengthening capacities of the National Guard and the state and municipal security bodies in respect of the protection of children and adolescents,” whose measures of implementation are as follows: (</w:t>
      </w:r>
      <w:r w:rsidR="003A01C2" w:rsidRPr="007D47AD">
        <w:rPr>
          <w:rFonts w:asciiTheme="minorHAnsi" w:eastAsia="Cambria" w:hAnsiTheme="minorHAnsi" w:cs="Cambria"/>
          <w:sz w:val="20"/>
          <w:szCs w:val="20"/>
          <w:lang w:val="en-US"/>
        </w:rPr>
        <w:t>i) Establ</w:t>
      </w:r>
      <w:r w:rsidRPr="007D47AD">
        <w:rPr>
          <w:rFonts w:asciiTheme="minorHAnsi" w:eastAsia="Cambria" w:hAnsiTheme="minorHAnsi" w:cs="Cambria"/>
          <w:sz w:val="20"/>
          <w:szCs w:val="20"/>
          <w:lang w:val="en-US"/>
        </w:rPr>
        <w:t xml:space="preserve">ish a protocol for coordination between the recently-established National Guard </w:t>
      </w:r>
      <w:r w:rsidR="00223B36" w:rsidRPr="007D47AD">
        <w:rPr>
          <w:rFonts w:asciiTheme="minorHAnsi" w:eastAsia="Cambria" w:hAnsiTheme="minorHAnsi" w:cs="Cambria"/>
          <w:sz w:val="20"/>
          <w:szCs w:val="20"/>
          <w:lang w:val="en-US"/>
        </w:rPr>
        <w:t>and the state and municipal police for serving and protecting children and adolescents who</w:t>
      </w:r>
      <w:r w:rsidR="00A05094" w:rsidRPr="007D47AD">
        <w:rPr>
          <w:rFonts w:asciiTheme="minorHAnsi" w:eastAsia="Cambria" w:hAnsiTheme="minorHAnsi" w:cs="Cambria"/>
          <w:sz w:val="20"/>
          <w:szCs w:val="20"/>
          <w:lang w:val="en-US"/>
        </w:rPr>
        <w:t>se</w:t>
      </w:r>
      <w:r w:rsidR="00223B36" w:rsidRPr="007D47AD">
        <w:rPr>
          <w:rFonts w:asciiTheme="minorHAnsi" w:eastAsia="Cambria" w:hAnsiTheme="minorHAnsi" w:cs="Cambria"/>
          <w:sz w:val="20"/>
          <w:szCs w:val="20"/>
          <w:lang w:val="en-US"/>
        </w:rPr>
        <w:t xml:space="preserve"> objective is to provide them the support and tools needed to transit successfully through situations of risk, violence, and crime in which they may find themselves immersed or of which they may be victims, </w:t>
      </w:r>
      <w:r w:rsidRPr="007D47AD">
        <w:rPr>
          <w:rFonts w:asciiTheme="minorHAnsi" w:eastAsia="Cambria" w:hAnsiTheme="minorHAnsi" w:cs="Cambria"/>
          <w:sz w:val="20"/>
          <w:szCs w:val="20"/>
          <w:lang w:val="en-US"/>
        </w:rPr>
        <w:t>(</w:t>
      </w:r>
      <w:r w:rsidR="003A01C2" w:rsidRPr="007D47AD">
        <w:rPr>
          <w:rFonts w:asciiTheme="minorHAnsi" w:eastAsia="Cambria" w:hAnsiTheme="minorHAnsi" w:cs="Cambria"/>
          <w:sz w:val="20"/>
          <w:szCs w:val="20"/>
          <w:lang w:val="en-US"/>
        </w:rPr>
        <w:t>ii) de</w:t>
      </w:r>
      <w:r w:rsidR="00223B36" w:rsidRPr="007D47AD">
        <w:rPr>
          <w:rFonts w:asciiTheme="minorHAnsi" w:eastAsia="Cambria" w:hAnsiTheme="minorHAnsi" w:cs="Cambria"/>
          <w:sz w:val="20"/>
          <w:szCs w:val="20"/>
          <w:lang w:val="en-US"/>
        </w:rPr>
        <w:t xml:space="preserve">velop a program for training the National Guard, for protecting and serving children and adolescents; and </w:t>
      </w:r>
      <w:r w:rsidRPr="007D47AD">
        <w:rPr>
          <w:rFonts w:asciiTheme="minorHAnsi" w:eastAsia="Cambria" w:hAnsiTheme="minorHAnsi" w:cs="Cambria"/>
          <w:sz w:val="20"/>
          <w:szCs w:val="20"/>
          <w:lang w:val="en-US"/>
        </w:rPr>
        <w:t>(</w:t>
      </w:r>
      <w:r w:rsidR="003A01C2" w:rsidRPr="007D47AD">
        <w:rPr>
          <w:rFonts w:asciiTheme="minorHAnsi" w:eastAsia="Cambria" w:hAnsiTheme="minorHAnsi" w:cs="Cambria"/>
          <w:sz w:val="20"/>
          <w:szCs w:val="20"/>
          <w:lang w:val="en-US"/>
        </w:rPr>
        <w:t xml:space="preserve">iii) </w:t>
      </w:r>
      <w:r w:rsidR="00223B36" w:rsidRPr="007D47AD">
        <w:rPr>
          <w:rFonts w:asciiTheme="minorHAnsi" w:eastAsia="Cambria" w:hAnsiTheme="minorHAnsi" w:cs="Cambria"/>
          <w:sz w:val="20"/>
          <w:szCs w:val="20"/>
          <w:lang w:val="en-US"/>
        </w:rPr>
        <w:t xml:space="preserve">develop training programs for </w:t>
      </w:r>
      <w:r w:rsidR="004E08FB" w:rsidRPr="007D47AD">
        <w:rPr>
          <w:rFonts w:asciiTheme="minorHAnsi" w:eastAsia="Cambria" w:hAnsiTheme="minorHAnsi" w:cs="Cambria"/>
          <w:sz w:val="20"/>
          <w:szCs w:val="20"/>
          <w:lang w:val="en-US"/>
        </w:rPr>
        <w:t>the</w:t>
      </w:r>
      <w:r w:rsidR="00223B36" w:rsidRPr="007D47AD">
        <w:rPr>
          <w:rFonts w:asciiTheme="minorHAnsi" w:eastAsia="Cambria" w:hAnsiTheme="minorHAnsi" w:cs="Cambria"/>
          <w:sz w:val="20"/>
          <w:szCs w:val="20"/>
          <w:lang w:val="en-US"/>
        </w:rPr>
        <w:t xml:space="preserve"> state and municipal police on protecting children and adolescents.</w:t>
      </w:r>
      <w:r w:rsidR="003A01C2" w:rsidRPr="007D47AD">
        <w:rPr>
          <w:rStyle w:val="FootnoteReference"/>
          <w:rFonts w:asciiTheme="minorHAnsi" w:eastAsia="Cambria" w:hAnsiTheme="minorHAnsi" w:cs="Cambria"/>
          <w:sz w:val="20"/>
          <w:szCs w:val="20"/>
          <w:lang w:val="en-US"/>
        </w:rPr>
        <w:footnoteReference w:id="284"/>
      </w:r>
      <w:r w:rsidR="00901176" w:rsidRPr="007D47AD">
        <w:rPr>
          <w:rFonts w:asciiTheme="minorHAnsi" w:eastAsia="Cambria" w:hAnsiTheme="minorHAnsi" w:cs="Cambria"/>
          <w:sz w:val="20"/>
          <w:szCs w:val="20"/>
          <w:lang w:val="en-US"/>
        </w:rPr>
        <w:t xml:space="preserve">  </w:t>
      </w:r>
      <w:r w:rsidR="005A4DE4" w:rsidRPr="007D47AD">
        <w:rPr>
          <w:rFonts w:asciiTheme="minorHAnsi" w:hAnsiTheme="minorHAnsi"/>
          <w:sz w:val="20"/>
          <w:szCs w:val="20"/>
          <w:lang w:val="en-US"/>
        </w:rPr>
        <w:t>The State reiterated this information in its observations on the draft of this report.</w:t>
      </w:r>
      <w:r w:rsidR="00901176" w:rsidRPr="007D47AD">
        <w:rPr>
          <w:rStyle w:val="FootnoteReference"/>
          <w:rFonts w:asciiTheme="minorHAnsi" w:hAnsiTheme="minorHAnsi"/>
          <w:sz w:val="20"/>
          <w:szCs w:val="20"/>
          <w:lang w:val="en-US"/>
        </w:rPr>
        <w:footnoteReference w:id="285"/>
      </w:r>
    </w:p>
    <w:p w:rsidR="003A01C2" w:rsidRPr="007D47AD" w:rsidRDefault="00686590" w:rsidP="00686590">
      <w:pPr>
        <w:numPr>
          <w:ilvl w:val="0"/>
          <w:numId w:val="6"/>
        </w:numPr>
        <w:shd w:val="clear" w:color="auto" w:fill="FFFFFF"/>
        <w:spacing w:after="240" w:line="240" w:lineRule="auto"/>
        <w:ind w:left="0" w:firstLine="720"/>
        <w:jc w:val="both"/>
        <w:rPr>
          <w:rFonts w:asciiTheme="minorHAnsi" w:eastAsia="Cambria" w:hAnsiTheme="minorHAnsi" w:cs="Cambria"/>
          <w:sz w:val="20"/>
          <w:szCs w:val="20"/>
          <w:lang w:val="en-US"/>
        </w:rPr>
      </w:pPr>
      <w:r w:rsidRPr="007D47AD">
        <w:rPr>
          <w:rFonts w:asciiTheme="minorHAnsi" w:eastAsia="Cambria" w:hAnsiTheme="minorHAnsi" w:cs="Cambria"/>
          <w:sz w:val="20"/>
          <w:szCs w:val="20"/>
          <w:lang w:val="en-US"/>
        </w:rPr>
        <w:t xml:space="preserve">The </w:t>
      </w:r>
      <w:r w:rsidR="003A01C2" w:rsidRPr="007D47AD">
        <w:rPr>
          <w:rFonts w:asciiTheme="minorHAnsi" w:eastAsia="Cambria" w:hAnsiTheme="minorHAnsi" w:cs="Cambria"/>
          <w:sz w:val="20"/>
          <w:szCs w:val="20"/>
          <w:lang w:val="en-US"/>
        </w:rPr>
        <w:t>CNDH indic</w:t>
      </w:r>
      <w:r w:rsidRPr="007D47AD">
        <w:rPr>
          <w:rFonts w:asciiTheme="minorHAnsi" w:eastAsia="Cambria" w:hAnsiTheme="minorHAnsi" w:cs="Cambria"/>
          <w:sz w:val="20"/>
          <w:szCs w:val="20"/>
          <w:lang w:val="en-US"/>
        </w:rPr>
        <w:t xml:space="preserve">ated in general terms that poverty among children and adolescents should not be considered a datum on their economic situation, but </w:t>
      </w:r>
      <w:r w:rsidR="00A05094" w:rsidRPr="007D47AD">
        <w:rPr>
          <w:rFonts w:asciiTheme="minorHAnsi" w:eastAsia="Cambria" w:hAnsiTheme="minorHAnsi" w:cs="Cambria"/>
          <w:sz w:val="20"/>
          <w:szCs w:val="20"/>
          <w:lang w:val="en-US"/>
        </w:rPr>
        <w:t xml:space="preserve">instead </w:t>
      </w:r>
      <w:r w:rsidRPr="007D47AD">
        <w:rPr>
          <w:rFonts w:asciiTheme="minorHAnsi" w:eastAsia="Cambria" w:hAnsiTheme="minorHAnsi" w:cs="Cambria"/>
          <w:sz w:val="20"/>
          <w:szCs w:val="20"/>
          <w:lang w:val="en-US"/>
        </w:rPr>
        <w:t>as an indicator of human dignity</w:t>
      </w:r>
      <w:r w:rsidR="003A01C2" w:rsidRPr="007D47AD">
        <w:rPr>
          <w:rStyle w:val="FootnoteReference"/>
          <w:rFonts w:asciiTheme="minorHAnsi" w:eastAsia="Cambria" w:hAnsiTheme="minorHAnsi" w:cs="Cambria"/>
          <w:sz w:val="20"/>
          <w:szCs w:val="20"/>
          <w:lang w:val="en-US"/>
        </w:rPr>
        <w:footnoteReference w:id="286"/>
      </w:r>
      <w:r w:rsidR="00DA087A" w:rsidRPr="007D47AD">
        <w:rPr>
          <w:rFonts w:asciiTheme="minorHAnsi" w:eastAsia="Cambria" w:hAnsiTheme="minorHAnsi" w:cs="Cambria"/>
          <w:sz w:val="20"/>
          <w:szCs w:val="20"/>
          <w:lang w:val="en-US"/>
        </w:rPr>
        <w:t xml:space="preserve">, </w:t>
      </w:r>
      <w:r w:rsidRPr="007D47AD">
        <w:rPr>
          <w:rFonts w:asciiTheme="minorHAnsi" w:eastAsia="Cambria" w:hAnsiTheme="minorHAnsi" w:cs="Cambria"/>
          <w:sz w:val="20"/>
          <w:szCs w:val="20"/>
          <w:lang w:val="en-US"/>
        </w:rPr>
        <w:t xml:space="preserve">and that the </w:t>
      </w:r>
      <w:r w:rsidR="004E08FB" w:rsidRPr="007D47AD">
        <w:rPr>
          <w:rFonts w:asciiTheme="minorHAnsi" w:eastAsia="Cambria" w:hAnsiTheme="minorHAnsi" w:cs="Cambria"/>
          <w:sz w:val="20"/>
          <w:szCs w:val="20"/>
          <w:lang w:val="en-US"/>
        </w:rPr>
        <w:t>Ministry</w:t>
      </w:r>
      <w:r w:rsidRPr="007D47AD">
        <w:rPr>
          <w:rFonts w:asciiTheme="minorHAnsi" w:eastAsia="Cambria" w:hAnsiTheme="minorHAnsi" w:cs="Cambria"/>
          <w:sz w:val="20"/>
          <w:szCs w:val="20"/>
          <w:lang w:val="en-US"/>
        </w:rPr>
        <w:t xml:space="preserve"> of National Defense has arrested</w:t>
      </w:r>
      <w:r w:rsidR="00A05094" w:rsidRPr="007D47AD">
        <w:rPr>
          <w:rFonts w:asciiTheme="minorHAnsi" w:eastAsia="Cambria" w:hAnsiTheme="minorHAnsi" w:cs="Cambria"/>
          <w:sz w:val="20"/>
          <w:szCs w:val="20"/>
          <w:lang w:val="en-US"/>
        </w:rPr>
        <w:t xml:space="preserve"> m</w:t>
      </w:r>
      <w:r w:rsidRPr="007D47AD">
        <w:rPr>
          <w:rFonts w:asciiTheme="minorHAnsi" w:eastAsia="Cambria" w:hAnsiTheme="minorHAnsi" w:cs="Cambria"/>
          <w:sz w:val="20"/>
          <w:szCs w:val="20"/>
          <w:lang w:val="en-US"/>
        </w:rPr>
        <w:t xml:space="preserve">ore than </w:t>
      </w:r>
      <w:r w:rsidR="003A01C2" w:rsidRPr="007D47AD">
        <w:rPr>
          <w:rFonts w:asciiTheme="minorHAnsi" w:eastAsia="Cambria" w:hAnsiTheme="minorHAnsi" w:cs="Cambria"/>
          <w:sz w:val="20"/>
          <w:szCs w:val="20"/>
          <w:lang w:val="en-US"/>
        </w:rPr>
        <w:t>5</w:t>
      </w:r>
      <w:r w:rsidRPr="007D47AD">
        <w:rPr>
          <w:rFonts w:asciiTheme="minorHAnsi" w:eastAsia="Cambria" w:hAnsiTheme="minorHAnsi" w:cs="Cambria"/>
          <w:sz w:val="20"/>
          <w:szCs w:val="20"/>
          <w:lang w:val="en-US"/>
        </w:rPr>
        <w:t>,</w:t>
      </w:r>
      <w:r w:rsidR="003A01C2" w:rsidRPr="007D47AD">
        <w:rPr>
          <w:rFonts w:asciiTheme="minorHAnsi" w:eastAsia="Cambria" w:hAnsiTheme="minorHAnsi" w:cs="Cambria"/>
          <w:sz w:val="20"/>
          <w:szCs w:val="20"/>
          <w:lang w:val="en-US"/>
        </w:rPr>
        <w:t xml:space="preserve">000 </w:t>
      </w:r>
      <w:r w:rsidRPr="007D47AD">
        <w:rPr>
          <w:rFonts w:asciiTheme="minorHAnsi" w:eastAsia="Cambria" w:hAnsiTheme="minorHAnsi" w:cs="Cambria"/>
          <w:sz w:val="20"/>
          <w:szCs w:val="20"/>
          <w:lang w:val="en-US"/>
        </w:rPr>
        <w:t xml:space="preserve">children and adolescents associated with the work of organized crime. In the arrests the main arresting agent has been the National Army, followed by the Federal Police, the Ministry of Navy, and the </w:t>
      </w:r>
      <w:r w:rsidR="002C28B4" w:rsidRPr="007D47AD">
        <w:rPr>
          <w:rFonts w:asciiTheme="minorHAnsi" w:eastAsia="Cambria" w:hAnsiTheme="minorHAnsi" w:cs="Cambria"/>
          <w:sz w:val="20"/>
          <w:szCs w:val="20"/>
          <w:lang w:val="en-US"/>
        </w:rPr>
        <w:t>FGR</w:t>
      </w:r>
      <w:r w:rsidRPr="007D47AD">
        <w:rPr>
          <w:rFonts w:asciiTheme="minorHAnsi" w:eastAsia="Cambria" w:hAnsiTheme="minorHAnsi" w:cs="Cambria"/>
          <w:sz w:val="20"/>
          <w:szCs w:val="20"/>
          <w:lang w:val="en-US"/>
        </w:rPr>
        <w:t>.</w:t>
      </w:r>
      <w:r w:rsidR="003A01C2" w:rsidRPr="007D47AD">
        <w:rPr>
          <w:rStyle w:val="FootnoteReference"/>
          <w:rFonts w:asciiTheme="minorHAnsi" w:eastAsia="Cambria" w:hAnsiTheme="minorHAnsi" w:cs="Cambria"/>
          <w:sz w:val="20"/>
          <w:szCs w:val="20"/>
          <w:lang w:val="en-US"/>
        </w:rPr>
        <w:footnoteReference w:id="287"/>
      </w:r>
      <w:r w:rsidR="003A01C2" w:rsidRPr="007D47AD">
        <w:rPr>
          <w:rFonts w:asciiTheme="minorHAnsi" w:eastAsia="Cambria" w:hAnsiTheme="minorHAnsi" w:cs="Cambria"/>
          <w:sz w:val="20"/>
          <w:szCs w:val="20"/>
          <w:lang w:val="en-US"/>
        </w:rPr>
        <w:t xml:space="preserve"> </w:t>
      </w:r>
      <w:r w:rsidR="00A15295" w:rsidRPr="007D47AD">
        <w:rPr>
          <w:rFonts w:asciiTheme="minorHAnsi" w:eastAsia="Cambria" w:hAnsiTheme="minorHAnsi" w:cs="Cambria"/>
          <w:sz w:val="20"/>
          <w:szCs w:val="20"/>
          <w:lang w:val="en-US"/>
        </w:rPr>
        <w:t>The media have covered this situation, focusing on situations that indicate that there has been steady escalation in the numbers of children and adolescents in organized crime, to the point that the leading cause of death in Mexico in men under 29 years of age is involvement in such crime.</w:t>
      </w:r>
      <w:r w:rsidR="003A01C2" w:rsidRPr="007D47AD">
        <w:rPr>
          <w:rStyle w:val="FootnoteReference"/>
          <w:rFonts w:asciiTheme="minorHAnsi" w:eastAsia="Cambria" w:hAnsiTheme="minorHAnsi" w:cs="Cambria"/>
          <w:sz w:val="20"/>
          <w:szCs w:val="20"/>
          <w:lang w:val="en-US"/>
        </w:rPr>
        <w:footnoteReference w:id="288"/>
      </w:r>
      <w:r w:rsidR="003A01C2" w:rsidRPr="007D47AD">
        <w:rPr>
          <w:rFonts w:asciiTheme="minorHAnsi" w:eastAsia="Cambria" w:hAnsiTheme="minorHAnsi" w:cs="Cambria"/>
          <w:sz w:val="20"/>
          <w:szCs w:val="20"/>
          <w:lang w:val="en-US"/>
        </w:rPr>
        <w:t xml:space="preserve"> </w:t>
      </w:r>
    </w:p>
    <w:p w:rsidR="003A01C2" w:rsidRPr="007D47AD" w:rsidRDefault="00A15295" w:rsidP="003A01C2">
      <w:pPr>
        <w:numPr>
          <w:ilvl w:val="0"/>
          <w:numId w:val="6"/>
        </w:numPr>
        <w:shd w:val="clear" w:color="auto" w:fill="FFFFFF"/>
        <w:spacing w:after="240" w:line="240" w:lineRule="auto"/>
        <w:ind w:left="0" w:firstLine="720"/>
        <w:jc w:val="both"/>
        <w:rPr>
          <w:rFonts w:asciiTheme="minorHAnsi" w:eastAsia="Cambria" w:hAnsiTheme="minorHAnsi" w:cs="Cambria"/>
          <w:sz w:val="20"/>
          <w:szCs w:val="20"/>
          <w:lang w:val="en-US"/>
        </w:rPr>
      </w:pPr>
      <w:r w:rsidRPr="007D47AD">
        <w:rPr>
          <w:rFonts w:asciiTheme="minorHAnsi" w:eastAsia="Cambria" w:hAnsiTheme="minorHAnsi" w:cs="Cambria"/>
          <w:sz w:val="20"/>
          <w:szCs w:val="20"/>
          <w:lang w:val="en-US"/>
        </w:rPr>
        <w:t xml:space="preserve">The Commission observes that in April </w:t>
      </w:r>
      <w:r w:rsidR="003A01C2" w:rsidRPr="007D47AD">
        <w:rPr>
          <w:rFonts w:asciiTheme="minorHAnsi" w:eastAsia="Cambria" w:hAnsiTheme="minorHAnsi" w:cs="Cambria"/>
          <w:sz w:val="20"/>
          <w:szCs w:val="20"/>
          <w:lang w:val="en-US"/>
        </w:rPr>
        <w:t>2</w:t>
      </w:r>
      <w:r w:rsidR="00AC7C07" w:rsidRPr="007D47AD">
        <w:rPr>
          <w:rFonts w:asciiTheme="minorHAnsi" w:eastAsia="Cambria" w:hAnsiTheme="minorHAnsi" w:cs="Cambria"/>
          <w:sz w:val="20"/>
          <w:szCs w:val="20"/>
          <w:lang w:val="en-US"/>
        </w:rPr>
        <w:t xml:space="preserve">019 </w:t>
      </w:r>
      <w:r w:rsidRPr="007D47AD">
        <w:rPr>
          <w:rFonts w:asciiTheme="minorHAnsi" w:eastAsia="Cambria" w:hAnsiTheme="minorHAnsi" w:cs="Cambria"/>
          <w:sz w:val="20"/>
          <w:szCs w:val="20"/>
          <w:lang w:val="en-US"/>
        </w:rPr>
        <w:t xml:space="preserve">the Ministry of Public Security trained its agents in the “Protocol for Action </w:t>
      </w:r>
      <w:r w:rsidR="00A05094" w:rsidRPr="007D47AD">
        <w:rPr>
          <w:rFonts w:asciiTheme="minorHAnsi" w:eastAsia="Cambria" w:hAnsiTheme="minorHAnsi" w:cs="Cambria"/>
          <w:sz w:val="20"/>
          <w:szCs w:val="20"/>
          <w:lang w:val="en-US"/>
        </w:rPr>
        <w:t xml:space="preserve">for </w:t>
      </w:r>
      <w:r w:rsidRPr="007D47AD">
        <w:rPr>
          <w:rFonts w:asciiTheme="minorHAnsi" w:eastAsia="Cambria" w:hAnsiTheme="minorHAnsi" w:cs="Cambria"/>
          <w:sz w:val="20"/>
          <w:szCs w:val="20"/>
          <w:lang w:val="en-US"/>
        </w:rPr>
        <w:t xml:space="preserve">Arresting </w:t>
      </w:r>
      <w:r w:rsidR="003A01C2" w:rsidRPr="007D47AD">
        <w:rPr>
          <w:rFonts w:asciiTheme="minorHAnsi" w:eastAsia="Cambria" w:hAnsiTheme="minorHAnsi" w:cs="Cambria"/>
          <w:sz w:val="20"/>
          <w:szCs w:val="20"/>
          <w:lang w:val="en-US"/>
        </w:rPr>
        <w:t>Adolescents</w:t>
      </w:r>
      <w:r w:rsidRPr="007D47AD">
        <w:rPr>
          <w:rFonts w:asciiTheme="minorHAnsi" w:eastAsia="Cambria" w:hAnsiTheme="minorHAnsi" w:cs="Cambria"/>
          <w:sz w:val="20"/>
          <w:szCs w:val="20"/>
          <w:lang w:val="en-US"/>
        </w:rPr>
        <w:t>.</w:t>
      </w:r>
      <w:r w:rsidR="003A01C2" w:rsidRPr="007D47AD">
        <w:rPr>
          <w:rFonts w:asciiTheme="minorHAnsi" w:eastAsia="Cambria" w:hAnsiTheme="minorHAnsi" w:cs="Cambria"/>
          <w:sz w:val="20"/>
          <w:szCs w:val="20"/>
          <w:lang w:val="en-US"/>
        </w:rPr>
        <w:t xml:space="preserve">” </w:t>
      </w:r>
      <w:r w:rsidRPr="007D47AD">
        <w:rPr>
          <w:rFonts w:asciiTheme="minorHAnsi" w:eastAsia="Cambria" w:hAnsiTheme="minorHAnsi" w:cs="Cambria"/>
          <w:sz w:val="20"/>
          <w:szCs w:val="20"/>
          <w:lang w:val="en-US"/>
        </w:rPr>
        <w:t>The objective of the course was to expand the agents’ knowledge of the legal framework that applies to arrest</w:t>
      </w:r>
      <w:r w:rsidR="00A05094" w:rsidRPr="007D47AD">
        <w:rPr>
          <w:rFonts w:asciiTheme="minorHAnsi" w:eastAsia="Cambria" w:hAnsiTheme="minorHAnsi" w:cs="Cambria"/>
          <w:sz w:val="20"/>
          <w:szCs w:val="20"/>
          <w:lang w:val="en-US"/>
        </w:rPr>
        <w:t>s</w:t>
      </w:r>
      <w:r w:rsidRPr="007D47AD">
        <w:rPr>
          <w:rFonts w:asciiTheme="minorHAnsi" w:eastAsia="Cambria" w:hAnsiTheme="minorHAnsi" w:cs="Cambria"/>
          <w:sz w:val="20"/>
          <w:szCs w:val="20"/>
          <w:lang w:val="en-US"/>
        </w:rPr>
        <w:t xml:space="preserve"> in that population, and the diff</w:t>
      </w:r>
      <w:r w:rsidR="00A05094" w:rsidRPr="007D47AD">
        <w:rPr>
          <w:rFonts w:asciiTheme="minorHAnsi" w:eastAsia="Cambria" w:hAnsiTheme="minorHAnsi" w:cs="Cambria"/>
          <w:sz w:val="20"/>
          <w:szCs w:val="20"/>
          <w:lang w:val="en-US"/>
        </w:rPr>
        <w:t>er</w:t>
      </w:r>
      <w:r w:rsidRPr="007D47AD">
        <w:rPr>
          <w:rFonts w:asciiTheme="minorHAnsi" w:eastAsia="Cambria" w:hAnsiTheme="minorHAnsi" w:cs="Cambria"/>
          <w:sz w:val="20"/>
          <w:szCs w:val="20"/>
          <w:lang w:val="en-US"/>
        </w:rPr>
        <w:t>ences in treatment that must be given consideration.</w:t>
      </w:r>
      <w:r w:rsidR="003A01C2" w:rsidRPr="007D47AD">
        <w:rPr>
          <w:rStyle w:val="FootnoteReference"/>
          <w:rFonts w:asciiTheme="minorHAnsi" w:eastAsia="Cambria" w:hAnsiTheme="minorHAnsi" w:cs="Cambria"/>
          <w:sz w:val="20"/>
          <w:szCs w:val="20"/>
          <w:lang w:val="en-US"/>
        </w:rPr>
        <w:footnoteReference w:id="289"/>
      </w:r>
      <w:r w:rsidR="00AC7C07" w:rsidRPr="007D47AD">
        <w:rPr>
          <w:rFonts w:asciiTheme="minorHAnsi" w:eastAsia="Cambria" w:hAnsiTheme="minorHAnsi" w:cs="Cambria"/>
          <w:sz w:val="20"/>
          <w:szCs w:val="20"/>
          <w:lang w:val="en-US"/>
        </w:rPr>
        <w:t xml:space="preserve"> </w:t>
      </w:r>
      <w:r w:rsidRPr="007D47AD">
        <w:rPr>
          <w:rFonts w:asciiTheme="minorHAnsi" w:eastAsia="Cambria" w:hAnsiTheme="minorHAnsi" w:cs="Cambria"/>
          <w:sz w:val="20"/>
          <w:szCs w:val="20"/>
          <w:lang w:val="en-US"/>
        </w:rPr>
        <w:t xml:space="preserve">In addition, according to public information after the issuance of the new </w:t>
      </w:r>
      <w:r w:rsidRPr="007D47AD">
        <w:rPr>
          <w:rFonts w:asciiTheme="minorHAnsi" w:eastAsia="Cambria" w:hAnsiTheme="minorHAnsi" w:cs="Cambria"/>
          <w:sz w:val="20"/>
          <w:szCs w:val="20"/>
          <w:lang w:val="en-US"/>
        </w:rPr>
        <w:lastRenderedPageBreak/>
        <w:t>Regulation on Police and Good Govern</w:t>
      </w:r>
      <w:r w:rsidR="0092672F" w:rsidRPr="007D47AD">
        <w:rPr>
          <w:rFonts w:asciiTheme="minorHAnsi" w:eastAsia="Cambria" w:hAnsiTheme="minorHAnsi" w:cs="Cambria"/>
          <w:sz w:val="20"/>
          <w:szCs w:val="20"/>
          <w:lang w:val="en-US"/>
        </w:rPr>
        <w:t>ance</w:t>
      </w:r>
      <w:r w:rsidRPr="007D47AD">
        <w:rPr>
          <w:rFonts w:asciiTheme="minorHAnsi" w:eastAsia="Cambria" w:hAnsiTheme="minorHAnsi" w:cs="Cambria"/>
          <w:sz w:val="20"/>
          <w:szCs w:val="20"/>
          <w:lang w:val="en-US"/>
        </w:rPr>
        <w:t xml:space="preserve"> of </w:t>
      </w:r>
      <w:r w:rsidR="003A01C2" w:rsidRPr="007D47AD">
        <w:rPr>
          <w:rFonts w:asciiTheme="minorHAnsi" w:eastAsia="Cambria" w:hAnsiTheme="minorHAnsi" w:cs="Cambria"/>
          <w:sz w:val="20"/>
          <w:szCs w:val="20"/>
          <w:lang w:val="en-US"/>
        </w:rPr>
        <w:t xml:space="preserve">Mérida, Yucatán, </w:t>
      </w:r>
      <w:r w:rsidRPr="007D47AD">
        <w:rPr>
          <w:rFonts w:asciiTheme="minorHAnsi" w:eastAsia="Cambria" w:hAnsiTheme="minorHAnsi" w:cs="Cambria"/>
          <w:sz w:val="20"/>
          <w:szCs w:val="20"/>
          <w:lang w:val="en-US"/>
        </w:rPr>
        <w:t xml:space="preserve">the obligation was </w:t>
      </w:r>
      <w:r w:rsidR="003A01C2" w:rsidRPr="007D47AD">
        <w:rPr>
          <w:rFonts w:asciiTheme="minorHAnsi" w:eastAsia="Cambria" w:hAnsiTheme="minorHAnsi" w:cs="Cambria"/>
          <w:sz w:val="20"/>
          <w:szCs w:val="20"/>
          <w:lang w:val="en-US"/>
        </w:rPr>
        <w:t>establ</w:t>
      </w:r>
      <w:r w:rsidRPr="007D47AD">
        <w:rPr>
          <w:rFonts w:asciiTheme="minorHAnsi" w:eastAsia="Cambria" w:hAnsiTheme="minorHAnsi" w:cs="Cambria"/>
          <w:sz w:val="20"/>
          <w:szCs w:val="20"/>
          <w:lang w:val="en-US"/>
        </w:rPr>
        <w:t xml:space="preserve">ished to adopt a municipal </w:t>
      </w:r>
      <w:r w:rsidR="003A01C2" w:rsidRPr="007D47AD">
        <w:rPr>
          <w:rFonts w:asciiTheme="minorHAnsi" w:eastAsia="Cambria" w:hAnsiTheme="minorHAnsi" w:cs="Cambria"/>
          <w:sz w:val="20"/>
          <w:szCs w:val="20"/>
          <w:lang w:val="en-US"/>
        </w:rPr>
        <w:t xml:space="preserve"> </w:t>
      </w:r>
      <w:r w:rsidRPr="007D47AD">
        <w:rPr>
          <w:rFonts w:asciiTheme="minorHAnsi" w:eastAsia="Cambria" w:hAnsiTheme="minorHAnsi" w:cs="Cambria"/>
          <w:sz w:val="20"/>
          <w:szCs w:val="20"/>
          <w:lang w:val="en-US"/>
        </w:rPr>
        <w:t xml:space="preserve">protocol for police intervention in </w:t>
      </w:r>
      <w:r w:rsidR="003A01C2" w:rsidRPr="007D47AD">
        <w:rPr>
          <w:rFonts w:asciiTheme="minorHAnsi" w:eastAsia="Cambria" w:hAnsiTheme="minorHAnsi" w:cs="Cambria"/>
          <w:sz w:val="20"/>
          <w:szCs w:val="20"/>
          <w:lang w:val="en-US"/>
        </w:rPr>
        <w:t>cas</w:t>
      </w:r>
      <w:r w:rsidRPr="007D47AD">
        <w:rPr>
          <w:rFonts w:asciiTheme="minorHAnsi" w:eastAsia="Cambria" w:hAnsiTheme="minorHAnsi" w:cs="Cambria"/>
          <w:sz w:val="20"/>
          <w:szCs w:val="20"/>
          <w:lang w:val="en-US"/>
        </w:rPr>
        <w:t>es of infractions committed by children and adolescents.</w:t>
      </w:r>
      <w:r w:rsidR="003A01C2" w:rsidRPr="007D47AD">
        <w:rPr>
          <w:rStyle w:val="FootnoteReference"/>
          <w:rFonts w:asciiTheme="minorHAnsi" w:eastAsia="Cambria" w:hAnsiTheme="minorHAnsi" w:cs="Cambria"/>
          <w:sz w:val="20"/>
          <w:szCs w:val="20"/>
          <w:lang w:val="en-US"/>
        </w:rPr>
        <w:footnoteReference w:id="290"/>
      </w:r>
    </w:p>
    <w:p w:rsidR="003A01C2" w:rsidRPr="007D47AD" w:rsidRDefault="00A15295" w:rsidP="003A01C2">
      <w:pPr>
        <w:numPr>
          <w:ilvl w:val="0"/>
          <w:numId w:val="6"/>
        </w:numPr>
        <w:shd w:val="clear" w:color="auto" w:fill="FFFFFF"/>
        <w:spacing w:after="240" w:line="240" w:lineRule="auto"/>
        <w:ind w:left="0" w:firstLine="720"/>
        <w:jc w:val="both"/>
        <w:rPr>
          <w:rFonts w:asciiTheme="minorHAnsi" w:eastAsia="Cambria" w:hAnsiTheme="minorHAnsi" w:cs="Cambria"/>
          <w:sz w:val="20"/>
          <w:szCs w:val="20"/>
          <w:lang w:val="en-US"/>
        </w:rPr>
      </w:pPr>
      <w:r w:rsidRPr="007D47AD">
        <w:rPr>
          <w:rFonts w:asciiTheme="minorHAnsi" w:eastAsia="Cambria" w:hAnsiTheme="minorHAnsi" w:cs="Cambria"/>
          <w:sz w:val="20"/>
          <w:szCs w:val="20"/>
          <w:lang w:val="en-US"/>
        </w:rPr>
        <w:t>The IACHR also takes note that the network for the rights of children (</w:t>
      </w:r>
      <w:r w:rsidR="003A01C2" w:rsidRPr="007D47AD">
        <w:rPr>
          <w:rFonts w:asciiTheme="minorHAnsi" w:eastAsia="Cambria" w:hAnsiTheme="minorHAnsi" w:cs="Cambria"/>
          <w:sz w:val="20"/>
          <w:szCs w:val="20"/>
          <w:lang w:val="en-US"/>
        </w:rPr>
        <w:t>REDIM</w:t>
      </w:r>
      <w:r w:rsidRPr="007D47AD">
        <w:rPr>
          <w:rFonts w:asciiTheme="minorHAnsi" w:eastAsia="Cambria" w:hAnsiTheme="minorHAnsi" w:cs="Cambria"/>
          <w:sz w:val="20"/>
          <w:szCs w:val="20"/>
          <w:lang w:val="en-US"/>
        </w:rPr>
        <w:t>)</w:t>
      </w:r>
      <w:r w:rsidR="003A01C2" w:rsidRPr="007D47AD">
        <w:rPr>
          <w:rFonts w:asciiTheme="minorHAnsi" w:eastAsia="Cambria" w:hAnsiTheme="minorHAnsi" w:cs="Cambria"/>
          <w:sz w:val="20"/>
          <w:szCs w:val="20"/>
          <w:lang w:val="en-US"/>
        </w:rPr>
        <w:t xml:space="preserve"> </w:t>
      </w:r>
      <w:r w:rsidRPr="007D47AD">
        <w:rPr>
          <w:rFonts w:asciiTheme="minorHAnsi" w:eastAsia="Cambria" w:hAnsiTheme="minorHAnsi" w:cs="Cambria"/>
          <w:sz w:val="20"/>
          <w:szCs w:val="20"/>
          <w:lang w:val="en-US"/>
        </w:rPr>
        <w:t xml:space="preserve">has repeatedly drawn the authorities’ attention to put a halt to armed attacks directed against children and adolescents. In its public pronouncements the </w:t>
      </w:r>
      <w:r w:rsidR="003A01C2" w:rsidRPr="007D47AD">
        <w:rPr>
          <w:rFonts w:asciiTheme="minorHAnsi" w:eastAsia="Cambria" w:hAnsiTheme="minorHAnsi" w:cs="Cambria"/>
          <w:sz w:val="20"/>
          <w:szCs w:val="20"/>
          <w:lang w:val="en-US"/>
        </w:rPr>
        <w:t xml:space="preserve">REDIM </w:t>
      </w:r>
      <w:r w:rsidRPr="007D47AD">
        <w:rPr>
          <w:rFonts w:asciiTheme="minorHAnsi" w:eastAsia="Cambria" w:hAnsiTheme="minorHAnsi" w:cs="Cambria"/>
          <w:sz w:val="20"/>
          <w:szCs w:val="20"/>
          <w:lang w:val="en-US"/>
        </w:rPr>
        <w:t xml:space="preserve">has referred to the deaths and lesions caused to this population in the context of armed confrontations, and that in the first </w:t>
      </w:r>
      <w:r w:rsidR="00A05094" w:rsidRPr="007D47AD">
        <w:rPr>
          <w:rFonts w:asciiTheme="minorHAnsi" w:eastAsia="Cambria" w:hAnsiTheme="minorHAnsi" w:cs="Cambria"/>
          <w:sz w:val="20"/>
          <w:szCs w:val="20"/>
          <w:lang w:val="en-US"/>
        </w:rPr>
        <w:t xml:space="preserve">half </w:t>
      </w:r>
      <w:r w:rsidRPr="007D47AD">
        <w:rPr>
          <w:rFonts w:asciiTheme="minorHAnsi" w:eastAsia="Cambria" w:hAnsiTheme="minorHAnsi" w:cs="Cambria"/>
          <w:sz w:val="20"/>
          <w:szCs w:val="20"/>
          <w:lang w:val="en-US"/>
        </w:rPr>
        <w:t xml:space="preserve">of </w:t>
      </w:r>
      <w:r w:rsidR="003A01C2" w:rsidRPr="007D47AD">
        <w:rPr>
          <w:rFonts w:asciiTheme="minorHAnsi" w:eastAsia="Cambria" w:hAnsiTheme="minorHAnsi" w:cs="Cambria"/>
          <w:sz w:val="20"/>
          <w:szCs w:val="20"/>
          <w:lang w:val="en-US"/>
        </w:rPr>
        <w:t xml:space="preserve">2019 </w:t>
      </w:r>
      <w:r w:rsidRPr="007D47AD">
        <w:rPr>
          <w:rFonts w:asciiTheme="minorHAnsi" w:eastAsia="Cambria" w:hAnsiTheme="minorHAnsi" w:cs="Cambria"/>
          <w:sz w:val="20"/>
          <w:szCs w:val="20"/>
          <w:lang w:val="en-US"/>
        </w:rPr>
        <w:t xml:space="preserve">there were </w:t>
      </w:r>
      <w:r w:rsidR="003A01C2" w:rsidRPr="007D47AD">
        <w:rPr>
          <w:rFonts w:asciiTheme="minorHAnsi" w:eastAsia="Cambria" w:hAnsiTheme="minorHAnsi" w:cs="Cambria"/>
          <w:sz w:val="20"/>
          <w:szCs w:val="20"/>
          <w:lang w:val="en-US"/>
        </w:rPr>
        <w:t xml:space="preserve">285 </w:t>
      </w:r>
      <w:r w:rsidR="00B613B2" w:rsidRPr="007D47AD">
        <w:rPr>
          <w:rFonts w:asciiTheme="minorHAnsi" w:eastAsia="Cambria" w:hAnsiTheme="minorHAnsi" w:cs="Cambria"/>
          <w:sz w:val="20"/>
          <w:szCs w:val="20"/>
          <w:lang w:val="en-US"/>
        </w:rPr>
        <w:t xml:space="preserve">intentional </w:t>
      </w:r>
      <w:r w:rsidRPr="007D47AD">
        <w:rPr>
          <w:rFonts w:asciiTheme="minorHAnsi" w:eastAsia="Cambria" w:hAnsiTheme="minorHAnsi" w:cs="Cambria"/>
          <w:sz w:val="20"/>
          <w:szCs w:val="20"/>
          <w:lang w:val="en-US"/>
        </w:rPr>
        <w:t>homici</w:t>
      </w:r>
      <w:r w:rsidR="00B613B2" w:rsidRPr="007D47AD">
        <w:rPr>
          <w:rFonts w:asciiTheme="minorHAnsi" w:eastAsia="Cambria" w:hAnsiTheme="minorHAnsi" w:cs="Cambria"/>
          <w:sz w:val="20"/>
          <w:szCs w:val="20"/>
          <w:lang w:val="en-US"/>
        </w:rPr>
        <w:t>d</w:t>
      </w:r>
      <w:r w:rsidRPr="007D47AD">
        <w:rPr>
          <w:rFonts w:asciiTheme="minorHAnsi" w:eastAsia="Cambria" w:hAnsiTheme="minorHAnsi" w:cs="Cambria"/>
          <w:sz w:val="20"/>
          <w:szCs w:val="20"/>
          <w:lang w:val="en-US"/>
        </w:rPr>
        <w:t xml:space="preserve">es </w:t>
      </w:r>
      <w:r w:rsidR="004E08FB" w:rsidRPr="007D47AD">
        <w:rPr>
          <w:rFonts w:asciiTheme="minorHAnsi" w:eastAsia="Cambria" w:hAnsiTheme="minorHAnsi" w:cs="Cambria"/>
          <w:sz w:val="20"/>
          <w:szCs w:val="20"/>
          <w:lang w:val="en-US"/>
        </w:rPr>
        <w:t>against</w:t>
      </w:r>
      <w:r w:rsidRPr="007D47AD">
        <w:rPr>
          <w:rFonts w:asciiTheme="minorHAnsi" w:eastAsia="Cambria" w:hAnsiTheme="minorHAnsi" w:cs="Cambria"/>
          <w:sz w:val="20"/>
          <w:szCs w:val="20"/>
          <w:lang w:val="en-US"/>
        </w:rPr>
        <w:t xml:space="preserve"> the population ages </w:t>
      </w:r>
      <w:r w:rsidR="003A01C2" w:rsidRPr="007D47AD">
        <w:rPr>
          <w:rFonts w:asciiTheme="minorHAnsi" w:eastAsia="Cambria" w:hAnsiTheme="minorHAnsi" w:cs="Cambria"/>
          <w:sz w:val="20"/>
          <w:szCs w:val="20"/>
          <w:lang w:val="en-US"/>
        </w:rPr>
        <w:t xml:space="preserve">0 </w:t>
      </w:r>
      <w:r w:rsidRPr="007D47AD">
        <w:rPr>
          <w:rFonts w:asciiTheme="minorHAnsi" w:eastAsia="Cambria" w:hAnsiTheme="minorHAnsi" w:cs="Cambria"/>
          <w:sz w:val="20"/>
          <w:szCs w:val="20"/>
          <w:lang w:val="en-US"/>
        </w:rPr>
        <w:t xml:space="preserve">to </w:t>
      </w:r>
      <w:r w:rsidR="003A01C2" w:rsidRPr="007D47AD">
        <w:rPr>
          <w:rFonts w:asciiTheme="minorHAnsi" w:eastAsia="Cambria" w:hAnsiTheme="minorHAnsi" w:cs="Cambria"/>
          <w:sz w:val="20"/>
          <w:szCs w:val="20"/>
          <w:lang w:val="en-US"/>
        </w:rPr>
        <w:t xml:space="preserve">17 </w:t>
      </w:r>
      <w:r w:rsidRPr="007D47AD">
        <w:rPr>
          <w:rFonts w:asciiTheme="minorHAnsi" w:eastAsia="Cambria" w:hAnsiTheme="minorHAnsi" w:cs="Cambria"/>
          <w:sz w:val="20"/>
          <w:szCs w:val="20"/>
          <w:lang w:val="en-US"/>
        </w:rPr>
        <w:t xml:space="preserve">years; the most recurrent states were </w:t>
      </w:r>
      <w:r w:rsidR="003A01C2" w:rsidRPr="007D47AD">
        <w:rPr>
          <w:rFonts w:asciiTheme="minorHAnsi" w:eastAsia="Cambria" w:hAnsiTheme="minorHAnsi" w:cs="Cambria"/>
          <w:sz w:val="20"/>
          <w:szCs w:val="20"/>
          <w:lang w:val="en-US"/>
        </w:rPr>
        <w:t>Guanajuato, Nuevo León</w:t>
      </w:r>
      <w:r w:rsidRPr="007D47AD">
        <w:rPr>
          <w:rFonts w:asciiTheme="minorHAnsi" w:eastAsia="Cambria" w:hAnsiTheme="minorHAnsi" w:cs="Cambria"/>
          <w:sz w:val="20"/>
          <w:szCs w:val="20"/>
          <w:lang w:val="en-US"/>
        </w:rPr>
        <w:t>, and</w:t>
      </w:r>
      <w:r w:rsidR="003A01C2" w:rsidRPr="007D47AD">
        <w:rPr>
          <w:rFonts w:asciiTheme="minorHAnsi" w:eastAsia="Cambria" w:hAnsiTheme="minorHAnsi" w:cs="Cambria"/>
          <w:sz w:val="20"/>
          <w:szCs w:val="20"/>
          <w:lang w:val="en-US"/>
        </w:rPr>
        <w:t xml:space="preserve"> </w:t>
      </w:r>
      <w:r w:rsidR="00223AED" w:rsidRPr="007D47AD">
        <w:rPr>
          <w:rFonts w:asciiTheme="minorHAnsi" w:eastAsia="Cambria" w:hAnsiTheme="minorHAnsi" w:cs="Cambria"/>
          <w:sz w:val="20"/>
          <w:szCs w:val="20"/>
          <w:lang w:val="en-US"/>
        </w:rPr>
        <w:t>Veracruz</w:t>
      </w:r>
      <w:r w:rsidRPr="007D47AD">
        <w:rPr>
          <w:rFonts w:asciiTheme="minorHAnsi" w:eastAsia="Cambria" w:hAnsiTheme="minorHAnsi" w:cs="Cambria"/>
          <w:sz w:val="20"/>
          <w:szCs w:val="20"/>
          <w:lang w:val="en-US"/>
        </w:rPr>
        <w:t>.</w:t>
      </w:r>
      <w:r w:rsidR="003A01C2" w:rsidRPr="007D47AD">
        <w:rPr>
          <w:rStyle w:val="FootnoteReference"/>
          <w:rFonts w:asciiTheme="minorHAnsi" w:eastAsia="Cambria" w:hAnsiTheme="minorHAnsi" w:cs="Cambria"/>
          <w:sz w:val="20"/>
          <w:szCs w:val="20"/>
          <w:lang w:val="en-US"/>
        </w:rPr>
        <w:footnoteReference w:id="291"/>
      </w:r>
      <w:r w:rsidR="003A01C2" w:rsidRPr="007D47AD">
        <w:rPr>
          <w:rFonts w:asciiTheme="minorHAnsi" w:eastAsia="Cambria" w:hAnsiTheme="minorHAnsi" w:cs="Cambria"/>
          <w:sz w:val="20"/>
          <w:szCs w:val="20"/>
          <w:lang w:val="en-US"/>
        </w:rPr>
        <w:t xml:space="preserve"> </w:t>
      </w:r>
      <w:r w:rsidRPr="007D47AD">
        <w:rPr>
          <w:rFonts w:asciiTheme="minorHAnsi" w:eastAsia="Cambria" w:hAnsiTheme="minorHAnsi" w:cs="Cambria"/>
          <w:sz w:val="20"/>
          <w:szCs w:val="20"/>
          <w:lang w:val="en-US"/>
        </w:rPr>
        <w:t xml:space="preserve">Towards the end of the year this trend appeared not to have diminished, for in November </w:t>
      </w:r>
      <w:r w:rsidR="003A01C2" w:rsidRPr="007D47AD">
        <w:rPr>
          <w:rFonts w:asciiTheme="minorHAnsi" w:eastAsia="Cambria" w:hAnsiTheme="minorHAnsi" w:cs="Cambria"/>
          <w:sz w:val="20"/>
          <w:szCs w:val="20"/>
          <w:lang w:val="en-US"/>
        </w:rPr>
        <w:t xml:space="preserve">2019 </w:t>
      </w:r>
      <w:r w:rsidRPr="007D47AD">
        <w:rPr>
          <w:rFonts w:asciiTheme="minorHAnsi" w:eastAsia="Cambria" w:hAnsiTheme="minorHAnsi" w:cs="Cambria"/>
          <w:sz w:val="20"/>
          <w:szCs w:val="20"/>
          <w:lang w:val="en-US"/>
        </w:rPr>
        <w:t xml:space="preserve">the public learned of the attacks on </w:t>
      </w:r>
      <w:r w:rsidR="003A01C2" w:rsidRPr="007D47AD">
        <w:rPr>
          <w:rFonts w:asciiTheme="minorHAnsi" w:eastAsia="Cambria" w:hAnsiTheme="minorHAnsi" w:cs="Cambria"/>
          <w:sz w:val="20"/>
          <w:szCs w:val="20"/>
          <w:lang w:val="en-US"/>
        </w:rPr>
        <w:t xml:space="preserve">14 </w:t>
      </w:r>
      <w:r w:rsidRPr="007D47AD">
        <w:rPr>
          <w:rFonts w:asciiTheme="minorHAnsi" w:eastAsia="Cambria" w:hAnsiTheme="minorHAnsi" w:cs="Cambria"/>
          <w:sz w:val="20"/>
          <w:szCs w:val="20"/>
          <w:lang w:val="en-US"/>
        </w:rPr>
        <w:t xml:space="preserve">children who were members of the </w:t>
      </w:r>
      <w:r w:rsidR="003A01C2" w:rsidRPr="007D47AD">
        <w:rPr>
          <w:rFonts w:asciiTheme="minorHAnsi" w:eastAsia="Cambria" w:hAnsiTheme="minorHAnsi" w:cs="Cambria"/>
          <w:sz w:val="20"/>
          <w:szCs w:val="20"/>
          <w:lang w:val="en-US"/>
        </w:rPr>
        <w:t>LeBaron</w:t>
      </w:r>
      <w:r w:rsidRPr="007D47AD">
        <w:rPr>
          <w:rFonts w:asciiTheme="minorHAnsi" w:eastAsia="Cambria" w:hAnsiTheme="minorHAnsi" w:cs="Cambria"/>
          <w:sz w:val="20"/>
          <w:szCs w:val="20"/>
          <w:lang w:val="en-US"/>
        </w:rPr>
        <w:t xml:space="preserve"> family</w:t>
      </w:r>
      <w:r w:rsidR="003A01C2" w:rsidRPr="007D47AD">
        <w:rPr>
          <w:rFonts w:asciiTheme="minorHAnsi" w:eastAsia="Cambria" w:hAnsiTheme="minorHAnsi" w:cs="Cambria"/>
          <w:sz w:val="20"/>
          <w:szCs w:val="20"/>
          <w:lang w:val="en-US"/>
        </w:rPr>
        <w:t xml:space="preserve">. </w:t>
      </w:r>
      <w:r w:rsidRPr="007D47AD">
        <w:rPr>
          <w:rFonts w:asciiTheme="minorHAnsi" w:eastAsia="Cambria" w:hAnsiTheme="minorHAnsi" w:cs="Cambria"/>
          <w:sz w:val="20"/>
          <w:szCs w:val="20"/>
          <w:lang w:val="en-US"/>
        </w:rPr>
        <w:t xml:space="preserve">As a result of the attack six children died and eight others suffered non-lethal injury. The </w:t>
      </w:r>
      <w:r w:rsidR="003A01C2" w:rsidRPr="007D47AD">
        <w:rPr>
          <w:rFonts w:asciiTheme="minorHAnsi" w:eastAsia="Cambria" w:hAnsiTheme="minorHAnsi" w:cs="Cambria"/>
          <w:sz w:val="20"/>
          <w:szCs w:val="20"/>
          <w:lang w:val="en-US"/>
        </w:rPr>
        <w:t>REDIM ha</w:t>
      </w:r>
      <w:r w:rsidRPr="007D47AD">
        <w:rPr>
          <w:rFonts w:asciiTheme="minorHAnsi" w:eastAsia="Cambria" w:hAnsiTheme="minorHAnsi" w:cs="Cambria"/>
          <w:sz w:val="20"/>
          <w:szCs w:val="20"/>
          <w:lang w:val="en-US"/>
        </w:rPr>
        <w:t>s</w:t>
      </w:r>
      <w:r w:rsidR="003A01C2" w:rsidRPr="007D47AD">
        <w:rPr>
          <w:rFonts w:asciiTheme="minorHAnsi" w:eastAsia="Cambria" w:hAnsiTheme="minorHAnsi" w:cs="Cambria"/>
          <w:sz w:val="20"/>
          <w:szCs w:val="20"/>
          <w:lang w:val="en-US"/>
        </w:rPr>
        <w:t xml:space="preserve"> reitera</w:t>
      </w:r>
      <w:r w:rsidRPr="007D47AD">
        <w:rPr>
          <w:rFonts w:asciiTheme="minorHAnsi" w:eastAsia="Cambria" w:hAnsiTheme="minorHAnsi" w:cs="Cambria"/>
          <w:sz w:val="20"/>
          <w:szCs w:val="20"/>
          <w:lang w:val="en-US"/>
        </w:rPr>
        <w:t xml:space="preserve">ted that the </w:t>
      </w:r>
      <w:r w:rsidR="00A05094" w:rsidRPr="007D47AD">
        <w:rPr>
          <w:rFonts w:asciiTheme="minorHAnsi" w:eastAsia="Cambria" w:hAnsiTheme="minorHAnsi" w:cs="Cambria"/>
          <w:sz w:val="20"/>
          <w:szCs w:val="20"/>
          <w:lang w:val="en-US"/>
        </w:rPr>
        <w:t>h</w:t>
      </w:r>
      <w:r w:rsidRPr="007D47AD">
        <w:rPr>
          <w:rFonts w:asciiTheme="minorHAnsi" w:eastAsia="Cambria" w:hAnsiTheme="minorHAnsi" w:cs="Cambria"/>
          <w:sz w:val="20"/>
          <w:szCs w:val="20"/>
          <w:lang w:val="en-US"/>
        </w:rPr>
        <w:t xml:space="preserve">ead of </w:t>
      </w:r>
      <w:r w:rsidR="00A05094" w:rsidRPr="007D47AD">
        <w:rPr>
          <w:rFonts w:asciiTheme="minorHAnsi" w:eastAsia="Cambria" w:hAnsiTheme="minorHAnsi" w:cs="Cambria"/>
          <w:sz w:val="20"/>
          <w:szCs w:val="20"/>
          <w:lang w:val="en-US"/>
        </w:rPr>
        <w:t>s</w:t>
      </w:r>
      <w:r w:rsidRPr="007D47AD">
        <w:rPr>
          <w:rFonts w:asciiTheme="minorHAnsi" w:eastAsia="Cambria" w:hAnsiTheme="minorHAnsi" w:cs="Cambria"/>
          <w:sz w:val="20"/>
          <w:szCs w:val="20"/>
          <w:lang w:val="en-US"/>
        </w:rPr>
        <w:t xml:space="preserve">tate is also the president of the </w:t>
      </w:r>
      <w:r w:rsidR="003E388A" w:rsidRPr="007D47AD">
        <w:rPr>
          <w:rFonts w:asciiTheme="minorHAnsi" w:eastAsia="Cambria" w:hAnsiTheme="minorHAnsi" w:cs="Cambria"/>
          <w:sz w:val="20"/>
          <w:szCs w:val="20"/>
          <w:lang w:val="en-US"/>
        </w:rPr>
        <w:t xml:space="preserve">SIPINNA </w:t>
      </w:r>
      <w:r w:rsidR="000455F1" w:rsidRPr="007D47AD">
        <w:rPr>
          <w:rFonts w:asciiTheme="minorHAnsi" w:eastAsia="Cambria" w:hAnsiTheme="minorHAnsi" w:cs="Cambria"/>
          <w:sz w:val="20"/>
          <w:szCs w:val="20"/>
          <w:lang w:val="en-US"/>
        </w:rPr>
        <w:t xml:space="preserve">System and accordingly </w:t>
      </w:r>
      <w:r w:rsidR="004E08FB" w:rsidRPr="007D47AD">
        <w:rPr>
          <w:rFonts w:asciiTheme="minorHAnsi" w:eastAsia="Cambria" w:hAnsiTheme="minorHAnsi" w:cs="Cambria"/>
          <w:sz w:val="20"/>
          <w:szCs w:val="20"/>
          <w:lang w:val="en-US"/>
        </w:rPr>
        <w:t>regretted</w:t>
      </w:r>
      <w:r w:rsidR="000455F1" w:rsidRPr="007D47AD">
        <w:rPr>
          <w:rFonts w:asciiTheme="minorHAnsi" w:eastAsia="Cambria" w:hAnsiTheme="minorHAnsi" w:cs="Cambria"/>
          <w:sz w:val="20"/>
          <w:szCs w:val="20"/>
          <w:lang w:val="en-US"/>
        </w:rPr>
        <w:t xml:space="preserve"> his absence at the plenary sessions this year.</w:t>
      </w:r>
      <w:r w:rsidR="003A01C2" w:rsidRPr="007D47AD">
        <w:rPr>
          <w:rStyle w:val="FootnoteReference"/>
          <w:rFonts w:asciiTheme="minorHAnsi" w:eastAsia="Cambria" w:hAnsiTheme="minorHAnsi" w:cs="Cambria"/>
          <w:sz w:val="20"/>
          <w:szCs w:val="20"/>
          <w:lang w:val="en-US"/>
        </w:rPr>
        <w:footnoteReference w:id="292"/>
      </w:r>
      <w:r w:rsidR="003A01C2" w:rsidRPr="007D47AD">
        <w:rPr>
          <w:rFonts w:asciiTheme="minorHAnsi" w:eastAsia="Cambria" w:hAnsiTheme="minorHAnsi" w:cs="Cambria"/>
          <w:sz w:val="20"/>
          <w:szCs w:val="20"/>
          <w:lang w:val="en-US"/>
        </w:rPr>
        <w:t xml:space="preserve"> </w:t>
      </w:r>
    </w:p>
    <w:p w:rsidR="00901176" w:rsidRPr="007D47AD" w:rsidRDefault="005A4DE4" w:rsidP="005A4DE4">
      <w:pPr>
        <w:numPr>
          <w:ilvl w:val="0"/>
          <w:numId w:val="6"/>
        </w:numPr>
        <w:shd w:val="clear" w:color="auto" w:fill="FFFFFF"/>
        <w:spacing w:after="240" w:line="240" w:lineRule="auto"/>
        <w:ind w:left="0" w:firstLine="720"/>
        <w:jc w:val="both"/>
        <w:rPr>
          <w:rFonts w:asciiTheme="minorHAnsi" w:eastAsia="Cambria" w:hAnsiTheme="minorHAnsi" w:cs="Cambria"/>
          <w:sz w:val="20"/>
          <w:szCs w:val="20"/>
          <w:lang w:val="en-US"/>
        </w:rPr>
      </w:pPr>
      <w:r w:rsidRPr="007D47AD">
        <w:rPr>
          <w:rFonts w:asciiTheme="minorHAnsi" w:eastAsia="Cambria" w:hAnsiTheme="minorHAnsi" w:cs="Cambria"/>
          <w:sz w:val="20"/>
          <w:szCs w:val="20"/>
          <w:lang w:val="en-US"/>
        </w:rPr>
        <w:t xml:space="preserve">In its observations on the draft of this report the State added that om 2019, in cooperation with </w:t>
      </w:r>
      <w:r w:rsidR="00901176" w:rsidRPr="007D47AD">
        <w:rPr>
          <w:rFonts w:asciiTheme="minorHAnsi" w:eastAsia="Cambria" w:hAnsiTheme="minorHAnsi" w:cs="Cambria"/>
          <w:sz w:val="20"/>
          <w:szCs w:val="20"/>
          <w:lang w:val="en-US"/>
        </w:rPr>
        <w:t xml:space="preserve">UNICEF, </w:t>
      </w:r>
      <w:r w:rsidRPr="007D47AD">
        <w:rPr>
          <w:rFonts w:asciiTheme="minorHAnsi" w:eastAsia="Cambria" w:hAnsiTheme="minorHAnsi" w:cs="Cambria"/>
          <w:sz w:val="20"/>
          <w:szCs w:val="20"/>
          <w:lang w:val="en-US"/>
        </w:rPr>
        <w:t>the Federal Office for Protection of Children and Adolescents (</w:t>
      </w:r>
      <w:r w:rsidR="00901176" w:rsidRPr="007D47AD">
        <w:rPr>
          <w:rFonts w:asciiTheme="minorHAnsi" w:eastAsia="Cambria" w:hAnsiTheme="minorHAnsi" w:cs="Cambria"/>
          <w:sz w:val="20"/>
          <w:szCs w:val="20"/>
          <w:lang w:val="en-US"/>
        </w:rPr>
        <w:t>Procuraduría Federal de Protección de NNA</w:t>
      </w:r>
      <w:r w:rsidRPr="007D47AD">
        <w:rPr>
          <w:rFonts w:asciiTheme="minorHAnsi" w:eastAsia="Cambria" w:hAnsiTheme="minorHAnsi" w:cs="Cambria"/>
          <w:sz w:val="20"/>
          <w:szCs w:val="20"/>
          <w:lang w:val="en-US"/>
        </w:rPr>
        <w:t>)</w:t>
      </w:r>
      <w:r w:rsidR="00901176" w:rsidRPr="007D47AD">
        <w:rPr>
          <w:rFonts w:asciiTheme="minorHAnsi" w:eastAsia="Cambria" w:hAnsiTheme="minorHAnsi" w:cs="Cambria"/>
          <w:sz w:val="20"/>
          <w:szCs w:val="20"/>
          <w:lang w:val="en-US"/>
        </w:rPr>
        <w:t xml:space="preserve"> </w:t>
      </w:r>
      <w:r w:rsidRPr="007D47AD">
        <w:rPr>
          <w:rFonts w:asciiTheme="minorHAnsi" w:eastAsia="Cambria" w:hAnsiTheme="minorHAnsi" w:cs="Cambria"/>
          <w:sz w:val="20"/>
          <w:szCs w:val="20"/>
          <w:lang w:val="en-US"/>
        </w:rPr>
        <w:t xml:space="preserve">issued the first practical handbook for the exercise of representation of children and adolescents in administrative and judicial proceedings. It also reported that the </w:t>
      </w:r>
      <w:r w:rsidR="00901176" w:rsidRPr="007D47AD">
        <w:rPr>
          <w:rFonts w:asciiTheme="minorHAnsi" w:eastAsia="Cambria" w:hAnsiTheme="minorHAnsi" w:cs="Cambria"/>
          <w:sz w:val="20"/>
          <w:szCs w:val="20"/>
          <w:lang w:val="en-US"/>
        </w:rPr>
        <w:t>SESNSP coordin</w:t>
      </w:r>
      <w:r w:rsidRPr="007D47AD">
        <w:rPr>
          <w:rFonts w:asciiTheme="minorHAnsi" w:eastAsia="Cambria" w:hAnsiTheme="minorHAnsi" w:cs="Cambria"/>
          <w:sz w:val="20"/>
          <w:szCs w:val="20"/>
          <w:lang w:val="en-US"/>
        </w:rPr>
        <w:t xml:space="preserve">ated the preparation of the National Program for the Social Prevention of Violence and Crime </w:t>
      </w:r>
      <w:r w:rsidR="00901176" w:rsidRPr="007D47AD">
        <w:rPr>
          <w:rFonts w:asciiTheme="minorHAnsi" w:eastAsia="Cambria" w:hAnsiTheme="minorHAnsi" w:cs="Cambria"/>
          <w:sz w:val="20"/>
          <w:szCs w:val="20"/>
          <w:lang w:val="en-US"/>
        </w:rPr>
        <w:t>2019-20</w:t>
      </w:r>
      <w:r w:rsidRPr="007D47AD">
        <w:rPr>
          <w:rFonts w:asciiTheme="minorHAnsi" w:eastAsia="Cambria" w:hAnsiTheme="minorHAnsi" w:cs="Cambria"/>
          <w:sz w:val="20"/>
          <w:szCs w:val="20"/>
          <w:lang w:val="en-US"/>
        </w:rPr>
        <w:t>2</w:t>
      </w:r>
      <w:r w:rsidR="00901176" w:rsidRPr="007D47AD">
        <w:rPr>
          <w:rFonts w:asciiTheme="minorHAnsi" w:eastAsia="Cambria" w:hAnsiTheme="minorHAnsi" w:cs="Cambria"/>
          <w:sz w:val="20"/>
          <w:szCs w:val="20"/>
          <w:lang w:val="en-US"/>
        </w:rPr>
        <w:t xml:space="preserve">4, </w:t>
      </w:r>
      <w:r w:rsidRPr="007D47AD">
        <w:rPr>
          <w:rFonts w:asciiTheme="minorHAnsi" w:eastAsia="Cambria" w:hAnsiTheme="minorHAnsi" w:cs="Cambria"/>
          <w:sz w:val="20"/>
          <w:szCs w:val="20"/>
          <w:lang w:val="en-US"/>
        </w:rPr>
        <w:t>which includes protections for children and adolescents.</w:t>
      </w:r>
      <w:r w:rsidR="00901176" w:rsidRPr="007D47AD">
        <w:rPr>
          <w:rStyle w:val="FootnoteReference"/>
          <w:rFonts w:asciiTheme="minorHAnsi" w:eastAsia="Cambria" w:hAnsiTheme="minorHAnsi" w:cs="Cambria"/>
          <w:sz w:val="20"/>
          <w:szCs w:val="20"/>
          <w:lang w:val="en-US"/>
        </w:rPr>
        <w:footnoteReference w:id="293"/>
      </w:r>
    </w:p>
    <w:p w:rsidR="003A01C2" w:rsidRPr="007D47AD" w:rsidRDefault="000455F1" w:rsidP="003A01C2">
      <w:pPr>
        <w:numPr>
          <w:ilvl w:val="0"/>
          <w:numId w:val="6"/>
        </w:numPr>
        <w:shd w:val="clear" w:color="auto" w:fill="FFFFFF"/>
        <w:spacing w:after="240" w:line="240" w:lineRule="auto"/>
        <w:ind w:left="0" w:firstLine="720"/>
        <w:jc w:val="both"/>
        <w:rPr>
          <w:rFonts w:asciiTheme="minorHAnsi" w:hAnsiTheme="minorHAnsi"/>
          <w:sz w:val="20"/>
          <w:szCs w:val="20"/>
          <w:lang w:val="en-US"/>
        </w:rPr>
      </w:pPr>
      <w:r w:rsidRPr="007D47AD">
        <w:rPr>
          <w:rFonts w:asciiTheme="minorHAnsi" w:eastAsia="Cambria" w:hAnsiTheme="minorHAnsi" w:cs="Cambria"/>
          <w:sz w:val="20"/>
          <w:szCs w:val="20"/>
          <w:lang w:val="en-US"/>
        </w:rPr>
        <w:t xml:space="preserve">Based on the foregoing, </w:t>
      </w:r>
      <w:r w:rsidR="00B76202" w:rsidRPr="007D47AD">
        <w:rPr>
          <w:rFonts w:asciiTheme="minorHAnsi" w:eastAsia="Cambria" w:hAnsiTheme="minorHAnsi" w:cs="Cambria"/>
          <w:sz w:val="20"/>
          <w:szCs w:val="20"/>
          <w:lang w:val="en-US"/>
        </w:rPr>
        <w:t xml:space="preserve">and </w:t>
      </w:r>
      <w:r w:rsidRPr="007D47AD">
        <w:rPr>
          <w:rFonts w:asciiTheme="minorHAnsi" w:eastAsia="Cambria" w:hAnsiTheme="minorHAnsi" w:cs="Cambria"/>
          <w:sz w:val="20"/>
          <w:szCs w:val="20"/>
          <w:lang w:val="en-US"/>
        </w:rPr>
        <w:t xml:space="preserve">taking into consideration the adoption of the above-mentioned protocol and provisions of this sort at the state level, the IACHR considers that this recommendation has met with partial substantial compliance. The IACHR </w:t>
      </w:r>
      <w:r w:rsidR="00DA087A" w:rsidRPr="007D47AD">
        <w:rPr>
          <w:rFonts w:asciiTheme="minorHAnsi" w:eastAsia="Cambria" w:hAnsiTheme="minorHAnsi" w:cs="Cambria"/>
          <w:sz w:val="20"/>
          <w:szCs w:val="20"/>
          <w:lang w:val="en-US"/>
        </w:rPr>
        <w:t>reitera</w:t>
      </w:r>
      <w:r w:rsidRPr="007D47AD">
        <w:rPr>
          <w:rFonts w:asciiTheme="minorHAnsi" w:eastAsia="Cambria" w:hAnsiTheme="minorHAnsi" w:cs="Cambria"/>
          <w:sz w:val="20"/>
          <w:szCs w:val="20"/>
          <w:lang w:val="en-US"/>
        </w:rPr>
        <w:t xml:space="preserve">tes the </w:t>
      </w:r>
      <w:r w:rsidR="00DA087A" w:rsidRPr="007D47AD">
        <w:rPr>
          <w:rFonts w:asciiTheme="minorHAnsi" w:eastAsia="Cambria" w:hAnsiTheme="minorHAnsi" w:cs="Cambria"/>
          <w:sz w:val="20"/>
          <w:szCs w:val="20"/>
          <w:lang w:val="en-US"/>
        </w:rPr>
        <w:t>importanc</w:t>
      </w:r>
      <w:r w:rsidRPr="007D47AD">
        <w:rPr>
          <w:rFonts w:asciiTheme="minorHAnsi" w:eastAsia="Cambria" w:hAnsiTheme="minorHAnsi" w:cs="Cambria"/>
          <w:sz w:val="20"/>
          <w:szCs w:val="20"/>
          <w:lang w:val="en-US"/>
        </w:rPr>
        <w:t xml:space="preserve">e of supervising implementation of the Protocol </w:t>
      </w:r>
      <w:r w:rsidR="00BB4226" w:rsidRPr="007D47AD">
        <w:rPr>
          <w:rFonts w:asciiTheme="minorHAnsi" w:eastAsia="Cambria" w:hAnsiTheme="minorHAnsi" w:cs="Cambria"/>
          <w:sz w:val="20"/>
          <w:szCs w:val="20"/>
          <w:lang w:val="en-US"/>
        </w:rPr>
        <w:t xml:space="preserve">in order to fully implement this recommendation. </w:t>
      </w:r>
    </w:p>
    <w:p w:rsidR="003A01C2" w:rsidRPr="007D47AD" w:rsidRDefault="00BB4226" w:rsidP="003A01C2">
      <w:pPr>
        <w:numPr>
          <w:ilvl w:val="0"/>
          <w:numId w:val="6"/>
        </w:numPr>
        <w:shd w:val="clear" w:color="auto" w:fill="FFFFFF"/>
        <w:spacing w:after="240" w:line="240" w:lineRule="auto"/>
        <w:ind w:left="0" w:firstLine="720"/>
        <w:jc w:val="both"/>
        <w:rPr>
          <w:rFonts w:asciiTheme="minorHAnsi" w:hAnsiTheme="minorHAnsi"/>
          <w:sz w:val="20"/>
          <w:szCs w:val="20"/>
          <w:lang w:val="en-US"/>
        </w:rPr>
      </w:pPr>
      <w:r w:rsidRPr="007D47AD">
        <w:rPr>
          <w:rFonts w:asciiTheme="minorHAnsi" w:eastAsia="Cambria" w:hAnsiTheme="minorHAnsi" w:cs="Cambria"/>
          <w:sz w:val="20"/>
          <w:szCs w:val="20"/>
          <w:lang w:val="en-US"/>
        </w:rPr>
        <w:t xml:space="preserve">With respect to the recommendation </w:t>
      </w:r>
      <w:r w:rsidR="00C751CE" w:rsidRPr="007D47AD">
        <w:rPr>
          <w:rFonts w:asciiTheme="minorHAnsi" w:eastAsia="Cambria" w:hAnsiTheme="minorHAnsi" w:cs="Cambria"/>
          <w:sz w:val="20"/>
          <w:szCs w:val="20"/>
          <w:lang w:val="en-US"/>
        </w:rPr>
        <w:t xml:space="preserve">to </w:t>
      </w:r>
      <w:r w:rsidR="003A01C2" w:rsidRPr="007D47AD">
        <w:rPr>
          <w:rFonts w:asciiTheme="minorHAnsi" w:eastAsia="Cambria" w:hAnsiTheme="minorHAnsi" w:cs="Cambria"/>
          <w:b/>
          <w:sz w:val="20"/>
          <w:szCs w:val="20"/>
          <w:lang w:val="en-US"/>
        </w:rPr>
        <w:t>implement</w:t>
      </w:r>
      <w:r w:rsidR="00C751CE" w:rsidRPr="007D47AD">
        <w:rPr>
          <w:rFonts w:asciiTheme="minorHAnsi" w:eastAsia="Cambria" w:hAnsiTheme="minorHAnsi" w:cs="Cambria"/>
          <w:b/>
          <w:sz w:val="20"/>
          <w:szCs w:val="20"/>
          <w:lang w:val="en-US"/>
        </w:rPr>
        <w:t xml:space="preserve"> and strengthen measures to fulfill the duty to act with due diligence to prevent, punish and </w:t>
      </w:r>
      <w:r w:rsidR="004E08FB" w:rsidRPr="007D47AD">
        <w:rPr>
          <w:rFonts w:asciiTheme="minorHAnsi" w:eastAsia="Cambria" w:hAnsiTheme="minorHAnsi" w:cs="Cambria"/>
          <w:b/>
          <w:sz w:val="20"/>
          <w:szCs w:val="20"/>
          <w:lang w:val="en-US"/>
        </w:rPr>
        <w:t>eradicate</w:t>
      </w:r>
      <w:r w:rsidR="00C751CE" w:rsidRPr="007D47AD">
        <w:rPr>
          <w:rFonts w:asciiTheme="minorHAnsi" w:eastAsia="Cambria" w:hAnsiTheme="minorHAnsi" w:cs="Cambria"/>
          <w:b/>
          <w:sz w:val="20"/>
          <w:szCs w:val="20"/>
          <w:lang w:val="en-US"/>
        </w:rPr>
        <w:t xml:space="preserve"> violence against children and adolescents</w:t>
      </w:r>
      <w:r w:rsidR="003A01C2" w:rsidRPr="007D47AD">
        <w:rPr>
          <w:rFonts w:asciiTheme="minorHAnsi" w:eastAsia="Cambria" w:hAnsiTheme="minorHAnsi" w:cs="Cambria"/>
          <w:sz w:val="20"/>
          <w:szCs w:val="20"/>
          <w:lang w:val="en-US"/>
        </w:rPr>
        <w:t xml:space="preserve">, </w:t>
      </w:r>
      <w:r w:rsidRPr="007D47AD">
        <w:rPr>
          <w:rFonts w:asciiTheme="minorHAnsi" w:eastAsia="Cambria" w:hAnsiTheme="minorHAnsi" w:cs="Cambria"/>
          <w:sz w:val="20"/>
          <w:szCs w:val="20"/>
          <w:lang w:val="en-US"/>
        </w:rPr>
        <w:t xml:space="preserve">on May </w:t>
      </w:r>
      <w:r w:rsidR="003A01C2" w:rsidRPr="007D47AD">
        <w:rPr>
          <w:rFonts w:asciiTheme="minorHAnsi" w:eastAsia="Cambria" w:hAnsiTheme="minorHAnsi" w:cs="Cambria"/>
          <w:sz w:val="20"/>
          <w:szCs w:val="20"/>
          <w:lang w:val="en-US"/>
        </w:rPr>
        <w:t>30</w:t>
      </w:r>
      <w:r w:rsidRPr="007D47AD">
        <w:rPr>
          <w:rFonts w:asciiTheme="minorHAnsi" w:eastAsia="Cambria" w:hAnsiTheme="minorHAnsi" w:cs="Cambria"/>
          <w:sz w:val="20"/>
          <w:szCs w:val="20"/>
          <w:lang w:val="en-US"/>
        </w:rPr>
        <w:t>,</w:t>
      </w:r>
      <w:r w:rsidR="003A01C2" w:rsidRPr="007D47AD">
        <w:rPr>
          <w:rFonts w:asciiTheme="minorHAnsi" w:eastAsia="Cambria" w:hAnsiTheme="minorHAnsi" w:cs="Cambria"/>
          <w:sz w:val="20"/>
          <w:szCs w:val="20"/>
          <w:lang w:val="en-US"/>
        </w:rPr>
        <w:t xml:space="preserve"> 2016</w:t>
      </w:r>
      <w:r w:rsidRPr="007D47AD">
        <w:rPr>
          <w:rFonts w:asciiTheme="minorHAnsi" w:eastAsia="Cambria" w:hAnsiTheme="minorHAnsi" w:cs="Cambria"/>
          <w:sz w:val="20"/>
          <w:szCs w:val="20"/>
          <w:lang w:val="en-US"/>
        </w:rPr>
        <w:t xml:space="preserve">, the State reported that the guidelines </w:t>
      </w:r>
      <w:r w:rsidR="00B76202" w:rsidRPr="007D47AD">
        <w:rPr>
          <w:rFonts w:asciiTheme="minorHAnsi" w:eastAsia="Cambria" w:hAnsiTheme="minorHAnsi" w:cs="Cambria"/>
          <w:sz w:val="20"/>
          <w:szCs w:val="20"/>
          <w:lang w:val="en-US"/>
        </w:rPr>
        <w:t xml:space="preserve">were adopted </w:t>
      </w:r>
      <w:r w:rsidRPr="007D47AD">
        <w:rPr>
          <w:rFonts w:asciiTheme="minorHAnsi" w:eastAsia="Cambria" w:hAnsiTheme="minorHAnsi" w:cs="Cambria"/>
          <w:sz w:val="20"/>
          <w:szCs w:val="20"/>
          <w:lang w:val="en-US"/>
        </w:rPr>
        <w:t xml:space="preserve">for restoring rights and measures of protection for children and adolescents and the Internal Procedure for </w:t>
      </w:r>
      <w:r w:rsidR="00CA26A8" w:rsidRPr="007D47AD">
        <w:rPr>
          <w:rFonts w:asciiTheme="minorHAnsi" w:eastAsia="Cambria" w:hAnsiTheme="minorHAnsi" w:cs="Cambria"/>
          <w:sz w:val="20"/>
          <w:szCs w:val="20"/>
          <w:lang w:val="en-US"/>
        </w:rPr>
        <w:t xml:space="preserve">the </w:t>
      </w:r>
      <w:r w:rsidR="003A01C2" w:rsidRPr="007D47AD">
        <w:rPr>
          <w:rFonts w:asciiTheme="minorHAnsi" w:eastAsia="Cambria" w:hAnsiTheme="minorHAnsi" w:cs="Cambria"/>
          <w:sz w:val="20"/>
          <w:szCs w:val="20"/>
          <w:lang w:val="en-US"/>
        </w:rPr>
        <w:t>Restitu</w:t>
      </w:r>
      <w:r w:rsidRPr="007D47AD">
        <w:rPr>
          <w:rFonts w:asciiTheme="minorHAnsi" w:eastAsia="Cambria" w:hAnsiTheme="minorHAnsi" w:cs="Cambria"/>
          <w:sz w:val="20"/>
          <w:szCs w:val="20"/>
          <w:lang w:val="en-US"/>
        </w:rPr>
        <w:t xml:space="preserve">tion of Rights and Measures </w:t>
      </w:r>
      <w:r w:rsidR="00CA26A8" w:rsidRPr="007D47AD">
        <w:rPr>
          <w:rFonts w:asciiTheme="minorHAnsi" w:eastAsia="Cambria" w:hAnsiTheme="minorHAnsi" w:cs="Cambria"/>
          <w:sz w:val="20"/>
          <w:szCs w:val="20"/>
          <w:lang w:val="en-US"/>
        </w:rPr>
        <w:t xml:space="preserve">of </w:t>
      </w:r>
      <w:r w:rsidRPr="007D47AD">
        <w:rPr>
          <w:rFonts w:asciiTheme="minorHAnsi" w:eastAsia="Cambria" w:hAnsiTheme="minorHAnsi" w:cs="Cambria"/>
          <w:sz w:val="20"/>
          <w:szCs w:val="20"/>
          <w:lang w:val="en-US"/>
        </w:rPr>
        <w:t xml:space="preserve">Protection. </w:t>
      </w:r>
      <w:r w:rsidR="003A01C2" w:rsidRPr="007D47AD">
        <w:rPr>
          <w:rFonts w:asciiTheme="minorHAnsi" w:eastAsia="Cambria" w:hAnsiTheme="minorHAnsi" w:cs="Cambria"/>
          <w:sz w:val="20"/>
          <w:szCs w:val="20"/>
          <w:lang w:val="en-US"/>
        </w:rPr>
        <w:t xml:space="preserve"> </w:t>
      </w:r>
      <w:r w:rsidRPr="007D47AD">
        <w:rPr>
          <w:rFonts w:asciiTheme="minorHAnsi" w:eastAsia="Cambria" w:hAnsiTheme="minorHAnsi" w:cs="Cambria"/>
          <w:sz w:val="20"/>
          <w:szCs w:val="20"/>
          <w:lang w:val="en-US"/>
        </w:rPr>
        <w:t xml:space="preserve">In addition, the State reiterated that the Office of the </w:t>
      </w:r>
      <w:r w:rsidR="00B613B2" w:rsidRPr="007D47AD">
        <w:rPr>
          <w:rFonts w:asciiTheme="minorHAnsi" w:eastAsia="Cambria" w:hAnsiTheme="minorHAnsi" w:cs="Cambria"/>
          <w:sz w:val="20"/>
          <w:szCs w:val="20"/>
          <w:lang w:val="en-US"/>
        </w:rPr>
        <w:t>Federal Prosecutor for</w:t>
      </w:r>
      <w:r w:rsidRPr="007D47AD">
        <w:rPr>
          <w:rFonts w:asciiTheme="minorHAnsi" w:eastAsia="Cambria" w:hAnsiTheme="minorHAnsi" w:cs="Cambria"/>
          <w:sz w:val="20"/>
          <w:szCs w:val="20"/>
          <w:lang w:val="en-US"/>
        </w:rPr>
        <w:t xml:space="preserve"> Protection of children and adolescents has the attribution of restoring rights violated, which is one form of reparation for human rights violations in this population. In addition, it indicated that the National System for the Protection of Children and Adolescents unanimously adopted a </w:t>
      </w:r>
      <w:r w:rsidR="003A01C2" w:rsidRPr="007D47AD">
        <w:rPr>
          <w:rFonts w:asciiTheme="minorHAnsi" w:eastAsia="Cambria" w:hAnsiTheme="minorHAnsi" w:cs="Cambria"/>
          <w:sz w:val="20"/>
          <w:szCs w:val="20"/>
          <w:lang w:val="en-US"/>
        </w:rPr>
        <w:t>“</w:t>
      </w:r>
      <w:r w:rsidRPr="007D47AD">
        <w:rPr>
          <w:rFonts w:asciiTheme="minorHAnsi" w:eastAsia="Cambria" w:hAnsiTheme="minorHAnsi" w:cs="Cambria"/>
          <w:sz w:val="20"/>
          <w:szCs w:val="20"/>
          <w:lang w:val="en-US"/>
        </w:rPr>
        <w:t>Route for Integral Protection of Rights of Children and Adolescents in Migration.</w:t>
      </w:r>
      <w:r w:rsidR="003A01C2" w:rsidRPr="007D47AD">
        <w:rPr>
          <w:rFonts w:asciiTheme="minorHAnsi" w:eastAsia="Cambria" w:hAnsiTheme="minorHAnsi" w:cs="Cambria"/>
          <w:sz w:val="20"/>
          <w:szCs w:val="20"/>
          <w:lang w:val="en-US"/>
        </w:rPr>
        <w:t xml:space="preserve">” </w:t>
      </w:r>
      <w:r w:rsidRPr="007D47AD">
        <w:rPr>
          <w:rFonts w:asciiTheme="minorHAnsi" w:eastAsia="Cambria" w:hAnsiTheme="minorHAnsi" w:cs="Cambria"/>
          <w:sz w:val="20"/>
          <w:szCs w:val="20"/>
          <w:lang w:val="en-US"/>
        </w:rPr>
        <w:t xml:space="preserve">As reported, the </w:t>
      </w:r>
      <w:r w:rsidR="009D68FB" w:rsidRPr="007D47AD">
        <w:rPr>
          <w:rFonts w:asciiTheme="minorHAnsi" w:eastAsia="Cambria" w:hAnsiTheme="minorHAnsi" w:cs="Cambria"/>
          <w:sz w:val="20"/>
          <w:szCs w:val="20"/>
          <w:lang w:val="en-US"/>
        </w:rPr>
        <w:t xml:space="preserve">Office of the Federal Prosecutor for the Protection of Children and Adolescents </w:t>
      </w:r>
      <w:r w:rsidRPr="007D47AD">
        <w:rPr>
          <w:rFonts w:asciiTheme="minorHAnsi" w:eastAsia="Cambria" w:hAnsiTheme="minorHAnsi" w:cs="Cambria"/>
          <w:sz w:val="20"/>
          <w:szCs w:val="20"/>
          <w:lang w:val="en-US"/>
        </w:rPr>
        <w:t>provided steady assistance in the design of this policy; the instrument has five stages</w:t>
      </w:r>
      <w:r w:rsidR="003A01C2" w:rsidRPr="007D47AD">
        <w:rPr>
          <w:rFonts w:asciiTheme="minorHAnsi" w:eastAsia="Cambria" w:hAnsiTheme="minorHAnsi" w:cs="Cambria"/>
          <w:sz w:val="20"/>
          <w:szCs w:val="20"/>
          <w:lang w:val="en-US"/>
        </w:rPr>
        <w:t xml:space="preserve">: </w:t>
      </w:r>
      <w:r w:rsidRPr="007D47AD">
        <w:rPr>
          <w:rFonts w:asciiTheme="minorHAnsi" w:eastAsia="Cambria" w:hAnsiTheme="minorHAnsi" w:cs="Cambria"/>
          <w:sz w:val="20"/>
          <w:szCs w:val="20"/>
          <w:lang w:val="en-US"/>
        </w:rPr>
        <w:t>(</w:t>
      </w:r>
      <w:r w:rsidR="003A01C2" w:rsidRPr="007D47AD">
        <w:rPr>
          <w:rFonts w:asciiTheme="minorHAnsi" w:eastAsia="Cambria" w:hAnsiTheme="minorHAnsi" w:cs="Cambria"/>
          <w:sz w:val="20"/>
          <w:szCs w:val="20"/>
          <w:lang w:val="en-US"/>
        </w:rPr>
        <w:t>i) monitor</w:t>
      </w:r>
      <w:r w:rsidRPr="007D47AD">
        <w:rPr>
          <w:rFonts w:asciiTheme="minorHAnsi" w:eastAsia="Cambria" w:hAnsiTheme="minorHAnsi" w:cs="Cambria"/>
          <w:sz w:val="20"/>
          <w:szCs w:val="20"/>
          <w:lang w:val="en-US"/>
        </w:rPr>
        <w:t>ing of migratory movements and preparation; (</w:t>
      </w:r>
      <w:r w:rsidR="003A01C2" w:rsidRPr="007D47AD">
        <w:rPr>
          <w:rFonts w:asciiTheme="minorHAnsi" w:eastAsia="Cambria" w:hAnsiTheme="minorHAnsi" w:cs="Cambria"/>
          <w:sz w:val="20"/>
          <w:szCs w:val="20"/>
          <w:lang w:val="en-US"/>
        </w:rPr>
        <w:t>ii</w:t>
      </w:r>
      <w:r w:rsidRPr="007D47AD">
        <w:rPr>
          <w:rFonts w:asciiTheme="minorHAnsi" w:eastAsia="Cambria" w:hAnsiTheme="minorHAnsi" w:cs="Cambria"/>
          <w:sz w:val="20"/>
          <w:szCs w:val="20"/>
          <w:lang w:val="en-US"/>
        </w:rPr>
        <w:t>)</w:t>
      </w:r>
      <w:r w:rsidR="003A01C2" w:rsidRPr="007D47AD">
        <w:rPr>
          <w:rFonts w:asciiTheme="minorHAnsi" w:eastAsia="Cambria" w:hAnsiTheme="minorHAnsi" w:cs="Cambria"/>
          <w:sz w:val="20"/>
          <w:szCs w:val="20"/>
          <w:lang w:val="en-US"/>
        </w:rPr>
        <w:t xml:space="preserve"> </w:t>
      </w:r>
      <w:r w:rsidRPr="007D47AD">
        <w:rPr>
          <w:rFonts w:asciiTheme="minorHAnsi" w:eastAsia="Cambria" w:hAnsiTheme="minorHAnsi" w:cs="Cambria"/>
          <w:sz w:val="20"/>
          <w:szCs w:val="20"/>
          <w:lang w:val="en-US"/>
        </w:rPr>
        <w:t>d</w:t>
      </w:r>
      <w:r w:rsidR="003A01C2" w:rsidRPr="007D47AD">
        <w:rPr>
          <w:rFonts w:asciiTheme="minorHAnsi" w:eastAsia="Cambria" w:hAnsiTheme="minorHAnsi" w:cs="Cambria"/>
          <w:sz w:val="20"/>
          <w:szCs w:val="20"/>
          <w:lang w:val="en-US"/>
        </w:rPr>
        <w:t>etec</w:t>
      </w:r>
      <w:r w:rsidRPr="007D47AD">
        <w:rPr>
          <w:rFonts w:asciiTheme="minorHAnsi" w:eastAsia="Cambria" w:hAnsiTheme="minorHAnsi" w:cs="Cambria"/>
          <w:sz w:val="20"/>
          <w:szCs w:val="20"/>
          <w:lang w:val="en-US"/>
        </w:rPr>
        <w:t>tion of children and adolescents</w:t>
      </w:r>
      <w:r w:rsidR="003A01C2" w:rsidRPr="007D47AD">
        <w:rPr>
          <w:rFonts w:asciiTheme="minorHAnsi" w:eastAsia="Cambria" w:hAnsiTheme="minorHAnsi" w:cs="Cambria"/>
          <w:sz w:val="20"/>
          <w:szCs w:val="20"/>
          <w:lang w:val="en-US"/>
        </w:rPr>
        <w:t xml:space="preserve">, </w:t>
      </w:r>
      <w:r w:rsidRPr="007D47AD">
        <w:rPr>
          <w:rFonts w:asciiTheme="minorHAnsi" w:eastAsia="Cambria" w:hAnsiTheme="minorHAnsi" w:cs="Cambria"/>
          <w:sz w:val="20"/>
          <w:szCs w:val="20"/>
          <w:lang w:val="en-US"/>
        </w:rPr>
        <w:t>from their entry to the national territory and establishment of urgent measures</w:t>
      </w:r>
      <w:r w:rsidR="003A01C2" w:rsidRPr="007D47AD">
        <w:rPr>
          <w:rFonts w:asciiTheme="minorHAnsi" w:eastAsia="Cambria" w:hAnsiTheme="minorHAnsi" w:cs="Cambria"/>
          <w:sz w:val="20"/>
          <w:szCs w:val="20"/>
          <w:lang w:val="en-US"/>
        </w:rPr>
        <w:t xml:space="preserve">; </w:t>
      </w:r>
      <w:r w:rsidRPr="007D47AD">
        <w:rPr>
          <w:rFonts w:asciiTheme="minorHAnsi" w:eastAsia="Cambria" w:hAnsiTheme="minorHAnsi" w:cs="Cambria"/>
          <w:sz w:val="20"/>
          <w:szCs w:val="20"/>
          <w:lang w:val="en-US"/>
        </w:rPr>
        <w:t>(</w:t>
      </w:r>
      <w:r w:rsidR="003A01C2" w:rsidRPr="007D47AD">
        <w:rPr>
          <w:rFonts w:asciiTheme="minorHAnsi" w:eastAsia="Cambria" w:hAnsiTheme="minorHAnsi" w:cs="Cambria"/>
          <w:sz w:val="20"/>
          <w:szCs w:val="20"/>
          <w:lang w:val="en-US"/>
        </w:rPr>
        <w:t>iii</w:t>
      </w:r>
      <w:r w:rsidRPr="007D47AD">
        <w:rPr>
          <w:rFonts w:asciiTheme="minorHAnsi" w:eastAsia="Cambria" w:hAnsiTheme="minorHAnsi" w:cs="Cambria"/>
          <w:sz w:val="20"/>
          <w:szCs w:val="20"/>
          <w:lang w:val="en-US"/>
        </w:rPr>
        <w:t>)</w:t>
      </w:r>
      <w:r w:rsidR="003A01C2" w:rsidRPr="007D47AD">
        <w:rPr>
          <w:rFonts w:asciiTheme="minorHAnsi" w:eastAsia="Cambria" w:hAnsiTheme="minorHAnsi" w:cs="Cambria"/>
          <w:sz w:val="20"/>
          <w:szCs w:val="20"/>
          <w:lang w:val="en-US"/>
        </w:rPr>
        <w:t xml:space="preserve"> </w:t>
      </w:r>
      <w:r w:rsidRPr="007D47AD">
        <w:rPr>
          <w:rFonts w:asciiTheme="minorHAnsi" w:eastAsia="Cambria" w:hAnsiTheme="minorHAnsi" w:cs="Cambria"/>
          <w:sz w:val="20"/>
          <w:szCs w:val="20"/>
          <w:lang w:val="en-US"/>
        </w:rPr>
        <w:t>d</w:t>
      </w:r>
      <w:r w:rsidR="003A01C2" w:rsidRPr="007D47AD">
        <w:rPr>
          <w:rFonts w:asciiTheme="minorHAnsi" w:eastAsia="Cambria" w:hAnsiTheme="minorHAnsi" w:cs="Cambria"/>
          <w:sz w:val="20"/>
          <w:szCs w:val="20"/>
          <w:lang w:val="en-US"/>
        </w:rPr>
        <w:t>etermina</w:t>
      </w:r>
      <w:r w:rsidRPr="007D47AD">
        <w:rPr>
          <w:rFonts w:asciiTheme="minorHAnsi" w:eastAsia="Cambria" w:hAnsiTheme="minorHAnsi" w:cs="Cambria"/>
          <w:sz w:val="20"/>
          <w:szCs w:val="20"/>
          <w:lang w:val="en-US"/>
        </w:rPr>
        <w:t xml:space="preserve">tion of best interest by the </w:t>
      </w:r>
      <w:r w:rsidR="009D68FB" w:rsidRPr="007D47AD">
        <w:rPr>
          <w:rFonts w:asciiTheme="minorHAnsi" w:eastAsia="Cambria" w:hAnsiTheme="minorHAnsi" w:cs="Cambria"/>
          <w:sz w:val="20"/>
          <w:szCs w:val="20"/>
          <w:lang w:val="en-US"/>
        </w:rPr>
        <w:t>Office of the Federal Prosecutor for the Protection of Children and Adolescents</w:t>
      </w:r>
      <w:r w:rsidR="003A01C2" w:rsidRPr="007D47AD">
        <w:rPr>
          <w:rFonts w:asciiTheme="minorHAnsi" w:eastAsia="Cambria" w:hAnsiTheme="minorHAnsi" w:cs="Cambria"/>
          <w:sz w:val="20"/>
          <w:szCs w:val="20"/>
          <w:lang w:val="en-US"/>
        </w:rPr>
        <w:t xml:space="preserve">; </w:t>
      </w:r>
      <w:r w:rsidRPr="007D47AD">
        <w:rPr>
          <w:rFonts w:asciiTheme="minorHAnsi" w:eastAsia="Cambria" w:hAnsiTheme="minorHAnsi" w:cs="Cambria"/>
          <w:sz w:val="20"/>
          <w:szCs w:val="20"/>
          <w:lang w:val="en-US"/>
        </w:rPr>
        <w:t>(</w:t>
      </w:r>
      <w:r w:rsidR="003A01C2" w:rsidRPr="007D47AD">
        <w:rPr>
          <w:rFonts w:asciiTheme="minorHAnsi" w:eastAsia="Cambria" w:hAnsiTheme="minorHAnsi" w:cs="Cambria"/>
          <w:sz w:val="20"/>
          <w:szCs w:val="20"/>
          <w:lang w:val="en-US"/>
        </w:rPr>
        <w:t>iv</w:t>
      </w:r>
      <w:r w:rsidRPr="007D47AD">
        <w:rPr>
          <w:rFonts w:asciiTheme="minorHAnsi" w:eastAsia="Cambria" w:hAnsiTheme="minorHAnsi" w:cs="Cambria"/>
          <w:sz w:val="20"/>
          <w:szCs w:val="20"/>
          <w:lang w:val="en-US"/>
        </w:rPr>
        <w:t>)</w:t>
      </w:r>
      <w:r w:rsidR="003A01C2" w:rsidRPr="007D47AD">
        <w:rPr>
          <w:rFonts w:asciiTheme="minorHAnsi" w:eastAsia="Cambria" w:hAnsiTheme="minorHAnsi" w:cs="Cambria"/>
          <w:sz w:val="20"/>
          <w:szCs w:val="20"/>
          <w:lang w:val="en-US"/>
        </w:rPr>
        <w:t xml:space="preserve"> restitu</w:t>
      </w:r>
      <w:r w:rsidRPr="007D47AD">
        <w:rPr>
          <w:rFonts w:asciiTheme="minorHAnsi" w:eastAsia="Cambria" w:hAnsiTheme="minorHAnsi" w:cs="Cambria"/>
          <w:sz w:val="20"/>
          <w:szCs w:val="20"/>
          <w:lang w:val="en-US"/>
        </w:rPr>
        <w:t>tion of right entrusted to enforcement institutions; and (</w:t>
      </w:r>
      <w:r w:rsidR="003A01C2" w:rsidRPr="007D47AD">
        <w:rPr>
          <w:rFonts w:asciiTheme="minorHAnsi" w:eastAsia="Cambria" w:hAnsiTheme="minorHAnsi" w:cs="Cambria"/>
          <w:sz w:val="20"/>
          <w:szCs w:val="20"/>
          <w:lang w:val="en-US"/>
        </w:rPr>
        <w:t>v</w:t>
      </w:r>
      <w:r w:rsidRPr="007D47AD">
        <w:rPr>
          <w:rFonts w:asciiTheme="minorHAnsi" w:eastAsia="Cambria" w:hAnsiTheme="minorHAnsi" w:cs="Cambria"/>
          <w:sz w:val="20"/>
          <w:szCs w:val="20"/>
          <w:lang w:val="en-US"/>
        </w:rPr>
        <w:t>)</w:t>
      </w:r>
      <w:r w:rsidR="003A01C2" w:rsidRPr="007D47AD">
        <w:rPr>
          <w:rFonts w:asciiTheme="minorHAnsi" w:eastAsia="Cambria" w:hAnsiTheme="minorHAnsi" w:cs="Cambria"/>
          <w:sz w:val="20"/>
          <w:szCs w:val="20"/>
          <w:lang w:val="en-US"/>
        </w:rPr>
        <w:t xml:space="preserve"> prepara</w:t>
      </w:r>
      <w:r w:rsidRPr="007D47AD">
        <w:rPr>
          <w:rFonts w:asciiTheme="minorHAnsi" w:eastAsia="Cambria" w:hAnsiTheme="minorHAnsi" w:cs="Cambria"/>
          <w:sz w:val="20"/>
          <w:szCs w:val="20"/>
          <w:lang w:val="en-US"/>
        </w:rPr>
        <w:t>tion and transition to independent adult life.</w:t>
      </w:r>
      <w:r w:rsidR="003A01C2" w:rsidRPr="007D47AD">
        <w:rPr>
          <w:rStyle w:val="FootnoteReference"/>
          <w:rFonts w:asciiTheme="minorHAnsi" w:eastAsia="Cambria" w:hAnsiTheme="minorHAnsi" w:cs="Cambria"/>
          <w:sz w:val="20"/>
          <w:szCs w:val="20"/>
          <w:lang w:val="en-US"/>
        </w:rPr>
        <w:footnoteReference w:id="294"/>
      </w:r>
      <w:r w:rsidR="003A01C2" w:rsidRPr="007D47AD">
        <w:rPr>
          <w:rFonts w:asciiTheme="minorHAnsi" w:eastAsia="Cambria" w:hAnsiTheme="minorHAnsi" w:cs="Cambria"/>
          <w:sz w:val="20"/>
          <w:szCs w:val="20"/>
          <w:lang w:val="en-US"/>
        </w:rPr>
        <w:t xml:space="preserve"> </w:t>
      </w:r>
    </w:p>
    <w:p w:rsidR="003A01C2" w:rsidRPr="007D47AD" w:rsidRDefault="00BB4226" w:rsidP="003A01C2">
      <w:pPr>
        <w:numPr>
          <w:ilvl w:val="0"/>
          <w:numId w:val="6"/>
        </w:numPr>
        <w:shd w:val="clear" w:color="auto" w:fill="FFFFFF"/>
        <w:spacing w:after="240" w:line="240" w:lineRule="auto"/>
        <w:ind w:left="0" w:firstLine="720"/>
        <w:jc w:val="both"/>
        <w:rPr>
          <w:rFonts w:asciiTheme="minorHAnsi" w:eastAsia="Cambria" w:hAnsiTheme="minorHAnsi" w:cs="Cambria"/>
          <w:sz w:val="20"/>
          <w:szCs w:val="20"/>
          <w:lang w:val="en-US"/>
        </w:rPr>
      </w:pPr>
      <w:r w:rsidRPr="007D47AD">
        <w:rPr>
          <w:rFonts w:asciiTheme="minorHAnsi" w:eastAsia="Cambria" w:hAnsiTheme="minorHAnsi" w:cs="Cambria"/>
          <w:sz w:val="20"/>
          <w:szCs w:val="20"/>
          <w:lang w:val="en-US"/>
        </w:rPr>
        <w:t xml:space="preserve">The </w:t>
      </w:r>
      <w:r w:rsidR="003A01C2" w:rsidRPr="007D47AD">
        <w:rPr>
          <w:rFonts w:asciiTheme="minorHAnsi" w:eastAsia="Cambria" w:hAnsiTheme="minorHAnsi" w:cs="Cambria"/>
          <w:sz w:val="20"/>
          <w:szCs w:val="20"/>
          <w:lang w:val="en-US"/>
        </w:rPr>
        <w:t>CNDH indi</w:t>
      </w:r>
      <w:r w:rsidRPr="007D47AD">
        <w:rPr>
          <w:rFonts w:asciiTheme="minorHAnsi" w:eastAsia="Cambria" w:hAnsiTheme="minorHAnsi" w:cs="Cambria"/>
          <w:sz w:val="20"/>
          <w:szCs w:val="20"/>
          <w:lang w:val="en-US"/>
        </w:rPr>
        <w:t>cated</w:t>
      </w:r>
      <w:r w:rsidR="003A01C2" w:rsidRPr="007D47AD">
        <w:rPr>
          <w:rFonts w:asciiTheme="minorHAnsi" w:eastAsia="Cambria" w:hAnsiTheme="minorHAnsi" w:cs="Cambria"/>
          <w:sz w:val="20"/>
          <w:szCs w:val="20"/>
          <w:lang w:val="en-US"/>
        </w:rPr>
        <w:t>, general</w:t>
      </w:r>
      <w:r w:rsidRPr="007D47AD">
        <w:rPr>
          <w:rFonts w:asciiTheme="minorHAnsi" w:eastAsia="Cambria" w:hAnsiTheme="minorHAnsi" w:cs="Cambria"/>
          <w:sz w:val="20"/>
          <w:szCs w:val="20"/>
          <w:lang w:val="en-US"/>
        </w:rPr>
        <w:t>ly</w:t>
      </w:r>
      <w:r w:rsidR="003A01C2" w:rsidRPr="007D47AD">
        <w:rPr>
          <w:rFonts w:asciiTheme="minorHAnsi" w:eastAsia="Cambria" w:hAnsiTheme="minorHAnsi" w:cs="Cambria"/>
          <w:sz w:val="20"/>
          <w:szCs w:val="20"/>
          <w:lang w:val="en-US"/>
        </w:rPr>
        <w:t>,</w:t>
      </w:r>
      <w:r w:rsidRPr="007D47AD">
        <w:rPr>
          <w:rFonts w:asciiTheme="minorHAnsi" w:eastAsia="Cambria" w:hAnsiTheme="minorHAnsi" w:cs="Cambria"/>
          <w:sz w:val="20"/>
          <w:szCs w:val="20"/>
          <w:lang w:val="en-US"/>
        </w:rPr>
        <w:t xml:space="preserve"> that the </w:t>
      </w:r>
      <w:r w:rsidR="00CA26A8" w:rsidRPr="007D47AD">
        <w:rPr>
          <w:rFonts w:asciiTheme="minorHAnsi" w:eastAsia="Cambria" w:hAnsiTheme="minorHAnsi" w:cs="Cambria"/>
          <w:sz w:val="20"/>
          <w:szCs w:val="20"/>
          <w:lang w:val="en-US"/>
        </w:rPr>
        <w:t xml:space="preserve">issue </w:t>
      </w:r>
      <w:r w:rsidRPr="007D47AD">
        <w:rPr>
          <w:rFonts w:asciiTheme="minorHAnsi" w:eastAsia="Cambria" w:hAnsiTheme="minorHAnsi" w:cs="Cambria"/>
          <w:sz w:val="20"/>
          <w:szCs w:val="20"/>
          <w:lang w:val="en-US"/>
        </w:rPr>
        <w:t xml:space="preserve">of violence against children and adolescents is a large-scale problem that has been considered by the World Health Organization and the United Nations Children’s Fund as a public health </w:t>
      </w:r>
      <w:r w:rsidR="004E08FB" w:rsidRPr="007D47AD">
        <w:rPr>
          <w:rFonts w:asciiTheme="minorHAnsi" w:eastAsia="Cambria" w:hAnsiTheme="minorHAnsi" w:cs="Cambria"/>
          <w:sz w:val="20"/>
          <w:szCs w:val="20"/>
          <w:lang w:val="en-US"/>
        </w:rPr>
        <w:t>problem. The</w:t>
      </w:r>
      <w:r w:rsidRPr="007D47AD">
        <w:rPr>
          <w:rFonts w:asciiTheme="minorHAnsi" w:eastAsia="Cambria" w:hAnsiTheme="minorHAnsi" w:cs="Cambria"/>
          <w:sz w:val="20"/>
          <w:szCs w:val="20"/>
          <w:lang w:val="en-US"/>
        </w:rPr>
        <w:t xml:space="preserve"> </w:t>
      </w:r>
      <w:r w:rsidR="003A01C2" w:rsidRPr="007D47AD">
        <w:rPr>
          <w:rFonts w:asciiTheme="minorHAnsi" w:eastAsia="Cambria" w:hAnsiTheme="minorHAnsi" w:cs="Cambria"/>
          <w:sz w:val="20"/>
          <w:szCs w:val="20"/>
          <w:lang w:val="en-US"/>
        </w:rPr>
        <w:t>CNDH reiter</w:t>
      </w:r>
      <w:r w:rsidRPr="007D47AD">
        <w:rPr>
          <w:rFonts w:asciiTheme="minorHAnsi" w:eastAsia="Cambria" w:hAnsiTheme="minorHAnsi" w:cs="Cambria"/>
          <w:sz w:val="20"/>
          <w:szCs w:val="20"/>
          <w:lang w:val="en-US"/>
        </w:rPr>
        <w:t xml:space="preserve">ated that in </w:t>
      </w:r>
      <w:r w:rsidR="003A01C2" w:rsidRPr="007D47AD">
        <w:rPr>
          <w:rFonts w:asciiTheme="minorHAnsi" w:eastAsia="Cambria" w:hAnsiTheme="minorHAnsi" w:cs="Cambria"/>
          <w:sz w:val="20"/>
          <w:szCs w:val="20"/>
          <w:lang w:val="en-US"/>
        </w:rPr>
        <w:t xml:space="preserve">2015 </w:t>
      </w:r>
      <w:r w:rsidRPr="007D47AD">
        <w:rPr>
          <w:rFonts w:asciiTheme="minorHAnsi" w:eastAsia="Cambria" w:hAnsiTheme="minorHAnsi" w:cs="Cambria"/>
          <w:sz w:val="20"/>
          <w:szCs w:val="20"/>
          <w:lang w:val="en-US"/>
        </w:rPr>
        <w:t xml:space="preserve">the Committee on the Rights of </w:t>
      </w:r>
      <w:r w:rsidRPr="007D47AD">
        <w:rPr>
          <w:rFonts w:asciiTheme="minorHAnsi" w:eastAsia="Cambria" w:hAnsiTheme="minorHAnsi" w:cs="Cambria"/>
          <w:sz w:val="20"/>
          <w:szCs w:val="20"/>
          <w:lang w:val="en-US"/>
        </w:rPr>
        <w:lastRenderedPageBreak/>
        <w:t xml:space="preserve">the Child urged the State to adopt laws and policies to </w:t>
      </w:r>
      <w:r w:rsidR="003A01C2" w:rsidRPr="007D47AD">
        <w:rPr>
          <w:rFonts w:asciiTheme="minorHAnsi" w:eastAsia="Cambria" w:hAnsiTheme="minorHAnsi" w:cs="Cambria"/>
          <w:sz w:val="20"/>
          <w:szCs w:val="20"/>
          <w:lang w:val="en-US"/>
        </w:rPr>
        <w:t>preven</w:t>
      </w:r>
      <w:r w:rsidRPr="007D47AD">
        <w:rPr>
          <w:rFonts w:asciiTheme="minorHAnsi" w:eastAsia="Cambria" w:hAnsiTheme="minorHAnsi" w:cs="Cambria"/>
          <w:sz w:val="20"/>
          <w:szCs w:val="20"/>
          <w:lang w:val="en-US"/>
        </w:rPr>
        <w:t xml:space="preserve">t and punish violence against children and adolescents. Nonetheless, as of </w:t>
      </w:r>
      <w:r w:rsidR="003A01C2" w:rsidRPr="007D47AD">
        <w:rPr>
          <w:rFonts w:asciiTheme="minorHAnsi" w:eastAsia="Cambria" w:hAnsiTheme="minorHAnsi" w:cs="Cambria"/>
          <w:sz w:val="20"/>
          <w:szCs w:val="20"/>
          <w:lang w:val="en-US"/>
        </w:rPr>
        <w:t xml:space="preserve">2018 </w:t>
      </w:r>
      <w:r w:rsidRPr="007D47AD">
        <w:rPr>
          <w:rFonts w:asciiTheme="minorHAnsi" w:eastAsia="Cambria" w:hAnsiTheme="minorHAnsi" w:cs="Cambria"/>
          <w:sz w:val="20"/>
          <w:szCs w:val="20"/>
          <w:lang w:val="en-US"/>
        </w:rPr>
        <w:t xml:space="preserve">only in Mexico City, </w:t>
      </w:r>
      <w:r w:rsidR="003A01C2" w:rsidRPr="007D47AD">
        <w:rPr>
          <w:rFonts w:asciiTheme="minorHAnsi" w:eastAsia="Cambria" w:hAnsiTheme="minorHAnsi" w:cs="Cambria"/>
          <w:sz w:val="20"/>
          <w:szCs w:val="20"/>
          <w:lang w:val="en-US"/>
        </w:rPr>
        <w:t>Chiapas</w:t>
      </w:r>
      <w:r w:rsidRPr="007D47AD">
        <w:rPr>
          <w:rFonts w:asciiTheme="minorHAnsi" w:eastAsia="Cambria" w:hAnsiTheme="minorHAnsi" w:cs="Cambria"/>
          <w:sz w:val="20"/>
          <w:szCs w:val="20"/>
          <w:lang w:val="en-US"/>
        </w:rPr>
        <w:t xml:space="preserve">, and </w:t>
      </w:r>
      <w:r w:rsidR="003A01C2" w:rsidRPr="007D47AD">
        <w:rPr>
          <w:rFonts w:asciiTheme="minorHAnsi" w:eastAsia="Cambria" w:hAnsiTheme="minorHAnsi" w:cs="Cambria"/>
          <w:sz w:val="20"/>
          <w:szCs w:val="20"/>
          <w:lang w:val="en-US"/>
        </w:rPr>
        <w:t xml:space="preserve">Zacatecas </w:t>
      </w:r>
      <w:r w:rsidRPr="007D47AD">
        <w:rPr>
          <w:rFonts w:asciiTheme="minorHAnsi" w:eastAsia="Cambria" w:hAnsiTheme="minorHAnsi" w:cs="Cambria"/>
          <w:sz w:val="20"/>
          <w:szCs w:val="20"/>
          <w:lang w:val="en-US"/>
        </w:rPr>
        <w:t xml:space="preserve">had laws been adopted that prohibit corporal punishment. In addition, it noted that as of </w:t>
      </w:r>
      <w:r w:rsidR="003A01C2" w:rsidRPr="007D47AD">
        <w:rPr>
          <w:rFonts w:asciiTheme="minorHAnsi" w:eastAsia="Cambria" w:hAnsiTheme="minorHAnsi" w:cs="Cambria"/>
          <w:sz w:val="20"/>
          <w:szCs w:val="20"/>
          <w:lang w:val="en-US"/>
        </w:rPr>
        <w:t xml:space="preserve">2019 </w:t>
      </w:r>
      <w:r w:rsidRPr="007D47AD">
        <w:rPr>
          <w:rFonts w:asciiTheme="minorHAnsi" w:eastAsia="Cambria" w:hAnsiTheme="minorHAnsi" w:cs="Cambria"/>
          <w:sz w:val="20"/>
          <w:szCs w:val="20"/>
          <w:lang w:val="en-US"/>
        </w:rPr>
        <w:t xml:space="preserve">it was estimated that </w:t>
      </w:r>
      <w:r w:rsidR="003A01C2" w:rsidRPr="007D47AD">
        <w:rPr>
          <w:rFonts w:asciiTheme="minorHAnsi" w:eastAsia="Cambria" w:hAnsiTheme="minorHAnsi" w:cs="Cambria"/>
          <w:sz w:val="20"/>
          <w:szCs w:val="20"/>
          <w:lang w:val="en-US"/>
        </w:rPr>
        <w:t>460</w:t>
      </w:r>
      <w:r w:rsidRPr="007D47AD">
        <w:rPr>
          <w:rFonts w:asciiTheme="minorHAnsi" w:eastAsia="Cambria" w:hAnsiTheme="minorHAnsi" w:cs="Cambria"/>
          <w:sz w:val="20"/>
          <w:szCs w:val="20"/>
          <w:lang w:val="en-US"/>
        </w:rPr>
        <w:t>,000</w:t>
      </w:r>
      <w:r w:rsidR="003A01C2" w:rsidRPr="007D47AD">
        <w:rPr>
          <w:rFonts w:asciiTheme="minorHAnsi" w:eastAsia="Cambria" w:hAnsiTheme="minorHAnsi" w:cs="Cambria"/>
          <w:sz w:val="20"/>
          <w:szCs w:val="20"/>
          <w:lang w:val="en-US"/>
        </w:rPr>
        <w:t xml:space="preserve"> </w:t>
      </w:r>
      <w:r w:rsidRPr="007D47AD">
        <w:rPr>
          <w:rFonts w:asciiTheme="minorHAnsi" w:eastAsia="Cambria" w:hAnsiTheme="minorHAnsi" w:cs="Cambria"/>
          <w:sz w:val="20"/>
          <w:szCs w:val="20"/>
          <w:lang w:val="en-US"/>
        </w:rPr>
        <w:t>children and adolescents had been incorporated into the organized crime groups as mule</w:t>
      </w:r>
      <w:r w:rsidR="00CA26A8" w:rsidRPr="007D47AD">
        <w:rPr>
          <w:rFonts w:asciiTheme="minorHAnsi" w:eastAsia="Cambria" w:hAnsiTheme="minorHAnsi" w:cs="Cambria"/>
          <w:sz w:val="20"/>
          <w:szCs w:val="20"/>
          <w:lang w:val="en-US"/>
        </w:rPr>
        <w:t xml:space="preserve">s or </w:t>
      </w:r>
      <w:r w:rsidRPr="007D47AD">
        <w:rPr>
          <w:rFonts w:asciiTheme="minorHAnsi" w:eastAsia="Cambria" w:hAnsiTheme="minorHAnsi" w:cs="Cambria"/>
          <w:sz w:val="20"/>
          <w:szCs w:val="20"/>
          <w:lang w:val="en-US"/>
        </w:rPr>
        <w:t>spies, or for forced prostitution.</w:t>
      </w:r>
      <w:r w:rsidR="003A01C2" w:rsidRPr="007D47AD">
        <w:rPr>
          <w:rStyle w:val="FootnoteReference"/>
          <w:rFonts w:asciiTheme="minorHAnsi" w:eastAsia="Cambria" w:hAnsiTheme="minorHAnsi" w:cs="Cambria"/>
          <w:sz w:val="20"/>
          <w:szCs w:val="20"/>
          <w:lang w:val="en-US"/>
        </w:rPr>
        <w:footnoteReference w:id="295"/>
      </w:r>
      <w:r w:rsidR="003A01C2" w:rsidRPr="007D47AD">
        <w:rPr>
          <w:rFonts w:asciiTheme="minorHAnsi" w:eastAsia="Cambria" w:hAnsiTheme="minorHAnsi" w:cs="Cambria"/>
          <w:sz w:val="20"/>
          <w:szCs w:val="20"/>
          <w:lang w:val="en-US"/>
        </w:rPr>
        <w:t xml:space="preserve"> </w:t>
      </w:r>
      <w:r w:rsidR="00D20FAD" w:rsidRPr="007D47AD">
        <w:rPr>
          <w:rFonts w:asciiTheme="minorHAnsi" w:eastAsia="Cambria" w:hAnsiTheme="minorHAnsi" w:cs="Cambria"/>
          <w:sz w:val="20"/>
          <w:szCs w:val="20"/>
          <w:lang w:val="en-US"/>
        </w:rPr>
        <w:t xml:space="preserve">The </w:t>
      </w:r>
      <w:r w:rsidR="003A01C2" w:rsidRPr="007D47AD">
        <w:rPr>
          <w:rFonts w:asciiTheme="minorHAnsi" w:eastAsia="Cambria" w:hAnsiTheme="minorHAnsi" w:cs="Cambria"/>
          <w:sz w:val="20"/>
          <w:szCs w:val="20"/>
          <w:lang w:val="en-US"/>
        </w:rPr>
        <w:t xml:space="preserve">CNDH </w:t>
      </w:r>
      <w:r w:rsidR="00D20FAD" w:rsidRPr="007D47AD">
        <w:rPr>
          <w:rFonts w:asciiTheme="minorHAnsi" w:eastAsia="Cambria" w:hAnsiTheme="minorHAnsi" w:cs="Cambria"/>
          <w:sz w:val="20"/>
          <w:szCs w:val="20"/>
          <w:lang w:val="en-US"/>
        </w:rPr>
        <w:t>also noted that there has been discussion of the need to expressly prohibit and punish corporal punishment of children and adolescents and establish safe and accessible channels for reporting such abuses</w:t>
      </w:r>
      <w:r w:rsidR="00CA26A8" w:rsidRPr="007D47AD">
        <w:rPr>
          <w:rFonts w:asciiTheme="minorHAnsi" w:eastAsia="Cambria" w:hAnsiTheme="minorHAnsi" w:cs="Cambria"/>
          <w:sz w:val="20"/>
          <w:szCs w:val="20"/>
          <w:lang w:val="en-US"/>
        </w:rPr>
        <w:t>.</w:t>
      </w:r>
      <w:r w:rsidR="00D20FAD" w:rsidRPr="007D47AD">
        <w:rPr>
          <w:rFonts w:asciiTheme="minorHAnsi" w:eastAsia="Cambria" w:hAnsiTheme="minorHAnsi" w:cs="Cambria"/>
          <w:sz w:val="20"/>
          <w:szCs w:val="20"/>
          <w:lang w:val="en-US"/>
        </w:rPr>
        <w:t xml:space="preserve"> The </w:t>
      </w:r>
      <w:r w:rsidR="003A01C2" w:rsidRPr="007D47AD">
        <w:rPr>
          <w:rFonts w:asciiTheme="minorHAnsi" w:eastAsia="Cambria" w:hAnsiTheme="minorHAnsi" w:cs="Cambria"/>
          <w:sz w:val="20"/>
          <w:szCs w:val="20"/>
          <w:lang w:val="en-US"/>
        </w:rPr>
        <w:t>CNDH report</w:t>
      </w:r>
      <w:r w:rsidR="00D20FAD" w:rsidRPr="007D47AD">
        <w:rPr>
          <w:rFonts w:asciiTheme="minorHAnsi" w:eastAsia="Cambria" w:hAnsiTheme="minorHAnsi" w:cs="Cambria"/>
          <w:sz w:val="20"/>
          <w:szCs w:val="20"/>
          <w:lang w:val="en-US"/>
        </w:rPr>
        <w:t xml:space="preserve">ed that it issued recommendation </w:t>
      </w:r>
      <w:r w:rsidR="003A01C2" w:rsidRPr="007D47AD">
        <w:rPr>
          <w:rFonts w:asciiTheme="minorHAnsi" w:eastAsia="Cambria" w:hAnsiTheme="minorHAnsi" w:cs="Cambria"/>
          <w:sz w:val="20"/>
          <w:szCs w:val="20"/>
          <w:lang w:val="en-US"/>
        </w:rPr>
        <w:t xml:space="preserve">No. 86/2018 </w:t>
      </w:r>
      <w:r w:rsidR="00D20FAD" w:rsidRPr="007D47AD">
        <w:rPr>
          <w:rFonts w:asciiTheme="minorHAnsi" w:eastAsia="Cambria" w:hAnsiTheme="minorHAnsi" w:cs="Cambria"/>
          <w:sz w:val="20"/>
          <w:szCs w:val="20"/>
          <w:lang w:val="en-US"/>
        </w:rPr>
        <w:t xml:space="preserve">in relation to situations of violence to the detriment of </w:t>
      </w:r>
      <w:r w:rsidR="003A01C2" w:rsidRPr="007D47AD">
        <w:rPr>
          <w:rFonts w:asciiTheme="minorHAnsi" w:eastAsia="Cambria" w:hAnsiTheme="minorHAnsi" w:cs="Cambria"/>
          <w:sz w:val="20"/>
          <w:szCs w:val="20"/>
          <w:lang w:val="en-US"/>
        </w:rPr>
        <w:t xml:space="preserve">20 </w:t>
      </w:r>
      <w:r w:rsidR="00D20FAD" w:rsidRPr="007D47AD">
        <w:rPr>
          <w:rFonts w:asciiTheme="minorHAnsi" w:eastAsia="Cambria" w:hAnsiTheme="minorHAnsi" w:cs="Cambria"/>
          <w:sz w:val="20"/>
          <w:szCs w:val="20"/>
          <w:lang w:val="en-US"/>
        </w:rPr>
        <w:t xml:space="preserve">children and adolescents in 10 basic education schools in </w:t>
      </w:r>
      <w:r w:rsidR="003A01C2" w:rsidRPr="007D47AD">
        <w:rPr>
          <w:rFonts w:asciiTheme="minorHAnsi" w:eastAsia="Cambria" w:hAnsiTheme="minorHAnsi" w:cs="Cambria"/>
          <w:sz w:val="20"/>
          <w:szCs w:val="20"/>
          <w:lang w:val="en-US"/>
        </w:rPr>
        <w:t>Hidalgo, Tabasco</w:t>
      </w:r>
      <w:r w:rsidR="00D20FAD" w:rsidRPr="007D47AD">
        <w:rPr>
          <w:rFonts w:asciiTheme="minorHAnsi" w:eastAsia="Cambria" w:hAnsiTheme="minorHAnsi" w:cs="Cambria"/>
          <w:sz w:val="20"/>
          <w:szCs w:val="20"/>
          <w:lang w:val="en-US"/>
        </w:rPr>
        <w:t>, and</w:t>
      </w:r>
      <w:r w:rsidR="003A01C2" w:rsidRPr="007D47AD">
        <w:rPr>
          <w:rFonts w:asciiTheme="minorHAnsi" w:eastAsia="Cambria" w:hAnsiTheme="minorHAnsi" w:cs="Cambria"/>
          <w:sz w:val="20"/>
          <w:szCs w:val="20"/>
          <w:lang w:val="en-US"/>
        </w:rPr>
        <w:t xml:space="preserve"> </w:t>
      </w:r>
      <w:r w:rsidR="00D20FAD" w:rsidRPr="007D47AD">
        <w:rPr>
          <w:rFonts w:asciiTheme="minorHAnsi" w:eastAsia="Cambria" w:hAnsiTheme="minorHAnsi" w:cs="Cambria"/>
          <w:sz w:val="20"/>
          <w:szCs w:val="20"/>
          <w:lang w:val="en-US"/>
        </w:rPr>
        <w:t xml:space="preserve">Mexico City. </w:t>
      </w:r>
    </w:p>
    <w:p w:rsidR="003A01C2" w:rsidRPr="007D47AD" w:rsidRDefault="00D20FAD" w:rsidP="00CA26A8">
      <w:pPr>
        <w:numPr>
          <w:ilvl w:val="0"/>
          <w:numId w:val="6"/>
        </w:numPr>
        <w:shd w:val="clear" w:color="auto" w:fill="FFFFFF"/>
        <w:spacing w:after="240" w:line="240" w:lineRule="auto"/>
        <w:ind w:left="0" w:firstLine="720"/>
        <w:jc w:val="both"/>
        <w:rPr>
          <w:rFonts w:asciiTheme="minorHAnsi" w:hAnsiTheme="minorHAnsi"/>
          <w:sz w:val="20"/>
          <w:szCs w:val="20"/>
          <w:lang w:val="en-US"/>
        </w:rPr>
      </w:pPr>
      <w:r w:rsidRPr="007D47AD">
        <w:rPr>
          <w:rFonts w:asciiTheme="minorHAnsi" w:eastAsia="Cambria" w:hAnsiTheme="minorHAnsi" w:cs="Cambria"/>
          <w:sz w:val="20"/>
          <w:szCs w:val="20"/>
          <w:lang w:val="en-US"/>
        </w:rPr>
        <w:t xml:space="preserve">In addition, </w:t>
      </w:r>
      <w:r w:rsidR="005A4DE4" w:rsidRPr="007D47AD">
        <w:rPr>
          <w:rFonts w:asciiTheme="minorHAnsi" w:eastAsia="Cambria" w:hAnsiTheme="minorHAnsi" w:cs="Cambria"/>
          <w:sz w:val="20"/>
          <w:szCs w:val="20"/>
          <w:lang w:val="en-US"/>
        </w:rPr>
        <w:t xml:space="preserve">in its observations on the draft of this report </w:t>
      </w:r>
      <w:r w:rsidRPr="007D47AD">
        <w:rPr>
          <w:rFonts w:asciiTheme="minorHAnsi" w:eastAsia="Cambria" w:hAnsiTheme="minorHAnsi" w:cs="Cambria"/>
          <w:sz w:val="20"/>
          <w:szCs w:val="20"/>
          <w:lang w:val="en-US"/>
        </w:rPr>
        <w:t xml:space="preserve">the State reported that it has </w:t>
      </w:r>
      <w:r w:rsidR="00CA26A8" w:rsidRPr="007D47AD">
        <w:rPr>
          <w:rFonts w:asciiTheme="minorHAnsi" w:eastAsia="Cambria" w:hAnsiTheme="minorHAnsi" w:cs="Cambria"/>
          <w:sz w:val="20"/>
          <w:szCs w:val="20"/>
          <w:lang w:val="en-US"/>
        </w:rPr>
        <w:t xml:space="preserve">an “Model of alternative forms of care </w:t>
      </w:r>
      <w:r w:rsidR="001F48E3" w:rsidRPr="007D47AD">
        <w:rPr>
          <w:rFonts w:asciiTheme="minorHAnsi" w:eastAsia="Cambria" w:hAnsiTheme="minorHAnsi" w:cs="Cambria"/>
          <w:sz w:val="20"/>
          <w:szCs w:val="20"/>
          <w:lang w:val="en-US"/>
        </w:rPr>
        <w:t>for children and adolescents who are migrants, asylum-seekers, and refugees in Mexico</w:t>
      </w:r>
      <w:r w:rsidR="003A01C2" w:rsidRPr="007D47AD">
        <w:rPr>
          <w:rFonts w:asciiTheme="minorHAnsi" w:eastAsia="Cambria" w:hAnsiTheme="minorHAnsi" w:cs="Cambria"/>
          <w:sz w:val="20"/>
          <w:szCs w:val="20"/>
          <w:lang w:val="en-US"/>
        </w:rPr>
        <w:t xml:space="preserve">: </w:t>
      </w:r>
      <w:r w:rsidR="001F48E3" w:rsidRPr="007D47AD">
        <w:rPr>
          <w:rFonts w:asciiTheme="minorHAnsi" w:eastAsia="Cambria" w:hAnsiTheme="minorHAnsi" w:cs="Cambria"/>
          <w:sz w:val="20"/>
          <w:szCs w:val="20"/>
          <w:lang w:val="en-US"/>
        </w:rPr>
        <w:t>Guide for its implementation,</w:t>
      </w:r>
      <w:r w:rsidR="003A01C2" w:rsidRPr="007D47AD">
        <w:rPr>
          <w:rFonts w:asciiTheme="minorHAnsi" w:eastAsia="Cambria" w:hAnsiTheme="minorHAnsi" w:cs="Cambria"/>
          <w:sz w:val="20"/>
          <w:szCs w:val="20"/>
          <w:lang w:val="en-US"/>
        </w:rPr>
        <w:t xml:space="preserve">” </w:t>
      </w:r>
      <w:r w:rsidR="001F48E3" w:rsidRPr="007D47AD">
        <w:rPr>
          <w:rFonts w:asciiTheme="minorHAnsi" w:eastAsia="Cambria" w:hAnsiTheme="minorHAnsi" w:cs="Cambria"/>
          <w:sz w:val="20"/>
          <w:szCs w:val="20"/>
          <w:lang w:val="en-US"/>
        </w:rPr>
        <w:t xml:space="preserve">which </w:t>
      </w:r>
      <w:r w:rsidR="003A01C2" w:rsidRPr="007D47AD">
        <w:rPr>
          <w:rFonts w:asciiTheme="minorHAnsi" w:eastAsia="Cambria" w:hAnsiTheme="minorHAnsi" w:cs="Cambria"/>
          <w:sz w:val="20"/>
          <w:szCs w:val="20"/>
          <w:lang w:val="en-US"/>
        </w:rPr>
        <w:t>identifi</w:t>
      </w:r>
      <w:r w:rsidR="001F48E3" w:rsidRPr="007D47AD">
        <w:rPr>
          <w:rFonts w:asciiTheme="minorHAnsi" w:eastAsia="Cambria" w:hAnsiTheme="minorHAnsi" w:cs="Cambria"/>
          <w:sz w:val="20"/>
          <w:szCs w:val="20"/>
          <w:lang w:val="en-US"/>
        </w:rPr>
        <w:t>es the different options for self-care other than the migration st</w:t>
      </w:r>
      <w:r w:rsidR="00CA26A8" w:rsidRPr="007D47AD">
        <w:rPr>
          <w:rFonts w:asciiTheme="minorHAnsi" w:eastAsia="Cambria" w:hAnsiTheme="minorHAnsi" w:cs="Cambria"/>
          <w:sz w:val="20"/>
          <w:szCs w:val="20"/>
          <w:lang w:val="en-US"/>
        </w:rPr>
        <w:t>a</w:t>
      </w:r>
      <w:r w:rsidR="001F48E3" w:rsidRPr="007D47AD">
        <w:rPr>
          <w:rFonts w:asciiTheme="minorHAnsi" w:eastAsia="Cambria" w:hAnsiTheme="minorHAnsi" w:cs="Cambria"/>
          <w:sz w:val="20"/>
          <w:szCs w:val="20"/>
          <w:lang w:val="en-US"/>
        </w:rPr>
        <w:t xml:space="preserve">tions for the population of children and adolescents transiting through </w:t>
      </w:r>
      <w:r w:rsidR="00CA26A8" w:rsidRPr="007D47AD">
        <w:rPr>
          <w:rFonts w:asciiTheme="minorHAnsi" w:eastAsia="Cambria" w:hAnsiTheme="minorHAnsi" w:cs="Cambria"/>
          <w:sz w:val="20"/>
          <w:szCs w:val="20"/>
          <w:lang w:val="en-US"/>
        </w:rPr>
        <w:t xml:space="preserve">Mexican </w:t>
      </w:r>
      <w:r w:rsidR="001F48E3" w:rsidRPr="007D47AD">
        <w:rPr>
          <w:rFonts w:asciiTheme="minorHAnsi" w:eastAsia="Cambria" w:hAnsiTheme="minorHAnsi" w:cs="Cambria"/>
          <w:sz w:val="20"/>
          <w:szCs w:val="20"/>
          <w:lang w:val="en-US"/>
        </w:rPr>
        <w:t xml:space="preserve">territory. As reported, that policy is aligned with the mandate of the General Law on </w:t>
      </w:r>
      <w:r w:rsidR="00CA26A8" w:rsidRPr="007D47AD">
        <w:rPr>
          <w:rFonts w:asciiTheme="minorHAnsi" w:eastAsia="Cambria" w:hAnsiTheme="minorHAnsi" w:cs="Cambria"/>
          <w:sz w:val="20"/>
          <w:szCs w:val="20"/>
          <w:lang w:val="en-US"/>
        </w:rPr>
        <w:t xml:space="preserve">the </w:t>
      </w:r>
      <w:r w:rsidR="001F48E3" w:rsidRPr="007D47AD">
        <w:rPr>
          <w:rFonts w:asciiTheme="minorHAnsi" w:eastAsia="Cambria" w:hAnsiTheme="minorHAnsi" w:cs="Cambria"/>
          <w:sz w:val="20"/>
          <w:szCs w:val="20"/>
          <w:lang w:val="en-US"/>
        </w:rPr>
        <w:t xml:space="preserve">Rights of Children and Adolescents and with the United Nations Guidelines </w:t>
      </w:r>
      <w:r w:rsidR="009D68FB" w:rsidRPr="007D47AD">
        <w:rPr>
          <w:rFonts w:asciiTheme="minorHAnsi" w:eastAsia="Cambria" w:hAnsiTheme="minorHAnsi" w:cs="Cambria"/>
          <w:sz w:val="20"/>
          <w:szCs w:val="20"/>
          <w:lang w:val="en-US"/>
        </w:rPr>
        <w:t>for the A</w:t>
      </w:r>
      <w:r w:rsidR="001F48E3" w:rsidRPr="007D47AD">
        <w:rPr>
          <w:rFonts w:asciiTheme="minorHAnsi" w:eastAsia="Cambria" w:hAnsiTheme="minorHAnsi" w:cs="Cambria"/>
          <w:sz w:val="20"/>
          <w:szCs w:val="20"/>
          <w:lang w:val="en-US"/>
        </w:rPr>
        <w:t xml:space="preserve">lternative </w:t>
      </w:r>
      <w:r w:rsidR="009D68FB" w:rsidRPr="007D47AD">
        <w:rPr>
          <w:rFonts w:asciiTheme="minorHAnsi" w:eastAsia="Cambria" w:hAnsiTheme="minorHAnsi" w:cs="Cambria"/>
          <w:sz w:val="20"/>
          <w:szCs w:val="20"/>
          <w:lang w:val="en-US"/>
        </w:rPr>
        <w:t>C</w:t>
      </w:r>
      <w:r w:rsidR="001F48E3" w:rsidRPr="007D47AD">
        <w:rPr>
          <w:rFonts w:asciiTheme="minorHAnsi" w:eastAsia="Cambria" w:hAnsiTheme="minorHAnsi" w:cs="Cambria"/>
          <w:sz w:val="20"/>
          <w:szCs w:val="20"/>
          <w:lang w:val="en-US"/>
        </w:rPr>
        <w:t xml:space="preserve">are </w:t>
      </w:r>
      <w:r w:rsidR="009D68FB" w:rsidRPr="007D47AD">
        <w:rPr>
          <w:rFonts w:asciiTheme="minorHAnsi" w:eastAsia="Cambria" w:hAnsiTheme="minorHAnsi" w:cs="Cambria"/>
          <w:sz w:val="20"/>
          <w:szCs w:val="20"/>
          <w:lang w:val="en-US"/>
        </w:rPr>
        <w:t>of C</w:t>
      </w:r>
      <w:r w:rsidR="001F48E3" w:rsidRPr="007D47AD">
        <w:rPr>
          <w:rFonts w:asciiTheme="minorHAnsi" w:eastAsia="Cambria" w:hAnsiTheme="minorHAnsi" w:cs="Cambria"/>
          <w:sz w:val="20"/>
          <w:szCs w:val="20"/>
          <w:lang w:val="en-US"/>
        </w:rPr>
        <w:t>hildren. According to the State, this model seeks to orient and provide tools that can be replicated in the states</w:t>
      </w:r>
      <w:r w:rsidR="005A4DE4" w:rsidRPr="007D47AD">
        <w:rPr>
          <w:rFonts w:asciiTheme="minorHAnsi" w:eastAsia="Cambria" w:hAnsiTheme="minorHAnsi" w:cs="Cambria"/>
          <w:sz w:val="20"/>
          <w:szCs w:val="20"/>
          <w:lang w:val="en-US"/>
        </w:rPr>
        <w:t>.</w:t>
      </w:r>
      <w:r w:rsidR="00901176" w:rsidRPr="007D47AD">
        <w:rPr>
          <w:rStyle w:val="FootnoteReference"/>
          <w:rFonts w:asciiTheme="minorHAnsi" w:eastAsia="Cambria" w:hAnsiTheme="minorHAnsi" w:cs="Cambria"/>
          <w:sz w:val="20"/>
          <w:szCs w:val="20"/>
          <w:lang w:val="en-US"/>
        </w:rPr>
        <w:footnoteReference w:id="296"/>
      </w:r>
      <w:r w:rsidR="001F48E3" w:rsidRPr="007D47AD">
        <w:rPr>
          <w:rFonts w:asciiTheme="minorHAnsi" w:eastAsia="Cambria" w:hAnsiTheme="minorHAnsi" w:cs="Cambria"/>
          <w:sz w:val="20"/>
          <w:szCs w:val="20"/>
          <w:lang w:val="en-US"/>
        </w:rPr>
        <w:t xml:space="preserve"> </w:t>
      </w:r>
    </w:p>
    <w:p w:rsidR="003A01C2" w:rsidRPr="007D47AD" w:rsidRDefault="001F48E3" w:rsidP="003A01C2">
      <w:pPr>
        <w:numPr>
          <w:ilvl w:val="0"/>
          <w:numId w:val="6"/>
        </w:numPr>
        <w:shd w:val="clear" w:color="auto" w:fill="FFFFFF"/>
        <w:spacing w:after="240" w:line="240" w:lineRule="auto"/>
        <w:ind w:left="0" w:firstLine="720"/>
        <w:jc w:val="both"/>
        <w:rPr>
          <w:rFonts w:asciiTheme="minorHAnsi" w:hAnsiTheme="minorHAnsi"/>
          <w:sz w:val="20"/>
          <w:szCs w:val="20"/>
          <w:lang w:val="en-US"/>
        </w:rPr>
      </w:pPr>
      <w:r w:rsidRPr="007D47AD">
        <w:rPr>
          <w:rFonts w:asciiTheme="minorHAnsi" w:eastAsia="Cambria" w:hAnsiTheme="minorHAnsi" w:cs="Cambria"/>
          <w:sz w:val="20"/>
          <w:szCs w:val="20"/>
          <w:lang w:val="en-US"/>
        </w:rPr>
        <w:t xml:space="preserve">In this section the State </w:t>
      </w:r>
      <w:r w:rsidR="00CA26A8" w:rsidRPr="007D47AD">
        <w:rPr>
          <w:rFonts w:asciiTheme="minorHAnsi" w:eastAsia="Cambria" w:hAnsiTheme="minorHAnsi" w:cs="Cambria"/>
          <w:sz w:val="20"/>
          <w:szCs w:val="20"/>
          <w:lang w:val="en-US"/>
        </w:rPr>
        <w:t xml:space="preserve">addressed </w:t>
      </w:r>
      <w:r w:rsidRPr="007D47AD">
        <w:rPr>
          <w:rFonts w:asciiTheme="minorHAnsi" w:eastAsia="Cambria" w:hAnsiTheme="minorHAnsi" w:cs="Cambria"/>
          <w:sz w:val="20"/>
          <w:szCs w:val="20"/>
          <w:lang w:val="en-US"/>
        </w:rPr>
        <w:t xml:space="preserve">the rest of the strategies in the </w:t>
      </w:r>
      <w:r w:rsidR="003A01C2" w:rsidRPr="007D47AD">
        <w:rPr>
          <w:rFonts w:asciiTheme="minorHAnsi" w:eastAsia="Cambria" w:hAnsiTheme="minorHAnsi" w:cs="Cambria"/>
          <w:sz w:val="20"/>
          <w:szCs w:val="20"/>
          <w:lang w:val="en-US"/>
        </w:rPr>
        <w:t>2019</w:t>
      </w:r>
      <w:r w:rsidR="006A7562" w:rsidRPr="007D47AD">
        <w:rPr>
          <w:rFonts w:asciiTheme="minorHAnsi" w:eastAsia="Cambria" w:hAnsiTheme="minorHAnsi" w:cs="Cambria"/>
          <w:sz w:val="20"/>
          <w:szCs w:val="20"/>
          <w:lang w:val="en-US"/>
        </w:rPr>
        <w:t xml:space="preserve">-2024 </w:t>
      </w:r>
      <w:r w:rsidRPr="007D47AD">
        <w:rPr>
          <w:rFonts w:asciiTheme="minorHAnsi" w:eastAsia="Cambria" w:hAnsiTheme="minorHAnsi" w:cs="Cambria"/>
          <w:sz w:val="20"/>
          <w:szCs w:val="20"/>
          <w:lang w:val="en-US"/>
        </w:rPr>
        <w:t xml:space="preserve">Action Plan mentioned above and indicated that with these an effort was being made to fight violence against children and adolescents in all environments and territories; </w:t>
      </w:r>
      <w:r w:rsidR="00CA26A8" w:rsidRPr="007D47AD">
        <w:rPr>
          <w:rFonts w:asciiTheme="minorHAnsi" w:eastAsia="Cambria" w:hAnsiTheme="minorHAnsi" w:cs="Cambria"/>
          <w:sz w:val="20"/>
          <w:szCs w:val="20"/>
          <w:lang w:val="en-US"/>
        </w:rPr>
        <w:t xml:space="preserve">to </w:t>
      </w:r>
      <w:r w:rsidRPr="007D47AD">
        <w:rPr>
          <w:rFonts w:asciiTheme="minorHAnsi" w:eastAsia="Cambria" w:hAnsiTheme="minorHAnsi" w:cs="Cambria"/>
          <w:sz w:val="20"/>
          <w:szCs w:val="20"/>
          <w:lang w:val="en-US"/>
        </w:rPr>
        <w:t xml:space="preserve">guarantee their security through actions for the prevention of crime and of violations of their human rights; </w:t>
      </w:r>
      <w:r w:rsidR="00CA26A8" w:rsidRPr="007D47AD">
        <w:rPr>
          <w:rFonts w:asciiTheme="minorHAnsi" w:eastAsia="Cambria" w:hAnsiTheme="minorHAnsi" w:cs="Cambria"/>
          <w:sz w:val="20"/>
          <w:szCs w:val="20"/>
          <w:lang w:val="en-US"/>
        </w:rPr>
        <w:t xml:space="preserve">to </w:t>
      </w:r>
      <w:r w:rsidR="003A01C2" w:rsidRPr="007D47AD">
        <w:rPr>
          <w:rFonts w:asciiTheme="minorHAnsi" w:eastAsia="Cambria" w:hAnsiTheme="minorHAnsi" w:cs="Cambria"/>
          <w:sz w:val="20"/>
          <w:szCs w:val="20"/>
          <w:lang w:val="en-US"/>
        </w:rPr>
        <w:t>rest</w:t>
      </w:r>
      <w:r w:rsidRPr="007D47AD">
        <w:rPr>
          <w:rFonts w:asciiTheme="minorHAnsi" w:eastAsia="Cambria" w:hAnsiTheme="minorHAnsi" w:cs="Cambria"/>
          <w:sz w:val="20"/>
          <w:szCs w:val="20"/>
          <w:lang w:val="en-US"/>
        </w:rPr>
        <w:t>ore their rights when the</w:t>
      </w:r>
      <w:r w:rsidR="00CA26A8" w:rsidRPr="007D47AD">
        <w:rPr>
          <w:rFonts w:asciiTheme="minorHAnsi" w:eastAsia="Cambria" w:hAnsiTheme="minorHAnsi" w:cs="Cambria"/>
          <w:sz w:val="20"/>
          <w:szCs w:val="20"/>
          <w:lang w:val="en-US"/>
        </w:rPr>
        <w:t xml:space="preserve">y </w:t>
      </w:r>
      <w:r w:rsidRPr="007D47AD">
        <w:rPr>
          <w:rFonts w:asciiTheme="minorHAnsi" w:eastAsia="Cambria" w:hAnsiTheme="minorHAnsi" w:cs="Cambria"/>
          <w:sz w:val="20"/>
          <w:szCs w:val="20"/>
          <w:lang w:val="en-US"/>
        </w:rPr>
        <w:t xml:space="preserve">have been violated, and </w:t>
      </w:r>
      <w:r w:rsidR="00CA26A8" w:rsidRPr="007D47AD">
        <w:rPr>
          <w:rFonts w:asciiTheme="minorHAnsi" w:eastAsia="Cambria" w:hAnsiTheme="minorHAnsi" w:cs="Cambria"/>
          <w:sz w:val="20"/>
          <w:szCs w:val="20"/>
          <w:lang w:val="en-US"/>
        </w:rPr>
        <w:t xml:space="preserve">to </w:t>
      </w:r>
      <w:r w:rsidRPr="007D47AD">
        <w:rPr>
          <w:rFonts w:asciiTheme="minorHAnsi" w:eastAsia="Cambria" w:hAnsiTheme="minorHAnsi" w:cs="Cambria"/>
          <w:sz w:val="20"/>
          <w:szCs w:val="20"/>
          <w:lang w:val="en-US"/>
        </w:rPr>
        <w:t xml:space="preserve">address gender violence against them. In addition to the foregoing, it reported that from July to September </w:t>
      </w:r>
      <w:r w:rsidR="003A01C2" w:rsidRPr="007D47AD">
        <w:rPr>
          <w:rFonts w:asciiTheme="minorHAnsi" w:eastAsia="Cambria" w:hAnsiTheme="minorHAnsi" w:cs="Cambria"/>
          <w:sz w:val="20"/>
          <w:szCs w:val="20"/>
          <w:lang w:val="en-US"/>
        </w:rPr>
        <w:t xml:space="preserve">2019 </w:t>
      </w:r>
      <w:r w:rsidRPr="007D47AD">
        <w:rPr>
          <w:rFonts w:asciiTheme="minorHAnsi" w:eastAsia="Cambria" w:hAnsiTheme="minorHAnsi" w:cs="Cambria"/>
          <w:sz w:val="20"/>
          <w:szCs w:val="20"/>
          <w:lang w:val="en-US"/>
        </w:rPr>
        <w:t xml:space="preserve">it disseminated the </w:t>
      </w:r>
      <w:r w:rsidR="003A01C2" w:rsidRPr="007D47AD">
        <w:rPr>
          <w:rFonts w:asciiTheme="minorHAnsi" w:eastAsia="Cambria" w:hAnsiTheme="minorHAnsi" w:cs="Cambria"/>
          <w:sz w:val="20"/>
          <w:szCs w:val="20"/>
          <w:lang w:val="en-US"/>
        </w:rPr>
        <w:t>“</w:t>
      </w:r>
      <w:r w:rsidRPr="007D47AD">
        <w:rPr>
          <w:rFonts w:asciiTheme="minorHAnsi" w:eastAsia="Cambria" w:hAnsiTheme="minorHAnsi" w:cs="Cambria"/>
          <w:sz w:val="20"/>
          <w:szCs w:val="20"/>
          <w:lang w:val="en-US"/>
        </w:rPr>
        <w:t xml:space="preserve">Guidelines for integral reparation of harm to victims of crime and human rights violations in the area of human trafficking” </w:t>
      </w:r>
      <w:r w:rsidR="00CA26A8" w:rsidRPr="007D47AD">
        <w:rPr>
          <w:rFonts w:asciiTheme="minorHAnsi" w:eastAsia="Cambria" w:hAnsiTheme="minorHAnsi" w:cs="Cambria"/>
          <w:sz w:val="20"/>
          <w:szCs w:val="20"/>
          <w:lang w:val="en-US"/>
        </w:rPr>
        <w:t xml:space="preserve">to </w:t>
      </w:r>
      <w:r w:rsidRPr="007D47AD">
        <w:rPr>
          <w:rFonts w:asciiTheme="minorHAnsi" w:eastAsia="Cambria" w:hAnsiTheme="minorHAnsi" w:cs="Cambria"/>
          <w:sz w:val="20"/>
          <w:szCs w:val="20"/>
          <w:lang w:val="en-US"/>
        </w:rPr>
        <w:t xml:space="preserve">the networks specialized in working with victims, such as the </w:t>
      </w:r>
      <w:r w:rsidR="0042724C" w:rsidRPr="007D47AD">
        <w:rPr>
          <w:rFonts w:asciiTheme="minorHAnsi" w:eastAsia="Cambria" w:hAnsiTheme="minorHAnsi" w:cs="Cambria"/>
          <w:sz w:val="20"/>
          <w:szCs w:val="20"/>
          <w:lang w:val="en-US"/>
        </w:rPr>
        <w:t>CEEAV</w:t>
      </w:r>
      <w:r w:rsidRPr="007D47AD">
        <w:rPr>
          <w:rFonts w:asciiTheme="minorHAnsi" w:eastAsia="Cambria" w:hAnsiTheme="minorHAnsi" w:cs="Cambria"/>
          <w:sz w:val="20"/>
          <w:szCs w:val="20"/>
          <w:lang w:val="en-US"/>
        </w:rPr>
        <w:t>s</w:t>
      </w:r>
      <w:r w:rsidR="00CA26A8" w:rsidRPr="007D47AD">
        <w:rPr>
          <w:rFonts w:asciiTheme="minorHAnsi" w:eastAsia="Cambria" w:hAnsiTheme="minorHAnsi" w:cs="Cambria"/>
          <w:sz w:val="20"/>
          <w:szCs w:val="20"/>
          <w:lang w:val="en-US"/>
        </w:rPr>
        <w:t>,</w:t>
      </w:r>
      <w:r w:rsidR="003A01C2" w:rsidRPr="007D47AD">
        <w:rPr>
          <w:rFonts w:asciiTheme="minorHAnsi" w:eastAsia="Cambria" w:hAnsiTheme="minorHAnsi" w:cs="Cambria"/>
          <w:sz w:val="20"/>
          <w:szCs w:val="20"/>
          <w:lang w:val="en-US"/>
        </w:rPr>
        <w:t xml:space="preserve"> </w:t>
      </w:r>
      <w:r w:rsidRPr="007D47AD">
        <w:rPr>
          <w:rFonts w:asciiTheme="minorHAnsi" w:eastAsia="Cambria" w:hAnsiTheme="minorHAnsi" w:cs="Cambria"/>
          <w:sz w:val="20"/>
          <w:szCs w:val="20"/>
          <w:lang w:val="en-US"/>
        </w:rPr>
        <w:t xml:space="preserve">and that </w:t>
      </w:r>
      <w:r w:rsidR="00CA26A8" w:rsidRPr="007D47AD">
        <w:rPr>
          <w:rFonts w:asciiTheme="minorHAnsi" w:eastAsia="Cambria" w:hAnsiTheme="minorHAnsi" w:cs="Cambria"/>
          <w:sz w:val="20"/>
          <w:szCs w:val="20"/>
          <w:lang w:val="en-US"/>
        </w:rPr>
        <w:t xml:space="preserve">it </w:t>
      </w:r>
      <w:r w:rsidRPr="007D47AD">
        <w:rPr>
          <w:rFonts w:asciiTheme="minorHAnsi" w:eastAsia="Cambria" w:hAnsiTheme="minorHAnsi" w:cs="Cambria"/>
          <w:sz w:val="20"/>
          <w:szCs w:val="20"/>
          <w:lang w:val="en-US"/>
        </w:rPr>
        <w:t>incorporate</w:t>
      </w:r>
      <w:r w:rsidR="00CA26A8" w:rsidRPr="007D47AD">
        <w:rPr>
          <w:rFonts w:asciiTheme="minorHAnsi" w:eastAsia="Cambria" w:hAnsiTheme="minorHAnsi" w:cs="Cambria"/>
          <w:sz w:val="20"/>
          <w:szCs w:val="20"/>
          <w:lang w:val="en-US"/>
        </w:rPr>
        <w:t>s</w:t>
      </w:r>
      <w:r w:rsidRPr="007D47AD">
        <w:rPr>
          <w:rFonts w:asciiTheme="minorHAnsi" w:eastAsia="Cambria" w:hAnsiTheme="minorHAnsi" w:cs="Cambria"/>
          <w:sz w:val="20"/>
          <w:szCs w:val="20"/>
          <w:lang w:val="en-US"/>
        </w:rPr>
        <w:t xml:space="preserve"> a differentiated component for children and adolescents. Along these same lines, it indicated that the Office of the Special Prosecutor for Crimes of Violence against Women and Human Trafficking (</w:t>
      </w:r>
      <w:r w:rsidR="003A01C2" w:rsidRPr="007D47AD">
        <w:rPr>
          <w:rFonts w:asciiTheme="minorHAnsi" w:eastAsia="Cambria" w:hAnsiTheme="minorHAnsi" w:cs="Cambria"/>
          <w:sz w:val="20"/>
          <w:szCs w:val="20"/>
          <w:lang w:val="en-US"/>
        </w:rPr>
        <w:t>FEVIMTRA</w:t>
      </w:r>
      <w:r w:rsidRPr="007D47AD">
        <w:rPr>
          <w:rFonts w:asciiTheme="minorHAnsi" w:eastAsia="Cambria" w:hAnsiTheme="minorHAnsi" w:cs="Cambria"/>
          <w:sz w:val="20"/>
          <w:szCs w:val="20"/>
          <w:lang w:val="en-US"/>
        </w:rPr>
        <w:t>) has trained personnel</w:t>
      </w:r>
      <w:r w:rsidR="00CA26A8" w:rsidRPr="007D47AD">
        <w:rPr>
          <w:rFonts w:asciiTheme="minorHAnsi" w:eastAsia="Cambria" w:hAnsiTheme="minorHAnsi" w:cs="Cambria"/>
          <w:sz w:val="20"/>
          <w:szCs w:val="20"/>
          <w:lang w:val="en-US"/>
        </w:rPr>
        <w:t xml:space="preserve"> and </w:t>
      </w:r>
      <w:r w:rsidRPr="007D47AD">
        <w:rPr>
          <w:rFonts w:asciiTheme="minorHAnsi" w:eastAsia="Cambria" w:hAnsiTheme="minorHAnsi" w:cs="Cambria"/>
          <w:sz w:val="20"/>
          <w:szCs w:val="20"/>
          <w:lang w:val="en-US"/>
        </w:rPr>
        <w:t>facilities that have been properly adapted for serving children and adolescents appropriately and with specialized services. It also provides attention to victims of extreme gender violence and human trafficking with a differential approach</w:t>
      </w:r>
      <w:r w:rsidR="003A01C2" w:rsidRPr="007D47AD">
        <w:rPr>
          <w:rFonts w:asciiTheme="minorHAnsi" w:eastAsia="Cambria" w:hAnsiTheme="minorHAnsi" w:cs="Cambria"/>
          <w:sz w:val="20"/>
          <w:szCs w:val="20"/>
          <w:lang w:val="en-US"/>
        </w:rPr>
        <w:t>,</w:t>
      </w:r>
      <w:r w:rsidR="00CA26A8" w:rsidRPr="007D47AD">
        <w:rPr>
          <w:rFonts w:asciiTheme="minorHAnsi" w:eastAsia="Cambria" w:hAnsiTheme="minorHAnsi" w:cs="Cambria"/>
          <w:sz w:val="20"/>
          <w:szCs w:val="20"/>
          <w:lang w:val="en-US"/>
        </w:rPr>
        <w:t xml:space="preserve"> a</w:t>
      </w:r>
      <w:r w:rsidR="003A01C2" w:rsidRPr="007D47AD">
        <w:rPr>
          <w:rFonts w:asciiTheme="minorHAnsi" w:eastAsia="Cambria" w:hAnsiTheme="minorHAnsi" w:cs="Cambria"/>
          <w:sz w:val="20"/>
          <w:szCs w:val="20"/>
          <w:lang w:val="en-US"/>
        </w:rPr>
        <w:t xml:space="preserve"> </w:t>
      </w:r>
      <w:r w:rsidRPr="007D47AD">
        <w:rPr>
          <w:rFonts w:asciiTheme="minorHAnsi" w:eastAsia="Cambria" w:hAnsiTheme="minorHAnsi" w:cs="Cambria"/>
          <w:sz w:val="20"/>
          <w:szCs w:val="20"/>
          <w:lang w:val="en-US"/>
        </w:rPr>
        <w:t xml:space="preserve">gender </w:t>
      </w:r>
      <w:r w:rsidR="003A01C2" w:rsidRPr="007D47AD">
        <w:rPr>
          <w:rFonts w:asciiTheme="minorHAnsi" w:eastAsia="Cambria" w:hAnsiTheme="minorHAnsi" w:cs="Cambria"/>
          <w:sz w:val="20"/>
          <w:szCs w:val="20"/>
          <w:lang w:val="en-US"/>
        </w:rPr>
        <w:t>perspectiv</w:t>
      </w:r>
      <w:r w:rsidRPr="007D47AD">
        <w:rPr>
          <w:rFonts w:asciiTheme="minorHAnsi" w:eastAsia="Cambria" w:hAnsiTheme="minorHAnsi" w:cs="Cambria"/>
          <w:sz w:val="20"/>
          <w:szCs w:val="20"/>
          <w:lang w:val="en-US"/>
        </w:rPr>
        <w:t xml:space="preserve">e, and the best interest of the child and adolescents, having served 119 children and adolescents from March 1 to September 30, </w:t>
      </w:r>
      <w:r w:rsidR="003A01C2" w:rsidRPr="007D47AD">
        <w:rPr>
          <w:rFonts w:asciiTheme="minorHAnsi" w:eastAsia="Cambria" w:hAnsiTheme="minorHAnsi" w:cs="Cambria"/>
          <w:sz w:val="20"/>
          <w:szCs w:val="20"/>
          <w:lang w:val="en-US"/>
        </w:rPr>
        <w:t xml:space="preserve">2019. </w:t>
      </w:r>
      <w:r w:rsidRPr="007D47AD">
        <w:rPr>
          <w:rFonts w:asciiTheme="minorHAnsi" w:eastAsia="Cambria" w:hAnsiTheme="minorHAnsi" w:cs="Cambria"/>
          <w:sz w:val="20"/>
          <w:szCs w:val="20"/>
          <w:lang w:val="en-US"/>
        </w:rPr>
        <w:t xml:space="preserve">In addition, the Specialized Shelters of </w:t>
      </w:r>
      <w:r w:rsidR="003A01C2" w:rsidRPr="007D47AD">
        <w:rPr>
          <w:rFonts w:asciiTheme="minorHAnsi" w:eastAsia="Cambria" w:hAnsiTheme="minorHAnsi" w:cs="Cambria"/>
          <w:sz w:val="20"/>
          <w:szCs w:val="20"/>
          <w:lang w:val="en-US"/>
        </w:rPr>
        <w:t xml:space="preserve">FEVIMTRA </w:t>
      </w:r>
      <w:r w:rsidRPr="007D47AD">
        <w:rPr>
          <w:rFonts w:asciiTheme="minorHAnsi" w:eastAsia="Cambria" w:hAnsiTheme="minorHAnsi" w:cs="Cambria"/>
          <w:sz w:val="20"/>
          <w:szCs w:val="20"/>
          <w:lang w:val="en-US"/>
        </w:rPr>
        <w:t xml:space="preserve">provide adequate services </w:t>
      </w:r>
      <w:r w:rsidR="003A01C2" w:rsidRPr="007D47AD">
        <w:rPr>
          <w:rFonts w:asciiTheme="minorHAnsi" w:eastAsia="Cambria" w:hAnsiTheme="minorHAnsi" w:cs="Cambria"/>
          <w:sz w:val="20"/>
          <w:szCs w:val="20"/>
          <w:lang w:val="en-US"/>
        </w:rPr>
        <w:t>(</w:t>
      </w:r>
      <w:r w:rsidRPr="007D47AD">
        <w:rPr>
          <w:rFonts w:asciiTheme="minorHAnsi" w:eastAsia="Cambria" w:hAnsiTheme="minorHAnsi" w:cs="Cambria"/>
          <w:sz w:val="20"/>
          <w:szCs w:val="20"/>
          <w:lang w:val="en-US"/>
        </w:rPr>
        <w:t xml:space="preserve">social work, psychology, </w:t>
      </w:r>
      <w:r w:rsidR="003A01C2" w:rsidRPr="007D47AD">
        <w:rPr>
          <w:rFonts w:asciiTheme="minorHAnsi" w:eastAsia="Cambria" w:hAnsiTheme="minorHAnsi" w:cs="Cambria"/>
          <w:sz w:val="20"/>
          <w:szCs w:val="20"/>
          <w:lang w:val="en-US"/>
        </w:rPr>
        <w:t>medicin</w:t>
      </w:r>
      <w:r w:rsidRPr="007D47AD">
        <w:rPr>
          <w:rFonts w:asciiTheme="minorHAnsi" w:eastAsia="Cambria" w:hAnsiTheme="minorHAnsi" w:cs="Cambria"/>
          <w:sz w:val="20"/>
          <w:szCs w:val="20"/>
          <w:lang w:val="en-US"/>
        </w:rPr>
        <w:t>e</w:t>
      </w:r>
      <w:r w:rsidR="003A01C2" w:rsidRPr="007D47AD">
        <w:rPr>
          <w:rFonts w:asciiTheme="minorHAnsi" w:eastAsia="Cambria" w:hAnsiTheme="minorHAnsi" w:cs="Cambria"/>
          <w:sz w:val="20"/>
          <w:szCs w:val="20"/>
          <w:lang w:val="en-US"/>
        </w:rPr>
        <w:t xml:space="preserve">, </w:t>
      </w:r>
      <w:r w:rsidRPr="007D47AD">
        <w:rPr>
          <w:rFonts w:asciiTheme="minorHAnsi" w:eastAsia="Cambria" w:hAnsiTheme="minorHAnsi" w:cs="Cambria"/>
          <w:sz w:val="20"/>
          <w:szCs w:val="20"/>
          <w:lang w:val="en-US"/>
        </w:rPr>
        <w:t>nursing, among others</w:t>
      </w:r>
      <w:r w:rsidR="003A01C2" w:rsidRPr="007D47AD">
        <w:rPr>
          <w:rFonts w:asciiTheme="minorHAnsi" w:eastAsia="Cambria" w:hAnsiTheme="minorHAnsi" w:cs="Cambria"/>
          <w:sz w:val="20"/>
          <w:szCs w:val="20"/>
          <w:lang w:val="en-US"/>
        </w:rPr>
        <w:t xml:space="preserve">) </w:t>
      </w:r>
      <w:r w:rsidRPr="007D47AD">
        <w:rPr>
          <w:rFonts w:asciiTheme="minorHAnsi" w:eastAsia="Cambria" w:hAnsiTheme="minorHAnsi" w:cs="Cambria"/>
          <w:sz w:val="20"/>
          <w:szCs w:val="20"/>
          <w:lang w:val="en-US"/>
        </w:rPr>
        <w:t>for the population of children and adolescents</w:t>
      </w:r>
      <w:r w:rsidR="007203E0" w:rsidRPr="007D47AD">
        <w:rPr>
          <w:rFonts w:asciiTheme="minorHAnsi" w:eastAsia="Cambria" w:hAnsiTheme="minorHAnsi" w:cs="Cambria"/>
          <w:sz w:val="20"/>
          <w:szCs w:val="20"/>
          <w:lang w:val="en-US"/>
        </w:rPr>
        <w:t xml:space="preserve">, and from March </w:t>
      </w:r>
      <w:r w:rsidR="003A01C2" w:rsidRPr="007D47AD">
        <w:rPr>
          <w:rFonts w:asciiTheme="minorHAnsi" w:eastAsia="Cambria" w:hAnsiTheme="minorHAnsi" w:cs="Cambria"/>
          <w:sz w:val="20"/>
          <w:szCs w:val="20"/>
          <w:lang w:val="en-US"/>
        </w:rPr>
        <w:t xml:space="preserve">1 </w:t>
      </w:r>
      <w:r w:rsidR="007203E0" w:rsidRPr="007D47AD">
        <w:rPr>
          <w:rFonts w:asciiTheme="minorHAnsi" w:eastAsia="Cambria" w:hAnsiTheme="minorHAnsi" w:cs="Cambria"/>
          <w:sz w:val="20"/>
          <w:szCs w:val="20"/>
          <w:lang w:val="en-US"/>
        </w:rPr>
        <w:t xml:space="preserve">to September </w:t>
      </w:r>
      <w:r w:rsidR="003A01C2" w:rsidRPr="007D47AD">
        <w:rPr>
          <w:rFonts w:asciiTheme="minorHAnsi" w:eastAsia="Cambria" w:hAnsiTheme="minorHAnsi" w:cs="Cambria"/>
          <w:sz w:val="20"/>
          <w:szCs w:val="20"/>
          <w:lang w:val="en-US"/>
        </w:rPr>
        <w:t xml:space="preserve">30 </w:t>
      </w:r>
      <w:r w:rsidR="007203E0" w:rsidRPr="007D47AD">
        <w:rPr>
          <w:rFonts w:asciiTheme="minorHAnsi" w:eastAsia="Cambria" w:hAnsiTheme="minorHAnsi" w:cs="Cambria"/>
          <w:sz w:val="20"/>
          <w:szCs w:val="20"/>
          <w:lang w:val="en-US"/>
        </w:rPr>
        <w:t xml:space="preserve">have housed </w:t>
      </w:r>
      <w:r w:rsidR="003A01C2" w:rsidRPr="007D47AD">
        <w:rPr>
          <w:rFonts w:asciiTheme="minorHAnsi" w:eastAsia="Cambria" w:hAnsiTheme="minorHAnsi" w:cs="Cambria"/>
          <w:sz w:val="20"/>
          <w:szCs w:val="20"/>
          <w:lang w:val="en-US"/>
        </w:rPr>
        <w:t xml:space="preserve">18 </w:t>
      </w:r>
      <w:r w:rsidR="007203E0" w:rsidRPr="007D47AD">
        <w:rPr>
          <w:rFonts w:asciiTheme="minorHAnsi" w:eastAsia="Cambria" w:hAnsiTheme="minorHAnsi" w:cs="Cambria"/>
          <w:sz w:val="20"/>
          <w:szCs w:val="20"/>
          <w:lang w:val="en-US"/>
        </w:rPr>
        <w:t>children and adolescents whose average stay was three months.</w:t>
      </w:r>
      <w:r w:rsidR="003A01C2" w:rsidRPr="007D47AD">
        <w:rPr>
          <w:rStyle w:val="FootnoteReference"/>
          <w:rFonts w:asciiTheme="minorHAnsi" w:eastAsia="Cambria" w:hAnsiTheme="minorHAnsi" w:cs="Cambria"/>
          <w:sz w:val="20"/>
          <w:szCs w:val="20"/>
          <w:lang w:val="en-US"/>
        </w:rPr>
        <w:footnoteReference w:id="297"/>
      </w:r>
      <w:r w:rsidR="003A01C2" w:rsidRPr="007D47AD">
        <w:rPr>
          <w:rFonts w:asciiTheme="minorHAnsi" w:eastAsia="Cambria" w:hAnsiTheme="minorHAnsi" w:cs="Cambria"/>
          <w:sz w:val="20"/>
          <w:szCs w:val="20"/>
          <w:lang w:val="en-US"/>
        </w:rPr>
        <w:t xml:space="preserve"> </w:t>
      </w:r>
    </w:p>
    <w:p w:rsidR="003A01C2" w:rsidRPr="007D47AD" w:rsidRDefault="003A01C2" w:rsidP="009D6B9F">
      <w:pPr>
        <w:numPr>
          <w:ilvl w:val="0"/>
          <w:numId w:val="6"/>
        </w:numPr>
        <w:shd w:val="clear" w:color="auto" w:fill="FFFFFF"/>
        <w:spacing w:after="240" w:line="240" w:lineRule="auto"/>
        <w:ind w:left="0" w:firstLine="720"/>
        <w:jc w:val="both"/>
        <w:rPr>
          <w:rFonts w:asciiTheme="minorHAnsi" w:hAnsiTheme="minorHAnsi"/>
          <w:sz w:val="20"/>
          <w:szCs w:val="20"/>
          <w:lang w:val="en-US"/>
        </w:rPr>
      </w:pPr>
      <w:r w:rsidRPr="007D47AD">
        <w:rPr>
          <w:rFonts w:asciiTheme="minorHAnsi" w:hAnsiTheme="minorHAnsi"/>
          <w:sz w:val="20"/>
          <w:szCs w:val="20"/>
          <w:lang w:val="en-US"/>
        </w:rPr>
        <w:t xml:space="preserve">UNICEF </w:t>
      </w:r>
      <w:r w:rsidR="009D6B9F" w:rsidRPr="007D47AD">
        <w:rPr>
          <w:rFonts w:asciiTheme="minorHAnsi" w:hAnsiTheme="minorHAnsi"/>
          <w:sz w:val="20"/>
          <w:szCs w:val="20"/>
          <w:lang w:val="en-US"/>
        </w:rPr>
        <w:t xml:space="preserve">and the </w:t>
      </w:r>
      <w:r w:rsidRPr="007D47AD">
        <w:rPr>
          <w:rFonts w:asciiTheme="minorHAnsi" w:hAnsiTheme="minorHAnsi"/>
          <w:sz w:val="20"/>
          <w:szCs w:val="20"/>
          <w:lang w:val="en-US"/>
        </w:rPr>
        <w:t xml:space="preserve">Centro de Estudios para el Logro de la Igualdad de Género en México (“CELIG”) </w:t>
      </w:r>
      <w:r w:rsidR="009D6B9F" w:rsidRPr="007D47AD">
        <w:rPr>
          <w:rFonts w:asciiTheme="minorHAnsi" w:hAnsiTheme="minorHAnsi"/>
          <w:sz w:val="20"/>
          <w:szCs w:val="20"/>
          <w:lang w:val="en-US"/>
        </w:rPr>
        <w:t>each presented its own statistical report on violence against children and adolescents</w:t>
      </w:r>
      <w:r w:rsidR="00CA26A8" w:rsidRPr="007D47AD">
        <w:rPr>
          <w:rFonts w:asciiTheme="minorHAnsi" w:hAnsiTheme="minorHAnsi"/>
          <w:sz w:val="20"/>
          <w:szCs w:val="20"/>
          <w:lang w:val="en-US"/>
        </w:rPr>
        <w:t xml:space="preserve">, both of which </w:t>
      </w:r>
      <w:r w:rsidR="009D6B9F" w:rsidRPr="007D47AD">
        <w:rPr>
          <w:rFonts w:asciiTheme="minorHAnsi" w:hAnsiTheme="minorHAnsi"/>
          <w:sz w:val="20"/>
          <w:szCs w:val="20"/>
          <w:lang w:val="en-US"/>
        </w:rPr>
        <w:t xml:space="preserve">suggest that the </w:t>
      </w:r>
      <w:r w:rsidRPr="007D47AD">
        <w:rPr>
          <w:rFonts w:asciiTheme="minorHAnsi" w:hAnsiTheme="minorHAnsi"/>
          <w:sz w:val="20"/>
          <w:szCs w:val="20"/>
          <w:lang w:val="en-US"/>
        </w:rPr>
        <w:t>violenc</w:t>
      </w:r>
      <w:r w:rsidR="009D6B9F" w:rsidRPr="007D47AD">
        <w:rPr>
          <w:rFonts w:asciiTheme="minorHAnsi" w:hAnsiTheme="minorHAnsi"/>
          <w:sz w:val="20"/>
          <w:szCs w:val="20"/>
          <w:lang w:val="en-US"/>
        </w:rPr>
        <w:t xml:space="preserve">e brought to bear against this population is a structural problem, both within and beyond the family home. While neither document presents information for </w:t>
      </w:r>
      <w:r w:rsidRPr="007D47AD">
        <w:rPr>
          <w:rFonts w:asciiTheme="minorHAnsi" w:hAnsiTheme="minorHAnsi"/>
          <w:sz w:val="20"/>
          <w:szCs w:val="20"/>
          <w:lang w:val="en-US"/>
        </w:rPr>
        <w:t xml:space="preserve">2019, </w:t>
      </w:r>
      <w:r w:rsidR="009D6B9F" w:rsidRPr="007D47AD">
        <w:rPr>
          <w:rFonts w:asciiTheme="minorHAnsi" w:hAnsiTheme="minorHAnsi"/>
          <w:sz w:val="20"/>
          <w:szCs w:val="20"/>
          <w:lang w:val="en-US"/>
        </w:rPr>
        <w:t xml:space="preserve">they both </w:t>
      </w:r>
      <w:r w:rsidR="00CA26A8" w:rsidRPr="007D47AD">
        <w:rPr>
          <w:rFonts w:asciiTheme="minorHAnsi" w:hAnsiTheme="minorHAnsi"/>
          <w:sz w:val="20"/>
          <w:szCs w:val="20"/>
          <w:lang w:val="en-US"/>
        </w:rPr>
        <w:t xml:space="preserve">analyze </w:t>
      </w:r>
      <w:r w:rsidR="009D6B9F" w:rsidRPr="007D47AD">
        <w:rPr>
          <w:rFonts w:asciiTheme="minorHAnsi" w:hAnsiTheme="minorHAnsi"/>
          <w:sz w:val="20"/>
          <w:szCs w:val="20"/>
          <w:lang w:val="en-US"/>
        </w:rPr>
        <w:t xml:space="preserve">trends in recent years.  For example, it is very striking that from </w:t>
      </w:r>
      <w:r w:rsidRPr="007D47AD">
        <w:rPr>
          <w:rFonts w:asciiTheme="minorHAnsi" w:hAnsiTheme="minorHAnsi"/>
          <w:sz w:val="20"/>
          <w:szCs w:val="20"/>
          <w:lang w:val="en-US"/>
        </w:rPr>
        <w:t xml:space="preserve">2010 </w:t>
      </w:r>
      <w:r w:rsidR="009D6B9F" w:rsidRPr="007D47AD">
        <w:rPr>
          <w:rFonts w:asciiTheme="minorHAnsi" w:hAnsiTheme="minorHAnsi"/>
          <w:sz w:val="20"/>
          <w:szCs w:val="20"/>
          <w:lang w:val="en-US"/>
        </w:rPr>
        <w:t xml:space="preserve">to </w:t>
      </w:r>
      <w:r w:rsidRPr="007D47AD">
        <w:rPr>
          <w:rFonts w:asciiTheme="minorHAnsi" w:hAnsiTheme="minorHAnsi"/>
          <w:sz w:val="20"/>
          <w:szCs w:val="20"/>
          <w:lang w:val="en-US"/>
        </w:rPr>
        <w:t xml:space="preserve">2016 </w:t>
      </w:r>
      <w:r w:rsidR="009D6B9F" w:rsidRPr="007D47AD">
        <w:rPr>
          <w:rFonts w:asciiTheme="minorHAnsi" w:hAnsiTheme="minorHAnsi"/>
          <w:sz w:val="20"/>
          <w:szCs w:val="20"/>
          <w:lang w:val="en-US"/>
        </w:rPr>
        <w:t xml:space="preserve">there were more than </w:t>
      </w:r>
      <w:r w:rsidR="006A7562" w:rsidRPr="007D47AD">
        <w:rPr>
          <w:rFonts w:asciiTheme="minorHAnsi" w:hAnsiTheme="minorHAnsi"/>
          <w:sz w:val="20"/>
          <w:szCs w:val="20"/>
          <w:lang w:val="en-US"/>
        </w:rPr>
        <w:t>9</w:t>
      </w:r>
      <w:r w:rsidR="009D6B9F" w:rsidRPr="007D47AD">
        <w:rPr>
          <w:rFonts w:asciiTheme="minorHAnsi" w:hAnsiTheme="minorHAnsi"/>
          <w:sz w:val="20"/>
          <w:szCs w:val="20"/>
          <w:lang w:val="en-US"/>
        </w:rPr>
        <w:t>,</w:t>
      </w:r>
      <w:r w:rsidR="006A7562" w:rsidRPr="007D47AD">
        <w:rPr>
          <w:rFonts w:asciiTheme="minorHAnsi" w:hAnsiTheme="minorHAnsi"/>
          <w:sz w:val="20"/>
          <w:szCs w:val="20"/>
          <w:lang w:val="en-US"/>
        </w:rPr>
        <w:t>000 homicid</w:t>
      </w:r>
      <w:r w:rsidR="009D6B9F" w:rsidRPr="007D47AD">
        <w:rPr>
          <w:rFonts w:asciiTheme="minorHAnsi" w:hAnsiTheme="minorHAnsi"/>
          <w:sz w:val="20"/>
          <w:szCs w:val="20"/>
          <w:lang w:val="en-US"/>
        </w:rPr>
        <w:t>es</w:t>
      </w:r>
      <w:r w:rsidRPr="007D47AD">
        <w:rPr>
          <w:rFonts w:asciiTheme="minorHAnsi" w:hAnsiTheme="minorHAnsi"/>
          <w:sz w:val="20"/>
          <w:szCs w:val="20"/>
          <w:lang w:val="en-US"/>
        </w:rPr>
        <w:t xml:space="preserve"> </w:t>
      </w:r>
      <w:r w:rsidR="009D6B9F" w:rsidRPr="007D47AD">
        <w:rPr>
          <w:rFonts w:asciiTheme="minorHAnsi" w:hAnsiTheme="minorHAnsi"/>
          <w:sz w:val="20"/>
          <w:szCs w:val="20"/>
          <w:lang w:val="en-US"/>
        </w:rPr>
        <w:t xml:space="preserve">of children and adolescents, </w:t>
      </w:r>
      <w:r w:rsidRPr="007D47AD">
        <w:rPr>
          <w:rFonts w:asciiTheme="minorHAnsi" w:hAnsiTheme="minorHAnsi"/>
          <w:sz w:val="20"/>
          <w:szCs w:val="20"/>
          <w:lang w:val="en-US"/>
        </w:rPr>
        <w:t xml:space="preserve">76% </w:t>
      </w:r>
      <w:r w:rsidR="009D6B9F" w:rsidRPr="007D47AD">
        <w:rPr>
          <w:rFonts w:asciiTheme="minorHAnsi" w:hAnsiTheme="minorHAnsi"/>
          <w:sz w:val="20"/>
          <w:szCs w:val="20"/>
          <w:lang w:val="en-US"/>
        </w:rPr>
        <w:t xml:space="preserve">of the victims being boys and men, and </w:t>
      </w:r>
      <w:r w:rsidRPr="007D47AD">
        <w:rPr>
          <w:rFonts w:asciiTheme="minorHAnsi" w:hAnsiTheme="minorHAnsi"/>
          <w:sz w:val="20"/>
          <w:szCs w:val="20"/>
          <w:lang w:val="en-US"/>
        </w:rPr>
        <w:t xml:space="preserve">24% </w:t>
      </w:r>
      <w:r w:rsidR="009D6B9F" w:rsidRPr="007D47AD">
        <w:rPr>
          <w:rFonts w:asciiTheme="minorHAnsi" w:hAnsiTheme="minorHAnsi"/>
          <w:sz w:val="20"/>
          <w:szCs w:val="20"/>
          <w:lang w:val="en-US"/>
        </w:rPr>
        <w:t>girls and women</w:t>
      </w:r>
      <w:r w:rsidRPr="007D47AD">
        <w:rPr>
          <w:rFonts w:asciiTheme="minorHAnsi" w:hAnsiTheme="minorHAnsi"/>
          <w:sz w:val="20"/>
          <w:szCs w:val="20"/>
          <w:lang w:val="en-US"/>
        </w:rPr>
        <w:t xml:space="preserve">, </w:t>
      </w:r>
      <w:r w:rsidR="00EB482E" w:rsidRPr="007D47AD">
        <w:rPr>
          <w:rFonts w:asciiTheme="minorHAnsi" w:hAnsiTheme="minorHAnsi"/>
          <w:sz w:val="20"/>
          <w:szCs w:val="20"/>
          <w:lang w:val="en-US"/>
        </w:rPr>
        <w:t xml:space="preserve">with </w:t>
      </w:r>
      <w:r w:rsidRPr="007D47AD">
        <w:rPr>
          <w:rFonts w:asciiTheme="minorHAnsi" w:hAnsiTheme="minorHAnsi"/>
          <w:sz w:val="20"/>
          <w:szCs w:val="20"/>
          <w:lang w:val="en-US"/>
        </w:rPr>
        <w:t xml:space="preserve">78% </w:t>
      </w:r>
      <w:r w:rsidR="00EB482E" w:rsidRPr="007D47AD">
        <w:rPr>
          <w:rFonts w:asciiTheme="minorHAnsi" w:hAnsiTheme="minorHAnsi"/>
          <w:sz w:val="20"/>
          <w:szCs w:val="20"/>
          <w:lang w:val="en-US"/>
        </w:rPr>
        <w:t>con</w:t>
      </w:r>
      <w:r w:rsidR="005A08A9" w:rsidRPr="007D47AD">
        <w:rPr>
          <w:rFonts w:asciiTheme="minorHAnsi" w:hAnsiTheme="minorHAnsi"/>
          <w:sz w:val="20"/>
          <w:szCs w:val="20"/>
          <w:lang w:val="en-US"/>
        </w:rPr>
        <w:t>cen</w:t>
      </w:r>
      <w:r w:rsidR="00EB482E" w:rsidRPr="007D47AD">
        <w:rPr>
          <w:rFonts w:asciiTheme="minorHAnsi" w:hAnsiTheme="minorHAnsi"/>
          <w:sz w:val="20"/>
          <w:szCs w:val="20"/>
          <w:lang w:val="en-US"/>
        </w:rPr>
        <w:t xml:space="preserve">trated in </w:t>
      </w:r>
      <w:r w:rsidR="005A08A9" w:rsidRPr="007D47AD">
        <w:rPr>
          <w:rFonts w:asciiTheme="minorHAnsi" w:hAnsiTheme="minorHAnsi"/>
          <w:sz w:val="20"/>
          <w:szCs w:val="20"/>
          <w:lang w:val="en-US"/>
        </w:rPr>
        <w:t xml:space="preserve">the </w:t>
      </w:r>
      <w:r w:rsidRPr="007D47AD">
        <w:rPr>
          <w:rFonts w:asciiTheme="minorHAnsi" w:hAnsiTheme="minorHAnsi"/>
          <w:sz w:val="20"/>
          <w:szCs w:val="20"/>
          <w:lang w:val="en-US"/>
        </w:rPr>
        <w:t xml:space="preserve">12 </w:t>
      </w:r>
      <w:r w:rsidR="00EB482E" w:rsidRPr="007D47AD">
        <w:rPr>
          <w:rFonts w:asciiTheme="minorHAnsi" w:hAnsiTheme="minorHAnsi"/>
          <w:sz w:val="20"/>
          <w:szCs w:val="20"/>
          <w:lang w:val="en-US"/>
        </w:rPr>
        <w:t xml:space="preserve">to </w:t>
      </w:r>
      <w:r w:rsidRPr="007D47AD">
        <w:rPr>
          <w:rFonts w:asciiTheme="minorHAnsi" w:hAnsiTheme="minorHAnsi"/>
          <w:sz w:val="20"/>
          <w:szCs w:val="20"/>
          <w:lang w:val="en-US"/>
        </w:rPr>
        <w:t xml:space="preserve">17 </w:t>
      </w:r>
      <w:r w:rsidR="00EB482E" w:rsidRPr="007D47AD">
        <w:rPr>
          <w:rFonts w:asciiTheme="minorHAnsi" w:hAnsiTheme="minorHAnsi"/>
          <w:sz w:val="20"/>
          <w:szCs w:val="20"/>
          <w:lang w:val="en-US"/>
        </w:rPr>
        <w:t>year</w:t>
      </w:r>
      <w:r w:rsidR="005A08A9" w:rsidRPr="007D47AD">
        <w:rPr>
          <w:rFonts w:asciiTheme="minorHAnsi" w:hAnsiTheme="minorHAnsi"/>
          <w:sz w:val="20"/>
          <w:szCs w:val="20"/>
          <w:lang w:val="en-US"/>
        </w:rPr>
        <w:t xml:space="preserve"> age group</w:t>
      </w:r>
      <w:r w:rsidR="00EB482E" w:rsidRPr="007D47AD">
        <w:rPr>
          <w:rFonts w:asciiTheme="minorHAnsi" w:hAnsiTheme="minorHAnsi"/>
          <w:sz w:val="20"/>
          <w:szCs w:val="20"/>
          <w:lang w:val="en-US"/>
        </w:rPr>
        <w:t>.</w:t>
      </w:r>
      <w:r w:rsidRPr="007D47AD">
        <w:rPr>
          <w:rStyle w:val="FootnoteReference"/>
          <w:rFonts w:asciiTheme="minorHAnsi" w:hAnsiTheme="minorHAnsi"/>
          <w:sz w:val="20"/>
          <w:szCs w:val="20"/>
          <w:lang w:val="en-US"/>
        </w:rPr>
        <w:footnoteReference w:id="298"/>
      </w:r>
      <w:r w:rsidRPr="007D47AD">
        <w:rPr>
          <w:rFonts w:asciiTheme="minorHAnsi" w:hAnsiTheme="minorHAnsi"/>
          <w:sz w:val="20"/>
          <w:szCs w:val="20"/>
          <w:lang w:val="en-US"/>
        </w:rPr>
        <w:t xml:space="preserve"> </w:t>
      </w:r>
      <w:r w:rsidR="005A08A9" w:rsidRPr="007D47AD">
        <w:rPr>
          <w:rFonts w:asciiTheme="minorHAnsi" w:hAnsiTheme="minorHAnsi"/>
          <w:sz w:val="20"/>
          <w:szCs w:val="20"/>
          <w:lang w:val="en-US"/>
        </w:rPr>
        <w:t>In addition, according to the report</w:t>
      </w:r>
      <w:r w:rsidR="00CA26A8" w:rsidRPr="007D47AD">
        <w:rPr>
          <w:rFonts w:asciiTheme="minorHAnsi" w:hAnsiTheme="minorHAnsi"/>
          <w:sz w:val="20"/>
          <w:szCs w:val="20"/>
          <w:lang w:val="en-US"/>
        </w:rPr>
        <w:t>,</w:t>
      </w:r>
      <w:r w:rsidR="005A08A9" w:rsidRPr="007D47AD">
        <w:rPr>
          <w:rFonts w:asciiTheme="minorHAnsi" w:hAnsiTheme="minorHAnsi"/>
          <w:sz w:val="20"/>
          <w:szCs w:val="20"/>
          <w:lang w:val="en-US"/>
        </w:rPr>
        <w:t xml:space="preserve"> of every </w:t>
      </w:r>
      <w:r w:rsidRPr="007D47AD">
        <w:rPr>
          <w:rFonts w:asciiTheme="minorHAnsi" w:hAnsiTheme="minorHAnsi"/>
          <w:sz w:val="20"/>
          <w:szCs w:val="20"/>
          <w:lang w:val="en-US"/>
        </w:rPr>
        <w:t xml:space="preserve">10 </w:t>
      </w:r>
      <w:r w:rsidR="005A08A9" w:rsidRPr="007D47AD">
        <w:rPr>
          <w:rFonts w:asciiTheme="minorHAnsi" w:hAnsiTheme="minorHAnsi"/>
          <w:sz w:val="20"/>
          <w:szCs w:val="20"/>
          <w:lang w:val="en-US"/>
        </w:rPr>
        <w:t xml:space="preserve">crimes of </w:t>
      </w:r>
      <w:r w:rsidRPr="007D47AD">
        <w:rPr>
          <w:rFonts w:asciiTheme="minorHAnsi" w:hAnsiTheme="minorHAnsi"/>
          <w:sz w:val="20"/>
          <w:szCs w:val="20"/>
          <w:lang w:val="en-US"/>
        </w:rPr>
        <w:t>violenc</w:t>
      </w:r>
      <w:r w:rsidR="005A08A9" w:rsidRPr="007D47AD">
        <w:rPr>
          <w:rFonts w:asciiTheme="minorHAnsi" w:hAnsiTheme="minorHAnsi"/>
          <w:sz w:val="20"/>
          <w:szCs w:val="20"/>
          <w:lang w:val="en-US"/>
        </w:rPr>
        <w:t>e committed against children and adolescents, only 1 was reported</w:t>
      </w:r>
      <w:r w:rsidR="00CA26A8" w:rsidRPr="007D47AD">
        <w:rPr>
          <w:rFonts w:asciiTheme="minorHAnsi" w:hAnsiTheme="minorHAnsi"/>
          <w:sz w:val="20"/>
          <w:szCs w:val="20"/>
          <w:lang w:val="en-US"/>
        </w:rPr>
        <w:t xml:space="preserve">; </w:t>
      </w:r>
      <w:r w:rsidR="005A08A9" w:rsidRPr="007D47AD">
        <w:rPr>
          <w:rFonts w:asciiTheme="minorHAnsi" w:hAnsiTheme="minorHAnsi"/>
          <w:sz w:val="20"/>
          <w:szCs w:val="20"/>
          <w:lang w:val="en-US"/>
        </w:rPr>
        <w:t xml:space="preserve">judicial proceedings were instituted in only </w:t>
      </w:r>
      <w:r w:rsidRPr="007D47AD">
        <w:rPr>
          <w:rFonts w:asciiTheme="minorHAnsi" w:hAnsiTheme="minorHAnsi"/>
          <w:sz w:val="20"/>
          <w:szCs w:val="20"/>
          <w:lang w:val="en-US"/>
        </w:rPr>
        <w:t xml:space="preserve">60% </w:t>
      </w:r>
      <w:r w:rsidR="005A08A9" w:rsidRPr="007D47AD">
        <w:rPr>
          <w:rFonts w:asciiTheme="minorHAnsi" w:hAnsiTheme="minorHAnsi"/>
          <w:sz w:val="20"/>
          <w:szCs w:val="20"/>
          <w:lang w:val="en-US"/>
        </w:rPr>
        <w:t>of the cases</w:t>
      </w:r>
      <w:r w:rsidR="00CA26A8" w:rsidRPr="007D47AD">
        <w:rPr>
          <w:rFonts w:asciiTheme="minorHAnsi" w:hAnsiTheme="minorHAnsi"/>
          <w:sz w:val="20"/>
          <w:szCs w:val="20"/>
          <w:lang w:val="en-US"/>
        </w:rPr>
        <w:t>;</w:t>
      </w:r>
      <w:r w:rsidR="005A08A9" w:rsidRPr="007D47AD">
        <w:rPr>
          <w:rFonts w:asciiTheme="minorHAnsi" w:hAnsiTheme="minorHAnsi"/>
          <w:sz w:val="20"/>
          <w:szCs w:val="20"/>
          <w:lang w:val="en-US"/>
        </w:rPr>
        <w:t xml:space="preserve"> and of every </w:t>
      </w:r>
      <w:r w:rsidRPr="007D47AD">
        <w:rPr>
          <w:rFonts w:asciiTheme="minorHAnsi" w:hAnsiTheme="minorHAnsi"/>
          <w:sz w:val="20"/>
          <w:szCs w:val="20"/>
          <w:lang w:val="en-US"/>
        </w:rPr>
        <w:t xml:space="preserve">100 </w:t>
      </w:r>
      <w:r w:rsidR="005A08A9" w:rsidRPr="007D47AD">
        <w:rPr>
          <w:rFonts w:asciiTheme="minorHAnsi" w:hAnsiTheme="minorHAnsi"/>
          <w:sz w:val="20"/>
          <w:szCs w:val="20"/>
          <w:lang w:val="en-US"/>
        </w:rPr>
        <w:t>crimes that affect children and adolescents only three culminate in a conviction. In the same vein, in 2017 in all 812 children and adolescents were disappeared</w:t>
      </w:r>
      <w:r w:rsidRPr="007D47AD">
        <w:rPr>
          <w:rFonts w:asciiTheme="minorHAnsi" w:hAnsiTheme="minorHAnsi"/>
          <w:sz w:val="20"/>
          <w:szCs w:val="20"/>
          <w:lang w:val="en-US"/>
        </w:rPr>
        <w:t xml:space="preserve">. </w:t>
      </w:r>
      <w:r w:rsidR="005A08A9" w:rsidRPr="007D47AD">
        <w:rPr>
          <w:rFonts w:asciiTheme="minorHAnsi" w:hAnsiTheme="minorHAnsi"/>
          <w:sz w:val="20"/>
          <w:szCs w:val="20"/>
          <w:lang w:val="en-US"/>
        </w:rPr>
        <w:t xml:space="preserve">Based on the foregoing, it was concluded that convictions for crimes committed against children and adolescents are few </w:t>
      </w:r>
      <w:r w:rsidR="005A08A9" w:rsidRPr="007D47AD">
        <w:rPr>
          <w:rFonts w:asciiTheme="minorHAnsi" w:hAnsiTheme="minorHAnsi"/>
          <w:sz w:val="20"/>
          <w:szCs w:val="20"/>
          <w:lang w:val="en-US"/>
        </w:rPr>
        <w:lastRenderedPageBreak/>
        <w:t xml:space="preserve">and far between, or benevolent with respect to the assailants, and thus </w:t>
      </w:r>
      <w:r w:rsidR="0092672F" w:rsidRPr="007D47AD">
        <w:rPr>
          <w:rFonts w:asciiTheme="minorHAnsi" w:hAnsiTheme="minorHAnsi"/>
          <w:sz w:val="20"/>
          <w:szCs w:val="20"/>
          <w:lang w:val="en-US"/>
        </w:rPr>
        <w:t>d</w:t>
      </w:r>
      <w:r w:rsidR="005A08A9" w:rsidRPr="007D47AD">
        <w:rPr>
          <w:rFonts w:asciiTheme="minorHAnsi" w:hAnsiTheme="minorHAnsi"/>
          <w:sz w:val="20"/>
          <w:szCs w:val="20"/>
          <w:lang w:val="en-US"/>
        </w:rPr>
        <w:t>o not guarantee access to justice for this population.</w:t>
      </w:r>
      <w:r w:rsidRPr="007D47AD">
        <w:rPr>
          <w:rStyle w:val="FootnoteReference"/>
          <w:rFonts w:asciiTheme="minorHAnsi" w:hAnsiTheme="minorHAnsi"/>
          <w:sz w:val="20"/>
          <w:szCs w:val="20"/>
          <w:lang w:val="en-US"/>
        </w:rPr>
        <w:footnoteReference w:id="299"/>
      </w:r>
      <w:r w:rsidRPr="007D47AD">
        <w:rPr>
          <w:rFonts w:asciiTheme="minorHAnsi" w:hAnsiTheme="minorHAnsi"/>
          <w:sz w:val="20"/>
          <w:szCs w:val="20"/>
          <w:lang w:val="en-US"/>
        </w:rPr>
        <w:t xml:space="preserve"> </w:t>
      </w:r>
      <w:r w:rsidR="005A4DE4" w:rsidRPr="007D47AD">
        <w:rPr>
          <w:rFonts w:asciiTheme="minorHAnsi" w:hAnsiTheme="minorHAnsi"/>
          <w:sz w:val="20"/>
          <w:szCs w:val="20"/>
          <w:lang w:val="en-US"/>
        </w:rPr>
        <w:t>The State reiterated this information in its observations on the draft of this report.</w:t>
      </w:r>
      <w:r w:rsidR="00901176" w:rsidRPr="007D47AD">
        <w:rPr>
          <w:rStyle w:val="FootnoteReference"/>
          <w:rFonts w:asciiTheme="minorHAnsi" w:eastAsia="Cambria" w:hAnsiTheme="minorHAnsi" w:cs="Cambria"/>
          <w:sz w:val="20"/>
          <w:szCs w:val="20"/>
          <w:lang w:val="en-US"/>
        </w:rPr>
        <w:footnoteReference w:id="300"/>
      </w:r>
    </w:p>
    <w:p w:rsidR="003A01C2" w:rsidRPr="007D47AD" w:rsidRDefault="005A08A9" w:rsidP="003A01C2">
      <w:pPr>
        <w:numPr>
          <w:ilvl w:val="0"/>
          <w:numId w:val="6"/>
        </w:numPr>
        <w:shd w:val="clear" w:color="auto" w:fill="FFFFFF"/>
        <w:spacing w:after="240" w:line="240" w:lineRule="auto"/>
        <w:ind w:left="0" w:firstLine="720"/>
        <w:jc w:val="both"/>
        <w:rPr>
          <w:rFonts w:asciiTheme="minorHAnsi" w:hAnsiTheme="minorHAnsi"/>
          <w:sz w:val="20"/>
          <w:szCs w:val="20"/>
          <w:lang w:val="en-US"/>
        </w:rPr>
      </w:pPr>
      <w:r w:rsidRPr="007D47AD">
        <w:rPr>
          <w:rFonts w:asciiTheme="minorHAnsi" w:hAnsiTheme="minorHAnsi"/>
          <w:sz w:val="20"/>
          <w:szCs w:val="20"/>
          <w:lang w:val="en-US"/>
        </w:rPr>
        <w:t xml:space="preserve">The existence of this type of an effort </w:t>
      </w:r>
      <w:r w:rsidR="0092672F" w:rsidRPr="007D47AD">
        <w:rPr>
          <w:rFonts w:asciiTheme="minorHAnsi" w:hAnsiTheme="minorHAnsi"/>
          <w:sz w:val="20"/>
          <w:szCs w:val="20"/>
          <w:lang w:val="en-US"/>
        </w:rPr>
        <w:t xml:space="preserve">to </w:t>
      </w:r>
      <w:r w:rsidRPr="007D47AD">
        <w:rPr>
          <w:rFonts w:asciiTheme="minorHAnsi" w:hAnsiTheme="minorHAnsi"/>
          <w:sz w:val="20"/>
          <w:szCs w:val="20"/>
          <w:lang w:val="en-US"/>
        </w:rPr>
        <w:t>systematiz</w:t>
      </w:r>
      <w:r w:rsidR="0092672F" w:rsidRPr="007D47AD">
        <w:rPr>
          <w:rFonts w:asciiTheme="minorHAnsi" w:hAnsiTheme="minorHAnsi"/>
          <w:sz w:val="20"/>
          <w:szCs w:val="20"/>
          <w:lang w:val="en-US"/>
        </w:rPr>
        <w:t>e</w:t>
      </w:r>
      <w:r w:rsidRPr="007D47AD">
        <w:rPr>
          <w:rFonts w:asciiTheme="minorHAnsi" w:hAnsiTheme="minorHAnsi"/>
          <w:sz w:val="20"/>
          <w:szCs w:val="20"/>
          <w:lang w:val="en-US"/>
        </w:rPr>
        <w:t xml:space="preserve"> information is notable given the lack of a national statistical registry on this issue</w:t>
      </w:r>
      <w:r w:rsidR="0092672F" w:rsidRPr="007D47AD">
        <w:rPr>
          <w:rFonts w:asciiTheme="minorHAnsi" w:hAnsiTheme="minorHAnsi"/>
          <w:sz w:val="20"/>
          <w:szCs w:val="20"/>
          <w:lang w:val="en-US"/>
        </w:rPr>
        <w:t>, which</w:t>
      </w:r>
      <w:r w:rsidRPr="007D47AD">
        <w:rPr>
          <w:rFonts w:asciiTheme="minorHAnsi" w:hAnsiTheme="minorHAnsi"/>
          <w:sz w:val="20"/>
          <w:szCs w:val="20"/>
          <w:lang w:val="en-US"/>
        </w:rPr>
        <w:t xml:space="preserve"> is so problematic in Mexico</w:t>
      </w:r>
      <w:r w:rsidR="003A01C2" w:rsidRPr="007D47AD">
        <w:rPr>
          <w:rStyle w:val="FootnoteReference"/>
          <w:rFonts w:asciiTheme="minorHAnsi" w:hAnsiTheme="minorHAnsi"/>
          <w:sz w:val="20"/>
          <w:szCs w:val="20"/>
          <w:lang w:val="en-US"/>
        </w:rPr>
        <w:footnoteReference w:id="301"/>
      </w:r>
      <w:r w:rsidR="003A01C2" w:rsidRPr="007D47AD">
        <w:rPr>
          <w:rFonts w:asciiTheme="minorHAnsi" w:hAnsiTheme="minorHAnsi"/>
          <w:sz w:val="20"/>
          <w:szCs w:val="20"/>
          <w:lang w:val="en-US"/>
        </w:rPr>
        <w:t xml:space="preserve"> </w:t>
      </w:r>
      <w:r w:rsidRPr="007D47AD">
        <w:rPr>
          <w:rFonts w:asciiTheme="minorHAnsi" w:hAnsiTheme="minorHAnsi"/>
          <w:sz w:val="20"/>
          <w:szCs w:val="20"/>
          <w:lang w:val="en-US"/>
        </w:rPr>
        <w:t>and with respect to which there is information that indicates that violence against this population is on the rise</w:t>
      </w:r>
      <w:r w:rsidR="003A01C2" w:rsidRPr="007D47AD">
        <w:rPr>
          <w:rStyle w:val="FootnoteReference"/>
          <w:rFonts w:asciiTheme="minorHAnsi" w:hAnsiTheme="minorHAnsi"/>
          <w:sz w:val="20"/>
          <w:szCs w:val="20"/>
          <w:lang w:val="en-US"/>
        </w:rPr>
        <w:footnoteReference w:id="302"/>
      </w:r>
      <w:r w:rsidR="003A01C2" w:rsidRPr="007D47AD">
        <w:rPr>
          <w:rFonts w:asciiTheme="minorHAnsi" w:hAnsiTheme="minorHAnsi"/>
          <w:sz w:val="20"/>
          <w:szCs w:val="20"/>
          <w:lang w:val="en-US"/>
        </w:rPr>
        <w:t xml:space="preserve">, </w:t>
      </w:r>
      <w:r w:rsidRPr="007D47AD">
        <w:rPr>
          <w:rFonts w:asciiTheme="minorHAnsi" w:hAnsiTheme="minorHAnsi"/>
          <w:sz w:val="20"/>
          <w:szCs w:val="20"/>
          <w:lang w:val="en-US"/>
        </w:rPr>
        <w:t>both within and beyond the home.</w:t>
      </w:r>
      <w:r w:rsidR="003A01C2" w:rsidRPr="007D47AD">
        <w:rPr>
          <w:rStyle w:val="FootnoteReference"/>
          <w:rFonts w:asciiTheme="minorHAnsi" w:hAnsiTheme="minorHAnsi"/>
          <w:sz w:val="20"/>
          <w:szCs w:val="20"/>
          <w:lang w:val="en-US"/>
        </w:rPr>
        <w:footnoteReference w:id="303"/>
      </w:r>
      <w:r w:rsidR="003A01C2" w:rsidRPr="007D47AD">
        <w:rPr>
          <w:rFonts w:asciiTheme="minorHAnsi" w:hAnsiTheme="minorHAnsi"/>
          <w:sz w:val="20"/>
          <w:szCs w:val="20"/>
          <w:lang w:val="en-US"/>
        </w:rPr>
        <w:t xml:space="preserve"> </w:t>
      </w:r>
    </w:p>
    <w:p w:rsidR="00901176" w:rsidRPr="007D47AD" w:rsidRDefault="005A08A9" w:rsidP="00D54489">
      <w:pPr>
        <w:numPr>
          <w:ilvl w:val="0"/>
          <w:numId w:val="6"/>
        </w:numPr>
        <w:shd w:val="clear" w:color="auto" w:fill="FFFFFF"/>
        <w:spacing w:after="240" w:line="240" w:lineRule="auto"/>
        <w:ind w:left="0" w:firstLine="720"/>
        <w:jc w:val="both"/>
        <w:rPr>
          <w:rFonts w:asciiTheme="minorHAnsi" w:hAnsiTheme="minorHAnsi"/>
          <w:sz w:val="20"/>
          <w:szCs w:val="20"/>
          <w:lang w:val="en-US"/>
        </w:rPr>
      </w:pPr>
      <w:r w:rsidRPr="007D47AD">
        <w:rPr>
          <w:rFonts w:asciiTheme="minorHAnsi" w:eastAsia="Cambria" w:hAnsiTheme="minorHAnsi" w:cs="Cambria"/>
          <w:sz w:val="20"/>
          <w:szCs w:val="20"/>
          <w:lang w:val="en-US"/>
        </w:rPr>
        <w:t xml:space="preserve">As regards the situation of children and adolescents who are victims of sexual violence and the obligation of the State to act with due diligence to eradicate it, the IACHR expresses its concern given the lack of results in the case of the </w:t>
      </w:r>
      <w:r w:rsidR="003A01C2" w:rsidRPr="007D47AD">
        <w:rPr>
          <w:rFonts w:asciiTheme="minorHAnsi" w:eastAsia="Cambria" w:hAnsiTheme="minorHAnsi" w:cs="Cambria"/>
          <w:sz w:val="20"/>
          <w:szCs w:val="20"/>
          <w:lang w:val="en-US"/>
        </w:rPr>
        <w:t xml:space="preserve">“Ciudad de los Niños” </w:t>
      </w:r>
      <w:r w:rsidR="00C64CD9" w:rsidRPr="007D47AD">
        <w:rPr>
          <w:rFonts w:asciiTheme="minorHAnsi" w:eastAsia="Cambria" w:hAnsiTheme="minorHAnsi" w:cs="Cambria"/>
          <w:sz w:val="20"/>
          <w:szCs w:val="20"/>
          <w:lang w:val="en-US"/>
        </w:rPr>
        <w:t xml:space="preserve">homes, </w:t>
      </w:r>
      <w:r w:rsidRPr="007D47AD">
        <w:rPr>
          <w:rFonts w:asciiTheme="minorHAnsi" w:eastAsia="Cambria" w:hAnsiTheme="minorHAnsi" w:cs="Cambria"/>
          <w:sz w:val="20"/>
          <w:szCs w:val="20"/>
          <w:lang w:val="en-US"/>
        </w:rPr>
        <w:t xml:space="preserve">which </w:t>
      </w:r>
      <w:r w:rsidR="0092672F" w:rsidRPr="007D47AD">
        <w:rPr>
          <w:rFonts w:asciiTheme="minorHAnsi" w:eastAsia="Cambria" w:hAnsiTheme="minorHAnsi" w:cs="Cambria"/>
          <w:sz w:val="20"/>
          <w:szCs w:val="20"/>
          <w:lang w:val="en-US"/>
        </w:rPr>
        <w:t xml:space="preserve">responds to </w:t>
      </w:r>
      <w:r w:rsidRPr="007D47AD">
        <w:rPr>
          <w:rFonts w:asciiTheme="minorHAnsi" w:eastAsia="Cambria" w:hAnsiTheme="minorHAnsi" w:cs="Cambria"/>
          <w:sz w:val="20"/>
          <w:szCs w:val="20"/>
          <w:lang w:val="en-US"/>
        </w:rPr>
        <w:t xml:space="preserve">situations of sexual abuse, violence, and human trafficking. In </w:t>
      </w:r>
      <w:r w:rsidR="003A01C2" w:rsidRPr="007D47AD">
        <w:rPr>
          <w:rFonts w:asciiTheme="minorHAnsi" w:eastAsia="Cambria" w:hAnsiTheme="minorHAnsi" w:cs="Cambria"/>
          <w:sz w:val="20"/>
          <w:szCs w:val="20"/>
          <w:lang w:val="en-US"/>
        </w:rPr>
        <w:t>2017</w:t>
      </w:r>
      <w:r w:rsidR="003A01C2" w:rsidRPr="007D47AD">
        <w:rPr>
          <w:rFonts w:asciiTheme="minorHAnsi" w:eastAsia="Cambria" w:hAnsiTheme="minorHAnsi" w:cs="Cambria"/>
          <w:sz w:val="20"/>
          <w:szCs w:val="20"/>
          <w:vertAlign w:val="superscript"/>
          <w:lang w:val="en-US"/>
        </w:rPr>
        <w:footnoteReference w:id="304"/>
      </w:r>
      <w:r w:rsidR="003A01C2" w:rsidRPr="007D47AD">
        <w:rPr>
          <w:rFonts w:asciiTheme="minorHAnsi" w:eastAsia="Cambria" w:hAnsiTheme="minorHAnsi" w:cs="Cambria"/>
          <w:sz w:val="20"/>
          <w:szCs w:val="20"/>
          <w:lang w:val="en-US"/>
        </w:rPr>
        <w:t xml:space="preserve"> </w:t>
      </w:r>
      <w:r w:rsidRPr="007D47AD">
        <w:rPr>
          <w:rFonts w:asciiTheme="minorHAnsi" w:eastAsia="Cambria" w:hAnsiTheme="minorHAnsi" w:cs="Cambria"/>
          <w:sz w:val="20"/>
          <w:szCs w:val="20"/>
          <w:lang w:val="en-US"/>
        </w:rPr>
        <w:t xml:space="preserve">the State reported that the </w:t>
      </w:r>
      <w:r w:rsidR="00C64CD9" w:rsidRPr="007D47AD">
        <w:rPr>
          <w:rFonts w:asciiTheme="minorHAnsi" w:eastAsia="Cambria" w:hAnsiTheme="minorHAnsi" w:cs="Cambria"/>
          <w:sz w:val="20"/>
          <w:szCs w:val="20"/>
          <w:lang w:val="en-US"/>
        </w:rPr>
        <w:t xml:space="preserve">Office of the Attorney General </w:t>
      </w:r>
      <w:r w:rsidRPr="007D47AD">
        <w:rPr>
          <w:rFonts w:asciiTheme="minorHAnsi" w:eastAsia="Cambria" w:hAnsiTheme="minorHAnsi" w:cs="Cambria"/>
          <w:sz w:val="20"/>
          <w:szCs w:val="20"/>
          <w:lang w:val="en-US"/>
        </w:rPr>
        <w:t xml:space="preserve">of </w:t>
      </w:r>
      <w:r w:rsidR="003A01C2" w:rsidRPr="007D47AD">
        <w:rPr>
          <w:rFonts w:asciiTheme="minorHAnsi" w:eastAsia="Cambria" w:hAnsiTheme="minorHAnsi" w:cs="Cambria"/>
          <w:sz w:val="20"/>
          <w:szCs w:val="20"/>
          <w:lang w:val="en-US"/>
        </w:rPr>
        <w:t xml:space="preserve">Guanajuato (PGJEG) </w:t>
      </w:r>
      <w:r w:rsidRPr="007D47AD">
        <w:rPr>
          <w:rFonts w:asciiTheme="minorHAnsi" w:eastAsia="Cambria" w:hAnsiTheme="minorHAnsi" w:cs="Cambria"/>
          <w:sz w:val="20"/>
          <w:szCs w:val="20"/>
          <w:lang w:val="en-US"/>
        </w:rPr>
        <w:t>had begun an investigation into the facts</w:t>
      </w:r>
      <w:r w:rsidR="003A01C2" w:rsidRPr="007D47AD">
        <w:rPr>
          <w:rFonts w:asciiTheme="minorHAnsi" w:eastAsia="Cambria" w:hAnsiTheme="minorHAnsi" w:cs="Cambria"/>
          <w:sz w:val="20"/>
          <w:szCs w:val="20"/>
          <w:vertAlign w:val="superscript"/>
          <w:lang w:val="en-US"/>
        </w:rPr>
        <w:footnoteReference w:id="305"/>
      </w:r>
      <w:r w:rsidR="003A01C2" w:rsidRPr="007D47AD">
        <w:rPr>
          <w:rFonts w:asciiTheme="minorHAnsi" w:eastAsia="Cambria" w:hAnsiTheme="minorHAnsi" w:cs="Cambria"/>
          <w:sz w:val="20"/>
          <w:szCs w:val="20"/>
          <w:lang w:val="en-US"/>
        </w:rPr>
        <w:t xml:space="preserve"> </w:t>
      </w:r>
      <w:r w:rsidRPr="007D47AD">
        <w:rPr>
          <w:rFonts w:asciiTheme="minorHAnsi" w:eastAsia="Cambria" w:hAnsiTheme="minorHAnsi" w:cs="Cambria"/>
          <w:sz w:val="20"/>
          <w:szCs w:val="20"/>
          <w:lang w:val="en-US"/>
        </w:rPr>
        <w:t>and the effort to clarify them.</w:t>
      </w:r>
      <w:r w:rsidR="003A01C2" w:rsidRPr="007D47AD">
        <w:rPr>
          <w:rFonts w:asciiTheme="minorHAnsi" w:eastAsia="Cambria" w:hAnsiTheme="minorHAnsi" w:cs="Cambria"/>
          <w:sz w:val="20"/>
          <w:szCs w:val="20"/>
          <w:vertAlign w:val="superscript"/>
          <w:lang w:val="en-US"/>
        </w:rPr>
        <w:footnoteReference w:id="306"/>
      </w:r>
      <w:r w:rsidR="003A01C2" w:rsidRPr="007D47AD">
        <w:rPr>
          <w:rFonts w:asciiTheme="minorHAnsi" w:eastAsia="Cambria" w:hAnsiTheme="minorHAnsi" w:cs="Cambria"/>
          <w:sz w:val="20"/>
          <w:szCs w:val="20"/>
          <w:lang w:val="en-US"/>
        </w:rPr>
        <w:t xml:space="preserve"> </w:t>
      </w:r>
      <w:r w:rsidRPr="007D47AD">
        <w:rPr>
          <w:rFonts w:asciiTheme="minorHAnsi" w:eastAsia="Cambria" w:hAnsiTheme="minorHAnsi" w:cs="Cambria"/>
          <w:sz w:val="20"/>
          <w:szCs w:val="20"/>
          <w:lang w:val="en-US"/>
        </w:rPr>
        <w:t xml:space="preserve">Nonetheless, in </w:t>
      </w:r>
      <w:r w:rsidR="003A01C2" w:rsidRPr="007D47AD">
        <w:rPr>
          <w:rFonts w:asciiTheme="minorHAnsi" w:eastAsia="Cambria" w:hAnsiTheme="minorHAnsi" w:cs="Cambria"/>
          <w:sz w:val="20"/>
          <w:szCs w:val="20"/>
          <w:lang w:val="en-US"/>
        </w:rPr>
        <w:t xml:space="preserve">2019, civil </w:t>
      </w:r>
      <w:r w:rsidRPr="007D47AD">
        <w:rPr>
          <w:rFonts w:asciiTheme="minorHAnsi" w:eastAsia="Cambria" w:hAnsiTheme="minorHAnsi" w:cs="Cambria"/>
          <w:sz w:val="20"/>
          <w:szCs w:val="20"/>
          <w:lang w:val="en-US"/>
        </w:rPr>
        <w:t xml:space="preserve">society organizations reaffirmed that the authorities of </w:t>
      </w:r>
      <w:r w:rsidR="003A01C2" w:rsidRPr="007D47AD">
        <w:rPr>
          <w:rFonts w:asciiTheme="minorHAnsi" w:eastAsia="Cambria" w:hAnsiTheme="minorHAnsi" w:cs="Cambria"/>
          <w:sz w:val="20"/>
          <w:szCs w:val="20"/>
          <w:lang w:val="en-US"/>
        </w:rPr>
        <w:t xml:space="preserve">Guanajuato </w:t>
      </w:r>
      <w:r w:rsidRPr="007D47AD">
        <w:rPr>
          <w:rFonts w:asciiTheme="minorHAnsi" w:eastAsia="Cambria" w:hAnsiTheme="minorHAnsi" w:cs="Cambria"/>
          <w:sz w:val="20"/>
          <w:szCs w:val="20"/>
          <w:lang w:val="en-US"/>
        </w:rPr>
        <w:t xml:space="preserve">maintain </w:t>
      </w:r>
      <w:r w:rsidR="003A01C2" w:rsidRPr="007D47AD">
        <w:rPr>
          <w:rFonts w:asciiTheme="minorHAnsi" w:eastAsia="Cambria" w:hAnsiTheme="minorHAnsi" w:cs="Cambria"/>
          <w:sz w:val="20"/>
          <w:szCs w:val="20"/>
          <w:lang w:val="en-US"/>
        </w:rPr>
        <w:t>“</w:t>
      </w:r>
      <w:r w:rsidRPr="007D47AD">
        <w:rPr>
          <w:rFonts w:asciiTheme="minorHAnsi" w:eastAsia="Cambria" w:hAnsiTheme="minorHAnsi" w:cs="Cambria"/>
          <w:sz w:val="20"/>
          <w:szCs w:val="20"/>
          <w:lang w:val="en-US"/>
        </w:rPr>
        <w:t xml:space="preserve">a </w:t>
      </w:r>
      <w:r w:rsidR="003A01C2" w:rsidRPr="007D47AD">
        <w:rPr>
          <w:rFonts w:asciiTheme="minorHAnsi" w:eastAsia="Cambria" w:hAnsiTheme="minorHAnsi" w:cs="Cambria"/>
          <w:sz w:val="20"/>
          <w:szCs w:val="20"/>
          <w:lang w:val="en-US"/>
        </w:rPr>
        <w:t>pact</w:t>
      </w:r>
      <w:r w:rsidRPr="007D47AD">
        <w:rPr>
          <w:rFonts w:asciiTheme="minorHAnsi" w:eastAsia="Cambria" w:hAnsiTheme="minorHAnsi" w:cs="Cambria"/>
          <w:sz w:val="20"/>
          <w:szCs w:val="20"/>
          <w:lang w:val="en-US"/>
        </w:rPr>
        <w:t xml:space="preserve"> of</w:t>
      </w:r>
      <w:r w:rsidR="003A01C2" w:rsidRPr="007D47AD">
        <w:rPr>
          <w:rFonts w:asciiTheme="minorHAnsi" w:eastAsia="Cambria" w:hAnsiTheme="minorHAnsi" w:cs="Cambria"/>
          <w:sz w:val="20"/>
          <w:szCs w:val="20"/>
          <w:lang w:val="en-US"/>
        </w:rPr>
        <w:t xml:space="preserve"> silenc</w:t>
      </w:r>
      <w:r w:rsidRPr="007D47AD">
        <w:rPr>
          <w:rFonts w:asciiTheme="minorHAnsi" w:eastAsia="Cambria" w:hAnsiTheme="minorHAnsi" w:cs="Cambria"/>
          <w:sz w:val="20"/>
          <w:szCs w:val="20"/>
          <w:lang w:val="en-US"/>
        </w:rPr>
        <w:t>e</w:t>
      </w:r>
      <w:r w:rsidR="003A01C2" w:rsidRPr="007D47AD">
        <w:rPr>
          <w:rFonts w:asciiTheme="minorHAnsi" w:eastAsia="Cambria" w:hAnsiTheme="minorHAnsi" w:cs="Cambria"/>
          <w:sz w:val="20"/>
          <w:szCs w:val="20"/>
          <w:lang w:val="en-US"/>
        </w:rPr>
        <w:t xml:space="preserve">” </w:t>
      </w:r>
      <w:r w:rsidRPr="007D47AD">
        <w:rPr>
          <w:rFonts w:asciiTheme="minorHAnsi" w:eastAsia="Cambria" w:hAnsiTheme="minorHAnsi" w:cs="Cambria"/>
          <w:sz w:val="20"/>
          <w:szCs w:val="20"/>
          <w:lang w:val="en-US"/>
        </w:rPr>
        <w:t>in favor of the priest involved in the crimes committed in those homes</w:t>
      </w:r>
      <w:r w:rsidR="00C64CD9" w:rsidRPr="007D47AD">
        <w:rPr>
          <w:rFonts w:asciiTheme="minorHAnsi" w:eastAsia="Cambria" w:hAnsiTheme="minorHAnsi" w:cs="Cambria"/>
          <w:sz w:val="20"/>
          <w:szCs w:val="20"/>
          <w:lang w:val="en-US"/>
        </w:rPr>
        <w:t xml:space="preserve"> </w:t>
      </w:r>
      <w:r w:rsidRPr="007D47AD">
        <w:rPr>
          <w:rFonts w:asciiTheme="minorHAnsi" w:eastAsia="Cambria" w:hAnsiTheme="minorHAnsi" w:cs="Cambria"/>
          <w:sz w:val="20"/>
          <w:szCs w:val="20"/>
          <w:lang w:val="en-US"/>
        </w:rPr>
        <w:t>and publicly asked that the</w:t>
      </w:r>
      <w:r w:rsidR="0092672F" w:rsidRPr="007D47AD">
        <w:rPr>
          <w:rFonts w:asciiTheme="minorHAnsi" w:eastAsia="Cambria" w:hAnsiTheme="minorHAnsi" w:cs="Cambria"/>
          <w:sz w:val="20"/>
          <w:szCs w:val="20"/>
          <w:lang w:val="en-US"/>
        </w:rPr>
        <w:t>y</w:t>
      </w:r>
      <w:r w:rsidRPr="007D47AD">
        <w:rPr>
          <w:rFonts w:asciiTheme="minorHAnsi" w:eastAsia="Cambria" w:hAnsiTheme="minorHAnsi" w:cs="Cambria"/>
          <w:sz w:val="20"/>
          <w:szCs w:val="20"/>
          <w:lang w:val="en-US"/>
        </w:rPr>
        <w:t xml:space="preserve"> not be re</w:t>
      </w:r>
      <w:r w:rsidR="0092672F" w:rsidRPr="007D47AD">
        <w:rPr>
          <w:rFonts w:asciiTheme="minorHAnsi" w:eastAsia="Cambria" w:hAnsiTheme="minorHAnsi" w:cs="Cambria"/>
          <w:sz w:val="20"/>
          <w:szCs w:val="20"/>
          <w:lang w:val="en-US"/>
        </w:rPr>
        <w:t>-</w:t>
      </w:r>
      <w:r w:rsidRPr="007D47AD">
        <w:rPr>
          <w:rFonts w:asciiTheme="minorHAnsi" w:eastAsia="Cambria" w:hAnsiTheme="minorHAnsi" w:cs="Cambria"/>
          <w:sz w:val="20"/>
          <w:szCs w:val="20"/>
          <w:lang w:val="en-US"/>
        </w:rPr>
        <w:t>opened.</w:t>
      </w:r>
      <w:r w:rsidR="003A01C2" w:rsidRPr="007D47AD">
        <w:rPr>
          <w:rStyle w:val="FootnoteReference"/>
          <w:rFonts w:asciiTheme="minorHAnsi" w:eastAsia="Cambria" w:hAnsiTheme="minorHAnsi" w:cs="Cambria"/>
          <w:sz w:val="20"/>
          <w:szCs w:val="20"/>
          <w:lang w:val="en-US"/>
        </w:rPr>
        <w:footnoteReference w:id="307"/>
      </w:r>
      <w:r w:rsidR="003A01C2" w:rsidRPr="007D47AD">
        <w:rPr>
          <w:rFonts w:asciiTheme="minorHAnsi" w:eastAsia="Cambria" w:hAnsiTheme="minorHAnsi" w:cs="Cambria"/>
          <w:sz w:val="20"/>
          <w:szCs w:val="20"/>
          <w:lang w:val="en-US"/>
        </w:rPr>
        <w:t xml:space="preserve"> </w:t>
      </w:r>
      <w:r w:rsidRPr="007D47AD">
        <w:rPr>
          <w:rFonts w:asciiTheme="minorHAnsi" w:eastAsia="Cambria" w:hAnsiTheme="minorHAnsi" w:cs="Cambria"/>
          <w:sz w:val="20"/>
          <w:szCs w:val="20"/>
          <w:lang w:val="en-US"/>
        </w:rPr>
        <w:t xml:space="preserve">Moreover, new testimony on sexual abuses committed against children and adolescents by church organizations </w:t>
      </w:r>
      <w:r w:rsidR="00C64CD9" w:rsidRPr="007D47AD">
        <w:rPr>
          <w:rFonts w:asciiTheme="minorHAnsi" w:eastAsia="Cambria" w:hAnsiTheme="minorHAnsi" w:cs="Cambria"/>
          <w:sz w:val="20"/>
          <w:szCs w:val="20"/>
          <w:lang w:val="en-US"/>
        </w:rPr>
        <w:t xml:space="preserve">that has </w:t>
      </w:r>
      <w:r w:rsidRPr="007D47AD">
        <w:rPr>
          <w:rFonts w:asciiTheme="minorHAnsi" w:eastAsia="Cambria" w:hAnsiTheme="minorHAnsi" w:cs="Cambria"/>
          <w:sz w:val="20"/>
          <w:szCs w:val="20"/>
          <w:lang w:val="en-US"/>
        </w:rPr>
        <w:t>been revealed this year</w:t>
      </w:r>
      <w:r w:rsidR="00C64CD9" w:rsidRPr="007D47AD">
        <w:rPr>
          <w:rFonts w:asciiTheme="minorHAnsi" w:eastAsia="Cambria" w:hAnsiTheme="minorHAnsi" w:cs="Cambria"/>
          <w:sz w:val="20"/>
          <w:szCs w:val="20"/>
          <w:lang w:val="en-US"/>
        </w:rPr>
        <w:t xml:space="preserve"> is cause for concern</w:t>
      </w:r>
      <w:r w:rsidRPr="007D47AD">
        <w:rPr>
          <w:rFonts w:asciiTheme="minorHAnsi" w:eastAsia="Cambria" w:hAnsiTheme="minorHAnsi" w:cs="Cambria"/>
          <w:sz w:val="20"/>
          <w:szCs w:val="20"/>
          <w:lang w:val="en-US"/>
        </w:rPr>
        <w:t>.</w:t>
      </w:r>
      <w:r w:rsidR="003A01C2" w:rsidRPr="007D47AD">
        <w:rPr>
          <w:rStyle w:val="FootnoteReference"/>
          <w:rFonts w:asciiTheme="minorHAnsi" w:eastAsia="Cambria" w:hAnsiTheme="minorHAnsi" w:cs="Cambria"/>
          <w:sz w:val="20"/>
          <w:szCs w:val="20"/>
          <w:lang w:val="en-US"/>
        </w:rPr>
        <w:footnoteReference w:id="308"/>
      </w:r>
      <w:r w:rsidR="003A01C2" w:rsidRPr="007D47AD">
        <w:rPr>
          <w:rFonts w:asciiTheme="minorHAnsi" w:eastAsia="Cambria" w:hAnsiTheme="minorHAnsi" w:cs="Cambria"/>
          <w:sz w:val="20"/>
          <w:szCs w:val="20"/>
          <w:lang w:val="en-US"/>
        </w:rPr>
        <w:t xml:space="preserve"> </w:t>
      </w:r>
      <w:r w:rsidR="005A4DE4" w:rsidRPr="007D47AD">
        <w:rPr>
          <w:rFonts w:asciiTheme="minorHAnsi" w:hAnsiTheme="minorHAnsi"/>
          <w:sz w:val="20"/>
          <w:szCs w:val="20"/>
          <w:lang w:val="en-US"/>
        </w:rPr>
        <w:t>The State reiterated this information from 2017 in its observations on the draft of this report.</w:t>
      </w:r>
      <w:r w:rsidR="00901176" w:rsidRPr="007D47AD">
        <w:rPr>
          <w:rStyle w:val="FootnoteReference"/>
          <w:rFonts w:asciiTheme="minorHAnsi" w:eastAsia="Cambria" w:hAnsiTheme="minorHAnsi" w:cs="Cambria"/>
          <w:sz w:val="20"/>
          <w:szCs w:val="20"/>
          <w:lang w:val="en-US"/>
        </w:rPr>
        <w:footnoteReference w:id="309"/>
      </w:r>
    </w:p>
    <w:p w:rsidR="003A01C2" w:rsidRPr="007D47AD" w:rsidRDefault="005A08A9" w:rsidP="00D54489">
      <w:pPr>
        <w:numPr>
          <w:ilvl w:val="0"/>
          <w:numId w:val="6"/>
        </w:numPr>
        <w:shd w:val="clear" w:color="auto" w:fill="FFFFFF"/>
        <w:spacing w:after="240" w:line="240" w:lineRule="auto"/>
        <w:ind w:left="0" w:firstLine="720"/>
        <w:jc w:val="both"/>
        <w:rPr>
          <w:rFonts w:asciiTheme="minorHAnsi" w:hAnsiTheme="minorHAnsi"/>
          <w:sz w:val="20"/>
          <w:szCs w:val="20"/>
          <w:lang w:val="en-US"/>
        </w:rPr>
      </w:pPr>
      <w:r w:rsidRPr="007D47AD">
        <w:rPr>
          <w:rFonts w:asciiTheme="minorHAnsi" w:eastAsia="Cambria" w:hAnsiTheme="minorHAnsi" w:cs="Cambria"/>
          <w:sz w:val="20"/>
          <w:szCs w:val="20"/>
          <w:lang w:val="en-US"/>
        </w:rPr>
        <w:t xml:space="preserve">In addition to the foregoing, the IACHR calls </w:t>
      </w:r>
      <w:r w:rsidR="0092672F" w:rsidRPr="007D47AD">
        <w:rPr>
          <w:rFonts w:asciiTheme="minorHAnsi" w:eastAsia="Cambria" w:hAnsiTheme="minorHAnsi" w:cs="Cambria"/>
          <w:sz w:val="20"/>
          <w:szCs w:val="20"/>
          <w:lang w:val="en-US"/>
        </w:rPr>
        <w:t>a</w:t>
      </w:r>
      <w:r w:rsidRPr="007D47AD">
        <w:rPr>
          <w:rFonts w:asciiTheme="minorHAnsi" w:eastAsia="Cambria" w:hAnsiTheme="minorHAnsi" w:cs="Cambria"/>
          <w:sz w:val="20"/>
          <w:szCs w:val="20"/>
          <w:lang w:val="en-US"/>
        </w:rPr>
        <w:t xml:space="preserve">ttention to the report of the </w:t>
      </w:r>
      <w:r w:rsidR="003A01C2" w:rsidRPr="007D47AD">
        <w:rPr>
          <w:rFonts w:asciiTheme="minorHAnsi" w:eastAsia="Cambria" w:hAnsiTheme="minorHAnsi" w:cs="Cambria"/>
          <w:sz w:val="20"/>
          <w:szCs w:val="20"/>
          <w:lang w:val="en-US"/>
        </w:rPr>
        <w:t>CNDH “</w:t>
      </w:r>
      <w:r w:rsidRPr="007D47AD">
        <w:rPr>
          <w:rFonts w:asciiTheme="minorHAnsi" w:eastAsia="Cambria" w:hAnsiTheme="minorHAnsi" w:cs="Cambria"/>
          <w:sz w:val="20"/>
          <w:szCs w:val="20"/>
          <w:lang w:val="en-US"/>
        </w:rPr>
        <w:t xml:space="preserve">On the situation of the rights of children and adolescents in public and private social assistance centers and public and private shelters of the Mexican republic.” </w:t>
      </w:r>
      <w:r w:rsidR="008776CE" w:rsidRPr="007D47AD">
        <w:rPr>
          <w:rFonts w:asciiTheme="minorHAnsi" w:eastAsia="Cambria" w:hAnsiTheme="minorHAnsi" w:cs="Cambria"/>
          <w:sz w:val="20"/>
          <w:szCs w:val="20"/>
          <w:lang w:val="en-US"/>
        </w:rPr>
        <w:t>Th</w:t>
      </w:r>
      <w:r w:rsidR="0092672F" w:rsidRPr="007D47AD">
        <w:rPr>
          <w:rFonts w:asciiTheme="minorHAnsi" w:eastAsia="Cambria" w:hAnsiTheme="minorHAnsi" w:cs="Cambria"/>
          <w:sz w:val="20"/>
          <w:szCs w:val="20"/>
          <w:lang w:val="en-US"/>
        </w:rPr>
        <w:t xml:space="preserve">e CNDH </w:t>
      </w:r>
      <w:r w:rsidR="008776CE" w:rsidRPr="007D47AD">
        <w:rPr>
          <w:rFonts w:asciiTheme="minorHAnsi" w:eastAsia="Cambria" w:hAnsiTheme="minorHAnsi" w:cs="Cambria"/>
          <w:sz w:val="20"/>
          <w:szCs w:val="20"/>
          <w:lang w:val="en-US"/>
        </w:rPr>
        <w:t xml:space="preserve">has noted that this institutionalized population is </w:t>
      </w:r>
      <w:r w:rsidR="003A01C2" w:rsidRPr="007D47AD">
        <w:rPr>
          <w:rFonts w:asciiTheme="minorHAnsi" w:eastAsia="Cambria" w:hAnsiTheme="minorHAnsi" w:cs="Cambria"/>
          <w:sz w:val="20"/>
          <w:szCs w:val="20"/>
          <w:lang w:val="en-US"/>
        </w:rPr>
        <w:t>especial</w:t>
      </w:r>
      <w:r w:rsidR="008776CE" w:rsidRPr="007D47AD">
        <w:rPr>
          <w:rFonts w:asciiTheme="minorHAnsi" w:eastAsia="Cambria" w:hAnsiTheme="minorHAnsi" w:cs="Cambria"/>
          <w:sz w:val="20"/>
          <w:szCs w:val="20"/>
          <w:lang w:val="en-US"/>
        </w:rPr>
        <w:t>ly</w:t>
      </w:r>
      <w:r w:rsidR="003A01C2" w:rsidRPr="007D47AD">
        <w:rPr>
          <w:rFonts w:asciiTheme="minorHAnsi" w:eastAsia="Cambria" w:hAnsiTheme="minorHAnsi" w:cs="Cambria"/>
          <w:sz w:val="20"/>
          <w:szCs w:val="20"/>
          <w:lang w:val="en-US"/>
        </w:rPr>
        <w:t xml:space="preserve"> vulnerab</w:t>
      </w:r>
      <w:r w:rsidR="008776CE" w:rsidRPr="007D47AD">
        <w:rPr>
          <w:rFonts w:asciiTheme="minorHAnsi" w:eastAsia="Cambria" w:hAnsiTheme="minorHAnsi" w:cs="Cambria"/>
          <w:sz w:val="20"/>
          <w:szCs w:val="20"/>
          <w:lang w:val="en-US"/>
        </w:rPr>
        <w:t xml:space="preserve">le and that there are many cases of abuses committed against children and adolescents </w:t>
      </w:r>
      <w:r w:rsidR="003A01C2" w:rsidRPr="007D47AD">
        <w:rPr>
          <w:rFonts w:asciiTheme="minorHAnsi" w:eastAsia="Cambria" w:hAnsiTheme="minorHAnsi" w:cs="Cambria"/>
          <w:sz w:val="20"/>
          <w:szCs w:val="20"/>
          <w:lang w:val="en-US"/>
        </w:rPr>
        <w:t>at</w:t>
      </w:r>
      <w:r w:rsidR="008776CE" w:rsidRPr="007D47AD">
        <w:rPr>
          <w:rFonts w:asciiTheme="minorHAnsi" w:eastAsia="Cambria" w:hAnsiTheme="minorHAnsi" w:cs="Cambria"/>
          <w:sz w:val="20"/>
          <w:szCs w:val="20"/>
          <w:lang w:val="en-US"/>
        </w:rPr>
        <w:t>t</w:t>
      </w:r>
      <w:r w:rsidR="003A01C2" w:rsidRPr="007D47AD">
        <w:rPr>
          <w:rFonts w:asciiTheme="minorHAnsi" w:eastAsia="Cambria" w:hAnsiTheme="minorHAnsi" w:cs="Cambria"/>
          <w:sz w:val="20"/>
          <w:szCs w:val="20"/>
          <w:lang w:val="en-US"/>
        </w:rPr>
        <w:t>ribu</w:t>
      </w:r>
      <w:r w:rsidR="008776CE" w:rsidRPr="007D47AD">
        <w:rPr>
          <w:rFonts w:asciiTheme="minorHAnsi" w:eastAsia="Cambria" w:hAnsiTheme="minorHAnsi" w:cs="Cambria"/>
          <w:sz w:val="20"/>
          <w:szCs w:val="20"/>
          <w:lang w:val="en-US"/>
        </w:rPr>
        <w:t>ta</w:t>
      </w:r>
      <w:r w:rsidR="003A01C2" w:rsidRPr="007D47AD">
        <w:rPr>
          <w:rFonts w:asciiTheme="minorHAnsi" w:eastAsia="Cambria" w:hAnsiTheme="minorHAnsi" w:cs="Cambria"/>
          <w:sz w:val="20"/>
          <w:szCs w:val="20"/>
          <w:lang w:val="en-US"/>
        </w:rPr>
        <w:t xml:space="preserve">ble </w:t>
      </w:r>
      <w:r w:rsidR="008776CE" w:rsidRPr="007D47AD">
        <w:rPr>
          <w:rFonts w:asciiTheme="minorHAnsi" w:eastAsia="Cambria" w:hAnsiTheme="minorHAnsi" w:cs="Cambria"/>
          <w:sz w:val="20"/>
          <w:szCs w:val="20"/>
          <w:lang w:val="en-US"/>
        </w:rPr>
        <w:t xml:space="preserve">to the lack of regulation, supervision, state control, and recognition of juridical personality of children and adolescents. The </w:t>
      </w:r>
      <w:r w:rsidR="003A01C2" w:rsidRPr="007D47AD">
        <w:rPr>
          <w:rFonts w:asciiTheme="minorHAnsi" w:eastAsia="Cambria" w:hAnsiTheme="minorHAnsi" w:cs="Cambria"/>
          <w:sz w:val="20"/>
          <w:szCs w:val="20"/>
          <w:lang w:val="en-US"/>
        </w:rPr>
        <w:t xml:space="preserve">CNDH </w:t>
      </w:r>
      <w:r w:rsidR="008776CE" w:rsidRPr="007D47AD">
        <w:rPr>
          <w:rFonts w:asciiTheme="minorHAnsi" w:eastAsia="Cambria" w:hAnsiTheme="minorHAnsi" w:cs="Cambria"/>
          <w:sz w:val="20"/>
          <w:szCs w:val="20"/>
          <w:lang w:val="en-US"/>
        </w:rPr>
        <w:t xml:space="preserve">indicated that in </w:t>
      </w:r>
      <w:r w:rsidR="003A01C2" w:rsidRPr="007D47AD">
        <w:rPr>
          <w:rFonts w:asciiTheme="minorHAnsi" w:eastAsia="Cambria" w:hAnsiTheme="minorHAnsi" w:cs="Cambria"/>
          <w:sz w:val="20"/>
          <w:szCs w:val="20"/>
          <w:lang w:val="en-US"/>
        </w:rPr>
        <w:t xml:space="preserve">2018 </w:t>
      </w:r>
      <w:r w:rsidR="008776CE" w:rsidRPr="007D47AD">
        <w:rPr>
          <w:rFonts w:asciiTheme="minorHAnsi" w:eastAsia="Cambria" w:hAnsiTheme="minorHAnsi" w:cs="Cambria"/>
          <w:sz w:val="20"/>
          <w:szCs w:val="20"/>
          <w:lang w:val="en-US"/>
        </w:rPr>
        <w:t xml:space="preserve">and </w:t>
      </w:r>
      <w:r w:rsidR="003A01C2" w:rsidRPr="007D47AD">
        <w:rPr>
          <w:rFonts w:asciiTheme="minorHAnsi" w:eastAsia="Cambria" w:hAnsiTheme="minorHAnsi" w:cs="Cambria"/>
          <w:sz w:val="20"/>
          <w:szCs w:val="20"/>
          <w:lang w:val="en-US"/>
        </w:rPr>
        <w:t xml:space="preserve">2019 </w:t>
      </w:r>
      <w:r w:rsidR="008776CE" w:rsidRPr="007D47AD">
        <w:rPr>
          <w:rFonts w:asciiTheme="minorHAnsi" w:eastAsia="Cambria" w:hAnsiTheme="minorHAnsi" w:cs="Cambria"/>
          <w:sz w:val="20"/>
          <w:szCs w:val="20"/>
          <w:lang w:val="en-US"/>
        </w:rPr>
        <w:t xml:space="preserve">it received </w:t>
      </w:r>
      <w:r w:rsidR="003A01C2" w:rsidRPr="007D47AD">
        <w:rPr>
          <w:rFonts w:asciiTheme="minorHAnsi" w:eastAsia="Cambria" w:hAnsiTheme="minorHAnsi" w:cs="Cambria"/>
          <w:sz w:val="20"/>
          <w:szCs w:val="20"/>
          <w:lang w:val="en-US"/>
        </w:rPr>
        <w:t xml:space="preserve">41 </w:t>
      </w:r>
      <w:r w:rsidR="008776CE" w:rsidRPr="007D47AD">
        <w:rPr>
          <w:rFonts w:asciiTheme="minorHAnsi" w:eastAsia="Cambria" w:hAnsiTheme="minorHAnsi" w:cs="Cambria"/>
          <w:sz w:val="20"/>
          <w:szCs w:val="20"/>
          <w:lang w:val="en-US"/>
        </w:rPr>
        <w:t>complaints regarding violations of the human rights of children and adoles</w:t>
      </w:r>
      <w:r w:rsidR="0092672F" w:rsidRPr="007D47AD">
        <w:rPr>
          <w:rFonts w:asciiTheme="minorHAnsi" w:eastAsia="Cambria" w:hAnsiTheme="minorHAnsi" w:cs="Cambria"/>
          <w:sz w:val="20"/>
          <w:szCs w:val="20"/>
          <w:lang w:val="en-US"/>
        </w:rPr>
        <w:t>c</w:t>
      </w:r>
      <w:r w:rsidR="008776CE" w:rsidRPr="007D47AD">
        <w:rPr>
          <w:rFonts w:asciiTheme="minorHAnsi" w:eastAsia="Cambria" w:hAnsiTheme="minorHAnsi" w:cs="Cambria"/>
          <w:sz w:val="20"/>
          <w:szCs w:val="20"/>
          <w:lang w:val="en-US"/>
        </w:rPr>
        <w:t xml:space="preserve">ents from the states of </w:t>
      </w:r>
      <w:r w:rsidR="003A01C2" w:rsidRPr="007D47AD">
        <w:rPr>
          <w:rFonts w:asciiTheme="minorHAnsi" w:eastAsia="Cambria" w:hAnsiTheme="minorHAnsi" w:cs="Cambria"/>
          <w:sz w:val="20"/>
          <w:szCs w:val="20"/>
          <w:lang w:val="en-US"/>
        </w:rPr>
        <w:t xml:space="preserve">Tabasco (01), Sonora (02), Sinaloa (02), Quintana Roo (02), Queretaro (02), Oaxaca (02), Veracruz (03), San Luis Potosí (03), Baja California (03), Chihuahua (04), </w:t>
      </w:r>
      <w:r w:rsidR="008776CE" w:rsidRPr="007D47AD">
        <w:rPr>
          <w:rFonts w:asciiTheme="minorHAnsi" w:eastAsia="Cambria" w:hAnsiTheme="minorHAnsi" w:cs="Cambria"/>
          <w:sz w:val="20"/>
          <w:szCs w:val="20"/>
          <w:lang w:val="en-US"/>
        </w:rPr>
        <w:t xml:space="preserve">Mexico City </w:t>
      </w:r>
      <w:r w:rsidR="003A01C2" w:rsidRPr="007D47AD">
        <w:rPr>
          <w:rFonts w:asciiTheme="minorHAnsi" w:eastAsia="Cambria" w:hAnsiTheme="minorHAnsi" w:cs="Cambria"/>
          <w:sz w:val="20"/>
          <w:szCs w:val="20"/>
          <w:lang w:val="en-US"/>
        </w:rPr>
        <w:t xml:space="preserve">(05), Tamaulipas (06), Chiapas (12), </w:t>
      </w:r>
      <w:r w:rsidR="008776CE" w:rsidRPr="007D47AD">
        <w:rPr>
          <w:rFonts w:asciiTheme="minorHAnsi" w:eastAsia="Cambria" w:hAnsiTheme="minorHAnsi" w:cs="Cambria"/>
          <w:sz w:val="20"/>
          <w:szCs w:val="20"/>
          <w:lang w:val="en-US"/>
        </w:rPr>
        <w:t xml:space="preserve">and others </w:t>
      </w:r>
      <w:r w:rsidR="003A01C2" w:rsidRPr="007D47AD">
        <w:rPr>
          <w:rFonts w:asciiTheme="minorHAnsi" w:eastAsia="Cambria" w:hAnsiTheme="minorHAnsi" w:cs="Cambria"/>
          <w:sz w:val="20"/>
          <w:szCs w:val="20"/>
          <w:lang w:val="en-US"/>
        </w:rPr>
        <w:t xml:space="preserve">(02). </w:t>
      </w:r>
      <w:r w:rsidR="008776CE" w:rsidRPr="007D47AD">
        <w:rPr>
          <w:rFonts w:asciiTheme="minorHAnsi" w:eastAsia="Cambria" w:hAnsiTheme="minorHAnsi" w:cs="Cambria"/>
          <w:sz w:val="20"/>
          <w:szCs w:val="20"/>
          <w:lang w:val="en-US"/>
        </w:rPr>
        <w:t xml:space="preserve">In addition, by motive for children and adolescent entering care institutions the Report indicates that in 15 states of Mexico, from </w:t>
      </w:r>
      <w:r w:rsidR="003A01C2" w:rsidRPr="007D47AD">
        <w:rPr>
          <w:rFonts w:asciiTheme="minorHAnsi" w:eastAsia="Cambria" w:hAnsiTheme="minorHAnsi" w:cs="Cambria"/>
          <w:sz w:val="20"/>
          <w:szCs w:val="20"/>
          <w:lang w:val="en-US"/>
        </w:rPr>
        <w:t xml:space="preserve">2014 </w:t>
      </w:r>
      <w:r w:rsidR="008776CE" w:rsidRPr="007D47AD">
        <w:rPr>
          <w:rFonts w:asciiTheme="minorHAnsi" w:eastAsia="Cambria" w:hAnsiTheme="minorHAnsi" w:cs="Cambria"/>
          <w:sz w:val="20"/>
          <w:szCs w:val="20"/>
          <w:lang w:val="en-US"/>
        </w:rPr>
        <w:t xml:space="preserve">to </w:t>
      </w:r>
      <w:r w:rsidR="003A01C2" w:rsidRPr="007D47AD">
        <w:rPr>
          <w:rFonts w:asciiTheme="minorHAnsi" w:eastAsia="Cambria" w:hAnsiTheme="minorHAnsi" w:cs="Cambria"/>
          <w:sz w:val="20"/>
          <w:szCs w:val="20"/>
          <w:lang w:val="en-US"/>
        </w:rPr>
        <w:t xml:space="preserve">2016, 105 </w:t>
      </w:r>
      <w:r w:rsidR="008776CE" w:rsidRPr="007D47AD">
        <w:rPr>
          <w:rFonts w:asciiTheme="minorHAnsi" w:eastAsia="Cambria" w:hAnsiTheme="minorHAnsi" w:cs="Cambria"/>
          <w:sz w:val="20"/>
          <w:szCs w:val="20"/>
          <w:lang w:val="en-US"/>
        </w:rPr>
        <w:t xml:space="preserve">children and </w:t>
      </w:r>
      <w:r w:rsidR="004E08FB" w:rsidRPr="007D47AD">
        <w:rPr>
          <w:rFonts w:asciiTheme="minorHAnsi" w:eastAsia="Cambria" w:hAnsiTheme="minorHAnsi" w:cs="Cambria"/>
          <w:sz w:val="20"/>
          <w:szCs w:val="20"/>
          <w:lang w:val="en-US"/>
        </w:rPr>
        <w:t>adolescents</w:t>
      </w:r>
      <w:r w:rsidR="008776CE" w:rsidRPr="007D47AD">
        <w:rPr>
          <w:rFonts w:asciiTheme="minorHAnsi" w:eastAsia="Cambria" w:hAnsiTheme="minorHAnsi" w:cs="Cambria"/>
          <w:sz w:val="20"/>
          <w:szCs w:val="20"/>
          <w:lang w:val="en-US"/>
        </w:rPr>
        <w:t xml:space="preserve"> were institutionalized for sexual abuse and 60 for rape.</w:t>
      </w:r>
      <w:r w:rsidR="003A01C2" w:rsidRPr="007D47AD">
        <w:rPr>
          <w:rStyle w:val="FootnoteReference"/>
          <w:rFonts w:asciiTheme="minorHAnsi" w:eastAsia="Cambria" w:hAnsiTheme="minorHAnsi" w:cs="Cambria"/>
          <w:sz w:val="20"/>
          <w:szCs w:val="20"/>
          <w:lang w:val="en-US"/>
        </w:rPr>
        <w:footnoteReference w:id="310"/>
      </w:r>
      <w:r w:rsidR="003A01C2" w:rsidRPr="007D47AD">
        <w:rPr>
          <w:rFonts w:asciiTheme="minorHAnsi" w:eastAsia="Cambria" w:hAnsiTheme="minorHAnsi" w:cs="Cambria"/>
          <w:sz w:val="20"/>
          <w:szCs w:val="20"/>
          <w:lang w:val="en-US"/>
        </w:rPr>
        <w:t xml:space="preserve"> </w:t>
      </w:r>
    </w:p>
    <w:p w:rsidR="003A01C2" w:rsidRPr="007D47AD" w:rsidRDefault="008776CE" w:rsidP="00D57E39">
      <w:pPr>
        <w:numPr>
          <w:ilvl w:val="0"/>
          <w:numId w:val="6"/>
        </w:numPr>
        <w:shd w:val="clear" w:color="auto" w:fill="FFFFFF"/>
        <w:spacing w:after="240" w:line="240" w:lineRule="auto"/>
        <w:ind w:left="0" w:firstLine="720"/>
        <w:jc w:val="both"/>
        <w:rPr>
          <w:rFonts w:asciiTheme="minorHAnsi" w:hAnsiTheme="minorHAnsi"/>
          <w:sz w:val="20"/>
          <w:szCs w:val="20"/>
          <w:lang w:val="en-US"/>
        </w:rPr>
      </w:pPr>
      <w:r w:rsidRPr="007D47AD">
        <w:rPr>
          <w:rFonts w:asciiTheme="minorHAnsi" w:eastAsia="Cambria" w:hAnsiTheme="minorHAnsi" w:cs="Cambria"/>
          <w:sz w:val="20"/>
          <w:szCs w:val="20"/>
          <w:lang w:val="en-US"/>
        </w:rPr>
        <w:t>In addition, the Report also pulls together information on crimes committed agains</w:t>
      </w:r>
      <w:r w:rsidR="0092672F" w:rsidRPr="007D47AD">
        <w:rPr>
          <w:rFonts w:asciiTheme="minorHAnsi" w:eastAsia="Cambria" w:hAnsiTheme="minorHAnsi" w:cs="Cambria"/>
          <w:sz w:val="20"/>
          <w:szCs w:val="20"/>
          <w:lang w:val="en-US"/>
        </w:rPr>
        <w:t>t</w:t>
      </w:r>
      <w:r w:rsidRPr="007D47AD">
        <w:rPr>
          <w:rFonts w:asciiTheme="minorHAnsi" w:eastAsia="Cambria" w:hAnsiTheme="minorHAnsi" w:cs="Cambria"/>
          <w:sz w:val="20"/>
          <w:szCs w:val="20"/>
          <w:lang w:val="en-US"/>
        </w:rPr>
        <w:t xml:space="preserve"> children an</w:t>
      </w:r>
      <w:r w:rsidR="0092672F" w:rsidRPr="007D47AD">
        <w:rPr>
          <w:rFonts w:asciiTheme="minorHAnsi" w:eastAsia="Cambria" w:hAnsiTheme="minorHAnsi" w:cs="Cambria"/>
          <w:sz w:val="20"/>
          <w:szCs w:val="20"/>
          <w:lang w:val="en-US"/>
        </w:rPr>
        <w:t>d</w:t>
      </w:r>
      <w:r w:rsidRPr="007D47AD">
        <w:rPr>
          <w:rFonts w:asciiTheme="minorHAnsi" w:eastAsia="Cambria" w:hAnsiTheme="minorHAnsi" w:cs="Cambria"/>
          <w:sz w:val="20"/>
          <w:szCs w:val="20"/>
          <w:lang w:val="en-US"/>
        </w:rPr>
        <w:t xml:space="preserve"> adolescents in foster </w:t>
      </w:r>
      <w:r w:rsidR="00C64CD9" w:rsidRPr="007D47AD">
        <w:rPr>
          <w:rFonts w:asciiTheme="minorHAnsi" w:eastAsia="Cambria" w:hAnsiTheme="minorHAnsi" w:cs="Cambria"/>
          <w:sz w:val="20"/>
          <w:szCs w:val="20"/>
          <w:lang w:val="en-US"/>
        </w:rPr>
        <w:t xml:space="preserve">care </w:t>
      </w:r>
      <w:r w:rsidRPr="007D47AD">
        <w:rPr>
          <w:rFonts w:asciiTheme="minorHAnsi" w:eastAsia="Cambria" w:hAnsiTheme="minorHAnsi" w:cs="Cambria"/>
          <w:sz w:val="20"/>
          <w:szCs w:val="20"/>
          <w:lang w:val="en-US"/>
        </w:rPr>
        <w:t xml:space="preserve">institutions. In the period studied 201 children and adolescents were affected in the care centers in the states of </w:t>
      </w:r>
      <w:r w:rsidR="003A01C2" w:rsidRPr="007D47AD">
        <w:rPr>
          <w:rFonts w:asciiTheme="minorHAnsi" w:eastAsia="Cambria" w:hAnsiTheme="minorHAnsi" w:cs="Cambria"/>
          <w:sz w:val="20"/>
          <w:szCs w:val="20"/>
          <w:lang w:val="en-US"/>
        </w:rPr>
        <w:t>Jalisco, Sinaloa, Baja California Sur, Coahuila, Guerrero, Zacatecas, Tamaulipas</w:t>
      </w:r>
      <w:r w:rsidRPr="007D47AD">
        <w:rPr>
          <w:rFonts w:asciiTheme="minorHAnsi" w:eastAsia="Cambria" w:hAnsiTheme="minorHAnsi" w:cs="Cambria"/>
          <w:sz w:val="20"/>
          <w:szCs w:val="20"/>
          <w:lang w:val="en-US"/>
        </w:rPr>
        <w:t>, and</w:t>
      </w:r>
      <w:r w:rsidR="003A01C2" w:rsidRPr="007D47AD">
        <w:rPr>
          <w:rFonts w:asciiTheme="minorHAnsi" w:eastAsia="Cambria" w:hAnsiTheme="minorHAnsi" w:cs="Cambria"/>
          <w:sz w:val="20"/>
          <w:szCs w:val="20"/>
          <w:lang w:val="en-US"/>
        </w:rPr>
        <w:t xml:space="preserve"> Colima. </w:t>
      </w:r>
      <w:r w:rsidRPr="007D47AD">
        <w:rPr>
          <w:rFonts w:asciiTheme="minorHAnsi" w:eastAsia="Cambria" w:hAnsiTheme="minorHAnsi" w:cs="Cambria"/>
          <w:sz w:val="20"/>
          <w:szCs w:val="20"/>
          <w:lang w:val="en-US"/>
        </w:rPr>
        <w:t xml:space="preserve">The crimes reported are aggravated sexual abuse, aggravated </w:t>
      </w:r>
      <w:r w:rsidR="00D57E39" w:rsidRPr="007D47AD">
        <w:rPr>
          <w:rFonts w:asciiTheme="minorHAnsi" w:eastAsia="Cambria" w:hAnsiTheme="minorHAnsi" w:cs="Cambria"/>
          <w:sz w:val="20"/>
          <w:szCs w:val="20"/>
          <w:lang w:val="en-US"/>
        </w:rPr>
        <w:t xml:space="preserve">equivalent of rape, </w:t>
      </w:r>
      <w:r w:rsidR="003A01C2" w:rsidRPr="007D47AD">
        <w:rPr>
          <w:rFonts w:asciiTheme="minorHAnsi" w:eastAsia="Cambria" w:hAnsiTheme="minorHAnsi" w:cs="Cambria"/>
          <w:sz w:val="20"/>
          <w:szCs w:val="20"/>
          <w:lang w:val="en-US"/>
        </w:rPr>
        <w:t xml:space="preserve">, </w:t>
      </w:r>
      <w:r w:rsidRPr="007D47AD">
        <w:rPr>
          <w:rFonts w:asciiTheme="minorHAnsi" w:eastAsia="Cambria" w:hAnsiTheme="minorHAnsi" w:cs="Cambria"/>
          <w:sz w:val="20"/>
          <w:szCs w:val="20"/>
          <w:lang w:val="en-US"/>
        </w:rPr>
        <w:t xml:space="preserve">rape, corruption </w:t>
      </w:r>
      <w:r w:rsidRPr="007D47AD">
        <w:rPr>
          <w:rFonts w:asciiTheme="minorHAnsi" w:eastAsia="Cambria" w:hAnsiTheme="minorHAnsi" w:cs="Cambria"/>
          <w:sz w:val="20"/>
          <w:szCs w:val="20"/>
          <w:lang w:val="en-US"/>
        </w:rPr>
        <w:lastRenderedPageBreak/>
        <w:t>of minors</w:t>
      </w:r>
      <w:r w:rsidR="003A01C2" w:rsidRPr="007D47AD">
        <w:rPr>
          <w:rFonts w:asciiTheme="minorHAnsi" w:eastAsia="Cambria" w:hAnsiTheme="minorHAnsi" w:cs="Cambria"/>
          <w:sz w:val="20"/>
          <w:szCs w:val="20"/>
          <w:lang w:val="en-US"/>
        </w:rPr>
        <w:t xml:space="preserve">, </w:t>
      </w:r>
      <w:r w:rsidRPr="007D47AD">
        <w:rPr>
          <w:rFonts w:asciiTheme="minorHAnsi" w:eastAsia="Cambria" w:hAnsiTheme="minorHAnsi" w:cs="Cambria"/>
          <w:sz w:val="20"/>
          <w:szCs w:val="20"/>
          <w:lang w:val="en-US"/>
        </w:rPr>
        <w:t xml:space="preserve">injuries, </w:t>
      </w:r>
      <w:r w:rsidR="00D57E39" w:rsidRPr="007D47AD">
        <w:rPr>
          <w:rFonts w:asciiTheme="minorHAnsi" w:eastAsia="Cambria" w:hAnsiTheme="minorHAnsi" w:cs="Cambria"/>
          <w:sz w:val="20"/>
          <w:szCs w:val="20"/>
          <w:lang w:val="en-US"/>
        </w:rPr>
        <w:t>indecency</w:t>
      </w:r>
      <w:r w:rsidR="003A01C2" w:rsidRPr="007D47AD">
        <w:rPr>
          <w:rFonts w:asciiTheme="minorHAnsi" w:eastAsia="Cambria" w:hAnsiTheme="minorHAnsi" w:cs="Cambria"/>
          <w:sz w:val="20"/>
          <w:szCs w:val="20"/>
          <w:lang w:val="en-US"/>
        </w:rPr>
        <w:t xml:space="preserve">, </w:t>
      </w:r>
      <w:r w:rsidRPr="007D47AD">
        <w:rPr>
          <w:rFonts w:asciiTheme="minorHAnsi" w:eastAsia="Cambria" w:hAnsiTheme="minorHAnsi" w:cs="Cambria"/>
          <w:sz w:val="20"/>
          <w:szCs w:val="20"/>
          <w:lang w:val="en-US"/>
        </w:rPr>
        <w:t>attacks on integrity, among others.</w:t>
      </w:r>
      <w:r w:rsidR="00DA087A" w:rsidRPr="007D47AD">
        <w:rPr>
          <w:rStyle w:val="FootnoteReference"/>
          <w:rFonts w:asciiTheme="minorHAnsi" w:eastAsia="Cambria" w:hAnsiTheme="minorHAnsi" w:cs="Cambria"/>
          <w:sz w:val="20"/>
          <w:szCs w:val="20"/>
          <w:lang w:val="en-US"/>
        </w:rPr>
        <w:footnoteReference w:id="311"/>
      </w:r>
      <w:r w:rsidR="006A7562" w:rsidRPr="007D47AD">
        <w:rPr>
          <w:rFonts w:asciiTheme="minorHAnsi" w:eastAsia="Cambria" w:hAnsiTheme="minorHAnsi" w:cs="Cambria"/>
          <w:sz w:val="20"/>
          <w:szCs w:val="20"/>
          <w:lang w:val="en-US"/>
        </w:rPr>
        <w:t xml:space="preserve"> </w:t>
      </w:r>
      <w:r w:rsidR="00675F8B" w:rsidRPr="007D47AD">
        <w:rPr>
          <w:rFonts w:asciiTheme="minorHAnsi" w:eastAsia="Cambria" w:hAnsiTheme="minorHAnsi" w:cs="Cambria"/>
          <w:sz w:val="20"/>
          <w:szCs w:val="20"/>
          <w:lang w:val="en-US"/>
        </w:rPr>
        <w:t xml:space="preserve">The IACHR does not have information on the status of the investigations of this type of abuse against children and adolescents in the context of processes of total institutionalization or of educational institutions. </w:t>
      </w:r>
    </w:p>
    <w:p w:rsidR="003A01C2" w:rsidRPr="007D47AD" w:rsidRDefault="009E09A7" w:rsidP="002615E7">
      <w:pPr>
        <w:numPr>
          <w:ilvl w:val="0"/>
          <w:numId w:val="6"/>
        </w:numPr>
        <w:shd w:val="clear" w:color="auto" w:fill="FFFFFF"/>
        <w:spacing w:after="240" w:line="240" w:lineRule="auto"/>
        <w:ind w:left="0" w:firstLine="720"/>
        <w:jc w:val="both"/>
        <w:rPr>
          <w:rFonts w:asciiTheme="minorHAnsi" w:eastAsia="Cambria" w:hAnsiTheme="minorHAnsi" w:cs="Cambria"/>
          <w:sz w:val="20"/>
          <w:szCs w:val="20"/>
          <w:lang w:val="en-US"/>
        </w:rPr>
      </w:pPr>
      <w:r w:rsidRPr="007D47AD">
        <w:rPr>
          <w:rFonts w:asciiTheme="minorHAnsi" w:eastAsia="Cambria" w:hAnsiTheme="minorHAnsi" w:cs="Cambria"/>
          <w:sz w:val="20"/>
          <w:szCs w:val="20"/>
          <w:lang w:val="en-US"/>
        </w:rPr>
        <w:t xml:space="preserve">In addition, the IACHR highlights the survey conducted by the </w:t>
      </w:r>
      <w:r w:rsidR="003A01C2" w:rsidRPr="007D47AD">
        <w:rPr>
          <w:rFonts w:asciiTheme="minorHAnsi" w:eastAsia="Cambria" w:hAnsiTheme="minorHAnsi" w:cs="Cambria"/>
          <w:sz w:val="20"/>
          <w:szCs w:val="20"/>
          <w:lang w:val="en-US"/>
        </w:rPr>
        <w:t xml:space="preserve">SIPINNA “OPINNA ¡qué buen plan!” </w:t>
      </w:r>
      <w:r w:rsidRPr="007D47AD">
        <w:rPr>
          <w:rFonts w:asciiTheme="minorHAnsi" w:eastAsia="Cambria" w:hAnsiTheme="minorHAnsi" w:cs="Cambria"/>
          <w:sz w:val="20"/>
          <w:szCs w:val="20"/>
          <w:lang w:val="en-US"/>
        </w:rPr>
        <w:t xml:space="preserve">in which more than 146,000 </w:t>
      </w:r>
      <w:r w:rsidR="004E08FB" w:rsidRPr="007D47AD">
        <w:rPr>
          <w:rFonts w:asciiTheme="minorHAnsi" w:eastAsia="Cambria" w:hAnsiTheme="minorHAnsi" w:cs="Cambria"/>
          <w:sz w:val="20"/>
          <w:szCs w:val="20"/>
          <w:lang w:val="en-US"/>
        </w:rPr>
        <w:t>children</w:t>
      </w:r>
      <w:r w:rsidRPr="007D47AD">
        <w:rPr>
          <w:rFonts w:asciiTheme="minorHAnsi" w:eastAsia="Cambria" w:hAnsiTheme="minorHAnsi" w:cs="Cambria"/>
          <w:sz w:val="20"/>
          <w:szCs w:val="20"/>
          <w:lang w:val="en-US"/>
        </w:rPr>
        <w:t xml:space="preserve"> and adolescents ages 8 to 17 participated, pursuant to the </w:t>
      </w:r>
      <w:r w:rsidR="003A01C2" w:rsidRPr="007D47AD">
        <w:rPr>
          <w:rFonts w:asciiTheme="minorHAnsi" w:eastAsia="Cambria" w:hAnsiTheme="minorHAnsi" w:cs="Cambria"/>
          <w:sz w:val="20"/>
          <w:szCs w:val="20"/>
          <w:lang w:val="en-US"/>
        </w:rPr>
        <w:t xml:space="preserve">General </w:t>
      </w:r>
      <w:r w:rsidRPr="007D47AD">
        <w:rPr>
          <w:rFonts w:asciiTheme="minorHAnsi" w:eastAsia="Cambria" w:hAnsiTheme="minorHAnsi" w:cs="Cambria"/>
          <w:sz w:val="20"/>
          <w:szCs w:val="20"/>
          <w:lang w:val="en-US"/>
        </w:rPr>
        <w:t xml:space="preserve">Law on Children and Adolescents, which orders promoting the citizen participation of children and adolescents in matters that pertain to them. The proposals of children and adolescents for eradicating violence include the following: guarantee security for children and adolescents, mainly in the streets, schools, and their neighborhoods; improve lighting in the streets, parks, schools, and other common spaces for children and </w:t>
      </w:r>
      <w:r w:rsidR="004E08FB" w:rsidRPr="007D47AD">
        <w:rPr>
          <w:rFonts w:asciiTheme="minorHAnsi" w:eastAsia="Cambria" w:hAnsiTheme="minorHAnsi" w:cs="Cambria"/>
          <w:sz w:val="20"/>
          <w:szCs w:val="20"/>
          <w:lang w:val="en-US"/>
        </w:rPr>
        <w:t>adolescents</w:t>
      </w:r>
      <w:r w:rsidRPr="007D47AD">
        <w:rPr>
          <w:rFonts w:asciiTheme="minorHAnsi" w:eastAsia="Cambria" w:hAnsiTheme="minorHAnsi" w:cs="Cambria"/>
          <w:sz w:val="20"/>
          <w:szCs w:val="20"/>
          <w:lang w:val="en-US"/>
        </w:rPr>
        <w:t xml:space="preserve">; promote places where </w:t>
      </w:r>
      <w:r w:rsidR="004E08FB" w:rsidRPr="007D47AD">
        <w:rPr>
          <w:rFonts w:asciiTheme="minorHAnsi" w:eastAsia="Cambria" w:hAnsiTheme="minorHAnsi" w:cs="Cambria"/>
          <w:sz w:val="20"/>
          <w:szCs w:val="20"/>
          <w:lang w:val="en-US"/>
        </w:rPr>
        <w:t>adolescents</w:t>
      </w:r>
      <w:r w:rsidRPr="007D47AD">
        <w:rPr>
          <w:rFonts w:asciiTheme="minorHAnsi" w:eastAsia="Cambria" w:hAnsiTheme="minorHAnsi" w:cs="Cambria"/>
          <w:sz w:val="20"/>
          <w:szCs w:val="20"/>
          <w:lang w:val="en-US"/>
        </w:rPr>
        <w:t xml:space="preserve"> and youths can come together</w:t>
      </w:r>
      <w:r w:rsidR="00200F60" w:rsidRPr="007D47AD">
        <w:rPr>
          <w:rFonts w:asciiTheme="minorHAnsi" w:eastAsia="Cambria" w:hAnsiTheme="minorHAnsi" w:cs="Cambria"/>
          <w:sz w:val="20"/>
          <w:szCs w:val="20"/>
          <w:lang w:val="en-US"/>
        </w:rPr>
        <w:t>;</w:t>
      </w:r>
      <w:r w:rsidR="003A01C2" w:rsidRPr="007D47AD">
        <w:rPr>
          <w:rFonts w:asciiTheme="minorHAnsi" w:eastAsia="Cambria" w:hAnsiTheme="minorHAnsi" w:cs="Cambria"/>
          <w:sz w:val="20"/>
          <w:szCs w:val="20"/>
          <w:lang w:val="en-US"/>
        </w:rPr>
        <w:t xml:space="preserve"> </w:t>
      </w:r>
      <w:r w:rsidRPr="007D47AD">
        <w:rPr>
          <w:rFonts w:asciiTheme="minorHAnsi" w:eastAsia="Cambria" w:hAnsiTheme="minorHAnsi" w:cs="Cambria"/>
          <w:sz w:val="20"/>
          <w:szCs w:val="20"/>
          <w:lang w:val="en-US"/>
        </w:rPr>
        <w:t>not punish children and adolescents with physical and verbal violence</w:t>
      </w:r>
      <w:r w:rsidR="00200F60" w:rsidRPr="007D47AD">
        <w:rPr>
          <w:rFonts w:asciiTheme="minorHAnsi" w:eastAsia="Cambria" w:hAnsiTheme="minorHAnsi" w:cs="Cambria"/>
          <w:sz w:val="20"/>
          <w:szCs w:val="20"/>
          <w:lang w:val="en-US"/>
        </w:rPr>
        <w:t xml:space="preserve">; </w:t>
      </w:r>
      <w:r w:rsidRPr="007D47AD">
        <w:rPr>
          <w:rFonts w:asciiTheme="minorHAnsi" w:eastAsia="Cambria" w:hAnsiTheme="minorHAnsi" w:cs="Cambria"/>
          <w:sz w:val="20"/>
          <w:szCs w:val="20"/>
          <w:lang w:val="en-US"/>
        </w:rPr>
        <w:t>end corruption; teach honesty starting with children; promote safe public transportation</w:t>
      </w:r>
      <w:r w:rsidR="00200F60" w:rsidRPr="007D47AD">
        <w:rPr>
          <w:rFonts w:asciiTheme="minorHAnsi" w:eastAsia="Cambria" w:hAnsiTheme="minorHAnsi" w:cs="Cambria"/>
          <w:sz w:val="20"/>
          <w:szCs w:val="20"/>
          <w:lang w:val="en-US"/>
        </w:rPr>
        <w:t>;</w:t>
      </w:r>
      <w:r w:rsidR="003A01C2" w:rsidRPr="007D47AD">
        <w:rPr>
          <w:rFonts w:asciiTheme="minorHAnsi" w:eastAsia="Cambria" w:hAnsiTheme="minorHAnsi" w:cs="Cambria"/>
          <w:sz w:val="20"/>
          <w:szCs w:val="20"/>
          <w:lang w:val="en-US"/>
        </w:rPr>
        <w:t xml:space="preserve"> </w:t>
      </w:r>
      <w:r w:rsidRPr="007D47AD">
        <w:rPr>
          <w:rFonts w:asciiTheme="minorHAnsi" w:eastAsia="Cambria" w:hAnsiTheme="minorHAnsi" w:cs="Cambria"/>
          <w:sz w:val="20"/>
          <w:szCs w:val="20"/>
          <w:lang w:val="en-US"/>
        </w:rPr>
        <w:t xml:space="preserve">prevent the stealing of children, especially girls; </w:t>
      </w:r>
      <w:r w:rsidR="00D91B0F" w:rsidRPr="007D47AD">
        <w:rPr>
          <w:rFonts w:asciiTheme="minorHAnsi" w:eastAsia="Cambria" w:hAnsiTheme="minorHAnsi" w:cs="Cambria"/>
          <w:sz w:val="20"/>
          <w:szCs w:val="20"/>
          <w:lang w:val="en-US"/>
        </w:rPr>
        <w:t xml:space="preserve">treat </w:t>
      </w:r>
      <w:r w:rsidR="0092672F" w:rsidRPr="007D47AD">
        <w:rPr>
          <w:rFonts w:asciiTheme="minorHAnsi" w:eastAsia="Cambria" w:hAnsiTheme="minorHAnsi" w:cs="Cambria"/>
          <w:sz w:val="20"/>
          <w:szCs w:val="20"/>
          <w:lang w:val="en-US"/>
        </w:rPr>
        <w:t xml:space="preserve">children </w:t>
      </w:r>
      <w:r w:rsidR="00D91B0F" w:rsidRPr="007D47AD">
        <w:rPr>
          <w:rFonts w:asciiTheme="minorHAnsi" w:eastAsia="Cambria" w:hAnsiTheme="minorHAnsi" w:cs="Cambria"/>
          <w:sz w:val="20"/>
          <w:szCs w:val="20"/>
          <w:lang w:val="en-US"/>
        </w:rPr>
        <w:t>well even though there are tensions, work with and provide resources to the families</w:t>
      </w:r>
      <w:r w:rsidR="003A01C2" w:rsidRPr="007D47AD">
        <w:rPr>
          <w:rFonts w:asciiTheme="minorHAnsi" w:eastAsia="Cambria" w:hAnsiTheme="minorHAnsi" w:cs="Cambria"/>
          <w:sz w:val="20"/>
          <w:szCs w:val="20"/>
          <w:lang w:val="en-US"/>
        </w:rPr>
        <w:t xml:space="preserve">, </w:t>
      </w:r>
      <w:r w:rsidR="00D91B0F" w:rsidRPr="007D47AD">
        <w:rPr>
          <w:rFonts w:asciiTheme="minorHAnsi" w:eastAsia="Cambria" w:hAnsiTheme="minorHAnsi" w:cs="Cambria"/>
          <w:sz w:val="20"/>
          <w:szCs w:val="20"/>
          <w:lang w:val="en-US"/>
        </w:rPr>
        <w:t>so they won’t be angry and tense. The IACHR welcomes the effort to go straight to children and adoles</w:t>
      </w:r>
      <w:r w:rsidR="00F30B1F" w:rsidRPr="007D47AD">
        <w:rPr>
          <w:rFonts w:asciiTheme="minorHAnsi" w:eastAsia="Cambria" w:hAnsiTheme="minorHAnsi" w:cs="Cambria"/>
          <w:sz w:val="20"/>
          <w:szCs w:val="20"/>
          <w:lang w:val="en-US"/>
        </w:rPr>
        <w:t>c</w:t>
      </w:r>
      <w:r w:rsidR="00D91B0F" w:rsidRPr="007D47AD">
        <w:rPr>
          <w:rFonts w:asciiTheme="minorHAnsi" w:eastAsia="Cambria" w:hAnsiTheme="minorHAnsi" w:cs="Cambria"/>
          <w:sz w:val="20"/>
          <w:szCs w:val="20"/>
          <w:lang w:val="en-US"/>
        </w:rPr>
        <w:t xml:space="preserve">ents for their opinions, and draws attention to the seriousness with which they must be taken, in light of the legal mandate and the </w:t>
      </w:r>
      <w:r w:rsidR="00F30B1F" w:rsidRPr="007D47AD">
        <w:rPr>
          <w:rFonts w:asciiTheme="minorHAnsi" w:eastAsia="Cambria" w:hAnsiTheme="minorHAnsi" w:cs="Cambria"/>
          <w:sz w:val="20"/>
          <w:szCs w:val="20"/>
          <w:lang w:val="en-US"/>
        </w:rPr>
        <w:t xml:space="preserve">design </w:t>
      </w:r>
      <w:r w:rsidR="00D91B0F" w:rsidRPr="007D47AD">
        <w:rPr>
          <w:rFonts w:asciiTheme="minorHAnsi" w:eastAsia="Cambria" w:hAnsiTheme="minorHAnsi" w:cs="Cambria"/>
          <w:sz w:val="20"/>
          <w:szCs w:val="20"/>
          <w:lang w:val="en-US"/>
        </w:rPr>
        <w:t>of public policies that consider them as persons with rights, prioritizing their needs.</w:t>
      </w:r>
      <w:r w:rsidR="003A01C2" w:rsidRPr="007D47AD">
        <w:rPr>
          <w:rStyle w:val="FootnoteReference"/>
          <w:rFonts w:asciiTheme="minorHAnsi" w:eastAsia="Cambria" w:hAnsiTheme="minorHAnsi" w:cs="Cambria"/>
          <w:sz w:val="20"/>
          <w:szCs w:val="20"/>
          <w:lang w:val="en-US"/>
        </w:rPr>
        <w:footnoteReference w:id="312"/>
      </w:r>
      <w:r w:rsidR="003A01C2" w:rsidRPr="007D47AD">
        <w:rPr>
          <w:rFonts w:asciiTheme="minorHAnsi" w:eastAsia="Cambria" w:hAnsiTheme="minorHAnsi" w:cs="Cambria"/>
          <w:sz w:val="20"/>
          <w:szCs w:val="20"/>
          <w:lang w:val="en-US"/>
        </w:rPr>
        <w:t xml:space="preserve"> </w:t>
      </w:r>
    </w:p>
    <w:p w:rsidR="003A1482" w:rsidRPr="007D47AD" w:rsidRDefault="001C16AF" w:rsidP="002615E7">
      <w:pPr>
        <w:numPr>
          <w:ilvl w:val="0"/>
          <w:numId w:val="6"/>
        </w:numPr>
        <w:shd w:val="clear" w:color="auto" w:fill="FFFFFF"/>
        <w:spacing w:after="240" w:line="240" w:lineRule="auto"/>
        <w:ind w:left="0" w:firstLine="720"/>
        <w:jc w:val="both"/>
        <w:rPr>
          <w:rFonts w:asciiTheme="minorHAnsi" w:eastAsia="Cambria" w:hAnsiTheme="minorHAnsi" w:cs="Cambria"/>
          <w:sz w:val="20"/>
          <w:szCs w:val="20"/>
          <w:lang w:val="en-US"/>
        </w:rPr>
      </w:pPr>
      <w:r w:rsidRPr="007D47AD">
        <w:rPr>
          <w:rFonts w:asciiTheme="minorHAnsi" w:eastAsia="Cambria" w:hAnsiTheme="minorHAnsi" w:cs="Cambria"/>
          <w:sz w:val="20"/>
          <w:szCs w:val="20"/>
          <w:lang w:val="en-US"/>
        </w:rPr>
        <w:t>Finally, the Commission expresses concern about the systematic obstacles faced by Afro-descendant children in Mexico as a result of structural discrimination and institutional racism that undermines their access and assurance of their economic, social, cultural and environmental rights. According to INEGI, in the municipalities with the largest Afro-Mexican presence, 7.7 per cent of adolescents of Afro-descendants between 12 and 14 years old do not attend school, and 33.3 per cent of young people between 15 and 18 years old do not attend school either. Civil society organizations have called on the Mexican State to comply with the commitments established in the United Nations International Decade for People of African Descent (2015-2024)</w:t>
      </w:r>
      <w:r w:rsidR="003A1482" w:rsidRPr="007D47AD">
        <w:rPr>
          <w:rFonts w:asciiTheme="minorHAnsi" w:eastAsia="Cambria" w:hAnsiTheme="minorHAnsi" w:cs="Cambria"/>
          <w:sz w:val="20"/>
          <w:szCs w:val="20"/>
          <w:vertAlign w:val="superscript"/>
          <w:lang w:val="es-US"/>
        </w:rPr>
        <w:footnoteReference w:id="313"/>
      </w:r>
      <w:r w:rsidR="003A1482" w:rsidRPr="007D47AD">
        <w:rPr>
          <w:rFonts w:asciiTheme="minorHAnsi" w:eastAsia="Cambria" w:hAnsiTheme="minorHAnsi" w:cs="Cambria"/>
          <w:sz w:val="20"/>
          <w:szCs w:val="20"/>
          <w:lang w:val="en-US"/>
        </w:rPr>
        <w:t xml:space="preserve">, </w:t>
      </w:r>
      <w:r w:rsidR="002615E7" w:rsidRPr="007D47AD">
        <w:rPr>
          <w:rFonts w:asciiTheme="minorHAnsi" w:eastAsia="Cambria" w:hAnsiTheme="minorHAnsi" w:cs="Cambria"/>
          <w:sz w:val="20"/>
          <w:szCs w:val="20"/>
          <w:lang w:val="en-US"/>
        </w:rPr>
        <w:t>mainly with regard to free primary education and access to all levels of quality public education for Afro-descendants children; as well as the incorporation of a gender perspective in public policies taking into account the specific needs of Afro-descendant women and girls</w:t>
      </w:r>
      <w:r w:rsidR="003A1482" w:rsidRPr="007D47AD">
        <w:rPr>
          <w:rFonts w:asciiTheme="minorHAnsi" w:eastAsia="Cambria" w:hAnsiTheme="minorHAnsi" w:cs="Cambria"/>
          <w:sz w:val="20"/>
          <w:szCs w:val="20"/>
          <w:vertAlign w:val="superscript"/>
          <w:lang w:val="es-US"/>
        </w:rPr>
        <w:footnoteReference w:id="314"/>
      </w:r>
      <w:r w:rsidR="003A1482" w:rsidRPr="007D47AD">
        <w:rPr>
          <w:rFonts w:asciiTheme="minorHAnsi" w:eastAsia="Cambria" w:hAnsiTheme="minorHAnsi" w:cs="Cambria"/>
          <w:sz w:val="20"/>
          <w:szCs w:val="20"/>
          <w:lang w:val="en-US"/>
        </w:rPr>
        <w:t>.</w:t>
      </w:r>
    </w:p>
    <w:p w:rsidR="003A01C2" w:rsidRPr="007D47AD" w:rsidRDefault="00D91B0F" w:rsidP="003A01C2">
      <w:pPr>
        <w:numPr>
          <w:ilvl w:val="0"/>
          <w:numId w:val="6"/>
        </w:numPr>
        <w:shd w:val="clear" w:color="auto" w:fill="FFFFFF"/>
        <w:spacing w:after="240" w:line="240" w:lineRule="auto"/>
        <w:ind w:left="0" w:firstLine="709"/>
        <w:jc w:val="both"/>
        <w:rPr>
          <w:rFonts w:asciiTheme="minorHAnsi" w:hAnsiTheme="minorHAnsi"/>
          <w:sz w:val="20"/>
          <w:szCs w:val="20"/>
          <w:lang w:val="en-US"/>
        </w:rPr>
      </w:pPr>
      <w:r w:rsidRPr="007D47AD">
        <w:rPr>
          <w:rFonts w:asciiTheme="minorHAnsi" w:eastAsia="Cambria" w:hAnsiTheme="minorHAnsi" w:cs="Cambria"/>
          <w:sz w:val="20"/>
          <w:szCs w:val="20"/>
          <w:lang w:val="en-US"/>
        </w:rPr>
        <w:t xml:space="preserve">In view of the foregoing, the IACHR takes note that recommendation continues to meet with </w:t>
      </w:r>
      <w:r w:rsidR="003A01C2" w:rsidRPr="007D47AD">
        <w:rPr>
          <w:rFonts w:asciiTheme="minorHAnsi" w:eastAsia="Cambria" w:hAnsiTheme="minorHAnsi" w:cs="Cambria"/>
          <w:sz w:val="20"/>
          <w:szCs w:val="20"/>
          <w:lang w:val="en-US"/>
        </w:rPr>
        <w:t>par</w:t>
      </w:r>
      <w:r w:rsidRPr="007D47AD">
        <w:rPr>
          <w:rFonts w:asciiTheme="minorHAnsi" w:eastAsia="Cambria" w:hAnsiTheme="minorHAnsi" w:cs="Cambria"/>
          <w:sz w:val="20"/>
          <w:szCs w:val="20"/>
          <w:lang w:val="en-US"/>
        </w:rPr>
        <w:t>t</w:t>
      </w:r>
      <w:r w:rsidR="003A01C2" w:rsidRPr="007D47AD">
        <w:rPr>
          <w:rFonts w:asciiTheme="minorHAnsi" w:eastAsia="Cambria" w:hAnsiTheme="minorHAnsi" w:cs="Cambria"/>
          <w:sz w:val="20"/>
          <w:szCs w:val="20"/>
          <w:lang w:val="en-US"/>
        </w:rPr>
        <w:t>ial su</w:t>
      </w:r>
      <w:r w:rsidRPr="007D47AD">
        <w:rPr>
          <w:rFonts w:asciiTheme="minorHAnsi" w:eastAsia="Cambria" w:hAnsiTheme="minorHAnsi" w:cs="Cambria"/>
          <w:sz w:val="20"/>
          <w:szCs w:val="20"/>
          <w:lang w:val="en-US"/>
        </w:rPr>
        <w:t>b</w:t>
      </w:r>
      <w:r w:rsidR="003A01C2" w:rsidRPr="007D47AD">
        <w:rPr>
          <w:rFonts w:asciiTheme="minorHAnsi" w:eastAsia="Cambria" w:hAnsiTheme="minorHAnsi" w:cs="Cambria"/>
          <w:sz w:val="20"/>
          <w:szCs w:val="20"/>
          <w:lang w:val="en-US"/>
        </w:rPr>
        <w:t>stan</w:t>
      </w:r>
      <w:r w:rsidRPr="007D47AD">
        <w:rPr>
          <w:rFonts w:asciiTheme="minorHAnsi" w:eastAsia="Cambria" w:hAnsiTheme="minorHAnsi" w:cs="Cambria"/>
          <w:sz w:val="20"/>
          <w:szCs w:val="20"/>
          <w:lang w:val="en-US"/>
        </w:rPr>
        <w:t>t</w:t>
      </w:r>
      <w:r w:rsidR="003A01C2" w:rsidRPr="007D47AD">
        <w:rPr>
          <w:rFonts w:asciiTheme="minorHAnsi" w:eastAsia="Cambria" w:hAnsiTheme="minorHAnsi" w:cs="Cambria"/>
          <w:sz w:val="20"/>
          <w:szCs w:val="20"/>
          <w:lang w:val="en-US"/>
        </w:rPr>
        <w:t>ia</w:t>
      </w:r>
      <w:r w:rsidRPr="007D47AD">
        <w:rPr>
          <w:rFonts w:asciiTheme="minorHAnsi" w:eastAsia="Cambria" w:hAnsiTheme="minorHAnsi" w:cs="Cambria"/>
          <w:sz w:val="20"/>
          <w:szCs w:val="20"/>
          <w:lang w:val="en-US"/>
        </w:rPr>
        <w:t>l compliance</w:t>
      </w:r>
      <w:r w:rsidR="003A01C2" w:rsidRPr="007D47AD">
        <w:rPr>
          <w:rFonts w:asciiTheme="minorHAnsi" w:eastAsia="Cambria" w:hAnsiTheme="minorHAnsi" w:cs="Cambria"/>
          <w:sz w:val="20"/>
          <w:szCs w:val="20"/>
          <w:lang w:val="en-US"/>
        </w:rPr>
        <w:t xml:space="preserve">, </w:t>
      </w:r>
      <w:r w:rsidRPr="007D47AD">
        <w:rPr>
          <w:rFonts w:asciiTheme="minorHAnsi" w:eastAsia="Cambria" w:hAnsiTheme="minorHAnsi" w:cs="Cambria"/>
          <w:sz w:val="20"/>
          <w:szCs w:val="20"/>
          <w:lang w:val="en-US"/>
        </w:rPr>
        <w:t>and notes the measures adopted accordingly. In this regard, the Commission reiterates especially the need to implement and strengthen measures to carry out the o</w:t>
      </w:r>
      <w:r w:rsidR="00901176" w:rsidRPr="007D47AD">
        <w:rPr>
          <w:rFonts w:asciiTheme="minorHAnsi" w:eastAsia="Cambria" w:hAnsiTheme="minorHAnsi" w:cs="Cambria"/>
          <w:sz w:val="20"/>
          <w:szCs w:val="20"/>
          <w:lang w:val="en-US"/>
        </w:rPr>
        <w:t xml:space="preserve">bligations to prevent, punish, </w:t>
      </w:r>
      <w:r w:rsidRPr="007D47AD">
        <w:rPr>
          <w:rFonts w:asciiTheme="minorHAnsi" w:eastAsia="Cambria" w:hAnsiTheme="minorHAnsi" w:cs="Cambria"/>
          <w:sz w:val="20"/>
          <w:szCs w:val="20"/>
          <w:lang w:val="en-US"/>
        </w:rPr>
        <w:t xml:space="preserve">investigate, and eradicate violence </w:t>
      </w:r>
      <w:r w:rsidR="003A01C2" w:rsidRPr="007D47AD">
        <w:rPr>
          <w:rFonts w:asciiTheme="minorHAnsi" w:eastAsia="Cambria" w:hAnsiTheme="minorHAnsi" w:cs="Cambria"/>
          <w:sz w:val="20"/>
          <w:szCs w:val="20"/>
          <w:lang w:val="en-US"/>
        </w:rPr>
        <w:t>perpetra</w:t>
      </w:r>
      <w:r w:rsidRPr="007D47AD">
        <w:rPr>
          <w:rFonts w:asciiTheme="minorHAnsi" w:eastAsia="Cambria" w:hAnsiTheme="minorHAnsi" w:cs="Cambria"/>
          <w:sz w:val="20"/>
          <w:szCs w:val="20"/>
          <w:lang w:val="en-US"/>
        </w:rPr>
        <w:t xml:space="preserve">ted against children and adolescents, as well as to make reparation for the violations of human rights and considering the corresponding aggravating factors given the age of the victim, and pay special attention to presenting specific information on this subject. </w:t>
      </w:r>
    </w:p>
    <w:p w:rsidR="009C095D" w:rsidRPr="007D47AD" w:rsidRDefault="00D91B0F" w:rsidP="00E472A2">
      <w:pPr>
        <w:pStyle w:val="Heading3"/>
        <w:numPr>
          <w:ilvl w:val="2"/>
          <w:numId w:val="7"/>
        </w:numPr>
        <w:shd w:val="clear" w:color="auto" w:fill="auto"/>
        <w:spacing w:before="0"/>
        <w:ind w:left="1440" w:hanging="720"/>
        <w:rPr>
          <w:rFonts w:asciiTheme="minorHAnsi" w:hAnsiTheme="minorHAnsi"/>
          <w:sz w:val="20"/>
          <w:szCs w:val="20"/>
          <w:lang w:val="en-US"/>
        </w:rPr>
      </w:pPr>
      <w:r w:rsidRPr="007D47AD">
        <w:rPr>
          <w:rFonts w:asciiTheme="minorHAnsi" w:hAnsiTheme="minorHAnsi"/>
          <w:sz w:val="20"/>
          <w:szCs w:val="20"/>
          <w:lang w:val="en-US"/>
        </w:rPr>
        <w:t xml:space="preserve">Indigenous peoples </w:t>
      </w:r>
    </w:p>
    <w:p w:rsidR="009C095D" w:rsidRPr="007D47AD" w:rsidRDefault="009C095D" w:rsidP="00E472A2">
      <w:pPr>
        <w:pStyle w:val="Numberedparagraphs"/>
        <w:numPr>
          <w:ilvl w:val="0"/>
          <w:numId w:val="18"/>
        </w:numPr>
        <w:shd w:val="clear" w:color="auto" w:fill="D9D9D9"/>
        <w:spacing w:after="0"/>
        <w:ind w:left="1440" w:hanging="720"/>
        <w:rPr>
          <w:rFonts w:asciiTheme="minorHAnsi" w:hAnsiTheme="minorHAnsi"/>
          <w:lang w:val="en-US"/>
        </w:rPr>
      </w:pPr>
      <w:r w:rsidRPr="007D47AD">
        <w:rPr>
          <w:rFonts w:asciiTheme="minorHAnsi" w:hAnsiTheme="minorHAnsi"/>
          <w:lang w:val="en-US"/>
        </w:rPr>
        <w:t xml:space="preserve">Adopt </w:t>
      </w:r>
      <w:r w:rsidR="003D451E" w:rsidRPr="007D47AD">
        <w:rPr>
          <w:rFonts w:asciiTheme="minorHAnsi" w:hAnsiTheme="minorHAnsi"/>
          <w:lang w:val="en-US"/>
        </w:rPr>
        <w:t>measures to ensure that a culturally adequate perspective, which takes into account the collective nature of indigenous peoples and communities, is considered when they or their members are victims of human rights violations</w:t>
      </w:r>
      <w:r w:rsidRPr="007D47AD">
        <w:rPr>
          <w:rFonts w:asciiTheme="minorHAnsi" w:hAnsiTheme="minorHAnsi"/>
          <w:lang w:val="en-US"/>
        </w:rPr>
        <w:t xml:space="preserve">. </w:t>
      </w:r>
    </w:p>
    <w:p w:rsidR="009C095D" w:rsidRPr="007D47AD" w:rsidRDefault="009C095D" w:rsidP="00E472A2">
      <w:pPr>
        <w:pStyle w:val="Numberedparagraphs"/>
        <w:numPr>
          <w:ilvl w:val="0"/>
          <w:numId w:val="18"/>
        </w:numPr>
        <w:shd w:val="clear" w:color="auto" w:fill="D9D9D9"/>
        <w:spacing w:after="0"/>
        <w:ind w:left="1440" w:hanging="720"/>
        <w:rPr>
          <w:rFonts w:asciiTheme="minorHAnsi" w:hAnsiTheme="minorHAnsi"/>
          <w:lang w:val="en-US"/>
        </w:rPr>
      </w:pPr>
      <w:r w:rsidRPr="007D47AD">
        <w:rPr>
          <w:rFonts w:asciiTheme="minorHAnsi" w:hAnsiTheme="minorHAnsi"/>
          <w:lang w:val="en-US"/>
        </w:rPr>
        <w:t>G</w:t>
      </w:r>
      <w:r w:rsidR="003D451E" w:rsidRPr="007D47AD">
        <w:rPr>
          <w:rFonts w:asciiTheme="minorHAnsi" w:hAnsiTheme="minorHAnsi"/>
          <w:lang w:val="en-US"/>
        </w:rPr>
        <w:t>u</w:t>
      </w:r>
      <w:r w:rsidRPr="007D47AD">
        <w:rPr>
          <w:rFonts w:asciiTheme="minorHAnsi" w:hAnsiTheme="minorHAnsi"/>
          <w:lang w:val="en-US"/>
        </w:rPr>
        <w:t>arant</w:t>
      </w:r>
      <w:r w:rsidR="003D451E" w:rsidRPr="007D47AD">
        <w:rPr>
          <w:rFonts w:asciiTheme="minorHAnsi" w:hAnsiTheme="minorHAnsi"/>
          <w:lang w:val="en-US"/>
        </w:rPr>
        <w:t>ee the availability of translators throughout the country and at all levels of government so that indigenous peoples and their members may have access to justice when they so require it</w:t>
      </w:r>
      <w:r w:rsidRPr="007D47AD">
        <w:rPr>
          <w:rFonts w:asciiTheme="minorHAnsi" w:hAnsiTheme="minorHAnsi"/>
          <w:lang w:val="en-US"/>
        </w:rPr>
        <w:t>.</w:t>
      </w:r>
    </w:p>
    <w:p w:rsidR="009C095D" w:rsidRPr="007D47AD" w:rsidRDefault="003D451E" w:rsidP="00E472A2">
      <w:pPr>
        <w:pStyle w:val="Numberedparagraphs"/>
        <w:numPr>
          <w:ilvl w:val="0"/>
          <w:numId w:val="18"/>
        </w:numPr>
        <w:shd w:val="clear" w:color="auto" w:fill="D9D9D9"/>
        <w:spacing w:after="0"/>
        <w:ind w:left="1440" w:hanging="720"/>
        <w:rPr>
          <w:rFonts w:asciiTheme="minorHAnsi" w:hAnsiTheme="minorHAnsi"/>
          <w:lang w:val="en-US"/>
        </w:rPr>
      </w:pPr>
      <w:r w:rsidRPr="007D47AD">
        <w:rPr>
          <w:rFonts w:asciiTheme="minorHAnsi" w:hAnsiTheme="minorHAnsi"/>
          <w:lang w:val="en-US"/>
        </w:rPr>
        <w:t xml:space="preserve">Adopt necessary measures to carry out free, prior and informed consultations on projects that affect their lands </w:t>
      </w:r>
    </w:p>
    <w:p w:rsidR="009C095D" w:rsidRPr="007D47AD" w:rsidRDefault="009C095D" w:rsidP="009C095D">
      <w:pPr>
        <w:pStyle w:val="Numberedparagraphs"/>
        <w:numPr>
          <w:ilvl w:val="0"/>
          <w:numId w:val="0"/>
        </w:numPr>
        <w:shd w:val="clear" w:color="auto" w:fill="FFFFFF"/>
        <w:spacing w:after="0"/>
        <w:ind w:left="1440"/>
        <w:rPr>
          <w:rFonts w:asciiTheme="minorHAnsi" w:hAnsiTheme="minorHAnsi"/>
          <w:lang w:val="en-US"/>
        </w:rPr>
      </w:pPr>
    </w:p>
    <w:p w:rsidR="009C095D" w:rsidRPr="007D47AD" w:rsidRDefault="00D91B0F" w:rsidP="00775C40">
      <w:pPr>
        <w:numPr>
          <w:ilvl w:val="0"/>
          <w:numId w:val="6"/>
        </w:numPr>
        <w:shd w:val="clear" w:color="auto" w:fill="FFFFFF"/>
        <w:spacing w:after="240" w:line="240" w:lineRule="auto"/>
        <w:ind w:left="0" w:firstLine="709"/>
        <w:jc w:val="both"/>
        <w:rPr>
          <w:rFonts w:asciiTheme="minorHAnsi" w:hAnsiTheme="minorHAnsi"/>
          <w:sz w:val="20"/>
          <w:szCs w:val="20"/>
          <w:lang w:val="en-US"/>
        </w:rPr>
      </w:pPr>
      <w:r w:rsidRPr="007D47AD">
        <w:rPr>
          <w:rFonts w:asciiTheme="minorHAnsi" w:hAnsiTheme="minorHAnsi"/>
          <w:sz w:val="20"/>
          <w:szCs w:val="20"/>
          <w:lang w:val="en-US"/>
        </w:rPr>
        <w:lastRenderedPageBreak/>
        <w:t xml:space="preserve">As regards the recommendation to </w:t>
      </w:r>
      <w:r w:rsidR="009C095D" w:rsidRPr="007D47AD">
        <w:rPr>
          <w:rFonts w:asciiTheme="minorHAnsi" w:hAnsiTheme="minorHAnsi"/>
          <w:b/>
          <w:sz w:val="20"/>
          <w:szCs w:val="20"/>
          <w:lang w:val="en-US"/>
        </w:rPr>
        <w:t xml:space="preserve">adopt </w:t>
      </w:r>
      <w:r w:rsidR="003D451E" w:rsidRPr="007D47AD">
        <w:rPr>
          <w:rFonts w:asciiTheme="minorHAnsi" w:hAnsiTheme="minorHAnsi"/>
          <w:b/>
          <w:sz w:val="20"/>
          <w:szCs w:val="20"/>
          <w:lang w:val="en-US"/>
        </w:rPr>
        <w:t>culturally appropriate measures in the event of human rights violations</w:t>
      </w:r>
      <w:r w:rsidR="009C095D" w:rsidRPr="007D47AD">
        <w:rPr>
          <w:rFonts w:asciiTheme="minorHAnsi" w:hAnsiTheme="minorHAnsi"/>
          <w:b/>
          <w:sz w:val="20"/>
          <w:szCs w:val="20"/>
          <w:lang w:val="en-US"/>
        </w:rPr>
        <w:t xml:space="preserve">, </w:t>
      </w:r>
      <w:r w:rsidR="00FA2D5E" w:rsidRPr="007D47AD">
        <w:rPr>
          <w:rFonts w:asciiTheme="minorHAnsi" w:hAnsiTheme="minorHAnsi"/>
          <w:sz w:val="20"/>
          <w:szCs w:val="20"/>
          <w:lang w:val="en-US"/>
        </w:rPr>
        <w:t>the State reported that based on an assessment done with a gender perspective, and with a differential and specialized approach regarding the contexts of victimization that compromise, impair, and impede the exercise of the right</w:t>
      </w:r>
      <w:r w:rsidR="00F30B1F" w:rsidRPr="007D47AD">
        <w:rPr>
          <w:rFonts w:asciiTheme="minorHAnsi" w:hAnsiTheme="minorHAnsi"/>
          <w:sz w:val="20"/>
          <w:szCs w:val="20"/>
          <w:lang w:val="en-US"/>
        </w:rPr>
        <w:t>s</w:t>
      </w:r>
      <w:r w:rsidR="00FA2D5E" w:rsidRPr="007D47AD">
        <w:rPr>
          <w:rFonts w:asciiTheme="minorHAnsi" w:hAnsiTheme="minorHAnsi"/>
          <w:sz w:val="20"/>
          <w:szCs w:val="20"/>
          <w:lang w:val="en-US"/>
        </w:rPr>
        <w:t xml:space="preserve"> of indigenous persons and peoples, in February 2019 the </w:t>
      </w:r>
      <w:r w:rsidR="002A48B9" w:rsidRPr="007D47AD">
        <w:rPr>
          <w:rFonts w:asciiTheme="minorHAnsi" w:hAnsiTheme="minorHAnsi"/>
          <w:sz w:val="20"/>
          <w:szCs w:val="20"/>
          <w:lang w:val="en-US"/>
        </w:rPr>
        <w:t>CEAV</w:t>
      </w:r>
      <w:r w:rsidR="00FA1DA9" w:rsidRPr="007D47AD">
        <w:rPr>
          <w:rFonts w:asciiTheme="minorHAnsi" w:hAnsiTheme="minorHAnsi"/>
          <w:sz w:val="20"/>
          <w:szCs w:val="20"/>
          <w:lang w:val="en-US"/>
        </w:rPr>
        <w:t xml:space="preserve"> present</w:t>
      </w:r>
      <w:r w:rsidR="00FA2D5E" w:rsidRPr="007D47AD">
        <w:rPr>
          <w:rFonts w:asciiTheme="minorHAnsi" w:hAnsiTheme="minorHAnsi"/>
          <w:sz w:val="20"/>
          <w:szCs w:val="20"/>
          <w:lang w:val="en-US"/>
        </w:rPr>
        <w:t xml:space="preserve">ed a </w:t>
      </w:r>
      <w:r w:rsidR="00FA1DA9" w:rsidRPr="007D47AD">
        <w:rPr>
          <w:rFonts w:asciiTheme="minorHAnsi" w:hAnsiTheme="minorHAnsi"/>
          <w:sz w:val="20"/>
          <w:szCs w:val="20"/>
          <w:lang w:val="en-US"/>
        </w:rPr>
        <w:t>Protocol</w:t>
      </w:r>
      <w:r w:rsidR="00FA2D5E" w:rsidRPr="007D47AD">
        <w:rPr>
          <w:rFonts w:asciiTheme="minorHAnsi" w:hAnsiTheme="minorHAnsi"/>
          <w:sz w:val="20"/>
          <w:szCs w:val="20"/>
          <w:lang w:val="en-US"/>
        </w:rPr>
        <w:t xml:space="preserve"> for Attention to the Indigenous Population with a gender perspective and intercultural approach for wo</w:t>
      </w:r>
      <w:r w:rsidR="00837327" w:rsidRPr="007D47AD">
        <w:rPr>
          <w:rFonts w:asciiTheme="minorHAnsi" w:hAnsiTheme="minorHAnsi"/>
          <w:sz w:val="20"/>
          <w:szCs w:val="20"/>
          <w:lang w:val="en-US"/>
        </w:rPr>
        <w:t>r</w:t>
      </w:r>
      <w:r w:rsidR="00FA2D5E" w:rsidRPr="007D47AD">
        <w:rPr>
          <w:rFonts w:asciiTheme="minorHAnsi" w:hAnsiTheme="minorHAnsi"/>
          <w:sz w:val="20"/>
          <w:szCs w:val="20"/>
          <w:lang w:val="en-US"/>
        </w:rPr>
        <w:t>king with victims who belong to this population.</w:t>
      </w:r>
      <w:r w:rsidR="00901176" w:rsidRPr="007D47AD">
        <w:rPr>
          <w:rStyle w:val="FootnoteReference"/>
          <w:rFonts w:asciiTheme="minorHAnsi" w:hAnsiTheme="minorHAnsi"/>
          <w:sz w:val="20"/>
          <w:szCs w:val="20"/>
          <w:lang w:val="en-US"/>
        </w:rPr>
        <w:t xml:space="preserve"> </w:t>
      </w:r>
      <w:r w:rsidR="00901176" w:rsidRPr="007D47AD">
        <w:rPr>
          <w:rStyle w:val="FootnoteReference"/>
          <w:rFonts w:asciiTheme="minorHAnsi" w:hAnsiTheme="minorHAnsi"/>
          <w:sz w:val="20"/>
          <w:szCs w:val="20"/>
          <w:lang w:val="en-US"/>
        </w:rPr>
        <w:footnoteReference w:id="315"/>
      </w:r>
      <w:r w:rsidR="00FA1DA9" w:rsidRPr="007D47AD">
        <w:rPr>
          <w:rFonts w:asciiTheme="minorHAnsi" w:hAnsiTheme="minorHAnsi"/>
          <w:sz w:val="20"/>
          <w:szCs w:val="20"/>
          <w:lang w:val="en-US"/>
        </w:rPr>
        <w:t xml:space="preserve"> </w:t>
      </w:r>
      <w:r w:rsidR="00FA2D5E" w:rsidRPr="007D47AD">
        <w:rPr>
          <w:rFonts w:asciiTheme="minorHAnsi" w:hAnsiTheme="minorHAnsi"/>
          <w:sz w:val="20"/>
          <w:szCs w:val="20"/>
          <w:lang w:val="en-US"/>
        </w:rPr>
        <w:t>As reported, the Protocol develops procedural and operational aspects</w:t>
      </w:r>
      <w:r w:rsidR="00775C40" w:rsidRPr="007D47AD">
        <w:rPr>
          <w:rFonts w:asciiTheme="minorHAnsi" w:hAnsiTheme="minorHAnsi"/>
          <w:sz w:val="20"/>
          <w:szCs w:val="20"/>
          <w:lang w:val="en-US"/>
        </w:rPr>
        <w:t xml:space="preserve">, </w:t>
      </w:r>
      <w:r w:rsidR="00FA2D5E" w:rsidRPr="007D47AD">
        <w:rPr>
          <w:rFonts w:asciiTheme="minorHAnsi" w:hAnsiTheme="minorHAnsi"/>
          <w:sz w:val="20"/>
          <w:szCs w:val="20"/>
          <w:lang w:val="en-US"/>
        </w:rPr>
        <w:t>as well as conceptual and technical ones, on the treatment that indigenous victims of human rights violations should be accorded</w:t>
      </w:r>
      <w:r w:rsidR="00775C40" w:rsidRPr="007D47AD">
        <w:rPr>
          <w:rFonts w:asciiTheme="minorHAnsi" w:hAnsiTheme="minorHAnsi"/>
          <w:sz w:val="20"/>
          <w:szCs w:val="20"/>
          <w:lang w:val="en-US"/>
        </w:rPr>
        <w:t xml:space="preserve">. </w:t>
      </w:r>
    </w:p>
    <w:p w:rsidR="00775C40" w:rsidRPr="007D47AD" w:rsidRDefault="009F34FD" w:rsidP="00775C40">
      <w:pPr>
        <w:numPr>
          <w:ilvl w:val="0"/>
          <w:numId w:val="6"/>
        </w:numPr>
        <w:shd w:val="clear" w:color="auto" w:fill="FFFFFF"/>
        <w:spacing w:after="240" w:line="240" w:lineRule="auto"/>
        <w:ind w:left="0" w:firstLine="709"/>
        <w:jc w:val="both"/>
        <w:rPr>
          <w:rFonts w:asciiTheme="minorHAnsi" w:hAnsiTheme="minorHAnsi"/>
          <w:sz w:val="20"/>
          <w:szCs w:val="20"/>
          <w:lang w:val="en-US"/>
        </w:rPr>
      </w:pPr>
      <w:r w:rsidRPr="007D47AD">
        <w:rPr>
          <w:rFonts w:asciiTheme="minorHAnsi" w:hAnsiTheme="minorHAnsi"/>
          <w:sz w:val="20"/>
          <w:szCs w:val="20"/>
          <w:lang w:val="en-US"/>
        </w:rPr>
        <w:t xml:space="preserve">In addition, the State reported that the </w:t>
      </w:r>
      <w:r w:rsidR="002C28B4" w:rsidRPr="007D47AD">
        <w:rPr>
          <w:rFonts w:asciiTheme="minorHAnsi" w:hAnsiTheme="minorHAnsi"/>
          <w:sz w:val="20"/>
          <w:szCs w:val="20"/>
          <w:lang w:val="en-US"/>
        </w:rPr>
        <w:t>FGR</w:t>
      </w:r>
      <w:r w:rsidR="00775C40" w:rsidRPr="007D47AD">
        <w:rPr>
          <w:rFonts w:asciiTheme="minorHAnsi" w:hAnsiTheme="minorHAnsi"/>
          <w:sz w:val="20"/>
          <w:szCs w:val="20"/>
          <w:lang w:val="en-US"/>
        </w:rPr>
        <w:t xml:space="preserve">, </w:t>
      </w:r>
      <w:r w:rsidRPr="007D47AD">
        <w:rPr>
          <w:rFonts w:asciiTheme="minorHAnsi" w:hAnsiTheme="minorHAnsi"/>
          <w:sz w:val="20"/>
          <w:szCs w:val="20"/>
          <w:lang w:val="en-US"/>
        </w:rPr>
        <w:t xml:space="preserve">in the context of a campaign to publicize human rights, made </w:t>
      </w:r>
      <w:r w:rsidR="00775C40" w:rsidRPr="007D47AD">
        <w:rPr>
          <w:rFonts w:asciiTheme="minorHAnsi" w:hAnsiTheme="minorHAnsi"/>
          <w:sz w:val="20"/>
          <w:szCs w:val="20"/>
          <w:lang w:val="en-US"/>
        </w:rPr>
        <w:t xml:space="preserve">35 </w:t>
      </w:r>
      <w:r w:rsidRPr="007D47AD">
        <w:rPr>
          <w:rFonts w:asciiTheme="minorHAnsi" w:hAnsiTheme="minorHAnsi"/>
          <w:sz w:val="20"/>
          <w:szCs w:val="20"/>
          <w:lang w:val="en-US"/>
        </w:rPr>
        <w:t>spots that were broadcast by radio in the M</w:t>
      </w:r>
      <w:r w:rsidR="00775C40" w:rsidRPr="007D47AD">
        <w:rPr>
          <w:rFonts w:asciiTheme="minorHAnsi" w:hAnsiTheme="minorHAnsi"/>
          <w:sz w:val="20"/>
          <w:szCs w:val="20"/>
          <w:lang w:val="en-US"/>
        </w:rPr>
        <w:t xml:space="preserve">ixe, </w:t>
      </w:r>
      <w:r w:rsidRPr="007D47AD">
        <w:rPr>
          <w:rFonts w:asciiTheme="minorHAnsi" w:hAnsiTheme="minorHAnsi"/>
          <w:sz w:val="20"/>
          <w:szCs w:val="20"/>
          <w:lang w:val="en-US"/>
        </w:rPr>
        <w:t>M</w:t>
      </w:r>
      <w:r w:rsidR="00775C40" w:rsidRPr="007D47AD">
        <w:rPr>
          <w:rFonts w:asciiTheme="minorHAnsi" w:hAnsiTheme="minorHAnsi"/>
          <w:sz w:val="20"/>
          <w:szCs w:val="20"/>
          <w:lang w:val="en-US"/>
        </w:rPr>
        <w:t xml:space="preserve">ixteco, </w:t>
      </w:r>
      <w:r w:rsidRPr="007D47AD">
        <w:rPr>
          <w:rFonts w:asciiTheme="minorHAnsi" w:hAnsiTheme="minorHAnsi"/>
          <w:sz w:val="20"/>
          <w:szCs w:val="20"/>
          <w:lang w:val="en-US"/>
        </w:rPr>
        <w:t>N</w:t>
      </w:r>
      <w:r w:rsidR="00775C40" w:rsidRPr="007D47AD">
        <w:rPr>
          <w:rFonts w:asciiTheme="minorHAnsi" w:hAnsiTheme="minorHAnsi"/>
          <w:sz w:val="20"/>
          <w:szCs w:val="20"/>
          <w:lang w:val="en-US"/>
        </w:rPr>
        <w:t xml:space="preserve">áhuatl, </w:t>
      </w:r>
      <w:r w:rsidRPr="007D47AD">
        <w:rPr>
          <w:rFonts w:asciiTheme="minorHAnsi" w:hAnsiTheme="minorHAnsi"/>
          <w:sz w:val="20"/>
          <w:szCs w:val="20"/>
          <w:lang w:val="en-US"/>
        </w:rPr>
        <w:t>T</w:t>
      </w:r>
      <w:r w:rsidR="00775C40" w:rsidRPr="007D47AD">
        <w:rPr>
          <w:rFonts w:asciiTheme="minorHAnsi" w:hAnsiTheme="minorHAnsi"/>
          <w:sz w:val="20"/>
          <w:szCs w:val="20"/>
          <w:lang w:val="en-US"/>
        </w:rPr>
        <w:t xml:space="preserve">lapaneco, </w:t>
      </w:r>
      <w:r w:rsidRPr="007D47AD">
        <w:rPr>
          <w:rFonts w:asciiTheme="minorHAnsi" w:hAnsiTheme="minorHAnsi"/>
          <w:sz w:val="20"/>
          <w:szCs w:val="20"/>
          <w:lang w:val="en-US"/>
        </w:rPr>
        <w:t>T</w:t>
      </w:r>
      <w:r w:rsidR="00775C40" w:rsidRPr="007D47AD">
        <w:rPr>
          <w:rFonts w:asciiTheme="minorHAnsi" w:hAnsiTheme="minorHAnsi"/>
          <w:sz w:val="20"/>
          <w:szCs w:val="20"/>
          <w:lang w:val="en-US"/>
        </w:rPr>
        <w:t xml:space="preserve">zeltal, </w:t>
      </w:r>
      <w:r w:rsidRPr="007D47AD">
        <w:rPr>
          <w:rFonts w:asciiTheme="minorHAnsi" w:hAnsiTheme="minorHAnsi"/>
          <w:sz w:val="20"/>
          <w:szCs w:val="20"/>
          <w:lang w:val="en-US"/>
        </w:rPr>
        <w:t>Z</w:t>
      </w:r>
      <w:r w:rsidR="00775C40" w:rsidRPr="007D47AD">
        <w:rPr>
          <w:rFonts w:asciiTheme="minorHAnsi" w:hAnsiTheme="minorHAnsi"/>
          <w:sz w:val="20"/>
          <w:szCs w:val="20"/>
          <w:lang w:val="en-US"/>
        </w:rPr>
        <w:t xml:space="preserve">apoteco, </w:t>
      </w:r>
      <w:r w:rsidRPr="007D47AD">
        <w:rPr>
          <w:rFonts w:asciiTheme="minorHAnsi" w:hAnsiTheme="minorHAnsi"/>
          <w:sz w:val="20"/>
          <w:szCs w:val="20"/>
          <w:lang w:val="en-US"/>
        </w:rPr>
        <w:t>C</w:t>
      </w:r>
      <w:r w:rsidR="00775C40" w:rsidRPr="007D47AD">
        <w:rPr>
          <w:rFonts w:asciiTheme="minorHAnsi" w:hAnsiTheme="minorHAnsi"/>
          <w:sz w:val="20"/>
          <w:szCs w:val="20"/>
          <w:lang w:val="en-US"/>
        </w:rPr>
        <w:t>hinanteco</w:t>
      </w:r>
      <w:r w:rsidRPr="007D47AD">
        <w:rPr>
          <w:rFonts w:asciiTheme="minorHAnsi" w:hAnsiTheme="minorHAnsi"/>
          <w:sz w:val="20"/>
          <w:szCs w:val="20"/>
          <w:lang w:val="en-US"/>
        </w:rPr>
        <w:t>,</w:t>
      </w:r>
      <w:r w:rsidR="00775C40" w:rsidRPr="007D47AD">
        <w:rPr>
          <w:rFonts w:asciiTheme="minorHAnsi" w:hAnsiTheme="minorHAnsi"/>
          <w:sz w:val="20"/>
          <w:szCs w:val="20"/>
          <w:lang w:val="en-US"/>
        </w:rPr>
        <w:t xml:space="preserve"> </w:t>
      </w:r>
      <w:r w:rsidRPr="007D47AD">
        <w:rPr>
          <w:rFonts w:asciiTheme="minorHAnsi" w:hAnsiTheme="minorHAnsi"/>
          <w:sz w:val="20"/>
          <w:szCs w:val="20"/>
          <w:lang w:val="en-US"/>
        </w:rPr>
        <w:t>and Tzotzil languages</w:t>
      </w:r>
      <w:r w:rsidR="00775C40" w:rsidRPr="007D47AD">
        <w:rPr>
          <w:rFonts w:asciiTheme="minorHAnsi" w:hAnsiTheme="minorHAnsi"/>
          <w:sz w:val="20"/>
          <w:szCs w:val="20"/>
          <w:lang w:val="en-US"/>
        </w:rPr>
        <w:t>.</w:t>
      </w:r>
      <w:r w:rsidR="00D937BC" w:rsidRPr="007D47AD">
        <w:rPr>
          <w:rFonts w:asciiTheme="minorHAnsi" w:hAnsiTheme="minorHAnsi"/>
          <w:sz w:val="20"/>
          <w:szCs w:val="20"/>
          <w:lang w:val="en-US"/>
        </w:rPr>
        <w:t xml:space="preserve"> </w:t>
      </w:r>
      <w:r w:rsidRPr="007D47AD">
        <w:rPr>
          <w:rFonts w:asciiTheme="minorHAnsi" w:hAnsiTheme="minorHAnsi"/>
          <w:sz w:val="20"/>
          <w:szCs w:val="20"/>
          <w:lang w:val="en-US"/>
        </w:rPr>
        <w:t xml:space="preserve">In addition, the FGR conducted the training </w:t>
      </w:r>
      <w:r w:rsidR="00431AD8" w:rsidRPr="007D47AD">
        <w:rPr>
          <w:rFonts w:asciiTheme="minorHAnsi" w:hAnsiTheme="minorHAnsi"/>
          <w:sz w:val="20"/>
          <w:szCs w:val="20"/>
          <w:lang w:val="en-US"/>
        </w:rPr>
        <w:t xml:space="preserve">on </w:t>
      </w:r>
      <w:r w:rsidR="00775C40" w:rsidRPr="007D47AD">
        <w:rPr>
          <w:rFonts w:asciiTheme="minorHAnsi" w:hAnsiTheme="minorHAnsi"/>
          <w:sz w:val="20"/>
          <w:szCs w:val="20"/>
          <w:lang w:val="en-US"/>
        </w:rPr>
        <w:t>"</w:t>
      </w:r>
      <w:r w:rsidR="00431AD8" w:rsidRPr="007D47AD">
        <w:rPr>
          <w:rFonts w:asciiTheme="minorHAnsi" w:hAnsiTheme="minorHAnsi"/>
          <w:sz w:val="20"/>
          <w:szCs w:val="20"/>
          <w:lang w:val="en-US"/>
        </w:rPr>
        <w:t xml:space="preserve">The Importance of Expert Evidence in Social Anthropology for Respect of the Human Rights of the Indigenous and Afro-Mexican Peoples with a Gender Perspective,” which included the participation of some </w:t>
      </w:r>
      <w:r w:rsidR="00775C40" w:rsidRPr="007D47AD">
        <w:rPr>
          <w:rFonts w:asciiTheme="minorHAnsi" w:hAnsiTheme="minorHAnsi"/>
          <w:sz w:val="20"/>
          <w:szCs w:val="20"/>
          <w:lang w:val="en-US"/>
        </w:rPr>
        <w:t xml:space="preserve">300 </w:t>
      </w:r>
      <w:r w:rsidR="00431AD8" w:rsidRPr="007D47AD">
        <w:rPr>
          <w:rFonts w:asciiTheme="minorHAnsi" w:hAnsiTheme="minorHAnsi"/>
          <w:sz w:val="20"/>
          <w:szCs w:val="20"/>
          <w:lang w:val="en-US"/>
        </w:rPr>
        <w:t>public servants</w:t>
      </w:r>
      <w:r w:rsidR="00901176" w:rsidRPr="007D47AD">
        <w:rPr>
          <w:rFonts w:asciiTheme="minorHAnsi" w:hAnsiTheme="minorHAnsi"/>
          <w:sz w:val="20"/>
          <w:szCs w:val="20"/>
          <w:lang w:val="en-US"/>
        </w:rPr>
        <w:t>.</w:t>
      </w:r>
      <w:r w:rsidR="00901176" w:rsidRPr="007D47AD">
        <w:rPr>
          <w:rStyle w:val="FootnoteReference"/>
          <w:rFonts w:asciiTheme="minorHAnsi" w:hAnsiTheme="minorHAnsi"/>
          <w:sz w:val="20"/>
          <w:szCs w:val="20"/>
          <w:lang w:val="en-US"/>
        </w:rPr>
        <w:footnoteReference w:id="316"/>
      </w:r>
      <w:r w:rsidR="00431AD8" w:rsidRPr="007D47AD">
        <w:rPr>
          <w:rFonts w:asciiTheme="minorHAnsi" w:hAnsiTheme="minorHAnsi"/>
          <w:sz w:val="20"/>
          <w:szCs w:val="20"/>
          <w:lang w:val="en-US"/>
        </w:rPr>
        <w:t xml:space="preserve"> </w:t>
      </w:r>
      <w:r w:rsidR="00DE7882" w:rsidRPr="007D47AD">
        <w:rPr>
          <w:rFonts w:asciiTheme="minorHAnsi" w:hAnsiTheme="minorHAnsi"/>
          <w:sz w:val="20"/>
          <w:szCs w:val="20"/>
          <w:lang w:val="en-US"/>
        </w:rPr>
        <w:t>The State reiterated this information in its observations on the draft of this report.</w:t>
      </w:r>
      <w:r w:rsidR="00901176" w:rsidRPr="007D47AD">
        <w:rPr>
          <w:rStyle w:val="FootnoteReference"/>
          <w:rFonts w:asciiTheme="minorHAnsi" w:eastAsia="Cambria" w:hAnsiTheme="minorHAnsi" w:cs="Cambria"/>
          <w:sz w:val="20"/>
          <w:szCs w:val="20"/>
          <w:lang w:val="en-US"/>
        </w:rPr>
        <w:footnoteReference w:id="317"/>
      </w:r>
    </w:p>
    <w:p w:rsidR="001D222F" w:rsidRPr="007D47AD" w:rsidRDefault="00837327" w:rsidP="001C16AF">
      <w:pPr>
        <w:numPr>
          <w:ilvl w:val="0"/>
          <w:numId w:val="6"/>
        </w:numPr>
        <w:shd w:val="clear" w:color="auto" w:fill="FFFFFF"/>
        <w:spacing w:after="0" w:line="240" w:lineRule="auto"/>
        <w:ind w:left="0" w:firstLine="720"/>
        <w:jc w:val="both"/>
        <w:rPr>
          <w:rFonts w:asciiTheme="minorHAnsi" w:hAnsiTheme="minorHAnsi"/>
          <w:sz w:val="20"/>
          <w:szCs w:val="20"/>
          <w:lang w:val="en-US"/>
        </w:rPr>
      </w:pPr>
      <w:r w:rsidRPr="007D47AD">
        <w:rPr>
          <w:rFonts w:asciiTheme="minorHAnsi" w:eastAsia="Times New Roman" w:hAnsiTheme="minorHAnsi" w:cs="Tahoma"/>
          <w:sz w:val="20"/>
          <w:szCs w:val="20"/>
          <w:lang w:val="en-US"/>
        </w:rPr>
        <w:t xml:space="preserve">The IACHR welcomes the different initiatives taken to raise awareness of human rights violations against indigenous persons. In this respect, the IACHR finds that the measures reported are focused on promotion, which </w:t>
      </w:r>
      <w:r w:rsidR="00F30B1F" w:rsidRPr="007D47AD">
        <w:rPr>
          <w:rFonts w:asciiTheme="minorHAnsi" w:eastAsia="Times New Roman" w:hAnsiTheme="minorHAnsi" w:cs="Tahoma"/>
          <w:sz w:val="20"/>
          <w:szCs w:val="20"/>
          <w:lang w:val="en-US"/>
        </w:rPr>
        <w:t xml:space="preserve">is </w:t>
      </w:r>
      <w:r w:rsidRPr="007D47AD">
        <w:rPr>
          <w:rFonts w:asciiTheme="minorHAnsi" w:eastAsia="Times New Roman" w:hAnsiTheme="minorHAnsi" w:cs="Tahoma"/>
          <w:sz w:val="20"/>
          <w:szCs w:val="20"/>
          <w:lang w:val="en-US"/>
        </w:rPr>
        <w:t xml:space="preserve">no doubt important. Nonetheless, substantive measures of obligatory implementation are required for incorporating the content of the recommendation </w:t>
      </w:r>
      <w:r w:rsidR="00F30B1F" w:rsidRPr="007D47AD">
        <w:rPr>
          <w:rFonts w:asciiTheme="minorHAnsi" w:eastAsia="Times New Roman" w:hAnsiTheme="minorHAnsi" w:cs="Tahoma"/>
          <w:sz w:val="20"/>
          <w:szCs w:val="20"/>
          <w:lang w:val="en-US"/>
        </w:rPr>
        <w:t xml:space="preserve">when it comes to </w:t>
      </w:r>
      <w:r w:rsidRPr="007D47AD">
        <w:rPr>
          <w:rFonts w:asciiTheme="minorHAnsi" w:eastAsia="Times New Roman" w:hAnsiTheme="minorHAnsi" w:cs="Tahoma"/>
          <w:sz w:val="20"/>
          <w:szCs w:val="20"/>
          <w:lang w:val="en-US"/>
        </w:rPr>
        <w:t xml:space="preserve">preventing, investigating, punishing, and making reparation for the human rights violations committed against this population.  The core content of this recommendation finds expression in specific, systematic, and interconnected measures that can be measured. The IACHR </w:t>
      </w:r>
      <w:r w:rsidR="006043DF" w:rsidRPr="007D47AD">
        <w:rPr>
          <w:rFonts w:asciiTheme="minorHAnsi" w:eastAsia="Times New Roman" w:hAnsiTheme="minorHAnsi" w:cs="Tahoma"/>
          <w:sz w:val="20"/>
          <w:szCs w:val="20"/>
          <w:lang w:val="en-US"/>
        </w:rPr>
        <w:t>reitera</w:t>
      </w:r>
      <w:r w:rsidRPr="007D47AD">
        <w:rPr>
          <w:rFonts w:asciiTheme="minorHAnsi" w:eastAsia="Times New Roman" w:hAnsiTheme="minorHAnsi" w:cs="Tahoma"/>
          <w:sz w:val="20"/>
          <w:szCs w:val="20"/>
          <w:lang w:val="en-US"/>
        </w:rPr>
        <w:t>tes that in the specific case of the indigenous peoples, the culturally appropriate measures imply prevention and protection vis-à-vis threats to the</w:t>
      </w:r>
      <w:r w:rsidR="00F30B1F" w:rsidRPr="007D47AD">
        <w:rPr>
          <w:rFonts w:asciiTheme="minorHAnsi" w:eastAsia="Times New Roman" w:hAnsiTheme="minorHAnsi" w:cs="Tahoma"/>
          <w:sz w:val="20"/>
          <w:szCs w:val="20"/>
          <w:lang w:val="en-US"/>
        </w:rPr>
        <w:t xml:space="preserve">ir </w:t>
      </w:r>
      <w:r w:rsidRPr="007D47AD">
        <w:rPr>
          <w:rFonts w:asciiTheme="minorHAnsi" w:eastAsia="Times New Roman" w:hAnsiTheme="minorHAnsi" w:cs="Tahoma"/>
          <w:sz w:val="20"/>
          <w:szCs w:val="20"/>
          <w:lang w:val="en-US"/>
        </w:rPr>
        <w:t xml:space="preserve">territorial rights. </w:t>
      </w:r>
      <w:r w:rsidR="001C16AF" w:rsidRPr="007D47AD">
        <w:rPr>
          <w:rFonts w:asciiTheme="minorHAnsi" w:hAnsiTheme="minorHAnsi"/>
          <w:sz w:val="20"/>
          <w:szCs w:val="20"/>
          <w:lang w:val="en-US"/>
        </w:rPr>
        <w:t>Finally, the Commission urges the Mexican State to promote the establishment of an independent unit or institution for the population of African descent in Mexico, in accordance with the standards of the Inter-American System and the Universal Human Rights System.</w:t>
      </w:r>
    </w:p>
    <w:p w:rsidR="00061E40" w:rsidRPr="007D47AD" w:rsidRDefault="00061E40" w:rsidP="006043DF">
      <w:pPr>
        <w:shd w:val="clear" w:color="auto" w:fill="FFFFFF"/>
        <w:spacing w:after="0" w:line="240" w:lineRule="auto"/>
        <w:ind w:left="709"/>
        <w:jc w:val="both"/>
        <w:rPr>
          <w:rFonts w:asciiTheme="minorHAnsi" w:hAnsiTheme="minorHAnsi"/>
          <w:sz w:val="20"/>
          <w:szCs w:val="20"/>
          <w:lang w:val="en-US"/>
        </w:rPr>
      </w:pPr>
    </w:p>
    <w:p w:rsidR="001D222F" w:rsidRPr="007D47AD" w:rsidRDefault="00837327" w:rsidP="001D222F">
      <w:pPr>
        <w:numPr>
          <w:ilvl w:val="0"/>
          <w:numId w:val="6"/>
        </w:numPr>
        <w:shd w:val="clear" w:color="auto" w:fill="FFFFFF"/>
        <w:spacing w:after="240" w:line="240" w:lineRule="auto"/>
        <w:ind w:left="0" w:firstLine="709"/>
        <w:jc w:val="both"/>
        <w:rPr>
          <w:rFonts w:asciiTheme="minorHAnsi" w:hAnsiTheme="minorHAnsi"/>
          <w:sz w:val="20"/>
          <w:szCs w:val="20"/>
          <w:lang w:val="en-US"/>
        </w:rPr>
      </w:pPr>
      <w:r w:rsidRPr="007D47AD">
        <w:rPr>
          <w:rFonts w:asciiTheme="minorHAnsi" w:eastAsia="Times New Roman" w:hAnsiTheme="minorHAnsi" w:cs="Tahoma"/>
          <w:sz w:val="20"/>
          <w:szCs w:val="20"/>
          <w:lang w:val="en-US"/>
        </w:rPr>
        <w:t xml:space="preserve">This notwithstanding, the IACHR has learned of the reduction of social supports for the indigenous student population with the gradual disappearance of school dormitories, which had been established to promote coverage and </w:t>
      </w:r>
      <w:r w:rsidR="00F30B1F" w:rsidRPr="007D47AD">
        <w:rPr>
          <w:rFonts w:asciiTheme="minorHAnsi" w:eastAsia="Times New Roman" w:hAnsiTheme="minorHAnsi" w:cs="Tahoma"/>
          <w:sz w:val="20"/>
          <w:szCs w:val="20"/>
          <w:lang w:val="en-US"/>
        </w:rPr>
        <w:t xml:space="preserve">students staying </w:t>
      </w:r>
      <w:r w:rsidRPr="007D47AD">
        <w:rPr>
          <w:rFonts w:asciiTheme="minorHAnsi" w:eastAsia="Times New Roman" w:hAnsiTheme="minorHAnsi" w:cs="Tahoma"/>
          <w:sz w:val="20"/>
          <w:szCs w:val="20"/>
          <w:lang w:val="en-US"/>
        </w:rPr>
        <w:t>in basic education in isolated, impoverished, and mostly indigenous communities.</w:t>
      </w:r>
      <w:r w:rsidR="001D222F" w:rsidRPr="007D47AD">
        <w:rPr>
          <w:rStyle w:val="FootnoteReference"/>
          <w:rFonts w:asciiTheme="minorHAnsi" w:hAnsiTheme="minorHAnsi" w:cs="Cambria"/>
          <w:sz w:val="20"/>
          <w:szCs w:val="20"/>
          <w:lang w:val="en-US"/>
        </w:rPr>
        <w:footnoteReference w:id="318"/>
      </w:r>
      <w:r w:rsidR="001D222F" w:rsidRPr="007D47AD">
        <w:rPr>
          <w:rFonts w:asciiTheme="minorHAnsi" w:eastAsia="Times New Roman" w:hAnsiTheme="minorHAnsi" w:cs="Tahoma"/>
          <w:sz w:val="20"/>
          <w:szCs w:val="20"/>
          <w:lang w:val="en-US"/>
        </w:rPr>
        <w:t xml:space="preserve"> </w:t>
      </w:r>
    </w:p>
    <w:p w:rsidR="001D222F" w:rsidRPr="007D47AD" w:rsidRDefault="00837327" w:rsidP="001D222F">
      <w:pPr>
        <w:numPr>
          <w:ilvl w:val="0"/>
          <w:numId w:val="6"/>
        </w:numPr>
        <w:shd w:val="clear" w:color="auto" w:fill="FFFFFF"/>
        <w:spacing w:after="240" w:line="240" w:lineRule="auto"/>
        <w:ind w:left="0" w:firstLine="709"/>
        <w:jc w:val="both"/>
        <w:rPr>
          <w:rFonts w:asciiTheme="minorHAnsi" w:hAnsiTheme="minorHAnsi"/>
          <w:sz w:val="20"/>
          <w:szCs w:val="20"/>
          <w:lang w:val="en-US"/>
        </w:rPr>
      </w:pPr>
      <w:r w:rsidRPr="007D47AD">
        <w:rPr>
          <w:rFonts w:asciiTheme="minorHAnsi" w:eastAsia="Times New Roman" w:hAnsiTheme="minorHAnsi" w:cs="Tahoma"/>
          <w:sz w:val="20"/>
          <w:szCs w:val="20"/>
          <w:lang w:val="en-US"/>
        </w:rPr>
        <w:t xml:space="preserve">In addition, the IACHR observes with concern that the inhabitants of the indigenous community of </w:t>
      </w:r>
      <w:r w:rsidR="001D222F" w:rsidRPr="007D47AD">
        <w:rPr>
          <w:rFonts w:asciiTheme="minorHAnsi" w:hAnsiTheme="minorHAnsi" w:cs="Cambria"/>
          <w:color w:val="000000"/>
          <w:sz w:val="20"/>
          <w:szCs w:val="20"/>
          <w:shd w:val="clear" w:color="auto" w:fill="FFFFFF"/>
          <w:lang w:val="en-US"/>
        </w:rPr>
        <w:t xml:space="preserve">Domingo Ixcatlán </w:t>
      </w:r>
      <w:r w:rsidRPr="007D47AD">
        <w:rPr>
          <w:rFonts w:asciiTheme="minorHAnsi" w:hAnsiTheme="minorHAnsi" w:cs="Cambria"/>
          <w:color w:val="000000"/>
          <w:sz w:val="20"/>
          <w:szCs w:val="20"/>
          <w:shd w:val="clear" w:color="auto" w:fill="FFFFFF"/>
          <w:lang w:val="en-US"/>
        </w:rPr>
        <w:t xml:space="preserve">have denounced the failure to implement the precautionary measures </w:t>
      </w:r>
      <w:r w:rsidR="004E08FB" w:rsidRPr="007D47AD">
        <w:rPr>
          <w:rFonts w:asciiTheme="minorHAnsi" w:hAnsiTheme="minorHAnsi" w:cs="Cambria"/>
          <w:color w:val="000000"/>
          <w:sz w:val="20"/>
          <w:szCs w:val="20"/>
          <w:shd w:val="clear" w:color="auto" w:fill="FFFFFF"/>
          <w:lang w:val="en-US"/>
        </w:rPr>
        <w:t>granted</w:t>
      </w:r>
      <w:r w:rsidRPr="007D47AD">
        <w:rPr>
          <w:rFonts w:asciiTheme="minorHAnsi" w:hAnsiTheme="minorHAnsi" w:cs="Cambria"/>
          <w:color w:val="000000"/>
          <w:sz w:val="20"/>
          <w:szCs w:val="20"/>
          <w:shd w:val="clear" w:color="auto" w:fill="FFFFFF"/>
          <w:lang w:val="en-US"/>
        </w:rPr>
        <w:t xml:space="preserve"> on May </w:t>
      </w:r>
      <w:r w:rsidR="001D222F" w:rsidRPr="007D47AD">
        <w:rPr>
          <w:rFonts w:asciiTheme="minorHAnsi" w:hAnsiTheme="minorHAnsi" w:cs="Cambria"/>
          <w:color w:val="000000"/>
          <w:sz w:val="20"/>
          <w:szCs w:val="20"/>
          <w:shd w:val="clear" w:color="auto" w:fill="FFFFFF"/>
          <w:lang w:val="en-US"/>
        </w:rPr>
        <w:t>19</w:t>
      </w:r>
      <w:r w:rsidRPr="007D47AD">
        <w:rPr>
          <w:rFonts w:asciiTheme="minorHAnsi" w:hAnsiTheme="minorHAnsi" w:cs="Cambria"/>
          <w:color w:val="000000"/>
          <w:sz w:val="20"/>
          <w:szCs w:val="20"/>
          <w:shd w:val="clear" w:color="auto" w:fill="FFFFFF"/>
          <w:lang w:val="en-US"/>
        </w:rPr>
        <w:t>,</w:t>
      </w:r>
      <w:r w:rsidR="001D222F" w:rsidRPr="007D47AD">
        <w:rPr>
          <w:rFonts w:asciiTheme="minorHAnsi" w:hAnsiTheme="minorHAnsi" w:cs="Cambria"/>
          <w:color w:val="000000"/>
          <w:sz w:val="20"/>
          <w:szCs w:val="20"/>
          <w:shd w:val="clear" w:color="auto" w:fill="FFFFFF"/>
          <w:lang w:val="en-US"/>
        </w:rPr>
        <w:t xml:space="preserve"> 2008</w:t>
      </w:r>
      <w:r w:rsidRPr="007D47AD">
        <w:rPr>
          <w:rFonts w:asciiTheme="minorHAnsi" w:hAnsiTheme="minorHAnsi" w:cs="Cambria"/>
          <w:color w:val="000000"/>
          <w:sz w:val="20"/>
          <w:szCs w:val="20"/>
          <w:shd w:val="clear" w:color="auto" w:fill="FFFFFF"/>
          <w:lang w:val="en-US"/>
        </w:rPr>
        <w:t>.</w:t>
      </w:r>
      <w:r w:rsidR="001D222F" w:rsidRPr="007D47AD">
        <w:rPr>
          <w:rStyle w:val="FootnoteReference"/>
          <w:rFonts w:asciiTheme="minorHAnsi" w:hAnsiTheme="minorHAnsi" w:cs="Cambria"/>
          <w:sz w:val="20"/>
          <w:szCs w:val="20"/>
          <w:lang w:val="en-US"/>
        </w:rPr>
        <w:footnoteReference w:id="319"/>
      </w:r>
      <w:r w:rsidR="001D222F" w:rsidRPr="007D47AD">
        <w:rPr>
          <w:rFonts w:asciiTheme="minorHAnsi" w:hAnsiTheme="minorHAnsi" w:cs="Cambria"/>
          <w:color w:val="000000"/>
          <w:sz w:val="20"/>
          <w:szCs w:val="20"/>
          <w:shd w:val="clear" w:color="auto" w:fill="FFFFFF"/>
          <w:lang w:val="en-US"/>
        </w:rPr>
        <w:t xml:space="preserve"> </w:t>
      </w:r>
      <w:r w:rsidRPr="007D47AD">
        <w:rPr>
          <w:rFonts w:asciiTheme="minorHAnsi" w:hAnsiTheme="minorHAnsi" w:cs="Cambria"/>
          <w:color w:val="000000"/>
          <w:sz w:val="20"/>
          <w:szCs w:val="20"/>
          <w:shd w:val="clear" w:color="auto" w:fill="FFFFFF"/>
          <w:lang w:val="en-US"/>
        </w:rPr>
        <w:t xml:space="preserve">These measures were motivated by the assassination of </w:t>
      </w:r>
      <w:r w:rsidR="001D222F" w:rsidRPr="007D47AD">
        <w:rPr>
          <w:rFonts w:asciiTheme="minorHAnsi" w:hAnsiTheme="minorHAnsi" w:cs="Cambria"/>
          <w:color w:val="000000"/>
          <w:sz w:val="20"/>
          <w:szCs w:val="20"/>
          <w:shd w:val="clear" w:color="auto" w:fill="FFFFFF"/>
          <w:lang w:val="en-US"/>
        </w:rPr>
        <w:t>Gustavo Castañeda Martínez, Melesio Martínez Robles</w:t>
      </w:r>
      <w:r w:rsidRPr="007D47AD">
        <w:rPr>
          <w:rFonts w:asciiTheme="minorHAnsi" w:hAnsiTheme="minorHAnsi" w:cs="Cambria"/>
          <w:color w:val="000000"/>
          <w:sz w:val="20"/>
          <w:szCs w:val="20"/>
          <w:shd w:val="clear" w:color="auto" w:fill="FFFFFF"/>
          <w:lang w:val="en-US"/>
        </w:rPr>
        <w:t xml:space="preserve">, and </w:t>
      </w:r>
      <w:r w:rsidR="001D222F" w:rsidRPr="007D47AD">
        <w:rPr>
          <w:rFonts w:asciiTheme="minorHAnsi" w:hAnsiTheme="minorHAnsi" w:cs="Cambria"/>
          <w:color w:val="000000"/>
          <w:sz w:val="20"/>
          <w:szCs w:val="20"/>
          <w:shd w:val="clear" w:color="auto" w:fill="FFFFFF"/>
          <w:lang w:val="en-US"/>
        </w:rPr>
        <w:t xml:space="preserve">Inocencio Medina Bernabé </w:t>
      </w:r>
      <w:r w:rsidRPr="007D47AD">
        <w:rPr>
          <w:rFonts w:asciiTheme="minorHAnsi" w:hAnsiTheme="minorHAnsi" w:cs="Cambria"/>
          <w:color w:val="000000"/>
          <w:sz w:val="20"/>
          <w:szCs w:val="20"/>
          <w:shd w:val="clear" w:color="auto" w:fill="FFFFFF"/>
          <w:lang w:val="en-US"/>
        </w:rPr>
        <w:t>at the hands of armed groups</w:t>
      </w:r>
      <w:r w:rsidR="001D222F" w:rsidRPr="007D47AD">
        <w:rPr>
          <w:rFonts w:asciiTheme="minorHAnsi" w:hAnsiTheme="minorHAnsi" w:cs="Cambria"/>
          <w:color w:val="000000"/>
          <w:sz w:val="20"/>
          <w:szCs w:val="20"/>
          <w:shd w:val="clear" w:color="auto" w:fill="FFFFFF"/>
          <w:lang w:val="en-US"/>
        </w:rPr>
        <w:t xml:space="preserve">, </w:t>
      </w:r>
      <w:r w:rsidRPr="007D47AD">
        <w:rPr>
          <w:rFonts w:asciiTheme="minorHAnsi" w:hAnsiTheme="minorHAnsi" w:cs="Cambria"/>
          <w:color w:val="000000"/>
          <w:sz w:val="20"/>
          <w:szCs w:val="20"/>
          <w:shd w:val="clear" w:color="auto" w:fill="FFFFFF"/>
          <w:lang w:val="en-US"/>
        </w:rPr>
        <w:t xml:space="preserve">purportedly acting in collusion with local authorities. The request identified 60 fact witnesses, family members and friends of the victims, who had received death threats from the purported perpetrators. In that case the IACHR asked the Mexican State to adopt the measures necessary to guarantee their lives and physical integrity and to report on the actions taken to clarify the facts judicially. Those measures were expanded on June 8, </w:t>
      </w:r>
      <w:r w:rsidR="001D222F" w:rsidRPr="007D47AD">
        <w:rPr>
          <w:rFonts w:asciiTheme="minorHAnsi" w:hAnsiTheme="minorHAnsi" w:cs="Cambria"/>
          <w:color w:val="000000"/>
          <w:sz w:val="20"/>
          <w:szCs w:val="20"/>
          <w:shd w:val="clear" w:color="auto" w:fill="FFFFFF"/>
          <w:lang w:val="en-US"/>
        </w:rPr>
        <w:t xml:space="preserve">2008 </w:t>
      </w:r>
      <w:r w:rsidRPr="007D47AD">
        <w:rPr>
          <w:rFonts w:asciiTheme="minorHAnsi" w:hAnsiTheme="minorHAnsi" w:cs="Cambria"/>
          <w:color w:val="000000"/>
          <w:sz w:val="20"/>
          <w:szCs w:val="20"/>
          <w:shd w:val="clear" w:color="auto" w:fill="FFFFFF"/>
          <w:lang w:val="en-US"/>
        </w:rPr>
        <w:t xml:space="preserve">with </w:t>
      </w:r>
      <w:r w:rsidR="001D222F" w:rsidRPr="007D47AD">
        <w:rPr>
          <w:rFonts w:asciiTheme="minorHAnsi" w:hAnsiTheme="minorHAnsi" w:cs="Cambria"/>
          <w:color w:val="000000"/>
          <w:sz w:val="20"/>
          <w:szCs w:val="20"/>
          <w:shd w:val="clear" w:color="auto" w:fill="FFFFFF"/>
          <w:lang w:val="en-US"/>
        </w:rPr>
        <w:t xml:space="preserve">respect </w:t>
      </w:r>
      <w:r w:rsidRPr="007D47AD">
        <w:rPr>
          <w:rFonts w:asciiTheme="minorHAnsi" w:hAnsiTheme="minorHAnsi" w:cs="Cambria"/>
          <w:color w:val="000000"/>
          <w:sz w:val="20"/>
          <w:szCs w:val="20"/>
          <w:shd w:val="clear" w:color="auto" w:fill="FFFFFF"/>
          <w:lang w:val="en-US"/>
        </w:rPr>
        <w:t xml:space="preserve">to another </w:t>
      </w:r>
      <w:r w:rsidR="001D222F" w:rsidRPr="007D47AD">
        <w:rPr>
          <w:rFonts w:asciiTheme="minorHAnsi" w:hAnsiTheme="minorHAnsi" w:cs="Cambria"/>
          <w:color w:val="000000"/>
          <w:sz w:val="20"/>
          <w:szCs w:val="20"/>
          <w:shd w:val="clear" w:color="auto" w:fill="FFFFFF"/>
          <w:lang w:val="en-US"/>
        </w:rPr>
        <w:t xml:space="preserve">117 </w:t>
      </w:r>
      <w:r w:rsidRPr="007D47AD">
        <w:rPr>
          <w:rFonts w:asciiTheme="minorHAnsi" w:hAnsiTheme="minorHAnsi" w:cs="Cambria"/>
          <w:color w:val="000000"/>
          <w:sz w:val="20"/>
          <w:szCs w:val="20"/>
          <w:shd w:val="clear" w:color="auto" w:fill="FFFFFF"/>
          <w:lang w:val="en-US"/>
        </w:rPr>
        <w:t>in</w:t>
      </w:r>
      <w:r w:rsidR="001D222F" w:rsidRPr="007D47AD">
        <w:rPr>
          <w:rFonts w:asciiTheme="minorHAnsi" w:hAnsiTheme="minorHAnsi" w:cs="Cambria"/>
          <w:color w:val="000000"/>
          <w:sz w:val="20"/>
          <w:szCs w:val="20"/>
          <w:shd w:val="clear" w:color="auto" w:fill="FFFFFF"/>
          <w:lang w:val="en-US"/>
        </w:rPr>
        <w:t>habitant</w:t>
      </w:r>
      <w:r w:rsidRPr="007D47AD">
        <w:rPr>
          <w:rFonts w:asciiTheme="minorHAnsi" w:hAnsiTheme="minorHAnsi" w:cs="Cambria"/>
          <w:color w:val="000000"/>
          <w:sz w:val="20"/>
          <w:szCs w:val="20"/>
          <w:shd w:val="clear" w:color="auto" w:fill="FFFFFF"/>
          <w:lang w:val="en-US"/>
        </w:rPr>
        <w:t>s also said to have received death threats.</w:t>
      </w:r>
      <w:r w:rsidR="001D222F" w:rsidRPr="007D47AD">
        <w:rPr>
          <w:rStyle w:val="FootnoteReference"/>
          <w:rFonts w:asciiTheme="minorHAnsi" w:hAnsiTheme="minorHAnsi" w:cs="Cambria"/>
          <w:color w:val="000000"/>
          <w:sz w:val="20"/>
          <w:szCs w:val="20"/>
          <w:shd w:val="clear" w:color="auto" w:fill="FFFFFF"/>
          <w:lang w:val="en-US"/>
        </w:rPr>
        <w:footnoteReference w:id="320"/>
      </w:r>
      <w:r w:rsidR="001D222F" w:rsidRPr="007D47AD">
        <w:rPr>
          <w:rFonts w:asciiTheme="minorHAnsi" w:hAnsiTheme="minorHAnsi" w:cs="Cambria"/>
          <w:color w:val="000000"/>
          <w:sz w:val="20"/>
          <w:szCs w:val="20"/>
          <w:shd w:val="clear" w:color="auto" w:fill="FFFFFF"/>
          <w:lang w:val="en-US"/>
        </w:rPr>
        <w:t> </w:t>
      </w:r>
    </w:p>
    <w:p w:rsidR="001D222F" w:rsidRPr="007D47AD" w:rsidRDefault="003A7D73" w:rsidP="001D222F">
      <w:pPr>
        <w:numPr>
          <w:ilvl w:val="0"/>
          <w:numId w:val="6"/>
        </w:numPr>
        <w:shd w:val="clear" w:color="auto" w:fill="FFFFFF"/>
        <w:spacing w:after="240" w:line="240" w:lineRule="auto"/>
        <w:ind w:left="0" w:firstLine="709"/>
        <w:jc w:val="both"/>
        <w:rPr>
          <w:rFonts w:asciiTheme="minorHAnsi" w:hAnsiTheme="minorHAnsi"/>
          <w:sz w:val="20"/>
          <w:szCs w:val="20"/>
          <w:lang w:val="en-US"/>
        </w:rPr>
      </w:pPr>
      <w:r w:rsidRPr="007D47AD">
        <w:rPr>
          <w:rFonts w:asciiTheme="minorHAnsi" w:hAnsiTheme="minorHAnsi" w:cs="Cambria"/>
          <w:sz w:val="20"/>
          <w:szCs w:val="20"/>
          <w:lang w:val="en-US"/>
        </w:rPr>
        <w:lastRenderedPageBreak/>
        <w:t xml:space="preserve">The IACHR maintains its concern expressed in </w:t>
      </w:r>
      <w:r w:rsidR="001D222F" w:rsidRPr="007D47AD">
        <w:rPr>
          <w:rFonts w:asciiTheme="minorHAnsi" w:hAnsiTheme="minorHAnsi" w:cs="Cambria"/>
          <w:sz w:val="20"/>
          <w:szCs w:val="20"/>
          <w:lang w:val="en-US"/>
        </w:rPr>
        <w:t xml:space="preserve">2018 </w:t>
      </w:r>
      <w:r w:rsidRPr="007D47AD">
        <w:rPr>
          <w:rFonts w:asciiTheme="minorHAnsi" w:hAnsiTheme="minorHAnsi" w:cs="Cambria"/>
          <w:sz w:val="20"/>
          <w:szCs w:val="20"/>
          <w:lang w:val="en-US"/>
        </w:rPr>
        <w:t xml:space="preserve">regarding the situation of violence affecting members of indigenous peoples in Mexico. The IACHR observes that during </w:t>
      </w:r>
      <w:r w:rsidR="001D222F" w:rsidRPr="007D47AD">
        <w:rPr>
          <w:rFonts w:asciiTheme="minorHAnsi" w:hAnsiTheme="minorHAnsi" w:cs="Cambria"/>
          <w:sz w:val="20"/>
          <w:szCs w:val="20"/>
          <w:lang w:val="en-US"/>
        </w:rPr>
        <w:t xml:space="preserve">2019 </w:t>
      </w:r>
      <w:r w:rsidRPr="007D47AD">
        <w:rPr>
          <w:rFonts w:asciiTheme="minorHAnsi" w:hAnsiTheme="minorHAnsi" w:cs="Cambria"/>
          <w:sz w:val="20"/>
          <w:szCs w:val="20"/>
          <w:lang w:val="en-US"/>
        </w:rPr>
        <w:t xml:space="preserve">various members of the </w:t>
      </w:r>
      <w:r w:rsidR="001D222F" w:rsidRPr="007D47AD">
        <w:rPr>
          <w:rFonts w:asciiTheme="minorHAnsi" w:hAnsiTheme="minorHAnsi" w:cs="Cambria"/>
          <w:sz w:val="20"/>
          <w:szCs w:val="20"/>
          <w:lang w:val="en-US"/>
        </w:rPr>
        <w:t>Consejo Nacional In</w:t>
      </w:r>
      <w:r w:rsidR="00061D10" w:rsidRPr="007D47AD">
        <w:rPr>
          <w:rFonts w:asciiTheme="minorHAnsi" w:hAnsiTheme="minorHAnsi" w:cs="Cambria"/>
          <w:sz w:val="20"/>
          <w:szCs w:val="20"/>
          <w:lang w:val="en-US"/>
        </w:rPr>
        <w:t xml:space="preserve">dígena </w:t>
      </w:r>
      <w:r w:rsidR="00295A5C" w:rsidRPr="007D47AD">
        <w:rPr>
          <w:rFonts w:asciiTheme="minorHAnsi" w:hAnsiTheme="minorHAnsi" w:cs="Cambria"/>
          <w:sz w:val="20"/>
          <w:szCs w:val="20"/>
          <w:lang w:val="en-US"/>
        </w:rPr>
        <w:t xml:space="preserve">(National Indigenous Council) </w:t>
      </w:r>
      <w:r w:rsidRPr="007D47AD">
        <w:rPr>
          <w:rFonts w:asciiTheme="minorHAnsi" w:hAnsiTheme="minorHAnsi" w:cs="Cambria"/>
          <w:sz w:val="20"/>
          <w:szCs w:val="20"/>
          <w:lang w:val="en-US"/>
        </w:rPr>
        <w:t xml:space="preserve">have denounced that the drug-trafficking cartels have taken over indigenous territories and natural resources in various parts of Mexico, in addition to having allied with business and governmental megaprojects </w:t>
      </w:r>
      <w:r w:rsidR="00D57E39" w:rsidRPr="007D47AD">
        <w:rPr>
          <w:rFonts w:asciiTheme="minorHAnsi" w:hAnsiTheme="minorHAnsi" w:cs="Cambria"/>
          <w:sz w:val="20"/>
          <w:szCs w:val="20"/>
          <w:lang w:val="en-US"/>
        </w:rPr>
        <w:t xml:space="preserve">earmarked for </w:t>
      </w:r>
      <w:r w:rsidRPr="007D47AD">
        <w:rPr>
          <w:rFonts w:asciiTheme="minorHAnsi" w:hAnsiTheme="minorHAnsi" w:cs="Cambria"/>
          <w:sz w:val="20"/>
          <w:szCs w:val="20"/>
          <w:lang w:val="en-US"/>
        </w:rPr>
        <w:t>the indigenous populations and their defenders.</w:t>
      </w:r>
      <w:r w:rsidR="001D222F" w:rsidRPr="007D47AD">
        <w:rPr>
          <w:rStyle w:val="FootnoteReference"/>
          <w:rFonts w:asciiTheme="minorHAnsi" w:hAnsiTheme="minorHAnsi" w:cs="Cambria"/>
          <w:sz w:val="20"/>
          <w:szCs w:val="20"/>
          <w:lang w:val="en-US"/>
        </w:rPr>
        <w:footnoteReference w:id="321"/>
      </w:r>
      <w:r w:rsidR="001D222F" w:rsidRPr="007D47AD">
        <w:rPr>
          <w:rFonts w:asciiTheme="minorHAnsi" w:hAnsiTheme="minorHAnsi" w:cs="Cambria"/>
          <w:sz w:val="20"/>
          <w:szCs w:val="20"/>
          <w:lang w:val="en-US"/>
        </w:rPr>
        <w:t xml:space="preserve"> </w:t>
      </w:r>
      <w:r w:rsidRPr="007D47AD">
        <w:rPr>
          <w:rFonts w:asciiTheme="minorHAnsi" w:hAnsiTheme="minorHAnsi" w:cs="Cambria"/>
          <w:sz w:val="20"/>
          <w:szCs w:val="20"/>
          <w:lang w:val="en-US"/>
        </w:rPr>
        <w:t>In addition, the Commission observes that some communities are arming to defend themselves, organizing communal guards, police forces, and community vigilante force</w:t>
      </w:r>
      <w:r w:rsidR="00295A5C" w:rsidRPr="007D47AD">
        <w:rPr>
          <w:rFonts w:asciiTheme="minorHAnsi" w:hAnsiTheme="minorHAnsi" w:cs="Cambria"/>
          <w:sz w:val="20"/>
          <w:szCs w:val="20"/>
          <w:lang w:val="en-US"/>
        </w:rPr>
        <w:t xml:space="preserve">s known as </w:t>
      </w:r>
      <w:r w:rsidR="00295A5C" w:rsidRPr="007D47AD">
        <w:rPr>
          <w:rFonts w:asciiTheme="minorHAnsi" w:hAnsiTheme="minorHAnsi" w:cs="Cambria"/>
          <w:i/>
          <w:iCs/>
          <w:sz w:val="20"/>
          <w:szCs w:val="20"/>
          <w:lang w:val="en-US"/>
        </w:rPr>
        <w:t>rondas comunitarias</w:t>
      </w:r>
      <w:r w:rsidRPr="007D47AD">
        <w:rPr>
          <w:rFonts w:asciiTheme="minorHAnsi" w:hAnsiTheme="minorHAnsi" w:cs="Cambria"/>
          <w:sz w:val="20"/>
          <w:szCs w:val="20"/>
          <w:lang w:val="en-US"/>
        </w:rPr>
        <w:t>.</w:t>
      </w:r>
      <w:r w:rsidR="001D222F" w:rsidRPr="007D47AD">
        <w:rPr>
          <w:rStyle w:val="FootnoteReference"/>
          <w:rFonts w:asciiTheme="minorHAnsi" w:hAnsiTheme="minorHAnsi" w:cs="Cambria"/>
          <w:sz w:val="20"/>
          <w:szCs w:val="20"/>
          <w:lang w:val="en-US"/>
        </w:rPr>
        <w:footnoteReference w:id="322"/>
      </w:r>
      <w:r w:rsidRPr="007D47AD">
        <w:rPr>
          <w:rFonts w:asciiTheme="minorHAnsi" w:hAnsiTheme="minorHAnsi" w:cs="Cambria"/>
          <w:sz w:val="20"/>
          <w:szCs w:val="20"/>
          <w:lang w:val="en-US"/>
        </w:rPr>
        <w:t xml:space="preserve"> In that </w:t>
      </w:r>
      <w:r w:rsidR="001D222F" w:rsidRPr="007D47AD">
        <w:rPr>
          <w:rFonts w:asciiTheme="minorHAnsi" w:hAnsiTheme="minorHAnsi" w:cs="Cambria"/>
          <w:sz w:val="20"/>
          <w:szCs w:val="20"/>
          <w:lang w:val="en-US"/>
        </w:rPr>
        <w:t>context</w:t>
      </w:r>
      <w:r w:rsidRPr="007D47AD">
        <w:rPr>
          <w:rFonts w:asciiTheme="minorHAnsi" w:hAnsiTheme="minorHAnsi" w:cs="Cambria"/>
          <w:sz w:val="20"/>
          <w:szCs w:val="20"/>
          <w:lang w:val="en-US"/>
        </w:rPr>
        <w:t xml:space="preserve"> the IACHR has learned of the forced displacements of indigenous peoples. Such is the case of indigenous populations in the state of </w:t>
      </w:r>
      <w:r w:rsidR="001D222F" w:rsidRPr="007D47AD">
        <w:rPr>
          <w:rFonts w:asciiTheme="minorHAnsi" w:hAnsiTheme="minorHAnsi" w:cs="Cambria"/>
          <w:sz w:val="20"/>
          <w:szCs w:val="20"/>
          <w:lang w:val="en-US"/>
        </w:rPr>
        <w:t xml:space="preserve">Guerrero </w:t>
      </w:r>
      <w:r w:rsidRPr="007D47AD">
        <w:rPr>
          <w:rFonts w:asciiTheme="minorHAnsi" w:hAnsiTheme="minorHAnsi" w:cs="Cambria"/>
          <w:sz w:val="20"/>
          <w:szCs w:val="20"/>
          <w:lang w:val="en-US"/>
        </w:rPr>
        <w:t>who early this year had set up camp in the doorways of the National Palace</w:t>
      </w:r>
      <w:r w:rsidR="001D222F" w:rsidRPr="007D47AD">
        <w:rPr>
          <w:rStyle w:val="FootnoteReference"/>
          <w:rFonts w:asciiTheme="minorHAnsi" w:hAnsiTheme="minorHAnsi" w:cs="Cambria"/>
          <w:sz w:val="20"/>
          <w:szCs w:val="20"/>
          <w:lang w:val="en-US"/>
        </w:rPr>
        <w:footnoteReference w:id="323"/>
      </w:r>
      <w:r w:rsidR="001D222F" w:rsidRPr="007D47AD">
        <w:rPr>
          <w:rFonts w:asciiTheme="minorHAnsi" w:hAnsiTheme="minorHAnsi" w:cs="Cambria"/>
          <w:sz w:val="20"/>
          <w:szCs w:val="20"/>
          <w:lang w:val="en-US"/>
        </w:rPr>
        <w:t xml:space="preserve"> </w:t>
      </w:r>
      <w:r w:rsidRPr="007D47AD">
        <w:rPr>
          <w:rFonts w:asciiTheme="minorHAnsi" w:hAnsiTheme="minorHAnsi" w:cs="Cambria"/>
          <w:sz w:val="20"/>
          <w:szCs w:val="20"/>
          <w:lang w:val="en-US"/>
        </w:rPr>
        <w:t xml:space="preserve">and from the </w:t>
      </w:r>
      <w:r w:rsidR="001D222F" w:rsidRPr="007D47AD">
        <w:rPr>
          <w:rFonts w:asciiTheme="minorHAnsi" w:hAnsiTheme="minorHAnsi" w:cs="Cambria"/>
          <w:sz w:val="20"/>
          <w:szCs w:val="20"/>
          <w:lang w:val="en-US"/>
        </w:rPr>
        <w:t xml:space="preserve">Raramuri </w:t>
      </w:r>
      <w:r w:rsidRPr="007D47AD">
        <w:rPr>
          <w:rFonts w:asciiTheme="minorHAnsi" w:hAnsiTheme="minorHAnsi" w:cs="Cambria"/>
          <w:sz w:val="20"/>
          <w:szCs w:val="20"/>
          <w:lang w:val="en-US"/>
        </w:rPr>
        <w:t xml:space="preserve">community of </w:t>
      </w:r>
      <w:r w:rsidR="001D222F" w:rsidRPr="007D47AD">
        <w:rPr>
          <w:rFonts w:asciiTheme="minorHAnsi" w:hAnsiTheme="minorHAnsi" w:cs="Cambria"/>
          <w:sz w:val="20"/>
          <w:szCs w:val="20"/>
          <w:lang w:val="en-US"/>
        </w:rPr>
        <w:t xml:space="preserve">El Manzano, </w:t>
      </w:r>
      <w:r w:rsidRPr="007D47AD">
        <w:rPr>
          <w:rFonts w:asciiTheme="minorHAnsi" w:hAnsiTheme="minorHAnsi" w:cs="Cambria"/>
          <w:sz w:val="20"/>
          <w:szCs w:val="20"/>
          <w:lang w:val="en-US"/>
        </w:rPr>
        <w:t xml:space="preserve">in the north of </w:t>
      </w:r>
      <w:r w:rsidR="001D222F" w:rsidRPr="007D47AD">
        <w:rPr>
          <w:rFonts w:asciiTheme="minorHAnsi" w:hAnsiTheme="minorHAnsi" w:cs="Cambria"/>
          <w:sz w:val="20"/>
          <w:szCs w:val="20"/>
          <w:lang w:val="en-US"/>
        </w:rPr>
        <w:t>M</w:t>
      </w:r>
      <w:r w:rsidRPr="007D47AD">
        <w:rPr>
          <w:rFonts w:asciiTheme="minorHAnsi" w:hAnsiTheme="minorHAnsi" w:cs="Cambria"/>
          <w:sz w:val="20"/>
          <w:szCs w:val="20"/>
          <w:lang w:val="en-US"/>
        </w:rPr>
        <w:t>e</w:t>
      </w:r>
      <w:r w:rsidR="001D222F" w:rsidRPr="007D47AD">
        <w:rPr>
          <w:rFonts w:asciiTheme="minorHAnsi" w:hAnsiTheme="minorHAnsi" w:cs="Cambria"/>
          <w:sz w:val="20"/>
          <w:szCs w:val="20"/>
          <w:lang w:val="en-US"/>
        </w:rPr>
        <w:t xml:space="preserve">xico, </w:t>
      </w:r>
      <w:r w:rsidRPr="007D47AD">
        <w:rPr>
          <w:rFonts w:asciiTheme="minorHAnsi" w:hAnsiTheme="minorHAnsi" w:cs="Cambria"/>
          <w:sz w:val="20"/>
          <w:szCs w:val="20"/>
          <w:lang w:val="en-US"/>
        </w:rPr>
        <w:t xml:space="preserve">which was displaced as </w:t>
      </w:r>
      <w:r w:rsidR="00295A5C" w:rsidRPr="007D47AD">
        <w:rPr>
          <w:rFonts w:asciiTheme="minorHAnsi" w:hAnsiTheme="minorHAnsi" w:cs="Cambria"/>
          <w:sz w:val="20"/>
          <w:szCs w:val="20"/>
          <w:lang w:val="en-US"/>
        </w:rPr>
        <w:t xml:space="preserve">a </w:t>
      </w:r>
      <w:r w:rsidRPr="007D47AD">
        <w:rPr>
          <w:rFonts w:asciiTheme="minorHAnsi" w:hAnsiTheme="minorHAnsi" w:cs="Cambria"/>
          <w:sz w:val="20"/>
          <w:szCs w:val="20"/>
          <w:lang w:val="en-US"/>
        </w:rPr>
        <w:t xml:space="preserve">result of the violence stemming from planting and </w:t>
      </w:r>
      <w:r w:rsidR="00D57E39" w:rsidRPr="007D47AD">
        <w:rPr>
          <w:rFonts w:asciiTheme="minorHAnsi" w:hAnsiTheme="minorHAnsi" w:cs="Cambria"/>
          <w:sz w:val="20"/>
          <w:szCs w:val="20"/>
          <w:lang w:val="en-US"/>
        </w:rPr>
        <w:t xml:space="preserve">transferring </w:t>
      </w:r>
      <w:r w:rsidRPr="007D47AD">
        <w:rPr>
          <w:rFonts w:asciiTheme="minorHAnsi" w:hAnsiTheme="minorHAnsi" w:cs="Cambria"/>
          <w:sz w:val="20"/>
          <w:szCs w:val="20"/>
          <w:lang w:val="en-US"/>
        </w:rPr>
        <w:t xml:space="preserve">drug crops. In this regard, the IACHR notes with concern that this community is the beneficiary of precautionary measures issued by the Commission on April </w:t>
      </w:r>
      <w:r w:rsidR="001D222F" w:rsidRPr="007D47AD">
        <w:rPr>
          <w:rFonts w:asciiTheme="minorHAnsi" w:hAnsiTheme="minorHAnsi" w:cs="Cambria"/>
          <w:sz w:val="20"/>
          <w:szCs w:val="20"/>
          <w:lang w:val="en-US"/>
        </w:rPr>
        <w:t>27</w:t>
      </w:r>
      <w:r w:rsidRPr="007D47AD">
        <w:rPr>
          <w:rFonts w:asciiTheme="minorHAnsi" w:hAnsiTheme="minorHAnsi" w:cs="Cambria"/>
          <w:sz w:val="20"/>
          <w:szCs w:val="20"/>
          <w:lang w:val="en-US"/>
        </w:rPr>
        <w:t>,</w:t>
      </w:r>
      <w:r w:rsidR="001D222F" w:rsidRPr="007D47AD">
        <w:rPr>
          <w:rFonts w:asciiTheme="minorHAnsi" w:hAnsiTheme="minorHAnsi" w:cs="Cambria"/>
          <w:sz w:val="20"/>
          <w:szCs w:val="20"/>
          <w:lang w:val="en-US"/>
        </w:rPr>
        <w:t xml:space="preserve"> 2015</w:t>
      </w:r>
      <w:r w:rsidRPr="007D47AD">
        <w:rPr>
          <w:rFonts w:asciiTheme="minorHAnsi" w:hAnsiTheme="minorHAnsi" w:cs="Cambria"/>
          <w:sz w:val="20"/>
          <w:szCs w:val="20"/>
          <w:lang w:val="en-US"/>
        </w:rPr>
        <w:t>.</w:t>
      </w:r>
      <w:r w:rsidR="001D222F" w:rsidRPr="007D47AD">
        <w:rPr>
          <w:rStyle w:val="FootnoteReference"/>
          <w:rFonts w:asciiTheme="minorHAnsi" w:hAnsiTheme="minorHAnsi" w:cs="Cambria"/>
          <w:sz w:val="20"/>
          <w:szCs w:val="20"/>
          <w:lang w:val="en-US"/>
        </w:rPr>
        <w:footnoteReference w:id="324"/>
      </w:r>
    </w:p>
    <w:p w:rsidR="006043DF" w:rsidRPr="007D47AD" w:rsidRDefault="003A7D73" w:rsidP="008847C9">
      <w:pPr>
        <w:numPr>
          <w:ilvl w:val="0"/>
          <w:numId w:val="6"/>
        </w:numPr>
        <w:shd w:val="clear" w:color="auto" w:fill="FFFFFF"/>
        <w:spacing w:after="240" w:line="240" w:lineRule="auto"/>
        <w:ind w:left="0" w:firstLine="709"/>
        <w:jc w:val="both"/>
        <w:rPr>
          <w:rFonts w:asciiTheme="minorHAnsi" w:hAnsiTheme="minorHAnsi"/>
          <w:sz w:val="20"/>
          <w:szCs w:val="20"/>
          <w:lang w:val="en-US"/>
        </w:rPr>
      </w:pPr>
      <w:r w:rsidRPr="007D47AD">
        <w:rPr>
          <w:rStyle w:val="Strong"/>
          <w:rFonts w:asciiTheme="minorHAnsi" w:hAnsiTheme="minorHAnsi" w:cs="Cambria"/>
          <w:b w:val="0"/>
          <w:color w:val="000000"/>
          <w:sz w:val="20"/>
          <w:szCs w:val="20"/>
          <w:lang w:val="en-US"/>
        </w:rPr>
        <w:t xml:space="preserve">The IACHR has also learned of various acts of </w:t>
      </w:r>
      <w:r w:rsidR="001D222F" w:rsidRPr="007D47AD">
        <w:rPr>
          <w:rStyle w:val="Strong"/>
          <w:rFonts w:asciiTheme="minorHAnsi" w:hAnsiTheme="minorHAnsi" w:cs="Cambria"/>
          <w:b w:val="0"/>
          <w:color w:val="000000"/>
          <w:sz w:val="20"/>
          <w:szCs w:val="20"/>
          <w:lang w:val="en-US"/>
        </w:rPr>
        <w:t>violenc</w:t>
      </w:r>
      <w:r w:rsidRPr="007D47AD">
        <w:rPr>
          <w:rStyle w:val="Strong"/>
          <w:rFonts w:asciiTheme="minorHAnsi" w:hAnsiTheme="minorHAnsi" w:cs="Cambria"/>
          <w:b w:val="0"/>
          <w:color w:val="000000"/>
          <w:sz w:val="20"/>
          <w:szCs w:val="20"/>
          <w:lang w:val="en-US"/>
        </w:rPr>
        <w:t xml:space="preserve">e in the south of </w:t>
      </w:r>
      <w:r w:rsidR="001D222F" w:rsidRPr="007D47AD">
        <w:rPr>
          <w:rStyle w:val="Strong"/>
          <w:rFonts w:asciiTheme="minorHAnsi" w:hAnsiTheme="minorHAnsi" w:cs="Cambria"/>
          <w:b w:val="0"/>
          <w:color w:val="000000"/>
          <w:sz w:val="20"/>
          <w:szCs w:val="20"/>
          <w:lang w:val="en-US"/>
        </w:rPr>
        <w:t>M</w:t>
      </w:r>
      <w:r w:rsidRPr="007D47AD">
        <w:rPr>
          <w:rStyle w:val="Strong"/>
          <w:rFonts w:asciiTheme="minorHAnsi" w:hAnsiTheme="minorHAnsi" w:cs="Cambria"/>
          <w:b w:val="0"/>
          <w:color w:val="000000"/>
          <w:sz w:val="20"/>
          <w:szCs w:val="20"/>
          <w:lang w:val="en-US"/>
        </w:rPr>
        <w:t>e</w:t>
      </w:r>
      <w:r w:rsidR="001D222F" w:rsidRPr="007D47AD">
        <w:rPr>
          <w:rStyle w:val="Strong"/>
          <w:rFonts w:asciiTheme="minorHAnsi" w:hAnsiTheme="minorHAnsi" w:cs="Cambria"/>
          <w:b w:val="0"/>
          <w:color w:val="000000"/>
          <w:sz w:val="20"/>
          <w:szCs w:val="20"/>
          <w:lang w:val="en-US"/>
        </w:rPr>
        <w:t xml:space="preserve">xico, </w:t>
      </w:r>
      <w:r w:rsidRPr="007D47AD">
        <w:rPr>
          <w:rStyle w:val="Strong"/>
          <w:rFonts w:asciiTheme="minorHAnsi" w:hAnsiTheme="minorHAnsi" w:cs="Cambria"/>
          <w:b w:val="0"/>
          <w:color w:val="000000"/>
          <w:sz w:val="20"/>
          <w:szCs w:val="20"/>
          <w:lang w:val="en-US"/>
        </w:rPr>
        <w:t xml:space="preserve">where </w:t>
      </w:r>
      <w:r w:rsidR="001D222F" w:rsidRPr="007D47AD">
        <w:rPr>
          <w:rStyle w:val="Strong"/>
          <w:rFonts w:asciiTheme="minorHAnsi" w:hAnsiTheme="minorHAnsi" w:cs="Cambria"/>
          <w:b w:val="0"/>
          <w:color w:val="000000"/>
          <w:sz w:val="20"/>
          <w:szCs w:val="20"/>
          <w:lang w:val="en-US"/>
        </w:rPr>
        <w:t>Tzotzil</w:t>
      </w:r>
      <w:r w:rsidRPr="007D47AD">
        <w:rPr>
          <w:rStyle w:val="Strong"/>
          <w:rFonts w:asciiTheme="minorHAnsi" w:hAnsiTheme="minorHAnsi" w:cs="Cambria"/>
          <w:b w:val="0"/>
          <w:color w:val="000000"/>
          <w:sz w:val="20"/>
          <w:szCs w:val="20"/>
          <w:lang w:val="en-US"/>
        </w:rPr>
        <w:t xml:space="preserve"> indigenous populations from the neighboring municipalities of </w:t>
      </w:r>
      <w:r w:rsidR="001D222F" w:rsidRPr="007D47AD">
        <w:rPr>
          <w:rStyle w:val="Strong"/>
          <w:rFonts w:asciiTheme="minorHAnsi" w:hAnsiTheme="minorHAnsi" w:cs="Cambria"/>
          <w:b w:val="0"/>
          <w:color w:val="000000"/>
          <w:sz w:val="20"/>
          <w:szCs w:val="20"/>
          <w:lang w:val="en-US"/>
        </w:rPr>
        <w:t xml:space="preserve">Chalchihuitán </w:t>
      </w:r>
      <w:r w:rsidRPr="007D47AD">
        <w:rPr>
          <w:rStyle w:val="Strong"/>
          <w:rFonts w:asciiTheme="minorHAnsi" w:hAnsiTheme="minorHAnsi" w:cs="Cambria"/>
          <w:b w:val="0"/>
          <w:color w:val="000000"/>
          <w:sz w:val="20"/>
          <w:szCs w:val="20"/>
          <w:lang w:val="en-US"/>
        </w:rPr>
        <w:t xml:space="preserve">and </w:t>
      </w:r>
      <w:r w:rsidR="001D222F" w:rsidRPr="007D47AD">
        <w:rPr>
          <w:rStyle w:val="Strong"/>
          <w:rFonts w:asciiTheme="minorHAnsi" w:hAnsiTheme="minorHAnsi" w:cs="Cambria"/>
          <w:b w:val="0"/>
          <w:color w:val="000000"/>
          <w:sz w:val="20"/>
          <w:szCs w:val="20"/>
          <w:lang w:val="en-US"/>
        </w:rPr>
        <w:t xml:space="preserve">Chenalhó </w:t>
      </w:r>
      <w:r w:rsidRPr="007D47AD">
        <w:rPr>
          <w:rStyle w:val="Strong"/>
          <w:rFonts w:asciiTheme="minorHAnsi" w:hAnsiTheme="minorHAnsi" w:cs="Cambria"/>
          <w:b w:val="0"/>
          <w:color w:val="000000"/>
          <w:sz w:val="20"/>
          <w:szCs w:val="20"/>
          <w:lang w:val="en-US"/>
        </w:rPr>
        <w:t xml:space="preserve">were said to have confronted one another over property rights in </w:t>
      </w:r>
      <w:r w:rsidR="001D222F" w:rsidRPr="007D47AD">
        <w:rPr>
          <w:rFonts w:asciiTheme="minorHAnsi" w:hAnsiTheme="minorHAnsi" w:cs="Cambria"/>
          <w:color w:val="000000"/>
          <w:sz w:val="20"/>
          <w:szCs w:val="20"/>
          <w:lang w:val="en-US"/>
        </w:rPr>
        <w:t xml:space="preserve">363 </w:t>
      </w:r>
      <w:r w:rsidRPr="007D47AD">
        <w:rPr>
          <w:rFonts w:asciiTheme="minorHAnsi" w:hAnsiTheme="minorHAnsi" w:cs="Cambria"/>
          <w:color w:val="000000"/>
          <w:sz w:val="20"/>
          <w:szCs w:val="20"/>
          <w:lang w:val="en-US"/>
        </w:rPr>
        <w:t xml:space="preserve">hectares of fertile lands.  That </w:t>
      </w:r>
      <w:r w:rsidR="00295A5C" w:rsidRPr="007D47AD">
        <w:rPr>
          <w:rFonts w:asciiTheme="minorHAnsi" w:hAnsiTheme="minorHAnsi" w:cs="Cambria"/>
          <w:color w:val="000000"/>
          <w:sz w:val="20"/>
          <w:szCs w:val="20"/>
          <w:lang w:val="en-US"/>
        </w:rPr>
        <w:t>grievance</w:t>
      </w:r>
      <w:r w:rsidR="00D57E39" w:rsidRPr="007D47AD">
        <w:rPr>
          <w:rFonts w:asciiTheme="minorHAnsi" w:hAnsiTheme="minorHAnsi" w:cs="Cambria"/>
          <w:color w:val="000000"/>
          <w:sz w:val="20"/>
          <w:szCs w:val="20"/>
          <w:lang w:val="en-US"/>
        </w:rPr>
        <w:t xml:space="preserve">, </w:t>
      </w:r>
      <w:r w:rsidRPr="007D47AD">
        <w:rPr>
          <w:rFonts w:asciiTheme="minorHAnsi" w:hAnsiTheme="minorHAnsi" w:cs="Cambria"/>
          <w:color w:val="000000"/>
          <w:sz w:val="20"/>
          <w:szCs w:val="20"/>
          <w:lang w:val="en-US"/>
        </w:rPr>
        <w:t xml:space="preserve">which stretches back more than </w:t>
      </w:r>
      <w:r w:rsidR="001D222F" w:rsidRPr="007D47AD">
        <w:rPr>
          <w:rFonts w:asciiTheme="minorHAnsi" w:hAnsiTheme="minorHAnsi" w:cs="Cambria"/>
          <w:color w:val="000000"/>
          <w:sz w:val="20"/>
          <w:szCs w:val="20"/>
          <w:lang w:val="en-US"/>
        </w:rPr>
        <w:t xml:space="preserve">40 </w:t>
      </w:r>
      <w:r w:rsidRPr="007D47AD">
        <w:rPr>
          <w:rFonts w:asciiTheme="minorHAnsi" w:hAnsiTheme="minorHAnsi" w:cs="Cambria"/>
          <w:color w:val="000000"/>
          <w:sz w:val="20"/>
          <w:szCs w:val="20"/>
          <w:lang w:val="en-US"/>
        </w:rPr>
        <w:t xml:space="preserve">years, was said to provoke the forced displacement of thousands of persons and more than 30 homicides in the first half of </w:t>
      </w:r>
      <w:r w:rsidR="001D222F" w:rsidRPr="007D47AD">
        <w:rPr>
          <w:rFonts w:asciiTheme="minorHAnsi" w:hAnsiTheme="minorHAnsi" w:cs="Cambria"/>
          <w:color w:val="000000"/>
          <w:sz w:val="20"/>
          <w:szCs w:val="20"/>
          <w:lang w:val="en-US"/>
        </w:rPr>
        <w:t xml:space="preserve">2019. </w:t>
      </w:r>
      <w:r w:rsidRPr="007D47AD">
        <w:rPr>
          <w:rFonts w:asciiTheme="minorHAnsi" w:hAnsiTheme="minorHAnsi" w:cs="Cambria"/>
          <w:color w:val="000000"/>
          <w:sz w:val="20"/>
          <w:szCs w:val="20"/>
          <w:lang w:val="en-US"/>
        </w:rPr>
        <w:t>In this regard, the IACHR is pleased to note the announcement of the Mexican government on a pact between those communities and the authorities of</w:t>
      </w:r>
      <w:r w:rsidR="00D57E39" w:rsidRPr="007D47AD">
        <w:rPr>
          <w:rFonts w:asciiTheme="minorHAnsi" w:hAnsiTheme="minorHAnsi" w:cs="Cambria"/>
          <w:color w:val="000000"/>
          <w:sz w:val="20"/>
          <w:szCs w:val="20"/>
          <w:lang w:val="en-US"/>
        </w:rPr>
        <w:t xml:space="preserve"> the</w:t>
      </w:r>
      <w:r w:rsidRPr="007D47AD">
        <w:rPr>
          <w:rFonts w:asciiTheme="minorHAnsi" w:hAnsiTheme="minorHAnsi" w:cs="Cambria"/>
          <w:color w:val="000000"/>
          <w:sz w:val="20"/>
          <w:szCs w:val="20"/>
          <w:lang w:val="en-US"/>
        </w:rPr>
        <w:t xml:space="preserve"> Chiapas Highlands on June </w:t>
      </w:r>
      <w:r w:rsidR="001D222F" w:rsidRPr="007D47AD">
        <w:rPr>
          <w:rFonts w:asciiTheme="minorHAnsi" w:hAnsiTheme="minorHAnsi" w:cs="Cambria"/>
          <w:color w:val="000000"/>
          <w:sz w:val="20"/>
          <w:szCs w:val="20"/>
          <w:lang w:val="en-US"/>
        </w:rPr>
        <w:t>5</w:t>
      </w:r>
      <w:r w:rsidRPr="007D47AD">
        <w:rPr>
          <w:rFonts w:asciiTheme="minorHAnsi" w:hAnsiTheme="minorHAnsi" w:cs="Cambria"/>
          <w:color w:val="000000"/>
          <w:sz w:val="20"/>
          <w:szCs w:val="20"/>
          <w:lang w:val="en-US"/>
        </w:rPr>
        <w:t>,</w:t>
      </w:r>
      <w:r w:rsidR="001D222F" w:rsidRPr="007D47AD">
        <w:rPr>
          <w:rFonts w:asciiTheme="minorHAnsi" w:hAnsiTheme="minorHAnsi" w:cs="Cambria"/>
          <w:color w:val="000000"/>
          <w:sz w:val="20"/>
          <w:szCs w:val="20"/>
          <w:lang w:val="en-US"/>
        </w:rPr>
        <w:t xml:space="preserve"> 2019.</w:t>
      </w:r>
      <w:r w:rsidR="001D222F" w:rsidRPr="007D47AD">
        <w:rPr>
          <w:rStyle w:val="FootnoteReference"/>
          <w:rFonts w:asciiTheme="minorHAnsi" w:hAnsiTheme="minorHAnsi" w:cs="Cambria"/>
          <w:color w:val="000000"/>
          <w:sz w:val="20"/>
          <w:szCs w:val="20"/>
          <w:lang w:val="en-US"/>
        </w:rPr>
        <w:footnoteReference w:id="325"/>
      </w:r>
      <w:r w:rsidR="001D222F" w:rsidRPr="007D47AD">
        <w:rPr>
          <w:rFonts w:asciiTheme="minorHAnsi" w:hAnsiTheme="minorHAnsi" w:cs="Cambria"/>
          <w:color w:val="000000"/>
          <w:sz w:val="20"/>
          <w:szCs w:val="20"/>
          <w:lang w:val="en-US"/>
        </w:rPr>
        <w:t xml:space="preserve"> </w:t>
      </w:r>
    </w:p>
    <w:p w:rsidR="006043DF" w:rsidRPr="007D47AD" w:rsidRDefault="003A7D73" w:rsidP="008847C9">
      <w:pPr>
        <w:numPr>
          <w:ilvl w:val="0"/>
          <w:numId w:val="6"/>
        </w:numPr>
        <w:shd w:val="clear" w:color="auto" w:fill="FFFFFF"/>
        <w:spacing w:after="240" w:line="240" w:lineRule="auto"/>
        <w:ind w:left="0" w:firstLine="709"/>
        <w:jc w:val="both"/>
        <w:rPr>
          <w:rFonts w:asciiTheme="minorHAnsi" w:hAnsiTheme="minorHAnsi"/>
          <w:sz w:val="20"/>
          <w:szCs w:val="20"/>
          <w:lang w:val="en-US"/>
        </w:rPr>
      </w:pPr>
      <w:r w:rsidRPr="007D47AD">
        <w:rPr>
          <w:rFonts w:asciiTheme="minorHAnsi" w:hAnsiTheme="minorHAnsi"/>
          <w:sz w:val="20"/>
          <w:szCs w:val="20"/>
          <w:lang w:val="en-US"/>
        </w:rPr>
        <w:t>In view of the foregoing, the IACHR maintains that this recommendation continues to meet with partial compliance</w:t>
      </w:r>
      <w:r w:rsidR="006043DF" w:rsidRPr="007D47AD">
        <w:rPr>
          <w:rFonts w:asciiTheme="minorHAnsi" w:hAnsiTheme="minorHAnsi"/>
          <w:sz w:val="20"/>
          <w:szCs w:val="20"/>
          <w:lang w:val="en-US"/>
        </w:rPr>
        <w:t>.</w:t>
      </w:r>
    </w:p>
    <w:p w:rsidR="004711B5" w:rsidRPr="007D47AD" w:rsidRDefault="003A7D73" w:rsidP="008847C9">
      <w:pPr>
        <w:numPr>
          <w:ilvl w:val="0"/>
          <w:numId w:val="6"/>
        </w:numPr>
        <w:shd w:val="clear" w:color="auto" w:fill="FFFFFF"/>
        <w:spacing w:after="0" w:line="240" w:lineRule="auto"/>
        <w:ind w:left="0" w:firstLine="709"/>
        <w:jc w:val="both"/>
        <w:rPr>
          <w:rFonts w:asciiTheme="minorHAnsi" w:hAnsiTheme="minorHAnsi"/>
          <w:sz w:val="20"/>
          <w:szCs w:val="20"/>
          <w:lang w:val="en-US"/>
        </w:rPr>
      </w:pPr>
      <w:r w:rsidRPr="007D47AD">
        <w:rPr>
          <w:rFonts w:asciiTheme="minorHAnsi" w:hAnsiTheme="minorHAnsi"/>
          <w:sz w:val="20"/>
          <w:szCs w:val="20"/>
          <w:lang w:val="en-US"/>
        </w:rPr>
        <w:t xml:space="preserve">With respect to the recommendation </w:t>
      </w:r>
      <w:r w:rsidRPr="007D47AD">
        <w:rPr>
          <w:rFonts w:asciiTheme="minorHAnsi" w:hAnsiTheme="minorHAnsi"/>
          <w:b/>
          <w:sz w:val="20"/>
          <w:szCs w:val="20"/>
          <w:lang w:val="en-US"/>
        </w:rPr>
        <w:t>to gu</w:t>
      </w:r>
      <w:r w:rsidR="009C095D" w:rsidRPr="007D47AD">
        <w:rPr>
          <w:rFonts w:asciiTheme="minorHAnsi" w:hAnsiTheme="minorHAnsi"/>
          <w:b/>
          <w:sz w:val="20"/>
          <w:szCs w:val="20"/>
          <w:lang w:val="en-US"/>
        </w:rPr>
        <w:t>arant</w:t>
      </w:r>
      <w:r w:rsidRPr="007D47AD">
        <w:rPr>
          <w:rFonts w:asciiTheme="minorHAnsi" w:hAnsiTheme="minorHAnsi"/>
          <w:b/>
          <w:sz w:val="20"/>
          <w:szCs w:val="20"/>
          <w:lang w:val="en-US"/>
        </w:rPr>
        <w:t>ee the availability of interpreters</w:t>
      </w:r>
      <w:r w:rsidR="009C095D" w:rsidRPr="007D47AD">
        <w:rPr>
          <w:rFonts w:asciiTheme="minorHAnsi" w:hAnsiTheme="minorHAnsi"/>
          <w:sz w:val="20"/>
          <w:szCs w:val="20"/>
          <w:lang w:val="en-US"/>
        </w:rPr>
        <w:t xml:space="preserve">, </w:t>
      </w:r>
      <w:r w:rsidRPr="007D47AD">
        <w:rPr>
          <w:rFonts w:asciiTheme="minorHAnsi" w:hAnsiTheme="minorHAnsi"/>
          <w:sz w:val="20"/>
          <w:szCs w:val="20"/>
          <w:lang w:val="en-US"/>
        </w:rPr>
        <w:t xml:space="preserve">the State reported that the Federal Institute of Public Defense </w:t>
      </w:r>
      <w:r w:rsidR="001B1D10" w:rsidRPr="007D47AD">
        <w:rPr>
          <w:rFonts w:asciiTheme="minorHAnsi" w:hAnsiTheme="minorHAnsi"/>
          <w:sz w:val="20"/>
          <w:szCs w:val="20"/>
          <w:lang w:val="en-US"/>
        </w:rPr>
        <w:t>ha</w:t>
      </w:r>
      <w:r w:rsidRPr="007D47AD">
        <w:rPr>
          <w:rFonts w:asciiTheme="minorHAnsi" w:hAnsiTheme="minorHAnsi"/>
          <w:sz w:val="20"/>
          <w:szCs w:val="20"/>
          <w:lang w:val="en-US"/>
        </w:rPr>
        <w:t>s</w:t>
      </w:r>
      <w:r w:rsidR="001B1D10" w:rsidRPr="007D47AD">
        <w:rPr>
          <w:rFonts w:asciiTheme="minorHAnsi" w:hAnsiTheme="minorHAnsi"/>
          <w:sz w:val="20"/>
          <w:szCs w:val="20"/>
          <w:lang w:val="en-US"/>
        </w:rPr>
        <w:t xml:space="preserve"> </w:t>
      </w:r>
      <w:r w:rsidRPr="007D47AD">
        <w:rPr>
          <w:rFonts w:asciiTheme="minorHAnsi" w:hAnsiTheme="minorHAnsi"/>
          <w:sz w:val="20"/>
          <w:szCs w:val="20"/>
          <w:lang w:val="en-US"/>
        </w:rPr>
        <w:t xml:space="preserve">substantially increased the number of </w:t>
      </w:r>
      <w:r w:rsidR="000563CB" w:rsidRPr="007D47AD">
        <w:rPr>
          <w:rFonts w:asciiTheme="minorHAnsi" w:hAnsiTheme="minorHAnsi"/>
          <w:sz w:val="20"/>
          <w:szCs w:val="20"/>
          <w:lang w:val="en-US"/>
        </w:rPr>
        <w:t xml:space="preserve">indigenous languages in which it can provide legal services. According to the information received, it went from </w:t>
      </w:r>
      <w:r w:rsidR="001B1D10" w:rsidRPr="007D47AD">
        <w:rPr>
          <w:rFonts w:asciiTheme="minorHAnsi" w:hAnsiTheme="minorHAnsi"/>
          <w:sz w:val="20"/>
          <w:szCs w:val="20"/>
          <w:lang w:val="en-US"/>
        </w:rPr>
        <w:t xml:space="preserve">39 </w:t>
      </w:r>
      <w:r w:rsidR="000563CB" w:rsidRPr="007D47AD">
        <w:rPr>
          <w:rFonts w:asciiTheme="minorHAnsi" w:hAnsiTheme="minorHAnsi"/>
          <w:sz w:val="20"/>
          <w:szCs w:val="20"/>
          <w:lang w:val="en-US"/>
        </w:rPr>
        <w:t xml:space="preserve">languages in </w:t>
      </w:r>
      <w:r w:rsidR="001B1D10" w:rsidRPr="007D47AD">
        <w:rPr>
          <w:rFonts w:asciiTheme="minorHAnsi" w:hAnsiTheme="minorHAnsi"/>
          <w:sz w:val="20"/>
          <w:szCs w:val="20"/>
          <w:lang w:val="en-US"/>
        </w:rPr>
        <w:t xml:space="preserve">2018 </w:t>
      </w:r>
      <w:r w:rsidR="000563CB" w:rsidRPr="007D47AD">
        <w:rPr>
          <w:rFonts w:asciiTheme="minorHAnsi" w:hAnsiTheme="minorHAnsi"/>
          <w:sz w:val="20"/>
          <w:szCs w:val="20"/>
          <w:lang w:val="en-US"/>
        </w:rPr>
        <w:t xml:space="preserve">to </w:t>
      </w:r>
      <w:r w:rsidR="001B1D10" w:rsidRPr="007D47AD">
        <w:rPr>
          <w:rFonts w:asciiTheme="minorHAnsi" w:hAnsiTheme="minorHAnsi"/>
          <w:sz w:val="20"/>
          <w:szCs w:val="20"/>
          <w:lang w:val="en-US"/>
        </w:rPr>
        <w:t xml:space="preserve">97 </w:t>
      </w:r>
      <w:r w:rsidR="000563CB" w:rsidRPr="007D47AD">
        <w:rPr>
          <w:rFonts w:asciiTheme="minorHAnsi" w:hAnsiTheme="minorHAnsi"/>
          <w:sz w:val="20"/>
          <w:szCs w:val="20"/>
          <w:lang w:val="en-US"/>
        </w:rPr>
        <w:t xml:space="preserve">in </w:t>
      </w:r>
      <w:r w:rsidR="001B1D10" w:rsidRPr="007D47AD">
        <w:rPr>
          <w:rFonts w:asciiTheme="minorHAnsi" w:hAnsiTheme="minorHAnsi"/>
          <w:sz w:val="20"/>
          <w:szCs w:val="20"/>
          <w:lang w:val="en-US"/>
        </w:rPr>
        <w:t>2019</w:t>
      </w:r>
      <w:r w:rsidR="000563CB" w:rsidRPr="007D47AD">
        <w:rPr>
          <w:rFonts w:asciiTheme="minorHAnsi" w:hAnsiTheme="minorHAnsi"/>
          <w:sz w:val="20"/>
          <w:szCs w:val="20"/>
          <w:lang w:val="en-US"/>
        </w:rPr>
        <w:t xml:space="preserve">; the service is provided by 85 persons, 42 of whom are public defenders, and 39 administrative officers, </w:t>
      </w:r>
      <w:r w:rsidR="00E75145" w:rsidRPr="007D47AD">
        <w:rPr>
          <w:rFonts w:asciiTheme="minorHAnsi" w:hAnsiTheme="minorHAnsi"/>
          <w:sz w:val="20"/>
          <w:szCs w:val="20"/>
          <w:lang w:val="en-US"/>
        </w:rPr>
        <w:t>one</w:t>
      </w:r>
      <w:r w:rsidR="000563CB" w:rsidRPr="007D47AD">
        <w:rPr>
          <w:rFonts w:asciiTheme="minorHAnsi" w:hAnsiTheme="minorHAnsi"/>
          <w:sz w:val="20"/>
          <w:szCs w:val="20"/>
          <w:lang w:val="en-US"/>
        </w:rPr>
        <w:t xml:space="preserve"> department chief,</w:t>
      </w:r>
      <w:r w:rsidR="00E75145" w:rsidRPr="007D47AD">
        <w:rPr>
          <w:rFonts w:asciiTheme="minorHAnsi" w:hAnsiTheme="minorHAnsi"/>
          <w:sz w:val="20"/>
          <w:szCs w:val="20"/>
          <w:lang w:val="en-US"/>
        </w:rPr>
        <w:t xml:space="preserve"> one </w:t>
      </w:r>
      <w:r w:rsidR="000563CB" w:rsidRPr="007D47AD">
        <w:rPr>
          <w:rFonts w:asciiTheme="minorHAnsi" w:hAnsiTheme="minorHAnsi"/>
          <w:sz w:val="20"/>
          <w:szCs w:val="20"/>
          <w:lang w:val="en-US"/>
        </w:rPr>
        <w:t xml:space="preserve">liaison, </w:t>
      </w:r>
      <w:r w:rsidR="00E75145" w:rsidRPr="007D47AD">
        <w:rPr>
          <w:rFonts w:asciiTheme="minorHAnsi" w:hAnsiTheme="minorHAnsi"/>
          <w:sz w:val="20"/>
          <w:szCs w:val="20"/>
          <w:lang w:val="en-US"/>
        </w:rPr>
        <w:t xml:space="preserve">one </w:t>
      </w:r>
      <w:r w:rsidR="000563CB" w:rsidRPr="007D47AD">
        <w:rPr>
          <w:rFonts w:asciiTheme="minorHAnsi" w:hAnsiTheme="minorHAnsi"/>
          <w:sz w:val="20"/>
          <w:szCs w:val="20"/>
          <w:lang w:val="en-US"/>
        </w:rPr>
        <w:t xml:space="preserve">maintenance officer, and </w:t>
      </w:r>
      <w:r w:rsidR="00E75145" w:rsidRPr="007D47AD">
        <w:rPr>
          <w:rFonts w:asciiTheme="minorHAnsi" w:hAnsiTheme="minorHAnsi"/>
          <w:sz w:val="20"/>
          <w:szCs w:val="20"/>
          <w:lang w:val="en-US"/>
        </w:rPr>
        <w:t xml:space="preserve">one </w:t>
      </w:r>
      <w:r w:rsidR="000563CB" w:rsidRPr="007D47AD">
        <w:rPr>
          <w:rFonts w:asciiTheme="minorHAnsi" w:hAnsiTheme="minorHAnsi"/>
          <w:sz w:val="20"/>
          <w:szCs w:val="20"/>
          <w:lang w:val="en-US"/>
        </w:rPr>
        <w:t>analyst. The State indicated that it considered that this recommendation had met with full compliance.</w:t>
      </w:r>
      <w:r w:rsidR="004711B5" w:rsidRPr="007D47AD">
        <w:rPr>
          <w:rStyle w:val="FootnoteReference"/>
          <w:rFonts w:asciiTheme="minorHAnsi" w:hAnsiTheme="minorHAnsi"/>
          <w:sz w:val="20"/>
          <w:szCs w:val="20"/>
          <w:lang w:val="en-US"/>
        </w:rPr>
        <w:footnoteReference w:id="326"/>
      </w:r>
    </w:p>
    <w:p w:rsidR="00D937BC" w:rsidRPr="007D47AD" w:rsidRDefault="00D937BC" w:rsidP="00D937BC">
      <w:pPr>
        <w:shd w:val="clear" w:color="auto" w:fill="FFFFFF"/>
        <w:spacing w:after="0" w:line="240" w:lineRule="auto"/>
        <w:ind w:left="709"/>
        <w:jc w:val="both"/>
        <w:rPr>
          <w:rFonts w:asciiTheme="minorHAnsi" w:hAnsiTheme="minorHAnsi"/>
          <w:sz w:val="20"/>
          <w:szCs w:val="20"/>
          <w:lang w:val="en-US"/>
        </w:rPr>
      </w:pPr>
    </w:p>
    <w:p w:rsidR="00962CC3" w:rsidRPr="007D47AD" w:rsidRDefault="000563CB" w:rsidP="00466C79">
      <w:pPr>
        <w:numPr>
          <w:ilvl w:val="0"/>
          <w:numId w:val="6"/>
        </w:numPr>
        <w:shd w:val="clear" w:color="auto" w:fill="FFFFFF"/>
        <w:spacing w:after="0" w:line="240" w:lineRule="auto"/>
        <w:ind w:left="0" w:firstLine="709"/>
        <w:jc w:val="both"/>
        <w:rPr>
          <w:rFonts w:asciiTheme="minorHAnsi" w:hAnsiTheme="minorHAnsi"/>
          <w:sz w:val="20"/>
          <w:szCs w:val="20"/>
          <w:lang w:val="en-US"/>
        </w:rPr>
      </w:pPr>
      <w:r w:rsidRPr="007D47AD">
        <w:rPr>
          <w:rFonts w:asciiTheme="minorHAnsi" w:hAnsiTheme="minorHAnsi"/>
          <w:sz w:val="20"/>
          <w:szCs w:val="20"/>
          <w:lang w:val="en-US"/>
        </w:rPr>
        <w:t xml:space="preserve">The State also recalled that Article </w:t>
      </w:r>
      <w:r w:rsidR="004711B5" w:rsidRPr="007D47AD">
        <w:rPr>
          <w:rFonts w:asciiTheme="minorHAnsi" w:hAnsiTheme="minorHAnsi"/>
          <w:sz w:val="20"/>
          <w:szCs w:val="20"/>
          <w:lang w:val="en-US"/>
        </w:rPr>
        <w:t xml:space="preserve">10 </w:t>
      </w:r>
      <w:r w:rsidRPr="007D47AD">
        <w:rPr>
          <w:rFonts w:asciiTheme="minorHAnsi" w:hAnsiTheme="minorHAnsi"/>
          <w:sz w:val="20"/>
          <w:szCs w:val="20"/>
          <w:lang w:val="en-US"/>
        </w:rPr>
        <w:t xml:space="preserve">of the General Law on Linguistic Rights of Indigenous Peoples provides: “The federal authorities responsible for </w:t>
      </w:r>
      <w:r w:rsidR="00E75145" w:rsidRPr="007D47AD">
        <w:rPr>
          <w:rFonts w:asciiTheme="minorHAnsi" w:hAnsiTheme="minorHAnsi"/>
          <w:sz w:val="20"/>
          <w:szCs w:val="20"/>
          <w:lang w:val="en-US"/>
        </w:rPr>
        <w:t xml:space="preserve">justice and law enforcement, including the agrarian and labor laws, </w:t>
      </w:r>
      <w:r w:rsidRPr="007D47AD">
        <w:rPr>
          <w:rFonts w:asciiTheme="minorHAnsi" w:hAnsiTheme="minorHAnsi"/>
          <w:sz w:val="20"/>
          <w:szCs w:val="20"/>
          <w:lang w:val="en-US"/>
        </w:rPr>
        <w:t xml:space="preserve">shall provide as necessary so that in such proceedings as are held indigenous persons </w:t>
      </w:r>
      <w:r w:rsidR="00E75145" w:rsidRPr="007D47AD">
        <w:rPr>
          <w:rFonts w:asciiTheme="minorHAnsi" w:hAnsiTheme="minorHAnsi"/>
          <w:sz w:val="20"/>
          <w:szCs w:val="20"/>
          <w:lang w:val="en-US"/>
        </w:rPr>
        <w:t xml:space="preserve">are </w:t>
      </w:r>
      <w:r w:rsidRPr="007D47AD">
        <w:rPr>
          <w:rFonts w:asciiTheme="minorHAnsi" w:hAnsiTheme="minorHAnsi"/>
          <w:sz w:val="20"/>
          <w:szCs w:val="20"/>
          <w:lang w:val="en-US"/>
        </w:rPr>
        <w:t>given assistance free of charge, at all times, for interpreters and defense counsel who are knowledgeable of their indigenous language and culture.” Under this legal premise, the National Institute of Indigenous Languages (</w:t>
      </w:r>
      <w:r w:rsidR="004711B5" w:rsidRPr="007D47AD">
        <w:rPr>
          <w:rFonts w:asciiTheme="minorHAnsi" w:hAnsiTheme="minorHAnsi"/>
          <w:sz w:val="20"/>
          <w:szCs w:val="20"/>
          <w:lang w:val="en-US"/>
        </w:rPr>
        <w:t>INALI</w:t>
      </w:r>
      <w:r w:rsidRPr="007D47AD">
        <w:rPr>
          <w:rFonts w:asciiTheme="minorHAnsi" w:hAnsiTheme="minorHAnsi"/>
          <w:sz w:val="20"/>
          <w:szCs w:val="20"/>
          <w:lang w:val="en-US"/>
        </w:rPr>
        <w:t>: Instituto Nacional de Lenguas Indígenas)</w:t>
      </w:r>
      <w:r w:rsidR="004711B5" w:rsidRPr="007D47AD">
        <w:rPr>
          <w:rFonts w:asciiTheme="minorHAnsi" w:hAnsiTheme="minorHAnsi"/>
          <w:sz w:val="20"/>
          <w:szCs w:val="20"/>
          <w:lang w:val="en-US"/>
        </w:rPr>
        <w:t xml:space="preserve"> </w:t>
      </w:r>
      <w:r w:rsidRPr="007D47AD">
        <w:rPr>
          <w:rFonts w:asciiTheme="minorHAnsi" w:hAnsiTheme="minorHAnsi"/>
          <w:sz w:val="20"/>
          <w:szCs w:val="20"/>
          <w:lang w:val="en-US"/>
        </w:rPr>
        <w:t>has the National Registry of Interpreters and Translators in Indigenous Languages</w:t>
      </w:r>
      <w:r w:rsidR="004711B5" w:rsidRPr="007D47AD">
        <w:rPr>
          <w:rFonts w:asciiTheme="minorHAnsi" w:hAnsiTheme="minorHAnsi"/>
          <w:sz w:val="20"/>
          <w:szCs w:val="20"/>
          <w:lang w:val="en-US"/>
        </w:rPr>
        <w:t xml:space="preserve"> – PANITLI, </w:t>
      </w:r>
      <w:r w:rsidRPr="007D47AD">
        <w:rPr>
          <w:rFonts w:asciiTheme="minorHAnsi" w:hAnsiTheme="minorHAnsi"/>
          <w:sz w:val="20"/>
          <w:szCs w:val="20"/>
          <w:lang w:val="en-US"/>
        </w:rPr>
        <w:t xml:space="preserve">which as </w:t>
      </w:r>
      <w:r w:rsidR="00E75145" w:rsidRPr="007D47AD">
        <w:rPr>
          <w:rFonts w:asciiTheme="minorHAnsi" w:hAnsiTheme="minorHAnsi"/>
          <w:sz w:val="20"/>
          <w:szCs w:val="20"/>
          <w:lang w:val="en-US"/>
        </w:rPr>
        <w:t xml:space="preserve">of </w:t>
      </w:r>
      <w:r w:rsidRPr="007D47AD">
        <w:rPr>
          <w:rFonts w:asciiTheme="minorHAnsi" w:hAnsiTheme="minorHAnsi"/>
          <w:sz w:val="20"/>
          <w:szCs w:val="20"/>
          <w:lang w:val="en-US"/>
        </w:rPr>
        <w:t xml:space="preserve">September </w:t>
      </w:r>
      <w:r w:rsidR="004711B5" w:rsidRPr="007D47AD">
        <w:rPr>
          <w:rFonts w:asciiTheme="minorHAnsi" w:hAnsiTheme="minorHAnsi"/>
          <w:sz w:val="20"/>
          <w:szCs w:val="20"/>
          <w:lang w:val="en-US"/>
        </w:rPr>
        <w:t xml:space="preserve">2019 </w:t>
      </w:r>
      <w:r w:rsidRPr="007D47AD">
        <w:rPr>
          <w:rFonts w:asciiTheme="minorHAnsi" w:hAnsiTheme="minorHAnsi"/>
          <w:sz w:val="20"/>
          <w:szCs w:val="20"/>
          <w:lang w:val="en-US"/>
        </w:rPr>
        <w:t xml:space="preserve">had the registry of </w:t>
      </w:r>
      <w:r w:rsidR="004711B5" w:rsidRPr="007D47AD">
        <w:rPr>
          <w:rFonts w:asciiTheme="minorHAnsi" w:hAnsiTheme="minorHAnsi"/>
          <w:sz w:val="20"/>
          <w:szCs w:val="20"/>
          <w:lang w:val="en-US"/>
        </w:rPr>
        <w:t>1</w:t>
      </w:r>
      <w:r w:rsidRPr="007D47AD">
        <w:rPr>
          <w:rFonts w:asciiTheme="minorHAnsi" w:hAnsiTheme="minorHAnsi"/>
          <w:sz w:val="20"/>
          <w:szCs w:val="20"/>
          <w:lang w:val="en-US"/>
        </w:rPr>
        <w:t>,</w:t>
      </w:r>
      <w:r w:rsidR="004711B5" w:rsidRPr="007D47AD">
        <w:rPr>
          <w:rFonts w:asciiTheme="minorHAnsi" w:hAnsiTheme="minorHAnsi"/>
          <w:sz w:val="20"/>
          <w:szCs w:val="20"/>
          <w:lang w:val="en-US"/>
        </w:rPr>
        <w:t>860 int</w:t>
      </w:r>
      <w:r w:rsidRPr="007D47AD">
        <w:rPr>
          <w:rFonts w:asciiTheme="minorHAnsi" w:hAnsiTheme="minorHAnsi"/>
          <w:sz w:val="20"/>
          <w:szCs w:val="20"/>
          <w:lang w:val="en-US"/>
        </w:rPr>
        <w:t>e</w:t>
      </w:r>
      <w:r w:rsidR="004711B5" w:rsidRPr="007D47AD">
        <w:rPr>
          <w:rFonts w:asciiTheme="minorHAnsi" w:hAnsiTheme="minorHAnsi"/>
          <w:sz w:val="20"/>
          <w:szCs w:val="20"/>
          <w:lang w:val="en-US"/>
        </w:rPr>
        <w:t>rpret</w:t>
      </w:r>
      <w:r w:rsidRPr="007D47AD">
        <w:rPr>
          <w:rFonts w:asciiTheme="minorHAnsi" w:hAnsiTheme="minorHAnsi"/>
          <w:sz w:val="20"/>
          <w:szCs w:val="20"/>
          <w:lang w:val="en-US"/>
        </w:rPr>
        <w:t>ers</w:t>
      </w:r>
      <w:r w:rsidR="004711B5" w:rsidRPr="007D47AD">
        <w:rPr>
          <w:rFonts w:asciiTheme="minorHAnsi" w:hAnsiTheme="minorHAnsi"/>
          <w:sz w:val="20"/>
          <w:szCs w:val="20"/>
          <w:lang w:val="en-US"/>
        </w:rPr>
        <w:t xml:space="preserve"> </w:t>
      </w:r>
      <w:r w:rsidRPr="007D47AD">
        <w:rPr>
          <w:rFonts w:asciiTheme="minorHAnsi" w:hAnsiTheme="minorHAnsi"/>
          <w:sz w:val="20"/>
          <w:szCs w:val="20"/>
          <w:lang w:val="en-US"/>
        </w:rPr>
        <w:t xml:space="preserve">and translators in </w:t>
      </w:r>
      <w:r w:rsidR="004711B5" w:rsidRPr="007D47AD">
        <w:rPr>
          <w:rFonts w:asciiTheme="minorHAnsi" w:hAnsiTheme="minorHAnsi"/>
          <w:sz w:val="20"/>
          <w:szCs w:val="20"/>
          <w:lang w:val="en-US"/>
        </w:rPr>
        <w:t xml:space="preserve">113 </w:t>
      </w:r>
      <w:r w:rsidRPr="007D47AD">
        <w:rPr>
          <w:rFonts w:asciiTheme="minorHAnsi" w:hAnsiTheme="minorHAnsi"/>
          <w:sz w:val="20"/>
          <w:szCs w:val="20"/>
          <w:lang w:val="en-US"/>
        </w:rPr>
        <w:t xml:space="preserve">indigenous languages. The State indicated that </w:t>
      </w:r>
      <w:r w:rsidR="004711B5" w:rsidRPr="007D47AD">
        <w:rPr>
          <w:rFonts w:asciiTheme="minorHAnsi" w:hAnsiTheme="minorHAnsi"/>
          <w:sz w:val="20"/>
          <w:szCs w:val="20"/>
          <w:lang w:val="en-US"/>
        </w:rPr>
        <w:t xml:space="preserve">PANITLI </w:t>
      </w:r>
      <w:r w:rsidRPr="007D47AD">
        <w:rPr>
          <w:rFonts w:asciiTheme="minorHAnsi" w:hAnsiTheme="minorHAnsi"/>
          <w:sz w:val="20"/>
          <w:szCs w:val="20"/>
          <w:lang w:val="en-US"/>
        </w:rPr>
        <w:t>is an instrument that is on line for contacting interpreters in both agencies of the State and in the private sector.</w:t>
      </w:r>
      <w:r w:rsidR="004711B5" w:rsidRPr="007D47AD">
        <w:rPr>
          <w:rStyle w:val="FootnoteReference"/>
          <w:rFonts w:asciiTheme="minorHAnsi" w:hAnsiTheme="minorHAnsi"/>
          <w:sz w:val="20"/>
          <w:szCs w:val="20"/>
          <w:lang w:val="en-US"/>
        </w:rPr>
        <w:footnoteReference w:id="327"/>
      </w:r>
      <w:r w:rsidR="004711B5" w:rsidRPr="007D47AD">
        <w:rPr>
          <w:rFonts w:asciiTheme="minorHAnsi" w:hAnsiTheme="minorHAnsi"/>
          <w:sz w:val="20"/>
          <w:szCs w:val="20"/>
          <w:lang w:val="en-US"/>
        </w:rPr>
        <w:t xml:space="preserve"> </w:t>
      </w:r>
    </w:p>
    <w:p w:rsidR="009C095D" w:rsidRPr="007D47AD" w:rsidRDefault="004711B5" w:rsidP="00962CC3">
      <w:pPr>
        <w:shd w:val="clear" w:color="auto" w:fill="FFFFFF"/>
        <w:spacing w:after="0" w:line="240" w:lineRule="auto"/>
        <w:jc w:val="both"/>
        <w:rPr>
          <w:rFonts w:asciiTheme="minorHAnsi" w:hAnsiTheme="minorHAnsi"/>
          <w:sz w:val="20"/>
          <w:szCs w:val="20"/>
          <w:lang w:val="en-US"/>
        </w:rPr>
      </w:pPr>
      <w:r w:rsidRPr="007D47AD">
        <w:rPr>
          <w:rFonts w:asciiTheme="minorHAnsi" w:hAnsiTheme="minorHAnsi"/>
          <w:sz w:val="20"/>
          <w:szCs w:val="20"/>
          <w:lang w:val="en-US"/>
        </w:rPr>
        <w:lastRenderedPageBreak/>
        <w:t xml:space="preserve"> </w:t>
      </w:r>
    </w:p>
    <w:p w:rsidR="006043DF" w:rsidRPr="007D47AD" w:rsidRDefault="004643A0" w:rsidP="004711B5">
      <w:pPr>
        <w:numPr>
          <w:ilvl w:val="0"/>
          <w:numId w:val="6"/>
        </w:numPr>
        <w:shd w:val="clear" w:color="auto" w:fill="FFFFFF"/>
        <w:spacing w:after="240" w:line="240" w:lineRule="auto"/>
        <w:ind w:left="0" w:firstLine="709"/>
        <w:jc w:val="both"/>
        <w:rPr>
          <w:rFonts w:asciiTheme="minorHAnsi" w:hAnsiTheme="minorHAnsi" w:cs="Cambria"/>
          <w:color w:val="000000"/>
          <w:sz w:val="20"/>
          <w:szCs w:val="20"/>
          <w:lang w:val="en-US"/>
        </w:rPr>
      </w:pPr>
      <w:r w:rsidRPr="007D47AD">
        <w:rPr>
          <w:rFonts w:asciiTheme="minorHAnsi" w:hAnsiTheme="minorHAnsi"/>
          <w:color w:val="000000"/>
          <w:sz w:val="20"/>
          <w:szCs w:val="20"/>
          <w:lang w:val="en-US"/>
        </w:rPr>
        <w:t>The IACHR observes that Mexico is a multilingual country</w:t>
      </w:r>
      <w:r w:rsidR="00E75145" w:rsidRPr="007D47AD">
        <w:rPr>
          <w:rFonts w:asciiTheme="minorHAnsi" w:hAnsiTheme="minorHAnsi"/>
          <w:color w:val="000000"/>
          <w:sz w:val="20"/>
          <w:szCs w:val="20"/>
          <w:lang w:val="en-US"/>
        </w:rPr>
        <w:t>. With</w:t>
      </w:r>
      <w:r w:rsidRPr="007D47AD">
        <w:rPr>
          <w:rFonts w:asciiTheme="minorHAnsi" w:hAnsiTheme="minorHAnsi"/>
          <w:color w:val="000000"/>
          <w:sz w:val="20"/>
          <w:szCs w:val="20"/>
          <w:lang w:val="en-US"/>
        </w:rPr>
        <w:t xml:space="preserve"> 68 indigenous languages spoken, it </w:t>
      </w:r>
      <w:r w:rsidR="00E75145" w:rsidRPr="007D47AD">
        <w:rPr>
          <w:rFonts w:asciiTheme="minorHAnsi" w:hAnsiTheme="minorHAnsi"/>
          <w:color w:val="000000"/>
          <w:sz w:val="20"/>
          <w:szCs w:val="20"/>
          <w:lang w:val="en-US"/>
        </w:rPr>
        <w:t xml:space="preserve">is </w:t>
      </w:r>
      <w:r w:rsidRPr="007D47AD">
        <w:rPr>
          <w:rFonts w:asciiTheme="minorHAnsi" w:hAnsiTheme="minorHAnsi"/>
          <w:color w:val="000000"/>
          <w:sz w:val="20"/>
          <w:szCs w:val="20"/>
          <w:lang w:val="en-US"/>
        </w:rPr>
        <w:t>one of the countries with the greatest linguistic diversity in the world.</w:t>
      </w:r>
      <w:r w:rsidR="006043DF" w:rsidRPr="007D47AD">
        <w:rPr>
          <w:rStyle w:val="FootnoteReference"/>
          <w:rFonts w:asciiTheme="minorHAnsi" w:hAnsiTheme="minorHAnsi"/>
          <w:color w:val="000000"/>
          <w:sz w:val="20"/>
          <w:szCs w:val="20"/>
          <w:lang w:val="en-US"/>
        </w:rPr>
        <w:footnoteReference w:id="328"/>
      </w:r>
      <w:r w:rsidR="006043DF" w:rsidRPr="007D47AD">
        <w:rPr>
          <w:rFonts w:asciiTheme="minorHAnsi" w:hAnsiTheme="minorHAnsi"/>
          <w:color w:val="000000"/>
          <w:sz w:val="20"/>
          <w:szCs w:val="20"/>
          <w:lang w:val="en-US"/>
        </w:rPr>
        <w:t xml:space="preserve"> </w:t>
      </w:r>
      <w:r w:rsidRPr="007D47AD">
        <w:rPr>
          <w:rFonts w:asciiTheme="minorHAnsi" w:hAnsiTheme="minorHAnsi"/>
          <w:color w:val="000000"/>
          <w:sz w:val="20"/>
          <w:szCs w:val="20"/>
          <w:lang w:val="en-US"/>
        </w:rPr>
        <w:t xml:space="preserve">According to the 2015 Intercensal Survey of the National Institute of Statistics and Geography </w:t>
      </w:r>
      <w:r w:rsidR="006043DF" w:rsidRPr="007D47AD">
        <w:rPr>
          <w:rFonts w:asciiTheme="minorHAnsi" w:hAnsiTheme="minorHAnsi"/>
          <w:color w:val="000000"/>
          <w:sz w:val="20"/>
          <w:szCs w:val="20"/>
          <w:lang w:val="en-US"/>
        </w:rPr>
        <w:t xml:space="preserve">(INEGI), </w:t>
      </w:r>
      <w:r w:rsidRPr="007D47AD">
        <w:rPr>
          <w:rFonts w:asciiTheme="minorHAnsi" w:hAnsiTheme="minorHAnsi"/>
          <w:color w:val="000000"/>
          <w:sz w:val="20"/>
          <w:szCs w:val="20"/>
          <w:lang w:val="en-US"/>
        </w:rPr>
        <w:t xml:space="preserve">more than </w:t>
      </w:r>
      <w:r w:rsidR="006043DF" w:rsidRPr="007D47AD">
        <w:rPr>
          <w:rFonts w:asciiTheme="minorHAnsi" w:hAnsiTheme="minorHAnsi"/>
          <w:color w:val="000000"/>
          <w:sz w:val="20"/>
          <w:szCs w:val="20"/>
          <w:lang w:val="en-US"/>
        </w:rPr>
        <w:t xml:space="preserve">25 </w:t>
      </w:r>
      <w:r w:rsidRPr="007D47AD">
        <w:rPr>
          <w:rFonts w:asciiTheme="minorHAnsi" w:hAnsiTheme="minorHAnsi"/>
          <w:color w:val="000000"/>
          <w:sz w:val="20"/>
          <w:szCs w:val="20"/>
          <w:lang w:val="en-US"/>
        </w:rPr>
        <w:t xml:space="preserve">million persons in Mexico recognize themselves as indigenous, yet only </w:t>
      </w:r>
      <w:r w:rsidR="006043DF" w:rsidRPr="007D47AD">
        <w:rPr>
          <w:rFonts w:asciiTheme="minorHAnsi" w:hAnsiTheme="minorHAnsi"/>
          <w:color w:val="000000"/>
          <w:sz w:val="20"/>
          <w:szCs w:val="20"/>
          <w:lang w:val="en-US"/>
        </w:rPr>
        <w:t xml:space="preserve">7.4 </w:t>
      </w:r>
      <w:r w:rsidR="00E75145" w:rsidRPr="007D47AD">
        <w:rPr>
          <w:rFonts w:asciiTheme="minorHAnsi" w:hAnsiTheme="minorHAnsi"/>
          <w:color w:val="000000"/>
          <w:sz w:val="20"/>
          <w:szCs w:val="20"/>
          <w:lang w:val="en-US"/>
        </w:rPr>
        <w:t xml:space="preserve">million </w:t>
      </w:r>
      <w:r w:rsidR="006043DF" w:rsidRPr="007D47AD">
        <w:rPr>
          <w:rFonts w:asciiTheme="minorHAnsi" w:hAnsiTheme="minorHAnsi"/>
          <w:color w:val="000000"/>
          <w:sz w:val="20"/>
          <w:szCs w:val="20"/>
          <w:lang w:val="en-US"/>
        </w:rPr>
        <w:t xml:space="preserve">(6.5 </w:t>
      </w:r>
      <w:r w:rsidRPr="007D47AD">
        <w:rPr>
          <w:rFonts w:asciiTheme="minorHAnsi" w:hAnsiTheme="minorHAnsi"/>
          <w:color w:val="000000"/>
          <w:sz w:val="20"/>
          <w:szCs w:val="20"/>
          <w:lang w:val="en-US"/>
        </w:rPr>
        <w:t>percent of the total population</w:t>
      </w:r>
      <w:r w:rsidR="006043DF" w:rsidRPr="007D47AD">
        <w:rPr>
          <w:rFonts w:asciiTheme="minorHAnsi" w:hAnsiTheme="minorHAnsi"/>
          <w:color w:val="000000"/>
          <w:sz w:val="20"/>
          <w:szCs w:val="20"/>
          <w:lang w:val="en-US"/>
        </w:rPr>
        <w:t>)</w:t>
      </w:r>
      <w:r w:rsidRPr="007D47AD">
        <w:rPr>
          <w:rFonts w:asciiTheme="minorHAnsi" w:hAnsiTheme="minorHAnsi"/>
          <w:color w:val="000000"/>
          <w:sz w:val="20"/>
          <w:szCs w:val="20"/>
          <w:lang w:val="en-US"/>
        </w:rPr>
        <w:t xml:space="preserve"> speak an indigenous language.</w:t>
      </w:r>
      <w:r w:rsidR="006043DF" w:rsidRPr="007D47AD">
        <w:rPr>
          <w:rStyle w:val="FootnoteReference"/>
          <w:rFonts w:asciiTheme="minorHAnsi" w:hAnsiTheme="minorHAnsi"/>
          <w:color w:val="000000"/>
          <w:sz w:val="20"/>
          <w:szCs w:val="20"/>
          <w:lang w:val="en-US"/>
        </w:rPr>
        <w:footnoteReference w:id="329"/>
      </w:r>
      <w:r w:rsidR="006043DF" w:rsidRPr="007D47AD">
        <w:rPr>
          <w:rFonts w:asciiTheme="minorHAnsi" w:hAnsiTheme="minorHAnsi" w:cs="Cambria"/>
          <w:color w:val="000000"/>
          <w:sz w:val="20"/>
          <w:szCs w:val="20"/>
          <w:lang w:val="en-US"/>
        </w:rPr>
        <w:t xml:space="preserve"> </w:t>
      </w:r>
      <w:r w:rsidRPr="007D47AD">
        <w:rPr>
          <w:rFonts w:asciiTheme="minorHAnsi" w:hAnsiTheme="minorHAnsi" w:cs="Cambria"/>
          <w:color w:val="000000"/>
          <w:sz w:val="20"/>
          <w:szCs w:val="20"/>
          <w:lang w:val="en-US"/>
        </w:rPr>
        <w:t xml:space="preserve">In addition, the IACHR notes that according to </w:t>
      </w:r>
      <w:r w:rsidR="006043DF" w:rsidRPr="007D47AD">
        <w:rPr>
          <w:rFonts w:asciiTheme="minorHAnsi" w:hAnsiTheme="minorHAnsi"/>
          <w:color w:val="000000"/>
          <w:sz w:val="20"/>
          <w:szCs w:val="20"/>
          <w:lang w:val="en-US"/>
        </w:rPr>
        <w:t>of</w:t>
      </w:r>
      <w:r w:rsidRPr="007D47AD">
        <w:rPr>
          <w:rFonts w:asciiTheme="minorHAnsi" w:hAnsiTheme="minorHAnsi"/>
          <w:color w:val="000000"/>
          <w:sz w:val="20"/>
          <w:szCs w:val="20"/>
          <w:lang w:val="en-US"/>
        </w:rPr>
        <w:t>f</w:t>
      </w:r>
      <w:r w:rsidR="006043DF" w:rsidRPr="007D47AD">
        <w:rPr>
          <w:rFonts w:asciiTheme="minorHAnsi" w:hAnsiTheme="minorHAnsi"/>
          <w:color w:val="000000"/>
          <w:sz w:val="20"/>
          <w:szCs w:val="20"/>
          <w:lang w:val="en-US"/>
        </w:rPr>
        <w:t>icial</w:t>
      </w:r>
      <w:r w:rsidRPr="007D47AD">
        <w:rPr>
          <w:rFonts w:asciiTheme="minorHAnsi" w:hAnsiTheme="minorHAnsi"/>
          <w:color w:val="000000"/>
          <w:sz w:val="20"/>
          <w:szCs w:val="20"/>
          <w:lang w:val="en-US"/>
        </w:rPr>
        <w:t xml:space="preserve"> data,</w:t>
      </w:r>
      <w:r w:rsidR="006043DF" w:rsidRPr="007D47AD">
        <w:rPr>
          <w:rFonts w:asciiTheme="minorHAnsi" w:hAnsiTheme="minorHAnsi"/>
          <w:color w:val="000000"/>
          <w:sz w:val="20"/>
          <w:szCs w:val="20"/>
          <w:lang w:val="en-US"/>
        </w:rPr>
        <w:t xml:space="preserve"> 60 </w:t>
      </w:r>
      <w:r w:rsidRPr="007D47AD">
        <w:rPr>
          <w:rFonts w:asciiTheme="minorHAnsi" w:hAnsiTheme="minorHAnsi"/>
          <w:color w:val="000000"/>
          <w:sz w:val="20"/>
          <w:szCs w:val="20"/>
          <w:lang w:val="en-US"/>
        </w:rPr>
        <w:t xml:space="preserve">percent of the Mexican languages are at risk due to not being valued or </w:t>
      </w:r>
      <w:r w:rsidR="00E75145" w:rsidRPr="007D47AD">
        <w:rPr>
          <w:rFonts w:asciiTheme="minorHAnsi" w:hAnsiTheme="minorHAnsi"/>
          <w:color w:val="000000"/>
          <w:sz w:val="20"/>
          <w:szCs w:val="20"/>
          <w:lang w:val="en-US"/>
        </w:rPr>
        <w:t>taught</w:t>
      </w:r>
      <w:r w:rsidRPr="007D47AD">
        <w:rPr>
          <w:rFonts w:asciiTheme="minorHAnsi" w:hAnsiTheme="minorHAnsi"/>
          <w:color w:val="000000"/>
          <w:sz w:val="20"/>
          <w:szCs w:val="20"/>
          <w:lang w:val="en-US"/>
        </w:rPr>
        <w:t>.</w:t>
      </w:r>
      <w:r w:rsidR="006043DF" w:rsidRPr="007D47AD">
        <w:rPr>
          <w:rStyle w:val="FootnoteReference"/>
          <w:rFonts w:asciiTheme="minorHAnsi" w:hAnsiTheme="minorHAnsi"/>
          <w:color w:val="000000"/>
          <w:sz w:val="20"/>
          <w:szCs w:val="20"/>
          <w:lang w:val="en-US"/>
        </w:rPr>
        <w:footnoteReference w:id="330"/>
      </w:r>
      <w:r w:rsidRPr="007D47AD">
        <w:rPr>
          <w:rFonts w:asciiTheme="minorHAnsi" w:hAnsiTheme="minorHAnsi"/>
          <w:color w:val="000000"/>
          <w:sz w:val="20"/>
          <w:szCs w:val="20"/>
          <w:lang w:val="en-US"/>
        </w:rPr>
        <w:t xml:space="preserve"> In view of the foregoing, the Commission values the fact that the Senate of the Republic has unanimously agree</w:t>
      </w:r>
      <w:r w:rsidR="00E75145" w:rsidRPr="007D47AD">
        <w:rPr>
          <w:rFonts w:asciiTheme="minorHAnsi" w:hAnsiTheme="minorHAnsi"/>
          <w:color w:val="000000"/>
          <w:sz w:val="20"/>
          <w:szCs w:val="20"/>
          <w:lang w:val="en-US"/>
        </w:rPr>
        <w:t xml:space="preserve">d </w:t>
      </w:r>
      <w:r w:rsidRPr="007D47AD">
        <w:rPr>
          <w:rFonts w:asciiTheme="minorHAnsi" w:hAnsiTheme="minorHAnsi"/>
          <w:color w:val="000000"/>
          <w:sz w:val="20"/>
          <w:szCs w:val="20"/>
          <w:lang w:val="en-US"/>
        </w:rPr>
        <w:t>to declare 2019 as the Year of Indigenous Languages.</w:t>
      </w:r>
      <w:r w:rsidR="006043DF" w:rsidRPr="007D47AD">
        <w:rPr>
          <w:rStyle w:val="FootnoteReference"/>
          <w:rFonts w:asciiTheme="minorHAnsi" w:hAnsiTheme="minorHAnsi"/>
          <w:color w:val="000000"/>
          <w:sz w:val="20"/>
          <w:szCs w:val="20"/>
          <w:lang w:val="en-US"/>
        </w:rPr>
        <w:footnoteReference w:id="331"/>
      </w:r>
      <w:r w:rsidR="00901176" w:rsidRPr="007D47AD">
        <w:rPr>
          <w:rFonts w:asciiTheme="minorHAnsi" w:hAnsiTheme="minorHAnsi"/>
          <w:color w:val="000000"/>
          <w:sz w:val="20"/>
          <w:szCs w:val="20"/>
          <w:lang w:val="en-US"/>
        </w:rPr>
        <w:t xml:space="preserve"> </w:t>
      </w:r>
      <w:r w:rsidR="00DE7882" w:rsidRPr="007D47AD">
        <w:rPr>
          <w:rFonts w:asciiTheme="minorHAnsi" w:hAnsiTheme="minorHAnsi"/>
          <w:sz w:val="20"/>
          <w:szCs w:val="20"/>
          <w:lang w:val="en-US"/>
        </w:rPr>
        <w:t>The State reiterated this information in its observations on the draft of this report.</w:t>
      </w:r>
      <w:r w:rsidR="00901176" w:rsidRPr="007D47AD">
        <w:rPr>
          <w:rStyle w:val="FootnoteReference"/>
          <w:rFonts w:asciiTheme="minorHAnsi" w:eastAsia="Cambria" w:hAnsiTheme="minorHAnsi" w:cs="Cambria"/>
          <w:sz w:val="20"/>
          <w:szCs w:val="20"/>
          <w:lang w:val="en-US"/>
        </w:rPr>
        <w:footnoteReference w:id="332"/>
      </w:r>
    </w:p>
    <w:p w:rsidR="006043DF" w:rsidRPr="007D47AD" w:rsidRDefault="004643A0" w:rsidP="004711B5">
      <w:pPr>
        <w:numPr>
          <w:ilvl w:val="0"/>
          <w:numId w:val="6"/>
        </w:numPr>
        <w:shd w:val="clear" w:color="auto" w:fill="FFFFFF"/>
        <w:spacing w:after="240" w:line="240" w:lineRule="auto"/>
        <w:ind w:left="0" w:firstLine="709"/>
        <w:jc w:val="both"/>
        <w:rPr>
          <w:rFonts w:asciiTheme="minorHAnsi" w:hAnsiTheme="minorHAnsi" w:cs="Cambria"/>
          <w:color w:val="000000"/>
          <w:sz w:val="20"/>
          <w:szCs w:val="20"/>
          <w:lang w:val="en-US"/>
        </w:rPr>
      </w:pPr>
      <w:r w:rsidRPr="007D47AD">
        <w:rPr>
          <w:rFonts w:asciiTheme="minorHAnsi" w:hAnsiTheme="minorHAnsi" w:cs="Cambria"/>
          <w:color w:val="000000"/>
          <w:sz w:val="20"/>
          <w:szCs w:val="20"/>
          <w:lang w:val="en-US"/>
        </w:rPr>
        <w:t xml:space="preserve">The IACHR has taken note of the </w:t>
      </w:r>
      <w:r w:rsidR="00491A94" w:rsidRPr="007D47AD">
        <w:rPr>
          <w:rFonts w:asciiTheme="minorHAnsi" w:hAnsiTheme="minorHAnsi" w:cs="Cambria"/>
          <w:color w:val="000000"/>
          <w:sz w:val="20"/>
          <w:szCs w:val="20"/>
          <w:lang w:val="en-US"/>
        </w:rPr>
        <w:t xml:space="preserve">various complaints received from civil society, which indicate that more than 8,000 indigenous persons are deprived of liberty due to the lack of interpreters. According to information that is a matter of public knowledge, </w:t>
      </w:r>
      <w:r w:rsidR="00E75145" w:rsidRPr="007D47AD">
        <w:rPr>
          <w:rFonts w:asciiTheme="minorHAnsi" w:hAnsiTheme="minorHAnsi" w:cs="Cambria"/>
          <w:color w:val="000000"/>
          <w:sz w:val="20"/>
          <w:szCs w:val="20"/>
          <w:lang w:val="en-US"/>
        </w:rPr>
        <w:t xml:space="preserve">their primer on rights </w:t>
      </w:r>
      <w:r w:rsidR="00491A94" w:rsidRPr="007D47AD">
        <w:rPr>
          <w:rFonts w:asciiTheme="minorHAnsi" w:hAnsiTheme="minorHAnsi" w:cs="Cambria"/>
          <w:color w:val="000000"/>
          <w:sz w:val="20"/>
          <w:szCs w:val="20"/>
          <w:shd w:val="clear" w:color="auto" w:fill="FFFFFF"/>
          <w:lang w:val="en-US"/>
        </w:rPr>
        <w:t xml:space="preserve">does not indicate to them that they have the right to an interpreter, </w:t>
      </w:r>
      <w:r w:rsidR="00E75145" w:rsidRPr="007D47AD">
        <w:rPr>
          <w:rFonts w:asciiTheme="minorHAnsi" w:hAnsiTheme="minorHAnsi" w:cs="Cambria"/>
          <w:color w:val="000000"/>
          <w:sz w:val="20"/>
          <w:szCs w:val="20"/>
          <w:shd w:val="clear" w:color="auto" w:fill="FFFFFF"/>
          <w:lang w:val="en-US"/>
        </w:rPr>
        <w:t xml:space="preserve">a violation of </w:t>
      </w:r>
      <w:r w:rsidR="00491A94" w:rsidRPr="007D47AD">
        <w:rPr>
          <w:rFonts w:asciiTheme="minorHAnsi" w:hAnsiTheme="minorHAnsi" w:cs="Cambria"/>
          <w:color w:val="000000"/>
          <w:sz w:val="20"/>
          <w:szCs w:val="20"/>
          <w:shd w:val="clear" w:color="auto" w:fill="FFFFFF"/>
          <w:lang w:val="en-US"/>
        </w:rPr>
        <w:t>their right to due process.</w:t>
      </w:r>
      <w:r w:rsidR="006043DF" w:rsidRPr="007D47AD">
        <w:rPr>
          <w:rStyle w:val="FootnoteReference"/>
          <w:rFonts w:asciiTheme="minorHAnsi" w:hAnsiTheme="minorHAnsi" w:cs="Cambria"/>
          <w:color w:val="000000"/>
          <w:sz w:val="20"/>
          <w:szCs w:val="20"/>
          <w:shd w:val="clear" w:color="auto" w:fill="FFFFFF"/>
          <w:lang w:val="en-US"/>
        </w:rPr>
        <w:footnoteReference w:id="333"/>
      </w:r>
      <w:r w:rsidR="00901176" w:rsidRPr="007D47AD">
        <w:rPr>
          <w:rFonts w:asciiTheme="minorHAnsi" w:hAnsiTheme="minorHAnsi" w:cs="Cambria"/>
          <w:color w:val="000000"/>
          <w:sz w:val="20"/>
          <w:szCs w:val="20"/>
          <w:shd w:val="clear" w:color="auto" w:fill="FFFFFF"/>
          <w:lang w:val="en-US"/>
        </w:rPr>
        <w:t xml:space="preserve"> </w:t>
      </w:r>
      <w:r w:rsidR="00DE7882" w:rsidRPr="007D47AD">
        <w:rPr>
          <w:rFonts w:asciiTheme="minorHAnsi" w:hAnsiTheme="minorHAnsi"/>
          <w:sz w:val="20"/>
          <w:szCs w:val="20"/>
          <w:lang w:val="en-US"/>
        </w:rPr>
        <w:t>I</w:t>
      </w:r>
      <w:r w:rsidR="00901176" w:rsidRPr="007D47AD">
        <w:rPr>
          <w:rFonts w:asciiTheme="minorHAnsi" w:hAnsiTheme="minorHAnsi"/>
          <w:sz w:val="20"/>
          <w:szCs w:val="20"/>
          <w:lang w:val="en-US"/>
        </w:rPr>
        <w:t xml:space="preserve">n </w:t>
      </w:r>
      <w:r w:rsidR="00DE7882" w:rsidRPr="007D47AD">
        <w:rPr>
          <w:rFonts w:asciiTheme="minorHAnsi" w:hAnsiTheme="minorHAnsi"/>
          <w:sz w:val="20"/>
          <w:szCs w:val="20"/>
          <w:lang w:val="en-US"/>
        </w:rPr>
        <w:t xml:space="preserve">its </w:t>
      </w:r>
      <w:r w:rsidR="00901176" w:rsidRPr="007D47AD">
        <w:rPr>
          <w:rFonts w:asciiTheme="minorHAnsi" w:hAnsiTheme="minorHAnsi"/>
          <w:sz w:val="20"/>
          <w:szCs w:val="20"/>
          <w:lang w:val="en-US"/>
        </w:rPr>
        <w:t>observa</w:t>
      </w:r>
      <w:r w:rsidR="00DE7882" w:rsidRPr="007D47AD">
        <w:rPr>
          <w:rFonts w:asciiTheme="minorHAnsi" w:hAnsiTheme="minorHAnsi"/>
          <w:sz w:val="20"/>
          <w:szCs w:val="20"/>
          <w:lang w:val="en-US"/>
        </w:rPr>
        <w:t xml:space="preserve">tions on the draft of this report the State indicated that for the fiscal year the </w:t>
      </w:r>
      <w:r w:rsidR="00901176" w:rsidRPr="007D47AD">
        <w:rPr>
          <w:rFonts w:asciiTheme="minorHAnsi" w:hAnsiTheme="minorHAnsi"/>
          <w:sz w:val="20"/>
          <w:szCs w:val="20"/>
          <w:lang w:val="en-US"/>
        </w:rPr>
        <w:t xml:space="preserve">INPI </w:t>
      </w:r>
      <w:r w:rsidR="00DE7882" w:rsidRPr="007D47AD">
        <w:rPr>
          <w:rFonts w:asciiTheme="minorHAnsi" w:hAnsiTheme="minorHAnsi"/>
          <w:sz w:val="20"/>
          <w:szCs w:val="20"/>
          <w:lang w:val="en-US"/>
        </w:rPr>
        <w:t xml:space="preserve">granted support </w:t>
      </w:r>
      <w:r w:rsidR="00901176" w:rsidRPr="007D47AD">
        <w:rPr>
          <w:rFonts w:asciiTheme="minorHAnsi" w:hAnsiTheme="minorHAnsi"/>
          <w:sz w:val="20"/>
          <w:szCs w:val="20"/>
          <w:lang w:val="en-US"/>
        </w:rPr>
        <w:t xml:space="preserve">1,461 </w:t>
      </w:r>
      <w:r w:rsidR="00DE7882" w:rsidRPr="007D47AD">
        <w:rPr>
          <w:rFonts w:asciiTheme="minorHAnsi" w:hAnsiTheme="minorHAnsi"/>
          <w:sz w:val="20"/>
          <w:szCs w:val="20"/>
          <w:lang w:val="en-US"/>
        </w:rPr>
        <w:t>times for indigenous persons who participate as interpreters/translators in indigenous languages in judicial or administrative proceedings, to ensure respect for language rights and due process for indigenous persons who are caught up in the criminal justice system.</w:t>
      </w:r>
      <w:r w:rsidR="00901176" w:rsidRPr="007D47AD">
        <w:rPr>
          <w:rStyle w:val="FootnoteReference"/>
          <w:rFonts w:asciiTheme="minorHAnsi" w:eastAsia="Cambria" w:hAnsiTheme="minorHAnsi" w:cs="Cambria"/>
          <w:sz w:val="20"/>
          <w:szCs w:val="20"/>
          <w:lang w:val="en-US"/>
        </w:rPr>
        <w:footnoteReference w:id="334"/>
      </w:r>
    </w:p>
    <w:p w:rsidR="001B1D10" w:rsidRPr="007D47AD" w:rsidRDefault="00491A94" w:rsidP="004711B5">
      <w:pPr>
        <w:numPr>
          <w:ilvl w:val="0"/>
          <w:numId w:val="6"/>
        </w:numPr>
        <w:shd w:val="clear" w:color="auto" w:fill="FFFFFF"/>
        <w:spacing w:after="240" w:line="240" w:lineRule="auto"/>
        <w:ind w:left="0" w:firstLine="709"/>
        <w:jc w:val="both"/>
        <w:rPr>
          <w:rFonts w:asciiTheme="minorHAnsi" w:hAnsiTheme="minorHAnsi" w:cs="Cambria"/>
          <w:color w:val="000000"/>
          <w:sz w:val="20"/>
          <w:szCs w:val="20"/>
          <w:lang w:val="en-US"/>
        </w:rPr>
      </w:pPr>
      <w:r w:rsidRPr="007D47AD">
        <w:rPr>
          <w:rStyle w:val="apple-converted-space"/>
          <w:rFonts w:asciiTheme="minorHAnsi" w:eastAsia="Yu Gothic Light" w:hAnsiTheme="minorHAnsi" w:cs="Cambria"/>
          <w:color w:val="000000"/>
          <w:sz w:val="20"/>
          <w:szCs w:val="20"/>
          <w:shd w:val="clear" w:color="auto" w:fill="FFFFFF"/>
          <w:lang w:val="en-US"/>
        </w:rPr>
        <w:t>In this respect, the IACHR recalls that the right of an indigenous person to communicate in his or her own language</w:t>
      </w:r>
      <w:r w:rsidRPr="007D47AD">
        <w:rPr>
          <w:rFonts w:asciiTheme="minorHAnsi" w:hAnsiTheme="minorHAnsi" w:cs="Cambria"/>
          <w:color w:val="000000"/>
          <w:sz w:val="20"/>
          <w:szCs w:val="20"/>
          <w:lang w:val="en-US"/>
        </w:rPr>
        <w:t xml:space="preserve"> is grounded in human rights in both the individual and collective dimension</w:t>
      </w:r>
      <w:r w:rsidR="00E75145" w:rsidRPr="007D47AD">
        <w:rPr>
          <w:rFonts w:asciiTheme="minorHAnsi" w:hAnsiTheme="minorHAnsi" w:cs="Cambria"/>
          <w:color w:val="000000"/>
          <w:sz w:val="20"/>
          <w:szCs w:val="20"/>
          <w:lang w:val="en-US"/>
        </w:rPr>
        <w:t>s</w:t>
      </w:r>
      <w:r w:rsidRPr="007D47AD">
        <w:rPr>
          <w:rFonts w:asciiTheme="minorHAnsi" w:hAnsiTheme="minorHAnsi" w:cs="Cambria"/>
          <w:color w:val="000000"/>
          <w:sz w:val="20"/>
          <w:szCs w:val="20"/>
          <w:lang w:val="en-US"/>
        </w:rPr>
        <w:t xml:space="preserve">. According to Article </w:t>
      </w:r>
      <w:r w:rsidR="006043DF" w:rsidRPr="007D47AD">
        <w:rPr>
          <w:rFonts w:asciiTheme="minorHAnsi" w:hAnsiTheme="minorHAnsi" w:cs="Tahoma"/>
          <w:color w:val="000000"/>
          <w:sz w:val="20"/>
          <w:szCs w:val="20"/>
          <w:shd w:val="clear" w:color="auto" w:fill="FFFFFF"/>
          <w:lang w:val="en-US"/>
        </w:rPr>
        <w:t>8</w:t>
      </w:r>
      <w:r w:rsidRPr="007D47AD">
        <w:rPr>
          <w:rFonts w:asciiTheme="minorHAnsi" w:hAnsiTheme="minorHAnsi" w:cs="Tahoma"/>
          <w:color w:val="000000"/>
          <w:sz w:val="20"/>
          <w:szCs w:val="20"/>
          <w:shd w:val="clear" w:color="auto" w:fill="FFFFFF"/>
          <w:lang w:val="en-US"/>
        </w:rPr>
        <w:t>(</w:t>
      </w:r>
      <w:r w:rsidR="006043DF" w:rsidRPr="007D47AD">
        <w:rPr>
          <w:rFonts w:asciiTheme="minorHAnsi" w:hAnsiTheme="minorHAnsi" w:cs="Tahoma"/>
          <w:color w:val="000000"/>
          <w:sz w:val="20"/>
          <w:szCs w:val="20"/>
          <w:shd w:val="clear" w:color="auto" w:fill="FFFFFF"/>
          <w:lang w:val="en-US"/>
        </w:rPr>
        <w:t>2</w:t>
      </w:r>
      <w:r w:rsidRPr="007D47AD">
        <w:rPr>
          <w:rFonts w:asciiTheme="minorHAnsi" w:hAnsiTheme="minorHAnsi" w:cs="Tahoma"/>
          <w:color w:val="000000"/>
          <w:sz w:val="20"/>
          <w:szCs w:val="20"/>
          <w:shd w:val="clear" w:color="auto" w:fill="FFFFFF"/>
          <w:lang w:val="en-US"/>
        </w:rPr>
        <w:t xml:space="preserve">) of the American Convention, the states must take all measures to ensure that indigenous persons can understand and make themselves understood in legal proceedings, providing interpreters, translators, and other </w:t>
      </w:r>
      <w:r w:rsidR="00E75145" w:rsidRPr="007D47AD">
        <w:rPr>
          <w:rFonts w:asciiTheme="minorHAnsi" w:hAnsiTheme="minorHAnsi" w:cs="Tahoma"/>
          <w:color w:val="000000"/>
          <w:sz w:val="20"/>
          <w:szCs w:val="20"/>
          <w:shd w:val="clear" w:color="auto" w:fill="FFFFFF"/>
          <w:lang w:val="en-US"/>
        </w:rPr>
        <w:t xml:space="preserve">resources </w:t>
      </w:r>
      <w:r w:rsidRPr="007D47AD">
        <w:rPr>
          <w:rFonts w:asciiTheme="minorHAnsi" w:hAnsiTheme="minorHAnsi" w:cs="Tahoma"/>
          <w:color w:val="000000"/>
          <w:sz w:val="20"/>
          <w:szCs w:val="20"/>
          <w:shd w:val="clear" w:color="auto" w:fill="FFFFFF"/>
          <w:lang w:val="en-US"/>
        </w:rPr>
        <w:t>needed to that end</w:t>
      </w:r>
      <w:r w:rsidR="006043DF" w:rsidRPr="007D47AD">
        <w:rPr>
          <w:rFonts w:asciiTheme="minorHAnsi" w:hAnsiTheme="minorHAnsi" w:cs="Tahoma"/>
          <w:color w:val="000000"/>
          <w:sz w:val="20"/>
          <w:szCs w:val="20"/>
          <w:shd w:val="clear" w:color="auto" w:fill="FFFFFF"/>
          <w:lang w:val="en-US"/>
        </w:rPr>
        <w:t>.</w:t>
      </w:r>
      <w:r w:rsidR="006043DF" w:rsidRPr="007D47AD">
        <w:rPr>
          <w:rStyle w:val="FootnoteReference"/>
          <w:rFonts w:asciiTheme="minorHAnsi" w:hAnsiTheme="minorHAnsi" w:cs="Tahoma"/>
          <w:color w:val="000000"/>
          <w:sz w:val="20"/>
          <w:szCs w:val="20"/>
          <w:shd w:val="clear" w:color="auto" w:fill="FFFFFF"/>
          <w:lang w:val="en-US"/>
        </w:rPr>
        <w:footnoteReference w:id="335"/>
      </w:r>
      <w:r w:rsidR="006043DF" w:rsidRPr="007D47AD">
        <w:rPr>
          <w:rFonts w:asciiTheme="minorHAnsi" w:hAnsiTheme="minorHAnsi" w:cs="Tahoma"/>
          <w:color w:val="000000"/>
          <w:sz w:val="20"/>
          <w:szCs w:val="20"/>
          <w:shd w:val="clear" w:color="auto" w:fill="FFFFFF"/>
          <w:lang w:val="en-US"/>
        </w:rPr>
        <w:t xml:space="preserve"> </w:t>
      </w:r>
    </w:p>
    <w:p w:rsidR="00523DD8" w:rsidRPr="007D47AD" w:rsidRDefault="00491A94" w:rsidP="00523DD8">
      <w:pPr>
        <w:numPr>
          <w:ilvl w:val="0"/>
          <w:numId w:val="6"/>
        </w:numPr>
        <w:shd w:val="clear" w:color="auto" w:fill="FFFFFF"/>
        <w:spacing w:after="0" w:line="240" w:lineRule="auto"/>
        <w:ind w:left="0" w:firstLine="709"/>
        <w:jc w:val="both"/>
        <w:rPr>
          <w:rFonts w:asciiTheme="minorHAnsi" w:hAnsiTheme="minorHAnsi" w:cs="Cambria"/>
          <w:color w:val="000000"/>
          <w:sz w:val="20"/>
          <w:szCs w:val="20"/>
          <w:lang w:val="en-US"/>
        </w:rPr>
      </w:pPr>
      <w:r w:rsidRPr="007D47AD">
        <w:rPr>
          <w:rFonts w:asciiTheme="minorHAnsi" w:hAnsiTheme="minorHAnsi"/>
          <w:sz w:val="20"/>
          <w:szCs w:val="20"/>
          <w:lang w:val="en-US"/>
        </w:rPr>
        <w:t xml:space="preserve">In view of the foregoing analysis the IACHR recognizes the increase in the number of translators and interpreters from </w:t>
      </w:r>
      <w:r w:rsidR="00FB5D21" w:rsidRPr="007D47AD">
        <w:rPr>
          <w:rFonts w:asciiTheme="minorHAnsi" w:hAnsiTheme="minorHAnsi"/>
          <w:sz w:val="20"/>
          <w:szCs w:val="20"/>
          <w:lang w:val="en-US"/>
        </w:rPr>
        <w:t xml:space="preserve">2018 </w:t>
      </w:r>
      <w:r w:rsidRPr="007D47AD">
        <w:rPr>
          <w:rFonts w:asciiTheme="minorHAnsi" w:hAnsiTheme="minorHAnsi"/>
          <w:sz w:val="20"/>
          <w:szCs w:val="20"/>
          <w:lang w:val="en-US"/>
        </w:rPr>
        <w:t xml:space="preserve">to </w:t>
      </w:r>
      <w:r w:rsidR="00FB5D21" w:rsidRPr="007D47AD">
        <w:rPr>
          <w:rFonts w:asciiTheme="minorHAnsi" w:hAnsiTheme="minorHAnsi"/>
          <w:sz w:val="20"/>
          <w:szCs w:val="20"/>
          <w:lang w:val="en-US"/>
        </w:rPr>
        <w:t>2019</w:t>
      </w:r>
      <w:r w:rsidRPr="007D47AD">
        <w:rPr>
          <w:rFonts w:asciiTheme="minorHAnsi" w:hAnsiTheme="minorHAnsi"/>
          <w:sz w:val="20"/>
          <w:szCs w:val="20"/>
          <w:lang w:val="en-US"/>
        </w:rPr>
        <w:t xml:space="preserve">, which makes it possible to indicate that the recommendation has met with partial substantial compliance. The IACHR considers it necessary, for its next report, </w:t>
      </w:r>
      <w:r w:rsidR="00E75145" w:rsidRPr="007D47AD">
        <w:rPr>
          <w:rFonts w:asciiTheme="minorHAnsi" w:hAnsiTheme="minorHAnsi"/>
          <w:sz w:val="20"/>
          <w:szCs w:val="20"/>
          <w:lang w:val="en-US"/>
        </w:rPr>
        <w:t xml:space="preserve">for </w:t>
      </w:r>
      <w:r w:rsidRPr="007D47AD">
        <w:rPr>
          <w:rFonts w:asciiTheme="minorHAnsi" w:hAnsiTheme="minorHAnsi"/>
          <w:sz w:val="20"/>
          <w:szCs w:val="20"/>
          <w:lang w:val="en-US"/>
        </w:rPr>
        <w:t xml:space="preserve">the State </w:t>
      </w:r>
      <w:r w:rsidR="00E75145" w:rsidRPr="007D47AD">
        <w:rPr>
          <w:rFonts w:asciiTheme="minorHAnsi" w:hAnsiTheme="minorHAnsi"/>
          <w:sz w:val="20"/>
          <w:szCs w:val="20"/>
          <w:lang w:val="en-US"/>
        </w:rPr>
        <w:t xml:space="preserve">to </w:t>
      </w:r>
      <w:r w:rsidRPr="007D47AD">
        <w:rPr>
          <w:rFonts w:asciiTheme="minorHAnsi" w:hAnsiTheme="minorHAnsi"/>
          <w:sz w:val="20"/>
          <w:szCs w:val="20"/>
          <w:lang w:val="en-US"/>
        </w:rPr>
        <w:t xml:space="preserve">detail how other offices of the State, besides the Office of Public Defense, obtain translation services. </w:t>
      </w:r>
    </w:p>
    <w:p w:rsidR="00523DD8" w:rsidRPr="007D47AD" w:rsidRDefault="00523DD8" w:rsidP="00523DD8">
      <w:pPr>
        <w:shd w:val="clear" w:color="auto" w:fill="FFFFFF"/>
        <w:spacing w:after="0" w:line="240" w:lineRule="auto"/>
        <w:ind w:left="709"/>
        <w:jc w:val="both"/>
        <w:rPr>
          <w:rFonts w:asciiTheme="minorHAnsi" w:hAnsiTheme="minorHAnsi" w:cs="Cambria"/>
          <w:color w:val="000000"/>
          <w:sz w:val="20"/>
          <w:szCs w:val="20"/>
          <w:lang w:val="en-US"/>
        </w:rPr>
      </w:pPr>
    </w:p>
    <w:p w:rsidR="00491A94" w:rsidRPr="007D47AD" w:rsidRDefault="00491A94" w:rsidP="00491A94">
      <w:pPr>
        <w:numPr>
          <w:ilvl w:val="0"/>
          <w:numId w:val="6"/>
        </w:numPr>
        <w:shd w:val="clear" w:color="auto" w:fill="FFFFFF"/>
        <w:spacing w:after="0" w:line="240" w:lineRule="auto"/>
        <w:ind w:left="0" w:firstLine="709"/>
        <w:jc w:val="both"/>
        <w:rPr>
          <w:rFonts w:asciiTheme="minorHAnsi" w:hAnsiTheme="minorHAnsi" w:cs="TimesNewRomanPSMT"/>
          <w:sz w:val="20"/>
          <w:szCs w:val="20"/>
          <w:lang w:val="en-US"/>
        </w:rPr>
      </w:pPr>
      <w:r w:rsidRPr="007D47AD">
        <w:rPr>
          <w:rFonts w:asciiTheme="minorHAnsi" w:hAnsiTheme="minorHAnsi"/>
          <w:sz w:val="20"/>
          <w:szCs w:val="20"/>
          <w:lang w:val="en-US"/>
        </w:rPr>
        <w:t xml:space="preserve">On the recommendation to </w:t>
      </w:r>
      <w:r w:rsidR="009C095D" w:rsidRPr="007D47AD">
        <w:rPr>
          <w:rFonts w:asciiTheme="minorHAnsi" w:hAnsiTheme="minorHAnsi"/>
          <w:b/>
          <w:sz w:val="20"/>
          <w:szCs w:val="20"/>
          <w:lang w:val="en-US"/>
        </w:rPr>
        <w:t>adopt</w:t>
      </w:r>
      <w:r w:rsidRPr="007D47AD">
        <w:rPr>
          <w:rFonts w:asciiTheme="minorHAnsi" w:hAnsiTheme="minorHAnsi"/>
          <w:b/>
          <w:sz w:val="20"/>
          <w:szCs w:val="20"/>
          <w:lang w:val="en-US"/>
        </w:rPr>
        <w:t xml:space="preserve"> the measures needed for carrying out free, prior, and informed consultations</w:t>
      </w:r>
      <w:r w:rsidR="009C095D" w:rsidRPr="007D47AD">
        <w:rPr>
          <w:rFonts w:asciiTheme="minorHAnsi" w:hAnsiTheme="minorHAnsi" w:cs="TimesNewRomanPSMT"/>
          <w:sz w:val="20"/>
          <w:szCs w:val="20"/>
          <w:lang w:val="en-US"/>
        </w:rPr>
        <w:t xml:space="preserve">, </w:t>
      </w:r>
      <w:r w:rsidRPr="007D47AD">
        <w:rPr>
          <w:rFonts w:asciiTheme="minorHAnsi" w:hAnsiTheme="minorHAnsi" w:cs="TimesNewRomanPSMT"/>
          <w:sz w:val="20"/>
          <w:szCs w:val="20"/>
          <w:lang w:val="en-US"/>
        </w:rPr>
        <w:t xml:space="preserve">the State indicated that the National Institute of Indigenous Peoples (INPI) has the legal mandate to guarantee free, prior, and informed consultation. According to what was reported, the </w:t>
      </w:r>
      <w:r w:rsidR="00222D4F" w:rsidRPr="007D47AD">
        <w:rPr>
          <w:rFonts w:asciiTheme="minorHAnsi" w:hAnsiTheme="minorHAnsi" w:cs="TimesNewRomanPSMT"/>
          <w:sz w:val="20"/>
          <w:szCs w:val="20"/>
          <w:lang w:val="en-US"/>
        </w:rPr>
        <w:t xml:space="preserve">INPI </w:t>
      </w:r>
      <w:r w:rsidRPr="007D47AD">
        <w:rPr>
          <w:rFonts w:asciiTheme="minorHAnsi" w:hAnsiTheme="minorHAnsi" w:cs="TimesNewRomanPSMT"/>
          <w:sz w:val="20"/>
          <w:szCs w:val="20"/>
          <w:lang w:val="en-US"/>
        </w:rPr>
        <w:t>has promoted the participation of indigenous peoples and communities in the</w:t>
      </w:r>
      <w:r w:rsidR="00D57E39" w:rsidRPr="007D47AD">
        <w:rPr>
          <w:rFonts w:asciiTheme="minorHAnsi" w:hAnsiTheme="minorHAnsi" w:cs="TimesNewRomanPSMT"/>
          <w:sz w:val="20"/>
          <w:szCs w:val="20"/>
          <w:lang w:val="en-US"/>
        </w:rPr>
        <w:t xml:space="preserve"> process of making decisions that </w:t>
      </w:r>
      <w:r w:rsidRPr="007D47AD">
        <w:rPr>
          <w:rFonts w:asciiTheme="minorHAnsi" w:hAnsiTheme="minorHAnsi" w:cs="TimesNewRomanPSMT"/>
          <w:sz w:val="20"/>
          <w:szCs w:val="20"/>
          <w:lang w:val="en-US"/>
        </w:rPr>
        <w:t xml:space="preserve">could affect them with an emphasis on matters related to the territory and the tapping of its resources. The State also noted that the </w:t>
      </w:r>
      <w:r w:rsidR="0088532F" w:rsidRPr="007D47AD">
        <w:rPr>
          <w:rFonts w:asciiTheme="minorHAnsi" w:hAnsiTheme="minorHAnsi" w:cs="TimesNewRomanPSMT"/>
          <w:sz w:val="20"/>
          <w:szCs w:val="20"/>
          <w:lang w:val="en-US"/>
        </w:rPr>
        <w:t xml:space="preserve">INPI </w:t>
      </w:r>
      <w:r w:rsidRPr="007D47AD">
        <w:rPr>
          <w:rFonts w:asciiTheme="minorHAnsi" w:hAnsiTheme="minorHAnsi" w:cs="TimesNewRomanPSMT"/>
          <w:sz w:val="20"/>
          <w:szCs w:val="20"/>
          <w:lang w:val="en-US"/>
        </w:rPr>
        <w:t>drew up the document</w:t>
      </w:r>
      <w:r w:rsidR="0088532F" w:rsidRPr="007D47AD">
        <w:rPr>
          <w:rFonts w:asciiTheme="minorHAnsi" w:hAnsiTheme="minorHAnsi" w:cs="TimesNewRomanPSMT"/>
          <w:sz w:val="20"/>
          <w:szCs w:val="20"/>
          <w:lang w:val="en-US"/>
        </w:rPr>
        <w:t xml:space="preserve"> “</w:t>
      </w:r>
      <w:r w:rsidR="0088532F" w:rsidRPr="007D47AD">
        <w:rPr>
          <w:rFonts w:asciiTheme="minorHAnsi" w:hAnsiTheme="minorHAnsi" w:cs="TimesNewRomanPSMT"/>
          <w:i/>
          <w:sz w:val="20"/>
          <w:szCs w:val="20"/>
          <w:lang w:val="en-US"/>
        </w:rPr>
        <w:t>Bases, Principios y Metodología para su Implementación por la Administración Pública Federal</w:t>
      </w:r>
      <w:r w:rsidR="0088532F" w:rsidRPr="007D47AD">
        <w:rPr>
          <w:rFonts w:asciiTheme="minorHAnsi" w:hAnsiTheme="minorHAnsi" w:cs="TimesNewRomanPSMT"/>
          <w:sz w:val="20"/>
          <w:szCs w:val="20"/>
          <w:lang w:val="en-US"/>
        </w:rPr>
        <w:t>”</w:t>
      </w:r>
      <w:r w:rsidR="00E75145" w:rsidRPr="007D47AD">
        <w:rPr>
          <w:rFonts w:asciiTheme="minorHAnsi" w:hAnsiTheme="minorHAnsi" w:cs="TimesNewRomanPSMT"/>
          <w:sz w:val="20"/>
          <w:szCs w:val="20"/>
          <w:lang w:val="en-US"/>
        </w:rPr>
        <w:t xml:space="preserve"> (“Terms, Principles, and Methodology for its implementation by the Federal Public Administration”) </w:t>
      </w:r>
      <w:r w:rsidRPr="007D47AD">
        <w:rPr>
          <w:rFonts w:asciiTheme="minorHAnsi" w:hAnsiTheme="minorHAnsi" w:cs="TimesNewRomanPSMT"/>
          <w:sz w:val="20"/>
          <w:szCs w:val="20"/>
          <w:lang w:val="en-US"/>
        </w:rPr>
        <w:t>for implementing the right to consultation through the specific protocols for consultation that have been implemented in the territory of the State.</w:t>
      </w:r>
      <w:r w:rsidR="0088532F" w:rsidRPr="007D47AD">
        <w:rPr>
          <w:rStyle w:val="FootnoteReference"/>
          <w:rFonts w:asciiTheme="minorHAnsi" w:hAnsiTheme="minorHAnsi" w:cs="TimesNewRomanPSMT"/>
          <w:sz w:val="20"/>
          <w:szCs w:val="20"/>
          <w:lang w:val="en-US"/>
        </w:rPr>
        <w:footnoteReference w:id="336"/>
      </w:r>
      <w:r w:rsidR="004535AF" w:rsidRPr="007D47AD">
        <w:rPr>
          <w:rFonts w:asciiTheme="minorHAnsi" w:hAnsiTheme="minorHAnsi" w:cs="TimesNewRomanPSMT"/>
          <w:sz w:val="20"/>
          <w:szCs w:val="20"/>
          <w:lang w:val="en-US"/>
        </w:rPr>
        <w:t xml:space="preserve"> </w:t>
      </w:r>
      <w:r w:rsidR="005677DB" w:rsidRPr="007D47AD">
        <w:rPr>
          <w:rFonts w:asciiTheme="minorHAnsi" w:hAnsiTheme="minorHAnsi"/>
          <w:sz w:val="20"/>
          <w:szCs w:val="20"/>
          <w:lang w:val="en-US"/>
        </w:rPr>
        <w:t>I</w:t>
      </w:r>
      <w:r w:rsidR="004535AF" w:rsidRPr="007D47AD">
        <w:rPr>
          <w:rFonts w:asciiTheme="minorHAnsi" w:hAnsiTheme="minorHAnsi"/>
          <w:sz w:val="20"/>
          <w:szCs w:val="20"/>
          <w:lang w:val="en-US"/>
        </w:rPr>
        <w:t xml:space="preserve">n </w:t>
      </w:r>
      <w:r w:rsidR="005677DB" w:rsidRPr="007D47AD">
        <w:rPr>
          <w:rFonts w:asciiTheme="minorHAnsi" w:hAnsiTheme="minorHAnsi"/>
          <w:sz w:val="20"/>
          <w:szCs w:val="20"/>
          <w:lang w:val="en-US"/>
        </w:rPr>
        <w:t xml:space="preserve">its observations on the draft of this report the State noted that the Ministry of Interior implemented the </w:t>
      </w:r>
      <w:r w:rsidR="002F2575" w:rsidRPr="007D47AD">
        <w:rPr>
          <w:rFonts w:asciiTheme="minorHAnsi" w:hAnsiTheme="minorHAnsi"/>
          <w:sz w:val="20"/>
          <w:szCs w:val="20"/>
          <w:lang w:val="en-US"/>
        </w:rPr>
        <w:t xml:space="preserve">Weekly </w:t>
      </w:r>
      <w:r w:rsidR="00CB26E7" w:rsidRPr="007D47AD">
        <w:rPr>
          <w:rFonts w:asciiTheme="minorHAnsi" w:hAnsiTheme="minorHAnsi"/>
          <w:sz w:val="20"/>
          <w:szCs w:val="20"/>
          <w:lang w:val="en-US"/>
        </w:rPr>
        <w:t>(</w:t>
      </w:r>
      <w:r w:rsidR="004535AF" w:rsidRPr="007D47AD">
        <w:rPr>
          <w:rFonts w:asciiTheme="minorHAnsi" w:hAnsiTheme="minorHAnsi"/>
          <w:sz w:val="20"/>
          <w:szCs w:val="20"/>
          <w:lang w:val="en-US"/>
        </w:rPr>
        <w:t>Semanario</w:t>
      </w:r>
      <w:r w:rsidR="00CB26E7" w:rsidRPr="007D47AD">
        <w:rPr>
          <w:rFonts w:asciiTheme="minorHAnsi" w:hAnsiTheme="minorHAnsi"/>
          <w:sz w:val="20"/>
          <w:szCs w:val="20"/>
          <w:lang w:val="en-US"/>
        </w:rPr>
        <w:t>)</w:t>
      </w:r>
      <w:r w:rsidR="004535AF" w:rsidRPr="007D47AD">
        <w:rPr>
          <w:rFonts w:asciiTheme="minorHAnsi" w:hAnsiTheme="minorHAnsi"/>
          <w:sz w:val="20"/>
          <w:szCs w:val="20"/>
          <w:lang w:val="en-US"/>
        </w:rPr>
        <w:t xml:space="preserve"> </w:t>
      </w:r>
      <w:r w:rsidR="004E2CEC" w:rsidRPr="007D47AD">
        <w:rPr>
          <w:rFonts w:asciiTheme="minorHAnsi" w:hAnsiTheme="minorHAnsi"/>
          <w:sz w:val="20"/>
          <w:szCs w:val="20"/>
          <w:lang w:val="en-US"/>
        </w:rPr>
        <w:t xml:space="preserve">for Advanced Training on the Right to Consultation and Prior, Free, and Informed Consent of Indigenous and Afro-Mexican </w:t>
      </w:r>
      <w:r w:rsidR="004E2CEC" w:rsidRPr="007D47AD">
        <w:rPr>
          <w:rFonts w:asciiTheme="minorHAnsi" w:hAnsiTheme="minorHAnsi"/>
          <w:sz w:val="20"/>
          <w:szCs w:val="20"/>
          <w:lang w:val="en-US"/>
        </w:rPr>
        <w:lastRenderedPageBreak/>
        <w:t>Communities with the aim of proposing a constitutional amendment on this subject.</w:t>
      </w:r>
      <w:r w:rsidR="004535AF" w:rsidRPr="007D47AD">
        <w:rPr>
          <w:rStyle w:val="FootnoteReference"/>
          <w:rFonts w:asciiTheme="minorHAnsi" w:eastAsia="Cambria" w:hAnsiTheme="minorHAnsi" w:cs="Cambria"/>
          <w:sz w:val="20"/>
          <w:szCs w:val="20"/>
          <w:lang w:val="en-US"/>
        </w:rPr>
        <w:footnoteReference w:id="337"/>
      </w:r>
      <w:r w:rsidR="004535AF" w:rsidRPr="007D47AD">
        <w:rPr>
          <w:rFonts w:asciiTheme="minorHAnsi" w:hAnsiTheme="minorHAnsi"/>
          <w:sz w:val="20"/>
          <w:szCs w:val="20"/>
          <w:lang w:val="en-US"/>
        </w:rPr>
        <w:t xml:space="preserve"> </w:t>
      </w:r>
      <w:r w:rsidR="005F3C7A" w:rsidRPr="007D47AD">
        <w:rPr>
          <w:rFonts w:asciiTheme="minorHAnsi" w:hAnsiTheme="minorHAnsi" w:cs="TimesNewRomanPSMT"/>
          <w:sz w:val="20"/>
          <w:szCs w:val="20"/>
          <w:lang w:val="en-US"/>
        </w:rPr>
        <w:t xml:space="preserve">The IACHR notes that the State did not provide detailed information about the activities of the INPI in 2019. </w:t>
      </w:r>
    </w:p>
    <w:p w:rsidR="00523DD8" w:rsidRPr="007D47AD" w:rsidRDefault="00523DD8" w:rsidP="00523DD8">
      <w:pPr>
        <w:shd w:val="clear" w:color="auto" w:fill="FFFFFF"/>
        <w:spacing w:after="0" w:line="240" w:lineRule="auto"/>
        <w:ind w:left="709"/>
        <w:jc w:val="both"/>
        <w:rPr>
          <w:rFonts w:asciiTheme="minorHAnsi" w:hAnsiTheme="minorHAnsi" w:cs="Cambria"/>
          <w:color w:val="000000"/>
          <w:sz w:val="20"/>
          <w:szCs w:val="20"/>
          <w:lang w:val="en-US"/>
        </w:rPr>
      </w:pPr>
    </w:p>
    <w:p w:rsidR="00523DD8" w:rsidRPr="007D47AD" w:rsidRDefault="005F3C7A" w:rsidP="00523DD8">
      <w:pPr>
        <w:numPr>
          <w:ilvl w:val="0"/>
          <w:numId w:val="6"/>
        </w:numPr>
        <w:shd w:val="clear" w:color="auto" w:fill="FFFFFF"/>
        <w:spacing w:after="0" w:line="240" w:lineRule="auto"/>
        <w:ind w:left="0" w:firstLine="709"/>
        <w:jc w:val="both"/>
        <w:rPr>
          <w:rFonts w:asciiTheme="minorHAnsi" w:hAnsiTheme="minorHAnsi" w:cs="Cambria"/>
          <w:color w:val="000000"/>
          <w:sz w:val="20"/>
          <w:szCs w:val="20"/>
          <w:lang w:val="en-US"/>
        </w:rPr>
      </w:pPr>
      <w:r w:rsidRPr="007D47AD">
        <w:rPr>
          <w:rFonts w:asciiTheme="minorHAnsi" w:hAnsiTheme="minorHAnsi"/>
          <w:sz w:val="20"/>
          <w:szCs w:val="20"/>
          <w:lang w:val="en-US"/>
        </w:rPr>
        <w:t>The IACHR has learned that the N</w:t>
      </w:r>
      <w:r w:rsidR="009B732E" w:rsidRPr="007D47AD">
        <w:rPr>
          <w:rFonts w:asciiTheme="minorHAnsi" w:hAnsiTheme="minorHAnsi" w:cs="Cambria"/>
          <w:sz w:val="20"/>
          <w:szCs w:val="20"/>
          <w:lang w:val="en-US"/>
        </w:rPr>
        <w:t xml:space="preserve">ahua </w:t>
      </w:r>
      <w:r w:rsidRPr="007D47AD">
        <w:rPr>
          <w:rFonts w:asciiTheme="minorHAnsi" w:hAnsiTheme="minorHAnsi" w:cs="Cambria"/>
          <w:sz w:val="20"/>
          <w:szCs w:val="20"/>
          <w:lang w:val="en-US"/>
        </w:rPr>
        <w:t xml:space="preserve">community of </w:t>
      </w:r>
      <w:r w:rsidR="009B732E" w:rsidRPr="007D47AD">
        <w:rPr>
          <w:rFonts w:asciiTheme="minorHAnsi" w:hAnsiTheme="minorHAnsi" w:cs="Cambria"/>
          <w:sz w:val="20"/>
          <w:szCs w:val="20"/>
          <w:lang w:val="en-US"/>
        </w:rPr>
        <w:t xml:space="preserve">Tecoltemi, </w:t>
      </w:r>
      <w:r w:rsidRPr="007D47AD">
        <w:rPr>
          <w:rFonts w:asciiTheme="minorHAnsi" w:hAnsiTheme="minorHAnsi" w:cs="Cambria"/>
          <w:sz w:val="20"/>
          <w:szCs w:val="20"/>
          <w:lang w:val="en-US"/>
        </w:rPr>
        <w:t xml:space="preserve">in the state of </w:t>
      </w:r>
      <w:r w:rsidR="009B732E" w:rsidRPr="007D47AD">
        <w:rPr>
          <w:rFonts w:asciiTheme="minorHAnsi" w:hAnsiTheme="minorHAnsi" w:cs="Cambria"/>
          <w:sz w:val="20"/>
          <w:szCs w:val="20"/>
          <w:lang w:val="en-US"/>
        </w:rPr>
        <w:t>Puebla, ha</w:t>
      </w:r>
      <w:r w:rsidRPr="007D47AD">
        <w:rPr>
          <w:rFonts w:asciiTheme="minorHAnsi" w:hAnsiTheme="minorHAnsi" w:cs="Cambria"/>
          <w:sz w:val="20"/>
          <w:szCs w:val="20"/>
          <w:lang w:val="en-US"/>
        </w:rPr>
        <w:t>s demanded before the federal cour</w:t>
      </w:r>
      <w:r w:rsidR="00C62F3B" w:rsidRPr="007D47AD">
        <w:rPr>
          <w:rFonts w:asciiTheme="minorHAnsi" w:hAnsiTheme="minorHAnsi" w:cs="Cambria"/>
          <w:sz w:val="20"/>
          <w:szCs w:val="20"/>
          <w:lang w:val="en-US"/>
        </w:rPr>
        <w:t xml:space="preserve">ts that the mining concessions </w:t>
      </w:r>
      <w:r w:rsidRPr="007D47AD">
        <w:rPr>
          <w:rFonts w:asciiTheme="minorHAnsi" w:hAnsiTheme="minorHAnsi" w:cs="Cambria"/>
          <w:sz w:val="20"/>
          <w:szCs w:val="20"/>
          <w:lang w:val="en-US"/>
        </w:rPr>
        <w:t xml:space="preserve">granted without consultation on their territory to the company </w:t>
      </w:r>
      <w:r w:rsidR="009B732E" w:rsidRPr="007D47AD">
        <w:rPr>
          <w:rFonts w:asciiTheme="minorHAnsi" w:hAnsiTheme="minorHAnsi" w:cs="Cambria"/>
          <w:sz w:val="20"/>
          <w:szCs w:val="20"/>
          <w:lang w:val="en-US"/>
        </w:rPr>
        <w:t>Almaden Minerals</w:t>
      </w:r>
      <w:r w:rsidRPr="007D47AD">
        <w:rPr>
          <w:rFonts w:asciiTheme="minorHAnsi" w:hAnsiTheme="minorHAnsi" w:cs="Cambria"/>
          <w:sz w:val="20"/>
          <w:szCs w:val="20"/>
          <w:lang w:val="en-US"/>
        </w:rPr>
        <w:t xml:space="preserve"> be cancelled</w:t>
      </w:r>
      <w:r w:rsidR="009B732E" w:rsidRPr="007D47AD">
        <w:rPr>
          <w:rFonts w:asciiTheme="minorHAnsi" w:hAnsiTheme="minorHAnsi" w:cs="Cambria"/>
          <w:sz w:val="20"/>
          <w:szCs w:val="20"/>
          <w:lang w:val="en-US"/>
        </w:rPr>
        <w:t xml:space="preserve">. </w:t>
      </w:r>
      <w:r w:rsidRPr="007D47AD">
        <w:rPr>
          <w:rFonts w:asciiTheme="minorHAnsi" w:hAnsiTheme="minorHAnsi" w:cs="Cambria"/>
          <w:sz w:val="20"/>
          <w:szCs w:val="20"/>
          <w:lang w:val="en-US"/>
        </w:rPr>
        <w:t>In addition, that community has requested the review of several articles of the Mining Law since it gives preference to mining over any other activity and authori</w:t>
      </w:r>
      <w:r w:rsidR="001C6183" w:rsidRPr="007D47AD">
        <w:rPr>
          <w:rFonts w:asciiTheme="minorHAnsi" w:hAnsiTheme="minorHAnsi" w:cs="Cambria"/>
          <w:sz w:val="20"/>
          <w:szCs w:val="20"/>
          <w:lang w:val="en-US"/>
        </w:rPr>
        <w:t>zes</w:t>
      </w:r>
      <w:r w:rsidRPr="007D47AD">
        <w:rPr>
          <w:rFonts w:asciiTheme="minorHAnsi" w:hAnsiTheme="minorHAnsi" w:cs="Cambria"/>
          <w:sz w:val="20"/>
          <w:szCs w:val="20"/>
          <w:lang w:val="en-US"/>
        </w:rPr>
        <w:t xml:space="preserve"> the governmental authorities to hand over to companies the lands and territories of the indigenous peoples and the </w:t>
      </w:r>
      <w:r w:rsidR="00CB1627" w:rsidRPr="007D47AD">
        <w:rPr>
          <w:rFonts w:asciiTheme="minorHAnsi" w:hAnsiTheme="minorHAnsi" w:cs="Cambria"/>
          <w:i/>
          <w:iCs/>
          <w:sz w:val="20"/>
          <w:szCs w:val="20"/>
          <w:lang w:val="en-US"/>
        </w:rPr>
        <w:t>ejidos</w:t>
      </w:r>
      <w:r w:rsidRPr="007D47AD">
        <w:rPr>
          <w:rFonts w:asciiTheme="minorHAnsi" w:hAnsiTheme="minorHAnsi" w:cs="Cambria"/>
          <w:sz w:val="20"/>
          <w:szCs w:val="20"/>
          <w:lang w:val="en-US"/>
        </w:rPr>
        <w:t>.</w:t>
      </w:r>
      <w:r w:rsidR="009B732E" w:rsidRPr="007D47AD">
        <w:rPr>
          <w:rStyle w:val="FootnoteReference"/>
          <w:rFonts w:asciiTheme="minorHAnsi" w:hAnsiTheme="minorHAnsi" w:cs="Cambria"/>
          <w:sz w:val="20"/>
          <w:szCs w:val="20"/>
          <w:lang w:val="en-US"/>
        </w:rPr>
        <w:footnoteReference w:id="338"/>
      </w:r>
      <w:r w:rsidR="009B732E" w:rsidRPr="007D47AD">
        <w:rPr>
          <w:rFonts w:asciiTheme="minorHAnsi" w:hAnsiTheme="minorHAnsi" w:cs="Cambria"/>
          <w:sz w:val="20"/>
          <w:szCs w:val="20"/>
          <w:lang w:val="en-US"/>
        </w:rPr>
        <w:t xml:space="preserve"> </w:t>
      </w:r>
    </w:p>
    <w:p w:rsidR="00523DD8" w:rsidRPr="007D47AD" w:rsidRDefault="00523DD8" w:rsidP="00523DD8">
      <w:pPr>
        <w:shd w:val="clear" w:color="auto" w:fill="FFFFFF"/>
        <w:spacing w:after="0" w:line="240" w:lineRule="auto"/>
        <w:jc w:val="both"/>
        <w:rPr>
          <w:rFonts w:asciiTheme="minorHAnsi" w:hAnsiTheme="minorHAnsi"/>
          <w:sz w:val="20"/>
          <w:szCs w:val="20"/>
          <w:lang w:val="en-US"/>
        </w:rPr>
      </w:pPr>
    </w:p>
    <w:p w:rsidR="00523DD8" w:rsidRPr="007D47AD" w:rsidRDefault="005F3C7A" w:rsidP="00523DD8">
      <w:pPr>
        <w:numPr>
          <w:ilvl w:val="0"/>
          <w:numId w:val="6"/>
        </w:numPr>
        <w:shd w:val="clear" w:color="auto" w:fill="FFFFFF"/>
        <w:spacing w:after="0" w:line="240" w:lineRule="auto"/>
        <w:ind w:left="0" w:firstLine="709"/>
        <w:jc w:val="both"/>
        <w:rPr>
          <w:rFonts w:asciiTheme="minorHAnsi" w:hAnsiTheme="minorHAnsi" w:cs="Cambria"/>
          <w:color w:val="000000"/>
          <w:sz w:val="20"/>
          <w:szCs w:val="20"/>
          <w:lang w:val="en-US"/>
        </w:rPr>
      </w:pPr>
      <w:r w:rsidRPr="007D47AD">
        <w:rPr>
          <w:rFonts w:asciiTheme="minorHAnsi" w:hAnsiTheme="minorHAnsi"/>
          <w:sz w:val="20"/>
          <w:szCs w:val="20"/>
          <w:lang w:val="en-US"/>
        </w:rPr>
        <w:t xml:space="preserve">In addition, the IACHR has learned that several indigenous peoples in southern Mexico, as well as human rights organizations, rejected the consultation to create the Program for Development of the </w:t>
      </w:r>
      <w:r w:rsidR="009B732E" w:rsidRPr="007D47AD">
        <w:rPr>
          <w:rFonts w:asciiTheme="minorHAnsi" w:hAnsiTheme="minorHAnsi" w:cs="Cambria"/>
          <w:sz w:val="20"/>
          <w:szCs w:val="20"/>
          <w:lang w:val="en-US"/>
        </w:rPr>
        <w:t>Ist</w:t>
      </w:r>
      <w:r w:rsidR="001C6183" w:rsidRPr="007D47AD">
        <w:rPr>
          <w:rFonts w:asciiTheme="minorHAnsi" w:hAnsiTheme="minorHAnsi" w:cs="Cambria"/>
          <w:sz w:val="20"/>
          <w:szCs w:val="20"/>
          <w:lang w:val="en-US"/>
        </w:rPr>
        <w:t>h</w:t>
      </w:r>
      <w:r w:rsidR="009B732E" w:rsidRPr="007D47AD">
        <w:rPr>
          <w:rFonts w:asciiTheme="minorHAnsi" w:hAnsiTheme="minorHAnsi" w:cs="Cambria"/>
          <w:sz w:val="20"/>
          <w:szCs w:val="20"/>
          <w:lang w:val="en-US"/>
        </w:rPr>
        <w:t>m</w:t>
      </w:r>
      <w:r w:rsidRPr="007D47AD">
        <w:rPr>
          <w:rFonts w:asciiTheme="minorHAnsi" w:hAnsiTheme="minorHAnsi" w:cs="Cambria"/>
          <w:sz w:val="20"/>
          <w:szCs w:val="20"/>
          <w:lang w:val="en-US"/>
        </w:rPr>
        <w:t>us</w:t>
      </w:r>
      <w:r w:rsidR="009B732E" w:rsidRPr="007D47AD">
        <w:rPr>
          <w:rFonts w:asciiTheme="minorHAnsi" w:hAnsiTheme="minorHAnsi" w:cs="Cambria"/>
          <w:sz w:val="20"/>
          <w:szCs w:val="20"/>
          <w:lang w:val="en-US"/>
        </w:rPr>
        <w:t xml:space="preserve"> </w:t>
      </w:r>
      <w:r w:rsidRPr="007D47AD">
        <w:rPr>
          <w:rFonts w:asciiTheme="minorHAnsi" w:hAnsiTheme="minorHAnsi" w:cs="Cambria"/>
          <w:sz w:val="20"/>
          <w:szCs w:val="20"/>
          <w:lang w:val="en-US"/>
        </w:rPr>
        <w:t xml:space="preserve">of </w:t>
      </w:r>
      <w:r w:rsidR="009B732E" w:rsidRPr="007D47AD">
        <w:rPr>
          <w:rFonts w:asciiTheme="minorHAnsi" w:hAnsiTheme="minorHAnsi" w:cs="Cambria"/>
          <w:sz w:val="20"/>
          <w:szCs w:val="20"/>
          <w:lang w:val="en-US"/>
        </w:rPr>
        <w:t xml:space="preserve">Tehuantepec, </w:t>
      </w:r>
      <w:r w:rsidRPr="007D47AD">
        <w:rPr>
          <w:rFonts w:asciiTheme="minorHAnsi" w:hAnsiTheme="minorHAnsi" w:cs="Cambria"/>
          <w:sz w:val="20"/>
          <w:szCs w:val="20"/>
          <w:lang w:val="en-US"/>
        </w:rPr>
        <w:t xml:space="preserve">a project that affects the narrowest part of Mexican territory between the Pacific and Atlantic oceans, in the southern states of </w:t>
      </w:r>
      <w:r w:rsidR="009B732E" w:rsidRPr="007D47AD">
        <w:rPr>
          <w:rFonts w:asciiTheme="minorHAnsi" w:hAnsiTheme="minorHAnsi" w:cs="Cambria"/>
          <w:sz w:val="20"/>
          <w:szCs w:val="20"/>
          <w:lang w:val="en-US"/>
        </w:rPr>
        <w:t xml:space="preserve">Oaxaca </w:t>
      </w:r>
      <w:r w:rsidRPr="007D47AD">
        <w:rPr>
          <w:rFonts w:asciiTheme="minorHAnsi" w:hAnsiTheme="minorHAnsi" w:cs="Cambria"/>
          <w:sz w:val="20"/>
          <w:szCs w:val="20"/>
          <w:lang w:val="en-US"/>
        </w:rPr>
        <w:t xml:space="preserve">and </w:t>
      </w:r>
      <w:r w:rsidR="009B732E" w:rsidRPr="007D47AD">
        <w:rPr>
          <w:rFonts w:asciiTheme="minorHAnsi" w:hAnsiTheme="minorHAnsi" w:cs="Cambria"/>
          <w:sz w:val="20"/>
          <w:szCs w:val="20"/>
          <w:lang w:val="en-US"/>
        </w:rPr>
        <w:t xml:space="preserve">Veracruz, </w:t>
      </w:r>
      <w:r w:rsidRPr="007D47AD">
        <w:rPr>
          <w:rFonts w:asciiTheme="minorHAnsi" w:hAnsiTheme="minorHAnsi" w:cs="Cambria"/>
          <w:sz w:val="20"/>
          <w:szCs w:val="20"/>
          <w:lang w:val="en-US"/>
        </w:rPr>
        <w:t>and which includes plans, among other things, for the construction of an “Interoceanic Corridor.”</w:t>
      </w:r>
      <w:r w:rsidR="00CB1627" w:rsidRPr="007D47AD">
        <w:rPr>
          <w:rStyle w:val="FootnoteReference"/>
          <w:rFonts w:asciiTheme="minorHAnsi" w:hAnsiTheme="minorHAnsi" w:cs="Cambria"/>
          <w:color w:val="000000"/>
          <w:sz w:val="20"/>
          <w:szCs w:val="20"/>
          <w:lang w:val="en-US"/>
        </w:rPr>
        <w:footnoteReference w:id="339"/>
      </w:r>
    </w:p>
    <w:p w:rsidR="00CB1627" w:rsidRPr="007D47AD" w:rsidRDefault="00CB1627" w:rsidP="00CB1627">
      <w:pPr>
        <w:shd w:val="clear" w:color="auto" w:fill="FFFFFF"/>
        <w:spacing w:after="0" w:line="240" w:lineRule="auto"/>
        <w:jc w:val="both"/>
        <w:rPr>
          <w:rFonts w:asciiTheme="minorHAnsi" w:hAnsiTheme="minorHAnsi" w:cs="Cambria"/>
          <w:color w:val="000000"/>
          <w:sz w:val="20"/>
          <w:szCs w:val="20"/>
          <w:lang w:val="en-US"/>
        </w:rPr>
      </w:pPr>
    </w:p>
    <w:p w:rsidR="00523DD8" w:rsidRPr="007D47AD" w:rsidRDefault="005F3C7A" w:rsidP="00CB1627">
      <w:pPr>
        <w:numPr>
          <w:ilvl w:val="0"/>
          <w:numId w:val="6"/>
        </w:numPr>
        <w:shd w:val="clear" w:color="auto" w:fill="FFFFFF"/>
        <w:spacing w:after="0" w:line="240" w:lineRule="auto"/>
        <w:ind w:left="0" w:firstLine="709"/>
        <w:jc w:val="both"/>
        <w:rPr>
          <w:rFonts w:asciiTheme="minorHAnsi" w:hAnsiTheme="minorHAnsi" w:cs="Cambria"/>
          <w:color w:val="000000"/>
          <w:sz w:val="20"/>
          <w:szCs w:val="20"/>
          <w:lang w:val="en-US"/>
        </w:rPr>
      </w:pPr>
      <w:r w:rsidRPr="007D47AD">
        <w:rPr>
          <w:rFonts w:asciiTheme="minorHAnsi" w:hAnsiTheme="minorHAnsi" w:cs="Cambria"/>
          <w:color w:val="000000"/>
          <w:sz w:val="20"/>
          <w:szCs w:val="20"/>
          <w:lang w:val="en-US"/>
        </w:rPr>
        <w:t xml:space="preserve">In this respect, the IACHR observes that on March 27 the Government of Mexico announced it would be holding the consultation for the Plan for Development of the Isthmus of </w:t>
      </w:r>
      <w:r w:rsidR="00FF6B1C" w:rsidRPr="007D47AD">
        <w:rPr>
          <w:rFonts w:asciiTheme="minorHAnsi" w:hAnsiTheme="minorHAnsi" w:cs="Cambria"/>
          <w:color w:val="000000"/>
          <w:sz w:val="20"/>
          <w:szCs w:val="20"/>
          <w:lang w:val="en-US"/>
        </w:rPr>
        <w:t>Tehuantepec</w:t>
      </w:r>
      <w:r w:rsidR="009B732E" w:rsidRPr="007D47AD">
        <w:rPr>
          <w:rStyle w:val="FootnoteReference"/>
          <w:rFonts w:asciiTheme="minorHAnsi" w:hAnsiTheme="minorHAnsi" w:cs="Cambria"/>
          <w:color w:val="000000"/>
          <w:sz w:val="20"/>
          <w:szCs w:val="20"/>
          <w:lang w:val="en-US"/>
        </w:rPr>
        <w:footnoteReference w:id="340"/>
      </w:r>
      <w:r w:rsidR="004535AF" w:rsidRPr="007D47AD">
        <w:rPr>
          <w:rFonts w:asciiTheme="minorHAnsi" w:hAnsiTheme="minorHAnsi" w:cs="Cambria"/>
          <w:color w:val="000000"/>
          <w:sz w:val="20"/>
          <w:szCs w:val="20"/>
          <w:lang w:val="en-US"/>
        </w:rPr>
        <w:t>,</w:t>
      </w:r>
      <w:r w:rsidR="002F2575" w:rsidRPr="007D47AD">
        <w:rPr>
          <w:rFonts w:asciiTheme="minorHAnsi" w:hAnsiTheme="minorHAnsi" w:cs="Cambria"/>
          <w:color w:val="000000"/>
          <w:sz w:val="20"/>
          <w:szCs w:val="20"/>
          <w:lang w:val="en-US"/>
        </w:rPr>
        <w:t xml:space="preserve"> in</w:t>
      </w:r>
      <w:r w:rsidR="00BA4879" w:rsidRPr="007D47AD">
        <w:rPr>
          <w:rFonts w:asciiTheme="minorHAnsi" w:hAnsiTheme="minorHAnsi" w:cs="Cambria"/>
          <w:color w:val="000000"/>
          <w:sz w:val="20"/>
          <w:szCs w:val="20"/>
          <w:lang w:val="en-US"/>
        </w:rPr>
        <w:t>formation that was reiterated on</w:t>
      </w:r>
      <w:r w:rsidR="004535AF" w:rsidRPr="007D47AD">
        <w:rPr>
          <w:rFonts w:asciiTheme="minorHAnsi" w:hAnsiTheme="minorHAnsi" w:cs="Cambria"/>
          <w:color w:val="000000"/>
          <w:sz w:val="20"/>
          <w:szCs w:val="20"/>
          <w:lang w:val="en-US"/>
        </w:rPr>
        <w:t xml:space="preserve"> </w:t>
      </w:r>
      <w:r w:rsidR="004E2CEC" w:rsidRPr="007D47AD">
        <w:rPr>
          <w:rFonts w:asciiTheme="minorHAnsi" w:hAnsiTheme="minorHAnsi"/>
          <w:sz w:val="20"/>
          <w:szCs w:val="20"/>
          <w:lang w:val="en-US"/>
        </w:rPr>
        <w:t>its observations on the draft of this report.</w:t>
      </w:r>
      <w:r w:rsidR="004535AF" w:rsidRPr="007D47AD">
        <w:rPr>
          <w:rStyle w:val="FootnoteReference"/>
          <w:rFonts w:asciiTheme="minorHAnsi" w:eastAsia="Cambria" w:hAnsiTheme="minorHAnsi" w:cs="Cambria"/>
          <w:sz w:val="20"/>
          <w:szCs w:val="20"/>
          <w:lang w:val="en-US"/>
        </w:rPr>
        <w:footnoteReference w:id="341"/>
      </w:r>
      <w:r w:rsidR="009B732E" w:rsidRPr="007D47AD">
        <w:rPr>
          <w:rFonts w:asciiTheme="minorHAnsi" w:hAnsiTheme="minorHAnsi" w:cs="Cambria"/>
          <w:color w:val="000000"/>
          <w:sz w:val="20"/>
          <w:szCs w:val="20"/>
          <w:lang w:val="en-US"/>
        </w:rPr>
        <w:t xml:space="preserve"> </w:t>
      </w:r>
      <w:r w:rsidR="004535AF" w:rsidRPr="007D47AD">
        <w:rPr>
          <w:rFonts w:asciiTheme="minorHAnsi" w:hAnsiTheme="minorHAnsi" w:cs="Cambria"/>
          <w:color w:val="000000"/>
          <w:sz w:val="20"/>
          <w:szCs w:val="20"/>
          <w:lang w:val="en-US"/>
        </w:rPr>
        <w:t>According to the public sources</w:t>
      </w:r>
      <w:r w:rsidRPr="007D47AD">
        <w:rPr>
          <w:rFonts w:asciiTheme="minorHAnsi" w:hAnsiTheme="minorHAnsi" w:cs="Cambria"/>
          <w:color w:val="000000"/>
          <w:sz w:val="20"/>
          <w:szCs w:val="20"/>
          <w:lang w:val="en-US"/>
        </w:rPr>
        <w:t xml:space="preserve"> the indigenous population denounced that it was a </w:t>
      </w:r>
      <w:r w:rsidR="00D57E39" w:rsidRPr="007D47AD">
        <w:rPr>
          <w:rFonts w:asciiTheme="minorHAnsi" w:hAnsiTheme="minorHAnsi" w:cs="Cambria"/>
          <w:color w:val="000000"/>
          <w:sz w:val="20"/>
          <w:szCs w:val="20"/>
          <w:lang w:val="en-US"/>
        </w:rPr>
        <w:t>just going through the motions</w:t>
      </w:r>
      <w:r w:rsidRPr="007D47AD">
        <w:rPr>
          <w:rFonts w:asciiTheme="minorHAnsi" w:hAnsiTheme="minorHAnsi" w:cs="Cambria"/>
          <w:color w:val="000000"/>
          <w:sz w:val="20"/>
          <w:szCs w:val="20"/>
          <w:lang w:val="en-US"/>
        </w:rPr>
        <w:t>.</w:t>
      </w:r>
      <w:r w:rsidR="009B732E" w:rsidRPr="007D47AD">
        <w:rPr>
          <w:rStyle w:val="FootnoteReference"/>
          <w:rFonts w:asciiTheme="minorHAnsi" w:hAnsiTheme="minorHAnsi" w:cs="Cambria"/>
          <w:color w:val="000000"/>
          <w:sz w:val="20"/>
          <w:szCs w:val="20"/>
          <w:lang w:val="en-US"/>
        </w:rPr>
        <w:footnoteReference w:id="342"/>
      </w:r>
      <w:r w:rsidR="00CB1627" w:rsidRPr="007D47AD">
        <w:rPr>
          <w:rFonts w:asciiTheme="minorHAnsi" w:hAnsiTheme="minorHAnsi" w:cs="Cambria"/>
          <w:color w:val="000000"/>
          <w:sz w:val="20"/>
          <w:szCs w:val="20"/>
          <w:lang w:val="en-US"/>
        </w:rPr>
        <w:t xml:space="preserve"> </w:t>
      </w:r>
      <w:r w:rsidRPr="007D47AD">
        <w:rPr>
          <w:rFonts w:asciiTheme="minorHAnsi" w:hAnsiTheme="minorHAnsi" w:cs="Cambria"/>
          <w:color w:val="000000"/>
          <w:sz w:val="20"/>
          <w:szCs w:val="20"/>
          <w:lang w:val="en-US"/>
        </w:rPr>
        <w:t>According to what was said by the civil society organizations, th</w:t>
      </w:r>
      <w:r w:rsidR="001C6183" w:rsidRPr="007D47AD">
        <w:rPr>
          <w:rFonts w:asciiTheme="minorHAnsi" w:hAnsiTheme="minorHAnsi" w:cs="Cambria"/>
          <w:color w:val="000000"/>
          <w:sz w:val="20"/>
          <w:szCs w:val="20"/>
          <w:lang w:val="en-US"/>
        </w:rPr>
        <w:t>at</w:t>
      </w:r>
      <w:r w:rsidRPr="007D47AD">
        <w:rPr>
          <w:rFonts w:asciiTheme="minorHAnsi" w:hAnsiTheme="minorHAnsi" w:cs="Cambria"/>
          <w:color w:val="000000"/>
          <w:sz w:val="20"/>
          <w:szCs w:val="20"/>
          <w:lang w:val="en-US"/>
        </w:rPr>
        <w:t xml:space="preserve"> participatory process has excessive formalities and would impede the affected communities from </w:t>
      </w:r>
      <w:r w:rsidR="001C6183" w:rsidRPr="007D47AD">
        <w:rPr>
          <w:rFonts w:asciiTheme="minorHAnsi" w:hAnsiTheme="minorHAnsi" w:cs="Cambria"/>
          <w:color w:val="000000"/>
          <w:sz w:val="20"/>
          <w:szCs w:val="20"/>
          <w:lang w:val="en-US"/>
        </w:rPr>
        <w:t xml:space="preserve">learning, </w:t>
      </w:r>
      <w:r w:rsidRPr="007D47AD">
        <w:rPr>
          <w:rFonts w:asciiTheme="minorHAnsi" w:hAnsiTheme="minorHAnsi" w:cs="Cambria"/>
          <w:color w:val="000000"/>
          <w:sz w:val="20"/>
          <w:szCs w:val="20"/>
          <w:lang w:val="en-US"/>
        </w:rPr>
        <w:t>analyzing, and making any decision about the project.</w:t>
      </w:r>
      <w:r w:rsidR="009B732E" w:rsidRPr="007D47AD">
        <w:rPr>
          <w:rStyle w:val="FootnoteReference"/>
          <w:rFonts w:asciiTheme="minorHAnsi" w:hAnsiTheme="minorHAnsi" w:cs="Cambria"/>
          <w:color w:val="000000"/>
          <w:sz w:val="20"/>
          <w:szCs w:val="20"/>
          <w:lang w:val="en-US"/>
        </w:rPr>
        <w:footnoteReference w:id="343"/>
      </w:r>
      <w:r w:rsidR="009B732E" w:rsidRPr="007D47AD">
        <w:rPr>
          <w:rFonts w:asciiTheme="minorHAnsi" w:hAnsiTheme="minorHAnsi" w:cs="Cambria"/>
          <w:color w:val="000000"/>
          <w:sz w:val="20"/>
          <w:szCs w:val="20"/>
          <w:lang w:val="en-US"/>
        </w:rPr>
        <w:t xml:space="preserve"> </w:t>
      </w:r>
      <w:r w:rsidRPr="007D47AD">
        <w:rPr>
          <w:rFonts w:asciiTheme="minorHAnsi" w:hAnsiTheme="minorHAnsi" w:cs="Cambria"/>
          <w:color w:val="000000"/>
          <w:sz w:val="20"/>
          <w:szCs w:val="20"/>
          <w:lang w:val="en-US"/>
        </w:rPr>
        <w:t xml:space="preserve">In addition, the IACHR notes that the </w:t>
      </w:r>
      <w:r w:rsidR="00FF6B1C" w:rsidRPr="007D47AD">
        <w:rPr>
          <w:rFonts w:asciiTheme="minorHAnsi" w:hAnsiTheme="minorHAnsi" w:cs="Cambria"/>
          <w:color w:val="000000"/>
          <w:sz w:val="20"/>
          <w:szCs w:val="20"/>
          <w:lang w:val="en-US"/>
        </w:rPr>
        <w:t xml:space="preserve">CNDH </w:t>
      </w:r>
      <w:r w:rsidRPr="007D47AD">
        <w:rPr>
          <w:rFonts w:asciiTheme="minorHAnsi" w:hAnsiTheme="minorHAnsi" w:cs="Cambria"/>
          <w:color w:val="000000"/>
          <w:sz w:val="20"/>
          <w:szCs w:val="20"/>
          <w:lang w:val="en-US"/>
        </w:rPr>
        <w:t xml:space="preserve">determined that the indigenous peoples run the risk of disappearing </w:t>
      </w:r>
      <w:r w:rsidR="009B732E" w:rsidRPr="007D47AD">
        <w:rPr>
          <w:rFonts w:asciiTheme="minorHAnsi" w:hAnsiTheme="minorHAnsi" w:cs="Cambria"/>
          <w:color w:val="000000"/>
          <w:sz w:val="20"/>
          <w:szCs w:val="20"/>
          <w:lang w:val="en-US"/>
        </w:rPr>
        <w:t>d</w:t>
      </w:r>
      <w:r w:rsidRPr="007D47AD">
        <w:rPr>
          <w:rFonts w:asciiTheme="minorHAnsi" w:hAnsiTheme="minorHAnsi" w:cs="Cambria"/>
          <w:color w:val="000000"/>
          <w:sz w:val="20"/>
          <w:szCs w:val="20"/>
          <w:lang w:val="en-US"/>
        </w:rPr>
        <w:t xml:space="preserve">ue to the construction of </w:t>
      </w:r>
      <w:r w:rsidR="009B732E" w:rsidRPr="007D47AD">
        <w:rPr>
          <w:rFonts w:asciiTheme="minorHAnsi" w:hAnsiTheme="minorHAnsi" w:cs="Cambria"/>
          <w:color w:val="000000"/>
          <w:sz w:val="20"/>
          <w:szCs w:val="20"/>
          <w:lang w:val="en-US"/>
        </w:rPr>
        <w:t>megapro</w:t>
      </w:r>
      <w:r w:rsidRPr="007D47AD">
        <w:rPr>
          <w:rFonts w:asciiTheme="minorHAnsi" w:hAnsiTheme="minorHAnsi" w:cs="Cambria"/>
          <w:color w:val="000000"/>
          <w:sz w:val="20"/>
          <w:szCs w:val="20"/>
          <w:lang w:val="en-US"/>
        </w:rPr>
        <w:t xml:space="preserve">jects in their </w:t>
      </w:r>
      <w:r w:rsidR="009B732E" w:rsidRPr="007D47AD">
        <w:rPr>
          <w:rFonts w:asciiTheme="minorHAnsi" w:hAnsiTheme="minorHAnsi" w:cs="Cambria"/>
          <w:color w:val="000000"/>
          <w:sz w:val="20"/>
          <w:szCs w:val="20"/>
          <w:lang w:val="en-US"/>
        </w:rPr>
        <w:t>territori</w:t>
      </w:r>
      <w:r w:rsidRPr="007D47AD">
        <w:rPr>
          <w:rFonts w:asciiTheme="minorHAnsi" w:hAnsiTheme="minorHAnsi" w:cs="Cambria"/>
          <w:color w:val="000000"/>
          <w:sz w:val="20"/>
          <w:szCs w:val="20"/>
          <w:lang w:val="en-US"/>
        </w:rPr>
        <w:t>e</w:t>
      </w:r>
      <w:r w:rsidR="009B732E" w:rsidRPr="007D47AD">
        <w:rPr>
          <w:rFonts w:asciiTheme="minorHAnsi" w:hAnsiTheme="minorHAnsi" w:cs="Cambria"/>
          <w:color w:val="000000"/>
          <w:sz w:val="20"/>
          <w:szCs w:val="20"/>
          <w:lang w:val="en-US"/>
        </w:rPr>
        <w:t>s</w:t>
      </w:r>
      <w:r w:rsidR="009B732E" w:rsidRPr="007D47AD">
        <w:rPr>
          <w:rStyle w:val="FootnoteReference"/>
          <w:rFonts w:asciiTheme="minorHAnsi" w:hAnsiTheme="minorHAnsi" w:cs="Cambria"/>
          <w:color w:val="000000"/>
          <w:sz w:val="20"/>
          <w:szCs w:val="20"/>
          <w:lang w:val="en-US"/>
        </w:rPr>
        <w:footnoteReference w:id="344"/>
      </w:r>
      <w:r w:rsidRPr="007D47AD">
        <w:rPr>
          <w:rFonts w:asciiTheme="minorHAnsi" w:hAnsiTheme="minorHAnsi" w:cs="Cambria"/>
          <w:color w:val="000000"/>
          <w:sz w:val="20"/>
          <w:szCs w:val="20"/>
          <w:lang w:val="en-US"/>
        </w:rPr>
        <w:t>,</w:t>
      </w:r>
      <w:r w:rsidR="009B732E" w:rsidRPr="007D47AD">
        <w:rPr>
          <w:rFonts w:asciiTheme="minorHAnsi" w:hAnsiTheme="minorHAnsi" w:cs="Cambria"/>
          <w:color w:val="000000"/>
          <w:sz w:val="20"/>
          <w:szCs w:val="20"/>
          <w:lang w:val="en-US"/>
        </w:rPr>
        <w:t xml:space="preserve"> </w:t>
      </w:r>
      <w:r w:rsidRPr="007D47AD">
        <w:rPr>
          <w:rFonts w:asciiTheme="minorHAnsi" w:hAnsiTheme="minorHAnsi" w:cs="Cambria"/>
          <w:color w:val="000000"/>
          <w:sz w:val="20"/>
          <w:szCs w:val="20"/>
          <w:lang w:val="en-US"/>
        </w:rPr>
        <w:t xml:space="preserve">and that it asked various federal authorities and the authorities of the states of </w:t>
      </w:r>
      <w:r w:rsidR="009B732E" w:rsidRPr="007D47AD">
        <w:rPr>
          <w:rFonts w:asciiTheme="minorHAnsi" w:hAnsiTheme="minorHAnsi" w:cs="Cambria"/>
          <w:color w:val="000000"/>
          <w:sz w:val="20"/>
          <w:szCs w:val="20"/>
          <w:lang w:val="en-US"/>
        </w:rPr>
        <w:t xml:space="preserve">Oaxaca </w:t>
      </w:r>
      <w:r w:rsidRPr="007D47AD">
        <w:rPr>
          <w:rFonts w:asciiTheme="minorHAnsi" w:hAnsiTheme="minorHAnsi" w:cs="Cambria"/>
          <w:color w:val="000000"/>
          <w:sz w:val="20"/>
          <w:szCs w:val="20"/>
          <w:lang w:val="en-US"/>
        </w:rPr>
        <w:t xml:space="preserve">and </w:t>
      </w:r>
      <w:r w:rsidR="009B732E" w:rsidRPr="007D47AD">
        <w:rPr>
          <w:rFonts w:asciiTheme="minorHAnsi" w:hAnsiTheme="minorHAnsi" w:cs="Cambria"/>
          <w:color w:val="000000"/>
          <w:sz w:val="20"/>
          <w:szCs w:val="20"/>
          <w:lang w:val="en-US"/>
        </w:rPr>
        <w:t xml:space="preserve">Veracruz </w:t>
      </w:r>
      <w:r w:rsidRPr="007D47AD">
        <w:rPr>
          <w:rFonts w:asciiTheme="minorHAnsi" w:hAnsiTheme="minorHAnsi" w:cs="Cambria"/>
          <w:color w:val="000000"/>
          <w:sz w:val="20"/>
          <w:szCs w:val="20"/>
          <w:lang w:val="en-US"/>
        </w:rPr>
        <w:t xml:space="preserve">to grant precautionary measures in favor of the </w:t>
      </w:r>
      <w:r w:rsidR="009B732E" w:rsidRPr="007D47AD">
        <w:rPr>
          <w:rFonts w:asciiTheme="minorHAnsi" w:hAnsiTheme="minorHAnsi" w:cs="Cambria"/>
          <w:color w:val="000000"/>
          <w:sz w:val="20"/>
          <w:szCs w:val="20"/>
          <w:lang w:val="en-US"/>
        </w:rPr>
        <w:t xml:space="preserve">Binnizá (Zapoteco), Ayuuk (Mixe), Zoque, Ikoots (Huave), Chontal, Chinanteco, Mazateco, Mixteco, Popoluca, Náhuatl, </w:t>
      </w:r>
      <w:r w:rsidRPr="007D47AD">
        <w:rPr>
          <w:rFonts w:asciiTheme="minorHAnsi" w:hAnsiTheme="minorHAnsi" w:cs="Cambria"/>
          <w:color w:val="000000"/>
          <w:sz w:val="20"/>
          <w:szCs w:val="20"/>
          <w:lang w:val="en-US"/>
        </w:rPr>
        <w:t xml:space="preserve">and </w:t>
      </w:r>
      <w:r w:rsidR="009B732E" w:rsidRPr="007D47AD">
        <w:rPr>
          <w:rFonts w:asciiTheme="minorHAnsi" w:hAnsiTheme="minorHAnsi" w:cs="Cambria"/>
          <w:color w:val="000000"/>
          <w:sz w:val="20"/>
          <w:szCs w:val="20"/>
          <w:lang w:val="en-US"/>
        </w:rPr>
        <w:t xml:space="preserve">Totonaco </w:t>
      </w:r>
      <w:r w:rsidRPr="007D47AD">
        <w:rPr>
          <w:rFonts w:asciiTheme="minorHAnsi" w:hAnsiTheme="minorHAnsi" w:cs="Cambria"/>
          <w:color w:val="000000"/>
          <w:sz w:val="20"/>
          <w:szCs w:val="20"/>
          <w:lang w:val="en-US"/>
        </w:rPr>
        <w:t>indigenous peoples and Afro-Mexicans situated in the area of influence of that project.</w:t>
      </w:r>
      <w:r w:rsidR="009B732E" w:rsidRPr="007D47AD">
        <w:rPr>
          <w:rStyle w:val="FootnoteReference"/>
          <w:rFonts w:asciiTheme="minorHAnsi" w:hAnsiTheme="minorHAnsi" w:cs="Cambria"/>
          <w:color w:val="000000"/>
          <w:sz w:val="20"/>
          <w:szCs w:val="20"/>
          <w:lang w:val="en-US"/>
        </w:rPr>
        <w:footnoteReference w:id="345"/>
      </w:r>
      <w:r w:rsidR="00CB1627" w:rsidRPr="007D47AD">
        <w:rPr>
          <w:rFonts w:asciiTheme="minorHAnsi" w:hAnsiTheme="minorHAnsi" w:cs="Cambria"/>
          <w:color w:val="000000"/>
          <w:sz w:val="20"/>
          <w:szCs w:val="20"/>
          <w:lang w:val="en-US"/>
        </w:rPr>
        <w:t xml:space="preserve"> </w:t>
      </w:r>
      <w:r w:rsidRPr="007D47AD">
        <w:rPr>
          <w:rFonts w:asciiTheme="minorHAnsi" w:hAnsiTheme="minorHAnsi" w:cs="Cambria"/>
          <w:color w:val="000000"/>
          <w:sz w:val="20"/>
          <w:szCs w:val="20"/>
          <w:lang w:val="en-US"/>
        </w:rPr>
        <w:t xml:space="preserve">the Council of Autonomous Organizations of Oaxaca (COOA: </w:t>
      </w:r>
      <w:r w:rsidR="009B732E" w:rsidRPr="007D47AD">
        <w:rPr>
          <w:rFonts w:asciiTheme="minorHAnsi" w:hAnsiTheme="minorHAnsi" w:cs="Cambria"/>
          <w:color w:val="000000"/>
          <w:sz w:val="20"/>
          <w:szCs w:val="20"/>
          <w:lang w:val="en-US"/>
        </w:rPr>
        <w:t xml:space="preserve">Consejo de Organizaciones Oaxaqueñas Autónomas) </w:t>
      </w:r>
      <w:r w:rsidRPr="007D47AD">
        <w:rPr>
          <w:rFonts w:asciiTheme="minorHAnsi" w:hAnsiTheme="minorHAnsi" w:cs="Cambria"/>
          <w:color w:val="000000"/>
          <w:sz w:val="20"/>
          <w:szCs w:val="20"/>
          <w:lang w:val="en-US"/>
        </w:rPr>
        <w:t xml:space="preserve">denounced the existence of </w:t>
      </w:r>
      <w:r w:rsidR="009B732E" w:rsidRPr="007D47AD">
        <w:rPr>
          <w:rFonts w:asciiTheme="minorHAnsi" w:hAnsiTheme="minorHAnsi" w:cs="Cambria"/>
          <w:color w:val="000000"/>
          <w:sz w:val="20"/>
          <w:szCs w:val="20"/>
          <w:lang w:val="en-US"/>
        </w:rPr>
        <w:t>“</w:t>
      </w:r>
      <w:r w:rsidRPr="007D47AD">
        <w:rPr>
          <w:rFonts w:asciiTheme="minorHAnsi" w:hAnsiTheme="minorHAnsi" w:cs="Cambria"/>
          <w:color w:val="000000"/>
          <w:sz w:val="20"/>
          <w:szCs w:val="20"/>
          <w:lang w:val="en-US"/>
        </w:rPr>
        <w:t>simulated consultations</w:t>
      </w:r>
      <w:r w:rsidR="009B732E" w:rsidRPr="007D47AD">
        <w:rPr>
          <w:rFonts w:asciiTheme="minorHAnsi" w:hAnsiTheme="minorHAnsi" w:cs="Cambria"/>
          <w:color w:val="000000"/>
          <w:sz w:val="20"/>
          <w:szCs w:val="20"/>
          <w:lang w:val="en-US"/>
        </w:rPr>
        <w:t xml:space="preserve">” </w:t>
      </w:r>
      <w:r w:rsidRPr="007D47AD">
        <w:rPr>
          <w:rFonts w:asciiTheme="minorHAnsi" w:hAnsiTheme="minorHAnsi" w:cs="Cambria"/>
          <w:color w:val="000000"/>
          <w:sz w:val="20"/>
          <w:szCs w:val="20"/>
          <w:lang w:val="en-US"/>
        </w:rPr>
        <w:t>for the megaprojects</w:t>
      </w:r>
      <w:r w:rsidR="009B732E" w:rsidRPr="007D47AD">
        <w:rPr>
          <w:rFonts w:asciiTheme="minorHAnsi" w:hAnsiTheme="minorHAnsi" w:cs="Cambria"/>
          <w:color w:val="000000"/>
          <w:sz w:val="20"/>
          <w:szCs w:val="20"/>
          <w:lang w:val="en-US"/>
        </w:rPr>
        <w:t xml:space="preserve">, </w:t>
      </w:r>
      <w:r w:rsidRPr="007D47AD">
        <w:rPr>
          <w:rFonts w:asciiTheme="minorHAnsi" w:hAnsiTheme="minorHAnsi" w:cs="Cambria"/>
          <w:color w:val="000000"/>
          <w:sz w:val="20"/>
          <w:szCs w:val="20"/>
          <w:lang w:val="en-US"/>
        </w:rPr>
        <w:t xml:space="preserve">as well as assassinations of human rights defenders and activists, and the criminalization of social protest. In that context </w:t>
      </w:r>
      <w:r w:rsidR="00E45568" w:rsidRPr="007D47AD">
        <w:rPr>
          <w:rFonts w:asciiTheme="minorHAnsi" w:hAnsiTheme="minorHAnsi" w:cs="Cambria"/>
          <w:color w:val="000000"/>
          <w:sz w:val="20"/>
          <w:szCs w:val="20"/>
          <w:lang w:val="en-US"/>
        </w:rPr>
        <w:t>they are said to have demanded the cancellation of the mining concessions and hydroelectric projects in Mexico, rejecting the Special Economic Zone and the Trans-isthmic Megaproject</w:t>
      </w:r>
      <w:r w:rsidR="009B732E" w:rsidRPr="007D47AD">
        <w:rPr>
          <w:rStyle w:val="Emphasis"/>
          <w:rFonts w:asciiTheme="minorHAnsi" w:hAnsiTheme="minorHAnsi" w:cs="Cambria"/>
          <w:i w:val="0"/>
          <w:iCs w:val="0"/>
          <w:sz w:val="20"/>
          <w:szCs w:val="20"/>
          <w:lang w:val="en-US"/>
        </w:rPr>
        <w:t xml:space="preserve">, </w:t>
      </w:r>
      <w:r w:rsidR="00E45568" w:rsidRPr="007D47AD">
        <w:rPr>
          <w:rStyle w:val="Emphasis"/>
          <w:rFonts w:asciiTheme="minorHAnsi" w:hAnsiTheme="minorHAnsi" w:cs="Cambria"/>
          <w:i w:val="0"/>
          <w:iCs w:val="0"/>
          <w:sz w:val="20"/>
          <w:szCs w:val="20"/>
          <w:lang w:val="en-US"/>
        </w:rPr>
        <w:t xml:space="preserve">due to the serious effects it would have for </w:t>
      </w:r>
      <w:r w:rsidR="009B732E" w:rsidRPr="007D47AD">
        <w:rPr>
          <w:rStyle w:val="Emphasis"/>
          <w:rFonts w:asciiTheme="minorHAnsi" w:hAnsiTheme="minorHAnsi" w:cs="Cambria"/>
          <w:i w:val="0"/>
          <w:iCs w:val="0"/>
          <w:sz w:val="20"/>
          <w:szCs w:val="20"/>
          <w:lang w:val="en-US"/>
        </w:rPr>
        <w:t>Oaxaca</w:t>
      </w:r>
      <w:r w:rsidR="00E45568" w:rsidRPr="007D47AD">
        <w:rPr>
          <w:rStyle w:val="Emphasis"/>
          <w:rFonts w:asciiTheme="minorHAnsi" w:hAnsiTheme="minorHAnsi" w:cs="Cambria"/>
          <w:i w:val="0"/>
          <w:iCs w:val="0"/>
          <w:sz w:val="20"/>
          <w:szCs w:val="20"/>
          <w:lang w:val="en-US"/>
        </w:rPr>
        <w:t>.</w:t>
      </w:r>
      <w:r w:rsidR="009B732E" w:rsidRPr="007D47AD">
        <w:rPr>
          <w:rStyle w:val="FootnoteReference"/>
          <w:rFonts w:asciiTheme="minorHAnsi" w:hAnsiTheme="minorHAnsi" w:cs="Cambria"/>
          <w:iCs/>
          <w:sz w:val="20"/>
          <w:szCs w:val="20"/>
          <w:lang w:val="en-US"/>
        </w:rPr>
        <w:footnoteReference w:id="346"/>
      </w:r>
      <w:r w:rsidR="00CB1627" w:rsidRPr="007D47AD">
        <w:rPr>
          <w:rFonts w:asciiTheme="minorHAnsi" w:hAnsiTheme="minorHAnsi" w:cs="Cambria"/>
          <w:color w:val="000000"/>
          <w:sz w:val="20"/>
          <w:szCs w:val="20"/>
          <w:lang w:val="en-US"/>
        </w:rPr>
        <w:t xml:space="preserve"> </w:t>
      </w:r>
      <w:r w:rsidR="00E45568" w:rsidRPr="007D47AD">
        <w:rPr>
          <w:rFonts w:asciiTheme="minorHAnsi" w:hAnsiTheme="minorHAnsi" w:cs="Cambria"/>
          <w:color w:val="000000"/>
          <w:sz w:val="20"/>
          <w:szCs w:val="20"/>
          <w:lang w:val="en-US"/>
        </w:rPr>
        <w:t xml:space="preserve"> </w:t>
      </w:r>
    </w:p>
    <w:p w:rsidR="001C6183" w:rsidRPr="007D47AD" w:rsidRDefault="001C6183" w:rsidP="001C6183">
      <w:pPr>
        <w:shd w:val="clear" w:color="auto" w:fill="FFFFFF"/>
        <w:spacing w:after="0" w:line="240" w:lineRule="auto"/>
        <w:ind w:left="709"/>
        <w:jc w:val="both"/>
        <w:rPr>
          <w:rFonts w:asciiTheme="minorHAnsi" w:hAnsiTheme="minorHAnsi" w:cs="Cambria"/>
          <w:color w:val="000000"/>
          <w:sz w:val="20"/>
          <w:szCs w:val="20"/>
          <w:lang w:val="en-US"/>
        </w:rPr>
      </w:pPr>
    </w:p>
    <w:p w:rsidR="00523DD8" w:rsidRPr="007D47AD" w:rsidRDefault="00094178" w:rsidP="00365DD9">
      <w:pPr>
        <w:numPr>
          <w:ilvl w:val="0"/>
          <w:numId w:val="6"/>
        </w:numPr>
        <w:shd w:val="clear" w:color="auto" w:fill="FFFFFF"/>
        <w:spacing w:after="0" w:line="240" w:lineRule="auto"/>
        <w:ind w:left="0" w:firstLine="709"/>
        <w:jc w:val="both"/>
        <w:rPr>
          <w:rFonts w:asciiTheme="minorHAnsi" w:hAnsiTheme="minorHAnsi" w:cs="Cambria"/>
          <w:color w:val="000000"/>
          <w:sz w:val="20"/>
          <w:szCs w:val="20"/>
          <w:lang w:val="en-US"/>
        </w:rPr>
      </w:pPr>
      <w:r w:rsidRPr="007D47AD">
        <w:rPr>
          <w:rFonts w:asciiTheme="minorHAnsi" w:hAnsiTheme="minorHAnsi" w:cs="Cambria"/>
          <w:sz w:val="20"/>
          <w:szCs w:val="20"/>
          <w:lang w:val="en-US"/>
        </w:rPr>
        <w:t xml:space="preserve">In addition, the IACHR observes that </w:t>
      </w:r>
      <w:r w:rsidR="009B732E" w:rsidRPr="007D47AD">
        <w:rPr>
          <w:rFonts w:asciiTheme="minorHAnsi" w:hAnsiTheme="minorHAnsi" w:cs="Cambria"/>
          <w:sz w:val="20"/>
          <w:szCs w:val="20"/>
          <w:lang w:val="en-US"/>
        </w:rPr>
        <w:t xml:space="preserve">El Tren Maya, </w:t>
      </w:r>
      <w:r w:rsidRPr="007D47AD">
        <w:rPr>
          <w:rFonts w:asciiTheme="minorHAnsi" w:hAnsiTheme="minorHAnsi" w:cs="Cambria"/>
          <w:sz w:val="20"/>
          <w:szCs w:val="20"/>
          <w:lang w:val="en-US"/>
        </w:rPr>
        <w:t>a transportation project that seeks to interconnect the main archeological centers of Mayan culture in five states of southeast Mexico</w:t>
      </w:r>
      <w:r w:rsidR="009B732E" w:rsidRPr="007D47AD">
        <w:rPr>
          <w:rStyle w:val="FootnoteReference"/>
          <w:rFonts w:asciiTheme="minorHAnsi" w:hAnsiTheme="minorHAnsi" w:cs="Cambria"/>
          <w:sz w:val="20"/>
          <w:szCs w:val="20"/>
          <w:lang w:val="en-US"/>
        </w:rPr>
        <w:footnoteReference w:id="347"/>
      </w:r>
      <w:r w:rsidR="009B732E" w:rsidRPr="007D47AD">
        <w:rPr>
          <w:rFonts w:asciiTheme="minorHAnsi" w:hAnsiTheme="minorHAnsi" w:cs="Cambria"/>
          <w:sz w:val="20"/>
          <w:szCs w:val="20"/>
          <w:lang w:val="en-US"/>
        </w:rPr>
        <w:t xml:space="preserve">, </w:t>
      </w:r>
      <w:r w:rsidRPr="007D47AD">
        <w:rPr>
          <w:rFonts w:asciiTheme="minorHAnsi" w:hAnsiTheme="minorHAnsi" w:cs="Cambria"/>
          <w:sz w:val="20"/>
          <w:szCs w:val="20"/>
          <w:lang w:val="en-US"/>
        </w:rPr>
        <w:t xml:space="preserve">has also been </w:t>
      </w:r>
      <w:r w:rsidRPr="007D47AD">
        <w:rPr>
          <w:rFonts w:asciiTheme="minorHAnsi" w:hAnsiTheme="minorHAnsi" w:cs="Cambria"/>
          <w:sz w:val="20"/>
          <w:szCs w:val="20"/>
          <w:lang w:val="en-US"/>
        </w:rPr>
        <w:lastRenderedPageBreak/>
        <w:t>the source of criticisms due to the alleged failure to carry out the right to consultation. The IACHR notes that the Executive, despite having recognized the indigenous communities’ opposition to the project, had indicated that it is valid to start the call for bids. According to information that is a matter of public knowledge, the authority had said that the infrastructure projects would be carried out because democracy so requires.</w:t>
      </w:r>
      <w:r w:rsidR="009B732E" w:rsidRPr="007D47AD">
        <w:rPr>
          <w:rStyle w:val="FootnoteReference"/>
          <w:rFonts w:asciiTheme="minorHAnsi" w:hAnsiTheme="minorHAnsi" w:cs="Cambria"/>
          <w:sz w:val="20"/>
          <w:szCs w:val="20"/>
          <w:lang w:val="en-US"/>
        </w:rPr>
        <w:footnoteReference w:id="348"/>
      </w:r>
      <w:r w:rsidR="004535AF" w:rsidRPr="007D47AD">
        <w:rPr>
          <w:rFonts w:asciiTheme="minorHAnsi" w:hAnsiTheme="minorHAnsi" w:cs="Cambria"/>
          <w:sz w:val="20"/>
          <w:szCs w:val="20"/>
          <w:lang w:val="en-US"/>
        </w:rPr>
        <w:t xml:space="preserve"> </w:t>
      </w:r>
      <w:r w:rsidR="00365DD9" w:rsidRPr="007D47AD">
        <w:rPr>
          <w:rFonts w:asciiTheme="minorHAnsi" w:hAnsiTheme="minorHAnsi" w:cs="Cambria"/>
          <w:color w:val="000000"/>
          <w:sz w:val="20"/>
          <w:szCs w:val="20"/>
          <w:lang w:val="en-US"/>
        </w:rPr>
        <w:t>I</w:t>
      </w:r>
      <w:r w:rsidR="004535AF" w:rsidRPr="007D47AD">
        <w:rPr>
          <w:rFonts w:asciiTheme="minorHAnsi" w:hAnsiTheme="minorHAnsi" w:cs="Cambria"/>
          <w:color w:val="000000"/>
          <w:sz w:val="20"/>
          <w:szCs w:val="20"/>
          <w:lang w:val="en-US"/>
        </w:rPr>
        <w:t xml:space="preserve">n </w:t>
      </w:r>
      <w:r w:rsidR="00365DD9" w:rsidRPr="007D47AD">
        <w:rPr>
          <w:rFonts w:asciiTheme="minorHAnsi" w:hAnsiTheme="minorHAnsi" w:cs="Cambria"/>
          <w:color w:val="000000"/>
          <w:sz w:val="20"/>
          <w:szCs w:val="20"/>
          <w:lang w:val="en-US"/>
        </w:rPr>
        <w:t xml:space="preserve">its observations on the draft of this report the State noted that in the context of the </w:t>
      </w:r>
      <w:r w:rsidR="00487302" w:rsidRPr="007D47AD">
        <w:rPr>
          <w:rFonts w:asciiTheme="minorHAnsi" w:hAnsiTheme="minorHAnsi" w:cs="Cambria"/>
          <w:color w:val="000000"/>
          <w:sz w:val="20"/>
          <w:szCs w:val="20"/>
          <w:lang w:val="en-US"/>
        </w:rPr>
        <w:t xml:space="preserve">Maya Train Project </w:t>
      </w:r>
      <w:r w:rsidR="00365DD9" w:rsidRPr="007D47AD">
        <w:rPr>
          <w:rFonts w:asciiTheme="minorHAnsi" w:hAnsiTheme="minorHAnsi" w:cs="Cambria"/>
          <w:color w:val="000000"/>
          <w:sz w:val="20"/>
          <w:szCs w:val="20"/>
          <w:lang w:val="en-US"/>
        </w:rPr>
        <w:t xml:space="preserve">the following peoples were consulted: </w:t>
      </w:r>
      <w:r w:rsidR="004535AF" w:rsidRPr="007D47AD">
        <w:rPr>
          <w:rFonts w:asciiTheme="minorHAnsi" w:hAnsiTheme="minorHAnsi" w:cs="Cambria"/>
          <w:color w:val="000000"/>
          <w:sz w:val="20"/>
          <w:szCs w:val="20"/>
          <w:lang w:val="en-US"/>
        </w:rPr>
        <w:t xml:space="preserve">Nahuas </w:t>
      </w:r>
      <w:r w:rsidR="00365DD9" w:rsidRPr="007D47AD">
        <w:rPr>
          <w:rFonts w:asciiTheme="minorHAnsi" w:hAnsiTheme="minorHAnsi" w:cs="Cambria"/>
          <w:color w:val="000000"/>
          <w:sz w:val="20"/>
          <w:szCs w:val="20"/>
          <w:lang w:val="en-US"/>
        </w:rPr>
        <w:t xml:space="preserve">in the municipality of </w:t>
      </w:r>
      <w:r w:rsidR="004535AF" w:rsidRPr="007D47AD">
        <w:rPr>
          <w:rFonts w:asciiTheme="minorHAnsi" w:hAnsiTheme="minorHAnsi" w:cs="Cambria"/>
          <w:color w:val="000000"/>
          <w:sz w:val="20"/>
          <w:szCs w:val="20"/>
          <w:lang w:val="en-US"/>
        </w:rPr>
        <w:t>Atlixco, Puebla</w:t>
      </w:r>
      <w:r w:rsidR="00365DD9" w:rsidRPr="007D47AD">
        <w:rPr>
          <w:rFonts w:asciiTheme="minorHAnsi" w:hAnsiTheme="minorHAnsi" w:cs="Cambria"/>
          <w:color w:val="000000"/>
          <w:sz w:val="20"/>
          <w:szCs w:val="20"/>
          <w:lang w:val="en-US"/>
        </w:rPr>
        <w:t>,</w:t>
      </w:r>
      <w:r w:rsidR="004535AF" w:rsidRPr="007D47AD">
        <w:rPr>
          <w:rFonts w:asciiTheme="minorHAnsi" w:hAnsiTheme="minorHAnsi" w:cs="Cambria"/>
          <w:color w:val="000000"/>
          <w:sz w:val="20"/>
          <w:szCs w:val="20"/>
          <w:lang w:val="en-US"/>
        </w:rPr>
        <w:t xml:space="preserve"> </w:t>
      </w:r>
      <w:r w:rsidR="00365DD9" w:rsidRPr="007D47AD">
        <w:rPr>
          <w:rFonts w:asciiTheme="minorHAnsi" w:hAnsiTheme="minorHAnsi" w:cs="Cambria"/>
          <w:color w:val="000000"/>
          <w:sz w:val="20"/>
          <w:szCs w:val="20"/>
          <w:lang w:val="en-US"/>
        </w:rPr>
        <w:t xml:space="preserve">on the </w:t>
      </w:r>
      <w:r w:rsidR="004535AF" w:rsidRPr="007D47AD">
        <w:rPr>
          <w:rFonts w:asciiTheme="minorHAnsi" w:hAnsiTheme="minorHAnsi" w:cs="Cambria"/>
          <w:color w:val="000000"/>
          <w:sz w:val="20"/>
          <w:szCs w:val="20"/>
          <w:lang w:val="en-US"/>
        </w:rPr>
        <w:t>“Proyecto Integral Morelos (Atlixco, Puebla</w:t>
      </w:r>
      <w:r w:rsidR="00365DD9" w:rsidRPr="007D47AD">
        <w:rPr>
          <w:rFonts w:asciiTheme="minorHAnsi" w:hAnsiTheme="minorHAnsi" w:cs="Cambria"/>
          <w:color w:val="000000"/>
          <w:sz w:val="20"/>
          <w:szCs w:val="20"/>
          <w:lang w:val="en-US"/>
        </w:rPr>
        <w:t xml:space="preserve"> section</w:t>
      </w:r>
      <w:r w:rsidR="004535AF" w:rsidRPr="007D47AD">
        <w:rPr>
          <w:rFonts w:asciiTheme="minorHAnsi" w:hAnsiTheme="minorHAnsi" w:cs="Cambria"/>
          <w:color w:val="000000"/>
          <w:sz w:val="20"/>
          <w:szCs w:val="20"/>
          <w:lang w:val="en-US"/>
        </w:rPr>
        <w:t xml:space="preserve">)”; </w:t>
      </w:r>
      <w:r w:rsidR="00365DD9" w:rsidRPr="007D47AD">
        <w:rPr>
          <w:rFonts w:asciiTheme="minorHAnsi" w:hAnsiTheme="minorHAnsi" w:cs="Cambria"/>
          <w:color w:val="000000"/>
          <w:sz w:val="20"/>
          <w:szCs w:val="20"/>
          <w:lang w:val="en-US"/>
        </w:rPr>
        <w:t xml:space="preserve">the </w:t>
      </w:r>
      <w:r w:rsidR="004535AF" w:rsidRPr="007D47AD">
        <w:rPr>
          <w:rFonts w:asciiTheme="minorHAnsi" w:hAnsiTheme="minorHAnsi" w:cs="Cambria"/>
          <w:color w:val="000000"/>
          <w:sz w:val="20"/>
          <w:szCs w:val="20"/>
          <w:lang w:val="en-US"/>
        </w:rPr>
        <w:t>Mayas, T</w:t>
      </w:r>
      <w:r w:rsidR="00365DD9" w:rsidRPr="007D47AD">
        <w:rPr>
          <w:rFonts w:asciiTheme="minorHAnsi" w:hAnsiTheme="minorHAnsi" w:cs="Cambria"/>
          <w:color w:val="000000"/>
          <w:sz w:val="20"/>
          <w:szCs w:val="20"/>
          <w:lang w:val="en-US"/>
        </w:rPr>
        <w:t>z</w:t>
      </w:r>
      <w:r w:rsidR="004535AF" w:rsidRPr="007D47AD">
        <w:rPr>
          <w:rFonts w:asciiTheme="minorHAnsi" w:hAnsiTheme="minorHAnsi" w:cs="Cambria"/>
          <w:color w:val="000000"/>
          <w:sz w:val="20"/>
          <w:szCs w:val="20"/>
          <w:lang w:val="en-US"/>
        </w:rPr>
        <w:t>eltal, T</w:t>
      </w:r>
      <w:r w:rsidR="00365DD9" w:rsidRPr="007D47AD">
        <w:rPr>
          <w:rFonts w:asciiTheme="minorHAnsi" w:hAnsiTheme="minorHAnsi" w:cs="Cambria"/>
          <w:color w:val="000000"/>
          <w:sz w:val="20"/>
          <w:szCs w:val="20"/>
          <w:lang w:val="en-US"/>
        </w:rPr>
        <w:t>z</w:t>
      </w:r>
      <w:r w:rsidR="004535AF" w:rsidRPr="007D47AD">
        <w:rPr>
          <w:rFonts w:asciiTheme="minorHAnsi" w:hAnsiTheme="minorHAnsi" w:cs="Cambria"/>
          <w:color w:val="000000"/>
          <w:sz w:val="20"/>
          <w:szCs w:val="20"/>
          <w:lang w:val="en-US"/>
        </w:rPr>
        <w:t>ot</w:t>
      </w:r>
      <w:r w:rsidR="00487302" w:rsidRPr="007D47AD">
        <w:rPr>
          <w:rFonts w:asciiTheme="minorHAnsi" w:hAnsiTheme="minorHAnsi" w:cs="Cambria"/>
          <w:color w:val="000000"/>
          <w:sz w:val="20"/>
          <w:szCs w:val="20"/>
          <w:lang w:val="en-US"/>
        </w:rPr>
        <w:t>z</w:t>
      </w:r>
      <w:r w:rsidR="004535AF" w:rsidRPr="007D47AD">
        <w:rPr>
          <w:rFonts w:asciiTheme="minorHAnsi" w:hAnsiTheme="minorHAnsi" w:cs="Cambria"/>
          <w:color w:val="000000"/>
          <w:sz w:val="20"/>
          <w:szCs w:val="20"/>
          <w:lang w:val="en-US"/>
        </w:rPr>
        <w:t>il</w:t>
      </w:r>
      <w:r w:rsidR="00487302" w:rsidRPr="007D47AD">
        <w:rPr>
          <w:rFonts w:asciiTheme="minorHAnsi" w:hAnsiTheme="minorHAnsi" w:cs="Cambria"/>
          <w:color w:val="000000"/>
          <w:sz w:val="20"/>
          <w:szCs w:val="20"/>
          <w:lang w:val="en-US"/>
        </w:rPr>
        <w:t>,</w:t>
      </w:r>
      <w:r w:rsidR="004535AF" w:rsidRPr="007D47AD">
        <w:rPr>
          <w:rFonts w:asciiTheme="minorHAnsi" w:hAnsiTheme="minorHAnsi" w:cs="Cambria"/>
          <w:color w:val="000000"/>
          <w:sz w:val="20"/>
          <w:szCs w:val="20"/>
          <w:lang w:val="en-US"/>
        </w:rPr>
        <w:t xml:space="preserve"> </w:t>
      </w:r>
      <w:r w:rsidR="00365DD9" w:rsidRPr="007D47AD">
        <w:rPr>
          <w:rFonts w:asciiTheme="minorHAnsi" w:hAnsiTheme="minorHAnsi" w:cs="Cambria"/>
          <w:color w:val="000000"/>
          <w:sz w:val="20"/>
          <w:szCs w:val="20"/>
          <w:lang w:val="en-US"/>
        </w:rPr>
        <w:t>and</w:t>
      </w:r>
      <w:r w:rsidR="004535AF" w:rsidRPr="007D47AD">
        <w:rPr>
          <w:rFonts w:asciiTheme="minorHAnsi" w:hAnsiTheme="minorHAnsi" w:cs="Cambria"/>
          <w:color w:val="000000"/>
          <w:sz w:val="20"/>
          <w:szCs w:val="20"/>
          <w:lang w:val="en-US"/>
        </w:rPr>
        <w:t xml:space="preserve"> Ch´ole</w:t>
      </w:r>
      <w:r w:rsidR="00487302" w:rsidRPr="007D47AD">
        <w:rPr>
          <w:rFonts w:asciiTheme="minorHAnsi" w:hAnsiTheme="minorHAnsi" w:cs="Cambria"/>
          <w:color w:val="000000"/>
          <w:sz w:val="20"/>
          <w:szCs w:val="20"/>
          <w:lang w:val="en-US"/>
        </w:rPr>
        <w:t xml:space="preserve"> peoples and communities </w:t>
      </w:r>
      <w:r w:rsidR="00365DD9" w:rsidRPr="007D47AD">
        <w:rPr>
          <w:rFonts w:asciiTheme="minorHAnsi" w:hAnsiTheme="minorHAnsi" w:cs="Cambria"/>
          <w:color w:val="000000"/>
          <w:sz w:val="20"/>
          <w:szCs w:val="20"/>
          <w:lang w:val="en-US"/>
        </w:rPr>
        <w:t xml:space="preserve">of the states of </w:t>
      </w:r>
      <w:r w:rsidR="004535AF" w:rsidRPr="007D47AD">
        <w:rPr>
          <w:rFonts w:asciiTheme="minorHAnsi" w:hAnsiTheme="minorHAnsi" w:cs="Cambria"/>
          <w:color w:val="000000"/>
          <w:sz w:val="20"/>
          <w:szCs w:val="20"/>
          <w:lang w:val="en-US"/>
        </w:rPr>
        <w:t>Chiapas, Tabasco, Campeche, Yucatán</w:t>
      </w:r>
      <w:r w:rsidR="00365DD9" w:rsidRPr="007D47AD">
        <w:rPr>
          <w:rFonts w:asciiTheme="minorHAnsi" w:hAnsiTheme="minorHAnsi" w:cs="Cambria"/>
          <w:color w:val="000000"/>
          <w:sz w:val="20"/>
          <w:szCs w:val="20"/>
          <w:lang w:val="en-US"/>
        </w:rPr>
        <w:t>,</w:t>
      </w:r>
      <w:r w:rsidR="004535AF" w:rsidRPr="007D47AD">
        <w:rPr>
          <w:rFonts w:asciiTheme="minorHAnsi" w:hAnsiTheme="minorHAnsi" w:cs="Cambria"/>
          <w:color w:val="000000"/>
          <w:sz w:val="20"/>
          <w:szCs w:val="20"/>
          <w:lang w:val="en-US"/>
        </w:rPr>
        <w:t xml:space="preserve"> </w:t>
      </w:r>
      <w:r w:rsidR="00365DD9" w:rsidRPr="007D47AD">
        <w:rPr>
          <w:rFonts w:asciiTheme="minorHAnsi" w:hAnsiTheme="minorHAnsi" w:cs="Cambria"/>
          <w:color w:val="000000"/>
          <w:sz w:val="20"/>
          <w:szCs w:val="20"/>
          <w:lang w:val="en-US"/>
        </w:rPr>
        <w:t xml:space="preserve">and </w:t>
      </w:r>
      <w:r w:rsidR="004535AF" w:rsidRPr="007D47AD">
        <w:rPr>
          <w:rFonts w:asciiTheme="minorHAnsi" w:hAnsiTheme="minorHAnsi" w:cs="Cambria"/>
          <w:color w:val="000000"/>
          <w:sz w:val="20"/>
          <w:szCs w:val="20"/>
          <w:lang w:val="en-US"/>
        </w:rPr>
        <w:t xml:space="preserve">Quintana Roo, </w:t>
      </w:r>
      <w:r w:rsidR="00365DD9" w:rsidRPr="007D47AD">
        <w:rPr>
          <w:rFonts w:asciiTheme="minorHAnsi" w:hAnsiTheme="minorHAnsi" w:cs="Cambria"/>
          <w:color w:val="000000"/>
          <w:sz w:val="20"/>
          <w:szCs w:val="20"/>
          <w:lang w:val="en-US"/>
        </w:rPr>
        <w:t xml:space="preserve">on the </w:t>
      </w:r>
      <w:r w:rsidR="004535AF" w:rsidRPr="007D47AD">
        <w:rPr>
          <w:rFonts w:asciiTheme="minorHAnsi" w:hAnsiTheme="minorHAnsi" w:cs="Cambria"/>
          <w:color w:val="000000"/>
          <w:sz w:val="20"/>
          <w:szCs w:val="20"/>
          <w:lang w:val="en-US"/>
        </w:rPr>
        <w:t>“</w:t>
      </w:r>
      <w:r w:rsidR="00487302" w:rsidRPr="007D47AD">
        <w:rPr>
          <w:rFonts w:asciiTheme="minorHAnsi" w:hAnsiTheme="minorHAnsi" w:cs="Cambria"/>
          <w:color w:val="000000"/>
          <w:sz w:val="20"/>
          <w:szCs w:val="20"/>
          <w:lang w:val="en-US"/>
        </w:rPr>
        <w:t>Maya Train Development Project</w:t>
      </w:r>
      <w:r w:rsidR="00365DD9" w:rsidRPr="007D47AD">
        <w:rPr>
          <w:rFonts w:asciiTheme="minorHAnsi" w:hAnsiTheme="minorHAnsi" w:cs="Cambria"/>
          <w:color w:val="000000"/>
          <w:sz w:val="20"/>
          <w:szCs w:val="20"/>
          <w:lang w:val="en-US"/>
        </w:rPr>
        <w:t>.</w:t>
      </w:r>
      <w:r w:rsidR="004535AF" w:rsidRPr="007D47AD">
        <w:rPr>
          <w:rFonts w:asciiTheme="minorHAnsi" w:hAnsiTheme="minorHAnsi" w:cs="Cambria"/>
          <w:color w:val="000000"/>
          <w:sz w:val="20"/>
          <w:szCs w:val="20"/>
          <w:lang w:val="en-US"/>
        </w:rPr>
        <w:t>”</w:t>
      </w:r>
      <w:r w:rsidR="004535AF" w:rsidRPr="007D47AD">
        <w:rPr>
          <w:rStyle w:val="FootnoteReference"/>
          <w:rFonts w:asciiTheme="minorHAnsi" w:eastAsia="Cambria" w:hAnsiTheme="minorHAnsi" w:cs="Cambria"/>
          <w:sz w:val="20"/>
          <w:szCs w:val="20"/>
          <w:lang w:val="en-US"/>
        </w:rPr>
        <w:footnoteReference w:id="349"/>
      </w:r>
      <w:r w:rsidR="00365DD9" w:rsidRPr="007D47AD">
        <w:rPr>
          <w:rFonts w:asciiTheme="minorHAnsi" w:hAnsiTheme="minorHAnsi" w:cs="Cambria"/>
          <w:color w:val="000000"/>
          <w:sz w:val="20"/>
          <w:szCs w:val="20"/>
          <w:lang w:val="en-US"/>
        </w:rPr>
        <w:t xml:space="preserve"> </w:t>
      </w:r>
    </w:p>
    <w:p w:rsidR="00523DD8" w:rsidRPr="007D47AD" w:rsidRDefault="00523DD8" w:rsidP="00523DD8">
      <w:pPr>
        <w:shd w:val="clear" w:color="auto" w:fill="FFFFFF"/>
        <w:spacing w:after="0" w:line="240" w:lineRule="auto"/>
        <w:jc w:val="both"/>
        <w:rPr>
          <w:rFonts w:asciiTheme="minorHAnsi" w:hAnsiTheme="minorHAnsi"/>
          <w:sz w:val="20"/>
          <w:szCs w:val="20"/>
          <w:lang w:val="en-US"/>
        </w:rPr>
      </w:pPr>
    </w:p>
    <w:p w:rsidR="00523DD8" w:rsidRPr="007D47AD" w:rsidRDefault="00094178" w:rsidP="00523DD8">
      <w:pPr>
        <w:numPr>
          <w:ilvl w:val="0"/>
          <w:numId w:val="6"/>
        </w:numPr>
        <w:shd w:val="clear" w:color="auto" w:fill="FFFFFF"/>
        <w:spacing w:after="0" w:line="240" w:lineRule="auto"/>
        <w:ind w:left="0" w:firstLine="709"/>
        <w:jc w:val="both"/>
        <w:rPr>
          <w:rFonts w:asciiTheme="minorHAnsi" w:hAnsiTheme="minorHAnsi" w:cs="Cambria"/>
          <w:color w:val="000000"/>
          <w:sz w:val="20"/>
          <w:szCs w:val="20"/>
          <w:lang w:val="en-US"/>
        </w:rPr>
      </w:pPr>
      <w:r w:rsidRPr="007D47AD">
        <w:rPr>
          <w:rFonts w:asciiTheme="minorHAnsi" w:hAnsiTheme="minorHAnsi"/>
          <w:sz w:val="20"/>
          <w:szCs w:val="20"/>
          <w:lang w:val="en-US"/>
        </w:rPr>
        <w:t xml:space="preserve">The IACHR further observes that in </w:t>
      </w:r>
      <w:r w:rsidR="009B732E" w:rsidRPr="007D47AD">
        <w:rPr>
          <w:rFonts w:asciiTheme="minorHAnsi" w:hAnsiTheme="minorHAnsi"/>
          <w:sz w:val="20"/>
          <w:szCs w:val="20"/>
          <w:lang w:val="en-US"/>
        </w:rPr>
        <w:t xml:space="preserve">2019 </w:t>
      </w:r>
      <w:r w:rsidRPr="007D47AD">
        <w:rPr>
          <w:rFonts w:asciiTheme="minorHAnsi" w:hAnsiTheme="minorHAnsi"/>
          <w:sz w:val="20"/>
          <w:szCs w:val="20"/>
          <w:lang w:val="en-US"/>
        </w:rPr>
        <w:t xml:space="preserve">the organization </w:t>
      </w:r>
      <w:r w:rsidR="009B732E" w:rsidRPr="007D47AD">
        <w:rPr>
          <w:rFonts w:asciiTheme="minorHAnsi" w:hAnsiTheme="minorHAnsi" w:cs="Cambria"/>
          <w:sz w:val="20"/>
          <w:szCs w:val="20"/>
          <w:lang w:val="en-US"/>
        </w:rPr>
        <w:t>Pueblo y Comunidad Indígena de “El Contadero</w:t>
      </w:r>
      <w:r w:rsidRPr="007D47AD">
        <w:rPr>
          <w:rFonts w:asciiTheme="minorHAnsi" w:hAnsiTheme="minorHAnsi" w:cs="Cambria"/>
          <w:sz w:val="20"/>
          <w:szCs w:val="20"/>
          <w:lang w:val="en-US"/>
        </w:rPr>
        <w:t>,</w:t>
      </w:r>
      <w:r w:rsidR="009B732E" w:rsidRPr="007D47AD">
        <w:rPr>
          <w:rFonts w:asciiTheme="minorHAnsi" w:hAnsiTheme="minorHAnsi" w:cs="Cambria"/>
          <w:sz w:val="20"/>
          <w:szCs w:val="20"/>
          <w:lang w:val="en-US"/>
        </w:rPr>
        <w:t xml:space="preserve">” </w:t>
      </w:r>
      <w:r w:rsidRPr="007D47AD">
        <w:rPr>
          <w:rFonts w:asciiTheme="minorHAnsi" w:hAnsiTheme="minorHAnsi" w:cs="Cambria"/>
          <w:sz w:val="20"/>
          <w:szCs w:val="20"/>
          <w:lang w:val="en-US"/>
        </w:rPr>
        <w:t xml:space="preserve">in Mexico City, had filed an </w:t>
      </w:r>
      <w:r w:rsidR="009B732E" w:rsidRPr="007D47AD">
        <w:rPr>
          <w:rFonts w:asciiTheme="minorHAnsi" w:hAnsiTheme="minorHAnsi" w:cs="Cambria"/>
          <w:i/>
          <w:iCs/>
          <w:sz w:val="20"/>
          <w:szCs w:val="20"/>
          <w:lang w:val="en-US"/>
        </w:rPr>
        <w:t>amparo</w:t>
      </w:r>
      <w:r w:rsidR="009B732E" w:rsidRPr="007D47AD">
        <w:rPr>
          <w:rFonts w:asciiTheme="minorHAnsi" w:hAnsiTheme="minorHAnsi" w:cs="Cambria"/>
          <w:sz w:val="20"/>
          <w:szCs w:val="20"/>
          <w:lang w:val="en-US"/>
        </w:rPr>
        <w:t xml:space="preserve"> </w:t>
      </w:r>
      <w:r w:rsidR="009F60C0" w:rsidRPr="007D47AD">
        <w:rPr>
          <w:rFonts w:asciiTheme="minorHAnsi" w:hAnsiTheme="minorHAnsi" w:cs="Cambria"/>
          <w:sz w:val="20"/>
          <w:szCs w:val="20"/>
          <w:lang w:val="en-US"/>
        </w:rPr>
        <w:t xml:space="preserve">for failure to consult the Decree Abrogating the Law on the National </w:t>
      </w:r>
      <w:r w:rsidR="004E08FB" w:rsidRPr="007D47AD">
        <w:rPr>
          <w:rFonts w:asciiTheme="minorHAnsi" w:hAnsiTheme="minorHAnsi" w:cs="Cambria"/>
          <w:sz w:val="20"/>
          <w:szCs w:val="20"/>
          <w:lang w:val="en-US"/>
        </w:rPr>
        <w:t>Commission</w:t>
      </w:r>
      <w:r w:rsidR="009F60C0" w:rsidRPr="007D47AD">
        <w:rPr>
          <w:rFonts w:asciiTheme="minorHAnsi" w:hAnsiTheme="minorHAnsi" w:cs="Cambria"/>
          <w:sz w:val="20"/>
          <w:szCs w:val="20"/>
          <w:lang w:val="en-US"/>
        </w:rPr>
        <w:t xml:space="preserve"> for the Development of the Indigenous Peoples, and creating the Law on the National Institute o</w:t>
      </w:r>
      <w:r w:rsidR="001C6183" w:rsidRPr="007D47AD">
        <w:rPr>
          <w:rFonts w:asciiTheme="minorHAnsi" w:hAnsiTheme="minorHAnsi" w:cs="Cambria"/>
          <w:sz w:val="20"/>
          <w:szCs w:val="20"/>
          <w:lang w:val="en-US"/>
        </w:rPr>
        <w:t>f</w:t>
      </w:r>
      <w:r w:rsidR="009F60C0" w:rsidRPr="007D47AD">
        <w:rPr>
          <w:rFonts w:asciiTheme="minorHAnsi" w:hAnsiTheme="minorHAnsi" w:cs="Cambria"/>
          <w:sz w:val="20"/>
          <w:szCs w:val="20"/>
          <w:lang w:val="en-US"/>
        </w:rPr>
        <w:t xml:space="preserve"> Indigenous Peoples, published in the </w:t>
      </w:r>
      <w:r w:rsidR="009B732E" w:rsidRPr="007D47AD">
        <w:rPr>
          <w:rFonts w:asciiTheme="minorHAnsi" w:hAnsiTheme="minorHAnsi" w:cs="Cambria"/>
          <w:sz w:val="20"/>
          <w:szCs w:val="20"/>
          <w:lang w:val="en-US"/>
        </w:rPr>
        <w:t xml:space="preserve">Diario Oficial de la Federación </w:t>
      </w:r>
      <w:r w:rsidR="009F60C0" w:rsidRPr="007D47AD">
        <w:rPr>
          <w:rFonts w:asciiTheme="minorHAnsi" w:hAnsiTheme="minorHAnsi" w:cs="Cambria"/>
          <w:sz w:val="20"/>
          <w:szCs w:val="20"/>
          <w:lang w:val="en-US"/>
        </w:rPr>
        <w:t xml:space="preserve">on December </w:t>
      </w:r>
      <w:r w:rsidR="009B732E" w:rsidRPr="007D47AD">
        <w:rPr>
          <w:rFonts w:asciiTheme="minorHAnsi" w:hAnsiTheme="minorHAnsi" w:cs="Cambria"/>
          <w:sz w:val="20"/>
          <w:szCs w:val="20"/>
          <w:lang w:val="en-US"/>
        </w:rPr>
        <w:t>4</w:t>
      </w:r>
      <w:r w:rsidR="009F60C0" w:rsidRPr="007D47AD">
        <w:rPr>
          <w:rFonts w:asciiTheme="minorHAnsi" w:hAnsiTheme="minorHAnsi" w:cs="Cambria"/>
          <w:sz w:val="20"/>
          <w:szCs w:val="20"/>
          <w:lang w:val="en-US"/>
        </w:rPr>
        <w:t>,</w:t>
      </w:r>
      <w:r w:rsidR="009B732E" w:rsidRPr="007D47AD">
        <w:rPr>
          <w:rFonts w:asciiTheme="minorHAnsi" w:hAnsiTheme="minorHAnsi" w:cs="Cambria"/>
          <w:sz w:val="20"/>
          <w:szCs w:val="20"/>
          <w:lang w:val="en-US"/>
        </w:rPr>
        <w:t xml:space="preserve"> 2018 </w:t>
      </w:r>
      <w:r w:rsidR="009F60C0" w:rsidRPr="007D47AD">
        <w:rPr>
          <w:rFonts w:asciiTheme="minorHAnsi" w:hAnsiTheme="minorHAnsi" w:cs="Cambria"/>
          <w:sz w:val="20"/>
          <w:szCs w:val="20"/>
          <w:lang w:val="en-US"/>
        </w:rPr>
        <w:t>by instruction of the federal government</w:t>
      </w:r>
      <w:r w:rsidR="009B732E" w:rsidRPr="007D47AD">
        <w:rPr>
          <w:rFonts w:asciiTheme="minorHAnsi" w:hAnsiTheme="minorHAnsi" w:cs="Cambria"/>
          <w:sz w:val="20"/>
          <w:szCs w:val="20"/>
          <w:lang w:val="en-US"/>
        </w:rPr>
        <w:t>.</w:t>
      </w:r>
      <w:r w:rsidR="009B732E" w:rsidRPr="007D47AD">
        <w:rPr>
          <w:rStyle w:val="FootnoteReference"/>
          <w:rFonts w:asciiTheme="minorHAnsi" w:hAnsiTheme="minorHAnsi" w:cs="Cambria"/>
          <w:sz w:val="20"/>
          <w:szCs w:val="20"/>
          <w:lang w:val="en-US"/>
        </w:rPr>
        <w:footnoteReference w:id="350"/>
      </w:r>
      <w:r w:rsidR="009B732E" w:rsidRPr="007D47AD">
        <w:rPr>
          <w:rFonts w:asciiTheme="minorHAnsi" w:hAnsiTheme="minorHAnsi" w:cs="Cambria"/>
          <w:sz w:val="20"/>
          <w:szCs w:val="20"/>
          <w:lang w:val="en-US"/>
        </w:rPr>
        <w:t xml:space="preserve"> </w:t>
      </w:r>
      <w:r w:rsidR="009F60C0" w:rsidRPr="007D47AD">
        <w:rPr>
          <w:rFonts w:asciiTheme="minorHAnsi" w:hAnsiTheme="minorHAnsi" w:cs="Cambria"/>
          <w:sz w:val="20"/>
          <w:szCs w:val="20"/>
          <w:lang w:val="en-US"/>
        </w:rPr>
        <w:t xml:space="preserve">That institute had published, in the </w:t>
      </w:r>
      <w:r w:rsidR="009B732E" w:rsidRPr="007D47AD">
        <w:rPr>
          <w:rFonts w:asciiTheme="minorHAnsi" w:hAnsiTheme="minorHAnsi" w:cs="Cambria"/>
          <w:sz w:val="20"/>
          <w:szCs w:val="20"/>
          <w:lang w:val="en-US"/>
        </w:rPr>
        <w:t>Diario Oficial de la Federación (DOF)</w:t>
      </w:r>
      <w:r w:rsidR="009F60C0" w:rsidRPr="007D47AD">
        <w:rPr>
          <w:rFonts w:asciiTheme="minorHAnsi" w:hAnsiTheme="minorHAnsi" w:cs="Cambria"/>
          <w:sz w:val="20"/>
          <w:szCs w:val="20"/>
          <w:lang w:val="en-US"/>
        </w:rPr>
        <w:t>, the decision by which the Guidelines of the Program on Indigenous Rights for the 2019 fiscal year are issued, whose objective is the implementation and effective exercise of the rights of the indigenous and Afro-Mexican peoples, as well as of the persons who are part of those peoples, by carrying out projects and actions for training, strategic defense, advisory services, community research, promotion, accompaniment, and dissemination.</w:t>
      </w:r>
      <w:r w:rsidR="009B732E" w:rsidRPr="007D47AD">
        <w:rPr>
          <w:rStyle w:val="FootnoteReference"/>
          <w:rFonts w:asciiTheme="minorHAnsi" w:hAnsiTheme="minorHAnsi" w:cs="Cambria"/>
          <w:sz w:val="20"/>
          <w:szCs w:val="20"/>
          <w:lang w:val="en-US"/>
        </w:rPr>
        <w:footnoteReference w:id="351"/>
      </w:r>
    </w:p>
    <w:p w:rsidR="004535AF" w:rsidRPr="007D47AD" w:rsidRDefault="004535AF" w:rsidP="004535AF">
      <w:pPr>
        <w:pStyle w:val="ListParagraph"/>
        <w:rPr>
          <w:rFonts w:asciiTheme="minorHAnsi" w:hAnsiTheme="minorHAnsi" w:cs="Cambria"/>
          <w:color w:val="000000"/>
          <w:sz w:val="20"/>
          <w:szCs w:val="20"/>
          <w:lang w:val="en-US"/>
        </w:rPr>
      </w:pPr>
    </w:p>
    <w:p w:rsidR="004535AF" w:rsidRPr="007D47AD" w:rsidRDefault="009A23D3" w:rsidP="004535AF">
      <w:pPr>
        <w:numPr>
          <w:ilvl w:val="0"/>
          <w:numId w:val="6"/>
        </w:numPr>
        <w:shd w:val="clear" w:color="auto" w:fill="FFFFFF"/>
        <w:spacing w:after="0" w:line="240" w:lineRule="auto"/>
        <w:ind w:left="0" w:firstLine="709"/>
        <w:jc w:val="both"/>
        <w:rPr>
          <w:rFonts w:asciiTheme="minorHAnsi" w:hAnsiTheme="minorHAnsi" w:cs="Cambria"/>
          <w:color w:val="000000"/>
          <w:sz w:val="20"/>
          <w:szCs w:val="20"/>
          <w:lang w:val="en-US"/>
        </w:rPr>
      </w:pPr>
      <w:r w:rsidRPr="007D47AD">
        <w:rPr>
          <w:rFonts w:asciiTheme="minorHAnsi" w:hAnsiTheme="minorHAnsi" w:cs="Cambria"/>
          <w:color w:val="000000"/>
          <w:sz w:val="20"/>
          <w:szCs w:val="20"/>
          <w:lang w:val="en-US"/>
        </w:rPr>
        <w:t>I</w:t>
      </w:r>
      <w:r w:rsidR="004535AF" w:rsidRPr="007D47AD">
        <w:rPr>
          <w:rFonts w:asciiTheme="minorHAnsi" w:hAnsiTheme="minorHAnsi" w:cs="Cambria"/>
          <w:color w:val="000000"/>
          <w:sz w:val="20"/>
          <w:szCs w:val="20"/>
          <w:lang w:val="en-US"/>
        </w:rPr>
        <w:t xml:space="preserve">n </w:t>
      </w:r>
      <w:r w:rsidRPr="007D47AD">
        <w:rPr>
          <w:rFonts w:asciiTheme="minorHAnsi" w:hAnsiTheme="minorHAnsi" w:cs="Cambria"/>
          <w:color w:val="000000"/>
          <w:sz w:val="20"/>
          <w:szCs w:val="20"/>
          <w:lang w:val="en-US"/>
        </w:rPr>
        <w:t xml:space="preserve">its observations on the draft of this report the State reported that it has carried out the following consultations: with the governments of the </w:t>
      </w:r>
      <w:r w:rsidR="004535AF" w:rsidRPr="007D47AD">
        <w:rPr>
          <w:rFonts w:asciiTheme="minorHAnsi" w:hAnsiTheme="minorHAnsi" w:cs="Cambria"/>
          <w:color w:val="000000"/>
          <w:sz w:val="20"/>
          <w:szCs w:val="20"/>
          <w:lang w:val="en-US"/>
        </w:rPr>
        <w:t xml:space="preserve">Yaqui </w:t>
      </w:r>
      <w:r w:rsidRPr="007D47AD">
        <w:rPr>
          <w:rFonts w:asciiTheme="minorHAnsi" w:hAnsiTheme="minorHAnsi" w:cs="Cambria"/>
          <w:color w:val="000000"/>
          <w:sz w:val="20"/>
          <w:szCs w:val="20"/>
          <w:lang w:val="en-US"/>
        </w:rPr>
        <w:t xml:space="preserve">Tribe in </w:t>
      </w:r>
      <w:r w:rsidR="004535AF" w:rsidRPr="007D47AD">
        <w:rPr>
          <w:rFonts w:asciiTheme="minorHAnsi" w:hAnsiTheme="minorHAnsi" w:cs="Cambria"/>
          <w:color w:val="000000"/>
          <w:sz w:val="20"/>
          <w:szCs w:val="20"/>
          <w:lang w:val="en-US"/>
        </w:rPr>
        <w:t xml:space="preserve">Sonora </w:t>
      </w:r>
      <w:r w:rsidRPr="007D47AD">
        <w:rPr>
          <w:rFonts w:asciiTheme="minorHAnsi" w:hAnsiTheme="minorHAnsi" w:cs="Cambria"/>
          <w:color w:val="000000"/>
          <w:sz w:val="20"/>
          <w:szCs w:val="20"/>
          <w:lang w:val="en-US"/>
        </w:rPr>
        <w:t xml:space="preserve">on the aqueduct known as </w:t>
      </w:r>
      <w:r w:rsidR="004535AF" w:rsidRPr="007D47AD">
        <w:rPr>
          <w:rFonts w:asciiTheme="minorHAnsi" w:hAnsiTheme="minorHAnsi" w:cs="Cambria"/>
          <w:color w:val="000000"/>
          <w:sz w:val="20"/>
          <w:szCs w:val="20"/>
          <w:lang w:val="en-US"/>
        </w:rPr>
        <w:t>“A</w:t>
      </w:r>
      <w:r w:rsidRPr="007D47AD">
        <w:rPr>
          <w:rFonts w:asciiTheme="minorHAnsi" w:hAnsiTheme="minorHAnsi" w:cs="Cambria"/>
          <w:color w:val="000000"/>
          <w:sz w:val="20"/>
          <w:szCs w:val="20"/>
          <w:lang w:val="en-US"/>
        </w:rPr>
        <w:t>c</w:t>
      </w:r>
      <w:r w:rsidR="004535AF" w:rsidRPr="007D47AD">
        <w:rPr>
          <w:rFonts w:asciiTheme="minorHAnsi" w:hAnsiTheme="minorHAnsi" w:cs="Cambria"/>
          <w:color w:val="000000"/>
          <w:sz w:val="20"/>
          <w:szCs w:val="20"/>
          <w:lang w:val="en-US"/>
        </w:rPr>
        <w:t>ueduct</w:t>
      </w:r>
      <w:r w:rsidRPr="007D47AD">
        <w:rPr>
          <w:rFonts w:asciiTheme="minorHAnsi" w:hAnsiTheme="minorHAnsi" w:cs="Cambria"/>
          <w:color w:val="000000"/>
          <w:sz w:val="20"/>
          <w:szCs w:val="20"/>
          <w:lang w:val="en-US"/>
        </w:rPr>
        <w:t>o</w:t>
      </w:r>
      <w:r w:rsidR="004535AF" w:rsidRPr="007D47AD">
        <w:rPr>
          <w:rFonts w:asciiTheme="minorHAnsi" w:hAnsiTheme="minorHAnsi" w:cs="Cambria"/>
          <w:color w:val="000000"/>
          <w:sz w:val="20"/>
          <w:szCs w:val="20"/>
          <w:lang w:val="en-US"/>
        </w:rPr>
        <w:t xml:space="preserve"> Independencia</w:t>
      </w:r>
      <w:r w:rsidRPr="007D47AD">
        <w:rPr>
          <w:rFonts w:asciiTheme="minorHAnsi" w:hAnsiTheme="minorHAnsi" w:cs="Cambria"/>
          <w:color w:val="000000"/>
          <w:sz w:val="20"/>
          <w:szCs w:val="20"/>
          <w:lang w:val="en-US"/>
        </w:rPr>
        <w:t>,</w:t>
      </w:r>
      <w:r w:rsidR="004535AF" w:rsidRPr="007D47AD">
        <w:rPr>
          <w:rFonts w:asciiTheme="minorHAnsi" w:hAnsiTheme="minorHAnsi" w:cs="Cambria"/>
          <w:color w:val="000000"/>
          <w:sz w:val="20"/>
          <w:szCs w:val="20"/>
          <w:lang w:val="en-US"/>
        </w:rPr>
        <w:t xml:space="preserve">” </w:t>
      </w:r>
      <w:r w:rsidR="00D05BD7" w:rsidRPr="007D47AD">
        <w:rPr>
          <w:rFonts w:asciiTheme="minorHAnsi" w:hAnsiTheme="minorHAnsi" w:cs="Cambria"/>
          <w:color w:val="000000"/>
          <w:sz w:val="20"/>
          <w:szCs w:val="20"/>
          <w:lang w:val="en-US"/>
        </w:rPr>
        <w:t>the</w:t>
      </w:r>
      <w:r w:rsidR="004535AF" w:rsidRPr="007D47AD">
        <w:rPr>
          <w:rFonts w:asciiTheme="minorHAnsi" w:hAnsiTheme="minorHAnsi" w:cs="Cambria"/>
          <w:color w:val="000000"/>
          <w:sz w:val="20"/>
          <w:szCs w:val="20"/>
          <w:lang w:val="en-US"/>
        </w:rPr>
        <w:t>“</w:t>
      </w:r>
      <w:r w:rsidRPr="007D47AD">
        <w:rPr>
          <w:rFonts w:asciiTheme="minorHAnsi" w:hAnsiTheme="minorHAnsi" w:cs="Cambria"/>
          <w:color w:val="000000"/>
          <w:sz w:val="20"/>
          <w:szCs w:val="20"/>
          <w:lang w:val="en-US"/>
        </w:rPr>
        <w:t xml:space="preserve">Sonora gas pipeline in </w:t>
      </w:r>
      <w:r w:rsidR="004535AF" w:rsidRPr="007D47AD">
        <w:rPr>
          <w:rFonts w:asciiTheme="minorHAnsi" w:hAnsiTheme="minorHAnsi" w:cs="Cambria"/>
          <w:color w:val="000000"/>
          <w:sz w:val="20"/>
          <w:szCs w:val="20"/>
          <w:lang w:val="en-US"/>
        </w:rPr>
        <w:t xml:space="preserve">Yaqui </w:t>
      </w:r>
      <w:r w:rsidRPr="007D47AD">
        <w:rPr>
          <w:rFonts w:asciiTheme="minorHAnsi" w:hAnsiTheme="minorHAnsi" w:cs="Cambria"/>
          <w:color w:val="000000"/>
          <w:sz w:val="20"/>
          <w:szCs w:val="20"/>
          <w:lang w:val="en-US"/>
        </w:rPr>
        <w:t xml:space="preserve">territory </w:t>
      </w:r>
      <w:r w:rsidR="004535AF" w:rsidRPr="007D47AD">
        <w:rPr>
          <w:rFonts w:asciiTheme="minorHAnsi" w:hAnsiTheme="minorHAnsi" w:cs="Cambria"/>
          <w:color w:val="000000"/>
          <w:sz w:val="20"/>
          <w:szCs w:val="20"/>
          <w:lang w:val="en-US"/>
        </w:rPr>
        <w:t>(Guaymas</w:t>
      </w:r>
      <w:r w:rsidRPr="007D47AD">
        <w:rPr>
          <w:rFonts w:asciiTheme="minorHAnsi" w:hAnsiTheme="minorHAnsi" w:cs="Cambria"/>
          <w:color w:val="000000"/>
          <w:sz w:val="20"/>
          <w:szCs w:val="20"/>
          <w:lang w:val="en-US"/>
        </w:rPr>
        <w:t>-E</w:t>
      </w:r>
      <w:r w:rsidR="004535AF" w:rsidRPr="007D47AD">
        <w:rPr>
          <w:rFonts w:asciiTheme="minorHAnsi" w:hAnsiTheme="minorHAnsi" w:cs="Cambria"/>
          <w:color w:val="000000"/>
          <w:sz w:val="20"/>
          <w:szCs w:val="20"/>
          <w:lang w:val="en-US"/>
        </w:rPr>
        <w:t xml:space="preserve">l </w:t>
      </w:r>
      <w:r w:rsidRPr="007D47AD">
        <w:rPr>
          <w:rFonts w:asciiTheme="minorHAnsi" w:hAnsiTheme="minorHAnsi" w:cs="Cambria"/>
          <w:color w:val="000000"/>
          <w:sz w:val="20"/>
          <w:szCs w:val="20"/>
          <w:lang w:val="en-US"/>
        </w:rPr>
        <w:t>O</w:t>
      </w:r>
      <w:r w:rsidR="004535AF" w:rsidRPr="007D47AD">
        <w:rPr>
          <w:rFonts w:asciiTheme="minorHAnsi" w:hAnsiTheme="minorHAnsi" w:cs="Cambria"/>
          <w:color w:val="000000"/>
          <w:sz w:val="20"/>
          <w:szCs w:val="20"/>
          <w:lang w:val="en-US"/>
        </w:rPr>
        <w:t>ro</w:t>
      </w:r>
      <w:r w:rsidRPr="007D47AD">
        <w:rPr>
          <w:rFonts w:asciiTheme="minorHAnsi" w:hAnsiTheme="minorHAnsi" w:cs="Cambria"/>
          <w:color w:val="000000"/>
          <w:sz w:val="20"/>
          <w:szCs w:val="20"/>
          <w:lang w:val="en-US"/>
        </w:rPr>
        <w:t xml:space="preserve"> segment</w:t>
      </w:r>
      <w:r w:rsidR="004535AF" w:rsidRPr="007D47AD">
        <w:rPr>
          <w:rFonts w:asciiTheme="minorHAnsi" w:hAnsiTheme="minorHAnsi" w:cs="Cambria"/>
          <w:color w:val="000000"/>
          <w:sz w:val="20"/>
          <w:szCs w:val="20"/>
          <w:lang w:val="en-US"/>
        </w:rPr>
        <w:t>)</w:t>
      </w:r>
      <w:r w:rsidR="00C975C7" w:rsidRPr="007D47AD">
        <w:rPr>
          <w:rFonts w:asciiTheme="minorHAnsi" w:hAnsiTheme="minorHAnsi" w:cs="Cambria"/>
          <w:color w:val="000000"/>
          <w:sz w:val="20"/>
          <w:szCs w:val="20"/>
          <w:lang w:val="en-US"/>
        </w:rPr>
        <w:t>,”</w:t>
      </w:r>
      <w:r w:rsidRPr="007D47AD">
        <w:rPr>
          <w:rFonts w:asciiTheme="minorHAnsi" w:hAnsiTheme="minorHAnsi" w:cs="Cambria"/>
          <w:color w:val="000000"/>
          <w:sz w:val="20"/>
          <w:szCs w:val="20"/>
          <w:lang w:val="en-US"/>
        </w:rPr>
        <w:t xml:space="preserve"> and </w:t>
      </w:r>
      <w:r w:rsidR="004535AF" w:rsidRPr="007D47AD">
        <w:rPr>
          <w:rFonts w:asciiTheme="minorHAnsi" w:hAnsiTheme="minorHAnsi" w:cs="Cambria"/>
          <w:color w:val="000000"/>
          <w:sz w:val="20"/>
          <w:szCs w:val="20"/>
          <w:lang w:val="en-US"/>
        </w:rPr>
        <w:t>“</w:t>
      </w:r>
      <w:r w:rsidRPr="007D47AD">
        <w:rPr>
          <w:rFonts w:asciiTheme="minorHAnsi" w:hAnsiTheme="minorHAnsi" w:cs="Cambria"/>
          <w:color w:val="000000"/>
          <w:sz w:val="20"/>
          <w:szCs w:val="20"/>
          <w:lang w:val="en-US"/>
        </w:rPr>
        <w:t xml:space="preserve">Water allocation titles of the </w:t>
      </w:r>
      <w:r w:rsidR="004535AF" w:rsidRPr="007D47AD">
        <w:rPr>
          <w:rFonts w:asciiTheme="minorHAnsi" w:hAnsiTheme="minorHAnsi" w:cs="Cambria"/>
          <w:color w:val="000000"/>
          <w:sz w:val="20"/>
          <w:szCs w:val="20"/>
          <w:lang w:val="en-US"/>
        </w:rPr>
        <w:t>Yaqui</w:t>
      </w:r>
      <w:r w:rsidRPr="007D47AD">
        <w:rPr>
          <w:rFonts w:asciiTheme="minorHAnsi" w:hAnsiTheme="minorHAnsi" w:cs="Cambria"/>
          <w:color w:val="000000"/>
          <w:sz w:val="20"/>
          <w:szCs w:val="20"/>
          <w:lang w:val="en-US"/>
        </w:rPr>
        <w:t xml:space="preserve"> river basin</w:t>
      </w:r>
      <w:r w:rsidR="004535AF" w:rsidRPr="007D47AD">
        <w:rPr>
          <w:rFonts w:asciiTheme="minorHAnsi" w:hAnsiTheme="minorHAnsi" w:cs="Cambria"/>
          <w:color w:val="000000"/>
          <w:sz w:val="20"/>
          <w:szCs w:val="20"/>
          <w:lang w:val="en-US"/>
        </w:rPr>
        <w:t xml:space="preserve">”;  </w:t>
      </w:r>
      <w:r w:rsidRPr="007D47AD">
        <w:rPr>
          <w:rFonts w:asciiTheme="minorHAnsi" w:hAnsiTheme="minorHAnsi" w:cs="Cambria"/>
          <w:color w:val="000000"/>
          <w:sz w:val="20"/>
          <w:szCs w:val="20"/>
          <w:lang w:val="en-US"/>
        </w:rPr>
        <w:t xml:space="preserve">the </w:t>
      </w:r>
      <w:r w:rsidR="004535AF" w:rsidRPr="007D47AD">
        <w:rPr>
          <w:rFonts w:asciiTheme="minorHAnsi" w:hAnsiTheme="minorHAnsi" w:cs="Cambria"/>
          <w:color w:val="000000"/>
          <w:sz w:val="20"/>
          <w:szCs w:val="20"/>
          <w:lang w:val="en-US"/>
        </w:rPr>
        <w:t xml:space="preserve">Guarijío </w:t>
      </w:r>
      <w:r w:rsidRPr="007D47AD">
        <w:rPr>
          <w:rFonts w:asciiTheme="minorHAnsi" w:hAnsiTheme="minorHAnsi" w:cs="Cambria"/>
          <w:color w:val="000000"/>
          <w:sz w:val="20"/>
          <w:szCs w:val="20"/>
          <w:lang w:val="en-US"/>
        </w:rPr>
        <w:t xml:space="preserve">people settled in the state of </w:t>
      </w:r>
      <w:r w:rsidR="004535AF" w:rsidRPr="007D47AD">
        <w:rPr>
          <w:rFonts w:asciiTheme="minorHAnsi" w:hAnsiTheme="minorHAnsi" w:cs="Cambria"/>
          <w:color w:val="000000"/>
          <w:sz w:val="20"/>
          <w:szCs w:val="20"/>
          <w:lang w:val="en-US"/>
        </w:rPr>
        <w:t xml:space="preserve">Sonora </w:t>
      </w:r>
      <w:r w:rsidR="00D05BD7" w:rsidRPr="007D47AD">
        <w:rPr>
          <w:rFonts w:asciiTheme="minorHAnsi" w:hAnsiTheme="minorHAnsi" w:cs="Cambria"/>
          <w:color w:val="000000"/>
          <w:sz w:val="20"/>
          <w:szCs w:val="20"/>
          <w:lang w:val="en-US"/>
        </w:rPr>
        <w:t xml:space="preserve">regarding </w:t>
      </w:r>
      <w:r w:rsidRPr="007D47AD">
        <w:rPr>
          <w:rFonts w:asciiTheme="minorHAnsi" w:hAnsiTheme="minorHAnsi" w:cs="Cambria"/>
          <w:color w:val="000000"/>
          <w:sz w:val="20"/>
          <w:szCs w:val="20"/>
          <w:lang w:val="en-US"/>
        </w:rPr>
        <w:t xml:space="preserve">the dam known as the </w:t>
      </w:r>
      <w:r w:rsidR="004535AF" w:rsidRPr="007D47AD">
        <w:rPr>
          <w:rFonts w:asciiTheme="minorHAnsi" w:hAnsiTheme="minorHAnsi" w:cs="Cambria"/>
          <w:color w:val="000000"/>
          <w:sz w:val="20"/>
          <w:szCs w:val="20"/>
          <w:lang w:val="en-US"/>
        </w:rPr>
        <w:t xml:space="preserve">“Presa Bicentenario”; </w:t>
      </w:r>
      <w:r w:rsidRPr="007D47AD">
        <w:rPr>
          <w:rFonts w:asciiTheme="minorHAnsi" w:hAnsiTheme="minorHAnsi" w:cs="Cambria"/>
          <w:color w:val="000000"/>
          <w:sz w:val="20"/>
          <w:szCs w:val="20"/>
          <w:lang w:val="en-US"/>
        </w:rPr>
        <w:t xml:space="preserve">the Mayo people on the </w:t>
      </w:r>
      <w:r w:rsidR="004535AF" w:rsidRPr="007D47AD">
        <w:rPr>
          <w:rFonts w:asciiTheme="minorHAnsi" w:hAnsiTheme="minorHAnsi" w:cs="Cambria"/>
          <w:color w:val="000000"/>
          <w:sz w:val="20"/>
          <w:szCs w:val="20"/>
          <w:lang w:val="en-US"/>
        </w:rPr>
        <w:t>“</w:t>
      </w:r>
      <w:r w:rsidRPr="007D47AD">
        <w:rPr>
          <w:rFonts w:asciiTheme="minorHAnsi" w:hAnsiTheme="minorHAnsi" w:cs="Cambria"/>
          <w:color w:val="000000"/>
          <w:sz w:val="20"/>
          <w:szCs w:val="20"/>
          <w:lang w:val="en-US"/>
        </w:rPr>
        <w:t>El Mayo photovoltaic project”; the N</w:t>
      </w:r>
      <w:r w:rsidR="004535AF" w:rsidRPr="007D47AD">
        <w:rPr>
          <w:rFonts w:asciiTheme="minorHAnsi" w:hAnsiTheme="minorHAnsi" w:cs="Cambria"/>
          <w:color w:val="000000"/>
          <w:sz w:val="20"/>
          <w:szCs w:val="20"/>
          <w:lang w:val="en-US"/>
        </w:rPr>
        <w:t xml:space="preserve">áhuatl </w:t>
      </w:r>
      <w:r w:rsidRPr="007D47AD">
        <w:rPr>
          <w:rFonts w:asciiTheme="minorHAnsi" w:hAnsiTheme="minorHAnsi" w:cs="Cambria"/>
          <w:color w:val="000000"/>
          <w:sz w:val="20"/>
          <w:szCs w:val="20"/>
          <w:lang w:val="en-US"/>
        </w:rPr>
        <w:t xml:space="preserve">community of </w:t>
      </w:r>
      <w:r w:rsidR="004535AF" w:rsidRPr="007D47AD">
        <w:rPr>
          <w:rFonts w:asciiTheme="minorHAnsi" w:hAnsiTheme="minorHAnsi" w:cs="Cambria"/>
          <w:color w:val="000000"/>
          <w:sz w:val="20"/>
          <w:szCs w:val="20"/>
          <w:lang w:val="en-US"/>
        </w:rPr>
        <w:t xml:space="preserve">Xaltocan, </w:t>
      </w:r>
      <w:r w:rsidRPr="007D47AD">
        <w:rPr>
          <w:rFonts w:asciiTheme="minorHAnsi" w:hAnsiTheme="minorHAnsi" w:cs="Cambria"/>
          <w:color w:val="000000"/>
          <w:sz w:val="20"/>
          <w:szCs w:val="20"/>
          <w:lang w:val="en-US"/>
        </w:rPr>
        <w:t xml:space="preserve">state of </w:t>
      </w:r>
      <w:r w:rsidR="004535AF" w:rsidRPr="007D47AD">
        <w:rPr>
          <w:rFonts w:asciiTheme="minorHAnsi" w:hAnsiTheme="minorHAnsi" w:cs="Cambria"/>
          <w:color w:val="000000"/>
          <w:sz w:val="20"/>
          <w:szCs w:val="20"/>
          <w:lang w:val="en-US"/>
        </w:rPr>
        <w:t xml:space="preserve">México, </w:t>
      </w:r>
      <w:r w:rsidRPr="007D47AD">
        <w:rPr>
          <w:rFonts w:asciiTheme="minorHAnsi" w:hAnsiTheme="minorHAnsi" w:cs="Cambria"/>
          <w:color w:val="000000"/>
          <w:sz w:val="20"/>
          <w:szCs w:val="20"/>
          <w:lang w:val="en-US"/>
        </w:rPr>
        <w:t xml:space="preserve">on </w:t>
      </w:r>
      <w:r w:rsidR="004535AF" w:rsidRPr="007D47AD">
        <w:rPr>
          <w:rFonts w:asciiTheme="minorHAnsi" w:hAnsiTheme="minorHAnsi" w:cs="Cambria"/>
          <w:color w:val="000000"/>
          <w:sz w:val="20"/>
          <w:szCs w:val="20"/>
          <w:lang w:val="en-US"/>
        </w:rPr>
        <w:t>“</w:t>
      </w:r>
      <w:r w:rsidRPr="007D47AD">
        <w:rPr>
          <w:rFonts w:asciiTheme="minorHAnsi" w:hAnsiTheme="minorHAnsi" w:cs="Cambria"/>
          <w:color w:val="000000"/>
          <w:sz w:val="20"/>
          <w:szCs w:val="20"/>
          <w:lang w:val="en-US"/>
        </w:rPr>
        <w:t xml:space="preserve">Expansion and Upgrading of the Mixed Use Civilian/Military Airport, classified as international, at Military Air Base </w:t>
      </w:r>
      <w:r w:rsidR="004535AF" w:rsidRPr="007D47AD">
        <w:rPr>
          <w:rFonts w:asciiTheme="minorHAnsi" w:hAnsiTheme="minorHAnsi" w:cs="Cambria"/>
          <w:color w:val="000000"/>
          <w:sz w:val="20"/>
          <w:szCs w:val="20"/>
          <w:lang w:val="en-US"/>
        </w:rPr>
        <w:t>No. 1” (Santa Luc</w:t>
      </w:r>
      <w:r w:rsidRPr="007D47AD">
        <w:rPr>
          <w:rFonts w:asciiTheme="minorHAnsi" w:hAnsiTheme="minorHAnsi" w:cs="Cambria"/>
          <w:color w:val="000000"/>
          <w:sz w:val="20"/>
          <w:szCs w:val="20"/>
          <w:lang w:val="en-US"/>
        </w:rPr>
        <w:t>í</w:t>
      </w:r>
      <w:r w:rsidR="004535AF" w:rsidRPr="007D47AD">
        <w:rPr>
          <w:rFonts w:asciiTheme="minorHAnsi" w:hAnsiTheme="minorHAnsi" w:cs="Cambria"/>
          <w:color w:val="000000"/>
          <w:sz w:val="20"/>
          <w:szCs w:val="20"/>
          <w:lang w:val="en-US"/>
        </w:rPr>
        <w:t xml:space="preserve">a, </w:t>
      </w:r>
      <w:r w:rsidRPr="007D47AD">
        <w:rPr>
          <w:rFonts w:asciiTheme="minorHAnsi" w:hAnsiTheme="minorHAnsi" w:cs="Cambria"/>
          <w:color w:val="000000"/>
          <w:sz w:val="20"/>
          <w:szCs w:val="20"/>
          <w:lang w:val="en-US"/>
        </w:rPr>
        <w:t xml:space="preserve">state of </w:t>
      </w:r>
      <w:r w:rsidR="004535AF" w:rsidRPr="007D47AD">
        <w:rPr>
          <w:rFonts w:asciiTheme="minorHAnsi" w:hAnsiTheme="minorHAnsi" w:cs="Cambria"/>
          <w:color w:val="000000"/>
          <w:sz w:val="20"/>
          <w:szCs w:val="20"/>
          <w:lang w:val="en-US"/>
        </w:rPr>
        <w:t xml:space="preserve">México, </w:t>
      </w:r>
      <w:r w:rsidRPr="007D47AD">
        <w:rPr>
          <w:rFonts w:asciiTheme="minorHAnsi" w:hAnsiTheme="minorHAnsi" w:cs="Cambria"/>
          <w:color w:val="000000"/>
          <w:sz w:val="20"/>
          <w:szCs w:val="20"/>
          <w:lang w:val="en-US"/>
        </w:rPr>
        <w:t xml:space="preserve">elevated interconnection with the </w:t>
      </w:r>
      <w:r w:rsidR="004535AF" w:rsidRPr="007D47AD">
        <w:rPr>
          <w:rFonts w:asciiTheme="minorHAnsi" w:hAnsiTheme="minorHAnsi" w:cs="Cambria"/>
          <w:color w:val="000000"/>
          <w:sz w:val="20"/>
          <w:szCs w:val="20"/>
          <w:lang w:val="en-US"/>
        </w:rPr>
        <w:t xml:space="preserve">A.I.C.M. </w:t>
      </w:r>
      <w:r w:rsidRPr="007D47AD">
        <w:rPr>
          <w:rFonts w:asciiTheme="minorHAnsi" w:hAnsiTheme="minorHAnsi" w:cs="Cambria"/>
          <w:color w:val="000000"/>
          <w:sz w:val="20"/>
          <w:szCs w:val="20"/>
          <w:lang w:val="en-US"/>
        </w:rPr>
        <w:t>and relocation of military facilities</w:t>
      </w:r>
      <w:r w:rsidR="004535AF" w:rsidRPr="007D47AD">
        <w:rPr>
          <w:rFonts w:asciiTheme="minorHAnsi" w:hAnsiTheme="minorHAnsi" w:cs="Cambria"/>
          <w:color w:val="000000"/>
          <w:sz w:val="20"/>
          <w:szCs w:val="20"/>
          <w:lang w:val="en-US"/>
        </w:rPr>
        <w:t>)</w:t>
      </w:r>
      <w:r w:rsidRPr="007D47AD">
        <w:rPr>
          <w:rFonts w:asciiTheme="minorHAnsi" w:hAnsiTheme="minorHAnsi" w:cs="Cambria"/>
          <w:color w:val="000000"/>
          <w:sz w:val="20"/>
          <w:szCs w:val="20"/>
          <w:lang w:val="en-US"/>
        </w:rPr>
        <w:t>.</w:t>
      </w:r>
      <w:r w:rsidR="004535AF" w:rsidRPr="007D47AD">
        <w:rPr>
          <w:rStyle w:val="FootnoteReference"/>
          <w:rFonts w:asciiTheme="minorHAnsi" w:eastAsia="Cambria" w:hAnsiTheme="minorHAnsi" w:cs="Cambria"/>
          <w:sz w:val="20"/>
          <w:szCs w:val="20"/>
          <w:lang w:val="en-US"/>
        </w:rPr>
        <w:footnoteReference w:id="352"/>
      </w:r>
      <w:r w:rsidR="00C975C7" w:rsidRPr="007D47AD">
        <w:rPr>
          <w:rFonts w:asciiTheme="minorHAnsi" w:hAnsiTheme="minorHAnsi" w:cs="Cambria"/>
          <w:color w:val="000000"/>
          <w:sz w:val="20"/>
          <w:szCs w:val="20"/>
          <w:lang w:val="en-US"/>
        </w:rPr>
        <w:t xml:space="preserve"> </w:t>
      </w:r>
    </w:p>
    <w:p w:rsidR="00523DD8" w:rsidRPr="007D47AD" w:rsidRDefault="00523DD8" w:rsidP="00523DD8">
      <w:pPr>
        <w:shd w:val="clear" w:color="auto" w:fill="FFFFFF"/>
        <w:spacing w:after="0" w:line="240" w:lineRule="auto"/>
        <w:jc w:val="both"/>
        <w:rPr>
          <w:rFonts w:asciiTheme="minorHAnsi" w:hAnsiTheme="minorHAnsi" w:cs="Cambria"/>
          <w:color w:val="000000"/>
          <w:sz w:val="20"/>
          <w:szCs w:val="20"/>
          <w:lang w:val="en-US"/>
        </w:rPr>
      </w:pPr>
    </w:p>
    <w:p w:rsidR="00523DD8" w:rsidRPr="007D47AD" w:rsidRDefault="009F60C0" w:rsidP="00523DD8">
      <w:pPr>
        <w:numPr>
          <w:ilvl w:val="0"/>
          <w:numId w:val="6"/>
        </w:numPr>
        <w:shd w:val="clear" w:color="auto" w:fill="FFFFFF"/>
        <w:spacing w:after="0" w:line="240" w:lineRule="auto"/>
        <w:ind w:left="0" w:firstLine="709"/>
        <w:jc w:val="both"/>
        <w:rPr>
          <w:rFonts w:asciiTheme="minorHAnsi" w:hAnsiTheme="minorHAnsi" w:cs="Cambria"/>
          <w:color w:val="000000"/>
          <w:sz w:val="20"/>
          <w:szCs w:val="20"/>
          <w:lang w:val="en-US"/>
        </w:rPr>
      </w:pPr>
      <w:r w:rsidRPr="007D47AD">
        <w:rPr>
          <w:rFonts w:asciiTheme="minorHAnsi" w:hAnsiTheme="minorHAnsi" w:cs="Cambria"/>
          <w:color w:val="000000"/>
          <w:sz w:val="20"/>
          <w:szCs w:val="20"/>
          <w:lang w:val="en-US"/>
        </w:rPr>
        <w:t xml:space="preserve">The IACHR observes that the Advisory Council of the </w:t>
      </w:r>
      <w:r w:rsidR="009B732E" w:rsidRPr="007D47AD">
        <w:rPr>
          <w:rFonts w:asciiTheme="minorHAnsi" w:hAnsiTheme="minorHAnsi" w:cs="Arial"/>
          <w:sz w:val="20"/>
          <w:szCs w:val="20"/>
          <w:lang w:val="en-US"/>
        </w:rPr>
        <w:t xml:space="preserve">CNDH </w:t>
      </w:r>
      <w:r w:rsidRPr="007D47AD">
        <w:rPr>
          <w:rFonts w:asciiTheme="minorHAnsi" w:hAnsiTheme="minorHAnsi" w:cs="Arial"/>
          <w:sz w:val="20"/>
          <w:szCs w:val="20"/>
          <w:lang w:val="en-US"/>
        </w:rPr>
        <w:t xml:space="preserve">has made an appeal </w:t>
      </w:r>
      <w:r w:rsidR="00B96F06" w:rsidRPr="007D47AD">
        <w:rPr>
          <w:rFonts w:asciiTheme="minorHAnsi" w:hAnsiTheme="minorHAnsi" w:cs="Arial"/>
          <w:sz w:val="20"/>
          <w:szCs w:val="20"/>
          <w:lang w:val="en-US"/>
        </w:rPr>
        <w:t xml:space="preserve">for </w:t>
      </w:r>
      <w:r w:rsidRPr="007D47AD">
        <w:rPr>
          <w:rFonts w:asciiTheme="minorHAnsi" w:hAnsiTheme="minorHAnsi" w:cs="Arial"/>
          <w:sz w:val="20"/>
          <w:szCs w:val="20"/>
          <w:lang w:val="en-US"/>
        </w:rPr>
        <w:t xml:space="preserve">the institutions responsible for the federal Government’s development projects </w:t>
      </w:r>
      <w:r w:rsidR="00B96F06" w:rsidRPr="007D47AD">
        <w:rPr>
          <w:rFonts w:asciiTheme="minorHAnsi" w:hAnsiTheme="minorHAnsi" w:cs="Arial"/>
          <w:sz w:val="20"/>
          <w:szCs w:val="20"/>
          <w:lang w:val="en-US"/>
        </w:rPr>
        <w:t xml:space="preserve">to </w:t>
      </w:r>
      <w:r w:rsidRPr="007D47AD">
        <w:rPr>
          <w:rFonts w:asciiTheme="minorHAnsi" w:hAnsiTheme="minorHAnsi" w:cs="Arial"/>
          <w:sz w:val="20"/>
          <w:szCs w:val="20"/>
          <w:lang w:val="en-US"/>
        </w:rPr>
        <w:t xml:space="preserve">implement a Program for Promotion of the Right to Prior, Free, Informed, Good Faith, and Culturally Appropriate Consultation, </w:t>
      </w:r>
      <w:r w:rsidR="00B96F06" w:rsidRPr="007D47AD">
        <w:rPr>
          <w:rFonts w:asciiTheme="minorHAnsi" w:hAnsiTheme="minorHAnsi" w:cs="Arial"/>
          <w:sz w:val="20"/>
          <w:szCs w:val="20"/>
          <w:lang w:val="en-US"/>
        </w:rPr>
        <w:t xml:space="preserve">geared to </w:t>
      </w:r>
      <w:r w:rsidRPr="007D47AD">
        <w:rPr>
          <w:rFonts w:asciiTheme="minorHAnsi" w:hAnsiTheme="minorHAnsi" w:cs="Arial"/>
          <w:sz w:val="20"/>
          <w:szCs w:val="20"/>
          <w:lang w:val="en-US"/>
        </w:rPr>
        <w:t>the indigenous population in general and, in particular, to the peoples and communities that live in the territories considered for the works.</w:t>
      </w:r>
      <w:r w:rsidR="009B732E" w:rsidRPr="007D47AD">
        <w:rPr>
          <w:rStyle w:val="FootnoteReference"/>
          <w:rFonts w:asciiTheme="minorHAnsi" w:hAnsiTheme="minorHAnsi" w:cs="Arial"/>
          <w:sz w:val="20"/>
          <w:szCs w:val="20"/>
          <w:lang w:val="en-US"/>
        </w:rPr>
        <w:footnoteReference w:id="353"/>
      </w:r>
      <w:r w:rsidRPr="007D47AD">
        <w:rPr>
          <w:rFonts w:asciiTheme="minorHAnsi" w:hAnsiTheme="minorHAnsi" w:cs="Arial"/>
          <w:sz w:val="20"/>
          <w:szCs w:val="20"/>
          <w:lang w:val="en-US"/>
        </w:rPr>
        <w:t xml:space="preserve"> </w:t>
      </w:r>
    </w:p>
    <w:p w:rsidR="00523DD8" w:rsidRPr="007D47AD" w:rsidRDefault="00523DD8" w:rsidP="00523DD8">
      <w:pPr>
        <w:shd w:val="clear" w:color="auto" w:fill="FFFFFF"/>
        <w:spacing w:after="0" w:line="240" w:lineRule="auto"/>
        <w:jc w:val="both"/>
        <w:rPr>
          <w:rFonts w:asciiTheme="minorHAnsi" w:hAnsiTheme="minorHAnsi"/>
          <w:sz w:val="20"/>
          <w:szCs w:val="20"/>
          <w:lang w:val="en-US"/>
        </w:rPr>
      </w:pPr>
    </w:p>
    <w:p w:rsidR="00523DD8" w:rsidRPr="007D47AD" w:rsidRDefault="0083236B" w:rsidP="00523DD8">
      <w:pPr>
        <w:numPr>
          <w:ilvl w:val="0"/>
          <w:numId w:val="6"/>
        </w:numPr>
        <w:shd w:val="clear" w:color="auto" w:fill="FFFFFF"/>
        <w:spacing w:after="0" w:line="240" w:lineRule="auto"/>
        <w:ind w:left="0" w:firstLine="709"/>
        <w:jc w:val="both"/>
        <w:rPr>
          <w:rFonts w:asciiTheme="minorHAnsi" w:hAnsiTheme="minorHAnsi" w:cs="Cambria"/>
          <w:color w:val="000000"/>
          <w:sz w:val="20"/>
          <w:szCs w:val="20"/>
          <w:lang w:val="en-US"/>
        </w:rPr>
      </w:pPr>
      <w:r w:rsidRPr="007D47AD">
        <w:rPr>
          <w:rFonts w:asciiTheme="minorHAnsi" w:hAnsiTheme="minorHAnsi"/>
          <w:sz w:val="20"/>
          <w:szCs w:val="20"/>
          <w:lang w:val="en-US"/>
        </w:rPr>
        <w:t>As regards the importance of indigenous peoples’ rights to consultat</w:t>
      </w:r>
      <w:r w:rsidR="00B96F06" w:rsidRPr="007D47AD">
        <w:rPr>
          <w:rFonts w:asciiTheme="minorHAnsi" w:hAnsiTheme="minorHAnsi"/>
          <w:sz w:val="20"/>
          <w:szCs w:val="20"/>
          <w:lang w:val="en-US"/>
        </w:rPr>
        <w:t>i</w:t>
      </w:r>
      <w:r w:rsidRPr="007D47AD">
        <w:rPr>
          <w:rFonts w:asciiTheme="minorHAnsi" w:hAnsiTheme="minorHAnsi"/>
          <w:sz w:val="20"/>
          <w:szCs w:val="20"/>
          <w:lang w:val="en-US"/>
        </w:rPr>
        <w:t xml:space="preserve">on and </w:t>
      </w:r>
      <w:r w:rsidR="00B96F06" w:rsidRPr="007D47AD">
        <w:rPr>
          <w:rFonts w:asciiTheme="minorHAnsi" w:hAnsiTheme="minorHAnsi"/>
          <w:sz w:val="20"/>
          <w:szCs w:val="20"/>
          <w:lang w:val="en-US"/>
        </w:rPr>
        <w:t>con</w:t>
      </w:r>
      <w:r w:rsidRPr="007D47AD">
        <w:rPr>
          <w:rFonts w:asciiTheme="minorHAnsi" w:hAnsiTheme="minorHAnsi"/>
          <w:sz w:val="20"/>
          <w:szCs w:val="20"/>
          <w:lang w:val="en-US"/>
        </w:rPr>
        <w:t>sent, the IACHR has noted that these presuppose ensuring the effective participation of these communities in the processes of designing, implementing, and evaluating development projects that are carried out in their lands and ancestral territories</w:t>
      </w:r>
      <w:r w:rsidR="009B732E" w:rsidRPr="007D47AD">
        <w:rPr>
          <w:rFonts w:asciiTheme="minorHAnsi" w:hAnsiTheme="minorHAnsi"/>
          <w:sz w:val="20"/>
          <w:szCs w:val="20"/>
          <w:lang w:val="en-US"/>
        </w:rPr>
        <w:t xml:space="preserve">. </w:t>
      </w:r>
      <w:r w:rsidRPr="007D47AD">
        <w:rPr>
          <w:rFonts w:asciiTheme="minorHAnsi" w:hAnsiTheme="minorHAnsi"/>
          <w:sz w:val="20"/>
          <w:szCs w:val="20"/>
          <w:lang w:val="en-US"/>
        </w:rPr>
        <w:t xml:space="preserve">For the I/A Court HR, this participation presupposes that indigenous peoples are </w:t>
      </w:r>
      <w:r w:rsidRPr="007D47AD">
        <w:rPr>
          <w:rFonts w:asciiTheme="minorHAnsi" w:hAnsiTheme="minorHAnsi"/>
          <w:sz w:val="20"/>
          <w:szCs w:val="20"/>
          <w:lang w:val="en-US"/>
        </w:rPr>
        <w:lastRenderedPageBreak/>
        <w:t>consulted</w:t>
      </w:r>
      <w:r w:rsidR="00B96F06" w:rsidRPr="007D47AD">
        <w:rPr>
          <w:rFonts w:asciiTheme="minorHAnsi" w:hAnsiTheme="minorHAnsi"/>
          <w:sz w:val="20"/>
          <w:szCs w:val="20"/>
          <w:lang w:val="en-US"/>
        </w:rPr>
        <w:t xml:space="preserve"> </w:t>
      </w:r>
      <w:r w:rsidRPr="007D47AD">
        <w:rPr>
          <w:rFonts w:asciiTheme="minorHAnsi" w:hAnsiTheme="minorHAnsi"/>
          <w:sz w:val="20"/>
          <w:szCs w:val="20"/>
          <w:lang w:val="en-US"/>
        </w:rPr>
        <w:t>in keeping with their customs and traditions. As regards consent, the IACHR has held that the objective of every consultation process should be reaching an agreement or obtaining consent. That implies that the peoples must have the capacity to significantly influence the process and decisions that are adopted after it has concluded.</w:t>
      </w:r>
      <w:r w:rsidR="009B732E" w:rsidRPr="007D47AD">
        <w:rPr>
          <w:rStyle w:val="FootnoteReference"/>
          <w:rFonts w:asciiTheme="minorHAnsi" w:hAnsiTheme="minorHAnsi"/>
          <w:sz w:val="20"/>
          <w:szCs w:val="20"/>
          <w:lang w:val="en-US"/>
        </w:rPr>
        <w:footnoteReference w:id="354"/>
      </w:r>
      <w:r w:rsidR="009B732E" w:rsidRPr="007D47AD">
        <w:rPr>
          <w:rFonts w:asciiTheme="minorHAnsi" w:hAnsiTheme="minorHAnsi"/>
          <w:sz w:val="20"/>
          <w:szCs w:val="20"/>
          <w:lang w:val="en-US"/>
        </w:rPr>
        <w:t xml:space="preserve"> </w:t>
      </w:r>
    </w:p>
    <w:p w:rsidR="00523DD8" w:rsidRPr="007D47AD" w:rsidRDefault="00523DD8" w:rsidP="00A922AE">
      <w:pPr>
        <w:shd w:val="clear" w:color="auto" w:fill="FFFFFF"/>
        <w:spacing w:after="0" w:line="240" w:lineRule="auto"/>
        <w:jc w:val="both"/>
        <w:rPr>
          <w:rFonts w:asciiTheme="minorHAnsi" w:hAnsiTheme="minorHAnsi"/>
          <w:sz w:val="20"/>
          <w:szCs w:val="20"/>
          <w:lang w:val="en-US"/>
        </w:rPr>
      </w:pPr>
    </w:p>
    <w:p w:rsidR="00523DD8" w:rsidRPr="007D47AD" w:rsidRDefault="0083236B" w:rsidP="00A922AE">
      <w:pPr>
        <w:numPr>
          <w:ilvl w:val="0"/>
          <w:numId w:val="6"/>
        </w:numPr>
        <w:shd w:val="clear" w:color="auto" w:fill="FFFFFF"/>
        <w:spacing w:after="0" w:line="240" w:lineRule="auto"/>
        <w:ind w:left="0" w:firstLine="709"/>
        <w:jc w:val="both"/>
        <w:rPr>
          <w:rFonts w:asciiTheme="minorHAnsi" w:hAnsiTheme="minorHAnsi" w:cs="Cambria"/>
          <w:color w:val="000000"/>
          <w:sz w:val="20"/>
          <w:szCs w:val="20"/>
          <w:lang w:val="en-US"/>
        </w:rPr>
      </w:pPr>
      <w:r w:rsidRPr="007D47AD">
        <w:rPr>
          <w:rFonts w:asciiTheme="minorHAnsi" w:hAnsiTheme="minorHAnsi"/>
          <w:sz w:val="20"/>
          <w:szCs w:val="20"/>
          <w:lang w:val="en-US"/>
        </w:rPr>
        <w:t>In addition, the Commission reiterates what has been noted by the Inter-American Court</w:t>
      </w:r>
      <w:r w:rsidR="005E12E5" w:rsidRPr="007D47AD">
        <w:rPr>
          <w:rFonts w:asciiTheme="minorHAnsi" w:hAnsiTheme="minorHAnsi"/>
          <w:sz w:val="20"/>
          <w:szCs w:val="20"/>
          <w:lang w:val="en-US"/>
        </w:rPr>
        <w:t>:</w:t>
      </w:r>
      <w:r w:rsidRPr="007D47AD">
        <w:rPr>
          <w:rFonts w:asciiTheme="minorHAnsi" w:hAnsiTheme="minorHAnsi"/>
          <w:sz w:val="20"/>
          <w:szCs w:val="20"/>
          <w:lang w:val="en-US"/>
        </w:rPr>
        <w:t xml:space="preserve"> </w:t>
      </w:r>
      <w:r w:rsidR="009B732E" w:rsidRPr="007D47AD">
        <w:rPr>
          <w:rFonts w:asciiTheme="minorHAnsi" w:hAnsiTheme="minorHAnsi" w:cs="Verdana"/>
          <w:sz w:val="20"/>
          <w:szCs w:val="20"/>
          <w:lang w:val="en-US"/>
        </w:rPr>
        <w:t>“</w:t>
      </w:r>
      <w:r w:rsidR="005E12E5" w:rsidRPr="007D47AD">
        <w:rPr>
          <w:rFonts w:asciiTheme="minorHAnsi" w:hAnsiTheme="minorHAnsi" w:cs="Verdana"/>
          <w:sz w:val="20"/>
          <w:szCs w:val="20"/>
          <w:lang w:val="en-US"/>
        </w:rPr>
        <w:t>the consultation must not only serve as a mere formality, but rather it must be conceived as a true instrument for participation,  which should respond to the ultimate purpose of establishing a dialogue between the parties based on principles of trust and mutual respect, and aimed at reaching a consensus between the parties.  Thus, it is an inherent part of every consultation with indigenous communities that a climate of mutual trust be established</w:t>
      </w:r>
      <w:r w:rsidRPr="007D47AD">
        <w:rPr>
          <w:rFonts w:asciiTheme="minorHAnsi" w:hAnsiTheme="minorHAnsi" w:cs="Verdana"/>
          <w:sz w:val="20"/>
          <w:szCs w:val="20"/>
          <w:lang w:val="en-US"/>
        </w:rPr>
        <w:t>.</w:t>
      </w:r>
      <w:r w:rsidR="009B732E" w:rsidRPr="007D47AD">
        <w:rPr>
          <w:rFonts w:asciiTheme="minorHAnsi" w:hAnsiTheme="minorHAnsi" w:cs="Verdana"/>
          <w:sz w:val="20"/>
          <w:szCs w:val="20"/>
          <w:lang w:val="en-US"/>
        </w:rPr>
        <w:t>”</w:t>
      </w:r>
      <w:r w:rsidR="009B732E" w:rsidRPr="007D47AD">
        <w:rPr>
          <w:rStyle w:val="FootnoteReference"/>
          <w:rFonts w:asciiTheme="minorHAnsi" w:hAnsiTheme="minorHAnsi" w:cs="Verdana"/>
          <w:sz w:val="20"/>
          <w:szCs w:val="20"/>
          <w:lang w:val="en-US"/>
        </w:rPr>
        <w:footnoteReference w:id="355"/>
      </w:r>
      <w:r w:rsidRPr="007D47AD">
        <w:rPr>
          <w:rFonts w:asciiTheme="minorHAnsi" w:hAnsiTheme="minorHAnsi" w:cs="Verdana"/>
          <w:sz w:val="20"/>
          <w:szCs w:val="20"/>
          <w:lang w:val="en-US"/>
        </w:rPr>
        <w:t xml:space="preserve"> </w:t>
      </w:r>
    </w:p>
    <w:p w:rsidR="00523DD8" w:rsidRPr="007D47AD" w:rsidRDefault="00523DD8" w:rsidP="00A922AE">
      <w:pPr>
        <w:shd w:val="clear" w:color="auto" w:fill="FFFFFF"/>
        <w:spacing w:after="0" w:line="240" w:lineRule="auto"/>
        <w:jc w:val="both"/>
        <w:rPr>
          <w:rFonts w:asciiTheme="minorHAnsi" w:hAnsiTheme="minorHAnsi"/>
          <w:sz w:val="20"/>
          <w:szCs w:val="20"/>
          <w:lang w:val="en-US"/>
        </w:rPr>
      </w:pPr>
    </w:p>
    <w:p w:rsidR="009B732E" w:rsidRPr="007D47AD" w:rsidRDefault="0083236B" w:rsidP="00A922AE">
      <w:pPr>
        <w:numPr>
          <w:ilvl w:val="0"/>
          <w:numId w:val="6"/>
        </w:numPr>
        <w:shd w:val="clear" w:color="auto" w:fill="FFFFFF"/>
        <w:spacing w:after="0" w:line="240" w:lineRule="auto"/>
        <w:ind w:left="0" w:firstLine="709"/>
        <w:jc w:val="both"/>
        <w:rPr>
          <w:rFonts w:asciiTheme="minorHAnsi" w:hAnsiTheme="minorHAnsi" w:cs="Cambria"/>
          <w:color w:val="000000"/>
          <w:sz w:val="20"/>
          <w:szCs w:val="20"/>
          <w:lang w:val="en-US"/>
        </w:rPr>
      </w:pPr>
      <w:r w:rsidRPr="007D47AD">
        <w:rPr>
          <w:rFonts w:asciiTheme="minorHAnsi" w:hAnsiTheme="minorHAnsi"/>
          <w:sz w:val="20"/>
          <w:szCs w:val="20"/>
          <w:lang w:val="en-US"/>
        </w:rPr>
        <w:t xml:space="preserve">Based on the foregoing, the IACHR notes partial compliance with this recommendation. While measures have been adopted, they are insufficient for addressing this situation in an integral manner. </w:t>
      </w:r>
    </w:p>
    <w:p w:rsidR="009B732E" w:rsidRPr="007D47AD" w:rsidRDefault="009B732E" w:rsidP="00A922AE">
      <w:pPr>
        <w:shd w:val="clear" w:color="auto" w:fill="FFFFFF"/>
        <w:spacing w:after="0" w:line="240" w:lineRule="auto"/>
        <w:ind w:left="851"/>
        <w:jc w:val="both"/>
        <w:rPr>
          <w:rFonts w:asciiTheme="minorHAnsi" w:hAnsiTheme="minorHAnsi"/>
          <w:sz w:val="20"/>
          <w:szCs w:val="20"/>
          <w:lang w:val="en-US"/>
        </w:rPr>
      </w:pPr>
    </w:p>
    <w:p w:rsidR="009C095D" w:rsidRPr="007D47AD" w:rsidRDefault="009C095D" w:rsidP="0083236B">
      <w:pPr>
        <w:pStyle w:val="Heading3"/>
        <w:numPr>
          <w:ilvl w:val="2"/>
          <w:numId w:val="7"/>
        </w:numPr>
        <w:shd w:val="clear" w:color="auto" w:fill="auto"/>
        <w:spacing w:before="0"/>
        <w:ind w:left="1440" w:hanging="720"/>
        <w:rPr>
          <w:rFonts w:asciiTheme="minorHAnsi" w:hAnsiTheme="minorHAnsi"/>
          <w:sz w:val="20"/>
          <w:szCs w:val="20"/>
          <w:lang w:val="en-US"/>
        </w:rPr>
      </w:pPr>
      <w:r w:rsidRPr="007D47AD">
        <w:rPr>
          <w:rFonts w:asciiTheme="minorHAnsi" w:hAnsiTheme="minorHAnsi"/>
          <w:sz w:val="20"/>
          <w:szCs w:val="20"/>
          <w:lang w:val="en-US"/>
        </w:rPr>
        <w:t xml:space="preserve">Persons </w:t>
      </w:r>
      <w:r w:rsidR="0083236B" w:rsidRPr="007D47AD">
        <w:rPr>
          <w:rFonts w:asciiTheme="minorHAnsi" w:hAnsiTheme="minorHAnsi"/>
          <w:sz w:val="20"/>
          <w:szCs w:val="20"/>
          <w:lang w:val="en-US"/>
        </w:rPr>
        <w:t>de</w:t>
      </w:r>
      <w:r w:rsidRPr="007D47AD">
        <w:rPr>
          <w:rFonts w:asciiTheme="minorHAnsi" w:hAnsiTheme="minorHAnsi"/>
          <w:sz w:val="20"/>
          <w:szCs w:val="20"/>
          <w:lang w:val="en-US"/>
        </w:rPr>
        <w:t>priv</w:t>
      </w:r>
      <w:r w:rsidR="0083236B" w:rsidRPr="007D47AD">
        <w:rPr>
          <w:rFonts w:asciiTheme="minorHAnsi" w:hAnsiTheme="minorHAnsi"/>
          <w:sz w:val="20"/>
          <w:szCs w:val="20"/>
          <w:lang w:val="en-US"/>
        </w:rPr>
        <w:t xml:space="preserve">ed of </w:t>
      </w:r>
      <w:r w:rsidRPr="007D47AD">
        <w:rPr>
          <w:rFonts w:asciiTheme="minorHAnsi" w:hAnsiTheme="minorHAnsi"/>
          <w:sz w:val="20"/>
          <w:szCs w:val="20"/>
          <w:lang w:val="en-US"/>
        </w:rPr>
        <w:t>liber</w:t>
      </w:r>
      <w:r w:rsidR="0083236B" w:rsidRPr="007D47AD">
        <w:rPr>
          <w:rFonts w:asciiTheme="minorHAnsi" w:hAnsiTheme="minorHAnsi"/>
          <w:sz w:val="20"/>
          <w:szCs w:val="20"/>
          <w:lang w:val="en-US"/>
        </w:rPr>
        <w:t>ty</w:t>
      </w:r>
    </w:p>
    <w:p w:rsidR="009C095D" w:rsidRPr="007D47AD" w:rsidRDefault="009C095D" w:rsidP="00E472A2">
      <w:pPr>
        <w:pStyle w:val="Numberedparagraphs"/>
        <w:numPr>
          <w:ilvl w:val="0"/>
          <w:numId w:val="19"/>
        </w:numPr>
        <w:shd w:val="clear" w:color="auto" w:fill="D9D9D9"/>
        <w:spacing w:after="0"/>
        <w:ind w:hanging="720"/>
        <w:rPr>
          <w:rFonts w:asciiTheme="minorHAnsi" w:hAnsiTheme="minorHAnsi"/>
          <w:lang w:val="en-US"/>
        </w:rPr>
      </w:pPr>
      <w:r w:rsidRPr="007D47AD">
        <w:rPr>
          <w:rFonts w:asciiTheme="minorHAnsi" w:hAnsiTheme="minorHAnsi"/>
          <w:lang w:val="en-US"/>
        </w:rPr>
        <w:t>Corre</w:t>
      </w:r>
      <w:r w:rsidR="00382D69" w:rsidRPr="007D47AD">
        <w:rPr>
          <w:rFonts w:asciiTheme="minorHAnsi" w:hAnsiTheme="minorHAnsi"/>
          <w:lang w:val="en-US"/>
        </w:rPr>
        <w:t xml:space="preserve">ct the excessive use of pretrial detention, and apply it exceptionally, using other precautionary measures that do not deprive </w:t>
      </w:r>
      <w:r w:rsidR="00B96F06" w:rsidRPr="007D47AD">
        <w:rPr>
          <w:rFonts w:asciiTheme="minorHAnsi" w:hAnsiTheme="minorHAnsi"/>
          <w:lang w:val="en-US"/>
        </w:rPr>
        <w:t xml:space="preserve">persons </w:t>
      </w:r>
      <w:r w:rsidR="00382D69" w:rsidRPr="007D47AD">
        <w:rPr>
          <w:rFonts w:asciiTheme="minorHAnsi" w:hAnsiTheme="minorHAnsi"/>
          <w:lang w:val="en-US"/>
        </w:rPr>
        <w:t xml:space="preserve">of liberty. In this context, guarantee that detained persons are immediately presented before a judge, so that detention without judicial order may be restricted in cases of alleged </w:t>
      </w:r>
      <w:r w:rsidR="00382D69" w:rsidRPr="007D47AD">
        <w:rPr>
          <w:rFonts w:asciiTheme="minorHAnsi" w:hAnsiTheme="minorHAnsi"/>
          <w:i/>
          <w:iCs/>
          <w:lang w:val="en-US"/>
        </w:rPr>
        <w:t>flagrante delicto</w:t>
      </w:r>
      <w:r w:rsidR="00382D69" w:rsidRPr="007D47AD">
        <w:rPr>
          <w:rFonts w:asciiTheme="minorHAnsi" w:hAnsiTheme="minorHAnsi"/>
          <w:lang w:val="en-US"/>
        </w:rPr>
        <w:t xml:space="preserve"> and </w:t>
      </w:r>
      <w:r w:rsidR="00382D69" w:rsidRPr="007D47AD">
        <w:rPr>
          <w:rFonts w:asciiTheme="minorHAnsi" w:hAnsiTheme="minorHAnsi"/>
          <w:i/>
          <w:iCs/>
          <w:lang w:val="en-US"/>
        </w:rPr>
        <w:t>quasi flagrante delicto</w:t>
      </w:r>
      <w:r w:rsidR="00382D69" w:rsidRPr="007D47AD">
        <w:rPr>
          <w:rFonts w:asciiTheme="minorHAnsi" w:hAnsiTheme="minorHAnsi"/>
          <w:lang w:val="en-US"/>
        </w:rPr>
        <w:t>.</w:t>
      </w:r>
    </w:p>
    <w:p w:rsidR="009C095D" w:rsidRPr="007D47AD" w:rsidRDefault="009C095D" w:rsidP="00E472A2">
      <w:pPr>
        <w:pStyle w:val="Numberedparagraphs"/>
        <w:numPr>
          <w:ilvl w:val="0"/>
          <w:numId w:val="19"/>
        </w:numPr>
        <w:shd w:val="clear" w:color="auto" w:fill="D9D9D9"/>
        <w:spacing w:after="0"/>
        <w:ind w:hanging="720"/>
        <w:rPr>
          <w:rFonts w:asciiTheme="minorHAnsi" w:hAnsiTheme="minorHAnsi"/>
          <w:lang w:val="en-US"/>
        </w:rPr>
      </w:pPr>
      <w:r w:rsidRPr="007D47AD">
        <w:rPr>
          <w:rFonts w:asciiTheme="minorHAnsi" w:hAnsiTheme="minorHAnsi"/>
          <w:lang w:val="en-US"/>
        </w:rPr>
        <w:t xml:space="preserve">Adopt </w:t>
      </w:r>
      <w:r w:rsidR="00382D69" w:rsidRPr="007D47AD">
        <w:rPr>
          <w:rFonts w:asciiTheme="minorHAnsi" w:hAnsiTheme="minorHAnsi"/>
          <w:lang w:val="en-US"/>
        </w:rPr>
        <w:t xml:space="preserve">all necessary measures to guarantee a strategy of reincorporation into society. </w:t>
      </w:r>
      <w:r w:rsidR="00B96F06" w:rsidRPr="007D47AD">
        <w:rPr>
          <w:rFonts w:asciiTheme="minorHAnsi" w:hAnsiTheme="minorHAnsi"/>
          <w:lang w:val="en-US"/>
        </w:rPr>
        <w:t xml:space="preserve">Accordingly, </w:t>
      </w:r>
      <w:r w:rsidR="00382D69" w:rsidRPr="007D47AD">
        <w:rPr>
          <w:rFonts w:asciiTheme="minorHAnsi" w:hAnsiTheme="minorHAnsi"/>
          <w:lang w:val="en-US"/>
        </w:rPr>
        <w:t>guarantee that financial resources are directed at humanizing and implementing measures that allow persons deprived of liberty to be reincorporated into society. In particular, regarding persons with disabilities, identify a strategy for social reincorporation through programs that include community service.</w:t>
      </w:r>
      <w:r w:rsidRPr="007D47AD">
        <w:rPr>
          <w:rFonts w:asciiTheme="minorHAnsi" w:hAnsiTheme="minorHAnsi"/>
          <w:lang w:val="en-US"/>
        </w:rPr>
        <w:t xml:space="preserve"> </w:t>
      </w:r>
    </w:p>
    <w:p w:rsidR="009C095D" w:rsidRPr="007D47AD" w:rsidRDefault="00382D69" w:rsidP="00E472A2">
      <w:pPr>
        <w:pStyle w:val="Numberedparagraphs"/>
        <w:numPr>
          <w:ilvl w:val="0"/>
          <w:numId w:val="19"/>
        </w:numPr>
        <w:shd w:val="clear" w:color="auto" w:fill="D9D9D9"/>
        <w:spacing w:after="0"/>
        <w:ind w:hanging="720"/>
        <w:rPr>
          <w:rFonts w:asciiTheme="minorHAnsi" w:hAnsiTheme="minorHAnsi"/>
          <w:lang w:val="en-US"/>
        </w:rPr>
      </w:pPr>
      <w:r w:rsidRPr="007D47AD">
        <w:rPr>
          <w:rFonts w:asciiTheme="minorHAnsi" w:hAnsiTheme="minorHAnsi"/>
          <w:lang w:val="en-US"/>
        </w:rPr>
        <w:t>Make publicly available the information regarding the standards of the American Correctional Association (“ACA”) to certify prisons and penitentiaries</w:t>
      </w:r>
      <w:r w:rsidR="009C095D" w:rsidRPr="007D47AD">
        <w:rPr>
          <w:rFonts w:asciiTheme="minorHAnsi" w:hAnsiTheme="minorHAnsi"/>
          <w:lang w:val="en-US"/>
        </w:rPr>
        <w:t>.</w:t>
      </w:r>
    </w:p>
    <w:p w:rsidR="009C095D" w:rsidRPr="007D47AD" w:rsidRDefault="009C095D" w:rsidP="00E472A2">
      <w:pPr>
        <w:pStyle w:val="Numberedparagraphs"/>
        <w:numPr>
          <w:ilvl w:val="0"/>
          <w:numId w:val="19"/>
        </w:numPr>
        <w:shd w:val="clear" w:color="auto" w:fill="D9D9D9"/>
        <w:spacing w:after="0"/>
        <w:ind w:hanging="720"/>
        <w:rPr>
          <w:rFonts w:asciiTheme="minorHAnsi" w:hAnsiTheme="minorHAnsi"/>
          <w:lang w:val="en-US"/>
        </w:rPr>
      </w:pPr>
      <w:r w:rsidRPr="007D47AD">
        <w:rPr>
          <w:rFonts w:asciiTheme="minorHAnsi" w:hAnsiTheme="minorHAnsi"/>
          <w:lang w:val="en-US"/>
        </w:rPr>
        <w:t>Implement</w:t>
      </w:r>
      <w:r w:rsidR="00382D69" w:rsidRPr="007D47AD">
        <w:rPr>
          <w:rFonts w:asciiTheme="minorHAnsi" w:hAnsiTheme="minorHAnsi"/>
          <w:lang w:val="en-US"/>
        </w:rPr>
        <w:t xml:space="preserve"> normative and other measures to guarantee detention conditions that are adequate for the particular needs of groups in particularly vulnerable situations. In relation to women deprived of liberty, the State should guarantee that the adoption of corresponding measures takes into account a gender focus. Regarding persons with disability who are deprived of liberty, the Mexican State should guarantee eliminati</w:t>
      </w:r>
      <w:r w:rsidR="00B96F06" w:rsidRPr="007D47AD">
        <w:rPr>
          <w:rFonts w:asciiTheme="minorHAnsi" w:hAnsiTheme="minorHAnsi"/>
          <w:lang w:val="en-US"/>
        </w:rPr>
        <w:t>ng</w:t>
      </w:r>
      <w:r w:rsidR="00382D69" w:rsidRPr="007D47AD">
        <w:rPr>
          <w:rFonts w:asciiTheme="minorHAnsi" w:hAnsiTheme="minorHAnsi"/>
          <w:lang w:val="en-US"/>
        </w:rPr>
        <w:t xml:space="preserve"> barriers in the surroundings that complicate the exercise of their rights, through reasonable accommodations</w:t>
      </w:r>
      <w:r w:rsidRPr="007D47AD">
        <w:rPr>
          <w:rFonts w:asciiTheme="minorHAnsi" w:hAnsiTheme="minorHAnsi" w:cs="Didot"/>
          <w:lang w:val="en-US"/>
        </w:rPr>
        <w:t xml:space="preserve">. </w:t>
      </w:r>
    </w:p>
    <w:p w:rsidR="009C095D" w:rsidRPr="007D47AD" w:rsidRDefault="00382D69" w:rsidP="00E472A2">
      <w:pPr>
        <w:pStyle w:val="Numberedparagraphs"/>
        <w:numPr>
          <w:ilvl w:val="0"/>
          <w:numId w:val="19"/>
        </w:numPr>
        <w:shd w:val="clear" w:color="auto" w:fill="D9D9D9"/>
        <w:spacing w:after="0"/>
        <w:ind w:hanging="720"/>
        <w:rPr>
          <w:rFonts w:asciiTheme="minorHAnsi" w:hAnsiTheme="minorHAnsi"/>
          <w:lang w:val="en-US"/>
        </w:rPr>
      </w:pPr>
      <w:r w:rsidRPr="007D47AD">
        <w:rPr>
          <w:rFonts w:asciiTheme="minorHAnsi" w:hAnsiTheme="minorHAnsi"/>
          <w:lang w:val="en-US"/>
        </w:rPr>
        <w:t>Adopt measures to address pretrial detention and the high levels of overcrowding. The measures may include, among others, an increase in the number of criminal judges, and the establishment of periodic review of case files to be able to identify cases with excessive duration of pretrial detention.</w:t>
      </w:r>
    </w:p>
    <w:p w:rsidR="009C095D" w:rsidRPr="007D47AD" w:rsidRDefault="00382D69" w:rsidP="00FF6B1C">
      <w:pPr>
        <w:pStyle w:val="Numberedparagraphs"/>
        <w:numPr>
          <w:ilvl w:val="0"/>
          <w:numId w:val="19"/>
        </w:numPr>
        <w:shd w:val="clear" w:color="auto" w:fill="D9D9D9"/>
        <w:spacing w:after="0"/>
        <w:ind w:hanging="720"/>
        <w:rPr>
          <w:rFonts w:asciiTheme="minorHAnsi" w:hAnsiTheme="minorHAnsi"/>
          <w:lang w:val="en-US"/>
        </w:rPr>
      </w:pPr>
      <w:r w:rsidRPr="007D47AD">
        <w:rPr>
          <w:rFonts w:asciiTheme="minorHAnsi" w:hAnsiTheme="minorHAnsi"/>
          <w:lang w:val="en-US"/>
        </w:rPr>
        <w:t>Ensure that the National Criminal Sentencing Law includes international standards that guarantee the rights of persons deprived of liberty, both those who are being processed and those who have been sentenced, with an emphasis on criminal due process and reincorporation into society</w:t>
      </w:r>
      <w:r w:rsidR="009C095D" w:rsidRPr="007D47AD">
        <w:rPr>
          <w:rFonts w:asciiTheme="minorHAnsi" w:hAnsiTheme="minorHAnsi"/>
          <w:lang w:val="en-US"/>
        </w:rPr>
        <w:t xml:space="preserve">. </w:t>
      </w:r>
    </w:p>
    <w:p w:rsidR="00FF6B1C" w:rsidRPr="007D47AD" w:rsidRDefault="00FF6B1C" w:rsidP="00FF6B1C">
      <w:pPr>
        <w:shd w:val="clear" w:color="auto" w:fill="FFFFFF"/>
        <w:spacing w:line="240" w:lineRule="auto"/>
        <w:jc w:val="both"/>
        <w:rPr>
          <w:rFonts w:asciiTheme="minorHAnsi" w:hAnsiTheme="minorHAnsi"/>
          <w:sz w:val="20"/>
          <w:szCs w:val="20"/>
          <w:lang w:val="en-US"/>
        </w:rPr>
      </w:pPr>
    </w:p>
    <w:p w:rsidR="00A922AE" w:rsidRPr="007D47AD" w:rsidRDefault="0083236B" w:rsidP="00A922AE">
      <w:pPr>
        <w:numPr>
          <w:ilvl w:val="0"/>
          <w:numId w:val="6"/>
        </w:numPr>
        <w:shd w:val="clear" w:color="auto" w:fill="FFFFFF"/>
        <w:spacing w:line="240" w:lineRule="auto"/>
        <w:ind w:left="0" w:firstLine="720"/>
        <w:jc w:val="both"/>
        <w:rPr>
          <w:rFonts w:asciiTheme="minorHAnsi" w:hAnsiTheme="minorHAnsi"/>
          <w:sz w:val="20"/>
          <w:szCs w:val="20"/>
          <w:lang w:val="en-US"/>
        </w:rPr>
      </w:pPr>
      <w:r w:rsidRPr="007D47AD">
        <w:rPr>
          <w:rFonts w:asciiTheme="minorHAnsi" w:hAnsiTheme="minorHAnsi"/>
          <w:sz w:val="20"/>
          <w:szCs w:val="20"/>
          <w:lang w:val="en-US"/>
        </w:rPr>
        <w:t xml:space="preserve">As regards the recommendation to </w:t>
      </w:r>
      <w:r w:rsidR="00A922AE" w:rsidRPr="007D47AD">
        <w:rPr>
          <w:rFonts w:asciiTheme="minorHAnsi" w:hAnsiTheme="minorHAnsi"/>
          <w:b/>
          <w:color w:val="222222"/>
          <w:sz w:val="20"/>
          <w:szCs w:val="20"/>
          <w:lang w:val="en-US"/>
        </w:rPr>
        <w:t>corre</w:t>
      </w:r>
      <w:r w:rsidRPr="007D47AD">
        <w:rPr>
          <w:rFonts w:asciiTheme="minorHAnsi" w:hAnsiTheme="minorHAnsi"/>
          <w:b/>
          <w:color w:val="222222"/>
          <w:sz w:val="20"/>
          <w:szCs w:val="20"/>
          <w:lang w:val="en-US"/>
        </w:rPr>
        <w:t>ct the excessive use of pretrial detention</w:t>
      </w:r>
      <w:r w:rsidR="00A922AE" w:rsidRPr="007D47AD">
        <w:rPr>
          <w:rFonts w:asciiTheme="minorHAnsi" w:hAnsiTheme="minorHAnsi"/>
          <w:color w:val="222222"/>
          <w:sz w:val="20"/>
          <w:szCs w:val="20"/>
          <w:lang w:val="en-US"/>
        </w:rPr>
        <w:t xml:space="preserve">, </w:t>
      </w:r>
      <w:r w:rsidRPr="007D47AD">
        <w:rPr>
          <w:rFonts w:asciiTheme="minorHAnsi" w:hAnsiTheme="minorHAnsi"/>
          <w:color w:val="222222"/>
          <w:sz w:val="20"/>
          <w:szCs w:val="20"/>
          <w:lang w:val="en-US"/>
        </w:rPr>
        <w:t xml:space="preserve">the State merely indicated that it </w:t>
      </w:r>
      <w:r w:rsidR="00A922AE" w:rsidRPr="007D47AD">
        <w:rPr>
          <w:rFonts w:asciiTheme="minorHAnsi" w:hAnsiTheme="minorHAnsi"/>
          <w:color w:val="222222"/>
          <w:sz w:val="20"/>
          <w:szCs w:val="20"/>
          <w:lang w:val="en-US"/>
        </w:rPr>
        <w:t>“reitera</w:t>
      </w:r>
      <w:r w:rsidRPr="007D47AD">
        <w:rPr>
          <w:rFonts w:asciiTheme="minorHAnsi" w:hAnsiTheme="minorHAnsi"/>
          <w:color w:val="222222"/>
          <w:sz w:val="20"/>
          <w:szCs w:val="20"/>
          <w:lang w:val="en-US"/>
        </w:rPr>
        <w:t>tes what is indicated in the reports submitted previously.</w:t>
      </w:r>
      <w:r w:rsidR="00A922AE" w:rsidRPr="007D47AD">
        <w:rPr>
          <w:rFonts w:asciiTheme="minorHAnsi" w:hAnsiTheme="minorHAnsi"/>
          <w:color w:val="222222"/>
          <w:sz w:val="20"/>
          <w:szCs w:val="20"/>
          <w:lang w:val="en-US"/>
        </w:rPr>
        <w:t>”</w:t>
      </w:r>
      <w:r w:rsidR="00A922AE" w:rsidRPr="007D47AD">
        <w:rPr>
          <w:rStyle w:val="FootnoteReference"/>
          <w:rFonts w:asciiTheme="minorHAnsi" w:hAnsiTheme="minorHAnsi"/>
          <w:color w:val="222222"/>
          <w:sz w:val="20"/>
          <w:szCs w:val="20"/>
          <w:lang w:val="en-US"/>
        </w:rPr>
        <w:footnoteReference w:id="356"/>
      </w:r>
      <w:r w:rsidR="00DA087A" w:rsidRPr="007D47AD">
        <w:rPr>
          <w:rFonts w:asciiTheme="minorHAnsi" w:hAnsiTheme="minorHAnsi"/>
          <w:color w:val="222222"/>
          <w:sz w:val="20"/>
          <w:szCs w:val="20"/>
          <w:lang w:val="en-US"/>
        </w:rPr>
        <w:t xml:space="preserve"> </w:t>
      </w:r>
      <w:r w:rsidRPr="007D47AD">
        <w:rPr>
          <w:rFonts w:asciiTheme="minorHAnsi" w:hAnsiTheme="minorHAnsi"/>
          <w:color w:val="222222"/>
          <w:sz w:val="20"/>
          <w:szCs w:val="20"/>
          <w:lang w:val="en-US"/>
        </w:rPr>
        <w:t xml:space="preserve">The previous year </w:t>
      </w:r>
      <w:r w:rsidRPr="007D47AD">
        <w:rPr>
          <w:rFonts w:asciiTheme="minorHAnsi" w:hAnsiTheme="minorHAnsi"/>
          <w:color w:val="222222"/>
          <w:sz w:val="20"/>
          <w:szCs w:val="20"/>
          <w:lang w:val="en-US"/>
        </w:rPr>
        <w:lastRenderedPageBreak/>
        <w:t xml:space="preserve">the State reported advances in the </w:t>
      </w:r>
      <w:r w:rsidR="00236412" w:rsidRPr="007D47AD">
        <w:rPr>
          <w:rFonts w:asciiTheme="minorHAnsi" w:hAnsiTheme="minorHAnsi"/>
          <w:color w:val="222222"/>
          <w:sz w:val="20"/>
          <w:szCs w:val="20"/>
          <w:lang w:val="en-US"/>
        </w:rPr>
        <w:t xml:space="preserve">case-law, </w:t>
      </w:r>
      <w:r w:rsidRPr="007D47AD">
        <w:rPr>
          <w:rFonts w:asciiTheme="minorHAnsi" w:hAnsiTheme="minorHAnsi"/>
          <w:color w:val="222222"/>
          <w:sz w:val="20"/>
          <w:szCs w:val="20"/>
          <w:lang w:val="en-US"/>
        </w:rPr>
        <w:t>including an isolated jurisprudential thesis from the Supreme Court, that determine the possibility of persons indicted in the mixed criminal procedure system requesting a review of this custodial measure.</w:t>
      </w:r>
      <w:r w:rsidR="00A922AE" w:rsidRPr="007D47AD">
        <w:rPr>
          <w:rStyle w:val="FootnoteReference"/>
          <w:rFonts w:asciiTheme="minorHAnsi" w:hAnsiTheme="minorHAnsi"/>
          <w:sz w:val="20"/>
          <w:szCs w:val="20"/>
          <w:lang w:val="en-US"/>
        </w:rPr>
        <w:footnoteReference w:id="357"/>
      </w:r>
      <w:r w:rsidRPr="007D47AD">
        <w:rPr>
          <w:rFonts w:asciiTheme="minorHAnsi" w:hAnsiTheme="minorHAnsi"/>
          <w:sz w:val="20"/>
          <w:szCs w:val="20"/>
          <w:lang w:val="en-US"/>
        </w:rPr>
        <w:t xml:space="preserve"> While the IACHR positively valued the information reported, in </w:t>
      </w:r>
      <w:r w:rsidR="00A922AE" w:rsidRPr="007D47AD">
        <w:rPr>
          <w:rFonts w:asciiTheme="minorHAnsi" w:hAnsiTheme="minorHAnsi"/>
          <w:sz w:val="20"/>
          <w:szCs w:val="20"/>
          <w:lang w:val="en-US"/>
        </w:rPr>
        <w:t xml:space="preserve">2019 </w:t>
      </w:r>
      <w:r w:rsidRPr="007D47AD">
        <w:rPr>
          <w:rFonts w:asciiTheme="minorHAnsi" w:hAnsiTheme="minorHAnsi"/>
          <w:sz w:val="20"/>
          <w:szCs w:val="20"/>
          <w:lang w:val="en-US"/>
        </w:rPr>
        <w:t>it has called attention</w:t>
      </w:r>
      <w:r w:rsidR="00A922AE" w:rsidRPr="007D47AD">
        <w:rPr>
          <w:rFonts w:asciiTheme="minorHAnsi" w:hAnsiTheme="minorHAnsi"/>
          <w:sz w:val="20"/>
          <w:szCs w:val="20"/>
          <w:vertAlign w:val="superscript"/>
          <w:lang w:val="en-US"/>
        </w:rPr>
        <w:footnoteReference w:id="358"/>
      </w:r>
      <w:r w:rsidR="00A922AE" w:rsidRPr="007D47AD">
        <w:rPr>
          <w:rFonts w:asciiTheme="minorHAnsi" w:hAnsiTheme="minorHAnsi"/>
          <w:sz w:val="20"/>
          <w:szCs w:val="20"/>
          <w:lang w:val="en-US"/>
        </w:rPr>
        <w:t xml:space="preserve">, </w:t>
      </w:r>
      <w:r w:rsidRPr="007D47AD">
        <w:rPr>
          <w:rFonts w:asciiTheme="minorHAnsi" w:hAnsiTheme="minorHAnsi"/>
          <w:sz w:val="20"/>
          <w:szCs w:val="20"/>
          <w:lang w:val="en-US"/>
        </w:rPr>
        <w:t>along with other national</w:t>
      </w:r>
      <w:r w:rsidR="00A922AE" w:rsidRPr="007D47AD">
        <w:rPr>
          <w:rFonts w:asciiTheme="minorHAnsi" w:hAnsiTheme="minorHAnsi"/>
          <w:sz w:val="20"/>
          <w:szCs w:val="20"/>
          <w:vertAlign w:val="superscript"/>
          <w:lang w:val="en-US"/>
        </w:rPr>
        <w:footnoteReference w:id="359"/>
      </w:r>
      <w:r w:rsidR="00A922AE" w:rsidRPr="007D47AD">
        <w:rPr>
          <w:rFonts w:asciiTheme="minorHAnsi" w:hAnsiTheme="minorHAnsi"/>
          <w:sz w:val="20"/>
          <w:szCs w:val="20"/>
          <w:lang w:val="en-US"/>
        </w:rPr>
        <w:t xml:space="preserve"> </w:t>
      </w:r>
      <w:r w:rsidRPr="007D47AD">
        <w:rPr>
          <w:rFonts w:asciiTheme="minorHAnsi" w:hAnsiTheme="minorHAnsi"/>
          <w:sz w:val="20"/>
          <w:szCs w:val="20"/>
          <w:lang w:val="en-US"/>
        </w:rPr>
        <w:t>and international bodies</w:t>
      </w:r>
      <w:r w:rsidR="00A922AE" w:rsidRPr="007D47AD">
        <w:rPr>
          <w:rFonts w:asciiTheme="minorHAnsi" w:hAnsiTheme="minorHAnsi"/>
          <w:sz w:val="20"/>
          <w:szCs w:val="20"/>
          <w:vertAlign w:val="superscript"/>
          <w:lang w:val="en-US"/>
        </w:rPr>
        <w:footnoteReference w:id="360"/>
      </w:r>
      <w:r w:rsidR="00A922AE" w:rsidRPr="007D47AD">
        <w:rPr>
          <w:rFonts w:asciiTheme="minorHAnsi" w:hAnsiTheme="minorHAnsi"/>
          <w:sz w:val="20"/>
          <w:szCs w:val="20"/>
          <w:lang w:val="en-US"/>
        </w:rPr>
        <w:t xml:space="preserve">, </w:t>
      </w:r>
      <w:r w:rsidRPr="007D47AD">
        <w:rPr>
          <w:rFonts w:asciiTheme="minorHAnsi" w:hAnsiTheme="minorHAnsi"/>
          <w:sz w:val="20"/>
          <w:szCs w:val="20"/>
          <w:lang w:val="en-US"/>
        </w:rPr>
        <w:t xml:space="preserve">to not expanding the list of crimes that merit pretrial detention. Even so, in April </w:t>
      </w:r>
      <w:r w:rsidR="00A922AE" w:rsidRPr="007D47AD">
        <w:rPr>
          <w:rFonts w:asciiTheme="minorHAnsi" w:hAnsiTheme="minorHAnsi"/>
          <w:sz w:val="20"/>
          <w:szCs w:val="20"/>
          <w:lang w:val="en-US"/>
        </w:rPr>
        <w:t>2019</w:t>
      </w:r>
      <w:r w:rsidRPr="007D47AD">
        <w:rPr>
          <w:rFonts w:asciiTheme="minorHAnsi" w:hAnsiTheme="minorHAnsi"/>
          <w:sz w:val="20"/>
          <w:szCs w:val="20"/>
          <w:lang w:val="en-US"/>
        </w:rPr>
        <w:t xml:space="preserve"> the Mexican State undertook a constitutional amendment </w:t>
      </w:r>
      <w:r w:rsidR="00236412" w:rsidRPr="007D47AD">
        <w:rPr>
          <w:rFonts w:asciiTheme="minorHAnsi" w:hAnsiTheme="minorHAnsi"/>
          <w:sz w:val="20"/>
          <w:szCs w:val="20"/>
          <w:lang w:val="en-US"/>
        </w:rPr>
        <w:t xml:space="preserve">establishing </w:t>
      </w:r>
      <w:r w:rsidR="00D05BD7" w:rsidRPr="007D47AD">
        <w:rPr>
          <w:rFonts w:asciiTheme="minorHAnsi" w:hAnsiTheme="minorHAnsi"/>
          <w:sz w:val="20"/>
          <w:szCs w:val="20"/>
          <w:lang w:val="en-US"/>
        </w:rPr>
        <w:t xml:space="preserve">presumptive </w:t>
      </w:r>
      <w:r w:rsidRPr="007D47AD">
        <w:rPr>
          <w:rFonts w:asciiTheme="minorHAnsi" w:hAnsiTheme="minorHAnsi"/>
          <w:sz w:val="20"/>
          <w:szCs w:val="20"/>
          <w:lang w:val="en-US"/>
        </w:rPr>
        <w:t>pretrial detention for crimes such as sexual abuse of minors, forced disappearance and disappearance committed by private persons, robbery of transport of any of its modalities, the use of social programs for electoral purposes, as well as crimes related to hydrocarbons, oil-derivatives, and petrochemicals, and in the area of corruption.</w:t>
      </w:r>
      <w:r w:rsidR="00A922AE" w:rsidRPr="007D47AD">
        <w:rPr>
          <w:rFonts w:asciiTheme="minorHAnsi" w:hAnsiTheme="minorHAnsi"/>
          <w:sz w:val="20"/>
          <w:szCs w:val="20"/>
          <w:vertAlign w:val="superscript"/>
          <w:lang w:val="en-US"/>
        </w:rPr>
        <w:footnoteReference w:id="361"/>
      </w:r>
      <w:r w:rsidR="00A922AE" w:rsidRPr="007D47AD">
        <w:rPr>
          <w:rFonts w:asciiTheme="minorHAnsi" w:hAnsiTheme="minorHAnsi"/>
          <w:sz w:val="20"/>
          <w:szCs w:val="20"/>
          <w:lang w:val="en-US"/>
        </w:rPr>
        <w:t xml:space="preserve"> </w:t>
      </w:r>
    </w:p>
    <w:p w:rsidR="00A922AE" w:rsidRPr="007D47AD" w:rsidRDefault="0083236B" w:rsidP="00A922AE">
      <w:pPr>
        <w:numPr>
          <w:ilvl w:val="0"/>
          <w:numId w:val="6"/>
        </w:numPr>
        <w:shd w:val="clear" w:color="auto" w:fill="FFFFFF"/>
        <w:spacing w:after="240" w:line="240" w:lineRule="auto"/>
        <w:ind w:left="0" w:firstLine="720"/>
        <w:jc w:val="both"/>
        <w:rPr>
          <w:rFonts w:asciiTheme="minorHAnsi" w:hAnsiTheme="minorHAnsi"/>
          <w:sz w:val="20"/>
          <w:szCs w:val="20"/>
          <w:lang w:val="en-US"/>
        </w:rPr>
      </w:pPr>
      <w:r w:rsidRPr="007D47AD">
        <w:rPr>
          <w:rFonts w:asciiTheme="minorHAnsi" w:hAnsiTheme="minorHAnsi"/>
          <w:sz w:val="20"/>
          <w:szCs w:val="20"/>
          <w:lang w:val="en-US"/>
        </w:rPr>
        <w:t xml:space="preserve">In this respect, the </w:t>
      </w:r>
      <w:r w:rsidR="00A922AE" w:rsidRPr="007D47AD">
        <w:rPr>
          <w:rFonts w:asciiTheme="minorHAnsi" w:hAnsiTheme="minorHAnsi"/>
          <w:sz w:val="20"/>
          <w:szCs w:val="20"/>
          <w:lang w:val="en-US"/>
        </w:rPr>
        <w:t>C</w:t>
      </w:r>
      <w:r w:rsidR="00FF6B1C" w:rsidRPr="007D47AD">
        <w:rPr>
          <w:rFonts w:asciiTheme="minorHAnsi" w:hAnsiTheme="minorHAnsi"/>
          <w:sz w:val="20"/>
          <w:szCs w:val="20"/>
          <w:lang w:val="en-US"/>
        </w:rPr>
        <w:t>NDH</w:t>
      </w:r>
      <w:r w:rsidR="00A922AE" w:rsidRPr="007D47AD">
        <w:rPr>
          <w:rFonts w:asciiTheme="minorHAnsi" w:hAnsiTheme="minorHAnsi"/>
          <w:sz w:val="20"/>
          <w:szCs w:val="20"/>
          <w:lang w:val="en-US"/>
        </w:rPr>
        <w:t xml:space="preserve"> </w:t>
      </w:r>
      <w:r w:rsidR="007622C8" w:rsidRPr="007D47AD">
        <w:rPr>
          <w:rFonts w:asciiTheme="minorHAnsi" w:hAnsiTheme="minorHAnsi"/>
          <w:sz w:val="20"/>
          <w:szCs w:val="20"/>
          <w:lang w:val="en-US"/>
        </w:rPr>
        <w:t xml:space="preserve">told the federal Congress that </w:t>
      </w:r>
      <w:r w:rsidR="00A922AE" w:rsidRPr="007D47AD">
        <w:rPr>
          <w:rFonts w:asciiTheme="minorHAnsi" w:hAnsiTheme="minorHAnsi"/>
          <w:sz w:val="20"/>
          <w:szCs w:val="20"/>
          <w:lang w:val="en-US"/>
        </w:rPr>
        <w:t>“</w:t>
      </w:r>
      <w:r w:rsidR="007622C8" w:rsidRPr="007D47AD">
        <w:rPr>
          <w:rFonts w:asciiTheme="minorHAnsi" w:hAnsiTheme="minorHAnsi"/>
          <w:sz w:val="20"/>
          <w:szCs w:val="20"/>
          <w:lang w:val="en-US"/>
        </w:rPr>
        <w:t xml:space="preserve">expanding the number of situations to which pretrial detention is </w:t>
      </w:r>
      <w:r w:rsidR="00D05BD7" w:rsidRPr="007D47AD">
        <w:rPr>
          <w:rFonts w:asciiTheme="minorHAnsi" w:hAnsiTheme="minorHAnsi"/>
          <w:sz w:val="20"/>
          <w:szCs w:val="20"/>
          <w:lang w:val="en-US"/>
        </w:rPr>
        <w:t xml:space="preserve">presumptively </w:t>
      </w:r>
      <w:r w:rsidR="007622C8" w:rsidRPr="007D47AD">
        <w:rPr>
          <w:rFonts w:asciiTheme="minorHAnsi" w:hAnsiTheme="minorHAnsi"/>
          <w:sz w:val="20"/>
          <w:szCs w:val="20"/>
          <w:lang w:val="en-US"/>
        </w:rPr>
        <w:t>applied is not the solution to the problems Mexico faces in the areas of security and justice…, but to the contrary weakens our countr</w:t>
      </w:r>
      <w:r w:rsidR="005E12E5" w:rsidRPr="007D47AD">
        <w:rPr>
          <w:rFonts w:asciiTheme="minorHAnsi" w:hAnsiTheme="minorHAnsi"/>
          <w:sz w:val="20"/>
          <w:szCs w:val="20"/>
          <w:lang w:val="en-US"/>
        </w:rPr>
        <w:t xml:space="preserve">y’s </w:t>
      </w:r>
      <w:r w:rsidR="007622C8" w:rsidRPr="007D47AD">
        <w:rPr>
          <w:rFonts w:asciiTheme="minorHAnsi" w:hAnsiTheme="minorHAnsi"/>
          <w:sz w:val="20"/>
          <w:szCs w:val="20"/>
          <w:lang w:val="en-US"/>
        </w:rPr>
        <w:t>option for the adversarial criminal justice system without it being allowed to be implemented, operative, and fully consolidated.</w:t>
      </w:r>
      <w:r w:rsidR="00A922AE" w:rsidRPr="007D47AD">
        <w:rPr>
          <w:rFonts w:asciiTheme="minorHAnsi" w:hAnsiTheme="minorHAnsi"/>
          <w:sz w:val="20"/>
          <w:szCs w:val="20"/>
          <w:lang w:val="en-US"/>
        </w:rPr>
        <w:t>”</w:t>
      </w:r>
      <w:r w:rsidR="00A922AE" w:rsidRPr="007D47AD">
        <w:rPr>
          <w:rFonts w:asciiTheme="minorHAnsi" w:hAnsiTheme="minorHAnsi"/>
          <w:sz w:val="20"/>
          <w:szCs w:val="20"/>
          <w:vertAlign w:val="superscript"/>
          <w:lang w:val="en-US"/>
        </w:rPr>
        <w:footnoteReference w:id="362"/>
      </w:r>
      <w:r w:rsidR="00A922AE" w:rsidRPr="007D47AD">
        <w:rPr>
          <w:rFonts w:asciiTheme="minorHAnsi" w:hAnsiTheme="minorHAnsi"/>
          <w:sz w:val="20"/>
          <w:szCs w:val="20"/>
          <w:lang w:val="en-US"/>
        </w:rPr>
        <w:t xml:space="preserve"> </w:t>
      </w:r>
      <w:r w:rsidR="007622C8" w:rsidRPr="007D47AD">
        <w:rPr>
          <w:rFonts w:asciiTheme="minorHAnsi" w:hAnsiTheme="minorHAnsi"/>
          <w:sz w:val="20"/>
          <w:szCs w:val="20"/>
          <w:lang w:val="en-US"/>
        </w:rPr>
        <w:t xml:space="preserve">In addition, it urged the Mexican State to strengthen the full autonomy and training of the </w:t>
      </w:r>
      <w:r w:rsidR="005E12E5" w:rsidRPr="007D47AD">
        <w:rPr>
          <w:rFonts w:asciiTheme="minorHAnsi" w:hAnsiTheme="minorHAnsi"/>
          <w:sz w:val="20"/>
          <w:szCs w:val="20"/>
          <w:lang w:val="en-US"/>
        </w:rPr>
        <w:t xml:space="preserve">state prosecutorial offices </w:t>
      </w:r>
      <w:r w:rsidR="007622C8" w:rsidRPr="007D47AD">
        <w:rPr>
          <w:rFonts w:asciiTheme="minorHAnsi" w:hAnsiTheme="minorHAnsi"/>
          <w:sz w:val="20"/>
          <w:szCs w:val="20"/>
          <w:lang w:val="en-US"/>
        </w:rPr>
        <w:t>and the federal Office of the Attorney General.</w:t>
      </w:r>
      <w:r w:rsidR="00A922AE" w:rsidRPr="007D47AD">
        <w:rPr>
          <w:rFonts w:asciiTheme="minorHAnsi" w:hAnsiTheme="minorHAnsi"/>
          <w:sz w:val="20"/>
          <w:szCs w:val="20"/>
          <w:vertAlign w:val="superscript"/>
          <w:lang w:val="en-US"/>
        </w:rPr>
        <w:footnoteReference w:id="363"/>
      </w:r>
    </w:p>
    <w:p w:rsidR="00A922AE" w:rsidRPr="007D47AD" w:rsidRDefault="007622C8" w:rsidP="00A922AE">
      <w:pPr>
        <w:numPr>
          <w:ilvl w:val="0"/>
          <w:numId w:val="6"/>
        </w:numPr>
        <w:shd w:val="clear" w:color="auto" w:fill="FFFFFF"/>
        <w:spacing w:after="240" w:line="240" w:lineRule="auto"/>
        <w:ind w:left="0" w:firstLine="720"/>
        <w:jc w:val="both"/>
        <w:rPr>
          <w:rFonts w:asciiTheme="minorHAnsi" w:hAnsiTheme="minorHAnsi"/>
          <w:sz w:val="20"/>
          <w:szCs w:val="20"/>
          <w:lang w:val="en-US"/>
        </w:rPr>
      </w:pPr>
      <w:r w:rsidRPr="007D47AD">
        <w:rPr>
          <w:rFonts w:asciiTheme="minorHAnsi" w:hAnsiTheme="minorHAnsi"/>
          <w:sz w:val="20"/>
          <w:szCs w:val="20"/>
          <w:lang w:val="en-US"/>
        </w:rPr>
        <w:t xml:space="preserve">In that same vein, the </w:t>
      </w:r>
      <w:r w:rsidR="00A922AE" w:rsidRPr="007D47AD">
        <w:rPr>
          <w:rFonts w:asciiTheme="minorHAnsi" w:hAnsiTheme="minorHAnsi"/>
          <w:sz w:val="20"/>
          <w:szCs w:val="20"/>
          <w:lang w:val="en-US"/>
        </w:rPr>
        <w:t xml:space="preserve">Centro PRODH </w:t>
      </w:r>
      <w:r w:rsidRPr="007D47AD">
        <w:rPr>
          <w:rFonts w:asciiTheme="minorHAnsi" w:hAnsiTheme="minorHAnsi"/>
          <w:sz w:val="20"/>
          <w:szCs w:val="20"/>
          <w:lang w:val="en-US"/>
        </w:rPr>
        <w:t xml:space="preserve">also stated that </w:t>
      </w:r>
      <w:r w:rsidR="00D05BD7" w:rsidRPr="007D47AD">
        <w:rPr>
          <w:rFonts w:asciiTheme="minorHAnsi" w:hAnsiTheme="minorHAnsi"/>
          <w:sz w:val="20"/>
          <w:szCs w:val="20"/>
          <w:lang w:val="en-US"/>
        </w:rPr>
        <w:t xml:space="preserve">presumptive </w:t>
      </w:r>
      <w:r w:rsidRPr="007D47AD">
        <w:rPr>
          <w:rFonts w:asciiTheme="minorHAnsi" w:hAnsiTheme="minorHAnsi"/>
          <w:sz w:val="20"/>
          <w:szCs w:val="20"/>
          <w:lang w:val="en-US"/>
        </w:rPr>
        <w:t>pretrial detention</w:t>
      </w:r>
      <w:r w:rsidR="00A922AE" w:rsidRPr="007D47AD">
        <w:rPr>
          <w:rFonts w:asciiTheme="minorHAnsi" w:hAnsiTheme="minorHAnsi"/>
          <w:sz w:val="20"/>
          <w:szCs w:val="20"/>
          <w:lang w:val="en-US"/>
        </w:rPr>
        <w:t>, au</w:t>
      </w:r>
      <w:r w:rsidRPr="007D47AD">
        <w:rPr>
          <w:rFonts w:asciiTheme="minorHAnsi" w:hAnsiTheme="minorHAnsi"/>
          <w:sz w:val="20"/>
          <w:szCs w:val="20"/>
          <w:lang w:val="en-US"/>
        </w:rPr>
        <w:t>g</w:t>
      </w:r>
      <w:r w:rsidR="00A922AE" w:rsidRPr="007D47AD">
        <w:rPr>
          <w:rFonts w:asciiTheme="minorHAnsi" w:hAnsiTheme="minorHAnsi"/>
          <w:sz w:val="20"/>
          <w:szCs w:val="20"/>
          <w:lang w:val="en-US"/>
        </w:rPr>
        <w:t>ment</w:t>
      </w:r>
      <w:r w:rsidRPr="007D47AD">
        <w:rPr>
          <w:rFonts w:asciiTheme="minorHAnsi" w:hAnsiTheme="minorHAnsi"/>
          <w:sz w:val="20"/>
          <w:szCs w:val="20"/>
          <w:lang w:val="en-US"/>
        </w:rPr>
        <w:t xml:space="preserve">ed with the constitutional reform, is contrary to the presumption of innocence, and noted that the “foreseeable reforms will be catastrophic, for they will imply the </w:t>
      </w:r>
      <w:r w:rsidR="00D05BD7" w:rsidRPr="007D47AD">
        <w:rPr>
          <w:rFonts w:asciiTheme="minorHAnsi" w:hAnsiTheme="minorHAnsi"/>
          <w:sz w:val="20"/>
          <w:szCs w:val="20"/>
          <w:lang w:val="en-US"/>
        </w:rPr>
        <w:t xml:space="preserve">presumptive </w:t>
      </w:r>
      <w:r w:rsidRPr="007D47AD">
        <w:rPr>
          <w:rFonts w:asciiTheme="minorHAnsi" w:hAnsiTheme="minorHAnsi"/>
          <w:sz w:val="20"/>
          <w:szCs w:val="20"/>
          <w:lang w:val="en-US"/>
        </w:rPr>
        <w:t>incarceration of any number of victims of arbitrary detentions” in addition to pretrial detention being manifestly at odds with the new design of the criminal justice system.</w:t>
      </w:r>
      <w:r w:rsidR="00A922AE" w:rsidRPr="007D47AD">
        <w:rPr>
          <w:rStyle w:val="FootnoteReference"/>
          <w:rFonts w:asciiTheme="minorHAnsi" w:hAnsiTheme="minorHAnsi"/>
          <w:sz w:val="20"/>
          <w:szCs w:val="20"/>
          <w:lang w:val="en-US"/>
        </w:rPr>
        <w:footnoteReference w:id="364"/>
      </w:r>
      <w:r w:rsidR="00A922AE" w:rsidRPr="007D47AD">
        <w:rPr>
          <w:rFonts w:asciiTheme="minorHAnsi" w:hAnsiTheme="minorHAnsi"/>
          <w:sz w:val="20"/>
          <w:szCs w:val="20"/>
          <w:lang w:val="en-US"/>
        </w:rPr>
        <w:t xml:space="preserve"> </w:t>
      </w:r>
    </w:p>
    <w:p w:rsidR="00A922AE" w:rsidRPr="007D47AD" w:rsidRDefault="007622C8" w:rsidP="007622C8">
      <w:pPr>
        <w:numPr>
          <w:ilvl w:val="0"/>
          <w:numId w:val="6"/>
        </w:numPr>
        <w:shd w:val="clear" w:color="auto" w:fill="FFFFFF"/>
        <w:spacing w:after="240" w:line="240" w:lineRule="auto"/>
        <w:ind w:left="0" w:firstLine="720"/>
        <w:jc w:val="both"/>
        <w:rPr>
          <w:rFonts w:asciiTheme="minorHAnsi" w:hAnsiTheme="minorHAnsi"/>
          <w:sz w:val="20"/>
          <w:szCs w:val="20"/>
          <w:lang w:val="en-US"/>
        </w:rPr>
      </w:pPr>
      <w:r w:rsidRPr="007D47AD">
        <w:rPr>
          <w:rFonts w:asciiTheme="minorHAnsi" w:hAnsiTheme="minorHAnsi"/>
          <w:sz w:val="20"/>
          <w:szCs w:val="20"/>
          <w:lang w:val="en-US"/>
        </w:rPr>
        <w:t>The IACHR recalls that in keeping with reiterated and constant pronouncements of the organs of the inter-American system, and mindful of its press released on these specific legislative changes</w:t>
      </w:r>
      <w:r w:rsidR="00CB1627" w:rsidRPr="007D47AD">
        <w:rPr>
          <w:rStyle w:val="FootnoteReference"/>
          <w:rFonts w:asciiTheme="minorHAnsi" w:hAnsiTheme="minorHAnsi"/>
          <w:sz w:val="20"/>
          <w:szCs w:val="20"/>
          <w:lang w:val="en-US"/>
        </w:rPr>
        <w:footnoteReference w:id="365"/>
      </w:r>
      <w:r w:rsidR="00CB1627" w:rsidRPr="007D47AD">
        <w:rPr>
          <w:rFonts w:asciiTheme="minorHAnsi" w:hAnsiTheme="minorHAnsi"/>
          <w:sz w:val="20"/>
          <w:szCs w:val="20"/>
          <w:lang w:val="en-US"/>
        </w:rPr>
        <w:t>,</w:t>
      </w:r>
      <w:r w:rsidR="00A922AE" w:rsidRPr="007D47AD">
        <w:rPr>
          <w:rFonts w:asciiTheme="minorHAnsi" w:hAnsiTheme="minorHAnsi"/>
          <w:sz w:val="20"/>
          <w:szCs w:val="20"/>
          <w:lang w:val="en-US"/>
        </w:rPr>
        <w:t xml:space="preserve"> </w:t>
      </w:r>
      <w:r w:rsidRPr="007D47AD">
        <w:rPr>
          <w:rFonts w:asciiTheme="minorHAnsi" w:hAnsiTheme="minorHAnsi"/>
          <w:sz w:val="20"/>
          <w:szCs w:val="20"/>
          <w:lang w:val="en-US"/>
        </w:rPr>
        <w:t>the application of obligatory pretrial detention based on the type of offense is a violation o</w:t>
      </w:r>
      <w:r w:rsidR="00236412" w:rsidRPr="007D47AD">
        <w:rPr>
          <w:rFonts w:asciiTheme="minorHAnsi" w:hAnsiTheme="minorHAnsi"/>
          <w:sz w:val="20"/>
          <w:szCs w:val="20"/>
          <w:lang w:val="en-US"/>
        </w:rPr>
        <w:t>f</w:t>
      </w:r>
      <w:r w:rsidRPr="007D47AD">
        <w:rPr>
          <w:rFonts w:asciiTheme="minorHAnsi" w:hAnsiTheme="minorHAnsi"/>
          <w:sz w:val="20"/>
          <w:szCs w:val="20"/>
          <w:lang w:val="en-US"/>
        </w:rPr>
        <w:t xml:space="preserve"> the right to personal liberty in the terms of Article </w:t>
      </w:r>
      <w:r w:rsidR="00A922AE" w:rsidRPr="007D47AD">
        <w:rPr>
          <w:rFonts w:asciiTheme="minorHAnsi" w:hAnsiTheme="minorHAnsi"/>
          <w:sz w:val="20"/>
          <w:szCs w:val="20"/>
          <w:lang w:val="en-US"/>
        </w:rPr>
        <w:t>7</w:t>
      </w:r>
      <w:r w:rsidRPr="007D47AD">
        <w:rPr>
          <w:rFonts w:asciiTheme="minorHAnsi" w:hAnsiTheme="minorHAnsi"/>
          <w:sz w:val="20"/>
          <w:szCs w:val="20"/>
          <w:lang w:val="en-US"/>
        </w:rPr>
        <w:t>(</w:t>
      </w:r>
      <w:r w:rsidR="00A922AE" w:rsidRPr="007D47AD">
        <w:rPr>
          <w:rFonts w:asciiTheme="minorHAnsi" w:hAnsiTheme="minorHAnsi"/>
          <w:sz w:val="20"/>
          <w:szCs w:val="20"/>
          <w:lang w:val="en-US"/>
        </w:rPr>
        <w:t>3</w:t>
      </w:r>
      <w:r w:rsidRPr="007D47AD">
        <w:rPr>
          <w:rFonts w:asciiTheme="minorHAnsi" w:hAnsiTheme="minorHAnsi"/>
          <w:sz w:val="20"/>
          <w:szCs w:val="20"/>
          <w:lang w:val="en-US"/>
        </w:rPr>
        <w:t xml:space="preserve">) of the </w:t>
      </w:r>
      <w:r w:rsidR="00A922AE" w:rsidRPr="007D47AD">
        <w:rPr>
          <w:rFonts w:asciiTheme="minorHAnsi" w:hAnsiTheme="minorHAnsi"/>
          <w:sz w:val="20"/>
          <w:szCs w:val="20"/>
          <w:lang w:val="en-US"/>
        </w:rPr>
        <w:t>American</w:t>
      </w:r>
      <w:r w:rsidRPr="007D47AD">
        <w:rPr>
          <w:rFonts w:asciiTheme="minorHAnsi" w:hAnsiTheme="minorHAnsi"/>
          <w:sz w:val="20"/>
          <w:szCs w:val="20"/>
          <w:lang w:val="en-US"/>
        </w:rPr>
        <w:t xml:space="preserve"> Convention</w:t>
      </w:r>
      <w:r w:rsidR="00A922AE" w:rsidRPr="007D47AD">
        <w:rPr>
          <w:rFonts w:asciiTheme="minorHAnsi" w:hAnsiTheme="minorHAnsi"/>
          <w:sz w:val="20"/>
          <w:szCs w:val="20"/>
          <w:vertAlign w:val="superscript"/>
          <w:lang w:val="en-US"/>
        </w:rPr>
        <w:footnoteReference w:id="366"/>
      </w:r>
      <w:r w:rsidR="00A922AE" w:rsidRPr="007D47AD">
        <w:rPr>
          <w:rFonts w:asciiTheme="minorHAnsi" w:hAnsiTheme="minorHAnsi"/>
          <w:sz w:val="20"/>
          <w:szCs w:val="20"/>
          <w:lang w:val="en-US"/>
        </w:rPr>
        <w:t xml:space="preserve">, </w:t>
      </w:r>
      <w:r w:rsidRPr="007D47AD">
        <w:rPr>
          <w:rFonts w:asciiTheme="minorHAnsi" w:hAnsiTheme="minorHAnsi"/>
          <w:sz w:val="20"/>
          <w:szCs w:val="20"/>
          <w:lang w:val="en-US"/>
        </w:rPr>
        <w:t xml:space="preserve">in addition to turning pretrial detention into </w:t>
      </w:r>
      <w:r w:rsidRPr="007D47AD">
        <w:rPr>
          <w:rFonts w:asciiTheme="minorHAnsi" w:hAnsiTheme="minorHAnsi"/>
          <w:sz w:val="20"/>
          <w:szCs w:val="20"/>
          <w:lang w:val="en-US"/>
        </w:rPr>
        <w:lastRenderedPageBreak/>
        <w:t>an anticipated prison sentence</w:t>
      </w:r>
      <w:r w:rsidR="00A922AE" w:rsidRPr="007D47AD">
        <w:rPr>
          <w:rFonts w:asciiTheme="minorHAnsi" w:hAnsiTheme="minorHAnsi"/>
          <w:sz w:val="20"/>
          <w:szCs w:val="20"/>
          <w:vertAlign w:val="superscript"/>
          <w:lang w:val="en-US"/>
        </w:rPr>
        <w:footnoteReference w:id="367"/>
      </w:r>
      <w:r w:rsidR="00A922AE" w:rsidRPr="007D47AD">
        <w:rPr>
          <w:rFonts w:asciiTheme="minorHAnsi" w:hAnsiTheme="minorHAnsi"/>
          <w:sz w:val="20"/>
          <w:szCs w:val="20"/>
          <w:lang w:val="en-US"/>
        </w:rPr>
        <w:t xml:space="preserve"> </w:t>
      </w:r>
      <w:r w:rsidRPr="007D47AD">
        <w:rPr>
          <w:rFonts w:asciiTheme="minorHAnsi" w:hAnsiTheme="minorHAnsi"/>
          <w:sz w:val="20"/>
          <w:szCs w:val="20"/>
          <w:lang w:val="en-US"/>
        </w:rPr>
        <w:t xml:space="preserve">that entails </w:t>
      </w:r>
      <w:r w:rsidR="00236412" w:rsidRPr="007D47AD">
        <w:rPr>
          <w:rFonts w:asciiTheme="minorHAnsi" w:hAnsiTheme="minorHAnsi"/>
          <w:sz w:val="20"/>
          <w:szCs w:val="20"/>
          <w:lang w:val="en-US"/>
        </w:rPr>
        <w:t xml:space="preserve">the </w:t>
      </w:r>
      <w:r w:rsidRPr="007D47AD">
        <w:rPr>
          <w:rFonts w:asciiTheme="minorHAnsi" w:hAnsiTheme="minorHAnsi"/>
          <w:sz w:val="20"/>
          <w:szCs w:val="20"/>
          <w:lang w:val="en-US"/>
        </w:rPr>
        <w:t xml:space="preserve">illegitimate interference of the </w:t>
      </w:r>
      <w:r w:rsidR="00A922AE" w:rsidRPr="007D47AD">
        <w:rPr>
          <w:rFonts w:asciiTheme="minorHAnsi" w:hAnsiTheme="minorHAnsi"/>
          <w:sz w:val="20"/>
          <w:szCs w:val="20"/>
          <w:lang w:val="en-US"/>
        </w:rPr>
        <w:t>legisla</w:t>
      </w:r>
      <w:r w:rsidRPr="007D47AD">
        <w:rPr>
          <w:rFonts w:asciiTheme="minorHAnsi" w:hAnsiTheme="minorHAnsi"/>
          <w:sz w:val="20"/>
          <w:szCs w:val="20"/>
          <w:lang w:val="en-US"/>
        </w:rPr>
        <w:t>t</w:t>
      </w:r>
      <w:r w:rsidR="00A922AE" w:rsidRPr="007D47AD">
        <w:rPr>
          <w:rFonts w:asciiTheme="minorHAnsi" w:hAnsiTheme="minorHAnsi"/>
          <w:sz w:val="20"/>
          <w:szCs w:val="20"/>
          <w:lang w:val="en-US"/>
        </w:rPr>
        <w:t xml:space="preserve">or </w:t>
      </w:r>
      <w:r w:rsidRPr="007D47AD">
        <w:rPr>
          <w:rFonts w:asciiTheme="minorHAnsi" w:hAnsiTheme="minorHAnsi"/>
          <w:sz w:val="20"/>
          <w:szCs w:val="20"/>
          <w:lang w:val="en-US"/>
        </w:rPr>
        <w:t xml:space="preserve">in the </w:t>
      </w:r>
      <w:r w:rsidR="00236412" w:rsidRPr="007D47AD">
        <w:rPr>
          <w:rFonts w:asciiTheme="minorHAnsi" w:hAnsiTheme="minorHAnsi"/>
          <w:sz w:val="20"/>
          <w:szCs w:val="20"/>
          <w:lang w:val="en-US"/>
        </w:rPr>
        <w:t xml:space="preserve">powers to weigh and decide </w:t>
      </w:r>
      <w:r w:rsidRPr="007D47AD">
        <w:rPr>
          <w:rFonts w:asciiTheme="minorHAnsi" w:hAnsiTheme="minorHAnsi"/>
          <w:sz w:val="20"/>
          <w:szCs w:val="20"/>
          <w:lang w:val="en-US"/>
        </w:rPr>
        <w:t>that vest in the judicial authority.</w:t>
      </w:r>
      <w:r w:rsidR="00A922AE" w:rsidRPr="007D47AD">
        <w:rPr>
          <w:rFonts w:asciiTheme="minorHAnsi" w:hAnsiTheme="minorHAnsi"/>
          <w:sz w:val="20"/>
          <w:szCs w:val="20"/>
          <w:vertAlign w:val="superscript"/>
          <w:lang w:val="en-US"/>
        </w:rPr>
        <w:footnoteReference w:id="368"/>
      </w:r>
      <w:r w:rsidR="00A922AE" w:rsidRPr="007D47AD">
        <w:rPr>
          <w:rFonts w:asciiTheme="minorHAnsi" w:hAnsiTheme="minorHAnsi"/>
          <w:sz w:val="20"/>
          <w:szCs w:val="20"/>
          <w:lang w:val="en-US"/>
        </w:rPr>
        <w:t xml:space="preserve"> </w:t>
      </w:r>
      <w:r w:rsidR="0045706A" w:rsidRPr="007D47AD">
        <w:rPr>
          <w:rFonts w:asciiTheme="minorHAnsi" w:hAnsiTheme="minorHAnsi"/>
          <w:sz w:val="20"/>
          <w:szCs w:val="20"/>
          <w:lang w:val="en-US"/>
        </w:rPr>
        <w:t xml:space="preserve">For the pretrial detention regime to be </w:t>
      </w:r>
      <w:r w:rsidR="00A922AE" w:rsidRPr="007D47AD">
        <w:rPr>
          <w:rFonts w:asciiTheme="minorHAnsi" w:hAnsiTheme="minorHAnsi"/>
          <w:sz w:val="20"/>
          <w:szCs w:val="20"/>
          <w:lang w:val="en-US"/>
        </w:rPr>
        <w:t xml:space="preserve">compatible </w:t>
      </w:r>
      <w:r w:rsidR="0045706A" w:rsidRPr="007D47AD">
        <w:rPr>
          <w:rFonts w:asciiTheme="minorHAnsi" w:hAnsiTheme="minorHAnsi"/>
          <w:sz w:val="20"/>
          <w:szCs w:val="20"/>
          <w:lang w:val="en-US"/>
        </w:rPr>
        <w:t xml:space="preserve">with the relevant international standards, its application must be based on the consideration of the right to the presumption of innocence, </w:t>
      </w:r>
      <w:r w:rsidR="00236412" w:rsidRPr="007D47AD">
        <w:rPr>
          <w:rFonts w:asciiTheme="minorHAnsi" w:hAnsiTheme="minorHAnsi"/>
          <w:sz w:val="20"/>
          <w:szCs w:val="20"/>
          <w:lang w:val="en-US"/>
        </w:rPr>
        <w:t xml:space="preserve">it must </w:t>
      </w:r>
      <w:r w:rsidR="0045706A" w:rsidRPr="007D47AD">
        <w:rPr>
          <w:rFonts w:asciiTheme="minorHAnsi" w:hAnsiTheme="minorHAnsi"/>
          <w:sz w:val="20"/>
          <w:szCs w:val="20"/>
          <w:lang w:val="en-US"/>
        </w:rPr>
        <w:t xml:space="preserve">take into account its exceptional nature, and </w:t>
      </w:r>
      <w:r w:rsidR="00236412" w:rsidRPr="007D47AD">
        <w:rPr>
          <w:rFonts w:asciiTheme="minorHAnsi" w:hAnsiTheme="minorHAnsi"/>
          <w:sz w:val="20"/>
          <w:szCs w:val="20"/>
          <w:lang w:val="en-US"/>
        </w:rPr>
        <w:t xml:space="preserve">it must </w:t>
      </w:r>
      <w:r w:rsidR="0045706A" w:rsidRPr="007D47AD">
        <w:rPr>
          <w:rFonts w:asciiTheme="minorHAnsi" w:hAnsiTheme="minorHAnsi"/>
          <w:sz w:val="20"/>
          <w:szCs w:val="20"/>
          <w:lang w:val="en-US"/>
        </w:rPr>
        <w:t>be governed by the principles of legality, necessity, and proportionality. In this regard, the Commission reiterates that the deprivation of liberty of the person accused should be only procedural in nature, and, accordingly, a foundation can only be laid for it if it is to reasonabl</w:t>
      </w:r>
      <w:r w:rsidR="00236412" w:rsidRPr="007D47AD">
        <w:rPr>
          <w:rFonts w:asciiTheme="minorHAnsi" w:hAnsiTheme="minorHAnsi"/>
          <w:sz w:val="20"/>
          <w:szCs w:val="20"/>
          <w:lang w:val="en-US"/>
        </w:rPr>
        <w:t>y</w:t>
      </w:r>
      <w:r w:rsidR="0045706A" w:rsidRPr="007D47AD">
        <w:rPr>
          <w:rFonts w:asciiTheme="minorHAnsi" w:hAnsiTheme="minorHAnsi"/>
          <w:sz w:val="20"/>
          <w:szCs w:val="20"/>
          <w:lang w:val="en-US"/>
        </w:rPr>
        <w:t xml:space="preserve"> avoid the danger of flight or </w:t>
      </w:r>
      <w:r w:rsidR="00E21775" w:rsidRPr="007D47AD">
        <w:rPr>
          <w:rFonts w:asciiTheme="minorHAnsi" w:hAnsiTheme="minorHAnsi"/>
          <w:sz w:val="20"/>
          <w:szCs w:val="20"/>
          <w:lang w:val="en-US"/>
        </w:rPr>
        <w:t>keep the investigations from being thwarted.</w:t>
      </w:r>
      <w:r w:rsidR="00A922AE" w:rsidRPr="007D47AD">
        <w:rPr>
          <w:rFonts w:asciiTheme="minorHAnsi" w:hAnsiTheme="minorHAnsi"/>
          <w:sz w:val="20"/>
          <w:szCs w:val="20"/>
          <w:vertAlign w:val="superscript"/>
          <w:lang w:val="en-US"/>
        </w:rPr>
        <w:footnoteReference w:id="369"/>
      </w:r>
    </w:p>
    <w:p w:rsidR="00A922AE" w:rsidRPr="007D47AD" w:rsidRDefault="00FA3EA2" w:rsidP="00857591">
      <w:pPr>
        <w:numPr>
          <w:ilvl w:val="0"/>
          <w:numId w:val="6"/>
        </w:numPr>
        <w:shd w:val="clear" w:color="auto" w:fill="FFFFFF"/>
        <w:spacing w:after="240" w:line="240" w:lineRule="auto"/>
        <w:ind w:left="0" w:firstLine="720"/>
        <w:jc w:val="both"/>
        <w:rPr>
          <w:rFonts w:asciiTheme="minorHAnsi" w:hAnsiTheme="minorHAnsi"/>
          <w:sz w:val="20"/>
          <w:szCs w:val="20"/>
          <w:lang w:val="en-US"/>
        </w:rPr>
      </w:pPr>
      <w:r w:rsidRPr="007D47AD">
        <w:rPr>
          <w:rFonts w:asciiTheme="minorHAnsi" w:hAnsiTheme="minorHAnsi"/>
          <w:sz w:val="20"/>
          <w:szCs w:val="20"/>
          <w:lang w:val="en-US"/>
        </w:rPr>
        <w:t xml:space="preserve">In this context the Commission reiterates the call made by the Mexican State for the respective legislative organs to  </w:t>
      </w:r>
      <w:r w:rsidR="00236412" w:rsidRPr="007D47AD">
        <w:rPr>
          <w:rFonts w:asciiTheme="minorHAnsi" w:hAnsiTheme="minorHAnsi"/>
          <w:sz w:val="20"/>
          <w:szCs w:val="20"/>
          <w:lang w:val="en-US"/>
        </w:rPr>
        <w:t>e</w:t>
      </w:r>
      <w:r w:rsidRPr="007D47AD">
        <w:rPr>
          <w:rFonts w:asciiTheme="minorHAnsi" w:hAnsiTheme="minorHAnsi"/>
          <w:sz w:val="20"/>
          <w:szCs w:val="20"/>
          <w:lang w:val="en-US"/>
        </w:rPr>
        <w:t>nsure that any constitutional reform is in line with inter-American standards on the matter and that the principle of the presumption of innocence is respected, as it constitutes a most element</w:t>
      </w:r>
      <w:r w:rsidR="00236412" w:rsidRPr="007D47AD">
        <w:rPr>
          <w:rFonts w:asciiTheme="minorHAnsi" w:hAnsiTheme="minorHAnsi"/>
          <w:sz w:val="20"/>
          <w:szCs w:val="20"/>
          <w:lang w:val="en-US"/>
        </w:rPr>
        <w:t>al</w:t>
      </w:r>
      <w:r w:rsidRPr="007D47AD">
        <w:rPr>
          <w:rFonts w:asciiTheme="minorHAnsi" w:hAnsiTheme="minorHAnsi"/>
          <w:sz w:val="20"/>
          <w:szCs w:val="20"/>
          <w:lang w:val="en-US"/>
        </w:rPr>
        <w:t xml:space="preserve"> judicial guarantee in criminal matters and is expressly recognized by various international human rights instruments.</w:t>
      </w:r>
      <w:r w:rsidR="00A922AE" w:rsidRPr="007D47AD">
        <w:rPr>
          <w:rFonts w:asciiTheme="minorHAnsi" w:hAnsiTheme="minorHAnsi"/>
          <w:sz w:val="20"/>
          <w:szCs w:val="20"/>
          <w:vertAlign w:val="superscript"/>
          <w:lang w:val="en-US"/>
        </w:rPr>
        <w:footnoteReference w:id="370"/>
      </w:r>
      <w:r w:rsidR="00A922AE" w:rsidRPr="007D47AD">
        <w:rPr>
          <w:rFonts w:asciiTheme="minorHAnsi" w:hAnsiTheme="minorHAnsi"/>
          <w:sz w:val="20"/>
          <w:szCs w:val="20"/>
          <w:lang w:val="en-US"/>
        </w:rPr>
        <w:t xml:space="preserve"> </w:t>
      </w:r>
      <w:r w:rsidR="00857591" w:rsidRPr="007D47AD">
        <w:rPr>
          <w:rFonts w:asciiTheme="minorHAnsi" w:hAnsiTheme="minorHAnsi"/>
          <w:sz w:val="20"/>
          <w:szCs w:val="20"/>
          <w:lang w:val="en-US"/>
        </w:rPr>
        <w:t xml:space="preserve">For this reason, and in harmony with what was recommended by other United Nations bodies, the Commission reiterates its appeal to the State to eliminate the </w:t>
      </w:r>
      <w:r w:rsidR="004E08FB" w:rsidRPr="007D47AD">
        <w:rPr>
          <w:rFonts w:asciiTheme="minorHAnsi" w:hAnsiTheme="minorHAnsi"/>
          <w:sz w:val="20"/>
          <w:szCs w:val="20"/>
          <w:lang w:val="en-US"/>
        </w:rPr>
        <w:t xml:space="preserve">prohibition on release for </w:t>
      </w:r>
      <w:r w:rsidR="00857591" w:rsidRPr="007D47AD">
        <w:rPr>
          <w:rFonts w:asciiTheme="minorHAnsi" w:hAnsiTheme="minorHAnsi"/>
          <w:sz w:val="20"/>
          <w:szCs w:val="20"/>
          <w:lang w:val="en-US"/>
        </w:rPr>
        <w:t xml:space="preserve">the crimes provided for in the second paragraph of Article </w:t>
      </w:r>
      <w:r w:rsidR="00A922AE" w:rsidRPr="007D47AD">
        <w:rPr>
          <w:rFonts w:asciiTheme="minorHAnsi" w:hAnsiTheme="minorHAnsi"/>
          <w:sz w:val="20"/>
          <w:szCs w:val="20"/>
          <w:lang w:val="en-US"/>
        </w:rPr>
        <w:t xml:space="preserve">19 </w:t>
      </w:r>
      <w:r w:rsidR="00857591" w:rsidRPr="007D47AD">
        <w:rPr>
          <w:rFonts w:asciiTheme="minorHAnsi" w:hAnsiTheme="minorHAnsi"/>
          <w:sz w:val="20"/>
          <w:szCs w:val="20"/>
          <w:lang w:val="en-US"/>
        </w:rPr>
        <w:t>of the Constitution.</w:t>
      </w:r>
      <w:r w:rsidR="00A922AE" w:rsidRPr="007D47AD">
        <w:rPr>
          <w:rFonts w:asciiTheme="minorHAnsi" w:hAnsiTheme="minorHAnsi"/>
          <w:sz w:val="20"/>
          <w:szCs w:val="20"/>
          <w:vertAlign w:val="superscript"/>
          <w:lang w:val="en-US"/>
        </w:rPr>
        <w:footnoteReference w:id="371"/>
      </w:r>
      <w:r w:rsidR="00857591" w:rsidRPr="007D47AD">
        <w:rPr>
          <w:rFonts w:asciiTheme="minorHAnsi" w:hAnsiTheme="minorHAnsi"/>
          <w:sz w:val="20"/>
          <w:szCs w:val="20"/>
          <w:lang w:val="en-US"/>
        </w:rPr>
        <w:t xml:space="preserve"> Based on the foregoing, the IACHR observes that the recommendation has not yet </w:t>
      </w:r>
      <w:r w:rsidR="004D25BB" w:rsidRPr="007D47AD">
        <w:rPr>
          <w:rFonts w:asciiTheme="minorHAnsi" w:hAnsiTheme="minorHAnsi"/>
          <w:sz w:val="20"/>
          <w:szCs w:val="20"/>
          <w:lang w:val="en-US"/>
        </w:rPr>
        <w:t>met with compliance</w:t>
      </w:r>
      <w:r w:rsidR="00857591" w:rsidRPr="007D47AD">
        <w:rPr>
          <w:rFonts w:asciiTheme="minorHAnsi" w:hAnsiTheme="minorHAnsi"/>
          <w:sz w:val="20"/>
          <w:szCs w:val="20"/>
          <w:lang w:val="en-US"/>
        </w:rPr>
        <w:t xml:space="preserve">. </w:t>
      </w:r>
    </w:p>
    <w:p w:rsidR="00A922AE" w:rsidRPr="007D47AD" w:rsidRDefault="00857591" w:rsidP="00857591">
      <w:pPr>
        <w:numPr>
          <w:ilvl w:val="0"/>
          <w:numId w:val="6"/>
        </w:numPr>
        <w:shd w:val="clear" w:color="auto" w:fill="FFFFFF"/>
        <w:spacing w:after="240" w:line="240" w:lineRule="auto"/>
        <w:ind w:left="0" w:firstLine="720"/>
        <w:jc w:val="both"/>
        <w:rPr>
          <w:rFonts w:asciiTheme="minorHAnsi" w:hAnsiTheme="minorHAnsi"/>
          <w:sz w:val="20"/>
          <w:szCs w:val="20"/>
          <w:lang w:val="en-US"/>
        </w:rPr>
      </w:pPr>
      <w:r w:rsidRPr="007D47AD">
        <w:rPr>
          <w:rFonts w:asciiTheme="minorHAnsi" w:hAnsiTheme="minorHAnsi"/>
          <w:sz w:val="20"/>
          <w:szCs w:val="20"/>
          <w:lang w:val="en-US"/>
        </w:rPr>
        <w:t xml:space="preserve">As for the recommendation on </w:t>
      </w:r>
      <w:r w:rsidR="00A922AE" w:rsidRPr="007D47AD">
        <w:rPr>
          <w:rFonts w:asciiTheme="minorHAnsi" w:hAnsiTheme="minorHAnsi"/>
          <w:b/>
          <w:color w:val="222222"/>
          <w:sz w:val="20"/>
          <w:szCs w:val="20"/>
          <w:lang w:val="en-US"/>
        </w:rPr>
        <w:t>adopt</w:t>
      </w:r>
      <w:r w:rsidRPr="007D47AD">
        <w:rPr>
          <w:rFonts w:asciiTheme="minorHAnsi" w:hAnsiTheme="minorHAnsi"/>
          <w:b/>
          <w:color w:val="222222"/>
          <w:sz w:val="20"/>
          <w:szCs w:val="20"/>
          <w:lang w:val="en-US"/>
        </w:rPr>
        <w:t>ing all measures necessary to guarantee a strategy of social reinsertion</w:t>
      </w:r>
      <w:r w:rsidR="00A922AE" w:rsidRPr="007D47AD">
        <w:rPr>
          <w:rFonts w:asciiTheme="minorHAnsi" w:hAnsiTheme="minorHAnsi"/>
          <w:color w:val="222222"/>
          <w:sz w:val="20"/>
          <w:szCs w:val="20"/>
          <w:lang w:val="en-US"/>
        </w:rPr>
        <w:t xml:space="preserve">, </w:t>
      </w:r>
      <w:r w:rsidRPr="007D47AD">
        <w:rPr>
          <w:rFonts w:asciiTheme="minorHAnsi" w:hAnsiTheme="minorHAnsi"/>
          <w:color w:val="222222"/>
          <w:sz w:val="20"/>
          <w:szCs w:val="20"/>
          <w:lang w:val="en-US"/>
        </w:rPr>
        <w:t>the State reported generally th</w:t>
      </w:r>
      <w:r w:rsidR="004D25BB" w:rsidRPr="007D47AD">
        <w:rPr>
          <w:rFonts w:asciiTheme="minorHAnsi" w:hAnsiTheme="minorHAnsi"/>
          <w:color w:val="222222"/>
          <w:sz w:val="20"/>
          <w:szCs w:val="20"/>
          <w:lang w:val="en-US"/>
        </w:rPr>
        <w:t>a</w:t>
      </w:r>
      <w:r w:rsidRPr="007D47AD">
        <w:rPr>
          <w:rFonts w:asciiTheme="minorHAnsi" w:hAnsiTheme="minorHAnsi"/>
          <w:color w:val="222222"/>
          <w:sz w:val="20"/>
          <w:szCs w:val="20"/>
          <w:lang w:val="en-US"/>
        </w:rPr>
        <w:t>t the Federal Penitentiary System promotes the integration of persons deprived of liberty with disabilities, and other vulnerable groups</w:t>
      </w:r>
      <w:r w:rsidR="004D25BB" w:rsidRPr="007D47AD">
        <w:rPr>
          <w:rFonts w:asciiTheme="minorHAnsi" w:hAnsiTheme="minorHAnsi"/>
          <w:color w:val="222222"/>
          <w:sz w:val="20"/>
          <w:szCs w:val="20"/>
          <w:lang w:val="en-US"/>
        </w:rPr>
        <w:t>,</w:t>
      </w:r>
      <w:r w:rsidRPr="007D47AD">
        <w:rPr>
          <w:rFonts w:asciiTheme="minorHAnsi" w:hAnsiTheme="minorHAnsi"/>
          <w:color w:val="222222"/>
          <w:sz w:val="20"/>
          <w:szCs w:val="20"/>
          <w:lang w:val="en-US"/>
        </w:rPr>
        <w:t xml:space="preserve"> in education</w:t>
      </w:r>
      <w:r w:rsidR="004D25BB" w:rsidRPr="007D47AD">
        <w:rPr>
          <w:rFonts w:asciiTheme="minorHAnsi" w:hAnsiTheme="minorHAnsi"/>
          <w:color w:val="222222"/>
          <w:sz w:val="20"/>
          <w:szCs w:val="20"/>
          <w:lang w:val="en-US"/>
        </w:rPr>
        <w:t>al</w:t>
      </w:r>
      <w:r w:rsidRPr="007D47AD">
        <w:rPr>
          <w:rFonts w:asciiTheme="minorHAnsi" w:hAnsiTheme="minorHAnsi"/>
          <w:color w:val="222222"/>
          <w:sz w:val="20"/>
          <w:szCs w:val="20"/>
          <w:lang w:val="en-US"/>
        </w:rPr>
        <w:t xml:space="preserve">, cultural, sports, job training, and work programs based on motor skills, needs, and capacities. In addition, the State also indicated that according to the “Integral Model of Social Reinsertion” the work to </w:t>
      </w:r>
      <w:r w:rsidR="00AC6D1D" w:rsidRPr="007D47AD">
        <w:rPr>
          <w:rFonts w:asciiTheme="minorHAnsi" w:hAnsiTheme="minorHAnsi"/>
          <w:color w:val="222222"/>
          <w:sz w:val="20"/>
          <w:szCs w:val="20"/>
          <w:lang w:val="en-US"/>
        </w:rPr>
        <w:t xml:space="preserve">place </w:t>
      </w:r>
      <w:r w:rsidRPr="007D47AD">
        <w:rPr>
          <w:rFonts w:asciiTheme="minorHAnsi" w:hAnsiTheme="minorHAnsi"/>
          <w:color w:val="222222"/>
          <w:sz w:val="20"/>
          <w:szCs w:val="20"/>
          <w:lang w:val="en-US"/>
        </w:rPr>
        <w:t>persons deprived of liberty is done in keeping with objective criteria.</w:t>
      </w:r>
      <w:r w:rsidR="00A922AE" w:rsidRPr="007D47AD">
        <w:rPr>
          <w:rStyle w:val="FootnoteReference"/>
          <w:rFonts w:asciiTheme="minorHAnsi" w:hAnsiTheme="minorHAnsi"/>
          <w:color w:val="222222"/>
          <w:sz w:val="20"/>
          <w:szCs w:val="20"/>
          <w:lang w:val="en-US"/>
        </w:rPr>
        <w:footnoteReference w:id="372"/>
      </w:r>
      <w:r w:rsidR="00A922AE" w:rsidRPr="007D47AD">
        <w:rPr>
          <w:rFonts w:asciiTheme="minorHAnsi" w:hAnsiTheme="minorHAnsi"/>
          <w:color w:val="222222"/>
          <w:sz w:val="20"/>
          <w:szCs w:val="20"/>
          <w:lang w:val="en-US"/>
        </w:rPr>
        <w:t xml:space="preserve"> </w:t>
      </w:r>
      <w:r w:rsidRPr="007D47AD">
        <w:rPr>
          <w:rFonts w:asciiTheme="minorHAnsi" w:hAnsiTheme="minorHAnsi"/>
          <w:color w:val="222222"/>
          <w:sz w:val="20"/>
          <w:szCs w:val="20"/>
          <w:lang w:val="en-US"/>
        </w:rPr>
        <w:t>In this same vein, it indicat</w:t>
      </w:r>
      <w:r w:rsidR="00AC6D1D" w:rsidRPr="007D47AD">
        <w:rPr>
          <w:rFonts w:asciiTheme="minorHAnsi" w:hAnsiTheme="minorHAnsi"/>
          <w:color w:val="222222"/>
          <w:sz w:val="20"/>
          <w:szCs w:val="20"/>
          <w:lang w:val="en-US"/>
        </w:rPr>
        <w:t>e</w:t>
      </w:r>
      <w:r w:rsidRPr="007D47AD">
        <w:rPr>
          <w:rFonts w:asciiTheme="minorHAnsi" w:hAnsiTheme="minorHAnsi"/>
          <w:color w:val="222222"/>
          <w:sz w:val="20"/>
          <w:szCs w:val="20"/>
          <w:lang w:val="en-US"/>
        </w:rPr>
        <w:t>d that the Federal Penitentiary System provides technical services in the area</w:t>
      </w:r>
      <w:r w:rsidR="00AC6D1D" w:rsidRPr="007D47AD">
        <w:rPr>
          <w:rFonts w:asciiTheme="minorHAnsi" w:hAnsiTheme="minorHAnsi"/>
          <w:color w:val="222222"/>
          <w:sz w:val="20"/>
          <w:szCs w:val="20"/>
          <w:lang w:val="en-US"/>
        </w:rPr>
        <w:t>s</w:t>
      </w:r>
      <w:r w:rsidRPr="007D47AD">
        <w:rPr>
          <w:rFonts w:asciiTheme="minorHAnsi" w:hAnsiTheme="minorHAnsi"/>
          <w:color w:val="222222"/>
          <w:sz w:val="20"/>
          <w:szCs w:val="20"/>
          <w:lang w:val="en-US"/>
        </w:rPr>
        <w:t xml:space="preserve"> of physical health, psychological health, and social work for connect</w:t>
      </w:r>
      <w:r w:rsidR="00AC6D1D" w:rsidRPr="007D47AD">
        <w:rPr>
          <w:rFonts w:asciiTheme="minorHAnsi" w:hAnsiTheme="minorHAnsi"/>
          <w:color w:val="222222"/>
          <w:sz w:val="20"/>
          <w:szCs w:val="20"/>
          <w:lang w:val="en-US"/>
        </w:rPr>
        <w:t>ing</w:t>
      </w:r>
      <w:r w:rsidRPr="007D47AD">
        <w:rPr>
          <w:rFonts w:asciiTheme="minorHAnsi" w:hAnsiTheme="minorHAnsi"/>
          <w:color w:val="222222"/>
          <w:sz w:val="20"/>
          <w:szCs w:val="20"/>
          <w:lang w:val="en-US"/>
        </w:rPr>
        <w:t xml:space="preserve"> with soci</w:t>
      </w:r>
      <w:r w:rsidR="004D25BB" w:rsidRPr="007D47AD">
        <w:rPr>
          <w:rFonts w:asciiTheme="minorHAnsi" w:hAnsiTheme="minorHAnsi"/>
          <w:color w:val="222222"/>
          <w:sz w:val="20"/>
          <w:szCs w:val="20"/>
          <w:lang w:val="en-US"/>
        </w:rPr>
        <w:t>ety</w:t>
      </w:r>
      <w:r w:rsidR="00AC6D1D" w:rsidRPr="007D47AD">
        <w:rPr>
          <w:rFonts w:asciiTheme="minorHAnsi" w:hAnsiTheme="minorHAnsi"/>
          <w:color w:val="222222"/>
          <w:sz w:val="20"/>
          <w:szCs w:val="20"/>
          <w:lang w:val="en-US"/>
        </w:rPr>
        <w:t>, to which end</w:t>
      </w:r>
      <w:r w:rsidRPr="007D47AD">
        <w:rPr>
          <w:rFonts w:asciiTheme="minorHAnsi" w:hAnsiTheme="minorHAnsi"/>
          <w:color w:val="222222"/>
          <w:sz w:val="20"/>
          <w:szCs w:val="20"/>
          <w:lang w:val="en-US"/>
        </w:rPr>
        <w:t xml:space="preserve"> it </w:t>
      </w:r>
      <w:r w:rsidR="00AC6D1D" w:rsidRPr="007D47AD">
        <w:rPr>
          <w:rFonts w:asciiTheme="minorHAnsi" w:hAnsiTheme="minorHAnsi"/>
          <w:color w:val="222222"/>
          <w:sz w:val="20"/>
          <w:szCs w:val="20"/>
          <w:lang w:val="en-US"/>
        </w:rPr>
        <w:t xml:space="preserve">holds </w:t>
      </w:r>
      <w:r w:rsidRPr="007D47AD">
        <w:rPr>
          <w:rFonts w:asciiTheme="minorHAnsi" w:hAnsiTheme="minorHAnsi"/>
          <w:color w:val="222222"/>
          <w:sz w:val="20"/>
          <w:szCs w:val="20"/>
          <w:lang w:val="en-US"/>
        </w:rPr>
        <w:t>events focused on promoting family</w:t>
      </w:r>
      <w:r w:rsidR="004535AF" w:rsidRPr="007D47AD">
        <w:rPr>
          <w:rFonts w:asciiTheme="minorHAnsi" w:hAnsiTheme="minorHAnsi"/>
          <w:color w:val="222222"/>
          <w:sz w:val="20"/>
          <w:szCs w:val="20"/>
          <w:lang w:val="en-US"/>
        </w:rPr>
        <w:t xml:space="preserve"> unity between persons locked </w:t>
      </w:r>
      <w:r w:rsidRPr="007D47AD">
        <w:rPr>
          <w:rFonts w:asciiTheme="minorHAnsi" w:hAnsiTheme="minorHAnsi"/>
          <w:color w:val="222222"/>
          <w:sz w:val="20"/>
          <w:szCs w:val="20"/>
          <w:lang w:val="en-US"/>
        </w:rPr>
        <w:t>p and their families.</w:t>
      </w:r>
      <w:r w:rsidR="00A922AE" w:rsidRPr="007D47AD">
        <w:rPr>
          <w:rStyle w:val="FootnoteReference"/>
          <w:rFonts w:asciiTheme="minorHAnsi" w:hAnsiTheme="minorHAnsi"/>
          <w:color w:val="222222"/>
          <w:sz w:val="20"/>
          <w:szCs w:val="20"/>
          <w:lang w:val="en-US"/>
        </w:rPr>
        <w:footnoteReference w:id="373"/>
      </w:r>
      <w:r w:rsidR="00C975C7" w:rsidRPr="007D47AD">
        <w:rPr>
          <w:rFonts w:asciiTheme="minorHAnsi" w:hAnsiTheme="minorHAnsi"/>
          <w:color w:val="222222"/>
          <w:sz w:val="20"/>
          <w:szCs w:val="20"/>
          <w:lang w:val="en-US"/>
        </w:rPr>
        <w:t xml:space="preserve"> </w:t>
      </w:r>
    </w:p>
    <w:p w:rsidR="00A922AE" w:rsidRPr="007D47AD" w:rsidRDefault="00857591" w:rsidP="004535AF">
      <w:pPr>
        <w:numPr>
          <w:ilvl w:val="0"/>
          <w:numId w:val="6"/>
        </w:numPr>
        <w:shd w:val="clear" w:color="auto" w:fill="FFFFFF"/>
        <w:spacing w:after="0" w:line="240" w:lineRule="auto"/>
        <w:ind w:left="0" w:firstLine="709"/>
        <w:jc w:val="both"/>
        <w:rPr>
          <w:rFonts w:asciiTheme="minorHAnsi" w:hAnsiTheme="minorHAnsi" w:cs="Cambria"/>
          <w:color w:val="000000"/>
          <w:sz w:val="20"/>
          <w:szCs w:val="20"/>
          <w:lang w:val="en-US"/>
        </w:rPr>
      </w:pPr>
      <w:r w:rsidRPr="007D47AD">
        <w:rPr>
          <w:rFonts w:asciiTheme="minorHAnsi" w:hAnsiTheme="minorHAnsi"/>
          <w:color w:val="222222"/>
          <w:sz w:val="20"/>
          <w:szCs w:val="20"/>
          <w:lang w:val="en-US"/>
        </w:rPr>
        <w:t xml:space="preserve">Without prejudice to the foregoing, the IACHR notes that the </w:t>
      </w:r>
      <w:r w:rsidR="00A922AE" w:rsidRPr="007D47AD">
        <w:rPr>
          <w:rFonts w:asciiTheme="minorHAnsi" w:hAnsiTheme="minorHAnsi"/>
          <w:color w:val="222222"/>
          <w:sz w:val="20"/>
          <w:szCs w:val="20"/>
          <w:lang w:val="en-US"/>
        </w:rPr>
        <w:t xml:space="preserve">CNDH </w:t>
      </w:r>
      <w:r w:rsidRPr="007D47AD">
        <w:rPr>
          <w:rFonts w:asciiTheme="minorHAnsi" w:hAnsiTheme="minorHAnsi"/>
          <w:color w:val="222222"/>
          <w:sz w:val="20"/>
          <w:szCs w:val="20"/>
          <w:lang w:val="en-US"/>
        </w:rPr>
        <w:t xml:space="preserve">published three documents related to </w:t>
      </w:r>
      <w:r w:rsidR="004D25BB" w:rsidRPr="007D47AD">
        <w:rPr>
          <w:rFonts w:asciiTheme="minorHAnsi" w:hAnsiTheme="minorHAnsi"/>
          <w:color w:val="222222"/>
          <w:sz w:val="20"/>
          <w:szCs w:val="20"/>
          <w:lang w:val="en-US"/>
        </w:rPr>
        <w:t xml:space="preserve">the </w:t>
      </w:r>
      <w:r w:rsidRPr="007D47AD">
        <w:rPr>
          <w:rFonts w:asciiTheme="minorHAnsi" w:hAnsiTheme="minorHAnsi"/>
          <w:color w:val="222222"/>
          <w:sz w:val="20"/>
          <w:szCs w:val="20"/>
          <w:lang w:val="en-US"/>
        </w:rPr>
        <w:t xml:space="preserve">prison system and social reinsertion: </w:t>
      </w:r>
      <w:r w:rsidR="00A922AE" w:rsidRPr="007D47AD">
        <w:rPr>
          <w:rFonts w:asciiTheme="minorHAnsi" w:hAnsiTheme="minorHAnsi"/>
          <w:color w:val="222222"/>
          <w:sz w:val="20"/>
          <w:szCs w:val="20"/>
          <w:lang w:val="en-US"/>
        </w:rPr>
        <w:t>“</w:t>
      </w:r>
      <w:r w:rsidRPr="007D47AD">
        <w:rPr>
          <w:rFonts w:asciiTheme="minorHAnsi" w:hAnsiTheme="minorHAnsi"/>
          <w:color w:val="222222"/>
          <w:sz w:val="20"/>
          <w:szCs w:val="20"/>
          <w:lang w:val="en-US"/>
        </w:rPr>
        <w:t>A model fo</w:t>
      </w:r>
      <w:r w:rsidR="004D25BB" w:rsidRPr="007D47AD">
        <w:rPr>
          <w:rFonts w:asciiTheme="minorHAnsi" w:hAnsiTheme="minorHAnsi"/>
          <w:color w:val="222222"/>
          <w:sz w:val="20"/>
          <w:szCs w:val="20"/>
          <w:lang w:val="en-US"/>
        </w:rPr>
        <w:t>r</w:t>
      </w:r>
      <w:r w:rsidRPr="007D47AD">
        <w:rPr>
          <w:rFonts w:asciiTheme="minorHAnsi" w:hAnsiTheme="minorHAnsi"/>
          <w:color w:val="222222"/>
          <w:sz w:val="20"/>
          <w:szCs w:val="20"/>
          <w:lang w:val="en-US"/>
        </w:rPr>
        <w:t xml:space="preserve"> social reinsertion</w:t>
      </w:r>
      <w:r w:rsidR="00A922AE" w:rsidRPr="007D47AD">
        <w:rPr>
          <w:rFonts w:asciiTheme="minorHAnsi" w:hAnsiTheme="minorHAnsi"/>
          <w:color w:val="222222"/>
          <w:sz w:val="20"/>
          <w:szCs w:val="20"/>
          <w:lang w:val="en-US"/>
        </w:rPr>
        <w:t>”</w:t>
      </w:r>
      <w:r w:rsidR="00A922AE" w:rsidRPr="007D47AD">
        <w:rPr>
          <w:rStyle w:val="FootnoteReference"/>
          <w:rFonts w:asciiTheme="minorHAnsi" w:hAnsiTheme="minorHAnsi"/>
          <w:color w:val="222222"/>
          <w:sz w:val="20"/>
          <w:szCs w:val="20"/>
          <w:lang w:val="en-US"/>
        </w:rPr>
        <w:footnoteReference w:id="374"/>
      </w:r>
      <w:r w:rsidR="0001152E" w:rsidRPr="007D47AD">
        <w:rPr>
          <w:rFonts w:asciiTheme="minorHAnsi" w:hAnsiTheme="minorHAnsi"/>
          <w:color w:val="222222"/>
          <w:sz w:val="20"/>
          <w:szCs w:val="20"/>
          <w:lang w:val="en-US"/>
        </w:rPr>
        <w:t xml:space="preserve">, </w:t>
      </w:r>
      <w:r w:rsidR="00A922AE" w:rsidRPr="007D47AD">
        <w:rPr>
          <w:rFonts w:asciiTheme="minorHAnsi" w:hAnsiTheme="minorHAnsi"/>
          <w:color w:val="222222"/>
          <w:sz w:val="20"/>
          <w:szCs w:val="20"/>
          <w:lang w:val="en-US"/>
        </w:rPr>
        <w:t>“</w:t>
      </w:r>
      <w:r w:rsidRPr="007D47AD">
        <w:rPr>
          <w:rFonts w:asciiTheme="minorHAnsi" w:hAnsiTheme="minorHAnsi"/>
          <w:color w:val="222222"/>
          <w:sz w:val="20"/>
          <w:szCs w:val="20"/>
          <w:lang w:val="en-US"/>
        </w:rPr>
        <w:t xml:space="preserve">A model </w:t>
      </w:r>
      <w:r w:rsidR="00543A09" w:rsidRPr="007D47AD">
        <w:rPr>
          <w:rFonts w:asciiTheme="minorHAnsi" w:hAnsiTheme="minorHAnsi"/>
          <w:color w:val="222222"/>
          <w:sz w:val="20"/>
          <w:szCs w:val="20"/>
          <w:lang w:val="en-US"/>
        </w:rPr>
        <w:t>o</w:t>
      </w:r>
      <w:r w:rsidRPr="007D47AD">
        <w:rPr>
          <w:rFonts w:asciiTheme="minorHAnsi" w:hAnsiTheme="minorHAnsi"/>
          <w:color w:val="222222"/>
          <w:sz w:val="20"/>
          <w:szCs w:val="20"/>
          <w:lang w:val="en-US"/>
        </w:rPr>
        <w:t xml:space="preserve">f </w:t>
      </w:r>
      <w:r w:rsidRPr="007D47AD">
        <w:rPr>
          <w:rFonts w:asciiTheme="minorHAnsi" w:hAnsiTheme="minorHAnsi"/>
          <w:color w:val="222222"/>
          <w:sz w:val="20"/>
          <w:szCs w:val="20"/>
          <w:lang w:val="en-US"/>
        </w:rPr>
        <w:lastRenderedPageBreak/>
        <w:t xml:space="preserve">post-prison </w:t>
      </w:r>
      <w:r w:rsidR="00543A09" w:rsidRPr="007D47AD">
        <w:rPr>
          <w:rFonts w:asciiTheme="minorHAnsi" w:hAnsiTheme="minorHAnsi"/>
          <w:color w:val="222222"/>
          <w:sz w:val="20"/>
          <w:szCs w:val="20"/>
          <w:lang w:val="en-US"/>
        </w:rPr>
        <w:t>care,”</w:t>
      </w:r>
      <w:r w:rsidR="00A922AE" w:rsidRPr="007D47AD">
        <w:rPr>
          <w:rStyle w:val="FootnoteReference"/>
          <w:rFonts w:asciiTheme="minorHAnsi" w:hAnsiTheme="minorHAnsi"/>
          <w:color w:val="222222"/>
          <w:sz w:val="20"/>
          <w:szCs w:val="20"/>
          <w:lang w:val="en-US"/>
        </w:rPr>
        <w:footnoteReference w:id="375"/>
      </w:r>
      <w:r w:rsidR="0001152E" w:rsidRPr="007D47AD">
        <w:rPr>
          <w:rFonts w:asciiTheme="minorHAnsi" w:hAnsiTheme="minorHAnsi"/>
          <w:color w:val="222222"/>
          <w:sz w:val="20"/>
          <w:szCs w:val="20"/>
          <w:lang w:val="en-US"/>
        </w:rPr>
        <w:t xml:space="preserve"> </w:t>
      </w:r>
      <w:r w:rsidR="00543A09" w:rsidRPr="007D47AD">
        <w:rPr>
          <w:rFonts w:asciiTheme="minorHAnsi" w:hAnsiTheme="minorHAnsi"/>
          <w:color w:val="222222"/>
          <w:sz w:val="20"/>
          <w:szCs w:val="20"/>
          <w:lang w:val="en-US"/>
        </w:rPr>
        <w:t xml:space="preserve">and </w:t>
      </w:r>
      <w:r w:rsidR="00A922AE" w:rsidRPr="007D47AD">
        <w:rPr>
          <w:rFonts w:asciiTheme="minorHAnsi" w:hAnsiTheme="minorHAnsi"/>
          <w:color w:val="222222"/>
          <w:sz w:val="20"/>
          <w:szCs w:val="20"/>
          <w:lang w:val="en-US"/>
        </w:rPr>
        <w:t>“Coopera</w:t>
      </w:r>
      <w:r w:rsidR="00543A09" w:rsidRPr="007D47AD">
        <w:rPr>
          <w:rFonts w:asciiTheme="minorHAnsi" w:hAnsiTheme="minorHAnsi"/>
          <w:color w:val="222222"/>
          <w:sz w:val="20"/>
          <w:szCs w:val="20"/>
          <w:lang w:val="en-US"/>
        </w:rPr>
        <w:t>tio</w:t>
      </w:r>
      <w:r w:rsidR="00A922AE" w:rsidRPr="007D47AD">
        <w:rPr>
          <w:rFonts w:asciiTheme="minorHAnsi" w:hAnsiTheme="minorHAnsi"/>
          <w:color w:val="222222"/>
          <w:sz w:val="20"/>
          <w:szCs w:val="20"/>
          <w:lang w:val="en-US"/>
        </w:rPr>
        <w:t xml:space="preserve">n </w:t>
      </w:r>
      <w:r w:rsidR="00543A09" w:rsidRPr="007D47AD">
        <w:rPr>
          <w:rFonts w:asciiTheme="minorHAnsi" w:hAnsiTheme="minorHAnsi"/>
          <w:color w:val="222222"/>
          <w:sz w:val="20"/>
          <w:szCs w:val="20"/>
          <w:lang w:val="en-US"/>
        </w:rPr>
        <w:t>for social reinsertion.</w:t>
      </w:r>
      <w:r w:rsidR="00A922AE" w:rsidRPr="007D47AD">
        <w:rPr>
          <w:rStyle w:val="FootnoteReference"/>
          <w:rFonts w:asciiTheme="minorHAnsi" w:hAnsiTheme="minorHAnsi"/>
          <w:color w:val="222222"/>
          <w:sz w:val="20"/>
          <w:szCs w:val="20"/>
          <w:lang w:val="en-US"/>
        </w:rPr>
        <w:footnoteReference w:id="376"/>
      </w:r>
      <w:r w:rsidR="00A922AE" w:rsidRPr="007D47AD">
        <w:rPr>
          <w:rFonts w:asciiTheme="minorHAnsi" w:hAnsiTheme="minorHAnsi"/>
          <w:color w:val="222222"/>
          <w:sz w:val="20"/>
          <w:szCs w:val="20"/>
          <w:lang w:val="en-US"/>
        </w:rPr>
        <w:t xml:space="preserve"> </w:t>
      </w:r>
      <w:r w:rsidR="00A5015B" w:rsidRPr="007D47AD">
        <w:rPr>
          <w:rFonts w:asciiTheme="minorHAnsi" w:hAnsiTheme="minorHAnsi" w:cs="Cambria"/>
          <w:color w:val="000000"/>
          <w:sz w:val="20"/>
          <w:szCs w:val="20"/>
          <w:lang w:val="en-US"/>
        </w:rPr>
        <w:t>I</w:t>
      </w:r>
      <w:r w:rsidR="004535AF" w:rsidRPr="007D47AD">
        <w:rPr>
          <w:rFonts w:asciiTheme="minorHAnsi" w:hAnsiTheme="minorHAnsi" w:cs="Cambria"/>
          <w:color w:val="000000"/>
          <w:sz w:val="20"/>
          <w:szCs w:val="20"/>
          <w:lang w:val="en-US"/>
        </w:rPr>
        <w:t xml:space="preserve">n </w:t>
      </w:r>
      <w:r w:rsidR="00A5015B" w:rsidRPr="007D47AD">
        <w:rPr>
          <w:rFonts w:asciiTheme="minorHAnsi" w:hAnsiTheme="minorHAnsi" w:cs="Cambria"/>
          <w:color w:val="000000"/>
          <w:sz w:val="20"/>
          <w:szCs w:val="20"/>
          <w:lang w:val="en-US"/>
        </w:rPr>
        <w:t xml:space="preserve">its observations on the draft of this report the State indicated that the Ministries of Economy, Well-being, Education, Health, </w:t>
      </w:r>
      <w:r w:rsidR="002D7BA7" w:rsidRPr="007D47AD">
        <w:rPr>
          <w:rFonts w:asciiTheme="minorHAnsi" w:hAnsiTheme="minorHAnsi" w:cs="Cambria"/>
          <w:color w:val="000000"/>
          <w:sz w:val="20"/>
          <w:szCs w:val="20"/>
          <w:lang w:val="en-US"/>
        </w:rPr>
        <w:t xml:space="preserve">and </w:t>
      </w:r>
      <w:r w:rsidR="00A5015B" w:rsidRPr="007D47AD">
        <w:rPr>
          <w:rFonts w:asciiTheme="minorHAnsi" w:hAnsiTheme="minorHAnsi" w:cs="Cambria"/>
          <w:color w:val="000000"/>
          <w:sz w:val="20"/>
          <w:szCs w:val="20"/>
          <w:lang w:val="en-US"/>
        </w:rPr>
        <w:t xml:space="preserve">Culture and Sports would form intersectoral commissions for implementing services-related programs and actions with a multidisciplinary approach to </w:t>
      </w:r>
      <w:r w:rsidR="000B11E3" w:rsidRPr="007D47AD">
        <w:rPr>
          <w:rFonts w:asciiTheme="minorHAnsi" w:hAnsiTheme="minorHAnsi" w:cs="Cambria"/>
          <w:color w:val="000000"/>
          <w:sz w:val="20"/>
          <w:szCs w:val="20"/>
          <w:lang w:val="en-US"/>
        </w:rPr>
        <w:t>r</w:t>
      </w:r>
      <w:r w:rsidR="00A5015B" w:rsidRPr="007D47AD">
        <w:rPr>
          <w:rFonts w:asciiTheme="minorHAnsi" w:hAnsiTheme="minorHAnsi" w:cs="Cambria"/>
          <w:color w:val="000000"/>
          <w:sz w:val="20"/>
          <w:szCs w:val="20"/>
          <w:lang w:val="en-US"/>
        </w:rPr>
        <w:t>einsertion.</w:t>
      </w:r>
      <w:r w:rsidR="004535AF" w:rsidRPr="007D47AD">
        <w:rPr>
          <w:rStyle w:val="FootnoteReference"/>
          <w:rFonts w:asciiTheme="minorHAnsi" w:eastAsia="Cambria" w:hAnsiTheme="minorHAnsi" w:cs="Cambria"/>
          <w:sz w:val="20"/>
          <w:szCs w:val="20"/>
          <w:lang w:val="en-US"/>
        </w:rPr>
        <w:footnoteReference w:id="377"/>
      </w:r>
      <w:r w:rsidR="00A5015B" w:rsidRPr="007D47AD">
        <w:rPr>
          <w:rFonts w:asciiTheme="minorHAnsi" w:hAnsiTheme="minorHAnsi" w:cs="Cambria"/>
          <w:color w:val="000000"/>
          <w:sz w:val="20"/>
          <w:szCs w:val="20"/>
          <w:lang w:val="en-US"/>
        </w:rPr>
        <w:t xml:space="preserve"> </w:t>
      </w:r>
    </w:p>
    <w:p w:rsidR="004535AF" w:rsidRPr="007D47AD" w:rsidRDefault="004535AF" w:rsidP="004535AF">
      <w:pPr>
        <w:shd w:val="clear" w:color="auto" w:fill="FFFFFF"/>
        <w:spacing w:after="0" w:line="240" w:lineRule="auto"/>
        <w:jc w:val="both"/>
        <w:rPr>
          <w:rFonts w:asciiTheme="minorHAnsi" w:hAnsiTheme="minorHAnsi" w:cs="Cambria"/>
          <w:color w:val="000000"/>
          <w:sz w:val="20"/>
          <w:szCs w:val="20"/>
          <w:lang w:val="en-US"/>
        </w:rPr>
      </w:pPr>
    </w:p>
    <w:p w:rsidR="00A922AE" w:rsidRPr="007D47AD" w:rsidRDefault="00D45C12" w:rsidP="00A922AE">
      <w:pPr>
        <w:numPr>
          <w:ilvl w:val="0"/>
          <w:numId w:val="6"/>
        </w:numPr>
        <w:shd w:val="clear" w:color="auto" w:fill="FFFFFF"/>
        <w:spacing w:after="240" w:line="240" w:lineRule="auto"/>
        <w:ind w:left="0" w:firstLine="720"/>
        <w:jc w:val="both"/>
        <w:rPr>
          <w:rFonts w:asciiTheme="minorHAnsi" w:hAnsiTheme="minorHAnsi"/>
          <w:sz w:val="20"/>
          <w:szCs w:val="20"/>
          <w:lang w:val="en-US"/>
        </w:rPr>
      </w:pPr>
      <w:r w:rsidRPr="007D47AD">
        <w:rPr>
          <w:rFonts w:asciiTheme="minorHAnsi" w:hAnsiTheme="minorHAnsi"/>
          <w:sz w:val="20"/>
          <w:szCs w:val="20"/>
          <w:lang w:val="en-US"/>
        </w:rPr>
        <w:t xml:space="preserve">While the IACHR attaches a positive value to the existence of institutions of the State that are making proposals </w:t>
      </w:r>
      <w:r w:rsidR="004D25BB" w:rsidRPr="007D47AD">
        <w:rPr>
          <w:rFonts w:asciiTheme="minorHAnsi" w:hAnsiTheme="minorHAnsi"/>
          <w:sz w:val="20"/>
          <w:szCs w:val="20"/>
          <w:lang w:val="en-US"/>
        </w:rPr>
        <w:t xml:space="preserve">to </w:t>
      </w:r>
      <w:r w:rsidRPr="007D47AD">
        <w:rPr>
          <w:rFonts w:asciiTheme="minorHAnsi" w:hAnsiTheme="minorHAnsi"/>
          <w:sz w:val="20"/>
          <w:szCs w:val="20"/>
          <w:lang w:val="en-US"/>
        </w:rPr>
        <w:t>improv</w:t>
      </w:r>
      <w:r w:rsidR="004D25BB" w:rsidRPr="007D47AD">
        <w:rPr>
          <w:rFonts w:asciiTheme="minorHAnsi" w:hAnsiTheme="minorHAnsi"/>
          <w:sz w:val="20"/>
          <w:szCs w:val="20"/>
          <w:lang w:val="en-US"/>
        </w:rPr>
        <w:t xml:space="preserve">e </w:t>
      </w:r>
      <w:r w:rsidRPr="007D47AD">
        <w:rPr>
          <w:rFonts w:asciiTheme="minorHAnsi" w:hAnsiTheme="minorHAnsi"/>
          <w:sz w:val="20"/>
          <w:szCs w:val="20"/>
          <w:lang w:val="en-US"/>
        </w:rPr>
        <w:t>the reinsertion of persons deprived of liberty, the State has not described any major gains in this respect. In consideration of the foregoing, the IACHR finds th</w:t>
      </w:r>
      <w:r w:rsidR="004D25BB" w:rsidRPr="007D47AD">
        <w:rPr>
          <w:rFonts w:asciiTheme="minorHAnsi" w:hAnsiTheme="minorHAnsi"/>
          <w:sz w:val="20"/>
          <w:szCs w:val="20"/>
          <w:lang w:val="en-US"/>
        </w:rPr>
        <w:t>a</w:t>
      </w:r>
      <w:r w:rsidRPr="007D47AD">
        <w:rPr>
          <w:rFonts w:asciiTheme="minorHAnsi" w:hAnsiTheme="minorHAnsi"/>
          <w:sz w:val="20"/>
          <w:szCs w:val="20"/>
          <w:lang w:val="en-US"/>
        </w:rPr>
        <w:t xml:space="preserve">t the recommendation has yet to meet with compliance. </w:t>
      </w:r>
    </w:p>
    <w:p w:rsidR="00A922AE" w:rsidRPr="007D47AD" w:rsidRDefault="00D45C12" w:rsidP="00A922AE">
      <w:pPr>
        <w:numPr>
          <w:ilvl w:val="0"/>
          <w:numId w:val="6"/>
        </w:numPr>
        <w:shd w:val="clear" w:color="auto" w:fill="FFFFFF"/>
        <w:spacing w:after="240" w:line="240" w:lineRule="auto"/>
        <w:ind w:left="0" w:firstLine="720"/>
        <w:jc w:val="both"/>
        <w:rPr>
          <w:rFonts w:asciiTheme="minorHAnsi" w:hAnsiTheme="minorHAnsi"/>
          <w:sz w:val="20"/>
          <w:szCs w:val="20"/>
          <w:lang w:val="en-US"/>
        </w:rPr>
      </w:pPr>
      <w:r w:rsidRPr="007D47AD">
        <w:rPr>
          <w:rFonts w:asciiTheme="minorHAnsi" w:hAnsiTheme="minorHAnsi" w:cs="Calibri Light"/>
          <w:sz w:val="20"/>
          <w:szCs w:val="20"/>
          <w:lang w:val="en-US"/>
        </w:rPr>
        <w:t xml:space="preserve">With respect to the recommendation concerning </w:t>
      </w:r>
      <w:r w:rsidRPr="007D47AD">
        <w:rPr>
          <w:rFonts w:asciiTheme="minorHAnsi" w:hAnsiTheme="minorHAnsi"/>
          <w:b/>
          <w:color w:val="222222"/>
          <w:sz w:val="20"/>
          <w:szCs w:val="20"/>
          <w:lang w:val="en-US"/>
        </w:rPr>
        <w:t>making public the information on ACA standards for accrediting prisons</w:t>
      </w:r>
      <w:r w:rsidR="00A922AE" w:rsidRPr="007D47AD">
        <w:rPr>
          <w:rFonts w:asciiTheme="minorHAnsi" w:hAnsiTheme="minorHAnsi"/>
          <w:b/>
          <w:color w:val="222222"/>
          <w:sz w:val="20"/>
          <w:szCs w:val="20"/>
          <w:lang w:val="en-US"/>
        </w:rPr>
        <w:t>,</w:t>
      </w:r>
      <w:r w:rsidR="00A922AE" w:rsidRPr="007D47AD">
        <w:rPr>
          <w:rFonts w:asciiTheme="minorHAnsi" w:hAnsiTheme="minorHAnsi"/>
          <w:color w:val="222222"/>
          <w:sz w:val="20"/>
          <w:szCs w:val="20"/>
          <w:lang w:val="en-US"/>
        </w:rPr>
        <w:t xml:space="preserve"> </w:t>
      </w:r>
      <w:r w:rsidRPr="007D47AD">
        <w:rPr>
          <w:rFonts w:asciiTheme="minorHAnsi" w:hAnsiTheme="minorHAnsi"/>
          <w:sz w:val="20"/>
          <w:szCs w:val="20"/>
          <w:lang w:val="en-US"/>
        </w:rPr>
        <w:t xml:space="preserve">the State reiterated that since </w:t>
      </w:r>
      <w:r w:rsidR="00A922AE" w:rsidRPr="007D47AD">
        <w:rPr>
          <w:rFonts w:asciiTheme="minorHAnsi" w:hAnsiTheme="minorHAnsi"/>
          <w:sz w:val="20"/>
          <w:szCs w:val="20"/>
          <w:lang w:val="en-US"/>
        </w:rPr>
        <w:t xml:space="preserve">2017, </w:t>
      </w:r>
      <w:r w:rsidRPr="007D47AD">
        <w:rPr>
          <w:rFonts w:asciiTheme="minorHAnsi" w:hAnsiTheme="minorHAnsi"/>
          <w:sz w:val="20"/>
          <w:szCs w:val="20"/>
          <w:lang w:val="en-US"/>
        </w:rPr>
        <w:t>in the context of the 15</w:t>
      </w:r>
      <w:r w:rsidRPr="007D47AD">
        <w:rPr>
          <w:rFonts w:asciiTheme="minorHAnsi" w:hAnsiTheme="minorHAnsi"/>
          <w:sz w:val="20"/>
          <w:szCs w:val="20"/>
          <w:vertAlign w:val="superscript"/>
          <w:lang w:val="en-US"/>
        </w:rPr>
        <w:t>th</w:t>
      </w:r>
      <w:r w:rsidRPr="007D47AD">
        <w:rPr>
          <w:rFonts w:asciiTheme="minorHAnsi" w:hAnsiTheme="minorHAnsi"/>
          <w:sz w:val="20"/>
          <w:szCs w:val="20"/>
          <w:lang w:val="en-US"/>
        </w:rPr>
        <w:t xml:space="preserve"> Plenary Assembly of the National Conference of the Penitentiary System, it was agreed to accredit the prisons, for </w:t>
      </w:r>
      <w:r w:rsidR="004D25BB" w:rsidRPr="007D47AD">
        <w:rPr>
          <w:rFonts w:asciiTheme="minorHAnsi" w:hAnsiTheme="minorHAnsi"/>
          <w:sz w:val="20"/>
          <w:szCs w:val="20"/>
          <w:lang w:val="en-US"/>
        </w:rPr>
        <w:t xml:space="preserve">which </w:t>
      </w:r>
      <w:r w:rsidRPr="007D47AD">
        <w:rPr>
          <w:rFonts w:asciiTheme="minorHAnsi" w:hAnsiTheme="minorHAnsi"/>
          <w:sz w:val="20"/>
          <w:szCs w:val="20"/>
          <w:lang w:val="en-US"/>
        </w:rPr>
        <w:t>the personnel would be trained to secure ACA certi</w:t>
      </w:r>
      <w:r w:rsidR="004D25BB" w:rsidRPr="007D47AD">
        <w:rPr>
          <w:rFonts w:asciiTheme="minorHAnsi" w:hAnsiTheme="minorHAnsi"/>
          <w:sz w:val="20"/>
          <w:szCs w:val="20"/>
          <w:lang w:val="en-US"/>
        </w:rPr>
        <w:t>fi</w:t>
      </w:r>
      <w:r w:rsidRPr="007D47AD">
        <w:rPr>
          <w:rFonts w:asciiTheme="minorHAnsi" w:hAnsiTheme="minorHAnsi"/>
          <w:sz w:val="20"/>
          <w:szCs w:val="20"/>
          <w:lang w:val="en-US"/>
        </w:rPr>
        <w:t>cation.</w:t>
      </w:r>
      <w:r w:rsidR="00A922AE" w:rsidRPr="007D47AD">
        <w:rPr>
          <w:rStyle w:val="FootnoteReference"/>
          <w:rFonts w:asciiTheme="minorHAnsi" w:hAnsiTheme="minorHAnsi"/>
          <w:color w:val="222222"/>
          <w:sz w:val="20"/>
          <w:szCs w:val="20"/>
          <w:lang w:val="en-US"/>
        </w:rPr>
        <w:footnoteReference w:id="378"/>
      </w:r>
      <w:r w:rsidR="004D25BB" w:rsidRPr="007D47AD">
        <w:rPr>
          <w:rFonts w:asciiTheme="minorHAnsi" w:hAnsiTheme="minorHAnsi"/>
          <w:sz w:val="20"/>
          <w:szCs w:val="20"/>
          <w:lang w:val="en-US"/>
        </w:rPr>
        <w:t xml:space="preserve"> </w:t>
      </w:r>
      <w:r w:rsidR="00156FBB" w:rsidRPr="007D47AD">
        <w:rPr>
          <w:rFonts w:asciiTheme="minorHAnsi" w:hAnsiTheme="minorHAnsi" w:cs="Cambria"/>
          <w:color w:val="000000"/>
          <w:sz w:val="20"/>
          <w:szCs w:val="20"/>
          <w:lang w:val="en-US"/>
        </w:rPr>
        <w:t>I</w:t>
      </w:r>
      <w:r w:rsidR="004535AF" w:rsidRPr="007D47AD">
        <w:rPr>
          <w:rFonts w:asciiTheme="minorHAnsi" w:hAnsiTheme="minorHAnsi" w:cs="Cambria"/>
          <w:color w:val="000000"/>
          <w:sz w:val="20"/>
          <w:szCs w:val="20"/>
          <w:lang w:val="en-US"/>
        </w:rPr>
        <w:t xml:space="preserve">n </w:t>
      </w:r>
      <w:r w:rsidR="00156FBB" w:rsidRPr="007D47AD">
        <w:rPr>
          <w:rFonts w:asciiTheme="minorHAnsi" w:hAnsiTheme="minorHAnsi" w:cs="Cambria"/>
          <w:color w:val="000000"/>
          <w:sz w:val="20"/>
          <w:szCs w:val="20"/>
          <w:lang w:val="en-US"/>
        </w:rPr>
        <w:t>its observations on the draft of this report the State indicated that the ACA standards were protected by intellectual property rights.</w:t>
      </w:r>
      <w:r w:rsidR="004535AF" w:rsidRPr="007D47AD">
        <w:rPr>
          <w:rStyle w:val="FootnoteReference"/>
          <w:rFonts w:asciiTheme="minorHAnsi" w:eastAsia="Cambria" w:hAnsiTheme="minorHAnsi" w:cs="Cambria"/>
          <w:sz w:val="20"/>
          <w:szCs w:val="20"/>
          <w:lang w:val="en-US"/>
        </w:rPr>
        <w:footnoteReference w:id="379"/>
      </w:r>
    </w:p>
    <w:p w:rsidR="00A922AE" w:rsidRPr="007D47AD" w:rsidRDefault="00764F4B" w:rsidP="00A922AE">
      <w:pPr>
        <w:numPr>
          <w:ilvl w:val="0"/>
          <w:numId w:val="6"/>
        </w:numPr>
        <w:shd w:val="clear" w:color="auto" w:fill="FFFFFF"/>
        <w:spacing w:after="240" w:line="240" w:lineRule="auto"/>
        <w:ind w:left="0" w:firstLine="720"/>
        <w:jc w:val="both"/>
        <w:rPr>
          <w:rFonts w:asciiTheme="minorHAnsi" w:hAnsiTheme="minorHAnsi"/>
          <w:sz w:val="20"/>
          <w:szCs w:val="20"/>
          <w:lang w:val="en-US"/>
        </w:rPr>
      </w:pPr>
      <w:r w:rsidRPr="007D47AD">
        <w:rPr>
          <w:rFonts w:asciiTheme="minorHAnsi" w:hAnsiTheme="minorHAnsi"/>
          <w:sz w:val="20"/>
          <w:szCs w:val="20"/>
          <w:lang w:val="en-US"/>
        </w:rPr>
        <w:t xml:space="preserve">The </w:t>
      </w:r>
      <w:r w:rsidR="00A922AE" w:rsidRPr="007D47AD">
        <w:rPr>
          <w:rFonts w:asciiTheme="minorHAnsi" w:hAnsiTheme="minorHAnsi"/>
          <w:sz w:val="20"/>
          <w:szCs w:val="20"/>
          <w:lang w:val="en-US"/>
        </w:rPr>
        <w:t xml:space="preserve">CNDH </w:t>
      </w:r>
      <w:r w:rsidRPr="007D47AD">
        <w:rPr>
          <w:rFonts w:asciiTheme="minorHAnsi" w:hAnsiTheme="minorHAnsi"/>
          <w:sz w:val="20"/>
          <w:szCs w:val="20"/>
          <w:lang w:val="en-US"/>
        </w:rPr>
        <w:t>has noted that one of the issues the Mexican prison system faces when there is co-responsible participation of government institutions and private initiative is the failure to pay for the services provided by private persons.</w:t>
      </w:r>
      <w:r w:rsidR="00A922AE" w:rsidRPr="007D47AD">
        <w:rPr>
          <w:rStyle w:val="FootnoteReference"/>
          <w:rFonts w:asciiTheme="minorHAnsi" w:hAnsiTheme="minorHAnsi"/>
          <w:sz w:val="20"/>
          <w:szCs w:val="20"/>
          <w:lang w:val="en-US"/>
        </w:rPr>
        <w:footnoteReference w:id="380"/>
      </w:r>
      <w:r w:rsidR="00A922AE" w:rsidRPr="007D47AD">
        <w:rPr>
          <w:rFonts w:asciiTheme="minorHAnsi" w:hAnsiTheme="minorHAnsi"/>
          <w:sz w:val="20"/>
          <w:szCs w:val="20"/>
          <w:lang w:val="en-US"/>
        </w:rPr>
        <w:t xml:space="preserve"> </w:t>
      </w:r>
      <w:r w:rsidRPr="007D47AD">
        <w:rPr>
          <w:rFonts w:asciiTheme="minorHAnsi" w:hAnsiTheme="minorHAnsi"/>
          <w:sz w:val="20"/>
          <w:szCs w:val="20"/>
          <w:lang w:val="en-US"/>
        </w:rPr>
        <w:t xml:space="preserve">In this vein, the CNDH underscores that even though the State has sufficient resources to assume the costs </w:t>
      </w:r>
      <w:r w:rsidR="004D25BB" w:rsidRPr="007D47AD">
        <w:rPr>
          <w:rFonts w:asciiTheme="minorHAnsi" w:hAnsiTheme="minorHAnsi"/>
          <w:sz w:val="20"/>
          <w:szCs w:val="20"/>
          <w:lang w:val="en-US"/>
        </w:rPr>
        <w:t xml:space="preserve">of the Mexican penitentiary system, </w:t>
      </w:r>
      <w:r w:rsidR="00A922AE" w:rsidRPr="007D47AD">
        <w:rPr>
          <w:rFonts w:asciiTheme="minorHAnsi" w:hAnsiTheme="minorHAnsi"/>
          <w:sz w:val="20"/>
          <w:szCs w:val="20"/>
          <w:lang w:val="en-US"/>
        </w:rPr>
        <w:t>signif</w:t>
      </w:r>
      <w:r w:rsidR="006A6AB3" w:rsidRPr="007D47AD">
        <w:rPr>
          <w:rFonts w:asciiTheme="minorHAnsi" w:hAnsiTheme="minorHAnsi"/>
          <w:sz w:val="20"/>
          <w:szCs w:val="20"/>
          <w:lang w:val="en-US"/>
        </w:rPr>
        <w:t xml:space="preserve">ying that there </w:t>
      </w:r>
      <w:r w:rsidR="004D25BB" w:rsidRPr="007D47AD">
        <w:rPr>
          <w:rFonts w:asciiTheme="minorHAnsi" w:hAnsiTheme="minorHAnsi"/>
          <w:sz w:val="20"/>
          <w:szCs w:val="20"/>
          <w:lang w:val="en-US"/>
        </w:rPr>
        <w:t xml:space="preserve">is </w:t>
      </w:r>
      <w:r w:rsidR="006A6AB3" w:rsidRPr="007D47AD">
        <w:rPr>
          <w:rFonts w:asciiTheme="minorHAnsi" w:hAnsiTheme="minorHAnsi"/>
          <w:sz w:val="20"/>
          <w:szCs w:val="20"/>
          <w:lang w:val="en-US"/>
        </w:rPr>
        <w:t xml:space="preserve">not sufficient justification for maintaining </w:t>
      </w:r>
      <w:r w:rsidR="004D25BB" w:rsidRPr="007D47AD">
        <w:rPr>
          <w:rFonts w:asciiTheme="minorHAnsi" w:hAnsiTheme="minorHAnsi"/>
          <w:sz w:val="20"/>
          <w:szCs w:val="20"/>
          <w:lang w:val="en-US"/>
        </w:rPr>
        <w:t xml:space="preserve">this legal form, </w:t>
      </w:r>
      <w:r w:rsidR="006A6AB3" w:rsidRPr="007D47AD">
        <w:rPr>
          <w:rFonts w:asciiTheme="minorHAnsi" w:hAnsiTheme="minorHAnsi"/>
          <w:sz w:val="20"/>
          <w:szCs w:val="20"/>
          <w:lang w:val="en-US"/>
        </w:rPr>
        <w:t xml:space="preserve">it continues </w:t>
      </w:r>
      <w:r w:rsidR="004D25BB" w:rsidRPr="007D47AD">
        <w:rPr>
          <w:rFonts w:asciiTheme="minorHAnsi" w:hAnsiTheme="minorHAnsi"/>
          <w:sz w:val="20"/>
          <w:szCs w:val="20"/>
          <w:lang w:val="en-US"/>
        </w:rPr>
        <w:t xml:space="preserve">turning over </w:t>
      </w:r>
      <w:r w:rsidR="006A6AB3" w:rsidRPr="007D47AD">
        <w:rPr>
          <w:rFonts w:asciiTheme="minorHAnsi" w:hAnsiTheme="minorHAnsi"/>
          <w:sz w:val="20"/>
          <w:szCs w:val="20"/>
          <w:lang w:val="en-US"/>
        </w:rPr>
        <w:t xml:space="preserve">some prisons to private </w:t>
      </w:r>
      <w:r w:rsidR="004D25BB" w:rsidRPr="007D47AD">
        <w:rPr>
          <w:rFonts w:asciiTheme="minorHAnsi" w:hAnsiTheme="minorHAnsi"/>
          <w:sz w:val="20"/>
          <w:szCs w:val="20"/>
          <w:lang w:val="en-US"/>
        </w:rPr>
        <w:t xml:space="preserve">companies to operate them </w:t>
      </w:r>
      <w:r w:rsidR="006A6AB3" w:rsidRPr="007D47AD">
        <w:rPr>
          <w:rFonts w:asciiTheme="minorHAnsi" w:hAnsiTheme="minorHAnsi"/>
          <w:sz w:val="20"/>
          <w:szCs w:val="20"/>
          <w:lang w:val="en-US"/>
        </w:rPr>
        <w:t>in concession.</w:t>
      </w:r>
      <w:r w:rsidR="00A922AE" w:rsidRPr="007D47AD">
        <w:rPr>
          <w:rStyle w:val="FootnoteReference"/>
          <w:rFonts w:asciiTheme="minorHAnsi" w:hAnsiTheme="minorHAnsi"/>
          <w:sz w:val="20"/>
          <w:szCs w:val="20"/>
          <w:lang w:val="en-US"/>
        </w:rPr>
        <w:footnoteReference w:id="381"/>
      </w:r>
      <w:r w:rsidR="00A922AE" w:rsidRPr="007D47AD">
        <w:rPr>
          <w:rFonts w:asciiTheme="minorHAnsi" w:hAnsiTheme="minorHAnsi"/>
          <w:sz w:val="20"/>
          <w:szCs w:val="20"/>
          <w:lang w:val="en-US"/>
        </w:rPr>
        <w:t xml:space="preserve"> </w:t>
      </w:r>
      <w:r w:rsidR="006A6AB3" w:rsidRPr="007D47AD">
        <w:rPr>
          <w:rFonts w:asciiTheme="minorHAnsi" w:hAnsiTheme="minorHAnsi"/>
          <w:sz w:val="20"/>
          <w:szCs w:val="20"/>
          <w:lang w:val="en-US"/>
        </w:rPr>
        <w:t xml:space="preserve">In this context, civil society has said that other agencies for protecting human rights must intervene, and even civil society </w:t>
      </w:r>
      <w:r w:rsidR="004D25BB" w:rsidRPr="007D47AD">
        <w:rPr>
          <w:rFonts w:asciiTheme="minorHAnsi" w:hAnsiTheme="minorHAnsi"/>
          <w:sz w:val="20"/>
          <w:szCs w:val="20"/>
          <w:lang w:val="en-US"/>
        </w:rPr>
        <w:t xml:space="preserve">itself, </w:t>
      </w:r>
      <w:r w:rsidR="006A6AB3" w:rsidRPr="007D47AD">
        <w:rPr>
          <w:rFonts w:asciiTheme="minorHAnsi" w:hAnsiTheme="minorHAnsi"/>
          <w:sz w:val="20"/>
          <w:szCs w:val="20"/>
          <w:lang w:val="en-US"/>
        </w:rPr>
        <w:t>so that the involvement of private enterprise not aggravate the system’s problems, among them the program for rehabilitating persons deprived of liberty.</w:t>
      </w:r>
      <w:r w:rsidR="00A922AE" w:rsidRPr="007D47AD">
        <w:rPr>
          <w:rStyle w:val="FootnoteReference"/>
          <w:rFonts w:asciiTheme="minorHAnsi" w:hAnsiTheme="minorHAnsi"/>
          <w:sz w:val="20"/>
          <w:szCs w:val="20"/>
          <w:lang w:val="en-US"/>
        </w:rPr>
        <w:footnoteReference w:id="382"/>
      </w:r>
      <w:r w:rsidR="006A6AB3" w:rsidRPr="007D47AD">
        <w:rPr>
          <w:rFonts w:asciiTheme="minorHAnsi" w:hAnsiTheme="minorHAnsi"/>
          <w:sz w:val="20"/>
          <w:szCs w:val="20"/>
          <w:lang w:val="en-US"/>
        </w:rPr>
        <w:t xml:space="preserve">  </w:t>
      </w:r>
      <w:r w:rsidR="00A922AE" w:rsidRPr="007D47AD">
        <w:rPr>
          <w:rFonts w:asciiTheme="minorHAnsi" w:hAnsiTheme="minorHAnsi"/>
          <w:sz w:val="20"/>
          <w:szCs w:val="20"/>
          <w:lang w:val="en-US"/>
        </w:rPr>
        <w:t xml:space="preserve"> </w:t>
      </w:r>
    </w:p>
    <w:p w:rsidR="00A922AE" w:rsidRPr="007D47AD" w:rsidRDefault="00D17FE0" w:rsidP="00A922AE">
      <w:pPr>
        <w:numPr>
          <w:ilvl w:val="0"/>
          <w:numId w:val="6"/>
        </w:numPr>
        <w:shd w:val="clear" w:color="auto" w:fill="FFFFFF"/>
        <w:spacing w:after="240" w:line="240" w:lineRule="auto"/>
        <w:ind w:left="0" w:firstLine="720"/>
        <w:jc w:val="both"/>
        <w:rPr>
          <w:rFonts w:asciiTheme="minorHAnsi" w:hAnsiTheme="minorHAnsi"/>
          <w:sz w:val="20"/>
          <w:szCs w:val="20"/>
          <w:lang w:val="en-US"/>
        </w:rPr>
      </w:pPr>
      <w:r w:rsidRPr="007D47AD">
        <w:rPr>
          <w:rFonts w:asciiTheme="minorHAnsi" w:hAnsiTheme="minorHAnsi"/>
          <w:sz w:val="20"/>
          <w:szCs w:val="20"/>
          <w:lang w:val="en-US"/>
        </w:rPr>
        <w:t xml:space="preserve">According to press reports, in </w:t>
      </w:r>
      <w:r w:rsidR="00A922AE" w:rsidRPr="007D47AD">
        <w:rPr>
          <w:rFonts w:asciiTheme="minorHAnsi" w:hAnsiTheme="minorHAnsi"/>
          <w:sz w:val="20"/>
          <w:szCs w:val="20"/>
          <w:lang w:val="en-US"/>
        </w:rPr>
        <w:t>2019</w:t>
      </w:r>
      <w:r w:rsidRPr="007D47AD">
        <w:rPr>
          <w:rFonts w:asciiTheme="minorHAnsi" w:hAnsiTheme="minorHAnsi"/>
          <w:sz w:val="20"/>
          <w:szCs w:val="20"/>
          <w:lang w:val="en-US"/>
        </w:rPr>
        <w:t xml:space="preserve"> the </w:t>
      </w:r>
      <w:r w:rsidR="00A922AE" w:rsidRPr="007D47AD">
        <w:rPr>
          <w:rFonts w:asciiTheme="minorHAnsi" w:hAnsiTheme="minorHAnsi"/>
          <w:sz w:val="20"/>
          <w:szCs w:val="20"/>
          <w:lang w:val="en-US"/>
        </w:rPr>
        <w:t>APA rea</w:t>
      </w:r>
      <w:r w:rsidRPr="007D47AD">
        <w:rPr>
          <w:rFonts w:asciiTheme="minorHAnsi" w:hAnsiTheme="minorHAnsi"/>
          <w:sz w:val="20"/>
          <w:szCs w:val="20"/>
          <w:lang w:val="en-US"/>
        </w:rPr>
        <w:t>c</w:t>
      </w:r>
      <w:r w:rsidR="00A922AE" w:rsidRPr="007D47AD">
        <w:rPr>
          <w:rFonts w:asciiTheme="minorHAnsi" w:hAnsiTheme="minorHAnsi"/>
          <w:sz w:val="20"/>
          <w:szCs w:val="20"/>
          <w:lang w:val="en-US"/>
        </w:rPr>
        <w:t>credit</w:t>
      </w:r>
      <w:r w:rsidRPr="007D47AD">
        <w:rPr>
          <w:rFonts w:asciiTheme="minorHAnsi" w:hAnsiTheme="minorHAnsi"/>
          <w:sz w:val="20"/>
          <w:szCs w:val="20"/>
          <w:lang w:val="en-US"/>
        </w:rPr>
        <w:t xml:space="preserve">ed 12 Mexican prisons and </w:t>
      </w:r>
      <w:r w:rsidR="00A922AE" w:rsidRPr="007D47AD">
        <w:rPr>
          <w:rFonts w:asciiTheme="minorHAnsi" w:hAnsiTheme="minorHAnsi"/>
          <w:sz w:val="20"/>
          <w:szCs w:val="20"/>
          <w:lang w:val="en-US"/>
        </w:rPr>
        <w:t>ac</w:t>
      </w:r>
      <w:r w:rsidRPr="007D47AD">
        <w:rPr>
          <w:rFonts w:asciiTheme="minorHAnsi" w:hAnsiTheme="minorHAnsi"/>
          <w:sz w:val="20"/>
          <w:szCs w:val="20"/>
          <w:lang w:val="en-US"/>
        </w:rPr>
        <w:t>c</w:t>
      </w:r>
      <w:r w:rsidR="00A922AE" w:rsidRPr="007D47AD">
        <w:rPr>
          <w:rFonts w:asciiTheme="minorHAnsi" w:hAnsiTheme="minorHAnsi"/>
          <w:sz w:val="20"/>
          <w:szCs w:val="20"/>
          <w:lang w:val="en-US"/>
        </w:rPr>
        <w:t>redit</w:t>
      </w:r>
      <w:r w:rsidRPr="007D47AD">
        <w:rPr>
          <w:rFonts w:asciiTheme="minorHAnsi" w:hAnsiTheme="minorHAnsi"/>
          <w:sz w:val="20"/>
          <w:szCs w:val="20"/>
          <w:lang w:val="en-US"/>
        </w:rPr>
        <w:t>ed one more</w:t>
      </w:r>
      <w:r w:rsidR="00A922AE" w:rsidRPr="007D47AD">
        <w:rPr>
          <w:rFonts w:asciiTheme="minorHAnsi" w:hAnsiTheme="minorHAnsi"/>
          <w:sz w:val="20"/>
          <w:szCs w:val="20"/>
          <w:lang w:val="en-US"/>
        </w:rPr>
        <w:t xml:space="preserve"> </w:t>
      </w:r>
      <w:r w:rsidRPr="007D47AD">
        <w:rPr>
          <w:rFonts w:asciiTheme="minorHAnsi" w:hAnsiTheme="minorHAnsi"/>
          <w:sz w:val="20"/>
          <w:szCs w:val="20"/>
          <w:lang w:val="en-US"/>
        </w:rPr>
        <w:t>for the first time, for a total of 13 prisons</w:t>
      </w:r>
      <w:r w:rsidR="004D25BB" w:rsidRPr="007D47AD">
        <w:rPr>
          <w:rFonts w:asciiTheme="minorHAnsi" w:hAnsiTheme="minorHAnsi"/>
          <w:sz w:val="20"/>
          <w:szCs w:val="20"/>
          <w:lang w:val="en-US"/>
        </w:rPr>
        <w:t xml:space="preserve"> accredited</w:t>
      </w:r>
      <w:r w:rsidRPr="007D47AD">
        <w:rPr>
          <w:rFonts w:asciiTheme="minorHAnsi" w:hAnsiTheme="minorHAnsi"/>
          <w:sz w:val="20"/>
          <w:szCs w:val="20"/>
          <w:lang w:val="en-US"/>
        </w:rPr>
        <w:t xml:space="preserve">. </w:t>
      </w:r>
      <w:r w:rsidR="00A922AE" w:rsidRPr="007D47AD">
        <w:rPr>
          <w:rFonts w:asciiTheme="minorHAnsi" w:hAnsiTheme="minorHAnsi"/>
          <w:sz w:val="20"/>
          <w:szCs w:val="20"/>
          <w:lang w:val="en-US"/>
        </w:rPr>
        <w:t>A</w:t>
      </w:r>
      <w:r w:rsidR="00C253BF" w:rsidRPr="007D47AD">
        <w:rPr>
          <w:rFonts w:asciiTheme="minorHAnsi" w:hAnsiTheme="minorHAnsi"/>
          <w:sz w:val="20"/>
          <w:szCs w:val="20"/>
          <w:lang w:val="en-US"/>
        </w:rPr>
        <w:t xml:space="preserve">t present there are </w:t>
      </w:r>
      <w:r w:rsidR="00A922AE" w:rsidRPr="007D47AD">
        <w:rPr>
          <w:rFonts w:asciiTheme="minorHAnsi" w:hAnsiTheme="minorHAnsi"/>
          <w:sz w:val="20"/>
          <w:szCs w:val="20"/>
          <w:lang w:val="en-US"/>
        </w:rPr>
        <w:t xml:space="preserve">98 </w:t>
      </w:r>
      <w:r w:rsidR="00C253BF" w:rsidRPr="007D47AD">
        <w:rPr>
          <w:rFonts w:asciiTheme="minorHAnsi" w:hAnsiTheme="minorHAnsi"/>
          <w:sz w:val="20"/>
          <w:szCs w:val="20"/>
          <w:lang w:val="en-US"/>
        </w:rPr>
        <w:t>prisons that have the accreditation.</w:t>
      </w:r>
      <w:r w:rsidR="00A922AE" w:rsidRPr="007D47AD">
        <w:rPr>
          <w:rStyle w:val="FootnoteReference"/>
          <w:rFonts w:asciiTheme="minorHAnsi" w:hAnsiTheme="minorHAnsi"/>
          <w:sz w:val="20"/>
          <w:szCs w:val="20"/>
          <w:lang w:val="en-US"/>
        </w:rPr>
        <w:footnoteReference w:id="383"/>
      </w:r>
      <w:r w:rsidR="00A922AE" w:rsidRPr="007D47AD">
        <w:rPr>
          <w:rFonts w:asciiTheme="minorHAnsi" w:hAnsiTheme="minorHAnsi"/>
          <w:sz w:val="20"/>
          <w:szCs w:val="20"/>
          <w:lang w:val="en-US"/>
        </w:rPr>
        <w:t xml:space="preserve"> </w:t>
      </w:r>
      <w:r w:rsidR="00C253BF" w:rsidRPr="007D47AD">
        <w:rPr>
          <w:rFonts w:asciiTheme="minorHAnsi" w:hAnsiTheme="minorHAnsi"/>
          <w:sz w:val="20"/>
          <w:szCs w:val="20"/>
          <w:lang w:val="en-US"/>
        </w:rPr>
        <w:t>The accreditation program also includes training and study courses for prison workers</w:t>
      </w:r>
      <w:r w:rsidR="004D25BB" w:rsidRPr="007D47AD">
        <w:rPr>
          <w:rFonts w:asciiTheme="minorHAnsi" w:hAnsiTheme="minorHAnsi"/>
          <w:sz w:val="20"/>
          <w:szCs w:val="20"/>
          <w:lang w:val="en-US"/>
        </w:rPr>
        <w:t xml:space="preserve"> regarding the accreditation process</w:t>
      </w:r>
      <w:r w:rsidR="00C253BF" w:rsidRPr="007D47AD">
        <w:rPr>
          <w:rFonts w:asciiTheme="minorHAnsi" w:hAnsiTheme="minorHAnsi"/>
          <w:sz w:val="20"/>
          <w:szCs w:val="20"/>
          <w:lang w:val="en-US"/>
        </w:rPr>
        <w:t xml:space="preserve">. </w:t>
      </w:r>
    </w:p>
    <w:p w:rsidR="00A922AE" w:rsidRPr="007D47AD" w:rsidRDefault="00C253BF" w:rsidP="00A922AE">
      <w:pPr>
        <w:numPr>
          <w:ilvl w:val="0"/>
          <w:numId w:val="6"/>
        </w:numPr>
        <w:shd w:val="clear" w:color="auto" w:fill="FFFFFF"/>
        <w:spacing w:after="240" w:line="240" w:lineRule="auto"/>
        <w:ind w:left="0" w:firstLine="720"/>
        <w:jc w:val="both"/>
        <w:rPr>
          <w:rFonts w:asciiTheme="minorHAnsi" w:hAnsiTheme="minorHAnsi"/>
          <w:sz w:val="20"/>
          <w:szCs w:val="20"/>
          <w:lang w:val="en-US"/>
        </w:rPr>
      </w:pPr>
      <w:r w:rsidRPr="007D47AD">
        <w:rPr>
          <w:rFonts w:asciiTheme="minorHAnsi" w:hAnsiTheme="minorHAnsi"/>
          <w:bCs/>
          <w:sz w:val="20"/>
          <w:szCs w:val="20"/>
          <w:shd w:val="clear" w:color="auto" w:fill="FFFFFF"/>
          <w:lang w:val="en-US"/>
        </w:rPr>
        <w:t xml:space="preserve">In these terms the IACHR observes </w:t>
      </w:r>
      <w:r w:rsidR="004D25BB" w:rsidRPr="007D47AD">
        <w:rPr>
          <w:rFonts w:asciiTheme="minorHAnsi" w:hAnsiTheme="minorHAnsi"/>
          <w:bCs/>
          <w:sz w:val="20"/>
          <w:szCs w:val="20"/>
          <w:shd w:val="clear" w:color="auto" w:fill="FFFFFF"/>
          <w:lang w:val="en-US"/>
        </w:rPr>
        <w:t xml:space="preserve">that there are </w:t>
      </w:r>
      <w:r w:rsidR="004E08FB" w:rsidRPr="007D47AD">
        <w:rPr>
          <w:rFonts w:asciiTheme="minorHAnsi" w:hAnsiTheme="minorHAnsi"/>
          <w:bCs/>
          <w:sz w:val="20"/>
          <w:szCs w:val="20"/>
          <w:shd w:val="clear" w:color="auto" w:fill="FFFFFF"/>
          <w:lang w:val="en-US"/>
        </w:rPr>
        <w:t>certifications</w:t>
      </w:r>
      <w:r w:rsidRPr="007D47AD">
        <w:rPr>
          <w:rFonts w:asciiTheme="minorHAnsi" w:hAnsiTheme="minorHAnsi"/>
          <w:bCs/>
          <w:sz w:val="20"/>
          <w:szCs w:val="20"/>
          <w:shd w:val="clear" w:color="auto" w:fill="FFFFFF"/>
          <w:lang w:val="en-US"/>
        </w:rPr>
        <w:t xml:space="preserve"> and recertifications of prisons based on the </w:t>
      </w:r>
      <w:r w:rsidR="00EB180B" w:rsidRPr="007D47AD">
        <w:rPr>
          <w:rFonts w:asciiTheme="minorHAnsi" w:hAnsiTheme="minorHAnsi"/>
          <w:bCs/>
          <w:iCs/>
          <w:sz w:val="20"/>
          <w:szCs w:val="20"/>
          <w:shd w:val="clear" w:color="auto" w:fill="FFFFFF"/>
          <w:lang w:val="en-US"/>
        </w:rPr>
        <w:t>ACA</w:t>
      </w:r>
      <w:r w:rsidR="004D25BB" w:rsidRPr="007D47AD">
        <w:rPr>
          <w:rFonts w:asciiTheme="minorHAnsi" w:hAnsiTheme="minorHAnsi"/>
          <w:bCs/>
          <w:iCs/>
          <w:sz w:val="20"/>
          <w:szCs w:val="20"/>
          <w:shd w:val="clear" w:color="auto" w:fill="FFFFFF"/>
          <w:lang w:val="en-US"/>
        </w:rPr>
        <w:t xml:space="preserve"> criteria</w:t>
      </w:r>
      <w:r w:rsidR="00EB180B" w:rsidRPr="007D47AD">
        <w:rPr>
          <w:rFonts w:asciiTheme="minorHAnsi" w:hAnsiTheme="minorHAnsi"/>
          <w:bCs/>
          <w:sz w:val="20"/>
          <w:szCs w:val="20"/>
          <w:shd w:val="clear" w:color="auto" w:fill="FFFFFF"/>
          <w:lang w:val="en-US"/>
        </w:rPr>
        <w:t>.</w:t>
      </w:r>
      <w:r w:rsidR="00EB180B" w:rsidRPr="007D47AD">
        <w:rPr>
          <w:rFonts w:asciiTheme="minorHAnsi" w:hAnsiTheme="minorHAnsi"/>
          <w:bCs/>
          <w:i/>
          <w:sz w:val="20"/>
          <w:szCs w:val="20"/>
          <w:shd w:val="clear" w:color="auto" w:fill="FFFFFF"/>
          <w:lang w:val="en-US"/>
        </w:rPr>
        <w:t xml:space="preserve"> </w:t>
      </w:r>
      <w:r w:rsidRPr="007D47AD">
        <w:rPr>
          <w:rFonts w:asciiTheme="minorHAnsi" w:hAnsiTheme="minorHAnsi"/>
          <w:bCs/>
          <w:sz w:val="20"/>
          <w:szCs w:val="20"/>
          <w:shd w:val="clear" w:color="auto" w:fill="FFFFFF"/>
          <w:lang w:val="en-US"/>
        </w:rPr>
        <w:t xml:space="preserve">Nonetheless, the recommendations </w:t>
      </w:r>
      <w:r w:rsidR="004D25BB" w:rsidRPr="007D47AD">
        <w:rPr>
          <w:rFonts w:asciiTheme="minorHAnsi" w:hAnsiTheme="minorHAnsi"/>
          <w:bCs/>
          <w:sz w:val="20"/>
          <w:szCs w:val="20"/>
          <w:shd w:val="clear" w:color="auto" w:fill="FFFFFF"/>
          <w:lang w:val="en-US"/>
        </w:rPr>
        <w:t xml:space="preserve">note the importance of </w:t>
      </w:r>
      <w:r w:rsidRPr="007D47AD">
        <w:rPr>
          <w:rFonts w:asciiTheme="minorHAnsi" w:hAnsiTheme="minorHAnsi"/>
          <w:bCs/>
          <w:sz w:val="20"/>
          <w:szCs w:val="20"/>
          <w:shd w:val="clear" w:color="auto" w:fill="FFFFFF"/>
          <w:lang w:val="en-US"/>
        </w:rPr>
        <w:t xml:space="preserve">publicizing the criteria for such certification, which has not yet been reported by the State. In view of the foregoing, the IACHR considers that this recommendation has yet to be implemented. </w:t>
      </w:r>
    </w:p>
    <w:p w:rsidR="004535AF" w:rsidRPr="007D47AD" w:rsidRDefault="00C253BF" w:rsidP="004535AF">
      <w:pPr>
        <w:numPr>
          <w:ilvl w:val="0"/>
          <w:numId w:val="6"/>
        </w:numPr>
        <w:shd w:val="clear" w:color="auto" w:fill="FFFFFF"/>
        <w:spacing w:after="240" w:line="240" w:lineRule="auto"/>
        <w:ind w:left="0" w:firstLine="720"/>
        <w:jc w:val="both"/>
        <w:rPr>
          <w:rFonts w:asciiTheme="minorHAnsi" w:hAnsiTheme="minorHAnsi"/>
          <w:sz w:val="20"/>
          <w:szCs w:val="20"/>
          <w:lang w:val="en-US"/>
        </w:rPr>
      </w:pPr>
      <w:r w:rsidRPr="007D47AD">
        <w:rPr>
          <w:rFonts w:asciiTheme="minorHAnsi" w:eastAsia="Times New Roman" w:hAnsiTheme="minorHAnsi" w:cs="Cambria"/>
          <w:sz w:val="20"/>
          <w:szCs w:val="20"/>
          <w:lang w:val="en-US" w:eastAsia="es-ES"/>
        </w:rPr>
        <w:t xml:space="preserve">As regards the recommendation </w:t>
      </w:r>
      <w:r w:rsidR="00382D69" w:rsidRPr="007D47AD">
        <w:rPr>
          <w:rFonts w:asciiTheme="minorHAnsi" w:eastAsia="Times New Roman" w:hAnsiTheme="minorHAnsi" w:cs="Cambria"/>
          <w:sz w:val="20"/>
          <w:szCs w:val="20"/>
          <w:lang w:val="en-US" w:eastAsia="es-ES"/>
        </w:rPr>
        <w:t xml:space="preserve">to </w:t>
      </w:r>
      <w:r w:rsidR="00A922AE" w:rsidRPr="007D47AD">
        <w:rPr>
          <w:rFonts w:asciiTheme="minorHAnsi" w:eastAsia="Times New Roman" w:hAnsiTheme="minorHAnsi" w:cs="Cambria"/>
          <w:b/>
          <w:sz w:val="20"/>
          <w:szCs w:val="20"/>
          <w:lang w:val="en-US" w:eastAsia="es-ES"/>
        </w:rPr>
        <w:t>implement</w:t>
      </w:r>
      <w:r w:rsidR="00382D69" w:rsidRPr="007D47AD">
        <w:rPr>
          <w:rFonts w:asciiTheme="minorHAnsi" w:eastAsia="Times New Roman" w:hAnsiTheme="minorHAnsi" w:cs="Cambria"/>
          <w:b/>
          <w:sz w:val="20"/>
          <w:szCs w:val="20"/>
          <w:lang w:val="en-US" w:eastAsia="es-ES"/>
        </w:rPr>
        <w:t xml:space="preserve"> measures to guarantee adequate conditions of detention, </w:t>
      </w:r>
      <w:r w:rsidR="004D25BB" w:rsidRPr="007D47AD">
        <w:rPr>
          <w:rFonts w:asciiTheme="minorHAnsi" w:eastAsia="Times New Roman" w:hAnsiTheme="minorHAnsi" w:cs="Cambria"/>
          <w:b/>
          <w:sz w:val="20"/>
          <w:szCs w:val="20"/>
          <w:lang w:val="en-US" w:eastAsia="es-ES"/>
        </w:rPr>
        <w:t xml:space="preserve">particularly </w:t>
      </w:r>
      <w:r w:rsidR="00382D69" w:rsidRPr="007D47AD">
        <w:rPr>
          <w:rFonts w:asciiTheme="minorHAnsi" w:eastAsia="Times New Roman" w:hAnsiTheme="minorHAnsi" w:cs="Cambria"/>
          <w:b/>
          <w:sz w:val="20"/>
          <w:szCs w:val="20"/>
          <w:lang w:val="en-US" w:eastAsia="es-ES"/>
        </w:rPr>
        <w:t>for especially vulnerable groups</w:t>
      </w:r>
      <w:r w:rsidR="00A922AE" w:rsidRPr="007D47AD">
        <w:rPr>
          <w:rFonts w:asciiTheme="minorHAnsi" w:hAnsiTheme="minorHAnsi"/>
          <w:b/>
          <w:color w:val="222222"/>
          <w:sz w:val="20"/>
          <w:szCs w:val="20"/>
          <w:lang w:val="en-US"/>
        </w:rPr>
        <w:t xml:space="preserve">, </w:t>
      </w:r>
      <w:r w:rsidR="00382D69" w:rsidRPr="007D47AD">
        <w:rPr>
          <w:rFonts w:asciiTheme="minorHAnsi" w:hAnsiTheme="minorHAnsi"/>
          <w:b/>
          <w:color w:val="222222"/>
          <w:sz w:val="20"/>
          <w:szCs w:val="20"/>
          <w:lang w:val="en-US"/>
        </w:rPr>
        <w:t>prison policies with a gender perspective, and eliminating barriers for persons with disabilities</w:t>
      </w:r>
      <w:r w:rsidR="00A922AE" w:rsidRPr="007D47AD">
        <w:rPr>
          <w:rFonts w:asciiTheme="minorHAnsi" w:hAnsiTheme="minorHAnsi"/>
          <w:color w:val="222222"/>
          <w:sz w:val="20"/>
          <w:szCs w:val="20"/>
          <w:lang w:val="en-US"/>
        </w:rPr>
        <w:t xml:space="preserve">, </w:t>
      </w:r>
      <w:r w:rsidRPr="007D47AD">
        <w:rPr>
          <w:rFonts w:asciiTheme="minorHAnsi" w:hAnsiTheme="minorHAnsi"/>
          <w:color w:val="222222"/>
          <w:sz w:val="20"/>
          <w:szCs w:val="20"/>
          <w:lang w:val="en-US"/>
        </w:rPr>
        <w:t xml:space="preserve">the State </w:t>
      </w:r>
      <w:r w:rsidR="00A922AE" w:rsidRPr="007D47AD">
        <w:rPr>
          <w:rFonts w:asciiTheme="minorHAnsi" w:hAnsiTheme="minorHAnsi"/>
          <w:color w:val="222222"/>
          <w:sz w:val="20"/>
          <w:szCs w:val="20"/>
          <w:lang w:val="en-US"/>
        </w:rPr>
        <w:t>reiter</w:t>
      </w:r>
      <w:r w:rsidRPr="007D47AD">
        <w:rPr>
          <w:rFonts w:asciiTheme="minorHAnsi" w:hAnsiTheme="minorHAnsi"/>
          <w:color w:val="222222"/>
          <w:sz w:val="20"/>
          <w:szCs w:val="20"/>
          <w:lang w:val="en-US"/>
        </w:rPr>
        <w:t>ated that as regards indigenous persons, the National Conference of the Federal Penitentiary System approve</w:t>
      </w:r>
      <w:r w:rsidR="004D25BB" w:rsidRPr="007D47AD">
        <w:rPr>
          <w:rFonts w:asciiTheme="minorHAnsi" w:hAnsiTheme="minorHAnsi"/>
          <w:color w:val="222222"/>
          <w:sz w:val="20"/>
          <w:szCs w:val="20"/>
          <w:lang w:val="en-US"/>
        </w:rPr>
        <w:t>d</w:t>
      </w:r>
      <w:r w:rsidRPr="007D47AD">
        <w:rPr>
          <w:rFonts w:asciiTheme="minorHAnsi" w:hAnsiTheme="minorHAnsi"/>
          <w:color w:val="222222"/>
          <w:sz w:val="20"/>
          <w:szCs w:val="20"/>
          <w:lang w:val="en-US"/>
        </w:rPr>
        <w:t xml:space="preserve"> the protocol for </w:t>
      </w:r>
      <w:r w:rsidRPr="007D47AD">
        <w:rPr>
          <w:rFonts w:asciiTheme="minorHAnsi" w:hAnsiTheme="minorHAnsi"/>
          <w:color w:val="222222"/>
          <w:sz w:val="20"/>
          <w:szCs w:val="20"/>
          <w:lang w:val="en-US"/>
        </w:rPr>
        <w:lastRenderedPageBreak/>
        <w:t xml:space="preserve">action in cases involving that population. In addition, as regards women deprived of liberty, it noted that said National </w:t>
      </w:r>
      <w:r w:rsidR="00A922AE" w:rsidRPr="007D47AD">
        <w:rPr>
          <w:rFonts w:asciiTheme="minorHAnsi" w:hAnsiTheme="minorHAnsi"/>
          <w:color w:val="222222"/>
          <w:sz w:val="20"/>
          <w:szCs w:val="20"/>
          <w:lang w:val="en-US"/>
        </w:rPr>
        <w:t>Conferenc</w:t>
      </w:r>
      <w:r w:rsidR="004D25BB" w:rsidRPr="007D47AD">
        <w:rPr>
          <w:rFonts w:asciiTheme="minorHAnsi" w:hAnsiTheme="minorHAnsi"/>
          <w:color w:val="222222"/>
          <w:sz w:val="20"/>
          <w:szCs w:val="20"/>
          <w:lang w:val="en-US"/>
        </w:rPr>
        <w:t>e</w:t>
      </w:r>
      <w:r w:rsidR="00A922AE" w:rsidRPr="007D47AD">
        <w:rPr>
          <w:rFonts w:asciiTheme="minorHAnsi" w:hAnsiTheme="minorHAnsi"/>
          <w:color w:val="222222"/>
          <w:sz w:val="20"/>
          <w:szCs w:val="20"/>
          <w:lang w:val="en-US"/>
        </w:rPr>
        <w:t xml:space="preserve"> </w:t>
      </w:r>
      <w:r w:rsidRPr="007D47AD">
        <w:rPr>
          <w:rFonts w:asciiTheme="minorHAnsi" w:hAnsiTheme="minorHAnsi"/>
          <w:color w:val="222222"/>
          <w:sz w:val="20"/>
          <w:szCs w:val="20"/>
          <w:lang w:val="en-US"/>
        </w:rPr>
        <w:t xml:space="preserve">distributed to the prison </w:t>
      </w:r>
      <w:r w:rsidR="004E08FB" w:rsidRPr="007D47AD">
        <w:rPr>
          <w:rFonts w:asciiTheme="minorHAnsi" w:hAnsiTheme="minorHAnsi"/>
          <w:color w:val="222222"/>
          <w:sz w:val="20"/>
          <w:szCs w:val="20"/>
          <w:lang w:val="en-US"/>
        </w:rPr>
        <w:t>personnel</w:t>
      </w:r>
      <w:r w:rsidRPr="007D47AD">
        <w:rPr>
          <w:rFonts w:asciiTheme="minorHAnsi" w:hAnsiTheme="minorHAnsi"/>
          <w:color w:val="222222"/>
          <w:sz w:val="20"/>
          <w:szCs w:val="20"/>
          <w:lang w:val="en-US"/>
        </w:rPr>
        <w:t xml:space="preserve"> copies of the “Decalogue of the Rights of Women Deprived o</w:t>
      </w:r>
      <w:r w:rsidR="004D25BB" w:rsidRPr="007D47AD">
        <w:rPr>
          <w:rFonts w:asciiTheme="minorHAnsi" w:hAnsiTheme="minorHAnsi"/>
          <w:color w:val="222222"/>
          <w:sz w:val="20"/>
          <w:szCs w:val="20"/>
          <w:lang w:val="en-US"/>
        </w:rPr>
        <w:t>f</w:t>
      </w:r>
      <w:r w:rsidRPr="007D47AD">
        <w:rPr>
          <w:rFonts w:asciiTheme="minorHAnsi" w:hAnsiTheme="minorHAnsi"/>
          <w:color w:val="222222"/>
          <w:sz w:val="20"/>
          <w:szCs w:val="20"/>
          <w:lang w:val="en-US"/>
        </w:rPr>
        <w:t xml:space="preserve"> Liberty.” With respect to persons with disabilities, in </w:t>
      </w:r>
      <w:r w:rsidR="00A922AE" w:rsidRPr="007D47AD">
        <w:rPr>
          <w:rFonts w:asciiTheme="minorHAnsi" w:hAnsiTheme="minorHAnsi"/>
          <w:color w:val="222222"/>
          <w:sz w:val="20"/>
          <w:szCs w:val="20"/>
          <w:lang w:val="en-US"/>
        </w:rPr>
        <w:t xml:space="preserve">CEFERESO No. 2 “Occidente” </w:t>
      </w:r>
      <w:r w:rsidRPr="007D47AD">
        <w:rPr>
          <w:rFonts w:asciiTheme="minorHAnsi" w:hAnsiTheme="minorHAnsi"/>
          <w:color w:val="222222"/>
          <w:sz w:val="20"/>
          <w:szCs w:val="20"/>
          <w:lang w:val="en-US"/>
        </w:rPr>
        <w:t>the project was carried out with the modifications needed to make it feasible and adapt</w:t>
      </w:r>
      <w:r w:rsidR="004D25BB" w:rsidRPr="007D47AD">
        <w:rPr>
          <w:rFonts w:asciiTheme="minorHAnsi" w:hAnsiTheme="minorHAnsi"/>
          <w:color w:val="222222"/>
          <w:sz w:val="20"/>
          <w:szCs w:val="20"/>
          <w:lang w:val="en-US"/>
        </w:rPr>
        <w:t>ation</w:t>
      </w:r>
      <w:r w:rsidRPr="007D47AD">
        <w:rPr>
          <w:rFonts w:asciiTheme="minorHAnsi" w:hAnsiTheme="minorHAnsi"/>
          <w:color w:val="222222"/>
          <w:sz w:val="20"/>
          <w:szCs w:val="20"/>
          <w:lang w:val="en-US"/>
        </w:rPr>
        <w:t xml:space="preserve"> </w:t>
      </w:r>
      <w:r w:rsidR="004D25BB" w:rsidRPr="007D47AD">
        <w:rPr>
          <w:rFonts w:asciiTheme="minorHAnsi" w:hAnsiTheme="minorHAnsi"/>
          <w:color w:val="222222"/>
          <w:sz w:val="20"/>
          <w:szCs w:val="20"/>
          <w:lang w:val="en-US"/>
        </w:rPr>
        <w:t xml:space="preserve">of </w:t>
      </w:r>
      <w:r w:rsidRPr="007D47AD">
        <w:rPr>
          <w:rFonts w:asciiTheme="minorHAnsi" w:hAnsiTheme="minorHAnsi"/>
          <w:color w:val="222222"/>
          <w:sz w:val="20"/>
          <w:szCs w:val="20"/>
          <w:lang w:val="en-US"/>
        </w:rPr>
        <w:t xml:space="preserve">the accesses and lodging </w:t>
      </w:r>
      <w:r w:rsidR="00845310" w:rsidRPr="007D47AD">
        <w:rPr>
          <w:rFonts w:asciiTheme="minorHAnsi" w:hAnsiTheme="minorHAnsi"/>
          <w:color w:val="222222"/>
          <w:sz w:val="20"/>
          <w:szCs w:val="20"/>
          <w:lang w:val="en-US"/>
        </w:rPr>
        <w:t xml:space="preserve">for </w:t>
      </w:r>
      <w:r w:rsidRPr="007D47AD">
        <w:rPr>
          <w:rFonts w:asciiTheme="minorHAnsi" w:hAnsiTheme="minorHAnsi"/>
          <w:color w:val="222222"/>
          <w:sz w:val="20"/>
          <w:szCs w:val="20"/>
          <w:lang w:val="en-US"/>
        </w:rPr>
        <w:t xml:space="preserve">persons and visitors with disabilities. This project includes the preliminary analysis of the feasibility assessment of the spaces and circulation for guaranteeing access to persons with disabilities, </w:t>
      </w:r>
      <w:r w:rsidR="00845310" w:rsidRPr="007D47AD">
        <w:rPr>
          <w:rFonts w:asciiTheme="minorHAnsi" w:hAnsiTheme="minorHAnsi"/>
          <w:color w:val="222222"/>
          <w:sz w:val="20"/>
          <w:szCs w:val="20"/>
          <w:lang w:val="en-US"/>
        </w:rPr>
        <w:t xml:space="preserve">and </w:t>
      </w:r>
      <w:r w:rsidRPr="007D47AD">
        <w:rPr>
          <w:rFonts w:asciiTheme="minorHAnsi" w:hAnsiTheme="minorHAnsi"/>
          <w:color w:val="222222"/>
          <w:sz w:val="20"/>
          <w:szCs w:val="20"/>
          <w:lang w:val="en-US"/>
        </w:rPr>
        <w:t>technical support, to be considered when making th</w:t>
      </w:r>
      <w:r w:rsidR="00845310" w:rsidRPr="007D47AD">
        <w:rPr>
          <w:rFonts w:asciiTheme="minorHAnsi" w:hAnsiTheme="minorHAnsi"/>
          <w:color w:val="222222"/>
          <w:sz w:val="20"/>
          <w:szCs w:val="20"/>
          <w:lang w:val="en-US"/>
        </w:rPr>
        <w:t>e</w:t>
      </w:r>
      <w:r w:rsidRPr="007D47AD">
        <w:rPr>
          <w:rFonts w:asciiTheme="minorHAnsi" w:hAnsiTheme="minorHAnsi"/>
          <w:color w:val="222222"/>
          <w:sz w:val="20"/>
          <w:szCs w:val="20"/>
          <w:lang w:val="en-US"/>
        </w:rPr>
        <w:t xml:space="preserve"> adjustments of spaces referred to in the assessment and list of ramps needed to address issues of access.</w:t>
      </w:r>
      <w:r w:rsidR="00A922AE" w:rsidRPr="007D47AD">
        <w:rPr>
          <w:rStyle w:val="FootnoteReference"/>
          <w:rFonts w:asciiTheme="minorHAnsi" w:hAnsiTheme="minorHAnsi"/>
          <w:color w:val="222222"/>
          <w:sz w:val="20"/>
          <w:szCs w:val="20"/>
          <w:lang w:val="en-US"/>
        </w:rPr>
        <w:footnoteReference w:id="384"/>
      </w:r>
      <w:r w:rsidR="004535AF" w:rsidRPr="007D47AD">
        <w:rPr>
          <w:rFonts w:asciiTheme="minorHAnsi" w:hAnsiTheme="minorHAnsi"/>
          <w:color w:val="222222"/>
          <w:sz w:val="20"/>
          <w:szCs w:val="20"/>
          <w:lang w:val="en-US"/>
        </w:rPr>
        <w:t xml:space="preserve"> </w:t>
      </w:r>
      <w:r w:rsidR="00325299" w:rsidRPr="007D47AD">
        <w:rPr>
          <w:rFonts w:asciiTheme="minorHAnsi" w:hAnsiTheme="minorHAnsi"/>
          <w:color w:val="222222"/>
          <w:sz w:val="20"/>
          <w:szCs w:val="20"/>
          <w:lang w:val="en-US"/>
        </w:rPr>
        <w:t>I</w:t>
      </w:r>
      <w:r w:rsidR="004535AF" w:rsidRPr="007D47AD">
        <w:rPr>
          <w:rFonts w:asciiTheme="minorHAnsi" w:hAnsiTheme="minorHAnsi"/>
          <w:color w:val="222222"/>
          <w:sz w:val="20"/>
          <w:szCs w:val="20"/>
          <w:lang w:val="en-US"/>
        </w:rPr>
        <w:t xml:space="preserve">n </w:t>
      </w:r>
      <w:r w:rsidR="00325299" w:rsidRPr="007D47AD">
        <w:rPr>
          <w:rFonts w:asciiTheme="minorHAnsi" w:hAnsiTheme="minorHAnsi"/>
          <w:color w:val="222222"/>
          <w:sz w:val="20"/>
          <w:szCs w:val="20"/>
          <w:lang w:val="en-US"/>
        </w:rPr>
        <w:t>its observations on the draft of this report the State indicated that during the period of confinement the State offers health services, social assistance, visits by defense counsel, phone calls, family and intimate visits, dispute resolution, and remunerated work, among other services.</w:t>
      </w:r>
      <w:r w:rsidR="004535AF" w:rsidRPr="007D47AD">
        <w:rPr>
          <w:rStyle w:val="FootnoteReference"/>
          <w:rFonts w:asciiTheme="minorHAnsi" w:eastAsia="Cambria" w:hAnsiTheme="minorHAnsi" w:cs="Cambria"/>
          <w:sz w:val="20"/>
          <w:szCs w:val="20"/>
          <w:lang w:val="en-US"/>
        </w:rPr>
        <w:footnoteReference w:id="385"/>
      </w:r>
    </w:p>
    <w:p w:rsidR="00A922AE" w:rsidRPr="007D47AD" w:rsidRDefault="00325299" w:rsidP="00325299">
      <w:pPr>
        <w:numPr>
          <w:ilvl w:val="0"/>
          <w:numId w:val="6"/>
        </w:numPr>
        <w:shd w:val="clear" w:color="auto" w:fill="FFFFFF"/>
        <w:spacing w:after="240" w:line="240" w:lineRule="auto"/>
        <w:ind w:left="0" w:firstLine="720"/>
        <w:jc w:val="both"/>
        <w:rPr>
          <w:rFonts w:asciiTheme="minorHAnsi" w:hAnsiTheme="minorHAnsi"/>
          <w:sz w:val="20"/>
          <w:szCs w:val="20"/>
          <w:lang w:val="en-US"/>
        </w:rPr>
      </w:pPr>
      <w:r w:rsidRPr="007D47AD">
        <w:rPr>
          <w:rFonts w:asciiTheme="minorHAnsi" w:hAnsiTheme="minorHAnsi"/>
          <w:color w:val="222222"/>
          <w:sz w:val="20"/>
          <w:szCs w:val="20"/>
          <w:lang w:val="en-US"/>
        </w:rPr>
        <w:t xml:space="preserve">In addition, in its observations on the draft of this report, the State reported on the development of courses on human rights and the rights of persons deprived of liberty; and the dissemination of materials </w:t>
      </w:r>
      <w:r w:rsidR="004535AF" w:rsidRPr="007D47AD">
        <w:rPr>
          <w:rFonts w:asciiTheme="minorHAnsi" w:hAnsiTheme="minorHAnsi"/>
          <w:color w:val="222222"/>
          <w:sz w:val="20"/>
          <w:szCs w:val="20"/>
          <w:lang w:val="en-US"/>
        </w:rPr>
        <w:t>(“Dec</w:t>
      </w:r>
      <w:r w:rsidRPr="007D47AD">
        <w:rPr>
          <w:rFonts w:asciiTheme="minorHAnsi" w:hAnsiTheme="minorHAnsi"/>
          <w:color w:val="222222"/>
          <w:sz w:val="20"/>
          <w:szCs w:val="20"/>
          <w:lang w:val="en-US"/>
        </w:rPr>
        <w:t>a</w:t>
      </w:r>
      <w:r w:rsidR="004535AF" w:rsidRPr="007D47AD">
        <w:rPr>
          <w:rFonts w:asciiTheme="minorHAnsi" w:hAnsiTheme="minorHAnsi"/>
          <w:color w:val="222222"/>
          <w:sz w:val="20"/>
          <w:szCs w:val="20"/>
          <w:lang w:val="en-US"/>
        </w:rPr>
        <w:t>log</w:t>
      </w:r>
      <w:r w:rsidRPr="007D47AD">
        <w:rPr>
          <w:rFonts w:asciiTheme="minorHAnsi" w:hAnsiTheme="minorHAnsi"/>
          <w:color w:val="222222"/>
          <w:sz w:val="20"/>
          <w:szCs w:val="20"/>
          <w:lang w:val="en-US"/>
        </w:rPr>
        <w:t xml:space="preserve">ue of Rights of Persons Deprived of Liberty,” </w:t>
      </w:r>
      <w:r w:rsidR="004535AF" w:rsidRPr="007D47AD">
        <w:rPr>
          <w:rFonts w:asciiTheme="minorHAnsi" w:hAnsiTheme="minorHAnsi"/>
          <w:color w:val="222222"/>
          <w:sz w:val="20"/>
          <w:szCs w:val="20"/>
          <w:lang w:val="en-US"/>
        </w:rPr>
        <w:t>“Dec</w:t>
      </w:r>
      <w:r w:rsidRPr="007D47AD">
        <w:rPr>
          <w:rFonts w:asciiTheme="minorHAnsi" w:hAnsiTheme="minorHAnsi"/>
          <w:color w:val="222222"/>
          <w:sz w:val="20"/>
          <w:szCs w:val="20"/>
          <w:lang w:val="en-US"/>
        </w:rPr>
        <w:t>alogue of the Rights of Women Deprived of Liberty,” “Primer on the Rights and Obligations of Persons Deprived of Liberty”) geared to the prison population.</w:t>
      </w:r>
      <w:r w:rsidR="004535AF" w:rsidRPr="007D47AD">
        <w:rPr>
          <w:rStyle w:val="FootnoteReference"/>
          <w:rFonts w:asciiTheme="minorHAnsi" w:eastAsia="Cambria" w:hAnsiTheme="minorHAnsi" w:cs="Cambria"/>
          <w:sz w:val="20"/>
          <w:szCs w:val="20"/>
          <w:lang w:val="en-US"/>
        </w:rPr>
        <w:footnoteReference w:id="386"/>
      </w:r>
    </w:p>
    <w:p w:rsidR="00A922AE" w:rsidRPr="007D47AD" w:rsidRDefault="00C253BF" w:rsidP="00A922AE">
      <w:pPr>
        <w:numPr>
          <w:ilvl w:val="0"/>
          <w:numId w:val="6"/>
        </w:numPr>
        <w:shd w:val="clear" w:color="auto" w:fill="FFFFFF"/>
        <w:spacing w:after="240" w:line="240" w:lineRule="auto"/>
        <w:ind w:left="0" w:firstLine="720"/>
        <w:jc w:val="both"/>
        <w:rPr>
          <w:rFonts w:asciiTheme="minorHAnsi" w:hAnsiTheme="minorHAnsi"/>
          <w:sz w:val="20"/>
          <w:szCs w:val="20"/>
          <w:lang w:val="en-US"/>
        </w:rPr>
      </w:pPr>
      <w:r w:rsidRPr="007D47AD">
        <w:rPr>
          <w:rFonts w:asciiTheme="minorHAnsi" w:hAnsiTheme="minorHAnsi"/>
          <w:sz w:val="20"/>
          <w:szCs w:val="20"/>
          <w:lang w:val="en-US"/>
        </w:rPr>
        <w:t xml:space="preserve">According to the </w:t>
      </w:r>
      <w:r w:rsidR="00A922AE" w:rsidRPr="007D47AD">
        <w:rPr>
          <w:rFonts w:asciiTheme="minorHAnsi" w:hAnsiTheme="minorHAnsi"/>
          <w:sz w:val="20"/>
          <w:szCs w:val="20"/>
          <w:lang w:val="en-US"/>
        </w:rPr>
        <w:t xml:space="preserve">CNDH, </w:t>
      </w:r>
      <w:r w:rsidRPr="007D47AD">
        <w:rPr>
          <w:rFonts w:asciiTheme="minorHAnsi" w:hAnsiTheme="minorHAnsi"/>
          <w:sz w:val="20"/>
          <w:szCs w:val="20"/>
          <w:lang w:val="en-US"/>
        </w:rPr>
        <w:t>the Mexican State continues facing difficulties in respe</w:t>
      </w:r>
      <w:r w:rsidR="00AA6991" w:rsidRPr="007D47AD">
        <w:rPr>
          <w:rFonts w:asciiTheme="minorHAnsi" w:hAnsiTheme="minorHAnsi"/>
          <w:sz w:val="20"/>
          <w:szCs w:val="20"/>
          <w:lang w:val="en-US"/>
        </w:rPr>
        <w:t>c</w:t>
      </w:r>
      <w:r w:rsidRPr="007D47AD">
        <w:rPr>
          <w:rFonts w:asciiTheme="minorHAnsi" w:hAnsiTheme="minorHAnsi"/>
          <w:sz w:val="20"/>
          <w:szCs w:val="20"/>
          <w:lang w:val="en-US"/>
        </w:rPr>
        <w:t>t of women deprived of liberty, for the prison system still lacks dignified spaces and specific services to address the characteristics of this group.</w:t>
      </w:r>
      <w:r w:rsidR="00A922AE" w:rsidRPr="007D47AD">
        <w:rPr>
          <w:rStyle w:val="FootnoteReference"/>
          <w:rFonts w:asciiTheme="minorHAnsi" w:hAnsiTheme="minorHAnsi"/>
          <w:sz w:val="20"/>
          <w:szCs w:val="20"/>
          <w:lang w:val="en-US"/>
        </w:rPr>
        <w:footnoteReference w:id="387"/>
      </w:r>
      <w:r w:rsidR="00A922AE" w:rsidRPr="007D47AD">
        <w:rPr>
          <w:rFonts w:asciiTheme="minorHAnsi" w:hAnsiTheme="minorHAnsi"/>
          <w:sz w:val="20"/>
          <w:szCs w:val="20"/>
          <w:lang w:val="en-US"/>
        </w:rPr>
        <w:t xml:space="preserve"> </w:t>
      </w:r>
      <w:r w:rsidRPr="007D47AD">
        <w:rPr>
          <w:rFonts w:asciiTheme="minorHAnsi" w:hAnsiTheme="minorHAnsi"/>
          <w:sz w:val="20"/>
          <w:szCs w:val="20"/>
          <w:lang w:val="en-US"/>
        </w:rPr>
        <w:t>In this regard, the Mexican prison system houses 4,902 women deprived of liberty.</w:t>
      </w:r>
      <w:r w:rsidR="00A922AE" w:rsidRPr="007D47AD">
        <w:rPr>
          <w:rStyle w:val="FootnoteReference"/>
          <w:rFonts w:asciiTheme="minorHAnsi" w:hAnsiTheme="minorHAnsi"/>
          <w:sz w:val="20"/>
          <w:szCs w:val="20"/>
          <w:lang w:val="en-US"/>
        </w:rPr>
        <w:footnoteReference w:id="388"/>
      </w:r>
      <w:r w:rsidR="00A922AE" w:rsidRPr="007D47AD">
        <w:rPr>
          <w:rFonts w:asciiTheme="minorHAnsi" w:hAnsiTheme="minorHAnsi"/>
          <w:sz w:val="20"/>
          <w:szCs w:val="20"/>
          <w:lang w:val="en-US"/>
        </w:rPr>
        <w:t xml:space="preserve"> </w:t>
      </w:r>
      <w:r w:rsidRPr="007D47AD">
        <w:rPr>
          <w:rFonts w:asciiTheme="minorHAnsi" w:hAnsiTheme="minorHAnsi"/>
          <w:sz w:val="20"/>
          <w:szCs w:val="20"/>
          <w:lang w:val="en-US"/>
        </w:rPr>
        <w:t xml:space="preserve">Even though it is made up of 300 prisons, only 18 are set aside exclusively for women prisoners. Given the limited spaces in women’s prisons, only </w:t>
      </w:r>
      <w:r w:rsidR="00A922AE" w:rsidRPr="007D47AD">
        <w:rPr>
          <w:rFonts w:asciiTheme="minorHAnsi" w:hAnsiTheme="minorHAnsi"/>
          <w:sz w:val="20"/>
          <w:szCs w:val="20"/>
          <w:lang w:val="en-US"/>
        </w:rPr>
        <w:t>40</w:t>
      </w:r>
      <w:r w:rsidRPr="007D47AD">
        <w:rPr>
          <w:rFonts w:asciiTheme="minorHAnsi" w:hAnsiTheme="minorHAnsi"/>
          <w:sz w:val="20"/>
          <w:szCs w:val="20"/>
          <w:lang w:val="en-US"/>
        </w:rPr>
        <w:t>.</w:t>
      </w:r>
      <w:r w:rsidR="00A922AE" w:rsidRPr="007D47AD">
        <w:rPr>
          <w:rFonts w:asciiTheme="minorHAnsi" w:hAnsiTheme="minorHAnsi"/>
          <w:sz w:val="20"/>
          <w:szCs w:val="20"/>
          <w:lang w:val="en-US"/>
        </w:rPr>
        <w:t xml:space="preserve">2% </w:t>
      </w:r>
      <w:r w:rsidRPr="007D47AD">
        <w:rPr>
          <w:rFonts w:asciiTheme="minorHAnsi" w:hAnsiTheme="minorHAnsi"/>
          <w:sz w:val="20"/>
          <w:szCs w:val="20"/>
          <w:lang w:val="en-US"/>
        </w:rPr>
        <w:t xml:space="preserve">of the female population deprived of liberty is in prisons exclusively for women, whereas the remaining </w:t>
      </w:r>
      <w:r w:rsidR="00EC5DE6" w:rsidRPr="007D47AD">
        <w:rPr>
          <w:rFonts w:asciiTheme="minorHAnsi" w:hAnsiTheme="minorHAnsi"/>
          <w:sz w:val="20"/>
          <w:szCs w:val="20"/>
          <w:lang w:val="en-US"/>
        </w:rPr>
        <w:t>59</w:t>
      </w:r>
      <w:r w:rsidRPr="007D47AD">
        <w:rPr>
          <w:rFonts w:asciiTheme="minorHAnsi" w:hAnsiTheme="minorHAnsi"/>
          <w:sz w:val="20"/>
          <w:szCs w:val="20"/>
          <w:lang w:val="en-US"/>
        </w:rPr>
        <w:t>.</w:t>
      </w:r>
      <w:r w:rsidR="00EC5DE6" w:rsidRPr="007D47AD">
        <w:rPr>
          <w:rFonts w:asciiTheme="minorHAnsi" w:hAnsiTheme="minorHAnsi"/>
          <w:sz w:val="20"/>
          <w:szCs w:val="20"/>
          <w:lang w:val="en-US"/>
        </w:rPr>
        <w:t>8</w:t>
      </w:r>
      <w:r w:rsidR="00A922AE" w:rsidRPr="007D47AD">
        <w:rPr>
          <w:rFonts w:asciiTheme="minorHAnsi" w:hAnsiTheme="minorHAnsi"/>
          <w:sz w:val="20"/>
          <w:szCs w:val="20"/>
          <w:lang w:val="en-US"/>
        </w:rPr>
        <w:t xml:space="preserve">% </w:t>
      </w:r>
      <w:r w:rsidR="001F36F9" w:rsidRPr="007D47AD">
        <w:rPr>
          <w:rFonts w:asciiTheme="minorHAnsi" w:hAnsiTheme="minorHAnsi"/>
          <w:sz w:val="20"/>
          <w:szCs w:val="20"/>
          <w:lang w:val="en-US"/>
        </w:rPr>
        <w:t>are in mixed prisons.</w:t>
      </w:r>
      <w:r w:rsidR="00A922AE" w:rsidRPr="007D47AD">
        <w:rPr>
          <w:rStyle w:val="FootnoteReference"/>
          <w:rFonts w:asciiTheme="minorHAnsi" w:hAnsiTheme="minorHAnsi"/>
          <w:sz w:val="20"/>
          <w:szCs w:val="20"/>
          <w:lang w:val="en-US"/>
        </w:rPr>
        <w:footnoteReference w:id="389"/>
      </w:r>
      <w:r w:rsidR="00A922AE" w:rsidRPr="007D47AD">
        <w:rPr>
          <w:rFonts w:asciiTheme="minorHAnsi" w:hAnsiTheme="minorHAnsi"/>
          <w:sz w:val="20"/>
          <w:szCs w:val="20"/>
          <w:lang w:val="en-US"/>
        </w:rPr>
        <w:t xml:space="preserve"> </w:t>
      </w:r>
      <w:r w:rsidR="001F36F9" w:rsidRPr="007D47AD">
        <w:rPr>
          <w:rFonts w:asciiTheme="minorHAnsi" w:hAnsiTheme="minorHAnsi"/>
          <w:sz w:val="20"/>
          <w:szCs w:val="20"/>
          <w:lang w:val="en-US"/>
        </w:rPr>
        <w:t xml:space="preserve">In addition, according to information from the National Assessment of Prison Supervision carried out by the </w:t>
      </w:r>
      <w:r w:rsidR="00A922AE" w:rsidRPr="007D47AD">
        <w:rPr>
          <w:rFonts w:asciiTheme="minorHAnsi" w:hAnsiTheme="minorHAnsi"/>
          <w:sz w:val="20"/>
          <w:szCs w:val="20"/>
          <w:lang w:val="en-US"/>
        </w:rPr>
        <w:t xml:space="preserve">CNDH, </w:t>
      </w:r>
      <w:r w:rsidR="001F36F9" w:rsidRPr="007D47AD">
        <w:rPr>
          <w:rFonts w:asciiTheme="minorHAnsi" w:hAnsiTheme="minorHAnsi"/>
          <w:sz w:val="20"/>
          <w:szCs w:val="20"/>
          <w:lang w:val="en-US"/>
        </w:rPr>
        <w:t>the mixed prisons that hold women deprived of liberty obtained failing marks when examined from the standpoint of international human rights standards and deprivation of liberty.</w:t>
      </w:r>
      <w:r w:rsidR="00A922AE" w:rsidRPr="007D47AD">
        <w:rPr>
          <w:rStyle w:val="FootnoteReference"/>
          <w:rFonts w:asciiTheme="minorHAnsi" w:hAnsiTheme="minorHAnsi"/>
          <w:sz w:val="20"/>
          <w:szCs w:val="20"/>
          <w:lang w:val="en-US"/>
        </w:rPr>
        <w:footnoteReference w:id="390"/>
      </w:r>
      <w:r w:rsidR="00A922AE" w:rsidRPr="007D47AD">
        <w:rPr>
          <w:rFonts w:asciiTheme="minorHAnsi" w:hAnsiTheme="minorHAnsi"/>
          <w:sz w:val="20"/>
          <w:szCs w:val="20"/>
          <w:lang w:val="en-US"/>
        </w:rPr>
        <w:t xml:space="preserve"> </w:t>
      </w:r>
    </w:p>
    <w:p w:rsidR="004535AF" w:rsidRPr="007D47AD" w:rsidRDefault="001F36F9" w:rsidP="00325299">
      <w:pPr>
        <w:numPr>
          <w:ilvl w:val="0"/>
          <w:numId w:val="6"/>
        </w:numPr>
        <w:shd w:val="clear" w:color="auto" w:fill="FFFFFF"/>
        <w:spacing w:after="240" w:line="240" w:lineRule="auto"/>
        <w:ind w:left="0" w:firstLine="720"/>
        <w:jc w:val="both"/>
        <w:rPr>
          <w:rFonts w:asciiTheme="minorHAnsi" w:hAnsiTheme="minorHAnsi"/>
          <w:sz w:val="20"/>
          <w:szCs w:val="20"/>
          <w:lang w:val="en-US"/>
        </w:rPr>
      </w:pPr>
      <w:r w:rsidRPr="007D47AD">
        <w:rPr>
          <w:rFonts w:asciiTheme="minorHAnsi" w:hAnsiTheme="minorHAnsi"/>
          <w:sz w:val="20"/>
          <w:szCs w:val="20"/>
          <w:lang w:val="en-US"/>
        </w:rPr>
        <w:t xml:space="preserve">According to statistics from the </w:t>
      </w:r>
      <w:r w:rsidR="00A922AE" w:rsidRPr="007D47AD">
        <w:rPr>
          <w:rFonts w:asciiTheme="minorHAnsi" w:hAnsiTheme="minorHAnsi"/>
          <w:sz w:val="20"/>
          <w:szCs w:val="20"/>
          <w:lang w:val="en-US"/>
        </w:rPr>
        <w:t>INEGI</w:t>
      </w:r>
      <w:r w:rsidR="00A922AE" w:rsidRPr="007D47AD">
        <w:rPr>
          <w:rStyle w:val="FootnoteReference"/>
          <w:rFonts w:asciiTheme="minorHAnsi" w:hAnsiTheme="minorHAnsi"/>
          <w:sz w:val="20"/>
          <w:szCs w:val="20"/>
          <w:lang w:val="en-US"/>
        </w:rPr>
        <w:footnoteReference w:id="391"/>
      </w:r>
      <w:r w:rsidR="00A922AE" w:rsidRPr="007D47AD">
        <w:rPr>
          <w:rFonts w:asciiTheme="minorHAnsi" w:hAnsiTheme="minorHAnsi"/>
          <w:sz w:val="20"/>
          <w:szCs w:val="20"/>
          <w:lang w:val="en-US"/>
        </w:rPr>
        <w:t xml:space="preserve">, 80% </w:t>
      </w:r>
      <w:r w:rsidRPr="007D47AD">
        <w:rPr>
          <w:rFonts w:asciiTheme="minorHAnsi" w:hAnsiTheme="minorHAnsi"/>
          <w:sz w:val="20"/>
          <w:szCs w:val="20"/>
          <w:lang w:val="en-US"/>
        </w:rPr>
        <w:t>of the women depri</w:t>
      </w:r>
      <w:r w:rsidR="00AA6991" w:rsidRPr="007D47AD">
        <w:rPr>
          <w:rFonts w:asciiTheme="minorHAnsi" w:hAnsiTheme="minorHAnsi"/>
          <w:sz w:val="20"/>
          <w:szCs w:val="20"/>
          <w:lang w:val="en-US"/>
        </w:rPr>
        <w:t>v</w:t>
      </w:r>
      <w:r w:rsidRPr="007D47AD">
        <w:rPr>
          <w:rFonts w:asciiTheme="minorHAnsi" w:hAnsiTheme="minorHAnsi"/>
          <w:sz w:val="20"/>
          <w:szCs w:val="20"/>
          <w:lang w:val="en-US"/>
        </w:rPr>
        <w:t xml:space="preserve">ed of liberty are mothers, and of </w:t>
      </w:r>
      <w:r w:rsidR="00AA6991" w:rsidRPr="007D47AD">
        <w:rPr>
          <w:rFonts w:asciiTheme="minorHAnsi" w:hAnsiTheme="minorHAnsi"/>
          <w:sz w:val="20"/>
          <w:szCs w:val="20"/>
          <w:lang w:val="en-US"/>
        </w:rPr>
        <w:t xml:space="preserve">these, </w:t>
      </w:r>
      <w:r w:rsidR="00A922AE" w:rsidRPr="007D47AD">
        <w:rPr>
          <w:rFonts w:asciiTheme="minorHAnsi" w:hAnsiTheme="minorHAnsi"/>
          <w:sz w:val="20"/>
          <w:szCs w:val="20"/>
          <w:lang w:val="en-US"/>
        </w:rPr>
        <w:t xml:space="preserve">60% </w:t>
      </w:r>
      <w:r w:rsidRPr="007D47AD">
        <w:rPr>
          <w:rFonts w:asciiTheme="minorHAnsi" w:hAnsiTheme="minorHAnsi"/>
          <w:sz w:val="20"/>
          <w:szCs w:val="20"/>
          <w:lang w:val="en-US"/>
        </w:rPr>
        <w:t>have minor children.</w:t>
      </w:r>
      <w:r w:rsidR="00A922AE" w:rsidRPr="007D47AD">
        <w:rPr>
          <w:rStyle w:val="FootnoteReference"/>
          <w:rFonts w:asciiTheme="minorHAnsi" w:hAnsiTheme="minorHAnsi"/>
          <w:sz w:val="20"/>
          <w:szCs w:val="20"/>
          <w:lang w:val="en-US"/>
        </w:rPr>
        <w:footnoteReference w:id="392"/>
      </w:r>
      <w:r w:rsidR="00A922AE" w:rsidRPr="007D47AD">
        <w:rPr>
          <w:rFonts w:asciiTheme="minorHAnsi" w:hAnsiTheme="minorHAnsi"/>
          <w:sz w:val="20"/>
          <w:szCs w:val="20"/>
          <w:lang w:val="en-US"/>
        </w:rPr>
        <w:t xml:space="preserve"> </w:t>
      </w:r>
      <w:r w:rsidRPr="007D47AD">
        <w:rPr>
          <w:rFonts w:asciiTheme="minorHAnsi" w:hAnsiTheme="minorHAnsi"/>
          <w:sz w:val="20"/>
          <w:szCs w:val="20"/>
          <w:lang w:val="en-US"/>
        </w:rPr>
        <w:t>Considering the large number of mothers in prison, civil society has asked the Mexican State to provide sufficient and adequate infrastructure for women deprived of liberty who are pregnant or breastfeeding.</w:t>
      </w:r>
      <w:r w:rsidR="00A922AE" w:rsidRPr="007D47AD">
        <w:rPr>
          <w:rStyle w:val="FootnoteReference"/>
          <w:rFonts w:asciiTheme="minorHAnsi" w:hAnsiTheme="minorHAnsi"/>
          <w:sz w:val="20"/>
          <w:szCs w:val="20"/>
          <w:lang w:val="en-US"/>
        </w:rPr>
        <w:footnoteReference w:id="393"/>
      </w:r>
      <w:r w:rsidR="004535AF" w:rsidRPr="007D47AD">
        <w:rPr>
          <w:rFonts w:asciiTheme="minorHAnsi" w:hAnsiTheme="minorHAnsi"/>
          <w:sz w:val="20"/>
          <w:szCs w:val="20"/>
          <w:lang w:val="en-US"/>
        </w:rPr>
        <w:t xml:space="preserve"> </w:t>
      </w:r>
      <w:r w:rsidR="00325299" w:rsidRPr="007D47AD">
        <w:rPr>
          <w:rFonts w:asciiTheme="minorHAnsi" w:hAnsiTheme="minorHAnsi"/>
          <w:sz w:val="20"/>
          <w:szCs w:val="20"/>
          <w:lang w:val="en-US"/>
        </w:rPr>
        <w:t>I</w:t>
      </w:r>
      <w:r w:rsidR="004535AF" w:rsidRPr="007D47AD">
        <w:rPr>
          <w:rFonts w:asciiTheme="minorHAnsi" w:hAnsiTheme="minorHAnsi"/>
          <w:sz w:val="20"/>
          <w:szCs w:val="20"/>
          <w:lang w:val="en-US"/>
        </w:rPr>
        <w:t xml:space="preserve">n </w:t>
      </w:r>
      <w:r w:rsidR="00325299" w:rsidRPr="007D47AD">
        <w:rPr>
          <w:rFonts w:asciiTheme="minorHAnsi" w:hAnsiTheme="minorHAnsi"/>
          <w:sz w:val="20"/>
          <w:szCs w:val="20"/>
          <w:lang w:val="en-US"/>
        </w:rPr>
        <w:t xml:space="preserve">its observations on the draft of this report the State added that the </w:t>
      </w:r>
      <w:r w:rsidR="004535AF" w:rsidRPr="007D47AD">
        <w:rPr>
          <w:rFonts w:asciiTheme="minorHAnsi" w:hAnsiTheme="minorHAnsi"/>
          <w:sz w:val="20"/>
          <w:szCs w:val="20"/>
          <w:lang w:val="en-US"/>
        </w:rPr>
        <w:t xml:space="preserve">SNDIF, </w:t>
      </w:r>
      <w:r w:rsidR="00325299" w:rsidRPr="007D47AD">
        <w:rPr>
          <w:rFonts w:asciiTheme="minorHAnsi" w:hAnsiTheme="minorHAnsi"/>
          <w:sz w:val="20"/>
          <w:szCs w:val="20"/>
          <w:lang w:val="en-US"/>
        </w:rPr>
        <w:t xml:space="preserve">through the </w:t>
      </w:r>
      <w:r w:rsidR="004535AF" w:rsidRPr="007D47AD">
        <w:rPr>
          <w:rFonts w:asciiTheme="minorHAnsi" w:hAnsiTheme="minorHAnsi"/>
          <w:sz w:val="20"/>
          <w:szCs w:val="20"/>
          <w:lang w:val="en-US"/>
        </w:rPr>
        <w:t>PFPNNA, contribu</w:t>
      </w:r>
      <w:r w:rsidR="00325299" w:rsidRPr="007D47AD">
        <w:rPr>
          <w:rFonts w:asciiTheme="minorHAnsi" w:hAnsiTheme="minorHAnsi"/>
          <w:sz w:val="20"/>
          <w:szCs w:val="20"/>
          <w:lang w:val="en-US"/>
        </w:rPr>
        <w:t>tes to the protection of the rights of children who live with their incarcerated mothers in prisons</w:t>
      </w:r>
      <w:r w:rsidR="004535AF" w:rsidRPr="007D47AD">
        <w:rPr>
          <w:rFonts w:asciiTheme="minorHAnsi" w:hAnsiTheme="minorHAnsi"/>
          <w:sz w:val="20"/>
          <w:szCs w:val="20"/>
          <w:lang w:val="en-US"/>
        </w:rPr>
        <w:t xml:space="preserve"> </w:t>
      </w:r>
      <w:r w:rsidR="00325299" w:rsidRPr="007D47AD">
        <w:rPr>
          <w:rFonts w:asciiTheme="minorHAnsi" w:hAnsiTheme="minorHAnsi"/>
          <w:sz w:val="20"/>
          <w:szCs w:val="20"/>
          <w:lang w:val="en-US"/>
        </w:rPr>
        <w:t>by visits to supervise the application of the protocols implemented by the Deconcentrated Administrative Organ for Prevention and Social Readaptation.</w:t>
      </w:r>
      <w:r w:rsidR="004535AF" w:rsidRPr="007D47AD">
        <w:rPr>
          <w:rStyle w:val="FootnoteReference"/>
          <w:rFonts w:asciiTheme="minorHAnsi" w:eastAsia="Cambria" w:hAnsiTheme="minorHAnsi" w:cs="Cambria"/>
          <w:sz w:val="20"/>
          <w:szCs w:val="20"/>
          <w:lang w:val="en-US"/>
        </w:rPr>
        <w:footnoteReference w:id="394"/>
      </w:r>
    </w:p>
    <w:p w:rsidR="00A922AE" w:rsidRPr="007D47AD" w:rsidRDefault="00325299" w:rsidP="004535AF">
      <w:pPr>
        <w:numPr>
          <w:ilvl w:val="0"/>
          <w:numId w:val="6"/>
        </w:numPr>
        <w:shd w:val="clear" w:color="auto" w:fill="FFFFFF"/>
        <w:spacing w:after="240" w:line="240" w:lineRule="auto"/>
        <w:ind w:left="0" w:firstLine="720"/>
        <w:jc w:val="both"/>
        <w:rPr>
          <w:rFonts w:asciiTheme="minorHAnsi" w:hAnsiTheme="minorHAnsi"/>
          <w:sz w:val="20"/>
          <w:szCs w:val="20"/>
          <w:lang w:val="en-US"/>
        </w:rPr>
      </w:pPr>
      <w:r w:rsidRPr="007D47AD">
        <w:rPr>
          <w:rFonts w:asciiTheme="minorHAnsi" w:hAnsiTheme="minorHAnsi"/>
          <w:sz w:val="20"/>
          <w:szCs w:val="20"/>
          <w:lang w:val="en-US"/>
        </w:rPr>
        <w:lastRenderedPageBreak/>
        <w:t xml:space="preserve">With respect to persons with disabilities, in its observations on the draft of this report the State indicated that </w:t>
      </w:r>
      <w:r w:rsidR="004535AF" w:rsidRPr="007D47AD">
        <w:rPr>
          <w:rFonts w:asciiTheme="minorHAnsi" w:hAnsiTheme="minorHAnsi"/>
          <w:sz w:val="20"/>
          <w:szCs w:val="20"/>
          <w:lang w:val="en-US"/>
        </w:rPr>
        <w:t xml:space="preserve">CONADIS </w:t>
      </w:r>
      <w:r w:rsidRPr="007D47AD">
        <w:rPr>
          <w:rFonts w:asciiTheme="minorHAnsi" w:hAnsiTheme="minorHAnsi"/>
          <w:sz w:val="20"/>
          <w:szCs w:val="20"/>
          <w:lang w:val="en-US"/>
        </w:rPr>
        <w:t xml:space="preserve">carried out the National Program for the Development and Inclusion of Persons with Disabilities </w:t>
      </w:r>
      <w:r w:rsidR="004535AF" w:rsidRPr="007D47AD">
        <w:rPr>
          <w:rFonts w:asciiTheme="minorHAnsi" w:hAnsiTheme="minorHAnsi"/>
          <w:sz w:val="20"/>
          <w:szCs w:val="20"/>
          <w:lang w:val="en-US"/>
        </w:rPr>
        <w:t xml:space="preserve">2019-2024, </w:t>
      </w:r>
      <w:r w:rsidRPr="007D47AD">
        <w:rPr>
          <w:rFonts w:asciiTheme="minorHAnsi" w:hAnsiTheme="minorHAnsi"/>
          <w:sz w:val="20"/>
          <w:szCs w:val="20"/>
          <w:lang w:val="en-US"/>
        </w:rPr>
        <w:t xml:space="preserve">drawn up with the participation of the federal and state public administrations as well as civil society. According to </w:t>
      </w:r>
      <w:r w:rsidR="00061475" w:rsidRPr="007D47AD">
        <w:rPr>
          <w:rFonts w:asciiTheme="minorHAnsi" w:hAnsiTheme="minorHAnsi"/>
          <w:sz w:val="20"/>
          <w:szCs w:val="20"/>
          <w:lang w:val="en-US"/>
        </w:rPr>
        <w:t xml:space="preserve">the information provided, </w:t>
      </w:r>
      <w:r w:rsidRPr="007D47AD">
        <w:rPr>
          <w:rFonts w:asciiTheme="minorHAnsi" w:hAnsiTheme="minorHAnsi"/>
          <w:sz w:val="20"/>
          <w:szCs w:val="20"/>
          <w:lang w:val="en-US"/>
        </w:rPr>
        <w:t>the National Program includes the promotion of rehabilitation actions with a human rights perspective; social programs for women with disabilities or women who have children with disabilities who are in prison, and for their social reinsertion, among other actions.</w:t>
      </w:r>
      <w:r w:rsidR="004535AF" w:rsidRPr="007D47AD">
        <w:rPr>
          <w:rStyle w:val="FootnoteReference"/>
          <w:rFonts w:asciiTheme="minorHAnsi" w:eastAsia="Cambria" w:hAnsiTheme="minorHAnsi" w:cs="Cambria"/>
          <w:sz w:val="20"/>
          <w:szCs w:val="20"/>
          <w:lang w:val="en-US"/>
        </w:rPr>
        <w:footnoteReference w:id="395"/>
      </w:r>
    </w:p>
    <w:p w:rsidR="00A922AE" w:rsidRPr="007D47AD" w:rsidRDefault="001F36F9" w:rsidP="00485FE9">
      <w:pPr>
        <w:numPr>
          <w:ilvl w:val="0"/>
          <w:numId w:val="6"/>
        </w:numPr>
        <w:shd w:val="clear" w:color="auto" w:fill="FFFFFF"/>
        <w:spacing w:after="240" w:line="240" w:lineRule="auto"/>
        <w:ind w:left="0" w:firstLine="720"/>
        <w:jc w:val="both"/>
        <w:rPr>
          <w:rFonts w:asciiTheme="minorHAnsi" w:hAnsiTheme="minorHAnsi"/>
          <w:sz w:val="20"/>
          <w:szCs w:val="20"/>
          <w:lang w:val="en-US"/>
        </w:rPr>
      </w:pPr>
      <w:r w:rsidRPr="007D47AD">
        <w:rPr>
          <w:rFonts w:asciiTheme="minorHAnsi" w:hAnsiTheme="minorHAnsi"/>
          <w:sz w:val="20"/>
          <w:szCs w:val="20"/>
          <w:lang w:val="en-US"/>
        </w:rPr>
        <w:t>Based on the foregoing, the IACHR considers that this recommendation has met with only partial compliance, and reiterates to the Mexican State that as guarantor of the fundamental rights of persons deprived of liberty it has the legal duty to adopt specific and urgent actions to ensure the enjoyment of their fundamental rights. I</w:t>
      </w:r>
      <w:r w:rsidR="00A922AE" w:rsidRPr="007D47AD">
        <w:rPr>
          <w:rFonts w:asciiTheme="minorHAnsi" w:hAnsiTheme="minorHAnsi"/>
          <w:sz w:val="20"/>
          <w:szCs w:val="20"/>
          <w:lang w:val="en-US"/>
        </w:rPr>
        <w:t xml:space="preserve">n particular, </w:t>
      </w:r>
      <w:r w:rsidRPr="007D47AD">
        <w:rPr>
          <w:rFonts w:asciiTheme="minorHAnsi" w:hAnsiTheme="minorHAnsi"/>
          <w:sz w:val="20"/>
          <w:szCs w:val="20"/>
          <w:lang w:val="en-US"/>
        </w:rPr>
        <w:t xml:space="preserve">the Mexican State should implement prison policies with a gender perspective that address the specific needs of women deprived of liberty. </w:t>
      </w:r>
    </w:p>
    <w:p w:rsidR="00A922AE" w:rsidRPr="007D47AD" w:rsidRDefault="001F36F9" w:rsidP="00A922AE">
      <w:pPr>
        <w:numPr>
          <w:ilvl w:val="0"/>
          <w:numId w:val="6"/>
        </w:numPr>
        <w:shd w:val="clear" w:color="auto" w:fill="FFFFFF"/>
        <w:spacing w:after="240" w:line="240" w:lineRule="auto"/>
        <w:ind w:left="0" w:firstLine="720"/>
        <w:jc w:val="both"/>
        <w:rPr>
          <w:rFonts w:asciiTheme="minorHAnsi" w:hAnsiTheme="minorHAnsi"/>
          <w:sz w:val="20"/>
          <w:szCs w:val="20"/>
          <w:lang w:val="en-US"/>
        </w:rPr>
      </w:pPr>
      <w:r w:rsidRPr="007D47AD">
        <w:rPr>
          <w:rFonts w:asciiTheme="minorHAnsi" w:hAnsiTheme="minorHAnsi"/>
          <w:color w:val="222222"/>
          <w:sz w:val="20"/>
          <w:szCs w:val="20"/>
          <w:lang w:val="en-US"/>
        </w:rPr>
        <w:t xml:space="preserve">Regarding the recommendation to </w:t>
      </w:r>
      <w:r w:rsidRPr="007D47AD">
        <w:rPr>
          <w:rFonts w:asciiTheme="minorHAnsi" w:hAnsiTheme="minorHAnsi"/>
          <w:b/>
          <w:color w:val="222222"/>
          <w:sz w:val="20"/>
          <w:szCs w:val="20"/>
          <w:lang w:val="en-US"/>
        </w:rPr>
        <w:t>take measures to address pretrial detention and the high levels of overcrowding</w:t>
      </w:r>
      <w:r w:rsidR="00A922AE" w:rsidRPr="007D47AD">
        <w:rPr>
          <w:rFonts w:asciiTheme="minorHAnsi" w:hAnsiTheme="minorHAnsi"/>
          <w:color w:val="222222"/>
          <w:sz w:val="20"/>
          <w:szCs w:val="20"/>
          <w:lang w:val="en-US"/>
        </w:rPr>
        <w:t xml:space="preserve">, </w:t>
      </w:r>
      <w:r w:rsidRPr="007D47AD">
        <w:rPr>
          <w:rFonts w:asciiTheme="minorHAnsi" w:hAnsiTheme="minorHAnsi"/>
          <w:sz w:val="20"/>
          <w:szCs w:val="20"/>
          <w:lang w:val="en-US"/>
        </w:rPr>
        <w:t>i</w:t>
      </w:r>
      <w:r w:rsidR="00A922AE" w:rsidRPr="007D47AD">
        <w:rPr>
          <w:rFonts w:asciiTheme="minorHAnsi" w:hAnsiTheme="minorHAnsi"/>
          <w:sz w:val="20"/>
          <w:szCs w:val="20"/>
          <w:lang w:val="en-US"/>
        </w:rPr>
        <w:t>n rela</w:t>
      </w:r>
      <w:r w:rsidRPr="007D47AD">
        <w:rPr>
          <w:rFonts w:asciiTheme="minorHAnsi" w:hAnsiTheme="minorHAnsi"/>
          <w:sz w:val="20"/>
          <w:szCs w:val="20"/>
          <w:lang w:val="en-US"/>
        </w:rPr>
        <w:t xml:space="preserve">tion to the Federal Penitentiary System, the State reported that there is no overpopulation, since there are </w:t>
      </w:r>
      <w:r w:rsidR="00A922AE" w:rsidRPr="007D47AD">
        <w:rPr>
          <w:rFonts w:asciiTheme="minorHAnsi" w:hAnsiTheme="minorHAnsi"/>
          <w:sz w:val="20"/>
          <w:szCs w:val="20"/>
          <w:lang w:val="en-US"/>
        </w:rPr>
        <w:t>33</w:t>
      </w:r>
      <w:r w:rsidRPr="007D47AD">
        <w:rPr>
          <w:rFonts w:asciiTheme="minorHAnsi" w:hAnsiTheme="minorHAnsi"/>
          <w:sz w:val="20"/>
          <w:szCs w:val="20"/>
          <w:lang w:val="en-US"/>
        </w:rPr>
        <w:t>,</w:t>
      </w:r>
      <w:r w:rsidR="00A922AE" w:rsidRPr="007D47AD">
        <w:rPr>
          <w:rFonts w:asciiTheme="minorHAnsi" w:hAnsiTheme="minorHAnsi"/>
          <w:sz w:val="20"/>
          <w:szCs w:val="20"/>
          <w:lang w:val="en-US"/>
        </w:rPr>
        <w:t xml:space="preserve">024 </w:t>
      </w:r>
      <w:r w:rsidRPr="007D47AD">
        <w:rPr>
          <w:rFonts w:asciiTheme="minorHAnsi" w:hAnsiTheme="minorHAnsi"/>
          <w:sz w:val="20"/>
          <w:szCs w:val="20"/>
          <w:lang w:val="en-US"/>
        </w:rPr>
        <w:t xml:space="preserve">spaces and the current population comes to </w:t>
      </w:r>
      <w:r w:rsidR="00A922AE" w:rsidRPr="007D47AD">
        <w:rPr>
          <w:rFonts w:asciiTheme="minorHAnsi" w:hAnsiTheme="minorHAnsi"/>
          <w:sz w:val="20"/>
          <w:szCs w:val="20"/>
          <w:lang w:val="en-US"/>
        </w:rPr>
        <w:t>17</w:t>
      </w:r>
      <w:r w:rsidRPr="007D47AD">
        <w:rPr>
          <w:rFonts w:asciiTheme="minorHAnsi" w:hAnsiTheme="minorHAnsi"/>
          <w:sz w:val="20"/>
          <w:szCs w:val="20"/>
          <w:lang w:val="en-US"/>
        </w:rPr>
        <w:t>,</w:t>
      </w:r>
      <w:r w:rsidR="00A922AE" w:rsidRPr="007D47AD">
        <w:rPr>
          <w:rFonts w:asciiTheme="minorHAnsi" w:hAnsiTheme="minorHAnsi"/>
          <w:sz w:val="20"/>
          <w:szCs w:val="20"/>
          <w:lang w:val="en-US"/>
        </w:rPr>
        <w:t xml:space="preserve">281 persons </w:t>
      </w:r>
      <w:r w:rsidRPr="007D47AD">
        <w:rPr>
          <w:rFonts w:asciiTheme="minorHAnsi" w:hAnsiTheme="minorHAnsi"/>
          <w:sz w:val="20"/>
          <w:szCs w:val="20"/>
          <w:lang w:val="en-US"/>
        </w:rPr>
        <w:t>deprived of liberty.</w:t>
      </w:r>
      <w:r w:rsidR="00A922AE" w:rsidRPr="007D47AD">
        <w:rPr>
          <w:rStyle w:val="FootnoteReference"/>
          <w:rFonts w:asciiTheme="minorHAnsi" w:hAnsiTheme="minorHAnsi"/>
          <w:color w:val="222222"/>
          <w:sz w:val="20"/>
          <w:szCs w:val="20"/>
          <w:lang w:val="en-US"/>
        </w:rPr>
        <w:footnoteReference w:id="396"/>
      </w:r>
      <w:r w:rsidR="00A922AE" w:rsidRPr="007D47AD">
        <w:rPr>
          <w:rFonts w:asciiTheme="minorHAnsi" w:hAnsiTheme="minorHAnsi"/>
          <w:sz w:val="20"/>
          <w:szCs w:val="20"/>
          <w:lang w:val="en-US"/>
        </w:rPr>
        <w:t xml:space="preserve"> </w:t>
      </w:r>
      <w:r w:rsidRPr="007D47AD">
        <w:rPr>
          <w:rFonts w:asciiTheme="minorHAnsi" w:hAnsiTheme="minorHAnsi"/>
          <w:sz w:val="20"/>
          <w:szCs w:val="20"/>
          <w:lang w:val="en-US"/>
        </w:rPr>
        <w:t xml:space="preserve">In addition, the State indicated that as regards the measures for tackling pretrial detention, persons facing charges are separated from convicts, </w:t>
      </w:r>
      <w:r w:rsidR="00AA6991" w:rsidRPr="007D47AD">
        <w:rPr>
          <w:rFonts w:asciiTheme="minorHAnsi" w:hAnsiTheme="minorHAnsi"/>
          <w:sz w:val="20"/>
          <w:szCs w:val="20"/>
          <w:lang w:val="en-US"/>
        </w:rPr>
        <w:t xml:space="preserve">and </w:t>
      </w:r>
      <w:r w:rsidRPr="007D47AD">
        <w:rPr>
          <w:rFonts w:asciiTheme="minorHAnsi" w:hAnsiTheme="minorHAnsi"/>
          <w:sz w:val="20"/>
          <w:szCs w:val="20"/>
          <w:lang w:val="en-US"/>
        </w:rPr>
        <w:t xml:space="preserve">legal services are provided so that persons deprived of liberty in pretrial detention are not defenseless. With this same objective in mind, the State reported that the </w:t>
      </w:r>
      <w:r w:rsidR="00A922AE" w:rsidRPr="007D47AD">
        <w:rPr>
          <w:rFonts w:asciiTheme="minorHAnsi" w:hAnsiTheme="minorHAnsi"/>
          <w:sz w:val="20"/>
          <w:szCs w:val="20"/>
          <w:lang w:val="en-US"/>
        </w:rPr>
        <w:t xml:space="preserve">Federal </w:t>
      </w:r>
      <w:r w:rsidRPr="007D47AD">
        <w:rPr>
          <w:rFonts w:asciiTheme="minorHAnsi" w:hAnsiTheme="minorHAnsi"/>
          <w:sz w:val="20"/>
          <w:szCs w:val="20"/>
          <w:lang w:val="en-US"/>
        </w:rPr>
        <w:t xml:space="preserve">Institute of Public Defense established in its General Terms of Organization and Operation the obligation of </w:t>
      </w:r>
      <w:r w:rsidR="004E08FB" w:rsidRPr="007D47AD">
        <w:rPr>
          <w:rFonts w:asciiTheme="minorHAnsi" w:hAnsiTheme="minorHAnsi"/>
          <w:sz w:val="20"/>
          <w:szCs w:val="20"/>
          <w:lang w:val="en-US"/>
        </w:rPr>
        <w:t>public</w:t>
      </w:r>
      <w:r w:rsidRPr="007D47AD">
        <w:rPr>
          <w:rFonts w:asciiTheme="minorHAnsi" w:hAnsiTheme="minorHAnsi"/>
          <w:sz w:val="20"/>
          <w:szCs w:val="20"/>
          <w:lang w:val="en-US"/>
        </w:rPr>
        <w:t xml:space="preserve"> defenders to make prison visits at least once a month and instructed </w:t>
      </w:r>
      <w:r w:rsidR="00F96F87" w:rsidRPr="007D47AD">
        <w:rPr>
          <w:rFonts w:asciiTheme="minorHAnsi" w:hAnsiTheme="minorHAnsi"/>
          <w:sz w:val="20"/>
          <w:szCs w:val="20"/>
          <w:lang w:val="en-US"/>
        </w:rPr>
        <w:t xml:space="preserve">the state heads </w:t>
      </w:r>
      <w:r w:rsidRPr="007D47AD">
        <w:rPr>
          <w:rFonts w:asciiTheme="minorHAnsi" w:hAnsiTheme="minorHAnsi"/>
          <w:sz w:val="20"/>
          <w:szCs w:val="20"/>
          <w:lang w:val="en-US"/>
        </w:rPr>
        <w:t xml:space="preserve">of that Institute to form legal assistance brigades in coordination with the Deconcentrated Administrative Organ </w:t>
      </w:r>
      <w:r w:rsidR="00F96F87" w:rsidRPr="007D47AD">
        <w:rPr>
          <w:rFonts w:asciiTheme="minorHAnsi" w:hAnsiTheme="minorHAnsi"/>
          <w:sz w:val="20"/>
          <w:szCs w:val="20"/>
          <w:lang w:val="en-US"/>
        </w:rPr>
        <w:t xml:space="preserve">of Services </w:t>
      </w:r>
      <w:r w:rsidRPr="007D47AD">
        <w:rPr>
          <w:rFonts w:asciiTheme="minorHAnsi" w:hAnsiTheme="minorHAnsi"/>
          <w:sz w:val="20"/>
          <w:szCs w:val="20"/>
          <w:lang w:val="en-US"/>
        </w:rPr>
        <w:t>and Social Readaptation.</w:t>
      </w:r>
      <w:r w:rsidR="00A922AE" w:rsidRPr="007D47AD">
        <w:rPr>
          <w:rStyle w:val="FootnoteReference"/>
          <w:rFonts w:asciiTheme="minorHAnsi" w:hAnsiTheme="minorHAnsi"/>
          <w:color w:val="222222"/>
          <w:sz w:val="20"/>
          <w:szCs w:val="20"/>
          <w:lang w:val="en-US"/>
        </w:rPr>
        <w:footnoteReference w:id="397"/>
      </w:r>
    </w:p>
    <w:p w:rsidR="00A922AE" w:rsidRPr="007D47AD" w:rsidRDefault="001F36F9" w:rsidP="00A922AE">
      <w:pPr>
        <w:numPr>
          <w:ilvl w:val="0"/>
          <w:numId w:val="6"/>
        </w:numPr>
        <w:shd w:val="clear" w:color="auto" w:fill="FFFFFF"/>
        <w:spacing w:after="240" w:line="240" w:lineRule="auto"/>
        <w:ind w:left="0" w:firstLine="720"/>
        <w:jc w:val="both"/>
        <w:rPr>
          <w:rFonts w:asciiTheme="minorHAnsi" w:hAnsiTheme="minorHAnsi"/>
          <w:sz w:val="20"/>
          <w:szCs w:val="20"/>
          <w:lang w:val="en-US"/>
        </w:rPr>
      </w:pPr>
      <w:r w:rsidRPr="007D47AD">
        <w:rPr>
          <w:rFonts w:asciiTheme="minorHAnsi" w:hAnsiTheme="minorHAnsi"/>
          <w:color w:val="222222"/>
          <w:sz w:val="20"/>
          <w:szCs w:val="20"/>
          <w:lang w:val="en-US"/>
        </w:rPr>
        <w:t xml:space="preserve">In line with the foregoing, the State also indicated that the federal public defenders have been instructed, in keeping with the Federal Code of Criminal Procedure, </w:t>
      </w:r>
      <w:r w:rsidR="00D838E5" w:rsidRPr="007D47AD">
        <w:rPr>
          <w:rFonts w:asciiTheme="minorHAnsi" w:hAnsiTheme="minorHAnsi"/>
          <w:color w:val="222222"/>
          <w:sz w:val="20"/>
          <w:szCs w:val="20"/>
          <w:lang w:val="en-US"/>
        </w:rPr>
        <w:t xml:space="preserve">to request review of pretrial </w:t>
      </w:r>
      <w:r w:rsidR="004E08FB" w:rsidRPr="007D47AD">
        <w:rPr>
          <w:rFonts w:asciiTheme="minorHAnsi" w:hAnsiTheme="minorHAnsi"/>
          <w:color w:val="222222"/>
          <w:sz w:val="20"/>
          <w:szCs w:val="20"/>
          <w:lang w:val="en-US"/>
        </w:rPr>
        <w:t>detention</w:t>
      </w:r>
      <w:r w:rsidR="00D838E5" w:rsidRPr="007D47AD">
        <w:rPr>
          <w:rFonts w:asciiTheme="minorHAnsi" w:hAnsiTheme="minorHAnsi"/>
          <w:color w:val="222222"/>
          <w:sz w:val="20"/>
          <w:szCs w:val="20"/>
          <w:lang w:val="en-US"/>
        </w:rPr>
        <w:t xml:space="preserve"> in those cases in which this measure has been ordered. By undertaking the reviews of </w:t>
      </w:r>
      <w:r w:rsidR="00AA6991" w:rsidRPr="007D47AD">
        <w:rPr>
          <w:rFonts w:asciiTheme="minorHAnsi" w:hAnsiTheme="minorHAnsi"/>
          <w:color w:val="222222"/>
          <w:sz w:val="20"/>
          <w:szCs w:val="20"/>
          <w:lang w:val="en-US"/>
        </w:rPr>
        <w:t xml:space="preserve">pretrial detention orders, </w:t>
      </w:r>
      <w:r w:rsidR="00D838E5" w:rsidRPr="007D47AD">
        <w:rPr>
          <w:rFonts w:asciiTheme="minorHAnsi" w:hAnsiTheme="minorHAnsi"/>
          <w:color w:val="222222"/>
          <w:sz w:val="20"/>
          <w:szCs w:val="20"/>
          <w:lang w:val="en-US"/>
        </w:rPr>
        <w:t xml:space="preserve">the State is seeking to have the persons in question regain their freedom in those cases in which </w:t>
      </w:r>
      <w:r w:rsidR="00AA6991" w:rsidRPr="007D47AD">
        <w:rPr>
          <w:rFonts w:asciiTheme="minorHAnsi" w:hAnsiTheme="minorHAnsi"/>
          <w:color w:val="222222"/>
          <w:sz w:val="20"/>
          <w:szCs w:val="20"/>
          <w:lang w:val="en-US"/>
        </w:rPr>
        <w:t xml:space="preserve">detaining them </w:t>
      </w:r>
      <w:r w:rsidR="00D838E5" w:rsidRPr="007D47AD">
        <w:rPr>
          <w:rFonts w:asciiTheme="minorHAnsi" w:hAnsiTheme="minorHAnsi"/>
          <w:color w:val="222222"/>
          <w:sz w:val="20"/>
          <w:szCs w:val="20"/>
          <w:lang w:val="en-US"/>
        </w:rPr>
        <w:t>is no longer necessary.</w:t>
      </w:r>
      <w:r w:rsidR="00A922AE" w:rsidRPr="007D47AD">
        <w:rPr>
          <w:rStyle w:val="FootnoteReference"/>
          <w:rFonts w:asciiTheme="minorHAnsi" w:hAnsiTheme="minorHAnsi"/>
          <w:color w:val="222222"/>
          <w:sz w:val="20"/>
          <w:szCs w:val="20"/>
          <w:lang w:val="en-US"/>
        </w:rPr>
        <w:footnoteReference w:id="398"/>
      </w:r>
      <w:r w:rsidR="00A922AE" w:rsidRPr="007D47AD">
        <w:rPr>
          <w:rFonts w:asciiTheme="minorHAnsi" w:hAnsiTheme="minorHAnsi"/>
          <w:color w:val="222222"/>
          <w:sz w:val="20"/>
          <w:szCs w:val="20"/>
          <w:lang w:val="en-US"/>
        </w:rPr>
        <w:t xml:space="preserve"> </w:t>
      </w:r>
    </w:p>
    <w:p w:rsidR="00EC5DE6" w:rsidRPr="007D47AD" w:rsidRDefault="00D838E5" w:rsidP="00A922AE">
      <w:pPr>
        <w:numPr>
          <w:ilvl w:val="0"/>
          <w:numId w:val="6"/>
        </w:numPr>
        <w:shd w:val="clear" w:color="auto" w:fill="FFFFFF"/>
        <w:spacing w:after="240" w:line="240" w:lineRule="auto"/>
        <w:ind w:left="0" w:firstLine="720"/>
        <w:jc w:val="both"/>
        <w:rPr>
          <w:rFonts w:asciiTheme="minorHAnsi" w:hAnsiTheme="minorHAnsi"/>
          <w:sz w:val="20"/>
          <w:szCs w:val="20"/>
          <w:lang w:val="en-US"/>
        </w:rPr>
      </w:pPr>
      <w:r w:rsidRPr="007D47AD">
        <w:rPr>
          <w:rFonts w:asciiTheme="minorHAnsi" w:hAnsiTheme="minorHAnsi"/>
          <w:sz w:val="20"/>
          <w:szCs w:val="20"/>
          <w:lang w:val="en-US"/>
        </w:rPr>
        <w:t>The IACHR observes that one of the consequences related to the constitutional reforms approved on obligatory pretrial detention could be regressive as it could lead to a return to high levels of overpopulation, which is hardly effective for resolving the problem of insecurity.</w:t>
      </w:r>
      <w:r w:rsidR="00A922AE" w:rsidRPr="007D47AD">
        <w:rPr>
          <w:rFonts w:asciiTheme="minorHAnsi" w:hAnsiTheme="minorHAnsi"/>
          <w:sz w:val="20"/>
          <w:szCs w:val="20"/>
          <w:vertAlign w:val="superscript"/>
          <w:lang w:val="en-US"/>
        </w:rPr>
        <w:footnoteReference w:id="399"/>
      </w:r>
      <w:r w:rsidR="00A922AE" w:rsidRPr="007D47AD">
        <w:rPr>
          <w:rFonts w:asciiTheme="minorHAnsi" w:hAnsiTheme="minorHAnsi"/>
          <w:sz w:val="20"/>
          <w:szCs w:val="20"/>
          <w:lang w:val="en-US"/>
        </w:rPr>
        <w:t xml:space="preserve"> </w:t>
      </w:r>
    </w:p>
    <w:p w:rsidR="00A922AE" w:rsidRPr="007D47AD" w:rsidRDefault="00D838E5" w:rsidP="00A922AE">
      <w:pPr>
        <w:numPr>
          <w:ilvl w:val="0"/>
          <w:numId w:val="6"/>
        </w:numPr>
        <w:shd w:val="clear" w:color="auto" w:fill="FFFFFF"/>
        <w:spacing w:after="240" w:line="240" w:lineRule="auto"/>
        <w:ind w:left="0" w:firstLine="720"/>
        <w:jc w:val="both"/>
        <w:rPr>
          <w:rFonts w:asciiTheme="minorHAnsi" w:hAnsiTheme="minorHAnsi"/>
          <w:sz w:val="20"/>
          <w:szCs w:val="20"/>
          <w:lang w:val="en-US"/>
        </w:rPr>
      </w:pPr>
      <w:r w:rsidRPr="007D47AD">
        <w:rPr>
          <w:rFonts w:asciiTheme="minorHAnsi" w:hAnsiTheme="minorHAnsi"/>
          <w:sz w:val="20"/>
          <w:szCs w:val="20"/>
          <w:lang w:val="en-US"/>
        </w:rPr>
        <w:t xml:space="preserve">In this connection, the IACHR reiterates what was noted regarding the effects of </w:t>
      </w:r>
      <w:r w:rsidR="00F96F87" w:rsidRPr="007D47AD">
        <w:rPr>
          <w:rFonts w:asciiTheme="minorHAnsi" w:hAnsiTheme="minorHAnsi"/>
          <w:sz w:val="20"/>
          <w:szCs w:val="20"/>
          <w:lang w:val="en-US"/>
        </w:rPr>
        <w:t xml:space="preserve">compulsory </w:t>
      </w:r>
      <w:r w:rsidRPr="007D47AD">
        <w:rPr>
          <w:rFonts w:asciiTheme="minorHAnsi" w:hAnsiTheme="minorHAnsi"/>
          <w:sz w:val="20"/>
          <w:szCs w:val="20"/>
          <w:lang w:val="en-US"/>
        </w:rPr>
        <w:t xml:space="preserve">pretrial detention based on constitutional changes in the area of security and what was noted in the recommendation on correcting the excessive use of pretrial detention </w:t>
      </w:r>
      <w:r w:rsidR="00A922AE" w:rsidRPr="007D47AD">
        <w:rPr>
          <w:rFonts w:asciiTheme="minorHAnsi" w:hAnsiTheme="minorHAnsi"/>
          <w:sz w:val="20"/>
          <w:szCs w:val="20"/>
          <w:lang w:val="en-US"/>
        </w:rPr>
        <w:t>(</w:t>
      </w:r>
      <w:r w:rsidR="00A922AE" w:rsidRPr="007D47AD">
        <w:rPr>
          <w:rFonts w:asciiTheme="minorHAnsi" w:hAnsiTheme="minorHAnsi"/>
          <w:i/>
          <w:sz w:val="20"/>
          <w:szCs w:val="20"/>
          <w:lang w:val="en-US"/>
        </w:rPr>
        <w:t>infra xx</w:t>
      </w:r>
      <w:r w:rsidR="00EB6E5C" w:rsidRPr="007D47AD">
        <w:rPr>
          <w:rFonts w:asciiTheme="minorHAnsi" w:hAnsiTheme="minorHAnsi"/>
          <w:sz w:val="20"/>
          <w:szCs w:val="20"/>
          <w:lang w:val="en-US"/>
        </w:rPr>
        <w:t xml:space="preserve">). </w:t>
      </w:r>
      <w:r w:rsidRPr="007D47AD">
        <w:rPr>
          <w:rFonts w:asciiTheme="minorHAnsi" w:hAnsiTheme="minorHAnsi"/>
          <w:sz w:val="20"/>
          <w:szCs w:val="20"/>
          <w:lang w:val="en-US"/>
        </w:rPr>
        <w:t xml:space="preserve">The IACHR </w:t>
      </w:r>
      <w:r w:rsidR="00A922AE" w:rsidRPr="007D47AD">
        <w:rPr>
          <w:rFonts w:asciiTheme="minorHAnsi" w:hAnsiTheme="minorHAnsi"/>
          <w:sz w:val="20"/>
          <w:szCs w:val="20"/>
          <w:lang w:val="en-US"/>
        </w:rPr>
        <w:t>reitera</w:t>
      </w:r>
      <w:r w:rsidRPr="007D47AD">
        <w:rPr>
          <w:rFonts w:asciiTheme="minorHAnsi" w:hAnsiTheme="minorHAnsi"/>
          <w:sz w:val="20"/>
          <w:szCs w:val="20"/>
          <w:lang w:val="en-US"/>
        </w:rPr>
        <w:t xml:space="preserve">tes that the scenarios of </w:t>
      </w:r>
      <w:r w:rsidR="00D05BD7" w:rsidRPr="007D47AD">
        <w:rPr>
          <w:rFonts w:asciiTheme="minorHAnsi" w:hAnsiTheme="minorHAnsi"/>
          <w:sz w:val="20"/>
          <w:szCs w:val="20"/>
          <w:lang w:val="en-US"/>
        </w:rPr>
        <w:t xml:space="preserve">presumptive </w:t>
      </w:r>
      <w:r w:rsidRPr="007D47AD">
        <w:rPr>
          <w:rFonts w:asciiTheme="minorHAnsi" w:hAnsiTheme="minorHAnsi"/>
          <w:sz w:val="20"/>
          <w:szCs w:val="20"/>
          <w:lang w:val="en-US"/>
        </w:rPr>
        <w:t xml:space="preserve">deprivation of liberty are contrary to the </w:t>
      </w:r>
      <w:r w:rsidR="00A922AE" w:rsidRPr="007D47AD">
        <w:rPr>
          <w:rFonts w:asciiTheme="minorHAnsi" w:hAnsiTheme="minorHAnsi"/>
          <w:sz w:val="20"/>
          <w:szCs w:val="20"/>
          <w:lang w:val="en-US"/>
        </w:rPr>
        <w:t>American</w:t>
      </w:r>
      <w:r w:rsidRPr="007D47AD">
        <w:rPr>
          <w:rFonts w:asciiTheme="minorHAnsi" w:hAnsiTheme="minorHAnsi"/>
          <w:sz w:val="20"/>
          <w:szCs w:val="20"/>
          <w:lang w:val="en-US"/>
        </w:rPr>
        <w:t xml:space="preserve"> Convention</w:t>
      </w:r>
      <w:r w:rsidR="00A922AE" w:rsidRPr="007D47AD">
        <w:rPr>
          <w:rFonts w:asciiTheme="minorHAnsi" w:hAnsiTheme="minorHAnsi"/>
          <w:sz w:val="20"/>
          <w:szCs w:val="20"/>
          <w:lang w:val="en-US"/>
        </w:rPr>
        <w:t xml:space="preserve">, </w:t>
      </w:r>
      <w:r w:rsidRPr="007D47AD">
        <w:rPr>
          <w:rFonts w:asciiTheme="minorHAnsi" w:hAnsiTheme="minorHAnsi"/>
          <w:sz w:val="20"/>
          <w:szCs w:val="20"/>
          <w:lang w:val="en-US"/>
        </w:rPr>
        <w:t>and violate both the presumption of innocence and judicial independence.</w:t>
      </w:r>
      <w:r w:rsidR="00A922AE" w:rsidRPr="007D47AD">
        <w:rPr>
          <w:rStyle w:val="FootnoteReference"/>
          <w:rFonts w:asciiTheme="minorHAnsi" w:hAnsiTheme="minorHAnsi"/>
          <w:sz w:val="20"/>
          <w:szCs w:val="20"/>
          <w:lang w:val="en-US"/>
        </w:rPr>
        <w:footnoteReference w:id="400"/>
      </w:r>
      <w:r w:rsidR="00A922AE" w:rsidRPr="007D47AD">
        <w:rPr>
          <w:rFonts w:asciiTheme="minorHAnsi" w:hAnsiTheme="minorHAnsi"/>
          <w:sz w:val="20"/>
          <w:szCs w:val="20"/>
          <w:lang w:val="en-US"/>
        </w:rPr>
        <w:t xml:space="preserve"> </w:t>
      </w:r>
      <w:r w:rsidRPr="007D47AD">
        <w:rPr>
          <w:rFonts w:asciiTheme="minorHAnsi" w:hAnsiTheme="minorHAnsi"/>
          <w:sz w:val="20"/>
          <w:szCs w:val="20"/>
          <w:lang w:val="en-US"/>
        </w:rPr>
        <w:t xml:space="preserve">In addition, the effect of a provision such as the one adopted may </w:t>
      </w:r>
      <w:r w:rsidR="00AA6991" w:rsidRPr="007D47AD">
        <w:rPr>
          <w:rFonts w:asciiTheme="minorHAnsi" w:hAnsiTheme="minorHAnsi"/>
          <w:sz w:val="20"/>
          <w:szCs w:val="20"/>
          <w:lang w:val="en-US"/>
        </w:rPr>
        <w:t xml:space="preserve">be to </w:t>
      </w:r>
      <w:r w:rsidRPr="007D47AD">
        <w:rPr>
          <w:rFonts w:asciiTheme="minorHAnsi" w:hAnsiTheme="minorHAnsi"/>
          <w:sz w:val="20"/>
          <w:szCs w:val="20"/>
          <w:lang w:val="en-US"/>
        </w:rPr>
        <w:t xml:space="preserve">foster </w:t>
      </w:r>
      <w:r w:rsidR="00AA6991" w:rsidRPr="007D47AD">
        <w:rPr>
          <w:rFonts w:asciiTheme="minorHAnsi" w:hAnsiTheme="minorHAnsi"/>
          <w:sz w:val="20"/>
          <w:szCs w:val="20"/>
          <w:lang w:val="en-US"/>
        </w:rPr>
        <w:t xml:space="preserve">prison </w:t>
      </w:r>
      <w:r w:rsidRPr="007D47AD">
        <w:rPr>
          <w:rFonts w:asciiTheme="minorHAnsi" w:hAnsiTheme="minorHAnsi"/>
          <w:sz w:val="20"/>
          <w:szCs w:val="20"/>
          <w:lang w:val="en-US"/>
        </w:rPr>
        <w:t xml:space="preserve">overpopulation, contrary to the recommendation made by the Commission. In these terms, while in </w:t>
      </w:r>
      <w:r w:rsidR="00A922AE" w:rsidRPr="007D47AD">
        <w:rPr>
          <w:rFonts w:asciiTheme="minorHAnsi" w:hAnsiTheme="minorHAnsi"/>
          <w:sz w:val="20"/>
          <w:szCs w:val="20"/>
          <w:lang w:val="en-US"/>
        </w:rPr>
        <w:t xml:space="preserve">2018 </w:t>
      </w:r>
      <w:r w:rsidRPr="007D47AD">
        <w:rPr>
          <w:rFonts w:asciiTheme="minorHAnsi" w:hAnsiTheme="minorHAnsi"/>
          <w:sz w:val="20"/>
          <w:szCs w:val="20"/>
          <w:lang w:val="en-US"/>
        </w:rPr>
        <w:t xml:space="preserve">the IACHR considered that the recommendation had met with partial compliance, in view of the regressive situation the Commission considers that the recommendation is still pending </w:t>
      </w:r>
      <w:r w:rsidRPr="007D47AD">
        <w:rPr>
          <w:rFonts w:asciiTheme="minorHAnsi" w:hAnsiTheme="minorHAnsi"/>
          <w:sz w:val="20"/>
          <w:szCs w:val="20"/>
          <w:lang w:val="en-US"/>
        </w:rPr>
        <w:lastRenderedPageBreak/>
        <w:t xml:space="preserve">implementation. </w:t>
      </w:r>
      <w:r w:rsidR="00325299" w:rsidRPr="007D47AD">
        <w:rPr>
          <w:rFonts w:asciiTheme="minorHAnsi" w:hAnsiTheme="minorHAnsi"/>
          <w:sz w:val="20"/>
          <w:szCs w:val="20"/>
          <w:lang w:val="en-US"/>
        </w:rPr>
        <w:t>I</w:t>
      </w:r>
      <w:r w:rsidR="004535AF" w:rsidRPr="007D47AD">
        <w:rPr>
          <w:rFonts w:asciiTheme="minorHAnsi" w:hAnsiTheme="minorHAnsi"/>
          <w:sz w:val="20"/>
          <w:szCs w:val="20"/>
          <w:lang w:val="en-US"/>
        </w:rPr>
        <w:t xml:space="preserve">n </w:t>
      </w:r>
      <w:r w:rsidR="00325299" w:rsidRPr="007D47AD">
        <w:rPr>
          <w:rFonts w:asciiTheme="minorHAnsi" w:hAnsiTheme="minorHAnsi"/>
          <w:sz w:val="20"/>
          <w:szCs w:val="20"/>
          <w:lang w:val="en-US"/>
        </w:rPr>
        <w:t xml:space="preserve">its observations on the draft of this report the State indicated that </w:t>
      </w:r>
      <w:r w:rsidR="00E64D5C" w:rsidRPr="007D47AD">
        <w:rPr>
          <w:rFonts w:asciiTheme="minorHAnsi" w:hAnsiTheme="minorHAnsi"/>
          <w:sz w:val="20"/>
          <w:szCs w:val="20"/>
          <w:lang w:val="en-US"/>
        </w:rPr>
        <w:t xml:space="preserve">presumptive </w:t>
      </w:r>
      <w:r w:rsidR="00D05BD7" w:rsidRPr="007D47AD">
        <w:rPr>
          <w:rFonts w:asciiTheme="minorHAnsi" w:hAnsiTheme="minorHAnsi"/>
          <w:sz w:val="20"/>
          <w:szCs w:val="20"/>
          <w:lang w:val="en-US"/>
        </w:rPr>
        <w:t xml:space="preserve">pretrial detention </w:t>
      </w:r>
      <w:r w:rsidR="003037FD" w:rsidRPr="007D47AD">
        <w:rPr>
          <w:rFonts w:asciiTheme="minorHAnsi" w:hAnsiTheme="minorHAnsi"/>
          <w:sz w:val="20"/>
          <w:szCs w:val="20"/>
          <w:lang w:val="en-US"/>
        </w:rPr>
        <w:t xml:space="preserve">may be replaced by another precautionary measure when </w:t>
      </w:r>
      <w:r w:rsidR="00D05BD7" w:rsidRPr="007D47AD">
        <w:rPr>
          <w:rFonts w:asciiTheme="minorHAnsi" w:hAnsiTheme="minorHAnsi"/>
          <w:sz w:val="20"/>
          <w:szCs w:val="20"/>
          <w:lang w:val="en-US"/>
        </w:rPr>
        <w:t xml:space="preserve">pretrial detention </w:t>
      </w:r>
      <w:r w:rsidR="003037FD" w:rsidRPr="007D47AD">
        <w:rPr>
          <w:rFonts w:asciiTheme="minorHAnsi" w:hAnsiTheme="minorHAnsi"/>
          <w:sz w:val="20"/>
          <w:szCs w:val="20"/>
          <w:lang w:val="en-US"/>
        </w:rPr>
        <w:t xml:space="preserve">is not proportional or when there is </w:t>
      </w:r>
      <w:r w:rsidR="00CB26E7" w:rsidRPr="007D47AD">
        <w:rPr>
          <w:rFonts w:asciiTheme="minorHAnsi" w:hAnsiTheme="minorHAnsi"/>
          <w:sz w:val="20"/>
          <w:szCs w:val="20"/>
          <w:lang w:val="en-US"/>
        </w:rPr>
        <w:t xml:space="preserve">a self-executing </w:t>
      </w:r>
      <w:r w:rsidR="003037FD" w:rsidRPr="007D47AD">
        <w:rPr>
          <w:rFonts w:asciiTheme="minorHAnsi" w:hAnsiTheme="minorHAnsi"/>
          <w:sz w:val="20"/>
          <w:szCs w:val="20"/>
          <w:lang w:val="en-US"/>
        </w:rPr>
        <w:t>agreement between the parties.</w:t>
      </w:r>
      <w:r w:rsidR="004535AF" w:rsidRPr="007D47AD">
        <w:rPr>
          <w:rStyle w:val="FootnoteReference"/>
          <w:rFonts w:asciiTheme="minorHAnsi" w:eastAsia="Cambria" w:hAnsiTheme="minorHAnsi" w:cs="Cambria"/>
          <w:sz w:val="20"/>
          <w:szCs w:val="20"/>
          <w:lang w:val="en-US"/>
        </w:rPr>
        <w:footnoteReference w:id="401"/>
      </w:r>
    </w:p>
    <w:p w:rsidR="009C095D" w:rsidRPr="007D47AD" w:rsidRDefault="00A922AE" w:rsidP="00A922AE">
      <w:pPr>
        <w:numPr>
          <w:ilvl w:val="0"/>
          <w:numId w:val="6"/>
        </w:numPr>
        <w:shd w:val="clear" w:color="auto" w:fill="FFFFFF"/>
        <w:spacing w:after="0" w:line="240" w:lineRule="auto"/>
        <w:ind w:left="0" w:firstLine="709"/>
        <w:jc w:val="both"/>
        <w:rPr>
          <w:rFonts w:asciiTheme="minorHAnsi" w:hAnsiTheme="minorHAnsi"/>
          <w:sz w:val="20"/>
          <w:szCs w:val="20"/>
          <w:lang w:val="en-US"/>
        </w:rPr>
      </w:pPr>
      <w:r w:rsidRPr="007D47AD">
        <w:rPr>
          <w:rFonts w:asciiTheme="minorHAnsi" w:hAnsiTheme="minorHAnsi"/>
          <w:sz w:val="20"/>
          <w:szCs w:val="20"/>
          <w:lang w:val="en-US"/>
        </w:rPr>
        <w:t>Final</w:t>
      </w:r>
      <w:r w:rsidR="00D838E5" w:rsidRPr="007D47AD">
        <w:rPr>
          <w:rFonts w:asciiTheme="minorHAnsi" w:hAnsiTheme="minorHAnsi"/>
          <w:sz w:val="20"/>
          <w:szCs w:val="20"/>
          <w:lang w:val="en-US"/>
        </w:rPr>
        <w:t>ly</w:t>
      </w:r>
      <w:r w:rsidRPr="007D47AD">
        <w:rPr>
          <w:rFonts w:asciiTheme="minorHAnsi" w:hAnsiTheme="minorHAnsi"/>
          <w:sz w:val="20"/>
          <w:szCs w:val="20"/>
          <w:lang w:val="en-US"/>
        </w:rPr>
        <w:t xml:space="preserve">, </w:t>
      </w:r>
      <w:r w:rsidR="00D838E5" w:rsidRPr="007D47AD">
        <w:rPr>
          <w:rFonts w:asciiTheme="minorHAnsi" w:hAnsiTheme="minorHAnsi"/>
          <w:sz w:val="20"/>
          <w:szCs w:val="20"/>
          <w:lang w:val="en-US"/>
        </w:rPr>
        <w:t xml:space="preserve">as regards the recommendation aimed at ensuring that the </w:t>
      </w:r>
      <w:r w:rsidR="00D838E5" w:rsidRPr="007D47AD">
        <w:rPr>
          <w:rFonts w:asciiTheme="minorHAnsi" w:hAnsiTheme="minorHAnsi"/>
          <w:b/>
          <w:color w:val="222222"/>
          <w:sz w:val="20"/>
          <w:szCs w:val="20"/>
          <w:lang w:val="en-US"/>
        </w:rPr>
        <w:t xml:space="preserve">National Criminal </w:t>
      </w:r>
      <w:r w:rsidR="00382D69" w:rsidRPr="007D47AD">
        <w:rPr>
          <w:rFonts w:asciiTheme="minorHAnsi" w:hAnsiTheme="minorHAnsi"/>
          <w:b/>
          <w:color w:val="222222"/>
          <w:sz w:val="20"/>
          <w:szCs w:val="20"/>
          <w:lang w:val="en-US"/>
        </w:rPr>
        <w:t xml:space="preserve">Sentencing Law </w:t>
      </w:r>
      <w:r w:rsidR="004E08FB" w:rsidRPr="007D47AD">
        <w:rPr>
          <w:rFonts w:asciiTheme="minorHAnsi" w:hAnsiTheme="minorHAnsi"/>
          <w:b/>
          <w:color w:val="222222"/>
          <w:sz w:val="20"/>
          <w:szCs w:val="20"/>
          <w:lang w:val="en-US"/>
        </w:rPr>
        <w:t>incorporates</w:t>
      </w:r>
      <w:r w:rsidR="00AA6991" w:rsidRPr="007D47AD">
        <w:rPr>
          <w:rFonts w:asciiTheme="minorHAnsi" w:hAnsiTheme="minorHAnsi"/>
          <w:b/>
          <w:color w:val="222222"/>
          <w:sz w:val="20"/>
          <w:szCs w:val="20"/>
          <w:lang w:val="en-US"/>
        </w:rPr>
        <w:t xml:space="preserve"> </w:t>
      </w:r>
      <w:r w:rsidR="00D838E5" w:rsidRPr="007D47AD">
        <w:rPr>
          <w:rFonts w:asciiTheme="minorHAnsi" w:hAnsiTheme="minorHAnsi"/>
          <w:b/>
          <w:color w:val="222222"/>
          <w:sz w:val="20"/>
          <w:szCs w:val="20"/>
          <w:lang w:val="en-US"/>
        </w:rPr>
        <w:t>international standards that guarantee the rights of persons deprived of liberty</w:t>
      </w:r>
      <w:r w:rsidRPr="007D47AD">
        <w:rPr>
          <w:rFonts w:asciiTheme="minorHAnsi" w:hAnsiTheme="minorHAnsi"/>
          <w:b/>
          <w:color w:val="222222"/>
          <w:sz w:val="20"/>
          <w:szCs w:val="20"/>
          <w:lang w:val="en-US"/>
        </w:rPr>
        <w:t xml:space="preserve">, </w:t>
      </w:r>
      <w:r w:rsidR="00D838E5" w:rsidRPr="007D47AD">
        <w:rPr>
          <w:rFonts w:asciiTheme="minorHAnsi" w:hAnsiTheme="minorHAnsi"/>
          <w:b/>
          <w:color w:val="222222"/>
          <w:sz w:val="20"/>
          <w:szCs w:val="20"/>
          <w:lang w:val="en-US"/>
        </w:rPr>
        <w:t xml:space="preserve">with emphasis on criminal </w:t>
      </w:r>
      <w:r w:rsidR="00382D69" w:rsidRPr="007D47AD">
        <w:rPr>
          <w:rFonts w:asciiTheme="minorHAnsi" w:hAnsiTheme="minorHAnsi"/>
          <w:b/>
          <w:color w:val="222222"/>
          <w:sz w:val="20"/>
          <w:szCs w:val="20"/>
          <w:lang w:val="en-US"/>
        </w:rPr>
        <w:t xml:space="preserve">due </w:t>
      </w:r>
      <w:r w:rsidR="00D838E5" w:rsidRPr="007D47AD">
        <w:rPr>
          <w:rFonts w:asciiTheme="minorHAnsi" w:hAnsiTheme="minorHAnsi"/>
          <w:b/>
          <w:color w:val="222222"/>
          <w:sz w:val="20"/>
          <w:szCs w:val="20"/>
          <w:lang w:val="en-US"/>
        </w:rPr>
        <w:t xml:space="preserve">process and </w:t>
      </w:r>
      <w:r w:rsidR="00382D69" w:rsidRPr="007D47AD">
        <w:rPr>
          <w:rFonts w:asciiTheme="minorHAnsi" w:hAnsiTheme="minorHAnsi"/>
          <w:b/>
          <w:color w:val="222222"/>
          <w:sz w:val="20"/>
          <w:szCs w:val="20"/>
          <w:lang w:val="en-US"/>
        </w:rPr>
        <w:t>reincorporation into society</w:t>
      </w:r>
      <w:r w:rsidRPr="007D47AD">
        <w:rPr>
          <w:rFonts w:asciiTheme="minorHAnsi" w:hAnsiTheme="minorHAnsi"/>
          <w:b/>
          <w:color w:val="222222"/>
          <w:sz w:val="20"/>
          <w:szCs w:val="20"/>
          <w:lang w:val="en-US"/>
        </w:rPr>
        <w:t>,</w:t>
      </w:r>
      <w:r w:rsidRPr="007D47AD">
        <w:rPr>
          <w:rFonts w:asciiTheme="minorHAnsi" w:hAnsiTheme="minorHAnsi"/>
          <w:color w:val="222222"/>
          <w:sz w:val="20"/>
          <w:szCs w:val="20"/>
          <w:lang w:val="en-US"/>
        </w:rPr>
        <w:t xml:space="preserve"> </w:t>
      </w:r>
      <w:r w:rsidR="00D838E5" w:rsidRPr="007D47AD">
        <w:rPr>
          <w:rFonts w:asciiTheme="minorHAnsi" w:hAnsiTheme="minorHAnsi"/>
          <w:color w:val="222222"/>
          <w:sz w:val="20"/>
          <w:szCs w:val="20"/>
          <w:lang w:val="en-US"/>
        </w:rPr>
        <w:t xml:space="preserve">the IACHR </w:t>
      </w:r>
      <w:r w:rsidRPr="007D47AD">
        <w:rPr>
          <w:rFonts w:asciiTheme="minorHAnsi" w:hAnsiTheme="minorHAnsi"/>
          <w:color w:val="222222"/>
          <w:sz w:val="20"/>
          <w:szCs w:val="20"/>
          <w:lang w:val="en-US"/>
        </w:rPr>
        <w:t>reitera</w:t>
      </w:r>
      <w:r w:rsidR="00D838E5" w:rsidRPr="007D47AD">
        <w:rPr>
          <w:rFonts w:asciiTheme="minorHAnsi" w:hAnsiTheme="minorHAnsi"/>
          <w:color w:val="222222"/>
          <w:sz w:val="20"/>
          <w:szCs w:val="20"/>
          <w:lang w:val="en-US"/>
        </w:rPr>
        <w:t xml:space="preserve">tes that already in </w:t>
      </w:r>
      <w:r w:rsidRPr="007D47AD">
        <w:rPr>
          <w:rFonts w:asciiTheme="minorHAnsi" w:hAnsiTheme="minorHAnsi"/>
          <w:color w:val="222222"/>
          <w:sz w:val="20"/>
          <w:szCs w:val="20"/>
          <w:lang w:val="en-US"/>
        </w:rPr>
        <w:t xml:space="preserve">2018 </w:t>
      </w:r>
      <w:r w:rsidR="00D838E5" w:rsidRPr="007D47AD">
        <w:rPr>
          <w:rFonts w:asciiTheme="minorHAnsi" w:hAnsiTheme="minorHAnsi"/>
          <w:color w:val="222222"/>
          <w:sz w:val="20"/>
          <w:szCs w:val="20"/>
          <w:lang w:val="en-US"/>
        </w:rPr>
        <w:t xml:space="preserve">it found that this recommendation had met with full compliance. Even so, the Commission reiterates to the State that all the provisions of this Law should come into force, and that it should adopt the necessary measures for the adequate and prompt </w:t>
      </w:r>
      <w:r w:rsidRPr="007D47AD">
        <w:rPr>
          <w:rFonts w:asciiTheme="minorHAnsi" w:hAnsiTheme="minorHAnsi"/>
          <w:color w:val="222222"/>
          <w:sz w:val="20"/>
          <w:szCs w:val="20"/>
          <w:lang w:val="en-US"/>
        </w:rPr>
        <w:t>implementa</w:t>
      </w:r>
      <w:r w:rsidR="00D838E5" w:rsidRPr="007D47AD">
        <w:rPr>
          <w:rFonts w:asciiTheme="minorHAnsi" w:hAnsiTheme="minorHAnsi"/>
          <w:color w:val="222222"/>
          <w:sz w:val="20"/>
          <w:szCs w:val="20"/>
          <w:lang w:val="en-US"/>
        </w:rPr>
        <w:t xml:space="preserve">tion of the rights enshrined in the law in question, and that in its next report it should </w:t>
      </w:r>
      <w:r w:rsidR="00AA6991" w:rsidRPr="007D47AD">
        <w:rPr>
          <w:rFonts w:asciiTheme="minorHAnsi" w:hAnsiTheme="minorHAnsi"/>
          <w:color w:val="222222"/>
          <w:sz w:val="20"/>
          <w:szCs w:val="20"/>
          <w:lang w:val="en-US"/>
        </w:rPr>
        <w:t xml:space="preserve">cover </w:t>
      </w:r>
      <w:r w:rsidR="00D838E5" w:rsidRPr="007D47AD">
        <w:rPr>
          <w:rFonts w:asciiTheme="minorHAnsi" w:hAnsiTheme="minorHAnsi"/>
          <w:color w:val="222222"/>
          <w:sz w:val="20"/>
          <w:szCs w:val="20"/>
          <w:lang w:val="en-US"/>
        </w:rPr>
        <w:t>this information to determine whether compliance continues</w:t>
      </w:r>
      <w:r w:rsidRPr="007D47AD">
        <w:rPr>
          <w:rFonts w:asciiTheme="minorHAnsi" w:hAnsiTheme="minorHAnsi"/>
          <w:color w:val="222222"/>
          <w:sz w:val="20"/>
          <w:szCs w:val="20"/>
          <w:lang w:val="en-US"/>
        </w:rPr>
        <w:t>.</w:t>
      </w:r>
    </w:p>
    <w:p w:rsidR="005A5A79" w:rsidRPr="007D47AD" w:rsidRDefault="005A5A79" w:rsidP="005A5A79">
      <w:pPr>
        <w:shd w:val="clear" w:color="auto" w:fill="FFFFFF"/>
        <w:spacing w:after="0" w:line="240" w:lineRule="auto"/>
        <w:ind w:left="709"/>
        <w:jc w:val="both"/>
        <w:rPr>
          <w:rFonts w:asciiTheme="minorHAnsi" w:hAnsiTheme="minorHAnsi"/>
          <w:sz w:val="20"/>
          <w:szCs w:val="20"/>
          <w:lang w:val="en-US"/>
        </w:rPr>
      </w:pPr>
    </w:p>
    <w:p w:rsidR="007E4B1B" w:rsidRPr="007D47AD" w:rsidRDefault="009C095D" w:rsidP="00AA6991">
      <w:pPr>
        <w:pStyle w:val="Heading3"/>
        <w:numPr>
          <w:ilvl w:val="2"/>
          <w:numId w:val="7"/>
        </w:numPr>
        <w:shd w:val="clear" w:color="auto" w:fill="auto"/>
        <w:spacing w:before="0"/>
        <w:ind w:left="1440" w:hanging="720"/>
        <w:rPr>
          <w:rFonts w:asciiTheme="minorHAnsi" w:hAnsiTheme="minorHAnsi"/>
          <w:sz w:val="20"/>
          <w:szCs w:val="20"/>
          <w:lang w:val="en-US"/>
        </w:rPr>
      </w:pPr>
      <w:r w:rsidRPr="007D47AD">
        <w:rPr>
          <w:rFonts w:asciiTheme="minorHAnsi" w:hAnsiTheme="minorHAnsi"/>
          <w:sz w:val="20"/>
          <w:szCs w:val="20"/>
          <w:lang w:val="en-US"/>
        </w:rPr>
        <w:t xml:space="preserve">Migrants </w:t>
      </w:r>
      <w:r w:rsidR="00105FB5" w:rsidRPr="007D47AD">
        <w:rPr>
          <w:rFonts w:asciiTheme="minorHAnsi" w:hAnsiTheme="minorHAnsi"/>
          <w:sz w:val="20"/>
          <w:szCs w:val="20"/>
          <w:lang w:val="en-US"/>
        </w:rPr>
        <w:t xml:space="preserve">and internal forced displacement </w:t>
      </w:r>
      <w:r w:rsidR="007E4B1B" w:rsidRPr="007D47AD">
        <w:rPr>
          <w:rFonts w:asciiTheme="minorHAnsi" w:hAnsiTheme="minorHAnsi"/>
          <w:sz w:val="20"/>
          <w:szCs w:val="20"/>
          <w:lang w:val="en-US"/>
        </w:rPr>
        <w:t xml:space="preserve"> </w:t>
      </w:r>
    </w:p>
    <w:p w:rsidR="009C095D" w:rsidRPr="007D47AD" w:rsidRDefault="00382D69" w:rsidP="00E472A2">
      <w:pPr>
        <w:pStyle w:val="Numberedparagraphs"/>
        <w:numPr>
          <w:ilvl w:val="0"/>
          <w:numId w:val="20"/>
        </w:numPr>
        <w:shd w:val="clear" w:color="auto" w:fill="D9D9D9"/>
        <w:spacing w:after="0"/>
        <w:ind w:left="1440" w:hanging="720"/>
        <w:rPr>
          <w:rFonts w:asciiTheme="minorHAnsi" w:eastAsia="Times New Roman" w:hAnsiTheme="minorHAnsi" w:cs="Tahoma"/>
          <w:lang w:val="en-US"/>
        </w:rPr>
      </w:pPr>
      <w:r w:rsidRPr="007D47AD">
        <w:rPr>
          <w:rFonts w:asciiTheme="minorHAnsi" w:eastAsia="Times New Roman" w:hAnsiTheme="minorHAnsi" w:cs="Tahoma"/>
          <w:lang w:val="en-US"/>
        </w:rPr>
        <w:t>Comply with the series of recommendations formulated in the Report</w:t>
      </w:r>
      <w:r w:rsidR="00F23EE2" w:rsidRPr="007D47AD">
        <w:rPr>
          <w:rFonts w:asciiTheme="minorHAnsi" w:eastAsia="Times New Roman" w:hAnsiTheme="minorHAnsi" w:cs="Tahoma"/>
          <w:lang w:val="en-US"/>
        </w:rPr>
        <w:t xml:space="preserve"> </w:t>
      </w:r>
      <w:r w:rsidRPr="007D47AD">
        <w:rPr>
          <w:rFonts w:asciiTheme="minorHAnsi" w:eastAsia="Times New Roman" w:hAnsiTheme="minorHAnsi" w:cs="Tahoma"/>
          <w:lang w:val="en-US"/>
        </w:rPr>
        <w:t>Human Rights of Migrants and Other Persons in the Context of Human Mobility in Mexico</w:t>
      </w:r>
      <w:r w:rsidR="009C095D" w:rsidRPr="007D47AD">
        <w:rPr>
          <w:rFonts w:asciiTheme="minorHAnsi" w:hAnsiTheme="minorHAnsi"/>
          <w:lang w:val="en-US"/>
        </w:rPr>
        <w:t>.</w:t>
      </w:r>
    </w:p>
    <w:p w:rsidR="009C095D" w:rsidRPr="007D47AD" w:rsidRDefault="00382D69" w:rsidP="00E472A2">
      <w:pPr>
        <w:pStyle w:val="Numberedparagraphs"/>
        <w:numPr>
          <w:ilvl w:val="0"/>
          <w:numId w:val="20"/>
        </w:numPr>
        <w:shd w:val="clear" w:color="auto" w:fill="D9D9D9"/>
        <w:spacing w:after="0"/>
        <w:ind w:left="1440" w:hanging="720"/>
        <w:rPr>
          <w:rFonts w:asciiTheme="minorHAnsi" w:eastAsia="Times New Roman" w:hAnsiTheme="minorHAnsi" w:cs="Tahoma"/>
          <w:lang w:val="en-US"/>
        </w:rPr>
      </w:pPr>
      <w:r w:rsidRPr="007D47AD">
        <w:rPr>
          <w:rFonts w:asciiTheme="minorHAnsi" w:eastAsia="Times New Roman" w:hAnsiTheme="minorHAnsi" w:cs="Tahoma"/>
          <w:lang w:val="en-US"/>
        </w:rPr>
        <w:t>Create a national survey to “characterize” internal forced displacement in Mexico and, consequently, adopt a national policy and measures to provide a response to this problem in accordance with international standards on the subject, particularly the UN Guiding Principles on Internal Displacement.</w:t>
      </w:r>
    </w:p>
    <w:p w:rsidR="009C095D" w:rsidRPr="007D47AD" w:rsidRDefault="009C095D" w:rsidP="00E472A2">
      <w:pPr>
        <w:pStyle w:val="Numberedparagraphs"/>
        <w:numPr>
          <w:ilvl w:val="0"/>
          <w:numId w:val="20"/>
        </w:numPr>
        <w:shd w:val="clear" w:color="auto" w:fill="D9D9D9"/>
        <w:spacing w:after="0"/>
        <w:ind w:left="1440" w:hanging="720"/>
        <w:rPr>
          <w:rFonts w:asciiTheme="minorHAnsi" w:eastAsia="Times New Roman" w:hAnsiTheme="minorHAnsi" w:cs="Tahoma"/>
          <w:lang w:val="en-US"/>
        </w:rPr>
      </w:pPr>
      <w:r w:rsidRPr="007D47AD">
        <w:rPr>
          <w:rFonts w:asciiTheme="minorHAnsi" w:hAnsiTheme="minorHAnsi"/>
          <w:lang w:val="en-US"/>
        </w:rPr>
        <w:t>Adopt</w:t>
      </w:r>
      <w:r w:rsidR="00382D69" w:rsidRPr="007D47AD">
        <w:rPr>
          <w:rFonts w:asciiTheme="minorHAnsi" w:hAnsiTheme="minorHAnsi"/>
          <w:lang w:val="en-US"/>
        </w:rPr>
        <w:t xml:space="preserve"> specific legislation at the federal and state level</w:t>
      </w:r>
      <w:r w:rsidR="00F23EE2" w:rsidRPr="007D47AD">
        <w:rPr>
          <w:rFonts w:asciiTheme="minorHAnsi" w:hAnsiTheme="minorHAnsi"/>
          <w:lang w:val="en-US"/>
        </w:rPr>
        <w:t>s</w:t>
      </w:r>
      <w:r w:rsidR="00382D69" w:rsidRPr="007D47AD">
        <w:rPr>
          <w:rFonts w:asciiTheme="minorHAnsi" w:hAnsiTheme="minorHAnsi"/>
          <w:lang w:val="en-US"/>
        </w:rPr>
        <w:t xml:space="preserve"> to address internal displacement, in accordance with the UN Guiding Principles on Internal Displacement. </w:t>
      </w:r>
    </w:p>
    <w:p w:rsidR="009C095D" w:rsidRPr="007D47AD" w:rsidRDefault="00382D69" w:rsidP="00E472A2">
      <w:pPr>
        <w:pStyle w:val="Numberedparagraphs"/>
        <w:numPr>
          <w:ilvl w:val="0"/>
          <w:numId w:val="20"/>
        </w:numPr>
        <w:shd w:val="clear" w:color="auto" w:fill="D9D9D9"/>
        <w:spacing w:after="0"/>
        <w:ind w:left="1440" w:hanging="720"/>
        <w:rPr>
          <w:rFonts w:asciiTheme="minorHAnsi" w:hAnsiTheme="minorHAnsi"/>
          <w:lang w:val="en-US"/>
        </w:rPr>
      </w:pPr>
      <w:r w:rsidRPr="007D47AD">
        <w:rPr>
          <w:rFonts w:asciiTheme="minorHAnsi" w:hAnsiTheme="minorHAnsi"/>
          <w:lang w:val="en-US"/>
        </w:rPr>
        <w:t>Ensure, at the federal level, that there is an institution in charge of the protection of persons who are victims of forced displacement</w:t>
      </w:r>
      <w:r w:rsidR="009C095D" w:rsidRPr="007D47AD">
        <w:rPr>
          <w:rFonts w:asciiTheme="minorHAnsi" w:hAnsiTheme="minorHAnsi"/>
          <w:lang w:val="en-US"/>
        </w:rPr>
        <w:t>.</w:t>
      </w:r>
    </w:p>
    <w:p w:rsidR="005A5A79" w:rsidRPr="007D47AD" w:rsidRDefault="005A5A79" w:rsidP="008D5087">
      <w:pPr>
        <w:shd w:val="clear" w:color="auto" w:fill="FFFFFF"/>
        <w:spacing w:after="0" w:line="240" w:lineRule="auto"/>
        <w:jc w:val="both"/>
        <w:rPr>
          <w:rFonts w:asciiTheme="minorHAnsi" w:hAnsiTheme="minorHAnsi"/>
          <w:sz w:val="20"/>
          <w:szCs w:val="20"/>
          <w:lang w:val="en-US"/>
        </w:rPr>
      </w:pPr>
    </w:p>
    <w:p w:rsidR="0021643C" w:rsidRPr="007D47AD" w:rsidRDefault="007E4B1B" w:rsidP="007E4B1B">
      <w:pPr>
        <w:numPr>
          <w:ilvl w:val="0"/>
          <w:numId w:val="6"/>
        </w:numPr>
        <w:shd w:val="clear" w:color="auto" w:fill="FFFFFF"/>
        <w:spacing w:after="0" w:line="240" w:lineRule="auto"/>
        <w:ind w:left="0" w:firstLine="709"/>
        <w:jc w:val="both"/>
        <w:rPr>
          <w:rFonts w:asciiTheme="minorHAnsi" w:hAnsiTheme="minorHAnsi"/>
          <w:sz w:val="20"/>
          <w:szCs w:val="20"/>
          <w:lang w:val="en-US"/>
        </w:rPr>
      </w:pPr>
      <w:r w:rsidRPr="007D47AD">
        <w:rPr>
          <w:rFonts w:asciiTheme="minorHAnsi" w:hAnsiTheme="minorHAnsi"/>
          <w:sz w:val="20"/>
          <w:szCs w:val="20"/>
          <w:lang w:val="en-US"/>
        </w:rPr>
        <w:t xml:space="preserve">Regarding the recommendation to </w:t>
      </w:r>
      <w:r w:rsidR="0021643C" w:rsidRPr="007D47AD">
        <w:rPr>
          <w:rFonts w:asciiTheme="minorHAnsi" w:hAnsiTheme="minorHAnsi"/>
          <w:b/>
          <w:sz w:val="20"/>
          <w:szCs w:val="20"/>
          <w:lang w:val="en-US"/>
        </w:rPr>
        <w:t>c</w:t>
      </w:r>
      <w:r w:rsidRPr="007D47AD">
        <w:rPr>
          <w:rFonts w:asciiTheme="minorHAnsi" w:hAnsiTheme="minorHAnsi"/>
          <w:b/>
          <w:sz w:val="20"/>
          <w:szCs w:val="20"/>
          <w:lang w:val="en-US"/>
        </w:rPr>
        <w:t>arry out the full set of recommendations made in the Report on the Human Rights of Migrants and Other Persons in the Context of Human Mobility in Mexico</w:t>
      </w:r>
      <w:r w:rsidR="00EC5DE6" w:rsidRPr="007D47AD">
        <w:rPr>
          <w:rFonts w:asciiTheme="minorHAnsi" w:hAnsiTheme="minorHAnsi"/>
          <w:sz w:val="20"/>
          <w:szCs w:val="20"/>
          <w:lang w:val="en-US"/>
        </w:rPr>
        <w:t xml:space="preserve">, </w:t>
      </w:r>
      <w:r w:rsidRPr="007D47AD">
        <w:rPr>
          <w:rFonts w:asciiTheme="minorHAnsi" w:hAnsiTheme="minorHAnsi"/>
          <w:sz w:val="20"/>
          <w:szCs w:val="20"/>
          <w:lang w:val="en-US"/>
        </w:rPr>
        <w:t>the State reported on attention to accompanied and unaccompanied migrant children and adolescents, trainings given to state-level officials, and specific cooperation agreements on health care.</w:t>
      </w:r>
      <w:r w:rsidR="0021643C" w:rsidRPr="007D47AD">
        <w:rPr>
          <w:rStyle w:val="FootnoteReference"/>
          <w:rFonts w:asciiTheme="minorHAnsi" w:hAnsiTheme="minorHAnsi"/>
          <w:sz w:val="20"/>
          <w:szCs w:val="20"/>
          <w:lang w:val="en-US"/>
        </w:rPr>
        <w:footnoteReference w:id="402"/>
      </w:r>
    </w:p>
    <w:p w:rsidR="0021643C" w:rsidRPr="007D47AD" w:rsidRDefault="0021643C" w:rsidP="00980ACC">
      <w:pPr>
        <w:shd w:val="clear" w:color="auto" w:fill="FFFFFF"/>
        <w:spacing w:after="0" w:line="240" w:lineRule="auto"/>
        <w:ind w:left="709"/>
        <w:jc w:val="both"/>
        <w:rPr>
          <w:rFonts w:asciiTheme="minorHAnsi" w:hAnsiTheme="minorHAnsi"/>
          <w:sz w:val="20"/>
          <w:szCs w:val="20"/>
          <w:lang w:val="en-US"/>
        </w:rPr>
      </w:pPr>
    </w:p>
    <w:p w:rsidR="0021643C" w:rsidRPr="007D47AD" w:rsidRDefault="007E4B1B" w:rsidP="00980ACC">
      <w:pPr>
        <w:numPr>
          <w:ilvl w:val="0"/>
          <w:numId w:val="6"/>
        </w:numPr>
        <w:shd w:val="clear" w:color="auto" w:fill="FFFFFF"/>
        <w:spacing w:after="0" w:line="240" w:lineRule="auto"/>
        <w:ind w:left="0" w:firstLine="709"/>
        <w:jc w:val="both"/>
        <w:rPr>
          <w:rFonts w:asciiTheme="minorHAnsi" w:hAnsiTheme="minorHAnsi"/>
          <w:sz w:val="20"/>
          <w:szCs w:val="20"/>
          <w:lang w:val="en-US"/>
        </w:rPr>
      </w:pPr>
      <w:r w:rsidRPr="007D47AD">
        <w:rPr>
          <w:rFonts w:asciiTheme="minorHAnsi" w:hAnsiTheme="minorHAnsi" w:cs="Cambria"/>
          <w:sz w:val="20"/>
          <w:szCs w:val="20"/>
          <w:lang w:val="en-US"/>
        </w:rPr>
        <w:t xml:space="preserve">As regards the attention given to accompanied and unaccompanied migrant children and adolescents, the State informed the IACHR that from January 1 to October 14, </w:t>
      </w:r>
      <w:r w:rsidR="0021643C" w:rsidRPr="007D47AD">
        <w:rPr>
          <w:rFonts w:asciiTheme="minorHAnsi" w:hAnsiTheme="minorHAnsi"/>
          <w:sz w:val="20"/>
          <w:szCs w:val="20"/>
          <w:lang w:val="en-US"/>
        </w:rPr>
        <w:t xml:space="preserve">2019, </w:t>
      </w:r>
      <w:r w:rsidRPr="007D47AD">
        <w:rPr>
          <w:rFonts w:asciiTheme="minorHAnsi" w:hAnsiTheme="minorHAnsi"/>
          <w:sz w:val="20"/>
          <w:szCs w:val="20"/>
          <w:lang w:val="en-US"/>
        </w:rPr>
        <w:t xml:space="preserve">the </w:t>
      </w:r>
      <w:r w:rsidR="0021643C" w:rsidRPr="007D47AD">
        <w:rPr>
          <w:rFonts w:asciiTheme="minorHAnsi" w:hAnsiTheme="minorHAnsi"/>
          <w:sz w:val="20"/>
          <w:szCs w:val="20"/>
          <w:lang w:val="en-US"/>
        </w:rPr>
        <w:t xml:space="preserve">INM </w:t>
      </w:r>
      <w:r w:rsidRPr="007D47AD">
        <w:rPr>
          <w:rFonts w:asciiTheme="minorHAnsi" w:hAnsiTheme="minorHAnsi"/>
          <w:sz w:val="20"/>
          <w:szCs w:val="20"/>
          <w:lang w:val="en-US"/>
        </w:rPr>
        <w:t xml:space="preserve">has served </w:t>
      </w:r>
      <w:r w:rsidR="0021643C" w:rsidRPr="007D47AD">
        <w:rPr>
          <w:rFonts w:asciiTheme="minorHAnsi" w:hAnsiTheme="minorHAnsi"/>
          <w:sz w:val="20"/>
          <w:szCs w:val="20"/>
          <w:lang w:val="en-US"/>
        </w:rPr>
        <w:t xml:space="preserve">47,665 </w:t>
      </w:r>
      <w:r w:rsidRPr="007D47AD">
        <w:rPr>
          <w:rFonts w:asciiTheme="minorHAnsi" w:hAnsiTheme="minorHAnsi"/>
          <w:sz w:val="20"/>
          <w:szCs w:val="20"/>
          <w:lang w:val="en-US"/>
        </w:rPr>
        <w:t xml:space="preserve">foreign migrant children and adolescents, </w:t>
      </w:r>
      <w:r w:rsidR="0021643C" w:rsidRPr="007D47AD">
        <w:rPr>
          <w:rFonts w:asciiTheme="minorHAnsi" w:hAnsiTheme="minorHAnsi"/>
          <w:sz w:val="20"/>
          <w:szCs w:val="20"/>
          <w:lang w:val="en-US"/>
        </w:rPr>
        <w:t xml:space="preserve">11,031 </w:t>
      </w:r>
      <w:r w:rsidR="007B25A6" w:rsidRPr="007D47AD">
        <w:rPr>
          <w:rFonts w:asciiTheme="minorHAnsi" w:hAnsiTheme="minorHAnsi"/>
          <w:sz w:val="20"/>
          <w:szCs w:val="20"/>
          <w:lang w:val="en-US"/>
        </w:rPr>
        <w:t xml:space="preserve">of whom </w:t>
      </w:r>
      <w:r w:rsidRPr="007D47AD">
        <w:rPr>
          <w:rFonts w:asciiTheme="minorHAnsi" w:hAnsiTheme="minorHAnsi"/>
          <w:sz w:val="20"/>
          <w:szCs w:val="20"/>
          <w:lang w:val="en-US"/>
        </w:rPr>
        <w:t>were travelling unaccompanied. In addition, it noted the creation of the Commission for the Integral Protection of Child and Adolescent Migrants and Asylum-Seekers, along with a Policy for the Prote</w:t>
      </w:r>
      <w:r w:rsidR="007B25A6" w:rsidRPr="007D47AD">
        <w:rPr>
          <w:rFonts w:asciiTheme="minorHAnsi" w:hAnsiTheme="minorHAnsi"/>
          <w:sz w:val="20"/>
          <w:szCs w:val="20"/>
          <w:lang w:val="en-US"/>
        </w:rPr>
        <w:t>c</w:t>
      </w:r>
      <w:r w:rsidRPr="007D47AD">
        <w:rPr>
          <w:rFonts w:asciiTheme="minorHAnsi" w:hAnsiTheme="minorHAnsi"/>
          <w:sz w:val="20"/>
          <w:szCs w:val="20"/>
          <w:lang w:val="en-US"/>
        </w:rPr>
        <w:t>tion of Child and Adolescent Migrants and Asylum-Seekers. The State also reported on the establishment, among other actions, of the Path</w:t>
      </w:r>
      <w:r w:rsidR="007B25A6" w:rsidRPr="007D47AD">
        <w:rPr>
          <w:rFonts w:asciiTheme="minorHAnsi" w:hAnsiTheme="minorHAnsi"/>
          <w:sz w:val="20"/>
          <w:szCs w:val="20"/>
          <w:lang w:val="en-US"/>
        </w:rPr>
        <w:t xml:space="preserve"> </w:t>
      </w:r>
      <w:r w:rsidRPr="007D47AD">
        <w:rPr>
          <w:rFonts w:asciiTheme="minorHAnsi" w:hAnsiTheme="minorHAnsi"/>
          <w:sz w:val="20"/>
          <w:szCs w:val="20"/>
          <w:lang w:val="en-US"/>
        </w:rPr>
        <w:t>for integral protection of the rights of migrant children and adolescents, to guarantee the rights of children and adolescents in migration.</w:t>
      </w:r>
      <w:r w:rsidR="0021643C" w:rsidRPr="007D47AD">
        <w:rPr>
          <w:rStyle w:val="FootnoteReference"/>
          <w:rFonts w:asciiTheme="minorHAnsi" w:hAnsiTheme="minorHAnsi"/>
          <w:sz w:val="20"/>
          <w:szCs w:val="20"/>
          <w:lang w:val="en-US"/>
        </w:rPr>
        <w:footnoteReference w:id="403"/>
      </w:r>
    </w:p>
    <w:p w:rsidR="0021643C" w:rsidRPr="007D47AD" w:rsidRDefault="0021643C" w:rsidP="00980ACC">
      <w:pPr>
        <w:shd w:val="clear" w:color="auto" w:fill="FFFFFF"/>
        <w:spacing w:after="0" w:line="240" w:lineRule="auto"/>
        <w:jc w:val="both"/>
        <w:rPr>
          <w:rFonts w:asciiTheme="minorHAnsi" w:hAnsiTheme="minorHAnsi"/>
          <w:sz w:val="20"/>
          <w:szCs w:val="20"/>
          <w:lang w:val="en-US"/>
        </w:rPr>
      </w:pPr>
    </w:p>
    <w:p w:rsidR="0021643C" w:rsidRPr="007D47AD" w:rsidRDefault="007E4B1B" w:rsidP="00980ACC">
      <w:pPr>
        <w:numPr>
          <w:ilvl w:val="0"/>
          <w:numId w:val="6"/>
        </w:numPr>
        <w:shd w:val="clear" w:color="auto" w:fill="FFFFFF"/>
        <w:spacing w:after="0" w:line="240" w:lineRule="auto"/>
        <w:ind w:left="0" w:firstLine="709"/>
        <w:jc w:val="both"/>
        <w:rPr>
          <w:rFonts w:asciiTheme="minorHAnsi" w:hAnsiTheme="minorHAnsi"/>
          <w:sz w:val="20"/>
          <w:szCs w:val="20"/>
          <w:lang w:val="en-US"/>
        </w:rPr>
      </w:pPr>
      <w:r w:rsidRPr="007D47AD">
        <w:rPr>
          <w:rFonts w:asciiTheme="minorHAnsi" w:hAnsiTheme="minorHAnsi"/>
          <w:sz w:val="20"/>
          <w:szCs w:val="20"/>
          <w:lang w:val="en-US"/>
        </w:rPr>
        <w:t xml:space="preserve">As regards the trainings, the State reported that from April 8 to October 5, </w:t>
      </w:r>
      <w:r w:rsidR="0021643C" w:rsidRPr="007D47AD">
        <w:rPr>
          <w:rFonts w:asciiTheme="minorHAnsi" w:hAnsiTheme="minorHAnsi" w:cs="Montserrat"/>
          <w:color w:val="000000"/>
          <w:sz w:val="20"/>
          <w:szCs w:val="20"/>
          <w:lang w:val="en-US"/>
        </w:rPr>
        <w:t xml:space="preserve">2019, </w:t>
      </w:r>
      <w:r w:rsidRPr="007D47AD">
        <w:rPr>
          <w:rFonts w:asciiTheme="minorHAnsi" w:hAnsiTheme="minorHAnsi" w:cs="Montserrat"/>
          <w:color w:val="000000"/>
          <w:sz w:val="20"/>
          <w:szCs w:val="20"/>
          <w:lang w:val="en-US"/>
        </w:rPr>
        <w:t>seven workshops were held to train trainers for Detecting and Investigating the Crime of Illicit Smuggling of Migrants and Crimes against Migrants; in all, 24 public servants received train</w:t>
      </w:r>
      <w:r w:rsidR="007B25A6" w:rsidRPr="007D47AD">
        <w:rPr>
          <w:rFonts w:asciiTheme="minorHAnsi" w:hAnsiTheme="minorHAnsi" w:cs="Montserrat"/>
          <w:color w:val="000000"/>
          <w:sz w:val="20"/>
          <w:szCs w:val="20"/>
          <w:lang w:val="en-US"/>
        </w:rPr>
        <w:t>ing</w:t>
      </w:r>
      <w:r w:rsidRPr="007D47AD">
        <w:rPr>
          <w:rFonts w:asciiTheme="minorHAnsi" w:hAnsiTheme="minorHAnsi" w:cs="Montserrat"/>
          <w:color w:val="000000"/>
          <w:sz w:val="20"/>
          <w:szCs w:val="20"/>
          <w:lang w:val="en-US"/>
        </w:rPr>
        <w:t xml:space="preserve">, from nine offices of the National Migration Institute and the </w:t>
      </w:r>
      <w:r w:rsidR="0021643C" w:rsidRPr="007D47AD">
        <w:rPr>
          <w:rFonts w:asciiTheme="minorHAnsi" w:hAnsiTheme="minorHAnsi" w:cs="Montserrat"/>
          <w:color w:val="000000"/>
          <w:sz w:val="20"/>
          <w:szCs w:val="20"/>
          <w:lang w:val="en-US"/>
        </w:rPr>
        <w:t>DGCOR</w:t>
      </w:r>
      <w:r w:rsidRPr="007D47AD">
        <w:rPr>
          <w:rFonts w:asciiTheme="minorHAnsi" w:hAnsiTheme="minorHAnsi" w:cs="Montserrat"/>
          <w:color w:val="000000"/>
          <w:sz w:val="20"/>
          <w:szCs w:val="20"/>
          <w:lang w:val="en-US"/>
        </w:rPr>
        <w:t xml:space="preserve">. They </w:t>
      </w:r>
      <w:r w:rsidR="007B25A6" w:rsidRPr="007D47AD">
        <w:rPr>
          <w:rFonts w:asciiTheme="minorHAnsi" w:hAnsiTheme="minorHAnsi" w:cs="Montserrat"/>
          <w:color w:val="000000"/>
          <w:sz w:val="20"/>
          <w:szCs w:val="20"/>
          <w:lang w:val="en-US"/>
        </w:rPr>
        <w:t xml:space="preserve">trainings </w:t>
      </w:r>
      <w:r w:rsidRPr="007D47AD">
        <w:rPr>
          <w:rFonts w:asciiTheme="minorHAnsi" w:hAnsiTheme="minorHAnsi" w:cs="Montserrat"/>
          <w:color w:val="000000"/>
          <w:sz w:val="20"/>
          <w:szCs w:val="20"/>
          <w:lang w:val="en-US"/>
        </w:rPr>
        <w:t>were given by the UNODC.</w:t>
      </w:r>
      <w:r w:rsidR="0021643C" w:rsidRPr="007D47AD">
        <w:rPr>
          <w:rStyle w:val="FootnoteReference"/>
          <w:rFonts w:asciiTheme="minorHAnsi" w:hAnsiTheme="minorHAnsi" w:cs="Montserrat"/>
          <w:color w:val="000000"/>
          <w:sz w:val="20"/>
          <w:szCs w:val="20"/>
          <w:lang w:val="en-US"/>
        </w:rPr>
        <w:footnoteReference w:id="404"/>
      </w:r>
      <w:r w:rsidR="0021643C" w:rsidRPr="007D47AD">
        <w:rPr>
          <w:rFonts w:asciiTheme="minorHAnsi" w:hAnsiTheme="minorHAnsi" w:cs="Montserrat"/>
          <w:color w:val="000000"/>
          <w:sz w:val="20"/>
          <w:szCs w:val="20"/>
          <w:lang w:val="en-US"/>
        </w:rPr>
        <w:t xml:space="preserve"> </w:t>
      </w:r>
      <w:r w:rsidR="007B25A6" w:rsidRPr="007D47AD">
        <w:rPr>
          <w:rFonts w:asciiTheme="minorHAnsi" w:hAnsiTheme="minorHAnsi" w:cs="Montserrat"/>
          <w:color w:val="000000"/>
          <w:sz w:val="20"/>
          <w:szCs w:val="20"/>
          <w:lang w:val="en-US"/>
        </w:rPr>
        <w:t xml:space="preserve">The State </w:t>
      </w:r>
      <w:r w:rsidRPr="007D47AD">
        <w:rPr>
          <w:rFonts w:asciiTheme="minorHAnsi" w:hAnsiTheme="minorHAnsi" w:cs="Montserrat"/>
          <w:color w:val="000000"/>
          <w:sz w:val="20"/>
          <w:szCs w:val="20"/>
          <w:lang w:val="en-US"/>
        </w:rPr>
        <w:t xml:space="preserve">also reported that during the period from January </w:t>
      </w:r>
      <w:r w:rsidR="0021643C" w:rsidRPr="007D47AD">
        <w:rPr>
          <w:rFonts w:asciiTheme="minorHAnsi" w:hAnsiTheme="minorHAnsi"/>
          <w:sz w:val="20"/>
          <w:szCs w:val="20"/>
          <w:lang w:val="en-US"/>
        </w:rPr>
        <w:t>25</w:t>
      </w:r>
      <w:r w:rsidRPr="007D47AD">
        <w:rPr>
          <w:rFonts w:asciiTheme="minorHAnsi" w:hAnsiTheme="minorHAnsi"/>
          <w:sz w:val="20"/>
          <w:szCs w:val="20"/>
          <w:lang w:val="en-US"/>
        </w:rPr>
        <w:t>,</w:t>
      </w:r>
      <w:r w:rsidR="0021643C" w:rsidRPr="007D47AD">
        <w:rPr>
          <w:rFonts w:asciiTheme="minorHAnsi" w:hAnsiTheme="minorHAnsi"/>
          <w:sz w:val="20"/>
          <w:szCs w:val="20"/>
          <w:lang w:val="en-US"/>
        </w:rPr>
        <w:t xml:space="preserve"> 2017 </w:t>
      </w:r>
      <w:r w:rsidRPr="007D47AD">
        <w:rPr>
          <w:rFonts w:asciiTheme="minorHAnsi" w:hAnsiTheme="minorHAnsi"/>
          <w:sz w:val="20"/>
          <w:szCs w:val="20"/>
          <w:lang w:val="en-US"/>
        </w:rPr>
        <w:t xml:space="preserve">to June </w:t>
      </w:r>
      <w:r w:rsidR="0021643C" w:rsidRPr="007D47AD">
        <w:rPr>
          <w:rFonts w:asciiTheme="minorHAnsi" w:hAnsiTheme="minorHAnsi"/>
          <w:sz w:val="20"/>
          <w:szCs w:val="20"/>
          <w:lang w:val="en-US"/>
        </w:rPr>
        <w:t>14</w:t>
      </w:r>
      <w:r w:rsidRPr="007D47AD">
        <w:rPr>
          <w:rFonts w:asciiTheme="minorHAnsi" w:hAnsiTheme="minorHAnsi"/>
          <w:sz w:val="20"/>
          <w:szCs w:val="20"/>
          <w:lang w:val="en-US"/>
        </w:rPr>
        <w:t>,</w:t>
      </w:r>
      <w:r w:rsidR="0021643C" w:rsidRPr="007D47AD">
        <w:rPr>
          <w:rFonts w:asciiTheme="minorHAnsi" w:hAnsiTheme="minorHAnsi"/>
          <w:sz w:val="20"/>
          <w:szCs w:val="20"/>
          <w:lang w:val="en-US"/>
        </w:rPr>
        <w:t xml:space="preserve"> 2019</w:t>
      </w:r>
      <w:r w:rsidRPr="007D47AD">
        <w:rPr>
          <w:rFonts w:asciiTheme="minorHAnsi" w:hAnsiTheme="minorHAnsi"/>
          <w:sz w:val="20"/>
          <w:szCs w:val="20"/>
          <w:lang w:val="en-US"/>
        </w:rPr>
        <w:t>, 19 specific cooperation agreements and four modifying agreements have been formalized in relation to health care</w:t>
      </w:r>
      <w:r w:rsidR="0021643C" w:rsidRPr="007D47AD">
        <w:rPr>
          <w:rFonts w:asciiTheme="minorHAnsi" w:hAnsiTheme="minorHAnsi"/>
          <w:sz w:val="20"/>
          <w:szCs w:val="20"/>
          <w:lang w:val="en-US"/>
        </w:rPr>
        <w:t xml:space="preserve">, </w:t>
      </w:r>
      <w:r w:rsidRPr="007D47AD">
        <w:rPr>
          <w:rFonts w:asciiTheme="minorHAnsi" w:hAnsiTheme="minorHAnsi"/>
          <w:sz w:val="20"/>
          <w:szCs w:val="20"/>
          <w:lang w:val="en-US"/>
        </w:rPr>
        <w:t xml:space="preserve">in the context of the </w:t>
      </w:r>
      <w:r w:rsidR="004F7FE3" w:rsidRPr="007D47AD">
        <w:rPr>
          <w:rFonts w:asciiTheme="minorHAnsi" w:hAnsiTheme="minorHAnsi"/>
          <w:sz w:val="20"/>
          <w:szCs w:val="20"/>
          <w:lang w:val="en-US"/>
        </w:rPr>
        <w:t xml:space="preserve">Terms of </w:t>
      </w:r>
      <w:r w:rsidR="004F7FE3" w:rsidRPr="007D47AD">
        <w:rPr>
          <w:rFonts w:asciiTheme="minorHAnsi" w:hAnsiTheme="minorHAnsi"/>
          <w:sz w:val="20"/>
          <w:szCs w:val="20"/>
          <w:lang w:val="en-US"/>
        </w:rPr>
        <w:lastRenderedPageBreak/>
        <w:t xml:space="preserve">Cooperation between the National Migration Institute and the National Center for Epidemiological Surveillance and Disease Control </w:t>
      </w:r>
      <w:r w:rsidR="0021643C" w:rsidRPr="007D47AD">
        <w:rPr>
          <w:rFonts w:asciiTheme="minorHAnsi" w:hAnsiTheme="minorHAnsi"/>
          <w:sz w:val="20"/>
          <w:szCs w:val="20"/>
          <w:lang w:val="en-US"/>
        </w:rPr>
        <w:t>(CENAVECE)</w:t>
      </w:r>
      <w:r w:rsidR="004F7FE3" w:rsidRPr="007D47AD">
        <w:rPr>
          <w:rFonts w:asciiTheme="minorHAnsi" w:hAnsiTheme="minorHAnsi"/>
          <w:sz w:val="20"/>
          <w:szCs w:val="20"/>
          <w:lang w:val="en-US"/>
        </w:rPr>
        <w:t>.</w:t>
      </w:r>
      <w:r w:rsidR="0021643C" w:rsidRPr="007D47AD">
        <w:rPr>
          <w:rStyle w:val="FootnoteReference"/>
          <w:rFonts w:asciiTheme="minorHAnsi" w:hAnsiTheme="minorHAnsi"/>
          <w:sz w:val="20"/>
          <w:szCs w:val="20"/>
          <w:lang w:val="en-US"/>
        </w:rPr>
        <w:footnoteReference w:id="405"/>
      </w:r>
      <w:r w:rsidR="0021643C" w:rsidRPr="007D47AD">
        <w:rPr>
          <w:rFonts w:asciiTheme="minorHAnsi" w:hAnsiTheme="minorHAnsi"/>
          <w:sz w:val="20"/>
          <w:szCs w:val="20"/>
          <w:lang w:val="en-US"/>
        </w:rPr>
        <w:t xml:space="preserve"> </w:t>
      </w:r>
    </w:p>
    <w:p w:rsidR="0021643C" w:rsidRPr="007D47AD" w:rsidRDefault="0021643C" w:rsidP="00980ACC">
      <w:pPr>
        <w:shd w:val="clear" w:color="auto" w:fill="FFFFFF"/>
        <w:spacing w:after="0" w:line="240" w:lineRule="auto"/>
        <w:jc w:val="both"/>
        <w:rPr>
          <w:rFonts w:asciiTheme="minorHAnsi" w:hAnsiTheme="minorHAnsi"/>
          <w:sz w:val="20"/>
          <w:szCs w:val="20"/>
          <w:lang w:val="en-US"/>
        </w:rPr>
      </w:pPr>
    </w:p>
    <w:p w:rsidR="0021643C" w:rsidRPr="007D47AD" w:rsidRDefault="004F7FE3" w:rsidP="00980ACC">
      <w:pPr>
        <w:numPr>
          <w:ilvl w:val="0"/>
          <w:numId w:val="6"/>
        </w:numPr>
        <w:shd w:val="clear" w:color="auto" w:fill="FFFFFF"/>
        <w:spacing w:after="0" w:line="240" w:lineRule="auto"/>
        <w:ind w:left="0" w:firstLine="709"/>
        <w:jc w:val="both"/>
        <w:rPr>
          <w:rFonts w:asciiTheme="minorHAnsi" w:hAnsiTheme="minorHAnsi"/>
          <w:sz w:val="20"/>
          <w:szCs w:val="20"/>
          <w:lang w:val="en-US"/>
        </w:rPr>
      </w:pPr>
      <w:r w:rsidRPr="007D47AD">
        <w:rPr>
          <w:rFonts w:asciiTheme="minorHAnsi" w:hAnsiTheme="minorHAnsi"/>
          <w:sz w:val="20"/>
          <w:szCs w:val="20"/>
          <w:lang w:val="en-US"/>
        </w:rPr>
        <w:t xml:space="preserve">The IACHR next notes some aspects related to migrants, asylum-seekers, refugees, beneficiaries of </w:t>
      </w:r>
      <w:r w:rsidR="00EE416A" w:rsidRPr="007D47AD">
        <w:rPr>
          <w:rFonts w:asciiTheme="minorHAnsi" w:hAnsiTheme="minorHAnsi"/>
          <w:sz w:val="20"/>
          <w:szCs w:val="20"/>
          <w:lang w:val="en-US"/>
        </w:rPr>
        <w:t>com</w:t>
      </w:r>
      <w:r w:rsidRPr="007D47AD">
        <w:rPr>
          <w:rFonts w:asciiTheme="minorHAnsi" w:hAnsiTheme="minorHAnsi"/>
          <w:sz w:val="20"/>
          <w:szCs w:val="20"/>
          <w:lang w:val="en-US"/>
        </w:rPr>
        <w:t>plementary protection, stateless persons, and subjects of international protection that require the State’s attention</w:t>
      </w:r>
      <w:r w:rsidR="0021643C" w:rsidRPr="007D47AD">
        <w:rPr>
          <w:rFonts w:asciiTheme="minorHAnsi" w:hAnsiTheme="minorHAnsi"/>
          <w:sz w:val="20"/>
          <w:szCs w:val="20"/>
          <w:lang w:val="en-US"/>
        </w:rPr>
        <w:t xml:space="preserve">. </w:t>
      </w:r>
    </w:p>
    <w:p w:rsidR="0021643C" w:rsidRPr="007D47AD" w:rsidRDefault="0021643C" w:rsidP="00980ACC">
      <w:pPr>
        <w:shd w:val="clear" w:color="auto" w:fill="FFFFFF"/>
        <w:spacing w:after="0" w:line="240" w:lineRule="auto"/>
        <w:jc w:val="both"/>
        <w:rPr>
          <w:rFonts w:asciiTheme="minorHAnsi" w:eastAsia="Times New Roman" w:hAnsiTheme="minorHAnsi" w:cs="Arial"/>
          <w:sz w:val="20"/>
          <w:szCs w:val="20"/>
          <w:lang w:val="en-US"/>
        </w:rPr>
      </w:pPr>
    </w:p>
    <w:p w:rsidR="0021643C" w:rsidRPr="007D47AD" w:rsidRDefault="004F7FE3" w:rsidP="00980ACC">
      <w:pPr>
        <w:numPr>
          <w:ilvl w:val="0"/>
          <w:numId w:val="6"/>
        </w:numPr>
        <w:shd w:val="clear" w:color="auto" w:fill="FFFFFF"/>
        <w:spacing w:after="0" w:line="240" w:lineRule="auto"/>
        <w:ind w:left="0" w:firstLine="709"/>
        <w:jc w:val="both"/>
        <w:rPr>
          <w:rFonts w:asciiTheme="minorHAnsi" w:hAnsiTheme="minorHAnsi"/>
          <w:sz w:val="20"/>
          <w:szCs w:val="20"/>
          <w:lang w:val="en-US"/>
        </w:rPr>
      </w:pPr>
      <w:r w:rsidRPr="007D47AD">
        <w:rPr>
          <w:rFonts w:asciiTheme="minorHAnsi" w:eastAsia="Times New Roman" w:hAnsiTheme="minorHAnsi" w:cs="Arial"/>
          <w:sz w:val="20"/>
          <w:szCs w:val="20"/>
          <w:lang w:val="en-US"/>
        </w:rPr>
        <w:t>As regards refugees and asylum seekers, as reflected in its different reports, the IACHR has noted that the number of perso</w:t>
      </w:r>
      <w:r w:rsidR="007B25A6" w:rsidRPr="007D47AD">
        <w:rPr>
          <w:rFonts w:asciiTheme="minorHAnsi" w:eastAsia="Times New Roman" w:hAnsiTheme="minorHAnsi" w:cs="Arial"/>
          <w:sz w:val="20"/>
          <w:szCs w:val="20"/>
          <w:lang w:val="en-US"/>
        </w:rPr>
        <w:t>n</w:t>
      </w:r>
      <w:r w:rsidRPr="007D47AD">
        <w:rPr>
          <w:rFonts w:asciiTheme="minorHAnsi" w:eastAsia="Times New Roman" w:hAnsiTheme="minorHAnsi" w:cs="Arial"/>
          <w:sz w:val="20"/>
          <w:szCs w:val="20"/>
          <w:lang w:val="en-US"/>
        </w:rPr>
        <w:t xml:space="preserve">s seeking refugee status in </w:t>
      </w:r>
      <w:r w:rsidR="0021643C" w:rsidRPr="007D47AD">
        <w:rPr>
          <w:rFonts w:asciiTheme="minorHAnsi" w:eastAsia="Times New Roman" w:hAnsiTheme="minorHAnsi" w:cs="Arial"/>
          <w:sz w:val="20"/>
          <w:szCs w:val="20"/>
          <w:lang w:val="en-US"/>
        </w:rPr>
        <w:t>M</w:t>
      </w:r>
      <w:r w:rsidRPr="007D47AD">
        <w:rPr>
          <w:rFonts w:asciiTheme="minorHAnsi" w:eastAsia="Times New Roman" w:hAnsiTheme="minorHAnsi" w:cs="Arial"/>
          <w:sz w:val="20"/>
          <w:szCs w:val="20"/>
          <w:lang w:val="en-US"/>
        </w:rPr>
        <w:t>e</w:t>
      </w:r>
      <w:r w:rsidR="0021643C" w:rsidRPr="007D47AD">
        <w:rPr>
          <w:rFonts w:asciiTheme="minorHAnsi" w:eastAsia="Times New Roman" w:hAnsiTheme="minorHAnsi" w:cs="Arial"/>
          <w:sz w:val="20"/>
          <w:szCs w:val="20"/>
          <w:lang w:val="en-US"/>
        </w:rPr>
        <w:t>xico ha</w:t>
      </w:r>
      <w:r w:rsidRPr="007D47AD">
        <w:rPr>
          <w:rFonts w:asciiTheme="minorHAnsi" w:eastAsia="Times New Roman" w:hAnsiTheme="minorHAnsi" w:cs="Arial"/>
          <w:sz w:val="20"/>
          <w:szCs w:val="20"/>
          <w:lang w:val="en-US"/>
        </w:rPr>
        <w:t>s increased exponentially in recent years.</w:t>
      </w:r>
      <w:r w:rsidR="0021643C" w:rsidRPr="007D47AD">
        <w:rPr>
          <w:rStyle w:val="FootnoteReference"/>
          <w:rFonts w:asciiTheme="minorHAnsi" w:eastAsia="Times New Roman" w:hAnsiTheme="minorHAnsi" w:cs="Arial"/>
          <w:sz w:val="20"/>
          <w:szCs w:val="20"/>
          <w:lang w:val="en-US"/>
        </w:rPr>
        <w:footnoteReference w:id="406"/>
      </w:r>
      <w:r w:rsidR="0021643C" w:rsidRPr="007D47AD">
        <w:rPr>
          <w:rFonts w:asciiTheme="minorHAnsi" w:eastAsia="Times New Roman" w:hAnsiTheme="minorHAnsi" w:cs="Arial"/>
          <w:sz w:val="20"/>
          <w:szCs w:val="20"/>
          <w:lang w:val="en-US"/>
        </w:rPr>
        <w:t xml:space="preserve"> </w:t>
      </w:r>
      <w:r w:rsidRPr="007D47AD">
        <w:rPr>
          <w:rFonts w:asciiTheme="minorHAnsi" w:eastAsia="Times New Roman" w:hAnsiTheme="minorHAnsi" w:cs="Arial"/>
          <w:sz w:val="20"/>
          <w:szCs w:val="20"/>
          <w:lang w:val="en-US"/>
        </w:rPr>
        <w:t>The IACHR observes that according to the most recent figures from the UNHCR, as of yearend 2018 Mexico had</w:t>
      </w:r>
      <w:r w:rsidR="0021643C" w:rsidRPr="007D47AD">
        <w:rPr>
          <w:rFonts w:asciiTheme="minorHAnsi" w:eastAsia="Times New Roman" w:hAnsiTheme="minorHAnsi" w:cs="Arial"/>
          <w:sz w:val="20"/>
          <w:szCs w:val="20"/>
          <w:lang w:val="en-US"/>
        </w:rPr>
        <w:t xml:space="preserve">: </w:t>
      </w:r>
      <w:r w:rsidRPr="007D47AD">
        <w:rPr>
          <w:rFonts w:asciiTheme="minorHAnsi" w:eastAsia="Times New Roman" w:hAnsiTheme="minorHAnsi" w:cs="Arial"/>
          <w:sz w:val="20"/>
          <w:szCs w:val="20"/>
          <w:lang w:val="en-US"/>
        </w:rPr>
        <w:t>(</w:t>
      </w:r>
      <w:r w:rsidR="0021643C" w:rsidRPr="007D47AD">
        <w:rPr>
          <w:rFonts w:asciiTheme="minorHAnsi" w:eastAsia="Times New Roman" w:hAnsiTheme="minorHAnsi" w:cs="Arial"/>
          <w:sz w:val="20"/>
          <w:szCs w:val="20"/>
          <w:lang w:val="en-US"/>
        </w:rPr>
        <w:t>i) 16</w:t>
      </w:r>
      <w:r w:rsidRPr="007D47AD">
        <w:rPr>
          <w:rFonts w:asciiTheme="minorHAnsi" w:eastAsia="Times New Roman" w:hAnsiTheme="minorHAnsi" w:cs="Arial"/>
          <w:sz w:val="20"/>
          <w:szCs w:val="20"/>
          <w:lang w:val="en-US"/>
        </w:rPr>
        <w:t>,</w:t>
      </w:r>
      <w:r w:rsidR="0021643C" w:rsidRPr="007D47AD">
        <w:rPr>
          <w:rFonts w:asciiTheme="minorHAnsi" w:eastAsia="Times New Roman" w:hAnsiTheme="minorHAnsi" w:cs="Arial"/>
          <w:sz w:val="20"/>
          <w:szCs w:val="20"/>
          <w:lang w:val="en-US"/>
        </w:rPr>
        <w:t>549 person</w:t>
      </w:r>
      <w:r w:rsidRPr="007D47AD">
        <w:rPr>
          <w:rFonts w:asciiTheme="minorHAnsi" w:eastAsia="Times New Roman" w:hAnsiTheme="minorHAnsi" w:cs="Arial"/>
          <w:sz w:val="20"/>
          <w:szCs w:val="20"/>
          <w:lang w:val="en-US"/>
        </w:rPr>
        <w:t xml:space="preserve">s recognized as refugees and </w:t>
      </w:r>
      <w:r w:rsidR="0021643C" w:rsidRPr="007D47AD">
        <w:rPr>
          <w:rFonts w:asciiTheme="minorHAnsi" w:eastAsia="Times New Roman" w:hAnsiTheme="minorHAnsi" w:cs="Arial"/>
          <w:sz w:val="20"/>
          <w:szCs w:val="20"/>
          <w:lang w:val="en-US"/>
        </w:rPr>
        <w:t>23</w:t>
      </w:r>
      <w:r w:rsidRPr="007D47AD">
        <w:rPr>
          <w:rFonts w:asciiTheme="minorHAnsi" w:eastAsia="Times New Roman" w:hAnsiTheme="minorHAnsi" w:cs="Arial"/>
          <w:sz w:val="20"/>
          <w:szCs w:val="20"/>
          <w:lang w:val="en-US"/>
        </w:rPr>
        <w:t>,</w:t>
      </w:r>
      <w:r w:rsidR="0021643C" w:rsidRPr="007D47AD">
        <w:rPr>
          <w:rFonts w:asciiTheme="minorHAnsi" w:eastAsia="Times New Roman" w:hAnsiTheme="minorHAnsi" w:cs="Arial"/>
          <w:sz w:val="20"/>
          <w:szCs w:val="20"/>
          <w:lang w:val="en-US"/>
        </w:rPr>
        <w:t xml:space="preserve">847 </w:t>
      </w:r>
      <w:r w:rsidRPr="007D47AD">
        <w:rPr>
          <w:rFonts w:asciiTheme="minorHAnsi" w:eastAsia="Times New Roman" w:hAnsiTheme="minorHAnsi" w:cs="Arial"/>
          <w:sz w:val="20"/>
          <w:szCs w:val="20"/>
          <w:lang w:val="en-US"/>
        </w:rPr>
        <w:t>asylum seekers with some cases pending resolution, (</w:t>
      </w:r>
      <w:r w:rsidR="0021643C" w:rsidRPr="007D47AD">
        <w:rPr>
          <w:rFonts w:asciiTheme="minorHAnsi" w:eastAsia="Times New Roman" w:hAnsiTheme="minorHAnsi" w:cs="Arial"/>
          <w:sz w:val="20"/>
          <w:szCs w:val="20"/>
          <w:lang w:val="en-US"/>
        </w:rPr>
        <w:t>ii) 13 person</w:t>
      </w:r>
      <w:r w:rsidRPr="007D47AD">
        <w:rPr>
          <w:rFonts w:asciiTheme="minorHAnsi" w:eastAsia="Times New Roman" w:hAnsiTheme="minorHAnsi" w:cs="Arial"/>
          <w:sz w:val="20"/>
          <w:szCs w:val="20"/>
          <w:lang w:val="en-US"/>
        </w:rPr>
        <w:t>s under the UNHCR’s mandate on statelessness</w:t>
      </w:r>
      <w:r w:rsidR="0021643C" w:rsidRPr="007D47AD">
        <w:rPr>
          <w:rFonts w:asciiTheme="minorHAnsi" w:eastAsia="Times New Roman" w:hAnsiTheme="minorHAnsi" w:cs="Arial"/>
          <w:sz w:val="20"/>
          <w:szCs w:val="20"/>
          <w:lang w:val="en-US"/>
        </w:rPr>
        <w:t xml:space="preserve">, </w:t>
      </w:r>
      <w:r w:rsidRPr="007D47AD">
        <w:rPr>
          <w:rFonts w:asciiTheme="minorHAnsi" w:eastAsia="Times New Roman" w:hAnsiTheme="minorHAnsi" w:cs="Arial"/>
          <w:sz w:val="20"/>
          <w:szCs w:val="20"/>
          <w:lang w:val="en-US"/>
        </w:rPr>
        <w:t>(</w:t>
      </w:r>
      <w:r w:rsidR="0021643C" w:rsidRPr="007D47AD">
        <w:rPr>
          <w:rFonts w:asciiTheme="minorHAnsi" w:eastAsia="Times New Roman" w:hAnsiTheme="minorHAnsi" w:cs="Arial"/>
          <w:sz w:val="20"/>
          <w:szCs w:val="20"/>
          <w:lang w:val="en-US"/>
        </w:rPr>
        <w:t>iii) 82</w:t>
      </w:r>
      <w:r w:rsidRPr="007D47AD">
        <w:rPr>
          <w:rFonts w:asciiTheme="minorHAnsi" w:eastAsia="Times New Roman" w:hAnsiTheme="minorHAnsi" w:cs="Arial"/>
          <w:sz w:val="20"/>
          <w:szCs w:val="20"/>
          <w:lang w:val="en-US"/>
        </w:rPr>
        <w:t>,</w:t>
      </w:r>
      <w:r w:rsidR="0021643C" w:rsidRPr="007D47AD">
        <w:rPr>
          <w:rFonts w:asciiTheme="minorHAnsi" w:eastAsia="Times New Roman" w:hAnsiTheme="minorHAnsi" w:cs="Arial"/>
          <w:sz w:val="20"/>
          <w:szCs w:val="20"/>
          <w:lang w:val="en-US"/>
        </w:rPr>
        <w:t>993 person</w:t>
      </w:r>
      <w:r w:rsidRPr="007D47AD">
        <w:rPr>
          <w:rFonts w:asciiTheme="minorHAnsi" w:eastAsia="Times New Roman" w:hAnsiTheme="minorHAnsi" w:cs="Arial"/>
          <w:sz w:val="20"/>
          <w:szCs w:val="20"/>
          <w:lang w:val="en-US"/>
        </w:rPr>
        <w:t>s of interest for the UNHCR, and (</w:t>
      </w:r>
      <w:r w:rsidR="0021643C" w:rsidRPr="007D47AD">
        <w:rPr>
          <w:rFonts w:asciiTheme="minorHAnsi" w:eastAsia="Times New Roman" w:hAnsiTheme="minorHAnsi" w:cs="Arial"/>
          <w:sz w:val="20"/>
          <w:szCs w:val="20"/>
          <w:lang w:val="en-US"/>
        </w:rPr>
        <w:t>iv) 42</w:t>
      </w:r>
      <w:r w:rsidRPr="007D47AD">
        <w:rPr>
          <w:rFonts w:asciiTheme="minorHAnsi" w:eastAsia="Times New Roman" w:hAnsiTheme="minorHAnsi" w:cs="Arial"/>
          <w:sz w:val="20"/>
          <w:szCs w:val="20"/>
          <w:lang w:val="en-US"/>
        </w:rPr>
        <w:t>,</w:t>
      </w:r>
      <w:r w:rsidR="0021643C" w:rsidRPr="007D47AD">
        <w:rPr>
          <w:rFonts w:asciiTheme="minorHAnsi" w:eastAsia="Times New Roman" w:hAnsiTheme="minorHAnsi" w:cs="Arial"/>
          <w:sz w:val="20"/>
          <w:szCs w:val="20"/>
          <w:lang w:val="en-US"/>
        </w:rPr>
        <w:t xml:space="preserve">104 </w:t>
      </w:r>
      <w:r w:rsidRPr="007D47AD">
        <w:rPr>
          <w:rFonts w:asciiTheme="minorHAnsi" w:eastAsia="Times New Roman" w:hAnsiTheme="minorHAnsi" w:cs="Arial"/>
          <w:sz w:val="20"/>
          <w:szCs w:val="20"/>
          <w:lang w:val="en-US"/>
        </w:rPr>
        <w:t>Venezuelans who have left their country.</w:t>
      </w:r>
      <w:r w:rsidR="0021643C" w:rsidRPr="007D47AD">
        <w:rPr>
          <w:rStyle w:val="FootnoteReference"/>
          <w:rFonts w:asciiTheme="minorHAnsi" w:eastAsia="Times New Roman" w:hAnsiTheme="minorHAnsi" w:cs="Arial"/>
          <w:sz w:val="20"/>
          <w:szCs w:val="20"/>
          <w:lang w:val="en-US"/>
        </w:rPr>
        <w:footnoteReference w:id="407"/>
      </w:r>
    </w:p>
    <w:p w:rsidR="0021643C" w:rsidRPr="007D47AD" w:rsidRDefault="0021643C" w:rsidP="00980ACC">
      <w:pPr>
        <w:shd w:val="clear" w:color="auto" w:fill="FFFFFF"/>
        <w:spacing w:after="0" w:line="240" w:lineRule="auto"/>
        <w:jc w:val="both"/>
        <w:rPr>
          <w:rFonts w:asciiTheme="minorHAnsi" w:eastAsia="Times New Roman" w:hAnsiTheme="minorHAnsi" w:cs="Arial"/>
          <w:sz w:val="20"/>
          <w:szCs w:val="20"/>
          <w:lang w:val="en-US"/>
        </w:rPr>
      </w:pPr>
    </w:p>
    <w:p w:rsidR="0021643C" w:rsidRPr="007D47AD" w:rsidRDefault="004F7FE3" w:rsidP="00980ACC">
      <w:pPr>
        <w:numPr>
          <w:ilvl w:val="0"/>
          <w:numId w:val="6"/>
        </w:numPr>
        <w:shd w:val="clear" w:color="auto" w:fill="FFFFFF"/>
        <w:spacing w:after="0" w:line="240" w:lineRule="auto"/>
        <w:ind w:left="0" w:firstLine="709"/>
        <w:jc w:val="both"/>
        <w:rPr>
          <w:rFonts w:asciiTheme="minorHAnsi" w:hAnsiTheme="minorHAnsi"/>
          <w:sz w:val="20"/>
          <w:szCs w:val="20"/>
          <w:lang w:val="en-US"/>
        </w:rPr>
      </w:pPr>
      <w:r w:rsidRPr="007D47AD">
        <w:rPr>
          <w:rFonts w:asciiTheme="minorHAnsi" w:eastAsia="Times New Roman" w:hAnsiTheme="minorHAnsi" w:cs="Arial"/>
          <w:sz w:val="20"/>
          <w:szCs w:val="20"/>
          <w:lang w:val="en-US"/>
        </w:rPr>
        <w:t xml:space="preserve">In this context, the IACHR takes note that the data published by the Mexican Commission for Refugee Assistance (COMAR: </w:t>
      </w:r>
      <w:r w:rsidR="0021643C" w:rsidRPr="007D47AD">
        <w:rPr>
          <w:rFonts w:asciiTheme="minorHAnsi" w:eastAsia="Times New Roman" w:hAnsiTheme="minorHAnsi" w:cs="Arial"/>
          <w:sz w:val="20"/>
          <w:szCs w:val="20"/>
          <w:lang w:val="en-US"/>
        </w:rPr>
        <w:t xml:space="preserve">Comisión Mexicana de Ayuda a Refugiados) </w:t>
      </w:r>
      <w:r w:rsidRPr="007D47AD">
        <w:rPr>
          <w:rFonts w:asciiTheme="minorHAnsi" w:eastAsia="Times New Roman" w:hAnsiTheme="minorHAnsi" w:cs="Arial"/>
          <w:sz w:val="20"/>
          <w:szCs w:val="20"/>
          <w:lang w:val="en-US"/>
        </w:rPr>
        <w:t xml:space="preserve">indicate that as of September </w:t>
      </w:r>
      <w:r w:rsidR="0021643C" w:rsidRPr="007D47AD">
        <w:rPr>
          <w:rFonts w:asciiTheme="minorHAnsi" w:eastAsia="Times New Roman" w:hAnsiTheme="minorHAnsi" w:cs="Arial"/>
          <w:sz w:val="20"/>
          <w:szCs w:val="20"/>
          <w:lang w:val="en-US"/>
        </w:rPr>
        <w:t>30</w:t>
      </w:r>
      <w:r w:rsidRPr="007D47AD">
        <w:rPr>
          <w:rFonts w:asciiTheme="minorHAnsi" w:eastAsia="Times New Roman" w:hAnsiTheme="minorHAnsi" w:cs="Arial"/>
          <w:sz w:val="20"/>
          <w:szCs w:val="20"/>
          <w:lang w:val="en-US"/>
        </w:rPr>
        <w:t>,</w:t>
      </w:r>
      <w:r w:rsidR="0021643C" w:rsidRPr="007D47AD">
        <w:rPr>
          <w:rFonts w:asciiTheme="minorHAnsi" w:eastAsia="Times New Roman" w:hAnsiTheme="minorHAnsi" w:cs="Arial"/>
          <w:sz w:val="20"/>
          <w:szCs w:val="20"/>
          <w:lang w:val="en-US"/>
        </w:rPr>
        <w:t xml:space="preserve"> 2019, </w:t>
      </w:r>
      <w:r w:rsidRPr="007D47AD">
        <w:rPr>
          <w:rFonts w:asciiTheme="minorHAnsi" w:eastAsia="Times New Roman" w:hAnsiTheme="minorHAnsi" w:cs="Arial"/>
          <w:sz w:val="20"/>
          <w:szCs w:val="20"/>
          <w:lang w:val="en-US"/>
        </w:rPr>
        <w:t xml:space="preserve">a total of </w:t>
      </w:r>
      <w:r w:rsidR="0021643C" w:rsidRPr="007D47AD">
        <w:rPr>
          <w:rFonts w:asciiTheme="minorHAnsi" w:eastAsia="Times New Roman" w:hAnsiTheme="minorHAnsi" w:cs="Arial"/>
          <w:sz w:val="20"/>
          <w:szCs w:val="20"/>
          <w:lang w:val="en-US"/>
        </w:rPr>
        <w:t>54</w:t>
      </w:r>
      <w:r w:rsidRPr="007D47AD">
        <w:rPr>
          <w:rFonts w:asciiTheme="minorHAnsi" w:eastAsia="Times New Roman" w:hAnsiTheme="minorHAnsi" w:cs="Arial"/>
          <w:sz w:val="20"/>
          <w:szCs w:val="20"/>
          <w:lang w:val="en-US"/>
        </w:rPr>
        <w:t>,</w:t>
      </w:r>
      <w:r w:rsidR="0021643C" w:rsidRPr="007D47AD">
        <w:rPr>
          <w:rFonts w:asciiTheme="minorHAnsi" w:eastAsia="Times New Roman" w:hAnsiTheme="minorHAnsi" w:cs="Arial"/>
          <w:sz w:val="20"/>
          <w:szCs w:val="20"/>
          <w:lang w:val="en-US"/>
        </w:rPr>
        <w:t>377 person</w:t>
      </w:r>
      <w:r w:rsidRPr="007D47AD">
        <w:rPr>
          <w:rFonts w:asciiTheme="minorHAnsi" w:eastAsia="Times New Roman" w:hAnsiTheme="minorHAnsi" w:cs="Arial"/>
          <w:sz w:val="20"/>
          <w:szCs w:val="20"/>
          <w:lang w:val="en-US"/>
        </w:rPr>
        <w:t xml:space="preserve">s have requested recognition of refugee status, </w:t>
      </w:r>
      <w:r w:rsidR="004E08FB" w:rsidRPr="007D47AD">
        <w:rPr>
          <w:rFonts w:asciiTheme="minorHAnsi" w:eastAsia="Times New Roman" w:hAnsiTheme="minorHAnsi" w:cs="Arial"/>
          <w:sz w:val="20"/>
          <w:szCs w:val="20"/>
          <w:lang w:val="en-US"/>
        </w:rPr>
        <w:t>an</w:t>
      </w:r>
      <w:r w:rsidRPr="007D47AD">
        <w:rPr>
          <w:rFonts w:asciiTheme="minorHAnsi" w:eastAsia="Times New Roman" w:hAnsiTheme="minorHAnsi" w:cs="Arial"/>
          <w:sz w:val="20"/>
          <w:szCs w:val="20"/>
          <w:lang w:val="en-US"/>
        </w:rPr>
        <w:t xml:space="preserve"> </w:t>
      </w:r>
      <w:r w:rsidR="0021643C" w:rsidRPr="007D47AD">
        <w:rPr>
          <w:rFonts w:asciiTheme="minorHAnsi" w:eastAsia="Times New Roman" w:hAnsiTheme="minorHAnsi" w:cs="Arial"/>
          <w:sz w:val="20"/>
          <w:szCs w:val="20"/>
          <w:lang w:val="en-US"/>
        </w:rPr>
        <w:t xml:space="preserve">83.5% </w:t>
      </w:r>
      <w:r w:rsidRPr="007D47AD">
        <w:rPr>
          <w:rFonts w:asciiTheme="minorHAnsi" w:eastAsia="Times New Roman" w:hAnsiTheme="minorHAnsi" w:cs="Arial"/>
          <w:sz w:val="20"/>
          <w:szCs w:val="20"/>
          <w:lang w:val="en-US"/>
        </w:rPr>
        <w:t xml:space="preserve">increase over the total </w:t>
      </w:r>
      <w:r w:rsidR="0021643C" w:rsidRPr="007D47AD">
        <w:rPr>
          <w:rFonts w:asciiTheme="minorHAnsi" w:eastAsia="Times New Roman" w:hAnsiTheme="minorHAnsi" w:cs="Arial"/>
          <w:sz w:val="20"/>
          <w:szCs w:val="20"/>
          <w:lang w:val="en-US"/>
        </w:rPr>
        <w:t>29</w:t>
      </w:r>
      <w:r w:rsidRPr="007D47AD">
        <w:rPr>
          <w:rFonts w:asciiTheme="minorHAnsi" w:eastAsia="Times New Roman" w:hAnsiTheme="minorHAnsi" w:cs="Arial"/>
          <w:sz w:val="20"/>
          <w:szCs w:val="20"/>
          <w:lang w:val="en-US"/>
        </w:rPr>
        <w:t>,</w:t>
      </w:r>
      <w:r w:rsidR="0021643C" w:rsidRPr="007D47AD">
        <w:rPr>
          <w:rFonts w:asciiTheme="minorHAnsi" w:eastAsia="Times New Roman" w:hAnsiTheme="minorHAnsi" w:cs="Arial"/>
          <w:sz w:val="20"/>
          <w:szCs w:val="20"/>
          <w:lang w:val="en-US"/>
        </w:rPr>
        <w:t>631 person</w:t>
      </w:r>
      <w:r w:rsidRPr="007D47AD">
        <w:rPr>
          <w:rFonts w:asciiTheme="minorHAnsi" w:eastAsia="Times New Roman" w:hAnsiTheme="minorHAnsi" w:cs="Arial"/>
          <w:sz w:val="20"/>
          <w:szCs w:val="20"/>
          <w:lang w:val="en-US"/>
        </w:rPr>
        <w:t xml:space="preserve">s who sought such recognition in </w:t>
      </w:r>
      <w:r w:rsidR="0021643C" w:rsidRPr="007D47AD">
        <w:rPr>
          <w:rFonts w:asciiTheme="minorHAnsi" w:eastAsia="Times New Roman" w:hAnsiTheme="minorHAnsi" w:cs="Arial"/>
          <w:sz w:val="20"/>
          <w:szCs w:val="20"/>
          <w:lang w:val="en-US"/>
        </w:rPr>
        <w:t xml:space="preserve">2018. </w:t>
      </w:r>
      <w:r w:rsidRPr="007D47AD">
        <w:rPr>
          <w:rFonts w:asciiTheme="minorHAnsi" w:eastAsia="Times New Roman" w:hAnsiTheme="minorHAnsi" w:cs="Arial"/>
          <w:sz w:val="20"/>
          <w:szCs w:val="20"/>
          <w:lang w:val="en-US"/>
        </w:rPr>
        <w:t xml:space="preserve">Of all the persons identified, the data by nationality show that </w:t>
      </w:r>
      <w:r w:rsidR="0021643C" w:rsidRPr="007D47AD">
        <w:rPr>
          <w:rFonts w:asciiTheme="minorHAnsi" w:eastAsia="Times New Roman" w:hAnsiTheme="minorHAnsi" w:cs="Arial"/>
          <w:sz w:val="20"/>
          <w:szCs w:val="20"/>
          <w:lang w:val="en-US"/>
        </w:rPr>
        <w:t>25</w:t>
      </w:r>
      <w:r w:rsidRPr="007D47AD">
        <w:rPr>
          <w:rFonts w:asciiTheme="minorHAnsi" w:eastAsia="Times New Roman" w:hAnsiTheme="minorHAnsi" w:cs="Arial"/>
          <w:sz w:val="20"/>
          <w:szCs w:val="20"/>
          <w:lang w:val="en-US"/>
        </w:rPr>
        <w:t>,</w:t>
      </w:r>
      <w:r w:rsidR="0021643C" w:rsidRPr="007D47AD">
        <w:rPr>
          <w:rFonts w:asciiTheme="minorHAnsi" w:eastAsia="Times New Roman" w:hAnsiTheme="minorHAnsi" w:cs="Arial"/>
          <w:sz w:val="20"/>
          <w:szCs w:val="20"/>
          <w:lang w:val="en-US"/>
        </w:rPr>
        <w:t>265 person</w:t>
      </w:r>
      <w:r w:rsidRPr="007D47AD">
        <w:rPr>
          <w:rFonts w:asciiTheme="minorHAnsi" w:eastAsia="Times New Roman" w:hAnsiTheme="minorHAnsi" w:cs="Arial"/>
          <w:sz w:val="20"/>
          <w:szCs w:val="20"/>
          <w:lang w:val="en-US"/>
        </w:rPr>
        <w:t xml:space="preserve">s are of Honduran nationality </w:t>
      </w:r>
      <w:r w:rsidR="0021643C" w:rsidRPr="007D47AD">
        <w:rPr>
          <w:rFonts w:asciiTheme="minorHAnsi" w:eastAsia="Times New Roman" w:hAnsiTheme="minorHAnsi" w:cs="Arial"/>
          <w:sz w:val="20"/>
          <w:szCs w:val="20"/>
          <w:lang w:val="en-US"/>
        </w:rPr>
        <w:t>(46.4%); 5</w:t>
      </w:r>
      <w:r w:rsidRPr="007D47AD">
        <w:rPr>
          <w:rFonts w:asciiTheme="minorHAnsi" w:eastAsia="Times New Roman" w:hAnsiTheme="minorHAnsi" w:cs="Arial"/>
          <w:sz w:val="20"/>
          <w:szCs w:val="20"/>
          <w:lang w:val="en-US"/>
        </w:rPr>
        <w:t>,</w:t>
      </w:r>
      <w:r w:rsidR="0021643C" w:rsidRPr="007D47AD">
        <w:rPr>
          <w:rFonts w:asciiTheme="minorHAnsi" w:eastAsia="Times New Roman" w:hAnsiTheme="minorHAnsi" w:cs="Arial"/>
          <w:sz w:val="20"/>
          <w:szCs w:val="20"/>
          <w:lang w:val="en-US"/>
        </w:rPr>
        <w:t xml:space="preserve">467 </w:t>
      </w:r>
      <w:r w:rsidR="007B25A6" w:rsidRPr="007D47AD">
        <w:rPr>
          <w:rFonts w:asciiTheme="minorHAnsi" w:eastAsia="Times New Roman" w:hAnsiTheme="minorHAnsi" w:cs="Arial"/>
          <w:sz w:val="20"/>
          <w:szCs w:val="20"/>
          <w:lang w:val="en-US"/>
        </w:rPr>
        <w:t xml:space="preserve">are </w:t>
      </w:r>
      <w:r w:rsidRPr="007D47AD">
        <w:rPr>
          <w:rFonts w:asciiTheme="minorHAnsi" w:eastAsia="Times New Roman" w:hAnsiTheme="minorHAnsi" w:cs="Arial"/>
          <w:sz w:val="20"/>
          <w:szCs w:val="20"/>
          <w:lang w:val="en-US"/>
        </w:rPr>
        <w:t xml:space="preserve">Venezuelan </w:t>
      </w:r>
      <w:r w:rsidR="0021643C" w:rsidRPr="007D47AD">
        <w:rPr>
          <w:rFonts w:asciiTheme="minorHAnsi" w:eastAsia="Times New Roman" w:hAnsiTheme="minorHAnsi" w:cs="Arial"/>
          <w:sz w:val="20"/>
          <w:szCs w:val="20"/>
          <w:lang w:val="en-US"/>
        </w:rPr>
        <w:t>(10.0%); 7</w:t>
      </w:r>
      <w:r w:rsidRPr="007D47AD">
        <w:rPr>
          <w:rFonts w:asciiTheme="minorHAnsi" w:eastAsia="Times New Roman" w:hAnsiTheme="minorHAnsi" w:cs="Arial"/>
          <w:sz w:val="20"/>
          <w:szCs w:val="20"/>
          <w:lang w:val="en-US"/>
        </w:rPr>
        <w:t>,</w:t>
      </w:r>
      <w:r w:rsidR="0021643C" w:rsidRPr="007D47AD">
        <w:rPr>
          <w:rFonts w:asciiTheme="minorHAnsi" w:eastAsia="Times New Roman" w:hAnsiTheme="minorHAnsi" w:cs="Arial"/>
          <w:sz w:val="20"/>
          <w:szCs w:val="20"/>
          <w:lang w:val="en-US"/>
        </w:rPr>
        <w:t xml:space="preserve">371 </w:t>
      </w:r>
      <w:r w:rsidRPr="007D47AD">
        <w:rPr>
          <w:rFonts w:asciiTheme="minorHAnsi" w:eastAsia="Times New Roman" w:hAnsiTheme="minorHAnsi" w:cs="Arial"/>
          <w:sz w:val="20"/>
          <w:szCs w:val="20"/>
          <w:lang w:val="en-US"/>
        </w:rPr>
        <w:t xml:space="preserve">Salvadoran </w:t>
      </w:r>
      <w:r w:rsidR="0021643C" w:rsidRPr="007D47AD">
        <w:rPr>
          <w:rFonts w:asciiTheme="minorHAnsi" w:eastAsia="Times New Roman" w:hAnsiTheme="minorHAnsi" w:cs="Arial"/>
          <w:sz w:val="20"/>
          <w:szCs w:val="20"/>
          <w:lang w:val="en-US"/>
        </w:rPr>
        <w:t>(13.5%); 2</w:t>
      </w:r>
      <w:r w:rsidRPr="007D47AD">
        <w:rPr>
          <w:rFonts w:asciiTheme="minorHAnsi" w:eastAsia="Times New Roman" w:hAnsiTheme="minorHAnsi" w:cs="Arial"/>
          <w:sz w:val="20"/>
          <w:szCs w:val="20"/>
          <w:lang w:val="en-US"/>
        </w:rPr>
        <w:t>,</w:t>
      </w:r>
      <w:r w:rsidR="0021643C" w:rsidRPr="007D47AD">
        <w:rPr>
          <w:rFonts w:asciiTheme="minorHAnsi" w:eastAsia="Times New Roman" w:hAnsiTheme="minorHAnsi" w:cs="Arial"/>
          <w:sz w:val="20"/>
          <w:szCs w:val="20"/>
          <w:lang w:val="en-US"/>
        </w:rPr>
        <w:t xml:space="preserve">733 </w:t>
      </w:r>
      <w:r w:rsidRPr="007D47AD">
        <w:rPr>
          <w:rFonts w:asciiTheme="minorHAnsi" w:eastAsia="Times New Roman" w:hAnsiTheme="minorHAnsi" w:cs="Arial"/>
          <w:sz w:val="20"/>
          <w:szCs w:val="20"/>
          <w:lang w:val="en-US"/>
        </w:rPr>
        <w:t xml:space="preserve">Guatemalan </w:t>
      </w:r>
      <w:r w:rsidR="0021643C" w:rsidRPr="007D47AD">
        <w:rPr>
          <w:rFonts w:asciiTheme="minorHAnsi" w:eastAsia="Times New Roman" w:hAnsiTheme="minorHAnsi" w:cs="Arial"/>
          <w:sz w:val="20"/>
          <w:szCs w:val="20"/>
          <w:lang w:val="en-US"/>
        </w:rPr>
        <w:t xml:space="preserve">(5.0%); </w:t>
      </w:r>
      <w:r w:rsidRPr="007D47AD">
        <w:rPr>
          <w:rFonts w:asciiTheme="minorHAnsi" w:eastAsia="Times New Roman" w:hAnsiTheme="minorHAnsi" w:cs="Arial"/>
          <w:sz w:val="20"/>
          <w:szCs w:val="20"/>
          <w:lang w:val="en-US"/>
        </w:rPr>
        <w:t>and</w:t>
      </w:r>
      <w:r w:rsidR="0021643C" w:rsidRPr="007D47AD">
        <w:rPr>
          <w:rFonts w:asciiTheme="minorHAnsi" w:eastAsia="Times New Roman" w:hAnsiTheme="minorHAnsi" w:cs="Arial"/>
          <w:sz w:val="20"/>
          <w:szCs w:val="20"/>
          <w:lang w:val="en-US"/>
        </w:rPr>
        <w:t xml:space="preserve"> 1</w:t>
      </w:r>
      <w:r w:rsidRPr="007D47AD">
        <w:rPr>
          <w:rFonts w:asciiTheme="minorHAnsi" w:eastAsia="Times New Roman" w:hAnsiTheme="minorHAnsi" w:cs="Arial"/>
          <w:sz w:val="20"/>
          <w:szCs w:val="20"/>
          <w:lang w:val="en-US"/>
        </w:rPr>
        <w:t>,</w:t>
      </w:r>
      <w:r w:rsidR="0021643C" w:rsidRPr="007D47AD">
        <w:rPr>
          <w:rFonts w:asciiTheme="minorHAnsi" w:eastAsia="Times New Roman" w:hAnsiTheme="minorHAnsi" w:cs="Arial"/>
          <w:sz w:val="20"/>
          <w:szCs w:val="20"/>
          <w:lang w:val="en-US"/>
        </w:rPr>
        <w:t xml:space="preserve">899 </w:t>
      </w:r>
      <w:r w:rsidRPr="007D47AD">
        <w:rPr>
          <w:rFonts w:asciiTheme="minorHAnsi" w:eastAsia="Times New Roman" w:hAnsiTheme="minorHAnsi" w:cs="Arial"/>
          <w:sz w:val="20"/>
          <w:szCs w:val="20"/>
          <w:lang w:val="en-US"/>
        </w:rPr>
        <w:t xml:space="preserve">Nicaraguan </w:t>
      </w:r>
      <w:r w:rsidR="0021643C" w:rsidRPr="007D47AD">
        <w:rPr>
          <w:rFonts w:asciiTheme="minorHAnsi" w:eastAsia="Times New Roman" w:hAnsiTheme="minorHAnsi" w:cs="Arial"/>
          <w:sz w:val="20"/>
          <w:szCs w:val="20"/>
          <w:lang w:val="en-US"/>
        </w:rPr>
        <w:t>(3.4%)</w:t>
      </w:r>
      <w:r w:rsidRPr="007D47AD">
        <w:rPr>
          <w:rFonts w:asciiTheme="minorHAnsi" w:eastAsia="Times New Roman" w:hAnsiTheme="minorHAnsi" w:cs="Arial"/>
          <w:sz w:val="20"/>
          <w:szCs w:val="20"/>
          <w:lang w:val="en-US"/>
        </w:rPr>
        <w:t>.</w:t>
      </w:r>
      <w:r w:rsidR="0021643C" w:rsidRPr="007D47AD">
        <w:rPr>
          <w:rStyle w:val="FootnoteReference"/>
          <w:rFonts w:asciiTheme="minorHAnsi" w:eastAsia="Times New Roman" w:hAnsiTheme="minorHAnsi" w:cs="Arial"/>
          <w:sz w:val="20"/>
          <w:szCs w:val="20"/>
          <w:lang w:val="en-US"/>
        </w:rPr>
        <w:footnoteReference w:id="408"/>
      </w:r>
    </w:p>
    <w:p w:rsidR="0021643C" w:rsidRPr="007D47AD" w:rsidRDefault="0021643C" w:rsidP="00980ACC">
      <w:pPr>
        <w:spacing w:after="0" w:line="240" w:lineRule="auto"/>
        <w:ind w:left="540"/>
        <w:jc w:val="both"/>
        <w:rPr>
          <w:rFonts w:asciiTheme="minorHAnsi" w:hAnsiTheme="minorHAnsi"/>
          <w:sz w:val="20"/>
          <w:szCs w:val="20"/>
          <w:lang w:val="en-US"/>
        </w:rPr>
      </w:pPr>
    </w:p>
    <w:p w:rsidR="0021643C" w:rsidRPr="007D47AD" w:rsidRDefault="00E6733A" w:rsidP="00980ACC">
      <w:pPr>
        <w:spacing w:after="0" w:line="240" w:lineRule="auto"/>
        <w:ind w:left="540"/>
        <w:jc w:val="center"/>
        <w:rPr>
          <w:rFonts w:asciiTheme="minorHAnsi" w:hAnsiTheme="minorHAnsi"/>
          <w:sz w:val="20"/>
          <w:szCs w:val="20"/>
          <w:lang w:val="en-US"/>
        </w:rPr>
      </w:pPr>
      <w:r w:rsidRPr="007D47AD">
        <w:rPr>
          <w:rFonts w:asciiTheme="minorHAnsi" w:hAnsiTheme="minorHAnsi"/>
          <w:noProof/>
          <w:sz w:val="20"/>
          <w:szCs w:val="20"/>
          <w:lang w:val="en-US"/>
        </w:rPr>
        <w:drawing>
          <wp:inline distT="0" distB="0" distL="0" distR="0" wp14:anchorId="640E9E5F" wp14:editId="26F850ED">
            <wp:extent cx="4316818" cy="1881963"/>
            <wp:effectExtent l="0" t="0" r="7620" b="4445"/>
            <wp:docPr id="4"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1643C" w:rsidRPr="007D47AD" w:rsidRDefault="004F7FE3" w:rsidP="00980ACC">
      <w:pPr>
        <w:spacing w:after="0" w:line="240" w:lineRule="auto"/>
        <w:ind w:left="540"/>
        <w:rPr>
          <w:rFonts w:asciiTheme="minorHAnsi" w:hAnsiTheme="minorHAnsi"/>
          <w:sz w:val="18"/>
          <w:szCs w:val="20"/>
          <w:lang w:val="es-419"/>
        </w:rPr>
      </w:pPr>
      <w:r w:rsidRPr="007D47AD">
        <w:rPr>
          <w:rFonts w:asciiTheme="minorHAnsi" w:hAnsiTheme="minorHAnsi"/>
          <w:sz w:val="18"/>
          <w:szCs w:val="20"/>
          <w:lang w:val="es-419"/>
        </w:rPr>
        <w:t xml:space="preserve">Source: </w:t>
      </w:r>
      <w:r w:rsidR="0021643C" w:rsidRPr="007D47AD">
        <w:rPr>
          <w:rFonts w:asciiTheme="minorHAnsi" w:hAnsiTheme="minorHAnsi"/>
          <w:sz w:val="18"/>
          <w:szCs w:val="20"/>
          <w:lang w:val="es-419"/>
        </w:rPr>
        <w:t xml:space="preserve">Comisión Mexicana de Ayuda a Refugiados, </w:t>
      </w:r>
      <w:r w:rsidRPr="007D47AD">
        <w:rPr>
          <w:rFonts w:asciiTheme="minorHAnsi" w:hAnsiTheme="minorHAnsi"/>
          <w:sz w:val="18"/>
          <w:szCs w:val="20"/>
          <w:lang w:val="es-419"/>
        </w:rPr>
        <w:t xml:space="preserve">information available as of September </w:t>
      </w:r>
      <w:r w:rsidR="0021643C" w:rsidRPr="007D47AD">
        <w:rPr>
          <w:rFonts w:asciiTheme="minorHAnsi" w:hAnsiTheme="minorHAnsi"/>
          <w:sz w:val="18"/>
          <w:szCs w:val="20"/>
          <w:lang w:val="es-419"/>
        </w:rPr>
        <w:t>2019.</w:t>
      </w:r>
    </w:p>
    <w:p w:rsidR="0021643C" w:rsidRPr="007D47AD" w:rsidRDefault="0021643C" w:rsidP="00980ACC">
      <w:pPr>
        <w:spacing w:after="0" w:line="240" w:lineRule="auto"/>
        <w:ind w:left="540"/>
        <w:jc w:val="both"/>
        <w:rPr>
          <w:rFonts w:asciiTheme="minorHAnsi" w:eastAsia="Times New Roman" w:hAnsiTheme="minorHAnsi" w:cs="Arial"/>
          <w:sz w:val="20"/>
          <w:szCs w:val="20"/>
          <w:lang w:val="es-419"/>
        </w:rPr>
      </w:pPr>
    </w:p>
    <w:p w:rsidR="0021643C" w:rsidRPr="007D47AD" w:rsidRDefault="004F7FE3" w:rsidP="00980ACC">
      <w:pPr>
        <w:numPr>
          <w:ilvl w:val="0"/>
          <w:numId w:val="6"/>
        </w:numPr>
        <w:shd w:val="clear" w:color="auto" w:fill="FFFFFF"/>
        <w:spacing w:after="0" w:line="240" w:lineRule="auto"/>
        <w:ind w:left="0" w:firstLine="709"/>
        <w:jc w:val="both"/>
        <w:rPr>
          <w:rFonts w:asciiTheme="minorHAnsi" w:hAnsiTheme="minorHAnsi"/>
          <w:sz w:val="20"/>
          <w:szCs w:val="20"/>
          <w:lang w:val="en-US"/>
        </w:rPr>
      </w:pPr>
      <w:r w:rsidRPr="007D47AD">
        <w:rPr>
          <w:rFonts w:asciiTheme="minorHAnsi" w:eastAsia="Times New Roman" w:hAnsiTheme="minorHAnsi" w:cs="Arial"/>
          <w:sz w:val="20"/>
          <w:szCs w:val="20"/>
          <w:lang w:val="en-US"/>
        </w:rPr>
        <w:t xml:space="preserve">The IACHR also observes that refugee status or some type of complementary protection has bene granted in </w:t>
      </w:r>
      <w:r w:rsidR="0021643C" w:rsidRPr="007D47AD">
        <w:rPr>
          <w:rFonts w:asciiTheme="minorHAnsi" w:eastAsia="Times New Roman" w:hAnsiTheme="minorHAnsi" w:cs="Arial"/>
          <w:sz w:val="20"/>
          <w:szCs w:val="20"/>
          <w:lang w:val="en-US"/>
        </w:rPr>
        <w:t>1</w:t>
      </w:r>
      <w:r w:rsidRPr="007D47AD">
        <w:rPr>
          <w:rFonts w:asciiTheme="minorHAnsi" w:eastAsia="Times New Roman" w:hAnsiTheme="minorHAnsi" w:cs="Arial"/>
          <w:sz w:val="20"/>
          <w:szCs w:val="20"/>
          <w:lang w:val="en-US"/>
        </w:rPr>
        <w:t>,</w:t>
      </w:r>
      <w:r w:rsidR="0021643C" w:rsidRPr="007D47AD">
        <w:rPr>
          <w:rFonts w:asciiTheme="minorHAnsi" w:eastAsia="Times New Roman" w:hAnsiTheme="minorHAnsi" w:cs="Arial"/>
          <w:sz w:val="20"/>
          <w:szCs w:val="20"/>
          <w:lang w:val="en-US"/>
        </w:rPr>
        <w:t>531 cas</w:t>
      </w:r>
      <w:r w:rsidRPr="007D47AD">
        <w:rPr>
          <w:rFonts w:asciiTheme="minorHAnsi" w:eastAsia="Times New Roman" w:hAnsiTheme="minorHAnsi" w:cs="Arial"/>
          <w:sz w:val="20"/>
          <w:szCs w:val="20"/>
          <w:lang w:val="en-US"/>
        </w:rPr>
        <w:t xml:space="preserve">es, accounting for </w:t>
      </w:r>
      <w:r w:rsidR="0021643C" w:rsidRPr="007D47AD">
        <w:rPr>
          <w:rFonts w:asciiTheme="minorHAnsi" w:eastAsia="Times New Roman" w:hAnsiTheme="minorHAnsi" w:cs="Arial"/>
          <w:sz w:val="20"/>
          <w:szCs w:val="20"/>
          <w:lang w:val="en-US"/>
        </w:rPr>
        <w:t xml:space="preserve">99% </w:t>
      </w:r>
      <w:r w:rsidRPr="007D47AD">
        <w:rPr>
          <w:rFonts w:asciiTheme="minorHAnsi" w:eastAsia="Times New Roman" w:hAnsiTheme="minorHAnsi" w:cs="Arial"/>
          <w:sz w:val="20"/>
          <w:szCs w:val="20"/>
          <w:lang w:val="en-US"/>
        </w:rPr>
        <w:t xml:space="preserve">of </w:t>
      </w:r>
      <w:r w:rsidR="0021643C" w:rsidRPr="007D47AD">
        <w:rPr>
          <w:rFonts w:asciiTheme="minorHAnsi" w:eastAsia="Times New Roman" w:hAnsiTheme="minorHAnsi" w:cs="Arial"/>
          <w:sz w:val="20"/>
          <w:szCs w:val="20"/>
          <w:lang w:val="en-US"/>
        </w:rPr>
        <w:t>1</w:t>
      </w:r>
      <w:r w:rsidRPr="007D47AD">
        <w:rPr>
          <w:rFonts w:asciiTheme="minorHAnsi" w:eastAsia="Times New Roman" w:hAnsiTheme="minorHAnsi" w:cs="Arial"/>
          <w:sz w:val="20"/>
          <w:szCs w:val="20"/>
          <w:lang w:val="en-US"/>
        </w:rPr>
        <w:t>,</w:t>
      </w:r>
      <w:r w:rsidR="0021643C" w:rsidRPr="007D47AD">
        <w:rPr>
          <w:rFonts w:asciiTheme="minorHAnsi" w:eastAsia="Times New Roman" w:hAnsiTheme="minorHAnsi" w:cs="Arial"/>
          <w:sz w:val="20"/>
          <w:szCs w:val="20"/>
          <w:lang w:val="en-US"/>
        </w:rPr>
        <w:t xml:space="preserve">552 </w:t>
      </w:r>
      <w:r w:rsidRPr="007D47AD">
        <w:rPr>
          <w:rFonts w:asciiTheme="minorHAnsi" w:eastAsia="Times New Roman" w:hAnsiTheme="minorHAnsi" w:cs="Arial"/>
          <w:sz w:val="20"/>
          <w:szCs w:val="20"/>
          <w:lang w:val="en-US"/>
        </w:rPr>
        <w:t>persons seeking such status of Venezuelan nationality.</w:t>
      </w:r>
      <w:r w:rsidR="0021643C" w:rsidRPr="007D47AD">
        <w:rPr>
          <w:rStyle w:val="FootnoteReference"/>
          <w:rFonts w:asciiTheme="minorHAnsi" w:eastAsia="Times New Roman" w:hAnsiTheme="minorHAnsi" w:cs="Arial"/>
          <w:sz w:val="20"/>
          <w:szCs w:val="20"/>
          <w:lang w:val="en-US"/>
        </w:rPr>
        <w:footnoteReference w:id="409"/>
      </w:r>
      <w:r w:rsidR="0021643C" w:rsidRPr="007D47AD">
        <w:rPr>
          <w:rFonts w:asciiTheme="minorHAnsi" w:eastAsia="Times New Roman" w:hAnsiTheme="minorHAnsi" w:cs="Arial"/>
          <w:sz w:val="20"/>
          <w:szCs w:val="20"/>
          <w:lang w:val="en-US"/>
        </w:rPr>
        <w:t xml:space="preserve"> </w:t>
      </w:r>
      <w:r w:rsidRPr="007D47AD">
        <w:rPr>
          <w:rFonts w:asciiTheme="minorHAnsi" w:eastAsia="Times New Roman" w:hAnsiTheme="minorHAnsi" w:cs="Arial"/>
          <w:sz w:val="20"/>
          <w:szCs w:val="20"/>
          <w:lang w:val="en-US"/>
        </w:rPr>
        <w:t xml:space="preserve">These data, similar to those provided by Mexico in </w:t>
      </w:r>
      <w:r w:rsidR="0021643C" w:rsidRPr="007D47AD">
        <w:rPr>
          <w:rFonts w:asciiTheme="minorHAnsi" w:eastAsia="Times New Roman" w:hAnsiTheme="minorHAnsi" w:cs="Arial"/>
          <w:sz w:val="20"/>
          <w:szCs w:val="20"/>
          <w:lang w:val="en-US"/>
        </w:rPr>
        <w:t xml:space="preserve">2018, </w:t>
      </w:r>
      <w:r w:rsidR="004E08FB" w:rsidRPr="007D47AD">
        <w:rPr>
          <w:rFonts w:asciiTheme="minorHAnsi" w:eastAsia="Times New Roman" w:hAnsiTheme="minorHAnsi" w:cs="Arial"/>
          <w:sz w:val="20"/>
          <w:szCs w:val="20"/>
          <w:lang w:val="en-US"/>
        </w:rPr>
        <w:t>respond to</w:t>
      </w:r>
      <w:r w:rsidR="00B74471" w:rsidRPr="007D47AD">
        <w:rPr>
          <w:rFonts w:asciiTheme="minorHAnsi" w:eastAsia="Times New Roman" w:hAnsiTheme="minorHAnsi" w:cs="Arial"/>
          <w:sz w:val="20"/>
          <w:szCs w:val="20"/>
          <w:lang w:val="en-US"/>
        </w:rPr>
        <w:t xml:space="preserve"> the appeal made to the states of the region to adopt measures aimed at providing humanitarian treatment and responses of international protection to persons coming from </w:t>
      </w:r>
      <w:r w:rsidR="0021643C" w:rsidRPr="007D47AD">
        <w:rPr>
          <w:rFonts w:asciiTheme="minorHAnsi" w:eastAsia="Times New Roman" w:hAnsiTheme="minorHAnsi" w:cs="Arial"/>
          <w:sz w:val="20"/>
          <w:szCs w:val="20"/>
          <w:lang w:val="en-US"/>
        </w:rPr>
        <w:t xml:space="preserve">Venezuela </w:t>
      </w:r>
      <w:r w:rsidR="00B74471" w:rsidRPr="007D47AD">
        <w:rPr>
          <w:rFonts w:asciiTheme="minorHAnsi" w:eastAsia="Times New Roman" w:hAnsiTheme="minorHAnsi" w:cs="Arial"/>
          <w:sz w:val="20"/>
          <w:szCs w:val="20"/>
          <w:lang w:val="en-US"/>
        </w:rPr>
        <w:t xml:space="preserve">in view of the </w:t>
      </w:r>
      <w:r w:rsidR="0021643C" w:rsidRPr="007D47AD">
        <w:rPr>
          <w:rFonts w:asciiTheme="minorHAnsi" w:eastAsia="Times New Roman" w:hAnsiTheme="minorHAnsi" w:cs="Arial"/>
          <w:sz w:val="20"/>
          <w:szCs w:val="20"/>
          <w:lang w:val="en-US"/>
        </w:rPr>
        <w:t xml:space="preserve">grave </w:t>
      </w:r>
      <w:r w:rsidR="00B74471" w:rsidRPr="007D47AD">
        <w:rPr>
          <w:rFonts w:asciiTheme="minorHAnsi" w:eastAsia="Times New Roman" w:hAnsiTheme="minorHAnsi" w:cs="Arial"/>
          <w:sz w:val="20"/>
          <w:szCs w:val="20"/>
          <w:lang w:val="en-US"/>
        </w:rPr>
        <w:t xml:space="preserve">humanitarian </w:t>
      </w:r>
      <w:r w:rsidR="0021643C" w:rsidRPr="007D47AD">
        <w:rPr>
          <w:rFonts w:asciiTheme="minorHAnsi" w:eastAsia="Times New Roman" w:hAnsiTheme="minorHAnsi" w:cs="Arial"/>
          <w:sz w:val="20"/>
          <w:szCs w:val="20"/>
          <w:lang w:val="en-US"/>
        </w:rPr>
        <w:t xml:space="preserve">crisis </w:t>
      </w:r>
      <w:r w:rsidR="00B74471" w:rsidRPr="007D47AD">
        <w:rPr>
          <w:rFonts w:asciiTheme="minorHAnsi" w:eastAsia="Times New Roman" w:hAnsiTheme="minorHAnsi" w:cs="Arial"/>
          <w:sz w:val="20"/>
          <w:szCs w:val="20"/>
          <w:lang w:val="en-US"/>
        </w:rPr>
        <w:t>there.</w:t>
      </w:r>
      <w:r w:rsidR="0021643C" w:rsidRPr="007D47AD">
        <w:rPr>
          <w:rStyle w:val="FootnoteReference"/>
          <w:rFonts w:asciiTheme="minorHAnsi" w:eastAsia="Times New Roman" w:hAnsiTheme="minorHAnsi" w:cs="Arial"/>
          <w:sz w:val="20"/>
          <w:szCs w:val="20"/>
          <w:lang w:val="en-US"/>
        </w:rPr>
        <w:footnoteReference w:id="410"/>
      </w:r>
      <w:r w:rsidR="0021643C" w:rsidRPr="007D47AD">
        <w:rPr>
          <w:rFonts w:asciiTheme="minorHAnsi" w:eastAsia="Times New Roman" w:hAnsiTheme="minorHAnsi" w:cs="Arial"/>
          <w:sz w:val="20"/>
          <w:szCs w:val="20"/>
          <w:lang w:val="en-US"/>
        </w:rPr>
        <w:t xml:space="preserve"> </w:t>
      </w:r>
      <w:r w:rsidR="00B74471" w:rsidRPr="007D47AD">
        <w:rPr>
          <w:rFonts w:asciiTheme="minorHAnsi" w:eastAsia="Times New Roman" w:hAnsiTheme="minorHAnsi" w:cs="Arial"/>
          <w:sz w:val="20"/>
          <w:szCs w:val="20"/>
          <w:lang w:val="en-US"/>
        </w:rPr>
        <w:t xml:space="preserve">Similarly, the Commission notes that the rate of recognition of refugee status and the granting of complementary protection has increased in </w:t>
      </w:r>
      <w:r w:rsidR="0021643C" w:rsidRPr="007D47AD">
        <w:rPr>
          <w:rFonts w:asciiTheme="minorHAnsi" w:eastAsia="Times New Roman" w:hAnsiTheme="minorHAnsi" w:cs="Arial"/>
          <w:sz w:val="20"/>
          <w:szCs w:val="20"/>
          <w:lang w:val="en-US"/>
        </w:rPr>
        <w:t xml:space="preserve">2019 </w:t>
      </w:r>
      <w:r w:rsidR="00B74471" w:rsidRPr="007D47AD">
        <w:rPr>
          <w:rFonts w:asciiTheme="minorHAnsi" w:eastAsia="Times New Roman" w:hAnsiTheme="minorHAnsi" w:cs="Arial"/>
          <w:sz w:val="20"/>
          <w:szCs w:val="20"/>
          <w:lang w:val="en-US"/>
        </w:rPr>
        <w:t xml:space="preserve">with </w:t>
      </w:r>
      <w:r w:rsidR="0021643C" w:rsidRPr="007D47AD">
        <w:rPr>
          <w:rFonts w:asciiTheme="minorHAnsi" w:eastAsia="Times New Roman" w:hAnsiTheme="minorHAnsi" w:cs="Arial"/>
          <w:sz w:val="20"/>
          <w:szCs w:val="20"/>
          <w:lang w:val="en-US"/>
        </w:rPr>
        <w:t>respect</w:t>
      </w:r>
      <w:r w:rsidR="00B74471" w:rsidRPr="007D47AD">
        <w:rPr>
          <w:rFonts w:asciiTheme="minorHAnsi" w:eastAsia="Times New Roman" w:hAnsiTheme="minorHAnsi" w:cs="Arial"/>
          <w:sz w:val="20"/>
          <w:szCs w:val="20"/>
          <w:lang w:val="en-US"/>
        </w:rPr>
        <w:t xml:space="preserve"> to persons from </w:t>
      </w:r>
      <w:r w:rsidR="0021643C" w:rsidRPr="007D47AD">
        <w:rPr>
          <w:rFonts w:asciiTheme="minorHAnsi" w:eastAsia="Times New Roman" w:hAnsiTheme="minorHAnsi" w:cs="Arial"/>
          <w:sz w:val="20"/>
          <w:szCs w:val="20"/>
          <w:lang w:val="en-US"/>
        </w:rPr>
        <w:t>Honduras, El Salvador, Guatemala</w:t>
      </w:r>
      <w:r w:rsidR="00B74471" w:rsidRPr="007D47AD">
        <w:rPr>
          <w:rFonts w:asciiTheme="minorHAnsi" w:eastAsia="Times New Roman" w:hAnsiTheme="minorHAnsi" w:cs="Arial"/>
          <w:sz w:val="20"/>
          <w:szCs w:val="20"/>
          <w:lang w:val="en-US"/>
        </w:rPr>
        <w:t xml:space="preserve">, and </w:t>
      </w:r>
      <w:r w:rsidR="0021643C" w:rsidRPr="007D47AD">
        <w:rPr>
          <w:rFonts w:asciiTheme="minorHAnsi" w:eastAsia="Times New Roman" w:hAnsiTheme="minorHAnsi" w:cs="Arial"/>
          <w:sz w:val="20"/>
          <w:szCs w:val="20"/>
          <w:lang w:val="en-US"/>
        </w:rPr>
        <w:t>Nicaragua</w:t>
      </w:r>
      <w:r w:rsidR="00B74471" w:rsidRPr="007D47AD">
        <w:rPr>
          <w:rFonts w:asciiTheme="minorHAnsi" w:eastAsia="Times New Roman" w:hAnsiTheme="minorHAnsi" w:cs="Arial"/>
          <w:sz w:val="20"/>
          <w:szCs w:val="20"/>
          <w:lang w:val="en-US"/>
        </w:rPr>
        <w:t xml:space="preserve">. The </w:t>
      </w:r>
      <w:r w:rsidR="00B74471" w:rsidRPr="007D47AD">
        <w:rPr>
          <w:rFonts w:asciiTheme="minorHAnsi" w:eastAsia="Times New Roman" w:hAnsiTheme="minorHAnsi" w:cs="Arial"/>
          <w:sz w:val="20"/>
          <w:szCs w:val="20"/>
          <w:lang w:val="en-US"/>
        </w:rPr>
        <w:lastRenderedPageBreak/>
        <w:t xml:space="preserve">increases over the 2018 figures have been as follows: </w:t>
      </w:r>
      <w:r w:rsidR="0021643C" w:rsidRPr="007D47AD">
        <w:rPr>
          <w:rFonts w:asciiTheme="minorHAnsi" w:eastAsia="Times New Roman" w:hAnsiTheme="minorHAnsi" w:cs="Arial"/>
          <w:sz w:val="20"/>
          <w:szCs w:val="20"/>
          <w:lang w:val="en-US"/>
        </w:rPr>
        <w:t xml:space="preserve">17% </w:t>
      </w:r>
      <w:r w:rsidR="00B74471" w:rsidRPr="007D47AD">
        <w:rPr>
          <w:rFonts w:asciiTheme="minorHAnsi" w:eastAsia="Times New Roman" w:hAnsiTheme="minorHAnsi" w:cs="Arial"/>
          <w:sz w:val="20"/>
          <w:szCs w:val="20"/>
          <w:lang w:val="en-US"/>
        </w:rPr>
        <w:t xml:space="preserve">for Honduras, </w:t>
      </w:r>
      <w:r w:rsidR="0021643C" w:rsidRPr="007D47AD">
        <w:rPr>
          <w:rFonts w:asciiTheme="minorHAnsi" w:eastAsia="Times New Roman" w:hAnsiTheme="minorHAnsi" w:cs="Arial"/>
          <w:sz w:val="20"/>
          <w:szCs w:val="20"/>
          <w:lang w:val="en-US"/>
        </w:rPr>
        <w:t xml:space="preserve">5% </w:t>
      </w:r>
      <w:r w:rsidR="00B74471" w:rsidRPr="007D47AD">
        <w:rPr>
          <w:rFonts w:asciiTheme="minorHAnsi" w:eastAsia="Times New Roman" w:hAnsiTheme="minorHAnsi" w:cs="Arial"/>
          <w:sz w:val="20"/>
          <w:szCs w:val="20"/>
          <w:lang w:val="en-US"/>
        </w:rPr>
        <w:t xml:space="preserve">for </w:t>
      </w:r>
      <w:r w:rsidR="0021643C" w:rsidRPr="007D47AD">
        <w:rPr>
          <w:rFonts w:asciiTheme="minorHAnsi" w:eastAsia="Times New Roman" w:hAnsiTheme="minorHAnsi" w:cs="Arial"/>
          <w:sz w:val="20"/>
          <w:szCs w:val="20"/>
          <w:lang w:val="en-US"/>
        </w:rPr>
        <w:t xml:space="preserve">El Salvador; 8% </w:t>
      </w:r>
      <w:r w:rsidR="00B74471" w:rsidRPr="007D47AD">
        <w:rPr>
          <w:rFonts w:asciiTheme="minorHAnsi" w:eastAsia="Times New Roman" w:hAnsiTheme="minorHAnsi" w:cs="Arial"/>
          <w:sz w:val="20"/>
          <w:szCs w:val="20"/>
          <w:lang w:val="en-US"/>
        </w:rPr>
        <w:t xml:space="preserve">for </w:t>
      </w:r>
      <w:r w:rsidR="0021643C" w:rsidRPr="007D47AD">
        <w:rPr>
          <w:rFonts w:asciiTheme="minorHAnsi" w:eastAsia="Times New Roman" w:hAnsiTheme="minorHAnsi" w:cs="Arial"/>
          <w:sz w:val="20"/>
          <w:szCs w:val="20"/>
          <w:lang w:val="en-US"/>
        </w:rPr>
        <w:t>Guatemala</w:t>
      </w:r>
      <w:r w:rsidR="00B74471" w:rsidRPr="007D47AD">
        <w:rPr>
          <w:rFonts w:asciiTheme="minorHAnsi" w:eastAsia="Times New Roman" w:hAnsiTheme="minorHAnsi" w:cs="Arial"/>
          <w:sz w:val="20"/>
          <w:szCs w:val="20"/>
          <w:lang w:val="en-US"/>
        </w:rPr>
        <w:t xml:space="preserve">, and </w:t>
      </w:r>
      <w:r w:rsidR="0021643C" w:rsidRPr="007D47AD">
        <w:rPr>
          <w:rFonts w:asciiTheme="minorHAnsi" w:eastAsia="Times New Roman" w:hAnsiTheme="minorHAnsi" w:cs="Arial"/>
          <w:sz w:val="20"/>
          <w:szCs w:val="20"/>
          <w:lang w:val="en-US"/>
        </w:rPr>
        <w:t xml:space="preserve"> 4% </w:t>
      </w:r>
      <w:r w:rsidR="00B74471" w:rsidRPr="007D47AD">
        <w:rPr>
          <w:rFonts w:asciiTheme="minorHAnsi" w:eastAsia="Times New Roman" w:hAnsiTheme="minorHAnsi" w:cs="Arial"/>
          <w:sz w:val="20"/>
          <w:szCs w:val="20"/>
          <w:lang w:val="en-US"/>
        </w:rPr>
        <w:t xml:space="preserve">in the case of </w:t>
      </w:r>
      <w:r w:rsidR="0021643C" w:rsidRPr="007D47AD">
        <w:rPr>
          <w:rFonts w:asciiTheme="minorHAnsi" w:eastAsia="Times New Roman" w:hAnsiTheme="minorHAnsi" w:cs="Arial"/>
          <w:sz w:val="20"/>
          <w:szCs w:val="20"/>
          <w:lang w:val="en-US"/>
        </w:rPr>
        <w:t>Nicaragua</w:t>
      </w:r>
      <w:r w:rsidR="00B74471" w:rsidRPr="007D47AD">
        <w:rPr>
          <w:rFonts w:asciiTheme="minorHAnsi" w:eastAsia="Times New Roman" w:hAnsiTheme="minorHAnsi" w:cs="Arial"/>
          <w:sz w:val="20"/>
          <w:szCs w:val="20"/>
          <w:lang w:val="en-US"/>
        </w:rPr>
        <w:t>.</w:t>
      </w:r>
      <w:r w:rsidR="0021643C" w:rsidRPr="007D47AD">
        <w:rPr>
          <w:rStyle w:val="FootnoteReference"/>
          <w:rFonts w:asciiTheme="minorHAnsi" w:eastAsia="Times New Roman" w:hAnsiTheme="minorHAnsi" w:cs="Arial"/>
          <w:sz w:val="20"/>
          <w:szCs w:val="20"/>
          <w:lang w:val="en-US"/>
        </w:rPr>
        <w:footnoteReference w:id="411"/>
      </w:r>
    </w:p>
    <w:p w:rsidR="0021643C" w:rsidRPr="007D47AD" w:rsidRDefault="0021643C" w:rsidP="00980ACC">
      <w:pPr>
        <w:shd w:val="clear" w:color="auto" w:fill="FFFFFF"/>
        <w:spacing w:after="0" w:line="240" w:lineRule="auto"/>
        <w:ind w:left="709"/>
        <w:jc w:val="both"/>
        <w:rPr>
          <w:rFonts w:asciiTheme="minorHAnsi" w:hAnsiTheme="minorHAnsi"/>
          <w:sz w:val="20"/>
          <w:szCs w:val="20"/>
          <w:lang w:val="en-US"/>
        </w:rPr>
      </w:pPr>
    </w:p>
    <w:p w:rsidR="0021643C" w:rsidRPr="007D47AD" w:rsidRDefault="00E6733A" w:rsidP="00980ACC">
      <w:pPr>
        <w:pStyle w:val="ListParagraph"/>
        <w:ind w:left="540"/>
        <w:contextualSpacing w:val="0"/>
        <w:rPr>
          <w:rFonts w:asciiTheme="minorHAnsi" w:hAnsiTheme="minorHAnsi"/>
          <w:sz w:val="20"/>
          <w:szCs w:val="20"/>
          <w:lang w:val="en-US"/>
        </w:rPr>
      </w:pPr>
      <w:r w:rsidRPr="007D47AD">
        <w:rPr>
          <w:rFonts w:asciiTheme="minorHAnsi" w:hAnsiTheme="minorHAnsi"/>
          <w:noProof/>
          <w:sz w:val="20"/>
          <w:szCs w:val="20"/>
          <w:lang w:val="en-US"/>
        </w:rPr>
        <w:drawing>
          <wp:inline distT="0" distB="0" distL="0" distR="0" wp14:anchorId="35F09362" wp14:editId="7047F86D">
            <wp:extent cx="5958205" cy="2581275"/>
            <wp:effectExtent l="0" t="0" r="4445" b="9525"/>
            <wp:docPr id="5"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1643C" w:rsidRPr="007D47AD" w:rsidRDefault="00B74471" w:rsidP="00B74471">
      <w:pPr>
        <w:spacing w:after="0" w:line="240" w:lineRule="auto"/>
        <w:ind w:left="540"/>
        <w:rPr>
          <w:rFonts w:asciiTheme="minorHAnsi" w:hAnsiTheme="minorHAnsi"/>
          <w:sz w:val="18"/>
          <w:szCs w:val="20"/>
          <w:lang w:val="en-US"/>
        </w:rPr>
      </w:pPr>
      <w:r w:rsidRPr="007D47AD">
        <w:rPr>
          <w:rFonts w:asciiTheme="minorHAnsi" w:hAnsiTheme="minorHAnsi"/>
          <w:sz w:val="18"/>
          <w:szCs w:val="20"/>
          <w:lang w:val="en-US"/>
        </w:rPr>
        <w:t xml:space="preserve">Chart prepared by IACHR. Source: </w:t>
      </w:r>
      <w:r w:rsidR="0021643C" w:rsidRPr="007D47AD">
        <w:rPr>
          <w:rFonts w:asciiTheme="minorHAnsi" w:hAnsiTheme="minorHAnsi"/>
          <w:sz w:val="18"/>
          <w:szCs w:val="20"/>
          <w:lang w:val="en-US"/>
        </w:rPr>
        <w:t>Comisión Mexicana de Ayuda a Refugiados, informa</w:t>
      </w:r>
      <w:r w:rsidRPr="007D47AD">
        <w:rPr>
          <w:rFonts w:asciiTheme="minorHAnsi" w:hAnsiTheme="minorHAnsi"/>
          <w:sz w:val="18"/>
          <w:szCs w:val="20"/>
          <w:lang w:val="en-US"/>
        </w:rPr>
        <w:t xml:space="preserve">tion available as of September </w:t>
      </w:r>
      <w:r w:rsidR="0021643C" w:rsidRPr="007D47AD">
        <w:rPr>
          <w:rFonts w:asciiTheme="minorHAnsi" w:hAnsiTheme="minorHAnsi"/>
          <w:sz w:val="18"/>
          <w:szCs w:val="20"/>
          <w:lang w:val="en-US"/>
        </w:rPr>
        <w:t>2019.</w:t>
      </w:r>
    </w:p>
    <w:p w:rsidR="0021643C" w:rsidRPr="007D47AD" w:rsidRDefault="0021643C" w:rsidP="0021643C">
      <w:pPr>
        <w:spacing w:after="0" w:line="240" w:lineRule="auto"/>
        <w:ind w:left="540"/>
        <w:jc w:val="both"/>
        <w:rPr>
          <w:rFonts w:asciiTheme="minorHAnsi" w:hAnsiTheme="minorHAnsi" w:cs="Cambria"/>
          <w:sz w:val="20"/>
          <w:szCs w:val="20"/>
          <w:lang w:val="en-US"/>
        </w:rPr>
      </w:pPr>
    </w:p>
    <w:p w:rsidR="0021643C" w:rsidRPr="007D47AD" w:rsidRDefault="00B74471" w:rsidP="0021643C">
      <w:pPr>
        <w:numPr>
          <w:ilvl w:val="0"/>
          <w:numId w:val="6"/>
        </w:numPr>
        <w:shd w:val="clear" w:color="auto" w:fill="FFFFFF"/>
        <w:spacing w:after="0" w:line="240" w:lineRule="auto"/>
        <w:ind w:left="0" w:firstLine="709"/>
        <w:jc w:val="both"/>
        <w:rPr>
          <w:rFonts w:ascii="Cambria" w:hAnsi="Cambria" w:cs="Cambria"/>
          <w:sz w:val="20"/>
          <w:szCs w:val="20"/>
          <w:lang w:val="en-US"/>
        </w:rPr>
      </w:pPr>
      <w:r w:rsidRPr="007D47AD">
        <w:rPr>
          <w:rFonts w:ascii="Cambria" w:hAnsi="Cambria" w:cs="Cambria"/>
          <w:sz w:val="20"/>
          <w:szCs w:val="20"/>
          <w:lang w:val="en-US"/>
        </w:rPr>
        <w:t xml:space="preserve">In addition, the IACHR presented information to the IACHR that indicates that a total of </w:t>
      </w:r>
      <w:r w:rsidR="0021643C" w:rsidRPr="007D47AD">
        <w:rPr>
          <w:rFonts w:ascii="Cambria" w:hAnsi="Cambria" w:cs="Cambria"/>
          <w:sz w:val="20"/>
          <w:szCs w:val="20"/>
          <w:lang w:val="en-US"/>
        </w:rPr>
        <w:t>108</w:t>
      </w:r>
      <w:r w:rsidRPr="007D47AD">
        <w:rPr>
          <w:rFonts w:ascii="Cambria" w:hAnsi="Cambria" w:cs="Cambria"/>
          <w:sz w:val="20"/>
          <w:szCs w:val="20"/>
          <w:lang w:val="en-US"/>
        </w:rPr>
        <w:t>,</w:t>
      </w:r>
      <w:r w:rsidR="0021643C" w:rsidRPr="007D47AD">
        <w:rPr>
          <w:rFonts w:ascii="Cambria" w:hAnsi="Cambria" w:cs="Cambria"/>
          <w:sz w:val="20"/>
          <w:szCs w:val="20"/>
          <w:lang w:val="en-US"/>
        </w:rPr>
        <w:t xml:space="preserve">503 </w:t>
      </w:r>
      <w:r w:rsidRPr="007D47AD">
        <w:rPr>
          <w:rFonts w:ascii="Cambria" w:hAnsi="Cambria" w:cs="Cambria"/>
          <w:sz w:val="20"/>
          <w:szCs w:val="20"/>
          <w:lang w:val="en-US"/>
        </w:rPr>
        <w:t xml:space="preserve">foreign persons </w:t>
      </w:r>
      <w:r w:rsidR="00EE416A" w:rsidRPr="007D47AD">
        <w:rPr>
          <w:rFonts w:ascii="Cambria" w:hAnsi="Cambria" w:cs="Cambria"/>
          <w:sz w:val="20"/>
          <w:szCs w:val="20"/>
          <w:lang w:val="en-US"/>
        </w:rPr>
        <w:t xml:space="preserve">were </w:t>
      </w:r>
      <w:r w:rsidRPr="007D47AD">
        <w:rPr>
          <w:rFonts w:ascii="Cambria" w:hAnsi="Cambria" w:cs="Cambria"/>
          <w:sz w:val="20"/>
          <w:szCs w:val="20"/>
          <w:lang w:val="en-US"/>
        </w:rPr>
        <w:t xml:space="preserve">brought before the immigration authority as of May </w:t>
      </w:r>
      <w:r w:rsidR="0021643C" w:rsidRPr="007D47AD">
        <w:rPr>
          <w:rFonts w:ascii="Cambria" w:hAnsi="Cambria" w:cs="Cambria"/>
          <w:sz w:val="20"/>
          <w:szCs w:val="20"/>
          <w:lang w:val="en-US"/>
        </w:rPr>
        <w:t xml:space="preserve">2019. </w:t>
      </w:r>
      <w:r w:rsidRPr="007D47AD">
        <w:rPr>
          <w:rFonts w:ascii="Cambria" w:hAnsi="Cambria" w:cs="Cambria"/>
          <w:sz w:val="20"/>
          <w:szCs w:val="20"/>
          <w:lang w:val="en-US"/>
        </w:rPr>
        <w:t xml:space="preserve">They include </w:t>
      </w:r>
      <w:r w:rsidR="0021643C" w:rsidRPr="007D47AD">
        <w:rPr>
          <w:rFonts w:ascii="Cambria" w:hAnsi="Cambria" w:cs="Cambria"/>
          <w:sz w:val="20"/>
          <w:szCs w:val="20"/>
          <w:lang w:val="en-US"/>
        </w:rPr>
        <w:t>72</w:t>
      </w:r>
      <w:r w:rsidRPr="007D47AD">
        <w:rPr>
          <w:rFonts w:ascii="Cambria" w:hAnsi="Cambria" w:cs="Cambria"/>
          <w:sz w:val="20"/>
          <w:szCs w:val="20"/>
          <w:lang w:val="en-US"/>
        </w:rPr>
        <w:t>,</w:t>
      </w:r>
      <w:r w:rsidR="0021643C" w:rsidRPr="007D47AD">
        <w:rPr>
          <w:rFonts w:ascii="Cambria" w:hAnsi="Cambria" w:cs="Cambria"/>
          <w:sz w:val="20"/>
          <w:szCs w:val="20"/>
          <w:lang w:val="en-US"/>
        </w:rPr>
        <w:t xml:space="preserve">906 </w:t>
      </w:r>
      <w:r w:rsidR="00EE416A" w:rsidRPr="007D47AD">
        <w:rPr>
          <w:rFonts w:ascii="Cambria" w:hAnsi="Cambria" w:cs="Cambria"/>
          <w:sz w:val="20"/>
          <w:szCs w:val="20"/>
          <w:lang w:val="en-US"/>
        </w:rPr>
        <w:t xml:space="preserve">males, </w:t>
      </w:r>
      <w:r w:rsidR="0021643C" w:rsidRPr="007D47AD">
        <w:rPr>
          <w:rFonts w:ascii="Cambria" w:hAnsi="Cambria" w:cs="Cambria"/>
          <w:sz w:val="20"/>
          <w:szCs w:val="20"/>
          <w:lang w:val="en-US"/>
        </w:rPr>
        <w:t>35</w:t>
      </w:r>
      <w:r w:rsidRPr="007D47AD">
        <w:rPr>
          <w:rFonts w:ascii="Cambria" w:hAnsi="Cambria" w:cs="Cambria"/>
          <w:sz w:val="20"/>
          <w:szCs w:val="20"/>
          <w:lang w:val="en-US"/>
        </w:rPr>
        <w:t>,</w:t>
      </w:r>
      <w:r w:rsidR="0021643C" w:rsidRPr="007D47AD">
        <w:rPr>
          <w:rFonts w:ascii="Cambria" w:hAnsi="Cambria" w:cs="Cambria"/>
          <w:sz w:val="20"/>
          <w:szCs w:val="20"/>
          <w:lang w:val="en-US"/>
        </w:rPr>
        <w:t xml:space="preserve">597 </w:t>
      </w:r>
      <w:r w:rsidR="00EE416A" w:rsidRPr="007D47AD">
        <w:rPr>
          <w:rFonts w:ascii="Cambria" w:hAnsi="Cambria" w:cs="Cambria"/>
          <w:sz w:val="20"/>
          <w:szCs w:val="20"/>
          <w:lang w:val="en-US"/>
        </w:rPr>
        <w:t xml:space="preserve">females, </w:t>
      </w:r>
      <w:r w:rsidR="0021643C" w:rsidRPr="007D47AD">
        <w:rPr>
          <w:rFonts w:ascii="Cambria" w:hAnsi="Cambria" w:cs="Cambria"/>
          <w:sz w:val="20"/>
          <w:szCs w:val="20"/>
          <w:lang w:val="en-US"/>
        </w:rPr>
        <w:t>32</w:t>
      </w:r>
      <w:r w:rsidRPr="007D47AD">
        <w:rPr>
          <w:rFonts w:ascii="Cambria" w:hAnsi="Cambria" w:cs="Cambria"/>
          <w:sz w:val="20"/>
          <w:szCs w:val="20"/>
          <w:lang w:val="en-US"/>
        </w:rPr>
        <w:t>,</w:t>
      </w:r>
      <w:r w:rsidR="0021643C" w:rsidRPr="007D47AD">
        <w:rPr>
          <w:rFonts w:ascii="Cambria" w:hAnsi="Cambria" w:cs="Cambria"/>
          <w:sz w:val="20"/>
          <w:szCs w:val="20"/>
          <w:lang w:val="en-US"/>
        </w:rPr>
        <w:t xml:space="preserve">507 </w:t>
      </w:r>
      <w:r w:rsidRPr="007D47AD">
        <w:rPr>
          <w:rFonts w:ascii="Cambria" w:hAnsi="Cambria" w:cs="Cambria"/>
          <w:sz w:val="20"/>
          <w:szCs w:val="20"/>
          <w:lang w:val="en-US"/>
        </w:rPr>
        <w:t xml:space="preserve">children and adolescents, and </w:t>
      </w:r>
      <w:r w:rsidR="0021643C" w:rsidRPr="007D47AD">
        <w:rPr>
          <w:rFonts w:ascii="Cambria" w:hAnsi="Cambria" w:cs="Cambria"/>
          <w:sz w:val="20"/>
          <w:szCs w:val="20"/>
          <w:lang w:val="en-US"/>
        </w:rPr>
        <w:t>8</w:t>
      </w:r>
      <w:r w:rsidRPr="007D47AD">
        <w:rPr>
          <w:rFonts w:ascii="Cambria" w:hAnsi="Cambria" w:cs="Cambria"/>
          <w:sz w:val="20"/>
          <w:szCs w:val="20"/>
          <w:lang w:val="en-US"/>
        </w:rPr>
        <w:t>,</w:t>
      </w:r>
      <w:r w:rsidR="0021643C" w:rsidRPr="007D47AD">
        <w:rPr>
          <w:rFonts w:ascii="Cambria" w:hAnsi="Cambria" w:cs="Cambria"/>
          <w:sz w:val="20"/>
          <w:szCs w:val="20"/>
          <w:lang w:val="en-US"/>
        </w:rPr>
        <w:t xml:space="preserve">033 </w:t>
      </w:r>
      <w:r w:rsidRPr="007D47AD">
        <w:rPr>
          <w:rFonts w:ascii="Cambria" w:hAnsi="Cambria" w:cs="Cambria"/>
          <w:sz w:val="20"/>
          <w:szCs w:val="20"/>
          <w:lang w:val="en-US"/>
        </w:rPr>
        <w:t>unaccompanied children and adolescents.</w:t>
      </w:r>
      <w:r w:rsidR="0021643C" w:rsidRPr="007D47AD">
        <w:rPr>
          <w:rStyle w:val="FootnoteReference"/>
          <w:rFonts w:ascii="Cambria" w:hAnsi="Cambria" w:cs="Cambria"/>
          <w:sz w:val="20"/>
          <w:szCs w:val="20"/>
          <w:lang w:val="en-US"/>
        </w:rPr>
        <w:footnoteReference w:id="412"/>
      </w:r>
    </w:p>
    <w:p w:rsidR="0021643C" w:rsidRPr="007D47AD" w:rsidRDefault="0021643C" w:rsidP="0021643C">
      <w:pPr>
        <w:spacing w:after="0" w:line="240" w:lineRule="auto"/>
        <w:ind w:left="540"/>
        <w:jc w:val="both"/>
        <w:rPr>
          <w:rFonts w:ascii="Cambria" w:hAnsi="Cambria" w:cs="Cambria"/>
          <w:sz w:val="20"/>
          <w:szCs w:val="20"/>
          <w:lang w:val="en-US"/>
        </w:rPr>
      </w:pPr>
    </w:p>
    <w:p w:rsidR="0021643C" w:rsidRPr="007D47AD" w:rsidRDefault="00B74471" w:rsidP="00980ACC">
      <w:pPr>
        <w:numPr>
          <w:ilvl w:val="0"/>
          <w:numId w:val="6"/>
        </w:numPr>
        <w:shd w:val="clear" w:color="auto" w:fill="FFFFFF"/>
        <w:spacing w:after="0" w:line="240" w:lineRule="auto"/>
        <w:ind w:left="0" w:firstLine="709"/>
        <w:jc w:val="both"/>
        <w:rPr>
          <w:rFonts w:ascii="Cambria" w:hAnsi="Cambria" w:cs="Arial"/>
          <w:sz w:val="20"/>
          <w:szCs w:val="20"/>
          <w:lang w:val="en-US"/>
        </w:rPr>
      </w:pPr>
      <w:r w:rsidRPr="007D47AD">
        <w:rPr>
          <w:rFonts w:ascii="Cambria" w:hAnsi="Cambria"/>
          <w:sz w:val="20"/>
          <w:szCs w:val="20"/>
          <w:lang w:val="en-US"/>
        </w:rPr>
        <w:t xml:space="preserve">In this regard, the Commission positively values the adoption of the ruling by the Supreme Court related to Articles </w:t>
      </w:r>
      <w:r w:rsidR="0021643C" w:rsidRPr="007D47AD">
        <w:rPr>
          <w:rFonts w:ascii="Cambria" w:hAnsi="Cambria" w:cs="Arial"/>
          <w:sz w:val="20"/>
          <w:szCs w:val="20"/>
          <w:lang w:val="en-US"/>
        </w:rPr>
        <w:t>17, 16</w:t>
      </w:r>
      <w:r w:rsidRPr="007D47AD">
        <w:rPr>
          <w:rFonts w:ascii="Cambria" w:hAnsi="Cambria" w:cs="Arial"/>
          <w:sz w:val="20"/>
          <w:szCs w:val="20"/>
          <w:lang w:val="en-US"/>
        </w:rPr>
        <w:t>(</w:t>
      </w:r>
      <w:r w:rsidR="0021643C" w:rsidRPr="007D47AD">
        <w:rPr>
          <w:rFonts w:ascii="Cambria" w:hAnsi="Cambria" w:cs="Arial"/>
          <w:sz w:val="20"/>
          <w:szCs w:val="20"/>
          <w:lang w:val="en-US"/>
        </w:rPr>
        <w:t>II</w:t>
      </w:r>
      <w:r w:rsidRPr="007D47AD">
        <w:rPr>
          <w:rFonts w:ascii="Cambria" w:hAnsi="Cambria" w:cs="Arial"/>
          <w:sz w:val="20"/>
          <w:szCs w:val="20"/>
          <w:lang w:val="en-US"/>
        </w:rPr>
        <w:t>)</w:t>
      </w:r>
      <w:r w:rsidR="0021643C" w:rsidRPr="007D47AD">
        <w:rPr>
          <w:rFonts w:ascii="Cambria" w:hAnsi="Cambria" w:cs="Arial"/>
          <w:sz w:val="20"/>
          <w:szCs w:val="20"/>
          <w:lang w:val="en-US"/>
        </w:rPr>
        <w:t>, 20</w:t>
      </w:r>
      <w:r w:rsidRPr="007D47AD">
        <w:rPr>
          <w:rFonts w:ascii="Cambria" w:hAnsi="Cambria" w:cs="Arial"/>
          <w:sz w:val="20"/>
          <w:szCs w:val="20"/>
          <w:lang w:val="en-US"/>
        </w:rPr>
        <w:t>(</w:t>
      </w:r>
      <w:r w:rsidR="0021643C" w:rsidRPr="007D47AD">
        <w:rPr>
          <w:rFonts w:ascii="Cambria" w:hAnsi="Cambria" w:cs="Arial"/>
          <w:sz w:val="20"/>
          <w:szCs w:val="20"/>
          <w:lang w:val="en-US"/>
        </w:rPr>
        <w:t>VII</w:t>
      </w:r>
      <w:r w:rsidRPr="007D47AD">
        <w:rPr>
          <w:rFonts w:ascii="Cambria" w:hAnsi="Cambria" w:cs="Arial"/>
          <w:sz w:val="20"/>
          <w:szCs w:val="20"/>
          <w:lang w:val="en-US"/>
        </w:rPr>
        <w:t>)</w:t>
      </w:r>
      <w:r w:rsidR="0021643C" w:rsidRPr="007D47AD">
        <w:rPr>
          <w:rFonts w:ascii="Cambria" w:hAnsi="Cambria" w:cs="Arial"/>
          <w:sz w:val="20"/>
          <w:szCs w:val="20"/>
          <w:lang w:val="en-US"/>
        </w:rPr>
        <w:t xml:space="preserve">, 97 </w:t>
      </w:r>
      <w:r w:rsidRPr="007D47AD">
        <w:rPr>
          <w:rFonts w:ascii="Cambria" w:hAnsi="Cambria" w:cs="Arial"/>
          <w:sz w:val="20"/>
          <w:szCs w:val="20"/>
          <w:lang w:val="en-US"/>
        </w:rPr>
        <w:t>first paragraph</w:t>
      </w:r>
      <w:r w:rsidR="0021643C" w:rsidRPr="007D47AD">
        <w:rPr>
          <w:rFonts w:ascii="Cambria" w:hAnsi="Cambria" w:cs="Arial"/>
          <w:sz w:val="20"/>
          <w:szCs w:val="20"/>
          <w:lang w:val="en-US"/>
        </w:rPr>
        <w:t xml:space="preserve">, 98 </w:t>
      </w:r>
      <w:r w:rsidRPr="007D47AD">
        <w:rPr>
          <w:rFonts w:ascii="Cambria" w:hAnsi="Cambria" w:cs="Arial"/>
          <w:sz w:val="20"/>
          <w:szCs w:val="20"/>
          <w:lang w:val="en-US"/>
        </w:rPr>
        <w:t xml:space="preserve">and </w:t>
      </w:r>
      <w:r w:rsidR="0021643C" w:rsidRPr="007D47AD">
        <w:rPr>
          <w:rFonts w:ascii="Cambria" w:hAnsi="Cambria" w:cs="Arial"/>
          <w:sz w:val="20"/>
          <w:szCs w:val="20"/>
          <w:lang w:val="en-US"/>
        </w:rPr>
        <w:t xml:space="preserve">99 </w:t>
      </w:r>
      <w:r w:rsidRPr="007D47AD">
        <w:rPr>
          <w:rFonts w:ascii="Cambria" w:hAnsi="Cambria" w:cs="Arial"/>
          <w:sz w:val="20"/>
          <w:szCs w:val="20"/>
          <w:lang w:val="en-US"/>
        </w:rPr>
        <w:t>of the Law on Migration</w:t>
      </w:r>
      <w:r w:rsidR="0021643C" w:rsidRPr="007D47AD">
        <w:rPr>
          <w:rStyle w:val="FootnoteReference"/>
          <w:rFonts w:ascii="Cambria" w:hAnsi="Cambria" w:cs="Arial"/>
          <w:sz w:val="20"/>
          <w:szCs w:val="20"/>
          <w:lang w:val="en-US"/>
        </w:rPr>
        <w:footnoteReference w:id="413"/>
      </w:r>
      <w:r w:rsidR="0021643C" w:rsidRPr="007D47AD">
        <w:rPr>
          <w:rFonts w:ascii="Cambria" w:hAnsi="Cambria" w:cs="Arial"/>
          <w:sz w:val="20"/>
          <w:szCs w:val="20"/>
          <w:lang w:val="en-US"/>
        </w:rPr>
        <w:t xml:space="preserve">, </w:t>
      </w:r>
      <w:r w:rsidRPr="007D47AD">
        <w:rPr>
          <w:rFonts w:ascii="Cambria" w:hAnsi="Cambria" w:cs="Arial"/>
          <w:sz w:val="20"/>
          <w:szCs w:val="20"/>
          <w:lang w:val="en-US"/>
        </w:rPr>
        <w:t>which were found unconstitutional for violating the principle of equality</w:t>
      </w:r>
      <w:r w:rsidR="0021643C" w:rsidRPr="007D47AD">
        <w:rPr>
          <w:rStyle w:val="FootnoteReference"/>
          <w:rFonts w:ascii="Cambria" w:hAnsi="Cambria" w:cs="Arial"/>
          <w:sz w:val="20"/>
          <w:szCs w:val="20"/>
          <w:lang w:val="en-US"/>
        </w:rPr>
        <w:footnoteReference w:id="414"/>
      </w:r>
      <w:r w:rsidR="0021643C" w:rsidRPr="007D47AD">
        <w:rPr>
          <w:rFonts w:ascii="Cambria" w:hAnsi="Cambria" w:cs="Arial"/>
          <w:sz w:val="20"/>
          <w:szCs w:val="20"/>
          <w:lang w:val="en-US"/>
        </w:rPr>
        <w:t xml:space="preserve">; </w:t>
      </w:r>
      <w:r w:rsidRPr="007D47AD">
        <w:rPr>
          <w:rFonts w:ascii="Cambria" w:hAnsi="Cambria" w:cs="Arial"/>
          <w:sz w:val="20"/>
          <w:szCs w:val="20"/>
          <w:lang w:val="en-US"/>
        </w:rPr>
        <w:t>as well as the finding of unconstitutionality of Arti</w:t>
      </w:r>
      <w:r w:rsidR="00EE416A" w:rsidRPr="007D47AD">
        <w:rPr>
          <w:rFonts w:ascii="Cambria" w:hAnsi="Cambria" w:cs="Arial"/>
          <w:sz w:val="20"/>
          <w:szCs w:val="20"/>
          <w:lang w:val="en-US"/>
        </w:rPr>
        <w:t>c</w:t>
      </w:r>
      <w:r w:rsidRPr="007D47AD">
        <w:rPr>
          <w:rFonts w:ascii="Cambria" w:hAnsi="Cambria" w:cs="Arial"/>
          <w:sz w:val="20"/>
          <w:szCs w:val="20"/>
          <w:lang w:val="en-US"/>
        </w:rPr>
        <w:t xml:space="preserve">le </w:t>
      </w:r>
      <w:r w:rsidR="0021643C" w:rsidRPr="007D47AD">
        <w:rPr>
          <w:rFonts w:ascii="Cambria" w:hAnsi="Cambria" w:cs="Arial"/>
          <w:sz w:val="20"/>
          <w:szCs w:val="20"/>
          <w:lang w:val="en-US"/>
        </w:rPr>
        <w:t xml:space="preserve">4 </w:t>
      </w:r>
      <w:r w:rsidRPr="007D47AD">
        <w:rPr>
          <w:rFonts w:ascii="Cambria" w:hAnsi="Cambria" w:cs="Arial"/>
          <w:sz w:val="20"/>
          <w:szCs w:val="20"/>
          <w:lang w:val="en-US"/>
        </w:rPr>
        <w:t xml:space="preserve">of the Law on Protection and Attention to Migrants in the State of </w:t>
      </w:r>
      <w:r w:rsidR="0021643C" w:rsidRPr="007D47AD">
        <w:rPr>
          <w:rFonts w:ascii="Cambria" w:hAnsi="Cambria" w:cs="Arial"/>
          <w:sz w:val="20"/>
          <w:szCs w:val="20"/>
          <w:lang w:val="en-US"/>
        </w:rPr>
        <w:t xml:space="preserve">Jalisco </w:t>
      </w:r>
      <w:r w:rsidRPr="007D47AD">
        <w:rPr>
          <w:rFonts w:ascii="Cambria" w:hAnsi="Cambria" w:cs="Arial"/>
          <w:sz w:val="20"/>
          <w:szCs w:val="20"/>
          <w:lang w:val="en-US"/>
        </w:rPr>
        <w:t>in view of Article 124 of the Constitution. This is as a result of the determination that the state authorities lack competence to regulate migration issues related to the entry and exit of Mexicans and foreigners to the territory of Mexico, as well as with the transit and stay of foreigners in the territory, since it corresponds exclusively to the federal authorities.</w:t>
      </w:r>
      <w:r w:rsidR="0021643C" w:rsidRPr="007D47AD">
        <w:rPr>
          <w:rStyle w:val="FootnoteReference"/>
          <w:rFonts w:ascii="Cambria" w:hAnsi="Cambria" w:cs="Arial"/>
          <w:sz w:val="20"/>
          <w:szCs w:val="20"/>
          <w:lang w:val="en-US"/>
        </w:rPr>
        <w:footnoteReference w:id="415"/>
      </w:r>
    </w:p>
    <w:p w:rsidR="0021643C" w:rsidRPr="007D47AD" w:rsidRDefault="0021643C" w:rsidP="00980ACC">
      <w:pPr>
        <w:shd w:val="clear" w:color="auto" w:fill="FFFFFF"/>
        <w:spacing w:after="0" w:line="240" w:lineRule="auto"/>
        <w:jc w:val="both"/>
        <w:rPr>
          <w:rFonts w:ascii="Cambria" w:hAnsi="Cambria" w:cs="Cambria"/>
          <w:sz w:val="20"/>
          <w:szCs w:val="20"/>
          <w:lang w:val="en-US"/>
        </w:rPr>
      </w:pPr>
    </w:p>
    <w:p w:rsidR="0021643C" w:rsidRPr="007D47AD" w:rsidRDefault="00B74471" w:rsidP="00980ACC">
      <w:pPr>
        <w:numPr>
          <w:ilvl w:val="0"/>
          <w:numId w:val="6"/>
        </w:numPr>
        <w:shd w:val="clear" w:color="auto" w:fill="FFFFFF"/>
        <w:spacing w:after="0" w:line="240" w:lineRule="auto"/>
        <w:ind w:left="0" w:firstLine="709"/>
        <w:jc w:val="both"/>
        <w:rPr>
          <w:rFonts w:ascii="Cambria" w:hAnsi="Cambria" w:cs="Arial"/>
          <w:sz w:val="20"/>
          <w:szCs w:val="20"/>
          <w:lang w:val="en-US"/>
        </w:rPr>
      </w:pPr>
      <w:r w:rsidRPr="007D47AD">
        <w:rPr>
          <w:rFonts w:ascii="Cambria" w:hAnsi="Cambria" w:cs="Cambria"/>
          <w:sz w:val="20"/>
          <w:szCs w:val="20"/>
          <w:lang w:val="en-US"/>
        </w:rPr>
        <w:t>Moreover, the Commission recognizes the important gain established</w:t>
      </w:r>
      <w:r w:rsidR="002629E5" w:rsidRPr="007D47AD">
        <w:rPr>
          <w:rFonts w:ascii="Cambria" w:hAnsi="Cambria" w:cs="Cambria"/>
          <w:sz w:val="20"/>
          <w:szCs w:val="20"/>
          <w:lang w:val="en-US"/>
        </w:rPr>
        <w:t xml:space="preserve"> </w:t>
      </w:r>
      <w:r w:rsidRPr="007D47AD">
        <w:rPr>
          <w:rFonts w:ascii="Cambria" w:hAnsi="Cambria" w:cs="Cambria"/>
          <w:sz w:val="20"/>
          <w:szCs w:val="20"/>
          <w:lang w:val="en-US"/>
        </w:rPr>
        <w:t xml:space="preserve">in the judgments in </w:t>
      </w:r>
      <w:r w:rsidRPr="007D47AD">
        <w:rPr>
          <w:rFonts w:ascii="Cambria" w:hAnsi="Cambria" w:cs="Cambria"/>
          <w:i/>
          <w:iCs/>
          <w:sz w:val="20"/>
          <w:szCs w:val="20"/>
          <w:lang w:val="en-US"/>
        </w:rPr>
        <w:t>amparo</w:t>
      </w:r>
      <w:r w:rsidRPr="007D47AD">
        <w:rPr>
          <w:rFonts w:ascii="Cambria" w:hAnsi="Cambria" w:cs="Cambria"/>
          <w:sz w:val="20"/>
          <w:szCs w:val="20"/>
          <w:lang w:val="en-US"/>
        </w:rPr>
        <w:t xml:space="preserve"> proceedings before the Second District Judge of the Auxiliary Center for the Fi</w:t>
      </w:r>
      <w:r w:rsidR="00EE416A" w:rsidRPr="007D47AD">
        <w:rPr>
          <w:rFonts w:ascii="Cambria" w:hAnsi="Cambria" w:cs="Cambria"/>
          <w:sz w:val="20"/>
          <w:szCs w:val="20"/>
          <w:lang w:val="en-US"/>
        </w:rPr>
        <w:t>r</w:t>
      </w:r>
      <w:r w:rsidRPr="007D47AD">
        <w:rPr>
          <w:rFonts w:ascii="Cambria" w:hAnsi="Cambria" w:cs="Cambria"/>
          <w:sz w:val="20"/>
          <w:szCs w:val="20"/>
          <w:lang w:val="en-US"/>
        </w:rPr>
        <w:t>st Region, as well as the 4</w:t>
      </w:r>
      <w:r w:rsidRPr="007D47AD">
        <w:rPr>
          <w:rFonts w:ascii="Cambria" w:hAnsi="Cambria" w:cs="Cambria"/>
          <w:sz w:val="20"/>
          <w:szCs w:val="20"/>
          <w:vertAlign w:val="superscript"/>
          <w:lang w:val="en-US"/>
        </w:rPr>
        <w:t>th</w:t>
      </w:r>
      <w:r w:rsidRPr="007D47AD">
        <w:rPr>
          <w:rFonts w:ascii="Cambria" w:hAnsi="Cambria" w:cs="Cambria"/>
          <w:sz w:val="20"/>
          <w:szCs w:val="20"/>
          <w:lang w:val="en-US"/>
        </w:rPr>
        <w:t xml:space="preserve"> and 6</w:t>
      </w:r>
      <w:r w:rsidRPr="007D47AD">
        <w:rPr>
          <w:rFonts w:ascii="Cambria" w:hAnsi="Cambria" w:cs="Cambria"/>
          <w:sz w:val="20"/>
          <w:szCs w:val="20"/>
          <w:vertAlign w:val="superscript"/>
          <w:lang w:val="en-US"/>
        </w:rPr>
        <w:t>th</w:t>
      </w:r>
      <w:r w:rsidRPr="007D47AD">
        <w:rPr>
          <w:rFonts w:ascii="Cambria" w:hAnsi="Cambria" w:cs="Cambria"/>
          <w:sz w:val="20"/>
          <w:szCs w:val="20"/>
          <w:lang w:val="en-US"/>
        </w:rPr>
        <w:t xml:space="preserve"> District Judges </w:t>
      </w:r>
      <w:r w:rsidR="00EE416A" w:rsidRPr="007D47AD">
        <w:rPr>
          <w:rFonts w:ascii="Cambria" w:hAnsi="Cambria" w:cs="Cambria"/>
          <w:sz w:val="20"/>
          <w:szCs w:val="20"/>
          <w:lang w:val="en-US"/>
        </w:rPr>
        <w:t xml:space="preserve">for </w:t>
      </w:r>
      <w:r w:rsidRPr="007D47AD">
        <w:rPr>
          <w:rFonts w:ascii="Cambria" w:hAnsi="Cambria" w:cs="Cambria"/>
          <w:sz w:val="20"/>
          <w:szCs w:val="20"/>
          <w:lang w:val="en-US"/>
        </w:rPr>
        <w:t>Administrative Matters in Mexico City</w:t>
      </w:r>
      <w:r w:rsidR="002629E5" w:rsidRPr="007D47AD">
        <w:rPr>
          <w:rFonts w:ascii="Cambria" w:hAnsi="Cambria" w:cs="Cambria"/>
          <w:sz w:val="20"/>
          <w:szCs w:val="20"/>
          <w:lang w:val="en-US"/>
        </w:rPr>
        <w:t xml:space="preserve">. Those decisions recognize that the legal term of 30 days for requesting international protection granted by one’s status as a refugee impedes the individual analysis of cases and, therefore, the right to seek and receive asylum, without there being a legitimate aim </w:t>
      </w:r>
      <w:r w:rsidR="00EE416A" w:rsidRPr="007D47AD">
        <w:rPr>
          <w:rFonts w:ascii="Cambria" w:hAnsi="Cambria" w:cs="Cambria"/>
          <w:sz w:val="20"/>
          <w:szCs w:val="20"/>
          <w:lang w:val="en-US"/>
        </w:rPr>
        <w:t xml:space="preserve">to </w:t>
      </w:r>
      <w:r w:rsidR="002629E5" w:rsidRPr="007D47AD">
        <w:rPr>
          <w:rFonts w:ascii="Cambria" w:hAnsi="Cambria" w:cs="Cambria"/>
          <w:sz w:val="20"/>
          <w:szCs w:val="20"/>
          <w:lang w:val="en-US"/>
        </w:rPr>
        <w:t>justif</w:t>
      </w:r>
      <w:r w:rsidR="00EE416A" w:rsidRPr="007D47AD">
        <w:rPr>
          <w:rFonts w:ascii="Cambria" w:hAnsi="Cambria" w:cs="Cambria"/>
          <w:sz w:val="20"/>
          <w:szCs w:val="20"/>
          <w:lang w:val="en-US"/>
        </w:rPr>
        <w:t xml:space="preserve">y </w:t>
      </w:r>
      <w:r w:rsidR="002629E5" w:rsidRPr="007D47AD">
        <w:rPr>
          <w:rFonts w:ascii="Cambria" w:hAnsi="Cambria" w:cs="Cambria"/>
          <w:sz w:val="20"/>
          <w:szCs w:val="20"/>
          <w:lang w:val="en-US"/>
        </w:rPr>
        <w:t xml:space="preserve">the existence of that time limitation. </w:t>
      </w:r>
      <w:r w:rsidR="002629E5" w:rsidRPr="007D47AD">
        <w:rPr>
          <w:rFonts w:ascii="Cambria" w:hAnsi="Cambria"/>
          <w:sz w:val="20"/>
          <w:szCs w:val="20"/>
          <w:lang w:val="en-US"/>
        </w:rPr>
        <w:t>The IACHR underscores that the judgments also determin</w:t>
      </w:r>
      <w:r w:rsidR="00EE416A" w:rsidRPr="007D47AD">
        <w:rPr>
          <w:rFonts w:ascii="Cambria" w:hAnsi="Cambria"/>
          <w:sz w:val="20"/>
          <w:szCs w:val="20"/>
          <w:lang w:val="en-US"/>
        </w:rPr>
        <w:t>e</w:t>
      </w:r>
      <w:r w:rsidR="002629E5" w:rsidRPr="007D47AD">
        <w:rPr>
          <w:rFonts w:ascii="Cambria" w:hAnsi="Cambria"/>
          <w:sz w:val="20"/>
          <w:szCs w:val="20"/>
          <w:lang w:val="en-US"/>
        </w:rPr>
        <w:t xml:space="preserve">d that the return or refoulement of persons who may be refugees, </w:t>
      </w:r>
      <w:r w:rsidR="00EE416A" w:rsidRPr="007D47AD">
        <w:rPr>
          <w:rFonts w:ascii="Cambria" w:hAnsi="Cambria"/>
          <w:sz w:val="20"/>
          <w:szCs w:val="20"/>
          <w:lang w:val="en-US"/>
        </w:rPr>
        <w:t xml:space="preserve">in addition to </w:t>
      </w:r>
      <w:r w:rsidR="002629E5" w:rsidRPr="007D47AD">
        <w:rPr>
          <w:rFonts w:ascii="Cambria" w:hAnsi="Cambria"/>
          <w:sz w:val="20"/>
          <w:szCs w:val="20"/>
          <w:lang w:val="en-US"/>
        </w:rPr>
        <w:t xml:space="preserve">exposing them to risks in the country of origin, cannot be part of Mexican migration policy for </w:t>
      </w:r>
      <w:r w:rsidR="00EE416A" w:rsidRPr="007D47AD">
        <w:rPr>
          <w:rFonts w:ascii="Cambria" w:hAnsi="Cambria"/>
          <w:sz w:val="20"/>
          <w:szCs w:val="20"/>
          <w:lang w:val="en-US"/>
        </w:rPr>
        <w:t xml:space="preserve">that policy </w:t>
      </w:r>
      <w:r w:rsidR="002629E5" w:rsidRPr="007D47AD">
        <w:rPr>
          <w:rFonts w:ascii="Cambria" w:hAnsi="Cambria"/>
          <w:sz w:val="20"/>
          <w:szCs w:val="20"/>
          <w:lang w:val="en-US"/>
        </w:rPr>
        <w:t xml:space="preserve">must be in line with the Constitution </w:t>
      </w:r>
      <w:r w:rsidR="002629E5" w:rsidRPr="007D47AD">
        <w:rPr>
          <w:rFonts w:ascii="Cambria" w:hAnsi="Cambria"/>
          <w:sz w:val="20"/>
          <w:szCs w:val="20"/>
          <w:lang w:val="en-US"/>
        </w:rPr>
        <w:lastRenderedPageBreak/>
        <w:t xml:space="preserve">and the international treaties that compel it to protect refugees. In view of the foregoing, it was determined that Article </w:t>
      </w:r>
      <w:r w:rsidR="0021643C" w:rsidRPr="007D47AD">
        <w:rPr>
          <w:rFonts w:ascii="Cambria" w:hAnsi="Cambria"/>
          <w:sz w:val="20"/>
          <w:szCs w:val="20"/>
          <w:lang w:val="en-US"/>
        </w:rPr>
        <w:t xml:space="preserve">18 </w:t>
      </w:r>
      <w:r w:rsidR="002629E5" w:rsidRPr="007D47AD">
        <w:rPr>
          <w:rFonts w:ascii="Cambria" w:hAnsi="Cambria"/>
          <w:sz w:val="20"/>
          <w:szCs w:val="20"/>
          <w:lang w:val="en-US"/>
        </w:rPr>
        <w:t>of the Law on Refugees, Complementary Protection, and Political Asylum, as well as Article 19 of its Regulation</w:t>
      </w:r>
      <w:r w:rsidR="00EE416A" w:rsidRPr="007D47AD">
        <w:rPr>
          <w:rFonts w:ascii="Cambria" w:hAnsi="Cambria"/>
          <w:sz w:val="20"/>
          <w:szCs w:val="20"/>
          <w:lang w:val="en-US"/>
        </w:rPr>
        <w:t>,</w:t>
      </w:r>
      <w:r w:rsidR="002629E5" w:rsidRPr="007D47AD">
        <w:rPr>
          <w:rFonts w:ascii="Cambria" w:hAnsi="Cambria"/>
          <w:sz w:val="20"/>
          <w:szCs w:val="20"/>
          <w:lang w:val="en-US"/>
        </w:rPr>
        <w:t xml:space="preserve"> are unconstitutional, </w:t>
      </w:r>
      <w:r w:rsidR="00EE416A" w:rsidRPr="007D47AD">
        <w:rPr>
          <w:rFonts w:ascii="Cambria" w:hAnsi="Cambria"/>
          <w:sz w:val="20"/>
          <w:szCs w:val="20"/>
          <w:lang w:val="en-US"/>
        </w:rPr>
        <w:t xml:space="preserve">as they </w:t>
      </w:r>
      <w:r w:rsidR="002629E5" w:rsidRPr="007D47AD">
        <w:rPr>
          <w:rFonts w:ascii="Cambria" w:hAnsi="Cambria"/>
          <w:sz w:val="20"/>
          <w:szCs w:val="20"/>
          <w:lang w:val="en-US"/>
        </w:rPr>
        <w:t>arbitrarily restrict the right to seek and receive asylum.</w:t>
      </w:r>
      <w:r w:rsidR="0021643C" w:rsidRPr="007D47AD">
        <w:rPr>
          <w:rStyle w:val="FootnoteReference"/>
          <w:rFonts w:ascii="Cambria" w:hAnsi="Cambria"/>
          <w:sz w:val="20"/>
          <w:szCs w:val="20"/>
          <w:lang w:val="en-US"/>
        </w:rPr>
        <w:footnoteReference w:id="416"/>
      </w:r>
    </w:p>
    <w:p w:rsidR="0021643C" w:rsidRPr="007D47AD" w:rsidRDefault="0021643C" w:rsidP="00980ACC">
      <w:pPr>
        <w:shd w:val="clear" w:color="auto" w:fill="FFFFFF"/>
        <w:spacing w:after="0" w:line="240" w:lineRule="auto"/>
        <w:ind w:left="709"/>
        <w:jc w:val="both"/>
        <w:rPr>
          <w:rFonts w:ascii="Cambria" w:hAnsi="Cambria" w:cs="Arial"/>
          <w:sz w:val="20"/>
          <w:szCs w:val="20"/>
          <w:lang w:val="en-US"/>
        </w:rPr>
      </w:pPr>
    </w:p>
    <w:p w:rsidR="0021643C" w:rsidRPr="007D47AD" w:rsidRDefault="00191A9D" w:rsidP="00980ACC">
      <w:pPr>
        <w:numPr>
          <w:ilvl w:val="0"/>
          <w:numId w:val="6"/>
        </w:numPr>
        <w:shd w:val="clear" w:color="auto" w:fill="FFFFFF"/>
        <w:spacing w:after="0" w:line="240" w:lineRule="auto"/>
        <w:ind w:left="0" w:firstLine="709"/>
        <w:jc w:val="both"/>
        <w:rPr>
          <w:rFonts w:ascii="Cambria" w:hAnsi="Cambria" w:cs="Arial"/>
          <w:sz w:val="20"/>
          <w:szCs w:val="20"/>
          <w:lang w:val="en-US"/>
        </w:rPr>
      </w:pPr>
      <w:r w:rsidRPr="007D47AD">
        <w:rPr>
          <w:rFonts w:ascii="Cambria" w:hAnsi="Cambria"/>
          <w:sz w:val="20"/>
          <w:szCs w:val="20"/>
          <w:lang w:val="en-US"/>
        </w:rPr>
        <w:t>The IACHR also notes the resolution issu</w:t>
      </w:r>
      <w:r w:rsidR="00EE416A" w:rsidRPr="007D47AD">
        <w:rPr>
          <w:rFonts w:ascii="Cambria" w:hAnsi="Cambria"/>
          <w:sz w:val="20"/>
          <w:szCs w:val="20"/>
          <w:lang w:val="en-US"/>
        </w:rPr>
        <w:t>e</w:t>
      </w:r>
      <w:r w:rsidRPr="007D47AD">
        <w:rPr>
          <w:rFonts w:ascii="Cambria" w:hAnsi="Cambria"/>
          <w:sz w:val="20"/>
          <w:szCs w:val="20"/>
          <w:lang w:val="en-US"/>
        </w:rPr>
        <w:t>d by the 21</w:t>
      </w:r>
      <w:r w:rsidRPr="007D47AD">
        <w:rPr>
          <w:rFonts w:ascii="Cambria" w:hAnsi="Cambria"/>
          <w:sz w:val="20"/>
          <w:szCs w:val="20"/>
          <w:vertAlign w:val="superscript"/>
          <w:lang w:val="en-US"/>
        </w:rPr>
        <w:t>st</w:t>
      </w:r>
      <w:r w:rsidRPr="007D47AD">
        <w:rPr>
          <w:rFonts w:ascii="Cambria" w:hAnsi="Cambria"/>
          <w:sz w:val="20"/>
          <w:szCs w:val="20"/>
          <w:lang w:val="en-US"/>
        </w:rPr>
        <w:t xml:space="preserve"> Collegial Court for Administrative Matters of the First Circuit in a motion to stay an </w:t>
      </w:r>
      <w:r w:rsidRPr="007D47AD">
        <w:rPr>
          <w:rFonts w:ascii="Cambria" w:hAnsi="Cambria"/>
          <w:i/>
          <w:iCs/>
          <w:sz w:val="20"/>
          <w:szCs w:val="20"/>
          <w:lang w:val="en-US"/>
        </w:rPr>
        <w:t>amparo</w:t>
      </w:r>
      <w:r w:rsidRPr="007D47AD">
        <w:rPr>
          <w:rFonts w:ascii="Cambria" w:hAnsi="Cambria"/>
          <w:sz w:val="20"/>
          <w:szCs w:val="20"/>
          <w:lang w:val="en-US"/>
        </w:rPr>
        <w:t xml:space="preserve"> filed on behalf of the children and adolescents detained at migration stations in Mexico City. That judgment </w:t>
      </w:r>
      <w:r w:rsidR="003C5160" w:rsidRPr="007D47AD">
        <w:rPr>
          <w:rFonts w:ascii="Cambria" w:hAnsi="Cambria"/>
          <w:sz w:val="20"/>
          <w:szCs w:val="20"/>
          <w:lang w:val="en-US"/>
        </w:rPr>
        <w:t xml:space="preserve">laid down a criterion </w:t>
      </w:r>
      <w:r w:rsidRPr="007D47AD">
        <w:rPr>
          <w:rFonts w:ascii="Cambria" w:hAnsi="Cambria"/>
          <w:sz w:val="20"/>
          <w:szCs w:val="20"/>
          <w:lang w:val="en-US"/>
        </w:rPr>
        <w:t>on prioritizing the best interest of the child and the use of noncustodial measures prior to detention at migration stations</w:t>
      </w:r>
      <w:r w:rsidR="0021643C" w:rsidRPr="007D47AD">
        <w:rPr>
          <w:rStyle w:val="FootnoteReference"/>
          <w:rFonts w:ascii="Cambria" w:hAnsi="Cambria"/>
          <w:sz w:val="20"/>
          <w:szCs w:val="20"/>
          <w:lang w:val="en-US"/>
        </w:rPr>
        <w:footnoteReference w:id="417"/>
      </w:r>
      <w:r w:rsidR="0021643C" w:rsidRPr="007D47AD">
        <w:rPr>
          <w:rFonts w:ascii="Cambria" w:hAnsi="Cambria"/>
          <w:sz w:val="20"/>
          <w:szCs w:val="20"/>
          <w:lang w:val="en-US"/>
        </w:rPr>
        <w:t xml:space="preserve">, </w:t>
      </w:r>
      <w:r w:rsidRPr="007D47AD">
        <w:rPr>
          <w:rFonts w:ascii="Cambria" w:hAnsi="Cambria"/>
          <w:sz w:val="20"/>
          <w:szCs w:val="20"/>
          <w:lang w:val="en-US"/>
        </w:rPr>
        <w:t xml:space="preserve">in keeping with the relevant international and inter-American standards. </w:t>
      </w:r>
    </w:p>
    <w:p w:rsidR="0021643C" w:rsidRPr="007D47AD" w:rsidRDefault="0021643C" w:rsidP="00980ACC">
      <w:pPr>
        <w:shd w:val="clear" w:color="auto" w:fill="FFFFFF"/>
        <w:spacing w:after="0" w:line="240" w:lineRule="auto"/>
        <w:jc w:val="both"/>
        <w:rPr>
          <w:rFonts w:ascii="Cambria" w:hAnsi="Cambria"/>
          <w:sz w:val="20"/>
          <w:szCs w:val="20"/>
          <w:lang w:val="en-US"/>
        </w:rPr>
      </w:pPr>
    </w:p>
    <w:p w:rsidR="0021643C" w:rsidRPr="007D47AD" w:rsidRDefault="00191A9D" w:rsidP="00980ACC">
      <w:pPr>
        <w:numPr>
          <w:ilvl w:val="0"/>
          <w:numId w:val="6"/>
        </w:numPr>
        <w:shd w:val="clear" w:color="auto" w:fill="FFFFFF"/>
        <w:spacing w:after="0" w:line="240" w:lineRule="auto"/>
        <w:ind w:left="0" w:firstLine="709"/>
        <w:jc w:val="both"/>
        <w:rPr>
          <w:rFonts w:ascii="Cambria" w:hAnsi="Cambria" w:cs="Arial"/>
          <w:sz w:val="20"/>
          <w:szCs w:val="20"/>
          <w:lang w:val="en-US"/>
        </w:rPr>
      </w:pPr>
      <w:r w:rsidRPr="007D47AD">
        <w:rPr>
          <w:rFonts w:ascii="Cambria" w:hAnsi="Cambria"/>
          <w:sz w:val="20"/>
          <w:szCs w:val="20"/>
          <w:lang w:val="en-US"/>
        </w:rPr>
        <w:t xml:space="preserve">The IACHR recognizes the positive value of these actions given the obligation of the State for its law enforcement policies and practices </w:t>
      </w:r>
      <w:r w:rsidR="003C5160" w:rsidRPr="007D47AD">
        <w:rPr>
          <w:rFonts w:ascii="Cambria" w:hAnsi="Cambria"/>
          <w:sz w:val="20"/>
          <w:szCs w:val="20"/>
          <w:lang w:val="en-US"/>
        </w:rPr>
        <w:t xml:space="preserve">not </w:t>
      </w:r>
      <w:r w:rsidRPr="007D47AD">
        <w:rPr>
          <w:rFonts w:ascii="Cambria" w:hAnsi="Cambria"/>
          <w:sz w:val="20"/>
          <w:szCs w:val="20"/>
          <w:lang w:val="en-US"/>
        </w:rPr>
        <w:t>to be geared</w:t>
      </w:r>
      <w:r w:rsidR="003C5160" w:rsidRPr="007D47AD">
        <w:rPr>
          <w:rFonts w:ascii="Cambria" w:hAnsi="Cambria"/>
          <w:sz w:val="20"/>
          <w:szCs w:val="20"/>
          <w:lang w:val="en-US"/>
        </w:rPr>
        <w:t>,</w:t>
      </w:r>
      <w:r w:rsidRPr="007D47AD">
        <w:rPr>
          <w:rFonts w:ascii="Cambria" w:hAnsi="Cambria"/>
          <w:sz w:val="20"/>
          <w:szCs w:val="20"/>
          <w:lang w:val="en-US"/>
        </w:rPr>
        <w:t xml:space="preserve"> without justification</w:t>
      </w:r>
      <w:r w:rsidR="003C5160" w:rsidRPr="007D47AD">
        <w:rPr>
          <w:rFonts w:ascii="Cambria" w:hAnsi="Cambria"/>
          <w:sz w:val="20"/>
          <w:szCs w:val="20"/>
          <w:lang w:val="en-US"/>
        </w:rPr>
        <w:t>,</w:t>
      </w:r>
      <w:r w:rsidRPr="007D47AD">
        <w:rPr>
          <w:rFonts w:ascii="Cambria" w:hAnsi="Cambria"/>
          <w:sz w:val="20"/>
          <w:szCs w:val="20"/>
          <w:lang w:val="en-US"/>
        </w:rPr>
        <w:t xml:space="preserve"> to certain individuals based solely on their ethnic or racial characteristics, such as </w:t>
      </w:r>
      <w:r w:rsidR="003C5160" w:rsidRPr="007D47AD">
        <w:rPr>
          <w:rFonts w:ascii="Cambria" w:hAnsi="Cambria"/>
          <w:sz w:val="20"/>
          <w:szCs w:val="20"/>
          <w:lang w:val="en-US"/>
        </w:rPr>
        <w:t xml:space="preserve">skin </w:t>
      </w:r>
      <w:r w:rsidRPr="007D47AD">
        <w:rPr>
          <w:rFonts w:ascii="Cambria" w:hAnsi="Cambria"/>
          <w:sz w:val="20"/>
          <w:szCs w:val="20"/>
          <w:lang w:val="en-US"/>
        </w:rPr>
        <w:t>color, accent, ethnicity, or area of residence known for having a particular ethnic population.</w:t>
      </w:r>
      <w:r w:rsidR="0021643C" w:rsidRPr="007D47AD">
        <w:rPr>
          <w:rStyle w:val="FootnoteReference"/>
          <w:rFonts w:ascii="Cambria" w:hAnsi="Cambria" w:cs="Cambria"/>
          <w:sz w:val="20"/>
          <w:szCs w:val="20"/>
          <w:lang w:val="en-US"/>
        </w:rPr>
        <w:footnoteReference w:id="418"/>
      </w:r>
      <w:r w:rsidR="0021643C" w:rsidRPr="007D47AD">
        <w:rPr>
          <w:rFonts w:ascii="Cambria" w:hAnsi="Cambria" w:cs="Cambria"/>
          <w:sz w:val="20"/>
          <w:szCs w:val="20"/>
          <w:lang w:val="en-US"/>
        </w:rPr>
        <w:t xml:space="preserve"> </w:t>
      </w:r>
      <w:r w:rsidRPr="007D47AD">
        <w:rPr>
          <w:rFonts w:ascii="Cambria" w:hAnsi="Cambria" w:cs="Cambria"/>
          <w:sz w:val="20"/>
          <w:szCs w:val="20"/>
          <w:lang w:val="en-US"/>
        </w:rPr>
        <w:t>Nonetheless</w:t>
      </w:r>
      <w:r w:rsidR="003C5160" w:rsidRPr="007D47AD">
        <w:rPr>
          <w:rFonts w:ascii="Cambria" w:hAnsi="Cambria" w:cs="Cambria"/>
          <w:sz w:val="20"/>
          <w:szCs w:val="20"/>
          <w:lang w:val="en-US"/>
        </w:rPr>
        <w:t>,</w:t>
      </w:r>
      <w:r w:rsidRPr="007D47AD">
        <w:rPr>
          <w:rFonts w:ascii="Cambria" w:hAnsi="Cambria" w:cs="Cambria"/>
          <w:sz w:val="20"/>
          <w:szCs w:val="20"/>
          <w:lang w:val="en-US"/>
        </w:rPr>
        <w:t xml:space="preserve"> the Commission notes that in practice the State continues implementing a migration policy aimed at migrants in irregular circumstances who are in transit through Mexico that is not in keeping with the relevant international  standards. </w:t>
      </w:r>
    </w:p>
    <w:p w:rsidR="0021643C" w:rsidRPr="007D47AD" w:rsidRDefault="0021643C" w:rsidP="00980ACC">
      <w:pPr>
        <w:shd w:val="clear" w:color="auto" w:fill="FFFFFF"/>
        <w:spacing w:after="0" w:line="240" w:lineRule="auto"/>
        <w:jc w:val="both"/>
        <w:rPr>
          <w:rFonts w:ascii="Cambria" w:hAnsi="Cambria"/>
          <w:sz w:val="20"/>
          <w:szCs w:val="20"/>
          <w:lang w:val="en-US"/>
        </w:rPr>
      </w:pPr>
    </w:p>
    <w:p w:rsidR="0021643C" w:rsidRPr="007D47AD" w:rsidRDefault="00191A9D" w:rsidP="00980ACC">
      <w:pPr>
        <w:numPr>
          <w:ilvl w:val="0"/>
          <w:numId w:val="6"/>
        </w:numPr>
        <w:shd w:val="clear" w:color="auto" w:fill="FFFFFF"/>
        <w:spacing w:after="0" w:line="240" w:lineRule="auto"/>
        <w:ind w:left="0" w:firstLine="709"/>
        <w:jc w:val="both"/>
        <w:rPr>
          <w:rFonts w:ascii="Cambria" w:hAnsi="Cambria" w:cs="Arial"/>
          <w:sz w:val="20"/>
          <w:szCs w:val="20"/>
          <w:lang w:val="en-US"/>
        </w:rPr>
      </w:pPr>
      <w:r w:rsidRPr="007D47AD">
        <w:rPr>
          <w:rFonts w:ascii="Cambria" w:hAnsi="Cambria"/>
          <w:sz w:val="20"/>
          <w:szCs w:val="20"/>
          <w:lang w:val="en-US"/>
        </w:rPr>
        <w:t>As regards migration detention, according to information provided by civil society organizations to the IACHR</w:t>
      </w:r>
      <w:r w:rsidR="0021643C" w:rsidRPr="007D47AD">
        <w:rPr>
          <w:rFonts w:ascii="Cambria" w:hAnsi="Cambria"/>
          <w:sz w:val="20"/>
          <w:szCs w:val="20"/>
          <w:lang w:val="en-US"/>
        </w:rPr>
        <w:t xml:space="preserve">, </w:t>
      </w:r>
      <w:r w:rsidRPr="007D47AD">
        <w:rPr>
          <w:rFonts w:ascii="Cambria" w:hAnsi="Cambria"/>
          <w:sz w:val="20"/>
          <w:szCs w:val="20"/>
          <w:lang w:val="en-US"/>
        </w:rPr>
        <w:t xml:space="preserve">from January to June </w:t>
      </w:r>
      <w:r w:rsidR="0021643C" w:rsidRPr="007D47AD">
        <w:rPr>
          <w:rFonts w:ascii="Cambria" w:hAnsi="Cambria"/>
          <w:sz w:val="20"/>
          <w:szCs w:val="20"/>
          <w:lang w:val="en-US"/>
        </w:rPr>
        <w:t xml:space="preserve">2019 </w:t>
      </w:r>
      <w:r w:rsidRPr="007D47AD">
        <w:rPr>
          <w:rFonts w:ascii="Cambria" w:hAnsi="Cambria"/>
          <w:sz w:val="20"/>
          <w:szCs w:val="20"/>
          <w:lang w:val="en-US"/>
        </w:rPr>
        <w:t xml:space="preserve">the National Migration Institute </w:t>
      </w:r>
      <w:r w:rsidR="0021643C" w:rsidRPr="007D47AD">
        <w:rPr>
          <w:rFonts w:ascii="Cambria" w:hAnsi="Cambria"/>
          <w:sz w:val="20"/>
          <w:szCs w:val="20"/>
          <w:lang w:val="en-US"/>
        </w:rPr>
        <w:t xml:space="preserve">(INM) </w:t>
      </w:r>
      <w:r w:rsidRPr="007D47AD">
        <w:rPr>
          <w:rFonts w:ascii="Cambria" w:hAnsi="Cambria"/>
          <w:sz w:val="20"/>
          <w:szCs w:val="20"/>
          <w:lang w:val="en-US"/>
        </w:rPr>
        <w:t xml:space="preserve">detained </w:t>
      </w:r>
      <w:r w:rsidR="0021643C" w:rsidRPr="007D47AD">
        <w:rPr>
          <w:rFonts w:ascii="Cambria" w:hAnsi="Cambria"/>
          <w:sz w:val="20"/>
          <w:szCs w:val="20"/>
          <w:lang w:val="en-US"/>
        </w:rPr>
        <w:t xml:space="preserve">108,503 </w:t>
      </w:r>
      <w:r w:rsidRPr="007D47AD">
        <w:rPr>
          <w:rFonts w:ascii="Cambria" w:hAnsi="Cambria"/>
          <w:sz w:val="20"/>
          <w:szCs w:val="20"/>
          <w:lang w:val="en-US"/>
        </w:rPr>
        <w:t>migrant persons stemming from the immigration agreement signed by Mexico and the United States.</w:t>
      </w:r>
      <w:r w:rsidR="0021643C" w:rsidRPr="007D47AD">
        <w:rPr>
          <w:rStyle w:val="FootnoteReference"/>
          <w:rFonts w:ascii="Cambria" w:hAnsi="Cambria"/>
          <w:sz w:val="20"/>
          <w:szCs w:val="20"/>
          <w:lang w:val="en-US"/>
        </w:rPr>
        <w:footnoteReference w:id="419"/>
      </w:r>
    </w:p>
    <w:p w:rsidR="0021643C" w:rsidRPr="007D47AD" w:rsidRDefault="0021643C" w:rsidP="00980ACC">
      <w:pPr>
        <w:shd w:val="clear" w:color="auto" w:fill="FFFFFF"/>
        <w:spacing w:after="0" w:line="240" w:lineRule="auto"/>
        <w:jc w:val="both"/>
        <w:rPr>
          <w:rFonts w:ascii="Cambria" w:hAnsi="Cambria"/>
          <w:sz w:val="20"/>
          <w:szCs w:val="20"/>
          <w:lang w:val="en-US"/>
        </w:rPr>
      </w:pPr>
    </w:p>
    <w:p w:rsidR="00980ACC" w:rsidRPr="007D47AD" w:rsidRDefault="00191A9D" w:rsidP="00191A9D">
      <w:pPr>
        <w:numPr>
          <w:ilvl w:val="0"/>
          <w:numId w:val="6"/>
        </w:numPr>
        <w:shd w:val="clear" w:color="auto" w:fill="FFFFFF"/>
        <w:spacing w:after="0" w:line="240" w:lineRule="auto"/>
        <w:ind w:left="0" w:firstLine="709"/>
        <w:jc w:val="both"/>
        <w:rPr>
          <w:rFonts w:ascii="Cambria" w:hAnsi="Cambria" w:cs="Arial"/>
          <w:sz w:val="20"/>
          <w:szCs w:val="20"/>
          <w:lang w:val="en-US"/>
        </w:rPr>
      </w:pPr>
      <w:r w:rsidRPr="007D47AD">
        <w:rPr>
          <w:rFonts w:ascii="Cambria" w:hAnsi="Cambria"/>
          <w:sz w:val="20"/>
          <w:szCs w:val="20"/>
          <w:lang w:val="en-US"/>
        </w:rPr>
        <w:t xml:space="preserve">To this is added the concern expressed by the </w:t>
      </w:r>
      <w:r w:rsidR="0021643C" w:rsidRPr="007D47AD">
        <w:rPr>
          <w:rFonts w:ascii="Cambria" w:hAnsi="Cambria"/>
          <w:sz w:val="20"/>
          <w:szCs w:val="20"/>
          <w:lang w:val="en-US"/>
        </w:rPr>
        <w:t xml:space="preserve">CNDH </w:t>
      </w:r>
      <w:r w:rsidRPr="007D47AD">
        <w:rPr>
          <w:rFonts w:ascii="Cambria" w:hAnsi="Cambria"/>
          <w:sz w:val="20"/>
          <w:szCs w:val="20"/>
          <w:lang w:val="en-US"/>
        </w:rPr>
        <w:t>over the detention of children and adolescents in migration facilities. In this respect, th</w:t>
      </w:r>
      <w:r w:rsidR="003C5160" w:rsidRPr="007D47AD">
        <w:rPr>
          <w:rFonts w:ascii="Cambria" w:hAnsi="Cambria"/>
          <w:sz w:val="20"/>
          <w:szCs w:val="20"/>
          <w:lang w:val="en-US"/>
        </w:rPr>
        <w:t xml:space="preserve">e CNDH </w:t>
      </w:r>
      <w:r w:rsidRPr="007D47AD">
        <w:rPr>
          <w:rFonts w:ascii="Cambria" w:hAnsi="Cambria"/>
          <w:sz w:val="20"/>
          <w:szCs w:val="20"/>
          <w:lang w:val="en-US"/>
        </w:rPr>
        <w:t xml:space="preserve">noted that this year will be the year with the largest number of </w:t>
      </w:r>
      <w:r w:rsidR="0021643C" w:rsidRPr="007D47AD">
        <w:rPr>
          <w:rFonts w:ascii="Cambria" w:hAnsi="Cambria"/>
          <w:sz w:val="20"/>
          <w:szCs w:val="20"/>
          <w:lang w:val="en-US"/>
        </w:rPr>
        <w:t>deten</w:t>
      </w:r>
      <w:r w:rsidRPr="007D47AD">
        <w:rPr>
          <w:rFonts w:ascii="Cambria" w:hAnsi="Cambria"/>
          <w:sz w:val="20"/>
          <w:szCs w:val="20"/>
          <w:lang w:val="en-US"/>
        </w:rPr>
        <w:t xml:space="preserve">tions, for in July </w:t>
      </w:r>
      <w:r w:rsidR="00EB6E5C" w:rsidRPr="007D47AD">
        <w:rPr>
          <w:rFonts w:ascii="Cambria" w:hAnsi="Cambria"/>
          <w:sz w:val="20"/>
          <w:szCs w:val="20"/>
          <w:lang w:val="en-US"/>
        </w:rPr>
        <w:t>2019</w:t>
      </w:r>
      <w:r w:rsidRPr="007D47AD">
        <w:rPr>
          <w:rFonts w:ascii="Cambria" w:hAnsi="Cambria"/>
          <w:sz w:val="20"/>
          <w:szCs w:val="20"/>
          <w:lang w:val="en-US"/>
        </w:rPr>
        <w:t xml:space="preserve"> detentions of children reached </w:t>
      </w:r>
      <w:r w:rsidR="0021643C" w:rsidRPr="007D47AD">
        <w:rPr>
          <w:rFonts w:ascii="Cambria" w:hAnsi="Cambria"/>
          <w:sz w:val="20"/>
          <w:szCs w:val="20"/>
          <w:lang w:val="en-US"/>
        </w:rPr>
        <w:t xml:space="preserve">38,581, </w:t>
      </w:r>
      <w:r w:rsidRPr="007D47AD">
        <w:rPr>
          <w:rFonts w:ascii="Cambria" w:hAnsi="Cambria"/>
          <w:sz w:val="20"/>
          <w:szCs w:val="20"/>
          <w:lang w:val="en-US"/>
        </w:rPr>
        <w:t xml:space="preserve">for a </w:t>
      </w:r>
      <w:r w:rsidR="0021643C" w:rsidRPr="007D47AD">
        <w:rPr>
          <w:rFonts w:ascii="Cambria" w:hAnsi="Cambria"/>
          <w:sz w:val="20"/>
          <w:szCs w:val="20"/>
          <w:lang w:val="en-US"/>
        </w:rPr>
        <w:t xml:space="preserve">21% </w:t>
      </w:r>
      <w:r w:rsidRPr="007D47AD">
        <w:rPr>
          <w:rFonts w:ascii="Cambria" w:hAnsi="Cambria"/>
          <w:sz w:val="20"/>
          <w:szCs w:val="20"/>
          <w:lang w:val="en-US"/>
        </w:rPr>
        <w:t xml:space="preserve">increase over the previous year. Of the total of these cases, </w:t>
      </w:r>
      <w:r w:rsidR="0021643C" w:rsidRPr="007D47AD">
        <w:rPr>
          <w:rFonts w:ascii="Cambria" w:hAnsi="Cambria"/>
          <w:sz w:val="20"/>
          <w:szCs w:val="20"/>
          <w:lang w:val="en-US"/>
        </w:rPr>
        <w:t xml:space="preserve">8,744 </w:t>
      </w:r>
      <w:r w:rsidRPr="007D47AD">
        <w:rPr>
          <w:rFonts w:ascii="Cambria" w:hAnsi="Cambria"/>
          <w:sz w:val="20"/>
          <w:szCs w:val="20"/>
          <w:lang w:val="en-US"/>
        </w:rPr>
        <w:t>were unaccompanied persons.</w:t>
      </w:r>
      <w:r w:rsidR="0021643C" w:rsidRPr="007D47AD">
        <w:rPr>
          <w:rStyle w:val="FootnoteReference"/>
          <w:rFonts w:ascii="Cambria" w:hAnsi="Cambria"/>
          <w:sz w:val="20"/>
          <w:szCs w:val="20"/>
          <w:lang w:val="en-US"/>
        </w:rPr>
        <w:footnoteReference w:id="420"/>
      </w:r>
      <w:r w:rsidR="0021643C" w:rsidRPr="007D47AD">
        <w:rPr>
          <w:rFonts w:ascii="Cambria" w:hAnsi="Cambria"/>
          <w:sz w:val="20"/>
          <w:szCs w:val="20"/>
          <w:lang w:val="en-US"/>
        </w:rPr>
        <w:t xml:space="preserve"> </w:t>
      </w:r>
      <w:r w:rsidRPr="007D47AD">
        <w:rPr>
          <w:rFonts w:ascii="Cambria" w:hAnsi="Cambria"/>
          <w:sz w:val="20"/>
          <w:szCs w:val="20"/>
          <w:lang w:val="en-US"/>
        </w:rPr>
        <w:t xml:space="preserve">In that regard, the Commission notes that the violation of migration laws can never be </w:t>
      </w:r>
      <w:r w:rsidR="0021643C" w:rsidRPr="007D47AD">
        <w:rPr>
          <w:rFonts w:ascii="Cambria" w:hAnsi="Cambria" w:cs="Cambria-Italic"/>
          <w:i/>
          <w:iCs/>
          <w:sz w:val="20"/>
          <w:szCs w:val="20"/>
          <w:lang w:val="en-US"/>
        </w:rPr>
        <w:t xml:space="preserve">per se </w:t>
      </w:r>
      <w:r w:rsidRPr="007D47AD">
        <w:rPr>
          <w:rFonts w:ascii="Cambria" w:hAnsi="Cambria" w:cs="Cambria"/>
          <w:sz w:val="20"/>
          <w:szCs w:val="20"/>
          <w:lang w:val="en-US"/>
        </w:rPr>
        <w:t xml:space="preserve">comparable to the violation of criminal laws, such that the first response of </w:t>
      </w:r>
      <w:r w:rsidR="003C5160" w:rsidRPr="007D47AD">
        <w:rPr>
          <w:rFonts w:ascii="Cambria" w:hAnsi="Cambria" w:cs="Cambria"/>
          <w:sz w:val="20"/>
          <w:szCs w:val="20"/>
          <w:lang w:val="en-US"/>
        </w:rPr>
        <w:t>s</w:t>
      </w:r>
      <w:r w:rsidRPr="007D47AD">
        <w:rPr>
          <w:rFonts w:ascii="Cambria" w:hAnsi="Cambria" w:cs="Cambria"/>
          <w:sz w:val="20"/>
          <w:szCs w:val="20"/>
          <w:lang w:val="en-US"/>
        </w:rPr>
        <w:t>tates to irregular migration is detention.</w:t>
      </w:r>
      <w:r w:rsidR="0021643C" w:rsidRPr="007D47AD">
        <w:rPr>
          <w:rStyle w:val="FootnoteReference"/>
          <w:rFonts w:ascii="Cambria" w:hAnsi="Cambria" w:cs="Cambria"/>
          <w:sz w:val="20"/>
          <w:szCs w:val="20"/>
          <w:lang w:val="en-US"/>
        </w:rPr>
        <w:footnoteReference w:id="421"/>
      </w:r>
      <w:r w:rsidR="0021643C" w:rsidRPr="007D47AD">
        <w:rPr>
          <w:rFonts w:ascii="Cambria" w:hAnsi="Cambria" w:cs="Cambria"/>
          <w:sz w:val="20"/>
          <w:szCs w:val="20"/>
          <w:lang w:val="en-US"/>
        </w:rPr>
        <w:t xml:space="preserve"> </w:t>
      </w:r>
      <w:r w:rsidRPr="007D47AD">
        <w:rPr>
          <w:rFonts w:ascii="Cambria" w:hAnsi="Cambria" w:cs="Cambria"/>
          <w:sz w:val="20"/>
          <w:szCs w:val="20"/>
          <w:lang w:val="en-US"/>
        </w:rPr>
        <w:t>In addition, the IACHR underscores that in the case of migrant children and adolescents</w:t>
      </w:r>
      <w:r w:rsidR="0021643C" w:rsidRPr="007D47AD">
        <w:rPr>
          <w:rFonts w:ascii="Cambria" w:hAnsi="Cambria" w:cs="Cambria"/>
          <w:sz w:val="20"/>
          <w:szCs w:val="20"/>
          <w:lang w:val="en-US"/>
        </w:rPr>
        <w:t xml:space="preserve">, </w:t>
      </w:r>
      <w:r w:rsidRPr="007D47AD">
        <w:rPr>
          <w:rFonts w:ascii="Cambria" w:hAnsi="Cambria" w:cs="Cambria"/>
          <w:sz w:val="20"/>
          <w:szCs w:val="20"/>
          <w:lang w:val="en-US"/>
        </w:rPr>
        <w:t>whether accompanied, unaccompanied or separated from their families, as a general rule detention is prohibited.</w:t>
      </w:r>
      <w:r w:rsidR="0021643C" w:rsidRPr="007D47AD">
        <w:rPr>
          <w:rStyle w:val="FootnoteReference"/>
          <w:rFonts w:ascii="Cambria" w:hAnsi="Cambria" w:cs="Cambria"/>
          <w:sz w:val="20"/>
          <w:szCs w:val="20"/>
          <w:lang w:val="en-US"/>
        </w:rPr>
        <w:footnoteReference w:id="422"/>
      </w:r>
      <w:r w:rsidR="0021643C" w:rsidRPr="007D47AD">
        <w:rPr>
          <w:rFonts w:ascii="Cambria" w:hAnsi="Cambria" w:cs="Cambria"/>
          <w:sz w:val="20"/>
          <w:szCs w:val="20"/>
          <w:lang w:val="en-US"/>
        </w:rPr>
        <w:t xml:space="preserve"> </w:t>
      </w:r>
      <w:r w:rsidRPr="007D47AD">
        <w:rPr>
          <w:rFonts w:ascii="Cambria" w:hAnsi="Cambria" w:cs="Cambria"/>
          <w:sz w:val="20"/>
          <w:szCs w:val="20"/>
          <w:lang w:val="en-US"/>
        </w:rPr>
        <w:t xml:space="preserve">In this context the Commission reminds the State that although the Law on Migration has not been reformed, Article 111 of the Regulation of the General Law on the </w:t>
      </w:r>
      <w:r w:rsidR="004E08FB" w:rsidRPr="007D47AD">
        <w:rPr>
          <w:rFonts w:ascii="Cambria" w:hAnsi="Cambria" w:cs="Cambria"/>
          <w:sz w:val="20"/>
          <w:szCs w:val="20"/>
          <w:lang w:val="en-US"/>
        </w:rPr>
        <w:t>Rights</w:t>
      </w:r>
      <w:r w:rsidRPr="007D47AD">
        <w:rPr>
          <w:rFonts w:ascii="Cambria" w:hAnsi="Cambria" w:cs="Cambria"/>
          <w:sz w:val="20"/>
          <w:szCs w:val="20"/>
          <w:lang w:val="en-US"/>
        </w:rPr>
        <w:t xml:space="preserve"> of Children and Adolescents prohibits their detention </w:t>
      </w:r>
      <w:r w:rsidR="0021643C" w:rsidRPr="007D47AD">
        <w:rPr>
          <w:rFonts w:ascii="Cambria" w:hAnsi="Cambria"/>
          <w:sz w:val="20"/>
          <w:szCs w:val="20"/>
          <w:lang w:val="en-US"/>
        </w:rPr>
        <w:t>independ</w:t>
      </w:r>
      <w:r w:rsidRPr="007D47AD">
        <w:rPr>
          <w:rFonts w:ascii="Cambria" w:hAnsi="Cambria"/>
          <w:sz w:val="20"/>
          <w:szCs w:val="20"/>
          <w:lang w:val="en-US"/>
        </w:rPr>
        <w:t>ent of whether they are traveling in the company of an adult person.</w:t>
      </w:r>
      <w:r w:rsidR="0021643C" w:rsidRPr="007D47AD">
        <w:rPr>
          <w:rStyle w:val="FootnoteReference"/>
          <w:rFonts w:ascii="Cambria" w:hAnsi="Cambria"/>
          <w:sz w:val="20"/>
          <w:szCs w:val="20"/>
          <w:lang w:val="en-US"/>
        </w:rPr>
        <w:footnoteReference w:id="423"/>
      </w:r>
    </w:p>
    <w:p w:rsidR="00517C9D" w:rsidRPr="007D47AD" w:rsidRDefault="00517C9D" w:rsidP="00517C9D">
      <w:pPr>
        <w:shd w:val="clear" w:color="auto" w:fill="FFFFFF"/>
        <w:spacing w:after="0" w:line="240" w:lineRule="auto"/>
        <w:ind w:left="709"/>
        <w:jc w:val="both"/>
        <w:rPr>
          <w:rFonts w:ascii="Cambria" w:hAnsi="Cambria" w:cs="Arial"/>
          <w:sz w:val="20"/>
          <w:szCs w:val="20"/>
          <w:lang w:val="en-US"/>
        </w:rPr>
      </w:pPr>
    </w:p>
    <w:p w:rsidR="00980ACC" w:rsidRPr="007D47AD" w:rsidRDefault="00C858B8" w:rsidP="00B310AF">
      <w:pPr>
        <w:numPr>
          <w:ilvl w:val="0"/>
          <w:numId w:val="6"/>
        </w:numPr>
        <w:shd w:val="clear" w:color="auto" w:fill="FFFFFF"/>
        <w:spacing w:after="0" w:line="240" w:lineRule="auto"/>
        <w:ind w:left="0" w:firstLine="709"/>
        <w:jc w:val="both"/>
        <w:rPr>
          <w:rFonts w:ascii="Cambria" w:hAnsi="Cambria" w:cs="Arial"/>
          <w:sz w:val="20"/>
          <w:szCs w:val="20"/>
          <w:lang w:val="en-US"/>
        </w:rPr>
      </w:pPr>
      <w:r w:rsidRPr="007D47AD">
        <w:rPr>
          <w:rFonts w:ascii="Cambria" w:hAnsi="Cambria" w:cs="Cambria"/>
          <w:sz w:val="20"/>
          <w:szCs w:val="20"/>
          <w:lang w:val="en-US"/>
        </w:rPr>
        <w:t>Given the increase in immigration detentions</w:t>
      </w:r>
      <w:r w:rsidR="003C5160" w:rsidRPr="007D47AD">
        <w:rPr>
          <w:rFonts w:ascii="Cambria" w:hAnsi="Cambria" w:cs="Cambria"/>
          <w:sz w:val="20"/>
          <w:szCs w:val="20"/>
          <w:lang w:val="en-US"/>
        </w:rPr>
        <w:t xml:space="preserve">, </w:t>
      </w:r>
      <w:r w:rsidRPr="007D47AD">
        <w:rPr>
          <w:rFonts w:ascii="Cambria" w:hAnsi="Cambria" w:cs="Cambria"/>
          <w:sz w:val="20"/>
          <w:szCs w:val="20"/>
          <w:lang w:val="en-US"/>
        </w:rPr>
        <w:t xml:space="preserve">the IACHR notes the increase in allegations of violations of human rights, mistreatment and torture, overcrowding, </w:t>
      </w:r>
      <w:r w:rsidR="003C5160" w:rsidRPr="007D47AD">
        <w:rPr>
          <w:rFonts w:ascii="Cambria" w:hAnsi="Cambria" w:cs="Cambria"/>
          <w:sz w:val="20"/>
          <w:szCs w:val="20"/>
          <w:lang w:val="en-US"/>
        </w:rPr>
        <w:t xml:space="preserve">and </w:t>
      </w:r>
      <w:r w:rsidRPr="007D47AD">
        <w:rPr>
          <w:rFonts w:ascii="Cambria" w:hAnsi="Cambria" w:cs="Cambria"/>
          <w:sz w:val="20"/>
          <w:szCs w:val="20"/>
          <w:lang w:val="en-US"/>
        </w:rPr>
        <w:t>death</w:t>
      </w:r>
      <w:r w:rsidR="003C5160" w:rsidRPr="007D47AD">
        <w:rPr>
          <w:rFonts w:ascii="Cambria" w:hAnsi="Cambria" w:cs="Cambria"/>
          <w:sz w:val="20"/>
          <w:szCs w:val="20"/>
          <w:lang w:val="en-US"/>
        </w:rPr>
        <w:t>s</w:t>
      </w:r>
      <w:r w:rsidRPr="007D47AD">
        <w:rPr>
          <w:rFonts w:ascii="Cambria" w:hAnsi="Cambria" w:cs="Cambria"/>
          <w:sz w:val="20"/>
          <w:szCs w:val="20"/>
          <w:lang w:val="en-US"/>
        </w:rPr>
        <w:t xml:space="preserve"> of migrants </w:t>
      </w:r>
      <w:r w:rsidR="003C5160" w:rsidRPr="007D47AD">
        <w:rPr>
          <w:rFonts w:ascii="Cambria" w:hAnsi="Cambria" w:cs="Cambria"/>
          <w:sz w:val="20"/>
          <w:szCs w:val="20"/>
          <w:lang w:val="en-US"/>
        </w:rPr>
        <w:t xml:space="preserve">in </w:t>
      </w:r>
      <w:r w:rsidRPr="007D47AD">
        <w:rPr>
          <w:rFonts w:ascii="Cambria" w:hAnsi="Cambria" w:cs="Cambria"/>
          <w:sz w:val="20"/>
          <w:szCs w:val="20"/>
          <w:lang w:val="en-US"/>
        </w:rPr>
        <w:t>the custo</w:t>
      </w:r>
      <w:r w:rsidR="003C5160" w:rsidRPr="007D47AD">
        <w:rPr>
          <w:rFonts w:ascii="Cambria" w:hAnsi="Cambria" w:cs="Cambria"/>
          <w:sz w:val="20"/>
          <w:szCs w:val="20"/>
          <w:lang w:val="en-US"/>
        </w:rPr>
        <w:t>d</w:t>
      </w:r>
      <w:r w:rsidRPr="007D47AD">
        <w:rPr>
          <w:rFonts w:ascii="Cambria" w:hAnsi="Cambria" w:cs="Cambria"/>
          <w:sz w:val="20"/>
          <w:szCs w:val="20"/>
          <w:lang w:val="en-US"/>
        </w:rPr>
        <w:t xml:space="preserve">y of </w:t>
      </w:r>
      <w:r w:rsidRPr="007D47AD">
        <w:rPr>
          <w:rFonts w:ascii="Cambria" w:hAnsi="Cambria" w:cs="Cambria"/>
          <w:sz w:val="20"/>
          <w:szCs w:val="20"/>
          <w:lang w:val="en-US"/>
        </w:rPr>
        <w:lastRenderedPageBreak/>
        <w:t>INM agents</w:t>
      </w:r>
      <w:r w:rsidR="003C5160" w:rsidRPr="007D47AD">
        <w:rPr>
          <w:rFonts w:ascii="Cambria" w:hAnsi="Cambria" w:cs="Cambria"/>
          <w:sz w:val="20"/>
          <w:szCs w:val="20"/>
          <w:lang w:val="en-US"/>
        </w:rPr>
        <w:t xml:space="preserve"> </w:t>
      </w:r>
      <w:r w:rsidRPr="007D47AD">
        <w:rPr>
          <w:rFonts w:ascii="Cambria" w:hAnsi="Cambria" w:cs="Cambria"/>
          <w:sz w:val="20"/>
          <w:szCs w:val="20"/>
          <w:lang w:val="en-US"/>
        </w:rPr>
        <w:t xml:space="preserve">or held </w:t>
      </w:r>
      <w:r w:rsidR="003C5160" w:rsidRPr="007D47AD">
        <w:rPr>
          <w:rFonts w:ascii="Cambria" w:hAnsi="Cambria" w:cs="Cambria"/>
          <w:sz w:val="20"/>
          <w:szCs w:val="20"/>
          <w:lang w:val="en-US"/>
        </w:rPr>
        <w:t xml:space="preserve">at </w:t>
      </w:r>
      <w:r w:rsidRPr="007D47AD">
        <w:rPr>
          <w:rFonts w:ascii="Cambria" w:hAnsi="Cambria" w:cs="Cambria"/>
          <w:sz w:val="20"/>
          <w:szCs w:val="20"/>
          <w:lang w:val="en-US"/>
        </w:rPr>
        <w:t>the migration stations.</w:t>
      </w:r>
      <w:r w:rsidR="0021643C" w:rsidRPr="007D47AD">
        <w:rPr>
          <w:rStyle w:val="FootnoteReference"/>
          <w:rFonts w:ascii="Cambria" w:hAnsi="Cambria" w:cs="Cambria"/>
          <w:sz w:val="20"/>
          <w:szCs w:val="20"/>
          <w:lang w:val="en-US"/>
        </w:rPr>
        <w:footnoteReference w:id="424"/>
      </w:r>
      <w:r w:rsidRPr="007D47AD">
        <w:rPr>
          <w:rFonts w:ascii="Cambria" w:hAnsi="Cambria" w:cs="Cambria"/>
          <w:sz w:val="20"/>
          <w:szCs w:val="20"/>
          <w:lang w:val="en-US"/>
        </w:rPr>
        <w:t xml:space="preserve"> The IACHR notes that the Government of </w:t>
      </w:r>
      <w:r w:rsidR="0021643C" w:rsidRPr="007D47AD">
        <w:rPr>
          <w:rFonts w:ascii="Cambria" w:hAnsi="Cambria" w:cs="Cambria"/>
          <w:sz w:val="20"/>
          <w:szCs w:val="20"/>
          <w:lang w:val="en-US"/>
        </w:rPr>
        <w:t>M</w:t>
      </w:r>
      <w:r w:rsidRPr="007D47AD">
        <w:rPr>
          <w:rFonts w:ascii="Cambria" w:hAnsi="Cambria" w:cs="Cambria"/>
          <w:sz w:val="20"/>
          <w:szCs w:val="20"/>
          <w:lang w:val="en-US"/>
        </w:rPr>
        <w:t>e</w:t>
      </w:r>
      <w:r w:rsidR="0021643C" w:rsidRPr="007D47AD">
        <w:rPr>
          <w:rFonts w:ascii="Cambria" w:hAnsi="Cambria" w:cs="Cambria"/>
          <w:sz w:val="20"/>
          <w:szCs w:val="20"/>
          <w:lang w:val="en-US"/>
        </w:rPr>
        <w:t xml:space="preserve">xico </w:t>
      </w:r>
      <w:r w:rsidRPr="007D47AD">
        <w:rPr>
          <w:rFonts w:ascii="Cambria" w:hAnsi="Cambria" w:cs="Cambria"/>
          <w:sz w:val="20"/>
          <w:szCs w:val="20"/>
          <w:lang w:val="en-US"/>
        </w:rPr>
        <w:t xml:space="preserve">recently acknowledged the </w:t>
      </w:r>
      <w:r w:rsidR="0021643C" w:rsidRPr="007D47AD">
        <w:rPr>
          <w:rFonts w:ascii="Cambria" w:hAnsi="Cambria"/>
          <w:sz w:val="20"/>
          <w:szCs w:val="20"/>
          <w:lang w:val="en-US"/>
        </w:rPr>
        <w:t xml:space="preserve">lamentable </w:t>
      </w:r>
      <w:r w:rsidRPr="007D47AD">
        <w:rPr>
          <w:rFonts w:ascii="Cambria" w:hAnsi="Cambria"/>
          <w:sz w:val="20"/>
          <w:szCs w:val="20"/>
          <w:lang w:val="en-US"/>
        </w:rPr>
        <w:t xml:space="preserve">state of the detention system and </w:t>
      </w:r>
      <w:r w:rsidR="0021643C" w:rsidRPr="007D47AD">
        <w:rPr>
          <w:rFonts w:ascii="Cambria" w:hAnsi="Cambria"/>
          <w:sz w:val="20"/>
          <w:szCs w:val="20"/>
          <w:lang w:val="en-US"/>
        </w:rPr>
        <w:t>prom</w:t>
      </w:r>
      <w:r w:rsidRPr="007D47AD">
        <w:rPr>
          <w:rFonts w:ascii="Cambria" w:hAnsi="Cambria"/>
          <w:sz w:val="20"/>
          <w:szCs w:val="20"/>
          <w:lang w:val="en-US"/>
        </w:rPr>
        <w:t>ised that improvements would be made</w:t>
      </w:r>
      <w:r w:rsidR="0021643C" w:rsidRPr="007D47AD">
        <w:rPr>
          <w:rStyle w:val="FootnoteReference"/>
          <w:rFonts w:ascii="Cambria" w:hAnsi="Cambria"/>
          <w:sz w:val="20"/>
          <w:szCs w:val="20"/>
          <w:lang w:val="en-US"/>
        </w:rPr>
        <w:footnoteReference w:id="425"/>
      </w:r>
      <w:r w:rsidR="0021643C" w:rsidRPr="007D47AD">
        <w:rPr>
          <w:rFonts w:ascii="Cambria" w:hAnsi="Cambria"/>
          <w:sz w:val="20"/>
          <w:szCs w:val="20"/>
          <w:lang w:val="en-US"/>
        </w:rPr>
        <w:t xml:space="preserve">, </w:t>
      </w:r>
      <w:r w:rsidRPr="007D47AD">
        <w:rPr>
          <w:rFonts w:ascii="Cambria" w:hAnsi="Cambria"/>
          <w:sz w:val="20"/>
          <w:szCs w:val="20"/>
          <w:lang w:val="en-US"/>
        </w:rPr>
        <w:t>plus the INM announced the actions that will be taken to guarantee dignified conditions at the migration stations.</w:t>
      </w:r>
      <w:r w:rsidR="0021643C" w:rsidRPr="007D47AD">
        <w:rPr>
          <w:rStyle w:val="FootnoteReference"/>
          <w:rFonts w:ascii="Cambria" w:hAnsi="Cambria" w:cs="Cambria"/>
          <w:sz w:val="20"/>
          <w:szCs w:val="20"/>
          <w:lang w:val="en-US"/>
        </w:rPr>
        <w:footnoteReference w:id="426"/>
      </w:r>
    </w:p>
    <w:p w:rsidR="00980ACC" w:rsidRPr="007D47AD" w:rsidRDefault="00980ACC" w:rsidP="00B310AF">
      <w:pPr>
        <w:shd w:val="clear" w:color="auto" w:fill="FFFFFF"/>
        <w:spacing w:after="0" w:line="240" w:lineRule="auto"/>
        <w:ind w:left="709"/>
        <w:jc w:val="both"/>
        <w:rPr>
          <w:rFonts w:ascii="Cambria" w:hAnsi="Cambria" w:cs="Arial"/>
          <w:sz w:val="20"/>
          <w:szCs w:val="20"/>
          <w:lang w:val="en-US"/>
        </w:rPr>
      </w:pPr>
    </w:p>
    <w:p w:rsidR="00980ACC" w:rsidRPr="007D47AD" w:rsidRDefault="00C858B8" w:rsidP="00B310AF">
      <w:pPr>
        <w:numPr>
          <w:ilvl w:val="0"/>
          <w:numId w:val="6"/>
        </w:numPr>
        <w:shd w:val="clear" w:color="auto" w:fill="FFFFFF"/>
        <w:spacing w:after="0" w:line="240" w:lineRule="auto"/>
        <w:ind w:left="0" w:firstLine="709"/>
        <w:jc w:val="both"/>
        <w:rPr>
          <w:rStyle w:val="Strong"/>
          <w:rFonts w:ascii="Cambria" w:hAnsi="Cambria" w:cs="Arial"/>
          <w:b w:val="0"/>
          <w:bCs w:val="0"/>
          <w:sz w:val="20"/>
          <w:szCs w:val="20"/>
          <w:lang w:val="en-US"/>
        </w:rPr>
      </w:pPr>
      <w:r w:rsidRPr="007D47AD">
        <w:rPr>
          <w:rFonts w:ascii="Cambria" w:hAnsi="Cambria" w:cs="Cambria"/>
          <w:sz w:val="20"/>
          <w:szCs w:val="20"/>
          <w:lang w:val="en-US"/>
        </w:rPr>
        <w:t xml:space="preserve">In this </w:t>
      </w:r>
      <w:r w:rsidR="0021643C" w:rsidRPr="007D47AD">
        <w:rPr>
          <w:rFonts w:ascii="Cambria" w:hAnsi="Cambria" w:cs="Cambria"/>
          <w:sz w:val="20"/>
          <w:szCs w:val="20"/>
          <w:lang w:val="en-US"/>
        </w:rPr>
        <w:t xml:space="preserve">respect, </w:t>
      </w:r>
      <w:r w:rsidRPr="007D47AD">
        <w:rPr>
          <w:rFonts w:ascii="Cambria" w:hAnsi="Cambria" w:cs="Cambria"/>
          <w:sz w:val="20"/>
          <w:szCs w:val="20"/>
          <w:lang w:val="en-US"/>
        </w:rPr>
        <w:t>the IACHR notes the work that civil society organizations</w:t>
      </w:r>
      <w:r w:rsidR="0021643C" w:rsidRPr="007D47AD">
        <w:rPr>
          <w:rStyle w:val="FootnoteReference"/>
          <w:rFonts w:ascii="Cambria" w:hAnsi="Cambria" w:cs="Cambria"/>
          <w:sz w:val="20"/>
          <w:szCs w:val="20"/>
          <w:lang w:val="en-US"/>
        </w:rPr>
        <w:footnoteReference w:id="427"/>
      </w:r>
      <w:r w:rsidR="0021643C" w:rsidRPr="007D47AD">
        <w:rPr>
          <w:rFonts w:ascii="Cambria" w:hAnsi="Cambria" w:cs="Cambria"/>
          <w:sz w:val="20"/>
          <w:szCs w:val="20"/>
          <w:lang w:val="en-US"/>
        </w:rPr>
        <w:t xml:space="preserve"> </w:t>
      </w:r>
      <w:r w:rsidRPr="007D47AD">
        <w:rPr>
          <w:rFonts w:ascii="Cambria" w:hAnsi="Cambria" w:cs="Cambria"/>
          <w:sz w:val="20"/>
          <w:szCs w:val="20"/>
          <w:lang w:val="en-US"/>
        </w:rPr>
        <w:t xml:space="preserve">and the </w:t>
      </w:r>
      <w:r w:rsidR="0021643C" w:rsidRPr="007D47AD">
        <w:rPr>
          <w:rFonts w:ascii="Cambria" w:hAnsi="Cambria" w:cs="Cambria"/>
          <w:sz w:val="20"/>
          <w:szCs w:val="20"/>
          <w:lang w:val="en-US"/>
        </w:rPr>
        <w:t xml:space="preserve">CNDH </w:t>
      </w:r>
      <w:r w:rsidRPr="007D47AD">
        <w:rPr>
          <w:rFonts w:ascii="Cambria" w:hAnsi="Cambria" w:cs="Cambria"/>
          <w:sz w:val="20"/>
          <w:szCs w:val="20"/>
          <w:lang w:val="en-US"/>
        </w:rPr>
        <w:t>have done to monitor the reports of human rights violations at migration stations, mainly overcrowding, inadequate infrastructure</w:t>
      </w:r>
      <w:r w:rsidR="0021643C" w:rsidRPr="007D47AD">
        <w:rPr>
          <w:rStyle w:val="FootnoteReference"/>
          <w:rFonts w:ascii="Cambria" w:hAnsi="Cambria" w:cs="Cambria"/>
          <w:sz w:val="20"/>
          <w:szCs w:val="20"/>
          <w:lang w:val="en-US"/>
        </w:rPr>
        <w:footnoteReference w:id="428"/>
      </w:r>
      <w:r w:rsidR="0021643C" w:rsidRPr="007D47AD">
        <w:rPr>
          <w:rFonts w:ascii="Cambria" w:hAnsi="Cambria" w:cs="Cambria"/>
          <w:sz w:val="20"/>
          <w:szCs w:val="20"/>
          <w:lang w:val="en-US"/>
        </w:rPr>
        <w:t xml:space="preserve">, </w:t>
      </w:r>
      <w:r w:rsidRPr="007D47AD">
        <w:rPr>
          <w:rFonts w:ascii="Cambria" w:hAnsi="Cambria" w:cs="Cambria"/>
          <w:sz w:val="20"/>
          <w:szCs w:val="20"/>
          <w:lang w:val="en-US"/>
        </w:rPr>
        <w:t>and the deaths of migrants. These include the deaths of</w:t>
      </w:r>
      <w:r w:rsidR="0021643C" w:rsidRPr="007D47AD">
        <w:rPr>
          <w:rFonts w:ascii="Cambria" w:hAnsi="Cambria" w:cs="Cambria"/>
          <w:sz w:val="20"/>
          <w:szCs w:val="20"/>
          <w:lang w:val="en-US"/>
        </w:rPr>
        <w:t xml:space="preserve">: </w:t>
      </w:r>
      <w:r w:rsidRPr="007D47AD">
        <w:rPr>
          <w:rFonts w:ascii="Cambria" w:hAnsi="Cambria" w:cs="Cambria"/>
          <w:sz w:val="20"/>
          <w:szCs w:val="20"/>
          <w:lang w:val="en-US"/>
        </w:rPr>
        <w:t>(</w:t>
      </w:r>
      <w:r w:rsidR="0021643C" w:rsidRPr="007D47AD">
        <w:rPr>
          <w:rFonts w:ascii="Cambria" w:hAnsi="Cambria" w:cs="Cambria"/>
          <w:sz w:val="20"/>
          <w:szCs w:val="20"/>
          <w:lang w:val="en-US"/>
        </w:rPr>
        <w:t>i) t</w:t>
      </w:r>
      <w:r w:rsidRPr="007D47AD">
        <w:rPr>
          <w:rFonts w:ascii="Cambria" w:hAnsi="Cambria" w:cs="Cambria"/>
          <w:sz w:val="20"/>
          <w:szCs w:val="20"/>
          <w:lang w:val="en-US"/>
        </w:rPr>
        <w:t>h</w:t>
      </w:r>
      <w:r w:rsidR="0021643C" w:rsidRPr="007D47AD">
        <w:rPr>
          <w:rFonts w:ascii="Cambria" w:hAnsi="Cambria" w:cs="Cambria"/>
          <w:sz w:val="20"/>
          <w:szCs w:val="20"/>
          <w:lang w:val="en-US"/>
        </w:rPr>
        <w:t>re</w:t>
      </w:r>
      <w:r w:rsidRPr="007D47AD">
        <w:rPr>
          <w:rFonts w:ascii="Cambria" w:hAnsi="Cambria" w:cs="Cambria"/>
          <w:sz w:val="20"/>
          <w:szCs w:val="20"/>
          <w:lang w:val="en-US"/>
        </w:rPr>
        <w:t>e</w:t>
      </w:r>
      <w:r w:rsidR="0021643C" w:rsidRPr="007D47AD">
        <w:rPr>
          <w:rFonts w:ascii="Cambria" w:hAnsi="Cambria" w:cs="Cambria"/>
          <w:sz w:val="20"/>
          <w:szCs w:val="20"/>
          <w:lang w:val="en-US"/>
        </w:rPr>
        <w:t xml:space="preserve"> persons, </w:t>
      </w:r>
      <w:r w:rsidRPr="007D47AD">
        <w:rPr>
          <w:rFonts w:ascii="Cambria" w:hAnsi="Cambria" w:cs="Cambria"/>
          <w:sz w:val="20"/>
          <w:szCs w:val="20"/>
          <w:lang w:val="en-US"/>
        </w:rPr>
        <w:t>one of Guatemalan origin, who were under the care of the migration officers</w:t>
      </w:r>
      <w:r w:rsidR="0021643C" w:rsidRPr="007D47AD">
        <w:rPr>
          <w:rStyle w:val="FootnoteReference"/>
          <w:rFonts w:ascii="Cambria" w:hAnsi="Cambria" w:cs="Cambria"/>
          <w:sz w:val="20"/>
          <w:szCs w:val="20"/>
          <w:lang w:val="en-US"/>
        </w:rPr>
        <w:footnoteReference w:id="429"/>
      </w:r>
      <w:r w:rsidR="0021643C" w:rsidRPr="007D47AD">
        <w:rPr>
          <w:rFonts w:ascii="Cambria" w:hAnsi="Cambria" w:cs="Cambria"/>
          <w:sz w:val="20"/>
          <w:szCs w:val="20"/>
          <w:lang w:val="en-US"/>
        </w:rPr>
        <w:t xml:space="preserve">; </w:t>
      </w:r>
      <w:r w:rsidRPr="007D47AD">
        <w:rPr>
          <w:rFonts w:ascii="Cambria" w:hAnsi="Cambria" w:cs="Cambria"/>
          <w:sz w:val="20"/>
          <w:szCs w:val="20"/>
          <w:lang w:val="en-US"/>
        </w:rPr>
        <w:t>(</w:t>
      </w:r>
      <w:r w:rsidR="0021643C" w:rsidRPr="007D47AD">
        <w:rPr>
          <w:rFonts w:ascii="Cambria" w:hAnsi="Cambria" w:cs="Cambria"/>
          <w:sz w:val="20"/>
          <w:szCs w:val="20"/>
          <w:lang w:val="en-US"/>
        </w:rPr>
        <w:t xml:space="preserve">ii) </w:t>
      </w:r>
      <w:r w:rsidRPr="007D47AD">
        <w:rPr>
          <w:rFonts w:ascii="Cambria" w:hAnsi="Cambria" w:cs="Cambria"/>
          <w:sz w:val="20"/>
          <w:szCs w:val="20"/>
          <w:lang w:val="en-US"/>
        </w:rPr>
        <w:t>a girl of Guatemalan origin who did not receive timely medical  care after suffering a fall in a migration station</w:t>
      </w:r>
      <w:r w:rsidR="0021643C" w:rsidRPr="007D47AD">
        <w:rPr>
          <w:rStyle w:val="FootnoteReference"/>
          <w:rFonts w:ascii="Cambria" w:hAnsi="Cambria" w:cs="Cambria"/>
          <w:sz w:val="20"/>
          <w:szCs w:val="20"/>
          <w:lang w:val="en-US"/>
        </w:rPr>
        <w:footnoteReference w:id="430"/>
      </w:r>
      <w:r w:rsidRPr="007D47AD">
        <w:rPr>
          <w:rFonts w:ascii="Cambria" w:hAnsi="Cambria" w:cs="Cambria"/>
          <w:sz w:val="20"/>
          <w:szCs w:val="20"/>
          <w:lang w:val="en-US"/>
        </w:rPr>
        <w:t>;</w:t>
      </w:r>
      <w:r w:rsidR="0021643C" w:rsidRPr="007D47AD">
        <w:rPr>
          <w:rFonts w:ascii="Cambria" w:hAnsi="Cambria" w:cs="Cambria"/>
          <w:sz w:val="20"/>
          <w:szCs w:val="20"/>
          <w:lang w:val="en-US"/>
        </w:rPr>
        <w:t xml:space="preserve"> </w:t>
      </w:r>
      <w:r w:rsidRPr="007D47AD">
        <w:rPr>
          <w:rFonts w:ascii="Cambria" w:hAnsi="Cambria" w:cs="Cambria"/>
          <w:sz w:val="20"/>
          <w:szCs w:val="20"/>
          <w:lang w:val="en-US"/>
        </w:rPr>
        <w:t>and (</w:t>
      </w:r>
      <w:r w:rsidR="0021643C" w:rsidRPr="007D47AD">
        <w:rPr>
          <w:rFonts w:ascii="Cambria" w:hAnsi="Cambria" w:cs="Cambria"/>
          <w:sz w:val="20"/>
          <w:szCs w:val="20"/>
          <w:lang w:val="en-US"/>
        </w:rPr>
        <w:t xml:space="preserve">iii) </w:t>
      </w:r>
      <w:r w:rsidRPr="007D47AD">
        <w:rPr>
          <w:rFonts w:ascii="Cambria" w:hAnsi="Cambria" w:cs="Cambria"/>
          <w:sz w:val="20"/>
          <w:szCs w:val="20"/>
          <w:lang w:val="en-US"/>
        </w:rPr>
        <w:t xml:space="preserve">a migrant of Salvadoran origin who had been at a migration detention center for seven days in the state of </w:t>
      </w:r>
      <w:r w:rsidR="0021643C" w:rsidRPr="007D47AD">
        <w:rPr>
          <w:rFonts w:ascii="Cambria" w:hAnsi="Cambria" w:cs="Cambria"/>
          <w:sz w:val="20"/>
          <w:szCs w:val="20"/>
          <w:lang w:val="en-US"/>
        </w:rPr>
        <w:t xml:space="preserve">Nuevo León, </w:t>
      </w:r>
      <w:r w:rsidRPr="007D47AD">
        <w:rPr>
          <w:rFonts w:ascii="Cambria" w:hAnsi="Cambria" w:cs="Cambria"/>
          <w:sz w:val="20"/>
          <w:szCs w:val="20"/>
          <w:lang w:val="en-US"/>
        </w:rPr>
        <w:t>who is identified as a victim in one investigative file.</w:t>
      </w:r>
      <w:r w:rsidR="0021643C" w:rsidRPr="007D47AD">
        <w:rPr>
          <w:rStyle w:val="FootnoteReference"/>
          <w:rFonts w:ascii="Cambria" w:hAnsi="Cambria" w:cs="Cambria"/>
          <w:sz w:val="20"/>
          <w:szCs w:val="20"/>
          <w:lang w:val="en-US"/>
        </w:rPr>
        <w:footnoteReference w:id="431"/>
      </w:r>
      <w:r w:rsidR="0021643C" w:rsidRPr="007D47AD">
        <w:rPr>
          <w:rFonts w:ascii="Cambria" w:hAnsi="Cambria" w:cs="Cambria"/>
          <w:sz w:val="20"/>
          <w:szCs w:val="20"/>
          <w:lang w:val="en-US"/>
        </w:rPr>
        <w:t xml:space="preserve"> </w:t>
      </w:r>
      <w:r w:rsidRPr="007D47AD">
        <w:rPr>
          <w:rFonts w:ascii="Cambria" w:hAnsi="Cambria" w:cs="Cambria"/>
          <w:sz w:val="20"/>
          <w:szCs w:val="20"/>
          <w:lang w:val="en-US"/>
        </w:rPr>
        <w:t xml:space="preserve">In addition, the IACHR observes that on August </w:t>
      </w:r>
      <w:r w:rsidR="0021643C" w:rsidRPr="007D47AD">
        <w:rPr>
          <w:rFonts w:ascii="Cambria" w:hAnsi="Cambria" w:cs="Cambria"/>
          <w:sz w:val="20"/>
          <w:szCs w:val="20"/>
          <w:lang w:val="en-US"/>
        </w:rPr>
        <w:t>8</w:t>
      </w:r>
      <w:r w:rsidRPr="007D47AD">
        <w:rPr>
          <w:rFonts w:ascii="Cambria" w:hAnsi="Cambria" w:cs="Cambria"/>
          <w:sz w:val="20"/>
          <w:szCs w:val="20"/>
          <w:lang w:val="en-US"/>
        </w:rPr>
        <w:t>,</w:t>
      </w:r>
      <w:r w:rsidR="0021643C" w:rsidRPr="007D47AD">
        <w:rPr>
          <w:rFonts w:ascii="Cambria" w:hAnsi="Cambria" w:cs="Cambria"/>
          <w:sz w:val="20"/>
          <w:szCs w:val="20"/>
          <w:lang w:val="en-US"/>
        </w:rPr>
        <w:t xml:space="preserve"> 2019 </w:t>
      </w:r>
      <w:r w:rsidRPr="007D47AD">
        <w:rPr>
          <w:rFonts w:ascii="Cambria" w:hAnsi="Cambria" w:cs="Cambria"/>
          <w:sz w:val="20"/>
          <w:szCs w:val="20"/>
          <w:lang w:val="en-US"/>
        </w:rPr>
        <w:t xml:space="preserve">the </w:t>
      </w:r>
      <w:r w:rsidR="0021643C" w:rsidRPr="007D47AD">
        <w:rPr>
          <w:rFonts w:ascii="Cambria" w:hAnsi="Cambria" w:cs="Cambria"/>
          <w:sz w:val="20"/>
          <w:szCs w:val="20"/>
          <w:lang w:val="en-US"/>
        </w:rPr>
        <w:t>Centro de Derechos Humanos Fray Matías de Córdova report</w:t>
      </w:r>
      <w:r w:rsidRPr="007D47AD">
        <w:rPr>
          <w:rFonts w:ascii="Cambria" w:hAnsi="Cambria" w:cs="Cambria"/>
          <w:sz w:val="20"/>
          <w:szCs w:val="20"/>
          <w:lang w:val="en-US"/>
        </w:rPr>
        <w:t xml:space="preserve">ed the death of a man of Haitian nationality said to have died on August 6, </w:t>
      </w:r>
      <w:r w:rsidR="0021643C" w:rsidRPr="007D47AD">
        <w:rPr>
          <w:rStyle w:val="Strong"/>
          <w:rFonts w:ascii="Cambria" w:hAnsi="Cambria"/>
          <w:b w:val="0"/>
          <w:sz w:val="20"/>
          <w:szCs w:val="20"/>
          <w:lang w:val="en-US"/>
        </w:rPr>
        <w:t xml:space="preserve">2019 </w:t>
      </w:r>
      <w:r w:rsidRPr="007D47AD">
        <w:rPr>
          <w:rStyle w:val="Strong"/>
          <w:rFonts w:ascii="Cambria" w:hAnsi="Cambria"/>
          <w:b w:val="0"/>
          <w:sz w:val="20"/>
          <w:szCs w:val="20"/>
          <w:lang w:val="en-US"/>
        </w:rPr>
        <w:t xml:space="preserve">in solitary confinement in the </w:t>
      </w:r>
      <w:r w:rsidR="0021643C" w:rsidRPr="007D47AD">
        <w:rPr>
          <w:rStyle w:val="Strong"/>
          <w:rFonts w:ascii="Cambria" w:hAnsi="Cambria"/>
          <w:b w:val="0"/>
          <w:sz w:val="20"/>
          <w:szCs w:val="20"/>
          <w:lang w:val="en-US"/>
        </w:rPr>
        <w:t xml:space="preserve">Siglo XXI </w:t>
      </w:r>
      <w:r w:rsidRPr="007D47AD">
        <w:rPr>
          <w:rStyle w:val="Strong"/>
          <w:rFonts w:ascii="Cambria" w:hAnsi="Cambria"/>
          <w:b w:val="0"/>
          <w:sz w:val="20"/>
          <w:szCs w:val="20"/>
          <w:lang w:val="en-US"/>
        </w:rPr>
        <w:t xml:space="preserve">Migration Station in </w:t>
      </w:r>
      <w:r w:rsidR="0021643C" w:rsidRPr="007D47AD">
        <w:rPr>
          <w:rStyle w:val="Strong"/>
          <w:rFonts w:ascii="Cambria" w:hAnsi="Cambria"/>
          <w:b w:val="0"/>
          <w:sz w:val="20"/>
          <w:szCs w:val="20"/>
          <w:lang w:val="en-US"/>
        </w:rPr>
        <w:t xml:space="preserve">Tapachula, Chiapas, </w:t>
      </w:r>
      <w:r w:rsidRPr="007D47AD">
        <w:rPr>
          <w:rStyle w:val="Strong"/>
          <w:rFonts w:ascii="Cambria" w:hAnsi="Cambria"/>
          <w:b w:val="0"/>
          <w:sz w:val="20"/>
          <w:szCs w:val="20"/>
          <w:lang w:val="en-US"/>
        </w:rPr>
        <w:t>after complaining and seeking medical care for hours.</w:t>
      </w:r>
      <w:r w:rsidR="0021643C" w:rsidRPr="007D47AD">
        <w:rPr>
          <w:rStyle w:val="FootnoteReference"/>
          <w:rFonts w:ascii="Cambria" w:hAnsi="Cambria"/>
          <w:bCs/>
          <w:sz w:val="20"/>
          <w:szCs w:val="20"/>
          <w:lang w:val="en-US"/>
        </w:rPr>
        <w:footnoteReference w:id="432"/>
      </w:r>
    </w:p>
    <w:p w:rsidR="00980ACC" w:rsidRPr="007D47AD" w:rsidRDefault="00980ACC" w:rsidP="00B310AF">
      <w:pPr>
        <w:shd w:val="clear" w:color="auto" w:fill="FFFFFF"/>
        <w:spacing w:after="0" w:line="240" w:lineRule="auto"/>
        <w:ind w:left="709"/>
        <w:jc w:val="both"/>
        <w:rPr>
          <w:rStyle w:val="Strong"/>
          <w:rFonts w:ascii="Cambria" w:hAnsi="Cambria" w:cs="Arial"/>
          <w:b w:val="0"/>
          <w:bCs w:val="0"/>
          <w:sz w:val="20"/>
          <w:szCs w:val="20"/>
          <w:lang w:val="en-US"/>
        </w:rPr>
      </w:pPr>
    </w:p>
    <w:p w:rsidR="00980ACC" w:rsidRPr="007D47AD" w:rsidRDefault="00C858B8" w:rsidP="007F05D3">
      <w:pPr>
        <w:numPr>
          <w:ilvl w:val="0"/>
          <w:numId w:val="6"/>
        </w:numPr>
        <w:shd w:val="clear" w:color="auto" w:fill="FFFFFF"/>
        <w:spacing w:after="0" w:line="240" w:lineRule="auto"/>
        <w:ind w:left="0" w:firstLine="709"/>
        <w:jc w:val="both"/>
        <w:rPr>
          <w:rFonts w:ascii="Cambria" w:hAnsi="Cambria" w:cs="Montserrat-Medium"/>
          <w:sz w:val="20"/>
          <w:szCs w:val="20"/>
          <w:lang w:val="en-US"/>
        </w:rPr>
      </w:pPr>
      <w:r w:rsidRPr="007D47AD">
        <w:rPr>
          <w:rFonts w:ascii="Cambria" w:hAnsi="Cambria" w:cs="Calibri"/>
          <w:bCs/>
          <w:sz w:val="20"/>
          <w:szCs w:val="20"/>
          <w:lang w:val="en-US"/>
        </w:rPr>
        <w:t xml:space="preserve">In addition, the IACHR learned that a </w:t>
      </w:r>
      <w:r w:rsidR="00D1164A" w:rsidRPr="007D47AD">
        <w:rPr>
          <w:rFonts w:ascii="Cambria" w:hAnsi="Cambria" w:cs="Calibri"/>
          <w:bCs/>
          <w:sz w:val="20"/>
          <w:szCs w:val="20"/>
          <w:lang w:val="en-US"/>
        </w:rPr>
        <w:t>m</w:t>
      </w:r>
      <w:r w:rsidRPr="007D47AD">
        <w:rPr>
          <w:rFonts w:ascii="Cambria" w:hAnsi="Cambria" w:cs="Calibri"/>
          <w:bCs/>
          <w:sz w:val="20"/>
          <w:szCs w:val="20"/>
          <w:lang w:val="en-US"/>
        </w:rPr>
        <w:t xml:space="preserve">igration </w:t>
      </w:r>
      <w:r w:rsidR="00D1164A" w:rsidRPr="007D47AD">
        <w:rPr>
          <w:rFonts w:ascii="Cambria" w:hAnsi="Cambria" w:cs="Calibri"/>
          <w:bCs/>
          <w:sz w:val="20"/>
          <w:szCs w:val="20"/>
          <w:lang w:val="en-US"/>
        </w:rPr>
        <w:t>a</w:t>
      </w:r>
      <w:r w:rsidRPr="007D47AD">
        <w:rPr>
          <w:rFonts w:ascii="Cambria" w:hAnsi="Cambria" w:cs="Calibri"/>
          <w:bCs/>
          <w:sz w:val="20"/>
          <w:szCs w:val="20"/>
          <w:lang w:val="en-US"/>
        </w:rPr>
        <w:t xml:space="preserve">greement was signed by the governments of the United States of America and </w:t>
      </w:r>
      <w:r w:rsidR="0021643C" w:rsidRPr="007D47AD">
        <w:rPr>
          <w:rFonts w:ascii="Cambria" w:hAnsi="Cambria" w:cs="Calibri"/>
          <w:sz w:val="20"/>
          <w:szCs w:val="20"/>
          <w:lang w:val="en-US"/>
        </w:rPr>
        <w:t>M</w:t>
      </w:r>
      <w:r w:rsidRPr="007D47AD">
        <w:rPr>
          <w:rFonts w:ascii="Cambria" w:hAnsi="Cambria" w:cs="Calibri"/>
          <w:sz w:val="20"/>
          <w:szCs w:val="20"/>
          <w:lang w:val="en-US"/>
        </w:rPr>
        <w:t>e</w:t>
      </w:r>
      <w:r w:rsidR="0021643C" w:rsidRPr="007D47AD">
        <w:rPr>
          <w:rFonts w:ascii="Cambria" w:hAnsi="Cambria" w:cs="Calibri"/>
          <w:sz w:val="20"/>
          <w:szCs w:val="20"/>
          <w:lang w:val="en-US"/>
        </w:rPr>
        <w:t>xico</w:t>
      </w:r>
      <w:r w:rsidRPr="007D47AD">
        <w:rPr>
          <w:rFonts w:ascii="Cambria" w:hAnsi="Cambria" w:cs="Calibri"/>
          <w:sz w:val="20"/>
          <w:szCs w:val="20"/>
          <w:lang w:val="en-US"/>
        </w:rPr>
        <w:t xml:space="preserve"> that imposes a policy that could affect persons flee</w:t>
      </w:r>
      <w:r w:rsidR="00D1164A" w:rsidRPr="007D47AD">
        <w:rPr>
          <w:rFonts w:ascii="Cambria" w:hAnsi="Cambria" w:cs="Calibri"/>
          <w:sz w:val="20"/>
          <w:szCs w:val="20"/>
          <w:lang w:val="en-US"/>
        </w:rPr>
        <w:t xml:space="preserve">ing from </w:t>
      </w:r>
      <w:r w:rsidRPr="007D47AD">
        <w:rPr>
          <w:rFonts w:ascii="Cambria" w:hAnsi="Cambria" w:cs="Calibri"/>
          <w:sz w:val="20"/>
          <w:szCs w:val="20"/>
          <w:lang w:val="en-US"/>
        </w:rPr>
        <w:t xml:space="preserve">violence and persecution </w:t>
      </w:r>
      <w:r w:rsidRPr="007D47AD">
        <w:rPr>
          <w:rFonts w:ascii="Cambria" w:hAnsi="Cambria" w:cs="Arial"/>
          <w:sz w:val="20"/>
          <w:szCs w:val="20"/>
          <w:lang w:val="en-US"/>
        </w:rPr>
        <w:t xml:space="preserve">and who have the right to international protection and </w:t>
      </w:r>
      <w:r w:rsidR="00D1164A" w:rsidRPr="007D47AD">
        <w:rPr>
          <w:rFonts w:ascii="Cambria" w:hAnsi="Cambria" w:cs="Arial"/>
          <w:sz w:val="20"/>
          <w:szCs w:val="20"/>
          <w:lang w:val="en-US"/>
        </w:rPr>
        <w:t xml:space="preserve">to </w:t>
      </w:r>
      <w:r w:rsidRPr="007D47AD">
        <w:rPr>
          <w:rFonts w:ascii="Cambria" w:hAnsi="Cambria" w:cs="Arial"/>
          <w:sz w:val="20"/>
          <w:szCs w:val="20"/>
          <w:lang w:val="en-US"/>
        </w:rPr>
        <w:t>seek asylum in the United States.</w:t>
      </w:r>
      <w:r w:rsidR="0021643C" w:rsidRPr="007D47AD">
        <w:rPr>
          <w:rStyle w:val="FootnoteReference"/>
          <w:rFonts w:ascii="Cambria" w:hAnsi="Cambria" w:cs="Calibri"/>
          <w:sz w:val="20"/>
          <w:szCs w:val="20"/>
          <w:lang w:val="en-US"/>
        </w:rPr>
        <w:footnoteReference w:id="433"/>
      </w:r>
      <w:r w:rsidR="007F05D3" w:rsidRPr="007D47AD">
        <w:rPr>
          <w:rFonts w:ascii="Cambria" w:hAnsi="Cambria" w:cs="Arial"/>
          <w:sz w:val="20"/>
          <w:szCs w:val="20"/>
          <w:lang w:val="en-US"/>
        </w:rPr>
        <w:t xml:space="preserve"> </w:t>
      </w:r>
    </w:p>
    <w:p w:rsidR="00980ACC" w:rsidRPr="007D47AD" w:rsidRDefault="00980ACC" w:rsidP="00980ACC">
      <w:pPr>
        <w:shd w:val="clear" w:color="auto" w:fill="FFFFFF"/>
        <w:spacing w:after="0" w:line="240" w:lineRule="auto"/>
        <w:jc w:val="both"/>
        <w:rPr>
          <w:rFonts w:ascii="Cambria" w:hAnsi="Cambria" w:cs="Calibri"/>
          <w:sz w:val="20"/>
          <w:szCs w:val="20"/>
          <w:lang w:val="en-US"/>
        </w:rPr>
      </w:pPr>
    </w:p>
    <w:p w:rsidR="00517C9D" w:rsidRPr="007D47AD" w:rsidRDefault="00C858B8" w:rsidP="00B310AF">
      <w:pPr>
        <w:numPr>
          <w:ilvl w:val="0"/>
          <w:numId w:val="6"/>
        </w:numPr>
        <w:shd w:val="clear" w:color="auto" w:fill="FFFFFF"/>
        <w:spacing w:after="0" w:line="240" w:lineRule="auto"/>
        <w:ind w:left="0" w:firstLine="709"/>
        <w:jc w:val="both"/>
        <w:rPr>
          <w:rFonts w:ascii="Cambria" w:hAnsi="Cambria" w:cs="Arial"/>
          <w:sz w:val="20"/>
          <w:szCs w:val="20"/>
          <w:lang w:val="en-US"/>
        </w:rPr>
      </w:pPr>
      <w:r w:rsidRPr="007D47AD">
        <w:rPr>
          <w:rFonts w:ascii="Cambria" w:hAnsi="Cambria" w:cs="Calibri"/>
          <w:sz w:val="20"/>
          <w:szCs w:val="20"/>
          <w:lang w:val="en-US"/>
        </w:rPr>
        <w:t>According to information provided by civil society organizations to the IACHR, as a result of the signing of that agreement Mexico undertook to register and control entries at the border, as well as to deploy the National Guard</w:t>
      </w:r>
      <w:r w:rsidR="00D1164A" w:rsidRPr="007D47AD">
        <w:rPr>
          <w:rFonts w:ascii="Cambria" w:hAnsi="Cambria" w:cs="Calibri"/>
          <w:sz w:val="20"/>
          <w:szCs w:val="20"/>
          <w:lang w:val="en-US"/>
        </w:rPr>
        <w:t>,</w:t>
      </w:r>
      <w:r w:rsidRPr="007D47AD">
        <w:rPr>
          <w:rFonts w:ascii="Cambria" w:hAnsi="Cambria" w:cs="Calibri"/>
          <w:sz w:val="20"/>
          <w:szCs w:val="20"/>
          <w:lang w:val="en-US"/>
        </w:rPr>
        <w:t xml:space="preserve"> especially at the southern border. That is why 6,000 National Guard forces were deployed to the southern border, giving priority to </w:t>
      </w:r>
      <w:r w:rsidR="0021643C" w:rsidRPr="007D47AD">
        <w:rPr>
          <w:rFonts w:ascii="Cambria" w:hAnsi="Cambria" w:cs="Calibri"/>
          <w:sz w:val="20"/>
          <w:szCs w:val="20"/>
          <w:lang w:val="en-US"/>
        </w:rPr>
        <w:t xml:space="preserve">11 </w:t>
      </w:r>
      <w:r w:rsidRPr="007D47AD">
        <w:rPr>
          <w:rFonts w:ascii="Cambria" w:hAnsi="Cambria" w:cs="Calibri"/>
          <w:sz w:val="20"/>
          <w:szCs w:val="20"/>
          <w:lang w:val="en-US"/>
        </w:rPr>
        <w:t xml:space="preserve">of the </w:t>
      </w:r>
      <w:r w:rsidR="0021643C" w:rsidRPr="007D47AD">
        <w:rPr>
          <w:rFonts w:ascii="Cambria" w:hAnsi="Cambria" w:cs="Calibri"/>
          <w:sz w:val="20"/>
          <w:szCs w:val="20"/>
          <w:lang w:val="en-US"/>
        </w:rPr>
        <w:t>23 municip</w:t>
      </w:r>
      <w:r w:rsidRPr="007D47AD">
        <w:rPr>
          <w:rFonts w:ascii="Cambria" w:hAnsi="Cambria" w:cs="Calibri"/>
          <w:sz w:val="20"/>
          <w:szCs w:val="20"/>
          <w:lang w:val="en-US"/>
        </w:rPr>
        <w:t>alities</w:t>
      </w:r>
      <w:r w:rsidR="0021643C" w:rsidRPr="007D47AD">
        <w:rPr>
          <w:rFonts w:ascii="Cambria" w:hAnsi="Cambria" w:cs="Calibri"/>
          <w:sz w:val="20"/>
          <w:szCs w:val="20"/>
          <w:lang w:val="en-US"/>
        </w:rPr>
        <w:t xml:space="preserve"> </w:t>
      </w:r>
      <w:r w:rsidRPr="007D47AD">
        <w:rPr>
          <w:rFonts w:ascii="Cambria" w:hAnsi="Cambria" w:cs="Calibri"/>
          <w:sz w:val="20"/>
          <w:szCs w:val="20"/>
          <w:lang w:val="en-US"/>
        </w:rPr>
        <w:t xml:space="preserve">that make up this border region, and </w:t>
      </w:r>
      <w:r w:rsidR="0021643C" w:rsidRPr="007D47AD">
        <w:rPr>
          <w:rFonts w:ascii="Cambria" w:hAnsi="Cambria" w:cs="Calibri"/>
          <w:sz w:val="20"/>
          <w:szCs w:val="20"/>
          <w:lang w:val="en-US"/>
        </w:rPr>
        <w:t>15</w:t>
      </w:r>
      <w:r w:rsidRPr="007D47AD">
        <w:rPr>
          <w:rFonts w:ascii="Cambria" w:hAnsi="Cambria" w:cs="Calibri"/>
          <w:sz w:val="20"/>
          <w:szCs w:val="20"/>
          <w:lang w:val="en-US"/>
        </w:rPr>
        <w:t xml:space="preserve">,000 guards were ordered to the northern border. According to information from Amnesty International, </w:t>
      </w:r>
      <w:r w:rsidR="00FB6485" w:rsidRPr="007D47AD">
        <w:rPr>
          <w:rFonts w:ascii="Cambria" w:hAnsi="Cambria" w:cs="Calibri"/>
          <w:sz w:val="20"/>
          <w:szCs w:val="20"/>
          <w:lang w:val="en-US"/>
        </w:rPr>
        <w:t xml:space="preserve">as the months have gone by the number of National Guard forces at the border increased to more than </w:t>
      </w:r>
      <w:r w:rsidR="00517C9D" w:rsidRPr="007D47AD">
        <w:rPr>
          <w:rFonts w:ascii="Cambria" w:hAnsi="Cambria" w:cs="Montserrat-Medium"/>
          <w:sz w:val="20"/>
          <w:szCs w:val="20"/>
          <w:lang w:val="en-US"/>
        </w:rPr>
        <w:t>25</w:t>
      </w:r>
      <w:r w:rsidR="00FB6485" w:rsidRPr="007D47AD">
        <w:rPr>
          <w:rFonts w:ascii="Cambria" w:hAnsi="Cambria" w:cs="Montserrat-Medium"/>
          <w:sz w:val="20"/>
          <w:szCs w:val="20"/>
          <w:lang w:val="en-US"/>
        </w:rPr>
        <w:t>,000, along both the southern and northern borders.</w:t>
      </w:r>
      <w:r w:rsidR="00517C9D" w:rsidRPr="007D47AD">
        <w:rPr>
          <w:rStyle w:val="FootnoteReference"/>
          <w:rFonts w:ascii="Cambria" w:hAnsi="Cambria"/>
          <w:sz w:val="20"/>
          <w:szCs w:val="20"/>
          <w:lang w:val="en-US"/>
        </w:rPr>
        <w:footnoteReference w:id="434"/>
      </w:r>
    </w:p>
    <w:p w:rsidR="00517C9D" w:rsidRPr="007D47AD" w:rsidRDefault="00517C9D" w:rsidP="00517C9D">
      <w:pPr>
        <w:shd w:val="clear" w:color="auto" w:fill="FFFFFF"/>
        <w:spacing w:after="0" w:line="240" w:lineRule="auto"/>
        <w:jc w:val="both"/>
        <w:rPr>
          <w:rFonts w:ascii="Cambria" w:hAnsi="Cambria" w:cs="Calibri"/>
          <w:sz w:val="20"/>
          <w:szCs w:val="20"/>
          <w:lang w:val="en-US"/>
        </w:rPr>
      </w:pPr>
    </w:p>
    <w:p w:rsidR="00980ACC" w:rsidRPr="007D47AD" w:rsidRDefault="0028084C" w:rsidP="00B310AF">
      <w:pPr>
        <w:numPr>
          <w:ilvl w:val="0"/>
          <w:numId w:val="6"/>
        </w:numPr>
        <w:shd w:val="clear" w:color="auto" w:fill="FFFFFF"/>
        <w:spacing w:after="0" w:line="240" w:lineRule="auto"/>
        <w:ind w:left="0" w:firstLine="709"/>
        <w:jc w:val="both"/>
        <w:rPr>
          <w:rFonts w:ascii="Cambria" w:hAnsi="Cambria" w:cs="Arial"/>
          <w:sz w:val="20"/>
          <w:szCs w:val="20"/>
          <w:lang w:val="en-US"/>
        </w:rPr>
      </w:pPr>
      <w:r w:rsidRPr="007D47AD">
        <w:rPr>
          <w:rFonts w:ascii="Cambria" w:hAnsi="Cambria" w:cs="Calibri"/>
          <w:sz w:val="20"/>
          <w:szCs w:val="20"/>
          <w:lang w:val="en-US"/>
        </w:rPr>
        <w:lastRenderedPageBreak/>
        <w:t xml:space="preserve">According to the organizations, this situation has worsened the humanitarian crisis experienced by thousands of migrants and asylum seekers, since the members of the National Guard do not have adequate training to take charge of public security tasks </w:t>
      </w:r>
      <w:r w:rsidR="00D1164A" w:rsidRPr="007D47AD">
        <w:rPr>
          <w:rFonts w:ascii="Cambria" w:hAnsi="Cambria" w:cs="Calibri"/>
          <w:sz w:val="20"/>
          <w:szCs w:val="20"/>
          <w:lang w:val="en-US"/>
        </w:rPr>
        <w:t>n</w:t>
      </w:r>
      <w:r w:rsidRPr="007D47AD">
        <w:rPr>
          <w:rFonts w:ascii="Cambria" w:hAnsi="Cambria" w:cs="Calibri"/>
          <w:sz w:val="20"/>
          <w:szCs w:val="20"/>
          <w:lang w:val="en-US"/>
        </w:rPr>
        <w:t>or are they trained to identify persons in need of international protection.</w:t>
      </w:r>
      <w:r w:rsidR="0021643C" w:rsidRPr="007D47AD">
        <w:rPr>
          <w:rStyle w:val="FootnoteReference"/>
          <w:rFonts w:ascii="Cambria" w:hAnsi="Cambria" w:cs="Calibri"/>
          <w:sz w:val="20"/>
          <w:szCs w:val="20"/>
          <w:lang w:val="en-US"/>
        </w:rPr>
        <w:footnoteReference w:id="435"/>
      </w:r>
      <w:r w:rsidR="0021643C" w:rsidRPr="007D47AD">
        <w:rPr>
          <w:rFonts w:ascii="Cambria" w:hAnsi="Cambria" w:cs="Calibri"/>
          <w:sz w:val="20"/>
          <w:szCs w:val="20"/>
          <w:lang w:val="en-US"/>
        </w:rPr>
        <w:t xml:space="preserve"> </w:t>
      </w:r>
      <w:r w:rsidRPr="007D47AD">
        <w:rPr>
          <w:rFonts w:ascii="Cambria" w:hAnsi="Cambria" w:cs="Calibri"/>
          <w:sz w:val="20"/>
          <w:szCs w:val="20"/>
          <w:lang w:val="en-US"/>
        </w:rPr>
        <w:t xml:space="preserve">The IACHR </w:t>
      </w:r>
      <w:r w:rsidR="0021643C" w:rsidRPr="007D47AD">
        <w:rPr>
          <w:rFonts w:ascii="Cambria" w:hAnsi="Cambria" w:cs="Calibri"/>
          <w:sz w:val="20"/>
          <w:szCs w:val="20"/>
          <w:lang w:val="en-US"/>
        </w:rPr>
        <w:t>reitera</w:t>
      </w:r>
      <w:r w:rsidRPr="007D47AD">
        <w:rPr>
          <w:rFonts w:ascii="Cambria" w:hAnsi="Cambria" w:cs="Calibri"/>
          <w:sz w:val="20"/>
          <w:szCs w:val="20"/>
          <w:lang w:val="en-US"/>
        </w:rPr>
        <w:t>tes its concern over the policies and measures adopted in relation to migration and asylum in recent years by externalizing borders, and by bolstering the security and military presence at borders.</w:t>
      </w:r>
      <w:r w:rsidR="0021643C" w:rsidRPr="007D47AD">
        <w:rPr>
          <w:rStyle w:val="FootnoteReference"/>
          <w:rFonts w:ascii="Cambria" w:hAnsi="Cambria" w:cs="Calibri"/>
          <w:sz w:val="20"/>
          <w:szCs w:val="20"/>
          <w:lang w:val="en-US"/>
        </w:rPr>
        <w:footnoteReference w:id="436"/>
      </w:r>
      <w:r w:rsidRPr="007D47AD">
        <w:rPr>
          <w:rFonts w:ascii="Cambria" w:hAnsi="Cambria" w:cs="Calibri"/>
          <w:sz w:val="20"/>
          <w:szCs w:val="20"/>
          <w:lang w:val="en-US"/>
        </w:rPr>
        <w:t xml:space="preserve"> </w:t>
      </w:r>
    </w:p>
    <w:p w:rsidR="00980ACC" w:rsidRPr="007D47AD" w:rsidRDefault="00980ACC" w:rsidP="00B310AF">
      <w:pPr>
        <w:shd w:val="clear" w:color="auto" w:fill="FFFFFF"/>
        <w:spacing w:after="0" w:line="240" w:lineRule="auto"/>
        <w:ind w:left="709"/>
        <w:jc w:val="both"/>
        <w:rPr>
          <w:rFonts w:ascii="Cambria" w:hAnsi="Cambria" w:cs="Arial"/>
          <w:sz w:val="20"/>
          <w:szCs w:val="20"/>
          <w:lang w:val="en-US"/>
        </w:rPr>
      </w:pPr>
    </w:p>
    <w:p w:rsidR="00980ACC" w:rsidRPr="007D47AD" w:rsidRDefault="00C777D5" w:rsidP="00D1164A">
      <w:pPr>
        <w:numPr>
          <w:ilvl w:val="0"/>
          <w:numId w:val="6"/>
        </w:numPr>
        <w:shd w:val="clear" w:color="auto" w:fill="FFFFFF"/>
        <w:spacing w:after="0" w:line="240" w:lineRule="auto"/>
        <w:ind w:left="0" w:firstLine="709"/>
        <w:jc w:val="both"/>
        <w:rPr>
          <w:rFonts w:ascii="Cambria" w:hAnsi="Cambria" w:cs="Arial"/>
          <w:sz w:val="20"/>
          <w:szCs w:val="20"/>
          <w:lang w:val="en-US"/>
        </w:rPr>
      </w:pPr>
      <w:r w:rsidRPr="007D47AD">
        <w:rPr>
          <w:rFonts w:ascii="Cambria" w:hAnsi="Cambria" w:cs="Calibri"/>
          <w:bCs/>
          <w:sz w:val="20"/>
          <w:szCs w:val="20"/>
          <w:lang w:val="en-US"/>
        </w:rPr>
        <w:t xml:space="preserve">The IACHR also observes that after the signing of the </w:t>
      </w:r>
      <w:r w:rsidR="00D1164A" w:rsidRPr="007D47AD">
        <w:rPr>
          <w:rFonts w:ascii="Cambria" w:hAnsi="Cambria" w:cs="Calibri"/>
          <w:bCs/>
          <w:sz w:val="20"/>
          <w:szCs w:val="20"/>
          <w:lang w:val="en-US"/>
        </w:rPr>
        <w:t xml:space="preserve">migration agreement </w:t>
      </w:r>
      <w:r w:rsidRPr="007D47AD">
        <w:rPr>
          <w:rFonts w:ascii="Cambria" w:hAnsi="Cambria" w:cs="Calibri"/>
          <w:bCs/>
          <w:sz w:val="20"/>
          <w:szCs w:val="20"/>
          <w:lang w:val="en-US"/>
        </w:rPr>
        <w:t xml:space="preserve">between the governments of the United States of America and Mexico, the Minister of Foreign Affairs of Mexico said that the migratory flow through the country had fallen off </w:t>
      </w:r>
      <w:r w:rsidR="0021643C" w:rsidRPr="007D47AD">
        <w:rPr>
          <w:rFonts w:ascii="Cambria" w:eastAsia="Times New Roman" w:hAnsi="Cambria" w:cs="Arial"/>
          <w:bCs/>
          <w:sz w:val="20"/>
          <w:szCs w:val="20"/>
          <w:lang w:val="en-US"/>
        </w:rPr>
        <w:t xml:space="preserve">56% </w:t>
      </w:r>
      <w:r w:rsidRPr="007D47AD">
        <w:rPr>
          <w:rFonts w:ascii="Cambria" w:eastAsia="Times New Roman" w:hAnsi="Cambria" w:cs="Arial"/>
          <w:bCs/>
          <w:sz w:val="20"/>
          <w:szCs w:val="20"/>
          <w:lang w:val="en-US"/>
        </w:rPr>
        <w:t>from May to August.</w:t>
      </w:r>
      <w:r w:rsidR="0021643C" w:rsidRPr="007D47AD">
        <w:rPr>
          <w:rStyle w:val="FootnoteReference"/>
          <w:rFonts w:ascii="Cambria" w:eastAsia="Times New Roman" w:hAnsi="Cambria" w:cs="Arial"/>
          <w:sz w:val="20"/>
          <w:szCs w:val="20"/>
          <w:lang w:val="en-US"/>
        </w:rPr>
        <w:footnoteReference w:id="437"/>
      </w:r>
      <w:r w:rsidR="0021643C" w:rsidRPr="007D47AD">
        <w:rPr>
          <w:rFonts w:ascii="Cambria" w:eastAsia="Times New Roman" w:hAnsi="Cambria" w:cs="Arial"/>
          <w:sz w:val="20"/>
          <w:szCs w:val="20"/>
          <w:lang w:val="en-US"/>
        </w:rPr>
        <w:t xml:space="preserve"> </w:t>
      </w:r>
      <w:r w:rsidRPr="007D47AD">
        <w:rPr>
          <w:rFonts w:ascii="Cambria" w:eastAsia="Times New Roman" w:hAnsi="Cambria" w:cs="Arial"/>
          <w:sz w:val="20"/>
          <w:szCs w:val="20"/>
          <w:lang w:val="en-US"/>
        </w:rPr>
        <w:t>While the IACHR recognizes that in the context of their sovereign powers the states have, first, the power to determine their migration policy and to define the requirements for entry, stay, and expulsion of persons who are not nationals in their territories, that power is limited by the principles of respecting and ensuring human rights.</w:t>
      </w:r>
      <w:r w:rsidR="0021643C" w:rsidRPr="007D47AD">
        <w:rPr>
          <w:rStyle w:val="FootnoteReference"/>
          <w:rFonts w:ascii="Cambria" w:hAnsi="Cambria"/>
          <w:sz w:val="20"/>
          <w:szCs w:val="20"/>
          <w:lang w:val="en-US"/>
        </w:rPr>
        <w:footnoteReference w:id="438"/>
      </w:r>
    </w:p>
    <w:p w:rsidR="00980ACC" w:rsidRPr="007D47AD" w:rsidRDefault="00980ACC" w:rsidP="00B310AF">
      <w:pPr>
        <w:shd w:val="clear" w:color="auto" w:fill="FFFFFF"/>
        <w:spacing w:after="0" w:line="240" w:lineRule="auto"/>
        <w:jc w:val="both"/>
        <w:rPr>
          <w:rFonts w:ascii="Cambria" w:hAnsi="Cambria" w:cs="Calibri"/>
          <w:bCs/>
          <w:sz w:val="20"/>
          <w:szCs w:val="20"/>
          <w:lang w:val="en-US"/>
        </w:rPr>
      </w:pPr>
    </w:p>
    <w:p w:rsidR="00980ACC" w:rsidRPr="007D47AD" w:rsidRDefault="00C777D5" w:rsidP="00B310AF">
      <w:pPr>
        <w:numPr>
          <w:ilvl w:val="0"/>
          <w:numId w:val="6"/>
        </w:numPr>
        <w:shd w:val="clear" w:color="auto" w:fill="FFFFFF"/>
        <w:spacing w:after="0" w:line="240" w:lineRule="auto"/>
        <w:ind w:left="0" w:firstLine="709"/>
        <w:jc w:val="both"/>
        <w:rPr>
          <w:rFonts w:ascii="Cambria" w:hAnsi="Cambria" w:cs="Arial"/>
          <w:sz w:val="20"/>
          <w:szCs w:val="20"/>
          <w:lang w:val="en-US"/>
        </w:rPr>
      </w:pPr>
      <w:r w:rsidRPr="007D47AD">
        <w:rPr>
          <w:rFonts w:ascii="Cambria" w:hAnsi="Cambria" w:cs="Calibri"/>
          <w:bCs/>
          <w:sz w:val="20"/>
          <w:szCs w:val="20"/>
          <w:lang w:val="en-US"/>
        </w:rPr>
        <w:t xml:space="preserve">Another measure taken stemming from the </w:t>
      </w:r>
      <w:r w:rsidR="006D64AF" w:rsidRPr="007D47AD">
        <w:rPr>
          <w:rFonts w:ascii="Cambria" w:hAnsi="Cambria" w:cs="Calibri"/>
          <w:bCs/>
          <w:sz w:val="20"/>
          <w:szCs w:val="20"/>
          <w:lang w:val="en-US"/>
        </w:rPr>
        <w:t xml:space="preserve">immigration agreement and the unilateral decision of the United States to implement </w:t>
      </w:r>
      <w:r w:rsidR="00D1164A" w:rsidRPr="007D47AD">
        <w:rPr>
          <w:rFonts w:ascii="Cambria" w:hAnsi="Cambria" w:cs="Calibri"/>
          <w:bCs/>
          <w:sz w:val="20"/>
          <w:szCs w:val="20"/>
          <w:lang w:val="en-US"/>
        </w:rPr>
        <w:t>m</w:t>
      </w:r>
      <w:r w:rsidR="006D64AF" w:rsidRPr="007D47AD">
        <w:rPr>
          <w:rFonts w:ascii="Cambria" w:hAnsi="Cambria" w:cs="Calibri"/>
          <w:bCs/>
          <w:sz w:val="20"/>
          <w:szCs w:val="20"/>
          <w:lang w:val="en-US"/>
        </w:rPr>
        <w:t xml:space="preserve">igrant </w:t>
      </w:r>
      <w:r w:rsidR="00D1164A" w:rsidRPr="007D47AD">
        <w:rPr>
          <w:rFonts w:ascii="Cambria" w:hAnsi="Cambria" w:cs="Calibri"/>
          <w:bCs/>
          <w:sz w:val="20"/>
          <w:szCs w:val="20"/>
          <w:lang w:val="en-US"/>
        </w:rPr>
        <w:t>p</w:t>
      </w:r>
      <w:r w:rsidR="006D64AF" w:rsidRPr="007D47AD">
        <w:rPr>
          <w:rFonts w:ascii="Cambria" w:hAnsi="Cambria" w:cs="Calibri"/>
          <w:bCs/>
          <w:sz w:val="20"/>
          <w:szCs w:val="20"/>
          <w:lang w:val="en-US"/>
        </w:rPr>
        <w:t xml:space="preserve">rotection </w:t>
      </w:r>
      <w:r w:rsidR="00D1164A" w:rsidRPr="007D47AD">
        <w:rPr>
          <w:rFonts w:ascii="Cambria" w:hAnsi="Cambria" w:cs="Calibri"/>
          <w:bCs/>
          <w:sz w:val="20"/>
          <w:szCs w:val="20"/>
          <w:lang w:val="en-US"/>
        </w:rPr>
        <w:t>p</w:t>
      </w:r>
      <w:r w:rsidR="006D64AF" w:rsidRPr="007D47AD">
        <w:rPr>
          <w:rFonts w:ascii="Cambria" w:hAnsi="Cambria" w:cs="Calibri"/>
          <w:bCs/>
          <w:sz w:val="20"/>
          <w:szCs w:val="20"/>
          <w:lang w:val="en-US"/>
        </w:rPr>
        <w:t>rotocols (</w:t>
      </w:r>
      <w:r w:rsidR="0021643C" w:rsidRPr="007D47AD">
        <w:rPr>
          <w:rFonts w:ascii="Cambria" w:hAnsi="Cambria" w:cs="Calibri"/>
          <w:bCs/>
          <w:sz w:val="20"/>
          <w:szCs w:val="20"/>
          <w:lang w:val="en-US"/>
        </w:rPr>
        <w:t>MPP</w:t>
      </w:r>
      <w:r w:rsidR="006D64AF" w:rsidRPr="007D47AD">
        <w:rPr>
          <w:rFonts w:ascii="Cambria" w:hAnsi="Cambria" w:cs="Calibri"/>
          <w:bCs/>
          <w:sz w:val="20"/>
          <w:szCs w:val="20"/>
          <w:lang w:val="en-US"/>
        </w:rPr>
        <w:t>)</w:t>
      </w:r>
      <w:r w:rsidR="0021643C" w:rsidRPr="007D47AD">
        <w:rPr>
          <w:rStyle w:val="FootnoteReference"/>
          <w:rFonts w:ascii="Cambria" w:hAnsi="Cambria" w:cs="Calibri"/>
          <w:bCs/>
          <w:sz w:val="20"/>
          <w:szCs w:val="20"/>
          <w:lang w:val="en-US"/>
        </w:rPr>
        <w:footnoteReference w:id="439"/>
      </w:r>
      <w:r w:rsidR="0021643C" w:rsidRPr="007D47AD">
        <w:rPr>
          <w:rFonts w:ascii="Cambria" w:hAnsi="Cambria" w:cs="Calibri"/>
          <w:bCs/>
          <w:sz w:val="20"/>
          <w:szCs w:val="20"/>
          <w:lang w:val="en-US"/>
        </w:rPr>
        <w:t xml:space="preserve">, </w:t>
      </w:r>
      <w:r w:rsidR="006D64AF" w:rsidRPr="007D47AD">
        <w:rPr>
          <w:rFonts w:ascii="Cambria" w:hAnsi="Cambria" w:cs="Calibri"/>
          <w:bCs/>
          <w:sz w:val="20"/>
          <w:szCs w:val="20"/>
          <w:lang w:val="en-US"/>
        </w:rPr>
        <w:t xml:space="preserve">according to the information submitted by the organizations to the IACHR, is the return of asylum-seekers to Mexican territory, where they must await the resolution of their applications. The IACHR takes note that the civil society organizations, in addition to stating that according to data from </w:t>
      </w:r>
      <w:r w:rsidR="0021643C" w:rsidRPr="007D47AD">
        <w:rPr>
          <w:rFonts w:ascii="Cambria" w:hAnsi="Cambria" w:cs="Calibri"/>
          <w:sz w:val="20"/>
          <w:szCs w:val="20"/>
          <w:lang w:val="en-US"/>
        </w:rPr>
        <w:t>Syracuse</w:t>
      </w:r>
      <w:r w:rsidR="006D64AF" w:rsidRPr="007D47AD">
        <w:rPr>
          <w:rFonts w:ascii="Cambria" w:hAnsi="Cambria" w:cs="Calibri"/>
          <w:sz w:val="20"/>
          <w:szCs w:val="20"/>
          <w:lang w:val="en-US"/>
        </w:rPr>
        <w:t xml:space="preserve"> University</w:t>
      </w:r>
      <w:r w:rsidR="0021643C" w:rsidRPr="007D47AD">
        <w:rPr>
          <w:rFonts w:ascii="Cambria" w:hAnsi="Cambria" w:cs="Calibri"/>
          <w:sz w:val="20"/>
          <w:szCs w:val="20"/>
          <w:lang w:val="en-US"/>
        </w:rPr>
        <w:t xml:space="preserve">, </w:t>
      </w:r>
      <w:r w:rsidR="006D64AF" w:rsidRPr="007D47AD">
        <w:rPr>
          <w:rFonts w:ascii="Cambria" w:hAnsi="Cambria" w:cs="Calibri"/>
          <w:sz w:val="20"/>
          <w:szCs w:val="20"/>
          <w:lang w:val="en-US"/>
        </w:rPr>
        <w:t xml:space="preserve">the process may take up to two years to be resolved, which has led to a backlog of at least </w:t>
      </w:r>
      <w:r w:rsidR="0021643C" w:rsidRPr="007D47AD">
        <w:rPr>
          <w:rFonts w:ascii="Cambria" w:hAnsi="Cambria" w:cs="Calibri"/>
          <w:sz w:val="20"/>
          <w:szCs w:val="20"/>
          <w:lang w:val="en-US"/>
        </w:rPr>
        <w:t>700</w:t>
      </w:r>
      <w:r w:rsidR="006D64AF" w:rsidRPr="007D47AD">
        <w:rPr>
          <w:rFonts w:ascii="Cambria" w:hAnsi="Cambria" w:cs="Calibri"/>
          <w:sz w:val="20"/>
          <w:szCs w:val="20"/>
          <w:lang w:val="en-US"/>
        </w:rPr>
        <w:t>,000 cases pending resolution.</w:t>
      </w:r>
      <w:r w:rsidR="0021643C" w:rsidRPr="007D47AD">
        <w:rPr>
          <w:rStyle w:val="FootnoteReference"/>
          <w:rFonts w:ascii="Cambria" w:hAnsi="Cambria" w:cs="Calibri"/>
          <w:sz w:val="20"/>
          <w:szCs w:val="20"/>
          <w:lang w:val="en-US"/>
        </w:rPr>
        <w:footnoteReference w:id="440"/>
      </w:r>
    </w:p>
    <w:p w:rsidR="00980ACC" w:rsidRPr="007D47AD" w:rsidRDefault="00980ACC" w:rsidP="00B310AF">
      <w:pPr>
        <w:shd w:val="clear" w:color="auto" w:fill="FFFFFF"/>
        <w:spacing w:after="0" w:line="240" w:lineRule="auto"/>
        <w:jc w:val="both"/>
        <w:rPr>
          <w:rFonts w:ascii="Cambria" w:hAnsi="Cambria" w:cs="Calibri"/>
          <w:bCs/>
          <w:sz w:val="20"/>
          <w:szCs w:val="20"/>
          <w:lang w:val="en-US"/>
        </w:rPr>
      </w:pPr>
    </w:p>
    <w:p w:rsidR="00980ACC" w:rsidRPr="007D47AD" w:rsidRDefault="006D64AF" w:rsidP="00B310AF">
      <w:pPr>
        <w:numPr>
          <w:ilvl w:val="0"/>
          <w:numId w:val="6"/>
        </w:numPr>
        <w:shd w:val="clear" w:color="auto" w:fill="FFFFFF"/>
        <w:spacing w:after="0" w:line="240" w:lineRule="auto"/>
        <w:ind w:left="0" w:firstLine="709"/>
        <w:jc w:val="both"/>
        <w:rPr>
          <w:rFonts w:ascii="Cambria" w:hAnsi="Cambria" w:cs="Arial"/>
          <w:sz w:val="20"/>
          <w:szCs w:val="20"/>
          <w:lang w:val="en-US"/>
        </w:rPr>
      </w:pPr>
      <w:r w:rsidRPr="007D47AD">
        <w:rPr>
          <w:rFonts w:ascii="Cambria" w:hAnsi="Cambria" w:cs="Calibri"/>
          <w:bCs/>
          <w:sz w:val="20"/>
          <w:szCs w:val="20"/>
          <w:lang w:val="en-US"/>
        </w:rPr>
        <w:t xml:space="preserve">The IACHR observes that the Mexican State reports that since April 16, 2019, the date on which the United States resumed implementation of the Migrant Protection Protocols, humanitarian assistance has been provided to and received by </w:t>
      </w:r>
      <w:r w:rsidR="0021643C" w:rsidRPr="007D47AD">
        <w:rPr>
          <w:rFonts w:ascii="Cambria" w:hAnsi="Cambria" w:cs="Calibri"/>
          <w:sz w:val="20"/>
          <w:szCs w:val="20"/>
          <w:lang w:val="en-US"/>
        </w:rPr>
        <w:t>19</w:t>
      </w:r>
      <w:r w:rsidRPr="007D47AD">
        <w:rPr>
          <w:rFonts w:ascii="Cambria" w:hAnsi="Cambria" w:cs="Calibri"/>
          <w:sz w:val="20"/>
          <w:szCs w:val="20"/>
          <w:lang w:val="en-US"/>
        </w:rPr>
        <w:t>,</w:t>
      </w:r>
      <w:r w:rsidR="0021643C" w:rsidRPr="007D47AD">
        <w:rPr>
          <w:rFonts w:ascii="Cambria" w:hAnsi="Cambria" w:cs="Calibri"/>
          <w:sz w:val="20"/>
          <w:szCs w:val="20"/>
          <w:lang w:val="en-US"/>
        </w:rPr>
        <w:t xml:space="preserve">911 </w:t>
      </w:r>
      <w:r w:rsidRPr="007D47AD">
        <w:rPr>
          <w:rFonts w:ascii="Cambria" w:hAnsi="Cambria" w:cs="Calibri"/>
          <w:sz w:val="20"/>
          <w:szCs w:val="20"/>
          <w:lang w:val="en-US"/>
        </w:rPr>
        <w:t>Spanish-speaking foreigners seeking asylum in the United States</w:t>
      </w:r>
      <w:r w:rsidR="0021643C" w:rsidRPr="007D47AD">
        <w:rPr>
          <w:rStyle w:val="FootnoteReference"/>
          <w:rFonts w:ascii="Cambria" w:hAnsi="Cambria" w:cs="Montserrat-Medium"/>
          <w:sz w:val="20"/>
          <w:szCs w:val="20"/>
          <w:lang w:val="en-US"/>
        </w:rPr>
        <w:footnoteReference w:id="441"/>
      </w:r>
      <w:r w:rsidR="0021643C" w:rsidRPr="007D47AD">
        <w:rPr>
          <w:rFonts w:ascii="Cambria" w:hAnsi="Cambria" w:cs="Montserrat-Medium"/>
          <w:sz w:val="20"/>
          <w:szCs w:val="20"/>
          <w:lang w:val="en-US"/>
        </w:rPr>
        <w:t xml:space="preserve">, </w:t>
      </w:r>
      <w:r w:rsidRPr="007D47AD">
        <w:rPr>
          <w:rFonts w:ascii="Cambria" w:hAnsi="Cambria" w:cs="Montserrat-Medium"/>
          <w:sz w:val="20"/>
          <w:szCs w:val="20"/>
          <w:lang w:val="en-US"/>
        </w:rPr>
        <w:t xml:space="preserve">and </w:t>
      </w:r>
      <w:r w:rsidR="0021643C" w:rsidRPr="007D47AD">
        <w:rPr>
          <w:rFonts w:ascii="Cambria" w:hAnsi="Cambria" w:cs="Montserrat-Medium"/>
          <w:sz w:val="20"/>
          <w:szCs w:val="20"/>
          <w:lang w:val="en-US"/>
        </w:rPr>
        <w:t>18</w:t>
      </w:r>
      <w:r w:rsidRPr="007D47AD">
        <w:rPr>
          <w:rFonts w:ascii="Cambria" w:hAnsi="Cambria" w:cs="Montserrat-Medium"/>
          <w:sz w:val="20"/>
          <w:szCs w:val="20"/>
          <w:lang w:val="en-US"/>
        </w:rPr>
        <w:t>,</w:t>
      </w:r>
      <w:r w:rsidR="0021643C" w:rsidRPr="007D47AD">
        <w:rPr>
          <w:rFonts w:ascii="Cambria" w:hAnsi="Cambria" w:cs="Montserrat-Medium"/>
          <w:sz w:val="20"/>
          <w:szCs w:val="20"/>
          <w:lang w:val="en-US"/>
        </w:rPr>
        <w:t xml:space="preserve">503 </w:t>
      </w:r>
      <w:r w:rsidRPr="007D47AD">
        <w:rPr>
          <w:rFonts w:ascii="Cambria" w:hAnsi="Cambria" w:cs="Montserrat-Medium"/>
          <w:sz w:val="20"/>
          <w:szCs w:val="20"/>
          <w:lang w:val="en-US"/>
        </w:rPr>
        <w:t>Central American foreigners returned who are seeking asylum in the United States.</w:t>
      </w:r>
      <w:r w:rsidR="0021643C" w:rsidRPr="007D47AD">
        <w:rPr>
          <w:rStyle w:val="FootnoteReference"/>
          <w:rFonts w:ascii="Cambria" w:hAnsi="Cambria" w:cs="Montserrat-Medium"/>
          <w:sz w:val="20"/>
          <w:szCs w:val="20"/>
          <w:lang w:val="en-US"/>
        </w:rPr>
        <w:footnoteReference w:id="442"/>
      </w:r>
    </w:p>
    <w:p w:rsidR="00980ACC" w:rsidRPr="007D47AD" w:rsidRDefault="00980ACC" w:rsidP="00B310AF">
      <w:pPr>
        <w:shd w:val="clear" w:color="auto" w:fill="FFFFFF"/>
        <w:spacing w:after="0" w:line="240" w:lineRule="auto"/>
        <w:jc w:val="both"/>
        <w:rPr>
          <w:rFonts w:ascii="Cambria" w:hAnsi="Cambria" w:cs="Montserrat-Medium"/>
          <w:sz w:val="20"/>
          <w:szCs w:val="20"/>
          <w:lang w:val="en-US"/>
        </w:rPr>
      </w:pPr>
    </w:p>
    <w:p w:rsidR="00980ACC" w:rsidRPr="007D47AD" w:rsidRDefault="006D64AF" w:rsidP="00B310AF">
      <w:pPr>
        <w:numPr>
          <w:ilvl w:val="0"/>
          <w:numId w:val="6"/>
        </w:numPr>
        <w:shd w:val="clear" w:color="auto" w:fill="FFFFFF"/>
        <w:spacing w:after="0" w:line="240" w:lineRule="auto"/>
        <w:ind w:left="0" w:firstLine="709"/>
        <w:jc w:val="both"/>
        <w:rPr>
          <w:rFonts w:ascii="Cambria" w:hAnsi="Cambria" w:cs="Arial"/>
          <w:sz w:val="20"/>
          <w:szCs w:val="20"/>
          <w:lang w:val="en-US"/>
        </w:rPr>
      </w:pPr>
      <w:r w:rsidRPr="007D47AD">
        <w:rPr>
          <w:rFonts w:ascii="Cambria" w:hAnsi="Cambria" w:cs="Montserrat-Medium"/>
          <w:sz w:val="20"/>
          <w:szCs w:val="20"/>
          <w:lang w:val="en-US"/>
        </w:rPr>
        <w:t>According to information received, several actions were taken that threaten the work of organizations that defend migrants’ rights and the operation of migrant shelters</w:t>
      </w:r>
      <w:r w:rsidR="00844D80" w:rsidRPr="007D47AD">
        <w:rPr>
          <w:rFonts w:ascii="Cambria" w:hAnsi="Cambria" w:cs="Montserrat-Medium"/>
          <w:sz w:val="20"/>
          <w:szCs w:val="20"/>
          <w:lang w:val="en-US"/>
        </w:rPr>
        <w:t xml:space="preserve">, </w:t>
      </w:r>
      <w:r w:rsidRPr="007D47AD">
        <w:rPr>
          <w:rFonts w:ascii="Cambria" w:hAnsi="Cambria" w:cs="Montserrat-Medium"/>
          <w:sz w:val="20"/>
          <w:szCs w:val="20"/>
          <w:lang w:val="en-US"/>
        </w:rPr>
        <w:t>through alleged financial interference in their operations.</w:t>
      </w:r>
      <w:r w:rsidR="0021643C" w:rsidRPr="007D47AD">
        <w:rPr>
          <w:rStyle w:val="FootnoteReference"/>
          <w:rFonts w:ascii="Cambria" w:hAnsi="Cambria" w:cs="Montserrat-Medium"/>
          <w:sz w:val="20"/>
          <w:szCs w:val="20"/>
          <w:lang w:val="en-US"/>
        </w:rPr>
        <w:footnoteReference w:id="443"/>
      </w:r>
      <w:r w:rsidR="0021643C" w:rsidRPr="007D47AD">
        <w:rPr>
          <w:rFonts w:ascii="Cambria" w:hAnsi="Cambria" w:cs="Montserrat-Medium"/>
          <w:sz w:val="20"/>
          <w:szCs w:val="20"/>
          <w:lang w:val="en-US"/>
        </w:rPr>
        <w:t xml:space="preserve"> </w:t>
      </w:r>
      <w:r w:rsidRPr="007D47AD">
        <w:rPr>
          <w:rFonts w:ascii="Cambria" w:hAnsi="Cambria" w:cs="Montserrat-Medium"/>
          <w:sz w:val="20"/>
          <w:szCs w:val="20"/>
          <w:lang w:val="en-US"/>
        </w:rPr>
        <w:t xml:space="preserve">In this respect, </w:t>
      </w:r>
      <w:r w:rsidR="00F34DDE" w:rsidRPr="007D47AD">
        <w:rPr>
          <w:rFonts w:ascii="Cambria" w:hAnsi="Cambria" w:cs="Montserrat-Medium"/>
          <w:sz w:val="20"/>
          <w:szCs w:val="20"/>
          <w:lang w:val="en-US"/>
        </w:rPr>
        <w:t xml:space="preserve">Mexico’s Financial Intelligence Unit, which belongs to the Ministry of Finance and Public Credit, announced the blocking of </w:t>
      </w:r>
      <w:r w:rsidR="0021643C" w:rsidRPr="007D47AD">
        <w:rPr>
          <w:rFonts w:ascii="Cambria" w:hAnsi="Cambria" w:cs="Calibri"/>
          <w:sz w:val="20"/>
          <w:szCs w:val="20"/>
          <w:lang w:val="en-US"/>
        </w:rPr>
        <w:t>“</w:t>
      </w:r>
      <w:r w:rsidR="00F34DDE" w:rsidRPr="007D47AD">
        <w:rPr>
          <w:rFonts w:ascii="Cambria" w:hAnsi="Cambria" w:cs="Calibri"/>
          <w:sz w:val="20"/>
          <w:szCs w:val="20"/>
          <w:lang w:val="en-US"/>
        </w:rPr>
        <w:t>the bank accounts of several natural and juridical persons who purportedly have participated in the smuggling of migrants and the illegal organizing of migrant caravans.</w:t>
      </w:r>
      <w:r w:rsidR="0021643C" w:rsidRPr="007D47AD">
        <w:rPr>
          <w:rFonts w:ascii="Cambria" w:hAnsi="Cambria" w:cs="Calibri"/>
          <w:sz w:val="20"/>
          <w:szCs w:val="20"/>
          <w:lang w:val="en-US"/>
        </w:rPr>
        <w:t>”</w:t>
      </w:r>
      <w:r w:rsidR="0021643C" w:rsidRPr="007D47AD">
        <w:rPr>
          <w:rStyle w:val="FootnoteReference"/>
          <w:rFonts w:ascii="Cambria" w:hAnsi="Cambria" w:cs="Calibri"/>
          <w:sz w:val="20"/>
          <w:szCs w:val="20"/>
          <w:lang w:val="en-US"/>
        </w:rPr>
        <w:footnoteReference w:id="444"/>
      </w:r>
    </w:p>
    <w:p w:rsidR="00467FD6" w:rsidRPr="007D47AD" w:rsidRDefault="00467FD6" w:rsidP="00467FD6">
      <w:pPr>
        <w:shd w:val="clear" w:color="auto" w:fill="FFFFFF"/>
        <w:spacing w:after="0" w:line="240" w:lineRule="auto"/>
        <w:jc w:val="both"/>
        <w:rPr>
          <w:rFonts w:ascii="Cambria" w:hAnsi="Cambria" w:cs="Arial"/>
          <w:sz w:val="20"/>
          <w:szCs w:val="20"/>
          <w:lang w:val="en-US"/>
        </w:rPr>
      </w:pPr>
    </w:p>
    <w:p w:rsidR="00467FD6" w:rsidRPr="007D47AD" w:rsidRDefault="00F34DDE" w:rsidP="00467FD6">
      <w:pPr>
        <w:numPr>
          <w:ilvl w:val="0"/>
          <w:numId w:val="6"/>
        </w:numPr>
        <w:shd w:val="clear" w:color="auto" w:fill="FFFFFF"/>
        <w:spacing w:after="0" w:line="240" w:lineRule="auto"/>
        <w:ind w:left="0" w:firstLine="709"/>
        <w:jc w:val="both"/>
        <w:rPr>
          <w:rFonts w:ascii="Cambria" w:hAnsi="Cambria" w:cs="Montserrat-Medium"/>
          <w:sz w:val="20"/>
          <w:szCs w:val="20"/>
          <w:lang w:val="en-US"/>
        </w:rPr>
      </w:pPr>
      <w:r w:rsidRPr="007D47AD">
        <w:rPr>
          <w:rFonts w:ascii="Cambria" w:hAnsi="Cambria" w:cs="Montserrat-Medium"/>
          <w:sz w:val="20"/>
          <w:szCs w:val="20"/>
          <w:lang w:val="en-US"/>
        </w:rPr>
        <w:t xml:space="preserve">In this regard, </w:t>
      </w:r>
      <w:r w:rsidR="00467FD6" w:rsidRPr="007D47AD">
        <w:rPr>
          <w:rFonts w:ascii="Cambria" w:hAnsi="Cambria" w:cs="Montserrat-Medium"/>
          <w:sz w:val="20"/>
          <w:szCs w:val="20"/>
          <w:lang w:val="en-US"/>
        </w:rPr>
        <w:t>Amn</w:t>
      </w:r>
      <w:r w:rsidRPr="007D47AD">
        <w:rPr>
          <w:rFonts w:ascii="Cambria" w:hAnsi="Cambria" w:cs="Montserrat-Medium"/>
          <w:sz w:val="20"/>
          <w:szCs w:val="20"/>
          <w:lang w:val="en-US"/>
        </w:rPr>
        <w:t>e</w:t>
      </w:r>
      <w:r w:rsidR="00467FD6" w:rsidRPr="007D47AD">
        <w:rPr>
          <w:rFonts w:ascii="Cambria" w:hAnsi="Cambria" w:cs="Montserrat-Medium"/>
          <w:sz w:val="20"/>
          <w:szCs w:val="20"/>
          <w:lang w:val="en-US"/>
        </w:rPr>
        <w:t>s</w:t>
      </w:r>
      <w:r w:rsidRPr="007D47AD">
        <w:rPr>
          <w:rFonts w:ascii="Cambria" w:hAnsi="Cambria" w:cs="Montserrat-Medium"/>
          <w:sz w:val="20"/>
          <w:szCs w:val="20"/>
          <w:lang w:val="en-US"/>
        </w:rPr>
        <w:t>ty</w:t>
      </w:r>
      <w:r w:rsidR="00467FD6" w:rsidRPr="007D47AD">
        <w:rPr>
          <w:rFonts w:ascii="Cambria" w:hAnsi="Cambria" w:cs="Montserrat-Medium"/>
          <w:sz w:val="20"/>
          <w:szCs w:val="20"/>
          <w:lang w:val="en-US"/>
        </w:rPr>
        <w:t xml:space="preserve"> Interna</w:t>
      </w:r>
      <w:r w:rsidRPr="007D47AD">
        <w:rPr>
          <w:rFonts w:ascii="Cambria" w:hAnsi="Cambria" w:cs="Montserrat-Medium"/>
          <w:sz w:val="20"/>
          <w:szCs w:val="20"/>
          <w:lang w:val="en-US"/>
        </w:rPr>
        <w:t>t</w:t>
      </w:r>
      <w:r w:rsidR="00467FD6" w:rsidRPr="007D47AD">
        <w:rPr>
          <w:rFonts w:ascii="Cambria" w:hAnsi="Cambria" w:cs="Montserrat-Medium"/>
          <w:sz w:val="20"/>
          <w:szCs w:val="20"/>
          <w:lang w:val="en-US"/>
        </w:rPr>
        <w:t xml:space="preserve">ional </w:t>
      </w:r>
      <w:r w:rsidRPr="007D47AD">
        <w:rPr>
          <w:rFonts w:ascii="Cambria" w:hAnsi="Cambria" w:cs="Montserrat-Medium"/>
          <w:sz w:val="20"/>
          <w:szCs w:val="20"/>
          <w:lang w:val="en-US"/>
        </w:rPr>
        <w:t xml:space="preserve">noted that in January and February </w:t>
      </w:r>
      <w:r w:rsidR="00467FD6" w:rsidRPr="007D47AD">
        <w:rPr>
          <w:rFonts w:ascii="Cambria" w:hAnsi="Cambria" w:cs="Montserrat-Medium"/>
          <w:sz w:val="20"/>
          <w:szCs w:val="20"/>
          <w:lang w:val="en-US"/>
        </w:rPr>
        <w:t>2019</w:t>
      </w:r>
      <w:r w:rsidRPr="007D47AD">
        <w:rPr>
          <w:rFonts w:ascii="Cambria" w:hAnsi="Cambria" w:cs="Montserrat-Medium"/>
          <w:sz w:val="20"/>
          <w:szCs w:val="20"/>
          <w:lang w:val="en-US"/>
        </w:rPr>
        <w:t xml:space="preserve"> Mexico received a series of caravans of migrants and asylum-seekers from </w:t>
      </w:r>
      <w:r w:rsidR="00467FD6" w:rsidRPr="007D47AD">
        <w:rPr>
          <w:rFonts w:ascii="Cambria" w:hAnsi="Cambria" w:cs="Montserrat-Medium"/>
          <w:sz w:val="20"/>
          <w:szCs w:val="20"/>
          <w:lang w:val="en-US"/>
        </w:rPr>
        <w:t xml:space="preserve">Honduras </w:t>
      </w:r>
      <w:r w:rsidRPr="007D47AD">
        <w:rPr>
          <w:rFonts w:ascii="Cambria" w:hAnsi="Cambria" w:cs="Montserrat-Medium"/>
          <w:sz w:val="20"/>
          <w:szCs w:val="20"/>
          <w:lang w:val="en-US"/>
        </w:rPr>
        <w:t xml:space="preserve">and other countries of Central America, implemented a novel system for personalized needs assessments, and issued </w:t>
      </w:r>
      <w:r w:rsidR="00467FD6" w:rsidRPr="007D47AD">
        <w:rPr>
          <w:rFonts w:ascii="Cambria" w:hAnsi="Cambria" w:cs="Montserrat-Medium"/>
          <w:sz w:val="20"/>
          <w:szCs w:val="20"/>
          <w:lang w:val="en-US"/>
        </w:rPr>
        <w:t xml:space="preserve">14,174 </w:t>
      </w:r>
      <w:r w:rsidRPr="007D47AD">
        <w:rPr>
          <w:rFonts w:ascii="Cambria" w:hAnsi="Cambria" w:cs="Montserrat-Medium"/>
          <w:sz w:val="20"/>
          <w:szCs w:val="20"/>
          <w:lang w:val="en-US"/>
        </w:rPr>
        <w:t xml:space="preserve">humanitarian </w:t>
      </w:r>
      <w:r w:rsidR="00467FD6" w:rsidRPr="007D47AD">
        <w:rPr>
          <w:rFonts w:ascii="Cambria" w:hAnsi="Cambria" w:cs="Montserrat-Medium"/>
          <w:sz w:val="20"/>
          <w:szCs w:val="20"/>
          <w:lang w:val="en-US"/>
        </w:rPr>
        <w:lastRenderedPageBreak/>
        <w:t xml:space="preserve">visas </w:t>
      </w:r>
      <w:r w:rsidRPr="007D47AD">
        <w:rPr>
          <w:rFonts w:ascii="Cambria" w:hAnsi="Cambria" w:cs="Montserrat-Medium"/>
          <w:sz w:val="20"/>
          <w:szCs w:val="20"/>
          <w:lang w:val="en-US"/>
        </w:rPr>
        <w:t xml:space="preserve">at Mexico’s southern border. Nonetheless, a few months later there was an abrupt decline in the number of humanitarian visas granted. </w:t>
      </w:r>
    </w:p>
    <w:p w:rsidR="00980ACC" w:rsidRPr="007D47AD" w:rsidRDefault="00980ACC" w:rsidP="00980ACC">
      <w:pPr>
        <w:shd w:val="clear" w:color="auto" w:fill="FFFFFF"/>
        <w:spacing w:after="0" w:line="240" w:lineRule="auto"/>
        <w:jc w:val="both"/>
        <w:rPr>
          <w:rFonts w:ascii="Cambria" w:hAnsi="Cambria" w:cs="Calibri"/>
          <w:sz w:val="20"/>
          <w:szCs w:val="20"/>
          <w:lang w:val="en-US"/>
        </w:rPr>
      </w:pPr>
    </w:p>
    <w:p w:rsidR="00980ACC" w:rsidRPr="007D47AD" w:rsidRDefault="00846CED" w:rsidP="00980ACC">
      <w:pPr>
        <w:numPr>
          <w:ilvl w:val="0"/>
          <w:numId w:val="6"/>
        </w:numPr>
        <w:shd w:val="clear" w:color="auto" w:fill="FFFFFF"/>
        <w:spacing w:after="0" w:line="240" w:lineRule="auto"/>
        <w:ind w:left="0" w:firstLine="709"/>
        <w:jc w:val="both"/>
        <w:rPr>
          <w:rFonts w:ascii="Cambria" w:hAnsi="Cambria" w:cs="Arial"/>
          <w:sz w:val="20"/>
          <w:szCs w:val="20"/>
          <w:lang w:val="en-US"/>
        </w:rPr>
      </w:pPr>
      <w:r w:rsidRPr="007D47AD">
        <w:rPr>
          <w:rFonts w:ascii="Cambria" w:hAnsi="Cambria" w:cs="Calibri"/>
          <w:sz w:val="20"/>
          <w:szCs w:val="20"/>
          <w:lang w:val="en-US"/>
        </w:rPr>
        <w:t xml:space="preserve">The IACHR has also </w:t>
      </w:r>
      <w:r w:rsidR="0021643C" w:rsidRPr="007D47AD">
        <w:rPr>
          <w:rFonts w:ascii="Cambria" w:hAnsi="Cambria" w:cs="Calibri"/>
          <w:sz w:val="20"/>
          <w:szCs w:val="20"/>
          <w:lang w:val="en-US"/>
        </w:rPr>
        <w:t>observ</w:t>
      </w:r>
      <w:r w:rsidRPr="007D47AD">
        <w:rPr>
          <w:rFonts w:ascii="Cambria" w:hAnsi="Cambria" w:cs="Calibri"/>
          <w:sz w:val="20"/>
          <w:szCs w:val="20"/>
          <w:lang w:val="en-US"/>
        </w:rPr>
        <w:t xml:space="preserve">ed that irregular-status migrants who transit through Mexico continue to be criminalized. For example, in October </w:t>
      </w:r>
      <w:r w:rsidR="0021643C" w:rsidRPr="007D47AD">
        <w:rPr>
          <w:rFonts w:ascii="Cambria" w:hAnsi="Cambria" w:cs="Calibri"/>
          <w:sz w:val="20"/>
          <w:szCs w:val="20"/>
          <w:lang w:val="en-US"/>
        </w:rPr>
        <w:t>2019</w:t>
      </w:r>
      <w:r w:rsidRPr="007D47AD">
        <w:rPr>
          <w:rFonts w:ascii="Cambria" w:hAnsi="Cambria" w:cs="Calibri"/>
          <w:sz w:val="20"/>
          <w:szCs w:val="20"/>
          <w:lang w:val="en-US"/>
        </w:rPr>
        <w:t xml:space="preserve"> the director of the </w:t>
      </w:r>
      <w:r w:rsidR="0021643C" w:rsidRPr="007D47AD">
        <w:rPr>
          <w:rFonts w:ascii="Cambria" w:hAnsi="Cambria" w:cs="Calibri"/>
          <w:sz w:val="20"/>
          <w:szCs w:val="20"/>
          <w:lang w:val="en-US"/>
        </w:rPr>
        <w:t xml:space="preserve">INM, </w:t>
      </w:r>
      <w:r w:rsidRPr="007D47AD">
        <w:rPr>
          <w:rFonts w:ascii="Cambria" w:hAnsi="Cambria" w:cs="Calibri"/>
          <w:sz w:val="20"/>
          <w:szCs w:val="20"/>
          <w:lang w:val="en-US"/>
        </w:rPr>
        <w:t xml:space="preserve">making reference to deportations in the context of a conference, said </w:t>
      </w:r>
      <w:r w:rsidR="0021643C" w:rsidRPr="007D47AD">
        <w:rPr>
          <w:rFonts w:ascii="Cambria" w:hAnsi="Cambria" w:cs="Calibri"/>
          <w:sz w:val="20"/>
          <w:szCs w:val="20"/>
          <w:lang w:val="en-US"/>
        </w:rPr>
        <w:t>“…</w:t>
      </w:r>
      <w:r w:rsidRPr="007D47AD">
        <w:rPr>
          <w:rFonts w:ascii="Cambria" w:hAnsi="Cambria" w:cs="Calibri"/>
          <w:sz w:val="20"/>
          <w:szCs w:val="20"/>
          <w:lang w:val="en-US"/>
        </w:rPr>
        <w:t xml:space="preserve"> that is </w:t>
      </w:r>
      <w:r w:rsidR="00AF7007" w:rsidRPr="007D47AD">
        <w:rPr>
          <w:rFonts w:ascii="Cambria" w:hAnsi="Cambria" w:cs="Calibri"/>
          <w:sz w:val="20"/>
          <w:szCs w:val="20"/>
          <w:lang w:val="en-US"/>
        </w:rPr>
        <w:t xml:space="preserve">a </w:t>
      </w:r>
      <w:r w:rsidRPr="007D47AD">
        <w:rPr>
          <w:rFonts w:ascii="Cambria" w:hAnsi="Cambria" w:cs="Calibri"/>
          <w:sz w:val="20"/>
          <w:szCs w:val="20"/>
          <w:lang w:val="en-US"/>
        </w:rPr>
        <w:t xml:space="preserve">notice to all transcontinental migration, even if they are from Mars we are going to send them back, to </w:t>
      </w:r>
      <w:r w:rsidR="0021643C" w:rsidRPr="007D47AD">
        <w:rPr>
          <w:rFonts w:ascii="Cambria" w:hAnsi="Cambria" w:cs="Calibri"/>
          <w:sz w:val="20"/>
          <w:szCs w:val="20"/>
          <w:lang w:val="en-US"/>
        </w:rPr>
        <w:t xml:space="preserve">India, </w:t>
      </w:r>
      <w:r w:rsidRPr="007D47AD">
        <w:rPr>
          <w:rFonts w:ascii="Cambria" w:hAnsi="Cambria" w:cs="Calibri"/>
          <w:sz w:val="20"/>
          <w:szCs w:val="20"/>
          <w:lang w:val="en-US"/>
        </w:rPr>
        <w:t>to Cameroon</w:t>
      </w:r>
      <w:r w:rsidR="0021643C" w:rsidRPr="007D47AD">
        <w:rPr>
          <w:rFonts w:ascii="Cambria" w:hAnsi="Cambria" w:cs="Calibri"/>
          <w:sz w:val="20"/>
          <w:szCs w:val="20"/>
          <w:lang w:val="en-US"/>
        </w:rPr>
        <w:t xml:space="preserve">, </w:t>
      </w:r>
      <w:r w:rsidRPr="007D47AD">
        <w:rPr>
          <w:rFonts w:ascii="Cambria" w:hAnsi="Cambria" w:cs="Calibri"/>
          <w:sz w:val="20"/>
          <w:szCs w:val="20"/>
          <w:lang w:val="en-US"/>
        </w:rPr>
        <w:t>to A</w:t>
      </w:r>
      <w:r w:rsidR="0021643C" w:rsidRPr="007D47AD">
        <w:rPr>
          <w:rFonts w:ascii="Cambria" w:hAnsi="Cambria" w:cs="Calibri"/>
          <w:sz w:val="20"/>
          <w:szCs w:val="20"/>
          <w:lang w:val="en-US"/>
        </w:rPr>
        <w:t>frica…</w:t>
      </w:r>
      <w:r w:rsidRPr="007D47AD">
        <w:rPr>
          <w:rFonts w:ascii="Cambria" w:hAnsi="Cambria" w:cs="Calibri"/>
          <w:sz w:val="20"/>
          <w:szCs w:val="20"/>
          <w:lang w:val="en-US"/>
        </w:rPr>
        <w:t>.”</w:t>
      </w:r>
      <w:r w:rsidR="0021643C" w:rsidRPr="007D47AD">
        <w:rPr>
          <w:rStyle w:val="FootnoteReference"/>
          <w:rFonts w:ascii="Cambria" w:hAnsi="Cambria" w:cs="Calibri"/>
          <w:sz w:val="20"/>
          <w:szCs w:val="20"/>
          <w:lang w:val="en-US"/>
        </w:rPr>
        <w:footnoteReference w:id="445"/>
      </w:r>
      <w:r w:rsidR="0021643C" w:rsidRPr="007D47AD">
        <w:rPr>
          <w:rFonts w:ascii="Cambria" w:hAnsi="Cambria" w:cs="Calibri"/>
          <w:sz w:val="20"/>
          <w:szCs w:val="20"/>
          <w:lang w:val="en-US"/>
        </w:rPr>
        <w:t xml:space="preserve"> </w:t>
      </w:r>
      <w:r w:rsidRPr="007D47AD">
        <w:rPr>
          <w:rFonts w:ascii="Cambria" w:hAnsi="Cambria" w:cs="Calibri"/>
          <w:sz w:val="20"/>
          <w:szCs w:val="20"/>
          <w:lang w:val="en-US"/>
        </w:rPr>
        <w:t>In line with the foregoing the IACHR received information from civil society organizations that indicate that they have documentation that some of the persons held at the migration stations were put in solitary confinement and subjected to interrogation by agents of the INM</w:t>
      </w:r>
      <w:r w:rsidR="00AF7007" w:rsidRPr="007D47AD">
        <w:rPr>
          <w:rFonts w:ascii="Cambria" w:hAnsi="Cambria" w:cs="Calibri"/>
          <w:sz w:val="20"/>
          <w:szCs w:val="20"/>
          <w:lang w:val="en-US"/>
        </w:rPr>
        <w:t>,</w:t>
      </w:r>
      <w:r w:rsidRPr="007D47AD">
        <w:rPr>
          <w:rFonts w:ascii="Cambria" w:hAnsi="Cambria" w:cs="Calibri"/>
          <w:sz w:val="20"/>
          <w:szCs w:val="20"/>
          <w:lang w:val="en-US"/>
        </w:rPr>
        <w:t xml:space="preserve"> accused of the crime of smuggling persons and associated with </w:t>
      </w:r>
      <w:r w:rsidR="0021643C" w:rsidRPr="007D47AD">
        <w:rPr>
          <w:rFonts w:ascii="Cambria" w:hAnsi="Cambria" w:cs="Calibri"/>
          <w:sz w:val="20"/>
          <w:szCs w:val="20"/>
          <w:lang w:val="en-US"/>
        </w:rPr>
        <w:t xml:space="preserve">Pueblos Sin Fronteras, </w:t>
      </w:r>
      <w:r w:rsidRPr="007D47AD">
        <w:rPr>
          <w:rFonts w:ascii="Cambria" w:hAnsi="Cambria" w:cs="Calibri"/>
          <w:sz w:val="20"/>
          <w:szCs w:val="20"/>
          <w:lang w:val="en-US"/>
        </w:rPr>
        <w:t xml:space="preserve">an </w:t>
      </w:r>
      <w:r w:rsidR="0021643C" w:rsidRPr="007D47AD">
        <w:rPr>
          <w:rFonts w:ascii="Cambria" w:hAnsi="Cambria" w:cs="Calibri"/>
          <w:sz w:val="20"/>
          <w:szCs w:val="20"/>
          <w:lang w:val="en-US"/>
        </w:rPr>
        <w:t>organiza</w:t>
      </w:r>
      <w:r w:rsidRPr="007D47AD">
        <w:rPr>
          <w:rFonts w:ascii="Cambria" w:hAnsi="Cambria" w:cs="Calibri"/>
          <w:sz w:val="20"/>
          <w:szCs w:val="20"/>
          <w:lang w:val="en-US"/>
        </w:rPr>
        <w:t xml:space="preserve">tion that has been </w:t>
      </w:r>
      <w:r w:rsidR="0021643C" w:rsidRPr="007D47AD">
        <w:rPr>
          <w:rFonts w:ascii="Cambria" w:hAnsi="Cambria" w:cs="Calibri"/>
          <w:sz w:val="20"/>
          <w:szCs w:val="20"/>
          <w:lang w:val="en-US"/>
        </w:rPr>
        <w:t>criminali</w:t>
      </w:r>
      <w:r w:rsidRPr="007D47AD">
        <w:rPr>
          <w:rFonts w:ascii="Cambria" w:hAnsi="Cambria" w:cs="Calibri"/>
          <w:sz w:val="20"/>
          <w:szCs w:val="20"/>
          <w:lang w:val="en-US"/>
        </w:rPr>
        <w:t>zed</w:t>
      </w:r>
      <w:r w:rsidR="0021643C" w:rsidRPr="007D47AD">
        <w:rPr>
          <w:rFonts w:ascii="Cambria" w:hAnsi="Cambria" w:cs="Calibri"/>
          <w:sz w:val="20"/>
          <w:szCs w:val="20"/>
          <w:lang w:val="en-US"/>
        </w:rPr>
        <w:t xml:space="preserve">. </w:t>
      </w:r>
      <w:r w:rsidRPr="007D47AD">
        <w:rPr>
          <w:rFonts w:ascii="Cambria" w:hAnsi="Cambria" w:cs="Calibri"/>
          <w:sz w:val="20"/>
          <w:szCs w:val="20"/>
          <w:lang w:val="en-US"/>
        </w:rPr>
        <w:t xml:space="preserve">The IACHR takes note that criminalization has also affected the </w:t>
      </w:r>
      <w:r w:rsidR="00CF37BB" w:rsidRPr="007D47AD">
        <w:rPr>
          <w:rFonts w:ascii="Cambria" w:hAnsi="Cambria" w:cs="Calibri"/>
          <w:sz w:val="20"/>
          <w:szCs w:val="20"/>
          <w:lang w:val="en-US"/>
        </w:rPr>
        <w:t>Assembly of African Migrants</w:t>
      </w:r>
      <w:r w:rsidR="00CF37BB" w:rsidRPr="007D47AD">
        <w:rPr>
          <w:rFonts w:ascii="Cambria" w:hAnsi="Cambria" w:cs="Calibri"/>
          <w:sz w:val="20"/>
          <w:szCs w:val="20"/>
          <w:lang w:val="en-US"/>
        </w:rPr>
        <w:tab/>
        <w:t xml:space="preserve"> in Tapachula, </w:t>
      </w:r>
      <w:r w:rsidRPr="007D47AD">
        <w:rPr>
          <w:rFonts w:ascii="Cambria" w:hAnsi="Cambria" w:cs="Calibri"/>
          <w:sz w:val="20"/>
          <w:szCs w:val="20"/>
          <w:lang w:val="en-US"/>
        </w:rPr>
        <w:t xml:space="preserve">who have organized </w:t>
      </w:r>
      <w:r w:rsidR="00CF37BB" w:rsidRPr="007D47AD">
        <w:rPr>
          <w:rFonts w:ascii="Cambria" w:hAnsi="Cambria" w:cs="Calibri"/>
          <w:sz w:val="20"/>
          <w:szCs w:val="20"/>
          <w:lang w:val="en-US"/>
        </w:rPr>
        <w:t xml:space="preserve">in response to </w:t>
      </w:r>
      <w:r w:rsidRPr="007D47AD">
        <w:rPr>
          <w:rFonts w:ascii="Cambria" w:hAnsi="Cambria" w:cs="Calibri"/>
          <w:sz w:val="20"/>
          <w:szCs w:val="20"/>
          <w:lang w:val="en-US"/>
        </w:rPr>
        <w:t xml:space="preserve">the delays and obstacles in their migration procedures and the lack of </w:t>
      </w:r>
      <w:r w:rsidR="0021643C" w:rsidRPr="007D47AD">
        <w:rPr>
          <w:rFonts w:ascii="Cambria" w:hAnsi="Cambria" w:cs="Calibri"/>
          <w:sz w:val="20"/>
          <w:szCs w:val="20"/>
          <w:lang w:val="en-US"/>
        </w:rPr>
        <w:t>humanitaria</w:t>
      </w:r>
      <w:r w:rsidRPr="007D47AD">
        <w:rPr>
          <w:rFonts w:ascii="Cambria" w:hAnsi="Cambria" w:cs="Calibri"/>
          <w:sz w:val="20"/>
          <w:szCs w:val="20"/>
          <w:lang w:val="en-US"/>
        </w:rPr>
        <w:t>n assistance</w:t>
      </w:r>
      <w:r w:rsidR="0021643C" w:rsidRPr="007D47AD">
        <w:rPr>
          <w:rFonts w:ascii="Cambria" w:hAnsi="Cambria" w:cs="Calibri"/>
          <w:sz w:val="20"/>
          <w:szCs w:val="20"/>
          <w:lang w:val="en-US"/>
        </w:rPr>
        <w:t xml:space="preserve">. </w:t>
      </w:r>
      <w:r w:rsidR="00CF37BB" w:rsidRPr="007D47AD">
        <w:rPr>
          <w:rFonts w:ascii="Cambria" w:hAnsi="Cambria" w:cs="Calibri"/>
          <w:sz w:val="20"/>
          <w:szCs w:val="20"/>
          <w:lang w:val="en-US"/>
        </w:rPr>
        <w:t xml:space="preserve">In this connection, </w:t>
      </w:r>
      <w:r w:rsidRPr="007D47AD">
        <w:rPr>
          <w:rFonts w:ascii="Cambria" w:hAnsi="Cambria" w:cs="Calibri"/>
          <w:sz w:val="20"/>
          <w:szCs w:val="20"/>
          <w:lang w:val="en-US"/>
        </w:rPr>
        <w:t xml:space="preserve">human rights organizations and human rights defenders report having faced a context of hostility, </w:t>
      </w:r>
      <w:r w:rsidR="00CF37BB" w:rsidRPr="007D47AD">
        <w:rPr>
          <w:rFonts w:ascii="Cambria" w:hAnsi="Cambria" w:cs="Calibri"/>
          <w:sz w:val="20"/>
          <w:szCs w:val="20"/>
          <w:lang w:val="en-US"/>
        </w:rPr>
        <w:t xml:space="preserve">challenges, </w:t>
      </w:r>
      <w:r w:rsidR="0021643C" w:rsidRPr="007D47AD">
        <w:rPr>
          <w:rFonts w:ascii="Cambria" w:hAnsi="Cambria" w:cs="Calibri"/>
          <w:sz w:val="20"/>
          <w:szCs w:val="20"/>
          <w:lang w:val="en-US"/>
        </w:rPr>
        <w:t>impediment</w:t>
      </w:r>
      <w:r w:rsidRPr="007D47AD">
        <w:rPr>
          <w:rFonts w:ascii="Cambria" w:hAnsi="Cambria" w:cs="Calibri"/>
          <w:sz w:val="20"/>
          <w:szCs w:val="20"/>
          <w:lang w:val="en-US"/>
        </w:rPr>
        <w:t xml:space="preserve">s to their advocacy work, harassment, criminalization, and use of the criminal law against their advocacy work as a strategy for demobilizing the solidarity and </w:t>
      </w:r>
      <w:r w:rsidR="0021643C" w:rsidRPr="007D47AD">
        <w:rPr>
          <w:rFonts w:ascii="Cambria" w:hAnsi="Cambria" w:cs="Calibri"/>
          <w:sz w:val="20"/>
          <w:szCs w:val="20"/>
          <w:lang w:val="en-US"/>
        </w:rPr>
        <w:t>humanitaria</w:t>
      </w:r>
      <w:r w:rsidRPr="007D47AD">
        <w:rPr>
          <w:rFonts w:ascii="Cambria" w:hAnsi="Cambria" w:cs="Calibri"/>
          <w:sz w:val="20"/>
          <w:szCs w:val="20"/>
          <w:lang w:val="en-US"/>
        </w:rPr>
        <w:t>n assistance they provide.</w:t>
      </w:r>
      <w:r w:rsidR="0021643C" w:rsidRPr="007D47AD">
        <w:rPr>
          <w:rStyle w:val="FootnoteReference"/>
          <w:rFonts w:ascii="Cambria" w:hAnsi="Cambria" w:cs="Calibri"/>
          <w:sz w:val="20"/>
          <w:szCs w:val="20"/>
          <w:lang w:val="en-US"/>
        </w:rPr>
        <w:footnoteReference w:id="446"/>
      </w:r>
    </w:p>
    <w:p w:rsidR="00980ACC" w:rsidRPr="007D47AD" w:rsidRDefault="00980ACC" w:rsidP="00980ACC">
      <w:pPr>
        <w:shd w:val="clear" w:color="auto" w:fill="FFFFFF"/>
        <w:spacing w:after="0" w:line="240" w:lineRule="auto"/>
        <w:ind w:left="709"/>
        <w:jc w:val="both"/>
        <w:rPr>
          <w:rFonts w:ascii="Cambria" w:hAnsi="Cambria" w:cs="Arial"/>
          <w:sz w:val="20"/>
          <w:szCs w:val="20"/>
          <w:lang w:val="en-US"/>
        </w:rPr>
      </w:pPr>
    </w:p>
    <w:p w:rsidR="00980ACC" w:rsidRPr="007D47AD" w:rsidRDefault="00846CED" w:rsidP="00980ACC">
      <w:pPr>
        <w:numPr>
          <w:ilvl w:val="0"/>
          <w:numId w:val="6"/>
        </w:numPr>
        <w:shd w:val="clear" w:color="auto" w:fill="FFFFFF"/>
        <w:spacing w:after="0" w:line="240" w:lineRule="auto"/>
        <w:ind w:left="0" w:firstLine="709"/>
        <w:jc w:val="both"/>
        <w:rPr>
          <w:rFonts w:ascii="Cambria" w:hAnsi="Cambria" w:cs="Arial"/>
          <w:sz w:val="20"/>
          <w:szCs w:val="20"/>
          <w:lang w:val="en-US"/>
        </w:rPr>
      </w:pPr>
      <w:r w:rsidRPr="007D47AD">
        <w:rPr>
          <w:rFonts w:ascii="Cambria" w:hAnsi="Cambria" w:cs="Calibri"/>
          <w:sz w:val="20"/>
          <w:szCs w:val="20"/>
          <w:lang w:val="en-US"/>
        </w:rPr>
        <w:t xml:space="preserve">The IACHR observes that the </w:t>
      </w:r>
      <w:r w:rsidR="0021643C" w:rsidRPr="007D47AD">
        <w:rPr>
          <w:rFonts w:ascii="Cambria" w:hAnsi="Cambria" w:cs="Calibri"/>
          <w:sz w:val="20"/>
          <w:szCs w:val="20"/>
          <w:lang w:val="en-US"/>
        </w:rPr>
        <w:t xml:space="preserve">CNDH </w:t>
      </w:r>
      <w:r w:rsidR="00844D80" w:rsidRPr="007D47AD">
        <w:rPr>
          <w:rFonts w:ascii="Cambria" w:hAnsi="Cambria" w:cs="Calibri"/>
          <w:sz w:val="20"/>
          <w:szCs w:val="20"/>
          <w:lang w:val="en-US"/>
        </w:rPr>
        <w:t>conde</w:t>
      </w:r>
      <w:r w:rsidRPr="007D47AD">
        <w:rPr>
          <w:rFonts w:ascii="Cambria" w:hAnsi="Cambria" w:cs="Calibri"/>
          <w:sz w:val="20"/>
          <w:szCs w:val="20"/>
          <w:lang w:val="en-US"/>
        </w:rPr>
        <w:t>m</w:t>
      </w:r>
      <w:r w:rsidR="00844D80" w:rsidRPr="007D47AD">
        <w:rPr>
          <w:rFonts w:ascii="Cambria" w:hAnsi="Cambria" w:cs="Calibri"/>
          <w:sz w:val="20"/>
          <w:szCs w:val="20"/>
          <w:lang w:val="en-US"/>
        </w:rPr>
        <w:t>n</w:t>
      </w:r>
      <w:r w:rsidRPr="007D47AD">
        <w:rPr>
          <w:rFonts w:ascii="Cambria" w:hAnsi="Cambria" w:cs="Calibri"/>
          <w:sz w:val="20"/>
          <w:szCs w:val="20"/>
          <w:lang w:val="en-US"/>
        </w:rPr>
        <w:t>ed the harassment, threats, and pres</w:t>
      </w:r>
      <w:r w:rsidR="00CF37BB" w:rsidRPr="007D47AD">
        <w:rPr>
          <w:rFonts w:ascii="Cambria" w:hAnsi="Cambria" w:cs="Calibri"/>
          <w:sz w:val="20"/>
          <w:szCs w:val="20"/>
          <w:lang w:val="en-US"/>
        </w:rPr>
        <w:t>sure</w:t>
      </w:r>
      <w:r w:rsidRPr="007D47AD">
        <w:rPr>
          <w:rFonts w:ascii="Cambria" w:hAnsi="Cambria" w:cs="Calibri"/>
          <w:sz w:val="20"/>
          <w:szCs w:val="20"/>
          <w:lang w:val="en-US"/>
        </w:rPr>
        <w:t xml:space="preserve">s </w:t>
      </w:r>
      <w:r w:rsidR="00A00EE9" w:rsidRPr="007D47AD">
        <w:rPr>
          <w:rFonts w:ascii="Cambria" w:hAnsi="Cambria" w:cs="Calibri"/>
          <w:sz w:val="20"/>
          <w:szCs w:val="20"/>
          <w:lang w:val="en-US"/>
        </w:rPr>
        <w:t xml:space="preserve">that the personnel of the federal public service brings to bear against the work of persons who defend migrants’ rights.  </w:t>
      </w:r>
      <w:r w:rsidR="00A00EE9" w:rsidRPr="007D47AD">
        <w:rPr>
          <w:rFonts w:ascii="Cambria" w:hAnsi="Cambria" w:cs="Arial"/>
          <w:sz w:val="20"/>
          <w:szCs w:val="20"/>
          <w:lang w:val="en-US"/>
        </w:rPr>
        <w:t>In addition, the CNDH granted precautionary measures to prevent the consummati</w:t>
      </w:r>
      <w:r w:rsidR="00CF37BB" w:rsidRPr="007D47AD">
        <w:rPr>
          <w:rFonts w:ascii="Cambria" w:hAnsi="Cambria" w:cs="Arial"/>
          <w:sz w:val="20"/>
          <w:szCs w:val="20"/>
          <w:lang w:val="en-US"/>
        </w:rPr>
        <w:t>o</w:t>
      </w:r>
      <w:r w:rsidR="00A00EE9" w:rsidRPr="007D47AD">
        <w:rPr>
          <w:rFonts w:ascii="Cambria" w:hAnsi="Cambria" w:cs="Arial"/>
          <w:sz w:val="20"/>
          <w:szCs w:val="20"/>
          <w:lang w:val="en-US"/>
        </w:rPr>
        <w:t xml:space="preserve">n of human rights violations and the possible irreparable harm to those who were negatively impacted by the intervention of members of the National Guard and </w:t>
      </w:r>
      <w:r w:rsidR="00844D80" w:rsidRPr="007D47AD">
        <w:rPr>
          <w:rFonts w:ascii="Cambria" w:hAnsi="Cambria" w:cs="Arial"/>
          <w:sz w:val="20"/>
          <w:szCs w:val="20"/>
          <w:lang w:val="en-US"/>
        </w:rPr>
        <w:t xml:space="preserve">Federal </w:t>
      </w:r>
      <w:r w:rsidR="00A00EE9" w:rsidRPr="007D47AD">
        <w:rPr>
          <w:rFonts w:ascii="Cambria" w:hAnsi="Cambria" w:cs="Arial"/>
          <w:sz w:val="20"/>
          <w:szCs w:val="20"/>
          <w:lang w:val="en-US"/>
        </w:rPr>
        <w:t xml:space="preserve">Police at the </w:t>
      </w:r>
      <w:r w:rsidR="0021643C" w:rsidRPr="007D47AD">
        <w:rPr>
          <w:rFonts w:ascii="Cambria" w:hAnsi="Cambria" w:cs="Arial"/>
          <w:i/>
          <w:iCs/>
          <w:sz w:val="20"/>
          <w:szCs w:val="20"/>
          <w:lang w:val="en-US"/>
        </w:rPr>
        <w:t>Exodus Came</w:t>
      </w:r>
      <w:r w:rsidR="0021643C" w:rsidRPr="007D47AD">
        <w:rPr>
          <w:rFonts w:ascii="Cambria" w:hAnsi="Cambria" w:cs="Arial"/>
          <w:sz w:val="20"/>
          <w:szCs w:val="20"/>
          <w:lang w:val="en-US"/>
        </w:rPr>
        <w:t xml:space="preserve"> </w:t>
      </w:r>
      <w:r w:rsidR="00A00EE9" w:rsidRPr="007D47AD">
        <w:rPr>
          <w:rFonts w:ascii="Cambria" w:hAnsi="Cambria" w:cs="Arial"/>
          <w:sz w:val="20"/>
          <w:szCs w:val="20"/>
          <w:lang w:val="en-US"/>
        </w:rPr>
        <w:t xml:space="preserve">shelters in </w:t>
      </w:r>
      <w:r w:rsidR="0021643C" w:rsidRPr="007D47AD">
        <w:rPr>
          <w:rFonts w:ascii="Cambria" w:hAnsi="Cambria" w:cs="Arial"/>
          <w:sz w:val="20"/>
          <w:szCs w:val="20"/>
          <w:lang w:val="en-US"/>
        </w:rPr>
        <w:t xml:space="preserve">Agua Prieta, Sonora </w:t>
      </w:r>
      <w:r w:rsidR="00A00EE9" w:rsidRPr="007D47AD">
        <w:rPr>
          <w:rFonts w:ascii="Cambria" w:hAnsi="Cambria" w:cs="Arial"/>
          <w:sz w:val="20"/>
          <w:szCs w:val="20"/>
          <w:lang w:val="en-US"/>
        </w:rPr>
        <w:t>and</w:t>
      </w:r>
      <w:r w:rsidR="0021643C" w:rsidRPr="007D47AD">
        <w:rPr>
          <w:rFonts w:ascii="Cambria" w:hAnsi="Cambria" w:cs="Arial"/>
          <w:sz w:val="20"/>
          <w:szCs w:val="20"/>
          <w:lang w:val="en-US"/>
        </w:rPr>
        <w:t xml:space="preserve"> </w:t>
      </w:r>
      <w:r w:rsidR="0021643C" w:rsidRPr="007D47AD">
        <w:rPr>
          <w:rFonts w:ascii="Cambria" w:hAnsi="Cambria" w:cs="Arial"/>
          <w:i/>
          <w:iCs/>
          <w:sz w:val="20"/>
          <w:szCs w:val="20"/>
          <w:lang w:val="en-US"/>
        </w:rPr>
        <w:t>Casa del</w:t>
      </w:r>
      <w:r w:rsidR="0021643C" w:rsidRPr="007D47AD">
        <w:rPr>
          <w:rFonts w:ascii="Cambria" w:hAnsi="Cambria" w:cs="Arial"/>
          <w:sz w:val="20"/>
          <w:szCs w:val="20"/>
          <w:lang w:val="en-US"/>
        </w:rPr>
        <w:t xml:space="preserve"> </w:t>
      </w:r>
      <w:r w:rsidR="0021643C" w:rsidRPr="007D47AD">
        <w:rPr>
          <w:rFonts w:ascii="Cambria" w:hAnsi="Cambria" w:cs="Arial"/>
          <w:i/>
          <w:iCs/>
          <w:sz w:val="20"/>
          <w:szCs w:val="20"/>
          <w:lang w:val="en-US"/>
        </w:rPr>
        <w:t>Migrante</w:t>
      </w:r>
      <w:r w:rsidR="0021643C" w:rsidRPr="007D47AD">
        <w:rPr>
          <w:rFonts w:ascii="Cambria" w:hAnsi="Cambria" w:cs="Arial"/>
          <w:sz w:val="20"/>
          <w:szCs w:val="20"/>
          <w:lang w:val="en-US"/>
        </w:rPr>
        <w:t xml:space="preserve">, </w:t>
      </w:r>
      <w:r w:rsidR="00A00EE9" w:rsidRPr="007D47AD">
        <w:rPr>
          <w:rFonts w:ascii="Cambria" w:hAnsi="Cambria" w:cs="Arial"/>
          <w:sz w:val="20"/>
          <w:szCs w:val="20"/>
          <w:lang w:val="en-US"/>
        </w:rPr>
        <w:t>i</w:t>
      </w:r>
      <w:r w:rsidR="0021643C" w:rsidRPr="007D47AD">
        <w:rPr>
          <w:rFonts w:ascii="Cambria" w:hAnsi="Cambria" w:cs="Arial"/>
          <w:sz w:val="20"/>
          <w:szCs w:val="20"/>
          <w:lang w:val="en-US"/>
        </w:rPr>
        <w:t>n Saltillo, Coahuila, respectiv</w:t>
      </w:r>
      <w:r w:rsidR="00A00EE9" w:rsidRPr="007D47AD">
        <w:rPr>
          <w:rFonts w:ascii="Cambria" w:hAnsi="Cambria" w:cs="Arial"/>
          <w:sz w:val="20"/>
          <w:szCs w:val="20"/>
          <w:lang w:val="en-US"/>
        </w:rPr>
        <w:t>ely</w:t>
      </w:r>
      <w:r w:rsidR="0021643C" w:rsidRPr="007D47AD">
        <w:rPr>
          <w:rFonts w:ascii="Cambria" w:hAnsi="Cambria" w:cs="Arial"/>
          <w:sz w:val="20"/>
          <w:szCs w:val="20"/>
          <w:lang w:val="en-US"/>
        </w:rPr>
        <w:t xml:space="preserve">, </w:t>
      </w:r>
      <w:r w:rsidR="00A00EE9" w:rsidRPr="007D47AD">
        <w:rPr>
          <w:rFonts w:ascii="Cambria" w:hAnsi="Cambria" w:cs="Arial"/>
          <w:sz w:val="20"/>
          <w:szCs w:val="20"/>
          <w:lang w:val="en-US"/>
        </w:rPr>
        <w:t xml:space="preserve">who entered the places to undertake immigration </w:t>
      </w:r>
      <w:r w:rsidR="00CF37BB" w:rsidRPr="007D47AD">
        <w:rPr>
          <w:rFonts w:ascii="Cambria" w:hAnsi="Cambria" w:cs="Arial"/>
          <w:sz w:val="20"/>
          <w:szCs w:val="20"/>
          <w:lang w:val="en-US"/>
        </w:rPr>
        <w:t xml:space="preserve">enforcement </w:t>
      </w:r>
      <w:r w:rsidR="00A00EE9" w:rsidRPr="007D47AD">
        <w:rPr>
          <w:rFonts w:ascii="Cambria" w:hAnsi="Cambria" w:cs="Arial"/>
          <w:sz w:val="20"/>
          <w:szCs w:val="20"/>
          <w:lang w:val="en-US"/>
        </w:rPr>
        <w:t>actions.</w:t>
      </w:r>
      <w:r w:rsidR="0021643C" w:rsidRPr="007D47AD">
        <w:rPr>
          <w:rStyle w:val="FootnoteReference"/>
          <w:rFonts w:ascii="Cambria" w:hAnsi="Cambria" w:cs="Arial"/>
          <w:sz w:val="20"/>
          <w:szCs w:val="20"/>
          <w:lang w:val="en-US"/>
        </w:rPr>
        <w:footnoteReference w:id="447"/>
      </w:r>
      <w:r w:rsidR="0021643C" w:rsidRPr="007D47AD">
        <w:rPr>
          <w:rFonts w:ascii="Cambria" w:hAnsi="Cambria" w:cs="Arial"/>
          <w:sz w:val="20"/>
          <w:szCs w:val="20"/>
          <w:lang w:val="en-US"/>
        </w:rPr>
        <w:t xml:space="preserve"> </w:t>
      </w:r>
      <w:r w:rsidR="00A00EE9" w:rsidRPr="007D47AD">
        <w:rPr>
          <w:rFonts w:ascii="Cambria" w:hAnsi="Cambria" w:cs="Arial"/>
          <w:sz w:val="20"/>
          <w:szCs w:val="20"/>
          <w:lang w:val="en-US"/>
        </w:rPr>
        <w:t>These incidents were also reported by civil society organizations to the Commission.</w:t>
      </w:r>
      <w:r w:rsidR="0021643C" w:rsidRPr="007D47AD">
        <w:rPr>
          <w:rStyle w:val="FootnoteReference"/>
          <w:rFonts w:ascii="Cambria" w:hAnsi="Cambria" w:cs="Arial"/>
          <w:sz w:val="20"/>
          <w:szCs w:val="20"/>
          <w:lang w:val="en-US"/>
        </w:rPr>
        <w:footnoteReference w:id="448"/>
      </w:r>
    </w:p>
    <w:p w:rsidR="00980ACC" w:rsidRPr="007D47AD" w:rsidRDefault="00980ACC" w:rsidP="00980ACC">
      <w:pPr>
        <w:shd w:val="clear" w:color="auto" w:fill="FFFFFF"/>
        <w:spacing w:after="0" w:line="240" w:lineRule="auto"/>
        <w:ind w:left="709"/>
        <w:jc w:val="both"/>
        <w:rPr>
          <w:rFonts w:ascii="Cambria" w:hAnsi="Cambria" w:cs="Arial"/>
          <w:sz w:val="20"/>
          <w:szCs w:val="20"/>
          <w:lang w:val="en-US"/>
        </w:rPr>
      </w:pPr>
    </w:p>
    <w:p w:rsidR="00980ACC" w:rsidRPr="007D47AD" w:rsidRDefault="00A00EE9" w:rsidP="00980ACC">
      <w:pPr>
        <w:numPr>
          <w:ilvl w:val="0"/>
          <w:numId w:val="6"/>
        </w:numPr>
        <w:shd w:val="clear" w:color="auto" w:fill="FFFFFF"/>
        <w:spacing w:after="0" w:line="240" w:lineRule="auto"/>
        <w:ind w:left="0" w:firstLine="709"/>
        <w:jc w:val="both"/>
        <w:rPr>
          <w:rFonts w:ascii="Cambria" w:hAnsi="Cambria" w:cs="Arial"/>
          <w:sz w:val="20"/>
          <w:szCs w:val="20"/>
          <w:lang w:val="en-US"/>
        </w:rPr>
      </w:pPr>
      <w:r w:rsidRPr="007D47AD">
        <w:rPr>
          <w:rFonts w:ascii="Cambria" w:hAnsi="Cambria" w:cs="Arial"/>
          <w:sz w:val="20"/>
          <w:szCs w:val="20"/>
          <w:lang w:val="en-US"/>
        </w:rPr>
        <w:t xml:space="preserve">In this same context the IACHR has expressed its concern over the increase in measures aimed at </w:t>
      </w:r>
      <w:r w:rsidR="0021643C" w:rsidRPr="007D47AD">
        <w:rPr>
          <w:rFonts w:ascii="Cambria" w:eastAsia="Times New Roman" w:hAnsi="Cambria" w:cs="Tahoma"/>
          <w:sz w:val="20"/>
          <w:szCs w:val="20"/>
          <w:shd w:val="clear" w:color="auto" w:fill="FFFFFF"/>
          <w:lang w:val="en-US"/>
        </w:rPr>
        <w:t>criminaliz</w:t>
      </w:r>
      <w:r w:rsidRPr="007D47AD">
        <w:rPr>
          <w:rFonts w:ascii="Cambria" w:eastAsia="Times New Roman" w:hAnsi="Cambria" w:cs="Tahoma"/>
          <w:sz w:val="20"/>
          <w:szCs w:val="20"/>
          <w:shd w:val="clear" w:color="auto" w:fill="FFFFFF"/>
          <w:lang w:val="en-US"/>
        </w:rPr>
        <w:t>ing human rights defenders who provide assistance to migrants and refugees in Mexico</w:t>
      </w:r>
      <w:r w:rsidR="0021643C" w:rsidRPr="007D47AD">
        <w:rPr>
          <w:rFonts w:ascii="Cambria" w:eastAsia="Times New Roman" w:hAnsi="Cambria" w:cs="Tahoma"/>
          <w:sz w:val="20"/>
          <w:szCs w:val="20"/>
          <w:shd w:val="clear" w:color="auto" w:fill="FFFFFF"/>
          <w:lang w:val="en-US"/>
        </w:rPr>
        <w:t xml:space="preserve">. </w:t>
      </w:r>
      <w:r w:rsidRPr="007D47AD">
        <w:rPr>
          <w:rFonts w:ascii="Cambria" w:eastAsia="Times New Roman" w:hAnsi="Cambria" w:cs="Tahoma"/>
          <w:sz w:val="20"/>
          <w:szCs w:val="20"/>
          <w:shd w:val="clear" w:color="auto" w:fill="FFFFFF"/>
          <w:lang w:val="en-US"/>
        </w:rPr>
        <w:t xml:space="preserve">The IACHR </w:t>
      </w:r>
      <w:r w:rsidR="0021643C" w:rsidRPr="007D47AD">
        <w:rPr>
          <w:rFonts w:ascii="Cambria" w:eastAsia="Times New Roman" w:hAnsi="Cambria" w:cs="Tahoma"/>
          <w:sz w:val="20"/>
          <w:szCs w:val="20"/>
          <w:shd w:val="clear" w:color="auto" w:fill="FFFFFF"/>
          <w:lang w:val="en-US"/>
        </w:rPr>
        <w:t>observ</w:t>
      </w:r>
      <w:r w:rsidRPr="007D47AD">
        <w:rPr>
          <w:rFonts w:ascii="Cambria" w:eastAsia="Times New Roman" w:hAnsi="Cambria" w:cs="Tahoma"/>
          <w:sz w:val="20"/>
          <w:szCs w:val="20"/>
          <w:shd w:val="clear" w:color="auto" w:fill="FFFFFF"/>
          <w:lang w:val="en-US"/>
        </w:rPr>
        <w:t xml:space="preserve">es that on June </w:t>
      </w:r>
      <w:r w:rsidR="0021643C" w:rsidRPr="007D47AD">
        <w:rPr>
          <w:rFonts w:ascii="Cambria" w:eastAsia="Times New Roman" w:hAnsi="Cambria" w:cs="Tahoma"/>
          <w:sz w:val="20"/>
          <w:szCs w:val="20"/>
          <w:shd w:val="clear" w:color="auto" w:fill="FFFFFF"/>
          <w:lang w:val="en-US"/>
        </w:rPr>
        <w:t>5</w:t>
      </w:r>
      <w:r w:rsidRPr="007D47AD">
        <w:rPr>
          <w:rFonts w:ascii="Cambria" w:eastAsia="Times New Roman" w:hAnsi="Cambria" w:cs="Tahoma"/>
          <w:sz w:val="20"/>
          <w:szCs w:val="20"/>
          <w:shd w:val="clear" w:color="auto" w:fill="FFFFFF"/>
          <w:lang w:val="en-US"/>
        </w:rPr>
        <w:t>,</w:t>
      </w:r>
      <w:r w:rsidR="0021643C" w:rsidRPr="007D47AD">
        <w:rPr>
          <w:rFonts w:ascii="Cambria" w:eastAsia="Times New Roman" w:hAnsi="Cambria" w:cs="Tahoma"/>
          <w:sz w:val="20"/>
          <w:szCs w:val="20"/>
          <w:shd w:val="clear" w:color="auto" w:fill="FFFFFF"/>
          <w:lang w:val="en-US"/>
        </w:rPr>
        <w:t xml:space="preserve"> 2019 </w:t>
      </w:r>
      <w:r w:rsidRPr="007D47AD">
        <w:rPr>
          <w:rFonts w:ascii="Cambria" w:eastAsia="Times New Roman" w:hAnsi="Cambria" w:cs="Tahoma"/>
          <w:sz w:val="20"/>
          <w:szCs w:val="20"/>
          <w:shd w:val="clear" w:color="auto" w:fill="FFFFFF"/>
          <w:lang w:val="en-US"/>
        </w:rPr>
        <w:t xml:space="preserve">migrant rights defenders </w:t>
      </w:r>
      <w:r w:rsidR="0021643C" w:rsidRPr="007D47AD">
        <w:rPr>
          <w:rFonts w:ascii="Cambria" w:eastAsia="Times New Roman" w:hAnsi="Cambria" w:cs="Tahoma"/>
          <w:sz w:val="20"/>
          <w:szCs w:val="20"/>
          <w:shd w:val="clear" w:color="auto" w:fill="FFFFFF"/>
          <w:lang w:val="en-US"/>
        </w:rPr>
        <w:t xml:space="preserve">Cristóbal Sánchez </w:t>
      </w:r>
      <w:r w:rsidRPr="007D47AD">
        <w:rPr>
          <w:rFonts w:ascii="Cambria" w:eastAsia="Times New Roman" w:hAnsi="Cambria" w:cs="Tahoma"/>
          <w:sz w:val="20"/>
          <w:szCs w:val="20"/>
          <w:shd w:val="clear" w:color="auto" w:fill="FFFFFF"/>
          <w:lang w:val="en-US"/>
        </w:rPr>
        <w:t xml:space="preserve">and </w:t>
      </w:r>
      <w:r w:rsidR="0021643C" w:rsidRPr="007D47AD">
        <w:rPr>
          <w:rFonts w:ascii="Cambria" w:eastAsia="Times New Roman" w:hAnsi="Cambria" w:cs="Tahoma"/>
          <w:sz w:val="20"/>
          <w:szCs w:val="20"/>
          <w:shd w:val="clear" w:color="auto" w:fill="FFFFFF"/>
          <w:lang w:val="en-US"/>
        </w:rPr>
        <w:t>Irineo Mujica</w:t>
      </w:r>
      <w:r w:rsidRPr="007D47AD">
        <w:rPr>
          <w:rFonts w:ascii="Cambria" w:eastAsia="Times New Roman" w:hAnsi="Cambria" w:cs="Tahoma"/>
          <w:sz w:val="20"/>
          <w:szCs w:val="20"/>
          <w:shd w:val="clear" w:color="auto" w:fill="FFFFFF"/>
          <w:lang w:val="en-US"/>
        </w:rPr>
        <w:t xml:space="preserve"> were arrested and accused of smuggling migrants; they were subsequently released on June 11, as sufficient evidence could not be found</w:t>
      </w:r>
      <w:r w:rsidR="00DE5647" w:rsidRPr="007D47AD">
        <w:rPr>
          <w:rFonts w:ascii="Cambria" w:eastAsia="Times New Roman" w:hAnsi="Cambria" w:cs="Tahoma"/>
          <w:sz w:val="20"/>
          <w:szCs w:val="20"/>
          <w:shd w:val="clear" w:color="auto" w:fill="FFFFFF"/>
          <w:lang w:val="en-US"/>
        </w:rPr>
        <w:t xml:space="preserve"> to pursue the charges at trial</w:t>
      </w:r>
      <w:r w:rsidRPr="007D47AD">
        <w:rPr>
          <w:rFonts w:ascii="Cambria" w:eastAsia="Times New Roman" w:hAnsi="Cambria" w:cs="Tahoma"/>
          <w:sz w:val="20"/>
          <w:szCs w:val="20"/>
          <w:shd w:val="clear" w:color="auto" w:fill="FFFFFF"/>
          <w:lang w:val="en-US"/>
        </w:rPr>
        <w:t>.</w:t>
      </w:r>
      <w:r w:rsidR="0021643C" w:rsidRPr="007D47AD">
        <w:rPr>
          <w:rStyle w:val="FootnoteReference"/>
          <w:rFonts w:ascii="Cambria" w:eastAsia="Times New Roman" w:hAnsi="Cambria" w:cs="Tahoma"/>
          <w:sz w:val="20"/>
          <w:szCs w:val="20"/>
          <w:shd w:val="clear" w:color="auto" w:fill="FFFFFF"/>
          <w:lang w:val="en-US"/>
        </w:rPr>
        <w:footnoteReference w:id="449"/>
      </w:r>
    </w:p>
    <w:p w:rsidR="00980ACC" w:rsidRPr="007D47AD" w:rsidRDefault="00980ACC" w:rsidP="00980ACC">
      <w:pPr>
        <w:shd w:val="clear" w:color="auto" w:fill="FFFFFF"/>
        <w:spacing w:after="0" w:line="240" w:lineRule="auto"/>
        <w:jc w:val="both"/>
        <w:rPr>
          <w:rFonts w:ascii="Cambria" w:hAnsi="Cambria" w:cs="Arial"/>
          <w:sz w:val="20"/>
          <w:szCs w:val="20"/>
          <w:lang w:val="en-US"/>
        </w:rPr>
      </w:pPr>
    </w:p>
    <w:p w:rsidR="00980ACC" w:rsidRPr="007D47AD" w:rsidRDefault="00A00EE9" w:rsidP="002D6103">
      <w:pPr>
        <w:numPr>
          <w:ilvl w:val="0"/>
          <w:numId w:val="6"/>
        </w:numPr>
        <w:shd w:val="clear" w:color="auto" w:fill="FFFFFF"/>
        <w:spacing w:after="0" w:line="240" w:lineRule="auto"/>
        <w:ind w:left="0" w:firstLine="709"/>
        <w:jc w:val="both"/>
        <w:rPr>
          <w:rFonts w:ascii="Cambria" w:hAnsi="Cambria" w:cs="Arial"/>
          <w:sz w:val="20"/>
          <w:szCs w:val="20"/>
          <w:lang w:val="en-US"/>
        </w:rPr>
      </w:pPr>
      <w:r w:rsidRPr="007D47AD">
        <w:rPr>
          <w:rFonts w:ascii="Cambria" w:hAnsi="Cambria" w:cs="Arial"/>
          <w:sz w:val="20"/>
          <w:szCs w:val="20"/>
          <w:lang w:val="en-US"/>
        </w:rPr>
        <w:t xml:space="preserve">Later, on October </w:t>
      </w:r>
      <w:r w:rsidR="0021643C" w:rsidRPr="007D47AD">
        <w:rPr>
          <w:rFonts w:ascii="Cambria" w:hAnsi="Cambria" w:cs="Arial"/>
          <w:sz w:val="20"/>
          <w:szCs w:val="20"/>
          <w:lang w:val="en-US"/>
        </w:rPr>
        <w:t>4</w:t>
      </w:r>
      <w:r w:rsidRPr="007D47AD">
        <w:rPr>
          <w:rFonts w:ascii="Cambria" w:hAnsi="Cambria" w:cs="Arial"/>
          <w:sz w:val="20"/>
          <w:szCs w:val="20"/>
          <w:lang w:val="en-US"/>
        </w:rPr>
        <w:t>,</w:t>
      </w:r>
      <w:r w:rsidR="0021643C" w:rsidRPr="007D47AD">
        <w:rPr>
          <w:rFonts w:ascii="Cambria" w:hAnsi="Cambria" w:cs="Arial"/>
          <w:sz w:val="20"/>
          <w:szCs w:val="20"/>
          <w:lang w:val="en-US"/>
        </w:rPr>
        <w:t xml:space="preserve"> 2019, </w:t>
      </w:r>
      <w:r w:rsidRPr="007D47AD">
        <w:rPr>
          <w:rFonts w:ascii="Cambria" w:hAnsi="Cambria" w:cs="Arial"/>
          <w:sz w:val="20"/>
          <w:szCs w:val="20"/>
          <w:lang w:val="en-US"/>
        </w:rPr>
        <w:t xml:space="preserve">the Commission granted precautionary measures for Messrs. </w:t>
      </w:r>
      <w:r w:rsidR="0021643C" w:rsidRPr="007D47AD">
        <w:rPr>
          <w:rFonts w:ascii="Cambria" w:hAnsi="Cambria"/>
          <w:sz w:val="20"/>
          <w:szCs w:val="20"/>
          <w:shd w:val="clear" w:color="auto" w:fill="FFFFFF"/>
          <w:lang w:val="en-US"/>
        </w:rPr>
        <w:t xml:space="preserve">Aaron Casimiro Méndez Ruíz </w:t>
      </w:r>
      <w:r w:rsidRPr="007D47AD">
        <w:rPr>
          <w:rFonts w:ascii="Cambria" w:hAnsi="Cambria"/>
          <w:sz w:val="20"/>
          <w:szCs w:val="20"/>
          <w:shd w:val="clear" w:color="auto" w:fill="FFFFFF"/>
          <w:lang w:val="en-US"/>
        </w:rPr>
        <w:t xml:space="preserve">and </w:t>
      </w:r>
      <w:r w:rsidR="0021643C" w:rsidRPr="007D47AD">
        <w:rPr>
          <w:rFonts w:ascii="Cambria" w:hAnsi="Cambria"/>
          <w:sz w:val="20"/>
          <w:szCs w:val="20"/>
          <w:shd w:val="clear" w:color="auto" w:fill="FFFFFF"/>
          <w:lang w:val="en-US"/>
        </w:rPr>
        <w:t xml:space="preserve">Alfredo Castillo, </w:t>
      </w:r>
      <w:r w:rsidRPr="007D47AD">
        <w:rPr>
          <w:rFonts w:ascii="Cambria" w:hAnsi="Cambria"/>
          <w:sz w:val="20"/>
          <w:szCs w:val="20"/>
          <w:shd w:val="clear" w:color="auto" w:fill="FFFFFF"/>
          <w:lang w:val="en-US"/>
        </w:rPr>
        <w:t xml:space="preserve">who had disappeared after receiving and giving attention to </w:t>
      </w:r>
      <w:r w:rsidR="00DE5647" w:rsidRPr="007D47AD">
        <w:rPr>
          <w:rFonts w:ascii="Cambria" w:hAnsi="Cambria"/>
          <w:sz w:val="20"/>
          <w:szCs w:val="20"/>
          <w:shd w:val="clear" w:color="auto" w:fill="FFFFFF"/>
          <w:lang w:val="en-US"/>
        </w:rPr>
        <w:t>m</w:t>
      </w:r>
      <w:r w:rsidRPr="007D47AD">
        <w:rPr>
          <w:rFonts w:ascii="Cambria" w:hAnsi="Cambria"/>
          <w:sz w:val="20"/>
          <w:szCs w:val="20"/>
          <w:shd w:val="clear" w:color="auto" w:fill="FFFFFF"/>
          <w:lang w:val="en-US"/>
        </w:rPr>
        <w:t xml:space="preserve">igrants of Cuban and Venezuelan origin at the shelter called </w:t>
      </w:r>
      <w:r w:rsidR="0021643C" w:rsidRPr="007D47AD">
        <w:rPr>
          <w:rFonts w:ascii="Cambria" w:hAnsi="Cambria"/>
          <w:sz w:val="20"/>
          <w:szCs w:val="20"/>
          <w:shd w:val="clear" w:color="auto" w:fill="FFFFFF"/>
          <w:lang w:val="en-US"/>
        </w:rPr>
        <w:t>“Casa AMAR</w:t>
      </w:r>
      <w:r w:rsidRPr="007D47AD">
        <w:rPr>
          <w:rFonts w:ascii="Cambria" w:hAnsi="Cambria"/>
          <w:sz w:val="20"/>
          <w:szCs w:val="20"/>
          <w:shd w:val="clear" w:color="auto" w:fill="FFFFFF"/>
          <w:lang w:val="en-US"/>
        </w:rPr>
        <w:t>,</w:t>
      </w:r>
      <w:r w:rsidR="0021643C" w:rsidRPr="007D47AD">
        <w:rPr>
          <w:rFonts w:ascii="Cambria" w:hAnsi="Cambria"/>
          <w:sz w:val="20"/>
          <w:szCs w:val="20"/>
          <w:shd w:val="clear" w:color="auto" w:fill="FFFFFF"/>
          <w:lang w:val="en-US"/>
        </w:rPr>
        <w:t xml:space="preserve">” </w:t>
      </w:r>
      <w:r w:rsidRPr="007D47AD">
        <w:rPr>
          <w:rFonts w:ascii="Cambria" w:hAnsi="Cambria"/>
          <w:sz w:val="20"/>
          <w:szCs w:val="20"/>
          <w:shd w:val="clear" w:color="auto" w:fill="FFFFFF"/>
          <w:lang w:val="en-US"/>
        </w:rPr>
        <w:t xml:space="preserve">in the state of </w:t>
      </w:r>
      <w:r w:rsidR="0021643C" w:rsidRPr="007D47AD">
        <w:rPr>
          <w:rFonts w:ascii="Cambria" w:hAnsi="Cambria"/>
          <w:sz w:val="20"/>
          <w:szCs w:val="20"/>
          <w:shd w:val="clear" w:color="auto" w:fill="FFFFFF"/>
          <w:lang w:val="en-US"/>
        </w:rPr>
        <w:t>Tamaulipas</w:t>
      </w:r>
      <w:r w:rsidRPr="007D47AD">
        <w:rPr>
          <w:rFonts w:ascii="Cambria" w:hAnsi="Cambria"/>
          <w:sz w:val="20"/>
          <w:szCs w:val="20"/>
          <w:shd w:val="clear" w:color="auto" w:fill="FFFFFF"/>
          <w:lang w:val="en-US"/>
        </w:rPr>
        <w:t>.</w:t>
      </w:r>
      <w:r w:rsidR="0021643C" w:rsidRPr="007D47AD">
        <w:rPr>
          <w:rStyle w:val="FootnoteReference"/>
          <w:rFonts w:ascii="Cambria" w:hAnsi="Cambria"/>
          <w:sz w:val="20"/>
          <w:szCs w:val="20"/>
          <w:shd w:val="clear" w:color="auto" w:fill="FFFFFF"/>
          <w:lang w:val="en-US"/>
        </w:rPr>
        <w:footnoteReference w:id="450"/>
      </w:r>
    </w:p>
    <w:p w:rsidR="00980ACC" w:rsidRPr="007D47AD" w:rsidRDefault="00980ACC" w:rsidP="0083654A">
      <w:pPr>
        <w:shd w:val="clear" w:color="auto" w:fill="FFFFFF"/>
        <w:spacing w:after="0" w:line="240" w:lineRule="auto"/>
        <w:jc w:val="both"/>
        <w:rPr>
          <w:rFonts w:ascii="Cambria" w:hAnsi="Cambria" w:cs="Arial"/>
          <w:sz w:val="20"/>
          <w:szCs w:val="20"/>
          <w:lang w:val="en-US"/>
        </w:rPr>
      </w:pPr>
    </w:p>
    <w:p w:rsidR="00980ACC" w:rsidRPr="007D47AD" w:rsidRDefault="00A00EE9" w:rsidP="0083654A">
      <w:pPr>
        <w:numPr>
          <w:ilvl w:val="0"/>
          <w:numId w:val="6"/>
        </w:numPr>
        <w:shd w:val="clear" w:color="auto" w:fill="FFFFFF"/>
        <w:spacing w:after="0" w:line="240" w:lineRule="auto"/>
        <w:ind w:left="0" w:firstLine="709"/>
        <w:jc w:val="both"/>
        <w:rPr>
          <w:rFonts w:ascii="Cambria" w:hAnsi="Cambria" w:cs="Arial"/>
          <w:sz w:val="20"/>
          <w:szCs w:val="20"/>
          <w:lang w:val="en-US"/>
        </w:rPr>
      </w:pPr>
      <w:r w:rsidRPr="007D47AD">
        <w:rPr>
          <w:rFonts w:ascii="Cambria" w:hAnsi="Cambria" w:cs="Arial"/>
          <w:sz w:val="20"/>
          <w:szCs w:val="20"/>
          <w:lang w:val="en-US"/>
        </w:rPr>
        <w:t xml:space="preserve">The IACHR has recognized the important work done by human rights defenders because </w:t>
      </w:r>
      <w:r w:rsidR="00DE5647" w:rsidRPr="007D47AD">
        <w:rPr>
          <w:rFonts w:ascii="Cambria" w:hAnsi="Cambria" w:cs="Arial"/>
          <w:sz w:val="20"/>
          <w:szCs w:val="20"/>
          <w:lang w:val="en-US"/>
        </w:rPr>
        <w:t xml:space="preserve">of </w:t>
      </w:r>
      <w:r w:rsidRPr="007D47AD">
        <w:rPr>
          <w:rFonts w:ascii="Cambria" w:hAnsi="Cambria" w:cs="Arial"/>
          <w:sz w:val="20"/>
          <w:szCs w:val="20"/>
          <w:lang w:val="en-US"/>
        </w:rPr>
        <w:t>the</w:t>
      </w:r>
      <w:r w:rsidR="00DE5647" w:rsidRPr="007D47AD">
        <w:rPr>
          <w:rFonts w:ascii="Cambria" w:hAnsi="Cambria" w:cs="Arial"/>
          <w:sz w:val="20"/>
          <w:szCs w:val="20"/>
          <w:lang w:val="en-US"/>
        </w:rPr>
        <w:t>ir</w:t>
      </w:r>
      <w:r w:rsidRPr="007D47AD">
        <w:rPr>
          <w:rFonts w:ascii="Cambria" w:hAnsi="Cambria" w:cs="Arial"/>
          <w:sz w:val="20"/>
          <w:szCs w:val="20"/>
          <w:lang w:val="en-US"/>
        </w:rPr>
        <w:t xml:space="preserve"> </w:t>
      </w:r>
      <w:r w:rsidR="00DE5647" w:rsidRPr="007D47AD">
        <w:rPr>
          <w:rFonts w:ascii="Cambria" w:hAnsi="Cambria" w:cs="Arial"/>
          <w:sz w:val="20"/>
          <w:szCs w:val="20"/>
          <w:lang w:val="en-US"/>
        </w:rPr>
        <w:t xml:space="preserve">special </w:t>
      </w:r>
      <w:r w:rsidRPr="007D47AD">
        <w:rPr>
          <w:rFonts w:ascii="Cambria" w:hAnsi="Cambria" w:cs="Arial"/>
          <w:sz w:val="20"/>
          <w:szCs w:val="20"/>
          <w:lang w:val="en-US"/>
        </w:rPr>
        <w:t>contribut</w:t>
      </w:r>
      <w:r w:rsidR="00DE5647" w:rsidRPr="007D47AD">
        <w:rPr>
          <w:rFonts w:ascii="Cambria" w:hAnsi="Cambria" w:cs="Arial"/>
          <w:sz w:val="20"/>
          <w:szCs w:val="20"/>
          <w:lang w:val="en-US"/>
        </w:rPr>
        <w:t>ion</w:t>
      </w:r>
      <w:r w:rsidRPr="007D47AD">
        <w:rPr>
          <w:rFonts w:ascii="Cambria" w:hAnsi="Cambria" w:cs="Arial"/>
          <w:sz w:val="20"/>
          <w:szCs w:val="20"/>
          <w:lang w:val="en-US"/>
        </w:rPr>
        <w:t xml:space="preserve"> to </w:t>
      </w:r>
      <w:r w:rsidR="00DE5647" w:rsidRPr="007D47AD">
        <w:rPr>
          <w:rFonts w:ascii="Cambria" w:hAnsi="Cambria" w:cs="Arial"/>
          <w:sz w:val="20"/>
          <w:szCs w:val="20"/>
          <w:lang w:val="en-US"/>
        </w:rPr>
        <w:t xml:space="preserve">the </w:t>
      </w:r>
      <w:r w:rsidRPr="007D47AD">
        <w:rPr>
          <w:rFonts w:ascii="Cambria" w:hAnsi="Cambria" w:cs="Arial"/>
          <w:sz w:val="20"/>
          <w:szCs w:val="20"/>
          <w:lang w:val="en-US"/>
        </w:rPr>
        <w:t xml:space="preserve">promotion, respect, and protection of human rights and fundamental freedoms in the Americas, as well as supporting the victims, representing and defending persons whose </w:t>
      </w:r>
      <w:r w:rsidRPr="007D47AD">
        <w:rPr>
          <w:rFonts w:ascii="Cambria" w:hAnsi="Cambria" w:cs="Cambria"/>
          <w:sz w:val="20"/>
          <w:szCs w:val="20"/>
          <w:lang w:val="en-US"/>
        </w:rPr>
        <w:t xml:space="preserve">rights are threatened or violated; in addition, their </w:t>
      </w:r>
      <w:r w:rsidR="0021643C" w:rsidRPr="007D47AD">
        <w:rPr>
          <w:rFonts w:ascii="Cambria" w:hAnsi="Cambria" w:cs="Cambria"/>
          <w:sz w:val="20"/>
          <w:szCs w:val="20"/>
          <w:lang w:val="en-US"/>
        </w:rPr>
        <w:t>activi</w:t>
      </w:r>
      <w:r w:rsidRPr="007D47AD">
        <w:rPr>
          <w:rFonts w:ascii="Cambria" w:hAnsi="Cambria" w:cs="Cambria"/>
          <w:sz w:val="20"/>
          <w:szCs w:val="20"/>
          <w:lang w:val="en-US"/>
        </w:rPr>
        <w:t xml:space="preserve">ties of oversight, denouncing, disseminating, and educating all constitute an essential contribution </w:t>
      </w:r>
      <w:r w:rsidR="000B3D6E" w:rsidRPr="007D47AD">
        <w:rPr>
          <w:rFonts w:ascii="Cambria" w:hAnsi="Cambria" w:cs="Cambria"/>
          <w:sz w:val="20"/>
          <w:szCs w:val="20"/>
          <w:lang w:val="en-US"/>
        </w:rPr>
        <w:t xml:space="preserve">for </w:t>
      </w:r>
      <w:r w:rsidRPr="007D47AD">
        <w:rPr>
          <w:rFonts w:ascii="Cambria" w:hAnsi="Cambria" w:cs="Cambria"/>
          <w:sz w:val="20"/>
          <w:szCs w:val="20"/>
          <w:lang w:val="en-US"/>
        </w:rPr>
        <w:t xml:space="preserve">the observance of human rights, </w:t>
      </w:r>
      <w:r w:rsidR="000B3D6E" w:rsidRPr="007D47AD">
        <w:rPr>
          <w:rFonts w:ascii="Cambria" w:hAnsi="Cambria" w:cs="Cambria"/>
          <w:sz w:val="20"/>
          <w:szCs w:val="20"/>
          <w:lang w:val="en-US"/>
        </w:rPr>
        <w:t xml:space="preserve">as </w:t>
      </w:r>
      <w:r w:rsidRPr="007D47AD">
        <w:rPr>
          <w:rFonts w:ascii="Cambria" w:hAnsi="Cambria" w:cs="Cambria"/>
          <w:sz w:val="20"/>
          <w:szCs w:val="20"/>
          <w:lang w:val="en-US"/>
        </w:rPr>
        <w:t>they struggle to combat impunity.</w:t>
      </w:r>
      <w:r w:rsidR="0021643C" w:rsidRPr="007D47AD">
        <w:rPr>
          <w:rStyle w:val="FootnoteReference"/>
          <w:rFonts w:ascii="Cambria" w:hAnsi="Cambria" w:cs="Cambria"/>
          <w:sz w:val="20"/>
          <w:szCs w:val="20"/>
          <w:lang w:val="en-US"/>
        </w:rPr>
        <w:footnoteReference w:id="451"/>
      </w:r>
    </w:p>
    <w:p w:rsidR="00980ACC" w:rsidRPr="007D47AD" w:rsidRDefault="00980ACC" w:rsidP="0083654A">
      <w:pPr>
        <w:shd w:val="clear" w:color="auto" w:fill="FFFFFF"/>
        <w:spacing w:after="0" w:line="240" w:lineRule="auto"/>
        <w:jc w:val="both"/>
        <w:rPr>
          <w:rFonts w:ascii="Cambria" w:hAnsi="Cambria" w:cs="Cambria"/>
          <w:sz w:val="20"/>
          <w:szCs w:val="20"/>
          <w:lang w:val="en-US"/>
        </w:rPr>
      </w:pPr>
    </w:p>
    <w:p w:rsidR="00980ACC" w:rsidRPr="007D47AD" w:rsidRDefault="00A00EE9" w:rsidP="0083654A">
      <w:pPr>
        <w:numPr>
          <w:ilvl w:val="0"/>
          <w:numId w:val="6"/>
        </w:numPr>
        <w:shd w:val="clear" w:color="auto" w:fill="FFFFFF"/>
        <w:spacing w:after="0" w:line="240" w:lineRule="auto"/>
        <w:ind w:left="0" w:firstLine="709"/>
        <w:jc w:val="both"/>
        <w:rPr>
          <w:rFonts w:ascii="Cambria" w:hAnsi="Cambria" w:cs="Arial"/>
          <w:sz w:val="20"/>
          <w:szCs w:val="20"/>
          <w:lang w:val="en-US"/>
        </w:rPr>
      </w:pPr>
      <w:r w:rsidRPr="007D47AD">
        <w:rPr>
          <w:rFonts w:ascii="Cambria" w:hAnsi="Cambria" w:cs="Cambria"/>
          <w:sz w:val="20"/>
          <w:szCs w:val="20"/>
          <w:lang w:val="en-US"/>
        </w:rPr>
        <w:t>The Commission also received complaints about the Integral System of Migration Operation</w:t>
      </w:r>
      <w:r w:rsidR="000B3D6E" w:rsidRPr="007D47AD">
        <w:rPr>
          <w:rFonts w:ascii="Cambria" w:hAnsi="Cambria" w:cs="Cambria"/>
          <w:sz w:val="20"/>
          <w:szCs w:val="20"/>
          <w:lang w:val="en-US"/>
        </w:rPr>
        <w:t>s</w:t>
      </w:r>
      <w:r w:rsidRPr="007D47AD">
        <w:rPr>
          <w:rFonts w:ascii="Cambria" w:hAnsi="Cambria" w:cs="Cambria"/>
          <w:sz w:val="20"/>
          <w:szCs w:val="20"/>
          <w:lang w:val="en-US"/>
        </w:rPr>
        <w:t xml:space="preserve"> (SIOM: </w:t>
      </w:r>
      <w:r w:rsidR="0021643C" w:rsidRPr="007D47AD">
        <w:rPr>
          <w:rFonts w:ascii="Cambria" w:hAnsi="Cambria" w:cs="Calibri"/>
          <w:sz w:val="20"/>
          <w:szCs w:val="20"/>
          <w:lang w:val="en-US"/>
        </w:rPr>
        <w:t>Sistema Integral de Operación Migratoria</w:t>
      </w:r>
      <w:r w:rsidRPr="007D47AD">
        <w:rPr>
          <w:rFonts w:ascii="Cambria" w:hAnsi="Cambria" w:cs="Calibri"/>
          <w:sz w:val="20"/>
          <w:szCs w:val="20"/>
          <w:lang w:val="en-US"/>
        </w:rPr>
        <w:t>)</w:t>
      </w:r>
      <w:r w:rsidR="0021643C" w:rsidRPr="007D47AD">
        <w:rPr>
          <w:rFonts w:ascii="Cambria" w:hAnsi="Cambria" w:cs="Calibri"/>
          <w:sz w:val="20"/>
          <w:szCs w:val="20"/>
          <w:lang w:val="en-US"/>
        </w:rPr>
        <w:t xml:space="preserve">, </w:t>
      </w:r>
      <w:r w:rsidRPr="007D47AD">
        <w:rPr>
          <w:rFonts w:ascii="Cambria" w:hAnsi="Cambria" w:cs="Calibri"/>
          <w:sz w:val="20"/>
          <w:szCs w:val="20"/>
          <w:lang w:val="en-US"/>
        </w:rPr>
        <w:t xml:space="preserve">within which the </w:t>
      </w:r>
      <w:r w:rsidRPr="007D47AD">
        <w:rPr>
          <w:rFonts w:ascii="Cambria" w:hAnsi="Cambria" w:cs="Calibri"/>
          <w:i/>
          <w:iCs/>
          <w:sz w:val="20"/>
          <w:szCs w:val="20"/>
          <w:lang w:val="en-US"/>
        </w:rPr>
        <w:t>migration a</w:t>
      </w:r>
      <w:r w:rsidR="0021643C" w:rsidRPr="007D47AD">
        <w:rPr>
          <w:rFonts w:ascii="Cambria" w:hAnsi="Cambria" w:cs="Calibri"/>
          <w:i/>
          <w:iCs/>
          <w:sz w:val="20"/>
          <w:szCs w:val="20"/>
          <w:lang w:val="en-US"/>
        </w:rPr>
        <w:t>lerts</w:t>
      </w:r>
      <w:r w:rsidR="000B3D6E" w:rsidRPr="007D47AD">
        <w:rPr>
          <w:rFonts w:ascii="Cambria" w:hAnsi="Cambria" w:cs="Calibri"/>
          <w:sz w:val="20"/>
          <w:szCs w:val="20"/>
          <w:lang w:val="en-US"/>
        </w:rPr>
        <w:t xml:space="preserve"> operate; these are associated with </w:t>
      </w:r>
      <w:r w:rsidRPr="007D47AD">
        <w:rPr>
          <w:rFonts w:ascii="Cambria" w:hAnsi="Cambria" w:cs="Calibri"/>
          <w:sz w:val="20"/>
          <w:szCs w:val="20"/>
          <w:lang w:val="en-US"/>
        </w:rPr>
        <w:t>a legal concept used in</w:t>
      </w:r>
      <w:r w:rsidR="00470618" w:rsidRPr="007D47AD">
        <w:rPr>
          <w:rFonts w:ascii="Cambria" w:hAnsi="Cambria" w:cs="Calibri"/>
          <w:sz w:val="20"/>
          <w:szCs w:val="20"/>
          <w:lang w:val="en-US"/>
        </w:rPr>
        <w:t xml:space="preserve"> the area of national security, thus all the information on these is considered </w:t>
      </w:r>
      <w:r w:rsidR="00470618" w:rsidRPr="007D47AD">
        <w:rPr>
          <w:rFonts w:ascii="Cambria" w:hAnsi="Cambria" w:cs="Calibri"/>
          <w:iCs/>
          <w:sz w:val="20"/>
          <w:szCs w:val="20"/>
          <w:lang w:val="en-US"/>
        </w:rPr>
        <w:t>confidential and this translates into a wide margin of discretion for the authorities. It also affects asylum-seekers in any of a number of ways</w:t>
      </w:r>
      <w:r w:rsidR="000B3D6E" w:rsidRPr="007D47AD">
        <w:rPr>
          <w:rFonts w:ascii="Cambria" w:hAnsi="Cambria" w:cs="Calibri"/>
          <w:iCs/>
          <w:sz w:val="20"/>
          <w:szCs w:val="20"/>
          <w:lang w:val="en-US"/>
        </w:rPr>
        <w:t xml:space="preserve">: </w:t>
      </w:r>
      <w:r w:rsidR="00470618" w:rsidRPr="007D47AD">
        <w:rPr>
          <w:rFonts w:ascii="Cambria" w:hAnsi="Cambria" w:cs="Calibri"/>
          <w:iCs/>
          <w:sz w:val="20"/>
          <w:szCs w:val="20"/>
          <w:lang w:val="en-US"/>
        </w:rPr>
        <w:t>it keeps them from regularizing their immigration status, renewing a status of stay, obtaining work permits, or applying for replacement of a migration document, among others.</w:t>
      </w:r>
      <w:r w:rsidR="0021643C" w:rsidRPr="007D47AD">
        <w:rPr>
          <w:rStyle w:val="FootnoteReference"/>
          <w:rFonts w:ascii="Cambria" w:hAnsi="Cambria" w:cs="Calibri"/>
          <w:sz w:val="20"/>
          <w:szCs w:val="20"/>
          <w:lang w:val="en-US"/>
        </w:rPr>
        <w:footnoteReference w:id="452"/>
      </w:r>
    </w:p>
    <w:p w:rsidR="00980ACC" w:rsidRPr="007D47AD" w:rsidRDefault="00980ACC" w:rsidP="0083654A">
      <w:pPr>
        <w:shd w:val="clear" w:color="auto" w:fill="FFFFFF"/>
        <w:spacing w:after="0" w:line="240" w:lineRule="auto"/>
        <w:jc w:val="both"/>
        <w:rPr>
          <w:rFonts w:ascii="Cambria" w:hAnsi="Cambria" w:cs="Arial"/>
          <w:sz w:val="20"/>
          <w:szCs w:val="20"/>
          <w:lang w:val="en-US"/>
        </w:rPr>
      </w:pPr>
    </w:p>
    <w:p w:rsidR="00980ACC" w:rsidRPr="007D47AD" w:rsidRDefault="00470618" w:rsidP="0083654A">
      <w:pPr>
        <w:numPr>
          <w:ilvl w:val="0"/>
          <w:numId w:val="6"/>
        </w:numPr>
        <w:shd w:val="clear" w:color="auto" w:fill="FFFFFF"/>
        <w:spacing w:after="0" w:line="240" w:lineRule="auto"/>
        <w:ind w:left="0" w:firstLine="709"/>
        <w:jc w:val="both"/>
        <w:rPr>
          <w:rFonts w:ascii="Cambria" w:hAnsi="Cambria" w:cs="Arial"/>
          <w:sz w:val="20"/>
          <w:szCs w:val="20"/>
          <w:lang w:val="en-US"/>
        </w:rPr>
      </w:pPr>
      <w:r w:rsidRPr="007D47AD">
        <w:rPr>
          <w:rFonts w:ascii="Cambria" w:hAnsi="Cambria" w:cs="Arial"/>
          <w:sz w:val="20"/>
          <w:szCs w:val="20"/>
          <w:lang w:val="en-US"/>
        </w:rPr>
        <w:t xml:space="preserve">On internally displaced persons, the </w:t>
      </w:r>
      <w:r w:rsidR="0021643C" w:rsidRPr="007D47AD">
        <w:rPr>
          <w:rFonts w:ascii="Cambria" w:hAnsi="Cambria" w:cs="Arial"/>
          <w:sz w:val="20"/>
          <w:szCs w:val="20"/>
          <w:lang w:val="en-US"/>
        </w:rPr>
        <w:t>Internal Displacement Monitoring Center report</w:t>
      </w:r>
      <w:r w:rsidRPr="007D47AD">
        <w:rPr>
          <w:rFonts w:ascii="Cambria" w:hAnsi="Cambria" w:cs="Arial"/>
          <w:sz w:val="20"/>
          <w:szCs w:val="20"/>
          <w:lang w:val="en-US"/>
        </w:rPr>
        <w:t xml:space="preserve">ed that as of yearend </w:t>
      </w:r>
      <w:r w:rsidR="0021643C" w:rsidRPr="007D47AD">
        <w:rPr>
          <w:rFonts w:ascii="Cambria" w:hAnsi="Cambria" w:cs="Arial"/>
          <w:sz w:val="20"/>
          <w:szCs w:val="20"/>
          <w:lang w:val="en-US"/>
        </w:rPr>
        <w:t xml:space="preserve">2018 </w:t>
      </w:r>
      <w:r w:rsidRPr="007D47AD">
        <w:rPr>
          <w:rFonts w:ascii="Cambria" w:hAnsi="Cambria" w:cs="Arial"/>
          <w:sz w:val="20"/>
          <w:szCs w:val="20"/>
          <w:lang w:val="en-US"/>
        </w:rPr>
        <w:t xml:space="preserve">in all there were </w:t>
      </w:r>
      <w:r w:rsidR="0021643C" w:rsidRPr="007D47AD">
        <w:rPr>
          <w:rFonts w:ascii="Cambria" w:hAnsi="Cambria"/>
          <w:sz w:val="20"/>
          <w:szCs w:val="20"/>
          <w:lang w:val="en-US"/>
        </w:rPr>
        <w:t xml:space="preserve">338,000 </w:t>
      </w:r>
      <w:r w:rsidRPr="007D47AD">
        <w:rPr>
          <w:rFonts w:ascii="Cambria" w:hAnsi="Cambria"/>
          <w:sz w:val="20"/>
          <w:szCs w:val="20"/>
          <w:lang w:val="en-US"/>
        </w:rPr>
        <w:t xml:space="preserve">displaced persons in </w:t>
      </w:r>
      <w:r w:rsidR="0021643C" w:rsidRPr="007D47AD">
        <w:rPr>
          <w:rFonts w:ascii="Cambria" w:hAnsi="Cambria"/>
          <w:sz w:val="20"/>
          <w:szCs w:val="20"/>
          <w:lang w:val="en-US"/>
        </w:rPr>
        <w:t>M</w:t>
      </w:r>
      <w:r w:rsidRPr="007D47AD">
        <w:rPr>
          <w:rFonts w:ascii="Cambria" w:hAnsi="Cambria"/>
          <w:sz w:val="20"/>
          <w:szCs w:val="20"/>
          <w:lang w:val="en-US"/>
        </w:rPr>
        <w:t>e</w:t>
      </w:r>
      <w:r w:rsidR="0021643C" w:rsidRPr="007D47AD">
        <w:rPr>
          <w:rFonts w:ascii="Cambria" w:hAnsi="Cambria"/>
          <w:sz w:val="20"/>
          <w:szCs w:val="20"/>
          <w:lang w:val="en-US"/>
        </w:rPr>
        <w:t xml:space="preserve">xico, </w:t>
      </w:r>
      <w:r w:rsidRPr="007D47AD">
        <w:rPr>
          <w:rFonts w:ascii="Cambria" w:hAnsi="Cambria"/>
          <w:sz w:val="20"/>
          <w:szCs w:val="20"/>
          <w:lang w:val="en-US"/>
        </w:rPr>
        <w:t xml:space="preserve">who were involved in </w:t>
      </w:r>
      <w:r w:rsidR="0021643C" w:rsidRPr="007D47AD">
        <w:rPr>
          <w:rFonts w:ascii="Cambria" w:hAnsi="Cambria"/>
          <w:sz w:val="20"/>
          <w:szCs w:val="20"/>
          <w:lang w:val="en-US"/>
        </w:rPr>
        <w:t xml:space="preserve">20,000 </w:t>
      </w:r>
      <w:r w:rsidRPr="007D47AD">
        <w:rPr>
          <w:rFonts w:ascii="Cambria" w:hAnsi="Cambria"/>
          <w:sz w:val="20"/>
          <w:szCs w:val="20"/>
          <w:lang w:val="en-US"/>
        </w:rPr>
        <w:t xml:space="preserve">displacements due to natural disasters and </w:t>
      </w:r>
      <w:r w:rsidR="0021643C" w:rsidRPr="007D47AD">
        <w:rPr>
          <w:rFonts w:ascii="Cambria" w:hAnsi="Cambria"/>
          <w:sz w:val="20"/>
          <w:szCs w:val="20"/>
          <w:lang w:val="en-US"/>
        </w:rPr>
        <w:t xml:space="preserve">11,000 </w:t>
      </w:r>
      <w:r w:rsidRPr="007D47AD">
        <w:rPr>
          <w:rFonts w:ascii="Cambria" w:hAnsi="Cambria"/>
          <w:sz w:val="20"/>
          <w:szCs w:val="20"/>
          <w:lang w:val="en-US"/>
        </w:rPr>
        <w:t xml:space="preserve">due to conflicts and violence that year. It also noted that </w:t>
      </w:r>
      <w:r w:rsidR="0021643C" w:rsidRPr="007D47AD">
        <w:rPr>
          <w:rFonts w:ascii="Cambria" w:hAnsi="Cambria"/>
          <w:sz w:val="20"/>
          <w:szCs w:val="20"/>
          <w:lang w:val="en-US"/>
        </w:rPr>
        <w:t xml:space="preserve">72 </w:t>
      </w:r>
      <w:r w:rsidRPr="007D47AD">
        <w:rPr>
          <w:rFonts w:ascii="Cambria" w:hAnsi="Cambria"/>
          <w:sz w:val="20"/>
          <w:szCs w:val="20"/>
          <w:lang w:val="en-US"/>
        </w:rPr>
        <w:t xml:space="preserve">displaced persons attained partial progress towards a lasting solution, and noted that with respect to </w:t>
      </w:r>
      <w:r w:rsidR="0021643C" w:rsidRPr="007D47AD">
        <w:rPr>
          <w:rFonts w:ascii="Cambria" w:hAnsi="Cambria"/>
          <w:sz w:val="20"/>
          <w:szCs w:val="20"/>
          <w:lang w:val="en-US"/>
        </w:rPr>
        <w:t xml:space="preserve">1,800 </w:t>
      </w:r>
      <w:r w:rsidRPr="007D47AD">
        <w:rPr>
          <w:rFonts w:ascii="Cambria" w:hAnsi="Cambria"/>
          <w:sz w:val="20"/>
          <w:szCs w:val="20"/>
          <w:lang w:val="en-US"/>
        </w:rPr>
        <w:t xml:space="preserve">internally displaced </w:t>
      </w:r>
      <w:r w:rsidR="0021643C" w:rsidRPr="007D47AD">
        <w:rPr>
          <w:rFonts w:ascii="Cambria" w:hAnsi="Cambria"/>
          <w:sz w:val="20"/>
          <w:szCs w:val="20"/>
          <w:lang w:val="en-US"/>
        </w:rPr>
        <w:t xml:space="preserve">persons </w:t>
      </w:r>
      <w:r w:rsidRPr="007D47AD">
        <w:rPr>
          <w:rFonts w:ascii="Cambria" w:hAnsi="Cambria"/>
          <w:sz w:val="20"/>
          <w:szCs w:val="20"/>
          <w:lang w:val="en-US"/>
        </w:rPr>
        <w:t>it was not possible to corroborate progress towards a lasting solution, according to the information available.</w:t>
      </w:r>
      <w:r w:rsidR="0021643C" w:rsidRPr="007D47AD">
        <w:rPr>
          <w:rStyle w:val="FootnoteReference"/>
          <w:rFonts w:ascii="Cambria" w:hAnsi="Cambria"/>
          <w:sz w:val="20"/>
          <w:szCs w:val="20"/>
          <w:lang w:val="en-US"/>
        </w:rPr>
        <w:footnoteReference w:id="453"/>
      </w:r>
    </w:p>
    <w:p w:rsidR="004535AF" w:rsidRPr="007D47AD" w:rsidRDefault="004535AF" w:rsidP="004535AF">
      <w:pPr>
        <w:shd w:val="clear" w:color="auto" w:fill="FFFFFF"/>
        <w:spacing w:after="0" w:line="240" w:lineRule="auto"/>
        <w:jc w:val="both"/>
        <w:rPr>
          <w:rFonts w:ascii="Cambria" w:hAnsi="Cambria" w:cs="Arial"/>
          <w:sz w:val="20"/>
          <w:szCs w:val="20"/>
          <w:lang w:val="en-US"/>
        </w:rPr>
      </w:pPr>
    </w:p>
    <w:p w:rsidR="004535AF" w:rsidRPr="007D47AD" w:rsidRDefault="003037FD" w:rsidP="00D05BD7">
      <w:pPr>
        <w:numPr>
          <w:ilvl w:val="0"/>
          <w:numId w:val="6"/>
        </w:numPr>
        <w:shd w:val="clear" w:color="auto" w:fill="FFFFFF"/>
        <w:spacing w:after="0" w:line="240" w:lineRule="auto"/>
        <w:ind w:left="0" w:firstLine="709"/>
        <w:jc w:val="both"/>
        <w:rPr>
          <w:rFonts w:ascii="Cambria" w:hAnsi="Cambria" w:cs="Arial"/>
          <w:sz w:val="20"/>
          <w:szCs w:val="20"/>
          <w:lang w:val="en-US"/>
        </w:rPr>
      </w:pPr>
      <w:r w:rsidRPr="007D47AD">
        <w:rPr>
          <w:rFonts w:ascii="Cambria" w:hAnsi="Cambria" w:cs="Arial"/>
          <w:sz w:val="20"/>
          <w:szCs w:val="20"/>
          <w:lang w:val="en-US"/>
        </w:rPr>
        <w:t>I</w:t>
      </w:r>
      <w:r w:rsidR="004535AF" w:rsidRPr="007D47AD">
        <w:rPr>
          <w:rFonts w:ascii="Cambria" w:hAnsi="Cambria" w:cs="Arial"/>
          <w:sz w:val="20"/>
          <w:szCs w:val="20"/>
          <w:lang w:val="en-US"/>
        </w:rPr>
        <w:t xml:space="preserve">n </w:t>
      </w:r>
      <w:r w:rsidRPr="007D47AD">
        <w:rPr>
          <w:rFonts w:ascii="Cambria" w:hAnsi="Cambria" w:cs="Arial"/>
          <w:sz w:val="20"/>
          <w:szCs w:val="20"/>
          <w:lang w:val="en-US"/>
        </w:rPr>
        <w:t>its observations on the draft of this report the State indicated that it has a Migration and Development Plan that includes operations of the Beta Groups for Protection of Migrants (</w:t>
      </w:r>
      <w:r w:rsidR="004535AF" w:rsidRPr="007D47AD">
        <w:rPr>
          <w:rFonts w:ascii="Cambria" w:hAnsi="Cambria" w:cs="Arial"/>
          <w:sz w:val="20"/>
          <w:szCs w:val="20"/>
          <w:lang w:val="en-US"/>
        </w:rPr>
        <w:t>Grupos Beta de Protección Migrante</w:t>
      </w:r>
      <w:r w:rsidRPr="007D47AD">
        <w:rPr>
          <w:rFonts w:ascii="Cambria" w:hAnsi="Cambria" w:cs="Arial"/>
          <w:sz w:val="20"/>
          <w:szCs w:val="20"/>
          <w:lang w:val="en-US"/>
        </w:rPr>
        <w:t xml:space="preserve">), which provide orientation, search and rescue, humanitarian assistance, and legal advisory services along the migrant transit routes in </w:t>
      </w:r>
      <w:r w:rsidR="004535AF" w:rsidRPr="007D47AD">
        <w:rPr>
          <w:rFonts w:ascii="Cambria" w:hAnsi="Cambria" w:cs="Arial"/>
          <w:sz w:val="20"/>
          <w:szCs w:val="20"/>
          <w:lang w:val="en-US"/>
        </w:rPr>
        <w:t>Baja California, Sonora, Chihuahua, Coahuila, Tamaulipas, Veracruz, Chiapas, Tabasco</w:t>
      </w:r>
      <w:r w:rsidRPr="007D47AD">
        <w:rPr>
          <w:rFonts w:ascii="Cambria" w:hAnsi="Cambria" w:cs="Arial"/>
          <w:sz w:val="20"/>
          <w:szCs w:val="20"/>
          <w:lang w:val="en-US"/>
        </w:rPr>
        <w:t>,</w:t>
      </w:r>
      <w:r w:rsidR="004535AF" w:rsidRPr="007D47AD">
        <w:rPr>
          <w:rFonts w:ascii="Cambria" w:hAnsi="Cambria" w:cs="Arial"/>
          <w:sz w:val="20"/>
          <w:szCs w:val="20"/>
          <w:lang w:val="en-US"/>
        </w:rPr>
        <w:t xml:space="preserve"> </w:t>
      </w:r>
      <w:r w:rsidRPr="007D47AD">
        <w:rPr>
          <w:rFonts w:ascii="Cambria" w:hAnsi="Cambria" w:cs="Arial"/>
          <w:sz w:val="20"/>
          <w:szCs w:val="20"/>
          <w:lang w:val="en-US"/>
        </w:rPr>
        <w:t xml:space="preserve">and </w:t>
      </w:r>
      <w:r w:rsidR="004535AF" w:rsidRPr="007D47AD">
        <w:rPr>
          <w:rFonts w:ascii="Cambria" w:hAnsi="Cambria" w:cs="Arial"/>
          <w:sz w:val="20"/>
          <w:szCs w:val="20"/>
          <w:lang w:val="en-US"/>
        </w:rPr>
        <w:t xml:space="preserve">Oaxaca. </w:t>
      </w:r>
      <w:r w:rsidRPr="007D47AD">
        <w:rPr>
          <w:rFonts w:ascii="Cambria" w:hAnsi="Cambria" w:cs="Arial"/>
          <w:sz w:val="20"/>
          <w:szCs w:val="20"/>
          <w:lang w:val="en-US"/>
        </w:rPr>
        <w:t xml:space="preserve">It also indicated that the </w:t>
      </w:r>
      <w:r w:rsidR="004535AF" w:rsidRPr="007D47AD">
        <w:rPr>
          <w:rFonts w:ascii="Cambria" w:hAnsi="Cambria" w:cs="Arial"/>
          <w:sz w:val="20"/>
          <w:szCs w:val="20"/>
          <w:lang w:val="en-US"/>
        </w:rPr>
        <w:t xml:space="preserve">INM </w:t>
      </w:r>
      <w:r w:rsidRPr="007D47AD">
        <w:rPr>
          <w:rFonts w:ascii="Cambria" w:hAnsi="Cambria" w:cs="Arial"/>
          <w:sz w:val="20"/>
          <w:szCs w:val="20"/>
          <w:lang w:val="en-US"/>
        </w:rPr>
        <w:t xml:space="preserve">acts under the </w:t>
      </w:r>
      <w:r w:rsidR="004535AF" w:rsidRPr="007D47AD">
        <w:rPr>
          <w:rFonts w:ascii="Cambria" w:hAnsi="Cambria" w:cs="Arial"/>
          <w:sz w:val="20"/>
          <w:szCs w:val="20"/>
          <w:lang w:val="en-US"/>
        </w:rPr>
        <w:t xml:space="preserve">Protocol </w:t>
      </w:r>
      <w:r w:rsidRPr="007D47AD">
        <w:rPr>
          <w:rFonts w:ascii="Cambria" w:hAnsi="Cambria" w:cs="Arial"/>
          <w:sz w:val="20"/>
          <w:szCs w:val="20"/>
          <w:lang w:val="en-US"/>
        </w:rPr>
        <w:t xml:space="preserve">for Action to Ensure Respect for the Principles for the Protection of the Rights of Children and Adolescents in Administrative Migration Proceedings, which ensures observance of the rights of migrant </w:t>
      </w:r>
      <w:r w:rsidR="00E64D5C" w:rsidRPr="007D47AD">
        <w:rPr>
          <w:rFonts w:ascii="Cambria" w:hAnsi="Cambria" w:cs="Arial"/>
          <w:sz w:val="20"/>
          <w:szCs w:val="20"/>
          <w:lang w:val="en-US"/>
        </w:rPr>
        <w:t xml:space="preserve">children and adolescents who </w:t>
      </w:r>
      <w:r w:rsidRPr="007D47AD">
        <w:rPr>
          <w:rFonts w:ascii="Cambria" w:hAnsi="Cambria" w:cs="Arial"/>
          <w:sz w:val="20"/>
          <w:szCs w:val="20"/>
          <w:lang w:val="en-US"/>
        </w:rPr>
        <w:t xml:space="preserve">may or may not be accompanied. </w:t>
      </w:r>
      <w:r w:rsidR="004535AF" w:rsidRPr="007D47AD">
        <w:rPr>
          <w:rFonts w:ascii="Cambria" w:hAnsi="Cambria" w:cs="Arial"/>
          <w:sz w:val="20"/>
          <w:szCs w:val="20"/>
          <w:lang w:val="en-US"/>
        </w:rPr>
        <w:t>Final</w:t>
      </w:r>
      <w:r w:rsidRPr="007D47AD">
        <w:rPr>
          <w:rFonts w:ascii="Cambria" w:hAnsi="Cambria" w:cs="Arial"/>
          <w:sz w:val="20"/>
          <w:szCs w:val="20"/>
          <w:lang w:val="en-US"/>
        </w:rPr>
        <w:t>ly</w:t>
      </w:r>
      <w:r w:rsidR="004535AF" w:rsidRPr="007D47AD">
        <w:rPr>
          <w:rFonts w:ascii="Cambria" w:hAnsi="Cambria" w:cs="Arial"/>
          <w:sz w:val="20"/>
          <w:szCs w:val="20"/>
          <w:lang w:val="en-US"/>
        </w:rPr>
        <w:t xml:space="preserve">, </w:t>
      </w:r>
      <w:r w:rsidRPr="007D47AD">
        <w:rPr>
          <w:rFonts w:ascii="Cambria" w:hAnsi="Cambria" w:cs="Arial"/>
          <w:sz w:val="20"/>
          <w:szCs w:val="20"/>
          <w:lang w:val="en-US"/>
        </w:rPr>
        <w:t xml:space="preserve">the State added that there is a national strategy to prevent children and adolescents from being housed at migration stations, which implies prompt notification to the </w:t>
      </w:r>
      <w:r w:rsidR="004535AF" w:rsidRPr="007D47AD">
        <w:rPr>
          <w:rFonts w:ascii="Cambria" w:hAnsi="Cambria" w:cs="Arial"/>
          <w:sz w:val="20"/>
          <w:szCs w:val="20"/>
          <w:lang w:val="en-US"/>
        </w:rPr>
        <w:t>CNDH, PFPNA, SNDIF</w:t>
      </w:r>
      <w:r w:rsidRPr="007D47AD">
        <w:rPr>
          <w:rFonts w:ascii="Cambria" w:hAnsi="Cambria" w:cs="Arial"/>
          <w:sz w:val="20"/>
          <w:szCs w:val="20"/>
          <w:lang w:val="en-US"/>
        </w:rPr>
        <w:t>, or the</w:t>
      </w:r>
      <w:r w:rsidR="004535AF" w:rsidRPr="007D47AD">
        <w:rPr>
          <w:rFonts w:ascii="Cambria" w:hAnsi="Cambria" w:cs="Arial"/>
          <w:sz w:val="20"/>
          <w:szCs w:val="20"/>
          <w:lang w:val="en-US"/>
        </w:rPr>
        <w:t xml:space="preserve"> COMAR, </w:t>
      </w:r>
      <w:r w:rsidRPr="007D47AD">
        <w:rPr>
          <w:rFonts w:ascii="Cambria" w:hAnsi="Cambria" w:cs="Arial"/>
          <w:sz w:val="20"/>
          <w:szCs w:val="20"/>
          <w:lang w:val="en-US"/>
        </w:rPr>
        <w:t xml:space="preserve">and that its officials attended the Global </w:t>
      </w:r>
      <w:r w:rsidR="005F0517" w:rsidRPr="007D47AD">
        <w:rPr>
          <w:rFonts w:ascii="Cambria" w:hAnsi="Cambria" w:cs="Arial"/>
          <w:sz w:val="20"/>
          <w:szCs w:val="20"/>
          <w:lang w:val="en-US"/>
        </w:rPr>
        <w:t xml:space="preserve">Refugee </w:t>
      </w:r>
      <w:r w:rsidRPr="007D47AD">
        <w:rPr>
          <w:rFonts w:ascii="Cambria" w:hAnsi="Cambria" w:cs="Arial"/>
          <w:sz w:val="20"/>
          <w:szCs w:val="20"/>
          <w:lang w:val="en-US"/>
        </w:rPr>
        <w:t>Forum in December 2019 in Geneva, Switzerland.</w:t>
      </w:r>
      <w:r w:rsidR="004535AF" w:rsidRPr="007D47AD">
        <w:rPr>
          <w:rStyle w:val="FootnoteReference"/>
          <w:rFonts w:asciiTheme="minorHAnsi" w:eastAsia="Cambria" w:hAnsiTheme="minorHAnsi" w:cs="Cambria"/>
          <w:sz w:val="20"/>
          <w:szCs w:val="20"/>
          <w:lang w:val="en-US"/>
        </w:rPr>
        <w:footnoteReference w:id="454"/>
      </w:r>
    </w:p>
    <w:p w:rsidR="00036305" w:rsidRPr="007D47AD" w:rsidRDefault="00036305" w:rsidP="00036305">
      <w:pPr>
        <w:shd w:val="clear" w:color="auto" w:fill="FFFFFF"/>
        <w:spacing w:after="0" w:line="240" w:lineRule="auto"/>
        <w:jc w:val="both"/>
        <w:rPr>
          <w:rFonts w:ascii="Cambria" w:hAnsi="Cambria" w:cs="Arial"/>
          <w:sz w:val="20"/>
          <w:szCs w:val="20"/>
          <w:lang w:val="en-US"/>
        </w:rPr>
      </w:pPr>
    </w:p>
    <w:p w:rsidR="00980ACC" w:rsidRPr="007D47AD" w:rsidRDefault="00470618" w:rsidP="002D6103">
      <w:pPr>
        <w:numPr>
          <w:ilvl w:val="0"/>
          <w:numId w:val="6"/>
        </w:numPr>
        <w:shd w:val="clear" w:color="auto" w:fill="FFFFFF"/>
        <w:spacing w:after="0" w:line="240" w:lineRule="auto"/>
        <w:ind w:left="0" w:firstLine="709"/>
        <w:jc w:val="both"/>
        <w:rPr>
          <w:rFonts w:ascii="Cambria" w:hAnsi="Cambria" w:cs="Arial"/>
          <w:sz w:val="20"/>
          <w:szCs w:val="20"/>
          <w:lang w:val="en-US"/>
        </w:rPr>
      </w:pPr>
      <w:r w:rsidRPr="007D47AD">
        <w:rPr>
          <w:rFonts w:ascii="Cambria" w:eastAsia="Times New Roman" w:hAnsi="Cambria" w:cs="Arial"/>
          <w:sz w:val="20"/>
          <w:szCs w:val="20"/>
          <w:lang w:val="en-US"/>
        </w:rPr>
        <w:t xml:space="preserve">On this recommendation, the IACHR observes and considers the challenges pending in Mexico in relation to the approach to internal displacement, access to asylum, migration detention, and the situation of human rights defenders. Accordingly, the IACHR considers that it has met with partial compliance. </w:t>
      </w:r>
    </w:p>
    <w:p w:rsidR="00980ACC" w:rsidRPr="007D47AD" w:rsidRDefault="00980ACC" w:rsidP="0083654A">
      <w:pPr>
        <w:shd w:val="clear" w:color="auto" w:fill="FFFFFF"/>
        <w:spacing w:after="0" w:line="240" w:lineRule="auto"/>
        <w:jc w:val="both"/>
        <w:rPr>
          <w:rFonts w:ascii="Cambria" w:hAnsi="Cambria" w:cs="Arial"/>
          <w:sz w:val="20"/>
          <w:szCs w:val="20"/>
          <w:lang w:val="en-US"/>
        </w:rPr>
      </w:pPr>
    </w:p>
    <w:p w:rsidR="0083654A" w:rsidRPr="007D47AD" w:rsidRDefault="00470618" w:rsidP="002D6103">
      <w:pPr>
        <w:numPr>
          <w:ilvl w:val="0"/>
          <w:numId w:val="6"/>
        </w:numPr>
        <w:shd w:val="clear" w:color="auto" w:fill="FFFFFF"/>
        <w:spacing w:after="0" w:line="240" w:lineRule="auto"/>
        <w:ind w:left="0" w:firstLine="709"/>
        <w:jc w:val="both"/>
        <w:rPr>
          <w:rFonts w:ascii="Cambria" w:hAnsi="Cambria"/>
          <w:sz w:val="20"/>
          <w:szCs w:val="20"/>
          <w:lang w:val="en-US"/>
        </w:rPr>
      </w:pPr>
      <w:r w:rsidRPr="007D47AD">
        <w:rPr>
          <w:rFonts w:ascii="Cambria" w:hAnsi="Cambria" w:cs="Arial"/>
          <w:sz w:val="20"/>
          <w:szCs w:val="20"/>
          <w:lang w:val="en-US"/>
        </w:rPr>
        <w:t xml:space="preserve">As regards the recommendation to </w:t>
      </w:r>
      <w:r w:rsidR="008B0E2A" w:rsidRPr="007D47AD">
        <w:rPr>
          <w:rFonts w:ascii="Cambria" w:hAnsi="Cambria" w:cs="Arial"/>
          <w:b/>
          <w:sz w:val="20"/>
          <w:szCs w:val="20"/>
          <w:lang w:val="en-US"/>
        </w:rPr>
        <w:t>create a national survey to “characterize” internal forced displacement in Mexico and, consequently, adopt a national policy and measures to provide a response to this problem in accordance with international standards on the subject, particularly the UN Guiding Principles on Internal Displacement</w:t>
      </w:r>
      <w:r w:rsidR="0021643C" w:rsidRPr="007D47AD">
        <w:rPr>
          <w:rFonts w:ascii="Cambria" w:hAnsi="Cambria"/>
          <w:sz w:val="20"/>
          <w:szCs w:val="20"/>
          <w:lang w:val="en-US"/>
        </w:rPr>
        <w:t xml:space="preserve">, </w:t>
      </w:r>
      <w:r w:rsidRPr="007D47AD">
        <w:rPr>
          <w:rFonts w:ascii="Cambria" w:hAnsi="Cambria"/>
          <w:sz w:val="20"/>
          <w:szCs w:val="20"/>
          <w:lang w:val="en-US"/>
        </w:rPr>
        <w:t>the IACHR observes that the State did not provide additional information and referred to what was reported in prior years.</w:t>
      </w:r>
      <w:r w:rsidR="0021643C" w:rsidRPr="007D47AD">
        <w:rPr>
          <w:rStyle w:val="FootnoteReference"/>
          <w:rFonts w:ascii="Cambria" w:hAnsi="Cambria"/>
          <w:sz w:val="20"/>
          <w:szCs w:val="20"/>
          <w:lang w:val="en-US"/>
        </w:rPr>
        <w:footnoteReference w:id="455"/>
      </w:r>
      <w:r w:rsidR="0021643C" w:rsidRPr="007D47AD">
        <w:rPr>
          <w:rFonts w:ascii="Cambria" w:hAnsi="Cambria"/>
          <w:sz w:val="20"/>
          <w:szCs w:val="20"/>
          <w:lang w:val="en-US"/>
        </w:rPr>
        <w:t xml:space="preserve"> </w:t>
      </w:r>
      <w:r w:rsidRPr="007D47AD">
        <w:rPr>
          <w:rFonts w:ascii="Cambria" w:hAnsi="Cambria"/>
          <w:sz w:val="20"/>
          <w:szCs w:val="20"/>
          <w:lang w:val="en-US"/>
        </w:rPr>
        <w:t>In addition, the IACHR values the efforts made by the National Population Council and the Min</w:t>
      </w:r>
      <w:r w:rsidR="004535AF" w:rsidRPr="007D47AD">
        <w:rPr>
          <w:rFonts w:ascii="Cambria" w:hAnsi="Cambria"/>
          <w:sz w:val="20"/>
          <w:szCs w:val="20"/>
          <w:lang w:val="en-US"/>
        </w:rPr>
        <w:t xml:space="preserve">istry of Interior of Mexico to </w:t>
      </w:r>
      <w:r w:rsidRPr="007D47AD">
        <w:rPr>
          <w:rFonts w:ascii="Cambria" w:hAnsi="Cambria"/>
          <w:sz w:val="20"/>
          <w:szCs w:val="20"/>
          <w:lang w:val="en-US"/>
        </w:rPr>
        <w:t xml:space="preserve">collect updated information on the issue of forced </w:t>
      </w:r>
      <w:r w:rsidR="000B3D6E" w:rsidRPr="007D47AD">
        <w:rPr>
          <w:rFonts w:ascii="Cambria" w:hAnsi="Cambria"/>
          <w:sz w:val="20"/>
          <w:szCs w:val="20"/>
          <w:lang w:val="en-US"/>
        </w:rPr>
        <w:t xml:space="preserve">internal </w:t>
      </w:r>
      <w:r w:rsidRPr="007D47AD">
        <w:rPr>
          <w:rFonts w:ascii="Cambria" w:hAnsi="Cambria"/>
          <w:sz w:val="20"/>
          <w:szCs w:val="20"/>
          <w:lang w:val="en-US"/>
        </w:rPr>
        <w:t>displacement in Mexico and the approach towards the victim</w:t>
      </w:r>
      <w:r w:rsidR="000B3D6E" w:rsidRPr="007D47AD">
        <w:rPr>
          <w:rFonts w:ascii="Cambria" w:hAnsi="Cambria"/>
          <w:sz w:val="20"/>
          <w:szCs w:val="20"/>
          <w:lang w:val="en-US"/>
        </w:rPr>
        <w:t>s</w:t>
      </w:r>
      <w:r w:rsidRPr="007D47AD">
        <w:rPr>
          <w:rFonts w:ascii="Cambria" w:hAnsi="Cambria"/>
          <w:sz w:val="20"/>
          <w:szCs w:val="20"/>
          <w:lang w:val="en-US"/>
        </w:rPr>
        <w:t xml:space="preserve"> of this phenomenon as part of the </w:t>
      </w:r>
      <w:r w:rsidR="000B3D6E" w:rsidRPr="007D47AD">
        <w:rPr>
          <w:rFonts w:ascii="Cambria" w:hAnsi="Cambria"/>
          <w:sz w:val="20"/>
          <w:szCs w:val="20"/>
          <w:lang w:val="en-US"/>
        </w:rPr>
        <w:t xml:space="preserve">research </w:t>
      </w:r>
      <w:r w:rsidRPr="007D47AD">
        <w:rPr>
          <w:rFonts w:ascii="Cambria" w:hAnsi="Cambria"/>
          <w:sz w:val="20"/>
          <w:szCs w:val="20"/>
          <w:lang w:val="en-US"/>
        </w:rPr>
        <w:t>methodology undertaken.</w:t>
      </w:r>
      <w:r w:rsidR="0021643C" w:rsidRPr="007D47AD">
        <w:rPr>
          <w:rStyle w:val="FootnoteReference"/>
          <w:rFonts w:ascii="Cambria" w:hAnsi="Cambria"/>
          <w:sz w:val="20"/>
          <w:szCs w:val="20"/>
          <w:lang w:val="en-US"/>
        </w:rPr>
        <w:footnoteReference w:id="456"/>
      </w:r>
      <w:r w:rsidRPr="007D47AD">
        <w:rPr>
          <w:rFonts w:ascii="Cambria" w:hAnsi="Cambria"/>
          <w:sz w:val="20"/>
          <w:szCs w:val="20"/>
          <w:lang w:val="en-US"/>
        </w:rPr>
        <w:t xml:space="preserve"> </w:t>
      </w:r>
    </w:p>
    <w:p w:rsidR="0083654A" w:rsidRPr="007D47AD" w:rsidRDefault="0083654A" w:rsidP="002D6103">
      <w:pPr>
        <w:shd w:val="clear" w:color="auto" w:fill="FFFFFF"/>
        <w:spacing w:after="0" w:line="240" w:lineRule="auto"/>
        <w:ind w:left="709"/>
        <w:jc w:val="both"/>
        <w:rPr>
          <w:rFonts w:ascii="Cambria" w:eastAsia="Times New Roman" w:hAnsi="Cambria" w:cs="Arial"/>
          <w:sz w:val="20"/>
          <w:szCs w:val="20"/>
          <w:lang w:val="en-US"/>
        </w:rPr>
      </w:pPr>
    </w:p>
    <w:p w:rsidR="0021643C" w:rsidRPr="007D47AD" w:rsidRDefault="00470618" w:rsidP="002D6103">
      <w:pPr>
        <w:numPr>
          <w:ilvl w:val="0"/>
          <w:numId w:val="6"/>
        </w:numPr>
        <w:shd w:val="clear" w:color="auto" w:fill="FFFFFF"/>
        <w:spacing w:after="0" w:line="240" w:lineRule="auto"/>
        <w:ind w:left="0" w:firstLine="709"/>
        <w:jc w:val="both"/>
        <w:rPr>
          <w:rFonts w:ascii="Cambria" w:eastAsia="Times New Roman" w:hAnsi="Cambria" w:cs="Arial"/>
          <w:sz w:val="20"/>
          <w:szCs w:val="20"/>
          <w:lang w:val="en-US"/>
        </w:rPr>
      </w:pPr>
      <w:r w:rsidRPr="007D47AD">
        <w:rPr>
          <w:rFonts w:ascii="Cambria" w:eastAsia="Times New Roman" w:hAnsi="Cambria" w:cs="Arial"/>
          <w:sz w:val="20"/>
          <w:szCs w:val="20"/>
          <w:lang w:val="en-US"/>
        </w:rPr>
        <w:t>The report in question highlights the differences in the impact of violence in the cent</w:t>
      </w:r>
      <w:r w:rsidR="000B3D6E" w:rsidRPr="007D47AD">
        <w:rPr>
          <w:rFonts w:ascii="Cambria" w:eastAsia="Times New Roman" w:hAnsi="Cambria" w:cs="Arial"/>
          <w:sz w:val="20"/>
          <w:szCs w:val="20"/>
          <w:lang w:val="en-US"/>
        </w:rPr>
        <w:t>ral</w:t>
      </w:r>
      <w:r w:rsidRPr="007D47AD">
        <w:rPr>
          <w:rFonts w:ascii="Cambria" w:eastAsia="Times New Roman" w:hAnsi="Cambria" w:cs="Arial"/>
          <w:sz w:val="20"/>
          <w:szCs w:val="20"/>
          <w:lang w:val="en-US"/>
        </w:rPr>
        <w:t>, north</w:t>
      </w:r>
      <w:r w:rsidR="000B3D6E" w:rsidRPr="007D47AD">
        <w:rPr>
          <w:rFonts w:ascii="Cambria" w:eastAsia="Times New Roman" w:hAnsi="Cambria" w:cs="Arial"/>
          <w:sz w:val="20"/>
          <w:szCs w:val="20"/>
          <w:lang w:val="en-US"/>
        </w:rPr>
        <w:t>ern</w:t>
      </w:r>
      <w:r w:rsidRPr="007D47AD">
        <w:rPr>
          <w:rFonts w:ascii="Cambria" w:eastAsia="Times New Roman" w:hAnsi="Cambria" w:cs="Arial"/>
          <w:sz w:val="20"/>
          <w:szCs w:val="20"/>
          <w:lang w:val="en-US"/>
        </w:rPr>
        <w:t>, and southern regions, and how this has caused the forced displacement of person</w:t>
      </w:r>
      <w:r w:rsidR="000B3D6E" w:rsidRPr="007D47AD">
        <w:rPr>
          <w:rFonts w:ascii="Cambria" w:eastAsia="Times New Roman" w:hAnsi="Cambria" w:cs="Arial"/>
          <w:sz w:val="20"/>
          <w:szCs w:val="20"/>
          <w:lang w:val="en-US"/>
        </w:rPr>
        <w:t>s</w:t>
      </w:r>
      <w:r w:rsidRPr="007D47AD">
        <w:rPr>
          <w:rFonts w:ascii="Cambria" w:eastAsia="Times New Roman" w:hAnsi="Cambria" w:cs="Arial"/>
          <w:sz w:val="20"/>
          <w:szCs w:val="20"/>
          <w:lang w:val="en-US"/>
        </w:rPr>
        <w:t>.</w:t>
      </w:r>
      <w:r w:rsidR="0021643C" w:rsidRPr="007D47AD">
        <w:rPr>
          <w:rStyle w:val="FootnoteReference"/>
          <w:rFonts w:ascii="Cambria" w:eastAsia="Times New Roman" w:hAnsi="Cambria" w:cs="Arial"/>
          <w:sz w:val="20"/>
          <w:szCs w:val="20"/>
          <w:lang w:val="en-US"/>
        </w:rPr>
        <w:footnoteReference w:id="457"/>
      </w:r>
      <w:r w:rsidR="0021643C" w:rsidRPr="007D47AD">
        <w:rPr>
          <w:rFonts w:ascii="Cambria" w:eastAsia="Times New Roman" w:hAnsi="Cambria" w:cs="Arial"/>
          <w:sz w:val="20"/>
          <w:szCs w:val="20"/>
          <w:lang w:val="en-US"/>
        </w:rPr>
        <w:t xml:space="preserve"> </w:t>
      </w:r>
      <w:r w:rsidR="00A23BF1" w:rsidRPr="007D47AD">
        <w:rPr>
          <w:rFonts w:ascii="Cambria" w:eastAsia="Times New Roman" w:hAnsi="Cambria" w:cs="Arial"/>
          <w:sz w:val="20"/>
          <w:szCs w:val="20"/>
          <w:lang w:val="en-US"/>
        </w:rPr>
        <w:t xml:space="preserve">The methodology used highlights that </w:t>
      </w:r>
      <w:r w:rsidR="0021643C" w:rsidRPr="007D47AD">
        <w:rPr>
          <w:rFonts w:ascii="Cambria" w:eastAsia="Times New Roman" w:hAnsi="Cambria" w:cs="Arial"/>
          <w:sz w:val="20"/>
          <w:szCs w:val="20"/>
          <w:lang w:val="en-US"/>
        </w:rPr>
        <w:t>“</w:t>
      </w:r>
      <w:r w:rsidR="00A23BF1" w:rsidRPr="007D47AD">
        <w:rPr>
          <w:rFonts w:ascii="Cambria" w:eastAsia="Times New Roman" w:hAnsi="Cambria" w:cs="Arial"/>
          <w:sz w:val="20"/>
          <w:szCs w:val="20"/>
          <w:lang w:val="en-US"/>
        </w:rPr>
        <w:t xml:space="preserve">almost all those interviewed agreed on the impossibility of the State </w:t>
      </w:r>
      <w:r w:rsidR="00A23BF1" w:rsidRPr="007D47AD">
        <w:rPr>
          <w:rFonts w:ascii="Cambria" w:eastAsia="Times New Roman" w:hAnsi="Cambria" w:cs="Arial"/>
          <w:sz w:val="20"/>
          <w:szCs w:val="20"/>
          <w:lang w:val="en-US"/>
        </w:rPr>
        <w:lastRenderedPageBreak/>
        <w:t xml:space="preserve">preventing or defending the population from </w:t>
      </w:r>
      <w:r w:rsidR="000B3D6E" w:rsidRPr="007D47AD">
        <w:rPr>
          <w:rFonts w:ascii="Cambria" w:eastAsia="Times New Roman" w:hAnsi="Cambria" w:cs="Arial"/>
          <w:sz w:val="20"/>
          <w:szCs w:val="20"/>
          <w:lang w:val="en-US"/>
        </w:rPr>
        <w:t xml:space="preserve">criminal violence, </w:t>
      </w:r>
      <w:r w:rsidR="00A23BF1" w:rsidRPr="007D47AD">
        <w:rPr>
          <w:rFonts w:ascii="Cambria" w:hAnsi="Cambria" w:cs="Montserrat-Regular"/>
          <w:sz w:val="20"/>
          <w:szCs w:val="20"/>
          <w:lang w:val="en-US"/>
        </w:rPr>
        <w:t>i.e. crime has overtaken it, for it appears to have an incommensurable and destructive force</w:t>
      </w:r>
      <w:r w:rsidR="0021643C" w:rsidRPr="007D47AD">
        <w:rPr>
          <w:rFonts w:ascii="Cambria" w:hAnsi="Cambria" w:cs="Montserrat-Regular"/>
          <w:sz w:val="20"/>
          <w:szCs w:val="20"/>
          <w:lang w:val="en-US"/>
        </w:rPr>
        <w:t>, capa</w:t>
      </w:r>
      <w:r w:rsidR="00A23BF1" w:rsidRPr="007D47AD">
        <w:rPr>
          <w:rFonts w:ascii="Cambria" w:hAnsi="Cambria" w:cs="Montserrat-Regular"/>
          <w:sz w:val="20"/>
          <w:szCs w:val="20"/>
          <w:lang w:val="en-US"/>
        </w:rPr>
        <w:t>ble of subordinating, compromising, and/or involving the authorities; what is most serious about this perception is not only the image of a weakened and fragile State, but the fact of knowing that it is a co-</w:t>
      </w:r>
      <w:r w:rsidR="005F5F47" w:rsidRPr="007D47AD">
        <w:rPr>
          <w:rFonts w:ascii="Cambria" w:hAnsi="Cambria" w:cs="Montserrat-Regular"/>
          <w:sz w:val="20"/>
          <w:szCs w:val="20"/>
          <w:lang w:val="en-US"/>
        </w:rPr>
        <w:t>conspirator</w:t>
      </w:r>
      <w:r w:rsidR="00A23BF1" w:rsidRPr="007D47AD">
        <w:rPr>
          <w:rFonts w:ascii="Cambria" w:hAnsi="Cambria" w:cs="Montserrat-Regular"/>
          <w:sz w:val="20"/>
          <w:szCs w:val="20"/>
          <w:lang w:val="en-US"/>
        </w:rPr>
        <w:t>.”</w:t>
      </w:r>
      <w:r w:rsidR="0021643C" w:rsidRPr="007D47AD">
        <w:rPr>
          <w:rStyle w:val="FootnoteReference"/>
          <w:rFonts w:ascii="Cambria" w:hAnsi="Cambria" w:cs="Montserrat-Regular"/>
          <w:sz w:val="20"/>
          <w:szCs w:val="20"/>
          <w:lang w:val="en-US"/>
        </w:rPr>
        <w:footnoteReference w:id="458"/>
      </w:r>
      <w:r w:rsidR="00A23BF1" w:rsidRPr="007D47AD">
        <w:rPr>
          <w:rFonts w:ascii="Cambria" w:hAnsi="Cambria" w:cs="Montserrat-Regular"/>
          <w:sz w:val="20"/>
          <w:szCs w:val="20"/>
          <w:lang w:val="en-US"/>
        </w:rPr>
        <w:t xml:space="preserve"> The IACHR recalls that these are some aspects that should be considered when adopting a national policy and measures aimed at responding in keeping with the relevant international standards</w:t>
      </w:r>
      <w:r w:rsidR="0021643C" w:rsidRPr="007D47AD">
        <w:rPr>
          <w:rFonts w:ascii="Cambria" w:eastAsia="Times New Roman" w:hAnsi="Cambria" w:cs="Arial"/>
          <w:sz w:val="20"/>
          <w:szCs w:val="20"/>
          <w:lang w:val="en-US"/>
        </w:rPr>
        <w:t>.</w:t>
      </w:r>
    </w:p>
    <w:p w:rsidR="003A1482" w:rsidRPr="007D47AD" w:rsidRDefault="003A1482" w:rsidP="003A1482">
      <w:pPr>
        <w:pStyle w:val="ListParagraph"/>
        <w:rPr>
          <w:rFonts w:ascii="Cambria" w:eastAsia="Times New Roman" w:hAnsi="Cambria" w:cs="Arial"/>
          <w:sz w:val="20"/>
          <w:szCs w:val="20"/>
          <w:lang w:val="en-US"/>
        </w:rPr>
      </w:pPr>
    </w:p>
    <w:p w:rsidR="0083654A" w:rsidRPr="007D47AD" w:rsidRDefault="00C542CC" w:rsidP="001C16AF">
      <w:pPr>
        <w:numPr>
          <w:ilvl w:val="0"/>
          <w:numId w:val="6"/>
        </w:numPr>
        <w:shd w:val="clear" w:color="auto" w:fill="FFFFFF"/>
        <w:spacing w:after="0" w:line="240" w:lineRule="auto"/>
        <w:ind w:left="0" w:firstLine="720"/>
        <w:jc w:val="both"/>
        <w:rPr>
          <w:rFonts w:ascii="Cambria" w:eastAsia="Times New Roman" w:hAnsi="Cambria" w:cs="Arial"/>
          <w:sz w:val="20"/>
          <w:szCs w:val="20"/>
          <w:lang w:val="en-US"/>
        </w:rPr>
      </w:pPr>
      <w:r w:rsidRPr="007D47AD">
        <w:rPr>
          <w:rFonts w:asciiTheme="minorHAnsi" w:eastAsia="Times New Roman" w:hAnsiTheme="minorHAnsi" w:cs="Arial"/>
          <w:sz w:val="20"/>
          <w:szCs w:val="20"/>
          <w:lang w:val="en-US"/>
        </w:rPr>
        <w:t>The Committee also noted the tensions and protests by African migrants and persons of Haitian origin at INM facilities over alleged acts of corruption by such an entity in delaying the issuance of an official permit to cross the country</w:t>
      </w:r>
      <w:r w:rsidR="003A1482" w:rsidRPr="007D47AD">
        <w:rPr>
          <w:rStyle w:val="FootnoteReference"/>
          <w:rFonts w:asciiTheme="minorHAnsi" w:hAnsiTheme="minorHAnsi"/>
          <w:sz w:val="20"/>
          <w:szCs w:val="20"/>
          <w:lang w:val="es-US"/>
        </w:rPr>
        <w:footnoteReference w:id="459"/>
      </w:r>
      <w:r w:rsidR="003A1482" w:rsidRPr="007D47AD">
        <w:rPr>
          <w:rFonts w:asciiTheme="minorHAnsi" w:hAnsiTheme="minorHAnsi"/>
          <w:sz w:val="20"/>
          <w:szCs w:val="20"/>
          <w:lang w:val="en-US"/>
        </w:rPr>
        <w:t xml:space="preserve">.  </w:t>
      </w:r>
      <w:r w:rsidRPr="007D47AD">
        <w:rPr>
          <w:rFonts w:asciiTheme="minorHAnsi" w:hAnsiTheme="minorHAnsi"/>
          <w:sz w:val="20"/>
          <w:szCs w:val="20"/>
          <w:lang w:val="en-US"/>
        </w:rPr>
        <w:t xml:space="preserve">According to the information received, the INM and the National Guard have currently implemented a racial profile to detain more African and Haitian </w:t>
      </w:r>
      <w:r w:rsidR="001C16AF" w:rsidRPr="007D47AD">
        <w:rPr>
          <w:rFonts w:asciiTheme="minorHAnsi" w:hAnsiTheme="minorHAnsi"/>
          <w:sz w:val="20"/>
          <w:szCs w:val="20"/>
          <w:lang w:val="en-US"/>
        </w:rPr>
        <w:t>migrants in</w:t>
      </w:r>
      <w:r w:rsidRPr="007D47AD">
        <w:rPr>
          <w:rFonts w:asciiTheme="minorHAnsi" w:hAnsiTheme="minorHAnsi"/>
          <w:sz w:val="20"/>
          <w:szCs w:val="20"/>
          <w:lang w:val="en-US"/>
        </w:rPr>
        <w:t xml:space="preserve"> Tijuana</w:t>
      </w:r>
      <w:r w:rsidR="003A1482" w:rsidRPr="007D47AD">
        <w:rPr>
          <w:rFonts w:asciiTheme="minorHAnsi" w:eastAsia="Times New Roman" w:hAnsiTheme="minorHAnsi" w:cs="Arial"/>
          <w:sz w:val="20"/>
          <w:szCs w:val="20"/>
          <w:vertAlign w:val="superscript"/>
          <w:lang w:val="es-US"/>
        </w:rPr>
        <w:footnoteReference w:id="460"/>
      </w:r>
      <w:r w:rsidR="003A1482" w:rsidRPr="007D47AD">
        <w:rPr>
          <w:rFonts w:asciiTheme="minorHAnsi" w:eastAsia="Times New Roman" w:hAnsiTheme="minorHAnsi" w:cs="Arial"/>
          <w:sz w:val="20"/>
          <w:szCs w:val="20"/>
          <w:lang w:val="en-US"/>
        </w:rPr>
        <w:t xml:space="preserve">. </w:t>
      </w:r>
      <w:r w:rsidR="001C16AF" w:rsidRPr="007D47AD">
        <w:rPr>
          <w:rFonts w:asciiTheme="minorHAnsi" w:eastAsia="Times New Roman" w:hAnsiTheme="minorHAnsi" w:cs="Arial"/>
          <w:sz w:val="20"/>
          <w:szCs w:val="20"/>
          <w:lang w:val="en-US"/>
        </w:rPr>
        <w:t>The IACHR emphasizes that the adoption of tactics for allegedly discriminatory reasons of public safety and protection is incompatible with the Inter-American standards of equality and non-discrimination. The Commission emphasizes the State's obligation to ensure that racial profiling and other explicit or implicit discrimination based on racial-ethnic origin and other prohibited grounds are explicitly prohibited and punished.</w:t>
      </w:r>
    </w:p>
    <w:p w:rsidR="001C16AF" w:rsidRPr="007D47AD" w:rsidRDefault="001C16AF" w:rsidP="001C16AF">
      <w:pPr>
        <w:shd w:val="clear" w:color="auto" w:fill="FFFFFF"/>
        <w:spacing w:after="0" w:line="240" w:lineRule="auto"/>
        <w:jc w:val="both"/>
        <w:rPr>
          <w:rFonts w:ascii="Cambria" w:eastAsia="Times New Roman" w:hAnsi="Cambria" w:cs="Arial"/>
          <w:sz w:val="20"/>
          <w:szCs w:val="20"/>
          <w:lang w:val="en-US"/>
        </w:rPr>
      </w:pPr>
    </w:p>
    <w:p w:rsidR="0083654A" w:rsidRPr="007D47AD" w:rsidRDefault="00A23BF1" w:rsidP="002D6103">
      <w:pPr>
        <w:numPr>
          <w:ilvl w:val="0"/>
          <w:numId w:val="6"/>
        </w:numPr>
        <w:shd w:val="clear" w:color="auto" w:fill="FFFFFF"/>
        <w:spacing w:after="0" w:line="240" w:lineRule="auto"/>
        <w:ind w:left="0" w:firstLine="709"/>
        <w:jc w:val="both"/>
        <w:rPr>
          <w:rFonts w:ascii="Cambria" w:eastAsia="Times New Roman" w:hAnsi="Cambria" w:cs="Arial"/>
          <w:sz w:val="20"/>
          <w:szCs w:val="20"/>
          <w:lang w:val="en-US"/>
        </w:rPr>
      </w:pPr>
      <w:r w:rsidRPr="007D47AD">
        <w:rPr>
          <w:rFonts w:ascii="Cambria" w:eastAsia="Times New Roman" w:hAnsi="Cambria" w:cs="Arial"/>
          <w:sz w:val="20"/>
          <w:szCs w:val="20"/>
          <w:lang w:val="en-US"/>
        </w:rPr>
        <w:t xml:space="preserve">On this recommendation, the IACHR values the actions taken by the National Population Council and the Ministry of Interior of </w:t>
      </w:r>
      <w:r w:rsidR="0083654A" w:rsidRPr="007D47AD">
        <w:rPr>
          <w:rFonts w:ascii="Cambria" w:eastAsia="Times New Roman" w:hAnsi="Cambria" w:cs="Arial"/>
          <w:sz w:val="20"/>
          <w:szCs w:val="20"/>
          <w:lang w:val="en-US"/>
        </w:rPr>
        <w:t>M</w:t>
      </w:r>
      <w:r w:rsidRPr="007D47AD">
        <w:rPr>
          <w:rFonts w:ascii="Cambria" w:eastAsia="Times New Roman" w:hAnsi="Cambria" w:cs="Arial"/>
          <w:sz w:val="20"/>
          <w:szCs w:val="20"/>
          <w:lang w:val="en-US"/>
        </w:rPr>
        <w:t>e</w:t>
      </w:r>
      <w:r w:rsidR="0083654A" w:rsidRPr="007D47AD">
        <w:rPr>
          <w:rFonts w:ascii="Cambria" w:eastAsia="Times New Roman" w:hAnsi="Cambria" w:cs="Arial"/>
          <w:sz w:val="20"/>
          <w:szCs w:val="20"/>
          <w:lang w:val="en-US"/>
        </w:rPr>
        <w:t xml:space="preserve">xico. </w:t>
      </w:r>
      <w:r w:rsidRPr="007D47AD">
        <w:rPr>
          <w:rFonts w:ascii="Cambria" w:eastAsia="Times New Roman" w:hAnsi="Cambria" w:cs="Arial"/>
          <w:sz w:val="20"/>
          <w:szCs w:val="20"/>
          <w:lang w:val="en-US"/>
        </w:rPr>
        <w:t xml:space="preserve">Nonetheless, it observes that this assessment is focused exclusively on violence as a factor of displacement; accordingly, a comprehensive study is needed that considers all its causes and that can provide comprehensive information on internal displacement. In this light, the IACHR </w:t>
      </w:r>
      <w:r w:rsidR="0083654A" w:rsidRPr="007D47AD">
        <w:rPr>
          <w:rFonts w:ascii="Cambria" w:eastAsia="Times New Roman" w:hAnsi="Cambria" w:cs="Arial"/>
          <w:sz w:val="20"/>
          <w:szCs w:val="20"/>
          <w:lang w:val="en-US"/>
        </w:rPr>
        <w:t>consider</w:t>
      </w:r>
      <w:r w:rsidRPr="007D47AD">
        <w:rPr>
          <w:rFonts w:ascii="Cambria" w:eastAsia="Times New Roman" w:hAnsi="Cambria" w:cs="Arial"/>
          <w:sz w:val="20"/>
          <w:szCs w:val="20"/>
          <w:lang w:val="en-US"/>
        </w:rPr>
        <w:t xml:space="preserve">s that this recommendation has not yet been implemented. </w:t>
      </w:r>
      <w:r w:rsidR="0083654A" w:rsidRPr="007D47AD">
        <w:rPr>
          <w:rFonts w:ascii="Cambria" w:eastAsia="Times New Roman" w:hAnsi="Cambria" w:cs="Arial"/>
          <w:sz w:val="20"/>
          <w:szCs w:val="20"/>
          <w:lang w:val="en-US"/>
        </w:rPr>
        <w:t xml:space="preserve"> </w:t>
      </w:r>
    </w:p>
    <w:p w:rsidR="0083654A" w:rsidRPr="007D47AD" w:rsidRDefault="0083654A" w:rsidP="00F911BC">
      <w:pPr>
        <w:autoSpaceDE w:val="0"/>
        <w:autoSpaceDN w:val="0"/>
        <w:adjustRightInd w:val="0"/>
        <w:spacing w:after="0" w:line="240" w:lineRule="auto"/>
        <w:ind w:left="540"/>
        <w:jc w:val="both"/>
        <w:rPr>
          <w:rFonts w:ascii="Cambria" w:hAnsi="Cambria"/>
          <w:sz w:val="20"/>
          <w:szCs w:val="20"/>
          <w:lang w:val="en-US"/>
        </w:rPr>
      </w:pPr>
    </w:p>
    <w:p w:rsidR="0021643C" w:rsidRPr="007D47AD" w:rsidRDefault="00A23BF1" w:rsidP="00F911BC">
      <w:pPr>
        <w:numPr>
          <w:ilvl w:val="0"/>
          <w:numId w:val="6"/>
        </w:numPr>
        <w:shd w:val="clear" w:color="auto" w:fill="FFFFFF"/>
        <w:spacing w:after="0" w:line="240" w:lineRule="auto"/>
        <w:ind w:left="0" w:firstLine="709"/>
        <w:jc w:val="both"/>
        <w:rPr>
          <w:rFonts w:ascii="Cambria" w:hAnsi="Cambria"/>
          <w:sz w:val="20"/>
          <w:szCs w:val="20"/>
          <w:lang w:val="en-US"/>
        </w:rPr>
      </w:pPr>
      <w:r w:rsidRPr="007D47AD">
        <w:rPr>
          <w:rFonts w:ascii="Cambria" w:eastAsia="Times New Roman" w:hAnsi="Cambria" w:cs="Arial"/>
          <w:sz w:val="20"/>
          <w:szCs w:val="20"/>
          <w:lang w:val="en-US"/>
        </w:rPr>
        <w:t xml:space="preserve">With respect to the recommendation to </w:t>
      </w:r>
      <w:r w:rsidR="0021643C" w:rsidRPr="007D47AD">
        <w:rPr>
          <w:rFonts w:ascii="Cambria" w:eastAsia="Times New Roman" w:hAnsi="Cambria" w:cs="Arial"/>
          <w:b/>
          <w:sz w:val="20"/>
          <w:szCs w:val="20"/>
          <w:lang w:val="en-US"/>
        </w:rPr>
        <w:t>adopt</w:t>
      </w:r>
      <w:r w:rsidRPr="007D47AD">
        <w:rPr>
          <w:rFonts w:ascii="Cambria" w:eastAsia="Times New Roman" w:hAnsi="Cambria" w:cs="Arial"/>
          <w:b/>
          <w:sz w:val="20"/>
          <w:szCs w:val="20"/>
          <w:lang w:val="en-US"/>
        </w:rPr>
        <w:t xml:space="preserve"> specific legislation both federal and state to address internal displacement, in keeping with the Guiding Principles on Internal Displacement</w:t>
      </w:r>
      <w:r w:rsidR="0021643C" w:rsidRPr="007D47AD">
        <w:rPr>
          <w:rFonts w:ascii="Cambria" w:hAnsi="Cambria"/>
          <w:sz w:val="20"/>
          <w:szCs w:val="20"/>
          <w:lang w:val="en-US"/>
        </w:rPr>
        <w:t xml:space="preserve">, </w:t>
      </w:r>
      <w:r w:rsidRPr="007D47AD">
        <w:rPr>
          <w:rFonts w:ascii="Cambria" w:hAnsi="Cambria"/>
          <w:sz w:val="20"/>
          <w:szCs w:val="20"/>
          <w:lang w:val="en-US"/>
        </w:rPr>
        <w:t>the State did not provide additional information and referred to what was reported in previous reports.</w:t>
      </w:r>
      <w:r w:rsidR="0021643C" w:rsidRPr="007D47AD">
        <w:rPr>
          <w:rStyle w:val="FootnoteReference"/>
          <w:rFonts w:ascii="Cambria" w:hAnsi="Cambria"/>
          <w:sz w:val="20"/>
          <w:szCs w:val="20"/>
          <w:lang w:val="en-US"/>
        </w:rPr>
        <w:footnoteReference w:id="461"/>
      </w:r>
      <w:r w:rsidR="0021643C" w:rsidRPr="007D47AD">
        <w:rPr>
          <w:rFonts w:ascii="Cambria" w:hAnsi="Cambria"/>
          <w:sz w:val="20"/>
          <w:szCs w:val="20"/>
          <w:lang w:val="en-US"/>
        </w:rPr>
        <w:t xml:space="preserve"> </w:t>
      </w:r>
      <w:r w:rsidRPr="007D47AD">
        <w:rPr>
          <w:rFonts w:ascii="Cambria" w:hAnsi="Cambria"/>
          <w:sz w:val="20"/>
          <w:szCs w:val="20"/>
          <w:lang w:val="en-US"/>
        </w:rPr>
        <w:t xml:space="preserve">Accordingly, the Commission notes that in September </w:t>
      </w:r>
      <w:r w:rsidR="0021643C" w:rsidRPr="007D47AD">
        <w:rPr>
          <w:rFonts w:ascii="Cambria" w:hAnsi="Cambria"/>
          <w:sz w:val="20"/>
          <w:szCs w:val="20"/>
          <w:lang w:val="en-US"/>
        </w:rPr>
        <w:t xml:space="preserve">2019 </w:t>
      </w:r>
      <w:r w:rsidRPr="007D47AD">
        <w:rPr>
          <w:rFonts w:ascii="Cambria" w:hAnsi="Cambria"/>
          <w:sz w:val="20"/>
          <w:szCs w:val="20"/>
          <w:lang w:val="en-US"/>
        </w:rPr>
        <w:t>a bill on the matter was introduced to Congress.</w:t>
      </w:r>
      <w:r w:rsidR="0021643C" w:rsidRPr="007D47AD">
        <w:rPr>
          <w:rStyle w:val="FootnoteReference"/>
          <w:rFonts w:ascii="Cambria" w:hAnsi="Cambria"/>
          <w:sz w:val="20"/>
          <w:szCs w:val="20"/>
          <w:lang w:val="en-US"/>
        </w:rPr>
        <w:footnoteReference w:id="462"/>
      </w:r>
      <w:r w:rsidR="0021643C" w:rsidRPr="007D47AD">
        <w:rPr>
          <w:rFonts w:ascii="Cambria" w:hAnsi="Cambria"/>
          <w:sz w:val="20"/>
          <w:szCs w:val="20"/>
          <w:lang w:val="en-US"/>
        </w:rPr>
        <w:t xml:space="preserve"> </w:t>
      </w:r>
      <w:r w:rsidRPr="007D47AD">
        <w:rPr>
          <w:rFonts w:ascii="Cambria" w:hAnsi="Cambria"/>
          <w:sz w:val="20"/>
          <w:szCs w:val="20"/>
          <w:lang w:val="en-US"/>
        </w:rPr>
        <w:t xml:space="preserve">It therefore calls on the State, in furtherance of its international obligations, to ensure the protection and recognition of internally displaced persons, </w:t>
      </w:r>
      <w:r w:rsidR="000B3D6E" w:rsidRPr="007D47AD">
        <w:rPr>
          <w:rFonts w:ascii="Cambria" w:hAnsi="Cambria"/>
          <w:sz w:val="20"/>
          <w:szCs w:val="20"/>
          <w:lang w:val="en-US"/>
        </w:rPr>
        <w:t>see to it</w:t>
      </w:r>
      <w:r w:rsidRPr="007D47AD">
        <w:rPr>
          <w:rFonts w:ascii="Cambria" w:hAnsi="Cambria"/>
          <w:sz w:val="20"/>
          <w:szCs w:val="20"/>
          <w:lang w:val="en-US"/>
        </w:rPr>
        <w:t xml:space="preserve"> that any legal initiative introduced compl</w:t>
      </w:r>
      <w:r w:rsidR="000B3D6E" w:rsidRPr="007D47AD">
        <w:rPr>
          <w:rFonts w:ascii="Cambria" w:hAnsi="Cambria"/>
          <w:sz w:val="20"/>
          <w:szCs w:val="20"/>
          <w:lang w:val="en-US"/>
        </w:rPr>
        <w:t>ies</w:t>
      </w:r>
      <w:r w:rsidRPr="007D47AD">
        <w:rPr>
          <w:rFonts w:ascii="Cambria" w:hAnsi="Cambria"/>
          <w:sz w:val="20"/>
          <w:szCs w:val="20"/>
          <w:lang w:val="en-US"/>
        </w:rPr>
        <w:t xml:space="preserve"> with the relevant international standards.</w:t>
      </w:r>
      <w:r w:rsidR="0021643C" w:rsidRPr="007D47AD">
        <w:rPr>
          <w:rStyle w:val="FootnoteReference"/>
          <w:rFonts w:ascii="Cambria" w:hAnsi="Cambria"/>
          <w:sz w:val="20"/>
          <w:szCs w:val="20"/>
          <w:lang w:val="en-US"/>
        </w:rPr>
        <w:footnoteReference w:id="463"/>
      </w:r>
    </w:p>
    <w:p w:rsidR="0021643C" w:rsidRPr="007D47AD" w:rsidRDefault="0021643C" w:rsidP="00F911BC">
      <w:pPr>
        <w:autoSpaceDE w:val="0"/>
        <w:autoSpaceDN w:val="0"/>
        <w:adjustRightInd w:val="0"/>
        <w:spacing w:after="0" w:line="240" w:lineRule="auto"/>
        <w:ind w:left="540"/>
        <w:jc w:val="both"/>
        <w:rPr>
          <w:rFonts w:ascii="Cambria" w:hAnsi="Cambria"/>
          <w:sz w:val="20"/>
          <w:szCs w:val="20"/>
          <w:lang w:val="en-US"/>
        </w:rPr>
      </w:pPr>
    </w:p>
    <w:p w:rsidR="0021643C" w:rsidRPr="007D47AD" w:rsidRDefault="00A23BF1" w:rsidP="00F911BC">
      <w:pPr>
        <w:numPr>
          <w:ilvl w:val="0"/>
          <w:numId w:val="6"/>
        </w:numPr>
        <w:shd w:val="clear" w:color="auto" w:fill="FFFFFF"/>
        <w:spacing w:after="0" w:line="240" w:lineRule="auto"/>
        <w:ind w:left="0" w:firstLine="709"/>
        <w:jc w:val="both"/>
        <w:rPr>
          <w:rFonts w:ascii="Cambria" w:hAnsi="Cambria"/>
          <w:sz w:val="20"/>
          <w:szCs w:val="20"/>
          <w:lang w:val="en-US"/>
        </w:rPr>
      </w:pPr>
      <w:r w:rsidRPr="007D47AD">
        <w:rPr>
          <w:rFonts w:ascii="Cambria" w:hAnsi="Cambria"/>
          <w:sz w:val="20"/>
          <w:szCs w:val="20"/>
          <w:lang w:val="en-US"/>
        </w:rPr>
        <w:t>The IACHR concludes that while the State has taken some actions with respect to the recommendation, the adoption of specific legislation for addressing internal displacement is still pending. The Commission is concerned about the lack of a federal law on internal displacement</w:t>
      </w:r>
      <w:r w:rsidR="00485FE9" w:rsidRPr="007D47AD">
        <w:rPr>
          <w:rFonts w:ascii="Cambria" w:hAnsi="Cambria"/>
          <w:sz w:val="20"/>
          <w:szCs w:val="20"/>
          <w:lang w:val="en-US"/>
        </w:rPr>
        <w:t xml:space="preserve">. </w:t>
      </w:r>
      <w:r w:rsidRPr="007D47AD">
        <w:rPr>
          <w:rFonts w:ascii="Cambria" w:hAnsi="Cambria"/>
          <w:sz w:val="20"/>
          <w:szCs w:val="20"/>
          <w:lang w:val="en-US"/>
        </w:rPr>
        <w:t>In view of the foregoing, the recommendation continues to meet with partial compliance</w:t>
      </w:r>
      <w:r w:rsidR="00485FE9" w:rsidRPr="007D47AD">
        <w:rPr>
          <w:rFonts w:ascii="Cambria" w:hAnsi="Cambria"/>
          <w:sz w:val="20"/>
          <w:szCs w:val="20"/>
          <w:lang w:val="en-US"/>
        </w:rPr>
        <w:t xml:space="preserve">. </w:t>
      </w:r>
      <w:r w:rsidR="0021643C" w:rsidRPr="007D47AD">
        <w:rPr>
          <w:rFonts w:ascii="Cambria" w:hAnsi="Cambria"/>
          <w:sz w:val="20"/>
          <w:szCs w:val="20"/>
          <w:lang w:val="en-US"/>
        </w:rPr>
        <w:t xml:space="preserve"> </w:t>
      </w:r>
    </w:p>
    <w:p w:rsidR="0021643C" w:rsidRPr="007D47AD" w:rsidRDefault="0021643C" w:rsidP="00F911BC">
      <w:pPr>
        <w:pStyle w:val="Default"/>
        <w:ind w:left="540"/>
        <w:jc w:val="both"/>
        <w:rPr>
          <w:rFonts w:ascii="Cambria" w:hAnsi="Cambria"/>
          <w:color w:val="auto"/>
          <w:sz w:val="20"/>
          <w:szCs w:val="20"/>
        </w:rPr>
      </w:pPr>
    </w:p>
    <w:p w:rsidR="00F911BC" w:rsidRPr="007D47AD" w:rsidRDefault="00A23BF1" w:rsidP="00E47BE8">
      <w:pPr>
        <w:numPr>
          <w:ilvl w:val="0"/>
          <w:numId w:val="6"/>
        </w:numPr>
        <w:shd w:val="clear" w:color="auto" w:fill="FFFFFF"/>
        <w:spacing w:after="0" w:line="240" w:lineRule="auto"/>
        <w:ind w:left="0" w:firstLine="709"/>
        <w:jc w:val="both"/>
        <w:rPr>
          <w:rFonts w:ascii="Cambria" w:hAnsi="Cambria"/>
          <w:sz w:val="20"/>
          <w:szCs w:val="20"/>
          <w:lang w:val="en-US"/>
        </w:rPr>
      </w:pPr>
      <w:r w:rsidRPr="007D47AD">
        <w:rPr>
          <w:rFonts w:ascii="Cambria" w:hAnsi="Cambria"/>
          <w:sz w:val="20"/>
          <w:szCs w:val="20"/>
          <w:lang w:val="en-US"/>
        </w:rPr>
        <w:lastRenderedPageBreak/>
        <w:t xml:space="preserve">On the recommendation </w:t>
      </w:r>
      <w:r w:rsidRPr="007D47AD">
        <w:rPr>
          <w:rFonts w:ascii="Cambria" w:hAnsi="Cambria"/>
          <w:b/>
          <w:sz w:val="20"/>
          <w:szCs w:val="20"/>
          <w:lang w:val="en-US"/>
        </w:rPr>
        <w:t>to ensure that at the federal level there is an institution in</w:t>
      </w:r>
      <w:r w:rsidR="00DC2901" w:rsidRPr="007D47AD">
        <w:rPr>
          <w:rFonts w:ascii="Cambria" w:hAnsi="Cambria"/>
          <w:b/>
          <w:sz w:val="20"/>
          <w:szCs w:val="20"/>
          <w:lang w:val="en-US"/>
        </w:rPr>
        <w:t xml:space="preserve"> charge of protecting persons from forced displacement</w:t>
      </w:r>
      <w:r w:rsidR="0021643C" w:rsidRPr="007D47AD">
        <w:rPr>
          <w:rFonts w:ascii="Cambria" w:hAnsi="Cambria"/>
          <w:sz w:val="20"/>
          <w:szCs w:val="20"/>
          <w:lang w:val="en-US"/>
        </w:rPr>
        <w:t xml:space="preserve">, </w:t>
      </w:r>
      <w:r w:rsidR="00DC2901" w:rsidRPr="007D47AD">
        <w:rPr>
          <w:rFonts w:ascii="Cambria" w:hAnsi="Cambria"/>
          <w:sz w:val="20"/>
          <w:szCs w:val="20"/>
          <w:lang w:val="en-US"/>
        </w:rPr>
        <w:t>the State did not provide additional information and referred to what was indicated in previous reports.</w:t>
      </w:r>
      <w:r w:rsidR="0021643C" w:rsidRPr="007D47AD">
        <w:rPr>
          <w:rFonts w:ascii="Cambria" w:hAnsi="Cambria"/>
          <w:sz w:val="20"/>
          <w:szCs w:val="20"/>
          <w:vertAlign w:val="superscript"/>
          <w:lang w:val="en-US"/>
        </w:rPr>
        <w:footnoteReference w:id="464"/>
      </w:r>
      <w:r w:rsidR="0021643C" w:rsidRPr="007D47AD">
        <w:rPr>
          <w:rFonts w:ascii="Cambria" w:hAnsi="Cambria"/>
          <w:sz w:val="20"/>
          <w:szCs w:val="20"/>
          <w:lang w:val="en-US"/>
        </w:rPr>
        <w:t xml:space="preserve"> </w:t>
      </w:r>
    </w:p>
    <w:p w:rsidR="00F911BC" w:rsidRPr="007D47AD" w:rsidRDefault="00F911BC" w:rsidP="00F911BC">
      <w:pPr>
        <w:shd w:val="clear" w:color="auto" w:fill="FFFFFF"/>
        <w:spacing w:after="0" w:line="240" w:lineRule="auto"/>
        <w:jc w:val="both"/>
        <w:rPr>
          <w:rFonts w:ascii="Cambria" w:hAnsi="Cambria"/>
          <w:sz w:val="20"/>
          <w:szCs w:val="20"/>
          <w:lang w:val="en-US"/>
        </w:rPr>
      </w:pPr>
    </w:p>
    <w:p w:rsidR="0021643C" w:rsidRPr="007D47AD" w:rsidRDefault="00DC2901" w:rsidP="00F911BC">
      <w:pPr>
        <w:numPr>
          <w:ilvl w:val="0"/>
          <w:numId w:val="6"/>
        </w:numPr>
        <w:shd w:val="clear" w:color="auto" w:fill="FFFFFF"/>
        <w:spacing w:after="0" w:line="240" w:lineRule="auto"/>
        <w:ind w:left="0" w:firstLine="709"/>
        <w:jc w:val="both"/>
        <w:rPr>
          <w:rFonts w:ascii="Cambria" w:hAnsi="Cambria"/>
          <w:sz w:val="20"/>
          <w:szCs w:val="20"/>
          <w:lang w:val="en-US"/>
        </w:rPr>
      </w:pPr>
      <w:r w:rsidRPr="007D47AD">
        <w:rPr>
          <w:rFonts w:ascii="Cambria" w:hAnsi="Cambria"/>
          <w:sz w:val="20"/>
          <w:szCs w:val="20"/>
          <w:lang w:val="en-US"/>
        </w:rPr>
        <w:t>The IACHR and the UN Special Rapporteur on the human rights of internally displaced persons viewed in a positive light the judgment of the 10</w:t>
      </w:r>
      <w:r w:rsidRPr="007D47AD">
        <w:rPr>
          <w:rFonts w:ascii="Cambria" w:hAnsi="Cambria"/>
          <w:sz w:val="20"/>
          <w:szCs w:val="20"/>
          <w:vertAlign w:val="superscript"/>
          <w:lang w:val="en-US"/>
        </w:rPr>
        <w:t>th</w:t>
      </w:r>
      <w:r w:rsidRPr="007D47AD">
        <w:rPr>
          <w:rFonts w:ascii="Cambria" w:hAnsi="Cambria"/>
          <w:sz w:val="20"/>
          <w:szCs w:val="20"/>
          <w:lang w:val="en-US"/>
        </w:rPr>
        <w:t xml:space="preserve"> Collegial Court for Criminal Matters of the First Circuit, which affirmed that internally displaced persons are victims according to the </w:t>
      </w:r>
      <w:r w:rsidR="0021643C" w:rsidRPr="007D47AD">
        <w:rPr>
          <w:rFonts w:ascii="Cambria" w:hAnsi="Cambria"/>
          <w:sz w:val="20"/>
          <w:szCs w:val="20"/>
          <w:lang w:val="en-US"/>
        </w:rPr>
        <w:t xml:space="preserve">General </w:t>
      </w:r>
      <w:r w:rsidRPr="007D47AD">
        <w:rPr>
          <w:rFonts w:ascii="Cambria" w:hAnsi="Cambria"/>
          <w:sz w:val="20"/>
          <w:szCs w:val="20"/>
          <w:lang w:val="en-US"/>
        </w:rPr>
        <w:t xml:space="preserve">Law on Victims and that the </w:t>
      </w:r>
      <w:r w:rsidR="008805D5" w:rsidRPr="007D47AD">
        <w:rPr>
          <w:rFonts w:ascii="Cambria" w:hAnsi="Cambria"/>
          <w:sz w:val="20"/>
          <w:szCs w:val="20"/>
          <w:lang w:val="en-US"/>
        </w:rPr>
        <w:t>CEAV</w:t>
      </w:r>
      <w:r w:rsidR="0021643C" w:rsidRPr="007D47AD">
        <w:rPr>
          <w:rFonts w:ascii="Cambria" w:hAnsi="Cambria"/>
          <w:sz w:val="20"/>
          <w:szCs w:val="20"/>
          <w:lang w:val="en-US"/>
        </w:rPr>
        <w:t xml:space="preserve"> </w:t>
      </w:r>
      <w:r w:rsidRPr="007D47AD">
        <w:rPr>
          <w:rFonts w:ascii="Cambria" w:hAnsi="Cambria"/>
          <w:sz w:val="20"/>
          <w:szCs w:val="20"/>
          <w:lang w:val="en-US"/>
        </w:rPr>
        <w:t>has the authority to recognize them as such.</w:t>
      </w:r>
      <w:r w:rsidR="0021643C" w:rsidRPr="007D47AD">
        <w:rPr>
          <w:rStyle w:val="FootnoteReference"/>
          <w:rFonts w:ascii="Cambria" w:hAnsi="Cambria"/>
          <w:sz w:val="20"/>
          <w:szCs w:val="20"/>
          <w:lang w:val="en-US"/>
        </w:rPr>
        <w:footnoteReference w:id="465"/>
      </w:r>
      <w:r w:rsidR="00036305" w:rsidRPr="007D47AD">
        <w:rPr>
          <w:rFonts w:ascii="Cambria" w:hAnsi="Cambria"/>
          <w:sz w:val="20"/>
          <w:szCs w:val="20"/>
          <w:lang w:val="en-US"/>
        </w:rPr>
        <w:t xml:space="preserve"> </w:t>
      </w:r>
      <w:r w:rsidRPr="007D47AD">
        <w:rPr>
          <w:rFonts w:ascii="Cambria" w:hAnsi="Cambria"/>
          <w:sz w:val="20"/>
          <w:szCs w:val="20"/>
          <w:lang w:val="en-US"/>
        </w:rPr>
        <w:t xml:space="preserve">In this regard, the Commission learned that cases of internal displacement have been received and are being considered by the </w:t>
      </w:r>
      <w:r w:rsidR="007F0363" w:rsidRPr="007D47AD">
        <w:rPr>
          <w:rFonts w:ascii="Cambria" w:hAnsi="Cambria"/>
          <w:sz w:val="20"/>
          <w:szCs w:val="20"/>
          <w:lang w:val="en-US"/>
        </w:rPr>
        <w:t>CEAV.</w:t>
      </w:r>
      <w:r w:rsidR="0021643C" w:rsidRPr="007D47AD">
        <w:rPr>
          <w:rFonts w:ascii="Cambria" w:hAnsi="Cambria"/>
          <w:sz w:val="20"/>
          <w:szCs w:val="20"/>
          <w:lang w:val="en-US"/>
        </w:rPr>
        <w:t xml:space="preserve"> </w:t>
      </w:r>
    </w:p>
    <w:p w:rsidR="00F911BC" w:rsidRPr="007D47AD" w:rsidRDefault="00F911BC" w:rsidP="00F911BC">
      <w:pPr>
        <w:shd w:val="clear" w:color="auto" w:fill="FFFFFF"/>
        <w:spacing w:after="0" w:line="240" w:lineRule="auto"/>
        <w:ind w:left="709"/>
        <w:jc w:val="both"/>
        <w:rPr>
          <w:rFonts w:ascii="Cambria" w:hAnsi="Cambria"/>
          <w:sz w:val="20"/>
          <w:szCs w:val="20"/>
          <w:lang w:val="en-US"/>
        </w:rPr>
      </w:pPr>
    </w:p>
    <w:p w:rsidR="00F911BC" w:rsidRPr="007D47AD" w:rsidRDefault="00DC2901" w:rsidP="00F911BC">
      <w:pPr>
        <w:numPr>
          <w:ilvl w:val="0"/>
          <w:numId w:val="6"/>
        </w:numPr>
        <w:shd w:val="clear" w:color="auto" w:fill="FFFFFF"/>
        <w:spacing w:after="0" w:line="240" w:lineRule="auto"/>
        <w:ind w:left="0" w:firstLine="709"/>
        <w:jc w:val="both"/>
        <w:rPr>
          <w:rFonts w:ascii="Cambria" w:hAnsi="Cambria"/>
          <w:sz w:val="20"/>
          <w:szCs w:val="20"/>
          <w:lang w:val="en-US"/>
        </w:rPr>
      </w:pPr>
      <w:r w:rsidRPr="007D47AD">
        <w:rPr>
          <w:rFonts w:ascii="Cambria" w:hAnsi="Cambria"/>
          <w:sz w:val="20"/>
          <w:szCs w:val="20"/>
          <w:lang w:val="en-US"/>
        </w:rPr>
        <w:t>In addition, according to info</w:t>
      </w:r>
      <w:r w:rsidR="00B12825" w:rsidRPr="007D47AD">
        <w:rPr>
          <w:rFonts w:ascii="Cambria" w:hAnsi="Cambria"/>
          <w:sz w:val="20"/>
          <w:szCs w:val="20"/>
          <w:lang w:val="en-US"/>
        </w:rPr>
        <w:t>r</w:t>
      </w:r>
      <w:r w:rsidRPr="007D47AD">
        <w:rPr>
          <w:rFonts w:ascii="Cambria" w:hAnsi="Cambria"/>
          <w:sz w:val="20"/>
          <w:szCs w:val="20"/>
          <w:lang w:val="en-US"/>
        </w:rPr>
        <w:t xml:space="preserve">mation provided to the IACHR by the </w:t>
      </w:r>
      <w:r w:rsidR="0021643C" w:rsidRPr="007D47AD">
        <w:rPr>
          <w:rFonts w:ascii="Cambria" w:hAnsi="Cambria"/>
          <w:sz w:val="20"/>
          <w:szCs w:val="20"/>
          <w:lang w:val="en-US"/>
        </w:rPr>
        <w:t xml:space="preserve">Comisión Mexicana de Defensa y Promoción de Derechos Humanos, </w:t>
      </w:r>
      <w:r w:rsidRPr="007D47AD">
        <w:rPr>
          <w:rFonts w:ascii="Cambria" w:hAnsi="Cambria"/>
          <w:sz w:val="20"/>
          <w:szCs w:val="20"/>
          <w:lang w:val="en-US"/>
        </w:rPr>
        <w:t xml:space="preserve">an Integral Action Plan (PAI: </w:t>
      </w:r>
      <w:r w:rsidR="0021643C" w:rsidRPr="007D47AD">
        <w:rPr>
          <w:rFonts w:ascii="Cambria" w:hAnsi="Cambria"/>
          <w:sz w:val="20"/>
          <w:szCs w:val="20"/>
          <w:lang w:val="en-US"/>
        </w:rPr>
        <w:t>Plan de Atención Integral</w:t>
      </w:r>
      <w:r w:rsidRPr="007D47AD">
        <w:rPr>
          <w:rFonts w:ascii="Cambria" w:hAnsi="Cambria"/>
          <w:sz w:val="20"/>
          <w:szCs w:val="20"/>
          <w:lang w:val="en-US"/>
        </w:rPr>
        <w:t>,</w:t>
      </w:r>
      <w:r w:rsidR="0021643C" w:rsidRPr="007D47AD">
        <w:rPr>
          <w:rFonts w:ascii="Cambria" w:hAnsi="Cambria"/>
          <w:sz w:val="20"/>
          <w:szCs w:val="20"/>
          <w:lang w:val="en-US"/>
        </w:rPr>
        <w:t xml:space="preserve"> </w:t>
      </w:r>
      <w:r w:rsidRPr="007D47AD">
        <w:rPr>
          <w:rFonts w:ascii="Cambria" w:hAnsi="Cambria"/>
          <w:sz w:val="20"/>
          <w:szCs w:val="20"/>
          <w:lang w:val="en-US"/>
        </w:rPr>
        <w:t>an instrument recognized in the General Law on Victims</w:t>
      </w:r>
      <w:r w:rsidR="0021643C" w:rsidRPr="007D47AD">
        <w:rPr>
          <w:rFonts w:ascii="Cambria" w:hAnsi="Cambria"/>
          <w:sz w:val="20"/>
          <w:szCs w:val="20"/>
          <w:lang w:val="en-US"/>
        </w:rPr>
        <w:t>)</w:t>
      </w:r>
      <w:r w:rsidRPr="007D47AD">
        <w:rPr>
          <w:rFonts w:ascii="Cambria" w:hAnsi="Cambria"/>
          <w:sz w:val="20"/>
          <w:szCs w:val="20"/>
          <w:lang w:val="en-US"/>
        </w:rPr>
        <w:t xml:space="preserve"> </w:t>
      </w:r>
      <w:r w:rsidR="00B12825" w:rsidRPr="007D47AD">
        <w:rPr>
          <w:rFonts w:ascii="Cambria" w:hAnsi="Cambria"/>
          <w:sz w:val="20"/>
          <w:szCs w:val="20"/>
          <w:lang w:val="en-US"/>
        </w:rPr>
        <w:t xml:space="preserve">will be implemented </w:t>
      </w:r>
      <w:r w:rsidRPr="007D47AD">
        <w:rPr>
          <w:rFonts w:ascii="Cambria" w:hAnsi="Cambria"/>
          <w:sz w:val="20"/>
          <w:szCs w:val="20"/>
          <w:lang w:val="en-US"/>
        </w:rPr>
        <w:t xml:space="preserve">for a group of victims of internal forced displacement from the state of </w:t>
      </w:r>
      <w:r w:rsidR="0021643C" w:rsidRPr="007D47AD">
        <w:rPr>
          <w:rFonts w:ascii="Cambria" w:hAnsi="Cambria"/>
          <w:sz w:val="20"/>
          <w:szCs w:val="20"/>
          <w:lang w:val="en-US"/>
        </w:rPr>
        <w:t>Chihuahua</w:t>
      </w:r>
      <w:r w:rsidR="000D7D1B" w:rsidRPr="007D47AD">
        <w:rPr>
          <w:rFonts w:ascii="Cambria" w:hAnsi="Cambria"/>
          <w:sz w:val="20"/>
          <w:szCs w:val="20"/>
          <w:lang w:val="en-US"/>
        </w:rPr>
        <w:t xml:space="preserve">. It </w:t>
      </w:r>
      <w:r w:rsidRPr="007D47AD">
        <w:rPr>
          <w:rFonts w:ascii="Cambria" w:hAnsi="Cambria"/>
          <w:sz w:val="20"/>
          <w:szCs w:val="20"/>
          <w:lang w:val="en-US"/>
        </w:rPr>
        <w:t>will include the participation of the municipal, state, and federal authorities by establishing different thematic roundtables.</w:t>
      </w:r>
      <w:r w:rsidR="0021643C" w:rsidRPr="007D47AD">
        <w:rPr>
          <w:rStyle w:val="FootnoteReference"/>
          <w:rFonts w:ascii="Cambria" w:hAnsi="Cambria"/>
          <w:sz w:val="20"/>
          <w:szCs w:val="20"/>
          <w:lang w:val="en-US"/>
        </w:rPr>
        <w:footnoteReference w:id="466"/>
      </w:r>
    </w:p>
    <w:p w:rsidR="00F911BC" w:rsidRPr="007D47AD" w:rsidRDefault="00F911BC" w:rsidP="00F911BC">
      <w:pPr>
        <w:shd w:val="clear" w:color="auto" w:fill="FFFFFF"/>
        <w:spacing w:after="0" w:line="240" w:lineRule="auto"/>
        <w:ind w:left="709"/>
        <w:jc w:val="both"/>
        <w:rPr>
          <w:rFonts w:ascii="Cambria" w:hAnsi="Cambria"/>
          <w:sz w:val="20"/>
          <w:szCs w:val="20"/>
          <w:lang w:val="en-US"/>
        </w:rPr>
      </w:pPr>
    </w:p>
    <w:p w:rsidR="0021643C" w:rsidRPr="007D47AD" w:rsidRDefault="00DC2901" w:rsidP="00F911BC">
      <w:pPr>
        <w:numPr>
          <w:ilvl w:val="0"/>
          <w:numId w:val="6"/>
        </w:numPr>
        <w:shd w:val="clear" w:color="auto" w:fill="FFFFFF"/>
        <w:spacing w:after="0" w:line="240" w:lineRule="auto"/>
        <w:ind w:left="0" w:firstLine="709"/>
        <w:jc w:val="both"/>
        <w:rPr>
          <w:rFonts w:ascii="Cambria" w:hAnsi="Cambria"/>
          <w:sz w:val="20"/>
          <w:szCs w:val="20"/>
          <w:lang w:val="en-US"/>
        </w:rPr>
      </w:pPr>
      <w:r w:rsidRPr="007D47AD">
        <w:rPr>
          <w:rFonts w:ascii="Cambria" w:hAnsi="Cambria"/>
          <w:sz w:val="20"/>
          <w:szCs w:val="20"/>
          <w:lang w:val="en-US"/>
        </w:rPr>
        <w:t xml:space="preserve">With respect to this recommendation, the IACHR finds that while the </w:t>
      </w:r>
      <w:r w:rsidR="0021643C" w:rsidRPr="007D47AD">
        <w:rPr>
          <w:rFonts w:ascii="Cambria" w:hAnsi="Cambria"/>
          <w:sz w:val="20"/>
          <w:szCs w:val="20"/>
          <w:lang w:val="en-US"/>
        </w:rPr>
        <w:t xml:space="preserve">CEAV </w:t>
      </w:r>
      <w:r w:rsidRPr="007D47AD">
        <w:rPr>
          <w:rFonts w:ascii="Cambria" w:hAnsi="Cambria"/>
          <w:sz w:val="20"/>
          <w:szCs w:val="20"/>
          <w:lang w:val="en-US"/>
        </w:rPr>
        <w:t xml:space="preserve">currently exercises its mandate of protecting and recognizing displacement persons as victims, it does not carry over to creating or assigning an institution whose exclusive mandate is to address forced displacement and </w:t>
      </w:r>
      <w:r w:rsidR="00E63687" w:rsidRPr="007D47AD">
        <w:rPr>
          <w:rFonts w:ascii="Cambria" w:hAnsi="Cambria"/>
          <w:sz w:val="20"/>
          <w:szCs w:val="20"/>
          <w:lang w:val="en-US"/>
        </w:rPr>
        <w:t xml:space="preserve">protect displaced persons. Accordingly, the Commission considers that the recommendation is still pending implementation. </w:t>
      </w:r>
    </w:p>
    <w:p w:rsidR="0021643C" w:rsidRPr="007D47AD" w:rsidRDefault="0021643C" w:rsidP="0079399A">
      <w:pPr>
        <w:autoSpaceDE w:val="0"/>
        <w:autoSpaceDN w:val="0"/>
        <w:adjustRightInd w:val="0"/>
        <w:spacing w:after="0" w:line="240" w:lineRule="auto"/>
        <w:jc w:val="both"/>
        <w:rPr>
          <w:rFonts w:asciiTheme="minorHAnsi" w:hAnsiTheme="minorHAnsi"/>
          <w:sz w:val="20"/>
          <w:szCs w:val="20"/>
          <w:lang w:val="en-US"/>
        </w:rPr>
      </w:pPr>
    </w:p>
    <w:p w:rsidR="009C095D" w:rsidRPr="007D47AD" w:rsidRDefault="00E63687" w:rsidP="00E472A2">
      <w:pPr>
        <w:pStyle w:val="Heading3"/>
        <w:numPr>
          <w:ilvl w:val="2"/>
          <w:numId w:val="7"/>
        </w:numPr>
        <w:shd w:val="clear" w:color="auto" w:fill="auto"/>
        <w:spacing w:before="0"/>
        <w:ind w:left="1440" w:hanging="720"/>
        <w:rPr>
          <w:rFonts w:asciiTheme="minorHAnsi" w:hAnsiTheme="minorHAnsi"/>
          <w:sz w:val="20"/>
          <w:szCs w:val="20"/>
          <w:lang w:val="en-US"/>
        </w:rPr>
      </w:pPr>
      <w:r w:rsidRPr="007D47AD">
        <w:rPr>
          <w:rFonts w:asciiTheme="minorHAnsi" w:hAnsiTheme="minorHAnsi"/>
          <w:sz w:val="20"/>
          <w:szCs w:val="20"/>
          <w:lang w:val="en-US"/>
        </w:rPr>
        <w:t xml:space="preserve">Human rights defenders  </w:t>
      </w:r>
    </w:p>
    <w:p w:rsidR="009C095D" w:rsidRPr="007D47AD" w:rsidRDefault="00F2506B" w:rsidP="00E472A2">
      <w:pPr>
        <w:pStyle w:val="Numberedparagraphs"/>
        <w:numPr>
          <w:ilvl w:val="0"/>
          <w:numId w:val="21"/>
        </w:numPr>
        <w:shd w:val="clear" w:color="auto" w:fill="D9D9D9"/>
        <w:ind w:hanging="720"/>
        <w:rPr>
          <w:rFonts w:asciiTheme="minorHAnsi" w:hAnsiTheme="minorHAnsi"/>
          <w:lang w:val="en-US" w:eastAsia="es-ES"/>
        </w:rPr>
      </w:pPr>
      <w:r w:rsidRPr="007D47AD">
        <w:rPr>
          <w:rFonts w:asciiTheme="minorHAnsi" w:hAnsiTheme="minorHAnsi"/>
          <w:lang w:val="en-US"/>
        </w:rPr>
        <w:t xml:space="preserve">Strengthen the instances in charge of protection of human rights defenders and journalists, so that their life and integrity can properly be guaranteed. At the same time, incorporate gender and multicultural perspectives in the design and adoption of protection measures for defenders and journalists. </w:t>
      </w:r>
    </w:p>
    <w:p w:rsidR="009B470E" w:rsidRPr="007D47AD" w:rsidRDefault="00E63687" w:rsidP="00CB59AE">
      <w:pPr>
        <w:numPr>
          <w:ilvl w:val="0"/>
          <w:numId w:val="6"/>
        </w:numPr>
        <w:shd w:val="clear" w:color="auto" w:fill="FFFFFF"/>
        <w:spacing w:after="0" w:line="240" w:lineRule="auto"/>
        <w:ind w:left="0" w:firstLine="709"/>
        <w:jc w:val="both"/>
        <w:rPr>
          <w:rFonts w:asciiTheme="minorHAnsi" w:hAnsiTheme="minorHAnsi"/>
          <w:sz w:val="20"/>
          <w:szCs w:val="20"/>
          <w:lang w:val="en-US"/>
        </w:rPr>
      </w:pPr>
      <w:r w:rsidRPr="007D47AD">
        <w:rPr>
          <w:rFonts w:asciiTheme="minorHAnsi" w:hAnsiTheme="minorHAnsi"/>
          <w:sz w:val="20"/>
          <w:szCs w:val="20"/>
          <w:lang w:val="en-US"/>
        </w:rPr>
        <w:t xml:space="preserve">The State indicated that it </w:t>
      </w:r>
      <w:r w:rsidR="00C01A5B" w:rsidRPr="007D47AD">
        <w:rPr>
          <w:rFonts w:asciiTheme="minorHAnsi" w:hAnsiTheme="minorHAnsi"/>
          <w:sz w:val="20"/>
          <w:szCs w:val="20"/>
          <w:lang w:val="en-US"/>
        </w:rPr>
        <w:t>“reitera</w:t>
      </w:r>
      <w:r w:rsidRPr="007D47AD">
        <w:rPr>
          <w:rFonts w:asciiTheme="minorHAnsi" w:hAnsiTheme="minorHAnsi"/>
          <w:sz w:val="20"/>
          <w:szCs w:val="20"/>
          <w:lang w:val="en-US"/>
        </w:rPr>
        <w:t>ted what was indicated in the reports previously submitted</w:t>
      </w:r>
      <w:r w:rsidR="00C01A5B" w:rsidRPr="007D47AD">
        <w:rPr>
          <w:rFonts w:asciiTheme="minorHAnsi" w:hAnsiTheme="minorHAnsi"/>
          <w:sz w:val="20"/>
          <w:szCs w:val="20"/>
          <w:lang w:val="en-US"/>
        </w:rPr>
        <w:t>”</w:t>
      </w:r>
      <w:r w:rsidR="00C01A5B" w:rsidRPr="007D47AD">
        <w:rPr>
          <w:rStyle w:val="FootnoteReference"/>
          <w:rFonts w:asciiTheme="minorHAnsi" w:hAnsiTheme="minorHAnsi"/>
          <w:sz w:val="20"/>
          <w:szCs w:val="20"/>
          <w:lang w:val="en-US"/>
        </w:rPr>
        <w:footnoteReference w:id="467"/>
      </w:r>
      <w:r w:rsidR="009B470E" w:rsidRPr="007D47AD">
        <w:rPr>
          <w:rFonts w:asciiTheme="minorHAnsi" w:hAnsiTheme="minorHAnsi"/>
          <w:sz w:val="20"/>
          <w:szCs w:val="20"/>
          <w:lang w:val="en-US"/>
        </w:rPr>
        <w:t xml:space="preserve"> </w:t>
      </w:r>
      <w:r w:rsidRPr="007D47AD">
        <w:rPr>
          <w:rFonts w:asciiTheme="minorHAnsi" w:hAnsiTheme="minorHAnsi"/>
          <w:sz w:val="20"/>
          <w:szCs w:val="20"/>
          <w:lang w:val="en-US"/>
        </w:rPr>
        <w:t xml:space="preserve">on this recommendation. As the IACHR has indicated since the issuance of this recommendation, despite the gains identified with the approval of the Law for the Protection of Human Rights Defenders and Journalists and the creation of the Protection Mechanism, the Commission has continuously received </w:t>
      </w:r>
      <w:r w:rsidR="009B470E" w:rsidRPr="007D47AD">
        <w:rPr>
          <w:rFonts w:asciiTheme="minorHAnsi" w:hAnsiTheme="minorHAnsi"/>
          <w:sz w:val="20"/>
          <w:szCs w:val="20"/>
          <w:lang w:val="en-US"/>
        </w:rPr>
        <w:t>inform</w:t>
      </w:r>
      <w:r w:rsidRPr="007D47AD">
        <w:rPr>
          <w:rFonts w:asciiTheme="minorHAnsi" w:hAnsiTheme="minorHAnsi"/>
          <w:sz w:val="20"/>
          <w:szCs w:val="20"/>
          <w:lang w:val="en-US"/>
        </w:rPr>
        <w:t xml:space="preserve">ation on serious obstacles that threaten the effectiveness of the mechanism and the application of the above-noted law. </w:t>
      </w:r>
    </w:p>
    <w:p w:rsidR="009B470E" w:rsidRPr="007D47AD" w:rsidRDefault="009B470E" w:rsidP="009B470E">
      <w:pPr>
        <w:shd w:val="clear" w:color="auto" w:fill="FFFFFF"/>
        <w:spacing w:after="0" w:line="240" w:lineRule="auto"/>
        <w:ind w:left="709"/>
        <w:jc w:val="both"/>
        <w:rPr>
          <w:rFonts w:asciiTheme="minorHAnsi" w:hAnsiTheme="minorHAnsi"/>
          <w:sz w:val="20"/>
          <w:szCs w:val="20"/>
          <w:lang w:val="en-US"/>
        </w:rPr>
      </w:pPr>
    </w:p>
    <w:p w:rsidR="00593B02" w:rsidRPr="007D47AD" w:rsidRDefault="00B7258F" w:rsidP="00593B02">
      <w:pPr>
        <w:numPr>
          <w:ilvl w:val="0"/>
          <w:numId w:val="6"/>
        </w:numPr>
        <w:shd w:val="clear" w:color="auto" w:fill="FFFFFF"/>
        <w:spacing w:after="0" w:line="240" w:lineRule="auto"/>
        <w:ind w:left="0" w:firstLine="709"/>
        <w:jc w:val="both"/>
        <w:rPr>
          <w:rFonts w:asciiTheme="minorHAnsi" w:hAnsiTheme="minorHAnsi"/>
          <w:sz w:val="20"/>
          <w:szCs w:val="20"/>
          <w:lang w:val="en-US"/>
        </w:rPr>
      </w:pPr>
      <w:r w:rsidRPr="007D47AD">
        <w:rPr>
          <w:rFonts w:asciiTheme="minorHAnsi" w:hAnsiTheme="minorHAnsi"/>
          <w:sz w:val="20"/>
          <w:szCs w:val="20"/>
          <w:lang w:val="en-US"/>
        </w:rPr>
        <w:t>Amn</w:t>
      </w:r>
      <w:r w:rsidR="00E63687" w:rsidRPr="007D47AD">
        <w:rPr>
          <w:rFonts w:asciiTheme="minorHAnsi" w:hAnsiTheme="minorHAnsi"/>
          <w:sz w:val="20"/>
          <w:szCs w:val="20"/>
          <w:lang w:val="en-US"/>
        </w:rPr>
        <w:t>e</w:t>
      </w:r>
      <w:r w:rsidRPr="007D47AD">
        <w:rPr>
          <w:rFonts w:asciiTheme="minorHAnsi" w:hAnsiTheme="minorHAnsi"/>
          <w:sz w:val="20"/>
          <w:szCs w:val="20"/>
          <w:lang w:val="en-US"/>
        </w:rPr>
        <w:t>st</w:t>
      </w:r>
      <w:r w:rsidR="00E63687" w:rsidRPr="007D47AD">
        <w:rPr>
          <w:rFonts w:asciiTheme="minorHAnsi" w:hAnsiTheme="minorHAnsi"/>
          <w:sz w:val="20"/>
          <w:szCs w:val="20"/>
          <w:lang w:val="en-US"/>
        </w:rPr>
        <w:t xml:space="preserve">y </w:t>
      </w:r>
      <w:r w:rsidRPr="007D47AD">
        <w:rPr>
          <w:rFonts w:asciiTheme="minorHAnsi" w:hAnsiTheme="minorHAnsi"/>
          <w:sz w:val="20"/>
          <w:szCs w:val="20"/>
          <w:lang w:val="en-US"/>
        </w:rPr>
        <w:t>Interna</w:t>
      </w:r>
      <w:r w:rsidR="00E63687" w:rsidRPr="007D47AD">
        <w:rPr>
          <w:rFonts w:asciiTheme="minorHAnsi" w:hAnsiTheme="minorHAnsi"/>
          <w:sz w:val="20"/>
          <w:szCs w:val="20"/>
          <w:lang w:val="en-US"/>
        </w:rPr>
        <w:t>t</w:t>
      </w:r>
      <w:r w:rsidRPr="007D47AD">
        <w:rPr>
          <w:rFonts w:asciiTheme="minorHAnsi" w:hAnsiTheme="minorHAnsi"/>
          <w:sz w:val="20"/>
          <w:szCs w:val="20"/>
          <w:lang w:val="en-US"/>
        </w:rPr>
        <w:t>ional</w:t>
      </w:r>
      <w:r w:rsidR="00E63687" w:rsidRPr="007D47AD">
        <w:rPr>
          <w:rFonts w:asciiTheme="minorHAnsi" w:hAnsiTheme="minorHAnsi"/>
          <w:sz w:val="20"/>
          <w:szCs w:val="20"/>
          <w:lang w:val="en-US"/>
        </w:rPr>
        <w:t xml:space="preserve"> noted that during the first year of the new administration violence against human rights defenders and journalists has not </w:t>
      </w:r>
      <w:r w:rsidR="000D7D1B" w:rsidRPr="007D47AD">
        <w:rPr>
          <w:rFonts w:asciiTheme="minorHAnsi" w:hAnsiTheme="minorHAnsi"/>
          <w:sz w:val="20"/>
          <w:szCs w:val="20"/>
          <w:lang w:val="en-US"/>
        </w:rPr>
        <w:t xml:space="preserve">diminished. </w:t>
      </w:r>
      <w:r w:rsidR="00A86135" w:rsidRPr="007D47AD">
        <w:rPr>
          <w:rFonts w:asciiTheme="minorHAnsi" w:hAnsiTheme="minorHAnsi"/>
          <w:sz w:val="20"/>
          <w:szCs w:val="20"/>
          <w:lang w:val="en-US"/>
        </w:rPr>
        <w:t xml:space="preserve">It said that in October the State reported that during the current </w:t>
      </w:r>
      <w:r w:rsidR="00593B02" w:rsidRPr="007D47AD">
        <w:rPr>
          <w:rFonts w:asciiTheme="minorHAnsi" w:hAnsiTheme="minorHAnsi"/>
          <w:sz w:val="20"/>
          <w:szCs w:val="20"/>
          <w:lang w:val="en-US"/>
        </w:rPr>
        <w:t>administra</w:t>
      </w:r>
      <w:r w:rsidR="00A86135" w:rsidRPr="007D47AD">
        <w:rPr>
          <w:rFonts w:asciiTheme="minorHAnsi" w:hAnsiTheme="minorHAnsi"/>
          <w:sz w:val="20"/>
          <w:szCs w:val="20"/>
          <w:lang w:val="en-US"/>
        </w:rPr>
        <w:t>tio</w:t>
      </w:r>
      <w:r w:rsidR="00593B02" w:rsidRPr="007D47AD">
        <w:rPr>
          <w:rFonts w:asciiTheme="minorHAnsi" w:hAnsiTheme="minorHAnsi"/>
          <w:sz w:val="20"/>
          <w:szCs w:val="20"/>
          <w:lang w:val="en-US"/>
        </w:rPr>
        <w:t>n</w:t>
      </w:r>
      <w:r w:rsidR="00A86135" w:rsidRPr="007D47AD">
        <w:rPr>
          <w:rFonts w:asciiTheme="minorHAnsi" w:hAnsiTheme="minorHAnsi"/>
          <w:sz w:val="20"/>
          <w:szCs w:val="20"/>
          <w:lang w:val="en-US"/>
        </w:rPr>
        <w:t xml:space="preserve"> </w:t>
      </w:r>
      <w:r w:rsidR="00593B02" w:rsidRPr="007D47AD">
        <w:rPr>
          <w:rFonts w:asciiTheme="minorHAnsi" w:hAnsiTheme="minorHAnsi"/>
          <w:sz w:val="20"/>
          <w:szCs w:val="20"/>
          <w:lang w:val="en-US"/>
        </w:rPr>
        <w:t xml:space="preserve">23 </w:t>
      </w:r>
      <w:r w:rsidR="00A86135" w:rsidRPr="007D47AD">
        <w:rPr>
          <w:rFonts w:asciiTheme="minorHAnsi" w:hAnsiTheme="minorHAnsi"/>
          <w:sz w:val="20"/>
          <w:szCs w:val="20"/>
          <w:lang w:val="en-US"/>
        </w:rPr>
        <w:t xml:space="preserve">human rights defenders and </w:t>
      </w:r>
      <w:r w:rsidR="00593B02" w:rsidRPr="007D47AD">
        <w:rPr>
          <w:rFonts w:asciiTheme="minorHAnsi" w:hAnsiTheme="minorHAnsi"/>
          <w:sz w:val="20"/>
          <w:szCs w:val="20"/>
          <w:lang w:val="en-US"/>
        </w:rPr>
        <w:t xml:space="preserve">15 </w:t>
      </w:r>
      <w:r w:rsidR="00A86135" w:rsidRPr="007D47AD">
        <w:rPr>
          <w:rFonts w:asciiTheme="minorHAnsi" w:hAnsiTheme="minorHAnsi"/>
          <w:sz w:val="20"/>
          <w:szCs w:val="20"/>
          <w:lang w:val="en-US"/>
        </w:rPr>
        <w:t xml:space="preserve">journalists and other media workers had been assassinated, and that several had alerted others to their situation of risk; three were beneficiaries of the Protection Mechanism for Human Rights Defenders and Journalists. </w:t>
      </w:r>
      <w:r w:rsidR="000D7D1B" w:rsidRPr="007D47AD">
        <w:rPr>
          <w:rFonts w:asciiTheme="minorHAnsi" w:hAnsiTheme="minorHAnsi"/>
          <w:sz w:val="20"/>
          <w:szCs w:val="20"/>
          <w:lang w:val="en-US"/>
        </w:rPr>
        <w:t xml:space="preserve">Amnesty International </w:t>
      </w:r>
      <w:r w:rsidR="00A86135" w:rsidRPr="007D47AD">
        <w:rPr>
          <w:rFonts w:asciiTheme="minorHAnsi" w:hAnsiTheme="minorHAnsi"/>
          <w:sz w:val="20"/>
          <w:szCs w:val="20"/>
          <w:lang w:val="en-US"/>
        </w:rPr>
        <w:t>called attention to the fact that the State has accepted that the mechanism has failings, and has been more willing to react to attacks on human rights defenders.</w:t>
      </w:r>
      <w:r w:rsidR="00593B02" w:rsidRPr="007D47AD">
        <w:rPr>
          <w:rStyle w:val="FootnoteReference"/>
          <w:rFonts w:asciiTheme="minorHAnsi" w:hAnsiTheme="minorHAnsi"/>
          <w:sz w:val="20"/>
          <w:szCs w:val="20"/>
          <w:lang w:val="en-US"/>
        </w:rPr>
        <w:footnoteReference w:id="468"/>
      </w:r>
      <w:r w:rsidR="00593B02" w:rsidRPr="007D47AD">
        <w:rPr>
          <w:rFonts w:asciiTheme="minorHAnsi" w:hAnsiTheme="minorHAnsi"/>
          <w:sz w:val="20"/>
          <w:szCs w:val="20"/>
          <w:lang w:val="en-US"/>
        </w:rPr>
        <w:t xml:space="preserve"> </w:t>
      </w:r>
    </w:p>
    <w:p w:rsidR="007D10AB" w:rsidRPr="007D47AD" w:rsidRDefault="007D10AB" w:rsidP="00414F7D">
      <w:pPr>
        <w:shd w:val="clear" w:color="auto" w:fill="FFFFFF"/>
        <w:spacing w:after="0" w:line="240" w:lineRule="auto"/>
        <w:jc w:val="both"/>
        <w:rPr>
          <w:rFonts w:asciiTheme="minorHAnsi" w:hAnsiTheme="minorHAnsi"/>
          <w:sz w:val="20"/>
          <w:szCs w:val="20"/>
          <w:lang w:val="en-US"/>
        </w:rPr>
      </w:pPr>
    </w:p>
    <w:p w:rsidR="00C16A57" w:rsidRPr="007D47AD" w:rsidRDefault="00A86135" w:rsidP="00C82C75">
      <w:pPr>
        <w:numPr>
          <w:ilvl w:val="0"/>
          <w:numId w:val="6"/>
        </w:numPr>
        <w:shd w:val="clear" w:color="auto" w:fill="FFFFFF"/>
        <w:spacing w:after="0" w:line="240" w:lineRule="auto"/>
        <w:ind w:left="0" w:firstLine="709"/>
        <w:jc w:val="both"/>
        <w:rPr>
          <w:rFonts w:asciiTheme="minorHAnsi" w:hAnsiTheme="minorHAnsi"/>
          <w:sz w:val="20"/>
          <w:szCs w:val="20"/>
          <w:lang w:val="en-US"/>
        </w:rPr>
      </w:pPr>
      <w:r w:rsidRPr="007D47AD">
        <w:rPr>
          <w:rFonts w:asciiTheme="minorHAnsi" w:hAnsiTheme="minorHAnsi"/>
          <w:sz w:val="20"/>
          <w:szCs w:val="20"/>
          <w:lang w:val="en-US"/>
        </w:rPr>
        <w:lastRenderedPageBreak/>
        <w:t xml:space="preserve">The IACHR learned that in </w:t>
      </w:r>
      <w:r w:rsidR="009B470E" w:rsidRPr="007D47AD">
        <w:rPr>
          <w:rFonts w:asciiTheme="minorHAnsi" w:hAnsiTheme="minorHAnsi"/>
          <w:sz w:val="20"/>
          <w:szCs w:val="20"/>
          <w:lang w:val="en-US"/>
        </w:rPr>
        <w:t xml:space="preserve">2019, </w:t>
      </w:r>
      <w:r w:rsidRPr="007D47AD">
        <w:rPr>
          <w:rFonts w:asciiTheme="minorHAnsi" w:hAnsiTheme="minorHAnsi"/>
          <w:sz w:val="20"/>
          <w:szCs w:val="20"/>
          <w:lang w:val="en-US"/>
        </w:rPr>
        <w:t xml:space="preserve">as in prior years, the Protection Mechanism </w:t>
      </w:r>
      <w:r w:rsidR="000D7D1B" w:rsidRPr="007D47AD">
        <w:rPr>
          <w:rFonts w:asciiTheme="minorHAnsi" w:hAnsiTheme="minorHAnsi"/>
          <w:sz w:val="20"/>
          <w:szCs w:val="20"/>
          <w:lang w:val="en-US"/>
        </w:rPr>
        <w:t xml:space="preserve">was </w:t>
      </w:r>
      <w:r w:rsidRPr="007D47AD">
        <w:rPr>
          <w:rFonts w:asciiTheme="minorHAnsi" w:hAnsiTheme="minorHAnsi"/>
          <w:sz w:val="20"/>
          <w:szCs w:val="20"/>
          <w:lang w:val="en-US"/>
        </w:rPr>
        <w:t>not clear</w:t>
      </w:r>
      <w:r w:rsidR="000D7D1B" w:rsidRPr="007D47AD">
        <w:rPr>
          <w:rFonts w:asciiTheme="minorHAnsi" w:hAnsiTheme="minorHAnsi"/>
          <w:sz w:val="20"/>
          <w:szCs w:val="20"/>
          <w:lang w:val="en-US"/>
        </w:rPr>
        <w:t>ly</w:t>
      </w:r>
      <w:r w:rsidRPr="007D47AD">
        <w:rPr>
          <w:rFonts w:asciiTheme="minorHAnsi" w:hAnsiTheme="minorHAnsi"/>
          <w:sz w:val="20"/>
          <w:szCs w:val="20"/>
          <w:lang w:val="en-US"/>
        </w:rPr>
        <w:t xml:space="preserve"> </w:t>
      </w:r>
      <w:r w:rsidR="000D7D1B" w:rsidRPr="007D47AD">
        <w:rPr>
          <w:rFonts w:asciiTheme="minorHAnsi" w:hAnsiTheme="minorHAnsi"/>
          <w:sz w:val="20"/>
          <w:szCs w:val="20"/>
          <w:lang w:val="en-US"/>
        </w:rPr>
        <w:t xml:space="preserve">assigned </w:t>
      </w:r>
      <w:r w:rsidRPr="007D47AD">
        <w:rPr>
          <w:rFonts w:asciiTheme="minorHAnsi" w:hAnsiTheme="minorHAnsi"/>
          <w:sz w:val="20"/>
          <w:szCs w:val="20"/>
          <w:lang w:val="en-US"/>
        </w:rPr>
        <w:t>political priori</w:t>
      </w:r>
      <w:r w:rsidR="000D7D1B" w:rsidRPr="007D47AD">
        <w:rPr>
          <w:rFonts w:asciiTheme="minorHAnsi" w:hAnsiTheme="minorHAnsi"/>
          <w:sz w:val="20"/>
          <w:szCs w:val="20"/>
          <w:lang w:val="en-US"/>
        </w:rPr>
        <w:t xml:space="preserve">ty </w:t>
      </w:r>
      <w:r w:rsidRPr="007D47AD">
        <w:rPr>
          <w:rFonts w:asciiTheme="minorHAnsi" w:hAnsiTheme="minorHAnsi"/>
          <w:sz w:val="20"/>
          <w:szCs w:val="20"/>
          <w:lang w:val="en-US"/>
        </w:rPr>
        <w:t>by the Government authorities so as to guarantee comprehensive protection for human rights defenders and journalists</w:t>
      </w:r>
      <w:r w:rsidR="000D7D1B" w:rsidRPr="007D47AD">
        <w:rPr>
          <w:rFonts w:asciiTheme="minorHAnsi" w:hAnsiTheme="minorHAnsi"/>
          <w:sz w:val="20"/>
          <w:szCs w:val="20"/>
          <w:lang w:val="en-US"/>
        </w:rPr>
        <w:t>; this</w:t>
      </w:r>
      <w:r w:rsidRPr="007D47AD">
        <w:rPr>
          <w:rFonts w:asciiTheme="minorHAnsi" w:hAnsiTheme="minorHAnsi"/>
          <w:sz w:val="20"/>
          <w:szCs w:val="20"/>
          <w:lang w:val="en-US"/>
        </w:rPr>
        <w:t xml:space="preserve"> includ</w:t>
      </w:r>
      <w:r w:rsidR="000D7D1B" w:rsidRPr="007D47AD">
        <w:rPr>
          <w:rFonts w:asciiTheme="minorHAnsi" w:hAnsiTheme="minorHAnsi"/>
          <w:sz w:val="20"/>
          <w:szCs w:val="20"/>
          <w:lang w:val="en-US"/>
        </w:rPr>
        <w:t xml:space="preserve">es not having been allocated </w:t>
      </w:r>
      <w:r w:rsidRPr="007D47AD">
        <w:rPr>
          <w:rFonts w:asciiTheme="minorHAnsi" w:hAnsiTheme="minorHAnsi"/>
          <w:sz w:val="20"/>
          <w:szCs w:val="20"/>
          <w:lang w:val="en-US"/>
        </w:rPr>
        <w:t xml:space="preserve">sufficient economic resources to be able to operate effectively. In this respect the Commission learned that the budget allocated in </w:t>
      </w:r>
      <w:r w:rsidR="009B470E" w:rsidRPr="007D47AD">
        <w:rPr>
          <w:rFonts w:asciiTheme="minorHAnsi" w:hAnsiTheme="minorHAnsi" w:cs="Arial"/>
          <w:sz w:val="20"/>
          <w:szCs w:val="20"/>
          <w:lang w:val="en-US"/>
        </w:rPr>
        <w:t xml:space="preserve">2019 </w:t>
      </w:r>
      <w:r w:rsidRPr="007D47AD">
        <w:rPr>
          <w:rFonts w:asciiTheme="minorHAnsi" w:hAnsiTheme="minorHAnsi" w:cs="Arial"/>
          <w:sz w:val="20"/>
          <w:szCs w:val="20"/>
          <w:lang w:val="en-US"/>
        </w:rPr>
        <w:t xml:space="preserve">was </w:t>
      </w:r>
      <w:r w:rsidR="009B470E" w:rsidRPr="007D47AD">
        <w:rPr>
          <w:rFonts w:asciiTheme="minorHAnsi" w:hAnsiTheme="minorHAnsi" w:cs="Arial"/>
          <w:sz w:val="20"/>
          <w:szCs w:val="20"/>
          <w:lang w:val="en-US"/>
        </w:rPr>
        <w:t xml:space="preserve">207.6 </w:t>
      </w:r>
      <w:r w:rsidRPr="007D47AD">
        <w:rPr>
          <w:rFonts w:asciiTheme="minorHAnsi" w:hAnsiTheme="minorHAnsi" w:cs="Arial"/>
          <w:sz w:val="20"/>
          <w:szCs w:val="20"/>
          <w:lang w:val="en-US"/>
        </w:rPr>
        <w:t xml:space="preserve">million pesos, corresponding to </w:t>
      </w:r>
      <w:r w:rsidR="009B470E" w:rsidRPr="007D47AD">
        <w:rPr>
          <w:rFonts w:asciiTheme="minorHAnsi" w:hAnsiTheme="minorHAnsi" w:cs="Arial"/>
          <w:sz w:val="20"/>
          <w:szCs w:val="20"/>
          <w:lang w:val="en-US"/>
        </w:rPr>
        <w:t xml:space="preserve">64% </w:t>
      </w:r>
      <w:r w:rsidRPr="007D47AD">
        <w:rPr>
          <w:rFonts w:asciiTheme="minorHAnsi" w:hAnsiTheme="minorHAnsi" w:cs="Arial"/>
          <w:sz w:val="20"/>
          <w:szCs w:val="20"/>
          <w:lang w:val="en-US"/>
        </w:rPr>
        <w:t xml:space="preserve">of anticipated spending and less than the figure for </w:t>
      </w:r>
      <w:r w:rsidR="009B470E" w:rsidRPr="007D47AD">
        <w:rPr>
          <w:rFonts w:asciiTheme="minorHAnsi" w:hAnsiTheme="minorHAnsi" w:cs="Arial"/>
          <w:sz w:val="20"/>
          <w:szCs w:val="20"/>
          <w:lang w:val="en-US"/>
        </w:rPr>
        <w:t xml:space="preserve">2018, </w:t>
      </w:r>
      <w:r w:rsidRPr="007D47AD">
        <w:rPr>
          <w:rFonts w:asciiTheme="minorHAnsi" w:hAnsiTheme="minorHAnsi" w:cs="Arial"/>
          <w:sz w:val="20"/>
          <w:szCs w:val="20"/>
          <w:lang w:val="en-US"/>
        </w:rPr>
        <w:t xml:space="preserve">which came to </w:t>
      </w:r>
      <w:r w:rsidR="009B470E" w:rsidRPr="007D47AD">
        <w:rPr>
          <w:rFonts w:asciiTheme="minorHAnsi" w:hAnsiTheme="minorHAnsi" w:cs="Arial"/>
          <w:sz w:val="20"/>
          <w:szCs w:val="20"/>
          <w:lang w:val="en-US"/>
        </w:rPr>
        <w:t>275 mill</w:t>
      </w:r>
      <w:r w:rsidRPr="007D47AD">
        <w:rPr>
          <w:rFonts w:asciiTheme="minorHAnsi" w:hAnsiTheme="minorHAnsi" w:cs="Arial"/>
          <w:sz w:val="20"/>
          <w:szCs w:val="20"/>
          <w:lang w:val="en-US"/>
        </w:rPr>
        <w:t>io</w:t>
      </w:r>
      <w:r w:rsidR="009B470E" w:rsidRPr="007D47AD">
        <w:rPr>
          <w:rFonts w:asciiTheme="minorHAnsi" w:hAnsiTheme="minorHAnsi" w:cs="Arial"/>
          <w:sz w:val="20"/>
          <w:szCs w:val="20"/>
          <w:lang w:val="en-US"/>
        </w:rPr>
        <w:t>n pesos</w:t>
      </w:r>
      <w:r w:rsidRPr="007D47AD">
        <w:rPr>
          <w:rFonts w:asciiTheme="minorHAnsi" w:hAnsiTheme="minorHAnsi" w:cs="Arial"/>
          <w:sz w:val="20"/>
          <w:szCs w:val="20"/>
          <w:lang w:val="en-US"/>
        </w:rPr>
        <w:t>.</w:t>
      </w:r>
      <w:r w:rsidR="009B470E" w:rsidRPr="007D47AD">
        <w:rPr>
          <w:rStyle w:val="FootnoteReference"/>
          <w:rFonts w:asciiTheme="minorHAnsi" w:hAnsiTheme="minorHAnsi"/>
          <w:sz w:val="20"/>
          <w:szCs w:val="20"/>
          <w:lang w:val="en-US"/>
        </w:rPr>
        <w:footnoteReference w:id="469"/>
      </w:r>
      <w:r w:rsidRPr="007D47AD">
        <w:rPr>
          <w:rFonts w:asciiTheme="minorHAnsi" w:hAnsiTheme="minorHAnsi" w:cs="Arial"/>
          <w:sz w:val="20"/>
          <w:szCs w:val="20"/>
          <w:shd w:val="clear" w:color="auto" w:fill="FFFFFF"/>
          <w:lang w:val="en-US"/>
        </w:rPr>
        <w:t xml:space="preserve"> In April </w:t>
      </w:r>
      <w:r w:rsidR="009B470E" w:rsidRPr="007D47AD">
        <w:rPr>
          <w:rFonts w:asciiTheme="minorHAnsi" w:hAnsiTheme="minorHAnsi" w:cs="Arial"/>
          <w:sz w:val="20"/>
          <w:szCs w:val="20"/>
          <w:lang w:val="en-US"/>
        </w:rPr>
        <w:t xml:space="preserve">2019, </w:t>
      </w:r>
      <w:r w:rsidRPr="007D47AD">
        <w:rPr>
          <w:rFonts w:asciiTheme="minorHAnsi" w:hAnsiTheme="minorHAnsi" w:cs="Arial"/>
          <w:sz w:val="20"/>
          <w:szCs w:val="20"/>
          <w:lang w:val="en-US"/>
        </w:rPr>
        <w:t xml:space="preserve">as in </w:t>
      </w:r>
      <w:r w:rsidR="009B470E" w:rsidRPr="007D47AD">
        <w:rPr>
          <w:rFonts w:asciiTheme="minorHAnsi" w:hAnsiTheme="minorHAnsi" w:cs="Arial"/>
          <w:sz w:val="20"/>
          <w:szCs w:val="20"/>
          <w:lang w:val="en-US"/>
        </w:rPr>
        <w:t xml:space="preserve">2018, </w:t>
      </w:r>
      <w:r w:rsidRPr="007D47AD">
        <w:rPr>
          <w:rFonts w:asciiTheme="minorHAnsi" w:hAnsiTheme="minorHAnsi" w:cs="Arial"/>
          <w:sz w:val="20"/>
          <w:szCs w:val="20"/>
          <w:lang w:val="en-US"/>
        </w:rPr>
        <w:t>the Ministry of Interior requested an additional 150 million pesos from the Ministry of Finance and Public Credit</w:t>
      </w:r>
      <w:r w:rsidR="000D7D1B" w:rsidRPr="007D47AD">
        <w:rPr>
          <w:rFonts w:asciiTheme="minorHAnsi" w:hAnsiTheme="minorHAnsi" w:cs="Arial"/>
          <w:sz w:val="20"/>
          <w:szCs w:val="20"/>
          <w:shd w:val="clear" w:color="auto" w:fill="FFFFFF"/>
          <w:lang w:val="en-US"/>
        </w:rPr>
        <w:t>;</w:t>
      </w:r>
      <w:r w:rsidR="009B470E" w:rsidRPr="007D47AD">
        <w:rPr>
          <w:rFonts w:asciiTheme="minorHAnsi" w:hAnsiTheme="minorHAnsi" w:cs="Arial"/>
          <w:sz w:val="20"/>
          <w:szCs w:val="20"/>
          <w:shd w:val="clear" w:color="auto" w:fill="FFFFFF"/>
          <w:lang w:val="en-US"/>
        </w:rPr>
        <w:t xml:space="preserve"> </w:t>
      </w:r>
      <w:r w:rsidRPr="007D47AD">
        <w:rPr>
          <w:rFonts w:asciiTheme="minorHAnsi" w:hAnsiTheme="minorHAnsi" w:cs="Arial"/>
          <w:sz w:val="20"/>
          <w:szCs w:val="20"/>
          <w:shd w:val="clear" w:color="auto" w:fill="FFFFFF"/>
          <w:lang w:val="en-US"/>
        </w:rPr>
        <w:t xml:space="preserve">as of August </w:t>
      </w:r>
      <w:r w:rsidR="009B470E" w:rsidRPr="007D47AD">
        <w:rPr>
          <w:rFonts w:asciiTheme="minorHAnsi" w:hAnsiTheme="minorHAnsi" w:cs="Arial"/>
          <w:sz w:val="20"/>
          <w:szCs w:val="20"/>
          <w:shd w:val="clear" w:color="auto" w:fill="FFFFFF"/>
          <w:lang w:val="en-US"/>
        </w:rPr>
        <w:t>2019</w:t>
      </w:r>
      <w:r w:rsidRPr="007D47AD">
        <w:rPr>
          <w:rFonts w:asciiTheme="minorHAnsi" w:hAnsiTheme="minorHAnsi" w:cs="Arial"/>
          <w:sz w:val="20"/>
          <w:szCs w:val="20"/>
          <w:shd w:val="clear" w:color="auto" w:fill="FFFFFF"/>
          <w:lang w:val="en-US"/>
        </w:rPr>
        <w:t xml:space="preserve"> the IACHR had not learned of the institution’s response.</w:t>
      </w:r>
      <w:r w:rsidR="009B470E" w:rsidRPr="007D47AD">
        <w:rPr>
          <w:rStyle w:val="FootnoteReference"/>
          <w:rFonts w:asciiTheme="minorHAnsi" w:hAnsiTheme="minorHAnsi" w:cs="Arial"/>
          <w:sz w:val="20"/>
          <w:szCs w:val="20"/>
          <w:lang w:val="en-US"/>
        </w:rPr>
        <w:footnoteReference w:id="470"/>
      </w:r>
      <w:r w:rsidR="009B470E" w:rsidRPr="007D47AD">
        <w:rPr>
          <w:rFonts w:asciiTheme="minorHAnsi" w:hAnsiTheme="minorHAnsi" w:cs="Arial"/>
          <w:sz w:val="20"/>
          <w:szCs w:val="20"/>
          <w:shd w:val="clear" w:color="auto" w:fill="FFFFFF"/>
          <w:lang w:val="en-US"/>
        </w:rPr>
        <w:t xml:space="preserve"> </w:t>
      </w:r>
      <w:r w:rsidR="005F0517" w:rsidRPr="007D47AD">
        <w:rPr>
          <w:rFonts w:asciiTheme="minorHAnsi" w:hAnsiTheme="minorHAnsi" w:cs="Arial"/>
          <w:sz w:val="20"/>
          <w:szCs w:val="20"/>
          <w:shd w:val="clear" w:color="auto" w:fill="FFFFFF"/>
          <w:lang w:val="en-US"/>
        </w:rPr>
        <w:t>According to what was noted in the observations on the draft of this report, the State indicated that this budget was allocated.</w:t>
      </w:r>
      <w:r w:rsidR="004535AF" w:rsidRPr="007D47AD">
        <w:rPr>
          <w:rStyle w:val="FootnoteReference"/>
          <w:rFonts w:asciiTheme="minorHAnsi" w:eastAsia="Cambria" w:hAnsiTheme="minorHAnsi" w:cs="Cambria"/>
          <w:sz w:val="20"/>
          <w:szCs w:val="20"/>
          <w:lang w:val="en-US"/>
        </w:rPr>
        <w:footnoteReference w:id="471"/>
      </w:r>
      <w:r w:rsidR="004535AF" w:rsidRPr="007D47AD">
        <w:rPr>
          <w:rFonts w:asciiTheme="minorHAnsi" w:hAnsiTheme="minorHAnsi" w:cs="Arial"/>
          <w:sz w:val="20"/>
          <w:szCs w:val="20"/>
          <w:shd w:val="clear" w:color="auto" w:fill="FFFFFF"/>
          <w:lang w:val="en-US"/>
        </w:rPr>
        <w:t xml:space="preserve"> </w:t>
      </w:r>
    </w:p>
    <w:p w:rsidR="00AD315C" w:rsidRPr="007D47AD" w:rsidRDefault="00AD315C" w:rsidP="00AD315C">
      <w:pPr>
        <w:pStyle w:val="ListParagraph"/>
        <w:rPr>
          <w:rFonts w:asciiTheme="minorHAnsi" w:hAnsiTheme="minorHAnsi"/>
          <w:sz w:val="20"/>
          <w:szCs w:val="20"/>
          <w:lang w:val="en-US"/>
        </w:rPr>
      </w:pPr>
    </w:p>
    <w:p w:rsidR="009B470E" w:rsidRPr="007D47AD" w:rsidRDefault="007B0627" w:rsidP="004535AF">
      <w:pPr>
        <w:numPr>
          <w:ilvl w:val="0"/>
          <w:numId w:val="6"/>
        </w:numPr>
        <w:shd w:val="clear" w:color="auto" w:fill="FFFFFF"/>
        <w:spacing w:after="0" w:line="240" w:lineRule="auto"/>
        <w:ind w:left="0" w:firstLine="709"/>
        <w:jc w:val="both"/>
        <w:rPr>
          <w:rFonts w:asciiTheme="minorHAnsi" w:hAnsiTheme="minorHAnsi"/>
          <w:sz w:val="20"/>
          <w:szCs w:val="20"/>
          <w:lang w:val="en-US"/>
        </w:rPr>
      </w:pPr>
      <w:r w:rsidRPr="007D47AD">
        <w:rPr>
          <w:rFonts w:asciiTheme="minorHAnsi" w:hAnsiTheme="minorHAnsi" w:cs="Arial"/>
          <w:sz w:val="20"/>
          <w:szCs w:val="20"/>
          <w:shd w:val="clear" w:color="auto" w:fill="FFFFFF"/>
          <w:lang w:val="en-US"/>
        </w:rPr>
        <w:t xml:space="preserve">The OHCHR indicated that the number of </w:t>
      </w:r>
      <w:r w:rsidR="00C16A57" w:rsidRPr="007D47AD">
        <w:rPr>
          <w:rFonts w:asciiTheme="minorHAnsi" w:hAnsiTheme="minorHAnsi" w:cs="Arial"/>
          <w:sz w:val="20"/>
          <w:szCs w:val="20"/>
          <w:shd w:val="clear" w:color="auto" w:fill="FFFFFF"/>
          <w:lang w:val="en-US"/>
        </w:rPr>
        <w:t xml:space="preserve">34 </w:t>
      </w:r>
      <w:r w:rsidRPr="007D47AD">
        <w:rPr>
          <w:rFonts w:asciiTheme="minorHAnsi" w:hAnsiTheme="minorHAnsi" w:cs="Arial"/>
          <w:sz w:val="20"/>
          <w:szCs w:val="20"/>
          <w:shd w:val="clear" w:color="auto" w:fill="FFFFFF"/>
          <w:lang w:val="en-US"/>
        </w:rPr>
        <w:t xml:space="preserve">public servants currently working in the mechanism is unchanged since </w:t>
      </w:r>
      <w:r w:rsidR="00C16A57" w:rsidRPr="007D47AD">
        <w:rPr>
          <w:rFonts w:asciiTheme="minorHAnsi" w:hAnsiTheme="minorHAnsi" w:cs="Arial"/>
          <w:sz w:val="20"/>
          <w:szCs w:val="20"/>
          <w:shd w:val="clear" w:color="auto" w:fill="FFFFFF"/>
          <w:lang w:val="en-US"/>
        </w:rPr>
        <w:t xml:space="preserve">2014, </w:t>
      </w:r>
      <w:r w:rsidRPr="007D47AD">
        <w:rPr>
          <w:rFonts w:asciiTheme="minorHAnsi" w:hAnsiTheme="minorHAnsi" w:cs="Arial"/>
          <w:sz w:val="20"/>
          <w:szCs w:val="20"/>
          <w:shd w:val="clear" w:color="auto" w:fill="FFFFFF"/>
          <w:lang w:val="en-US"/>
        </w:rPr>
        <w:t>whereas the number of persons protected by the mechanism has increased on average 28% per year</w:t>
      </w:r>
      <w:r w:rsidR="000D7D1B" w:rsidRPr="007D47AD">
        <w:rPr>
          <w:rFonts w:asciiTheme="minorHAnsi" w:hAnsiTheme="minorHAnsi" w:cs="Arial"/>
          <w:sz w:val="20"/>
          <w:szCs w:val="20"/>
          <w:shd w:val="clear" w:color="auto" w:fill="FFFFFF"/>
          <w:lang w:val="en-US"/>
        </w:rPr>
        <w:t xml:space="preserve">. This has </w:t>
      </w:r>
      <w:r w:rsidRPr="007D47AD">
        <w:rPr>
          <w:rFonts w:asciiTheme="minorHAnsi" w:hAnsiTheme="minorHAnsi" w:cs="Arial"/>
          <w:sz w:val="20"/>
          <w:szCs w:val="20"/>
          <w:shd w:val="clear" w:color="auto" w:fill="FFFFFF"/>
          <w:lang w:val="en-US"/>
        </w:rPr>
        <w:t xml:space="preserve">led the number of beneficiaries for which each staff member is responsible to </w:t>
      </w:r>
      <w:r w:rsidR="000D7D1B" w:rsidRPr="007D47AD">
        <w:rPr>
          <w:rFonts w:asciiTheme="minorHAnsi" w:hAnsiTheme="minorHAnsi" w:cs="Arial"/>
          <w:sz w:val="20"/>
          <w:szCs w:val="20"/>
          <w:shd w:val="clear" w:color="auto" w:fill="FFFFFF"/>
          <w:lang w:val="en-US"/>
        </w:rPr>
        <w:t xml:space="preserve">climb </w:t>
      </w:r>
      <w:r w:rsidR="00C16A57" w:rsidRPr="007D47AD">
        <w:rPr>
          <w:rFonts w:asciiTheme="minorHAnsi" w:hAnsiTheme="minorHAnsi"/>
          <w:sz w:val="20"/>
          <w:szCs w:val="20"/>
          <w:lang w:val="en-US"/>
        </w:rPr>
        <w:t xml:space="preserve">235% </w:t>
      </w:r>
      <w:r w:rsidRPr="007D47AD">
        <w:rPr>
          <w:rFonts w:asciiTheme="minorHAnsi" w:hAnsiTheme="minorHAnsi"/>
          <w:sz w:val="20"/>
          <w:szCs w:val="20"/>
          <w:lang w:val="en-US"/>
        </w:rPr>
        <w:t>over the same period.</w:t>
      </w:r>
      <w:r w:rsidR="00C16A57" w:rsidRPr="007D47AD">
        <w:rPr>
          <w:rStyle w:val="FootnoteReference"/>
          <w:rFonts w:asciiTheme="minorHAnsi" w:hAnsiTheme="minorHAnsi"/>
          <w:sz w:val="20"/>
          <w:szCs w:val="20"/>
          <w:lang w:val="en-US"/>
        </w:rPr>
        <w:footnoteReference w:id="472"/>
      </w:r>
      <w:r w:rsidR="00C16A57" w:rsidRPr="007D47AD">
        <w:rPr>
          <w:rFonts w:asciiTheme="minorHAnsi" w:hAnsiTheme="minorHAnsi"/>
          <w:sz w:val="20"/>
          <w:szCs w:val="20"/>
          <w:lang w:val="en-US"/>
        </w:rPr>
        <w:t xml:space="preserve"> </w:t>
      </w:r>
      <w:r w:rsidR="00BE24C8" w:rsidRPr="007D47AD">
        <w:rPr>
          <w:rFonts w:asciiTheme="minorHAnsi" w:hAnsiTheme="minorHAnsi"/>
          <w:sz w:val="20"/>
          <w:szCs w:val="20"/>
          <w:lang w:val="en-US"/>
        </w:rPr>
        <w:t>I</w:t>
      </w:r>
      <w:r w:rsidR="004535AF" w:rsidRPr="007D47AD">
        <w:rPr>
          <w:rFonts w:asciiTheme="minorHAnsi" w:hAnsiTheme="minorHAnsi"/>
          <w:sz w:val="20"/>
          <w:szCs w:val="20"/>
          <w:lang w:val="en-US"/>
        </w:rPr>
        <w:t xml:space="preserve">n </w:t>
      </w:r>
      <w:r w:rsidR="00BE24C8" w:rsidRPr="007D47AD">
        <w:rPr>
          <w:rFonts w:asciiTheme="minorHAnsi" w:hAnsiTheme="minorHAnsi"/>
          <w:sz w:val="20"/>
          <w:szCs w:val="20"/>
          <w:lang w:val="en-US"/>
        </w:rPr>
        <w:t>its observations on the draft of this report the State noted that based on the assessment mentioned, it drew up a work plan to address its findings.</w:t>
      </w:r>
      <w:r w:rsidR="004535AF" w:rsidRPr="007D47AD">
        <w:rPr>
          <w:rStyle w:val="FootnoteReference"/>
          <w:rFonts w:asciiTheme="minorHAnsi" w:eastAsia="Cambria" w:hAnsiTheme="minorHAnsi" w:cs="Cambria"/>
          <w:sz w:val="20"/>
          <w:szCs w:val="20"/>
          <w:lang w:val="en-US"/>
        </w:rPr>
        <w:footnoteReference w:id="473"/>
      </w:r>
      <w:r w:rsidR="004535AF" w:rsidRPr="007D47AD">
        <w:rPr>
          <w:rFonts w:asciiTheme="minorHAnsi" w:hAnsiTheme="minorHAnsi"/>
          <w:sz w:val="20"/>
          <w:szCs w:val="20"/>
          <w:lang w:val="en-US"/>
        </w:rPr>
        <w:t xml:space="preserve">  </w:t>
      </w:r>
    </w:p>
    <w:p w:rsidR="009B470E" w:rsidRPr="007D47AD" w:rsidRDefault="009B470E" w:rsidP="007D10AB">
      <w:pPr>
        <w:shd w:val="clear" w:color="auto" w:fill="FFFFFF"/>
        <w:spacing w:after="0" w:line="240" w:lineRule="auto"/>
        <w:jc w:val="both"/>
        <w:rPr>
          <w:rFonts w:asciiTheme="minorHAnsi" w:hAnsiTheme="minorHAnsi"/>
          <w:sz w:val="20"/>
          <w:szCs w:val="20"/>
          <w:lang w:val="en-US"/>
        </w:rPr>
      </w:pPr>
    </w:p>
    <w:p w:rsidR="00CB59AE" w:rsidRPr="007D47AD" w:rsidRDefault="007B0627" w:rsidP="00CB59AE">
      <w:pPr>
        <w:numPr>
          <w:ilvl w:val="0"/>
          <w:numId w:val="6"/>
        </w:numPr>
        <w:shd w:val="clear" w:color="auto" w:fill="FFFFFF"/>
        <w:spacing w:after="0" w:line="240" w:lineRule="auto"/>
        <w:ind w:left="0" w:firstLine="709"/>
        <w:jc w:val="both"/>
        <w:rPr>
          <w:rFonts w:asciiTheme="minorHAnsi" w:hAnsiTheme="minorHAnsi"/>
          <w:sz w:val="20"/>
          <w:szCs w:val="20"/>
          <w:lang w:val="en-US"/>
        </w:rPr>
      </w:pPr>
      <w:r w:rsidRPr="007D47AD">
        <w:rPr>
          <w:rFonts w:asciiTheme="minorHAnsi" w:hAnsiTheme="minorHAnsi"/>
          <w:sz w:val="20"/>
          <w:szCs w:val="20"/>
          <w:lang w:val="en-US"/>
        </w:rPr>
        <w:t xml:space="preserve">Specifically, in relation to the Mechanism, the State reported that it recognizes the existence of failings and that changes are planned to improve its operation. According to what was reported, the mechanism gives impetus to initiatives that incorporate the point of view of civil society and promotes a project along with </w:t>
      </w:r>
      <w:r w:rsidR="00C16A57" w:rsidRPr="007D47AD">
        <w:rPr>
          <w:rFonts w:asciiTheme="minorHAnsi" w:hAnsiTheme="minorHAnsi"/>
          <w:sz w:val="20"/>
          <w:szCs w:val="20"/>
          <w:lang w:val="en-US"/>
        </w:rPr>
        <w:t>USAID</w:t>
      </w:r>
      <w:r w:rsidRPr="007D47AD">
        <w:rPr>
          <w:rFonts w:asciiTheme="minorHAnsi" w:hAnsiTheme="minorHAnsi"/>
          <w:sz w:val="20"/>
          <w:szCs w:val="20"/>
          <w:lang w:val="en-US"/>
        </w:rPr>
        <w:t xml:space="preserve"> to incorporate good </w:t>
      </w:r>
      <w:r w:rsidR="004E08FB" w:rsidRPr="007D47AD">
        <w:rPr>
          <w:rFonts w:asciiTheme="minorHAnsi" w:hAnsiTheme="minorHAnsi"/>
          <w:sz w:val="20"/>
          <w:szCs w:val="20"/>
          <w:lang w:val="en-US"/>
        </w:rPr>
        <w:t>practices</w:t>
      </w:r>
      <w:r w:rsidRPr="007D47AD">
        <w:rPr>
          <w:rFonts w:asciiTheme="minorHAnsi" w:hAnsiTheme="minorHAnsi"/>
          <w:sz w:val="20"/>
          <w:szCs w:val="20"/>
          <w:lang w:val="en-US"/>
        </w:rPr>
        <w:t xml:space="preserve"> to its structure and operation.</w:t>
      </w:r>
      <w:r w:rsidR="00CB59AE" w:rsidRPr="007D47AD">
        <w:rPr>
          <w:rStyle w:val="FootnoteReference"/>
          <w:rFonts w:asciiTheme="minorHAnsi" w:hAnsiTheme="minorHAnsi"/>
          <w:sz w:val="20"/>
          <w:szCs w:val="20"/>
          <w:lang w:val="en-US"/>
        </w:rPr>
        <w:footnoteReference w:id="474"/>
      </w:r>
      <w:r w:rsidR="00CB59AE" w:rsidRPr="007D47AD">
        <w:rPr>
          <w:rFonts w:asciiTheme="minorHAnsi" w:hAnsiTheme="minorHAnsi"/>
          <w:sz w:val="20"/>
          <w:szCs w:val="20"/>
          <w:lang w:val="en-US"/>
        </w:rPr>
        <w:t xml:space="preserve"> </w:t>
      </w:r>
      <w:r w:rsidRPr="007D47AD">
        <w:rPr>
          <w:rFonts w:asciiTheme="minorHAnsi" w:hAnsiTheme="minorHAnsi"/>
          <w:sz w:val="20"/>
          <w:szCs w:val="20"/>
          <w:lang w:val="en-US"/>
        </w:rPr>
        <w:t>It also reiterated that the mechanism prepared specific methodologies for individual cases</w:t>
      </w:r>
      <w:r w:rsidR="000D7D1B" w:rsidRPr="007D47AD">
        <w:rPr>
          <w:rFonts w:asciiTheme="minorHAnsi" w:hAnsiTheme="minorHAnsi"/>
          <w:sz w:val="20"/>
          <w:szCs w:val="20"/>
          <w:lang w:val="en-US"/>
        </w:rPr>
        <w:t xml:space="preserve"> and</w:t>
      </w:r>
      <w:r w:rsidRPr="007D47AD">
        <w:rPr>
          <w:rFonts w:asciiTheme="minorHAnsi" w:hAnsiTheme="minorHAnsi"/>
          <w:sz w:val="20"/>
          <w:szCs w:val="20"/>
          <w:lang w:val="en-US"/>
        </w:rPr>
        <w:t xml:space="preserve"> collective cases, with a gender perspective. In all these cases it </w:t>
      </w:r>
      <w:r w:rsidR="000D7D1B" w:rsidRPr="007D47AD">
        <w:rPr>
          <w:rFonts w:asciiTheme="minorHAnsi" w:hAnsiTheme="minorHAnsi"/>
          <w:sz w:val="20"/>
          <w:szCs w:val="20"/>
          <w:lang w:val="en-US"/>
        </w:rPr>
        <w:t xml:space="preserve">states </w:t>
      </w:r>
      <w:r w:rsidRPr="007D47AD">
        <w:rPr>
          <w:rFonts w:asciiTheme="minorHAnsi" w:hAnsiTheme="minorHAnsi"/>
          <w:sz w:val="20"/>
          <w:szCs w:val="20"/>
          <w:lang w:val="en-US"/>
        </w:rPr>
        <w:t>that an assessment is done of the likelihood of an impairment of rights of the beneficiaries in relation to their social, economic, family, and workplace environments, the areas where they live or work.</w:t>
      </w:r>
      <w:r w:rsidR="00CB59AE" w:rsidRPr="007D47AD">
        <w:rPr>
          <w:rStyle w:val="FootnoteReference"/>
          <w:rFonts w:asciiTheme="minorHAnsi" w:hAnsiTheme="minorHAnsi"/>
          <w:sz w:val="20"/>
          <w:szCs w:val="20"/>
          <w:lang w:val="en-US"/>
        </w:rPr>
        <w:footnoteReference w:id="475"/>
      </w:r>
      <w:r w:rsidR="00CB59AE" w:rsidRPr="007D47AD">
        <w:rPr>
          <w:rFonts w:asciiTheme="minorHAnsi" w:hAnsiTheme="minorHAnsi"/>
          <w:sz w:val="20"/>
          <w:szCs w:val="20"/>
          <w:lang w:val="en-US"/>
        </w:rPr>
        <w:t xml:space="preserve"> </w:t>
      </w:r>
      <w:r w:rsidR="00844275" w:rsidRPr="007D47AD">
        <w:rPr>
          <w:rFonts w:asciiTheme="minorHAnsi" w:hAnsiTheme="minorHAnsi"/>
          <w:sz w:val="20"/>
          <w:szCs w:val="20"/>
          <w:lang w:val="en-US"/>
        </w:rPr>
        <w:t xml:space="preserve"> </w:t>
      </w:r>
    </w:p>
    <w:p w:rsidR="00CB59AE" w:rsidRPr="007D47AD" w:rsidRDefault="00CB59AE" w:rsidP="00CB59AE">
      <w:pPr>
        <w:pStyle w:val="ListParagraph"/>
        <w:rPr>
          <w:rFonts w:asciiTheme="minorHAnsi" w:hAnsiTheme="minorHAnsi"/>
          <w:sz w:val="20"/>
          <w:szCs w:val="20"/>
          <w:lang w:val="en-US"/>
        </w:rPr>
      </w:pPr>
    </w:p>
    <w:p w:rsidR="004535AF" w:rsidRPr="007D47AD" w:rsidRDefault="00134C72" w:rsidP="007D10AB">
      <w:pPr>
        <w:numPr>
          <w:ilvl w:val="0"/>
          <w:numId w:val="6"/>
        </w:numPr>
        <w:shd w:val="clear" w:color="auto" w:fill="FFFFFF"/>
        <w:spacing w:after="0" w:line="240" w:lineRule="auto"/>
        <w:ind w:left="0" w:firstLine="709"/>
        <w:jc w:val="both"/>
        <w:rPr>
          <w:rFonts w:asciiTheme="minorHAnsi" w:hAnsiTheme="minorHAnsi"/>
          <w:sz w:val="20"/>
          <w:szCs w:val="20"/>
          <w:lang w:val="en-US"/>
        </w:rPr>
      </w:pPr>
      <w:r w:rsidRPr="007D47AD">
        <w:rPr>
          <w:rFonts w:asciiTheme="minorHAnsi" w:hAnsiTheme="minorHAnsi"/>
          <w:sz w:val="20"/>
          <w:szCs w:val="20"/>
          <w:lang w:val="en-US"/>
        </w:rPr>
        <w:t>As regards implement</w:t>
      </w:r>
      <w:r w:rsidR="000D7D1B" w:rsidRPr="007D47AD">
        <w:rPr>
          <w:rFonts w:asciiTheme="minorHAnsi" w:hAnsiTheme="minorHAnsi"/>
          <w:sz w:val="20"/>
          <w:szCs w:val="20"/>
          <w:lang w:val="en-US"/>
        </w:rPr>
        <w:t xml:space="preserve">ing </w:t>
      </w:r>
      <w:r w:rsidRPr="007D47AD">
        <w:rPr>
          <w:rFonts w:asciiTheme="minorHAnsi" w:hAnsiTheme="minorHAnsi"/>
          <w:sz w:val="20"/>
          <w:szCs w:val="20"/>
          <w:lang w:val="en-US"/>
        </w:rPr>
        <w:t xml:space="preserve">strategies for the different institutions at the federal and state levels to work in coordination with one another, the State reiterated to the IACHR information on the collaboration among the </w:t>
      </w:r>
      <w:r w:rsidR="00CB59AE" w:rsidRPr="007D47AD">
        <w:rPr>
          <w:rFonts w:asciiTheme="minorHAnsi" w:hAnsiTheme="minorHAnsi"/>
          <w:sz w:val="20"/>
          <w:szCs w:val="20"/>
          <w:lang w:val="en-US"/>
        </w:rPr>
        <w:t xml:space="preserve">FEADLE, </w:t>
      </w:r>
      <w:r w:rsidRPr="007D47AD">
        <w:rPr>
          <w:rFonts w:asciiTheme="minorHAnsi" w:hAnsiTheme="minorHAnsi"/>
          <w:sz w:val="20"/>
          <w:szCs w:val="20"/>
          <w:lang w:val="en-US"/>
        </w:rPr>
        <w:t xml:space="preserve">the </w:t>
      </w:r>
      <w:r w:rsidR="00CB59AE" w:rsidRPr="007D47AD">
        <w:rPr>
          <w:rFonts w:asciiTheme="minorHAnsi" w:hAnsiTheme="minorHAnsi"/>
          <w:sz w:val="20"/>
          <w:szCs w:val="20"/>
          <w:lang w:val="en-US"/>
        </w:rPr>
        <w:t xml:space="preserve">INACIPE, </w:t>
      </w:r>
      <w:r w:rsidRPr="007D47AD">
        <w:rPr>
          <w:rFonts w:asciiTheme="minorHAnsi" w:hAnsiTheme="minorHAnsi"/>
          <w:sz w:val="20"/>
          <w:szCs w:val="20"/>
          <w:lang w:val="en-US"/>
        </w:rPr>
        <w:t xml:space="preserve">the Criminal Investigation Agency, and the </w:t>
      </w:r>
      <w:r w:rsidR="00CB59AE" w:rsidRPr="007D47AD">
        <w:rPr>
          <w:rFonts w:asciiTheme="minorHAnsi" w:hAnsiTheme="minorHAnsi"/>
          <w:sz w:val="20"/>
          <w:szCs w:val="20"/>
          <w:lang w:val="en-US"/>
        </w:rPr>
        <w:t xml:space="preserve">Federal </w:t>
      </w:r>
      <w:r w:rsidRPr="007D47AD">
        <w:rPr>
          <w:rFonts w:asciiTheme="minorHAnsi" w:hAnsiTheme="minorHAnsi"/>
          <w:sz w:val="20"/>
          <w:szCs w:val="20"/>
          <w:lang w:val="en-US"/>
        </w:rPr>
        <w:t xml:space="preserve">Police to move forward in </w:t>
      </w:r>
      <w:r w:rsidR="004E08FB" w:rsidRPr="007D47AD">
        <w:rPr>
          <w:rFonts w:asciiTheme="minorHAnsi" w:hAnsiTheme="minorHAnsi"/>
          <w:sz w:val="20"/>
          <w:szCs w:val="20"/>
          <w:lang w:val="en-US"/>
        </w:rPr>
        <w:t>building</w:t>
      </w:r>
      <w:r w:rsidRPr="007D47AD">
        <w:rPr>
          <w:rFonts w:asciiTheme="minorHAnsi" w:hAnsiTheme="minorHAnsi"/>
          <w:sz w:val="20"/>
          <w:szCs w:val="20"/>
          <w:lang w:val="en-US"/>
        </w:rPr>
        <w:t xml:space="preserve"> a digital security strategy. In addition, it noted once again that there is permanent coordination of efforts with the </w:t>
      </w:r>
      <w:r w:rsidR="00CB59AE" w:rsidRPr="007D47AD">
        <w:rPr>
          <w:rFonts w:asciiTheme="minorHAnsi" w:hAnsiTheme="minorHAnsi"/>
          <w:sz w:val="20"/>
          <w:szCs w:val="20"/>
          <w:lang w:val="en-US"/>
        </w:rPr>
        <w:t xml:space="preserve">FEADLE </w:t>
      </w:r>
      <w:r w:rsidRPr="007D47AD">
        <w:rPr>
          <w:rFonts w:asciiTheme="minorHAnsi" w:hAnsiTheme="minorHAnsi"/>
          <w:sz w:val="20"/>
          <w:szCs w:val="20"/>
          <w:lang w:val="en-US"/>
        </w:rPr>
        <w:t>for protection and prevention of threats and attacks and ongoing exchange of information to support the risk analyses within the Mechanism.</w:t>
      </w:r>
      <w:r w:rsidR="00CB59AE" w:rsidRPr="007D47AD">
        <w:rPr>
          <w:rStyle w:val="FootnoteReference"/>
          <w:rFonts w:asciiTheme="minorHAnsi" w:hAnsiTheme="minorHAnsi"/>
          <w:sz w:val="20"/>
          <w:szCs w:val="20"/>
          <w:lang w:val="en-US"/>
        </w:rPr>
        <w:footnoteReference w:id="476"/>
      </w:r>
    </w:p>
    <w:p w:rsidR="004535AF" w:rsidRPr="007D47AD" w:rsidRDefault="004535AF" w:rsidP="004535AF">
      <w:pPr>
        <w:pStyle w:val="ListParagraph"/>
        <w:rPr>
          <w:rFonts w:asciiTheme="minorHAnsi" w:hAnsiTheme="minorHAnsi"/>
          <w:sz w:val="20"/>
          <w:szCs w:val="20"/>
          <w:lang w:val="en-US"/>
        </w:rPr>
      </w:pPr>
    </w:p>
    <w:p w:rsidR="002D6103" w:rsidRPr="007D47AD" w:rsidRDefault="00FE3748" w:rsidP="004535AF">
      <w:pPr>
        <w:numPr>
          <w:ilvl w:val="0"/>
          <w:numId w:val="6"/>
        </w:numPr>
        <w:shd w:val="clear" w:color="auto" w:fill="FFFFFF"/>
        <w:spacing w:after="0" w:line="240" w:lineRule="auto"/>
        <w:ind w:left="0" w:firstLine="709"/>
        <w:jc w:val="both"/>
        <w:rPr>
          <w:rFonts w:asciiTheme="minorHAnsi" w:hAnsiTheme="minorHAnsi"/>
          <w:sz w:val="20"/>
          <w:szCs w:val="20"/>
          <w:lang w:val="en-US"/>
        </w:rPr>
      </w:pPr>
      <w:r w:rsidRPr="007D47AD">
        <w:rPr>
          <w:rFonts w:asciiTheme="minorHAnsi" w:hAnsiTheme="minorHAnsi"/>
          <w:sz w:val="20"/>
          <w:szCs w:val="20"/>
          <w:lang w:val="en-US"/>
        </w:rPr>
        <w:t xml:space="preserve">In its observations on the draft of this report the State indicated that </w:t>
      </w:r>
      <w:r w:rsidR="00C26514" w:rsidRPr="007D47AD">
        <w:rPr>
          <w:rFonts w:asciiTheme="minorHAnsi" w:hAnsiTheme="minorHAnsi"/>
          <w:sz w:val="20"/>
          <w:szCs w:val="20"/>
          <w:lang w:val="en-US"/>
        </w:rPr>
        <w:t xml:space="preserve">the bodyguard protection service of the Protection Mechanism ceased being provided through a private company and has been entrusted to the Ministry of Security and Citizen Protection. According to what was indicated, this measure was adopted to better guarantee the beneficiaries, drawing on the police experience </w:t>
      </w:r>
      <w:r w:rsidR="005F0517" w:rsidRPr="007D47AD">
        <w:rPr>
          <w:rFonts w:asciiTheme="minorHAnsi" w:hAnsiTheme="minorHAnsi"/>
          <w:sz w:val="20"/>
          <w:szCs w:val="20"/>
          <w:lang w:val="en-US"/>
        </w:rPr>
        <w:t>of providing them security.</w:t>
      </w:r>
      <w:r w:rsidR="004535AF" w:rsidRPr="007D47AD">
        <w:rPr>
          <w:rStyle w:val="FootnoteReference"/>
          <w:rFonts w:asciiTheme="minorHAnsi" w:hAnsiTheme="minorHAnsi"/>
          <w:sz w:val="20"/>
          <w:szCs w:val="20"/>
          <w:lang w:val="en-US"/>
        </w:rPr>
        <w:footnoteReference w:id="477"/>
      </w:r>
      <w:r w:rsidR="00C26514" w:rsidRPr="007D47AD">
        <w:rPr>
          <w:rFonts w:asciiTheme="minorHAnsi" w:hAnsiTheme="minorHAnsi"/>
          <w:sz w:val="20"/>
          <w:szCs w:val="20"/>
          <w:lang w:val="en-US"/>
        </w:rPr>
        <w:t xml:space="preserve"> </w:t>
      </w:r>
    </w:p>
    <w:p w:rsidR="002D6103" w:rsidRPr="007D47AD" w:rsidRDefault="002D6103" w:rsidP="002D6103">
      <w:pPr>
        <w:pStyle w:val="ListParagraph"/>
        <w:rPr>
          <w:rFonts w:asciiTheme="minorHAnsi" w:hAnsiTheme="minorHAnsi"/>
          <w:sz w:val="20"/>
          <w:szCs w:val="20"/>
          <w:lang w:val="en-US"/>
        </w:rPr>
      </w:pPr>
    </w:p>
    <w:p w:rsidR="002D6103" w:rsidRPr="007D47AD" w:rsidRDefault="00134C72" w:rsidP="00134C72">
      <w:pPr>
        <w:numPr>
          <w:ilvl w:val="0"/>
          <w:numId w:val="6"/>
        </w:numPr>
        <w:shd w:val="clear" w:color="auto" w:fill="FFFFFF"/>
        <w:spacing w:after="0" w:line="240" w:lineRule="auto"/>
        <w:ind w:left="0" w:firstLine="709"/>
        <w:jc w:val="both"/>
        <w:rPr>
          <w:rFonts w:asciiTheme="minorHAnsi" w:hAnsiTheme="minorHAnsi"/>
          <w:sz w:val="20"/>
          <w:szCs w:val="20"/>
          <w:lang w:val="en-US"/>
        </w:rPr>
      </w:pPr>
      <w:r w:rsidRPr="007D47AD">
        <w:rPr>
          <w:rFonts w:asciiTheme="minorHAnsi" w:hAnsiTheme="minorHAnsi"/>
          <w:sz w:val="20"/>
          <w:szCs w:val="20"/>
          <w:lang w:val="en-US"/>
        </w:rPr>
        <w:t xml:space="preserve">The Commission recalls that ensuring an adequate level of personnel trained to receive requests for protection, perform risk analyses, adopt and implement measures of protection, and carry out </w:t>
      </w:r>
      <w:r w:rsidRPr="007D47AD">
        <w:rPr>
          <w:rFonts w:asciiTheme="minorHAnsi" w:hAnsiTheme="minorHAnsi"/>
          <w:sz w:val="20"/>
          <w:szCs w:val="20"/>
          <w:lang w:val="en-US"/>
        </w:rPr>
        <w:lastRenderedPageBreak/>
        <w:t xml:space="preserve">monitoring to ensure that </w:t>
      </w:r>
      <w:r w:rsidR="000D7D1B" w:rsidRPr="007D47AD">
        <w:rPr>
          <w:rFonts w:asciiTheme="minorHAnsi" w:hAnsiTheme="minorHAnsi"/>
          <w:sz w:val="20"/>
          <w:szCs w:val="20"/>
          <w:lang w:val="en-US"/>
        </w:rPr>
        <w:t xml:space="preserve">its implementation is adequate </w:t>
      </w:r>
      <w:r w:rsidRPr="007D47AD">
        <w:rPr>
          <w:rFonts w:asciiTheme="minorHAnsi" w:hAnsiTheme="minorHAnsi"/>
          <w:sz w:val="20"/>
          <w:szCs w:val="20"/>
          <w:lang w:val="en-US"/>
        </w:rPr>
        <w:t>is an integral part of the State’s political commitment to its program to protect human rights defenders. Accordingly</w:t>
      </w:r>
      <w:r w:rsidR="002D6103" w:rsidRPr="007D47AD">
        <w:rPr>
          <w:rFonts w:asciiTheme="minorHAnsi" w:hAnsiTheme="minorHAnsi"/>
          <w:sz w:val="20"/>
          <w:szCs w:val="20"/>
          <w:lang w:val="en-US"/>
        </w:rPr>
        <w:t xml:space="preserve">, </w:t>
      </w:r>
      <w:r w:rsidRPr="007D47AD">
        <w:rPr>
          <w:rFonts w:asciiTheme="minorHAnsi" w:hAnsiTheme="minorHAnsi"/>
          <w:sz w:val="20"/>
          <w:szCs w:val="20"/>
          <w:lang w:val="en-US"/>
        </w:rPr>
        <w:t xml:space="preserve">the IACHR understands that the State should provide the budgetary and logical resources necessary to ensure that the measures of protection can remain in effect while the risk </w:t>
      </w:r>
      <w:r w:rsidR="000D7D1B" w:rsidRPr="007D47AD">
        <w:rPr>
          <w:rFonts w:asciiTheme="minorHAnsi" w:hAnsiTheme="minorHAnsi"/>
          <w:sz w:val="20"/>
          <w:szCs w:val="20"/>
          <w:lang w:val="en-US"/>
        </w:rPr>
        <w:t xml:space="preserve">persists. Therefore, </w:t>
      </w:r>
      <w:r w:rsidRPr="007D47AD">
        <w:rPr>
          <w:rFonts w:asciiTheme="minorHAnsi" w:hAnsiTheme="minorHAnsi"/>
          <w:sz w:val="20"/>
          <w:szCs w:val="20"/>
          <w:lang w:val="en-US"/>
        </w:rPr>
        <w:t>the State must allocate resources in its budget outlays with the aim of covering the costs of personnel to work in the program, as well as the specific expenditures related to the measures of protection granted to persons at risk to ensure that their protection not become a burden fo</w:t>
      </w:r>
      <w:r w:rsidR="000D7D1B" w:rsidRPr="007D47AD">
        <w:rPr>
          <w:rFonts w:asciiTheme="minorHAnsi" w:hAnsiTheme="minorHAnsi"/>
          <w:sz w:val="20"/>
          <w:szCs w:val="20"/>
          <w:lang w:val="en-US"/>
        </w:rPr>
        <w:t>r</w:t>
      </w:r>
      <w:r w:rsidRPr="007D47AD">
        <w:rPr>
          <w:rFonts w:asciiTheme="minorHAnsi" w:hAnsiTheme="minorHAnsi"/>
          <w:sz w:val="20"/>
          <w:szCs w:val="20"/>
          <w:lang w:val="en-US"/>
        </w:rPr>
        <w:t xml:space="preserve"> the human rights defender receiving the protection. </w:t>
      </w:r>
      <w:r w:rsidR="00C26514" w:rsidRPr="007D47AD">
        <w:rPr>
          <w:rFonts w:asciiTheme="minorHAnsi" w:hAnsiTheme="minorHAnsi"/>
          <w:sz w:val="20"/>
          <w:szCs w:val="20"/>
          <w:lang w:val="en-US"/>
        </w:rPr>
        <w:t>I</w:t>
      </w:r>
      <w:r w:rsidR="004535AF" w:rsidRPr="007D47AD">
        <w:rPr>
          <w:rFonts w:asciiTheme="minorHAnsi" w:hAnsiTheme="minorHAnsi"/>
          <w:sz w:val="20"/>
          <w:szCs w:val="20"/>
          <w:lang w:val="en-US"/>
        </w:rPr>
        <w:t xml:space="preserve">n </w:t>
      </w:r>
      <w:r w:rsidR="00C26514" w:rsidRPr="007D47AD">
        <w:rPr>
          <w:rFonts w:asciiTheme="minorHAnsi" w:hAnsiTheme="minorHAnsi"/>
          <w:sz w:val="20"/>
          <w:szCs w:val="20"/>
          <w:lang w:val="en-US"/>
        </w:rPr>
        <w:t xml:space="preserve">its observations on the draft of this report the State noted that the per diem, expenses, and personnel costs of the </w:t>
      </w:r>
      <w:r w:rsidR="004535AF" w:rsidRPr="007D47AD">
        <w:rPr>
          <w:rFonts w:asciiTheme="minorHAnsi" w:hAnsiTheme="minorHAnsi"/>
          <w:sz w:val="20"/>
          <w:szCs w:val="20"/>
          <w:lang w:val="en-US"/>
        </w:rPr>
        <w:t>Mec</w:t>
      </w:r>
      <w:r w:rsidR="00C26514" w:rsidRPr="007D47AD">
        <w:rPr>
          <w:rFonts w:asciiTheme="minorHAnsi" w:hAnsiTheme="minorHAnsi"/>
          <w:sz w:val="20"/>
          <w:szCs w:val="20"/>
          <w:lang w:val="en-US"/>
        </w:rPr>
        <w:t>h</w:t>
      </w:r>
      <w:r w:rsidR="004535AF" w:rsidRPr="007D47AD">
        <w:rPr>
          <w:rFonts w:asciiTheme="minorHAnsi" w:hAnsiTheme="minorHAnsi"/>
          <w:sz w:val="20"/>
          <w:szCs w:val="20"/>
          <w:lang w:val="en-US"/>
        </w:rPr>
        <w:t xml:space="preserve">anism, </w:t>
      </w:r>
      <w:r w:rsidR="00C26514" w:rsidRPr="007D47AD">
        <w:rPr>
          <w:rFonts w:asciiTheme="minorHAnsi" w:hAnsiTheme="minorHAnsi"/>
          <w:sz w:val="20"/>
          <w:szCs w:val="20"/>
          <w:lang w:val="en-US"/>
        </w:rPr>
        <w:t>as well as the installation and implementation of the protection measures, are covered entirely by the Mexican State.</w:t>
      </w:r>
      <w:r w:rsidR="004535AF" w:rsidRPr="007D47AD">
        <w:rPr>
          <w:rStyle w:val="FootnoteReference"/>
          <w:rFonts w:asciiTheme="minorHAnsi" w:hAnsiTheme="minorHAnsi"/>
          <w:sz w:val="20"/>
          <w:szCs w:val="20"/>
          <w:lang w:val="en-US"/>
        </w:rPr>
        <w:footnoteReference w:id="478"/>
      </w:r>
    </w:p>
    <w:p w:rsidR="002D6103" w:rsidRPr="007D47AD" w:rsidRDefault="002D6103" w:rsidP="002D6103">
      <w:pPr>
        <w:pStyle w:val="ListParagraph"/>
        <w:rPr>
          <w:rFonts w:asciiTheme="minorHAnsi" w:hAnsiTheme="minorHAnsi"/>
          <w:sz w:val="20"/>
          <w:szCs w:val="20"/>
          <w:lang w:val="en-US"/>
        </w:rPr>
      </w:pPr>
    </w:p>
    <w:p w:rsidR="00C41B9B" w:rsidRPr="007D47AD" w:rsidRDefault="00134C72" w:rsidP="00C16A57">
      <w:pPr>
        <w:numPr>
          <w:ilvl w:val="0"/>
          <w:numId w:val="6"/>
        </w:numPr>
        <w:shd w:val="clear" w:color="auto" w:fill="FFFFFF"/>
        <w:spacing w:after="0" w:line="240" w:lineRule="auto"/>
        <w:ind w:left="0" w:firstLine="709"/>
        <w:jc w:val="both"/>
        <w:rPr>
          <w:rFonts w:asciiTheme="minorHAnsi" w:hAnsiTheme="minorHAnsi"/>
          <w:sz w:val="20"/>
          <w:szCs w:val="20"/>
          <w:lang w:val="en-US"/>
        </w:rPr>
      </w:pPr>
      <w:r w:rsidRPr="007D47AD">
        <w:rPr>
          <w:rFonts w:asciiTheme="minorHAnsi" w:hAnsiTheme="minorHAnsi"/>
          <w:sz w:val="20"/>
          <w:szCs w:val="20"/>
          <w:lang w:val="en-US"/>
        </w:rPr>
        <w:t xml:space="preserve">In view of the foregoing, the Commission shows its concern over the weaknesses in the protection of human rights defenders. In this vein, and due to the lack of progress, the IACHR considers that this recommendation </w:t>
      </w:r>
      <w:r w:rsidR="00276BEC" w:rsidRPr="007D47AD">
        <w:rPr>
          <w:rFonts w:asciiTheme="minorHAnsi" w:hAnsiTheme="minorHAnsi"/>
          <w:sz w:val="20"/>
          <w:szCs w:val="20"/>
          <w:lang w:val="en-US"/>
        </w:rPr>
        <w:t xml:space="preserve">continues to meet with partial compliance. </w:t>
      </w:r>
    </w:p>
    <w:p w:rsidR="0079399A" w:rsidRPr="007D47AD" w:rsidRDefault="0079399A" w:rsidP="00C16A57">
      <w:pPr>
        <w:shd w:val="clear" w:color="auto" w:fill="FFFFFF"/>
        <w:spacing w:after="0" w:line="240" w:lineRule="auto"/>
        <w:jc w:val="both"/>
        <w:rPr>
          <w:rFonts w:asciiTheme="minorHAnsi" w:hAnsiTheme="minorHAnsi"/>
          <w:sz w:val="20"/>
          <w:szCs w:val="20"/>
          <w:lang w:val="en-US"/>
        </w:rPr>
      </w:pPr>
    </w:p>
    <w:p w:rsidR="009C095D" w:rsidRPr="007D47AD" w:rsidRDefault="00276BEC" w:rsidP="00E472A2">
      <w:pPr>
        <w:pStyle w:val="Heading3"/>
        <w:numPr>
          <w:ilvl w:val="2"/>
          <w:numId w:val="7"/>
        </w:numPr>
        <w:shd w:val="clear" w:color="auto" w:fill="auto"/>
        <w:spacing w:before="0"/>
        <w:ind w:left="1440" w:hanging="720"/>
        <w:rPr>
          <w:rFonts w:asciiTheme="minorHAnsi" w:hAnsiTheme="minorHAnsi"/>
          <w:sz w:val="20"/>
          <w:szCs w:val="20"/>
          <w:lang w:val="en-US"/>
        </w:rPr>
      </w:pPr>
      <w:r w:rsidRPr="007D47AD">
        <w:rPr>
          <w:rFonts w:asciiTheme="minorHAnsi" w:hAnsiTheme="minorHAnsi"/>
          <w:sz w:val="20"/>
          <w:szCs w:val="20"/>
          <w:lang w:val="en-US"/>
        </w:rPr>
        <w:t xml:space="preserve">Freedom of expression </w:t>
      </w:r>
    </w:p>
    <w:p w:rsidR="009C095D" w:rsidRPr="007D47AD" w:rsidRDefault="009C095D" w:rsidP="00E472A2">
      <w:pPr>
        <w:pStyle w:val="Numberedparagraphs"/>
        <w:numPr>
          <w:ilvl w:val="0"/>
          <w:numId w:val="21"/>
        </w:numPr>
        <w:shd w:val="clear" w:color="auto" w:fill="D9D9D9"/>
        <w:spacing w:after="0"/>
        <w:ind w:hanging="720"/>
        <w:rPr>
          <w:rFonts w:asciiTheme="minorHAnsi" w:hAnsiTheme="minorHAnsi"/>
          <w:lang w:val="en-US"/>
        </w:rPr>
      </w:pPr>
      <w:r w:rsidRPr="007D47AD">
        <w:rPr>
          <w:rFonts w:asciiTheme="minorHAnsi" w:hAnsiTheme="minorHAnsi"/>
          <w:lang w:val="en-US"/>
        </w:rPr>
        <w:t>Reco</w:t>
      </w:r>
      <w:r w:rsidR="004D7F97" w:rsidRPr="007D47AD">
        <w:rPr>
          <w:rFonts w:asciiTheme="minorHAnsi" w:hAnsiTheme="minorHAnsi"/>
          <w:lang w:val="en-US"/>
        </w:rPr>
        <w:t>gnize</w:t>
      </w:r>
      <w:r w:rsidRPr="007D47AD">
        <w:rPr>
          <w:rFonts w:asciiTheme="minorHAnsi" w:hAnsiTheme="minorHAnsi"/>
          <w:lang w:val="en-US"/>
        </w:rPr>
        <w:t xml:space="preserve">, </w:t>
      </w:r>
      <w:r w:rsidR="004D7F97" w:rsidRPr="007D47AD">
        <w:rPr>
          <w:rFonts w:asciiTheme="minorHAnsi" w:hAnsiTheme="minorHAnsi"/>
          <w:lang w:val="en-US"/>
        </w:rPr>
        <w:t>at the highest levels of the State, the legitimacy and the value of journalism, and condemn attacks as reprisals for the exercise of the freedom of expression</w:t>
      </w:r>
      <w:r w:rsidRPr="007D47AD">
        <w:rPr>
          <w:rFonts w:asciiTheme="minorHAnsi" w:hAnsiTheme="minorHAnsi"/>
          <w:lang w:val="en-US"/>
        </w:rPr>
        <w:t xml:space="preserve">. </w:t>
      </w:r>
    </w:p>
    <w:p w:rsidR="009C095D" w:rsidRPr="007D47AD" w:rsidRDefault="004D7F97" w:rsidP="00E472A2">
      <w:pPr>
        <w:pStyle w:val="Numberedparagraphs"/>
        <w:numPr>
          <w:ilvl w:val="0"/>
          <w:numId w:val="21"/>
        </w:numPr>
        <w:shd w:val="clear" w:color="auto" w:fill="D9D9D9"/>
        <w:spacing w:after="0"/>
        <w:ind w:hanging="720"/>
        <w:rPr>
          <w:rFonts w:asciiTheme="minorHAnsi" w:hAnsiTheme="minorHAnsi"/>
          <w:lang w:val="en-US"/>
        </w:rPr>
      </w:pPr>
      <w:r w:rsidRPr="007D47AD">
        <w:rPr>
          <w:rFonts w:asciiTheme="minorHAnsi" w:hAnsiTheme="minorHAnsi"/>
          <w:lang w:val="en-US"/>
        </w:rPr>
        <w:t>Define a single methodology to generate and publish detailed and disaggregated statistics regarding violence against journalists and investigations of attacks, as well as the protection measures adopted. Define a State authority in charge of capturing information and publishing statistics, and inform the various actors re</w:t>
      </w:r>
      <w:r w:rsidR="005E7E1B" w:rsidRPr="007D47AD">
        <w:rPr>
          <w:rFonts w:asciiTheme="minorHAnsi" w:hAnsiTheme="minorHAnsi"/>
          <w:lang w:val="en-US"/>
        </w:rPr>
        <w:t>g</w:t>
      </w:r>
      <w:r w:rsidRPr="007D47AD">
        <w:rPr>
          <w:rFonts w:asciiTheme="minorHAnsi" w:hAnsiTheme="minorHAnsi"/>
          <w:lang w:val="en-US"/>
        </w:rPr>
        <w:t>arding the challenges that arise in the application of said methodology.</w:t>
      </w:r>
    </w:p>
    <w:p w:rsidR="009C095D" w:rsidRPr="007D47AD" w:rsidRDefault="009C095D" w:rsidP="00E472A2">
      <w:pPr>
        <w:pStyle w:val="Numberedparagraphs"/>
        <w:numPr>
          <w:ilvl w:val="0"/>
          <w:numId w:val="21"/>
        </w:numPr>
        <w:shd w:val="clear" w:color="auto" w:fill="D9D9D9"/>
        <w:spacing w:after="0"/>
        <w:ind w:hanging="720"/>
        <w:rPr>
          <w:rFonts w:asciiTheme="minorHAnsi" w:hAnsiTheme="minorHAnsi"/>
          <w:lang w:val="en-US"/>
        </w:rPr>
      </w:pPr>
      <w:r w:rsidRPr="007D47AD">
        <w:rPr>
          <w:rFonts w:asciiTheme="minorHAnsi" w:hAnsiTheme="minorHAnsi"/>
          <w:lang w:val="en-US"/>
        </w:rPr>
        <w:t>Remov</w:t>
      </w:r>
      <w:r w:rsidR="004D7F97" w:rsidRPr="007D47AD">
        <w:rPr>
          <w:rFonts w:asciiTheme="minorHAnsi" w:hAnsiTheme="minorHAnsi"/>
          <w:lang w:val="en-US"/>
        </w:rPr>
        <w:t>e all obstacles so that, in practice, the Specialized Prosecutor’s Office for Attention to Crimes against Freedom of Expression (FEADLE) may absorb investigation of crimes against journalists and against freedom of expression</w:t>
      </w:r>
      <w:r w:rsidR="004E08FB" w:rsidRPr="007D47AD">
        <w:rPr>
          <w:rFonts w:asciiTheme="minorHAnsi" w:hAnsiTheme="minorHAnsi"/>
          <w:lang w:val="en-US"/>
        </w:rPr>
        <w:t xml:space="preserve">, </w:t>
      </w:r>
      <w:r w:rsidR="004D7F97" w:rsidRPr="007D47AD">
        <w:rPr>
          <w:rFonts w:asciiTheme="minorHAnsi" w:hAnsiTheme="minorHAnsi"/>
          <w:lang w:val="en-US"/>
        </w:rPr>
        <w:t>mak</w:t>
      </w:r>
      <w:r w:rsidR="004E08FB" w:rsidRPr="007D47AD">
        <w:rPr>
          <w:rFonts w:asciiTheme="minorHAnsi" w:hAnsiTheme="minorHAnsi"/>
          <w:lang w:val="en-US"/>
        </w:rPr>
        <w:t>ing</w:t>
      </w:r>
      <w:r w:rsidR="004D7F97" w:rsidRPr="007D47AD">
        <w:rPr>
          <w:rFonts w:asciiTheme="minorHAnsi" w:hAnsiTheme="minorHAnsi"/>
          <w:lang w:val="en-US"/>
        </w:rPr>
        <w:t xml:space="preserve"> more effective the exercise of federal jurisdiction over crimes within its competence and guarantee</w:t>
      </w:r>
      <w:r w:rsidR="004E08FB" w:rsidRPr="007D47AD">
        <w:rPr>
          <w:rFonts w:asciiTheme="minorHAnsi" w:hAnsiTheme="minorHAnsi"/>
          <w:lang w:val="en-US"/>
        </w:rPr>
        <w:t>ing</w:t>
      </w:r>
      <w:r w:rsidR="004D7F97" w:rsidRPr="007D47AD">
        <w:rPr>
          <w:rFonts w:asciiTheme="minorHAnsi" w:hAnsiTheme="minorHAnsi"/>
          <w:lang w:val="en-US"/>
        </w:rPr>
        <w:t xml:space="preserve"> that the most serious violations of freedom of expression are always investigated by that Office.</w:t>
      </w:r>
      <w:r w:rsidRPr="007D47AD">
        <w:rPr>
          <w:rFonts w:asciiTheme="minorHAnsi" w:hAnsiTheme="minorHAnsi"/>
          <w:lang w:val="en-US"/>
        </w:rPr>
        <w:t xml:space="preserve"> </w:t>
      </w:r>
    </w:p>
    <w:p w:rsidR="009C095D" w:rsidRPr="007D47AD" w:rsidRDefault="004D7F97" w:rsidP="00E472A2">
      <w:pPr>
        <w:pStyle w:val="Numberedparagraphs"/>
        <w:numPr>
          <w:ilvl w:val="0"/>
          <w:numId w:val="21"/>
        </w:numPr>
        <w:shd w:val="clear" w:color="auto" w:fill="D9D9D9"/>
        <w:spacing w:after="0"/>
        <w:ind w:hanging="720"/>
        <w:rPr>
          <w:rFonts w:asciiTheme="minorHAnsi" w:hAnsiTheme="minorHAnsi"/>
          <w:lang w:val="en-US"/>
        </w:rPr>
      </w:pPr>
      <w:r w:rsidRPr="007D47AD">
        <w:rPr>
          <w:rFonts w:asciiTheme="minorHAnsi" w:hAnsiTheme="minorHAnsi"/>
          <w:lang w:val="en-US"/>
        </w:rPr>
        <w:t>Maintain the FEADLE’s character as a specialized prosecutor’s office and vest it with sufficient financial and human resources so that it may achieve its objectives.</w:t>
      </w:r>
      <w:r w:rsidR="009C095D" w:rsidRPr="007D47AD">
        <w:rPr>
          <w:rFonts w:asciiTheme="minorHAnsi" w:hAnsiTheme="minorHAnsi"/>
          <w:lang w:val="en-US"/>
        </w:rPr>
        <w:t xml:space="preserve"> </w:t>
      </w:r>
    </w:p>
    <w:p w:rsidR="009C095D" w:rsidRPr="007D47AD" w:rsidRDefault="009C095D" w:rsidP="00E472A2">
      <w:pPr>
        <w:pStyle w:val="Numberedparagraphs"/>
        <w:numPr>
          <w:ilvl w:val="0"/>
          <w:numId w:val="21"/>
        </w:numPr>
        <w:shd w:val="clear" w:color="auto" w:fill="D9D9D9"/>
        <w:spacing w:after="0"/>
        <w:ind w:hanging="720"/>
        <w:rPr>
          <w:rFonts w:asciiTheme="minorHAnsi" w:hAnsiTheme="minorHAnsi"/>
          <w:lang w:val="en-US"/>
        </w:rPr>
      </w:pPr>
      <w:r w:rsidRPr="007D47AD">
        <w:rPr>
          <w:rFonts w:asciiTheme="minorHAnsi" w:hAnsiTheme="minorHAnsi"/>
          <w:lang w:val="en-US"/>
        </w:rPr>
        <w:t xml:space="preserve">Adopt </w:t>
      </w:r>
      <w:r w:rsidR="004D7F97" w:rsidRPr="007D47AD">
        <w:rPr>
          <w:rFonts w:asciiTheme="minorHAnsi" w:hAnsiTheme="minorHAnsi"/>
          <w:lang w:val="en-US"/>
        </w:rPr>
        <w:t>special protocols for the investigation of murders pursuant to which the hypothesis of a relation to the journalistic profession is exhausted completely</w:t>
      </w:r>
      <w:r w:rsidR="005E7E1B" w:rsidRPr="007D47AD">
        <w:rPr>
          <w:rFonts w:asciiTheme="minorHAnsi" w:hAnsiTheme="minorHAnsi"/>
          <w:lang w:val="en-US"/>
        </w:rPr>
        <w:t>.</w:t>
      </w:r>
    </w:p>
    <w:p w:rsidR="009C095D" w:rsidRPr="007D47AD" w:rsidRDefault="004D7F97" w:rsidP="00E472A2">
      <w:pPr>
        <w:pStyle w:val="Numberedparagraphs"/>
        <w:numPr>
          <w:ilvl w:val="0"/>
          <w:numId w:val="21"/>
        </w:numPr>
        <w:shd w:val="clear" w:color="auto" w:fill="D9D9D9"/>
        <w:spacing w:after="0"/>
        <w:ind w:hanging="720"/>
        <w:rPr>
          <w:rFonts w:asciiTheme="minorHAnsi" w:hAnsiTheme="minorHAnsi"/>
          <w:lang w:val="en-US"/>
        </w:rPr>
      </w:pPr>
      <w:r w:rsidRPr="007D47AD">
        <w:rPr>
          <w:rFonts w:asciiTheme="minorHAnsi" w:hAnsiTheme="minorHAnsi"/>
          <w:lang w:val="en-US"/>
        </w:rPr>
        <w:t xml:space="preserve">Improve the existing relationship between the federal and state jurisdictions with the objective of avoiding </w:t>
      </w:r>
      <w:r w:rsidR="005E7E1B" w:rsidRPr="007D47AD">
        <w:rPr>
          <w:rFonts w:asciiTheme="minorHAnsi" w:hAnsiTheme="minorHAnsi"/>
          <w:lang w:val="en-US"/>
        </w:rPr>
        <w:t xml:space="preserve">jurisdictional </w:t>
      </w:r>
      <w:r w:rsidRPr="007D47AD">
        <w:rPr>
          <w:rFonts w:asciiTheme="minorHAnsi" w:hAnsiTheme="minorHAnsi"/>
          <w:lang w:val="en-US"/>
        </w:rPr>
        <w:t>conflicts that impede or delay investigations.</w:t>
      </w:r>
      <w:r w:rsidR="009C095D" w:rsidRPr="007D47AD">
        <w:rPr>
          <w:rFonts w:asciiTheme="minorHAnsi" w:hAnsiTheme="minorHAnsi"/>
          <w:lang w:val="en-US"/>
        </w:rPr>
        <w:t xml:space="preserve"> </w:t>
      </w:r>
    </w:p>
    <w:p w:rsidR="009C095D" w:rsidRPr="007D47AD" w:rsidRDefault="004D7F97" w:rsidP="00E472A2">
      <w:pPr>
        <w:pStyle w:val="Numberedparagraphs"/>
        <w:numPr>
          <w:ilvl w:val="0"/>
          <w:numId w:val="21"/>
        </w:numPr>
        <w:shd w:val="clear" w:color="auto" w:fill="D9D9D9"/>
        <w:spacing w:after="0"/>
        <w:ind w:hanging="720"/>
        <w:rPr>
          <w:rFonts w:asciiTheme="minorHAnsi" w:hAnsiTheme="minorHAnsi"/>
          <w:lang w:val="en-US"/>
        </w:rPr>
      </w:pPr>
      <w:r w:rsidRPr="007D47AD">
        <w:rPr>
          <w:rFonts w:asciiTheme="minorHAnsi" w:hAnsiTheme="minorHAnsi"/>
          <w:lang w:val="en-US"/>
        </w:rPr>
        <w:t xml:space="preserve">Allow victims, their families and, when applicable, assisting third parties to participate in the criminal processes with full guarantees, both for the search </w:t>
      </w:r>
      <w:r w:rsidR="005E7E1B" w:rsidRPr="007D47AD">
        <w:rPr>
          <w:rFonts w:asciiTheme="minorHAnsi" w:hAnsiTheme="minorHAnsi"/>
          <w:lang w:val="en-US"/>
        </w:rPr>
        <w:t xml:space="preserve">for </w:t>
      </w:r>
      <w:r w:rsidRPr="007D47AD">
        <w:rPr>
          <w:rFonts w:asciiTheme="minorHAnsi" w:hAnsiTheme="minorHAnsi"/>
          <w:lang w:val="en-US"/>
        </w:rPr>
        <w:t xml:space="preserve">the truth and for clarifying the facts, as well as at the time of </w:t>
      </w:r>
      <w:r w:rsidR="003F6A3C" w:rsidRPr="007D47AD">
        <w:rPr>
          <w:rFonts w:asciiTheme="minorHAnsi" w:hAnsiTheme="minorHAnsi"/>
          <w:lang w:val="en-US"/>
        </w:rPr>
        <w:t xml:space="preserve">seeking </w:t>
      </w:r>
      <w:r w:rsidRPr="007D47AD">
        <w:rPr>
          <w:rFonts w:asciiTheme="minorHAnsi" w:hAnsiTheme="minorHAnsi"/>
          <w:lang w:val="en-US"/>
        </w:rPr>
        <w:t xml:space="preserve">reparations. </w:t>
      </w:r>
    </w:p>
    <w:p w:rsidR="009C095D" w:rsidRPr="007D47AD" w:rsidRDefault="009C095D" w:rsidP="009C095D">
      <w:pPr>
        <w:shd w:val="clear" w:color="auto" w:fill="FFFFFF"/>
        <w:spacing w:after="0" w:line="240" w:lineRule="auto"/>
        <w:jc w:val="both"/>
        <w:rPr>
          <w:rFonts w:asciiTheme="minorHAnsi" w:hAnsiTheme="minorHAnsi"/>
          <w:sz w:val="20"/>
          <w:szCs w:val="20"/>
          <w:lang w:val="en-US"/>
        </w:rPr>
      </w:pPr>
    </w:p>
    <w:p w:rsidR="00927952" w:rsidRPr="007D47AD" w:rsidRDefault="00276BEC" w:rsidP="00927952">
      <w:pPr>
        <w:numPr>
          <w:ilvl w:val="0"/>
          <w:numId w:val="6"/>
        </w:numPr>
        <w:shd w:val="clear" w:color="auto" w:fill="FFFFFF"/>
        <w:spacing w:after="0" w:line="240" w:lineRule="auto"/>
        <w:ind w:left="0" w:firstLine="709"/>
        <w:jc w:val="both"/>
        <w:rPr>
          <w:rFonts w:asciiTheme="minorHAnsi" w:hAnsiTheme="minorHAnsi"/>
          <w:sz w:val="20"/>
          <w:szCs w:val="20"/>
          <w:lang w:val="en-US"/>
        </w:rPr>
      </w:pPr>
      <w:r w:rsidRPr="007D47AD">
        <w:rPr>
          <w:rFonts w:asciiTheme="minorHAnsi" w:hAnsiTheme="minorHAnsi"/>
          <w:sz w:val="20"/>
          <w:szCs w:val="20"/>
          <w:lang w:val="en-US"/>
        </w:rPr>
        <w:t>According to the Office of the Special Rapporteur fo</w:t>
      </w:r>
      <w:r w:rsidR="004D7F97" w:rsidRPr="007D47AD">
        <w:rPr>
          <w:rFonts w:asciiTheme="minorHAnsi" w:hAnsiTheme="minorHAnsi"/>
          <w:sz w:val="20"/>
          <w:szCs w:val="20"/>
          <w:lang w:val="en-US"/>
        </w:rPr>
        <w:t xml:space="preserve">r </w:t>
      </w:r>
      <w:r w:rsidRPr="007D47AD">
        <w:rPr>
          <w:rFonts w:asciiTheme="minorHAnsi" w:hAnsiTheme="minorHAnsi"/>
          <w:sz w:val="20"/>
          <w:szCs w:val="20"/>
          <w:lang w:val="en-US"/>
        </w:rPr>
        <w:t xml:space="preserve">Freedom of Expression (hereinafter “the Office of the Special Rapporteur”) of the IACHR, in </w:t>
      </w:r>
      <w:r w:rsidR="00927952" w:rsidRPr="007D47AD">
        <w:rPr>
          <w:rFonts w:asciiTheme="minorHAnsi" w:hAnsiTheme="minorHAnsi"/>
          <w:sz w:val="20"/>
          <w:szCs w:val="20"/>
          <w:lang w:val="en-US"/>
        </w:rPr>
        <w:t xml:space="preserve">2019 </w:t>
      </w:r>
      <w:r w:rsidRPr="007D47AD">
        <w:rPr>
          <w:rFonts w:asciiTheme="minorHAnsi" w:hAnsiTheme="minorHAnsi"/>
          <w:sz w:val="20"/>
          <w:szCs w:val="20"/>
          <w:lang w:val="en-US"/>
        </w:rPr>
        <w:t>journali</w:t>
      </w:r>
      <w:r w:rsidR="003F6A3C" w:rsidRPr="007D47AD">
        <w:rPr>
          <w:rFonts w:asciiTheme="minorHAnsi" w:hAnsiTheme="minorHAnsi"/>
          <w:sz w:val="20"/>
          <w:szCs w:val="20"/>
          <w:lang w:val="en-US"/>
        </w:rPr>
        <w:t>sm</w:t>
      </w:r>
      <w:r w:rsidRPr="007D47AD">
        <w:rPr>
          <w:rFonts w:asciiTheme="minorHAnsi" w:hAnsiTheme="minorHAnsi"/>
          <w:sz w:val="20"/>
          <w:szCs w:val="20"/>
          <w:lang w:val="en-US"/>
        </w:rPr>
        <w:t xml:space="preserve"> in Mexico continued facing a crisis of violence that took the lives of </w:t>
      </w:r>
      <w:r w:rsidR="00927952" w:rsidRPr="007D47AD">
        <w:rPr>
          <w:rFonts w:asciiTheme="minorHAnsi" w:hAnsiTheme="minorHAnsi"/>
          <w:sz w:val="20"/>
          <w:szCs w:val="20"/>
          <w:lang w:val="en-US"/>
        </w:rPr>
        <w:t xml:space="preserve">11 </w:t>
      </w:r>
      <w:r w:rsidRPr="007D47AD">
        <w:rPr>
          <w:rFonts w:asciiTheme="minorHAnsi" w:hAnsiTheme="minorHAnsi"/>
          <w:sz w:val="20"/>
          <w:szCs w:val="20"/>
          <w:lang w:val="en-US"/>
        </w:rPr>
        <w:t>journalists or other media workers.</w:t>
      </w:r>
      <w:r w:rsidR="00927952" w:rsidRPr="007D47AD">
        <w:rPr>
          <w:rFonts w:asciiTheme="minorHAnsi" w:hAnsiTheme="minorHAnsi"/>
          <w:sz w:val="20"/>
          <w:szCs w:val="20"/>
          <w:vertAlign w:val="superscript"/>
          <w:lang w:val="en-US"/>
        </w:rPr>
        <w:footnoteReference w:id="479"/>
      </w:r>
      <w:r w:rsidR="00927952" w:rsidRPr="007D47AD">
        <w:rPr>
          <w:rFonts w:asciiTheme="minorHAnsi" w:hAnsiTheme="minorHAnsi"/>
          <w:sz w:val="20"/>
          <w:szCs w:val="20"/>
          <w:lang w:val="en-US"/>
        </w:rPr>
        <w:t xml:space="preserve"> </w:t>
      </w:r>
      <w:r w:rsidRPr="007D47AD">
        <w:rPr>
          <w:rFonts w:asciiTheme="minorHAnsi" w:hAnsiTheme="minorHAnsi"/>
          <w:sz w:val="20"/>
          <w:szCs w:val="20"/>
          <w:lang w:val="en-US"/>
        </w:rPr>
        <w:t>The attack on journalists persists and is the most direct and significant threat to freedom of expression in the country.</w:t>
      </w:r>
      <w:r w:rsidR="00927952" w:rsidRPr="007D47AD">
        <w:rPr>
          <w:rFonts w:asciiTheme="minorHAnsi" w:hAnsiTheme="minorHAnsi"/>
          <w:sz w:val="20"/>
          <w:szCs w:val="20"/>
          <w:vertAlign w:val="superscript"/>
          <w:lang w:val="en-US"/>
        </w:rPr>
        <w:footnoteReference w:id="480"/>
      </w:r>
      <w:r w:rsidRPr="007D47AD">
        <w:rPr>
          <w:rFonts w:asciiTheme="minorHAnsi" w:hAnsiTheme="minorHAnsi"/>
          <w:sz w:val="20"/>
          <w:szCs w:val="20"/>
          <w:lang w:val="en-US"/>
        </w:rPr>
        <w:t xml:space="preserve"> The profound security crisis is worsened by the lack of legal consequences, expressed in impunity, which encourages more attacks. </w:t>
      </w:r>
    </w:p>
    <w:p w:rsidR="002F6A8C" w:rsidRPr="007D47AD" w:rsidRDefault="002F6A8C" w:rsidP="00927952">
      <w:pPr>
        <w:shd w:val="clear" w:color="auto" w:fill="FFFFFF"/>
        <w:spacing w:after="0" w:line="240" w:lineRule="auto"/>
        <w:ind w:left="709"/>
        <w:jc w:val="both"/>
        <w:rPr>
          <w:rFonts w:asciiTheme="minorHAnsi" w:hAnsiTheme="minorHAnsi"/>
          <w:sz w:val="20"/>
          <w:szCs w:val="20"/>
          <w:lang w:val="en-US"/>
        </w:rPr>
      </w:pPr>
    </w:p>
    <w:p w:rsidR="00927952" w:rsidRPr="007D47AD" w:rsidRDefault="00276BEC" w:rsidP="00276BEC">
      <w:pPr>
        <w:numPr>
          <w:ilvl w:val="0"/>
          <w:numId w:val="6"/>
        </w:numPr>
        <w:shd w:val="clear" w:color="auto" w:fill="FFFFFF"/>
        <w:spacing w:after="0" w:line="240" w:lineRule="auto"/>
        <w:ind w:left="0" w:firstLine="709"/>
        <w:jc w:val="both"/>
        <w:rPr>
          <w:rFonts w:ascii="Cambria" w:hAnsi="Cambria"/>
          <w:sz w:val="20"/>
          <w:szCs w:val="20"/>
          <w:lang w:val="en-US"/>
        </w:rPr>
      </w:pPr>
      <w:r w:rsidRPr="007D47AD">
        <w:rPr>
          <w:rFonts w:asciiTheme="minorHAnsi" w:hAnsiTheme="minorHAnsi"/>
          <w:sz w:val="20"/>
          <w:szCs w:val="20"/>
          <w:lang w:val="en-US"/>
        </w:rPr>
        <w:t xml:space="preserve">As regards the recommendation to </w:t>
      </w:r>
      <w:r w:rsidR="00927952" w:rsidRPr="007D47AD">
        <w:rPr>
          <w:rFonts w:asciiTheme="minorHAnsi" w:hAnsiTheme="minorHAnsi"/>
          <w:b/>
          <w:sz w:val="20"/>
          <w:szCs w:val="20"/>
          <w:lang w:val="en-US"/>
        </w:rPr>
        <w:t>reco</w:t>
      </w:r>
      <w:r w:rsidRPr="007D47AD">
        <w:rPr>
          <w:rFonts w:asciiTheme="minorHAnsi" w:hAnsiTheme="minorHAnsi"/>
          <w:b/>
          <w:sz w:val="20"/>
          <w:szCs w:val="20"/>
          <w:lang w:val="en-US"/>
        </w:rPr>
        <w:t>g</w:t>
      </w:r>
      <w:r w:rsidR="00927952" w:rsidRPr="007D47AD">
        <w:rPr>
          <w:rFonts w:asciiTheme="minorHAnsi" w:hAnsiTheme="minorHAnsi"/>
          <w:b/>
          <w:sz w:val="20"/>
          <w:szCs w:val="20"/>
          <w:lang w:val="en-US"/>
        </w:rPr>
        <w:t>n</w:t>
      </w:r>
      <w:r w:rsidRPr="007D47AD">
        <w:rPr>
          <w:rFonts w:asciiTheme="minorHAnsi" w:hAnsiTheme="minorHAnsi"/>
          <w:b/>
          <w:sz w:val="20"/>
          <w:szCs w:val="20"/>
          <w:lang w:val="en-US"/>
        </w:rPr>
        <w:t xml:space="preserve">ize, </w:t>
      </w:r>
      <w:r w:rsidR="004D7F97" w:rsidRPr="007D47AD">
        <w:rPr>
          <w:rFonts w:asciiTheme="minorHAnsi" w:hAnsiTheme="minorHAnsi"/>
          <w:b/>
          <w:sz w:val="20"/>
          <w:szCs w:val="20"/>
          <w:lang w:val="en-US"/>
        </w:rPr>
        <w:t xml:space="preserve">at </w:t>
      </w:r>
      <w:r w:rsidRPr="007D47AD">
        <w:rPr>
          <w:rFonts w:asciiTheme="minorHAnsi" w:hAnsiTheme="minorHAnsi"/>
          <w:b/>
          <w:sz w:val="20"/>
          <w:szCs w:val="20"/>
          <w:lang w:val="en-US"/>
        </w:rPr>
        <w:t xml:space="preserve">the highest levels of the State, the legitimacy and value of </w:t>
      </w:r>
      <w:r w:rsidR="004D7F97" w:rsidRPr="007D47AD">
        <w:rPr>
          <w:rFonts w:asciiTheme="minorHAnsi" w:hAnsiTheme="minorHAnsi"/>
          <w:b/>
          <w:sz w:val="20"/>
          <w:szCs w:val="20"/>
          <w:lang w:val="en-US"/>
        </w:rPr>
        <w:t>journalism</w:t>
      </w:r>
      <w:r w:rsidRPr="007D47AD">
        <w:rPr>
          <w:rFonts w:asciiTheme="minorHAnsi" w:hAnsiTheme="minorHAnsi"/>
          <w:b/>
          <w:sz w:val="20"/>
          <w:szCs w:val="20"/>
          <w:lang w:val="en-US"/>
        </w:rPr>
        <w:t xml:space="preserve"> and condemn the attacks</w:t>
      </w:r>
      <w:r w:rsidRPr="007D47AD">
        <w:rPr>
          <w:rFonts w:asciiTheme="minorHAnsi" w:hAnsiTheme="minorHAnsi"/>
          <w:sz w:val="20"/>
          <w:szCs w:val="20"/>
          <w:lang w:val="en-US"/>
        </w:rPr>
        <w:t xml:space="preserve">, the State reiterated what was indicated in </w:t>
      </w:r>
      <w:r w:rsidRPr="007D47AD">
        <w:rPr>
          <w:rFonts w:asciiTheme="minorHAnsi" w:hAnsiTheme="minorHAnsi"/>
          <w:sz w:val="20"/>
          <w:szCs w:val="20"/>
          <w:lang w:val="en-US"/>
        </w:rPr>
        <w:lastRenderedPageBreak/>
        <w:t>previous reports.</w:t>
      </w:r>
      <w:r w:rsidR="00927952" w:rsidRPr="007D47AD">
        <w:rPr>
          <w:rStyle w:val="FootnoteReference"/>
          <w:rFonts w:asciiTheme="minorHAnsi" w:hAnsiTheme="minorHAnsi"/>
          <w:sz w:val="20"/>
          <w:szCs w:val="20"/>
          <w:lang w:val="en-US"/>
        </w:rPr>
        <w:footnoteReference w:id="481"/>
      </w:r>
      <w:r w:rsidR="00927952" w:rsidRPr="007D47AD">
        <w:rPr>
          <w:rFonts w:asciiTheme="minorHAnsi" w:hAnsiTheme="minorHAnsi"/>
          <w:sz w:val="20"/>
          <w:szCs w:val="20"/>
          <w:lang w:val="en-US"/>
        </w:rPr>
        <w:t xml:space="preserve"> </w:t>
      </w:r>
      <w:r w:rsidRPr="007D47AD">
        <w:rPr>
          <w:rFonts w:asciiTheme="minorHAnsi" w:hAnsiTheme="minorHAnsi"/>
          <w:sz w:val="20"/>
          <w:szCs w:val="20"/>
          <w:lang w:val="en-US"/>
        </w:rPr>
        <w:t>The IACHR has learned that in addition to the assassination</w:t>
      </w:r>
      <w:r w:rsidR="003F6A3C" w:rsidRPr="007D47AD">
        <w:rPr>
          <w:rFonts w:asciiTheme="minorHAnsi" w:hAnsiTheme="minorHAnsi"/>
          <w:sz w:val="20"/>
          <w:szCs w:val="20"/>
          <w:lang w:val="en-US"/>
        </w:rPr>
        <w:t>s</w:t>
      </w:r>
      <w:r w:rsidRPr="007D47AD">
        <w:rPr>
          <w:rFonts w:asciiTheme="minorHAnsi" w:hAnsiTheme="minorHAnsi"/>
          <w:sz w:val="20"/>
          <w:szCs w:val="20"/>
          <w:lang w:val="en-US"/>
        </w:rPr>
        <w:t xml:space="preserve"> mentioned in the previous paragraph, other types of attacks persist, such as threats, physical and psychological violence, </w:t>
      </w:r>
      <w:r w:rsidR="00927952" w:rsidRPr="007D47AD">
        <w:rPr>
          <w:rFonts w:asciiTheme="minorHAnsi" w:hAnsiTheme="minorHAnsi"/>
          <w:sz w:val="20"/>
          <w:szCs w:val="20"/>
          <w:lang w:val="en-US"/>
        </w:rPr>
        <w:t>intimida</w:t>
      </w:r>
      <w:r w:rsidRPr="007D47AD">
        <w:rPr>
          <w:rFonts w:asciiTheme="minorHAnsi" w:hAnsiTheme="minorHAnsi"/>
          <w:sz w:val="20"/>
          <w:szCs w:val="20"/>
          <w:lang w:val="en-US"/>
        </w:rPr>
        <w:t>tions, and harassment</w:t>
      </w:r>
      <w:r w:rsidR="00927952" w:rsidRPr="007D47AD">
        <w:rPr>
          <w:rFonts w:asciiTheme="minorHAnsi" w:hAnsiTheme="minorHAnsi"/>
          <w:sz w:val="20"/>
          <w:szCs w:val="20"/>
          <w:vertAlign w:val="superscript"/>
          <w:lang w:val="en-US"/>
        </w:rPr>
        <w:footnoteReference w:id="482"/>
      </w:r>
      <w:r w:rsidR="00927952" w:rsidRPr="007D47AD">
        <w:rPr>
          <w:rFonts w:asciiTheme="minorHAnsi" w:hAnsiTheme="minorHAnsi"/>
          <w:sz w:val="20"/>
          <w:szCs w:val="20"/>
          <w:lang w:val="en-US"/>
        </w:rPr>
        <w:t>,</w:t>
      </w:r>
      <w:r w:rsidRPr="007D47AD">
        <w:rPr>
          <w:rFonts w:asciiTheme="minorHAnsi" w:hAnsiTheme="minorHAnsi"/>
          <w:sz w:val="20"/>
          <w:szCs w:val="20"/>
          <w:lang w:val="en-US"/>
        </w:rPr>
        <w:t xml:space="preserve"> which are strengthened by the </w:t>
      </w:r>
      <w:r w:rsidR="00927952" w:rsidRPr="007D47AD">
        <w:rPr>
          <w:rFonts w:asciiTheme="minorHAnsi" w:hAnsiTheme="minorHAnsi"/>
          <w:sz w:val="20"/>
          <w:szCs w:val="20"/>
          <w:lang w:val="en-US"/>
        </w:rPr>
        <w:t>stigmatiz</w:t>
      </w:r>
      <w:r w:rsidRPr="007D47AD">
        <w:rPr>
          <w:rFonts w:asciiTheme="minorHAnsi" w:hAnsiTheme="minorHAnsi"/>
          <w:sz w:val="20"/>
          <w:szCs w:val="20"/>
          <w:lang w:val="en-US"/>
        </w:rPr>
        <w:t>ing statements by the public authorities against press personnel</w:t>
      </w:r>
      <w:r w:rsidR="00927952" w:rsidRPr="007D47AD">
        <w:rPr>
          <w:rFonts w:asciiTheme="minorHAnsi" w:hAnsiTheme="minorHAnsi"/>
          <w:sz w:val="20"/>
          <w:szCs w:val="20"/>
          <w:vertAlign w:val="superscript"/>
          <w:lang w:val="en-US"/>
        </w:rPr>
        <w:footnoteReference w:id="483"/>
      </w:r>
      <w:r w:rsidR="00927952" w:rsidRPr="007D47AD">
        <w:rPr>
          <w:rFonts w:asciiTheme="minorHAnsi" w:hAnsiTheme="minorHAnsi"/>
          <w:sz w:val="20"/>
          <w:szCs w:val="20"/>
          <w:lang w:val="en-US"/>
        </w:rPr>
        <w:t xml:space="preserve">, </w:t>
      </w:r>
      <w:r w:rsidRPr="007D47AD">
        <w:rPr>
          <w:rFonts w:asciiTheme="minorHAnsi" w:hAnsiTheme="minorHAnsi"/>
          <w:sz w:val="20"/>
          <w:szCs w:val="20"/>
          <w:lang w:val="en-US"/>
        </w:rPr>
        <w:t xml:space="preserve">which promotes massive online harassment, as has been reported by different organizations and media outlets. In these terms, the Office of the Special Rapporteur has paid special attention to the political pronouncements that the </w:t>
      </w:r>
      <w:r w:rsidR="00C94A92" w:rsidRPr="007D47AD">
        <w:rPr>
          <w:rFonts w:asciiTheme="minorHAnsi" w:hAnsiTheme="minorHAnsi"/>
          <w:sz w:val="20"/>
          <w:szCs w:val="20"/>
          <w:lang w:val="en-US"/>
        </w:rPr>
        <w:t>p</w:t>
      </w:r>
      <w:r w:rsidR="00927952" w:rsidRPr="007D47AD">
        <w:rPr>
          <w:rFonts w:asciiTheme="minorHAnsi" w:hAnsiTheme="minorHAnsi"/>
          <w:sz w:val="20"/>
          <w:szCs w:val="20"/>
          <w:lang w:val="en-US"/>
        </w:rPr>
        <w:t>resident</w:t>
      </w:r>
      <w:r w:rsidRPr="007D47AD">
        <w:rPr>
          <w:rFonts w:asciiTheme="minorHAnsi" w:hAnsiTheme="minorHAnsi"/>
          <w:sz w:val="20"/>
          <w:szCs w:val="20"/>
          <w:lang w:val="en-US"/>
        </w:rPr>
        <w:t xml:space="preserve"> of the </w:t>
      </w:r>
      <w:r w:rsidR="00C94A92" w:rsidRPr="007D47AD">
        <w:rPr>
          <w:rFonts w:asciiTheme="minorHAnsi" w:hAnsiTheme="minorHAnsi"/>
          <w:sz w:val="20"/>
          <w:szCs w:val="20"/>
          <w:lang w:val="en-US"/>
        </w:rPr>
        <w:t>r</w:t>
      </w:r>
      <w:r w:rsidRPr="007D47AD">
        <w:rPr>
          <w:rFonts w:asciiTheme="minorHAnsi" w:hAnsiTheme="minorHAnsi"/>
          <w:sz w:val="20"/>
          <w:szCs w:val="20"/>
          <w:lang w:val="en-US"/>
        </w:rPr>
        <w:t xml:space="preserve">epublic has made to the national press. Thus, on July 22, </w:t>
      </w:r>
      <w:r w:rsidR="00927952" w:rsidRPr="007D47AD">
        <w:rPr>
          <w:rFonts w:asciiTheme="minorHAnsi" w:hAnsiTheme="minorHAnsi"/>
          <w:sz w:val="20"/>
          <w:szCs w:val="20"/>
          <w:lang w:val="en-US"/>
        </w:rPr>
        <w:t>2019 President</w:t>
      </w:r>
      <w:r w:rsidRPr="007D47AD">
        <w:rPr>
          <w:rFonts w:asciiTheme="minorHAnsi" w:hAnsiTheme="minorHAnsi"/>
          <w:sz w:val="20"/>
          <w:szCs w:val="20"/>
          <w:lang w:val="en-US"/>
        </w:rPr>
        <w:t xml:space="preserve"> </w:t>
      </w:r>
      <w:r w:rsidR="00927952" w:rsidRPr="007D47AD">
        <w:rPr>
          <w:rFonts w:asciiTheme="minorHAnsi" w:hAnsiTheme="minorHAnsi"/>
          <w:sz w:val="20"/>
          <w:szCs w:val="20"/>
          <w:lang w:val="en-US"/>
        </w:rPr>
        <w:t xml:space="preserve">López Obrador </w:t>
      </w:r>
      <w:r w:rsidRPr="007D47AD">
        <w:rPr>
          <w:rFonts w:asciiTheme="minorHAnsi" w:hAnsiTheme="minorHAnsi"/>
          <w:sz w:val="20"/>
          <w:szCs w:val="20"/>
          <w:lang w:val="en-US"/>
        </w:rPr>
        <w:t>said that he did not li</w:t>
      </w:r>
      <w:r w:rsidR="00C94A92" w:rsidRPr="007D47AD">
        <w:rPr>
          <w:rFonts w:asciiTheme="minorHAnsi" w:hAnsiTheme="minorHAnsi"/>
          <w:sz w:val="20"/>
          <w:szCs w:val="20"/>
          <w:lang w:val="en-US"/>
        </w:rPr>
        <w:t>k</w:t>
      </w:r>
      <w:r w:rsidRPr="007D47AD">
        <w:rPr>
          <w:rFonts w:asciiTheme="minorHAnsi" w:hAnsiTheme="minorHAnsi"/>
          <w:sz w:val="20"/>
          <w:szCs w:val="20"/>
          <w:lang w:val="en-US"/>
        </w:rPr>
        <w:t xml:space="preserve">e some media outlets’ coverage of his administration. He specifically indicated: </w:t>
      </w:r>
      <w:r w:rsidR="00927952" w:rsidRPr="007D47AD">
        <w:rPr>
          <w:rFonts w:ascii="Cambria" w:hAnsi="Cambria"/>
          <w:sz w:val="20"/>
          <w:szCs w:val="20"/>
          <w:lang w:val="en-US"/>
        </w:rPr>
        <w:t>“</w:t>
      </w:r>
      <w:r w:rsidRPr="007D47AD">
        <w:rPr>
          <w:rFonts w:ascii="Cambria" w:hAnsi="Cambria"/>
          <w:i/>
          <w:sz w:val="20"/>
          <w:szCs w:val="20"/>
          <w:lang w:val="en-US"/>
        </w:rPr>
        <w:t>Well</w:t>
      </w:r>
      <w:r w:rsidR="00927952" w:rsidRPr="007D47AD">
        <w:rPr>
          <w:rFonts w:ascii="Cambria" w:hAnsi="Cambria"/>
          <w:i/>
          <w:sz w:val="20"/>
          <w:szCs w:val="20"/>
          <w:lang w:val="en-US"/>
        </w:rPr>
        <w:t>, Revista Proceso</w:t>
      </w:r>
      <w:r w:rsidRPr="007D47AD">
        <w:rPr>
          <w:rFonts w:ascii="Cambria" w:hAnsi="Cambria"/>
          <w:i/>
          <w:sz w:val="20"/>
          <w:szCs w:val="20"/>
          <w:lang w:val="en-US"/>
        </w:rPr>
        <w:t>, for example, did not behave well with us,</w:t>
      </w:r>
      <w:r w:rsidR="00927952" w:rsidRPr="007D47AD">
        <w:rPr>
          <w:rFonts w:ascii="Cambria" w:hAnsi="Cambria"/>
          <w:sz w:val="20"/>
          <w:szCs w:val="20"/>
          <w:lang w:val="en-US"/>
        </w:rPr>
        <w:t xml:space="preserve">” </w:t>
      </w:r>
      <w:r w:rsidRPr="007D47AD">
        <w:rPr>
          <w:rFonts w:ascii="Cambria" w:hAnsi="Cambria"/>
          <w:sz w:val="20"/>
          <w:szCs w:val="20"/>
          <w:lang w:val="en-US"/>
        </w:rPr>
        <w:t xml:space="preserve">in the context of being questioned by </w:t>
      </w:r>
      <w:r w:rsidR="00927952" w:rsidRPr="007D47AD">
        <w:rPr>
          <w:rFonts w:ascii="Cambria" w:hAnsi="Cambria"/>
          <w:sz w:val="20"/>
          <w:szCs w:val="20"/>
          <w:lang w:val="en-US"/>
        </w:rPr>
        <w:t>reporter</w:t>
      </w:r>
      <w:r w:rsidRPr="007D47AD">
        <w:rPr>
          <w:rFonts w:ascii="Cambria" w:hAnsi="Cambria"/>
          <w:sz w:val="20"/>
          <w:szCs w:val="20"/>
          <w:lang w:val="en-US"/>
        </w:rPr>
        <w:t xml:space="preserve"> </w:t>
      </w:r>
      <w:r w:rsidR="00927952" w:rsidRPr="007D47AD">
        <w:rPr>
          <w:rFonts w:ascii="Cambria" w:hAnsi="Cambria"/>
          <w:sz w:val="20"/>
          <w:szCs w:val="20"/>
          <w:lang w:val="en-US"/>
        </w:rPr>
        <w:t xml:space="preserve">Arturo Rodríguez </w:t>
      </w:r>
      <w:r w:rsidRPr="007D47AD">
        <w:rPr>
          <w:rFonts w:ascii="Cambria" w:hAnsi="Cambria"/>
          <w:sz w:val="20"/>
          <w:szCs w:val="20"/>
          <w:lang w:val="en-US"/>
        </w:rPr>
        <w:t xml:space="preserve">on the operation of the </w:t>
      </w:r>
      <w:r w:rsidR="00927952" w:rsidRPr="007D47AD">
        <w:rPr>
          <w:rFonts w:ascii="Cambria" w:hAnsi="Cambria"/>
          <w:sz w:val="20"/>
          <w:szCs w:val="20"/>
          <w:lang w:val="en-US"/>
        </w:rPr>
        <w:t>Fertinal</w:t>
      </w:r>
      <w:r w:rsidRPr="007D47AD">
        <w:rPr>
          <w:rFonts w:ascii="Cambria" w:hAnsi="Cambria"/>
          <w:sz w:val="20"/>
          <w:szCs w:val="20"/>
          <w:lang w:val="en-US"/>
        </w:rPr>
        <w:t xml:space="preserve"> purchase.</w:t>
      </w:r>
      <w:r w:rsidR="00927952" w:rsidRPr="007D47AD">
        <w:rPr>
          <w:rStyle w:val="FootnoteReference"/>
          <w:sz w:val="20"/>
          <w:szCs w:val="20"/>
          <w:lang w:val="en-US"/>
        </w:rPr>
        <w:footnoteReference w:id="484"/>
      </w:r>
      <w:r w:rsidRPr="007D47AD">
        <w:rPr>
          <w:rFonts w:ascii="Cambria" w:hAnsi="Cambria"/>
          <w:sz w:val="20"/>
          <w:szCs w:val="20"/>
          <w:lang w:val="en-US"/>
        </w:rPr>
        <w:t xml:space="preserve"> On that same occasion he also noted that </w:t>
      </w:r>
      <w:r w:rsidR="00927952" w:rsidRPr="007D47AD">
        <w:rPr>
          <w:rFonts w:ascii="Cambria" w:hAnsi="Cambria"/>
          <w:sz w:val="20"/>
          <w:szCs w:val="20"/>
          <w:lang w:val="en-US"/>
        </w:rPr>
        <w:t>“</w:t>
      </w:r>
      <w:r w:rsidRPr="007D47AD">
        <w:rPr>
          <w:rFonts w:ascii="Cambria" w:hAnsi="Cambria"/>
          <w:i/>
          <w:sz w:val="20"/>
          <w:szCs w:val="20"/>
          <w:lang w:val="en-US"/>
        </w:rPr>
        <w:t>it i</w:t>
      </w:r>
      <w:r w:rsidR="00927952" w:rsidRPr="007D47AD">
        <w:rPr>
          <w:rFonts w:ascii="Cambria" w:hAnsi="Cambria"/>
          <w:i/>
          <w:sz w:val="20"/>
          <w:szCs w:val="20"/>
          <w:lang w:val="en-US"/>
        </w:rPr>
        <w:t xml:space="preserve">s </w:t>
      </w:r>
      <w:r w:rsidRPr="007D47AD">
        <w:rPr>
          <w:rFonts w:ascii="Cambria" w:hAnsi="Cambria"/>
          <w:i/>
          <w:sz w:val="20"/>
          <w:szCs w:val="20"/>
          <w:lang w:val="en-US"/>
        </w:rPr>
        <w:t xml:space="preserve">very comfortable to say I am independent, or say that journalism shouldn’t take sides </w:t>
      </w:r>
      <w:r w:rsidR="00927952" w:rsidRPr="007D47AD">
        <w:rPr>
          <w:rFonts w:ascii="Cambria" w:hAnsi="Cambria"/>
          <w:i/>
          <w:sz w:val="20"/>
          <w:szCs w:val="20"/>
          <w:lang w:val="en-US"/>
        </w:rPr>
        <w:t>o</w:t>
      </w:r>
      <w:r w:rsidRPr="007D47AD">
        <w:rPr>
          <w:rFonts w:ascii="Cambria" w:hAnsi="Cambria"/>
          <w:i/>
          <w:sz w:val="20"/>
          <w:szCs w:val="20"/>
          <w:lang w:val="en-US"/>
        </w:rPr>
        <w:t xml:space="preserve">r accompany the transformation. It is analyzing reality, criticizing reality, but not transforming it. It is </w:t>
      </w:r>
      <w:r w:rsidR="00927952" w:rsidRPr="007D47AD">
        <w:rPr>
          <w:rFonts w:ascii="Cambria" w:hAnsi="Cambria"/>
          <w:i/>
          <w:sz w:val="20"/>
          <w:szCs w:val="20"/>
          <w:lang w:val="en-US"/>
        </w:rPr>
        <w:t>editoriali</w:t>
      </w:r>
      <w:r w:rsidRPr="007D47AD">
        <w:rPr>
          <w:rFonts w:ascii="Cambria" w:hAnsi="Cambria"/>
          <w:i/>
          <w:sz w:val="20"/>
          <w:szCs w:val="20"/>
          <w:lang w:val="en-US"/>
        </w:rPr>
        <w:t>zing to negatively</w:t>
      </w:r>
      <w:r w:rsidR="00C94A92" w:rsidRPr="007D47AD">
        <w:rPr>
          <w:rFonts w:ascii="Cambria" w:hAnsi="Cambria"/>
          <w:i/>
          <w:sz w:val="20"/>
          <w:szCs w:val="20"/>
          <w:lang w:val="en-US"/>
        </w:rPr>
        <w:t xml:space="preserve"> impact </w:t>
      </w:r>
      <w:r w:rsidRPr="007D47AD">
        <w:rPr>
          <w:rFonts w:ascii="Cambria" w:hAnsi="Cambria"/>
          <w:i/>
          <w:sz w:val="20"/>
          <w:szCs w:val="20"/>
          <w:lang w:val="en-US"/>
        </w:rPr>
        <w:t>the transformations.</w:t>
      </w:r>
      <w:r w:rsidR="00927952" w:rsidRPr="007D47AD">
        <w:rPr>
          <w:rFonts w:ascii="Cambria" w:hAnsi="Cambria"/>
          <w:i/>
          <w:sz w:val="20"/>
          <w:szCs w:val="20"/>
          <w:lang w:val="en-US"/>
        </w:rPr>
        <w:t>”</w:t>
      </w:r>
      <w:r w:rsidR="00927952" w:rsidRPr="007D47AD">
        <w:rPr>
          <w:rStyle w:val="FootnoteReference"/>
          <w:sz w:val="20"/>
          <w:szCs w:val="20"/>
          <w:lang w:val="en-US"/>
        </w:rPr>
        <w:t xml:space="preserve"> </w:t>
      </w:r>
      <w:r w:rsidR="00927952" w:rsidRPr="007D47AD">
        <w:rPr>
          <w:rStyle w:val="FootnoteReference"/>
          <w:sz w:val="20"/>
          <w:szCs w:val="20"/>
          <w:lang w:val="en-US"/>
        </w:rPr>
        <w:footnoteReference w:id="485"/>
      </w:r>
      <w:r w:rsidR="00351233" w:rsidRPr="007D47AD">
        <w:rPr>
          <w:rFonts w:ascii="Cambria" w:hAnsi="Cambria"/>
          <w:sz w:val="20"/>
          <w:szCs w:val="20"/>
          <w:lang w:val="en-US"/>
        </w:rPr>
        <w:t xml:space="preserve"> </w:t>
      </w:r>
      <w:r w:rsidRPr="007D47AD">
        <w:rPr>
          <w:rFonts w:ascii="Cambria" w:hAnsi="Cambria"/>
          <w:sz w:val="20"/>
          <w:szCs w:val="20"/>
          <w:lang w:val="en-US"/>
        </w:rPr>
        <w:t xml:space="preserve">In addition, in response to the </w:t>
      </w:r>
      <w:r w:rsidR="00C94A92" w:rsidRPr="007D47AD">
        <w:rPr>
          <w:rFonts w:ascii="Cambria" w:hAnsi="Cambria"/>
          <w:sz w:val="20"/>
          <w:szCs w:val="20"/>
          <w:lang w:val="en-US"/>
        </w:rPr>
        <w:t xml:space="preserve">November 4, 2019 </w:t>
      </w:r>
      <w:r w:rsidRPr="007D47AD">
        <w:rPr>
          <w:rFonts w:ascii="Cambria" w:hAnsi="Cambria"/>
          <w:sz w:val="20"/>
          <w:szCs w:val="20"/>
          <w:lang w:val="en-US"/>
        </w:rPr>
        <w:t xml:space="preserve">operation in </w:t>
      </w:r>
      <w:r w:rsidR="00351233" w:rsidRPr="007D47AD">
        <w:rPr>
          <w:rFonts w:ascii="Cambria" w:hAnsi="Cambria"/>
          <w:sz w:val="20"/>
          <w:szCs w:val="20"/>
          <w:lang w:val="en-US"/>
        </w:rPr>
        <w:t xml:space="preserve">Culiacán, Sinaloa </w:t>
      </w:r>
      <w:r w:rsidRPr="007D47AD">
        <w:rPr>
          <w:rFonts w:ascii="Cambria" w:hAnsi="Cambria"/>
          <w:sz w:val="20"/>
          <w:szCs w:val="20"/>
          <w:lang w:val="en-US"/>
        </w:rPr>
        <w:t xml:space="preserve">to arrest </w:t>
      </w:r>
      <w:r w:rsidR="00351233" w:rsidRPr="007D47AD">
        <w:rPr>
          <w:rFonts w:ascii="Cambria" w:hAnsi="Cambria"/>
          <w:sz w:val="20"/>
          <w:szCs w:val="20"/>
          <w:lang w:val="en-US"/>
        </w:rPr>
        <w:t xml:space="preserve">Ovidio Guzmán, </w:t>
      </w:r>
      <w:r w:rsidRPr="007D47AD">
        <w:rPr>
          <w:rFonts w:ascii="Cambria" w:hAnsi="Cambria"/>
          <w:sz w:val="20"/>
          <w:szCs w:val="20"/>
          <w:lang w:val="en-US"/>
        </w:rPr>
        <w:t xml:space="preserve">already noted in this report, the </w:t>
      </w:r>
      <w:r w:rsidR="00351233" w:rsidRPr="007D47AD">
        <w:rPr>
          <w:rFonts w:ascii="Cambria" w:hAnsi="Cambria"/>
          <w:sz w:val="20"/>
          <w:szCs w:val="20"/>
          <w:lang w:val="en-US"/>
        </w:rPr>
        <w:t>President</w:t>
      </w:r>
      <w:r w:rsidRPr="007D47AD">
        <w:rPr>
          <w:rFonts w:ascii="Cambria" w:hAnsi="Cambria"/>
          <w:sz w:val="20"/>
          <w:szCs w:val="20"/>
          <w:lang w:val="en-US"/>
        </w:rPr>
        <w:t xml:space="preserve"> criticized the media coverage, even saying that “</w:t>
      </w:r>
      <w:r w:rsidR="008D4C2E" w:rsidRPr="007D47AD">
        <w:rPr>
          <w:rFonts w:ascii="Cambria" w:hAnsi="Cambria"/>
          <w:sz w:val="20"/>
          <w:szCs w:val="20"/>
          <w:lang w:val="en-US"/>
        </w:rPr>
        <w:t xml:space="preserve">they are biting the hand of the one who took off their muzzle,” </w:t>
      </w:r>
      <w:r w:rsidR="00351233" w:rsidRPr="007D47AD">
        <w:rPr>
          <w:rFonts w:ascii="Cambria" w:hAnsi="Cambria"/>
          <w:sz w:val="20"/>
          <w:szCs w:val="20"/>
          <w:lang w:val="en-US"/>
        </w:rPr>
        <w:t>ref</w:t>
      </w:r>
      <w:r w:rsidR="008D4C2E" w:rsidRPr="007D47AD">
        <w:rPr>
          <w:rFonts w:ascii="Cambria" w:hAnsi="Cambria"/>
          <w:sz w:val="20"/>
          <w:szCs w:val="20"/>
          <w:lang w:val="en-US"/>
        </w:rPr>
        <w:t xml:space="preserve">erring, as he explained, to the fact before the military coup to assassinate former President </w:t>
      </w:r>
      <w:r w:rsidR="00351233" w:rsidRPr="007D47AD">
        <w:rPr>
          <w:rFonts w:ascii="Cambria" w:hAnsi="Cambria"/>
          <w:sz w:val="20"/>
          <w:szCs w:val="20"/>
          <w:lang w:val="en-US"/>
        </w:rPr>
        <w:t>Madero</w:t>
      </w:r>
      <w:r w:rsidR="008D4C2E" w:rsidRPr="007D47AD">
        <w:rPr>
          <w:rFonts w:ascii="Cambria" w:hAnsi="Cambria"/>
          <w:sz w:val="20"/>
          <w:szCs w:val="20"/>
          <w:lang w:val="en-US"/>
        </w:rPr>
        <w:t xml:space="preserve"> the p</w:t>
      </w:r>
      <w:r w:rsidR="00F06DD4" w:rsidRPr="007D47AD">
        <w:rPr>
          <w:rFonts w:ascii="Cambria" w:hAnsi="Cambria"/>
          <w:sz w:val="20"/>
          <w:szCs w:val="20"/>
          <w:lang w:val="en-US"/>
        </w:rPr>
        <w:t xml:space="preserve">ress had undertaken to </w:t>
      </w:r>
      <w:r w:rsidR="008D4C2E" w:rsidRPr="007D47AD">
        <w:rPr>
          <w:rFonts w:ascii="Cambria" w:hAnsi="Cambria"/>
          <w:sz w:val="20"/>
          <w:szCs w:val="20"/>
          <w:lang w:val="en-US"/>
        </w:rPr>
        <w:t>attack him.</w:t>
      </w:r>
      <w:r w:rsidR="00F06DD4" w:rsidRPr="007D47AD">
        <w:rPr>
          <w:rStyle w:val="FootnoteReference"/>
          <w:rFonts w:ascii="Cambria" w:hAnsi="Cambria"/>
          <w:sz w:val="20"/>
          <w:szCs w:val="20"/>
          <w:lang w:val="en-US"/>
        </w:rPr>
        <w:footnoteReference w:id="486"/>
      </w:r>
      <w:r w:rsidR="008D4C2E" w:rsidRPr="007D47AD">
        <w:rPr>
          <w:rFonts w:ascii="Cambria" w:hAnsi="Cambria"/>
          <w:sz w:val="20"/>
          <w:szCs w:val="20"/>
          <w:lang w:val="en-US"/>
        </w:rPr>
        <w:t xml:space="preserve"> </w:t>
      </w:r>
    </w:p>
    <w:p w:rsidR="00351233" w:rsidRPr="007D47AD" w:rsidRDefault="00351233" w:rsidP="00351233">
      <w:pPr>
        <w:shd w:val="clear" w:color="auto" w:fill="FFFFFF"/>
        <w:spacing w:after="0" w:line="240" w:lineRule="auto"/>
        <w:ind w:left="709"/>
        <w:jc w:val="both"/>
        <w:rPr>
          <w:rFonts w:ascii="Cambria" w:hAnsi="Cambria"/>
          <w:sz w:val="20"/>
          <w:szCs w:val="20"/>
          <w:lang w:val="en-US"/>
        </w:rPr>
      </w:pPr>
    </w:p>
    <w:p w:rsidR="00CA5398" w:rsidRPr="007D47AD" w:rsidRDefault="0038424F" w:rsidP="002F6A8C">
      <w:pPr>
        <w:numPr>
          <w:ilvl w:val="0"/>
          <w:numId w:val="6"/>
        </w:numPr>
        <w:shd w:val="clear" w:color="auto" w:fill="FFFFFF"/>
        <w:spacing w:after="0" w:line="240" w:lineRule="auto"/>
        <w:ind w:left="0" w:firstLine="709"/>
        <w:jc w:val="both"/>
        <w:rPr>
          <w:rFonts w:asciiTheme="minorHAnsi" w:hAnsiTheme="minorHAnsi"/>
          <w:sz w:val="20"/>
          <w:szCs w:val="20"/>
          <w:lang w:val="en-US"/>
        </w:rPr>
      </w:pPr>
      <w:r w:rsidRPr="007D47AD">
        <w:rPr>
          <w:rFonts w:asciiTheme="minorHAnsi" w:hAnsiTheme="minorHAnsi"/>
          <w:sz w:val="20"/>
          <w:szCs w:val="20"/>
          <w:lang w:val="en-US"/>
        </w:rPr>
        <w:t xml:space="preserve">Given the lack of up-to-date information and taking into consideration the foregoing examples, the IACHR considers that the recommendation has still met with partial compliance given the lack of </w:t>
      </w:r>
      <w:r w:rsidR="00C94A92" w:rsidRPr="007D47AD">
        <w:rPr>
          <w:rFonts w:asciiTheme="minorHAnsi" w:hAnsiTheme="minorHAnsi"/>
          <w:sz w:val="20"/>
          <w:szCs w:val="20"/>
          <w:lang w:val="en-US"/>
        </w:rPr>
        <w:t xml:space="preserve">any </w:t>
      </w:r>
      <w:r w:rsidRPr="007D47AD">
        <w:rPr>
          <w:rFonts w:asciiTheme="minorHAnsi" w:hAnsiTheme="minorHAnsi"/>
          <w:sz w:val="20"/>
          <w:szCs w:val="20"/>
          <w:lang w:val="en-US"/>
        </w:rPr>
        <w:t xml:space="preserve">report of gains in its implementation. The Commission urges the State to eradicate any type of pronouncement of an authority that attacks journalistic work. </w:t>
      </w:r>
    </w:p>
    <w:p w:rsidR="00CA5398" w:rsidRPr="007D47AD" w:rsidRDefault="00CA5398" w:rsidP="00CA5398">
      <w:pPr>
        <w:shd w:val="clear" w:color="auto" w:fill="FFFFFF"/>
        <w:spacing w:after="0" w:line="240" w:lineRule="auto"/>
        <w:jc w:val="both"/>
        <w:rPr>
          <w:rFonts w:asciiTheme="minorHAnsi" w:hAnsiTheme="minorHAnsi"/>
          <w:sz w:val="20"/>
          <w:szCs w:val="20"/>
          <w:lang w:val="en-US"/>
        </w:rPr>
      </w:pPr>
    </w:p>
    <w:p w:rsidR="009C7FFC" w:rsidRPr="007D47AD" w:rsidRDefault="0038424F" w:rsidP="00651219">
      <w:pPr>
        <w:numPr>
          <w:ilvl w:val="0"/>
          <w:numId w:val="6"/>
        </w:numPr>
        <w:shd w:val="clear" w:color="auto" w:fill="FFFFFF"/>
        <w:spacing w:after="0" w:line="240" w:lineRule="auto"/>
        <w:ind w:left="0" w:firstLine="709"/>
        <w:jc w:val="both"/>
        <w:rPr>
          <w:rFonts w:asciiTheme="minorHAnsi" w:hAnsiTheme="minorHAnsi"/>
          <w:sz w:val="20"/>
          <w:szCs w:val="20"/>
          <w:lang w:val="en-US"/>
        </w:rPr>
      </w:pPr>
      <w:r w:rsidRPr="007D47AD">
        <w:rPr>
          <w:rFonts w:asciiTheme="minorHAnsi" w:hAnsiTheme="minorHAnsi"/>
          <w:sz w:val="20"/>
          <w:szCs w:val="20"/>
          <w:lang w:val="en-US"/>
        </w:rPr>
        <w:t xml:space="preserve">With respect to the recommendations </w:t>
      </w:r>
      <w:r w:rsidR="004D7F97" w:rsidRPr="007D47AD">
        <w:rPr>
          <w:rFonts w:asciiTheme="minorHAnsi" w:hAnsiTheme="minorHAnsi"/>
          <w:sz w:val="20"/>
          <w:szCs w:val="20"/>
          <w:lang w:val="en-US"/>
        </w:rPr>
        <w:t xml:space="preserve">to </w:t>
      </w:r>
      <w:r w:rsidR="00CA5398" w:rsidRPr="007D47AD">
        <w:rPr>
          <w:rFonts w:asciiTheme="minorHAnsi" w:hAnsiTheme="minorHAnsi"/>
          <w:b/>
          <w:sz w:val="20"/>
          <w:szCs w:val="20"/>
          <w:lang w:val="en-US"/>
        </w:rPr>
        <w:t>defin</w:t>
      </w:r>
      <w:r w:rsidR="004D7F97" w:rsidRPr="007D47AD">
        <w:rPr>
          <w:rFonts w:asciiTheme="minorHAnsi" w:hAnsiTheme="minorHAnsi"/>
          <w:b/>
          <w:sz w:val="20"/>
          <w:szCs w:val="20"/>
          <w:lang w:val="en-US"/>
        </w:rPr>
        <w:t>e a methodology to generate and publish statistics on violence against journalis</w:t>
      </w:r>
      <w:r w:rsidR="00C94A92" w:rsidRPr="007D47AD">
        <w:rPr>
          <w:rFonts w:asciiTheme="minorHAnsi" w:hAnsiTheme="minorHAnsi"/>
          <w:b/>
          <w:sz w:val="20"/>
          <w:szCs w:val="20"/>
          <w:lang w:val="en-US"/>
        </w:rPr>
        <w:t>t</w:t>
      </w:r>
      <w:r w:rsidR="004D7F97" w:rsidRPr="007D47AD">
        <w:rPr>
          <w:rFonts w:asciiTheme="minorHAnsi" w:hAnsiTheme="minorHAnsi"/>
          <w:b/>
          <w:sz w:val="20"/>
          <w:szCs w:val="20"/>
          <w:lang w:val="en-US"/>
        </w:rPr>
        <w:t>s and investigations into the attacks, measures of protection adopted, and definition of the state authority in charge of capturing the information and publishing the statistics, and guaranteeing the participation of the victims in criminal proceedings,</w:t>
      </w:r>
      <w:r w:rsidR="003A1980" w:rsidRPr="007D47AD">
        <w:rPr>
          <w:rFonts w:asciiTheme="minorHAnsi" w:hAnsiTheme="minorHAnsi"/>
          <w:b/>
          <w:sz w:val="20"/>
          <w:szCs w:val="20"/>
          <w:lang w:val="en-US"/>
        </w:rPr>
        <w:t xml:space="preserve"> </w:t>
      </w:r>
      <w:r w:rsidRPr="007D47AD">
        <w:rPr>
          <w:rFonts w:asciiTheme="minorHAnsi" w:hAnsiTheme="minorHAnsi"/>
          <w:sz w:val="20"/>
          <w:szCs w:val="20"/>
          <w:lang w:val="en-US"/>
        </w:rPr>
        <w:t xml:space="preserve">the State informed the Office of the Special Rapporteur on the presentation of the </w:t>
      </w:r>
      <w:r w:rsidR="00651219" w:rsidRPr="007D47AD">
        <w:rPr>
          <w:rFonts w:asciiTheme="minorHAnsi" w:hAnsiTheme="minorHAnsi"/>
          <w:sz w:val="20"/>
          <w:szCs w:val="20"/>
          <w:lang w:val="en-US"/>
        </w:rPr>
        <w:t xml:space="preserve">CEAV </w:t>
      </w:r>
      <w:r w:rsidRPr="007D47AD">
        <w:rPr>
          <w:rFonts w:asciiTheme="minorHAnsi" w:hAnsiTheme="minorHAnsi"/>
          <w:sz w:val="20"/>
          <w:szCs w:val="20"/>
          <w:lang w:val="en-US"/>
        </w:rPr>
        <w:t xml:space="preserve">to the Supreme Court in an </w:t>
      </w:r>
      <w:r w:rsidRPr="007D47AD">
        <w:rPr>
          <w:rFonts w:asciiTheme="minorHAnsi" w:hAnsiTheme="minorHAnsi"/>
          <w:i/>
          <w:iCs/>
          <w:sz w:val="20"/>
          <w:szCs w:val="20"/>
          <w:lang w:val="en-US"/>
        </w:rPr>
        <w:t>a</w:t>
      </w:r>
      <w:r w:rsidR="00651219" w:rsidRPr="007D47AD">
        <w:rPr>
          <w:rFonts w:asciiTheme="minorHAnsi" w:hAnsiTheme="minorHAnsi"/>
          <w:i/>
          <w:iCs/>
          <w:sz w:val="20"/>
          <w:szCs w:val="20"/>
          <w:lang w:val="en-US"/>
        </w:rPr>
        <w:t xml:space="preserve">micus </w:t>
      </w:r>
      <w:r w:rsidRPr="007D47AD">
        <w:rPr>
          <w:rFonts w:asciiTheme="minorHAnsi" w:hAnsiTheme="minorHAnsi"/>
          <w:i/>
          <w:iCs/>
          <w:sz w:val="20"/>
          <w:szCs w:val="20"/>
          <w:lang w:val="en-US"/>
        </w:rPr>
        <w:t>c</w:t>
      </w:r>
      <w:r w:rsidR="00651219" w:rsidRPr="007D47AD">
        <w:rPr>
          <w:rFonts w:asciiTheme="minorHAnsi" w:hAnsiTheme="minorHAnsi"/>
          <w:i/>
          <w:iCs/>
          <w:sz w:val="20"/>
          <w:szCs w:val="20"/>
          <w:lang w:val="en-US"/>
        </w:rPr>
        <w:t>uriae</w:t>
      </w:r>
      <w:r w:rsidR="00651219" w:rsidRPr="007D47AD">
        <w:rPr>
          <w:rFonts w:asciiTheme="minorHAnsi" w:hAnsiTheme="minorHAnsi"/>
          <w:sz w:val="20"/>
          <w:szCs w:val="20"/>
          <w:lang w:val="en-US"/>
        </w:rPr>
        <w:t xml:space="preserve"> </w:t>
      </w:r>
      <w:r w:rsidRPr="007D47AD">
        <w:rPr>
          <w:rFonts w:asciiTheme="minorHAnsi" w:hAnsiTheme="minorHAnsi"/>
          <w:sz w:val="20"/>
          <w:szCs w:val="20"/>
          <w:lang w:val="en-US"/>
        </w:rPr>
        <w:t xml:space="preserve">brief with respect to </w:t>
      </w:r>
      <w:r w:rsidRPr="007D47AD">
        <w:rPr>
          <w:rFonts w:asciiTheme="minorHAnsi" w:hAnsiTheme="minorHAnsi"/>
          <w:i/>
          <w:iCs/>
          <w:sz w:val="20"/>
          <w:szCs w:val="20"/>
          <w:lang w:val="en-US"/>
        </w:rPr>
        <w:t>amparo</w:t>
      </w:r>
      <w:r w:rsidRPr="007D47AD">
        <w:rPr>
          <w:rFonts w:asciiTheme="minorHAnsi" w:hAnsiTheme="minorHAnsi"/>
          <w:sz w:val="20"/>
          <w:szCs w:val="20"/>
          <w:lang w:val="en-US"/>
        </w:rPr>
        <w:t xml:space="preserve"> on review </w:t>
      </w:r>
      <w:r w:rsidR="009C7FFC" w:rsidRPr="007D47AD">
        <w:rPr>
          <w:rFonts w:asciiTheme="minorHAnsi" w:hAnsiTheme="minorHAnsi"/>
          <w:sz w:val="20"/>
          <w:szCs w:val="20"/>
          <w:lang w:val="en-US"/>
        </w:rPr>
        <w:t xml:space="preserve">835/2018, </w:t>
      </w:r>
      <w:r w:rsidRPr="007D47AD">
        <w:rPr>
          <w:rFonts w:asciiTheme="minorHAnsi" w:hAnsiTheme="minorHAnsi"/>
          <w:sz w:val="20"/>
          <w:szCs w:val="20"/>
          <w:lang w:val="en-US"/>
        </w:rPr>
        <w:t xml:space="preserve">stemming from the concern that a criterion will be </w:t>
      </w:r>
      <w:r w:rsidR="00C94A92" w:rsidRPr="007D47AD">
        <w:rPr>
          <w:rFonts w:asciiTheme="minorHAnsi" w:hAnsiTheme="minorHAnsi"/>
          <w:sz w:val="20"/>
          <w:szCs w:val="20"/>
          <w:lang w:val="en-US"/>
        </w:rPr>
        <w:t xml:space="preserve">adopted </w:t>
      </w:r>
      <w:r w:rsidRPr="007D47AD">
        <w:rPr>
          <w:rFonts w:asciiTheme="minorHAnsi" w:hAnsiTheme="minorHAnsi"/>
          <w:sz w:val="20"/>
          <w:szCs w:val="20"/>
          <w:lang w:val="en-US"/>
        </w:rPr>
        <w:t>that does not exclude access to the records of the investigation for persons without a degree in law.</w:t>
      </w:r>
      <w:r w:rsidR="009C7FFC" w:rsidRPr="007D47AD">
        <w:rPr>
          <w:rFonts w:asciiTheme="minorHAnsi" w:hAnsiTheme="minorHAnsi"/>
          <w:sz w:val="20"/>
          <w:szCs w:val="20"/>
          <w:vertAlign w:val="superscript"/>
          <w:lang w:val="en-US"/>
        </w:rPr>
        <w:footnoteReference w:id="487"/>
      </w:r>
      <w:r w:rsidR="00197BD1" w:rsidRPr="007D47AD">
        <w:rPr>
          <w:rFonts w:asciiTheme="minorHAnsi" w:hAnsiTheme="minorHAnsi"/>
          <w:sz w:val="20"/>
          <w:szCs w:val="20"/>
          <w:lang w:val="en-US"/>
        </w:rPr>
        <w:t xml:space="preserve"> </w:t>
      </w:r>
      <w:r w:rsidRPr="007D47AD">
        <w:rPr>
          <w:rFonts w:asciiTheme="minorHAnsi" w:hAnsiTheme="minorHAnsi"/>
          <w:sz w:val="20"/>
          <w:szCs w:val="20"/>
          <w:lang w:val="en-US"/>
        </w:rPr>
        <w:t>In addition, the State reported on the design of indicators of crimes against freedom of expression with a gender perspective</w:t>
      </w:r>
      <w:r w:rsidR="00197BD1" w:rsidRPr="007D47AD">
        <w:rPr>
          <w:rFonts w:asciiTheme="minorHAnsi" w:hAnsiTheme="minorHAnsi"/>
          <w:sz w:val="20"/>
          <w:szCs w:val="20"/>
          <w:vertAlign w:val="superscript"/>
          <w:lang w:val="en-US"/>
        </w:rPr>
        <w:footnoteReference w:id="488"/>
      </w:r>
      <w:r w:rsidR="00197BD1" w:rsidRPr="007D47AD">
        <w:rPr>
          <w:rFonts w:asciiTheme="minorHAnsi" w:hAnsiTheme="minorHAnsi"/>
          <w:sz w:val="20"/>
          <w:szCs w:val="20"/>
          <w:lang w:val="en-US"/>
        </w:rPr>
        <w:t xml:space="preserve"> </w:t>
      </w:r>
      <w:r w:rsidRPr="007D47AD">
        <w:rPr>
          <w:rFonts w:asciiTheme="minorHAnsi" w:hAnsiTheme="minorHAnsi"/>
          <w:sz w:val="20"/>
          <w:szCs w:val="20"/>
          <w:lang w:val="en-US"/>
        </w:rPr>
        <w:t xml:space="preserve">and indicated that from July </w:t>
      </w:r>
      <w:r w:rsidR="00197BD1" w:rsidRPr="007D47AD">
        <w:rPr>
          <w:rFonts w:asciiTheme="minorHAnsi" w:hAnsiTheme="minorHAnsi"/>
          <w:sz w:val="20"/>
          <w:szCs w:val="20"/>
          <w:lang w:val="en-US"/>
        </w:rPr>
        <w:t xml:space="preserve">2010 </w:t>
      </w:r>
      <w:r w:rsidRPr="007D47AD">
        <w:rPr>
          <w:rFonts w:asciiTheme="minorHAnsi" w:hAnsiTheme="minorHAnsi"/>
          <w:sz w:val="20"/>
          <w:szCs w:val="20"/>
          <w:lang w:val="en-US"/>
        </w:rPr>
        <w:t xml:space="preserve">to September </w:t>
      </w:r>
      <w:r w:rsidR="00197BD1" w:rsidRPr="007D47AD">
        <w:rPr>
          <w:rFonts w:asciiTheme="minorHAnsi" w:hAnsiTheme="minorHAnsi"/>
          <w:sz w:val="20"/>
          <w:szCs w:val="20"/>
          <w:lang w:val="en-US"/>
        </w:rPr>
        <w:t xml:space="preserve">2019, </w:t>
      </w:r>
      <w:r w:rsidRPr="007D47AD">
        <w:rPr>
          <w:rFonts w:asciiTheme="minorHAnsi" w:hAnsiTheme="minorHAnsi"/>
          <w:sz w:val="20"/>
          <w:szCs w:val="20"/>
          <w:lang w:val="en-US"/>
        </w:rPr>
        <w:t xml:space="preserve">in </w:t>
      </w:r>
      <w:r w:rsidR="00197BD1" w:rsidRPr="007D47AD">
        <w:rPr>
          <w:rFonts w:asciiTheme="minorHAnsi" w:hAnsiTheme="minorHAnsi"/>
          <w:sz w:val="20"/>
          <w:szCs w:val="20"/>
          <w:lang w:val="en-US"/>
        </w:rPr>
        <w:t xml:space="preserve">55 </w:t>
      </w:r>
      <w:r w:rsidRPr="007D47AD">
        <w:rPr>
          <w:rFonts w:asciiTheme="minorHAnsi" w:hAnsiTheme="minorHAnsi"/>
          <w:sz w:val="20"/>
          <w:szCs w:val="20"/>
          <w:lang w:val="en-US"/>
        </w:rPr>
        <w:t xml:space="preserve">of the </w:t>
      </w:r>
      <w:r w:rsidR="00197BD1" w:rsidRPr="007D47AD">
        <w:rPr>
          <w:rFonts w:asciiTheme="minorHAnsi" w:hAnsiTheme="minorHAnsi"/>
          <w:sz w:val="20"/>
          <w:szCs w:val="20"/>
          <w:lang w:val="en-US"/>
        </w:rPr>
        <w:t xml:space="preserve">191 </w:t>
      </w:r>
      <w:r w:rsidRPr="007D47AD">
        <w:rPr>
          <w:rFonts w:asciiTheme="minorHAnsi" w:hAnsiTheme="minorHAnsi"/>
          <w:sz w:val="20"/>
          <w:szCs w:val="20"/>
          <w:lang w:val="en-US"/>
        </w:rPr>
        <w:t xml:space="preserve">cases being processed </w:t>
      </w:r>
      <w:r w:rsidR="00197BD1" w:rsidRPr="007D47AD">
        <w:rPr>
          <w:rFonts w:asciiTheme="minorHAnsi" w:hAnsiTheme="minorHAnsi"/>
          <w:sz w:val="20"/>
          <w:szCs w:val="20"/>
          <w:lang w:val="en-US"/>
        </w:rPr>
        <w:t>(28.8%)</w:t>
      </w:r>
      <w:r w:rsidR="00C94A92" w:rsidRPr="007D47AD">
        <w:rPr>
          <w:rFonts w:asciiTheme="minorHAnsi" w:hAnsiTheme="minorHAnsi"/>
          <w:sz w:val="20"/>
          <w:szCs w:val="20"/>
          <w:lang w:val="en-US"/>
        </w:rPr>
        <w:t>,</w:t>
      </w:r>
      <w:r w:rsidR="00197BD1" w:rsidRPr="007D47AD">
        <w:rPr>
          <w:rFonts w:asciiTheme="minorHAnsi" w:hAnsiTheme="minorHAnsi"/>
          <w:sz w:val="20"/>
          <w:szCs w:val="20"/>
          <w:lang w:val="en-US"/>
        </w:rPr>
        <w:t xml:space="preserve"> </w:t>
      </w:r>
      <w:r w:rsidRPr="007D47AD">
        <w:rPr>
          <w:rFonts w:asciiTheme="minorHAnsi" w:hAnsiTheme="minorHAnsi"/>
          <w:sz w:val="20"/>
          <w:szCs w:val="20"/>
          <w:lang w:val="en-US"/>
        </w:rPr>
        <w:t>women are identified as victims</w:t>
      </w:r>
      <w:r w:rsidR="00C94A92" w:rsidRPr="007D47AD">
        <w:rPr>
          <w:rFonts w:asciiTheme="minorHAnsi" w:hAnsiTheme="minorHAnsi"/>
          <w:sz w:val="20"/>
          <w:szCs w:val="20"/>
          <w:lang w:val="en-US"/>
        </w:rPr>
        <w:t>.</w:t>
      </w:r>
      <w:r w:rsidR="00197BD1" w:rsidRPr="007D47AD">
        <w:rPr>
          <w:rFonts w:asciiTheme="minorHAnsi" w:hAnsiTheme="minorHAnsi"/>
          <w:sz w:val="20"/>
          <w:szCs w:val="20"/>
          <w:vertAlign w:val="superscript"/>
          <w:lang w:val="en-US"/>
        </w:rPr>
        <w:footnoteReference w:id="489"/>
      </w:r>
      <w:r w:rsidRPr="007D47AD">
        <w:rPr>
          <w:rFonts w:asciiTheme="minorHAnsi" w:hAnsiTheme="minorHAnsi"/>
          <w:sz w:val="20"/>
          <w:szCs w:val="20"/>
          <w:lang w:val="en-US"/>
        </w:rPr>
        <w:t xml:space="preserve"> </w:t>
      </w:r>
    </w:p>
    <w:p w:rsidR="009C7FFC" w:rsidRPr="007D47AD" w:rsidRDefault="009C7FFC" w:rsidP="009C7FFC">
      <w:pPr>
        <w:shd w:val="clear" w:color="auto" w:fill="FFFFFF"/>
        <w:spacing w:after="0" w:line="240" w:lineRule="auto"/>
        <w:jc w:val="both"/>
        <w:rPr>
          <w:rFonts w:asciiTheme="minorHAnsi" w:hAnsiTheme="minorHAnsi"/>
          <w:sz w:val="20"/>
          <w:szCs w:val="20"/>
          <w:lang w:val="en-US"/>
        </w:rPr>
      </w:pPr>
    </w:p>
    <w:p w:rsidR="004535AF" w:rsidRPr="007D47AD" w:rsidRDefault="0038424F" w:rsidP="004535AF">
      <w:pPr>
        <w:numPr>
          <w:ilvl w:val="0"/>
          <w:numId w:val="6"/>
        </w:numPr>
        <w:shd w:val="clear" w:color="auto" w:fill="FFFFFF"/>
        <w:spacing w:after="0" w:line="240" w:lineRule="auto"/>
        <w:ind w:left="0" w:firstLine="709"/>
        <w:jc w:val="both"/>
        <w:rPr>
          <w:rFonts w:asciiTheme="minorHAnsi" w:hAnsiTheme="minorHAnsi"/>
          <w:sz w:val="20"/>
          <w:szCs w:val="20"/>
          <w:lang w:val="en-US"/>
        </w:rPr>
      </w:pPr>
      <w:r w:rsidRPr="007D47AD">
        <w:rPr>
          <w:rFonts w:asciiTheme="minorHAnsi" w:hAnsiTheme="minorHAnsi"/>
          <w:sz w:val="20"/>
          <w:szCs w:val="20"/>
          <w:lang w:val="en-US"/>
        </w:rPr>
        <w:t xml:space="preserve">The IACHR observes that the Office of the Special Prosecutor for Crimes against Freedom of Expression </w:t>
      </w:r>
      <w:r w:rsidR="009C7FFC" w:rsidRPr="007D47AD">
        <w:rPr>
          <w:rFonts w:asciiTheme="minorHAnsi" w:hAnsiTheme="minorHAnsi"/>
          <w:sz w:val="20"/>
          <w:szCs w:val="20"/>
          <w:lang w:val="en-US"/>
        </w:rPr>
        <w:t xml:space="preserve">(FEADLE) </w:t>
      </w:r>
      <w:r w:rsidRPr="007D47AD">
        <w:rPr>
          <w:rFonts w:asciiTheme="minorHAnsi" w:hAnsiTheme="minorHAnsi"/>
          <w:sz w:val="20"/>
          <w:szCs w:val="20"/>
          <w:lang w:val="en-US"/>
        </w:rPr>
        <w:t xml:space="preserve">has one of the highest indices </w:t>
      </w:r>
      <w:r w:rsidR="00C63150" w:rsidRPr="007D47AD">
        <w:rPr>
          <w:rFonts w:asciiTheme="minorHAnsi" w:hAnsiTheme="minorHAnsi"/>
          <w:sz w:val="20"/>
          <w:szCs w:val="20"/>
          <w:lang w:val="en-US"/>
        </w:rPr>
        <w:t xml:space="preserve">of making public information related to the number of investigations, </w:t>
      </w:r>
      <w:r w:rsidR="005F5F47" w:rsidRPr="007D47AD">
        <w:rPr>
          <w:rFonts w:asciiTheme="minorHAnsi" w:hAnsiTheme="minorHAnsi"/>
          <w:sz w:val="20"/>
          <w:szCs w:val="20"/>
          <w:lang w:val="en-US"/>
        </w:rPr>
        <w:t xml:space="preserve">indictments, </w:t>
      </w:r>
      <w:r w:rsidR="00C63150" w:rsidRPr="007D47AD">
        <w:rPr>
          <w:rFonts w:asciiTheme="minorHAnsi" w:hAnsiTheme="minorHAnsi"/>
          <w:sz w:val="20"/>
          <w:szCs w:val="20"/>
          <w:lang w:val="en-US"/>
        </w:rPr>
        <w:t>judgments, lag</w:t>
      </w:r>
      <w:r w:rsidR="00C94A92" w:rsidRPr="007D47AD">
        <w:rPr>
          <w:rFonts w:asciiTheme="minorHAnsi" w:hAnsiTheme="minorHAnsi"/>
          <w:sz w:val="20"/>
          <w:szCs w:val="20"/>
          <w:lang w:val="en-US"/>
        </w:rPr>
        <w:t xml:space="preserve"> time</w:t>
      </w:r>
      <w:r w:rsidR="00C63150" w:rsidRPr="007D47AD">
        <w:rPr>
          <w:rFonts w:asciiTheme="minorHAnsi" w:hAnsiTheme="minorHAnsi"/>
          <w:sz w:val="20"/>
          <w:szCs w:val="20"/>
          <w:lang w:val="en-US"/>
        </w:rPr>
        <w:t>, and other data relevant for society regarding the administration of justice.</w:t>
      </w:r>
      <w:r w:rsidR="009C7FFC" w:rsidRPr="007D47AD">
        <w:rPr>
          <w:rFonts w:asciiTheme="minorHAnsi" w:hAnsiTheme="minorHAnsi"/>
          <w:sz w:val="20"/>
          <w:szCs w:val="20"/>
          <w:vertAlign w:val="superscript"/>
          <w:lang w:val="en-US"/>
        </w:rPr>
        <w:footnoteReference w:id="490"/>
      </w:r>
      <w:r w:rsidR="00651219" w:rsidRPr="007D47AD">
        <w:rPr>
          <w:rFonts w:asciiTheme="minorHAnsi" w:hAnsiTheme="minorHAnsi"/>
          <w:sz w:val="20"/>
          <w:szCs w:val="20"/>
          <w:lang w:val="en-US"/>
        </w:rPr>
        <w:t xml:space="preserve"> </w:t>
      </w:r>
      <w:r w:rsidR="00C63150" w:rsidRPr="007D47AD">
        <w:rPr>
          <w:rFonts w:asciiTheme="minorHAnsi" w:hAnsiTheme="minorHAnsi"/>
          <w:sz w:val="20"/>
          <w:szCs w:val="20"/>
          <w:lang w:val="en-US"/>
        </w:rPr>
        <w:t xml:space="preserve">Without prejudice to the foregoing, the IACHR notes that the </w:t>
      </w:r>
      <w:r w:rsidR="00C94A92" w:rsidRPr="007D47AD">
        <w:rPr>
          <w:rFonts w:asciiTheme="minorHAnsi" w:hAnsiTheme="minorHAnsi"/>
          <w:sz w:val="20"/>
          <w:szCs w:val="20"/>
          <w:lang w:val="en-US"/>
        </w:rPr>
        <w:t xml:space="preserve">state and federal prosecutors’ offices </w:t>
      </w:r>
      <w:r w:rsidR="00C63150" w:rsidRPr="007D47AD">
        <w:rPr>
          <w:rFonts w:asciiTheme="minorHAnsi" w:hAnsiTheme="minorHAnsi"/>
          <w:sz w:val="20"/>
          <w:szCs w:val="20"/>
          <w:lang w:val="en-US"/>
        </w:rPr>
        <w:t xml:space="preserve">do not answer to the principle of </w:t>
      </w:r>
      <w:r w:rsidR="00C94A92" w:rsidRPr="007D47AD">
        <w:rPr>
          <w:rFonts w:asciiTheme="minorHAnsi" w:hAnsiTheme="minorHAnsi"/>
          <w:sz w:val="20"/>
          <w:szCs w:val="20"/>
          <w:lang w:val="en-US"/>
        </w:rPr>
        <w:t>p</w:t>
      </w:r>
      <w:r w:rsidR="00C63150" w:rsidRPr="007D47AD">
        <w:rPr>
          <w:rFonts w:asciiTheme="minorHAnsi" w:hAnsiTheme="minorHAnsi"/>
          <w:sz w:val="20"/>
          <w:szCs w:val="20"/>
          <w:lang w:val="en-US"/>
        </w:rPr>
        <w:t xml:space="preserve">roactive </w:t>
      </w:r>
      <w:r w:rsidR="00C94A92" w:rsidRPr="007D47AD">
        <w:rPr>
          <w:rFonts w:asciiTheme="minorHAnsi" w:hAnsiTheme="minorHAnsi"/>
          <w:sz w:val="20"/>
          <w:szCs w:val="20"/>
          <w:lang w:val="en-US"/>
        </w:rPr>
        <w:t>t</w:t>
      </w:r>
      <w:r w:rsidR="009C7FFC" w:rsidRPr="007D47AD">
        <w:rPr>
          <w:rFonts w:asciiTheme="minorHAnsi" w:hAnsiTheme="minorHAnsi"/>
          <w:sz w:val="20"/>
          <w:szCs w:val="20"/>
          <w:lang w:val="en-US"/>
        </w:rPr>
        <w:t>ransparenc</w:t>
      </w:r>
      <w:r w:rsidR="00C63150" w:rsidRPr="007D47AD">
        <w:rPr>
          <w:rFonts w:asciiTheme="minorHAnsi" w:hAnsiTheme="minorHAnsi"/>
          <w:sz w:val="20"/>
          <w:szCs w:val="20"/>
          <w:lang w:val="en-US"/>
        </w:rPr>
        <w:t>y</w:t>
      </w:r>
      <w:r w:rsidR="009C7FFC" w:rsidRPr="007D47AD">
        <w:rPr>
          <w:rFonts w:asciiTheme="minorHAnsi" w:hAnsiTheme="minorHAnsi"/>
          <w:sz w:val="20"/>
          <w:szCs w:val="20"/>
          <w:vertAlign w:val="superscript"/>
          <w:lang w:val="en-US"/>
        </w:rPr>
        <w:footnoteReference w:id="491"/>
      </w:r>
      <w:r w:rsidR="00C63150" w:rsidRPr="007D47AD">
        <w:rPr>
          <w:rFonts w:asciiTheme="minorHAnsi" w:hAnsiTheme="minorHAnsi"/>
          <w:sz w:val="20"/>
          <w:szCs w:val="20"/>
          <w:lang w:val="en-US"/>
        </w:rPr>
        <w:t>,</w:t>
      </w:r>
      <w:r w:rsidR="009C7FFC" w:rsidRPr="007D47AD">
        <w:rPr>
          <w:rFonts w:asciiTheme="minorHAnsi" w:hAnsiTheme="minorHAnsi"/>
          <w:sz w:val="20"/>
          <w:szCs w:val="20"/>
          <w:lang w:val="en-US"/>
        </w:rPr>
        <w:t xml:space="preserve"> </w:t>
      </w:r>
      <w:r w:rsidR="00C63150" w:rsidRPr="007D47AD">
        <w:rPr>
          <w:rFonts w:asciiTheme="minorHAnsi" w:hAnsiTheme="minorHAnsi"/>
          <w:sz w:val="20"/>
          <w:szCs w:val="20"/>
          <w:lang w:val="en-US"/>
        </w:rPr>
        <w:t>which would allow knowledge of the investigations</w:t>
      </w:r>
      <w:r w:rsidR="00C94A92" w:rsidRPr="007D47AD">
        <w:rPr>
          <w:rFonts w:asciiTheme="minorHAnsi" w:hAnsiTheme="minorHAnsi"/>
          <w:sz w:val="20"/>
          <w:szCs w:val="20"/>
          <w:lang w:val="en-US"/>
        </w:rPr>
        <w:t>,</w:t>
      </w:r>
      <w:r w:rsidR="00C63150" w:rsidRPr="007D47AD">
        <w:rPr>
          <w:rFonts w:asciiTheme="minorHAnsi" w:hAnsiTheme="minorHAnsi"/>
          <w:sz w:val="20"/>
          <w:szCs w:val="20"/>
          <w:lang w:val="en-US"/>
        </w:rPr>
        <w:t xml:space="preserve"> and </w:t>
      </w:r>
      <w:r w:rsidR="00C94A92" w:rsidRPr="007D47AD">
        <w:rPr>
          <w:rFonts w:asciiTheme="minorHAnsi" w:hAnsiTheme="minorHAnsi"/>
          <w:sz w:val="20"/>
          <w:szCs w:val="20"/>
          <w:lang w:val="en-US"/>
        </w:rPr>
        <w:t xml:space="preserve">they are omissive </w:t>
      </w:r>
      <w:r w:rsidR="004F6860" w:rsidRPr="007D47AD">
        <w:rPr>
          <w:rFonts w:asciiTheme="minorHAnsi" w:hAnsiTheme="minorHAnsi"/>
          <w:sz w:val="20"/>
          <w:szCs w:val="20"/>
          <w:lang w:val="en-US"/>
        </w:rPr>
        <w:t xml:space="preserve">when it comes to </w:t>
      </w:r>
      <w:r w:rsidR="00C63150" w:rsidRPr="007D47AD">
        <w:rPr>
          <w:rFonts w:asciiTheme="minorHAnsi" w:hAnsiTheme="minorHAnsi"/>
          <w:sz w:val="20"/>
          <w:szCs w:val="20"/>
          <w:lang w:val="en-US"/>
        </w:rPr>
        <w:t>the obligation</w:t>
      </w:r>
      <w:r w:rsidR="00C94A92" w:rsidRPr="007D47AD">
        <w:rPr>
          <w:rFonts w:asciiTheme="minorHAnsi" w:hAnsiTheme="minorHAnsi"/>
          <w:sz w:val="20"/>
          <w:szCs w:val="20"/>
          <w:lang w:val="en-US"/>
        </w:rPr>
        <w:t xml:space="preserve"> to </w:t>
      </w:r>
      <w:r w:rsidR="00C63150" w:rsidRPr="007D47AD">
        <w:rPr>
          <w:rFonts w:asciiTheme="minorHAnsi" w:hAnsiTheme="minorHAnsi"/>
          <w:sz w:val="20"/>
          <w:szCs w:val="20"/>
          <w:lang w:val="en-US"/>
        </w:rPr>
        <w:t>prepar</w:t>
      </w:r>
      <w:r w:rsidR="00C94A92" w:rsidRPr="007D47AD">
        <w:rPr>
          <w:rFonts w:asciiTheme="minorHAnsi" w:hAnsiTheme="minorHAnsi"/>
          <w:sz w:val="20"/>
          <w:szCs w:val="20"/>
          <w:lang w:val="en-US"/>
        </w:rPr>
        <w:t>e</w:t>
      </w:r>
      <w:r w:rsidR="00C63150" w:rsidRPr="007D47AD">
        <w:rPr>
          <w:rFonts w:asciiTheme="minorHAnsi" w:hAnsiTheme="minorHAnsi"/>
          <w:sz w:val="20"/>
          <w:szCs w:val="20"/>
          <w:lang w:val="en-US"/>
        </w:rPr>
        <w:t xml:space="preserve"> statistics on the investigations in which journalists are victims or complaining witnesses. Accordingly, the figures corresponding to the investigation that the </w:t>
      </w:r>
      <w:r w:rsidR="009C7FFC" w:rsidRPr="007D47AD">
        <w:rPr>
          <w:rFonts w:asciiTheme="minorHAnsi" w:hAnsiTheme="minorHAnsi"/>
          <w:sz w:val="20"/>
          <w:szCs w:val="20"/>
          <w:lang w:val="en-US"/>
        </w:rPr>
        <w:t xml:space="preserve">FEADLE </w:t>
      </w:r>
      <w:r w:rsidR="00C63150" w:rsidRPr="007D47AD">
        <w:rPr>
          <w:rFonts w:asciiTheme="minorHAnsi" w:hAnsiTheme="minorHAnsi"/>
          <w:sz w:val="20"/>
          <w:szCs w:val="20"/>
          <w:lang w:val="en-US"/>
        </w:rPr>
        <w:t>has initiated reveal the structural issues fighting impunity in crimes committed against the freedom of expression</w:t>
      </w:r>
      <w:r w:rsidR="00197BD1" w:rsidRPr="007D47AD">
        <w:rPr>
          <w:rFonts w:asciiTheme="minorHAnsi" w:hAnsiTheme="minorHAnsi"/>
          <w:sz w:val="20"/>
          <w:szCs w:val="20"/>
          <w:lang w:val="en-US"/>
        </w:rPr>
        <w:t xml:space="preserve">, </w:t>
      </w:r>
      <w:r w:rsidR="00C63150" w:rsidRPr="007D47AD">
        <w:rPr>
          <w:rFonts w:asciiTheme="minorHAnsi" w:hAnsiTheme="minorHAnsi"/>
          <w:sz w:val="20"/>
          <w:szCs w:val="20"/>
          <w:lang w:val="en-US"/>
        </w:rPr>
        <w:t>which no doubt is one element</w:t>
      </w:r>
      <w:r w:rsidR="00C94A92" w:rsidRPr="007D47AD">
        <w:rPr>
          <w:rFonts w:asciiTheme="minorHAnsi" w:hAnsiTheme="minorHAnsi"/>
          <w:sz w:val="20"/>
          <w:szCs w:val="20"/>
          <w:lang w:val="en-US"/>
        </w:rPr>
        <w:t xml:space="preserve"> </w:t>
      </w:r>
      <w:r w:rsidR="00C63150" w:rsidRPr="007D47AD">
        <w:rPr>
          <w:rFonts w:asciiTheme="minorHAnsi" w:hAnsiTheme="minorHAnsi"/>
          <w:sz w:val="20"/>
          <w:szCs w:val="20"/>
          <w:lang w:val="en-US"/>
        </w:rPr>
        <w:t>worsen</w:t>
      </w:r>
      <w:r w:rsidR="00C94A92" w:rsidRPr="007D47AD">
        <w:rPr>
          <w:rFonts w:asciiTheme="minorHAnsi" w:hAnsiTheme="minorHAnsi"/>
          <w:sz w:val="20"/>
          <w:szCs w:val="20"/>
          <w:lang w:val="en-US"/>
        </w:rPr>
        <w:t>ing</w:t>
      </w:r>
      <w:r w:rsidR="00C63150" w:rsidRPr="007D47AD">
        <w:rPr>
          <w:rFonts w:asciiTheme="minorHAnsi" w:hAnsiTheme="minorHAnsi"/>
          <w:sz w:val="20"/>
          <w:szCs w:val="20"/>
          <w:lang w:val="en-US"/>
        </w:rPr>
        <w:t xml:space="preserve"> violence against the press in Mexico.</w:t>
      </w:r>
      <w:r w:rsidR="009C7FFC" w:rsidRPr="007D47AD">
        <w:rPr>
          <w:rFonts w:asciiTheme="minorHAnsi" w:hAnsiTheme="minorHAnsi"/>
          <w:sz w:val="20"/>
          <w:szCs w:val="20"/>
          <w:vertAlign w:val="superscript"/>
          <w:lang w:val="en-US"/>
        </w:rPr>
        <w:footnoteReference w:id="492"/>
      </w:r>
      <w:r w:rsidR="009C7FFC" w:rsidRPr="007D47AD">
        <w:rPr>
          <w:rFonts w:asciiTheme="minorHAnsi" w:hAnsiTheme="minorHAnsi"/>
          <w:sz w:val="20"/>
          <w:szCs w:val="20"/>
          <w:lang w:val="en-US"/>
        </w:rPr>
        <w:t xml:space="preserve"> </w:t>
      </w:r>
      <w:r w:rsidR="00C26514" w:rsidRPr="007D47AD">
        <w:rPr>
          <w:rFonts w:asciiTheme="minorHAnsi" w:hAnsiTheme="minorHAnsi"/>
          <w:sz w:val="20"/>
          <w:szCs w:val="20"/>
          <w:lang w:val="en-US"/>
        </w:rPr>
        <w:t xml:space="preserve">In this regard, in its observations on the draft of this report the State noted that in November </w:t>
      </w:r>
      <w:r w:rsidR="004535AF" w:rsidRPr="007D47AD">
        <w:rPr>
          <w:rFonts w:asciiTheme="minorHAnsi" w:hAnsiTheme="minorHAnsi"/>
          <w:sz w:val="20"/>
          <w:szCs w:val="20"/>
          <w:lang w:val="en-US"/>
        </w:rPr>
        <w:t xml:space="preserve">2019 </w:t>
      </w:r>
      <w:r w:rsidR="00C26514" w:rsidRPr="007D47AD">
        <w:rPr>
          <w:rFonts w:asciiTheme="minorHAnsi" w:hAnsiTheme="minorHAnsi"/>
          <w:sz w:val="20"/>
          <w:szCs w:val="20"/>
          <w:lang w:val="en-US"/>
        </w:rPr>
        <w:t xml:space="preserve">the </w:t>
      </w:r>
      <w:r w:rsidR="004535AF" w:rsidRPr="007D47AD">
        <w:rPr>
          <w:rFonts w:asciiTheme="minorHAnsi" w:hAnsiTheme="minorHAnsi"/>
          <w:sz w:val="20"/>
          <w:szCs w:val="20"/>
          <w:lang w:val="en-US"/>
        </w:rPr>
        <w:t xml:space="preserve">FEADLE </w:t>
      </w:r>
      <w:r w:rsidR="00C26514" w:rsidRPr="007D47AD">
        <w:rPr>
          <w:rFonts w:asciiTheme="minorHAnsi" w:hAnsiTheme="minorHAnsi"/>
          <w:sz w:val="20"/>
          <w:szCs w:val="20"/>
          <w:lang w:val="en-US"/>
        </w:rPr>
        <w:t xml:space="preserve">submitted the latest update of the systematization of information contained in the preliminary inquiries and investigative files. Of the complaints lodged regarding crimes against the freedom of expression, the </w:t>
      </w:r>
      <w:r w:rsidR="004535AF" w:rsidRPr="007D47AD">
        <w:rPr>
          <w:rFonts w:asciiTheme="minorHAnsi" w:hAnsiTheme="minorHAnsi"/>
          <w:sz w:val="20"/>
          <w:szCs w:val="20"/>
          <w:lang w:val="en-US"/>
        </w:rPr>
        <w:t xml:space="preserve">FEADLE </w:t>
      </w:r>
      <w:r w:rsidR="00C26514" w:rsidRPr="007D47AD">
        <w:rPr>
          <w:rFonts w:asciiTheme="minorHAnsi" w:hAnsiTheme="minorHAnsi"/>
          <w:sz w:val="20"/>
          <w:szCs w:val="20"/>
          <w:lang w:val="en-US"/>
        </w:rPr>
        <w:t xml:space="preserve">has 40 cases being processed, and four guilty verdicts. In addition, from </w:t>
      </w:r>
      <w:r w:rsidR="004535AF" w:rsidRPr="007D47AD">
        <w:rPr>
          <w:rFonts w:asciiTheme="minorHAnsi" w:hAnsiTheme="minorHAnsi"/>
          <w:sz w:val="20"/>
          <w:szCs w:val="20"/>
          <w:lang w:val="en-US"/>
        </w:rPr>
        <w:t xml:space="preserve">2016 </w:t>
      </w:r>
      <w:r w:rsidR="00C26514" w:rsidRPr="007D47AD">
        <w:rPr>
          <w:rFonts w:asciiTheme="minorHAnsi" w:hAnsiTheme="minorHAnsi"/>
          <w:sz w:val="20"/>
          <w:szCs w:val="20"/>
          <w:lang w:val="en-US"/>
        </w:rPr>
        <w:t xml:space="preserve">to </w:t>
      </w:r>
      <w:r w:rsidR="004535AF" w:rsidRPr="007D47AD">
        <w:rPr>
          <w:rFonts w:asciiTheme="minorHAnsi" w:hAnsiTheme="minorHAnsi"/>
          <w:sz w:val="20"/>
          <w:szCs w:val="20"/>
          <w:lang w:val="en-US"/>
        </w:rPr>
        <w:t xml:space="preserve">2019 </w:t>
      </w:r>
      <w:r w:rsidR="00C26514" w:rsidRPr="007D47AD">
        <w:rPr>
          <w:rFonts w:asciiTheme="minorHAnsi" w:hAnsiTheme="minorHAnsi"/>
          <w:sz w:val="20"/>
          <w:szCs w:val="20"/>
          <w:lang w:val="en-US"/>
        </w:rPr>
        <w:t xml:space="preserve">there have been 27 </w:t>
      </w:r>
      <w:r w:rsidR="00443499" w:rsidRPr="007D47AD">
        <w:rPr>
          <w:rFonts w:asciiTheme="minorHAnsi" w:hAnsiTheme="minorHAnsi"/>
          <w:sz w:val="20"/>
          <w:szCs w:val="20"/>
          <w:lang w:val="en-US"/>
        </w:rPr>
        <w:t xml:space="preserve">matters settled by alternative dispute resolution mechanisms, </w:t>
      </w:r>
      <w:r w:rsidR="00C26514" w:rsidRPr="007D47AD">
        <w:rPr>
          <w:rFonts w:asciiTheme="minorHAnsi" w:hAnsiTheme="minorHAnsi"/>
          <w:sz w:val="20"/>
          <w:szCs w:val="20"/>
          <w:lang w:val="en-US"/>
        </w:rPr>
        <w:t xml:space="preserve">and the percentage of efficiency </w:t>
      </w:r>
      <w:r w:rsidR="00443499" w:rsidRPr="007D47AD">
        <w:rPr>
          <w:rFonts w:asciiTheme="minorHAnsi" w:hAnsiTheme="minorHAnsi"/>
          <w:sz w:val="20"/>
          <w:szCs w:val="20"/>
          <w:lang w:val="en-US"/>
        </w:rPr>
        <w:t xml:space="preserve">in the case of persons of interest </w:t>
      </w:r>
      <w:r w:rsidR="00C26514" w:rsidRPr="007D47AD">
        <w:rPr>
          <w:rFonts w:asciiTheme="minorHAnsi" w:hAnsiTheme="minorHAnsi"/>
          <w:sz w:val="20"/>
          <w:szCs w:val="20"/>
          <w:lang w:val="en-US"/>
        </w:rPr>
        <w:t xml:space="preserve">is </w:t>
      </w:r>
      <w:r w:rsidR="004535AF" w:rsidRPr="007D47AD">
        <w:rPr>
          <w:rFonts w:asciiTheme="minorHAnsi" w:hAnsiTheme="minorHAnsi"/>
          <w:sz w:val="20"/>
          <w:szCs w:val="20"/>
          <w:lang w:val="en-US"/>
        </w:rPr>
        <w:t>91.2%</w:t>
      </w:r>
      <w:r w:rsidR="00C26514" w:rsidRPr="007D47AD">
        <w:rPr>
          <w:rFonts w:asciiTheme="minorHAnsi" w:hAnsiTheme="minorHAnsi"/>
          <w:sz w:val="20"/>
          <w:szCs w:val="20"/>
          <w:lang w:val="en-US"/>
        </w:rPr>
        <w:t>.</w:t>
      </w:r>
      <w:r w:rsidR="004535AF" w:rsidRPr="007D47AD">
        <w:rPr>
          <w:rStyle w:val="FootnoteReference"/>
          <w:rFonts w:asciiTheme="minorHAnsi" w:hAnsiTheme="minorHAnsi"/>
          <w:sz w:val="20"/>
          <w:szCs w:val="20"/>
          <w:lang w:val="en-US"/>
        </w:rPr>
        <w:footnoteReference w:id="493"/>
      </w:r>
      <w:r w:rsidR="004535AF" w:rsidRPr="007D47AD">
        <w:rPr>
          <w:rFonts w:asciiTheme="minorHAnsi" w:hAnsiTheme="minorHAnsi"/>
          <w:sz w:val="20"/>
          <w:szCs w:val="20"/>
          <w:lang w:val="en-US"/>
        </w:rPr>
        <w:t xml:space="preserve">  </w:t>
      </w:r>
    </w:p>
    <w:p w:rsidR="009C7FFC" w:rsidRPr="007D47AD" w:rsidRDefault="004535AF" w:rsidP="004535AF">
      <w:pPr>
        <w:shd w:val="clear" w:color="auto" w:fill="FFFFFF"/>
        <w:spacing w:after="0" w:line="240" w:lineRule="auto"/>
        <w:ind w:left="709"/>
        <w:jc w:val="both"/>
        <w:rPr>
          <w:rFonts w:asciiTheme="minorHAnsi" w:hAnsiTheme="minorHAnsi"/>
          <w:sz w:val="20"/>
          <w:szCs w:val="20"/>
          <w:lang w:val="en-US"/>
        </w:rPr>
      </w:pPr>
      <w:r w:rsidRPr="007D47AD">
        <w:rPr>
          <w:rFonts w:asciiTheme="minorHAnsi" w:hAnsiTheme="minorHAnsi"/>
          <w:sz w:val="20"/>
          <w:szCs w:val="20"/>
          <w:lang w:val="en-US"/>
        </w:rPr>
        <w:t xml:space="preserve"> </w:t>
      </w:r>
    </w:p>
    <w:p w:rsidR="009C7FFC" w:rsidRPr="007D47AD" w:rsidRDefault="00E47DD6" w:rsidP="009C7FFC">
      <w:pPr>
        <w:numPr>
          <w:ilvl w:val="0"/>
          <w:numId w:val="6"/>
        </w:numPr>
        <w:shd w:val="clear" w:color="auto" w:fill="FFFFFF"/>
        <w:spacing w:after="0" w:line="240" w:lineRule="auto"/>
        <w:ind w:left="0" w:firstLine="709"/>
        <w:jc w:val="both"/>
        <w:rPr>
          <w:rFonts w:asciiTheme="minorHAnsi" w:hAnsiTheme="minorHAnsi"/>
          <w:sz w:val="20"/>
          <w:szCs w:val="20"/>
          <w:lang w:val="en-US"/>
        </w:rPr>
      </w:pPr>
      <w:r w:rsidRPr="007D47AD">
        <w:rPr>
          <w:rFonts w:asciiTheme="minorHAnsi" w:hAnsiTheme="minorHAnsi"/>
          <w:sz w:val="20"/>
          <w:szCs w:val="20"/>
          <w:lang w:val="en-US"/>
        </w:rPr>
        <w:t>The Commission calls attention to the fact that even though the reports and studies</w:t>
      </w:r>
      <w:r w:rsidR="009C7FFC" w:rsidRPr="007D47AD">
        <w:rPr>
          <w:rFonts w:asciiTheme="minorHAnsi" w:hAnsiTheme="minorHAnsi"/>
          <w:sz w:val="20"/>
          <w:szCs w:val="20"/>
          <w:vertAlign w:val="superscript"/>
          <w:lang w:val="en-US"/>
        </w:rPr>
        <w:footnoteReference w:id="494"/>
      </w:r>
      <w:r w:rsidR="009C7FFC" w:rsidRPr="007D47AD">
        <w:rPr>
          <w:rFonts w:asciiTheme="minorHAnsi" w:hAnsiTheme="minorHAnsi"/>
          <w:sz w:val="20"/>
          <w:szCs w:val="20"/>
          <w:lang w:val="en-US"/>
        </w:rPr>
        <w:t xml:space="preserve"> </w:t>
      </w:r>
      <w:r w:rsidRPr="007D47AD">
        <w:rPr>
          <w:rFonts w:asciiTheme="minorHAnsi" w:hAnsiTheme="minorHAnsi"/>
          <w:sz w:val="20"/>
          <w:szCs w:val="20"/>
          <w:lang w:val="en-US"/>
        </w:rPr>
        <w:t xml:space="preserve">on the structural situation of </w:t>
      </w:r>
      <w:r w:rsidR="009C7FFC" w:rsidRPr="007D47AD">
        <w:rPr>
          <w:rFonts w:asciiTheme="minorHAnsi" w:hAnsiTheme="minorHAnsi"/>
          <w:sz w:val="20"/>
          <w:szCs w:val="20"/>
          <w:lang w:val="en-US"/>
        </w:rPr>
        <w:t>violenc</w:t>
      </w:r>
      <w:r w:rsidRPr="007D47AD">
        <w:rPr>
          <w:rFonts w:asciiTheme="minorHAnsi" w:hAnsiTheme="minorHAnsi"/>
          <w:sz w:val="20"/>
          <w:szCs w:val="20"/>
          <w:lang w:val="en-US"/>
        </w:rPr>
        <w:t xml:space="preserve">e in </w:t>
      </w:r>
      <w:r w:rsidR="009C7FFC" w:rsidRPr="007D47AD">
        <w:rPr>
          <w:rFonts w:asciiTheme="minorHAnsi" w:hAnsiTheme="minorHAnsi"/>
          <w:sz w:val="20"/>
          <w:szCs w:val="20"/>
          <w:lang w:val="en-US"/>
        </w:rPr>
        <w:t>M</w:t>
      </w:r>
      <w:r w:rsidRPr="007D47AD">
        <w:rPr>
          <w:rFonts w:asciiTheme="minorHAnsi" w:hAnsiTheme="minorHAnsi"/>
          <w:sz w:val="20"/>
          <w:szCs w:val="20"/>
          <w:lang w:val="en-US"/>
        </w:rPr>
        <w:t>e</w:t>
      </w:r>
      <w:r w:rsidR="009C7FFC" w:rsidRPr="007D47AD">
        <w:rPr>
          <w:rFonts w:asciiTheme="minorHAnsi" w:hAnsiTheme="minorHAnsi"/>
          <w:sz w:val="20"/>
          <w:szCs w:val="20"/>
          <w:lang w:val="en-US"/>
        </w:rPr>
        <w:t>xico indica</w:t>
      </w:r>
      <w:r w:rsidRPr="007D47AD">
        <w:rPr>
          <w:rFonts w:asciiTheme="minorHAnsi" w:hAnsiTheme="minorHAnsi"/>
          <w:sz w:val="20"/>
          <w:szCs w:val="20"/>
          <w:lang w:val="en-US"/>
        </w:rPr>
        <w:t>te that it is worse due to impunity; most of the states continue to lack specialized agencies for investigating crimes against journalists and human rights defenders.</w:t>
      </w:r>
      <w:r w:rsidR="009C7FFC" w:rsidRPr="007D47AD">
        <w:rPr>
          <w:rFonts w:asciiTheme="minorHAnsi" w:hAnsiTheme="minorHAnsi"/>
          <w:sz w:val="20"/>
          <w:szCs w:val="20"/>
          <w:vertAlign w:val="superscript"/>
          <w:lang w:val="en-US"/>
        </w:rPr>
        <w:footnoteReference w:id="495"/>
      </w:r>
      <w:r w:rsidR="009C7FFC" w:rsidRPr="007D47AD">
        <w:rPr>
          <w:rFonts w:asciiTheme="minorHAnsi" w:hAnsiTheme="minorHAnsi"/>
          <w:sz w:val="20"/>
          <w:szCs w:val="20"/>
          <w:lang w:val="en-US"/>
        </w:rPr>
        <w:t xml:space="preserve"> </w:t>
      </w:r>
    </w:p>
    <w:p w:rsidR="009C7FFC" w:rsidRPr="007D47AD" w:rsidRDefault="009C7FFC" w:rsidP="009C7FFC">
      <w:pPr>
        <w:shd w:val="clear" w:color="auto" w:fill="FFFFFF"/>
        <w:spacing w:after="0" w:line="240" w:lineRule="auto"/>
        <w:ind w:left="709"/>
        <w:jc w:val="both"/>
        <w:rPr>
          <w:rFonts w:asciiTheme="minorHAnsi" w:hAnsiTheme="minorHAnsi"/>
          <w:sz w:val="20"/>
          <w:szCs w:val="20"/>
          <w:lang w:val="en-US"/>
        </w:rPr>
      </w:pPr>
    </w:p>
    <w:p w:rsidR="009C7FFC" w:rsidRPr="007D47AD" w:rsidRDefault="0095226D" w:rsidP="009C7FFC">
      <w:pPr>
        <w:numPr>
          <w:ilvl w:val="0"/>
          <w:numId w:val="6"/>
        </w:numPr>
        <w:shd w:val="clear" w:color="auto" w:fill="FFFFFF"/>
        <w:spacing w:after="0" w:line="240" w:lineRule="auto"/>
        <w:ind w:left="0" w:firstLine="709"/>
        <w:jc w:val="both"/>
        <w:rPr>
          <w:rFonts w:asciiTheme="minorHAnsi" w:hAnsiTheme="minorHAnsi"/>
          <w:sz w:val="20"/>
          <w:szCs w:val="20"/>
          <w:lang w:val="en-US"/>
        </w:rPr>
      </w:pPr>
      <w:r w:rsidRPr="007D47AD">
        <w:rPr>
          <w:rFonts w:asciiTheme="minorHAnsi" w:hAnsiTheme="minorHAnsi"/>
          <w:sz w:val="20"/>
          <w:szCs w:val="20"/>
          <w:lang w:val="en-US"/>
        </w:rPr>
        <w:t>As the Office of the Special Rapporteur has indi</w:t>
      </w:r>
      <w:r w:rsidR="00AB1C8E" w:rsidRPr="007D47AD">
        <w:rPr>
          <w:rFonts w:asciiTheme="minorHAnsi" w:hAnsiTheme="minorHAnsi"/>
          <w:sz w:val="20"/>
          <w:szCs w:val="20"/>
          <w:lang w:val="en-US"/>
        </w:rPr>
        <w:t>c</w:t>
      </w:r>
      <w:r w:rsidRPr="007D47AD">
        <w:rPr>
          <w:rFonts w:asciiTheme="minorHAnsi" w:hAnsiTheme="minorHAnsi"/>
          <w:sz w:val="20"/>
          <w:szCs w:val="20"/>
          <w:lang w:val="en-US"/>
        </w:rPr>
        <w:t xml:space="preserve">ated in different press releases in </w:t>
      </w:r>
      <w:r w:rsidR="009C7FFC" w:rsidRPr="007D47AD">
        <w:rPr>
          <w:rFonts w:asciiTheme="minorHAnsi" w:hAnsiTheme="minorHAnsi"/>
          <w:sz w:val="20"/>
          <w:szCs w:val="20"/>
          <w:lang w:val="en-US"/>
        </w:rPr>
        <w:t>2019</w:t>
      </w:r>
      <w:r w:rsidR="009C7FFC" w:rsidRPr="007D47AD">
        <w:rPr>
          <w:rFonts w:asciiTheme="minorHAnsi" w:hAnsiTheme="minorHAnsi"/>
          <w:sz w:val="20"/>
          <w:szCs w:val="20"/>
          <w:vertAlign w:val="superscript"/>
          <w:lang w:val="en-US"/>
        </w:rPr>
        <w:footnoteReference w:id="496"/>
      </w:r>
      <w:r w:rsidR="009C7FFC" w:rsidRPr="007D47AD">
        <w:rPr>
          <w:rFonts w:asciiTheme="minorHAnsi" w:hAnsiTheme="minorHAnsi"/>
          <w:sz w:val="20"/>
          <w:szCs w:val="20"/>
          <w:lang w:val="en-US"/>
        </w:rPr>
        <w:t xml:space="preserve"> </w:t>
      </w:r>
      <w:r w:rsidRPr="007D47AD">
        <w:rPr>
          <w:rFonts w:asciiTheme="minorHAnsi" w:hAnsiTheme="minorHAnsi"/>
          <w:sz w:val="20"/>
          <w:szCs w:val="20"/>
          <w:lang w:val="en-US"/>
        </w:rPr>
        <w:t xml:space="preserve">and in the above-noted Special Report on the Situation of Freedom of Expression in Mexico, the </w:t>
      </w:r>
      <w:r w:rsidR="009C7FFC" w:rsidRPr="007D47AD">
        <w:rPr>
          <w:rFonts w:asciiTheme="minorHAnsi" w:hAnsiTheme="minorHAnsi"/>
          <w:sz w:val="20"/>
          <w:szCs w:val="20"/>
          <w:lang w:val="en-US"/>
        </w:rPr>
        <w:t xml:space="preserve">FEADLE </w:t>
      </w:r>
      <w:r w:rsidR="00AB1C8E" w:rsidRPr="007D47AD">
        <w:rPr>
          <w:rFonts w:asciiTheme="minorHAnsi" w:hAnsiTheme="minorHAnsi"/>
          <w:sz w:val="20"/>
          <w:szCs w:val="20"/>
          <w:lang w:val="en-US"/>
        </w:rPr>
        <w:t xml:space="preserve">should step up its efforts in terms of having effective investigative plans, exhaust all lines of investigation, </w:t>
      </w:r>
      <w:r w:rsidR="00197BD1" w:rsidRPr="007D47AD">
        <w:rPr>
          <w:rFonts w:asciiTheme="minorHAnsi" w:hAnsiTheme="minorHAnsi"/>
          <w:sz w:val="20"/>
          <w:szCs w:val="20"/>
          <w:lang w:val="en-US"/>
        </w:rPr>
        <w:t>identi</w:t>
      </w:r>
      <w:r w:rsidR="00AB1C8E" w:rsidRPr="007D47AD">
        <w:rPr>
          <w:rFonts w:asciiTheme="minorHAnsi" w:hAnsiTheme="minorHAnsi"/>
          <w:sz w:val="20"/>
          <w:szCs w:val="20"/>
          <w:lang w:val="en-US"/>
        </w:rPr>
        <w:t>ty</w:t>
      </w:r>
      <w:r w:rsidR="009C7FFC" w:rsidRPr="007D47AD">
        <w:rPr>
          <w:rFonts w:asciiTheme="minorHAnsi" w:hAnsiTheme="minorHAnsi"/>
          <w:sz w:val="20"/>
          <w:szCs w:val="20"/>
          <w:lang w:val="en-US"/>
        </w:rPr>
        <w:t xml:space="preserve"> </w:t>
      </w:r>
      <w:r w:rsidR="00AB1C8E" w:rsidRPr="007D47AD">
        <w:rPr>
          <w:rFonts w:asciiTheme="minorHAnsi" w:hAnsiTheme="minorHAnsi"/>
          <w:sz w:val="20"/>
          <w:szCs w:val="20"/>
          <w:lang w:val="en-US"/>
        </w:rPr>
        <w:t xml:space="preserve">all persons responsible for crimes </w:t>
      </w:r>
      <w:r w:rsidR="009C7FFC" w:rsidRPr="007D47AD">
        <w:rPr>
          <w:rFonts w:asciiTheme="minorHAnsi" w:hAnsiTheme="minorHAnsi"/>
          <w:sz w:val="20"/>
          <w:szCs w:val="20"/>
          <w:lang w:val="en-US"/>
        </w:rPr>
        <w:t>(</w:t>
      </w:r>
      <w:r w:rsidR="00AB1C8E" w:rsidRPr="007D47AD">
        <w:rPr>
          <w:rFonts w:asciiTheme="minorHAnsi" w:hAnsiTheme="minorHAnsi"/>
          <w:sz w:val="20"/>
          <w:szCs w:val="20"/>
          <w:lang w:val="en-US"/>
        </w:rPr>
        <w:t>which includes masterminds and accomplices</w:t>
      </w:r>
      <w:r w:rsidR="009C7FFC" w:rsidRPr="007D47AD">
        <w:rPr>
          <w:rFonts w:asciiTheme="minorHAnsi" w:hAnsiTheme="minorHAnsi"/>
          <w:sz w:val="20"/>
          <w:szCs w:val="20"/>
          <w:lang w:val="en-US"/>
        </w:rPr>
        <w:t xml:space="preserve">), </w:t>
      </w:r>
      <w:r w:rsidR="00AB1C8E" w:rsidRPr="007D47AD">
        <w:rPr>
          <w:rFonts w:asciiTheme="minorHAnsi" w:hAnsiTheme="minorHAnsi"/>
          <w:sz w:val="20"/>
          <w:szCs w:val="20"/>
          <w:lang w:val="en-US"/>
        </w:rPr>
        <w:t xml:space="preserve">and analyze the context in which the crimes occurred, particularly the way in which political and criminal power operates at the local level, and in other local realities. There are persistent </w:t>
      </w:r>
      <w:r w:rsidR="00820BDB" w:rsidRPr="007D47AD">
        <w:rPr>
          <w:rFonts w:asciiTheme="minorHAnsi" w:hAnsiTheme="minorHAnsi"/>
          <w:sz w:val="20"/>
          <w:szCs w:val="20"/>
          <w:lang w:val="en-US"/>
        </w:rPr>
        <w:t xml:space="preserve">shortcomings </w:t>
      </w:r>
      <w:r w:rsidR="00AB1C8E" w:rsidRPr="007D47AD">
        <w:rPr>
          <w:rFonts w:asciiTheme="minorHAnsi" w:hAnsiTheme="minorHAnsi"/>
          <w:sz w:val="20"/>
          <w:szCs w:val="20"/>
          <w:lang w:val="en-US"/>
        </w:rPr>
        <w:t xml:space="preserve">when it comes to protecting the security of witnesses and </w:t>
      </w:r>
      <w:r w:rsidR="009C7FFC" w:rsidRPr="007D47AD">
        <w:rPr>
          <w:rFonts w:asciiTheme="minorHAnsi" w:hAnsiTheme="minorHAnsi"/>
          <w:sz w:val="20"/>
          <w:szCs w:val="20"/>
          <w:lang w:val="en-US"/>
        </w:rPr>
        <w:t>negligenc</w:t>
      </w:r>
      <w:r w:rsidR="00AB1C8E" w:rsidRPr="007D47AD">
        <w:rPr>
          <w:rFonts w:asciiTheme="minorHAnsi" w:hAnsiTheme="minorHAnsi"/>
          <w:sz w:val="20"/>
          <w:szCs w:val="20"/>
          <w:lang w:val="en-US"/>
        </w:rPr>
        <w:t xml:space="preserve">e at the moment of pulling together and effectively preserving police and forensic evidence. In addition, the Office of the Special Rapporteur has received information on the ineffectiveness of </w:t>
      </w:r>
      <w:r w:rsidR="009C7FFC" w:rsidRPr="007D47AD">
        <w:rPr>
          <w:rFonts w:asciiTheme="minorHAnsi" w:hAnsiTheme="minorHAnsi"/>
          <w:sz w:val="20"/>
          <w:szCs w:val="20"/>
          <w:lang w:val="en-US"/>
        </w:rPr>
        <w:t>investiga</w:t>
      </w:r>
      <w:r w:rsidR="00AB1C8E" w:rsidRPr="007D47AD">
        <w:rPr>
          <w:rFonts w:asciiTheme="minorHAnsi" w:hAnsiTheme="minorHAnsi"/>
          <w:sz w:val="20"/>
          <w:szCs w:val="20"/>
          <w:lang w:val="en-US"/>
        </w:rPr>
        <w:t>tions into threats to and harassment of journalists</w:t>
      </w:r>
      <w:r w:rsidR="009C7FFC" w:rsidRPr="007D47AD">
        <w:rPr>
          <w:rFonts w:asciiTheme="minorHAnsi" w:hAnsiTheme="minorHAnsi"/>
          <w:sz w:val="20"/>
          <w:szCs w:val="20"/>
          <w:vertAlign w:val="superscript"/>
          <w:lang w:val="en-US"/>
        </w:rPr>
        <w:footnoteReference w:id="497"/>
      </w:r>
      <w:r w:rsidR="009C7FFC" w:rsidRPr="007D47AD">
        <w:rPr>
          <w:rFonts w:asciiTheme="minorHAnsi" w:hAnsiTheme="minorHAnsi"/>
          <w:sz w:val="20"/>
          <w:szCs w:val="20"/>
          <w:lang w:val="en-US"/>
        </w:rPr>
        <w:t xml:space="preserve">, tanto </w:t>
      </w:r>
      <w:r w:rsidR="00AB1C8E" w:rsidRPr="007D47AD">
        <w:rPr>
          <w:rFonts w:asciiTheme="minorHAnsi" w:hAnsiTheme="minorHAnsi"/>
          <w:sz w:val="20"/>
          <w:szCs w:val="20"/>
          <w:lang w:val="en-US"/>
        </w:rPr>
        <w:t xml:space="preserve">both on line and in traditional media outlets, who are paralyzed by cumbersome legal requirements, such as psychological assessments of the victims and the lack of true coordination among the mechanisms of protection. To that, this Office </w:t>
      </w:r>
      <w:r w:rsidR="00FB6488" w:rsidRPr="007D47AD">
        <w:rPr>
          <w:rFonts w:asciiTheme="minorHAnsi" w:hAnsiTheme="minorHAnsi"/>
          <w:sz w:val="20"/>
          <w:szCs w:val="20"/>
          <w:lang w:val="en-US"/>
        </w:rPr>
        <w:t xml:space="preserve">has identified </w:t>
      </w:r>
      <w:r w:rsidR="00FB6488" w:rsidRPr="007D47AD">
        <w:rPr>
          <w:rFonts w:asciiTheme="minorHAnsi" w:hAnsiTheme="minorHAnsi"/>
          <w:sz w:val="20"/>
          <w:szCs w:val="20"/>
          <w:lang w:val="en-US"/>
        </w:rPr>
        <w:lastRenderedPageBreak/>
        <w:t>the persistence of the obstacles that affect the participation of the victims in the investigations and on their stigmatization.</w:t>
      </w:r>
      <w:r w:rsidR="009C7FFC" w:rsidRPr="007D47AD">
        <w:rPr>
          <w:rFonts w:asciiTheme="minorHAnsi" w:hAnsiTheme="minorHAnsi"/>
          <w:sz w:val="20"/>
          <w:szCs w:val="20"/>
          <w:vertAlign w:val="superscript"/>
          <w:lang w:val="en-US"/>
        </w:rPr>
        <w:footnoteReference w:id="498"/>
      </w:r>
      <w:r w:rsidR="009C7FFC" w:rsidRPr="007D47AD">
        <w:rPr>
          <w:rFonts w:asciiTheme="minorHAnsi" w:hAnsiTheme="minorHAnsi"/>
          <w:sz w:val="20"/>
          <w:szCs w:val="20"/>
          <w:lang w:val="en-US"/>
        </w:rPr>
        <w:t xml:space="preserve"> </w:t>
      </w:r>
    </w:p>
    <w:p w:rsidR="009C7FFC" w:rsidRPr="007D47AD" w:rsidRDefault="009C7FFC" w:rsidP="009C7FFC">
      <w:pPr>
        <w:shd w:val="clear" w:color="auto" w:fill="FFFFFF"/>
        <w:spacing w:after="0" w:line="240" w:lineRule="auto"/>
        <w:ind w:left="709"/>
        <w:jc w:val="both"/>
        <w:rPr>
          <w:rFonts w:asciiTheme="minorHAnsi" w:hAnsiTheme="minorHAnsi"/>
          <w:sz w:val="20"/>
          <w:szCs w:val="20"/>
          <w:lang w:val="en-US"/>
        </w:rPr>
      </w:pPr>
    </w:p>
    <w:p w:rsidR="009C7FFC" w:rsidRPr="007D47AD" w:rsidRDefault="00C31D11" w:rsidP="009C7FFC">
      <w:pPr>
        <w:numPr>
          <w:ilvl w:val="0"/>
          <w:numId w:val="6"/>
        </w:numPr>
        <w:shd w:val="clear" w:color="auto" w:fill="FFFFFF"/>
        <w:spacing w:after="0" w:line="240" w:lineRule="auto"/>
        <w:ind w:left="0" w:firstLine="709"/>
        <w:jc w:val="both"/>
        <w:rPr>
          <w:rFonts w:asciiTheme="minorHAnsi" w:hAnsiTheme="minorHAnsi"/>
          <w:sz w:val="20"/>
          <w:szCs w:val="20"/>
          <w:lang w:val="en-US"/>
        </w:rPr>
      </w:pPr>
      <w:r w:rsidRPr="007D47AD">
        <w:rPr>
          <w:rFonts w:asciiTheme="minorHAnsi" w:hAnsiTheme="minorHAnsi"/>
          <w:sz w:val="20"/>
          <w:szCs w:val="20"/>
          <w:lang w:val="en-US"/>
        </w:rPr>
        <w:t xml:space="preserve">According to data provided by the </w:t>
      </w:r>
      <w:r w:rsidR="009C7FFC" w:rsidRPr="007D47AD">
        <w:rPr>
          <w:rFonts w:asciiTheme="minorHAnsi" w:hAnsiTheme="minorHAnsi"/>
          <w:sz w:val="20"/>
          <w:szCs w:val="20"/>
          <w:lang w:val="en-US"/>
        </w:rPr>
        <w:t>FEADLE</w:t>
      </w:r>
      <w:r w:rsidRPr="007D47AD">
        <w:rPr>
          <w:rFonts w:asciiTheme="minorHAnsi" w:hAnsiTheme="minorHAnsi"/>
          <w:sz w:val="20"/>
          <w:szCs w:val="20"/>
          <w:lang w:val="en-US"/>
        </w:rPr>
        <w:t xml:space="preserve"> in January</w:t>
      </w:r>
      <w:r w:rsidR="009C7FFC" w:rsidRPr="007D47AD">
        <w:rPr>
          <w:rFonts w:asciiTheme="minorHAnsi" w:hAnsiTheme="minorHAnsi"/>
          <w:sz w:val="20"/>
          <w:szCs w:val="20"/>
          <w:lang w:val="en-US"/>
        </w:rPr>
        <w:t xml:space="preserve"> 2019 </w:t>
      </w:r>
      <w:r w:rsidRPr="007D47AD">
        <w:rPr>
          <w:rFonts w:asciiTheme="minorHAnsi" w:hAnsiTheme="minorHAnsi"/>
          <w:sz w:val="20"/>
          <w:szCs w:val="20"/>
          <w:lang w:val="en-US"/>
        </w:rPr>
        <w:t xml:space="preserve">to the Office of the Special Rapporteur, in the last eight years only </w:t>
      </w:r>
      <w:r w:rsidR="00197BD1" w:rsidRPr="007D47AD">
        <w:rPr>
          <w:rFonts w:asciiTheme="minorHAnsi" w:hAnsiTheme="minorHAnsi"/>
          <w:sz w:val="20"/>
          <w:szCs w:val="20"/>
          <w:lang w:val="en-US"/>
        </w:rPr>
        <w:t xml:space="preserve">10 </w:t>
      </w:r>
      <w:r w:rsidRPr="007D47AD">
        <w:rPr>
          <w:rFonts w:asciiTheme="minorHAnsi" w:hAnsiTheme="minorHAnsi"/>
          <w:sz w:val="20"/>
          <w:szCs w:val="20"/>
          <w:lang w:val="en-US"/>
        </w:rPr>
        <w:t xml:space="preserve">of </w:t>
      </w:r>
      <w:r w:rsidR="00197BD1" w:rsidRPr="007D47AD">
        <w:rPr>
          <w:rFonts w:asciiTheme="minorHAnsi" w:hAnsiTheme="minorHAnsi"/>
          <w:sz w:val="20"/>
          <w:szCs w:val="20"/>
          <w:lang w:val="en-US"/>
        </w:rPr>
        <w:t>1</w:t>
      </w:r>
      <w:r w:rsidRPr="007D47AD">
        <w:rPr>
          <w:rFonts w:asciiTheme="minorHAnsi" w:hAnsiTheme="minorHAnsi"/>
          <w:sz w:val="20"/>
          <w:szCs w:val="20"/>
          <w:lang w:val="en-US"/>
        </w:rPr>
        <w:t>,</w:t>
      </w:r>
      <w:r w:rsidR="00197BD1" w:rsidRPr="007D47AD">
        <w:rPr>
          <w:rFonts w:asciiTheme="minorHAnsi" w:hAnsiTheme="minorHAnsi"/>
          <w:sz w:val="20"/>
          <w:szCs w:val="20"/>
          <w:lang w:val="en-US"/>
        </w:rPr>
        <w:t>140</w:t>
      </w:r>
      <w:r w:rsidR="009C7FFC" w:rsidRPr="007D47AD">
        <w:rPr>
          <w:rFonts w:asciiTheme="minorHAnsi" w:hAnsiTheme="minorHAnsi"/>
          <w:sz w:val="20"/>
          <w:szCs w:val="20"/>
          <w:vertAlign w:val="superscript"/>
          <w:lang w:val="en-US"/>
        </w:rPr>
        <w:footnoteReference w:id="499"/>
      </w:r>
      <w:r w:rsidR="009C7FFC" w:rsidRPr="007D47AD">
        <w:rPr>
          <w:rFonts w:asciiTheme="minorHAnsi" w:hAnsiTheme="minorHAnsi"/>
          <w:sz w:val="20"/>
          <w:szCs w:val="20"/>
          <w:lang w:val="en-US"/>
        </w:rPr>
        <w:t xml:space="preserve"> investiga</w:t>
      </w:r>
      <w:r w:rsidRPr="007D47AD">
        <w:rPr>
          <w:rFonts w:asciiTheme="minorHAnsi" w:hAnsiTheme="minorHAnsi"/>
          <w:sz w:val="20"/>
          <w:szCs w:val="20"/>
          <w:lang w:val="en-US"/>
        </w:rPr>
        <w:t xml:space="preserve">tions begun resulted in a judgment. This figure allows one to relate the lack of legal consequences in the face of an attack on journalists with the repetition of the acts and the fostering of a climate of intimidation. Of the </w:t>
      </w:r>
      <w:r w:rsidR="009C7FFC" w:rsidRPr="007D47AD">
        <w:rPr>
          <w:rFonts w:asciiTheme="minorHAnsi" w:hAnsiTheme="minorHAnsi"/>
          <w:sz w:val="20"/>
          <w:szCs w:val="20"/>
          <w:lang w:val="en-US"/>
        </w:rPr>
        <w:t>13</w:t>
      </w:r>
      <w:r w:rsidR="00197BD1" w:rsidRPr="007D47AD">
        <w:rPr>
          <w:rFonts w:asciiTheme="minorHAnsi" w:hAnsiTheme="minorHAnsi"/>
          <w:sz w:val="20"/>
          <w:szCs w:val="20"/>
          <w:lang w:val="en-US"/>
        </w:rPr>
        <w:t xml:space="preserve"> </w:t>
      </w:r>
      <w:r w:rsidRPr="007D47AD">
        <w:rPr>
          <w:rFonts w:asciiTheme="minorHAnsi" w:hAnsiTheme="minorHAnsi"/>
          <w:sz w:val="20"/>
          <w:szCs w:val="20"/>
          <w:lang w:val="en-US"/>
        </w:rPr>
        <w:t xml:space="preserve">assassinations reported by the Office of the Special Rapporteur in </w:t>
      </w:r>
      <w:r w:rsidR="009C7FFC" w:rsidRPr="007D47AD">
        <w:rPr>
          <w:rFonts w:asciiTheme="minorHAnsi" w:hAnsiTheme="minorHAnsi"/>
          <w:sz w:val="20"/>
          <w:szCs w:val="20"/>
          <w:lang w:val="en-US"/>
        </w:rPr>
        <w:t xml:space="preserve">2018, </w:t>
      </w:r>
      <w:r w:rsidRPr="007D47AD">
        <w:rPr>
          <w:rFonts w:asciiTheme="minorHAnsi" w:hAnsiTheme="minorHAnsi"/>
          <w:sz w:val="20"/>
          <w:szCs w:val="20"/>
          <w:lang w:val="en-US"/>
        </w:rPr>
        <w:t>to date there has not been a single conviction.</w:t>
      </w:r>
      <w:r w:rsidR="009C7FFC" w:rsidRPr="007D47AD">
        <w:rPr>
          <w:rFonts w:asciiTheme="minorHAnsi" w:hAnsiTheme="minorHAnsi"/>
          <w:sz w:val="20"/>
          <w:szCs w:val="20"/>
          <w:vertAlign w:val="superscript"/>
          <w:lang w:val="en-US"/>
        </w:rPr>
        <w:footnoteReference w:id="500"/>
      </w:r>
      <w:r w:rsidR="004535AF" w:rsidRPr="007D47AD">
        <w:rPr>
          <w:rFonts w:asciiTheme="minorHAnsi" w:hAnsiTheme="minorHAnsi"/>
          <w:sz w:val="20"/>
          <w:szCs w:val="20"/>
          <w:lang w:val="en-US"/>
        </w:rPr>
        <w:t xml:space="preserve"> </w:t>
      </w:r>
      <w:r w:rsidR="00F1218C" w:rsidRPr="007D47AD">
        <w:rPr>
          <w:rFonts w:asciiTheme="minorHAnsi" w:hAnsiTheme="minorHAnsi"/>
          <w:sz w:val="20"/>
          <w:szCs w:val="20"/>
          <w:lang w:val="en-US"/>
        </w:rPr>
        <w:t>I</w:t>
      </w:r>
      <w:r w:rsidR="004535AF" w:rsidRPr="007D47AD">
        <w:rPr>
          <w:rFonts w:asciiTheme="minorHAnsi" w:hAnsiTheme="minorHAnsi"/>
          <w:sz w:val="20"/>
          <w:szCs w:val="20"/>
          <w:lang w:val="en-US"/>
        </w:rPr>
        <w:t xml:space="preserve">n </w:t>
      </w:r>
      <w:r w:rsidR="00F1218C" w:rsidRPr="007D47AD">
        <w:rPr>
          <w:rFonts w:asciiTheme="minorHAnsi" w:hAnsiTheme="minorHAnsi"/>
          <w:sz w:val="20"/>
          <w:szCs w:val="20"/>
          <w:lang w:val="en-US"/>
        </w:rPr>
        <w:t>its observations on the draft of this report the State referred to the case</w:t>
      </w:r>
      <w:r w:rsidR="00CB26E7" w:rsidRPr="007D47AD">
        <w:rPr>
          <w:rFonts w:asciiTheme="minorHAnsi" w:hAnsiTheme="minorHAnsi"/>
          <w:sz w:val="20"/>
          <w:szCs w:val="20"/>
          <w:lang w:val="en-US"/>
        </w:rPr>
        <w:t>-</w:t>
      </w:r>
      <w:r w:rsidR="00F1218C" w:rsidRPr="007D47AD">
        <w:rPr>
          <w:rFonts w:asciiTheme="minorHAnsi" w:hAnsiTheme="minorHAnsi"/>
          <w:sz w:val="20"/>
          <w:szCs w:val="20"/>
          <w:lang w:val="en-US"/>
        </w:rPr>
        <w:t xml:space="preserve">law of the Supreme Court in recent years that has </w:t>
      </w:r>
      <w:r w:rsidR="00CB26E7" w:rsidRPr="007D47AD">
        <w:rPr>
          <w:rFonts w:asciiTheme="minorHAnsi" w:hAnsiTheme="minorHAnsi"/>
          <w:sz w:val="20"/>
          <w:szCs w:val="20"/>
          <w:lang w:val="en-US"/>
        </w:rPr>
        <w:t xml:space="preserve">established </w:t>
      </w:r>
      <w:r w:rsidR="00F1218C" w:rsidRPr="007D47AD">
        <w:rPr>
          <w:rFonts w:asciiTheme="minorHAnsi" w:hAnsiTheme="minorHAnsi"/>
          <w:sz w:val="20"/>
          <w:szCs w:val="20"/>
          <w:lang w:val="en-US"/>
        </w:rPr>
        <w:t xml:space="preserve">constitutional protections for the exercise of journalism, holding that it is not admissible under the Constitution to demand </w:t>
      </w:r>
      <w:r w:rsidR="00443499" w:rsidRPr="007D47AD">
        <w:rPr>
          <w:rFonts w:asciiTheme="minorHAnsi" w:hAnsiTheme="minorHAnsi"/>
          <w:sz w:val="20"/>
          <w:szCs w:val="20"/>
          <w:lang w:val="en-US"/>
        </w:rPr>
        <w:t xml:space="preserve">persons </w:t>
      </w:r>
      <w:r w:rsidR="00F1218C" w:rsidRPr="007D47AD">
        <w:rPr>
          <w:rFonts w:asciiTheme="minorHAnsi" w:hAnsiTheme="minorHAnsi"/>
          <w:sz w:val="20"/>
          <w:szCs w:val="20"/>
          <w:lang w:val="en-US"/>
        </w:rPr>
        <w:t>engaged in journalism t</w:t>
      </w:r>
      <w:r w:rsidR="00443499" w:rsidRPr="007D47AD">
        <w:rPr>
          <w:rFonts w:asciiTheme="minorHAnsi" w:hAnsiTheme="minorHAnsi"/>
          <w:sz w:val="20"/>
          <w:szCs w:val="20"/>
          <w:lang w:val="en-US"/>
        </w:rPr>
        <w:t xml:space="preserve">o </w:t>
      </w:r>
      <w:r w:rsidR="00F1218C" w:rsidRPr="007D47AD">
        <w:rPr>
          <w:rFonts w:asciiTheme="minorHAnsi" w:hAnsiTheme="minorHAnsi"/>
          <w:sz w:val="20"/>
          <w:szCs w:val="20"/>
          <w:lang w:val="en-US"/>
        </w:rPr>
        <w:t xml:space="preserve">show that </w:t>
      </w:r>
      <w:r w:rsidR="00443499" w:rsidRPr="007D47AD">
        <w:rPr>
          <w:rFonts w:asciiTheme="minorHAnsi" w:hAnsiTheme="minorHAnsi"/>
          <w:sz w:val="20"/>
          <w:szCs w:val="20"/>
          <w:lang w:val="en-US"/>
        </w:rPr>
        <w:t xml:space="preserve">they </w:t>
      </w:r>
      <w:r w:rsidR="00F1218C" w:rsidRPr="007D47AD">
        <w:rPr>
          <w:rFonts w:asciiTheme="minorHAnsi" w:hAnsiTheme="minorHAnsi"/>
          <w:sz w:val="20"/>
          <w:szCs w:val="20"/>
          <w:lang w:val="en-US"/>
        </w:rPr>
        <w:t xml:space="preserve">belong to a particular media outlet as a precondition for covering events of public interest, unless the purpose of such a restriction is to afford them greater security and facilitate their work as journalists. </w:t>
      </w:r>
      <w:r w:rsidR="00CB26E7" w:rsidRPr="007D47AD">
        <w:rPr>
          <w:rFonts w:asciiTheme="minorHAnsi" w:hAnsiTheme="minorHAnsi"/>
          <w:sz w:val="20"/>
          <w:szCs w:val="20"/>
          <w:lang w:val="en-US"/>
        </w:rPr>
        <w:t xml:space="preserve">The Supreme Court also ruled that the authorities may not make </w:t>
      </w:r>
      <w:r w:rsidR="00F1218C" w:rsidRPr="007D47AD">
        <w:rPr>
          <w:rFonts w:asciiTheme="minorHAnsi" w:hAnsiTheme="minorHAnsi"/>
          <w:sz w:val="20"/>
          <w:szCs w:val="20"/>
          <w:lang w:val="en-US"/>
        </w:rPr>
        <w:t>the existence of a high level of risk a necessary condition for being able to access the administrative mechanisms of protection;</w:t>
      </w:r>
      <w:r w:rsidR="004535AF" w:rsidRPr="007D47AD">
        <w:rPr>
          <w:rFonts w:asciiTheme="minorHAnsi" w:hAnsiTheme="minorHAnsi"/>
          <w:sz w:val="20"/>
          <w:szCs w:val="20"/>
          <w:lang w:val="en-US"/>
        </w:rPr>
        <w:t xml:space="preserve"> </w:t>
      </w:r>
      <w:r w:rsidR="00F1218C" w:rsidRPr="007D47AD">
        <w:rPr>
          <w:rFonts w:asciiTheme="minorHAnsi" w:hAnsiTheme="minorHAnsi"/>
          <w:sz w:val="20"/>
          <w:szCs w:val="20"/>
          <w:lang w:val="en-US"/>
        </w:rPr>
        <w:t>rather, it suffices for it to be real and immediate and that it be related to, or stem from, journalistic endeavor.</w:t>
      </w:r>
      <w:r w:rsidR="004535AF" w:rsidRPr="007D47AD">
        <w:rPr>
          <w:rStyle w:val="FootnoteReference"/>
          <w:rFonts w:asciiTheme="minorHAnsi" w:hAnsiTheme="minorHAnsi"/>
          <w:sz w:val="20"/>
          <w:szCs w:val="20"/>
          <w:lang w:val="en-US"/>
        </w:rPr>
        <w:footnoteReference w:id="501"/>
      </w:r>
      <w:r w:rsidR="00F1218C" w:rsidRPr="007D47AD">
        <w:rPr>
          <w:rFonts w:asciiTheme="minorHAnsi" w:hAnsiTheme="minorHAnsi"/>
          <w:sz w:val="20"/>
          <w:szCs w:val="20"/>
          <w:lang w:val="en-US"/>
        </w:rPr>
        <w:t xml:space="preserve"> </w:t>
      </w:r>
    </w:p>
    <w:p w:rsidR="009C7FFC" w:rsidRPr="007D47AD" w:rsidRDefault="009C7FFC" w:rsidP="009C7FFC">
      <w:pPr>
        <w:shd w:val="clear" w:color="auto" w:fill="FFFFFF"/>
        <w:spacing w:after="0" w:line="240" w:lineRule="auto"/>
        <w:jc w:val="both"/>
        <w:rPr>
          <w:rFonts w:asciiTheme="minorHAnsi" w:hAnsiTheme="minorHAnsi"/>
          <w:sz w:val="20"/>
          <w:szCs w:val="20"/>
          <w:lang w:val="en-US"/>
        </w:rPr>
      </w:pPr>
    </w:p>
    <w:p w:rsidR="009D63E8" w:rsidRPr="007D47AD" w:rsidRDefault="00C31D11" w:rsidP="009C7FFC">
      <w:pPr>
        <w:numPr>
          <w:ilvl w:val="0"/>
          <w:numId w:val="6"/>
        </w:numPr>
        <w:shd w:val="clear" w:color="auto" w:fill="FFFFFF"/>
        <w:spacing w:after="0" w:line="240" w:lineRule="auto"/>
        <w:ind w:left="0" w:firstLine="709"/>
        <w:jc w:val="both"/>
        <w:rPr>
          <w:rFonts w:asciiTheme="minorHAnsi" w:hAnsiTheme="minorHAnsi"/>
          <w:sz w:val="20"/>
          <w:szCs w:val="20"/>
          <w:lang w:val="en-US"/>
        </w:rPr>
      </w:pPr>
      <w:r w:rsidRPr="007D47AD">
        <w:rPr>
          <w:rFonts w:asciiTheme="minorHAnsi" w:hAnsiTheme="minorHAnsi"/>
          <w:sz w:val="20"/>
          <w:szCs w:val="20"/>
          <w:lang w:val="en-US"/>
        </w:rPr>
        <w:t xml:space="preserve">In view of the foregoing, the IACHR considers that both recommendations have met with partial compliance. </w:t>
      </w:r>
    </w:p>
    <w:p w:rsidR="009D63E8" w:rsidRPr="007D47AD" w:rsidRDefault="009D63E8" w:rsidP="009D63E8">
      <w:pPr>
        <w:shd w:val="clear" w:color="auto" w:fill="FFFFFF"/>
        <w:spacing w:after="0" w:line="240" w:lineRule="auto"/>
        <w:jc w:val="both"/>
        <w:rPr>
          <w:rFonts w:asciiTheme="minorHAnsi" w:hAnsiTheme="minorHAnsi"/>
          <w:sz w:val="20"/>
          <w:szCs w:val="20"/>
          <w:lang w:val="en-US"/>
        </w:rPr>
      </w:pPr>
    </w:p>
    <w:p w:rsidR="009D63E8" w:rsidRPr="007D47AD" w:rsidRDefault="00D62ECC" w:rsidP="00D62ECC">
      <w:pPr>
        <w:numPr>
          <w:ilvl w:val="0"/>
          <w:numId w:val="6"/>
        </w:numPr>
        <w:shd w:val="clear" w:color="auto" w:fill="FFFFFF"/>
        <w:spacing w:line="240" w:lineRule="auto"/>
        <w:ind w:left="0" w:firstLine="709"/>
        <w:jc w:val="both"/>
        <w:rPr>
          <w:rFonts w:asciiTheme="minorHAnsi" w:hAnsiTheme="minorHAnsi"/>
          <w:sz w:val="20"/>
          <w:szCs w:val="20"/>
          <w:lang w:val="en-US"/>
        </w:rPr>
      </w:pPr>
      <w:r w:rsidRPr="007D47AD">
        <w:rPr>
          <w:rFonts w:asciiTheme="minorHAnsi" w:hAnsiTheme="minorHAnsi"/>
          <w:sz w:val="20"/>
          <w:szCs w:val="20"/>
          <w:lang w:val="en-US"/>
        </w:rPr>
        <w:t xml:space="preserve">With respect to the recommendations to </w:t>
      </w:r>
      <w:r w:rsidR="009D63E8" w:rsidRPr="007D47AD">
        <w:rPr>
          <w:rFonts w:asciiTheme="minorHAnsi" w:hAnsiTheme="minorHAnsi"/>
          <w:b/>
          <w:sz w:val="20"/>
          <w:szCs w:val="20"/>
          <w:lang w:val="en-US"/>
        </w:rPr>
        <w:t>remove</w:t>
      </w:r>
      <w:r w:rsidR="004D7F97" w:rsidRPr="007D47AD">
        <w:rPr>
          <w:rFonts w:asciiTheme="minorHAnsi" w:hAnsiTheme="minorHAnsi"/>
          <w:b/>
          <w:sz w:val="20"/>
          <w:szCs w:val="20"/>
          <w:lang w:val="en-US"/>
        </w:rPr>
        <w:t xml:space="preserve"> all obstacles so that, in practice, the Specialized Prosecutor’s Office for Attention to Crimes against Freedom of Expression (FEADLE) may absorb investigation</w:t>
      </w:r>
      <w:r w:rsidR="005B6719" w:rsidRPr="007D47AD">
        <w:rPr>
          <w:rFonts w:asciiTheme="minorHAnsi" w:hAnsiTheme="minorHAnsi"/>
          <w:b/>
          <w:sz w:val="20"/>
          <w:szCs w:val="20"/>
          <w:lang w:val="en-US"/>
        </w:rPr>
        <w:t>s</w:t>
      </w:r>
      <w:r w:rsidR="004D7F97" w:rsidRPr="007D47AD">
        <w:rPr>
          <w:rFonts w:asciiTheme="minorHAnsi" w:hAnsiTheme="minorHAnsi"/>
          <w:b/>
          <w:sz w:val="20"/>
          <w:szCs w:val="20"/>
          <w:lang w:val="en-US"/>
        </w:rPr>
        <w:t xml:space="preserve"> of crimes against journalists and against freedom of expression</w:t>
      </w:r>
      <w:r w:rsidR="00DE085C" w:rsidRPr="007D47AD">
        <w:rPr>
          <w:rFonts w:asciiTheme="minorHAnsi" w:hAnsiTheme="minorHAnsi"/>
          <w:b/>
          <w:sz w:val="20"/>
          <w:szCs w:val="20"/>
          <w:lang w:val="en-US"/>
        </w:rPr>
        <w:t xml:space="preserve"> </w:t>
      </w:r>
      <w:r w:rsidR="004D7F97" w:rsidRPr="007D47AD">
        <w:rPr>
          <w:rFonts w:asciiTheme="minorHAnsi" w:hAnsiTheme="minorHAnsi"/>
          <w:sz w:val="20"/>
          <w:szCs w:val="20"/>
          <w:lang w:val="en-US"/>
        </w:rPr>
        <w:t>and</w:t>
      </w:r>
      <w:r w:rsidR="00DE085C" w:rsidRPr="007D47AD">
        <w:rPr>
          <w:rFonts w:asciiTheme="minorHAnsi" w:hAnsiTheme="minorHAnsi"/>
          <w:sz w:val="20"/>
          <w:szCs w:val="20"/>
          <w:lang w:val="en-US"/>
        </w:rPr>
        <w:t xml:space="preserve"> </w:t>
      </w:r>
      <w:r w:rsidR="004D7F97" w:rsidRPr="007D47AD">
        <w:rPr>
          <w:rFonts w:asciiTheme="minorHAnsi" w:hAnsiTheme="minorHAnsi"/>
          <w:b/>
          <w:sz w:val="20"/>
          <w:szCs w:val="20"/>
          <w:lang w:val="en-US"/>
        </w:rPr>
        <w:t>improve the relationship of the different jurisdictions</w:t>
      </w:r>
      <w:r w:rsidR="004D7F97" w:rsidRPr="007D47AD">
        <w:rPr>
          <w:rFonts w:asciiTheme="minorHAnsi" w:hAnsiTheme="minorHAnsi"/>
          <w:bCs/>
          <w:sz w:val="20"/>
          <w:szCs w:val="20"/>
          <w:lang w:val="en-US"/>
        </w:rPr>
        <w:t xml:space="preserve">, </w:t>
      </w:r>
      <w:r w:rsidRPr="007D47AD">
        <w:rPr>
          <w:rFonts w:asciiTheme="minorHAnsi" w:hAnsiTheme="minorHAnsi"/>
          <w:sz w:val="20"/>
          <w:szCs w:val="20"/>
          <w:lang w:val="en-US"/>
        </w:rPr>
        <w:t xml:space="preserve">the State expressed its commitment for the </w:t>
      </w:r>
      <w:r w:rsidR="009D63E8" w:rsidRPr="007D47AD">
        <w:rPr>
          <w:rFonts w:asciiTheme="minorHAnsi" w:hAnsiTheme="minorHAnsi"/>
          <w:sz w:val="20"/>
          <w:szCs w:val="20"/>
          <w:lang w:val="en-US"/>
        </w:rPr>
        <w:t xml:space="preserve">FEADLE </w:t>
      </w:r>
      <w:r w:rsidRPr="007D47AD">
        <w:rPr>
          <w:rFonts w:asciiTheme="minorHAnsi" w:hAnsiTheme="minorHAnsi"/>
          <w:sz w:val="20"/>
          <w:szCs w:val="20"/>
          <w:lang w:val="en-US"/>
        </w:rPr>
        <w:t xml:space="preserve">to continue exercising its mandate and noted that from </w:t>
      </w:r>
      <w:r w:rsidR="009D63E8" w:rsidRPr="007D47AD">
        <w:rPr>
          <w:rFonts w:asciiTheme="minorHAnsi" w:hAnsiTheme="minorHAnsi"/>
          <w:sz w:val="20"/>
          <w:szCs w:val="20"/>
          <w:lang w:val="en-US"/>
        </w:rPr>
        <w:t xml:space="preserve">2013 </w:t>
      </w:r>
      <w:r w:rsidRPr="007D47AD">
        <w:rPr>
          <w:rFonts w:asciiTheme="minorHAnsi" w:hAnsiTheme="minorHAnsi"/>
          <w:sz w:val="20"/>
          <w:szCs w:val="20"/>
          <w:lang w:val="en-US"/>
        </w:rPr>
        <w:t xml:space="preserve">to </w:t>
      </w:r>
      <w:r w:rsidR="009D63E8" w:rsidRPr="007D47AD">
        <w:rPr>
          <w:rFonts w:asciiTheme="minorHAnsi" w:hAnsiTheme="minorHAnsi"/>
          <w:sz w:val="20"/>
          <w:szCs w:val="20"/>
          <w:lang w:val="en-US"/>
        </w:rPr>
        <w:t xml:space="preserve">2019 </w:t>
      </w:r>
      <w:r w:rsidRPr="007D47AD">
        <w:rPr>
          <w:rFonts w:asciiTheme="minorHAnsi" w:hAnsiTheme="minorHAnsi"/>
          <w:sz w:val="20"/>
          <w:szCs w:val="20"/>
          <w:lang w:val="en-US"/>
        </w:rPr>
        <w:t xml:space="preserve">that organ exercised its power </w:t>
      </w:r>
      <w:r w:rsidR="005B6719" w:rsidRPr="007D47AD">
        <w:rPr>
          <w:rFonts w:asciiTheme="minorHAnsi" w:hAnsiTheme="minorHAnsi"/>
          <w:sz w:val="20"/>
          <w:szCs w:val="20"/>
          <w:lang w:val="en-US"/>
        </w:rPr>
        <w:t xml:space="preserve">take charge of cases </w:t>
      </w:r>
      <w:r w:rsidR="009D63E8" w:rsidRPr="007D47AD">
        <w:rPr>
          <w:rFonts w:asciiTheme="minorHAnsi" w:hAnsiTheme="minorHAnsi"/>
          <w:sz w:val="20"/>
          <w:szCs w:val="20"/>
          <w:lang w:val="en-US"/>
        </w:rPr>
        <w:t xml:space="preserve">60 </w:t>
      </w:r>
      <w:r w:rsidRPr="007D47AD">
        <w:rPr>
          <w:rFonts w:asciiTheme="minorHAnsi" w:hAnsiTheme="minorHAnsi"/>
          <w:sz w:val="20"/>
          <w:szCs w:val="20"/>
          <w:lang w:val="en-US"/>
        </w:rPr>
        <w:t>times.</w:t>
      </w:r>
      <w:r w:rsidR="009D63E8" w:rsidRPr="007D47AD">
        <w:rPr>
          <w:rStyle w:val="FootnoteReference"/>
          <w:rFonts w:asciiTheme="minorHAnsi" w:hAnsiTheme="minorHAnsi"/>
          <w:sz w:val="20"/>
          <w:szCs w:val="20"/>
          <w:lang w:val="en-US"/>
        </w:rPr>
        <w:footnoteReference w:id="502"/>
      </w:r>
      <w:r w:rsidR="009D63E8" w:rsidRPr="007D47AD">
        <w:rPr>
          <w:rFonts w:asciiTheme="minorHAnsi" w:hAnsiTheme="minorHAnsi"/>
          <w:sz w:val="20"/>
          <w:szCs w:val="20"/>
          <w:lang w:val="en-US"/>
        </w:rPr>
        <w:t xml:space="preserve"> </w:t>
      </w:r>
    </w:p>
    <w:p w:rsidR="002F6A8C" w:rsidRPr="007D47AD" w:rsidRDefault="00D62ECC" w:rsidP="005B6719">
      <w:pPr>
        <w:numPr>
          <w:ilvl w:val="0"/>
          <w:numId w:val="6"/>
        </w:numPr>
        <w:shd w:val="clear" w:color="auto" w:fill="FFFFFF"/>
        <w:spacing w:after="0" w:line="240" w:lineRule="auto"/>
        <w:ind w:left="0" w:firstLine="709"/>
        <w:jc w:val="both"/>
        <w:rPr>
          <w:rFonts w:asciiTheme="minorHAnsi" w:hAnsiTheme="minorHAnsi"/>
          <w:sz w:val="20"/>
          <w:szCs w:val="20"/>
          <w:lang w:val="en-US"/>
        </w:rPr>
      </w:pPr>
      <w:r w:rsidRPr="007D47AD">
        <w:rPr>
          <w:rFonts w:asciiTheme="minorHAnsi" w:hAnsiTheme="minorHAnsi"/>
          <w:sz w:val="20"/>
          <w:szCs w:val="20"/>
          <w:lang w:val="en-US"/>
        </w:rPr>
        <w:t xml:space="preserve">For the IACHR, the </w:t>
      </w:r>
      <w:r w:rsidR="00DE085C" w:rsidRPr="007D47AD">
        <w:rPr>
          <w:rFonts w:asciiTheme="minorHAnsi" w:hAnsiTheme="minorHAnsi"/>
          <w:sz w:val="20"/>
          <w:szCs w:val="20"/>
          <w:lang w:val="en-US"/>
        </w:rPr>
        <w:t xml:space="preserve">FEADLE </w:t>
      </w:r>
      <w:r w:rsidRPr="007D47AD">
        <w:rPr>
          <w:rFonts w:asciiTheme="minorHAnsi" w:hAnsiTheme="minorHAnsi"/>
          <w:sz w:val="20"/>
          <w:szCs w:val="20"/>
          <w:lang w:val="en-US"/>
        </w:rPr>
        <w:t>must have all the conditions to exercise its legal powers to depl</w:t>
      </w:r>
      <w:r w:rsidR="005B6719" w:rsidRPr="007D47AD">
        <w:rPr>
          <w:rFonts w:asciiTheme="minorHAnsi" w:hAnsiTheme="minorHAnsi"/>
          <w:sz w:val="20"/>
          <w:szCs w:val="20"/>
          <w:lang w:val="en-US"/>
        </w:rPr>
        <w:t>o</w:t>
      </w:r>
      <w:r w:rsidRPr="007D47AD">
        <w:rPr>
          <w:rFonts w:asciiTheme="minorHAnsi" w:hAnsiTheme="minorHAnsi"/>
          <w:sz w:val="20"/>
          <w:szCs w:val="20"/>
          <w:lang w:val="en-US"/>
        </w:rPr>
        <w:t xml:space="preserve">y its authority over cases of assassinations, kidnappings, </w:t>
      </w:r>
      <w:r w:rsidR="005B6719" w:rsidRPr="007D47AD">
        <w:rPr>
          <w:rFonts w:asciiTheme="minorHAnsi" w:hAnsiTheme="minorHAnsi"/>
          <w:sz w:val="20"/>
          <w:szCs w:val="20"/>
          <w:lang w:val="en-US"/>
        </w:rPr>
        <w:t xml:space="preserve">and </w:t>
      </w:r>
      <w:r w:rsidRPr="007D47AD">
        <w:rPr>
          <w:rFonts w:asciiTheme="minorHAnsi" w:hAnsiTheme="minorHAnsi"/>
          <w:sz w:val="20"/>
          <w:szCs w:val="20"/>
          <w:lang w:val="en-US"/>
        </w:rPr>
        <w:t xml:space="preserve">disappearances of journalists in the states with the highest levels of </w:t>
      </w:r>
      <w:r w:rsidR="00DE085C" w:rsidRPr="007D47AD">
        <w:rPr>
          <w:rFonts w:asciiTheme="minorHAnsi" w:hAnsiTheme="minorHAnsi"/>
          <w:sz w:val="20"/>
          <w:szCs w:val="20"/>
          <w:lang w:val="en-US"/>
        </w:rPr>
        <w:t>violenc</w:t>
      </w:r>
      <w:r w:rsidRPr="007D47AD">
        <w:rPr>
          <w:rFonts w:asciiTheme="minorHAnsi" w:hAnsiTheme="minorHAnsi"/>
          <w:sz w:val="20"/>
          <w:szCs w:val="20"/>
          <w:lang w:val="en-US"/>
        </w:rPr>
        <w:t xml:space="preserve">e and </w:t>
      </w:r>
      <w:r w:rsidR="00DE085C" w:rsidRPr="007D47AD">
        <w:rPr>
          <w:rFonts w:asciiTheme="minorHAnsi" w:hAnsiTheme="minorHAnsi"/>
          <w:sz w:val="20"/>
          <w:szCs w:val="20"/>
          <w:lang w:val="en-US"/>
        </w:rPr>
        <w:t>impuni</w:t>
      </w:r>
      <w:r w:rsidRPr="007D47AD">
        <w:rPr>
          <w:rFonts w:asciiTheme="minorHAnsi" w:hAnsiTheme="minorHAnsi"/>
          <w:sz w:val="20"/>
          <w:szCs w:val="20"/>
          <w:lang w:val="en-US"/>
        </w:rPr>
        <w:t>ty</w:t>
      </w:r>
      <w:r w:rsidR="00DE085C" w:rsidRPr="007D47AD">
        <w:rPr>
          <w:rFonts w:asciiTheme="minorHAnsi" w:hAnsiTheme="minorHAnsi"/>
          <w:sz w:val="20"/>
          <w:szCs w:val="20"/>
          <w:lang w:val="en-US"/>
        </w:rPr>
        <w:t>.</w:t>
      </w:r>
      <w:r w:rsidR="006968B7" w:rsidRPr="007D47AD">
        <w:rPr>
          <w:rFonts w:asciiTheme="minorHAnsi" w:hAnsiTheme="minorHAnsi"/>
          <w:sz w:val="20"/>
          <w:szCs w:val="20"/>
          <w:lang w:val="en-US"/>
        </w:rPr>
        <w:t xml:space="preserve"> </w:t>
      </w:r>
      <w:r w:rsidRPr="007D47AD">
        <w:rPr>
          <w:rFonts w:asciiTheme="minorHAnsi" w:hAnsiTheme="minorHAnsi"/>
          <w:sz w:val="20"/>
          <w:szCs w:val="20"/>
          <w:lang w:val="en-US"/>
        </w:rPr>
        <w:t>In addition, the IACHR observes with concern that the implementation of the Protection Mechanism for journalists continues to be hardly effective</w:t>
      </w:r>
      <w:r w:rsidR="006968B7" w:rsidRPr="007D47AD">
        <w:rPr>
          <w:rFonts w:asciiTheme="minorHAnsi" w:hAnsiTheme="minorHAnsi"/>
          <w:sz w:val="20"/>
          <w:szCs w:val="20"/>
          <w:lang w:val="en-US"/>
        </w:rPr>
        <w:t xml:space="preserve">, </w:t>
      </w:r>
      <w:r w:rsidRPr="007D47AD">
        <w:rPr>
          <w:rFonts w:asciiTheme="minorHAnsi" w:hAnsiTheme="minorHAnsi"/>
          <w:sz w:val="20"/>
          <w:szCs w:val="20"/>
          <w:lang w:val="en-US"/>
        </w:rPr>
        <w:t xml:space="preserve">without any evidence, based on reports, of good levels of coordination between the </w:t>
      </w:r>
      <w:r w:rsidR="005B6719" w:rsidRPr="007D47AD">
        <w:rPr>
          <w:rFonts w:asciiTheme="minorHAnsi" w:hAnsiTheme="minorHAnsi"/>
          <w:sz w:val="20"/>
          <w:szCs w:val="20"/>
          <w:lang w:val="en-US"/>
        </w:rPr>
        <w:t xml:space="preserve">administration </w:t>
      </w:r>
      <w:r w:rsidRPr="007D47AD">
        <w:rPr>
          <w:rFonts w:asciiTheme="minorHAnsi" w:hAnsiTheme="minorHAnsi"/>
          <w:sz w:val="20"/>
          <w:szCs w:val="20"/>
          <w:lang w:val="en-US"/>
        </w:rPr>
        <w:t xml:space="preserve">and other institutions. The IACHR views positively the signing of cooperation agreements with the </w:t>
      </w:r>
      <w:r w:rsidR="00DE085C" w:rsidRPr="007D47AD">
        <w:rPr>
          <w:rFonts w:asciiTheme="minorHAnsi" w:hAnsiTheme="minorHAnsi"/>
          <w:sz w:val="20"/>
          <w:szCs w:val="20"/>
          <w:lang w:val="en-US"/>
        </w:rPr>
        <w:t xml:space="preserve">32 </w:t>
      </w:r>
      <w:r w:rsidRPr="007D47AD">
        <w:rPr>
          <w:rFonts w:asciiTheme="minorHAnsi" w:hAnsiTheme="minorHAnsi"/>
          <w:sz w:val="20"/>
          <w:szCs w:val="20"/>
          <w:lang w:val="en-US"/>
        </w:rPr>
        <w:t xml:space="preserve">states, yet so long as they are not binding and the Federal Government cannot demand their implementation, the impact on the adequate implementation of the measures of protection is worrisome. In addition to the foregoing, the lack of participation of the security forces in the </w:t>
      </w:r>
      <w:r w:rsidR="00DE085C" w:rsidRPr="007D47AD">
        <w:rPr>
          <w:rFonts w:asciiTheme="minorHAnsi" w:hAnsiTheme="minorHAnsi"/>
          <w:sz w:val="20"/>
          <w:szCs w:val="20"/>
          <w:lang w:val="en-US"/>
        </w:rPr>
        <w:t xml:space="preserve">programs, </w:t>
      </w:r>
      <w:r w:rsidRPr="007D47AD">
        <w:rPr>
          <w:rFonts w:asciiTheme="minorHAnsi" w:hAnsiTheme="minorHAnsi"/>
          <w:sz w:val="20"/>
          <w:szCs w:val="20"/>
          <w:lang w:val="en-US"/>
        </w:rPr>
        <w:t xml:space="preserve">the reactive and police intervention, </w:t>
      </w:r>
      <w:r w:rsidR="005B6719" w:rsidRPr="007D47AD">
        <w:rPr>
          <w:rFonts w:asciiTheme="minorHAnsi" w:hAnsiTheme="minorHAnsi"/>
          <w:sz w:val="20"/>
          <w:szCs w:val="20"/>
          <w:lang w:val="en-US"/>
        </w:rPr>
        <w:t xml:space="preserve">and </w:t>
      </w:r>
      <w:r w:rsidRPr="007D47AD">
        <w:rPr>
          <w:rFonts w:asciiTheme="minorHAnsi" w:hAnsiTheme="minorHAnsi"/>
          <w:sz w:val="20"/>
          <w:szCs w:val="20"/>
          <w:lang w:val="en-US"/>
        </w:rPr>
        <w:t>the absence of risk analysis and measures of protection in keeping with the needs of the human rights defenders are some of the difficulties with the mechanism.</w:t>
      </w:r>
      <w:r w:rsidR="00DE085C" w:rsidRPr="007D47AD">
        <w:rPr>
          <w:rFonts w:asciiTheme="minorHAnsi" w:hAnsiTheme="minorHAnsi"/>
          <w:sz w:val="20"/>
          <w:szCs w:val="20"/>
          <w:vertAlign w:val="superscript"/>
          <w:lang w:val="en-US"/>
        </w:rPr>
        <w:footnoteReference w:id="503"/>
      </w:r>
      <w:r w:rsidR="004738CD" w:rsidRPr="007D47AD">
        <w:rPr>
          <w:rFonts w:asciiTheme="minorHAnsi" w:hAnsiTheme="minorHAnsi"/>
          <w:sz w:val="20"/>
          <w:szCs w:val="20"/>
          <w:lang w:val="en-US"/>
        </w:rPr>
        <w:t xml:space="preserve"> </w:t>
      </w:r>
      <w:r w:rsidRPr="007D47AD">
        <w:rPr>
          <w:rFonts w:asciiTheme="minorHAnsi" w:hAnsiTheme="minorHAnsi"/>
          <w:sz w:val="20"/>
          <w:szCs w:val="20"/>
          <w:lang w:val="en-US"/>
        </w:rPr>
        <w:t>In view of the foregoing, the IACHR considers that the recommendation ha</w:t>
      </w:r>
      <w:r w:rsidR="005B6719" w:rsidRPr="007D47AD">
        <w:rPr>
          <w:rFonts w:asciiTheme="minorHAnsi" w:hAnsiTheme="minorHAnsi"/>
          <w:sz w:val="20"/>
          <w:szCs w:val="20"/>
          <w:lang w:val="en-US"/>
        </w:rPr>
        <w:t>s</w:t>
      </w:r>
      <w:r w:rsidRPr="007D47AD">
        <w:rPr>
          <w:rFonts w:asciiTheme="minorHAnsi" w:hAnsiTheme="minorHAnsi"/>
          <w:sz w:val="20"/>
          <w:szCs w:val="20"/>
          <w:lang w:val="en-US"/>
        </w:rPr>
        <w:t xml:space="preserve"> met with partial compliance. </w:t>
      </w:r>
    </w:p>
    <w:p w:rsidR="004738CD" w:rsidRPr="007D47AD" w:rsidRDefault="004738CD" w:rsidP="004738CD">
      <w:pPr>
        <w:shd w:val="clear" w:color="auto" w:fill="FFFFFF"/>
        <w:spacing w:after="0" w:line="240" w:lineRule="auto"/>
        <w:ind w:left="709"/>
        <w:jc w:val="both"/>
        <w:rPr>
          <w:rFonts w:asciiTheme="minorHAnsi" w:hAnsiTheme="minorHAnsi"/>
          <w:sz w:val="20"/>
          <w:szCs w:val="20"/>
          <w:lang w:val="en-US"/>
        </w:rPr>
      </w:pPr>
    </w:p>
    <w:p w:rsidR="003A1980" w:rsidRPr="007D47AD" w:rsidRDefault="00D62ECC" w:rsidP="003A1980">
      <w:pPr>
        <w:numPr>
          <w:ilvl w:val="0"/>
          <w:numId w:val="6"/>
        </w:numPr>
        <w:shd w:val="clear" w:color="auto" w:fill="FFFFFF"/>
        <w:spacing w:after="0" w:line="240" w:lineRule="auto"/>
        <w:ind w:left="0" w:firstLine="709"/>
        <w:jc w:val="both"/>
        <w:rPr>
          <w:rFonts w:ascii="Cambria" w:hAnsi="Cambria"/>
          <w:sz w:val="20"/>
          <w:szCs w:val="20"/>
          <w:lang w:val="en-US"/>
        </w:rPr>
      </w:pPr>
      <w:r w:rsidRPr="007D47AD">
        <w:rPr>
          <w:rFonts w:asciiTheme="minorHAnsi" w:hAnsiTheme="minorHAnsi"/>
          <w:sz w:val="20"/>
          <w:szCs w:val="20"/>
          <w:lang w:val="en-US"/>
        </w:rPr>
        <w:lastRenderedPageBreak/>
        <w:t xml:space="preserve">With respect to the recommendation to </w:t>
      </w:r>
      <w:r w:rsidR="004738CD" w:rsidRPr="007D47AD">
        <w:rPr>
          <w:rFonts w:ascii="Cambria" w:hAnsi="Cambria"/>
          <w:b/>
          <w:sz w:val="20"/>
          <w:szCs w:val="20"/>
          <w:lang w:val="en-US"/>
        </w:rPr>
        <w:t>ma</w:t>
      </w:r>
      <w:r w:rsidR="004D7F97" w:rsidRPr="007D47AD">
        <w:rPr>
          <w:rFonts w:ascii="Cambria" w:hAnsi="Cambria"/>
          <w:b/>
          <w:sz w:val="20"/>
          <w:szCs w:val="20"/>
          <w:lang w:val="en-US"/>
        </w:rPr>
        <w:t>i</w:t>
      </w:r>
      <w:r w:rsidR="004738CD" w:rsidRPr="007D47AD">
        <w:rPr>
          <w:rFonts w:ascii="Cambria" w:hAnsi="Cambria"/>
          <w:b/>
          <w:sz w:val="20"/>
          <w:szCs w:val="20"/>
          <w:lang w:val="en-US"/>
        </w:rPr>
        <w:t>nt</w:t>
      </w:r>
      <w:r w:rsidR="004D7F97" w:rsidRPr="007D47AD">
        <w:rPr>
          <w:rFonts w:ascii="Cambria" w:hAnsi="Cambria"/>
          <w:b/>
          <w:sz w:val="20"/>
          <w:szCs w:val="20"/>
          <w:lang w:val="en-US"/>
        </w:rPr>
        <w:t xml:space="preserve">ain the FEADLE’s character as a specialized prosecutor’s office and vest it with sufficient financial and human resources so that it may do is work and adopt special protocols for investigation in light of which it should completely and sufficiently exhaust the hypothesis of the relationship between the homicide or attack and the </w:t>
      </w:r>
      <w:r w:rsidR="00B85B55" w:rsidRPr="007D47AD">
        <w:rPr>
          <w:rFonts w:ascii="Cambria" w:hAnsi="Cambria"/>
          <w:b/>
          <w:sz w:val="20"/>
          <w:szCs w:val="20"/>
          <w:lang w:val="en-US"/>
        </w:rPr>
        <w:t>journalistic activity,</w:t>
      </w:r>
      <w:r w:rsidRPr="007D47AD">
        <w:rPr>
          <w:rFonts w:ascii="Cambria" w:hAnsi="Cambria"/>
          <w:b/>
          <w:sz w:val="20"/>
          <w:szCs w:val="20"/>
          <w:lang w:val="en-US"/>
        </w:rPr>
        <w:t xml:space="preserve"> </w:t>
      </w:r>
      <w:r w:rsidRPr="007D47AD">
        <w:rPr>
          <w:rFonts w:ascii="Cambria" w:hAnsi="Cambria"/>
          <w:sz w:val="20"/>
          <w:szCs w:val="20"/>
          <w:lang w:val="en-US"/>
        </w:rPr>
        <w:t>the State reported that as a</w:t>
      </w:r>
      <w:r w:rsidR="000B64A4" w:rsidRPr="007D47AD">
        <w:rPr>
          <w:rFonts w:ascii="Cambria" w:hAnsi="Cambria"/>
          <w:sz w:val="20"/>
          <w:szCs w:val="20"/>
          <w:lang w:val="en-US"/>
        </w:rPr>
        <w:t xml:space="preserve">n evaluation mechanism </w:t>
      </w:r>
      <w:r w:rsidR="00820BDB" w:rsidRPr="007D47AD">
        <w:rPr>
          <w:rFonts w:ascii="Cambria" w:hAnsi="Cambria"/>
          <w:sz w:val="20"/>
          <w:szCs w:val="20"/>
          <w:lang w:val="en-US"/>
        </w:rPr>
        <w:t xml:space="preserve">it </w:t>
      </w:r>
      <w:r w:rsidR="000B64A4" w:rsidRPr="007D47AD">
        <w:rPr>
          <w:rFonts w:ascii="Cambria" w:hAnsi="Cambria"/>
          <w:sz w:val="20"/>
          <w:szCs w:val="20"/>
          <w:lang w:val="en-US"/>
        </w:rPr>
        <w:t xml:space="preserve">drew up a standard of competence </w:t>
      </w:r>
      <w:r w:rsidR="00B85B55" w:rsidRPr="007D47AD">
        <w:rPr>
          <w:rFonts w:ascii="Cambria" w:hAnsi="Cambria"/>
          <w:sz w:val="20"/>
          <w:szCs w:val="20"/>
          <w:lang w:val="en-US"/>
        </w:rPr>
        <w:t xml:space="preserve">for </w:t>
      </w:r>
      <w:r w:rsidR="000B64A4" w:rsidRPr="007D47AD">
        <w:rPr>
          <w:rFonts w:ascii="Cambria" w:hAnsi="Cambria"/>
          <w:sz w:val="20"/>
          <w:szCs w:val="20"/>
          <w:lang w:val="en-US"/>
        </w:rPr>
        <w:t xml:space="preserve">“Investigation of crimes committed against the freedom of expression with a differential and specialized approach,” which would make it possible to show the knowledge, skills, and attitudes required for performing such investigations. In addition, the State referred to information from </w:t>
      </w:r>
      <w:r w:rsidR="00E4386D" w:rsidRPr="007D47AD">
        <w:rPr>
          <w:rFonts w:ascii="Cambria" w:hAnsi="Cambria"/>
          <w:sz w:val="20"/>
          <w:szCs w:val="20"/>
          <w:lang w:val="en-US"/>
        </w:rPr>
        <w:t xml:space="preserve">2018 </w:t>
      </w:r>
      <w:r w:rsidR="000B64A4" w:rsidRPr="007D47AD">
        <w:rPr>
          <w:rFonts w:ascii="Cambria" w:hAnsi="Cambria"/>
          <w:sz w:val="20"/>
          <w:szCs w:val="20"/>
          <w:lang w:val="en-US"/>
        </w:rPr>
        <w:t xml:space="preserve">and indicated that the National Institute of Criminal Sciences (INACIPE: </w:t>
      </w:r>
      <w:r w:rsidR="003A1980" w:rsidRPr="007D47AD">
        <w:rPr>
          <w:rFonts w:ascii="Cambria" w:hAnsi="Cambria"/>
          <w:sz w:val="20"/>
          <w:szCs w:val="20"/>
          <w:lang w:val="en-US"/>
        </w:rPr>
        <w:t xml:space="preserve">Instituto Nacional de Ciencias Penales), </w:t>
      </w:r>
      <w:r w:rsidR="000B64A4" w:rsidRPr="007D47AD">
        <w:rPr>
          <w:rFonts w:ascii="Cambria" w:hAnsi="Cambria"/>
          <w:sz w:val="20"/>
          <w:szCs w:val="20"/>
          <w:lang w:val="en-US"/>
        </w:rPr>
        <w:t xml:space="preserve">in collaboration with the United States Agency for International Development </w:t>
      </w:r>
      <w:r w:rsidR="003A1980" w:rsidRPr="007D47AD">
        <w:rPr>
          <w:rFonts w:ascii="Cambria" w:hAnsi="Cambria"/>
          <w:sz w:val="20"/>
          <w:szCs w:val="20"/>
          <w:lang w:val="en-US"/>
        </w:rPr>
        <w:t xml:space="preserve">(USAID), </w:t>
      </w:r>
      <w:r w:rsidR="000B64A4" w:rsidRPr="007D47AD">
        <w:rPr>
          <w:rFonts w:ascii="Cambria" w:hAnsi="Cambria"/>
          <w:sz w:val="20"/>
          <w:szCs w:val="20"/>
          <w:lang w:val="en-US"/>
        </w:rPr>
        <w:t xml:space="preserve">gave the personnel of </w:t>
      </w:r>
      <w:r w:rsidR="003A1980" w:rsidRPr="007D47AD">
        <w:rPr>
          <w:rFonts w:ascii="Cambria" w:hAnsi="Cambria"/>
          <w:sz w:val="20"/>
          <w:szCs w:val="20"/>
          <w:lang w:val="en-US"/>
        </w:rPr>
        <w:t>FEADLE</w:t>
      </w:r>
      <w:r w:rsidR="000B64A4" w:rsidRPr="007D47AD">
        <w:rPr>
          <w:rFonts w:ascii="Cambria" w:hAnsi="Cambria"/>
          <w:sz w:val="20"/>
          <w:szCs w:val="20"/>
          <w:lang w:val="en-US"/>
        </w:rPr>
        <w:t xml:space="preserve"> the course </w:t>
      </w:r>
      <w:r w:rsidR="003A1980" w:rsidRPr="007D47AD">
        <w:rPr>
          <w:rFonts w:ascii="Cambria" w:hAnsi="Cambria"/>
          <w:sz w:val="20"/>
          <w:szCs w:val="20"/>
          <w:lang w:val="en-US"/>
        </w:rPr>
        <w:t>“Investiga</w:t>
      </w:r>
      <w:r w:rsidR="000B64A4" w:rsidRPr="007D47AD">
        <w:rPr>
          <w:rFonts w:ascii="Cambria" w:hAnsi="Cambria"/>
          <w:sz w:val="20"/>
          <w:szCs w:val="20"/>
          <w:lang w:val="en-US"/>
        </w:rPr>
        <w:t xml:space="preserve">ting crimes against freedom of expression” from October 23 to November </w:t>
      </w:r>
      <w:r w:rsidR="003A1980" w:rsidRPr="007D47AD">
        <w:rPr>
          <w:rFonts w:ascii="Cambria" w:hAnsi="Cambria"/>
          <w:sz w:val="20"/>
          <w:szCs w:val="20"/>
          <w:lang w:val="en-US"/>
        </w:rPr>
        <w:t>6</w:t>
      </w:r>
      <w:r w:rsidR="000B64A4" w:rsidRPr="007D47AD">
        <w:rPr>
          <w:rFonts w:ascii="Cambria" w:hAnsi="Cambria"/>
          <w:sz w:val="20"/>
          <w:szCs w:val="20"/>
          <w:lang w:val="en-US"/>
        </w:rPr>
        <w:t>,</w:t>
      </w:r>
      <w:r w:rsidR="003A1980" w:rsidRPr="007D47AD">
        <w:rPr>
          <w:rFonts w:ascii="Cambria" w:hAnsi="Cambria"/>
          <w:sz w:val="20"/>
          <w:szCs w:val="20"/>
          <w:lang w:val="en-US"/>
        </w:rPr>
        <w:t xml:space="preserve"> 2018</w:t>
      </w:r>
      <w:r w:rsidR="000B64A4" w:rsidRPr="007D47AD">
        <w:rPr>
          <w:rFonts w:ascii="Cambria" w:hAnsi="Cambria"/>
          <w:sz w:val="20"/>
          <w:szCs w:val="20"/>
          <w:lang w:val="en-US"/>
        </w:rPr>
        <w:t>.</w:t>
      </w:r>
      <w:r w:rsidR="003A1980" w:rsidRPr="007D47AD">
        <w:rPr>
          <w:rFonts w:ascii="Cambria" w:hAnsi="Cambria"/>
          <w:sz w:val="20"/>
          <w:szCs w:val="20"/>
          <w:vertAlign w:val="superscript"/>
          <w:lang w:val="en-US"/>
        </w:rPr>
        <w:footnoteReference w:id="504"/>
      </w:r>
      <w:r w:rsidR="003A1980" w:rsidRPr="007D47AD">
        <w:rPr>
          <w:rFonts w:ascii="Cambria" w:hAnsi="Cambria"/>
          <w:sz w:val="20"/>
          <w:szCs w:val="20"/>
          <w:lang w:val="en-US"/>
        </w:rPr>
        <w:t xml:space="preserve"> </w:t>
      </w:r>
      <w:r w:rsidR="00BA1B6B" w:rsidRPr="007D47AD">
        <w:rPr>
          <w:rFonts w:ascii="Cambria" w:hAnsi="Cambria"/>
          <w:sz w:val="20"/>
          <w:szCs w:val="20"/>
          <w:lang w:val="en-US"/>
        </w:rPr>
        <w:t xml:space="preserve">The IACHR has also taken note of the coming into force of the Standardized Protocol for </w:t>
      </w:r>
      <w:r w:rsidR="005B6719" w:rsidRPr="007D47AD">
        <w:rPr>
          <w:rFonts w:ascii="Cambria" w:hAnsi="Cambria"/>
          <w:sz w:val="20"/>
          <w:szCs w:val="20"/>
          <w:lang w:val="en-US"/>
        </w:rPr>
        <w:t>I</w:t>
      </w:r>
      <w:r w:rsidR="00BA1B6B" w:rsidRPr="007D47AD">
        <w:rPr>
          <w:rFonts w:ascii="Cambria" w:hAnsi="Cambria"/>
          <w:sz w:val="20"/>
          <w:szCs w:val="20"/>
          <w:lang w:val="en-US"/>
        </w:rPr>
        <w:t xml:space="preserve">nvestigating Crimes Committed Against the Freedom of Expression produced by the </w:t>
      </w:r>
      <w:r w:rsidR="003A1980" w:rsidRPr="007D47AD">
        <w:rPr>
          <w:rFonts w:ascii="Cambria" w:hAnsi="Cambria"/>
          <w:sz w:val="20"/>
          <w:szCs w:val="20"/>
          <w:lang w:val="en-US"/>
        </w:rPr>
        <w:t xml:space="preserve">FEADLE </w:t>
      </w:r>
      <w:r w:rsidR="00BA1B6B" w:rsidRPr="007D47AD">
        <w:rPr>
          <w:rFonts w:ascii="Cambria" w:hAnsi="Cambria"/>
          <w:sz w:val="20"/>
          <w:szCs w:val="20"/>
          <w:lang w:val="en-US"/>
        </w:rPr>
        <w:t xml:space="preserve">in coordination with the civil society organization </w:t>
      </w:r>
      <w:r w:rsidR="003A1980" w:rsidRPr="007D47AD">
        <w:rPr>
          <w:rFonts w:ascii="Cambria" w:hAnsi="Cambria"/>
          <w:sz w:val="20"/>
          <w:szCs w:val="20"/>
          <w:lang w:val="en-US"/>
        </w:rPr>
        <w:t>ProVoces</w:t>
      </w:r>
      <w:r w:rsidR="00BA1B6B" w:rsidRPr="007D47AD">
        <w:rPr>
          <w:rFonts w:ascii="Cambria" w:hAnsi="Cambria"/>
          <w:sz w:val="20"/>
          <w:szCs w:val="20"/>
          <w:lang w:val="en-US"/>
        </w:rPr>
        <w:t>.</w:t>
      </w:r>
      <w:r w:rsidR="003A1980" w:rsidRPr="007D47AD">
        <w:rPr>
          <w:rFonts w:ascii="Cambria" w:hAnsi="Cambria"/>
          <w:sz w:val="20"/>
          <w:szCs w:val="20"/>
          <w:vertAlign w:val="superscript"/>
          <w:lang w:val="en-US"/>
        </w:rPr>
        <w:footnoteReference w:id="505"/>
      </w:r>
    </w:p>
    <w:p w:rsidR="003A1980" w:rsidRPr="007D47AD" w:rsidRDefault="003A1980" w:rsidP="003A1980">
      <w:pPr>
        <w:shd w:val="clear" w:color="auto" w:fill="FFFFFF"/>
        <w:spacing w:after="0" w:line="240" w:lineRule="auto"/>
        <w:ind w:left="709"/>
        <w:jc w:val="both"/>
        <w:rPr>
          <w:rFonts w:ascii="Cambria" w:hAnsi="Cambria"/>
          <w:sz w:val="20"/>
          <w:szCs w:val="20"/>
          <w:lang w:val="en-US"/>
        </w:rPr>
      </w:pPr>
    </w:p>
    <w:p w:rsidR="003A1980" w:rsidRPr="007D47AD" w:rsidRDefault="00BA1B6B" w:rsidP="003A1980">
      <w:pPr>
        <w:numPr>
          <w:ilvl w:val="0"/>
          <w:numId w:val="6"/>
        </w:numPr>
        <w:shd w:val="clear" w:color="auto" w:fill="FFFFFF"/>
        <w:spacing w:after="0" w:line="240" w:lineRule="auto"/>
        <w:ind w:left="0" w:firstLine="709"/>
        <w:jc w:val="both"/>
        <w:rPr>
          <w:rFonts w:ascii="Cambria" w:hAnsi="Cambria"/>
          <w:sz w:val="20"/>
          <w:szCs w:val="20"/>
          <w:lang w:val="en-US"/>
        </w:rPr>
      </w:pPr>
      <w:r w:rsidRPr="007D47AD">
        <w:rPr>
          <w:rFonts w:ascii="Cambria" w:hAnsi="Cambria"/>
          <w:sz w:val="20"/>
          <w:szCs w:val="20"/>
          <w:lang w:val="en-US"/>
        </w:rPr>
        <w:t>According to information provided to the IACHR</w:t>
      </w:r>
      <w:r w:rsidR="003A1980" w:rsidRPr="007D47AD">
        <w:rPr>
          <w:rFonts w:ascii="Cambria" w:hAnsi="Cambria"/>
          <w:sz w:val="20"/>
          <w:szCs w:val="20"/>
          <w:lang w:val="en-US"/>
        </w:rPr>
        <w:t xml:space="preserve">, </w:t>
      </w:r>
      <w:r w:rsidRPr="007D47AD">
        <w:rPr>
          <w:rFonts w:ascii="Cambria" w:hAnsi="Cambria"/>
          <w:sz w:val="20"/>
          <w:szCs w:val="20"/>
          <w:lang w:val="en-US"/>
        </w:rPr>
        <w:t xml:space="preserve">in eight years, in the context of the inquisitorial justice system, the </w:t>
      </w:r>
      <w:r w:rsidR="003A1980" w:rsidRPr="007D47AD">
        <w:rPr>
          <w:rFonts w:ascii="Cambria" w:hAnsi="Cambria"/>
          <w:sz w:val="20"/>
          <w:szCs w:val="20"/>
          <w:lang w:val="en-US"/>
        </w:rPr>
        <w:t xml:space="preserve">FEADLE </w:t>
      </w:r>
      <w:r w:rsidR="00C51B18" w:rsidRPr="007D47AD">
        <w:rPr>
          <w:rFonts w:ascii="Cambria" w:hAnsi="Cambria"/>
          <w:sz w:val="20"/>
          <w:szCs w:val="20"/>
          <w:lang w:val="en-US"/>
        </w:rPr>
        <w:t>ini</w:t>
      </w:r>
      <w:r w:rsidRPr="007D47AD">
        <w:rPr>
          <w:rFonts w:ascii="Cambria" w:hAnsi="Cambria"/>
          <w:sz w:val="20"/>
          <w:szCs w:val="20"/>
          <w:lang w:val="en-US"/>
        </w:rPr>
        <w:t>tiated</w:t>
      </w:r>
      <w:r w:rsidR="003A1980" w:rsidRPr="007D47AD">
        <w:rPr>
          <w:rFonts w:ascii="Cambria" w:hAnsi="Cambria"/>
          <w:sz w:val="20"/>
          <w:szCs w:val="20"/>
          <w:lang w:val="en-US"/>
        </w:rPr>
        <w:t xml:space="preserve"> 1,140 investiga</w:t>
      </w:r>
      <w:r w:rsidRPr="007D47AD">
        <w:rPr>
          <w:rFonts w:ascii="Cambria" w:hAnsi="Cambria"/>
          <w:sz w:val="20"/>
          <w:szCs w:val="20"/>
          <w:lang w:val="en-US"/>
        </w:rPr>
        <w:t>tion</w:t>
      </w:r>
      <w:r w:rsidR="00E4386D" w:rsidRPr="007D47AD">
        <w:rPr>
          <w:rFonts w:ascii="Cambria" w:hAnsi="Cambria"/>
          <w:sz w:val="20"/>
          <w:szCs w:val="20"/>
          <w:lang w:val="en-US"/>
        </w:rPr>
        <w:t xml:space="preserve">s, </w:t>
      </w:r>
      <w:r w:rsidR="00820BDB" w:rsidRPr="007D47AD">
        <w:rPr>
          <w:rFonts w:ascii="Cambria" w:hAnsi="Cambria"/>
          <w:sz w:val="20"/>
          <w:szCs w:val="20"/>
          <w:lang w:val="en-US"/>
        </w:rPr>
        <w:t>of which indictments have been handed down</w:t>
      </w:r>
      <w:r w:rsidR="00E4386D" w:rsidRPr="007D47AD">
        <w:rPr>
          <w:rFonts w:ascii="Cambria" w:hAnsi="Cambria"/>
          <w:sz w:val="20"/>
          <w:szCs w:val="20"/>
          <w:lang w:val="en-US"/>
        </w:rPr>
        <w:t xml:space="preserve">, </w:t>
      </w:r>
      <w:r w:rsidRPr="007D47AD">
        <w:rPr>
          <w:rFonts w:ascii="Cambria" w:hAnsi="Cambria"/>
          <w:sz w:val="20"/>
          <w:szCs w:val="20"/>
          <w:lang w:val="en-US"/>
        </w:rPr>
        <w:t xml:space="preserve">as of September </w:t>
      </w:r>
      <w:r w:rsidR="00E4386D" w:rsidRPr="007D47AD">
        <w:rPr>
          <w:rFonts w:ascii="Cambria" w:hAnsi="Cambria"/>
          <w:sz w:val="20"/>
          <w:szCs w:val="20"/>
          <w:lang w:val="en-US"/>
        </w:rPr>
        <w:t>2019,</w:t>
      </w:r>
      <w:r w:rsidR="003A1980" w:rsidRPr="007D47AD">
        <w:rPr>
          <w:rFonts w:ascii="Cambria" w:hAnsi="Cambria"/>
          <w:sz w:val="20"/>
          <w:szCs w:val="20"/>
          <w:lang w:val="en-US"/>
        </w:rPr>
        <w:t xml:space="preserve"> </w:t>
      </w:r>
      <w:r w:rsidR="00820BDB" w:rsidRPr="007D47AD">
        <w:rPr>
          <w:rFonts w:ascii="Cambria" w:hAnsi="Cambria"/>
          <w:sz w:val="20"/>
          <w:szCs w:val="20"/>
          <w:lang w:val="en-US"/>
        </w:rPr>
        <w:t xml:space="preserve">in </w:t>
      </w:r>
      <w:r w:rsidR="003A1980" w:rsidRPr="007D47AD">
        <w:rPr>
          <w:rFonts w:ascii="Cambria" w:hAnsi="Cambria"/>
          <w:sz w:val="20"/>
          <w:szCs w:val="20"/>
          <w:lang w:val="en-US"/>
        </w:rPr>
        <w:t>163 investiga</w:t>
      </w:r>
      <w:r w:rsidRPr="007D47AD">
        <w:rPr>
          <w:rFonts w:ascii="Cambria" w:hAnsi="Cambria"/>
          <w:sz w:val="20"/>
          <w:szCs w:val="20"/>
          <w:lang w:val="en-US"/>
        </w:rPr>
        <w:t>tions.</w:t>
      </w:r>
      <w:r w:rsidR="003A1980" w:rsidRPr="007D47AD">
        <w:rPr>
          <w:rFonts w:ascii="Cambria" w:hAnsi="Cambria"/>
          <w:sz w:val="20"/>
          <w:szCs w:val="20"/>
          <w:vertAlign w:val="superscript"/>
          <w:lang w:val="en-US"/>
        </w:rPr>
        <w:footnoteReference w:id="506"/>
      </w:r>
      <w:r w:rsidR="003A1980" w:rsidRPr="007D47AD">
        <w:rPr>
          <w:rFonts w:ascii="Cambria" w:hAnsi="Cambria"/>
          <w:sz w:val="20"/>
          <w:szCs w:val="20"/>
          <w:lang w:val="en-US"/>
        </w:rPr>
        <w:t xml:space="preserve"> </w:t>
      </w:r>
      <w:r w:rsidRPr="007D47AD">
        <w:rPr>
          <w:rFonts w:ascii="Cambria" w:hAnsi="Cambria"/>
          <w:sz w:val="20"/>
          <w:szCs w:val="20"/>
          <w:lang w:val="en-US"/>
        </w:rPr>
        <w:t xml:space="preserve">In addition, in the context of the new adversarial criminal justice system the IACHR takes note that </w:t>
      </w:r>
      <w:r w:rsidR="00C51B18" w:rsidRPr="007D47AD">
        <w:rPr>
          <w:rFonts w:ascii="Cambria" w:hAnsi="Cambria"/>
          <w:sz w:val="20"/>
          <w:szCs w:val="20"/>
          <w:lang w:val="en-US"/>
        </w:rPr>
        <w:t>FEADLE</w:t>
      </w:r>
      <w:r w:rsidR="003A1980" w:rsidRPr="007D47AD">
        <w:rPr>
          <w:rFonts w:ascii="Cambria" w:hAnsi="Cambria"/>
          <w:sz w:val="20"/>
          <w:szCs w:val="20"/>
          <w:lang w:val="en-US"/>
        </w:rPr>
        <w:t xml:space="preserve"> </w:t>
      </w:r>
      <w:r w:rsidR="005B6719" w:rsidRPr="007D47AD">
        <w:rPr>
          <w:rFonts w:ascii="Cambria" w:hAnsi="Cambria"/>
          <w:sz w:val="20"/>
          <w:szCs w:val="20"/>
          <w:lang w:val="en-US"/>
        </w:rPr>
        <w:t xml:space="preserve">presented charges in </w:t>
      </w:r>
      <w:r w:rsidR="003A1980" w:rsidRPr="007D47AD">
        <w:rPr>
          <w:rFonts w:ascii="Cambria" w:hAnsi="Cambria"/>
          <w:sz w:val="20"/>
          <w:szCs w:val="20"/>
          <w:lang w:val="en-US"/>
        </w:rPr>
        <w:t xml:space="preserve">23 </w:t>
      </w:r>
      <w:r w:rsidRPr="007D47AD">
        <w:rPr>
          <w:rFonts w:ascii="Cambria" w:hAnsi="Cambria"/>
          <w:sz w:val="20"/>
          <w:szCs w:val="20"/>
          <w:lang w:val="en-US"/>
        </w:rPr>
        <w:t xml:space="preserve">investigations since </w:t>
      </w:r>
      <w:r w:rsidR="003A1980" w:rsidRPr="007D47AD">
        <w:rPr>
          <w:rFonts w:ascii="Cambria" w:hAnsi="Cambria"/>
          <w:sz w:val="20"/>
          <w:szCs w:val="20"/>
          <w:lang w:val="en-US"/>
        </w:rPr>
        <w:t xml:space="preserve">2016. </w:t>
      </w:r>
      <w:r w:rsidRPr="007D47AD">
        <w:rPr>
          <w:rFonts w:ascii="Cambria" w:hAnsi="Cambria"/>
          <w:sz w:val="20"/>
          <w:szCs w:val="20"/>
          <w:lang w:val="en-US"/>
        </w:rPr>
        <w:t xml:space="preserve">Of the </w:t>
      </w:r>
      <w:r w:rsidR="003A1980" w:rsidRPr="007D47AD">
        <w:rPr>
          <w:rFonts w:ascii="Cambria" w:hAnsi="Cambria"/>
          <w:sz w:val="20"/>
          <w:szCs w:val="20"/>
          <w:lang w:val="en-US"/>
        </w:rPr>
        <w:t xml:space="preserve">10 </w:t>
      </w:r>
      <w:r w:rsidRPr="007D47AD">
        <w:rPr>
          <w:rFonts w:ascii="Cambria" w:hAnsi="Cambria"/>
          <w:sz w:val="20"/>
          <w:szCs w:val="20"/>
          <w:lang w:val="en-US"/>
        </w:rPr>
        <w:t xml:space="preserve">judgments stemming from the </w:t>
      </w:r>
      <w:r w:rsidR="003A1980" w:rsidRPr="007D47AD">
        <w:rPr>
          <w:rFonts w:ascii="Cambria" w:hAnsi="Cambria"/>
          <w:sz w:val="20"/>
          <w:szCs w:val="20"/>
          <w:lang w:val="en-US"/>
        </w:rPr>
        <w:t>1,140 investiga</w:t>
      </w:r>
      <w:r w:rsidRPr="007D47AD">
        <w:rPr>
          <w:rFonts w:ascii="Cambria" w:hAnsi="Cambria"/>
          <w:sz w:val="20"/>
          <w:szCs w:val="20"/>
          <w:lang w:val="en-US"/>
        </w:rPr>
        <w:t>tion</w:t>
      </w:r>
      <w:r w:rsidR="003A1980" w:rsidRPr="007D47AD">
        <w:rPr>
          <w:rFonts w:ascii="Cambria" w:hAnsi="Cambria"/>
          <w:sz w:val="20"/>
          <w:szCs w:val="20"/>
          <w:lang w:val="en-US"/>
        </w:rPr>
        <w:t xml:space="preserve">s </w:t>
      </w:r>
      <w:r w:rsidRPr="007D47AD">
        <w:rPr>
          <w:rFonts w:ascii="Cambria" w:hAnsi="Cambria"/>
          <w:sz w:val="20"/>
          <w:szCs w:val="20"/>
          <w:lang w:val="en-US"/>
        </w:rPr>
        <w:t xml:space="preserve">begun by the </w:t>
      </w:r>
      <w:r w:rsidR="003A1980" w:rsidRPr="007D47AD">
        <w:rPr>
          <w:rFonts w:ascii="Cambria" w:hAnsi="Cambria"/>
          <w:sz w:val="20"/>
          <w:szCs w:val="20"/>
          <w:lang w:val="en-US"/>
        </w:rPr>
        <w:t xml:space="preserve">FEADLE </w:t>
      </w:r>
      <w:r w:rsidRPr="007D47AD">
        <w:rPr>
          <w:rFonts w:ascii="Cambria" w:hAnsi="Cambria"/>
          <w:sz w:val="20"/>
          <w:szCs w:val="20"/>
          <w:lang w:val="en-US"/>
        </w:rPr>
        <w:t xml:space="preserve">in eight years, at least six have been for crimes committed with the involvement of at least one state agent, depending on the nature of the crime committed, which </w:t>
      </w:r>
      <w:r w:rsidR="005B6719" w:rsidRPr="007D47AD">
        <w:rPr>
          <w:rFonts w:ascii="Cambria" w:hAnsi="Cambria"/>
          <w:sz w:val="20"/>
          <w:szCs w:val="20"/>
          <w:lang w:val="en-US"/>
        </w:rPr>
        <w:t xml:space="preserve">allows one </w:t>
      </w:r>
      <w:r w:rsidRPr="007D47AD">
        <w:rPr>
          <w:rFonts w:ascii="Cambria" w:hAnsi="Cambria"/>
          <w:sz w:val="20"/>
          <w:szCs w:val="20"/>
          <w:lang w:val="en-US"/>
        </w:rPr>
        <w:t xml:space="preserve">to make such an association. </w:t>
      </w:r>
    </w:p>
    <w:p w:rsidR="003A1980" w:rsidRPr="007D47AD" w:rsidRDefault="003A1980" w:rsidP="003A1980">
      <w:pPr>
        <w:shd w:val="clear" w:color="auto" w:fill="FFFFFF"/>
        <w:spacing w:after="0" w:line="240" w:lineRule="auto"/>
        <w:jc w:val="both"/>
        <w:rPr>
          <w:rFonts w:ascii="Cambria" w:hAnsi="Cambria"/>
          <w:sz w:val="20"/>
          <w:szCs w:val="20"/>
          <w:lang w:val="en-US"/>
        </w:rPr>
      </w:pPr>
    </w:p>
    <w:p w:rsidR="004738CD" w:rsidRPr="007D47AD" w:rsidRDefault="00BA1B6B" w:rsidP="004738CD">
      <w:pPr>
        <w:numPr>
          <w:ilvl w:val="0"/>
          <w:numId w:val="6"/>
        </w:numPr>
        <w:shd w:val="clear" w:color="auto" w:fill="FFFFFF"/>
        <w:spacing w:after="0" w:line="240" w:lineRule="auto"/>
        <w:ind w:left="0" w:firstLine="709"/>
        <w:jc w:val="both"/>
        <w:rPr>
          <w:rFonts w:asciiTheme="minorHAnsi" w:hAnsiTheme="minorHAnsi"/>
          <w:sz w:val="20"/>
          <w:szCs w:val="20"/>
          <w:lang w:val="en-US"/>
        </w:rPr>
      </w:pPr>
      <w:r w:rsidRPr="007D47AD">
        <w:rPr>
          <w:rFonts w:asciiTheme="minorHAnsi" w:hAnsiTheme="minorHAnsi"/>
          <w:sz w:val="20"/>
          <w:szCs w:val="20"/>
          <w:lang w:val="en-US"/>
        </w:rPr>
        <w:t xml:space="preserve">The IACHR observes that the </w:t>
      </w:r>
      <w:r w:rsidR="00C51B18" w:rsidRPr="007D47AD">
        <w:rPr>
          <w:rFonts w:asciiTheme="minorHAnsi" w:hAnsiTheme="minorHAnsi"/>
          <w:sz w:val="20"/>
          <w:szCs w:val="20"/>
          <w:lang w:val="en-US"/>
        </w:rPr>
        <w:t xml:space="preserve">FEADLE </w:t>
      </w:r>
      <w:r w:rsidRPr="007D47AD">
        <w:rPr>
          <w:rFonts w:asciiTheme="minorHAnsi" w:hAnsiTheme="minorHAnsi"/>
          <w:sz w:val="20"/>
          <w:szCs w:val="20"/>
          <w:lang w:val="en-US"/>
        </w:rPr>
        <w:t xml:space="preserve">maintains its category as a prosecutorial office, and that special investigative protocols have been adopted, thus it considers that this part of the recommendation has </w:t>
      </w:r>
      <w:r w:rsidR="009A5253" w:rsidRPr="007D47AD">
        <w:rPr>
          <w:rFonts w:asciiTheme="minorHAnsi" w:hAnsiTheme="minorHAnsi"/>
          <w:sz w:val="20"/>
          <w:szCs w:val="20"/>
          <w:lang w:val="en-US"/>
        </w:rPr>
        <w:t xml:space="preserve">met </w:t>
      </w:r>
      <w:r w:rsidRPr="007D47AD">
        <w:rPr>
          <w:rFonts w:asciiTheme="minorHAnsi" w:hAnsiTheme="minorHAnsi"/>
          <w:sz w:val="20"/>
          <w:szCs w:val="20"/>
          <w:lang w:val="en-US"/>
        </w:rPr>
        <w:t xml:space="preserve">with compliance, as it was characterized in the 2018 </w:t>
      </w:r>
      <w:r w:rsidR="009A5253" w:rsidRPr="007D47AD">
        <w:rPr>
          <w:rFonts w:asciiTheme="minorHAnsi" w:hAnsiTheme="minorHAnsi"/>
          <w:sz w:val="20"/>
          <w:szCs w:val="20"/>
          <w:lang w:val="en-US"/>
        </w:rPr>
        <w:t>A</w:t>
      </w:r>
      <w:r w:rsidRPr="007D47AD">
        <w:rPr>
          <w:rFonts w:asciiTheme="minorHAnsi" w:hAnsiTheme="minorHAnsi"/>
          <w:sz w:val="20"/>
          <w:szCs w:val="20"/>
          <w:lang w:val="en-US"/>
        </w:rPr>
        <w:t xml:space="preserve">nnual </w:t>
      </w:r>
      <w:r w:rsidR="009A5253" w:rsidRPr="007D47AD">
        <w:rPr>
          <w:rFonts w:asciiTheme="minorHAnsi" w:hAnsiTheme="minorHAnsi"/>
          <w:sz w:val="20"/>
          <w:szCs w:val="20"/>
          <w:lang w:val="en-US"/>
        </w:rPr>
        <w:t>R</w:t>
      </w:r>
      <w:r w:rsidRPr="007D47AD">
        <w:rPr>
          <w:rFonts w:asciiTheme="minorHAnsi" w:hAnsiTheme="minorHAnsi"/>
          <w:sz w:val="20"/>
          <w:szCs w:val="20"/>
          <w:lang w:val="en-US"/>
        </w:rPr>
        <w:t xml:space="preserve">eport. Nonetheless, as regards the part of the recommendation on the operative status of the </w:t>
      </w:r>
      <w:r w:rsidR="00C51B18" w:rsidRPr="007D47AD">
        <w:rPr>
          <w:rFonts w:asciiTheme="minorHAnsi" w:hAnsiTheme="minorHAnsi"/>
          <w:sz w:val="20"/>
          <w:szCs w:val="20"/>
          <w:lang w:val="en-US"/>
        </w:rPr>
        <w:t>FEADLE</w:t>
      </w:r>
      <w:r w:rsidRPr="007D47AD">
        <w:rPr>
          <w:rFonts w:asciiTheme="minorHAnsi" w:hAnsiTheme="minorHAnsi"/>
          <w:sz w:val="20"/>
          <w:szCs w:val="20"/>
          <w:lang w:val="en-US"/>
        </w:rPr>
        <w:t>, the IACHR finds that the efforts are insufficient, that the deployment of its operations does not attain a substantial impact th</w:t>
      </w:r>
      <w:r w:rsidR="009A5253" w:rsidRPr="007D47AD">
        <w:rPr>
          <w:rFonts w:asciiTheme="minorHAnsi" w:hAnsiTheme="minorHAnsi"/>
          <w:sz w:val="20"/>
          <w:szCs w:val="20"/>
          <w:lang w:val="en-US"/>
        </w:rPr>
        <w:t>a</w:t>
      </w:r>
      <w:r w:rsidRPr="007D47AD">
        <w:rPr>
          <w:rFonts w:asciiTheme="minorHAnsi" w:hAnsiTheme="minorHAnsi"/>
          <w:sz w:val="20"/>
          <w:szCs w:val="20"/>
          <w:lang w:val="en-US"/>
        </w:rPr>
        <w:t xml:space="preserve">t makes it possible to </w:t>
      </w:r>
      <w:r w:rsidR="00C51B18" w:rsidRPr="007D47AD">
        <w:rPr>
          <w:rFonts w:asciiTheme="minorHAnsi" w:hAnsiTheme="minorHAnsi"/>
          <w:sz w:val="20"/>
          <w:szCs w:val="20"/>
          <w:lang w:val="en-US"/>
        </w:rPr>
        <w:t>corrobora</w:t>
      </w:r>
      <w:r w:rsidRPr="007D47AD">
        <w:rPr>
          <w:rFonts w:asciiTheme="minorHAnsi" w:hAnsiTheme="minorHAnsi"/>
          <w:sz w:val="20"/>
          <w:szCs w:val="20"/>
          <w:lang w:val="en-US"/>
        </w:rPr>
        <w:t>te new gains in implementing the recommendation. Accordingly</w:t>
      </w:r>
      <w:r w:rsidR="009A5253" w:rsidRPr="007D47AD">
        <w:rPr>
          <w:rFonts w:asciiTheme="minorHAnsi" w:hAnsiTheme="minorHAnsi"/>
          <w:sz w:val="20"/>
          <w:szCs w:val="20"/>
          <w:lang w:val="en-US"/>
        </w:rPr>
        <w:t>,</w:t>
      </w:r>
      <w:r w:rsidRPr="007D47AD">
        <w:rPr>
          <w:rFonts w:asciiTheme="minorHAnsi" w:hAnsiTheme="minorHAnsi"/>
          <w:sz w:val="20"/>
          <w:szCs w:val="20"/>
          <w:lang w:val="en-US"/>
        </w:rPr>
        <w:t xml:space="preserve"> the IACHR considers that this recommendation has met with partial compliance.  </w:t>
      </w:r>
    </w:p>
    <w:p w:rsidR="009C095D" w:rsidRPr="007D47AD" w:rsidRDefault="009C095D" w:rsidP="00E472A2">
      <w:pPr>
        <w:pStyle w:val="Heading1"/>
        <w:keepNext/>
        <w:keepLines/>
        <w:numPr>
          <w:ilvl w:val="0"/>
          <w:numId w:val="5"/>
        </w:numPr>
        <w:spacing w:after="120"/>
        <w:ind w:left="907" w:hanging="510"/>
        <w:rPr>
          <w:rFonts w:asciiTheme="minorHAnsi" w:hAnsiTheme="minorHAnsi"/>
          <w:sz w:val="20"/>
          <w:lang w:val="en-US"/>
        </w:rPr>
      </w:pPr>
      <w:r w:rsidRPr="007D47AD">
        <w:rPr>
          <w:rFonts w:asciiTheme="minorHAnsi" w:hAnsiTheme="minorHAnsi"/>
          <w:sz w:val="20"/>
          <w:lang w:val="en-US"/>
        </w:rPr>
        <w:t>Acces</w:t>
      </w:r>
      <w:r w:rsidR="00BA1B6B" w:rsidRPr="007D47AD">
        <w:rPr>
          <w:rFonts w:asciiTheme="minorHAnsi" w:hAnsiTheme="minorHAnsi"/>
          <w:sz w:val="20"/>
          <w:lang w:val="en-US"/>
        </w:rPr>
        <w:t>s</w:t>
      </w:r>
      <w:r w:rsidRPr="007D47AD">
        <w:rPr>
          <w:rFonts w:asciiTheme="minorHAnsi" w:hAnsiTheme="minorHAnsi"/>
          <w:sz w:val="20"/>
          <w:lang w:val="en-US"/>
        </w:rPr>
        <w:t xml:space="preserve"> </w:t>
      </w:r>
      <w:r w:rsidR="00BA1B6B" w:rsidRPr="007D47AD">
        <w:rPr>
          <w:rFonts w:asciiTheme="minorHAnsi" w:hAnsiTheme="minorHAnsi"/>
          <w:sz w:val="20"/>
          <w:lang w:val="en-US"/>
        </w:rPr>
        <w:t xml:space="preserve">to </w:t>
      </w:r>
      <w:r w:rsidRPr="007D47AD">
        <w:rPr>
          <w:rFonts w:asciiTheme="minorHAnsi" w:hAnsiTheme="minorHAnsi"/>
          <w:sz w:val="20"/>
          <w:lang w:val="en-US"/>
        </w:rPr>
        <w:t>informa</w:t>
      </w:r>
      <w:r w:rsidR="00BA1B6B" w:rsidRPr="007D47AD">
        <w:rPr>
          <w:rFonts w:asciiTheme="minorHAnsi" w:hAnsiTheme="minorHAnsi"/>
          <w:sz w:val="20"/>
          <w:lang w:val="en-US"/>
        </w:rPr>
        <w:t>tio</w:t>
      </w:r>
      <w:r w:rsidRPr="007D47AD">
        <w:rPr>
          <w:rFonts w:asciiTheme="minorHAnsi" w:hAnsiTheme="minorHAnsi"/>
          <w:sz w:val="20"/>
          <w:lang w:val="en-US"/>
        </w:rPr>
        <w:t>n:</w:t>
      </w:r>
    </w:p>
    <w:p w:rsidR="009C095D" w:rsidRPr="007D47AD" w:rsidRDefault="00B85B55" w:rsidP="00E472A2">
      <w:pPr>
        <w:pStyle w:val="Numberedparagraphs"/>
        <w:widowControl w:val="0"/>
        <w:numPr>
          <w:ilvl w:val="0"/>
          <w:numId w:val="25"/>
        </w:numPr>
        <w:shd w:val="clear" w:color="auto" w:fill="D9D9D9"/>
        <w:spacing w:after="0"/>
        <w:ind w:left="1440" w:hanging="720"/>
        <w:rPr>
          <w:rFonts w:asciiTheme="minorHAnsi" w:hAnsiTheme="minorHAnsi"/>
          <w:lang w:val="en-US"/>
        </w:rPr>
      </w:pPr>
      <w:r w:rsidRPr="007D47AD">
        <w:rPr>
          <w:rFonts w:asciiTheme="minorHAnsi" w:hAnsiTheme="minorHAnsi"/>
          <w:lang w:val="en-US"/>
        </w:rPr>
        <w:t>Regarding the legal attributions that the Law of Access to Information assigns to the Presidency’s Legal Advisor’s Office, such attribution should be regulated according to international principles regarding access to public information and national security.</w:t>
      </w:r>
      <w:r w:rsidR="009C095D" w:rsidRPr="007D47AD">
        <w:rPr>
          <w:rFonts w:asciiTheme="minorHAnsi" w:hAnsiTheme="minorHAnsi"/>
          <w:lang w:val="en-US"/>
        </w:rPr>
        <w:t xml:space="preserve"> </w:t>
      </w:r>
    </w:p>
    <w:p w:rsidR="009C095D" w:rsidRPr="007D47AD" w:rsidRDefault="00B85B55" w:rsidP="00E472A2">
      <w:pPr>
        <w:pStyle w:val="Numberedparagraphs"/>
        <w:widowControl w:val="0"/>
        <w:numPr>
          <w:ilvl w:val="0"/>
          <w:numId w:val="25"/>
        </w:numPr>
        <w:shd w:val="clear" w:color="auto" w:fill="D9D9D9"/>
        <w:spacing w:after="0"/>
        <w:ind w:left="1440" w:hanging="720"/>
        <w:rPr>
          <w:rFonts w:asciiTheme="minorHAnsi" w:hAnsiTheme="minorHAnsi"/>
          <w:lang w:val="en-US"/>
        </w:rPr>
      </w:pPr>
      <w:r w:rsidRPr="007D47AD">
        <w:rPr>
          <w:rFonts w:asciiTheme="minorHAnsi" w:hAnsiTheme="minorHAnsi"/>
          <w:lang w:val="en-US"/>
        </w:rPr>
        <w:t>Strengthen laws, policies and practices to ensure that judicial authorities have complete access to relevant information when they investigate and process cases on human rights violations attributed to the security forces.</w:t>
      </w:r>
    </w:p>
    <w:p w:rsidR="009C095D" w:rsidRPr="007D47AD" w:rsidRDefault="009C095D" w:rsidP="00D937BC">
      <w:pPr>
        <w:pStyle w:val="Numberedparagraphs"/>
        <w:widowControl w:val="0"/>
        <w:numPr>
          <w:ilvl w:val="0"/>
          <w:numId w:val="25"/>
        </w:numPr>
        <w:shd w:val="clear" w:color="auto" w:fill="D9D9D9"/>
        <w:spacing w:after="0"/>
        <w:ind w:left="1440" w:hanging="720"/>
        <w:rPr>
          <w:rFonts w:asciiTheme="minorHAnsi" w:hAnsiTheme="minorHAnsi"/>
          <w:lang w:val="en-US"/>
        </w:rPr>
      </w:pPr>
      <w:r w:rsidRPr="007D47AD">
        <w:rPr>
          <w:rFonts w:asciiTheme="minorHAnsi" w:hAnsiTheme="minorHAnsi"/>
          <w:lang w:val="en-US"/>
        </w:rPr>
        <w:t xml:space="preserve">Adopt </w:t>
      </w:r>
      <w:r w:rsidR="00B85B55" w:rsidRPr="007D47AD">
        <w:rPr>
          <w:rFonts w:asciiTheme="minorHAnsi" w:hAnsiTheme="minorHAnsi"/>
          <w:lang w:val="en-US"/>
        </w:rPr>
        <w:t xml:space="preserve">pertinent measures so that security agencies compile, systematize and publish periodically information regarding injuries to life and personal integrity as a consequence of the fight against organized crime. The information regarding such injuries should describe the place where they occurred, the date, information regarding the unit of the security force that was present when they occurred, information regarding its mandate and control. In addition, it should describe what were the causes of the injury and the inability to prevent them. </w:t>
      </w:r>
      <w:r w:rsidRPr="007D47AD">
        <w:rPr>
          <w:rFonts w:asciiTheme="minorHAnsi" w:hAnsiTheme="minorHAnsi"/>
          <w:lang w:val="en-US"/>
        </w:rPr>
        <w:t xml:space="preserve"> </w:t>
      </w:r>
    </w:p>
    <w:p w:rsidR="00D937BC" w:rsidRPr="007D47AD" w:rsidRDefault="00D937BC" w:rsidP="00D937BC">
      <w:pPr>
        <w:shd w:val="clear" w:color="auto" w:fill="FFFFFF"/>
        <w:spacing w:after="0" w:line="240" w:lineRule="auto"/>
        <w:ind w:left="709"/>
        <w:jc w:val="both"/>
        <w:rPr>
          <w:rFonts w:asciiTheme="minorHAnsi" w:hAnsiTheme="minorHAnsi"/>
          <w:sz w:val="20"/>
          <w:szCs w:val="20"/>
          <w:lang w:val="en-US"/>
        </w:rPr>
      </w:pPr>
    </w:p>
    <w:p w:rsidR="00C41B9B" w:rsidRPr="007D47AD" w:rsidRDefault="00BA1B6B" w:rsidP="00006815">
      <w:pPr>
        <w:numPr>
          <w:ilvl w:val="0"/>
          <w:numId w:val="6"/>
        </w:numPr>
        <w:shd w:val="clear" w:color="auto" w:fill="FFFFFF"/>
        <w:spacing w:after="0" w:line="240" w:lineRule="auto"/>
        <w:ind w:left="0" w:firstLine="709"/>
        <w:jc w:val="both"/>
        <w:rPr>
          <w:rFonts w:asciiTheme="minorHAnsi" w:hAnsiTheme="minorHAnsi"/>
          <w:sz w:val="20"/>
          <w:szCs w:val="20"/>
          <w:lang w:val="en-US"/>
        </w:rPr>
      </w:pPr>
      <w:r w:rsidRPr="007D47AD">
        <w:rPr>
          <w:rFonts w:asciiTheme="minorHAnsi" w:hAnsiTheme="minorHAnsi"/>
          <w:sz w:val="20"/>
          <w:szCs w:val="20"/>
          <w:lang w:val="en-US"/>
        </w:rPr>
        <w:t xml:space="preserve">The Office of the Special Rapporteur has taken note in its prior reports of the </w:t>
      </w:r>
      <w:r w:rsidR="0045388C" w:rsidRPr="007D47AD">
        <w:rPr>
          <w:rFonts w:asciiTheme="minorHAnsi" w:hAnsiTheme="minorHAnsi"/>
          <w:sz w:val="20"/>
          <w:szCs w:val="20"/>
          <w:lang w:val="en-US"/>
        </w:rPr>
        <w:t xml:space="preserve">adoption </w:t>
      </w:r>
      <w:r w:rsidRPr="007D47AD">
        <w:rPr>
          <w:rFonts w:asciiTheme="minorHAnsi" w:hAnsiTheme="minorHAnsi"/>
          <w:sz w:val="20"/>
          <w:szCs w:val="20"/>
          <w:lang w:val="en-US"/>
        </w:rPr>
        <w:t xml:space="preserve">of the General </w:t>
      </w:r>
      <w:r w:rsidR="00C41B9B" w:rsidRPr="007D47AD">
        <w:rPr>
          <w:rFonts w:asciiTheme="minorHAnsi" w:hAnsiTheme="minorHAnsi"/>
          <w:sz w:val="20"/>
          <w:szCs w:val="20"/>
          <w:lang w:val="en-US"/>
        </w:rPr>
        <w:t>L</w:t>
      </w:r>
      <w:r w:rsidRPr="007D47AD">
        <w:rPr>
          <w:rFonts w:asciiTheme="minorHAnsi" w:hAnsiTheme="minorHAnsi"/>
          <w:sz w:val="20"/>
          <w:szCs w:val="20"/>
          <w:lang w:val="en-US"/>
        </w:rPr>
        <w:t xml:space="preserve">aw on </w:t>
      </w:r>
      <w:r w:rsidR="00C41B9B" w:rsidRPr="007D47AD">
        <w:rPr>
          <w:rFonts w:asciiTheme="minorHAnsi" w:hAnsiTheme="minorHAnsi"/>
          <w:sz w:val="20"/>
          <w:szCs w:val="20"/>
          <w:lang w:val="en-US"/>
        </w:rPr>
        <w:t>Transparenc</w:t>
      </w:r>
      <w:r w:rsidRPr="007D47AD">
        <w:rPr>
          <w:rFonts w:asciiTheme="minorHAnsi" w:hAnsiTheme="minorHAnsi"/>
          <w:sz w:val="20"/>
          <w:szCs w:val="20"/>
          <w:lang w:val="en-US"/>
        </w:rPr>
        <w:t>y and Access to Public Inform</w:t>
      </w:r>
      <w:r w:rsidR="004E08FB" w:rsidRPr="007D47AD">
        <w:rPr>
          <w:rFonts w:asciiTheme="minorHAnsi" w:hAnsiTheme="minorHAnsi"/>
          <w:sz w:val="20"/>
          <w:szCs w:val="20"/>
          <w:lang w:val="en-US"/>
        </w:rPr>
        <w:t>a</w:t>
      </w:r>
      <w:r w:rsidRPr="007D47AD">
        <w:rPr>
          <w:rFonts w:asciiTheme="minorHAnsi" w:hAnsiTheme="minorHAnsi"/>
          <w:sz w:val="20"/>
          <w:szCs w:val="20"/>
          <w:lang w:val="en-US"/>
        </w:rPr>
        <w:t xml:space="preserve">tion, which shows a commitment on the part of </w:t>
      </w:r>
      <w:r w:rsidR="004E08FB" w:rsidRPr="007D47AD">
        <w:rPr>
          <w:rFonts w:asciiTheme="minorHAnsi" w:hAnsiTheme="minorHAnsi"/>
          <w:sz w:val="20"/>
          <w:szCs w:val="20"/>
          <w:lang w:val="en-US"/>
        </w:rPr>
        <w:t>the</w:t>
      </w:r>
      <w:r w:rsidRPr="007D47AD">
        <w:rPr>
          <w:rFonts w:asciiTheme="minorHAnsi" w:hAnsiTheme="minorHAnsi"/>
          <w:sz w:val="20"/>
          <w:szCs w:val="20"/>
          <w:lang w:val="en-US"/>
        </w:rPr>
        <w:t xml:space="preserve"> </w:t>
      </w:r>
      <w:r w:rsidRPr="007D47AD">
        <w:rPr>
          <w:rFonts w:asciiTheme="minorHAnsi" w:hAnsiTheme="minorHAnsi"/>
          <w:sz w:val="20"/>
          <w:szCs w:val="20"/>
          <w:lang w:val="en-US"/>
        </w:rPr>
        <w:lastRenderedPageBreak/>
        <w:t xml:space="preserve">Mexican State to transparency and the right of access to </w:t>
      </w:r>
      <w:r w:rsidR="00C41B9B" w:rsidRPr="007D47AD">
        <w:rPr>
          <w:rFonts w:asciiTheme="minorHAnsi" w:hAnsiTheme="minorHAnsi"/>
          <w:sz w:val="20"/>
          <w:szCs w:val="20"/>
          <w:lang w:val="en-US"/>
        </w:rPr>
        <w:t>informa</w:t>
      </w:r>
      <w:r w:rsidRPr="007D47AD">
        <w:rPr>
          <w:rFonts w:asciiTheme="minorHAnsi" w:hAnsiTheme="minorHAnsi"/>
          <w:sz w:val="20"/>
          <w:szCs w:val="20"/>
          <w:lang w:val="en-US"/>
        </w:rPr>
        <w:t>tio</w:t>
      </w:r>
      <w:r w:rsidR="00C41B9B" w:rsidRPr="007D47AD">
        <w:rPr>
          <w:rFonts w:asciiTheme="minorHAnsi" w:hAnsiTheme="minorHAnsi"/>
          <w:sz w:val="20"/>
          <w:szCs w:val="20"/>
          <w:lang w:val="en-US"/>
        </w:rPr>
        <w:t xml:space="preserve">n. </w:t>
      </w:r>
      <w:r w:rsidRPr="007D47AD">
        <w:rPr>
          <w:rFonts w:asciiTheme="minorHAnsi" w:hAnsiTheme="minorHAnsi"/>
          <w:sz w:val="20"/>
          <w:szCs w:val="20"/>
          <w:lang w:val="en-US"/>
        </w:rPr>
        <w:t xml:space="preserve">Nonetheless, the Office of the Special Rapporteur has expressed its concern over information received </w:t>
      </w:r>
      <w:r w:rsidR="0045388C" w:rsidRPr="007D47AD">
        <w:rPr>
          <w:rFonts w:asciiTheme="minorHAnsi" w:hAnsiTheme="minorHAnsi"/>
          <w:sz w:val="20"/>
          <w:szCs w:val="20"/>
          <w:lang w:val="en-US"/>
        </w:rPr>
        <w:t xml:space="preserve">regarding </w:t>
      </w:r>
      <w:r w:rsidRPr="007D47AD">
        <w:rPr>
          <w:rFonts w:asciiTheme="minorHAnsi" w:hAnsiTheme="minorHAnsi"/>
          <w:sz w:val="20"/>
          <w:szCs w:val="20"/>
          <w:lang w:val="en-US"/>
        </w:rPr>
        <w:t xml:space="preserve">obstacles </w:t>
      </w:r>
      <w:r w:rsidR="003320FF" w:rsidRPr="007D47AD">
        <w:rPr>
          <w:rFonts w:asciiTheme="minorHAnsi" w:hAnsiTheme="minorHAnsi"/>
          <w:sz w:val="20"/>
          <w:szCs w:val="20"/>
          <w:lang w:val="en-US"/>
        </w:rPr>
        <w:t xml:space="preserve">to guaranteeing access to information related to human rights violations. In addition, the Office of the Special Rapporteur reiterates its concern </w:t>
      </w:r>
      <w:r w:rsidR="0045388C" w:rsidRPr="007D47AD">
        <w:rPr>
          <w:rFonts w:asciiTheme="minorHAnsi" w:hAnsiTheme="minorHAnsi"/>
          <w:sz w:val="20"/>
          <w:szCs w:val="20"/>
          <w:lang w:val="en-US"/>
        </w:rPr>
        <w:t xml:space="preserve">over </w:t>
      </w:r>
      <w:r w:rsidR="003320FF" w:rsidRPr="007D47AD">
        <w:rPr>
          <w:rFonts w:asciiTheme="minorHAnsi" w:hAnsiTheme="minorHAnsi"/>
          <w:sz w:val="20"/>
          <w:szCs w:val="20"/>
          <w:lang w:val="en-US"/>
        </w:rPr>
        <w:t xml:space="preserve">the </w:t>
      </w:r>
      <w:r w:rsidR="0045388C" w:rsidRPr="007D47AD">
        <w:rPr>
          <w:rFonts w:asciiTheme="minorHAnsi" w:hAnsiTheme="minorHAnsi"/>
          <w:sz w:val="20"/>
          <w:szCs w:val="20"/>
          <w:lang w:val="en-US"/>
        </w:rPr>
        <w:t xml:space="preserve">gradual </w:t>
      </w:r>
      <w:r w:rsidR="003320FF" w:rsidRPr="007D47AD">
        <w:rPr>
          <w:rFonts w:asciiTheme="minorHAnsi" w:hAnsiTheme="minorHAnsi"/>
          <w:sz w:val="20"/>
          <w:szCs w:val="20"/>
          <w:lang w:val="en-US"/>
        </w:rPr>
        <w:t xml:space="preserve">backsliding in the policy of active transparency and public information </w:t>
      </w:r>
      <w:r w:rsidR="0045388C" w:rsidRPr="007D47AD">
        <w:rPr>
          <w:rFonts w:asciiTheme="minorHAnsi" w:hAnsiTheme="minorHAnsi"/>
          <w:sz w:val="20"/>
          <w:szCs w:val="20"/>
          <w:lang w:val="en-US"/>
        </w:rPr>
        <w:t xml:space="preserve">regarding </w:t>
      </w:r>
      <w:r w:rsidR="003320FF" w:rsidRPr="007D47AD">
        <w:rPr>
          <w:rFonts w:asciiTheme="minorHAnsi" w:hAnsiTheme="minorHAnsi"/>
          <w:sz w:val="20"/>
          <w:szCs w:val="20"/>
          <w:lang w:val="en-US"/>
        </w:rPr>
        <w:t xml:space="preserve">the deaths of civilians and members of the military in security operations, in particular when the </w:t>
      </w:r>
      <w:r w:rsidR="0045388C" w:rsidRPr="007D47AD">
        <w:rPr>
          <w:rFonts w:asciiTheme="minorHAnsi" w:hAnsiTheme="minorHAnsi"/>
          <w:sz w:val="20"/>
          <w:szCs w:val="20"/>
          <w:lang w:val="en-US"/>
        </w:rPr>
        <w:t>A</w:t>
      </w:r>
      <w:r w:rsidR="003320FF" w:rsidRPr="007D47AD">
        <w:rPr>
          <w:rFonts w:asciiTheme="minorHAnsi" w:hAnsiTheme="minorHAnsi"/>
          <w:sz w:val="20"/>
          <w:szCs w:val="20"/>
          <w:lang w:val="en-US"/>
        </w:rPr>
        <w:t xml:space="preserve">rmed </w:t>
      </w:r>
      <w:r w:rsidR="0045388C" w:rsidRPr="007D47AD">
        <w:rPr>
          <w:rFonts w:asciiTheme="minorHAnsi" w:hAnsiTheme="minorHAnsi"/>
          <w:sz w:val="20"/>
          <w:szCs w:val="20"/>
          <w:lang w:val="en-US"/>
        </w:rPr>
        <w:t>F</w:t>
      </w:r>
      <w:r w:rsidR="003320FF" w:rsidRPr="007D47AD">
        <w:rPr>
          <w:rFonts w:asciiTheme="minorHAnsi" w:hAnsiTheme="minorHAnsi"/>
          <w:sz w:val="20"/>
          <w:szCs w:val="20"/>
          <w:lang w:val="en-US"/>
        </w:rPr>
        <w:t xml:space="preserve">orces </w:t>
      </w:r>
      <w:r w:rsidR="0045388C" w:rsidRPr="007D47AD">
        <w:rPr>
          <w:rFonts w:asciiTheme="minorHAnsi" w:hAnsiTheme="minorHAnsi"/>
          <w:sz w:val="20"/>
          <w:szCs w:val="20"/>
          <w:lang w:val="en-US"/>
        </w:rPr>
        <w:t>have become involved</w:t>
      </w:r>
      <w:r w:rsidR="003320FF" w:rsidRPr="007D47AD">
        <w:rPr>
          <w:rFonts w:asciiTheme="minorHAnsi" w:hAnsiTheme="minorHAnsi"/>
          <w:sz w:val="20"/>
          <w:szCs w:val="20"/>
          <w:lang w:val="en-US"/>
        </w:rPr>
        <w:t>.</w:t>
      </w:r>
      <w:r w:rsidR="00C41B9B" w:rsidRPr="007D47AD">
        <w:rPr>
          <w:rStyle w:val="FootnoteReference"/>
          <w:rFonts w:asciiTheme="minorHAnsi" w:hAnsiTheme="minorHAnsi"/>
          <w:sz w:val="20"/>
          <w:lang w:val="en-US"/>
        </w:rPr>
        <w:footnoteReference w:id="507"/>
      </w:r>
      <w:r w:rsidR="00C41B9B" w:rsidRPr="007D47AD">
        <w:rPr>
          <w:rFonts w:asciiTheme="minorHAnsi" w:hAnsiTheme="minorHAnsi"/>
          <w:sz w:val="20"/>
          <w:szCs w:val="20"/>
          <w:lang w:val="en-US"/>
        </w:rPr>
        <w:t xml:space="preserve"> </w:t>
      </w:r>
    </w:p>
    <w:p w:rsidR="00C41B9B" w:rsidRPr="007D47AD" w:rsidRDefault="00C41B9B" w:rsidP="00C41B9B">
      <w:pPr>
        <w:shd w:val="clear" w:color="auto" w:fill="FFFFFF"/>
        <w:spacing w:after="0" w:line="240" w:lineRule="auto"/>
        <w:ind w:left="709"/>
        <w:jc w:val="both"/>
        <w:rPr>
          <w:rFonts w:asciiTheme="minorHAnsi" w:hAnsiTheme="minorHAnsi"/>
          <w:sz w:val="20"/>
          <w:szCs w:val="20"/>
          <w:lang w:val="en-US"/>
        </w:rPr>
      </w:pPr>
    </w:p>
    <w:p w:rsidR="00F06DD4" w:rsidRPr="007D47AD" w:rsidRDefault="00AC65DF" w:rsidP="00006815">
      <w:pPr>
        <w:numPr>
          <w:ilvl w:val="0"/>
          <w:numId w:val="6"/>
        </w:numPr>
        <w:shd w:val="clear" w:color="auto" w:fill="FFFFFF"/>
        <w:spacing w:after="0" w:line="240" w:lineRule="auto"/>
        <w:ind w:left="0" w:firstLine="709"/>
        <w:jc w:val="both"/>
        <w:rPr>
          <w:rFonts w:asciiTheme="minorHAnsi" w:hAnsiTheme="minorHAnsi"/>
          <w:sz w:val="20"/>
          <w:szCs w:val="20"/>
          <w:lang w:val="en-US"/>
        </w:rPr>
      </w:pPr>
      <w:r w:rsidRPr="007D47AD">
        <w:rPr>
          <w:rFonts w:asciiTheme="minorHAnsi" w:hAnsiTheme="minorHAnsi"/>
          <w:sz w:val="20"/>
          <w:szCs w:val="20"/>
          <w:lang w:val="en-US"/>
        </w:rPr>
        <w:t xml:space="preserve">With respect to the recommendation indicated by the IACHR, on </w:t>
      </w:r>
      <w:r w:rsidR="00C41B9B" w:rsidRPr="007D47AD">
        <w:rPr>
          <w:rFonts w:asciiTheme="minorHAnsi" w:hAnsiTheme="minorHAnsi"/>
          <w:b/>
          <w:sz w:val="20"/>
          <w:szCs w:val="20"/>
          <w:lang w:val="en-US"/>
        </w:rPr>
        <w:t>reg</w:t>
      </w:r>
      <w:r w:rsidR="001A3444" w:rsidRPr="007D47AD">
        <w:rPr>
          <w:rFonts w:asciiTheme="minorHAnsi" w:hAnsiTheme="minorHAnsi"/>
          <w:b/>
          <w:sz w:val="20"/>
          <w:szCs w:val="20"/>
          <w:lang w:val="en-US"/>
        </w:rPr>
        <w:t>ulating the attri</w:t>
      </w:r>
      <w:r w:rsidR="0045388C" w:rsidRPr="007D47AD">
        <w:rPr>
          <w:rFonts w:asciiTheme="minorHAnsi" w:hAnsiTheme="minorHAnsi"/>
          <w:b/>
          <w:sz w:val="20"/>
          <w:szCs w:val="20"/>
          <w:lang w:val="en-US"/>
        </w:rPr>
        <w:t>b</w:t>
      </w:r>
      <w:r w:rsidR="001A3444" w:rsidRPr="007D47AD">
        <w:rPr>
          <w:rFonts w:asciiTheme="minorHAnsi" w:hAnsiTheme="minorHAnsi"/>
          <w:b/>
          <w:sz w:val="20"/>
          <w:szCs w:val="20"/>
          <w:lang w:val="en-US"/>
        </w:rPr>
        <w:t>ution that the Law on Access to Information confers to the Office of the Legal Counsel of the Presidency to appeal any decision to declassify information</w:t>
      </w:r>
      <w:r w:rsidR="00C41B9B" w:rsidRPr="007D47AD">
        <w:rPr>
          <w:rFonts w:asciiTheme="minorHAnsi" w:hAnsiTheme="minorHAnsi"/>
          <w:b/>
          <w:sz w:val="20"/>
          <w:szCs w:val="20"/>
          <w:lang w:val="en-US"/>
        </w:rPr>
        <w:t xml:space="preserve">, </w:t>
      </w:r>
      <w:r w:rsidR="001A3444" w:rsidRPr="007D47AD">
        <w:rPr>
          <w:rFonts w:asciiTheme="minorHAnsi" w:hAnsiTheme="minorHAnsi"/>
          <w:b/>
          <w:sz w:val="20"/>
          <w:szCs w:val="20"/>
          <w:lang w:val="en-US"/>
        </w:rPr>
        <w:t xml:space="preserve">made by the National Institute on </w:t>
      </w:r>
      <w:r w:rsidR="00C41B9B" w:rsidRPr="007D47AD">
        <w:rPr>
          <w:rFonts w:asciiTheme="minorHAnsi" w:hAnsiTheme="minorHAnsi"/>
          <w:b/>
          <w:sz w:val="20"/>
          <w:szCs w:val="20"/>
          <w:lang w:val="en-US"/>
        </w:rPr>
        <w:t>Acces</w:t>
      </w:r>
      <w:r w:rsidR="001A3444" w:rsidRPr="007D47AD">
        <w:rPr>
          <w:rFonts w:asciiTheme="minorHAnsi" w:hAnsiTheme="minorHAnsi"/>
          <w:b/>
          <w:sz w:val="20"/>
          <w:szCs w:val="20"/>
          <w:lang w:val="en-US"/>
        </w:rPr>
        <w:t xml:space="preserve">s to </w:t>
      </w:r>
      <w:r w:rsidR="00C41B9B" w:rsidRPr="007D47AD">
        <w:rPr>
          <w:rFonts w:asciiTheme="minorHAnsi" w:hAnsiTheme="minorHAnsi"/>
          <w:b/>
          <w:sz w:val="20"/>
          <w:szCs w:val="20"/>
          <w:lang w:val="en-US"/>
        </w:rPr>
        <w:t>Informa</w:t>
      </w:r>
      <w:r w:rsidR="001A3444" w:rsidRPr="007D47AD">
        <w:rPr>
          <w:rFonts w:asciiTheme="minorHAnsi" w:hAnsiTheme="minorHAnsi"/>
          <w:b/>
          <w:sz w:val="20"/>
          <w:szCs w:val="20"/>
          <w:lang w:val="en-US"/>
        </w:rPr>
        <w:t>tion</w:t>
      </w:r>
      <w:r w:rsidR="00C41B9B" w:rsidRPr="007D47AD">
        <w:rPr>
          <w:rFonts w:asciiTheme="minorHAnsi" w:hAnsiTheme="minorHAnsi"/>
          <w:b/>
          <w:sz w:val="20"/>
          <w:szCs w:val="20"/>
          <w:lang w:val="en-US"/>
        </w:rPr>
        <w:t xml:space="preserve"> (INAI), </w:t>
      </w:r>
      <w:r w:rsidR="001A3444" w:rsidRPr="007D47AD">
        <w:rPr>
          <w:rFonts w:asciiTheme="minorHAnsi" w:hAnsiTheme="minorHAnsi"/>
          <w:b/>
          <w:sz w:val="20"/>
          <w:szCs w:val="20"/>
          <w:lang w:val="en-US"/>
        </w:rPr>
        <w:t>if it endangers national security interests</w:t>
      </w:r>
      <w:r w:rsidR="00C41B9B" w:rsidRPr="007D47AD">
        <w:rPr>
          <w:rFonts w:asciiTheme="minorHAnsi" w:hAnsiTheme="minorHAnsi"/>
          <w:sz w:val="20"/>
          <w:szCs w:val="20"/>
          <w:lang w:val="en-US"/>
        </w:rPr>
        <w:t xml:space="preserve">, </w:t>
      </w:r>
      <w:r w:rsidRPr="007D47AD">
        <w:rPr>
          <w:rFonts w:asciiTheme="minorHAnsi" w:hAnsiTheme="minorHAnsi"/>
          <w:sz w:val="20"/>
          <w:szCs w:val="20"/>
          <w:lang w:val="en-US"/>
        </w:rPr>
        <w:t xml:space="preserve">the State indicated that </w:t>
      </w:r>
      <w:r w:rsidR="00006815" w:rsidRPr="007D47AD">
        <w:rPr>
          <w:rFonts w:asciiTheme="minorHAnsi" w:hAnsiTheme="minorHAnsi"/>
          <w:sz w:val="20"/>
          <w:szCs w:val="20"/>
          <w:lang w:val="en-US"/>
        </w:rPr>
        <w:t>“</w:t>
      </w:r>
      <w:r w:rsidRPr="007D47AD">
        <w:rPr>
          <w:rFonts w:asciiTheme="minorHAnsi" w:hAnsiTheme="minorHAnsi"/>
          <w:sz w:val="20"/>
          <w:szCs w:val="20"/>
          <w:lang w:val="en-US"/>
        </w:rPr>
        <w:t>if it has updated information it will share it with the Commission.</w:t>
      </w:r>
      <w:r w:rsidR="00006815" w:rsidRPr="007D47AD">
        <w:rPr>
          <w:rFonts w:asciiTheme="minorHAnsi" w:hAnsiTheme="minorHAnsi"/>
          <w:sz w:val="20"/>
          <w:szCs w:val="20"/>
          <w:lang w:val="en-US"/>
        </w:rPr>
        <w:t>”</w:t>
      </w:r>
      <w:r w:rsidR="00006815" w:rsidRPr="007D47AD">
        <w:rPr>
          <w:rStyle w:val="FootnoteReference"/>
          <w:rFonts w:asciiTheme="minorHAnsi" w:hAnsiTheme="minorHAnsi"/>
          <w:sz w:val="20"/>
          <w:szCs w:val="20"/>
          <w:lang w:val="en-US"/>
        </w:rPr>
        <w:footnoteReference w:id="508"/>
      </w:r>
      <w:r w:rsidR="00006815" w:rsidRPr="007D47AD">
        <w:rPr>
          <w:rFonts w:asciiTheme="minorHAnsi" w:hAnsiTheme="minorHAnsi"/>
          <w:sz w:val="20"/>
          <w:szCs w:val="20"/>
          <w:lang w:val="en-US"/>
        </w:rPr>
        <w:t xml:space="preserve"> </w:t>
      </w:r>
      <w:r w:rsidR="00F1218C" w:rsidRPr="007D47AD">
        <w:rPr>
          <w:rFonts w:asciiTheme="minorHAnsi" w:hAnsiTheme="minorHAnsi"/>
          <w:sz w:val="20"/>
          <w:szCs w:val="20"/>
          <w:lang w:val="en-US"/>
        </w:rPr>
        <w:t>I</w:t>
      </w:r>
      <w:r w:rsidR="00F06DD4" w:rsidRPr="007D47AD">
        <w:rPr>
          <w:rFonts w:asciiTheme="minorHAnsi" w:hAnsiTheme="minorHAnsi"/>
          <w:sz w:val="20"/>
          <w:szCs w:val="20"/>
          <w:lang w:val="en-US"/>
        </w:rPr>
        <w:t xml:space="preserve">n </w:t>
      </w:r>
      <w:r w:rsidR="00F1218C" w:rsidRPr="007D47AD">
        <w:rPr>
          <w:rFonts w:asciiTheme="minorHAnsi" w:hAnsiTheme="minorHAnsi"/>
          <w:sz w:val="20"/>
          <w:szCs w:val="20"/>
          <w:lang w:val="en-US"/>
        </w:rPr>
        <w:t xml:space="preserve">its observations on the draft of this report the State indicated that the </w:t>
      </w:r>
      <w:r w:rsidR="00F06DD4" w:rsidRPr="007D47AD">
        <w:rPr>
          <w:rFonts w:asciiTheme="minorHAnsi" w:hAnsiTheme="minorHAnsi"/>
          <w:sz w:val="20"/>
          <w:szCs w:val="20"/>
          <w:lang w:val="en-US"/>
        </w:rPr>
        <w:t xml:space="preserve">INAI, </w:t>
      </w:r>
      <w:r w:rsidR="00F1218C" w:rsidRPr="007D47AD">
        <w:rPr>
          <w:rFonts w:asciiTheme="minorHAnsi" w:hAnsiTheme="minorHAnsi"/>
          <w:sz w:val="20"/>
          <w:szCs w:val="20"/>
          <w:lang w:val="en-US"/>
        </w:rPr>
        <w:t>along with civil society organizations, developed and coordinated the project “Memory and Truth” (</w:t>
      </w:r>
      <w:r w:rsidR="00F06DD4" w:rsidRPr="007D47AD">
        <w:rPr>
          <w:rFonts w:asciiTheme="minorHAnsi" w:hAnsiTheme="minorHAnsi"/>
          <w:sz w:val="20"/>
          <w:szCs w:val="20"/>
          <w:lang w:val="en-US"/>
        </w:rPr>
        <w:t>“Memoria y Verdad”</w:t>
      </w:r>
      <w:r w:rsidR="00F1218C" w:rsidRPr="007D47AD">
        <w:rPr>
          <w:rFonts w:asciiTheme="minorHAnsi" w:hAnsiTheme="minorHAnsi"/>
          <w:sz w:val="20"/>
          <w:szCs w:val="20"/>
          <w:lang w:val="en-US"/>
        </w:rPr>
        <w:t>) in order to promote guarantees of non-repetition, implement the right to the truth</w:t>
      </w:r>
      <w:r w:rsidR="00F06DD4" w:rsidRPr="007D47AD">
        <w:rPr>
          <w:rFonts w:asciiTheme="minorHAnsi" w:hAnsiTheme="minorHAnsi"/>
          <w:sz w:val="20"/>
          <w:szCs w:val="20"/>
          <w:lang w:val="en-US"/>
        </w:rPr>
        <w:t xml:space="preserve">, </w:t>
      </w:r>
      <w:r w:rsidR="00F1218C" w:rsidRPr="007D47AD">
        <w:rPr>
          <w:rFonts w:asciiTheme="minorHAnsi" w:hAnsiTheme="minorHAnsi"/>
          <w:sz w:val="20"/>
          <w:szCs w:val="20"/>
          <w:lang w:val="en-US"/>
        </w:rPr>
        <w:t xml:space="preserve">and </w:t>
      </w:r>
      <w:r w:rsidR="00F06DD4" w:rsidRPr="007D47AD">
        <w:rPr>
          <w:rFonts w:asciiTheme="minorHAnsi" w:hAnsiTheme="minorHAnsi"/>
          <w:sz w:val="20"/>
          <w:szCs w:val="20"/>
          <w:lang w:val="en-US"/>
        </w:rPr>
        <w:t>facilita</w:t>
      </w:r>
      <w:r w:rsidR="00F1218C" w:rsidRPr="007D47AD">
        <w:rPr>
          <w:rFonts w:asciiTheme="minorHAnsi" w:hAnsiTheme="minorHAnsi"/>
          <w:sz w:val="20"/>
          <w:szCs w:val="20"/>
          <w:lang w:val="en-US"/>
        </w:rPr>
        <w:t>te access to information, among other</w:t>
      </w:r>
      <w:r w:rsidR="00443499" w:rsidRPr="007D47AD">
        <w:rPr>
          <w:rFonts w:asciiTheme="minorHAnsi" w:hAnsiTheme="minorHAnsi"/>
          <w:sz w:val="20"/>
          <w:szCs w:val="20"/>
          <w:lang w:val="en-US"/>
        </w:rPr>
        <w:t xml:space="preserve"> aim</w:t>
      </w:r>
      <w:r w:rsidR="00F1218C" w:rsidRPr="007D47AD">
        <w:rPr>
          <w:rFonts w:asciiTheme="minorHAnsi" w:hAnsiTheme="minorHAnsi"/>
          <w:sz w:val="20"/>
          <w:szCs w:val="20"/>
          <w:lang w:val="en-US"/>
        </w:rPr>
        <w:t>s.</w:t>
      </w:r>
      <w:r w:rsidR="00F06DD4" w:rsidRPr="007D47AD">
        <w:rPr>
          <w:rStyle w:val="FootnoteReference"/>
          <w:rFonts w:asciiTheme="minorHAnsi" w:hAnsiTheme="minorHAnsi"/>
          <w:sz w:val="20"/>
          <w:szCs w:val="20"/>
          <w:lang w:val="en-US"/>
        </w:rPr>
        <w:footnoteReference w:id="509"/>
      </w:r>
      <w:r w:rsidR="00443499" w:rsidRPr="007D47AD">
        <w:rPr>
          <w:rFonts w:asciiTheme="minorHAnsi" w:hAnsiTheme="minorHAnsi"/>
          <w:sz w:val="20"/>
          <w:szCs w:val="20"/>
          <w:lang w:val="en-US"/>
        </w:rPr>
        <w:t xml:space="preserve"> </w:t>
      </w:r>
    </w:p>
    <w:p w:rsidR="00F06DD4" w:rsidRPr="007D47AD" w:rsidRDefault="00F06DD4" w:rsidP="00F06DD4">
      <w:pPr>
        <w:pStyle w:val="ListParagraph"/>
        <w:rPr>
          <w:rFonts w:asciiTheme="minorHAnsi" w:hAnsiTheme="minorHAnsi"/>
          <w:sz w:val="20"/>
          <w:szCs w:val="20"/>
          <w:lang w:val="en-US"/>
        </w:rPr>
      </w:pPr>
    </w:p>
    <w:p w:rsidR="00C41B9B" w:rsidRPr="007D47AD" w:rsidRDefault="00AC65DF" w:rsidP="00006815">
      <w:pPr>
        <w:numPr>
          <w:ilvl w:val="0"/>
          <w:numId w:val="6"/>
        </w:numPr>
        <w:shd w:val="clear" w:color="auto" w:fill="FFFFFF"/>
        <w:spacing w:after="0" w:line="240" w:lineRule="auto"/>
        <w:ind w:left="0" w:firstLine="709"/>
        <w:jc w:val="both"/>
        <w:rPr>
          <w:rFonts w:asciiTheme="minorHAnsi" w:hAnsiTheme="minorHAnsi"/>
          <w:sz w:val="20"/>
          <w:szCs w:val="20"/>
          <w:lang w:val="en-US"/>
        </w:rPr>
      </w:pPr>
      <w:r w:rsidRPr="007D47AD">
        <w:rPr>
          <w:rFonts w:asciiTheme="minorHAnsi" w:hAnsiTheme="minorHAnsi"/>
          <w:sz w:val="20"/>
          <w:szCs w:val="20"/>
          <w:lang w:val="en-US"/>
        </w:rPr>
        <w:t xml:space="preserve">The IACHR notes that for the last two years the State has not submitted relevant information, thus it is considered that it is pending implementation. </w:t>
      </w:r>
    </w:p>
    <w:p w:rsidR="00C41B9B" w:rsidRPr="007D47AD" w:rsidRDefault="00C41B9B" w:rsidP="00C41B9B">
      <w:pPr>
        <w:shd w:val="clear" w:color="auto" w:fill="FFFFFF"/>
        <w:spacing w:after="0" w:line="240" w:lineRule="auto"/>
        <w:ind w:left="709"/>
        <w:jc w:val="both"/>
        <w:rPr>
          <w:rFonts w:asciiTheme="minorHAnsi" w:hAnsiTheme="minorHAnsi"/>
          <w:sz w:val="20"/>
          <w:szCs w:val="20"/>
          <w:lang w:val="en-US"/>
        </w:rPr>
      </w:pPr>
    </w:p>
    <w:p w:rsidR="007531A1" w:rsidRPr="007D47AD" w:rsidRDefault="00AC65DF" w:rsidP="00006815">
      <w:pPr>
        <w:numPr>
          <w:ilvl w:val="0"/>
          <w:numId w:val="6"/>
        </w:numPr>
        <w:shd w:val="clear" w:color="auto" w:fill="FFFFFF"/>
        <w:spacing w:after="0" w:line="240" w:lineRule="auto"/>
        <w:ind w:left="0" w:firstLine="709"/>
        <w:jc w:val="both"/>
        <w:rPr>
          <w:rFonts w:asciiTheme="minorHAnsi" w:hAnsiTheme="minorHAnsi"/>
          <w:sz w:val="20"/>
          <w:szCs w:val="20"/>
          <w:lang w:val="en-US"/>
        </w:rPr>
      </w:pPr>
      <w:r w:rsidRPr="007D47AD">
        <w:rPr>
          <w:rFonts w:asciiTheme="minorHAnsi" w:hAnsiTheme="minorHAnsi"/>
          <w:sz w:val="20"/>
          <w:szCs w:val="20"/>
          <w:lang w:val="en-US"/>
        </w:rPr>
        <w:t xml:space="preserve">With respect to the recommendation to </w:t>
      </w:r>
      <w:r w:rsidR="001A3444" w:rsidRPr="007D47AD">
        <w:rPr>
          <w:rFonts w:asciiTheme="minorHAnsi" w:hAnsiTheme="minorHAnsi"/>
          <w:b/>
          <w:sz w:val="20"/>
          <w:szCs w:val="20"/>
          <w:lang w:val="en-US"/>
        </w:rPr>
        <w:t>strengthen laws, policies and practices to ensure that judicial authorities have complete access to relevant information when they investigate and process cases o</w:t>
      </w:r>
      <w:r w:rsidR="0045388C" w:rsidRPr="007D47AD">
        <w:rPr>
          <w:rFonts w:asciiTheme="minorHAnsi" w:hAnsiTheme="minorHAnsi"/>
          <w:b/>
          <w:sz w:val="20"/>
          <w:szCs w:val="20"/>
          <w:lang w:val="en-US"/>
        </w:rPr>
        <w:t>f</w:t>
      </w:r>
      <w:r w:rsidR="001A3444" w:rsidRPr="007D47AD">
        <w:rPr>
          <w:rFonts w:asciiTheme="minorHAnsi" w:hAnsiTheme="minorHAnsi"/>
          <w:b/>
          <w:sz w:val="20"/>
          <w:szCs w:val="20"/>
          <w:lang w:val="en-US"/>
        </w:rPr>
        <w:t xml:space="preserve"> human rights violations attributed to the security forces</w:t>
      </w:r>
      <w:r w:rsidR="00C41B9B" w:rsidRPr="007D47AD">
        <w:rPr>
          <w:rFonts w:asciiTheme="minorHAnsi" w:hAnsiTheme="minorHAnsi"/>
          <w:sz w:val="20"/>
          <w:szCs w:val="20"/>
          <w:lang w:val="en-US"/>
        </w:rPr>
        <w:t xml:space="preserve">, </w:t>
      </w:r>
      <w:r w:rsidRPr="007D47AD">
        <w:rPr>
          <w:rFonts w:asciiTheme="minorHAnsi" w:hAnsiTheme="minorHAnsi"/>
          <w:sz w:val="20"/>
          <w:szCs w:val="20"/>
          <w:lang w:val="en-US"/>
        </w:rPr>
        <w:t>the State noted that it reiterated w</w:t>
      </w:r>
      <w:r w:rsidR="0045388C" w:rsidRPr="007D47AD">
        <w:rPr>
          <w:rFonts w:asciiTheme="minorHAnsi" w:hAnsiTheme="minorHAnsi"/>
          <w:sz w:val="20"/>
          <w:szCs w:val="20"/>
          <w:lang w:val="en-US"/>
        </w:rPr>
        <w:t xml:space="preserve">hat </w:t>
      </w:r>
      <w:r w:rsidRPr="007D47AD">
        <w:rPr>
          <w:rFonts w:asciiTheme="minorHAnsi" w:hAnsiTheme="minorHAnsi"/>
          <w:sz w:val="20"/>
          <w:szCs w:val="20"/>
          <w:lang w:val="en-US"/>
        </w:rPr>
        <w:t>was indicated in previous reports</w:t>
      </w:r>
      <w:r w:rsidR="0045388C" w:rsidRPr="007D47AD">
        <w:rPr>
          <w:rFonts w:asciiTheme="minorHAnsi" w:hAnsiTheme="minorHAnsi"/>
          <w:sz w:val="20"/>
          <w:szCs w:val="20"/>
          <w:lang w:val="en-US"/>
        </w:rPr>
        <w:t>.</w:t>
      </w:r>
      <w:r w:rsidR="00006815" w:rsidRPr="007D47AD">
        <w:rPr>
          <w:rStyle w:val="FootnoteReference"/>
          <w:rFonts w:asciiTheme="minorHAnsi" w:hAnsiTheme="minorHAnsi"/>
          <w:sz w:val="20"/>
          <w:szCs w:val="20"/>
          <w:lang w:val="en-US"/>
        </w:rPr>
        <w:footnoteReference w:id="510"/>
      </w:r>
      <w:r w:rsidR="00006815" w:rsidRPr="007D47AD">
        <w:rPr>
          <w:rFonts w:asciiTheme="minorHAnsi" w:hAnsiTheme="minorHAnsi"/>
          <w:sz w:val="20"/>
          <w:szCs w:val="20"/>
          <w:lang w:val="en-US"/>
        </w:rPr>
        <w:t xml:space="preserve"> </w:t>
      </w:r>
      <w:r w:rsidR="0045388C" w:rsidRPr="007D47AD">
        <w:rPr>
          <w:rFonts w:asciiTheme="minorHAnsi" w:hAnsiTheme="minorHAnsi"/>
          <w:sz w:val="20"/>
          <w:szCs w:val="20"/>
          <w:lang w:val="en-US"/>
        </w:rPr>
        <w:t>T</w:t>
      </w:r>
      <w:r w:rsidRPr="007D47AD">
        <w:rPr>
          <w:rFonts w:asciiTheme="minorHAnsi" w:hAnsiTheme="minorHAnsi"/>
          <w:sz w:val="20"/>
          <w:szCs w:val="20"/>
          <w:lang w:val="en-US"/>
        </w:rPr>
        <w:t xml:space="preserve">he IACHR </w:t>
      </w:r>
      <w:r w:rsidR="0045388C" w:rsidRPr="007D47AD">
        <w:rPr>
          <w:rFonts w:asciiTheme="minorHAnsi" w:hAnsiTheme="minorHAnsi"/>
          <w:sz w:val="20"/>
          <w:szCs w:val="20"/>
          <w:lang w:val="en-US"/>
        </w:rPr>
        <w:t xml:space="preserve">thus </w:t>
      </w:r>
      <w:r w:rsidR="00C41B9B" w:rsidRPr="007D47AD">
        <w:rPr>
          <w:rFonts w:asciiTheme="minorHAnsi" w:hAnsiTheme="minorHAnsi"/>
          <w:sz w:val="20"/>
          <w:szCs w:val="20"/>
          <w:lang w:val="en-US"/>
        </w:rPr>
        <w:t>reitera</w:t>
      </w:r>
      <w:r w:rsidRPr="007D47AD">
        <w:rPr>
          <w:rFonts w:asciiTheme="minorHAnsi" w:hAnsiTheme="minorHAnsi"/>
          <w:sz w:val="20"/>
          <w:szCs w:val="20"/>
          <w:lang w:val="en-US"/>
        </w:rPr>
        <w:t xml:space="preserve">tes that the Mexican State has a legal and institutional framework that broadly favors </w:t>
      </w:r>
      <w:r w:rsidR="00C41B9B" w:rsidRPr="007D47AD">
        <w:rPr>
          <w:rFonts w:asciiTheme="minorHAnsi" w:hAnsiTheme="minorHAnsi"/>
          <w:sz w:val="20"/>
          <w:szCs w:val="20"/>
          <w:lang w:val="en-US"/>
        </w:rPr>
        <w:t xml:space="preserve"> </w:t>
      </w:r>
      <w:r w:rsidRPr="007D47AD">
        <w:rPr>
          <w:rFonts w:asciiTheme="minorHAnsi" w:hAnsiTheme="minorHAnsi"/>
          <w:sz w:val="20"/>
          <w:szCs w:val="20"/>
          <w:lang w:val="en-US"/>
        </w:rPr>
        <w:t xml:space="preserve">the exercise </w:t>
      </w:r>
      <w:r w:rsidR="0045388C" w:rsidRPr="007D47AD">
        <w:rPr>
          <w:rFonts w:asciiTheme="minorHAnsi" w:hAnsiTheme="minorHAnsi"/>
          <w:sz w:val="20"/>
          <w:szCs w:val="20"/>
          <w:lang w:val="en-US"/>
        </w:rPr>
        <w:t xml:space="preserve">of </w:t>
      </w:r>
      <w:r w:rsidRPr="007D47AD">
        <w:rPr>
          <w:rFonts w:asciiTheme="minorHAnsi" w:hAnsiTheme="minorHAnsi"/>
          <w:sz w:val="20"/>
          <w:szCs w:val="20"/>
          <w:lang w:val="en-US"/>
        </w:rPr>
        <w:t xml:space="preserve">the right of access to public information, as well as promoting this right as an essential element of exercising the freedom of expression. Nonetheless, the Office of the Special Rapporteur </w:t>
      </w:r>
      <w:r w:rsidR="00C41B9B" w:rsidRPr="007D47AD">
        <w:rPr>
          <w:rFonts w:asciiTheme="minorHAnsi" w:hAnsiTheme="minorHAnsi"/>
          <w:sz w:val="20"/>
          <w:szCs w:val="20"/>
          <w:lang w:val="en-US"/>
        </w:rPr>
        <w:t>reiter</w:t>
      </w:r>
      <w:r w:rsidRPr="007D47AD">
        <w:rPr>
          <w:rFonts w:asciiTheme="minorHAnsi" w:hAnsiTheme="minorHAnsi"/>
          <w:sz w:val="20"/>
          <w:szCs w:val="20"/>
          <w:lang w:val="en-US"/>
        </w:rPr>
        <w:t xml:space="preserve">ates its concern in relation to the second paragraph of Article </w:t>
      </w:r>
      <w:r w:rsidR="00C41B9B" w:rsidRPr="007D47AD">
        <w:rPr>
          <w:rFonts w:asciiTheme="minorHAnsi" w:hAnsiTheme="minorHAnsi"/>
          <w:sz w:val="20"/>
          <w:szCs w:val="20"/>
          <w:lang w:val="en-US"/>
        </w:rPr>
        <w:t xml:space="preserve">36 </w:t>
      </w:r>
      <w:r w:rsidRPr="007D47AD">
        <w:rPr>
          <w:rFonts w:asciiTheme="minorHAnsi" w:hAnsiTheme="minorHAnsi"/>
          <w:sz w:val="20"/>
          <w:szCs w:val="20"/>
          <w:lang w:val="en-US"/>
        </w:rPr>
        <w:t xml:space="preserve">on the approval of the </w:t>
      </w:r>
      <w:r w:rsidR="00C41B9B" w:rsidRPr="007D47AD">
        <w:rPr>
          <w:rFonts w:asciiTheme="minorHAnsi" w:hAnsiTheme="minorHAnsi"/>
          <w:sz w:val="20"/>
          <w:szCs w:val="20"/>
          <w:lang w:val="en-US"/>
        </w:rPr>
        <w:t xml:space="preserve">“General </w:t>
      </w:r>
      <w:r w:rsidRPr="007D47AD">
        <w:rPr>
          <w:rFonts w:asciiTheme="minorHAnsi" w:hAnsiTheme="minorHAnsi"/>
          <w:sz w:val="20"/>
          <w:szCs w:val="20"/>
          <w:lang w:val="en-US"/>
        </w:rPr>
        <w:t xml:space="preserve">Law on </w:t>
      </w:r>
      <w:r w:rsidR="00C41B9B" w:rsidRPr="007D47AD">
        <w:rPr>
          <w:rFonts w:asciiTheme="minorHAnsi" w:hAnsiTheme="minorHAnsi"/>
          <w:sz w:val="20"/>
          <w:szCs w:val="20"/>
          <w:lang w:val="en-US"/>
        </w:rPr>
        <w:t>Archiv</w:t>
      </w:r>
      <w:r w:rsidRPr="007D47AD">
        <w:rPr>
          <w:rFonts w:asciiTheme="minorHAnsi" w:hAnsiTheme="minorHAnsi"/>
          <w:sz w:val="20"/>
          <w:szCs w:val="20"/>
          <w:lang w:val="en-US"/>
        </w:rPr>
        <w:t>e</w:t>
      </w:r>
      <w:r w:rsidR="00C41B9B" w:rsidRPr="007D47AD">
        <w:rPr>
          <w:rFonts w:asciiTheme="minorHAnsi" w:hAnsiTheme="minorHAnsi"/>
          <w:sz w:val="20"/>
          <w:szCs w:val="20"/>
          <w:lang w:val="en-US"/>
        </w:rPr>
        <w:t xml:space="preserve">s” </w:t>
      </w:r>
      <w:r w:rsidRPr="007D47AD">
        <w:rPr>
          <w:rFonts w:asciiTheme="minorHAnsi" w:hAnsiTheme="minorHAnsi"/>
          <w:sz w:val="20"/>
          <w:szCs w:val="20"/>
          <w:lang w:val="en-US"/>
        </w:rPr>
        <w:t xml:space="preserve">of </w:t>
      </w:r>
      <w:r w:rsidR="00C41B9B" w:rsidRPr="007D47AD">
        <w:rPr>
          <w:rFonts w:asciiTheme="minorHAnsi" w:hAnsiTheme="minorHAnsi"/>
          <w:sz w:val="20"/>
          <w:szCs w:val="20"/>
          <w:lang w:val="en-US"/>
        </w:rPr>
        <w:t>2018</w:t>
      </w:r>
      <w:r w:rsidR="00C41B9B" w:rsidRPr="007D47AD">
        <w:rPr>
          <w:rFonts w:asciiTheme="minorHAnsi" w:hAnsiTheme="minorHAnsi"/>
          <w:sz w:val="20"/>
          <w:szCs w:val="20"/>
          <w:vertAlign w:val="superscript"/>
          <w:lang w:val="en-US"/>
        </w:rPr>
        <w:footnoteReference w:id="511"/>
      </w:r>
      <w:r w:rsidRPr="007D47AD">
        <w:rPr>
          <w:rFonts w:asciiTheme="minorHAnsi" w:hAnsiTheme="minorHAnsi"/>
          <w:sz w:val="20"/>
          <w:szCs w:val="20"/>
          <w:lang w:val="en-US"/>
        </w:rPr>
        <w:t>,</w:t>
      </w:r>
      <w:r w:rsidR="00C41B9B" w:rsidRPr="007D47AD">
        <w:rPr>
          <w:rFonts w:asciiTheme="minorHAnsi" w:hAnsiTheme="minorHAnsi"/>
          <w:sz w:val="20"/>
          <w:szCs w:val="20"/>
          <w:lang w:val="en-US"/>
        </w:rPr>
        <w:t xml:space="preserve"> </w:t>
      </w:r>
      <w:r w:rsidRPr="007D47AD">
        <w:rPr>
          <w:rFonts w:asciiTheme="minorHAnsi" w:hAnsiTheme="minorHAnsi"/>
          <w:sz w:val="20"/>
          <w:szCs w:val="20"/>
          <w:lang w:val="en-US"/>
        </w:rPr>
        <w:t xml:space="preserve">which provides: </w:t>
      </w:r>
      <w:r w:rsidR="00C41B9B" w:rsidRPr="007D47AD">
        <w:rPr>
          <w:rFonts w:asciiTheme="minorHAnsi" w:hAnsiTheme="minorHAnsi"/>
          <w:sz w:val="20"/>
          <w:szCs w:val="20"/>
          <w:lang w:val="en-US"/>
        </w:rPr>
        <w:t>“</w:t>
      </w:r>
      <w:r w:rsidRPr="007D47AD">
        <w:rPr>
          <w:rFonts w:asciiTheme="minorHAnsi" w:hAnsiTheme="minorHAnsi"/>
          <w:sz w:val="20"/>
          <w:szCs w:val="20"/>
          <w:lang w:val="en-US"/>
        </w:rPr>
        <w:t xml:space="preserve">Documents that contain sensitive personal data, in keeping with the relevant legal provisions, with respect to which it has determined that their permanent conservation has historical value, shall conserve that status, in the </w:t>
      </w:r>
      <w:r w:rsidR="0045388C" w:rsidRPr="007D47AD">
        <w:rPr>
          <w:rFonts w:asciiTheme="minorHAnsi" w:hAnsiTheme="minorHAnsi"/>
          <w:sz w:val="20"/>
          <w:szCs w:val="20"/>
          <w:lang w:val="en-US"/>
        </w:rPr>
        <w:t xml:space="preserve">principal archive, </w:t>
      </w:r>
      <w:r w:rsidRPr="007D47AD">
        <w:rPr>
          <w:rFonts w:asciiTheme="minorHAnsi" w:hAnsiTheme="minorHAnsi"/>
          <w:sz w:val="20"/>
          <w:szCs w:val="20"/>
          <w:lang w:val="en-US"/>
        </w:rPr>
        <w:t xml:space="preserve">for </w:t>
      </w:r>
      <w:r w:rsidR="00C41B9B" w:rsidRPr="007D47AD">
        <w:rPr>
          <w:rFonts w:asciiTheme="minorHAnsi" w:hAnsiTheme="minorHAnsi"/>
          <w:sz w:val="20"/>
          <w:szCs w:val="20"/>
          <w:lang w:val="en-US"/>
        </w:rPr>
        <w:t xml:space="preserve">70 </w:t>
      </w:r>
      <w:r w:rsidRPr="007D47AD">
        <w:rPr>
          <w:rFonts w:asciiTheme="minorHAnsi" w:hAnsiTheme="minorHAnsi"/>
          <w:sz w:val="20"/>
          <w:szCs w:val="20"/>
          <w:lang w:val="en-US"/>
        </w:rPr>
        <w:t xml:space="preserve">years from the date the document was created, and </w:t>
      </w:r>
      <w:r w:rsidR="0045388C" w:rsidRPr="007D47AD">
        <w:rPr>
          <w:rFonts w:asciiTheme="minorHAnsi" w:hAnsiTheme="minorHAnsi"/>
          <w:sz w:val="20"/>
          <w:szCs w:val="20"/>
          <w:lang w:val="en-US"/>
        </w:rPr>
        <w:t xml:space="preserve">access </w:t>
      </w:r>
      <w:r w:rsidRPr="007D47AD">
        <w:rPr>
          <w:rFonts w:asciiTheme="minorHAnsi" w:hAnsiTheme="minorHAnsi"/>
          <w:sz w:val="20"/>
          <w:szCs w:val="20"/>
          <w:lang w:val="en-US"/>
        </w:rPr>
        <w:t xml:space="preserve">shall be restricted during that period.” In this context, information received previously indicated that Article </w:t>
      </w:r>
      <w:r w:rsidR="00C41B9B" w:rsidRPr="007D47AD">
        <w:rPr>
          <w:rFonts w:asciiTheme="minorHAnsi" w:hAnsiTheme="minorHAnsi"/>
          <w:sz w:val="20"/>
          <w:szCs w:val="20"/>
          <w:lang w:val="en-US"/>
        </w:rPr>
        <w:t xml:space="preserve">27 </w:t>
      </w:r>
      <w:r w:rsidRPr="007D47AD">
        <w:rPr>
          <w:rFonts w:asciiTheme="minorHAnsi" w:hAnsiTheme="minorHAnsi"/>
          <w:sz w:val="20"/>
          <w:szCs w:val="20"/>
          <w:lang w:val="en-US"/>
        </w:rPr>
        <w:t xml:space="preserve">of the Federal Law on Archives, a law that at present has been repealed, </w:t>
      </w:r>
      <w:r w:rsidR="00820BDB" w:rsidRPr="007D47AD">
        <w:rPr>
          <w:rFonts w:asciiTheme="minorHAnsi" w:hAnsiTheme="minorHAnsi"/>
          <w:sz w:val="20"/>
          <w:szCs w:val="20"/>
          <w:lang w:val="en-US"/>
        </w:rPr>
        <w:t xml:space="preserve">provided for personal data to remain </w:t>
      </w:r>
      <w:r w:rsidR="0045388C" w:rsidRPr="007D47AD">
        <w:rPr>
          <w:rFonts w:asciiTheme="minorHAnsi" w:hAnsiTheme="minorHAnsi"/>
          <w:sz w:val="20"/>
          <w:szCs w:val="20"/>
          <w:lang w:val="en-US"/>
        </w:rPr>
        <w:t xml:space="preserve">under seal </w:t>
      </w:r>
      <w:r w:rsidRPr="007D47AD">
        <w:rPr>
          <w:rFonts w:asciiTheme="minorHAnsi" w:hAnsiTheme="minorHAnsi"/>
          <w:sz w:val="20"/>
          <w:szCs w:val="20"/>
          <w:lang w:val="en-US"/>
        </w:rPr>
        <w:t xml:space="preserve">from </w:t>
      </w:r>
      <w:r w:rsidR="00C41B9B" w:rsidRPr="007D47AD">
        <w:rPr>
          <w:rFonts w:asciiTheme="minorHAnsi" w:hAnsiTheme="minorHAnsi"/>
          <w:sz w:val="20"/>
          <w:szCs w:val="20"/>
          <w:lang w:val="en-US"/>
        </w:rPr>
        <w:t xml:space="preserve">30 </w:t>
      </w:r>
      <w:r w:rsidRPr="007D47AD">
        <w:rPr>
          <w:rFonts w:asciiTheme="minorHAnsi" w:hAnsiTheme="minorHAnsi"/>
          <w:sz w:val="20"/>
          <w:szCs w:val="20"/>
          <w:lang w:val="en-US"/>
        </w:rPr>
        <w:t xml:space="preserve">to </w:t>
      </w:r>
      <w:r w:rsidR="00C41B9B" w:rsidRPr="007D47AD">
        <w:rPr>
          <w:rFonts w:asciiTheme="minorHAnsi" w:hAnsiTheme="minorHAnsi"/>
          <w:sz w:val="20"/>
          <w:szCs w:val="20"/>
          <w:lang w:val="en-US"/>
        </w:rPr>
        <w:t xml:space="preserve">70 </w:t>
      </w:r>
      <w:r w:rsidRPr="007D47AD">
        <w:rPr>
          <w:rFonts w:asciiTheme="minorHAnsi" w:hAnsiTheme="minorHAnsi"/>
          <w:sz w:val="20"/>
          <w:szCs w:val="20"/>
          <w:lang w:val="en-US"/>
        </w:rPr>
        <w:t xml:space="preserve">years, was used on several </w:t>
      </w:r>
      <w:r w:rsidR="00820BDB" w:rsidRPr="007D47AD">
        <w:rPr>
          <w:rFonts w:asciiTheme="minorHAnsi" w:hAnsiTheme="minorHAnsi"/>
          <w:sz w:val="20"/>
          <w:szCs w:val="20"/>
          <w:lang w:val="en-US"/>
        </w:rPr>
        <w:t xml:space="preserve">occasions </w:t>
      </w:r>
      <w:r w:rsidRPr="007D47AD">
        <w:rPr>
          <w:rFonts w:asciiTheme="minorHAnsi" w:hAnsiTheme="minorHAnsi"/>
          <w:sz w:val="20"/>
          <w:szCs w:val="20"/>
          <w:lang w:val="en-US"/>
        </w:rPr>
        <w:t>to hid</w:t>
      </w:r>
      <w:r w:rsidR="0045388C" w:rsidRPr="007D47AD">
        <w:rPr>
          <w:rFonts w:asciiTheme="minorHAnsi" w:hAnsiTheme="minorHAnsi"/>
          <w:sz w:val="20"/>
          <w:szCs w:val="20"/>
          <w:lang w:val="en-US"/>
        </w:rPr>
        <w:t>e</w:t>
      </w:r>
      <w:r w:rsidRPr="007D47AD">
        <w:rPr>
          <w:rFonts w:asciiTheme="minorHAnsi" w:hAnsiTheme="minorHAnsi"/>
          <w:sz w:val="20"/>
          <w:szCs w:val="20"/>
          <w:lang w:val="en-US"/>
        </w:rPr>
        <w:t xml:space="preserve"> names of public servants and other information on serious human rights violations.</w:t>
      </w:r>
      <w:r w:rsidR="00C41B9B" w:rsidRPr="007D47AD">
        <w:rPr>
          <w:rFonts w:asciiTheme="minorHAnsi" w:hAnsiTheme="minorHAnsi"/>
          <w:sz w:val="20"/>
          <w:szCs w:val="20"/>
          <w:vertAlign w:val="superscript"/>
          <w:lang w:val="en-US"/>
        </w:rPr>
        <w:footnoteReference w:id="512"/>
      </w:r>
      <w:r w:rsidR="00F06DD4" w:rsidRPr="007D47AD">
        <w:rPr>
          <w:rFonts w:asciiTheme="minorHAnsi" w:hAnsiTheme="minorHAnsi"/>
          <w:sz w:val="20"/>
          <w:szCs w:val="20"/>
          <w:lang w:val="en-US"/>
        </w:rPr>
        <w:t xml:space="preserve"> </w:t>
      </w:r>
      <w:r w:rsidR="00F1218C" w:rsidRPr="007D47AD">
        <w:rPr>
          <w:rFonts w:asciiTheme="minorHAnsi" w:hAnsiTheme="minorHAnsi"/>
          <w:sz w:val="20"/>
          <w:szCs w:val="20"/>
          <w:lang w:val="en-US"/>
        </w:rPr>
        <w:t xml:space="preserve">On this matter, in its observations on the draft of this report the State indicated that the Office of Legal Counsel to the Presidency has only used the prerogative conferred on it by law to prevent the declassification of information on four occasions from </w:t>
      </w:r>
      <w:r w:rsidR="00F06DD4" w:rsidRPr="007D47AD">
        <w:rPr>
          <w:rFonts w:asciiTheme="minorHAnsi" w:hAnsiTheme="minorHAnsi"/>
          <w:sz w:val="20"/>
          <w:szCs w:val="20"/>
          <w:lang w:val="en-US"/>
        </w:rPr>
        <w:t xml:space="preserve">2015 </w:t>
      </w:r>
      <w:r w:rsidR="00F1218C" w:rsidRPr="007D47AD">
        <w:rPr>
          <w:rFonts w:asciiTheme="minorHAnsi" w:hAnsiTheme="minorHAnsi"/>
          <w:sz w:val="20"/>
          <w:szCs w:val="20"/>
          <w:lang w:val="en-US"/>
        </w:rPr>
        <w:t xml:space="preserve">to </w:t>
      </w:r>
      <w:r w:rsidR="00F06DD4" w:rsidRPr="007D47AD">
        <w:rPr>
          <w:rFonts w:asciiTheme="minorHAnsi" w:hAnsiTheme="minorHAnsi"/>
          <w:sz w:val="20"/>
          <w:szCs w:val="20"/>
          <w:lang w:val="en-US"/>
        </w:rPr>
        <w:t>2017</w:t>
      </w:r>
      <w:r w:rsidR="00F1218C" w:rsidRPr="007D47AD">
        <w:rPr>
          <w:rFonts w:asciiTheme="minorHAnsi" w:hAnsiTheme="minorHAnsi"/>
          <w:sz w:val="20"/>
          <w:szCs w:val="20"/>
          <w:lang w:val="en-US"/>
        </w:rPr>
        <w:t>.</w:t>
      </w:r>
      <w:r w:rsidR="00F06DD4" w:rsidRPr="007D47AD">
        <w:rPr>
          <w:rStyle w:val="FootnoteReference"/>
          <w:rFonts w:asciiTheme="minorHAnsi" w:hAnsiTheme="minorHAnsi"/>
          <w:sz w:val="20"/>
          <w:szCs w:val="20"/>
          <w:lang w:val="en-US"/>
        </w:rPr>
        <w:footnoteReference w:id="513"/>
      </w:r>
      <w:r w:rsidR="007531A1" w:rsidRPr="007D47AD">
        <w:rPr>
          <w:rFonts w:asciiTheme="minorHAnsi" w:hAnsiTheme="minorHAnsi"/>
          <w:sz w:val="20"/>
          <w:szCs w:val="20"/>
          <w:lang w:val="en-US"/>
        </w:rPr>
        <w:t xml:space="preserve"> </w:t>
      </w:r>
    </w:p>
    <w:p w:rsidR="007531A1" w:rsidRPr="007D47AD" w:rsidRDefault="007531A1" w:rsidP="007C7C92">
      <w:pPr>
        <w:shd w:val="clear" w:color="auto" w:fill="FFFFFF"/>
        <w:spacing w:after="0" w:line="240" w:lineRule="auto"/>
        <w:ind w:left="709"/>
        <w:jc w:val="both"/>
        <w:rPr>
          <w:rFonts w:asciiTheme="minorHAnsi" w:hAnsiTheme="minorHAnsi"/>
          <w:sz w:val="20"/>
          <w:szCs w:val="20"/>
          <w:lang w:val="en-US"/>
        </w:rPr>
      </w:pPr>
    </w:p>
    <w:p w:rsidR="007C7C92" w:rsidRPr="007D47AD" w:rsidRDefault="007531A1" w:rsidP="007C7C92">
      <w:pPr>
        <w:numPr>
          <w:ilvl w:val="0"/>
          <w:numId w:val="6"/>
        </w:numPr>
        <w:shd w:val="clear" w:color="auto" w:fill="FFFFFF"/>
        <w:spacing w:after="0" w:line="240" w:lineRule="auto"/>
        <w:ind w:left="0" w:firstLine="709"/>
        <w:jc w:val="both"/>
        <w:rPr>
          <w:rFonts w:asciiTheme="minorHAnsi" w:hAnsiTheme="minorHAnsi"/>
          <w:sz w:val="20"/>
          <w:szCs w:val="20"/>
          <w:lang w:val="en-US"/>
        </w:rPr>
      </w:pPr>
      <w:r w:rsidRPr="007D47AD">
        <w:rPr>
          <w:rFonts w:asciiTheme="minorHAnsi" w:hAnsiTheme="minorHAnsi"/>
          <w:sz w:val="20"/>
          <w:szCs w:val="20"/>
          <w:lang w:val="en-US"/>
        </w:rPr>
        <w:t>Rela</w:t>
      </w:r>
      <w:r w:rsidR="00AC65DF" w:rsidRPr="007D47AD">
        <w:rPr>
          <w:rFonts w:asciiTheme="minorHAnsi" w:hAnsiTheme="minorHAnsi"/>
          <w:sz w:val="20"/>
          <w:szCs w:val="20"/>
          <w:lang w:val="en-US"/>
        </w:rPr>
        <w:t xml:space="preserve">ted to the foregoing, the Office of the Special Rapporteur </w:t>
      </w:r>
      <w:r w:rsidRPr="007D47AD">
        <w:rPr>
          <w:rFonts w:asciiTheme="minorHAnsi" w:hAnsiTheme="minorHAnsi"/>
          <w:sz w:val="20"/>
          <w:szCs w:val="20"/>
          <w:lang w:val="en-US"/>
        </w:rPr>
        <w:t>ha</w:t>
      </w:r>
      <w:r w:rsidR="00AC65DF" w:rsidRPr="007D47AD">
        <w:rPr>
          <w:rFonts w:asciiTheme="minorHAnsi" w:hAnsiTheme="minorHAnsi"/>
          <w:sz w:val="20"/>
          <w:szCs w:val="20"/>
          <w:lang w:val="en-US"/>
        </w:rPr>
        <w:t xml:space="preserve">s taken note that on April </w:t>
      </w:r>
      <w:r w:rsidRPr="007D47AD">
        <w:rPr>
          <w:rFonts w:asciiTheme="minorHAnsi" w:hAnsiTheme="minorHAnsi"/>
          <w:sz w:val="20"/>
          <w:szCs w:val="20"/>
          <w:lang w:val="en-US"/>
        </w:rPr>
        <w:t>4</w:t>
      </w:r>
      <w:r w:rsidR="00AC65DF" w:rsidRPr="007D47AD">
        <w:rPr>
          <w:rFonts w:asciiTheme="minorHAnsi" w:hAnsiTheme="minorHAnsi"/>
          <w:sz w:val="20"/>
          <w:szCs w:val="20"/>
          <w:lang w:val="en-US"/>
        </w:rPr>
        <w:t>,</w:t>
      </w:r>
      <w:r w:rsidRPr="007D47AD">
        <w:rPr>
          <w:rFonts w:asciiTheme="minorHAnsi" w:hAnsiTheme="minorHAnsi"/>
          <w:sz w:val="20"/>
          <w:szCs w:val="20"/>
          <w:lang w:val="en-US"/>
        </w:rPr>
        <w:t xml:space="preserve"> </w:t>
      </w:r>
      <w:r w:rsidR="0079399A" w:rsidRPr="007D47AD">
        <w:rPr>
          <w:rFonts w:asciiTheme="minorHAnsi" w:hAnsiTheme="minorHAnsi"/>
          <w:sz w:val="20"/>
          <w:szCs w:val="20"/>
          <w:lang w:val="en-US"/>
        </w:rPr>
        <w:t>2019</w:t>
      </w:r>
      <w:r w:rsidRPr="007D47AD">
        <w:rPr>
          <w:rFonts w:asciiTheme="minorHAnsi" w:hAnsiTheme="minorHAnsi"/>
          <w:sz w:val="20"/>
          <w:szCs w:val="20"/>
          <w:lang w:val="en-US"/>
        </w:rPr>
        <w:t xml:space="preserve">, </w:t>
      </w:r>
      <w:r w:rsidR="00AC65DF" w:rsidRPr="007D47AD">
        <w:rPr>
          <w:rFonts w:asciiTheme="minorHAnsi" w:hAnsiTheme="minorHAnsi"/>
          <w:sz w:val="20"/>
          <w:szCs w:val="20"/>
          <w:lang w:val="en-US"/>
        </w:rPr>
        <w:t xml:space="preserve">the </w:t>
      </w:r>
      <w:r w:rsidRPr="007D47AD">
        <w:rPr>
          <w:rFonts w:asciiTheme="minorHAnsi" w:hAnsiTheme="minorHAnsi"/>
          <w:sz w:val="20"/>
          <w:szCs w:val="20"/>
          <w:lang w:val="en-US"/>
        </w:rPr>
        <w:t>Suprem</w:t>
      </w:r>
      <w:r w:rsidR="00AC65DF" w:rsidRPr="007D47AD">
        <w:rPr>
          <w:rFonts w:asciiTheme="minorHAnsi" w:hAnsiTheme="minorHAnsi"/>
          <w:sz w:val="20"/>
          <w:szCs w:val="20"/>
          <w:lang w:val="en-US"/>
        </w:rPr>
        <w:t xml:space="preserve">e Court of Mexico handed down two judgments in </w:t>
      </w:r>
      <w:r w:rsidR="00AC65DF" w:rsidRPr="007D47AD">
        <w:rPr>
          <w:rFonts w:asciiTheme="minorHAnsi" w:hAnsiTheme="minorHAnsi"/>
          <w:i/>
          <w:iCs/>
          <w:sz w:val="20"/>
          <w:szCs w:val="20"/>
          <w:lang w:val="en-US"/>
        </w:rPr>
        <w:t>amparo</w:t>
      </w:r>
      <w:r w:rsidR="00AC65DF" w:rsidRPr="007D47AD">
        <w:rPr>
          <w:rFonts w:asciiTheme="minorHAnsi" w:hAnsiTheme="minorHAnsi"/>
          <w:sz w:val="20"/>
          <w:szCs w:val="20"/>
          <w:lang w:val="en-US"/>
        </w:rPr>
        <w:t xml:space="preserve"> proceedings that referred to the right to truth in the cases of the massacres of </w:t>
      </w:r>
      <w:r w:rsidRPr="007D47AD">
        <w:rPr>
          <w:rFonts w:asciiTheme="minorHAnsi" w:hAnsiTheme="minorHAnsi"/>
          <w:sz w:val="20"/>
          <w:szCs w:val="20"/>
          <w:lang w:val="en-US"/>
        </w:rPr>
        <w:t xml:space="preserve">San Fernando </w:t>
      </w:r>
      <w:r w:rsidR="00AC65DF" w:rsidRPr="007D47AD">
        <w:rPr>
          <w:rFonts w:asciiTheme="minorHAnsi" w:hAnsiTheme="minorHAnsi"/>
          <w:sz w:val="20"/>
          <w:szCs w:val="20"/>
          <w:lang w:val="en-US"/>
        </w:rPr>
        <w:t xml:space="preserve">and </w:t>
      </w:r>
      <w:r w:rsidRPr="007D47AD">
        <w:rPr>
          <w:rFonts w:asciiTheme="minorHAnsi" w:hAnsiTheme="minorHAnsi"/>
          <w:sz w:val="20"/>
          <w:szCs w:val="20"/>
          <w:lang w:val="en-US"/>
        </w:rPr>
        <w:t xml:space="preserve">Cadereyta. </w:t>
      </w:r>
      <w:r w:rsidR="005129DE" w:rsidRPr="007D47AD">
        <w:rPr>
          <w:rFonts w:asciiTheme="minorHAnsi" w:hAnsiTheme="minorHAnsi"/>
          <w:sz w:val="20"/>
          <w:szCs w:val="20"/>
          <w:lang w:val="en-US"/>
        </w:rPr>
        <w:t xml:space="preserve">This has made it possible for the National Institute </w:t>
      </w:r>
      <w:r w:rsidR="00550651" w:rsidRPr="007D47AD">
        <w:rPr>
          <w:rFonts w:asciiTheme="minorHAnsi" w:hAnsiTheme="minorHAnsi"/>
          <w:sz w:val="20"/>
          <w:szCs w:val="20"/>
          <w:lang w:val="en-US"/>
        </w:rPr>
        <w:t xml:space="preserve">for </w:t>
      </w:r>
      <w:r w:rsidR="005129DE" w:rsidRPr="007D47AD">
        <w:rPr>
          <w:rFonts w:asciiTheme="minorHAnsi" w:hAnsiTheme="minorHAnsi"/>
          <w:sz w:val="20"/>
          <w:szCs w:val="20"/>
          <w:lang w:val="en-US"/>
        </w:rPr>
        <w:t xml:space="preserve">Transparency, Access to Information and Protection of Personal Data (INAI: </w:t>
      </w:r>
      <w:r w:rsidRPr="007D47AD">
        <w:rPr>
          <w:rFonts w:asciiTheme="minorHAnsi" w:hAnsiTheme="minorHAnsi"/>
          <w:sz w:val="20"/>
          <w:szCs w:val="20"/>
          <w:lang w:val="en-US"/>
        </w:rPr>
        <w:t xml:space="preserve">Instituto </w:t>
      </w:r>
      <w:r w:rsidRPr="007D47AD">
        <w:rPr>
          <w:rFonts w:asciiTheme="minorHAnsi" w:hAnsiTheme="minorHAnsi"/>
          <w:sz w:val="20"/>
          <w:szCs w:val="20"/>
          <w:lang w:val="en-US"/>
        </w:rPr>
        <w:lastRenderedPageBreak/>
        <w:t>Nacional de Transparencia, Acceso a la Información y Protección de Datos Personales</w:t>
      </w:r>
      <w:r w:rsidR="005129DE" w:rsidRPr="007D47AD">
        <w:rPr>
          <w:rFonts w:asciiTheme="minorHAnsi" w:hAnsiTheme="minorHAnsi"/>
          <w:sz w:val="20"/>
          <w:szCs w:val="20"/>
          <w:lang w:val="en-US"/>
        </w:rPr>
        <w:t xml:space="preserve">) to categorize serious human rights violations for purposes of access to information, and it would no longer be necessary to have </w:t>
      </w:r>
      <w:r w:rsidR="0045388C" w:rsidRPr="007D47AD">
        <w:rPr>
          <w:rFonts w:asciiTheme="minorHAnsi" w:hAnsiTheme="minorHAnsi"/>
          <w:sz w:val="20"/>
          <w:szCs w:val="20"/>
          <w:lang w:val="en-US"/>
        </w:rPr>
        <w:t xml:space="preserve">a </w:t>
      </w:r>
      <w:r w:rsidR="005129DE" w:rsidRPr="007D47AD">
        <w:rPr>
          <w:rFonts w:asciiTheme="minorHAnsi" w:hAnsiTheme="minorHAnsi"/>
          <w:sz w:val="20"/>
          <w:szCs w:val="20"/>
          <w:lang w:val="en-US"/>
        </w:rPr>
        <w:t xml:space="preserve">determination </w:t>
      </w:r>
      <w:r w:rsidR="0045388C" w:rsidRPr="007D47AD">
        <w:rPr>
          <w:rFonts w:asciiTheme="minorHAnsi" w:hAnsiTheme="minorHAnsi"/>
          <w:sz w:val="20"/>
          <w:szCs w:val="20"/>
          <w:lang w:val="en-US"/>
        </w:rPr>
        <w:t xml:space="preserve">by </w:t>
      </w:r>
      <w:r w:rsidR="005129DE" w:rsidRPr="007D47AD">
        <w:rPr>
          <w:rFonts w:asciiTheme="minorHAnsi" w:hAnsiTheme="minorHAnsi"/>
          <w:sz w:val="20"/>
          <w:szCs w:val="20"/>
          <w:lang w:val="en-US"/>
        </w:rPr>
        <w:t xml:space="preserve">the </w:t>
      </w:r>
      <w:r w:rsidR="00FF6B1C" w:rsidRPr="007D47AD">
        <w:rPr>
          <w:rFonts w:asciiTheme="minorHAnsi" w:hAnsiTheme="minorHAnsi"/>
          <w:sz w:val="20"/>
          <w:szCs w:val="20"/>
          <w:lang w:val="en-US"/>
        </w:rPr>
        <w:t>CNDH</w:t>
      </w:r>
      <w:r w:rsidRPr="007D47AD">
        <w:rPr>
          <w:rFonts w:asciiTheme="minorHAnsi" w:hAnsiTheme="minorHAnsi"/>
          <w:sz w:val="20"/>
          <w:szCs w:val="20"/>
          <w:lang w:val="en-US"/>
        </w:rPr>
        <w:t xml:space="preserve"> </w:t>
      </w:r>
      <w:r w:rsidR="005129DE" w:rsidRPr="007D47AD">
        <w:rPr>
          <w:rFonts w:asciiTheme="minorHAnsi" w:hAnsiTheme="minorHAnsi"/>
          <w:sz w:val="20"/>
          <w:szCs w:val="20"/>
          <w:lang w:val="en-US"/>
        </w:rPr>
        <w:t xml:space="preserve">as a condition </w:t>
      </w:r>
      <w:r w:rsidR="0045388C" w:rsidRPr="007D47AD">
        <w:rPr>
          <w:rFonts w:asciiTheme="minorHAnsi" w:hAnsiTheme="minorHAnsi"/>
          <w:sz w:val="20"/>
          <w:szCs w:val="20"/>
          <w:lang w:val="en-US"/>
        </w:rPr>
        <w:t xml:space="preserve">for </w:t>
      </w:r>
      <w:r w:rsidR="005129DE" w:rsidRPr="007D47AD">
        <w:rPr>
          <w:rFonts w:asciiTheme="minorHAnsi" w:hAnsiTheme="minorHAnsi"/>
          <w:sz w:val="20"/>
          <w:szCs w:val="20"/>
          <w:lang w:val="en-US"/>
        </w:rPr>
        <w:t xml:space="preserve">accessing such information in a given case. </w:t>
      </w:r>
    </w:p>
    <w:p w:rsidR="007531A1" w:rsidRPr="007D47AD" w:rsidRDefault="007531A1" w:rsidP="007C7C92">
      <w:pPr>
        <w:shd w:val="clear" w:color="auto" w:fill="FFFFFF"/>
        <w:spacing w:after="0" w:line="240" w:lineRule="auto"/>
        <w:jc w:val="both"/>
        <w:rPr>
          <w:rFonts w:asciiTheme="minorHAnsi" w:hAnsiTheme="minorHAnsi"/>
          <w:sz w:val="20"/>
          <w:szCs w:val="20"/>
          <w:lang w:val="en-US"/>
        </w:rPr>
      </w:pPr>
      <w:r w:rsidRPr="007D47AD">
        <w:rPr>
          <w:rFonts w:asciiTheme="minorHAnsi" w:hAnsiTheme="minorHAnsi"/>
          <w:sz w:val="20"/>
          <w:szCs w:val="20"/>
          <w:lang w:val="en-US"/>
        </w:rPr>
        <w:t xml:space="preserve"> </w:t>
      </w:r>
    </w:p>
    <w:p w:rsidR="007531A1" w:rsidRPr="007D47AD" w:rsidRDefault="005129DE" w:rsidP="007C7C92">
      <w:pPr>
        <w:numPr>
          <w:ilvl w:val="0"/>
          <w:numId w:val="6"/>
        </w:numPr>
        <w:shd w:val="clear" w:color="auto" w:fill="FFFFFF"/>
        <w:spacing w:after="0" w:line="240" w:lineRule="auto"/>
        <w:ind w:left="0" w:firstLine="709"/>
        <w:jc w:val="both"/>
        <w:rPr>
          <w:rFonts w:asciiTheme="minorHAnsi" w:hAnsiTheme="minorHAnsi"/>
          <w:sz w:val="20"/>
          <w:szCs w:val="20"/>
          <w:lang w:val="en-US"/>
        </w:rPr>
      </w:pPr>
      <w:r w:rsidRPr="007D47AD">
        <w:rPr>
          <w:rFonts w:asciiTheme="minorHAnsi" w:hAnsiTheme="minorHAnsi"/>
          <w:sz w:val="20"/>
          <w:szCs w:val="20"/>
          <w:lang w:val="en-US"/>
        </w:rPr>
        <w:t xml:space="preserve">In light of the request for information made by a citizen after the assassination of journalist </w:t>
      </w:r>
      <w:r w:rsidR="007531A1" w:rsidRPr="007D47AD">
        <w:rPr>
          <w:rFonts w:asciiTheme="minorHAnsi" w:hAnsiTheme="minorHAnsi"/>
          <w:sz w:val="20"/>
          <w:szCs w:val="20"/>
          <w:lang w:val="en-US"/>
        </w:rPr>
        <w:t xml:space="preserve">Norma </w:t>
      </w:r>
      <w:r w:rsidR="00C573FB" w:rsidRPr="007D47AD">
        <w:rPr>
          <w:rFonts w:asciiTheme="minorHAnsi" w:hAnsiTheme="minorHAnsi"/>
          <w:sz w:val="20"/>
          <w:szCs w:val="20"/>
          <w:lang w:val="en-US"/>
        </w:rPr>
        <w:t>Sarabia</w:t>
      </w:r>
      <w:r w:rsidR="007531A1" w:rsidRPr="007D47AD">
        <w:rPr>
          <w:rFonts w:asciiTheme="minorHAnsi" w:hAnsiTheme="minorHAnsi"/>
          <w:sz w:val="20"/>
          <w:szCs w:val="20"/>
          <w:lang w:val="en-US"/>
        </w:rPr>
        <w:t xml:space="preserve">, </w:t>
      </w:r>
      <w:r w:rsidRPr="007D47AD">
        <w:rPr>
          <w:rFonts w:asciiTheme="minorHAnsi" w:hAnsiTheme="minorHAnsi"/>
          <w:sz w:val="20"/>
          <w:szCs w:val="20"/>
          <w:lang w:val="en-US"/>
        </w:rPr>
        <w:t xml:space="preserve">on June </w:t>
      </w:r>
      <w:r w:rsidR="007531A1" w:rsidRPr="007D47AD">
        <w:rPr>
          <w:rFonts w:asciiTheme="minorHAnsi" w:hAnsiTheme="minorHAnsi"/>
          <w:sz w:val="20"/>
          <w:szCs w:val="20"/>
          <w:lang w:val="en-US"/>
        </w:rPr>
        <w:t>12</w:t>
      </w:r>
      <w:r w:rsidRPr="007D47AD">
        <w:rPr>
          <w:rFonts w:asciiTheme="minorHAnsi" w:hAnsiTheme="minorHAnsi"/>
          <w:sz w:val="20"/>
          <w:szCs w:val="20"/>
          <w:lang w:val="en-US"/>
        </w:rPr>
        <w:t>,</w:t>
      </w:r>
      <w:r w:rsidR="007531A1" w:rsidRPr="007D47AD">
        <w:rPr>
          <w:rFonts w:asciiTheme="minorHAnsi" w:hAnsiTheme="minorHAnsi"/>
          <w:sz w:val="20"/>
          <w:szCs w:val="20"/>
          <w:lang w:val="en-US"/>
        </w:rPr>
        <w:t xml:space="preserve"> </w:t>
      </w:r>
      <w:r w:rsidR="007C7C92" w:rsidRPr="007D47AD">
        <w:rPr>
          <w:rFonts w:asciiTheme="minorHAnsi" w:hAnsiTheme="minorHAnsi"/>
          <w:sz w:val="20"/>
          <w:szCs w:val="20"/>
          <w:lang w:val="en-US"/>
        </w:rPr>
        <w:t>2019</w:t>
      </w:r>
      <w:r w:rsidR="007531A1" w:rsidRPr="007D47AD">
        <w:rPr>
          <w:rFonts w:asciiTheme="minorHAnsi" w:hAnsiTheme="minorHAnsi"/>
          <w:sz w:val="20"/>
          <w:szCs w:val="20"/>
          <w:lang w:val="en-US"/>
        </w:rPr>
        <w:t xml:space="preserve">, </w:t>
      </w:r>
      <w:r w:rsidRPr="007D47AD">
        <w:rPr>
          <w:rFonts w:asciiTheme="minorHAnsi" w:hAnsiTheme="minorHAnsi"/>
          <w:sz w:val="20"/>
          <w:szCs w:val="20"/>
          <w:lang w:val="en-US"/>
        </w:rPr>
        <w:t xml:space="preserve">the </w:t>
      </w:r>
      <w:r w:rsidR="007531A1" w:rsidRPr="007D47AD">
        <w:rPr>
          <w:rFonts w:asciiTheme="minorHAnsi" w:hAnsiTheme="minorHAnsi"/>
          <w:sz w:val="20"/>
          <w:szCs w:val="20"/>
          <w:lang w:val="en-US"/>
        </w:rPr>
        <w:t xml:space="preserve">INAI </w:t>
      </w:r>
      <w:r w:rsidRPr="007D47AD">
        <w:rPr>
          <w:rFonts w:asciiTheme="minorHAnsi" w:hAnsiTheme="minorHAnsi"/>
          <w:sz w:val="20"/>
          <w:szCs w:val="20"/>
          <w:lang w:val="en-US"/>
        </w:rPr>
        <w:t xml:space="preserve">reminded the </w:t>
      </w:r>
      <w:r w:rsidR="002C28B4" w:rsidRPr="007D47AD">
        <w:rPr>
          <w:rFonts w:asciiTheme="minorHAnsi" w:hAnsiTheme="minorHAnsi"/>
          <w:sz w:val="20"/>
          <w:szCs w:val="20"/>
          <w:lang w:val="en-US"/>
        </w:rPr>
        <w:t>FGR</w:t>
      </w:r>
      <w:r w:rsidR="007531A1" w:rsidRPr="007D47AD">
        <w:rPr>
          <w:rFonts w:asciiTheme="minorHAnsi" w:hAnsiTheme="minorHAnsi"/>
          <w:sz w:val="20"/>
          <w:szCs w:val="20"/>
          <w:lang w:val="en-US"/>
        </w:rPr>
        <w:t xml:space="preserve"> </w:t>
      </w:r>
      <w:r w:rsidRPr="007D47AD">
        <w:rPr>
          <w:rFonts w:asciiTheme="minorHAnsi" w:hAnsiTheme="minorHAnsi"/>
          <w:sz w:val="20"/>
          <w:szCs w:val="20"/>
          <w:lang w:val="en-US"/>
        </w:rPr>
        <w:t xml:space="preserve">of Mexico of its obligation to make known the number of complaints, preliminary inquiries, investigative files, and arrest warrants due to crimes against the freedom of expression, lesions, torture, kidnapping, homicide, forced disappearance, </w:t>
      </w:r>
      <w:r w:rsidR="007531A1" w:rsidRPr="007D47AD">
        <w:rPr>
          <w:rFonts w:asciiTheme="minorHAnsi" w:hAnsiTheme="minorHAnsi"/>
          <w:sz w:val="20"/>
          <w:szCs w:val="20"/>
          <w:lang w:val="en-US"/>
        </w:rPr>
        <w:t>viola</w:t>
      </w:r>
      <w:r w:rsidRPr="007D47AD">
        <w:rPr>
          <w:rFonts w:asciiTheme="minorHAnsi" w:hAnsiTheme="minorHAnsi"/>
          <w:sz w:val="20"/>
          <w:szCs w:val="20"/>
          <w:lang w:val="en-US"/>
        </w:rPr>
        <w:t xml:space="preserve">tion of correspondence, or revelation of sources or secrets committed against journalists and human rights defenders in </w:t>
      </w:r>
      <w:r w:rsidR="007531A1" w:rsidRPr="007D47AD">
        <w:rPr>
          <w:rFonts w:asciiTheme="minorHAnsi" w:hAnsiTheme="minorHAnsi"/>
          <w:sz w:val="20"/>
          <w:szCs w:val="20"/>
          <w:lang w:val="en-US"/>
        </w:rPr>
        <w:t xml:space="preserve">2017 </w:t>
      </w:r>
      <w:r w:rsidRPr="007D47AD">
        <w:rPr>
          <w:rFonts w:asciiTheme="minorHAnsi" w:hAnsiTheme="minorHAnsi"/>
          <w:sz w:val="20"/>
          <w:szCs w:val="20"/>
          <w:lang w:val="en-US"/>
        </w:rPr>
        <w:t xml:space="preserve">and </w:t>
      </w:r>
      <w:r w:rsidR="007531A1" w:rsidRPr="007D47AD">
        <w:rPr>
          <w:rFonts w:asciiTheme="minorHAnsi" w:hAnsiTheme="minorHAnsi"/>
          <w:sz w:val="20"/>
          <w:szCs w:val="20"/>
          <w:lang w:val="en-US"/>
        </w:rPr>
        <w:t>2018</w:t>
      </w:r>
      <w:r w:rsidRPr="007D47AD">
        <w:rPr>
          <w:rFonts w:asciiTheme="minorHAnsi" w:hAnsiTheme="minorHAnsi"/>
          <w:sz w:val="20"/>
          <w:szCs w:val="20"/>
          <w:lang w:val="en-US"/>
        </w:rPr>
        <w:t>.</w:t>
      </w:r>
      <w:r w:rsidR="007531A1" w:rsidRPr="007D47AD">
        <w:rPr>
          <w:rStyle w:val="FootnoteReference"/>
          <w:rFonts w:asciiTheme="minorHAnsi" w:hAnsiTheme="minorHAnsi"/>
          <w:sz w:val="20"/>
          <w:szCs w:val="20"/>
          <w:lang w:val="en-US"/>
        </w:rPr>
        <w:footnoteReference w:id="514"/>
      </w:r>
      <w:r w:rsidR="007531A1" w:rsidRPr="007D47AD">
        <w:rPr>
          <w:rFonts w:asciiTheme="minorHAnsi" w:hAnsiTheme="minorHAnsi"/>
          <w:sz w:val="20"/>
          <w:szCs w:val="20"/>
          <w:lang w:val="en-US"/>
        </w:rPr>
        <w:t xml:space="preserve"> </w:t>
      </w:r>
      <w:r w:rsidRPr="007D47AD">
        <w:rPr>
          <w:rFonts w:asciiTheme="minorHAnsi" w:hAnsiTheme="minorHAnsi"/>
          <w:sz w:val="20"/>
          <w:szCs w:val="20"/>
          <w:lang w:val="en-US"/>
        </w:rPr>
        <w:t xml:space="preserve">In addition, it indicated that they must report on the operational work plan and the percentages of compliance with the </w:t>
      </w:r>
      <w:r w:rsidR="00C51596" w:rsidRPr="007D47AD">
        <w:rPr>
          <w:rFonts w:asciiTheme="minorHAnsi" w:hAnsiTheme="minorHAnsi"/>
          <w:sz w:val="20"/>
          <w:szCs w:val="20"/>
          <w:lang w:val="en-US"/>
        </w:rPr>
        <w:t>Protection Mech</w:t>
      </w:r>
      <w:r w:rsidRPr="007D47AD">
        <w:rPr>
          <w:rFonts w:asciiTheme="minorHAnsi" w:hAnsiTheme="minorHAnsi"/>
          <w:sz w:val="20"/>
          <w:szCs w:val="20"/>
          <w:lang w:val="en-US"/>
        </w:rPr>
        <w:t xml:space="preserve">anism for the Protection of Journalists and Human Rights Defenders, </w:t>
      </w:r>
      <w:r w:rsidR="007531A1" w:rsidRPr="007D47AD">
        <w:rPr>
          <w:rFonts w:asciiTheme="minorHAnsi" w:hAnsiTheme="minorHAnsi"/>
          <w:sz w:val="20"/>
          <w:szCs w:val="20"/>
          <w:lang w:val="en-US"/>
        </w:rPr>
        <w:t>as</w:t>
      </w:r>
      <w:r w:rsidRPr="007D47AD">
        <w:rPr>
          <w:rFonts w:asciiTheme="minorHAnsi" w:hAnsiTheme="minorHAnsi"/>
          <w:sz w:val="20"/>
          <w:szCs w:val="20"/>
          <w:lang w:val="en-US"/>
        </w:rPr>
        <w:t xml:space="preserve"> well as the number of complaints lodged with the Office of the Attorney General when it was known in Spanish as the </w:t>
      </w:r>
      <w:r w:rsidR="007531A1" w:rsidRPr="007D47AD">
        <w:rPr>
          <w:rFonts w:asciiTheme="minorHAnsi" w:hAnsiTheme="minorHAnsi"/>
          <w:sz w:val="20"/>
          <w:szCs w:val="20"/>
          <w:lang w:val="en-US"/>
        </w:rPr>
        <w:t>Procuraduría General de la República</w:t>
      </w:r>
      <w:r w:rsidR="007C7C92" w:rsidRPr="007D47AD">
        <w:rPr>
          <w:rFonts w:asciiTheme="minorHAnsi" w:hAnsiTheme="minorHAnsi"/>
          <w:sz w:val="20"/>
          <w:szCs w:val="20"/>
          <w:lang w:val="en-US"/>
        </w:rPr>
        <w:t>.</w:t>
      </w:r>
    </w:p>
    <w:p w:rsidR="00006815" w:rsidRPr="007D47AD" w:rsidRDefault="00006815" w:rsidP="00C573FB">
      <w:pPr>
        <w:shd w:val="clear" w:color="auto" w:fill="FFFFFF"/>
        <w:spacing w:after="0" w:line="240" w:lineRule="auto"/>
        <w:jc w:val="both"/>
        <w:rPr>
          <w:rFonts w:asciiTheme="minorHAnsi" w:hAnsiTheme="minorHAnsi"/>
          <w:sz w:val="20"/>
          <w:szCs w:val="20"/>
          <w:lang w:val="en-US"/>
        </w:rPr>
      </w:pPr>
    </w:p>
    <w:p w:rsidR="00006815" w:rsidRPr="007D47AD" w:rsidRDefault="005129DE" w:rsidP="007C7C92">
      <w:pPr>
        <w:numPr>
          <w:ilvl w:val="0"/>
          <w:numId w:val="6"/>
        </w:numPr>
        <w:shd w:val="clear" w:color="auto" w:fill="FFFFFF"/>
        <w:spacing w:after="0" w:line="240" w:lineRule="auto"/>
        <w:ind w:left="0" w:firstLine="709"/>
        <w:jc w:val="both"/>
        <w:rPr>
          <w:rFonts w:asciiTheme="minorHAnsi" w:hAnsiTheme="minorHAnsi"/>
          <w:sz w:val="20"/>
          <w:szCs w:val="20"/>
          <w:lang w:val="en-US"/>
        </w:rPr>
      </w:pPr>
      <w:r w:rsidRPr="007D47AD">
        <w:rPr>
          <w:rFonts w:asciiTheme="minorHAnsi" w:hAnsiTheme="minorHAnsi"/>
          <w:sz w:val="20"/>
          <w:szCs w:val="20"/>
          <w:lang w:val="en-US"/>
        </w:rPr>
        <w:t xml:space="preserve">In consideration of the foregoing, despite the lack of information presented by the State, the IACHR considers that this recommendation has met with partial compliance. </w:t>
      </w:r>
    </w:p>
    <w:p w:rsidR="007C7C92" w:rsidRPr="007D47AD" w:rsidRDefault="007C7C92" w:rsidP="008847C9">
      <w:pPr>
        <w:shd w:val="clear" w:color="auto" w:fill="FFFFFF"/>
        <w:spacing w:after="0" w:line="240" w:lineRule="auto"/>
        <w:jc w:val="both"/>
        <w:rPr>
          <w:rFonts w:asciiTheme="minorHAnsi" w:hAnsiTheme="minorHAnsi"/>
          <w:sz w:val="20"/>
          <w:szCs w:val="20"/>
          <w:lang w:val="en-US"/>
        </w:rPr>
      </w:pPr>
    </w:p>
    <w:p w:rsidR="00CB1259" w:rsidRPr="007D47AD" w:rsidRDefault="005129DE" w:rsidP="00D82D68">
      <w:pPr>
        <w:numPr>
          <w:ilvl w:val="0"/>
          <w:numId w:val="6"/>
        </w:numPr>
        <w:shd w:val="clear" w:color="auto" w:fill="FFFFFF"/>
        <w:spacing w:after="0" w:line="240" w:lineRule="auto"/>
        <w:ind w:left="0" w:firstLine="709"/>
        <w:jc w:val="both"/>
        <w:rPr>
          <w:rFonts w:asciiTheme="minorHAnsi" w:hAnsiTheme="minorHAnsi"/>
          <w:sz w:val="20"/>
          <w:szCs w:val="20"/>
          <w:lang w:val="en-US"/>
        </w:rPr>
      </w:pPr>
      <w:r w:rsidRPr="007D47AD">
        <w:rPr>
          <w:rFonts w:asciiTheme="minorHAnsi" w:hAnsiTheme="minorHAnsi"/>
          <w:sz w:val="20"/>
          <w:szCs w:val="20"/>
          <w:lang w:val="en-US"/>
        </w:rPr>
        <w:t>As regards the recommendation</w:t>
      </w:r>
      <w:r w:rsidR="00820BDB" w:rsidRPr="007D47AD">
        <w:rPr>
          <w:rFonts w:asciiTheme="minorHAnsi" w:hAnsiTheme="minorHAnsi"/>
          <w:sz w:val="20"/>
          <w:szCs w:val="20"/>
          <w:lang w:val="en-US"/>
        </w:rPr>
        <w:t>s</w:t>
      </w:r>
      <w:r w:rsidRPr="007D47AD">
        <w:rPr>
          <w:rFonts w:asciiTheme="minorHAnsi" w:hAnsiTheme="minorHAnsi"/>
          <w:sz w:val="20"/>
          <w:szCs w:val="20"/>
          <w:lang w:val="en-US"/>
        </w:rPr>
        <w:t xml:space="preserve"> </w:t>
      </w:r>
      <w:r w:rsidR="00CF440F" w:rsidRPr="007D47AD">
        <w:rPr>
          <w:rFonts w:asciiTheme="minorHAnsi" w:hAnsiTheme="minorHAnsi"/>
          <w:sz w:val="20"/>
          <w:szCs w:val="20"/>
          <w:lang w:val="en-US"/>
        </w:rPr>
        <w:t xml:space="preserve">to </w:t>
      </w:r>
      <w:r w:rsidR="007C7C92" w:rsidRPr="007D47AD">
        <w:rPr>
          <w:rFonts w:asciiTheme="minorHAnsi" w:hAnsiTheme="minorHAnsi"/>
          <w:b/>
          <w:sz w:val="20"/>
          <w:szCs w:val="20"/>
          <w:lang w:val="en-US"/>
        </w:rPr>
        <w:t>adopt</w:t>
      </w:r>
      <w:r w:rsidR="00CF440F" w:rsidRPr="007D47AD">
        <w:rPr>
          <w:rFonts w:asciiTheme="minorHAnsi" w:hAnsiTheme="minorHAnsi"/>
          <w:b/>
          <w:sz w:val="20"/>
          <w:szCs w:val="20"/>
          <w:lang w:val="en-US"/>
        </w:rPr>
        <w:t xml:space="preserve"> pertinent measures so that security agencies compile, systematize and publish periodically information regarding injuries to life and personal integrity as a consequence of the fight against organized crime</w:t>
      </w:r>
      <w:r w:rsidR="007C7C92" w:rsidRPr="007D47AD">
        <w:rPr>
          <w:rFonts w:asciiTheme="minorHAnsi" w:hAnsiTheme="minorHAnsi"/>
          <w:b/>
          <w:sz w:val="20"/>
          <w:szCs w:val="20"/>
          <w:lang w:val="en-US"/>
        </w:rPr>
        <w:t xml:space="preserve"> </w:t>
      </w:r>
      <w:r w:rsidR="00CF440F" w:rsidRPr="007D47AD">
        <w:rPr>
          <w:rFonts w:asciiTheme="minorHAnsi" w:hAnsiTheme="minorHAnsi"/>
          <w:sz w:val="20"/>
          <w:szCs w:val="20"/>
          <w:lang w:val="en-US"/>
        </w:rPr>
        <w:t>and</w:t>
      </w:r>
      <w:r w:rsidR="007C7C92" w:rsidRPr="007D47AD">
        <w:rPr>
          <w:rFonts w:asciiTheme="minorHAnsi" w:hAnsiTheme="minorHAnsi"/>
          <w:b/>
          <w:sz w:val="20"/>
          <w:szCs w:val="20"/>
          <w:lang w:val="en-US"/>
        </w:rPr>
        <w:t xml:space="preserve"> </w:t>
      </w:r>
      <w:r w:rsidR="00C51596" w:rsidRPr="007D47AD">
        <w:rPr>
          <w:rFonts w:asciiTheme="minorHAnsi" w:hAnsiTheme="minorHAnsi"/>
          <w:b/>
          <w:sz w:val="20"/>
          <w:szCs w:val="20"/>
          <w:lang w:val="en-US"/>
        </w:rPr>
        <w:t xml:space="preserve">the </w:t>
      </w:r>
      <w:r w:rsidR="00CF440F" w:rsidRPr="007D47AD">
        <w:rPr>
          <w:rFonts w:asciiTheme="minorHAnsi" w:hAnsiTheme="minorHAnsi"/>
          <w:b/>
          <w:sz w:val="20"/>
          <w:szCs w:val="20"/>
          <w:lang w:val="en-US"/>
        </w:rPr>
        <w:t>information regarding such injuries should describe the place where they occurred, the date, information regarding the unit of the security force that was present when they occurred, information regarding its mandate and control</w:t>
      </w:r>
      <w:r w:rsidR="007C7C92" w:rsidRPr="007D47AD">
        <w:rPr>
          <w:rFonts w:asciiTheme="minorHAnsi" w:hAnsiTheme="minorHAnsi"/>
          <w:sz w:val="20"/>
          <w:szCs w:val="20"/>
          <w:lang w:val="en-US"/>
        </w:rPr>
        <w:t>,</w:t>
      </w:r>
      <w:r w:rsidR="007C7C92" w:rsidRPr="007D47AD">
        <w:rPr>
          <w:rFonts w:asciiTheme="minorHAnsi" w:hAnsiTheme="minorHAnsi"/>
          <w:b/>
          <w:sz w:val="20"/>
          <w:szCs w:val="20"/>
          <w:lang w:val="en-US"/>
        </w:rPr>
        <w:t xml:space="preserve"> </w:t>
      </w:r>
      <w:r w:rsidRPr="007D47AD">
        <w:rPr>
          <w:rFonts w:asciiTheme="minorHAnsi" w:hAnsiTheme="minorHAnsi"/>
          <w:sz w:val="20"/>
          <w:szCs w:val="20"/>
          <w:lang w:val="en-US"/>
        </w:rPr>
        <w:t xml:space="preserve">the State reported that when the naval personnel of the Ministry of the Navy makes arrests </w:t>
      </w:r>
      <w:r w:rsidR="00C51596" w:rsidRPr="007D47AD">
        <w:rPr>
          <w:rFonts w:asciiTheme="minorHAnsi" w:hAnsiTheme="minorHAnsi"/>
          <w:sz w:val="20"/>
          <w:szCs w:val="20"/>
          <w:lang w:val="en-US"/>
        </w:rPr>
        <w:t xml:space="preserve">it does so </w:t>
      </w:r>
      <w:r w:rsidRPr="007D47AD">
        <w:rPr>
          <w:rFonts w:asciiTheme="minorHAnsi" w:hAnsiTheme="minorHAnsi"/>
          <w:sz w:val="20"/>
          <w:szCs w:val="20"/>
          <w:lang w:val="en-US"/>
        </w:rPr>
        <w:t>in keeping with the constitutional provisions, the Organic Law of the Federal Public Administration</w:t>
      </w:r>
      <w:r w:rsidR="008847C9" w:rsidRPr="007D47AD">
        <w:rPr>
          <w:rFonts w:asciiTheme="minorHAnsi" w:hAnsiTheme="minorHAnsi"/>
          <w:sz w:val="20"/>
          <w:szCs w:val="20"/>
          <w:lang w:val="en-US"/>
        </w:rPr>
        <w:t xml:space="preserve">, </w:t>
      </w:r>
      <w:r w:rsidRPr="007D47AD">
        <w:rPr>
          <w:rFonts w:asciiTheme="minorHAnsi" w:hAnsiTheme="minorHAnsi"/>
          <w:sz w:val="20"/>
          <w:szCs w:val="20"/>
          <w:lang w:val="en-US"/>
        </w:rPr>
        <w:t xml:space="preserve">the Organic Law of the </w:t>
      </w:r>
      <w:r w:rsidR="002C28B4" w:rsidRPr="007D47AD">
        <w:rPr>
          <w:rFonts w:asciiTheme="minorHAnsi" w:hAnsiTheme="minorHAnsi"/>
          <w:sz w:val="20"/>
          <w:szCs w:val="20"/>
          <w:lang w:val="en-US"/>
        </w:rPr>
        <w:t>FGR</w:t>
      </w:r>
      <w:r w:rsidRPr="007D47AD">
        <w:rPr>
          <w:rFonts w:asciiTheme="minorHAnsi" w:hAnsiTheme="minorHAnsi"/>
          <w:sz w:val="20"/>
          <w:szCs w:val="20"/>
          <w:lang w:val="en-US"/>
        </w:rPr>
        <w:t>, and the Federal Code of Criminal Procedure.</w:t>
      </w:r>
      <w:r w:rsidR="00CB1259" w:rsidRPr="007D47AD">
        <w:rPr>
          <w:rStyle w:val="FootnoteReference"/>
          <w:rFonts w:asciiTheme="minorHAnsi" w:hAnsiTheme="minorHAnsi"/>
          <w:sz w:val="20"/>
          <w:szCs w:val="20"/>
          <w:lang w:val="en-US"/>
        </w:rPr>
        <w:footnoteReference w:id="515"/>
      </w:r>
      <w:r w:rsidRPr="007D47AD">
        <w:rPr>
          <w:rFonts w:asciiTheme="minorHAnsi" w:hAnsiTheme="minorHAnsi"/>
          <w:sz w:val="20"/>
          <w:szCs w:val="20"/>
          <w:lang w:val="en-US"/>
        </w:rPr>
        <w:t xml:space="preserve"> </w:t>
      </w:r>
    </w:p>
    <w:p w:rsidR="00CB1259" w:rsidRPr="007D47AD" w:rsidRDefault="00CB1259" w:rsidP="00CB1259">
      <w:pPr>
        <w:shd w:val="clear" w:color="auto" w:fill="FFFFFF"/>
        <w:spacing w:after="0" w:line="240" w:lineRule="auto"/>
        <w:jc w:val="both"/>
        <w:rPr>
          <w:rFonts w:asciiTheme="minorHAnsi" w:hAnsiTheme="minorHAnsi"/>
          <w:sz w:val="20"/>
          <w:szCs w:val="20"/>
          <w:lang w:val="en-US"/>
        </w:rPr>
      </w:pPr>
    </w:p>
    <w:p w:rsidR="00D82D68" w:rsidRPr="007D47AD" w:rsidRDefault="005129DE" w:rsidP="00D82D68">
      <w:pPr>
        <w:numPr>
          <w:ilvl w:val="0"/>
          <w:numId w:val="6"/>
        </w:numPr>
        <w:shd w:val="clear" w:color="auto" w:fill="FFFFFF"/>
        <w:spacing w:after="0" w:line="240" w:lineRule="auto"/>
        <w:ind w:left="0" w:firstLine="709"/>
        <w:jc w:val="both"/>
        <w:rPr>
          <w:rFonts w:asciiTheme="minorHAnsi" w:hAnsiTheme="minorHAnsi"/>
          <w:sz w:val="20"/>
          <w:szCs w:val="20"/>
          <w:lang w:val="en-US"/>
        </w:rPr>
      </w:pPr>
      <w:r w:rsidRPr="007D47AD">
        <w:rPr>
          <w:rFonts w:asciiTheme="minorHAnsi" w:hAnsiTheme="minorHAnsi"/>
          <w:sz w:val="20"/>
          <w:szCs w:val="20"/>
          <w:lang w:val="en-US"/>
        </w:rPr>
        <w:t xml:space="preserve">In this regard, the IACHR reiterates its comments related to the obligation to issue detailed </w:t>
      </w:r>
      <w:r w:rsidR="00726F33" w:rsidRPr="007D47AD">
        <w:rPr>
          <w:rFonts w:asciiTheme="minorHAnsi" w:hAnsiTheme="minorHAnsi"/>
          <w:sz w:val="20"/>
          <w:szCs w:val="20"/>
          <w:lang w:val="en-US"/>
        </w:rPr>
        <w:t xml:space="preserve">and public reports on the operations in which the State makes use of force, as has been established in the Law on the Use of Force </w:t>
      </w:r>
      <w:r w:rsidR="00D82D68" w:rsidRPr="007D47AD">
        <w:rPr>
          <w:rFonts w:asciiTheme="minorHAnsi" w:hAnsiTheme="minorHAnsi"/>
          <w:sz w:val="20"/>
          <w:szCs w:val="20"/>
          <w:lang w:val="en-US"/>
        </w:rPr>
        <w:t>(</w:t>
      </w:r>
      <w:r w:rsidR="00D82D68" w:rsidRPr="007D47AD">
        <w:rPr>
          <w:rFonts w:asciiTheme="minorHAnsi" w:hAnsiTheme="minorHAnsi"/>
          <w:i/>
          <w:iCs/>
          <w:sz w:val="20"/>
          <w:szCs w:val="20"/>
          <w:lang w:val="en-US"/>
        </w:rPr>
        <w:t>infra</w:t>
      </w:r>
      <w:r w:rsidR="00D82D68" w:rsidRPr="007D47AD">
        <w:rPr>
          <w:rFonts w:asciiTheme="minorHAnsi" w:hAnsiTheme="minorHAnsi"/>
          <w:sz w:val="20"/>
          <w:szCs w:val="20"/>
          <w:lang w:val="en-US"/>
        </w:rPr>
        <w:t xml:space="preserve"> xx). </w:t>
      </w:r>
      <w:r w:rsidR="009607B6" w:rsidRPr="007D47AD">
        <w:rPr>
          <w:rFonts w:asciiTheme="minorHAnsi" w:hAnsiTheme="minorHAnsi"/>
          <w:sz w:val="20"/>
          <w:szCs w:val="20"/>
          <w:lang w:val="en-US"/>
        </w:rPr>
        <w:t xml:space="preserve">While the information submitted by the State is too general, the IACHR finds that what was determined by the Law on the Use of Force allows one to consider that there is progress in relation to this </w:t>
      </w:r>
      <w:r w:rsidR="00D82D68" w:rsidRPr="007D47AD">
        <w:rPr>
          <w:rFonts w:asciiTheme="minorHAnsi" w:hAnsiTheme="minorHAnsi"/>
          <w:sz w:val="20"/>
          <w:szCs w:val="20"/>
          <w:lang w:val="en-US"/>
        </w:rPr>
        <w:t>recom</w:t>
      </w:r>
      <w:r w:rsidR="009607B6" w:rsidRPr="007D47AD">
        <w:rPr>
          <w:rFonts w:asciiTheme="minorHAnsi" w:hAnsiTheme="minorHAnsi"/>
          <w:sz w:val="20"/>
          <w:szCs w:val="20"/>
          <w:lang w:val="en-US"/>
        </w:rPr>
        <w:t>m</w:t>
      </w:r>
      <w:r w:rsidR="00D82D68" w:rsidRPr="007D47AD">
        <w:rPr>
          <w:rFonts w:asciiTheme="minorHAnsi" w:hAnsiTheme="minorHAnsi"/>
          <w:sz w:val="20"/>
          <w:szCs w:val="20"/>
          <w:lang w:val="en-US"/>
        </w:rPr>
        <w:t>enda</w:t>
      </w:r>
      <w:r w:rsidR="009607B6" w:rsidRPr="007D47AD">
        <w:rPr>
          <w:rFonts w:asciiTheme="minorHAnsi" w:hAnsiTheme="minorHAnsi"/>
          <w:sz w:val="20"/>
          <w:szCs w:val="20"/>
          <w:lang w:val="en-US"/>
        </w:rPr>
        <w:t>tio</w:t>
      </w:r>
      <w:r w:rsidR="00D82D68" w:rsidRPr="007D47AD">
        <w:rPr>
          <w:rFonts w:asciiTheme="minorHAnsi" w:hAnsiTheme="minorHAnsi"/>
          <w:sz w:val="20"/>
          <w:szCs w:val="20"/>
          <w:lang w:val="en-US"/>
        </w:rPr>
        <w:t xml:space="preserve">n. </w:t>
      </w:r>
      <w:r w:rsidR="009607B6" w:rsidRPr="007D47AD">
        <w:rPr>
          <w:rFonts w:asciiTheme="minorHAnsi" w:hAnsiTheme="minorHAnsi"/>
          <w:sz w:val="20"/>
          <w:szCs w:val="20"/>
          <w:lang w:val="en-US"/>
        </w:rPr>
        <w:t xml:space="preserve">Nonetheless, the IACHR reiterates that the difference between the detailed internal reports and the public reports whose aim is to present the systematized information could generate a double standard and selectivity of the information by the operators, determining </w:t>
      </w:r>
      <w:r w:rsidR="00D82D68" w:rsidRPr="007D47AD">
        <w:rPr>
          <w:rFonts w:asciiTheme="minorHAnsi" w:hAnsiTheme="minorHAnsi"/>
          <w:i/>
          <w:iCs/>
          <w:sz w:val="20"/>
          <w:szCs w:val="20"/>
          <w:lang w:val="en-US"/>
        </w:rPr>
        <w:t>a priori</w:t>
      </w:r>
      <w:r w:rsidR="00D82D68" w:rsidRPr="007D47AD">
        <w:rPr>
          <w:rFonts w:asciiTheme="minorHAnsi" w:hAnsiTheme="minorHAnsi"/>
          <w:sz w:val="20"/>
          <w:szCs w:val="20"/>
          <w:lang w:val="en-US"/>
        </w:rPr>
        <w:t xml:space="preserve"> </w:t>
      </w:r>
      <w:r w:rsidR="009607B6" w:rsidRPr="007D47AD">
        <w:rPr>
          <w:rFonts w:asciiTheme="minorHAnsi" w:hAnsiTheme="minorHAnsi"/>
          <w:sz w:val="20"/>
          <w:szCs w:val="20"/>
          <w:lang w:val="en-US"/>
        </w:rPr>
        <w:t>a restriction on access to information</w:t>
      </w:r>
      <w:r w:rsidR="00D82D68" w:rsidRPr="007D47AD">
        <w:rPr>
          <w:rFonts w:asciiTheme="minorHAnsi" w:hAnsiTheme="minorHAnsi"/>
          <w:sz w:val="20"/>
          <w:szCs w:val="20"/>
          <w:lang w:val="en-US"/>
        </w:rPr>
        <w:t xml:space="preserve">, </w:t>
      </w:r>
      <w:r w:rsidR="009607B6" w:rsidRPr="007D47AD">
        <w:rPr>
          <w:rFonts w:asciiTheme="minorHAnsi" w:hAnsiTheme="minorHAnsi"/>
          <w:sz w:val="20"/>
          <w:szCs w:val="20"/>
          <w:lang w:val="en-US"/>
        </w:rPr>
        <w:t>without the legitimacy of that restriction being evident. In view of the foregoing, the IACHR considers th</w:t>
      </w:r>
      <w:r w:rsidR="00C51596" w:rsidRPr="007D47AD">
        <w:rPr>
          <w:rFonts w:asciiTheme="minorHAnsi" w:hAnsiTheme="minorHAnsi"/>
          <w:sz w:val="20"/>
          <w:szCs w:val="20"/>
          <w:lang w:val="en-US"/>
        </w:rPr>
        <w:t>a</w:t>
      </w:r>
      <w:r w:rsidR="009607B6" w:rsidRPr="007D47AD">
        <w:rPr>
          <w:rFonts w:asciiTheme="minorHAnsi" w:hAnsiTheme="minorHAnsi"/>
          <w:sz w:val="20"/>
          <w:szCs w:val="20"/>
          <w:lang w:val="en-US"/>
        </w:rPr>
        <w:t xml:space="preserve">t the measure has met with partial substantial compliance. </w:t>
      </w:r>
    </w:p>
    <w:p w:rsidR="009C095D" w:rsidRPr="007D47AD" w:rsidRDefault="009C095D" w:rsidP="008847C9">
      <w:pPr>
        <w:shd w:val="clear" w:color="auto" w:fill="FFFFFF"/>
        <w:spacing w:after="0" w:line="240" w:lineRule="auto"/>
        <w:ind w:left="709"/>
        <w:jc w:val="both"/>
        <w:rPr>
          <w:rFonts w:asciiTheme="minorHAnsi" w:hAnsiTheme="minorHAnsi"/>
          <w:sz w:val="20"/>
          <w:szCs w:val="20"/>
          <w:lang w:val="en-US"/>
        </w:rPr>
      </w:pPr>
    </w:p>
    <w:p w:rsidR="009C095D" w:rsidRPr="007D47AD" w:rsidRDefault="009C095D" w:rsidP="00E472A2">
      <w:pPr>
        <w:pStyle w:val="Heading1"/>
        <w:keepNext/>
        <w:keepLines/>
        <w:numPr>
          <w:ilvl w:val="0"/>
          <w:numId w:val="5"/>
        </w:numPr>
        <w:spacing w:after="120"/>
        <w:ind w:left="907" w:hanging="510"/>
        <w:rPr>
          <w:rFonts w:asciiTheme="minorHAnsi" w:hAnsiTheme="minorHAnsi"/>
          <w:sz w:val="20"/>
          <w:lang w:val="en-US"/>
        </w:rPr>
      </w:pPr>
      <w:r w:rsidRPr="007D47AD">
        <w:rPr>
          <w:rFonts w:asciiTheme="minorHAnsi" w:hAnsiTheme="minorHAnsi"/>
          <w:sz w:val="20"/>
          <w:lang w:val="en-US"/>
        </w:rPr>
        <w:t>Mec</w:t>
      </w:r>
      <w:r w:rsidR="009607B6" w:rsidRPr="007D47AD">
        <w:rPr>
          <w:rFonts w:asciiTheme="minorHAnsi" w:hAnsiTheme="minorHAnsi"/>
          <w:sz w:val="20"/>
          <w:lang w:val="en-US"/>
        </w:rPr>
        <w:t>h</w:t>
      </w:r>
      <w:r w:rsidRPr="007D47AD">
        <w:rPr>
          <w:rFonts w:asciiTheme="minorHAnsi" w:hAnsiTheme="minorHAnsi"/>
          <w:sz w:val="20"/>
          <w:lang w:val="en-US"/>
        </w:rPr>
        <w:t>anism</w:t>
      </w:r>
      <w:r w:rsidR="009607B6" w:rsidRPr="007D47AD">
        <w:rPr>
          <w:rFonts w:asciiTheme="minorHAnsi" w:hAnsiTheme="minorHAnsi"/>
          <w:sz w:val="20"/>
          <w:lang w:val="en-US"/>
        </w:rPr>
        <w:t xml:space="preserve"> of Protection and Human Rights Defenders and Journalists</w:t>
      </w:r>
      <w:r w:rsidRPr="007D47AD">
        <w:rPr>
          <w:rFonts w:asciiTheme="minorHAnsi" w:hAnsiTheme="minorHAnsi"/>
          <w:sz w:val="20"/>
          <w:lang w:val="en-US"/>
        </w:rPr>
        <w:t xml:space="preserve">: </w:t>
      </w:r>
    </w:p>
    <w:p w:rsidR="009C095D" w:rsidRPr="007D47AD" w:rsidRDefault="009C095D" w:rsidP="00E472A2">
      <w:pPr>
        <w:pStyle w:val="Numberedparagraphs"/>
        <w:widowControl w:val="0"/>
        <w:numPr>
          <w:ilvl w:val="0"/>
          <w:numId w:val="22"/>
        </w:numPr>
        <w:shd w:val="clear" w:color="auto" w:fill="D9D9D9"/>
        <w:spacing w:after="0"/>
        <w:ind w:left="1440" w:hanging="720"/>
        <w:rPr>
          <w:rFonts w:asciiTheme="minorHAnsi" w:hAnsiTheme="minorHAnsi"/>
          <w:lang w:val="en-US"/>
        </w:rPr>
      </w:pPr>
      <w:r w:rsidRPr="007D47AD">
        <w:rPr>
          <w:rFonts w:asciiTheme="minorHAnsi" w:hAnsiTheme="minorHAnsi"/>
          <w:lang w:val="en-US"/>
        </w:rPr>
        <w:t>Requ</w:t>
      </w:r>
      <w:r w:rsidR="00CF440F" w:rsidRPr="007D47AD">
        <w:rPr>
          <w:rFonts w:asciiTheme="minorHAnsi" w:hAnsiTheme="minorHAnsi"/>
          <w:lang w:val="en-US"/>
        </w:rPr>
        <w:t>ire</w:t>
      </w:r>
      <w:r w:rsidRPr="007D47AD">
        <w:rPr>
          <w:rFonts w:asciiTheme="minorHAnsi" w:hAnsiTheme="minorHAnsi"/>
          <w:lang w:val="en-US"/>
        </w:rPr>
        <w:t xml:space="preserve"> </w:t>
      </w:r>
      <w:r w:rsidR="00CF440F" w:rsidRPr="007D47AD">
        <w:rPr>
          <w:rFonts w:asciiTheme="minorHAnsi" w:hAnsiTheme="minorHAnsi"/>
          <w:lang w:val="en-US"/>
        </w:rPr>
        <w:t>competent authorities to take into account international parameters regarding protection, especially the considerations outlined in the “Second Report on the Situation of Human Rights Defenders in the Americas” and the “Report on Violence against Journalists and Media Workers</w:t>
      </w:r>
      <w:r w:rsidR="00C51596" w:rsidRPr="007D47AD">
        <w:rPr>
          <w:rFonts w:asciiTheme="minorHAnsi" w:hAnsiTheme="minorHAnsi"/>
          <w:lang w:val="en-US"/>
        </w:rPr>
        <w:t>”</w:t>
      </w:r>
      <w:r w:rsidR="00CF440F" w:rsidRPr="007D47AD">
        <w:rPr>
          <w:rFonts w:asciiTheme="minorHAnsi" w:hAnsiTheme="minorHAnsi"/>
          <w:lang w:val="en-US"/>
        </w:rPr>
        <w:t xml:space="preserve"> of the IACHR’s Special Rapporteurship for Freedom of Express</w:t>
      </w:r>
      <w:r w:rsidR="00C51596" w:rsidRPr="007D47AD">
        <w:rPr>
          <w:rFonts w:asciiTheme="minorHAnsi" w:hAnsiTheme="minorHAnsi"/>
          <w:lang w:val="en-US"/>
        </w:rPr>
        <w:t>ion.</w:t>
      </w:r>
    </w:p>
    <w:p w:rsidR="009C095D" w:rsidRPr="007D47AD" w:rsidRDefault="009C095D" w:rsidP="00E472A2">
      <w:pPr>
        <w:pStyle w:val="Numberedparagraphs"/>
        <w:widowControl w:val="0"/>
        <w:numPr>
          <w:ilvl w:val="0"/>
          <w:numId w:val="22"/>
        </w:numPr>
        <w:shd w:val="clear" w:color="auto" w:fill="D9D9D9"/>
        <w:spacing w:after="0"/>
        <w:ind w:left="1440" w:hanging="720"/>
        <w:rPr>
          <w:rFonts w:asciiTheme="minorHAnsi" w:hAnsiTheme="minorHAnsi"/>
          <w:lang w:val="en-US"/>
        </w:rPr>
      </w:pPr>
      <w:r w:rsidRPr="007D47AD">
        <w:rPr>
          <w:rFonts w:asciiTheme="minorHAnsi" w:hAnsiTheme="minorHAnsi"/>
          <w:lang w:val="en-US"/>
        </w:rPr>
        <w:t>Pro</w:t>
      </w:r>
      <w:r w:rsidR="00CF440F" w:rsidRPr="007D47AD">
        <w:rPr>
          <w:rFonts w:asciiTheme="minorHAnsi" w:hAnsiTheme="minorHAnsi"/>
          <w:lang w:val="en-US"/>
        </w:rPr>
        <w:t>vide all political support necessary for the adequate operation of the protection mechanism, which should include all the necessary financial resources so that it may develop its competencies efficiently in relation to protection, and so that it may be sustainable over time.</w:t>
      </w:r>
      <w:r w:rsidRPr="007D47AD">
        <w:rPr>
          <w:rFonts w:asciiTheme="minorHAnsi" w:hAnsiTheme="minorHAnsi"/>
          <w:lang w:val="en-US"/>
        </w:rPr>
        <w:t xml:space="preserve"> </w:t>
      </w:r>
    </w:p>
    <w:p w:rsidR="009C095D" w:rsidRPr="007D47AD" w:rsidRDefault="009C095D" w:rsidP="00E472A2">
      <w:pPr>
        <w:pStyle w:val="Numberedparagraphs"/>
        <w:widowControl w:val="0"/>
        <w:numPr>
          <w:ilvl w:val="0"/>
          <w:numId w:val="22"/>
        </w:numPr>
        <w:shd w:val="clear" w:color="auto" w:fill="D9D9D9"/>
        <w:spacing w:after="0"/>
        <w:ind w:left="1440" w:hanging="720"/>
        <w:rPr>
          <w:rFonts w:asciiTheme="minorHAnsi" w:hAnsiTheme="minorHAnsi"/>
          <w:lang w:val="en-US"/>
        </w:rPr>
      </w:pPr>
      <w:r w:rsidRPr="007D47AD">
        <w:rPr>
          <w:rFonts w:asciiTheme="minorHAnsi" w:hAnsiTheme="minorHAnsi"/>
          <w:lang w:val="en-US"/>
        </w:rPr>
        <w:t>Adopt</w:t>
      </w:r>
      <w:r w:rsidR="00CF440F" w:rsidRPr="007D47AD">
        <w:rPr>
          <w:rFonts w:asciiTheme="minorHAnsi" w:hAnsiTheme="minorHAnsi"/>
          <w:lang w:val="en-US"/>
        </w:rPr>
        <w:t xml:space="preserve"> all necessary measures to assign and train all necessary personnel for its adequate operation. </w:t>
      </w:r>
    </w:p>
    <w:p w:rsidR="009C095D" w:rsidRPr="007D47AD" w:rsidRDefault="009C095D" w:rsidP="00E472A2">
      <w:pPr>
        <w:pStyle w:val="Numberedparagraphs"/>
        <w:widowControl w:val="0"/>
        <w:numPr>
          <w:ilvl w:val="0"/>
          <w:numId w:val="22"/>
        </w:numPr>
        <w:shd w:val="clear" w:color="auto" w:fill="D9D9D9"/>
        <w:spacing w:after="0"/>
        <w:ind w:left="1440" w:hanging="720"/>
        <w:rPr>
          <w:rFonts w:asciiTheme="minorHAnsi" w:hAnsiTheme="minorHAnsi"/>
          <w:lang w:val="en-US"/>
        </w:rPr>
      </w:pPr>
      <w:r w:rsidRPr="007D47AD">
        <w:rPr>
          <w:rFonts w:asciiTheme="minorHAnsi" w:hAnsiTheme="minorHAnsi"/>
          <w:lang w:val="en-US"/>
        </w:rPr>
        <w:t>G</w:t>
      </w:r>
      <w:r w:rsidR="00CF440F" w:rsidRPr="007D47AD">
        <w:rPr>
          <w:rFonts w:asciiTheme="minorHAnsi" w:hAnsiTheme="minorHAnsi"/>
          <w:lang w:val="en-US"/>
        </w:rPr>
        <w:t>u</w:t>
      </w:r>
      <w:r w:rsidRPr="007D47AD">
        <w:rPr>
          <w:rFonts w:asciiTheme="minorHAnsi" w:hAnsiTheme="minorHAnsi"/>
          <w:lang w:val="en-US"/>
        </w:rPr>
        <w:t>arant</w:t>
      </w:r>
      <w:r w:rsidR="00CF440F" w:rsidRPr="007D47AD">
        <w:rPr>
          <w:rFonts w:asciiTheme="minorHAnsi" w:hAnsiTheme="minorHAnsi"/>
          <w:lang w:val="en-US"/>
        </w:rPr>
        <w:t xml:space="preserve">ee that risk assessments and the implementation of prevention and protection measures are done adequately and addressing the urgency of the situation. Therefore, assign </w:t>
      </w:r>
      <w:r w:rsidR="00CF440F" w:rsidRPr="007D47AD">
        <w:rPr>
          <w:rFonts w:asciiTheme="minorHAnsi" w:hAnsiTheme="minorHAnsi"/>
          <w:lang w:val="en-US"/>
        </w:rPr>
        <w:lastRenderedPageBreak/>
        <w:t>protection and review schemes regarding the adequacy of the risk evaluation processes, guarantee adequate participation, communication and consensus-building with the persons protected by the mechanism, as well as the beneficiaries of precautionary measures requested by the IACHR.</w:t>
      </w:r>
      <w:r w:rsidRPr="007D47AD">
        <w:rPr>
          <w:rFonts w:asciiTheme="minorHAnsi" w:hAnsiTheme="minorHAnsi"/>
          <w:lang w:val="en-US"/>
        </w:rPr>
        <w:t xml:space="preserve"> </w:t>
      </w:r>
    </w:p>
    <w:p w:rsidR="009C095D" w:rsidRPr="007D47AD" w:rsidRDefault="00CF440F" w:rsidP="00E472A2">
      <w:pPr>
        <w:pStyle w:val="Numberedparagraphs"/>
        <w:widowControl w:val="0"/>
        <w:numPr>
          <w:ilvl w:val="0"/>
          <w:numId w:val="22"/>
        </w:numPr>
        <w:shd w:val="clear" w:color="auto" w:fill="D9D9D9"/>
        <w:spacing w:after="0"/>
        <w:ind w:left="1440" w:hanging="720"/>
        <w:rPr>
          <w:rFonts w:asciiTheme="minorHAnsi" w:hAnsiTheme="minorHAnsi"/>
          <w:lang w:val="en-US"/>
        </w:rPr>
      </w:pPr>
      <w:r w:rsidRPr="007D47AD">
        <w:rPr>
          <w:rFonts w:asciiTheme="minorHAnsi" w:hAnsiTheme="minorHAnsi"/>
          <w:lang w:val="en-US"/>
        </w:rPr>
        <w:t>Undertake an evaluation and adoption of differentiated protection measures for women, indigenous leaders, and environmental defenders.</w:t>
      </w:r>
      <w:r w:rsidR="009C095D" w:rsidRPr="007D47AD">
        <w:rPr>
          <w:rFonts w:asciiTheme="minorHAnsi" w:hAnsiTheme="minorHAnsi"/>
          <w:lang w:val="en-US"/>
        </w:rPr>
        <w:t xml:space="preserve"> </w:t>
      </w:r>
    </w:p>
    <w:p w:rsidR="009C095D" w:rsidRPr="007D47AD" w:rsidRDefault="00CF440F" w:rsidP="00E472A2">
      <w:pPr>
        <w:pStyle w:val="Numberedparagraphs"/>
        <w:widowControl w:val="0"/>
        <w:numPr>
          <w:ilvl w:val="0"/>
          <w:numId w:val="22"/>
        </w:numPr>
        <w:shd w:val="clear" w:color="auto" w:fill="D9D9D9"/>
        <w:spacing w:after="0"/>
        <w:ind w:left="1440" w:hanging="720"/>
        <w:rPr>
          <w:rFonts w:asciiTheme="minorHAnsi" w:hAnsiTheme="minorHAnsi"/>
          <w:lang w:val="en-US"/>
        </w:rPr>
      </w:pPr>
      <w:r w:rsidRPr="007D47AD">
        <w:rPr>
          <w:rFonts w:asciiTheme="minorHAnsi" w:hAnsiTheme="minorHAnsi"/>
          <w:lang w:val="en-US"/>
        </w:rPr>
        <w:t xml:space="preserve">Urge the State to implement </w:t>
      </w:r>
      <w:r w:rsidR="00E1002E" w:rsidRPr="007D47AD">
        <w:rPr>
          <w:rFonts w:asciiTheme="minorHAnsi" w:hAnsiTheme="minorHAnsi"/>
          <w:lang w:val="en-US"/>
        </w:rPr>
        <w:t>strategies so that the various institutions at the state and federal level work in a coordinated fashion to provide an integral response to all matters related to the protection of human rights defenders and journalists</w:t>
      </w:r>
      <w:r w:rsidR="009C095D" w:rsidRPr="007D47AD">
        <w:rPr>
          <w:rFonts w:asciiTheme="minorHAnsi" w:hAnsiTheme="minorHAnsi"/>
          <w:lang w:val="en-US"/>
        </w:rPr>
        <w:t xml:space="preserve">. </w:t>
      </w:r>
    </w:p>
    <w:p w:rsidR="009C095D" w:rsidRPr="007D47AD" w:rsidRDefault="00E1002E" w:rsidP="00E472A2">
      <w:pPr>
        <w:pStyle w:val="Numberedparagraphs"/>
        <w:widowControl w:val="0"/>
        <w:numPr>
          <w:ilvl w:val="0"/>
          <w:numId w:val="22"/>
        </w:numPr>
        <w:shd w:val="clear" w:color="auto" w:fill="D9D9D9"/>
        <w:spacing w:after="0"/>
        <w:ind w:left="1440" w:hanging="720"/>
        <w:rPr>
          <w:rFonts w:asciiTheme="minorHAnsi" w:hAnsiTheme="minorHAnsi"/>
          <w:b/>
          <w:lang w:val="en-US"/>
        </w:rPr>
      </w:pPr>
      <w:r w:rsidRPr="007D47AD">
        <w:rPr>
          <w:rFonts w:asciiTheme="minorHAnsi" w:hAnsiTheme="minorHAnsi"/>
          <w:lang w:val="en-US"/>
        </w:rPr>
        <w:t xml:space="preserve">The protection mechanism should implement a communication strategy regarding its competencies, the requirements to enter the program, among other necessary information, with the objective of making human rights defenders and journalists aware </w:t>
      </w:r>
      <w:r w:rsidR="00C51596" w:rsidRPr="007D47AD">
        <w:rPr>
          <w:rFonts w:asciiTheme="minorHAnsi" w:hAnsiTheme="minorHAnsi"/>
          <w:lang w:val="en-US"/>
        </w:rPr>
        <w:t xml:space="preserve">of </w:t>
      </w:r>
      <w:r w:rsidRPr="007D47AD">
        <w:rPr>
          <w:rFonts w:asciiTheme="minorHAnsi" w:hAnsiTheme="minorHAnsi"/>
          <w:lang w:val="en-US"/>
        </w:rPr>
        <w:t>the protection that the mechanism can offer. Similarly and in accordance with international standards, provide access to necessary information regarding the protection mechanism so that it may provide greater transparency regarding the work it is doing.</w:t>
      </w:r>
      <w:r w:rsidR="009C095D" w:rsidRPr="007D47AD">
        <w:rPr>
          <w:rFonts w:asciiTheme="minorHAnsi" w:hAnsiTheme="minorHAnsi"/>
          <w:lang w:val="en-US"/>
        </w:rPr>
        <w:t xml:space="preserve"> </w:t>
      </w:r>
    </w:p>
    <w:p w:rsidR="009C095D" w:rsidRPr="007D47AD" w:rsidRDefault="00E1002E" w:rsidP="00E472A2">
      <w:pPr>
        <w:pStyle w:val="Numberedparagraphs"/>
        <w:widowControl w:val="0"/>
        <w:numPr>
          <w:ilvl w:val="0"/>
          <w:numId w:val="22"/>
        </w:numPr>
        <w:shd w:val="clear" w:color="auto" w:fill="D9D9D9"/>
        <w:spacing w:after="0"/>
        <w:ind w:left="1440" w:hanging="720"/>
        <w:rPr>
          <w:rFonts w:asciiTheme="minorHAnsi" w:hAnsiTheme="minorHAnsi"/>
          <w:lang w:val="en-US"/>
        </w:rPr>
      </w:pPr>
      <w:r w:rsidRPr="007D47AD">
        <w:rPr>
          <w:rFonts w:asciiTheme="minorHAnsi" w:hAnsiTheme="minorHAnsi"/>
          <w:lang w:val="en-US"/>
        </w:rPr>
        <w:t>Encourage the mechanism to adopt a process that allows it to issue protection measures directly and of its own initiative (</w:t>
      </w:r>
      <w:r w:rsidRPr="007D47AD">
        <w:rPr>
          <w:rFonts w:asciiTheme="minorHAnsi" w:hAnsiTheme="minorHAnsi"/>
          <w:i/>
          <w:iCs/>
          <w:lang w:val="en-US"/>
        </w:rPr>
        <w:t>sua sponte</w:t>
      </w:r>
      <w:r w:rsidRPr="007D47AD">
        <w:rPr>
          <w:rFonts w:asciiTheme="minorHAnsi" w:hAnsiTheme="minorHAnsi"/>
          <w:lang w:val="en-US"/>
        </w:rPr>
        <w:t>) in those cases which, because of their gravity and urgency, require them immediately</w:t>
      </w:r>
      <w:r w:rsidR="009C095D" w:rsidRPr="007D47AD">
        <w:rPr>
          <w:rFonts w:asciiTheme="minorHAnsi" w:hAnsiTheme="minorHAnsi"/>
          <w:lang w:val="en-US"/>
        </w:rPr>
        <w:t xml:space="preserve">. </w:t>
      </w:r>
    </w:p>
    <w:p w:rsidR="009C095D" w:rsidRPr="007D47AD" w:rsidRDefault="00E1002E" w:rsidP="00E472A2">
      <w:pPr>
        <w:pStyle w:val="Numberedparagraphs"/>
        <w:widowControl w:val="0"/>
        <w:numPr>
          <w:ilvl w:val="0"/>
          <w:numId w:val="22"/>
        </w:numPr>
        <w:shd w:val="clear" w:color="auto" w:fill="D9D9D9"/>
        <w:spacing w:after="0"/>
        <w:ind w:left="1440" w:hanging="720"/>
        <w:rPr>
          <w:rFonts w:asciiTheme="minorHAnsi" w:hAnsiTheme="minorHAnsi"/>
          <w:lang w:val="en-US"/>
        </w:rPr>
      </w:pPr>
      <w:r w:rsidRPr="007D47AD">
        <w:rPr>
          <w:rFonts w:asciiTheme="minorHAnsi" w:hAnsiTheme="minorHAnsi"/>
          <w:lang w:val="en-US"/>
        </w:rPr>
        <w:t>Urge the State to redouble its efforts to investigate acts that cause the entry and permanence of protected persons into the protection mechanism, with a view towards conducting thorough investigations as prevention policy of the State.</w:t>
      </w:r>
      <w:r w:rsidR="009C095D" w:rsidRPr="007D47AD">
        <w:rPr>
          <w:rFonts w:asciiTheme="minorHAnsi" w:hAnsiTheme="minorHAnsi"/>
          <w:lang w:val="en-US"/>
        </w:rPr>
        <w:t xml:space="preserve"> </w:t>
      </w:r>
    </w:p>
    <w:p w:rsidR="009C095D" w:rsidRPr="007D47AD" w:rsidRDefault="00E1002E" w:rsidP="00E472A2">
      <w:pPr>
        <w:pStyle w:val="Numberedparagraphs"/>
        <w:widowControl w:val="0"/>
        <w:numPr>
          <w:ilvl w:val="0"/>
          <w:numId w:val="22"/>
        </w:numPr>
        <w:shd w:val="clear" w:color="auto" w:fill="D9D9D9"/>
        <w:spacing w:after="0"/>
        <w:ind w:left="1440" w:hanging="720"/>
        <w:rPr>
          <w:rFonts w:asciiTheme="minorHAnsi" w:hAnsiTheme="minorHAnsi"/>
          <w:lang w:val="en-US"/>
        </w:rPr>
      </w:pPr>
      <w:r w:rsidRPr="007D47AD">
        <w:rPr>
          <w:rFonts w:asciiTheme="minorHAnsi" w:hAnsiTheme="minorHAnsi"/>
          <w:lang w:val="en-US"/>
        </w:rPr>
        <w:t>Encourage the mechanism to adopt tools that allow it to evaluate the effectiveness of the implemented protection measures, as well as increase transparency of all its action to increase the trust of beneficiaries. The foregoing shall be accompanied by a policy of prevention and participation by the population object of the mechanism.</w:t>
      </w:r>
    </w:p>
    <w:p w:rsidR="009C095D" w:rsidRPr="007D47AD" w:rsidRDefault="009C095D" w:rsidP="00E1002E">
      <w:pPr>
        <w:shd w:val="clear" w:color="auto" w:fill="FFFFFF"/>
        <w:spacing w:after="240" w:line="240" w:lineRule="auto"/>
        <w:jc w:val="both"/>
        <w:rPr>
          <w:rFonts w:asciiTheme="minorHAnsi" w:hAnsiTheme="minorHAnsi"/>
          <w:sz w:val="20"/>
          <w:szCs w:val="20"/>
          <w:lang w:val="en-US"/>
        </w:rPr>
      </w:pPr>
    </w:p>
    <w:p w:rsidR="009C095D" w:rsidRPr="007D47AD" w:rsidRDefault="009607B6" w:rsidP="006A2AFD">
      <w:pPr>
        <w:numPr>
          <w:ilvl w:val="0"/>
          <w:numId w:val="6"/>
        </w:numPr>
        <w:shd w:val="clear" w:color="auto" w:fill="FFFFFF"/>
        <w:spacing w:after="0" w:line="240" w:lineRule="auto"/>
        <w:ind w:left="0" w:firstLine="709"/>
        <w:jc w:val="both"/>
        <w:rPr>
          <w:rFonts w:asciiTheme="minorHAnsi" w:hAnsiTheme="minorHAnsi"/>
          <w:sz w:val="20"/>
          <w:szCs w:val="20"/>
          <w:lang w:val="en-US"/>
        </w:rPr>
      </w:pPr>
      <w:r w:rsidRPr="007D47AD">
        <w:rPr>
          <w:rFonts w:asciiTheme="minorHAnsi" w:hAnsiTheme="minorHAnsi"/>
          <w:sz w:val="20"/>
          <w:szCs w:val="20"/>
          <w:lang w:val="en-US"/>
        </w:rPr>
        <w:t>The IACHR recognizes the important measures adopted by the State vis-à-vis the significant increase in human ri</w:t>
      </w:r>
      <w:r w:rsidR="00F04855" w:rsidRPr="007D47AD">
        <w:rPr>
          <w:rFonts w:asciiTheme="minorHAnsi" w:hAnsiTheme="minorHAnsi"/>
          <w:sz w:val="20"/>
          <w:szCs w:val="20"/>
          <w:lang w:val="en-US"/>
        </w:rPr>
        <w:t>g</w:t>
      </w:r>
      <w:r w:rsidRPr="007D47AD">
        <w:rPr>
          <w:rFonts w:asciiTheme="minorHAnsi" w:hAnsiTheme="minorHAnsi"/>
          <w:sz w:val="20"/>
          <w:szCs w:val="20"/>
          <w:lang w:val="en-US"/>
        </w:rPr>
        <w:t>h</w:t>
      </w:r>
      <w:r w:rsidR="00F04855" w:rsidRPr="007D47AD">
        <w:rPr>
          <w:rFonts w:asciiTheme="minorHAnsi" w:hAnsiTheme="minorHAnsi"/>
          <w:sz w:val="20"/>
          <w:szCs w:val="20"/>
          <w:lang w:val="en-US"/>
        </w:rPr>
        <w:t>t</w:t>
      </w:r>
      <w:r w:rsidRPr="007D47AD">
        <w:rPr>
          <w:rFonts w:asciiTheme="minorHAnsi" w:hAnsiTheme="minorHAnsi"/>
          <w:sz w:val="20"/>
          <w:szCs w:val="20"/>
          <w:lang w:val="en-US"/>
        </w:rPr>
        <w:t xml:space="preserve">s defenders and journalists who are beneficiaries of the </w:t>
      </w:r>
      <w:r w:rsidR="00F04855" w:rsidRPr="007D47AD">
        <w:rPr>
          <w:rFonts w:asciiTheme="minorHAnsi" w:hAnsiTheme="minorHAnsi"/>
          <w:sz w:val="20"/>
          <w:szCs w:val="20"/>
          <w:lang w:val="en-US"/>
        </w:rPr>
        <w:t xml:space="preserve">Protection </w:t>
      </w:r>
      <w:r w:rsidRPr="007D47AD">
        <w:rPr>
          <w:rFonts w:asciiTheme="minorHAnsi" w:hAnsiTheme="minorHAnsi"/>
          <w:sz w:val="20"/>
          <w:szCs w:val="20"/>
          <w:lang w:val="en-US"/>
        </w:rPr>
        <w:t xml:space="preserve">Mechanism, </w:t>
      </w:r>
      <w:r w:rsidR="00F04855" w:rsidRPr="007D47AD">
        <w:rPr>
          <w:rFonts w:asciiTheme="minorHAnsi" w:hAnsiTheme="minorHAnsi"/>
          <w:sz w:val="20"/>
          <w:szCs w:val="20"/>
          <w:lang w:val="en-US"/>
        </w:rPr>
        <w:t xml:space="preserve">including </w:t>
      </w:r>
      <w:r w:rsidRPr="007D47AD">
        <w:rPr>
          <w:rFonts w:asciiTheme="minorHAnsi" w:hAnsiTheme="minorHAnsi"/>
          <w:sz w:val="20"/>
          <w:szCs w:val="20"/>
          <w:lang w:val="en-US"/>
        </w:rPr>
        <w:t>beneficiaries of precautionary measures granted by this Commission</w:t>
      </w:r>
      <w:r w:rsidR="00D577F9" w:rsidRPr="007D47AD">
        <w:rPr>
          <w:rStyle w:val="FootnoteReference"/>
          <w:rFonts w:asciiTheme="minorHAnsi" w:hAnsiTheme="minorHAnsi"/>
          <w:sz w:val="20"/>
          <w:szCs w:val="20"/>
          <w:lang w:val="en-US"/>
        </w:rPr>
        <w:footnoteReference w:id="516"/>
      </w:r>
      <w:r w:rsidR="006A2AFD" w:rsidRPr="007D47AD">
        <w:rPr>
          <w:rFonts w:asciiTheme="minorHAnsi" w:hAnsiTheme="minorHAnsi"/>
          <w:sz w:val="20"/>
          <w:szCs w:val="20"/>
          <w:lang w:val="en-US"/>
        </w:rPr>
        <w:t xml:space="preserve"> </w:t>
      </w:r>
      <w:r w:rsidRPr="007D47AD">
        <w:rPr>
          <w:rFonts w:asciiTheme="minorHAnsi" w:hAnsiTheme="minorHAnsi"/>
          <w:sz w:val="20"/>
          <w:szCs w:val="20"/>
          <w:lang w:val="en-US"/>
        </w:rPr>
        <w:t>and provisional measures granted by the Inter-American Court.</w:t>
      </w:r>
      <w:r w:rsidR="00D577F9" w:rsidRPr="007D47AD">
        <w:rPr>
          <w:rStyle w:val="FootnoteReference"/>
          <w:rFonts w:asciiTheme="minorHAnsi" w:hAnsiTheme="minorHAnsi"/>
          <w:sz w:val="20"/>
          <w:szCs w:val="20"/>
          <w:lang w:val="en-US"/>
        </w:rPr>
        <w:footnoteReference w:id="517"/>
      </w:r>
      <w:r w:rsidRPr="007D47AD">
        <w:rPr>
          <w:rFonts w:asciiTheme="minorHAnsi" w:hAnsiTheme="minorHAnsi"/>
          <w:sz w:val="20"/>
          <w:szCs w:val="20"/>
          <w:lang w:val="en-US"/>
        </w:rPr>
        <w:t xml:space="preserve"> Despite these efforts, the IACHR </w:t>
      </w:r>
      <w:r w:rsidR="00F04855" w:rsidRPr="007D47AD">
        <w:rPr>
          <w:rFonts w:asciiTheme="minorHAnsi" w:hAnsiTheme="minorHAnsi"/>
          <w:sz w:val="20"/>
          <w:szCs w:val="20"/>
          <w:lang w:val="en-US"/>
        </w:rPr>
        <w:t xml:space="preserve">found </w:t>
      </w:r>
      <w:r w:rsidRPr="007D47AD">
        <w:rPr>
          <w:rFonts w:asciiTheme="minorHAnsi" w:hAnsiTheme="minorHAnsi"/>
          <w:sz w:val="20"/>
          <w:szCs w:val="20"/>
          <w:lang w:val="en-US"/>
        </w:rPr>
        <w:t xml:space="preserve">that during </w:t>
      </w:r>
      <w:r w:rsidR="006A2AFD" w:rsidRPr="007D47AD">
        <w:rPr>
          <w:rFonts w:asciiTheme="minorHAnsi" w:hAnsiTheme="minorHAnsi"/>
          <w:sz w:val="20"/>
          <w:szCs w:val="20"/>
          <w:lang w:val="en-US"/>
        </w:rPr>
        <w:t xml:space="preserve">2019 </w:t>
      </w:r>
      <w:r w:rsidRPr="007D47AD">
        <w:rPr>
          <w:rFonts w:asciiTheme="minorHAnsi" w:hAnsiTheme="minorHAnsi"/>
          <w:sz w:val="20"/>
          <w:szCs w:val="20"/>
          <w:lang w:val="en-US"/>
        </w:rPr>
        <w:t xml:space="preserve">the Federal </w:t>
      </w:r>
      <w:r w:rsidRPr="007D47AD">
        <w:rPr>
          <w:rFonts w:asciiTheme="minorHAnsi" w:hAnsiTheme="minorHAnsi"/>
          <w:sz w:val="20"/>
          <w:szCs w:val="20"/>
          <w:lang w:val="en-US"/>
        </w:rPr>
        <w:lastRenderedPageBreak/>
        <w:t>Mechanism for the Protection of Human Rights Defenders and Journalists continued facing a series of obstacles to carry</w:t>
      </w:r>
      <w:r w:rsidR="00F04855" w:rsidRPr="007D47AD">
        <w:rPr>
          <w:rFonts w:asciiTheme="minorHAnsi" w:hAnsiTheme="minorHAnsi"/>
          <w:sz w:val="20"/>
          <w:szCs w:val="20"/>
          <w:lang w:val="en-US"/>
        </w:rPr>
        <w:t>ing</w:t>
      </w:r>
      <w:r w:rsidRPr="007D47AD">
        <w:rPr>
          <w:rFonts w:asciiTheme="minorHAnsi" w:hAnsiTheme="minorHAnsi"/>
          <w:sz w:val="20"/>
          <w:szCs w:val="20"/>
          <w:lang w:val="en-US"/>
        </w:rPr>
        <w:t xml:space="preserve"> out the recommendations issued by the Commission, noted above in the section “Human rights defenders.” </w:t>
      </w:r>
    </w:p>
    <w:p w:rsidR="006A2AFD" w:rsidRPr="007D47AD" w:rsidRDefault="006A2AFD" w:rsidP="006A2AFD">
      <w:pPr>
        <w:shd w:val="clear" w:color="auto" w:fill="FFFFFF"/>
        <w:spacing w:after="0" w:line="240" w:lineRule="auto"/>
        <w:ind w:left="709"/>
        <w:jc w:val="both"/>
        <w:rPr>
          <w:rFonts w:asciiTheme="minorHAnsi" w:hAnsiTheme="minorHAnsi"/>
          <w:sz w:val="20"/>
          <w:szCs w:val="20"/>
          <w:lang w:val="en-US"/>
        </w:rPr>
      </w:pPr>
    </w:p>
    <w:p w:rsidR="006A2AFD" w:rsidRPr="007D47AD" w:rsidRDefault="009607B6" w:rsidP="006A2AFD">
      <w:pPr>
        <w:numPr>
          <w:ilvl w:val="0"/>
          <w:numId w:val="6"/>
        </w:numPr>
        <w:shd w:val="clear" w:color="auto" w:fill="FFFFFF"/>
        <w:spacing w:after="0" w:line="240" w:lineRule="auto"/>
        <w:ind w:left="0" w:firstLine="709"/>
        <w:jc w:val="both"/>
        <w:rPr>
          <w:rFonts w:asciiTheme="minorHAnsi" w:hAnsiTheme="minorHAnsi"/>
          <w:sz w:val="20"/>
          <w:szCs w:val="20"/>
          <w:lang w:val="en-US"/>
        </w:rPr>
      </w:pPr>
      <w:r w:rsidRPr="007D47AD">
        <w:rPr>
          <w:rFonts w:asciiTheme="minorHAnsi" w:hAnsiTheme="minorHAnsi"/>
          <w:sz w:val="20"/>
          <w:szCs w:val="20"/>
          <w:lang w:val="en-US"/>
        </w:rPr>
        <w:t xml:space="preserve">With respect to the recommendation </w:t>
      </w:r>
      <w:r w:rsidR="00E1002E" w:rsidRPr="007D47AD">
        <w:rPr>
          <w:rFonts w:asciiTheme="minorHAnsi" w:hAnsiTheme="minorHAnsi"/>
          <w:sz w:val="20"/>
          <w:szCs w:val="20"/>
          <w:lang w:val="en-US"/>
        </w:rPr>
        <w:t xml:space="preserve">to </w:t>
      </w:r>
      <w:r w:rsidR="009C095D" w:rsidRPr="007D47AD">
        <w:rPr>
          <w:rFonts w:asciiTheme="minorHAnsi" w:hAnsiTheme="minorHAnsi"/>
          <w:b/>
          <w:sz w:val="20"/>
          <w:szCs w:val="20"/>
          <w:lang w:val="en-US"/>
        </w:rPr>
        <w:t>requ</w:t>
      </w:r>
      <w:r w:rsidR="00E1002E" w:rsidRPr="007D47AD">
        <w:rPr>
          <w:rFonts w:asciiTheme="minorHAnsi" w:hAnsiTheme="minorHAnsi"/>
          <w:b/>
          <w:sz w:val="20"/>
          <w:szCs w:val="20"/>
          <w:lang w:val="en-US"/>
        </w:rPr>
        <w:t>ir</w:t>
      </w:r>
      <w:r w:rsidR="00F04855" w:rsidRPr="007D47AD">
        <w:rPr>
          <w:rFonts w:asciiTheme="minorHAnsi" w:hAnsiTheme="minorHAnsi"/>
          <w:b/>
          <w:sz w:val="20"/>
          <w:szCs w:val="20"/>
          <w:lang w:val="en-US"/>
        </w:rPr>
        <w:t>e</w:t>
      </w:r>
      <w:r w:rsidR="009C095D" w:rsidRPr="007D47AD">
        <w:rPr>
          <w:rFonts w:asciiTheme="minorHAnsi" w:hAnsiTheme="minorHAnsi"/>
          <w:b/>
          <w:sz w:val="20"/>
          <w:szCs w:val="20"/>
          <w:lang w:val="en-US"/>
        </w:rPr>
        <w:t xml:space="preserve"> </w:t>
      </w:r>
      <w:r w:rsidR="00E1002E" w:rsidRPr="007D47AD">
        <w:rPr>
          <w:rFonts w:asciiTheme="minorHAnsi" w:hAnsiTheme="minorHAnsi"/>
          <w:b/>
          <w:sz w:val="20"/>
          <w:szCs w:val="20"/>
          <w:lang w:val="en-US"/>
        </w:rPr>
        <w:t>competent authorities to take into account international parameters regarding protection, especially the considerations outlined in the “Second Report on the Situation of Human Rights Defenders in the Americas” and the “Report on Violence against Journalists and Media Workers</w:t>
      </w:r>
      <w:r w:rsidR="00F04855" w:rsidRPr="007D47AD">
        <w:rPr>
          <w:rFonts w:asciiTheme="minorHAnsi" w:hAnsiTheme="minorHAnsi"/>
          <w:b/>
          <w:sz w:val="20"/>
          <w:szCs w:val="20"/>
          <w:lang w:val="en-US"/>
        </w:rPr>
        <w:t>”</w:t>
      </w:r>
      <w:r w:rsidR="00E1002E" w:rsidRPr="007D47AD">
        <w:rPr>
          <w:rFonts w:asciiTheme="minorHAnsi" w:hAnsiTheme="minorHAnsi"/>
          <w:b/>
          <w:sz w:val="20"/>
          <w:szCs w:val="20"/>
          <w:lang w:val="en-US"/>
        </w:rPr>
        <w:t xml:space="preserve"> of the IACHR’s Special Rapporteurship for Freedom of Expression, </w:t>
      </w:r>
      <w:r w:rsidRPr="007D47AD">
        <w:rPr>
          <w:rFonts w:asciiTheme="minorHAnsi" w:hAnsiTheme="minorHAnsi"/>
          <w:sz w:val="20"/>
          <w:szCs w:val="20"/>
          <w:lang w:val="en-US"/>
        </w:rPr>
        <w:t xml:space="preserve">the IACHR </w:t>
      </w:r>
      <w:r w:rsidR="00AF5D2A" w:rsidRPr="007D47AD">
        <w:rPr>
          <w:rFonts w:asciiTheme="minorHAnsi" w:hAnsiTheme="minorHAnsi"/>
          <w:sz w:val="20"/>
          <w:szCs w:val="20"/>
          <w:lang w:val="en-US"/>
        </w:rPr>
        <w:t xml:space="preserve">reiterates the approval of the </w:t>
      </w:r>
      <w:r w:rsidR="006A2AFD" w:rsidRPr="007D47AD">
        <w:rPr>
          <w:rFonts w:asciiTheme="minorHAnsi" w:hAnsiTheme="minorHAnsi"/>
          <w:sz w:val="20"/>
          <w:szCs w:val="20"/>
          <w:lang w:val="en-US"/>
        </w:rPr>
        <w:t>“</w:t>
      </w:r>
      <w:r w:rsidR="00AF5D2A" w:rsidRPr="007D47AD">
        <w:rPr>
          <w:rFonts w:asciiTheme="minorHAnsi" w:hAnsiTheme="minorHAnsi"/>
          <w:sz w:val="20"/>
          <w:szCs w:val="20"/>
          <w:lang w:val="en-US"/>
        </w:rPr>
        <w:t>Guidelines for Recognizing the Work of Human Rights Defenders and Journalists,” which picks up on some recommendations of the IACHR and its Office of the Special Rapporteur for Freedom of Expression. In addition, the Commission salutes the recent presentation of the “Assessment of the Operation of the Mechanism</w:t>
      </w:r>
      <w:r w:rsidR="006A2AFD" w:rsidRPr="007D47AD">
        <w:rPr>
          <w:rFonts w:asciiTheme="minorHAnsi" w:hAnsiTheme="minorHAnsi"/>
          <w:sz w:val="20"/>
          <w:szCs w:val="20"/>
          <w:lang w:val="en-US"/>
        </w:rPr>
        <w:t xml:space="preserve">” </w:t>
      </w:r>
      <w:r w:rsidR="00AF5D2A" w:rsidRPr="007D47AD">
        <w:rPr>
          <w:rFonts w:asciiTheme="minorHAnsi" w:hAnsiTheme="minorHAnsi"/>
          <w:sz w:val="20"/>
          <w:szCs w:val="20"/>
          <w:lang w:val="en-US"/>
        </w:rPr>
        <w:t xml:space="preserve">by the </w:t>
      </w:r>
      <w:r w:rsidR="00F04855" w:rsidRPr="007D47AD">
        <w:rPr>
          <w:rFonts w:asciiTheme="minorHAnsi" w:hAnsiTheme="minorHAnsi"/>
          <w:sz w:val="20"/>
          <w:szCs w:val="20"/>
          <w:lang w:val="en-US"/>
        </w:rPr>
        <w:t xml:space="preserve">OHCHR </w:t>
      </w:r>
      <w:r w:rsidR="00AF5D2A" w:rsidRPr="007D47AD">
        <w:rPr>
          <w:rFonts w:asciiTheme="minorHAnsi" w:hAnsiTheme="minorHAnsi"/>
          <w:sz w:val="20"/>
          <w:szCs w:val="20"/>
          <w:lang w:val="en-US"/>
        </w:rPr>
        <w:t xml:space="preserve">at the request of the Office of the Vice-Minister for Human Rights </w:t>
      </w:r>
      <w:r w:rsidR="00F04855" w:rsidRPr="007D47AD">
        <w:rPr>
          <w:rFonts w:asciiTheme="minorHAnsi" w:hAnsiTheme="minorHAnsi"/>
          <w:sz w:val="20"/>
          <w:szCs w:val="20"/>
          <w:lang w:val="en-US"/>
        </w:rPr>
        <w:t xml:space="preserve">in </w:t>
      </w:r>
      <w:r w:rsidR="00AF5D2A" w:rsidRPr="007D47AD">
        <w:rPr>
          <w:rFonts w:asciiTheme="minorHAnsi" w:hAnsiTheme="minorHAnsi"/>
          <w:sz w:val="20"/>
          <w:szCs w:val="20"/>
          <w:lang w:val="en-US"/>
        </w:rPr>
        <w:t xml:space="preserve">the Ministry of Interior, based on which the State </w:t>
      </w:r>
      <w:r w:rsidR="00F04855" w:rsidRPr="007D47AD">
        <w:rPr>
          <w:rFonts w:asciiTheme="minorHAnsi" w:hAnsiTheme="minorHAnsi"/>
          <w:sz w:val="20"/>
          <w:szCs w:val="20"/>
          <w:lang w:val="en-US"/>
        </w:rPr>
        <w:t xml:space="preserve">asserts </w:t>
      </w:r>
      <w:r w:rsidR="00AF5D2A" w:rsidRPr="007D47AD">
        <w:rPr>
          <w:rFonts w:asciiTheme="minorHAnsi" w:hAnsiTheme="minorHAnsi"/>
          <w:sz w:val="20"/>
          <w:szCs w:val="20"/>
          <w:lang w:val="en-US"/>
        </w:rPr>
        <w:t>that the relevant changes will be made to improve and strengthen the structure of the Mechanism, as well as to protect the beneficiaries.</w:t>
      </w:r>
      <w:r w:rsidR="006A2AFD" w:rsidRPr="007D47AD">
        <w:rPr>
          <w:rStyle w:val="FootnoteReference"/>
          <w:rFonts w:asciiTheme="minorHAnsi" w:hAnsiTheme="minorHAnsi"/>
          <w:sz w:val="20"/>
          <w:szCs w:val="20"/>
          <w:lang w:val="en-US"/>
        </w:rPr>
        <w:footnoteReference w:id="518"/>
      </w:r>
    </w:p>
    <w:p w:rsidR="006A2AFD" w:rsidRPr="007D47AD" w:rsidRDefault="006A2AFD" w:rsidP="006A2AFD">
      <w:pPr>
        <w:shd w:val="clear" w:color="auto" w:fill="FFFFFF"/>
        <w:spacing w:after="0" w:line="240" w:lineRule="auto"/>
        <w:ind w:left="709"/>
        <w:jc w:val="both"/>
        <w:rPr>
          <w:rFonts w:asciiTheme="minorHAnsi" w:hAnsiTheme="minorHAnsi"/>
          <w:sz w:val="20"/>
          <w:szCs w:val="20"/>
          <w:lang w:val="en-US"/>
        </w:rPr>
      </w:pPr>
    </w:p>
    <w:p w:rsidR="005B187E" w:rsidRPr="007D47AD" w:rsidRDefault="00C8712E" w:rsidP="00C8712E">
      <w:pPr>
        <w:numPr>
          <w:ilvl w:val="0"/>
          <w:numId w:val="6"/>
        </w:numPr>
        <w:shd w:val="clear" w:color="auto" w:fill="FFFFFF"/>
        <w:spacing w:after="0" w:line="240" w:lineRule="auto"/>
        <w:ind w:left="0" w:firstLine="709"/>
        <w:jc w:val="both"/>
        <w:rPr>
          <w:rFonts w:asciiTheme="minorHAnsi" w:hAnsiTheme="minorHAnsi"/>
          <w:sz w:val="20"/>
          <w:szCs w:val="20"/>
          <w:lang w:val="en-US"/>
        </w:rPr>
      </w:pPr>
      <w:r w:rsidRPr="007D47AD">
        <w:rPr>
          <w:rFonts w:asciiTheme="minorHAnsi" w:hAnsiTheme="minorHAnsi"/>
          <w:sz w:val="20"/>
          <w:szCs w:val="20"/>
          <w:lang w:val="en-US"/>
        </w:rPr>
        <w:t>Based on the evaluation done, the IACHR understands that this recommendation has met with partial compliance. In this regard, the Commission urges the State to continue making progress on strengthening and implementing its poli</w:t>
      </w:r>
      <w:r w:rsidR="00F04855" w:rsidRPr="007D47AD">
        <w:rPr>
          <w:rFonts w:asciiTheme="minorHAnsi" w:hAnsiTheme="minorHAnsi"/>
          <w:sz w:val="20"/>
          <w:szCs w:val="20"/>
          <w:lang w:val="en-US"/>
        </w:rPr>
        <w:t>cy</w:t>
      </w:r>
      <w:r w:rsidRPr="007D47AD">
        <w:rPr>
          <w:rFonts w:asciiTheme="minorHAnsi" w:hAnsiTheme="minorHAnsi"/>
          <w:sz w:val="20"/>
          <w:szCs w:val="20"/>
          <w:lang w:val="en-US"/>
        </w:rPr>
        <w:t xml:space="preserve"> for protection and prevention in keeping with the recommendations noted. </w:t>
      </w:r>
    </w:p>
    <w:p w:rsidR="005B187E" w:rsidRPr="007D47AD" w:rsidRDefault="005B187E" w:rsidP="00D577F9">
      <w:pPr>
        <w:shd w:val="clear" w:color="auto" w:fill="FFFFFF"/>
        <w:spacing w:after="0" w:line="240" w:lineRule="auto"/>
        <w:jc w:val="both"/>
        <w:rPr>
          <w:rFonts w:asciiTheme="minorHAnsi" w:hAnsiTheme="minorHAnsi"/>
          <w:sz w:val="20"/>
          <w:szCs w:val="20"/>
          <w:lang w:val="en-US"/>
        </w:rPr>
      </w:pPr>
    </w:p>
    <w:p w:rsidR="005B187E" w:rsidRPr="007D47AD" w:rsidRDefault="00C8712E" w:rsidP="00F96E75">
      <w:pPr>
        <w:numPr>
          <w:ilvl w:val="0"/>
          <w:numId w:val="6"/>
        </w:numPr>
        <w:shd w:val="clear" w:color="auto" w:fill="FFFFFF"/>
        <w:spacing w:after="0" w:line="240" w:lineRule="auto"/>
        <w:ind w:left="0" w:firstLine="709"/>
        <w:jc w:val="both"/>
        <w:rPr>
          <w:rFonts w:asciiTheme="minorHAnsi" w:hAnsiTheme="minorHAnsi"/>
          <w:sz w:val="20"/>
          <w:szCs w:val="20"/>
          <w:lang w:val="en-US"/>
        </w:rPr>
      </w:pPr>
      <w:r w:rsidRPr="007D47AD">
        <w:rPr>
          <w:rFonts w:asciiTheme="minorHAnsi" w:hAnsiTheme="minorHAnsi"/>
          <w:sz w:val="20"/>
          <w:szCs w:val="20"/>
          <w:lang w:val="en-US"/>
        </w:rPr>
        <w:t xml:space="preserve">In relation to the recommendation </w:t>
      </w:r>
      <w:r w:rsidR="00E1002E" w:rsidRPr="007D47AD">
        <w:rPr>
          <w:rFonts w:asciiTheme="minorHAnsi" w:hAnsiTheme="minorHAnsi"/>
          <w:sz w:val="20"/>
          <w:szCs w:val="20"/>
          <w:lang w:val="en-US"/>
        </w:rPr>
        <w:t xml:space="preserve">to </w:t>
      </w:r>
      <w:r w:rsidR="009C095D" w:rsidRPr="007D47AD">
        <w:rPr>
          <w:rFonts w:asciiTheme="minorHAnsi" w:hAnsiTheme="minorHAnsi"/>
          <w:b/>
          <w:sz w:val="20"/>
          <w:szCs w:val="20"/>
          <w:lang w:val="en-US"/>
        </w:rPr>
        <w:t>pro</w:t>
      </w:r>
      <w:r w:rsidR="00E1002E" w:rsidRPr="007D47AD">
        <w:rPr>
          <w:rFonts w:asciiTheme="minorHAnsi" w:hAnsiTheme="minorHAnsi"/>
          <w:b/>
          <w:sz w:val="20"/>
          <w:szCs w:val="20"/>
          <w:lang w:val="en-US"/>
        </w:rPr>
        <w:t>vide all political support necessary for the adequate operation of the protection mechanism, which should include all the necessary financial resources so that it may develop its competencies efficiently in relation to protection, and so that it may be sustainable over time</w:t>
      </w:r>
      <w:r w:rsidR="009C095D" w:rsidRPr="007D47AD">
        <w:rPr>
          <w:rFonts w:asciiTheme="minorHAnsi" w:hAnsiTheme="minorHAnsi"/>
          <w:sz w:val="20"/>
          <w:szCs w:val="20"/>
          <w:lang w:val="en-US"/>
        </w:rPr>
        <w:t>,</w:t>
      </w:r>
      <w:r w:rsidR="009C095D" w:rsidRPr="007D47AD">
        <w:rPr>
          <w:rFonts w:asciiTheme="minorHAnsi" w:hAnsiTheme="minorHAnsi"/>
          <w:b/>
          <w:sz w:val="20"/>
          <w:szCs w:val="20"/>
          <w:lang w:val="en-US"/>
        </w:rPr>
        <w:t xml:space="preserve"> </w:t>
      </w:r>
      <w:r w:rsidRPr="007D47AD">
        <w:rPr>
          <w:rFonts w:asciiTheme="minorHAnsi" w:hAnsiTheme="minorHAnsi"/>
          <w:sz w:val="20"/>
          <w:szCs w:val="20"/>
          <w:lang w:val="en-US"/>
        </w:rPr>
        <w:t>the IACHR reiterates what is indicat</w:t>
      </w:r>
      <w:r w:rsidR="00F04855" w:rsidRPr="007D47AD">
        <w:rPr>
          <w:rFonts w:asciiTheme="minorHAnsi" w:hAnsiTheme="minorHAnsi"/>
          <w:sz w:val="20"/>
          <w:szCs w:val="20"/>
          <w:lang w:val="en-US"/>
        </w:rPr>
        <w:t>e</w:t>
      </w:r>
      <w:r w:rsidRPr="007D47AD">
        <w:rPr>
          <w:rFonts w:asciiTheme="minorHAnsi" w:hAnsiTheme="minorHAnsi"/>
          <w:sz w:val="20"/>
          <w:szCs w:val="20"/>
          <w:lang w:val="en-US"/>
        </w:rPr>
        <w:t>d in this report regarding the failure to financ</w:t>
      </w:r>
      <w:r w:rsidR="00E1002E" w:rsidRPr="007D47AD">
        <w:rPr>
          <w:rFonts w:asciiTheme="minorHAnsi" w:hAnsiTheme="minorHAnsi"/>
          <w:sz w:val="20"/>
          <w:szCs w:val="20"/>
          <w:lang w:val="en-US"/>
        </w:rPr>
        <w:t>e</w:t>
      </w:r>
      <w:r w:rsidRPr="007D47AD">
        <w:rPr>
          <w:rFonts w:asciiTheme="minorHAnsi" w:hAnsiTheme="minorHAnsi"/>
          <w:sz w:val="20"/>
          <w:szCs w:val="20"/>
          <w:lang w:val="en-US"/>
        </w:rPr>
        <w:t xml:space="preserve"> the protection mechanism in the section on recommen</w:t>
      </w:r>
      <w:r w:rsidR="00F04855" w:rsidRPr="007D47AD">
        <w:rPr>
          <w:rFonts w:asciiTheme="minorHAnsi" w:hAnsiTheme="minorHAnsi"/>
          <w:sz w:val="20"/>
          <w:szCs w:val="20"/>
          <w:lang w:val="en-US"/>
        </w:rPr>
        <w:t>d</w:t>
      </w:r>
      <w:r w:rsidRPr="007D47AD">
        <w:rPr>
          <w:rFonts w:asciiTheme="minorHAnsi" w:hAnsiTheme="minorHAnsi"/>
          <w:sz w:val="20"/>
          <w:szCs w:val="20"/>
          <w:lang w:val="en-US"/>
        </w:rPr>
        <w:t xml:space="preserve">ations in relation to human rights defenders. Taking into consideration the budget crisis of the Prevention Mechanism and its implications for deploying effective protection, the IACHR reiterates that this recommendation </w:t>
      </w:r>
      <w:r w:rsidR="00F04855" w:rsidRPr="007D47AD">
        <w:rPr>
          <w:rFonts w:asciiTheme="minorHAnsi" w:hAnsiTheme="minorHAnsi"/>
          <w:sz w:val="20"/>
          <w:szCs w:val="20"/>
          <w:lang w:val="en-US"/>
        </w:rPr>
        <w:t xml:space="preserve">is still considered as </w:t>
      </w:r>
      <w:r w:rsidRPr="007D47AD">
        <w:rPr>
          <w:rFonts w:asciiTheme="minorHAnsi" w:hAnsiTheme="minorHAnsi"/>
          <w:sz w:val="20"/>
          <w:szCs w:val="20"/>
          <w:lang w:val="en-US"/>
        </w:rPr>
        <w:t>having met with partial compliance</w:t>
      </w:r>
      <w:r w:rsidR="008170F0" w:rsidRPr="007D47AD">
        <w:rPr>
          <w:rFonts w:asciiTheme="minorHAnsi" w:hAnsiTheme="minorHAnsi"/>
          <w:sz w:val="20"/>
          <w:szCs w:val="20"/>
          <w:lang w:val="en-US"/>
        </w:rPr>
        <w:t xml:space="preserve">. </w:t>
      </w:r>
    </w:p>
    <w:p w:rsidR="008170F0" w:rsidRPr="007D47AD" w:rsidRDefault="008170F0" w:rsidP="00D577F9">
      <w:pPr>
        <w:shd w:val="clear" w:color="auto" w:fill="FFFFFF"/>
        <w:spacing w:after="0" w:line="240" w:lineRule="auto"/>
        <w:jc w:val="both"/>
        <w:rPr>
          <w:rFonts w:asciiTheme="minorHAnsi" w:hAnsiTheme="minorHAnsi"/>
          <w:sz w:val="20"/>
          <w:szCs w:val="20"/>
          <w:lang w:val="en-US"/>
        </w:rPr>
      </w:pPr>
    </w:p>
    <w:p w:rsidR="008170F0" w:rsidRPr="007D47AD" w:rsidRDefault="00C8712E" w:rsidP="00D577F9">
      <w:pPr>
        <w:numPr>
          <w:ilvl w:val="0"/>
          <w:numId w:val="6"/>
        </w:numPr>
        <w:shd w:val="clear" w:color="auto" w:fill="FFFFFF"/>
        <w:spacing w:after="0" w:line="240" w:lineRule="auto"/>
        <w:ind w:left="0" w:firstLine="709"/>
        <w:jc w:val="both"/>
        <w:rPr>
          <w:rFonts w:asciiTheme="minorHAnsi" w:hAnsiTheme="minorHAnsi"/>
          <w:sz w:val="20"/>
          <w:szCs w:val="20"/>
          <w:lang w:val="en-US"/>
        </w:rPr>
      </w:pPr>
      <w:r w:rsidRPr="007D47AD">
        <w:rPr>
          <w:rFonts w:asciiTheme="minorHAnsi" w:hAnsiTheme="minorHAnsi"/>
          <w:sz w:val="20"/>
          <w:szCs w:val="20"/>
          <w:lang w:val="en-US"/>
        </w:rPr>
        <w:t xml:space="preserve">With respect to the recommendation </w:t>
      </w:r>
      <w:r w:rsidR="00E1002E" w:rsidRPr="007D47AD">
        <w:rPr>
          <w:rFonts w:asciiTheme="minorHAnsi" w:hAnsiTheme="minorHAnsi"/>
          <w:sz w:val="20"/>
          <w:szCs w:val="20"/>
          <w:lang w:val="en-US"/>
        </w:rPr>
        <w:t xml:space="preserve">to </w:t>
      </w:r>
      <w:r w:rsidR="008170F0" w:rsidRPr="007D47AD">
        <w:rPr>
          <w:rFonts w:asciiTheme="minorHAnsi" w:hAnsiTheme="minorHAnsi"/>
          <w:b/>
          <w:sz w:val="20"/>
          <w:szCs w:val="20"/>
          <w:lang w:val="en-US"/>
        </w:rPr>
        <w:t>adopt</w:t>
      </w:r>
      <w:r w:rsidR="00E1002E" w:rsidRPr="007D47AD">
        <w:rPr>
          <w:rFonts w:asciiTheme="minorHAnsi" w:hAnsiTheme="minorHAnsi"/>
          <w:b/>
          <w:sz w:val="20"/>
          <w:szCs w:val="20"/>
          <w:lang w:val="en-US"/>
        </w:rPr>
        <w:t xml:space="preserve"> all necessary measures and assign and train all necessary personnel for its adequate operation</w:t>
      </w:r>
      <w:r w:rsidR="008170F0" w:rsidRPr="007D47AD">
        <w:rPr>
          <w:rFonts w:asciiTheme="minorHAnsi" w:hAnsiTheme="minorHAnsi"/>
          <w:sz w:val="20"/>
          <w:szCs w:val="20"/>
          <w:lang w:val="en-US"/>
        </w:rPr>
        <w:t xml:space="preserve">, </w:t>
      </w:r>
      <w:r w:rsidRPr="007D47AD">
        <w:rPr>
          <w:rFonts w:asciiTheme="minorHAnsi" w:hAnsiTheme="minorHAnsi"/>
          <w:sz w:val="20"/>
          <w:szCs w:val="20"/>
          <w:lang w:val="en-US"/>
        </w:rPr>
        <w:t xml:space="preserve">the IACHR learned that in </w:t>
      </w:r>
      <w:r w:rsidR="008170F0" w:rsidRPr="007D47AD">
        <w:rPr>
          <w:rFonts w:asciiTheme="minorHAnsi" w:hAnsiTheme="minorHAnsi"/>
          <w:sz w:val="20"/>
          <w:szCs w:val="20"/>
          <w:lang w:val="en-US"/>
        </w:rPr>
        <w:t xml:space="preserve">2019 </w:t>
      </w:r>
      <w:r w:rsidRPr="007D47AD">
        <w:rPr>
          <w:rFonts w:asciiTheme="minorHAnsi" w:hAnsiTheme="minorHAnsi"/>
          <w:sz w:val="20"/>
          <w:szCs w:val="20"/>
          <w:lang w:val="en-US"/>
        </w:rPr>
        <w:t xml:space="preserve">the Federal Protection Service (SPF: </w:t>
      </w:r>
      <w:r w:rsidR="008170F0" w:rsidRPr="007D47AD">
        <w:rPr>
          <w:rFonts w:asciiTheme="minorHAnsi" w:hAnsiTheme="minorHAnsi"/>
          <w:sz w:val="20"/>
          <w:szCs w:val="20"/>
          <w:lang w:val="en-US"/>
        </w:rPr>
        <w:t>Servicio de Protección Federal),</w:t>
      </w:r>
      <w:r w:rsidR="008170F0" w:rsidRPr="007D47AD">
        <w:rPr>
          <w:rStyle w:val="Strong"/>
          <w:rFonts w:asciiTheme="minorHAnsi" w:hAnsiTheme="minorHAnsi"/>
          <w:color w:val="2C2C2B"/>
          <w:sz w:val="20"/>
          <w:szCs w:val="20"/>
          <w:shd w:val="clear" w:color="auto" w:fill="FFFFFF"/>
          <w:lang w:val="en-US"/>
        </w:rPr>
        <w:t> </w:t>
      </w:r>
      <w:r w:rsidRPr="007D47AD">
        <w:rPr>
          <w:rStyle w:val="Strong"/>
          <w:rFonts w:asciiTheme="minorHAnsi" w:hAnsiTheme="minorHAnsi"/>
          <w:b w:val="0"/>
          <w:color w:val="2C2C2B"/>
          <w:sz w:val="20"/>
          <w:szCs w:val="20"/>
          <w:shd w:val="clear" w:color="auto" w:fill="FFFFFF"/>
          <w:lang w:val="en-US"/>
        </w:rPr>
        <w:t xml:space="preserve">through its ongoing programs for professionalization, trained some of the security agents responsible for ensuring the protection of human rights defenders and journalists, so as to strengthen their capacities to study the surroundings of protected persons, physical, </w:t>
      </w:r>
      <w:r w:rsidRPr="007D47AD">
        <w:rPr>
          <w:rFonts w:asciiTheme="minorHAnsi" w:hAnsiTheme="minorHAnsi"/>
          <w:sz w:val="20"/>
          <w:szCs w:val="20"/>
          <w:lang w:val="en-US"/>
        </w:rPr>
        <w:t xml:space="preserve">social, and </w:t>
      </w:r>
      <w:r w:rsidR="008170F0" w:rsidRPr="007D47AD">
        <w:rPr>
          <w:rFonts w:asciiTheme="minorHAnsi" w:hAnsiTheme="minorHAnsi"/>
          <w:sz w:val="20"/>
          <w:szCs w:val="20"/>
          <w:lang w:val="en-US"/>
        </w:rPr>
        <w:t xml:space="preserve">digital; </w:t>
      </w:r>
      <w:r w:rsidRPr="007D47AD">
        <w:rPr>
          <w:rFonts w:asciiTheme="minorHAnsi" w:hAnsiTheme="minorHAnsi"/>
          <w:sz w:val="20"/>
          <w:szCs w:val="20"/>
          <w:lang w:val="en-US"/>
        </w:rPr>
        <w:t>as well as their exposure to situations of risk.</w:t>
      </w:r>
      <w:r w:rsidR="008170F0" w:rsidRPr="007D47AD">
        <w:rPr>
          <w:rStyle w:val="FootnoteReference"/>
          <w:rFonts w:asciiTheme="minorHAnsi" w:hAnsiTheme="minorHAnsi"/>
          <w:sz w:val="20"/>
          <w:szCs w:val="20"/>
          <w:lang w:val="en-US"/>
        </w:rPr>
        <w:footnoteReference w:id="519"/>
      </w:r>
      <w:r w:rsidR="008170F0" w:rsidRPr="007D47AD">
        <w:rPr>
          <w:rFonts w:asciiTheme="minorHAnsi" w:hAnsiTheme="minorHAnsi"/>
          <w:sz w:val="20"/>
          <w:szCs w:val="20"/>
          <w:lang w:val="en-US"/>
        </w:rPr>
        <w:t xml:space="preserve"> </w:t>
      </w:r>
      <w:r w:rsidRPr="007D47AD">
        <w:rPr>
          <w:rFonts w:asciiTheme="minorHAnsi" w:hAnsiTheme="minorHAnsi"/>
          <w:sz w:val="20"/>
          <w:szCs w:val="20"/>
          <w:lang w:val="en-US"/>
        </w:rPr>
        <w:t>Nonetheless, during the same year the IACHR has received information on the lack of programs and training manuals for public officials who operate within the mechanism and the members of the Governing Board.</w:t>
      </w:r>
      <w:r w:rsidR="008170F0" w:rsidRPr="007D47AD">
        <w:rPr>
          <w:rStyle w:val="FootnoteReference"/>
          <w:rFonts w:asciiTheme="minorHAnsi" w:hAnsiTheme="minorHAnsi"/>
          <w:sz w:val="20"/>
          <w:szCs w:val="20"/>
          <w:lang w:val="en-US"/>
        </w:rPr>
        <w:footnoteReference w:id="520"/>
      </w:r>
      <w:r w:rsidRPr="007D47AD">
        <w:rPr>
          <w:rFonts w:asciiTheme="minorHAnsi" w:hAnsiTheme="minorHAnsi"/>
          <w:sz w:val="20"/>
          <w:szCs w:val="20"/>
          <w:lang w:val="en-US"/>
        </w:rPr>
        <w:t xml:space="preserve"> </w:t>
      </w:r>
    </w:p>
    <w:p w:rsidR="00F06DD4" w:rsidRPr="007D47AD" w:rsidRDefault="00F06DD4" w:rsidP="00F06DD4">
      <w:pPr>
        <w:shd w:val="clear" w:color="auto" w:fill="FFFFFF"/>
        <w:spacing w:after="0" w:line="240" w:lineRule="auto"/>
        <w:ind w:left="709"/>
        <w:jc w:val="both"/>
        <w:rPr>
          <w:rFonts w:asciiTheme="minorHAnsi" w:hAnsiTheme="minorHAnsi"/>
          <w:sz w:val="20"/>
          <w:szCs w:val="20"/>
          <w:lang w:val="en-US"/>
        </w:rPr>
      </w:pPr>
    </w:p>
    <w:p w:rsidR="00F06DD4" w:rsidRPr="007D47AD" w:rsidRDefault="001B1725" w:rsidP="00F06DD4">
      <w:pPr>
        <w:numPr>
          <w:ilvl w:val="0"/>
          <w:numId w:val="6"/>
        </w:numPr>
        <w:shd w:val="clear" w:color="auto" w:fill="FFFFFF"/>
        <w:spacing w:after="0" w:line="240" w:lineRule="auto"/>
        <w:ind w:left="0" w:firstLine="709"/>
        <w:jc w:val="both"/>
        <w:rPr>
          <w:rFonts w:asciiTheme="minorHAnsi" w:hAnsiTheme="minorHAnsi"/>
          <w:sz w:val="20"/>
          <w:szCs w:val="20"/>
          <w:lang w:val="en-US"/>
        </w:rPr>
      </w:pPr>
      <w:r w:rsidRPr="007D47AD">
        <w:rPr>
          <w:rFonts w:asciiTheme="minorHAnsi" w:hAnsiTheme="minorHAnsi"/>
          <w:sz w:val="20"/>
          <w:szCs w:val="20"/>
          <w:lang w:val="en-US"/>
        </w:rPr>
        <w:t>I</w:t>
      </w:r>
      <w:r w:rsidR="00F06DD4" w:rsidRPr="007D47AD">
        <w:rPr>
          <w:rFonts w:asciiTheme="minorHAnsi" w:hAnsiTheme="minorHAnsi"/>
          <w:sz w:val="20"/>
          <w:szCs w:val="20"/>
          <w:lang w:val="en-US"/>
        </w:rPr>
        <w:t xml:space="preserve">n </w:t>
      </w:r>
      <w:r w:rsidRPr="007D47AD">
        <w:rPr>
          <w:rFonts w:asciiTheme="minorHAnsi" w:hAnsiTheme="minorHAnsi"/>
          <w:sz w:val="20"/>
          <w:szCs w:val="20"/>
          <w:lang w:val="en-US"/>
        </w:rPr>
        <w:t xml:space="preserve">its observations on the draft of this report the State noted that the </w:t>
      </w:r>
      <w:r w:rsidR="000A7993" w:rsidRPr="007D47AD">
        <w:rPr>
          <w:rFonts w:asciiTheme="minorHAnsi" w:hAnsiTheme="minorHAnsi"/>
          <w:sz w:val="20"/>
          <w:szCs w:val="20"/>
          <w:lang w:val="en-US"/>
        </w:rPr>
        <w:t xml:space="preserve">Mechanism’s </w:t>
      </w:r>
      <w:r w:rsidRPr="007D47AD">
        <w:rPr>
          <w:rFonts w:asciiTheme="minorHAnsi" w:hAnsiTheme="minorHAnsi"/>
          <w:sz w:val="20"/>
          <w:szCs w:val="20"/>
          <w:lang w:val="en-US"/>
        </w:rPr>
        <w:t>personnel received several trainings on human rights</w:t>
      </w:r>
      <w:r w:rsidR="00F06DD4" w:rsidRPr="007D47AD">
        <w:rPr>
          <w:rFonts w:asciiTheme="minorHAnsi" w:hAnsiTheme="minorHAnsi"/>
          <w:sz w:val="20"/>
          <w:szCs w:val="20"/>
          <w:lang w:val="en-US"/>
        </w:rPr>
        <w:t xml:space="preserve">. </w:t>
      </w:r>
      <w:r w:rsidRPr="007D47AD">
        <w:rPr>
          <w:rFonts w:asciiTheme="minorHAnsi" w:hAnsiTheme="minorHAnsi"/>
          <w:sz w:val="20"/>
          <w:szCs w:val="20"/>
          <w:lang w:val="en-US"/>
        </w:rPr>
        <w:t xml:space="preserve">Moreover, it said that from August 5 to 9, </w:t>
      </w:r>
      <w:r w:rsidR="00F06DD4" w:rsidRPr="007D47AD">
        <w:rPr>
          <w:rFonts w:asciiTheme="minorHAnsi" w:hAnsiTheme="minorHAnsi"/>
          <w:sz w:val="20"/>
          <w:szCs w:val="20"/>
          <w:lang w:val="en-US"/>
        </w:rPr>
        <w:t xml:space="preserve">2019 </w:t>
      </w:r>
      <w:r w:rsidRPr="007D47AD">
        <w:rPr>
          <w:rFonts w:asciiTheme="minorHAnsi" w:hAnsiTheme="minorHAnsi"/>
          <w:sz w:val="20"/>
          <w:szCs w:val="20"/>
          <w:lang w:val="en-US"/>
        </w:rPr>
        <w:t xml:space="preserve">an intensive training was conducted for personnel of the Mechanism on applying risk analysis methodologies with </w:t>
      </w:r>
      <w:r w:rsidR="000A7993" w:rsidRPr="007D47AD">
        <w:rPr>
          <w:rFonts w:asciiTheme="minorHAnsi" w:hAnsiTheme="minorHAnsi"/>
          <w:sz w:val="20"/>
          <w:szCs w:val="20"/>
          <w:lang w:val="en-US"/>
        </w:rPr>
        <w:t>a</w:t>
      </w:r>
      <w:r w:rsidRPr="007D47AD">
        <w:rPr>
          <w:rFonts w:asciiTheme="minorHAnsi" w:hAnsiTheme="minorHAnsi"/>
          <w:sz w:val="20"/>
          <w:szCs w:val="20"/>
          <w:lang w:val="en-US"/>
        </w:rPr>
        <w:t xml:space="preserve"> gender perspective, and on designing comprehensive protection plans with a differential approach.</w:t>
      </w:r>
      <w:r w:rsidR="00F06DD4" w:rsidRPr="007D47AD">
        <w:rPr>
          <w:rStyle w:val="FootnoteReference"/>
          <w:rFonts w:asciiTheme="minorHAnsi" w:hAnsiTheme="minorHAnsi"/>
          <w:sz w:val="20"/>
          <w:szCs w:val="20"/>
          <w:lang w:val="en-US"/>
        </w:rPr>
        <w:footnoteReference w:id="521"/>
      </w:r>
    </w:p>
    <w:p w:rsidR="008170F0" w:rsidRPr="007D47AD" w:rsidRDefault="008170F0" w:rsidP="00D577F9">
      <w:pPr>
        <w:shd w:val="clear" w:color="auto" w:fill="FFFFFF"/>
        <w:spacing w:after="0" w:line="240" w:lineRule="auto"/>
        <w:ind w:left="709"/>
        <w:jc w:val="both"/>
        <w:rPr>
          <w:rFonts w:asciiTheme="minorHAnsi" w:hAnsiTheme="minorHAnsi"/>
          <w:sz w:val="20"/>
          <w:szCs w:val="20"/>
          <w:lang w:val="en-US"/>
        </w:rPr>
      </w:pPr>
    </w:p>
    <w:p w:rsidR="008170F0" w:rsidRPr="007D47AD" w:rsidRDefault="00C8712E" w:rsidP="00D577F9">
      <w:pPr>
        <w:numPr>
          <w:ilvl w:val="0"/>
          <w:numId w:val="6"/>
        </w:numPr>
        <w:shd w:val="clear" w:color="auto" w:fill="FFFFFF"/>
        <w:spacing w:after="0" w:line="240" w:lineRule="auto"/>
        <w:ind w:left="0" w:firstLine="709"/>
        <w:jc w:val="both"/>
        <w:rPr>
          <w:rFonts w:asciiTheme="minorHAnsi" w:hAnsiTheme="minorHAnsi"/>
          <w:sz w:val="20"/>
          <w:szCs w:val="20"/>
          <w:lang w:val="en-US"/>
        </w:rPr>
      </w:pPr>
      <w:r w:rsidRPr="007D47AD">
        <w:rPr>
          <w:rFonts w:asciiTheme="minorHAnsi" w:hAnsiTheme="minorHAnsi"/>
          <w:sz w:val="20"/>
          <w:szCs w:val="20"/>
          <w:lang w:val="en-US"/>
        </w:rPr>
        <w:t xml:space="preserve">In these terms, and taking into consideration that the State did not submit additional information with </w:t>
      </w:r>
      <w:r w:rsidR="00F96E75" w:rsidRPr="007D47AD">
        <w:rPr>
          <w:rFonts w:asciiTheme="minorHAnsi" w:hAnsiTheme="minorHAnsi"/>
          <w:sz w:val="20"/>
          <w:szCs w:val="20"/>
          <w:lang w:val="en-US"/>
        </w:rPr>
        <w:t>resp</w:t>
      </w:r>
      <w:r w:rsidR="008170F0" w:rsidRPr="007D47AD">
        <w:rPr>
          <w:rFonts w:asciiTheme="minorHAnsi" w:hAnsiTheme="minorHAnsi"/>
          <w:sz w:val="20"/>
          <w:szCs w:val="20"/>
          <w:lang w:val="en-US"/>
        </w:rPr>
        <w:t>e</w:t>
      </w:r>
      <w:r w:rsidR="00F96E75" w:rsidRPr="007D47AD">
        <w:rPr>
          <w:rFonts w:asciiTheme="minorHAnsi" w:hAnsiTheme="minorHAnsi"/>
          <w:sz w:val="20"/>
          <w:szCs w:val="20"/>
          <w:lang w:val="en-US"/>
        </w:rPr>
        <w:t>c</w:t>
      </w:r>
      <w:r w:rsidR="008170F0" w:rsidRPr="007D47AD">
        <w:rPr>
          <w:rFonts w:asciiTheme="minorHAnsi" w:hAnsiTheme="minorHAnsi"/>
          <w:sz w:val="20"/>
          <w:szCs w:val="20"/>
          <w:lang w:val="en-US"/>
        </w:rPr>
        <w:t>t</w:t>
      </w:r>
      <w:r w:rsidR="00F04855" w:rsidRPr="007D47AD">
        <w:rPr>
          <w:rFonts w:asciiTheme="minorHAnsi" w:hAnsiTheme="minorHAnsi"/>
          <w:sz w:val="20"/>
          <w:szCs w:val="20"/>
          <w:lang w:val="en-US"/>
        </w:rPr>
        <w:t xml:space="preserve"> to </w:t>
      </w:r>
      <w:r w:rsidR="008170F0" w:rsidRPr="007D47AD">
        <w:rPr>
          <w:rFonts w:asciiTheme="minorHAnsi" w:hAnsiTheme="minorHAnsi"/>
          <w:sz w:val="20"/>
          <w:szCs w:val="20"/>
          <w:lang w:val="en-US"/>
        </w:rPr>
        <w:t>2019,</w:t>
      </w:r>
      <w:r w:rsidR="00A8674E" w:rsidRPr="007D47AD">
        <w:rPr>
          <w:rFonts w:asciiTheme="minorHAnsi" w:hAnsiTheme="minorHAnsi"/>
          <w:sz w:val="20"/>
          <w:szCs w:val="20"/>
          <w:lang w:val="en-US"/>
        </w:rPr>
        <w:t xml:space="preserve"> </w:t>
      </w:r>
      <w:r w:rsidRPr="007D47AD">
        <w:rPr>
          <w:rFonts w:asciiTheme="minorHAnsi" w:hAnsiTheme="minorHAnsi"/>
          <w:sz w:val="20"/>
          <w:szCs w:val="20"/>
          <w:lang w:val="en-US"/>
        </w:rPr>
        <w:t xml:space="preserve">the IACHR </w:t>
      </w:r>
      <w:r w:rsidR="00F031B1" w:rsidRPr="007D47AD">
        <w:rPr>
          <w:rFonts w:asciiTheme="minorHAnsi" w:hAnsiTheme="minorHAnsi"/>
          <w:sz w:val="20"/>
          <w:szCs w:val="20"/>
          <w:lang w:val="en-US"/>
        </w:rPr>
        <w:t xml:space="preserve">considers </w:t>
      </w:r>
      <w:r w:rsidRPr="007D47AD">
        <w:rPr>
          <w:rFonts w:asciiTheme="minorHAnsi" w:hAnsiTheme="minorHAnsi"/>
          <w:sz w:val="20"/>
          <w:szCs w:val="20"/>
          <w:lang w:val="en-US"/>
        </w:rPr>
        <w:t xml:space="preserve">that this recommendation </w:t>
      </w:r>
      <w:r w:rsidR="00F031B1" w:rsidRPr="007D47AD">
        <w:rPr>
          <w:rFonts w:asciiTheme="minorHAnsi" w:hAnsiTheme="minorHAnsi"/>
          <w:sz w:val="20"/>
          <w:szCs w:val="20"/>
          <w:lang w:val="en-US"/>
        </w:rPr>
        <w:t xml:space="preserve">continues to be pending in the understanding that the new legal and protocolary tools should be </w:t>
      </w:r>
      <w:r w:rsidR="00F04855" w:rsidRPr="007D47AD">
        <w:rPr>
          <w:rFonts w:asciiTheme="minorHAnsi" w:hAnsiTheme="minorHAnsi"/>
          <w:sz w:val="20"/>
          <w:szCs w:val="20"/>
          <w:lang w:val="en-US"/>
        </w:rPr>
        <w:t xml:space="preserve">introduced </w:t>
      </w:r>
      <w:r w:rsidR="00F031B1" w:rsidRPr="007D47AD">
        <w:rPr>
          <w:rFonts w:asciiTheme="minorHAnsi" w:hAnsiTheme="minorHAnsi"/>
          <w:sz w:val="20"/>
          <w:szCs w:val="20"/>
          <w:lang w:val="en-US"/>
        </w:rPr>
        <w:t>in the competent institutions and geared to the public servants in cha</w:t>
      </w:r>
      <w:r w:rsidR="00F04855" w:rsidRPr="007D47AD">
        <w:rPr>
          <w:rFonts w:asciiTheme="minorHAnsi" w:hAnsiTheme="minorHAnsi"/>
          <w:sz w:val="20"/>
          <w:szCs w:val="20"/>
          <w:lang w:val="en-US"/>
        </w:rPr>
        <w:t>r</w:t>
      </w:r>
      <w:r w:rsidR="00F031B1" w:rsidRPr="007D47AD">
        <w:rPr>
          <w:rFonts w:asciiTheme="minorHAnsi" w:hAnsiTheme="minorHAnsi"/>
          <w:sz w:val="20"/>
          <w:szCs w:val="20"/>
          <w:lang w:val="en-US"/>
        </w:rPr>
        <w:t xml:space="preserve">ge of carrying out the corresponding procedures and protocols. </w:t>
      </w:r>
      <w:r w:rsidR="00F031B1" w:rsidRPr="007D47AD">
        <w:rPr>
          <w:rFonts w:asciiTheme="minorHAnsi" w:eastAsia="Times New Roman" w:hAnsiTheme="minorHAnsi"/>
          <w:sz w:val="20"/>
          <w:szCs w:val="20"/>
          <w:lang w:val="en-US" w:eastAsia="es-ES_tradnl"/>
        </w:rPr>
        <w:t>In this regard, it urges the State to take necessary measures to assure the constant and progr</w:t>
      </w:r>
      <w:r w:rsidR="00F04855" w:rsidRPr="007D47AD">
        <w:rPr>
          <w:rFonts w:asciiTheme="minorHAnsi" w:eastAsia="Times New Roman" w:hAnsiTheme="minorHAnsi"/>
          <w:sz w:val="20"/>
          <w:szCs w:val="20"/>
          <w:lang w:val="en-US" w:eastAsia="es-ES_tradnl"/>
        </w:rPr>
        <w:t>e</w:t>
      </w:r>
      <w:r w:rsidR="00F031B1" w:rsidRPr="007D47AD">
        <w:rPr>
          <w:rFonts w:asciiTheme="minorHAnsi" w:eastAsia="Times New Roman" w:hAnsiTheme="minorHAnsi"/>
          <w:sz w:val="20"/>
          <w:szCs w:val="20"/>
          <w:lang w:val="en-US" w:eastAsia="es-ES_tradnl"/>
        </w:rPr>
        <w:t xml:space="preserve">ssive training of all the personnel in charge of implementing the measures of protection. </w:t>
      </w:r>
    </w:p>
    <w:p w:rsidR="008170F0" w:rsidRPr="007D47AD" w:rsidRDefault="008170F0" w:rsidP="008170F0">
      <w:pPr>
        <w:pStyle w:val="ListParagraph"/>
        <w:rPr>
          <w:rFonts w:asciiTheme="minorHAnsi" w:hAnsiTheme="minorHAnsi"/>
          <w:sz w:val="20"/>
          <w:szCs w:val="20"/>
          <w:lang w:val="en-US"/>
        </w:rPr>
      </w:pPr>
    </w:p>
    <w:p w:rsidR="00F06DD4" w:rsidRPr="007D47AD" w:rsidRDefault="00F6020D" w:rsidP="00F06DD4">
      <w:pPr>
        <w:numPr>
          <w:ilvl w:val="0"/>
          <w:numId w:val="6"/>
        </w:numPr>
        <w:shd w:val="clear" w:color="auto" w:fill="FFFFFF"/>
        <w:spacing w:after="0" w:line="240" w:lineRule="auto"/>
        <w:ind w:left="0" w:firstLine="709"/>
        <w:jc w:val="both"/>
        <w:rPr>
          <w:rFonts w:asciiTheme="minorHAnsi" w:hAnsiTheme="minorHAnsi"/>
          <w:sz w:val="20"/>
          <w:szCs w:val="20"/>
          <w:lang w:val="en-US"/>
        </w:rPr>
      </w:pPr>
      <w:r w:rsidRPr="007D47AD">
        <w:rPr>
          <w:rFonts w:asciiTheme="minorHAnsi" w:hAnsiTheme="minorHAnsi"/>
          <w:sz w:val="20"/>
          <w:szCs w:val="20"/>
          <w:lang w:val="en-US"/>
        </w:rPr>
        <w:t xml:space="preserve">As regards the recommendation </w:t>
      </w:r>
      <w:r w:rsidR="00E1002E" w:rsidRPr="007D47AD">
        <w:rPr>
          <w:rFonts w:asciiTheme="minorHAnsi" w:hAnsiTheme="minorHAnsi"/>
          <w:b/>
          <w:sz w:val="20"/>
          <w:szCs w:val="20"/>
          <w:lang w:val="en-US"/>
        </w:rPr>
        <w:t>to guarantee that risk assessments and the implementation of prevention and protection measures are done adequately and addressing the urgency of the situation</w:t>
      </w:r>
      <w:r w:rsidR="00F04855" w:rsidRPr="007D47AD">
        <w:rPr>
          <w:rFonts w:asciiTheme="minorHAnsi" w:hAnsiTheme="minorHAnsi"/>
          <w:b/>
          <w:sz w:val="20"/>
          <w:szCs w:val="20"/>
          <w:lang w:val="en-US"/>
        </w:rPr>
        <w:t>;</w:t>
      </w:r>
      <w:r w:rsidR="00E1002E" w:rsidRPr="007D47AD">
        <w:rPr>
          <w:rFonts w:asciiTheme="minorHAnsi" w:hAnsiTheme="minorHAnsi"/>
          <w:b/>
          <w:sz w:val="20"/>
          <w:szCs w:val="20"/>
          <w:lang w:val="en-US"/>
        </w:rPr>
        <w:t xml:space="preserve"> </w:t>
      </w:r>
      <w:r w:rsidR="00F04855" w:rsidRPr="007D47AD">
        <w:rPr>
          <w:rFonts w:asciiTheme="minorHAnsi" w:hAnsiTheme="minorHAnsi"/>
          <w:b/>
          <w:sz w:val="20"/>
          <w:szCs w:val="20"/>
          <w:lang w:val="en-US"/>
        </w:rPr>
        <w:t>t</w:t>
      </w:r>
      <w:r w:rsidR="00E1002E" w:rsidRPr="007D47AD">
        <w:rPr>
          <w:rFonts w:asciiTheme="minorHAnsi" w:hAnsiTheme="minorHAnsi"/>
          <w:b/>
          <w:sz w:val="20"/>
          <w:szCs w:val="20"/>
          <w:lang w:val="en-US"/>
        </w:rPr>
        <w:t xml:space="preserve">herefore, assign protection and review schemes regarding the adequacy of the risk evaluation processes, </w:t>
      </w:r>
      <w:r w:rsidR="00F04855" w:rsidRPr="007D47AD">
        <w:rPr>
          <w:rFonts w:asciiTheme="minorHAnsi" w:hAnsiTheme="minorHAnsi"/>
          <w:b/>
          <w:sz w:val="20"/>
          <w:szCs w:val="20"/>
          <w:lang w:val="en-US"/>
        </w:rPr>
        <w:t xml:space="preserve">and </w:t>
      </w:r>
      <w:r w:rsidR="00E1002E" w:rsidRPr="007D47AD">
        <w:rPr>
          <w:rFonts w:asciiTheme="minorHAnsi" w:hAnsiTheme="minorHAnsi"/>
          <w:b/>
          <w:sz w:val="20"/>
          <w:szCs w:val="20"/>
          <w:lang w:val="en-US"/>
        </w:rPr>
        <w:t>guarantee adequate participation, communication and consensus-building with the persons protected by the mechanism, as well as the beneficiaries of precautionary measures requested by the IACHR</w:t>
      </w:r>
      <w:r w:rsidR="008170F0" w:rsidRPr="007D47AD">
        <w:rPr>
          <w:rFonts w:asciiTheme="minorHAnsi" w:hAnsiTheme="minorHAnsi"/>
          <w:sz w:val="20"/>
          <w:szCs w:val="20"/>
          <w:lang w:val="en-US"/>
        </w:rPr>
        <w:t xml:space="preserve">, </w:t>
      </w:r>
      <w:r w:rsidRPr="007D47AD">
        <w:rPr>
          <w:rFonts w:asciiTheme="minorHAnsi" w:hAnsiTheme="minorHAnsi"/>
          <w:sz w:val="20"/>
          <w:szCs w:val="20"/>
          <w:lang w:val="en-US"/>
        </w:rPr>
        <w:t xml:space="preserve">the State once again informed the IACHR that </w:t>
      </w:r>
      <w:r w:rsidR="008170F0" w:rsidRPr="007D47AD">
        <w:rPr>
          <w:rFonts w:asciiTheme="minorHAnsi" w:hAnsiTheme="minorHAnsi"/>
          <w:sz w:val="20"/>
          <w:szCs w:val="20"/>
          <w:lang w:val="en-US"/>
        </w:rPr>
        <w:t>“</w:t>
      </w:r>
      <w:r w:rsidRPr="007D47AD">
        <w:rPr>
          <w:rFonts w:asciiTheme="minorHAnsi" w:hAnsiTheme="minorHAnsi"/>
          <w:sz w:val="20"/>
          <w:szCs w:val="20"/>
          <w:lang w:val="en-US"/>
        </w:rPr>
        <w:t>within the Mechanism a methodology was developed to evaluate the implementation of measures of pro</w:t>
      </w:r>
      <w:r w:rsidR="00F04855" w:rsidRPr="007D47AD">
        <w:rPr>
          <w:rFonts w:asciiTheme="minorHAnsi" w:hAnsiTheme="minorHAnsi"/>
          <w:sz w:val="20"/>
          <w:szCs w:val="20"/>
          <w:lang w:val="en-US"/>
        </w:rPr>
        <w:t>t</w:t>
      </w:r>
      <w:r w:rsidRPr="007D47AD">
        <w:rPr>
          <w:rFonts w:asciiTheme="minorHAnsi" w:hAnsiTheme="minorHAnsi"/>
          <w:sz w:val="20"/>
          <w:szCs w:val="20"/>
          <w:lang w:val="en-US"/>
        </w:rPr>
        <w:t>ection in which the beneficiaries are to be consulted, and</w:t>
      </w:r>
      <w:r w:rsidR="00820BDB" w:rsidRPr="007D47AD">
        <w:rPr>
          <w:rFonts w:asciiTheme="minorHAnsi" w:hAnsiTheme="minorHAnsi"/>
          <w:sz w:val="20"/>
          <w:szCs w:val="20"/>
          <w:lang w:val="en-US"/>
        </w:rPr>
        <w:t xml:space="preserve"> to</w:t>
      </w:r>
      <w:r w:rsidRPr="007D47AD">
        <w:rPr>
          <w:rFonts w:asciiTheme="minorHAnsi" w:hAnsiTheme="minorHAnsi"/>
          <w:sz w:val="20"/>
          <w:szCs w:val="20"/>
          <w:lang w:val="en-US"/>
        </w:rPr>
        <w:t xml:space="preserve"> review the procedures for implementation by those who are involved.” In addition, it reiterate</w:t>
      </w:r>
      <w:r w:rsidR="00F04855" w:rsidRPr="007D47AD">
        <w:rPr>
          <w:rFonts w:asciiTheme="minorHAnsi" w:hAnsiTheme="minorHAnsi"/>
          <w:sz w:val="20"/>
          <w:szCs w:val="20"/>
          <w:lang w:val="en-US"/>
        </w:rPr>
        <w:t>d</w:t>
      </w:r>
      <w:r w:rsidRPr="007D47AD">
        <w:rPr>
          <w:rFonts w:asciiTheme="minorHAnsi" w:hAnsiTheme="minorHAnsi"/>
          <w:sz w:val="20"/>
          <w:szCs w:val="20"/>
          <w:lang w:val="en-US"/>
        </w:rPr>
        <w:t xml:space="preserve"> that the Risk Assessment Unit </w:t>
      </w:r>
      <w:r w:rsidR="008170F0" w:rsidRPr="007D47AD">
        <w:rPr>
          <w:rFonts w:asciiTheme="minorHAnsi" w:hAnsiTheme="minorHAnsi"/>
          <w:sz w:val="20"/>
          <w:szCs w:val="20"/>
          <w:lang w:val="en-US"/>
        </w:rPr>
        <w:t>“</w:t>
      </w:r>
      <w:r w:rsidRPr="007D47AD">
        <w:rPr>
          <w:rFonts w:asciiTheme="minorHAnsi" w:hAnsiTheme="minorHAnsi"/>
          <w:sz w:val="20"/>
          <w:szCs w:val="20"/>
          <w:lang w:val="en-US"/>
        </w:rPr>
        <w:t xml:space="preserve">periodically assesses the suitability and efficacy of the measures of </w:t>
      </w:r>
      <w:r w:rsidR="00F06DD4" w:rsidRPr="007D47AD">
        <w:rPr>
          <w:rFonts w:asciiTheme="minorHAnsi" w:hAnsiTheme="minorHAnsi"/>
          <w:sz w:val="20"/>
          <w:szCs w:val="20"/>
          <w:lang w:val="en-US"/>
        </w:rPr>
        <w:t>protection granted in each case</w:t>
      </w:r>
      <w:r w:rsidR="00F96E75" w:rsidRPr="007D47AD">
        <w:rPr>
          <w:rFonts w:asciiTheme="minorHAnsi" w:hAnsiTheme="minorHAnsi"/>
          <w:sz w:val="20"/>
          <w:szCs w:val="20"/>
          <w:lang w:val="en-US"/>
        </w:rPr>
        <w:t>”</w:t>
      </w:r>
      <w:r w:rsidR="008170F0" w:rsidRPr="007D47AD">
        <w:rPr>
          <w:rStyle w:val="FootnoteReference"/>
          <w:rFonts w:asciiTheme="minorHAnsi" w:hAnsiTheme="minorHAnsi"/>
          <w:sz w:val="20"/>
          <w:szCs w:val="20"/>
          <w:lang w:val="en-US"/>
        </w:rPr>
        <w:footnoteReference w:id="522"/>
      </w:r>
      <w:r w:rsidR="000A7993" w:rsidRPr="007D47AD">
        <w:rPr>
          <w:rFonts w:asciiTheme="minorHAnsi" w:hAnsiTheme="minorHAnsi"/>
          <w:sz w:val="20"/>
          <w:szCs w:val="20"/>
          <w:lang w:val="en-US"/>
        </w:rPr>
        <w:t>;</w:t>
      </w:r>
      <w:r w:rsidR="00F06DD4" w:rsidRPr="007D47AD">
        <w:rPr>
          <w:rFonts w:asciiTheme="minorHAnsi" w:hAnsiTheme="minorHAnsi"/>
          <w:sz w:val="20"/>
          <w:szCs w:val="20"/>
          <w:lang w:val="en-US"/>
        </w:rPr>
        <w:t xml:space="preserve"> </w:t>
      </w:r>
      <w:r w:rsidR="000A7993" w:rsidRPr="007D47AD">
        <w:rPr>
          <w:rFonts w:asciiTheme="minorHAnsi" w:hAnsiTheme="minorHAnsi"/>
          <w:sz w:val="20"/>
          <w:szCs w:val="20"/>
          <w:lang w:val="en-US"/>
        </w:rPr>
        <w:t xml:space="preserve">and </w:t>
      </w:r>
      <w:r w:rsidR="001B1725" w:rsidRPr="007D47AD">
        <w:rPr>
          <w:rFonts w:asciiTheme="minorHAnsi" w:hAnsiTheme="minorHAnsi"/>
          <w:sz w:val="20"/>
          <w:szCs w:val="20"/>
          <w:lang w:val="en-US"/>
        </w:rPr>
        <w:t>i</w:t>
      </w:r>
      <w:r w:rsidR="00F06DD4" w:rsidRPr="007D47AD">
        <w:rPr>
          <w:rFonts w:asciiTheme="minorHAnsi" w:hAnsiTheme="minorHAnsi"/>
          <w:sz w:val="20"/>
          <w:szCs w:val="20"/>
          <w:lang w:val="en-US"/>
        </w:rPr>
        <w:t xml:space="preserve">n </w:t>
      </w:r>
      <w:r w:rsidR="001B1725" w:rsidRPr="007D47AD">
        <w:rPr>
          <w:rFonts w:asciiTheme="minorHAnsi" w:hAnsiTheme="minorHAnsi"/>
          <w:sz w:val="20"/>
          <w:szCs w:val="20"/>
          <w:lang w:val="en-US"/>
        </w:rPr>
        <w:t>its observations on the draft of this report it added that at present the instrument is being improved with the assistance of an international expert.</w:t>
      </w:r>
      <w:r w:rsidR="00F06DD4" w:rsidRPr="007D47AD">
        <w:rPr>
          <w:rStyle w:val="FootnoteReference"/>
          <w:rFonts w:asciiTheme="minorHAnsi" w:hAnsiTheme="minorHAnsi"/>
          <w:sz w:val="20"/>
          <w:szCs w:val="20"/>
          <w:lang w:val="en-US"/>
        </w:rPr>
        <w:footnoteReference w:id="523"/>
      </w:r>
      <w:r w:rsidR="00F06DD4" w:rsidRPr="007D47AD">
        <w:rPr>
          <w:rFonts w:asciiTheme="minorHAnsi" w:hAnsiTheme="minorHAnsi"/>
          <w:sz w:val="20"/>
          <w:szCs w:val="20"/>
          <w:lang w:val="en-US"/>
        </w:rPr>
        <w:t xml:space="preserve"> </w:t>
      </w:r>
    </w:p>
    <w:p w:rsidR="008170F0" w:rsidRPr="007D47AD" w:rsidRDefault="008170F0" w:rsidP="00F06DD4">
      <w:pPr>
        <w:shd w:val="clear" w:color="auto" w:fill="FFFFFF"/>
        <w:spacing w:after="0" w:line="240" w:lineRule="auto"/>
        <w:ind w:left="709"/>
        <w:jc w:val="both"/>
        <w:rPr>
          <w:rFonts w:asciiTheme="minorHAnsi" w:hAnsiTheme="minorHAnsi"/>
          <w:sz w:val="20"/>
          <w:szCs w:val="20"/>
          <w:lang w:val="en-US"/>
        </w:rPr>
      </w:pPr>
    </w:p>
    <w:p w:rsidR="008170F0" w:rsidRPr="007D47AD" w:rsidRDefault="00F6020D" w:rsidP="001B1725">
      <w:pPr>
        <w:numPr>
          <w:ilvl w:val="0"/>
          <w:numId w:val="6"/>
        </w:numPr>
        <w:shd w:val="clear" w:color="auto" w:fill="FFFFFF"/>
        <w:spacing w:after="0" w:line="240" w:lineRule="auto"/>
        <w:ind w:left="0" w:firstLine="709"/>
        <w:jc w:val="both"/>
        <w:rPr>
          <w:rFonts w:asciiTheme="minorHAnsi" w:hAnsiTheme="minorHAnsi"/>
          <w:sz w:val="20"/>
          <w:szCs w:val="20"/>
          <w:lang w:val="en-US"/>
        </w:rPr>
      </w:pPr>
      <w:r w:rsidRPr="007D47AD">
        <w:rPr>
          <w:rFonts w:asciiTheme="minorHAnsi" w:hAnsiTheme="minorHAnsi"/>
          <w:sz w:val="20"/>
          <w:szCs w:val="20"/>
          <w:lang w:val="en-US"/>
        </w:rPr>
        <w:t xml:space="preserve">The IACHR has learned that </w:t>
      </w:r>
      <w:r w:rsidR="00F04855" w:rsidRPr="007D47AD">
        <w:rPr>
          <w:rFonts w:asciiTheme="minorHAnsi" w:hAnsiTheme="minorHAnsi"/>
          <w:sz w:val="20"/>
          <w:szCs w:val="20"/>
          <w:lang w:val="en-US"/>
        </w:rPr>
        <w:t xml:space="preserve">in 2018 </w:t>
      </w:r>
      <w:r w:rsidRPr="007D47AD">
        <w:rPr>
          <w:rFonts w:asciiTheme="minorHAnsi" w:hAnsiTheme="minorHAnsi"/>
          <w:sz w:val="20"/>
          <w:szCs w:val="20"/>
          <w:lang w:val="en-US"/>
        </w:rPr>
        <w:t xml:space="preserve">human rights organizations held a series of meetings with civil society and officials of the mechanism to contribute to the design of the risk analysis protocols, nonetheless, in </w:t>
      </w:r>
      <w:r w:rsidR="008170F0" w:rsidRPr="007D47AD">
        <w:rPr>
          <w:rFonts w:asciiTheme="minorHAnsi" w:hAnsiTheme="minorHAnsi"/>
          <w:sz w:val="20"/>
          <w:szCs w:val="20"/>
          <w:lang w:val="en-US"/>
        </w:rPr>
        <w:t xml:space="preserve">2019, </w:t>
      </w:r>
      <w:r w:rsidRPr="007D47AD">
        <w:rPr>
          <w:rFonts w:asciiTheme="minorHAnsi" w:hAnsiTheme="minorHAnsi"/>
          <w:sz w:val="20"/>
          <w:szCs w:val="20"/>
          <w:lang w:val="en-US"/>
        </w:rPr>
        <w:t xml:space="preserve">some of these officials left the institution, thus </w:t>
      </w:r>
      <w:r w:rsidR="004E08FB" w:rsidRPr="007D47AD">
        <w:rPr>
          <w:rFonts w:asciiTheme="minorHAnsi" w:hAnsiTheme="minorHAnsi"/>
          <w:sz w:val="20"/>
          <w:szCs w:val="20"/>
          <w:lang w:val="en-US"/>
        </w:rPr>
        <w:t>weakening</w:t>
      </w:r>
      <w:r w:rsidRPr="007D47AD">
        <w:rPr>
          <w:rFonts w:asciiTheme="minorHAnsi" w:hAnsiTheme="minorHAnsi"/>
          <w:sz w:val="20"/>
          <w:szCs w:val="20"/>
          <w:lang w:val="en-US"/>
        </w:rPr>
        <w:t xml:space="preserve"> the commitment and dialogue between the two sectors.</w:t>
      </w:r>
      <w:r w:rsidR="008170F0" w:rsidRPr="007D47AD">
        <w:rPr>
          <w:rStyle w:val="FootnoteReference"/>
          <w:rFonts w:asciiTheme="minorHAnsi" w:hAnsiTheme="minorHAnsi"/>
          <w:sz w:val="20"/>
          <w:szCs w:val="20"/>
          <w:lang w:val="en-US"/>
        </w:rPr>
        <w:footnoteReference w:id="524"/>
      </w:r>
      <w:r w:rsidRPr="007D47AD">
        <w:rPr>
          <w:rFonts w:asciiTheme="minorHAnsi" w:hAnsiTheme="minorHAnsi"/>
          <w:sz w:val="20"/>
          <w:szCs w:val="20"/>
          <w:lang w:val="en-US"/>
        </w:rPr>
        <w:t xml:space="preserve"> In addition, in May </w:t>
      </w:r>
      <w:r w:rsidR="008170F0" w:rsidRPr="007D47AD">
        <w:rPr>
          <w:rFonts w:asciiTheme="minorHAnsi" w:hAnsiTheme="minorHAnsi"/>
          <w:sz w:val="20"/>
          <w:szCs w:val="20"/>
          <w:lang w:val="en-US"/>
        </w:rPr>
        <w:t>2019</w:t>
      </w:r>
      <w:r w:rsidRPr="007D47AD">
        <w:rPr>
          <w:rFonts w:asciiTheme="minorHAnsi" w:hAnsiTheme="minorHAnsi"/>
          <w:sz w:val="20"/>
          <w:szCs w:val="20"/>
          <w:lang w:val="en-US"/>
        </w:rPr>
        <w:t xml:space="preserve"> the IACHR received information that human rights organizations condemned the reduction of spaces for dialogue between civil society and the government, especially the lack of participation in framing security policies.</w:t>
      </w:r>
      <w:r w:rsidR="008170F0" w:rsidRPr="007D47AD">
        <w:rPr>
          <w:rStyle w:val="FootnoteReference"/>
          <w:rFonts w:asciiTheme="minorHAnsi" w:hAnsiTheme="minorHAnsi"/>
          <w:sz w:val="20"/>
          <w:szCs w:val="20"/>
          <w:lang w:val="en-US"/>
        </w:rPr>
        <w:footnoteReference w:id="525"/>
      </w:r>
      <w:r w:rsidR="008170F0" w:rsidRPr="007D47AD">
        <w:rPr>
          <w:rFonts w:asciiTheme="minorHAnsi" w:hAnsiTheme="minorHAnsi"/>
          <w:sz w:val="20"/>
          <w:szCs w:val="20"/>
          <w:lang w:val="en-US"/>
        </w:rPr>
        <w:t xml:space="preserve"> </w:t>
      </w:r>
      <w:r w:rsidR="001B1725" w:rsidRPr="007D47AD">
        <w:rPr>
          <w:rFonts w:asciiTheme="minorHAnsi" w:hAnsiTheme="minorHAnsi"/>
          <w:sz w:val="20"/>
          <w:szCs w:val="20"/>
          <w:lang w:val="en-US"/>
        </w:rPr>
        <w:t>I</w:t>
      </w:r>
      <w:r w:rsidR="00F06DD4" w:rsidRPr="007D47AD">
        <w:rPr>
          <w:rFonts w:asciiTheme="minorHAnsi" w:hAnsiTheme="minorHAnsi"/>
          <w:sz w:val="20"/>
          <w:szCs w:val="20"/>
          <w:lang w:val="en-US"/>
        </w:rPr>
        <w:t xml:space="preserve">n </w:t>
      </w:r>
      <w:r w:rsidR="001B1725" w:rsidRPr="007D47AD">
        <w:rPr>
          <w:rFonts w:asciiTheme="minorHAnsi" w:hAnsiTheme="minorHAnsi"/>
          <w:sz w:val="20"/>
          <w:szCs w:val="20"/>
          <w:lang w:val="en-US"/>
        </w:rPr>
        <w:t xml:space="preserve">its observations on the draft of this report the State indicated that the members of the </w:t>
      </w:r>
      <w:r w:rsidR="000A7993" w:rsidRPr="007D47AD">
        <w:rPr>
          <w:rFonts w:asciiTheme="minorHAnsi" w:hAnsiTheme="minorHAnsi"/>
          <w:sz w:val="20"/>
          <w:szCs w:val="20"/>
          <w:lang w:val="en-US"/>
        </w:rPr>
        <w:t xml:space="preserve">Citizen Advisory Council </w:t>
      </w:r>
      <w:r w:rsidR="001B1725" w:rsidRPr="007D47AD">
        <w:rPr>
          <w:rFonts w:asciiTheme="minorHAnsi" w:hAnsiTheme="minorHAnsi"/>
          <w:sz w:val="20"/>
          <w:szCs w:val="20"/>
          <w:lang w:val="en-US"/>
        </w:rPr>
        <w:t>(</w:t>
      </w:r>
      <w:r w:rsidR="00F06DD4" w:rsidRPr="007D47AD">
        <w:rPr>
          <w:rFonts w:asciiTheme="minorHAnsi" w:hAnsiTheme="minorHAnsi"/>
          <w:sz w:val="20"/>
          <w:szCs w:val="20"/>
          <w:lang w:val="en-US"/>
        </w:rPr>
        <w:t>Consejo Consultivo Ciudadano</w:t>
      </w:r>
      <w:r w:rsidR="001B1725" w:rsidRPr="007D47AD">
        <w:rPr>
          <w:rFonts w:asciiTheme="minorHAnsi" w:hAnsiTheme="minorHAnsi"/>
          <w:sz w:val="20"/>
          <w:szCs w:val="20"/>
          <w:lang w:val="en-US"/>
        </w:rPr>
        <w:t>)</w:t>
      </w:r>
      <w:r w:rsidR="00F06DD4" w:rsidRPr="007D47AD">
        <w:rPr>
          <w:rFonts w:asciiTheme="minorHAnsi" w:hAnsiTheme="minorHAnsi"/>
          <w:sz w:val="20"/>
          <w:szCs w:val="20"/>
          <w:lang w:val="en-US"/>
        </w:rPr>
        <w:t xml:space="preserve"> </w:t>
      </w:r>
      <w:r w:rsidR="001B1725" w:rsidRPr="007D47AD">
        <w:rPr>
          <w:rFonts w:asciiTheme="minorHAnsi" w:hAnsiTheme="minorHAnsi"/>
          <w:sz w:val="20"/>
          <w:szCs w:val="20"/>
          <w:lang w:val="en-US"/>
        </w:rPr>
        <w:t xml:space="preserve">attend the meetings of the </w:t>
      </w:r>
      <w:r w:rsidR="000A7993" w:rsidRPr="007D47AD">
        <w:rPr>
          <w:rFonts w:asciiTheme="minorHAnsi" w:hAnsiTheme="minorHAnsi"/>
          <w:sz w:val="20"/>
          <w:szCs w:val="20"/>
          <w:lang w:val="en-US"/>
        </w:rPr>
        <w:t>governing body (Junta de Gobierno)</w:t>
      </w:r>
      <w:r w:rsidR="001B1725" w:rsidRPr="007D47AD">
        <w:rPr>
          <w:rFonts w:asciiTheme="minorHAnsi" w:hAnsiTheme="minorHAnsi"/>
          <w:sz w:val="20"/>
          <w:szCs w:val="20"/>
          <w:lang w:val="en-US"/>
        </w:rPr>
        <w:t>.</w:t>
      </w:r>
      <w:r w:rsidR="00F06DD4" w:rsidRPr="007D47AD">
        <w:rPr>
          <w:rStyle w:val="FootnoteReference"/>
          <w:rFonts w:asciiTheme="minorHAnsi" w:hAnsiTheme="minorHAnsi"/>
          <w:sz w:val="20"/>
          <w:szCs w:val="20"/>
          <w:lang w:val="en-US"/>
        </w:rPr>
        <w:footnoteReference w:id="526"/>
      </w:r>
      <w:r w:rsidR="001B1725" w:rsidRPr="007D47AD">
        <w:rPr>
          <w:rFonts w:asciiTheme="minorHAnsi" w:hAnsiTheme="minorHAnsi"/>
          <w:sz w:val="20"/>
          <w:szCs w:val="20"/>
          <w:lang w:val="en-US"/>
        </w:rPr>
        <w:t xml:space="preserve"> </w:t>
      </w:r>
    </w:p>
    <w:p w:rsidR="008170F0" w:rsidRPr="007D47AD" w:rsidRDefault="008170F0" w:rsidP="008170F0">
      <w:pPr>
        <w:pStyle w:val="ListParagraph"/>
        <w:rPr>
          <w:rFonts w:asciiTheme="minorHAnsi" w:hAnsiTheme="minorHAnsi"/>
          <w:lang w:val="en-US"/>
        </w:rPr>
      </w:pPr>
    </w:p>
    <w:p w:rsidR="008170F0" w:rsidRPr="007D47AD" w:rsidRDefault="00F6020D" w:rsidP="00CB1259">
      <w:pPr>
        <w:numPr>
          <w:ilvl w:val="0"/>
          <w:numId w:val="6"/>
        </w:numPr>
        <w:shd w:val="clear" w:color="auto" w:fill="FFFFFF"/>
        <w:spacing w:after="0" w:line="240" w:lineRule="auto"/>
        <w:ind w:left="0" w:firstLine="709"/>
        <w:jc w:val="both"/>
        <w:rPr>
          <w:rFonts w:asciiTheme="minorHAnsi" w:hAnsiTheme="minorHAnsi"/>
          <w:sz w:val="20"/>
          <w:szCs w:val="20"/>
          <w:lang w:val="en-US"/>
        </w:rPr>
      </w:pPr>
      <w:r w:rsidRPr="007D47AD">
        <w:rPr>
          <w:rFonts w:asciiTheme="minorHAnsi" w:hAnsiTheme="minorHAnsi"/>
          <w:sz w:val="20"/>
          <w:szCs w:val="20"/>
          <w:lang w:val="en-US"/>
        </w:rPr>
        <w:t xml:space="preserve">Based on the information available in considering that the State did not produce new information on compliance with and follow-up on this recommendation in 2019, the IACHR concludes that this recommendation continues to meet with partial compliance. In this context, it invites the State to redouble its efforts to adopt measures to ensure the work of human rights defenders and journalists in </w:t>
      </w:r>
      <w:r w:rsidR="00F04855" w:rsidRPr="007D47AD">
        <w:rPr>
          <w:rFonts w:asciiTheme="minorHAnsi" w:hAnsiTheme="minorHAnsi"/>
          <w:sz w:val="20"/>
          <w:szCs w:val="20"/>
          <w:lang w:val="en-US"/>
        </w:rPr>
        <w:t xml:space="preserve">light </w:t>
      </w:r>
      <w:r w:rsidRPr="007D47AD">
        <w:rPr>
          <w:rFonts w:asciiTheme="minorHAnsi" w:hAnsiTheme="minorHAnsi"/>
          <w:sz w:val="20"/>
          <w:szCs w:val="20"/>
          <w:lang w:val="en-US"/>
        </w:rPr>
        <w:t xml:space="preserve">of the particular risks they face and for reasons of gender, and </w:t>
      </w:r>
      <w:r w:rsidR="0010320C" w:rsidRPr="007D47AD">
        <w:rPr>
          <w:rFonts w:asciiTheme="minorHAnsi" w:hAnsiTheme="minorHAnsi"/>
          <w:sz w:val="20"/>
          <w:szCs w:val="20"/>
          <w:lang w:val="en-US"/>
        </w:rPr>
        <w:t xml:space="preserve">to </w:t>
      </w:r>
      <w:r w:rsidRPr="007D47AD">
        <w:rPr>
          <w:rFonts w:asciiTheme="minorHAnsi" w:hAnsiTheme="minorHAnsi"/>
          <w:sz w:val="20"/>
          <w:szCs w:val="20"/>
          <w:lang w:val="en-US"/>
        </w:rPr>
        <w:t xml:space="preserve">strengthen the spaces for participation and dialogue with civil society and the beneficiaries of the protection mechanisms. </w:t>
      </w:r>
    </w:p>
    <w:p w:rsidR="00704A83" w:rsidRPr="007D47AD" w:rsidRDefault="00704A83" w:rsidP="00704A83">
      <w:pPr>
        <w:shd w:val="clear" w:color="auto" w:fill="FFFFFF"/>
        <w:spacing w:after="0" w:line="240" w:lineRule="auto"/>
        <w:jc w:val="both"/>
        <w:rPr>
          <w:rFonts w:asciiTheme="minorHAnsi" w:hAnsiTheme="minorHAnsi"/>
          <w:sz w:val="20"/>
          <w:szCs w:val="20"/>
          <w:lang w:val="en-US"/>
        </w:rPr>
      </w:pPr>
    </w:p>
    <w:p w:rsidR="008170F0" w:rsidRPr="007D47AD" w:rsidRDefault="00F6020D" w:rsidP="00EE0ADC">
      <w:pPr>
        <w:numPr>
          <w:ilvl w:val="0"/>
          <w:numId w:val="6"/>
        </w:numPr>
        <w:shd w:val="clear" w:color="auto" w:fill="FFFFFF"/>
        <w:spacing w:after="0" w:line="240" w:lineRule="auto"/>
        <w:ind w:left="0" w:firstLine="709"/>
        <w:jc w:val="both"/>
        <w:rPr>
          <w:rFonts w:asciiTheme="minorHAnsi" w:hAnsiTheme="minorHAnsi"/>
          <w:sz w:val="20"/>
          <w:szCs w:val="20"/>
          <w:lang w:val="en-US"/>
        </w:rPr>
      </w:pPr>
      <w:r w:rsidRPr="007D47AD">
        <w:rPr>
          <w:rFonts w:asciiTheme="minorHAnsi" w:hAnsiTheme="minorHAnsi"/>
          <w:sz w:val="20"/>
          <w:szCs w:val="20"/>
          <w:lang w:val="en-US"/>
        </w:rPr>
        <w:t xml:space="preserve">With respect to the recommendation </w:t>
      </w:r>
      <w:r w:rsidRPr="007D47AD">
        <w:rPr>
          <w:rFonts w:asciiTheme="minorHAnsi" w:hAnsiTheme="minorHAnsi"/>
          <w:b/>
          <w:sz w:val="20"/>
          <w:szCs w:val="20"/>
          <w:lang w:val="en-US"/>
        </w:rPr>
        <w:t>to evaluate and adopt differentiated measures of protection for women, indigenous leaders, and defenders of the environment</w:t>
      </w:r>
      <w:r w:rsidR="009C095D" w:rsidRPr="007D47AD">
        <w:rPr>
          <w:rFonts w:asciiTheme="minorHAnsi" w:hAnsiTheme="minorHAnsi"/>
          <w:sz w:val="20"/>
          <w:szCs w:val="20"/>
          <w:lang w:val="en-US"/>
        </w:rPr>
        <w:t xml:space="preserve">, </w:t>
      </w:r>
      <w:r w:rsidRPr="007D47AD">
        <w:rPr>
          <w:rFonts w:asciiTheme="minorHAnsi" w:hAnsiTheme="minorHAnsi"/>
          <w:sz w:val="20"/>
          <w:szCs w:val="20"/>
          <w:lang w:val="en-US"/>
        </w:rPr>
        <w:t xml:space="preserve">the IACHR did not receive information on specific actions by the State. Noting the lack of information, and taking into account the attacks already mentioned against journalists and indigenous leaders, the IACHR considers that this recommendation continues to meet with partial compliance. </w:t>
      </w:r>
    </w:p>
    <w:p w:rsidR="00F6020D" w:rsidRPr="007D47AD" w:rsidRDefault="00F6020D" w:rsidP="00F6020D">
      <w:pPr>
        <w:shd w:val="clear" w:color="auto" w:fill="FFFFFF"/>
        <w:spacing w:after="0" w:line="240" w:lineRule="auto"/>
        <w:jc w:val="both"/>
        <w:rPr>
          <w:rFonts w:asciiTheme="minorHAnsi" w:hAnsiTheme="minorHAnsi"/>
          <w:sz w:val="20"/>
          <w:szCs w:val="20"/>
          <w:lang w:val="en-US"/>
        </w:rPr>
      </w:pPr>
    </w:p>
    <w:p w:rsidR="00306CCF" w:rsidRPr="007D47AD" w:rsidRDefault="00F6020D" w:rsidP="00704A83">
      <w:pPr>
        <w:numPr>
          <w:ilvl w:val="0"/>
          <w:numId w:val="6"/>
        </w:numPr>
        <w:shd w:val="clear" w:color="auto" w:fill="FFFFFF"/>
        <w:spacing w:after="0" w:line="240" w:lineRule="auto"/>
        <w:ind w:left="0" w:firstLine="709"/>
        <w:jc w:val="both"/>
        <w:rPr>
          <w:rFonts w:asciiTheme="minorHAnsi" w:hAnsiTheme="minorHAnsi"/>
          <w:sz w:val="20"/>
          <w:szCs w:val="20"/>
          <w:lang w:val="en-US"/>
        </w:rPr>
      </w:pPr>
      <w:r w:rsidRPr="007D47AD">
        <w:rPr>
          <w:rFonts w:asciiTheme="minorHAnsi" w:hAnsiTheme="minorHAnsi"/>
          <w:sz w:val="20"/>
          <w:szCs w:val="20"/>
          <w:lang w:val="en-US"/>
        </w:rPr>
        <w:t xml:space="preserve">In relation to the recommendation </w:t>
      </w:r>
      <w:r w:rsidR="009C1936" w:rsidRPr="007D47AD">
        <w:rPr>
          <w:rFonts w:asciiTheme="minorHAnsi" w:hAnsiTheme="minorHAnsi"/>
          <w:sz w:val="20"/>
          <w:szCs w:val="20"/>
          <w:lang w:val="en-US"/>
        </w:rPr>
        <w:t xml:space="preserve">to </w:t>
      </w:r>
      <w:r w:rsidR="00E1002E" w:rsidRPr="007D47AD">
        <w:rPr>
          <w:rFonts w:asciiTheme="minorHAnsi" w:hAnsiTheme="minorHAnsi"/>
          <w:b/>
          <w:sz w:val="20"/>
          <w:szCs w:val="20"/>
          <w:lang w:val="en-US"/>
        </w:rPr>
        <w:t>urge the State to implement strategies so that the various institutions at the state and federal level</w:t>
      </w:r>
      <w:r w:rsidR="009C1936" w:rsidRPr="007D47AD">
        <w:rPr>
          <w:rFonts w:asciiTheme="minorHAnsi" w:hAnsiTheme="minorHAnsi"/>
          <w:b/>
          <w:sz w:val="20"/>
          <w:szCs w:val="20"/>
          <w:lang w:val="en-US"/>
        </w:rPr>
        <w:t>s</w:t>
      </w:r>
      <w:r w:rsidR="00E1002E" w:rsidRPr="007D47AD">
        <w:rPr>
          <w:rFonts w:asciiTheme="minorHAnsi" w:hAnsiTheme="minorHAnsi"/>
          <w:b/>
          <w:sz w:val="20"/>
          <w:szCs w:val="20"/>
          <w:lang w:val="en-US"/>
        </w:rPr>
        <w:t xml:space="preserve"> work in a coordinated fashion to provide an integral response to all matters related to the protection of human rights defenders and journalists</w:t>
      </w:r>
      <w:r w:rsidR="009C095D" w:rsidRPr="007D47AD">
        <w:rPr>
          <w:rFonts w:asciiTheme="minorHAnsi" w:hAnsiTheme="minorHAnsi"/>
          <w:sz w:val="20"/>
          <w:szCs w:val="20"/>
          <w:lang w:val="en-US"/>
        </w:rPr>
        <w:t xml:space="preserve">, </w:t>
      </w:r>
      <w:r w:rsidRPr="007D47AD">
        <w:rPr>
          <w:rFonts w:asciiTheme="minorHAnsi" w:hAnsiTheme="minorHAnsi"/>
          <w:sz w:val="20"/>
          <w:szCs w:val="20"/>
          <w:lang w:val="en-US"/>
        </w:rPr>
        <w:t xml:space="preserve">the State </w:t>
      </w:r>
      <w:r w:rsidRPr="007D47AD">
        <w:rPr>
          <w:rFonts w:asciiTheme="minorHAnsi" w:hAnsiTheme="minorHAnsi"/>
          <w:sz w:val="20"/>
          <w:szCs w:val="20"/>
          <w:lang w:val="en-US"/>
        </w:rPr>
        <w:lastRenderedPageBreak/>
        <w:t>reiterated what was indicated in its previous reports.</w:t>
      </w:r>
      <w:r w:rsidR="00C573FB" w:rsidRPr="007D47AD">
        <w:rPr>
          <w:rStyle w:val="FootnoteReference"/>
          <w:rFonts w:asciiTheme="minorHAnsi" w:hAnsiTheme="minorHAnsi"/>
          <w:sz w:val="20"/>
          <w:szCs w:val="20"/>
          <w:lang w:val="en-US"/>
        </w:rPr>
        <w:footnoteReference w:id="527"/>
      </w:r>
      <w:r w:rsidR="009C095D" w:rsidRPr="007D47AD">
        <w:rPr>
          <w:rFonts w:asciiTheme="minorHAnsi" w:hAnsiTheme="minorHAnsi"/>
          <w:sz w:val="20"/>
          <w:szCs w:val="20"/>
          <w:lang w:val="en-US"/>
        </w:rPr>
        <w:t xml:space="preserve"> </w:t>
      </w:r>
      <w:r w:rsidRPr="007D47AD">
        <w:rPr>
          <w:rFonts w:asciiTheme="minorHAnsi" w:hAnsiTheme="minorHAnsi"/>
          <w:sz w:val="20"/>
          <w:szCs w:val="20"/>
          <w:lang w:val="en-US"/>
        </w:rPr>
        <w:t xml:space="preserve">In this </w:t>
      </w:r>
      <w:r w:rsidR="00306CCF" w:rsidRPr="007D47AD">
        <w:rPr>
          <w:rFonts w:asciiTheme="minorHAnsi" w:hAnsiTheme="minorHAnsi"/>
          <w:sz w:val="20"/>
          <w:szCs w:val="20"/>
          <w:lang w:val="en-US"/>
        </w:rPr>
        <w:t xml:space="preserve">respect, </w:t>
      </w:r>
      <w:r w:rsidRPr="007D47AD">
        <w:rPr>
          <w:rFonts w:asciiTheme="minorHAnsi" w:hAnsiTheme="minorHAnsi"/>
          <w:sz w:val="20"/>
          <w:szCs w:val="20"/>
          <w:lang w:val="en-US"/>
        </w:rPr>
        <w:t xml:space="preserve">the Office of the Special Rapporteur for Freedom of Expression of the IACHR indicated that implementation of the Protection Mechanism for journalists continues to be hardly effective, as coordination </w:t>
      </w:r>
      <w:r w:rsidR="000B58F6" w:rsidRPr="007D47AD">
        <w:rPr>
          <w:rFonts w:asciiTheme="minorHAnsi" w:hAnsiTheme="minorHAnsi"/>
          <w:sz w:val="20"/>
          <w:szCs w:val="20"/>
          <w:lang w:val="en-US"/>
        </w:rPr>
        <w:t xml:space="preserve">among all levels of government and among institutions is deficient. Despite having signed cooperation agreements with the 32 states, these are not binding and the Federal Government cannot require their implementation, which makes adequate implementation of the protection measures impossible. In addition, the lack of participation of the security forces in the programs, the reactive and police intervention, the lack of analysis of risk and measures of protection in keeping with the needs of human rights defenders and journalists, and the </w:t>
      </w:r>
      <w:r w:rsidR="00306CCF" w:rsidRPr="007D47AD">
        <w:rPr>
          <w:rFonts w:asciiTheme="minorHAnsi" w:hAnsiTheme="minorHAnsi"/>
          <w:sz w:val="20"/>
          <w:szCs w:val="20"/>
          <w:lang w:val="en-US"/>
        </w:rPr>
        <w:t>privatiza</w:t>
      </w:r>
      <w:r w:rsidR="000B58F6" w:rsidRPr="007D47AD">
        <w:rPr>
          <w:rFonts w:asciiTheme="minorHAnsi" w:hAnsiTheme="minorHAnsi"/>
          <w:sz w:val="20"/>
          <w:szCs w:val="20"/>
          <w:lang w:val="en-US"/>
        </w:rPr>
        <w:t>tion of security measures are just some of the difficulties of the mechanism.</w:t>
      </w:r>
      <w:r w:rsidR="00306CCF" w:rsidRPr="007D47AD">
        <w:rPr>
          <w:rFonts w:asciiTheme="minorHAnsi" w:hAnsiTheme="minorHAnsi"/>
          <w:sz w:val="20"/>
          <w:szCs w:val="20"/>
          <w:vertAlign w:val="superscript"/>
          <w:lang w:val="en-US"/>
        </w:rPr>
        <w:footnoteReference w:id="528"/>
      </w:r>
    </w:p>
    <w:p w:rsidR="00704A83" w:rsidRPr="007D47AD" w:rsidRDefault="00704A83" w:rsidP="00704A83">
      <w:pPr>
        <w:shd w:val="clear" w:color="auto" w:fill="FFFFFF"/>
        <w:spacing w:after="0" w:line="240" w:lineRule="auto"/>
        <w:ind w:left="709"/>
        <w:jc w:val="both"/>
        <w:rPr>
          <w:rFonts w:asciiTheme="minorHAnsi" w:hAnsiTheme="minorHAnsi"/>
          <w:sz w:val="20"/>
          <w:szCs w:val="20"/>
          <w:lang w:val="en-US"/>
        </w:rPr>
      </w:pPr>
    </w:p>
    <w:p w:rsidR="00704A83" w:rsidRPr="007D47AD" w:rsidRDefault="000B58F6" w:rsidP="00704A83">
      <w:pPr>
        <w:numPr>
          <w:ilvl w:val="0"/>
          <w:numId w:val="6"/>
        </w:numPr>
        <w:shd w:val="clear" w:color="auto" w:fill="FFFFFF"/>
        <w:spacing w:after="0" w:line="240" w:lineRule="auto"/>
        <w:ind w:left="0" w:firstLine="709"/>
        <w:jc w:val="both"/>
        <w:rPr>
          <w:rFonts w:asciiTheme="minorHAnsi" w:hAnsiTheme="minorHAnsi"/>
          <w:sz w:val="20"/>
          <w:szCs w:val="20"/>
          <w:lang w:val="en-US"/>
        </w:rPr>
      </w:pPr>
      <w:r w:rsidRPr="007D47AD">
        <w:rPr>
          <w:rFonts w:asciiTheme="minorHAnsi" w:hAnsiTheme="minorHAnsi"/>
          <w:sz w:val="20"/>
          <w:szCs w:val="20"/>
          <w:lang w:val="en-US"/>
        </w:rPr>
        <w:t xml:space="preserve">The IACHR considers that the recommendation has met with partial compliance, considering that there are federal and state strategies, yet their implementation still faces challenges that compromise the effectiveness of the system. </w:t>
      </w:r>
      <w:r w:rsidR="00017C6B" w:rsidRPr="007D47AD">
        <w:rPr>
          <w:rFonts w:asciiTheme="minorHAnsi" w:hAnsiTheme="minorHAnsi"/>
          <w:sz w:val="20"/>
          <w:szCs w:val="20"/>
          <w:lang w:val="en-US"/>
        </w:rPr>
        <w:t xml:space="preserve"> </w:t>
      </w:r>
    </w:p>
    <w:p w:rsidR="00704A83" w:rsidRPr="007D47AD" w:rsidRDefault="00704A83" w:rsidP="00704A83">
      <w:pPr>
        <w:shd w:val="clear" w:color="auto" w:fill="FFFFFF"/>
        <w:spacing w:after="0" w:line="240" w:lineRule="auto"/>
        <w:jc w:val="both"/>
        <w:rPr>
          <w:rFonts w:asciiTheme="minorHAnsi" w:hAnsiTheme="minorHAnsi"/>
          <w:sz w:val="20"/>
          <w:szCs w:val="20"/>
          <w:lang w:val="en-US"/>
        </w:rPr>
      </w:pPr>
    </w:p>
    <w:p w:rsidR="00704A83" w:rsidRPr="007D47AD" w:rsidRDefault="000B58F6" w:rsidP="00704A83">
      <w:pPr>
        <w:numPr>
          <w:ilvl w:val="0"/>
          <w:numId w:val="6"/>
        </w:numPr>
        <w:shd w:val="clear" w:color="auto" w:fill="FFFFFF"/>
        <w:spacing w:after="0" w:line="240" w:lineRule="auto"/>
        <w:ind w:left="0" w:firstLine="709"/>
        <w:jc w:val="both"/>
        <w:rPr>
          <w:rFonts w:asciiTheme="minorHAnsi" w:hAnsiTheme="minorHAnsi"/>
          <w:sz w:val="20"/>
          <w:szCs w:val="20"/>
          <w:lang w:val="en-US"/>
        </w:rPr>
      </w:pPr>
      <w:r w:rsidRPr="007D47AD">
        <w:rPr>
          <w:rFonts w:asciiTheme="minorHAnsi" w:hAnsiTheme="minorHAnsi"/>
          <w:sz w:val="20"/>
          <w:szCs w:val="20"/>
          <w:lang w:val="en-US"/>
        </w:rPr>
        <w:t xml:space="preserve">As regards the recommendation </w:t>
      </w:r>
      <w:r w:rsidR="00E1002E" w:rsidRPr="007D47AD">
        <w:rPr>
          <w:rFonts w:asciiTheme="minorHAnsi" w:hAnsiTheme="minorHAnsi"/>
          <w:b/>
          <w:sz w:val="20"/>
          <w:szCs w:val="20"/>
          <w:lang w:val="en-US"/>
        </w:rPr>
        <w:t>to encourage the protection mechanism to implement a communication strategy regarding its competencies, the requirements to enter the program, among other necessary information, with the objective of ma</w:t>
      </w:r>
      <w:r w:rsidR="002016AE" w:rsidRPr="007D47AD">
        <w:rPr>
          <w:rFonts w:asciiTheme="minorHAnsi" w:hAnsiTheme="minorHAnsi"/>
          <w:b/>
          <w:sz w:val="20"/>
          <w:szCs w:val="20"/>
          <w:lang w:val="en-US"/>
        </w:rPr>
        <w:t>k</w:t>
      </w:r>
      <w:r w:rsidR="00E1002E" w:rsidRPr="007D47AD">
        <w:rPr>
          <w:rFonts w:asciiTheme="minorHAnsi" w:hAnsiTheme="minorHAnsi"/>
          <w:b/>
          <w:sz w:val="20"/>
          <w:szCs w:val="20"/>
          <w:lang w:val="en-US"/>
        </w:rPr>
        <w:t xml:space="preserve">ing human rights defenders and journalists aware of the protection that the mechanism can offer </w:t>
      </w:r>
      <w:r w:rsidRPr="007D47AD">
        <w:rPr>
          <w:rFonts w:asciiTheme="minorHAnsi" w:hAnsiTheme="minorHAnsi"/>
          <w:sz w:val="20"/>
          <w:szCs w:val="20"/>
          <w:lang w:val="en-US"/>
        </w:rPr>
        <w:t>and</w:t>
      </w:r>
      <w:r w:rsidR="009C095D" w:rsidRPr="007D47AD">
        <w:rPr>
          <w:rFonts w:asciiTheme="minorHAnsi" w:hAnsiTheme="minorHAnsi"/>
          <w:sz w:val="20"/>
          <w:szCs w:val="20"/>
          <w:lang w:val="en-US"/>
        </w:rPr>
        <w:t xml:space="preserve">, </w:t>
      </w:r>
      <w:r w:rsidRPr="007D47AD">
        <w:rPr>
          <w:rFonts w:asciiTheme="minorHAnsi" w:hAnsiTheme="minorHAnsi"/>
          <w:sz w:val="20"/>
          <w:szCs w:val="20"/>
          <w:lang w:val="en-US"/>
        </w:rPr>
        <w:t>similarly and in keeping with international standards</w:t>
      </w:r>
      <w:r w:rsidR="009C095D" w:rsidRPr="007D47AD">
        <w:rPr>
          <w:rFonts w:asciiTheme="minorHAnsi" w:hAnsiTheme="minorHAnsi"/>
          <w:sz w:val="20"/>
          <w:szCs w:val="20"/>
          <w:lang w:val="en-US"/>
        </w:rPr>
        <w:t xml:space="preserve">, </w:t>
      </w:r>
      <w:r w:rsidR="009C095D" w:rsidRPr="007D47AD">
        <w:rPr>
          <w:rFonts w:asciiTheme="minorHAnsi" w:hAnsiTheme="minorHAnsi"/>
          <w:b/>
          <w:sz w:val="20"/>
          <w:szCs w:val="20"/>
          <w:lang w:val="en-US"/>
        </w:rPr>
        <w:t>pro</w:t>
      </w:r>
      <w:r w:rsidR="00E1002E" w:rsidRPr="007D47AD">
        <w:rPr>
          <w:rFonts w:asciiTheme="minorHAnsi" w:hAnsiTheme="minorHAnsi"/>
          <w:b/>
          <w:sz w:val="20"/>
          <w:szCs w:val="20"/>
          <w:lang w:val="en-US"/>
        </w:rPr>
        <w:t>vide access to necessary information regarding the protection mechanism so that it may provide greater transparency regarding the work it is doing</w:t>
      </w:r>
      <w:r w:rsidR="009C095D" w:rsidRPr="007D47AD">
        <w:rPr>
          <w:rFonts w:asciiTheme="minorHAnsi" w:hAnsiTheme="minorHAnsi"/>
          <w:sz w:val="20"/>
          <w:szCs w:val="20"/>
          <w:lang w:val="en-US"/>
        </w:rPr>
        <w:t xml:space="preserve">,  </w:t>
      </w:r>
      <w:r w:rsidRPr="007D47AD">
        <w:rPr>
          <w:rFonts w:asciiTheme="minorHAnsi" w:hAnsiTheme="minorHAnsi"/>
          <w:sz w:val="20"/>
          <w:szCs w:val="20"/>
          <w:lang w:val="en-US"/>
        </w:rPr>
        <w:t xml:space="preserve">the State </w:t>
      </w:r>
      <w:r w:rsidR="00704A83" w:rsidRPr="007D47AD">
        <w:rPr>
          <w:rFonts w:asciiTheme="minorHAnsi" w:hAnsiTheme="minorHAnsi"/>
          <w:sz w:val="20"/>
          <w:szCs w:val="20"/>
          <w:lang w:val="en-US"/>
        </w:rPr>
        <w:t>reiter</w:t>
      </w:r>
      <w:r w:rsidRPr="007D47AD">
        <w:rPr>
          <w:rFonts w:asciiTheme="minorHAnsi" w:hAnsiTheme="minorHAnsi"/>
          <w:sz w:val="20"/>
          <w:szCs w:val="20"/>
          <w:lang w:val="en-US"/>
        </w:rPr>
        <w:t>ated what was already noted in relation to the operativity of the website &lt;</w:t>
      </w:r>
      <w:r w:rsidR="00704A83" w:rsidRPr="007D47AD">
        <w:rPr>
          <w:rFonts w:asciiTheme="minorHAnsi" w:hAnsiTheme="minorHAnsi"/>
          <w:sz w:val="20"/>
          <w:szCs w:val="20"/>
          <w:lang w:val="en-US"/>
        </w:rPr>
        <w:t>https://www.gob.mx/defensorasyperiodistas</w:t>
      </w:r>
      <w:r w:rsidRPr="007D47AD">
        <w:rPr>
          <w:rFonts w:asciiTheme="minorHAnsi" w:hAnsiTheme="minorHAnsi"/>
          <w:sz w:val="20"/>
          <w:szCs w:val="20"/>
          <w:lang w:val="en-US"/>
        </w:rPr>
        <w:t>&gt;.</w:t>
      </w:r>
      <w:r w:rsidR="00704A83" w:rsidRPr="007D47AD">
        <w:rPr>
          <w:rStyle w:val="FootnoteReference"/>
          <w:rFonts w:asciiTheme="minorHAnsi" w:hAnsiTheme="minorHAnsi"/>
          <w:sz w:val="20"/>
          <w:szCs w:val="20"/>
          <w:lang w:val="en-US"/>
        </w:rPr>
        <w:footnoteReference w:id="529"/>
      </w:r>
      <w:r w:rsidR="00704A83" w:rsidRPr="007D47AD">
        <w:rPr>
          <w:rFonts w:asciiTheme="minorHAnsi" w:hAnsiTheme="minorHAnsi"/>
          <w:sz w:val="20"/>
          <w:szCs w:val="20"/>
          <w:lang w:val="en-US"/>
        </w:rPr>
        <w:t xml:space="preserve"> </w:t>
      </w:r>
      <w:r w:rsidRPr="007D47AD">
        <w:rPr>
          <w:rFonts w:asciiTheme="minorHAnsi" w:hAnsiTheme="minorHAnsi"/>
          <w:sz w:val="20"/>
          <w:szCs w:val="20"/>
          <w:lang w:val="en-US"/>
        </w:rPr>
        <w:t xml:space="preserve">With respect to  the content of the website, the State indicated that </w:t>
      </w:r>
      <w:r w:rsidR="00704A83" w:rsidRPr="007D47AD">
        <w:rPr>
          <w:rFonts w:asciiTheme="minorHAnsi" w:hAnsiTheme="minorHAnsi"/>
          <w:sz w:val="20"/>
          <w:szCs w:val="20"/>
          <w:lang w:val="en-US"/>
        </w:rPr>
        <w:t>“</w:t>
      </w:r>
      <w:r w:rsidRPr="007D47AD">
        <w:rPr>
          <w:rFonts w:asciiTheme="minorHAnsi" w:hAnsiTheme="minorHAnsi"/>
          <w:sz w:val="20"/>
          <w:szCs w:val="20"/>
          <w:lang w:val="en-US"/>
        </w:rPr>
        <w:t>there are several documents to report on the Mechanism’s trust, recognition of the work of human rights defenders and journalists, and in particular about the work done.” The IACHR notes that the platform has general information on the Mechanism of Protection, press articles about the actions taken, in addition to public contact information, including two phone numbe</w:t>
      </w:r>
      <w:r w:rsidR="002016AE" w:rsidRPr="007D47AD">
        <w:rPr>
          <w:rFonts w:asciiTheme="minorHAnsi" w:hAnsiTheme="minorHAnsi"/>
          <w:sz w:val="20"/>
          <w:szCs w:val="20"/>
          <w:lang w:val="en-US"/>
        </w:rPr>
        <w:t>r</w:t>
      </w:r>
      <w:r w:rsidRPr="007D47AD">
        <w:rPr>
          <w:rFonts w:asciiTheme="minorHAnsi" w:hAnsiTheme="minorHAnsi"/>
          <w:sz w:val="20"/>
          <w:szCs w:val="20"/>
          <w:lang w:val="en-US"/>
        </w:rPr>
        <w:t xml:space="preserve">s, an email, and the organization’s address. Based on the foregoing, and considering that the State did not submit additional information on compliance and </w:t>
      </w:r>
      <w:r w:rsidR="00246905" w:rsidRPr="007D47AD">
        <w:rPr>
          <w:rFonts w:asciiTheme="minorHAnsi" w:hAnsiTheme="minorHAnsi"/>
          <w:sz w:val="20"/>
          <w:szCs w:val="20"/>
          <w:lang w:val="en-US"/>
        </w:rPr>
        <w:t>follow-up</w:t>
      </w:r>
      <w:r w:rsidRPr="007D47AD">
        <w:rPr>
          <w:rFonts w:asciiTheme="minorHAnsi" w:hAnsiTheme="minorHAnsi"/>
          <w:sz w:val="20"/>
          <w:szCs w:val="20"/>
          <w:lang w:val="en-US"/>
        </w:rPr>
        <w:t xml:space="preserve"> on this recommendation in </w:t>
      </w:r>
      <w:r w:rsidR="009A52CD" w:rsidRPr="007D47AD">
        <w:rPr>
          <w:rFonts w:asciiTheme="minorHAnsi" w:hAnsiTheme="minorHAnsi"/>
          <w:sz w:val="20"/>
          <w:szCs w:val="20"/>
          <w:lang w:val="en-US"/>
        </w:rPr>
        <w:t xml:space="preserve">2019, </w:t>
      </w:r>
      <w:r w:rsidRPr="007D47AD">
        <w:rPr>
          <w:rFonts w:asciiTheme="minorHAnsi" w:hAnsiTheme="minorHAnsi"/>
          <w:sz w:val="20"/>
          <w:szCs w:val="20"/>
          <w:lang w:val="en-US"/>
        </w:rPr>
        <w:t xml:space="preserve">the IACHR considers that it continues to meet with partial compliance. </w:t>
      </w:r>
    </w:p>
    <w:p w:rsidR="00704A83" w:rsidRPr="007D47AD" w:rsidRDefault="00704A83" w:rsidP="00E04DCC">
      <w:pPr>
        <w:shd w:val="clear" w:color="auto" w:fill="FFFFFF"/>
        <w:spacing w:after="0" w:line="240" w:lineRule="auto"/>
        <w:ind w:left="709"/>
        <w:jc w:val="both"/>
        <w:rPr>
          <w:rFonts w:asciiTheme="minorHAnsi" w:hAnsiTheme="minorHAnsi"/>
          <w:sz w:val="20"/>
          <w:szCs w:val="20"/>
          <w:lang w:val="en-US"/>
        </w:rPr>
      </w:pPr>
    </w:p>
    <w:p w:rsidR="00704A83" w:rsidRPr="007D47AD" w:rsidRDefault="000B58F6" w:rsidP="00E04DCC">
      <w:pPr>
        <w:numPr>
          <w:ilvl w:val="0"/>
          <w:numId w:val="6"/>
        </w:numPr>
        <w:shd w:val="clear" w:color="auto" w:fill="FFFFFF"/>
        <w:spacing w:after="0" w:line="240" w:lineRule="auto"/>
        <w:ind w:left="0" w:firstLine="709"/>
        <w:jc w:val="both"/>
        <w:rPr>
          <w:rFonts w:asciiTheme="minorHAnsi" w:hAnsiTheme="minorHAnsi"/>
          <w:sz w:val="20"/>
          <w:szCs w:val="20"/>
          <w:lang w:val="en-US"/>
        </w:rPr>
      </w:pPr>
      <w:r w:rsidRPr="007D47AD">
        <w:rPr>
          <w:rFonts w:asciiTheme="minorHAnsi" w:hAnsiTheme="minorHAnsi"/>
          <w:sz w:val="20"/>
          <w:szCs w:val="20"/>
          <w:lang w:val="en-US"/>
        </w:rPr>
        <w:t xml:space="preserve">As regards the recommendation </w:t>
      </w:r>
      <w:r w:rsidR="00E1002E" w:rsidRPr="007D47AD">
        <w:rPr>
          <w:rFonts w:asciiTheme="minorHAnsi" w:hAnsiTheme="minorHAnsi"/>
          <w:b/>
          <w:sz w:val="20"/>
          <w:szCs w:val="20"/>
          <w:lang w:val="en-US"/>
        </w:rPr>
        <w:t>to encourage the mechanism to adopt a process that allows it to issue protection measures directly and of its own initiative (</w:t>
      </w:r>
      <w:r w:rsidR="00E1002E" w:rsidRPr="007D47AD">
        <w:rPr>
          <w:rFonts w:asciiTheme="minorHAnsi" w:hAnsiTheme="minorHAnsi"/>
          <w:b/>
          <w:i/>
          <w:iCs/>
          <w:sz w:val="20"/>
          <w:szCs w:val="20"/>
          <w:lang w:val="en-US"/>
        </w:rPr>
        <w:t>sua sponte</w:t>
      </w:r>
      <w:r w:rsidR="00E1002E" w:rsidRPr="007D47AD">
        <w:rPr>
          <w:rFonts w:asciiTheme="minorHAnsi" w:hAnsiTheme="minorHAnsi"/>
          <w:b/>
          <w:sz w:val="20"/>
          <w:szCs w:val="20"/>
          <w:lang w:val="en-US"/>
        </w:rPr>
        <w:t>) in those cases which, because of their gravity and urgency, require them immediately</w:t>
      </w:r>
      <w:r w:rsidR="00704A83" w:rsidRPr="007D47AD">
        <w:rPr>
          <w:rFonts w:asciiTheme="minorHAnsi" w:hAnsiTheme="minorHAnsi"/>
          <w:sz w:val="20"/>
          <w:szCs w:val="20"/>
          <w:lang w:val="en-US"/>
        </w:rPr>
        <w:t xml:space="preserve">, </w:t>
      </w:r>
      <w:r w:rsidR="00D83185" w:rsidRPr="007D47AD">
        <w:rPr>
          <w:rFonts w:asciiTheme="minorHAnsi" w:hAnsiTheme="minorHAnsi"/>
          <w:sz w:val="20"/>
          <w:szCs w:val="20"/>
          <w:lang w:val="en-US"/>
        </w:rPr>
        <w:t>i</w:t>
      </w:r>
      <w:r w:rsidR="00F06DD4" w:rsidRPr="007D47AD">
        <w:rPr>
          <w:rFonts w:asciiTheme="minorHAnsi" w:hAnsiTheme="minorHAnsi"/>
          <w:sz w:val="20"/>
          <w:szCs w:val="20"/>
          <w:lang w:val="en-US"/>
        </w:rPr>
        <w:t xml:space="preserve">n </w:t>
      </w:r>
      <w:r w:rsidR="00D83185" w:rsidRPr="007D47AD">
        <w:rPr>
          <w:rFonts w:asciiTheme="minorHAnsi" w:hAnsiTheme="minorHAnsi"/>
          <w:sz w:val="20"/>
          <w:szCs w:val="20"/>
          <w:lang w:val="en-US"/>
        </w:rPr>
        <w:t>its observations on the draft of this report the State indicated that in 2019 the Mechanism granted a total of 663 urgent measures of protection.</w:t>
      </w:r>
      <w:r w:rsidR="00F06DD4" w:rsidRPr="007D47AD">
        <w:rPr>
          <w:rStyle w:val="FootnoteReference"/>
          <w:rFonts w:asciiTheme="minorHAnsi" w:hAnsiTheme="minorHAnsi"/>
          <w:sz w:val="20"/>
          <w:szCs w:val="20"/>
          <w:lang w:val="en-US"/>
        </w:rPr>
        <w:footnoteReference w:id="530"/>
      </w:r>
      <w:r w:rsidR="00F06DD4" w:rsidRPr="007D47AD">
        <w:rPr>
          <w:rFonts w:asciiTheme="minorHAnsi" w:hAnsiTheme="minorHAnsi"/>
          <w:sz w:val="20"/>
          <w:szCs w:val="20"/>
          <w:lang w:val="en-US"/>
        </w:rPr>
        <w:t xml:space="preserve"> </w:t>
      </w:r>
      <w:r w:rsidR="00D83185" w:rsidRPr="007D47AD">
        <w:rPr>
          <w:rFonts w:asciiTheme="minorHAnsi" w:hAnsiTheme="minorHAnsi"/>
          <w:sz w:val="20"/>
          <w:szCs w:val="20"/>
          <w:lang w:val="en-US"/>
        </w:rPr>
        <w:t xml:space="preserve">While the Commission recognizes that the granting of measures of protection shows that the mechanism is working, the recommendation has to do with the </w:t>
      </w:r>
      <w:r w:rsidR="00D83185" w:rsidRPr="007D47AD">
        <w:rPr>
          <w:rFonts w:asciiTheme="minorHAnsi" w:hAnsiTheme="minorHAnsi"/>
          <w:i/>
          <w:iCs/>
          <w:sz w:val="20"/>
          <w:szCs w:val="20"/>
          <w:lang w:val="en-US"/>
        </w:rPr>
        <w:t>sua sponte</w:t>
      </w:r>
      <w:r w:rsidR="00D83185" w:rsidRPr="007D47AD">
        <w:rPr>
          <w:rFonts w:asciiTheme="minorHAnsi" w:hAnsiTheme="minorHAnsi"/>
          <w:sz w:val="20"/>
          <w:szCs w:val="20"/>
          <w:lang w:val="en-US"/>
        </w:rPr>
        <w:t xml:space="preserve"> procedure, with respect to which the State did not provide any information. </w:t>
      </w:r>
      <w:r w:rsidR="00F06DD4" w:rsidRPr="007D47AD">
        <w:rPr>
          <w:rFonts w:asciiTheme="minorHAnsi" w:hAnsiTheme="minorHAnsi"/>
          <w:sz w:val="20"/>
          <w:szCs w:val="20"/>
          <w:lang w:val="en-US"/>
        </w:rPr>
        <w:t xml:space="preserve">Given the aforementioned, </w:t>
      </w:r>
      <w:r w:rsidRPr="007D47AD">
        <w:rPr>
          <w:rFonts w:asciiTheme="minorHAnsi" w:hAnsiTheme="minorHAnsi"/>
          <w:sz w:val="20"/>
          <w:szCs w:val="20"/>
          <w:lang w:val="en-US"/>
        </w:rPr>
        <w:t xml:space="preserve">the IAHCR considers that this recommendation continues to meet with partial compliance. </w:t>
      </w:r>
    </w:p>
    <w:p w:rsidR="00704A83" w:rsidRPr="007D47AD" w:rsidRDefault="00704A83" w:rsidP="00E04DCC">
      <w:pPr>
        <w:shd w:val="clear" w:color="auto" w:fill="FFFFFF"/>
        <w:spacing w:after="0" w:line="240" w:lineRule="auto"/>
        <w:ind w:left="709"/>
        <w:jc w:val="both"/>
        <w:rPr>
          <w:rFonts w:asciiTheme="minorHAnsi" w:hAnsiTheme="minorHAnsi"/>
          <w:sz w:val="20"/>
          <w:szCs w:val="20"/>
          <w:lang w:val="en-US"/>
        </w:rPr>
      </w:pPr>
    </w:p>
    <w:p w:rsidR="00704A83" w:rsidRPr="007D47AD" w:rsidRDefault="000B58F6" w:rsidP="00E04DCC">
      <w:pPr>
        <w:numPr>
          <w:ilvl w:val="0"/>
          <w:numId w:val="6"/>
        </w:numPr>
        <w:shd w:val="clear" w:color="auto" w:fill="FFFFFF"/>
        <w:spacing w:after="0" w:line="240" w:lineRule="auto"/>
        <w:ind w:left="0" w:firstLine="709"/>
        <w:jc w:val="both"/>
        <w:rPr>
          <w:rFonts w:asciiTheme="minorHAnsi" w:hAnsiTheme="minorHAnsi"/>
          <w:sz w:val="20"/>
          <w:szCs w:val="20"/>
          <w:lang w:val="en-US"/>
        </w:rPr>
      </w:pPr>
      <w:r w:rsidRPr="007D47AD">
        <w:rPr>
          <w:rFonts w:asciiTheme="minorHAnsi" w:hAnsiTheme="minorHAnsi"/>
          <w:sz w:val="20"/>
          <w:szCs w:val="20"/>
          <w:lang w:val="en-US"/>
        </w:rPr>
        <w:t xml:space="preserve">As regards the recommendation </w:t>
      </w:r>
      <w:r w:rsidR="00E1002E" w:rsidRPr="007D47AD">
        <w:rPr>
          <w:rFonts w:asciiTheme="minorHAnsi" w:hAnsiTheme="minorHAnsi"/>
          <w:b/>
          <w:sz w:val="20"/>
          <w:szCs w:val="20"/>
          <w:lang w:val="en-US"/>
        </w:rPr>
        <w:t>to urge the State to redouble its efforts to investigate acts that cause the entry and permanence of protected persons into the protection mechanism, with a view towards conducting thorough investigations as prevention policy of the State</w:t>
      </w:r>
      <w:r w:rsidR="00704A83" w:rsidRPr="007D47AD">
        <w:rPr>
          <w:rFonts w:asciiTheme="minorHAnsi" w:hAnsiTheme="minorHAnsi"/>
          <w:sz w:val="20"/>
          <w:szCs w:val="20"/>
          <w:lang w:val="en-US"/>
        </w:rPr>
        <w:t xml:space="preserve">, </w:t>
      </w:r>
      <w:r w:rsidRPr="007D47AD">
        <w:rPr>
          <w:rFonts w:asciiTheme="minorHAnsi" w:hAnsiTheme="minorHAnsi"/>
          <w:sz w:val="20"/>
          <w:szCs w:val="20"/>
          <w:lang w:val="en-US"/>
        </w:rPr>
        <w:t xml:space="preserve">the IACHR did not receive any information on specific actions by the State. Noting the lack of information, the IACHR considers that this recommendation has yet to be implemented. </w:t>
      </w:r>
    </w:p>
    <w:p w:rsidR="00704A83" w:rsidRPr="007D47AD" w:rsidRDefault="00704A83" w:rsidP="00E04DCC">
      <w:pPr>
        <w:shd w:val="clear" w:color="auto" w:fill="FFFFFF"/>
        <w:spacing w:after="0" w:line="240" w:lineRule="auto"/>
        <w:jc w:val="both"/>
        <w:rPr>
          <w:rFonts w:asciiTheme="minorHAnsi" w:hAnsiTheme="minorHAnsi"/>
          <w:sz w:val="20"/>
          <w:szCs w:val="20"/>
          <w:lang w:val="en-US"/>
        </w:rPr>
      </w:pPr>
    </w:p>
    <w:p w:rsidR="00704A83" w:rsidRPr="007D47AD" w:rsidRDefault="000B58F6" w:rsidP="00D577F9">
      <w:pPr>
        <w:numPr>
          <w:ilvl w:val="0"/>
          <w:numId w:val="6"/>
        </w:numPr>
        <w:shd w:val="clear" w:color="auto" w:fill="FFFFFF"/>
        <w:spacing w:after="0" w:line="240" w:lineRule="auto"/>
        <w:ind w:left="0" w:firstLine="709"/>
        <w:jc w:val="both"/>
        <w:rPr>
          <w:rFonts w:asciiTheme="minorHAnsi" w:hAnsiTheme="minorHAnsi"/>
          <w:b/>
          <w:sz w:val="20"/>
          <w:szCs w:val="20"/>
          <w:lang w:val="en-US"/>
        </w:rPr>
      </w:pPr>
      <w:r w:rsidRPr="007D47AD">
        <w:rPr>
          <w:rFonts w:asciiTheme="minorHAnsi" w:hAnsiTheme="minorHAnsi"/>
          <w:sz w:val="20"/>
          <w:szCs w:val="20"/>
          <w:lang w:val="en-US"/>
        </w:rPr>
        <w:t xml:space="preserve">With respect to the recommendation </w:t>
      </w:r>
      <w:r w:rsidR="009D4AE4" w:rsidRPr="007D47AD">
        <w:rPr>
          <w:rFonts w:asciiTheme="minorHAnsi" w:hAnsiTheme="minorHAnsi"/>
          <w:b/>
          <w:sz w:val="20"/>
          <w:szCs w:val="20"/>
          <w:lang w:val="en-US"/>
        </w:rPr>
        <w:t xml:space="preserve">to encourage the mechanism to adopt tools that allow it to evaluate the effectiveness of the implemented protection measures, as well as </w:t>
      </w:r>
      <w:r w:rsidR="002016AE" w:rsidRPr="007D47AD">
        <w:rPr>
          <w:rFonts w:asciiTheme="minorHAnsi" w:hAnsiTheme="minorHAnsi"/>
          <w:b/>
          <w:sz w:val="20"/>
          <w:szCs w:val="20"/>
          <w:lang w:val="en-US"/>
        </w:rPr>
        <w:t xml:space="preserve">to </w:t>
      </w:r>
      <w:r w:rsidR="009D4AE4" w:rsidRPr="007D47AD">
        <w:rPr>
          <w:rFonts w:asciiTheme="minorHAnsi" w:hAnsiTheme="minorHAnsi"/>
          <w:b/>
          <w:sz w:val="20"/>
          <w:szCs w:val="20"/>
          <w:lang w:val="en-US"/>
        </w:rPr>
        <w:t xml:space="preserve">increase </w:t>
      </w:r>
      <w:r w:rsidR="009D4AE4" w:rsidRPr="007D47AD">
        <w:rPr>
          <w:rFonts w:asciiTheme="minorHAnsi" w:hAnsiTheme="minorHAnsi"/>
          <w:b/>
          <w:sz w:val="20"/>
          <w:szCs w:val="20"/>
          <w:lang w:val="en-US"/>
        </w:rPr>
        <w:lastRenderedPageBreak/>
        <w:t>transparency of all its action to increase the trust of beneficiaries</w:t>
      </w:r>
      <w:r w:rsidR="002016AE" w:rsidRPr="007D47AD">
        <w:rPr>
          <w:rFonts w:asciiTheme="minorHAnsi" w:hAnsiTheme="minorHAnsi"/>
          <w:b/>
          <w:sz w:val="20"/>
          <w:szCs w:val="20"/>
          <w:lang w:val="en-US"/>
        </w:rPr>
        <w:t>; t</w:t>
      </w:r>
      <w:r w:rsidR="009D4AE4" w:rsidRPr="007D47AD">
        <w:rPr>
          <w:rFonts w:asciiTheme="minorHAnsi" w:hAnsiTheme="minorHAnsi"/>
          <w:b/>
          <w:sz w:val="20"/>
          <w:szCs w:val="20"/>
          <w:lang w:val="en-US"/>
        </w:rPr>
        <w:t>he foregoing shall be accompanied by a policy of prevention and participation by the population object of the mechanism</w:t>
      </w:r>
      <w:r w:rsidR="00704A83" w:rsidRPr="007D47AD">
        <w:rPr>
          <w:rFonts w:asciiTheme="minorHAnsi" w:hAnsiTheme="minorHAnsi"/>
          <w:b/>
          <w:sz w:val="20"/>
          <w:szCs w:val="20"/>
          <w:lang w:val="en-US"/>
        </w:rPr>
        <w:t>,</w:t>
      </w:r>
      <w:r w:rsidR="00704A83" w:rsidRPr="007D47AD">
        <w:rPr>
          <w:rFonts w:asciiTheme="minorHAnsi" w:hAnsiTheme="minorHAnsi"/>
          <w:sz w:val="20"/>
          <w:szCs w:val="20"/>
          <w:lang w:val="en-US"/>
        </w:rPr>
        <w:t xml:space="preserve"> </w:t>
      </w:r>
      <w:r w:rsidR="00D83185" w:rsidRPr="007D47AD">
        <w:rPr>
          <w:rFonts w:asciiTheme="minorHAnsi" w:hAnsiTheme="minorHAnsi"/>
          <w:sz w:val="20"/>
          <w:szCs w:val="20"/>
          <w:lang w:val="en-US"/>
        </w:rPr>
        <w:t>in its observations on the draft of this report the State indicated that the Mechanism may be contacted electronically and that it posts statistical and budgetary information on its website.</w:t>
      </w:r>
      <w:r w:rsidR="00F06DD4" w:rsidRPr="007D47AD">
        <w:rPr>
          <w:rStyle w:val="FootnoteReference"/>
          <w:rFonts w:asciiTheme="minorHAnsi" w:hAnsiTheme="minorHAnsi"/>
          <w:sz w:val="20"/>
          <w:szCs w:val="20"/>
          <w:lang w:val="en-US"/>
        </w:rPr>
        <w:footnoteReference w:id="531"/>
      </w:r>
      <w:r w:rsidR="00F06DD4" w:rsidRPr="007D47AD">
        <w:rPr>
          <w:rFonts w:asciiTheme="minorHAnsi" w:hAnsiTheme="minorHAnsi"/>
          <w:sz w:val="20"/>
          <w:szCs w:val="20"/>
          <w:lang w:val="en-US"/>
        </w:rPr>
        <w:t xml:space="preserve"> Noting </w:t>
      </w:r>
      <w:r w:rsidRPr="007D47AD">
        <w:rPr>
          <w:rFonts w:asciiTheme="minorHAnsi" w:hAnsiTheme="minorHAnsi"/>
          <w:sz w:val="20"/>
          <w:szCs w:val="20"/>
          <w:lang w:val="en-US"/>
        </w:rPr>
        <w:t xml:space="preserve">the lack of </w:t>
      </w:r>
      <w:r w:rsidR="00F06DD4" w:rsidRPr="007D47AD">
        <w:rPr>
          <w:rFonts w:asciiTheme="minorHAnsi" w:hAnsiTheme="minorHAnsi"/>
          <w:sz w:val="20"/>
          <w:szCs w:val="20"/>
          <w:lang w:val="en-US"/>
        </w:rPr>
        <w:t xml:space="preserve">specific </w:t>
      </w:r>
      <w:r w:rsidRPr="007D47AD">
        <w:rPr>
          <w:rFonts w:asciiTheme="minorHAnsi" w:hAnsiTheme="minorHAnsi"/>
          <w:sz w:val="20"/>
          <w:szCs w:val="20"/>
          <w:lang w:val="en-US"/>
        </w:rPr>
        <w:t xml:space="preserve">information, the IACHR considers that this recommendation has yet to be implemented. </w:t>
      </w:r>
    </w:p>
    <w:p w:rsidR="00D577F9" w:rsidRPr="007D47AD" w:rsidRDefault="00D577F9" w:rsidP="00D577F9">
      <w:pPr>
        <w:shd w:val="clear" w:color="auto" w:fill="FFFFFF"/>
        <w:spacing w:after="0" w:line="240" w:lineRule="auto"/>
        <w:jc w:val="both"/>
        <w:rPr>
          <w:rFonts w:asciiTheme="minorHAnsi" w:hAnsiTheme="minorHAnsi"/>
          <w:b/>
          <w:sz w:val="20"/>
          <w:szCs w:val="20"/>
          <w:lang w:val="en-US"/>
        </w:rPr>
      </w:pPr>
    </w:p>
    <w:p w:rsidR="009C095D" w:rsidRPr="007D47AD" w:rsidRDefault="009C095D" w:rsidP="00E472A2">
      <w:pPr>
        <w:pStyle w:val="Heading1"/>
        <w:numPr>
          <w:ilvl w:val="0"/>
          <w:numId w:val="5"/>
        </w:numPr>
        <w:rPr>
          <w:rFonts w:asciiTheme="minorHAnsi" w:hAnsiTheme="minorHAnsi"/>
          <w:sz w:val="20"/>
          <w:lang w:val="en-US"/>
        </w:rPr>
      </w:pPr>
      <w:r w:rsidRPr="007D47AD">
        <w:rPr>
          <w:rFonts w:asciiTheme="minorHAnsi" w:hAnsiTheme="minorHAnsi"/>
          <w:sz w:val="20"/>
          <w:lang w:val="en-US"/>
        </w:rPr>
        <w:t>CONCLUSIONS</w:t>
      </w:r>
    </w:p>
    <w:p w:rsidR="009C095D" w:rsidRPr="007D47AD" w:rsidRDefault="0094663F" w:rsidP="00E472A2">
      <w:pPr>
        <w:numPr>
          <w:ilvl w:val="0"/>
          <w:numId w:val="23"/>
        </w:numPr>
        <w:shd w:val="clear" w:color="auto" w:fill="FFFFFF"/>
        <w:spacing w:after="240" w:line="240" w:lineRule="auto"/>
        <w:ind w:left="0" w:firstLine="720"/>
        <w:jc w:val="both"/>
        <w:rPr>
          <w:rFonts w:asciiTheme="minorHAnsi" w:hAnsiTheme="minorHAnsi"/>
          <w:sz w:val="20"/>
          <w:szCs w:val="20"/>
          <w:lang w:val="en-US"/>
        </w:rPr>
      </w:pPr>
      <w:r w:rsidRPr="007D47AD">
        <w:rPr>
          <w:rFonts w:asciiTheme="minorHAnsi" w:hAnsiTheme="minorHAnsi"/>
          <w:sz w:val="20"/>
          <w:szCs w:val="20"/>
          <w:lang w:val="en-US"/>
        </w:rPr>
        <w:t>The Commission reiterates to the Mexican State the recommendations made in its 2015 Country Report. While there have been significant gains in implementing the recommendations, serious challenges persist in relation to protectio</w:t>
      </w:r>
      <w:r w:rsidR="002016AE" w:rsidRPr="007D47AD">
        <w:rPr>
          <w:rFonts w:asciiTheme="minorHAnsi" w:hAnsiTheme="minorHAnsi"/>
          <w:sz w:val="20"/>
          <w:szCs w:val="20"/>
          <w:lang w:val="en-US"/>
        </w:rPr>
        <w:t>n for</w:t>
      </w:r>
      <w:r w:rsidRPr="007D47AD">
        <w:rPr>
          <w:rFonts w:asciiTheme="minorHAnsi" w:hAnsiTheme="minorHAnsi"/>
          <w:sz w:val="20"/>
          <w:szCs w:val="20"/>
          <w:lang w:val="en-US"/>
        </w:rPr>
        <w:t xml:space="preserve"> vulnerable populations, security, and impunity. </w:t>
      </w:r>
    </w:p>
    <w:p w:rsidR="009C095D" w:rsidRPr="007D47AD" w:rsidRDefault="00CB1259" w:rsidP="000735DE">
      <w:pPr>
        <w:numPr>
          <w:ilvl w:val="0"/>
          <w:numId w:val="23"/>
        </w:numPr>
        <w:shd w:val="clear" w:color="auto" w:fill="FFFFFF"/>
        <w:spacing w:after="240" w:line="240" w:lineRule="auto"/>
        <w:ind w:left="0" w:firstLine="720"/>
        <w:jc w:val="both"/>
        <w:rPr>
          <w:rFonts w:ascii="Cambria" w:hAnsi="Cambria"/>
          <w:sz w:val="20"/>
          <w:szCs w:val="20"/>
          <w:lang w:val="en-US"/>
        </w:rPr>
      </w:pPr>
      <w:r w:rsidRPr="007D47AD">
        <w:rPr>
          <w:rFonts w:asciiTheme="minorHAnsi" w:hAnsiTheme="minorHAnsi"/>
          <w:sz w:val="20"/>
          <w:szCs w:val="20"/>
          <w:lang w:val="en-US"/>
        </w:rPr>
        <w:t>Dur</w:t>
      </w:r>
      <w:r w:rsidR="0094663F" w:rsidRPr="007D47AD">
        <w:rPr>
          <w:rFonts w:asciiTheme="minorHAnsi" w:hAnsiTheme="minorHAnsi"/>
          <w:sz w:val="20"/>
          <w:szCs w:val="20"/>
          <w:lang w:val="en-US"/>
        </w:rPr>
        <w:t>ing</w:t>
      </w:r>
      <w:r w:rsidRPr="007D47AD">
        <w:rPr>
          <w:rFonts w:asciiTheme="minorHAnsi" w:hAnsiTheme="minorHAnsi"/>
          <w:sz w:val="20"/>
          <w:szCs w:val="20"/>
          <w:lang w:val="en-US"/>
        </w:rPr>
        <w:t xml:space="preserve"> 2019</w:t>
      </w:r>
      <w:r w:rsidR="009C095D" w:rsidRPr="007D47AD">
        <w:rPr>
          <w:rFonts w:asciiTheme="minorHAnsi" w:hAnsiTheme="minorHAnsi"/>
          <w:sz w:val="20"/>
          <w:szCs w:val="20"/>
          <w:lang w:val="en-US"/>
        </w:rPr>
        <w:t xml:space="preserve"> </w:t>
      </w:r>
      <w:r w:rsidR="0094663F" w:rsidRPr="007D47AD">
        <w:rPr>
          <w:rFonts w:asciiTheme="minorHAnsi" w:hAnsiTheme="minorHAnsi"/>
          <w:sz w:val="20"/>
          <w:szCs w:val="20"/>
          <w:lang w:val="en-US"/>
        </w:rPr>
        <w:t>the high number of disappearances and homicides without a proper investigation continue to be matters of special concern, as well as the situation of insecurity of the persons or groups most exposed for reasons of historical discrimination, such as women, children, migrants, indi</w:t>
      </w:r>
      <w:r w:rsidR="002016AE" w:rsidRPr="007D47AD">
        <w:rPr>
          <w:rFonts w:asciiTheme="minorHAnsi" w:hAnsiTheme="minorHAnsi"/>
          <w:sz w:val="20"/>
          <w:szCs w:val="20"/>
          <w:lang w:val="en-US"/>
        </w:rPr>
        <w:t>g</w:t>
      </w:r>
      <w:r w:rsidR="0094663F" w:rsidRPr="007D47AD">
        <w:rPr>
          <w:rFonts w:asciiTheme="minorHAnsi" w:hAnsiTheme="minorHAnsi"/>
          <w:sz w:val="20"/>
          <w:szCs w:val="20"/>
          <w:lang w:val="en-US"/>
        </w:rPr>
        <w:t>enou</w:t>
      </w:r>
      <w:r w:rsidR="002016AE" w:rsidRPr="007D47AD">
        <w:rPr>
          <w:rFonts w:asciiTheme="minorHAnsi" w:hAnsiTheme="minorHAnsi"/>
          <w:sz w:val="20"/>
          <w:szCs w:val="20"/>
          <w:lang w:val="en-US"/>
        </w:rPr>
        <w:t>s</w:t>
      </w:r>
      <w:r w:rsidR="0094663F" w:rsidRPr="007D47AD">
        <w:rPr>
          <w:rFonts w:asciiTheme="minorHAnsi" w:hAnsiTheme="minorHAnsi"/>
          <w:sz w:val="20"/>
          <w:szCs w:val="20"/>
          <w:lang w:val="en-US"/>
        </w:rPr>
        <w:t xml:space="preserve"> </w:t>
      </w:r>
      <w:r w:rsidR="003A1482" w:rsidRPr="007D47AD">
        <w:rPr>
          <w:rFonts w:asciiTheme="minorHAnsi" w:hAnsiTheme="minorHAnsi"/>
          <w:sz w:val="20"/>
          <w:szCs w:val="20"/>
          <w:lang w:val="en-US"/>
        </w:rPr>
        <w:t>peoples, African decedents persons</w:t>
      </w:r>
      <w:r w:rsidR="0094663F" w:rsidRPr="007D47AD">
        <w:rPr>
          <w:rFonts w:asciiTheme="minorHAnsi" w:hAnsiTheme="minorHAnsi"/>
          <w:sz w:val="20"/>
          <w:szCs w:val="20"/>
          <w:lang w:val="en-US"/>
        </w:rPr>
        <w:t xml:space="preserve">, </w:t>
      </w:r>
      <w:r w:rsidR="000735DE" w:rsidRPr="007D47AD">
        <w:rPr>
          <w:rFonts w:ascii="Cambria" w:hAnsi="Cambria"/>
          <w:sz w:val="20"/>
          <w:szCs w:val="20"/>
          <w:lang w:val="en-US"/>
        </w:rPr>
        <w:t>person</w:t>
      </w:r>
      <w:r w:rsidR="0094663F" w:rsidRPr="007D47AD">
        <w:rPr>
          <w:rFonts w:ascii="Cambria" w:hAnsi="Cambria"/>
          <w:sz w:val="20"/>
          <w:szCs w:val="20"/>
          <w:lang w:val="en-US"/>
        </w:rPr>
        <w:t>s deprived of liberty</w:t>
      </w:r>
      <w:r w:rsidR="000735DE" w:rsidRPr="007D47AD">
        <w:rPr>
          <w:rFonts w:ascii="Cambria" w:hAnsi="Cambria"/>
          <w:sz w:val="20"/>
          <w:szCs w:val="20"/>
          <w:lang w:val="en-US"/>
        </w:rPr>
        <w:t>, o</w:t>
      </w:r>
      <w:r w:rsidR="0094663F" w:rsidRPr="007D47AD">
        <w:rPr>
          <w:rFonts w:ascii="Cambria" w:hAnsi="Cambria"/>
          <w:sz w:val="20"/>
          <w:szCs w:val="20"/>
          <w:lang w:val="en-US"/>
        </w:rPr>
        <w:t xml:space="preserve">r for their activities, such as human rights defenders and journalists, who are victims of assassinations, disappearances, kidnappings, torture, threats, and harassment. </w:t>
      </w:r>
    </w:p>
    <w:p w:rsidR="00ED6C9E" w:rsidRPr="007D47AD" w:rsidRDefault="0094663F" w:rsidP="00ED6C9E">
      <w:pPr>
        <w:numPr>
          <w:ilvl w:val="0"/>
          <w:numId w:val="23"/>
        </w:numPr>
        <w:shd w:val="clear" w:color="auto" w:fill="FFFFFF"/>
        <w:spacing w:after="240" w:line="240" w:lineRule="auto"/>
        <w:ind w:left="0" w:firstLine="720"/>
        <w:jc w:val="both"/>
        <w:rPr>
          <w:rFonts w:asciiTheme="minorHAnsi" w:hAnsiTheme="minorHAnsi"/>
          <w:sz w:val="20"/>
          <w:szCs w:val="20"/>
          <w:lang w:val="en-US"/>
        </w:rPr>
      </w:pPr>
      <w:r w:rsidRPr="007D47AD">
        <w:rPr>
          <w:rFonts w:asciiTheme="minorHAnsi" w:hAnsiTheme="minorHAnsi"/>
          <w:sz w:val="20"/>
          <w:szCs w:val="20"/>
          <w:lang w:val="en-US"/>
        </w:rPr>
        <w:t>As the Commission noted in its Country Report, the challenge of the Mexican State is to close the gap between its legal framework and recognition of human rights</w:t>
      </w:r>
      <w:r w:rsidR="002016AE" w:rsidRPr="007D47AD">
        <w:rPr>
          <w:rFonts w:asciiTheme="minorHAnsi" w:hAnsiTheme="minorHAnsi"/>
          <w:sz w:val="20"/>
          <w:szCs w:val="20"/>
          <w:lang w:val="en-US"/>
        </w:rPr>
        <w:t>, on the one hand, and</w:t>
      </w:r>
      <w:r w:rsidRPr="007D47AD">
        <w:rPr>
          <w:rFonts w:asciiTheme="minorHAnsi" w:hAnsiTheme="minorHAnsi"/>
          <w:sz w:val="20"/>
          <w:szCs w:val="20"/>
          <w:lang w:val="en-US"/>
        </w:rPr>
        <w:t xml:space="preserve"> the reality experienced by a large number of inhabitants when they see</w:t>
      </w:r>
      <w:r w:rsidR="002016AE" w:rsidRPr="007D47AD">
        <w:rPr>
          <w:rFonts w:asciiTheme="minorHAnsi" w:hAnsiTheme="minorHAnsi"/>
          <w:sz w:val="20"/>
          <w:szCs w:val="20"/>
          <w:lang w:val="en-US"/>
        </w:rPr>
        <w:t>k</w:t>
      </w:r>
      <w:r w:rsidRPr="007D47AD">
        <w:rPr>
          <w:rFonts w:asciiTheme="minorHAnsi" w:hAnsiTheme="minorHAnsi"/>
          <w:sz w:val="20"/>
          <w:szCs w:val="20"/>
          <w:lang w:val="en-US"/>
        </w:rPr>
        <w:t xml:space="preserve"> prompt and effective justice, and concomitantly </w:t>
      </w:r>
      <w:r w:rsidR="002016AE" w:rsidRPr="007D47AD">
        <w:rPr>
          <w:rFonts w:asciiTheme="minorHAnsi" w:hAnsiTheme="minorHAnsi"/>
          <w:sz w:val="20"/>
          <w:szCs w:val="20"/>
          <w:lang w:val="en-US"/>
        </w:rPr>
        <w:t xml:space="preserve">to </w:t>
      </w:r>
      <w:r w:rsidRPr="007D47AD">
        <w:rPr>
          <w:rFonts w:asciiTheme="minorHAnsi" w:hAnsiTheme="minorHAnsi"/>
          <w:sz w:val="20"/>
          <w:szCs w:val="20"/>
          <w:lang w:val="en-US"/>
        </w:rPr>
        <w:t xml:space="preserve">redouble its efforts to prevent human rights violations. </w:t>
      </w:r>
    </w:p>
    <w:p w:rsidR="009C095D" w:rsidRPr="007D47AD" w:rsidRDefault="0094663F" w:rsidP="00E472A2">
      <w:pPr>
        <w:numPr>
          <w:ilvl w:val="0"/>
          <w:numId w:val="23"/>
        </w:numPr>
        <w:shd w:val="clear" w:color="auto" w:fill="FFFFFF"/>
        <w:spacing w:after="240" w:line="240" w:lineRule="auto"/>
        <w:ind w:left="0" w:firstLine="720"/>
        <w:jc w:val="both"/>
        <w:rPr>
          <w:rFonts w:asciiTheme="minorHAnsi" w:hAnsiTheme="minorHAnsi"/>
          <w:sz w:val="20"/>
          <w:szCs w:val="20"/>
          <w:lang w:val="en-US"/>
        </w:rPr>
      </w:pPr>
      <w:r w:rsidRPr="007D47AD">
        <w:rPr>
          <w:rFonts w:asciiTheme="minorHAnsi" w:hAnsiTheme="minorHAnsi"/>
          <w:sz w:val="20"/>
          <w:szCs w:val="20"/>
          <w:lang w:val="en-US"/>
        </w:rPr>
        <w:t>Access to justice continues to pose one of the most important challenges to the Mexican State</w:t>
      </w:r>
      <w:r w:rsidR="009C095D" w:rsidRPr="007D47AD">
        <w:rPr>
          <w:rFonts w:asciiTheme="minorHAnsi" w:hAnsiTheme="minorHAnsi"/>
          <w:sz w:val="20"/>
          <w:szCs w:val="20"/>
          <w:lang w:val="en-US"/>
        </w:rPr>
        <w:t xml:space="preserve">. </w:t>
      </w:r>
      <w:r w:rsidRPr="007D47AD">
        <w:rPr>
          <w:rFonts w:asciiTheme="minorHAnsi" w:hAnsiTheme="minorHAnsi"/>
          <w:sz w:val="20"/>
          <w:szCs w:val="20"/>
          <w:lang w:val="en-US"/>
        </w:rPr>
        <w:t>Efficient and effective justice is key in the fight against impunity and the central line in response to any human rights violation.</w:t>
      </w:r>
      <w:r w:rsidR="009C095D" w:rsidRPr="007D47AD">
        <w:rPr>
          <w:rFonts w:asciiTheme="minorHAnsi" w:hAnsiTheme="minorHAnsi"/>
          <w:sz w:val="20"/>
          <w:szCs w:val="20"/>
          <w:lang w:val="en-US"/>
        </w:rPr>
        <w:t xml:space="preserve">  </w:t>
      </w:r>
    </w:p>
    <w:p w:rsidR="009C095D" w:rsidRPr="007D47AD" w:rsidRDefault="0094663F" w:rsidP="00E472A2">
      <w:pPr>
        <w:numPr>
          <w:ilvl w:val="0"/>
          <w:numId w:val="23"/>
        </w:numPr>
        <w:shd w:val="clear" w:color="auto" w:fill="FFFFFF"/>
        <w:spacing w:after="240" w:line="240" w:lineRule="auto"/>
        <w:ind w:left="0" w:firstLine="720"/>
        <w:jc w:val="both"/>
        <w:rPr>
          <w:rFonts w:asciiTheme="minorHAnsi" w:hAnsiTheme="minorHAnsi"/>
          <w:sz w:val="20"/>
          <w:szCs w:val="20"/>
          <w:lang w:val="en-US"/>
        </w:rPr>
      </w:pPr>
      <w:r w:rsidRPr="007D47AD">
        <w:rPr>
          <w:rFonts w:asciiTheme="minorHAnsi" w:hAnsiTheme="minorHAnsi"/>
          <w:sz w:val="20"/>
          <w:szCs w:val="20"/>
          <w:lang w:val="en-US"/>
        </w:rPr>
        <w:t xml:space="preserve">The Commission reaffirms its commitment to collaborate with the Mexican State in the search for solutions to the problems and challenges identified, and to offer accompaniment in carrying out its international obligations in respect of human rights. </w:t>
      </w:r>
    </w:p>
    <w:sectPr w:rsidR="009C095D" w:rsidRPr="007D47AD" w:rsidSect="00EF7A9E">
      <w:headerReference w:type="default" r:id="rId10"/>
      <w:footerReference w:type="default" r:id="rId11"/>
      <w:headerReference w:type="first" r:id="rId12"/>
      <w:footerReference w:type="first" r:id="rId13"/>
      <w:pgSz w:w="12240" w:h="15840"/>
      <w:pgMar w:top="1440" w:right="1440" w:bottom="1440" w:left="1440" w:header="720" w:footer="720" w:gutter="0"/>
      <w:pgNumType w:start="68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154" w:rsidRDefault="00523154" w:rsidP="00A343FF">
      <w:pPr>
        <w:spacing w:after="0" w:line="240" w:lineRule="auto"/>
      </w:pPr>
      <w:r>
        <w:separator/>
      </w:r>
    </w:p>
  </w:endnote>
  <w:endnote w:type="continuationSeparator" w:id="0">
    <w:p w:rsidR="00523154" w:rsidRDefault="00523154" w:rsidP="00A34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ucida Grande">
    <w:altName w:val="Times New Roman"/>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7" w:usb1="00000000" w:usb2="00000000" w:usb3="00000000" w:csb0="00000093" w:csb1="00000000"/>
  </w:font>
  <w:font w:name="TimesNewRomanPSMT">
    <w:altName w:val="Times New Roman"/>
    <w:panose1 w:val="00000000000000000000"/>
    <w:charset w:val="4D"/>
    <w:family w:val="roman"/>
    <w:notTrueType/>
    <w:pitch w:val="default"/>
    <w:sig w:usb0="03000000" w:usb1="00000000" w:usb2="00000000" w:usb3="00000000" w:csb0="00000001" w:csb1="00000000"/>
  </w:font>
  <w:font w:name="ArialMT">
    <w:altName w:val="MS Gothic"/>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Didot">
    <w:charset w:val="00"/>
    <w:family w:val="auto"/>
    <w:pitch w:val="variable"/>
    <w:sig w:usb0="80000067" w:usb1="00000000" w:usb2="00000000" w:usb3="00000000" w:csb0="000001FB" w:csb1="00000000"/>
  </w:font>
  <w:font w:name="Montserrat">
    <w:altName w:val="Montserrat"/>
    <w:panose1 w:val="00000000000000000000"/>
    <w:charset w:val="00"/>
    <w:family w:val="swiss"/>
    <w:notTrueType/>
    <w:pitch w:val="default"/>
    <w:sig w:usb0="00000003" w:usb1="00000000" w:usb2="00000000" w:usb3="00000000" w:csb0="00000001" w:csb1="00000000"/>
  </w:font>
  <w:font w:name="Cambria-Italic">
    <w:charset w:val="00"/>
    <w:family w:val="auto"/>
    <w:pitch w:val="variable"/>
    <w:sig w:usb0="E00002FF" w:usb1="4000045F" w:usb2="00000000" w:usb3="00000000" w:csb0="0000019F" w:csb1="00000000"/>
  </w:font>
  <w:font w:name="Montserrat-Medium">
    <w:panose1 w:val="00000000000000000000"/>
    <w:charset w:val="00"/>
    <w:family w:val="swiss"/>
    <w:notTrueType/>
    <w:pitch w:val="default"/>
    <w:sig w:usb0="00000003" w:usb1="00000000" w:usb2="00000000" w:usb3="00000000" w:csb0="00000001" w:csb1="00000000"/>
  </w:font>
  <w:font w:name="Montserrat-Italic">
    <w:panose1 w:val="00000000000000000000"/>
    <w:charset w:val="00"/>
    <w:family w:val="swiss"/>
    <w:notTrueType/>
    <w:pitch w:val="default"/>
    <w:sig w:usb0="00000003" w:usb1="00000000" w:usb2="00000000" w:usb3="00000000" w:csb0="00000001" w:csb1="00000000"/>
  </w:font>
  <w:font w:name="Montserrat-Regular">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F1D" w:rsidRPr="007B054E" w:rsidRDefault="00385F1D" w:rsidP="007B054E">
    <w:pPr>
      <w:pStyle w:val="Footer"/>
      <w:jc w:val="center"/>
      <w:rPr>
        <w:color w:val="7F7F7F"/>
        <w:sz w:val="16"/>
      </w:rPr>
    </w:pPr>
    <w:r w:rsidRPr="00A72869">
      <w:rPr>
        <w:color w:val="7F7F7F"/>
        <w:sz w:val="16"/>
      </w:rPr>
      <w:fldChar w:fldCharType="begin"/>
    </w:r>
    <w:r w:rsidRPr="00A72869">
      <w:rPr>
        <w:color w:val="7F7F7F"/>
        <w:sz w:val="16"/>
      </w:rPr>
      <w:instrText xml:space="preserve"> PAGE   \* MERGEFORMAT </w:instrText>
    </w:r>
    <w:r w:rsidRPr="00A72869">
      <w:rPr>
        <w:color w:val="7F7F7F"/>
        <w:sz w:val="16"/>
      </w:rPr>
      <w:fldChar w:fldCharType="separate"/>
    </w:r>
    <w:r w:rsidR="00EF7A9E">
      <w:rPr>
        <w:noProof/>
        <w:color w:val="7F7F7F"/>
        <w:sz w:val="16"/>
      </w:rPr>
      <w:t>773</w:t>
    </w:r>
    <w:r w:rsidRPr="00A72869">
      <w:rPr>
        <w:noProof/>
        <w:color w:val="7F7F7F"/>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F1D" w:rsidRPr="003A4802" w:rsidRDefault="00385F1D" w:rsidP="003A4802">
    <w:pPr>
      <w:pStyle w:val="Footer"/>
      <w:spacing w:line="36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154" w:rsidRDefault="00523154" w:rsidP="00A343FF">
      <w:pPr>
        <w:spacing w:after="0" w:line="240" w:lineRule="auto"/>
      </w:pPr>
      <w:r>
        <w:separator/>
      </w:r>
    </w:p>
  </w:footnote>
  <w:footnote w:type="continuationSeparator" w:id="0">
    <w:p w:rsidR="00523154" w:rsidRDefault="00523154" w:rsidP="00A343FF">
      <w:pPr>
        <w:spacing w:after="0" w:line="240" w:lineRule="auto"/>
      </w:pPr>
      <w:r>
        <w:continuationSeparator/>
      </w:r>
    </w:p>
  </w:footnote>
  <w:footnote w:id="1">
    <w:p w:rsidR="00385F1D" w:rsidRPr="007D47AD" w:rsidRDefault="00385F1D" w:rsidP="00C66025">
      <w:pPr>
        <w:pStyle w:val="FootnoteText"/>
        <w:spacing w:after="120"/>
        <w:rPr>
          <w:lang w:val="en-US"/>
        </w:rPr>
      </w:pPr>
      <w:r w:rsidRPr="007D47AD">
        <w:rPr>
          <w:rStyle w:val="FootnoteReference"/>
          <w:rFonts w:asciiTheme="minorHAnsi" w:hAnsiTheme="minorHAnsi"/>
          <w:lang w:val="en-US"/>
        </w:rPr>
        <w:t>*</w:t>
      </w:r>
      <w:r w:rsidRPr="007D47AD">
        <w:rPr>
          <w:lang w:val="en-US"/>
        </w:rPr>
        <w:t xml:space="preserve"> In accordance with Article 17(2) of the Rules of Procedure of the IACHR, Commissioner Joel Hernández, a Mexican national, did not participate in the discussion, research, deliberation or adoption of this report.</w:t>
      </w:r>
    </w:p>
  </w:footnote>
  <w:footnote w:id="2">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n-US"/>
        </w:rPr>
        <w:t xml:space="preserve"> Communication from the Mexican State. Report of the Mexican State on follow-up to the recommendations contained in the Report entitled "The Human Rights Situation in Mexico.”  </w:t>
      </w:r>
      <w:r w:rsidRPr="007D47AD">
        <w:rPr>
          <w:lang w:val="es-419"/>
        </w:rPr>
        <w:t>Note OEA 03282, November 29, 2019.</w:t>
      </w:r>
    </w:p>
  </w:footnote>
  <w:footnote w:id="3">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Sexto Informe del Estado mexicano sobre el cumplimiento y seguimiento de las recomendaciones contenidas en el informe “Situación de los Derechos Humanos en México,” pp. 1-2.</w:t>
      </w:r>
    </w:p>
  </w:footnote>
  <w:footnote w:id="4">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Sexto Informe del Estado mexicano sobre el cumplimiento y seguimiento de las recomendaciones contenidas en el informe “Situación de los Derechos Humanos en México,” pp. 1-2.</w:t>
      </w:r>
    </w:p>
  </w:footnote>
  <w:footnote w:id="5">
    <w:p w:rsidR="00385F1D" w:rsidRPr="007D47AD" w:rsidRDefault="00385F1D" w:rsidP="00C66025">
      <w:pPr>
        <w:pStyle w:val="FootnoteText"/>
        <w:spacing w:after="120"/>
        <w:rPr>
          <w:lang w:val="en-US"/>
        </w:rPr>
      </w:pPr>
      <w:r w:rsidRPr="007D47AD">
        <w:rPr>
          <w:rStyle w:val="FootnoteReference"/>
          <w:lang w:val="en-US"/>
        </w:rPr>
        <w:footnoteRef/>
      </w:r>
      <w:r w:rsidRPr="007D47AD">
        <w:rPr>
          <w:lang w:val="es-419"/>
        </w:rPr>
        <w:t xml:space="preserve"> Diplomatic note OEA00088/4.2.0.1 Observaciones y comentarios del Estado mexicano al proyecto de Capítulo V sobre el seguimiento a las recomendaciones formuladas por la Comisión </w:t>
      </w:r>
      <w:r w:rsidR="007D47AD" w:rsidRPr="007D47AD">
        <w:rPr>
          <w:lang w:val="es-419"/>
        </w:rPr>
        <w:t>Interamericana</w:t>
      </w:r>
      <w:r w:rsidRPr="007D47AD">
        <w:rPr>
          <w:lang w:val="es-419"/>
        </w:rPr>
        <w:t xml:space="preserve"> de Derechos Humanos en el Informe sobre la “Situación de los derechos humanos en México.” </w:t>
      </w:r>
      <w:r w:rsidRPr="007D47AD">
        <w:rPr>
          <w:lang w:val="en-US"/>
        </w:rPr>
        <w:t>January 13, 2020. [Hereinafter “Observations and comments by the State, January 13, 2020.”]</w:t>
      </w:r>
    </w:p>
  </w:footnote>
  <w:footnote w:id="6">
    <w:p w:rsidR="00385F1D" w:rsidRPr="007D47AD" w:rsidRDefault="00385F1D" w:rsidP="00C66025">
      <w:pPr>
        <w:pStyle w:val="FootnoteText"/>
        <w:spacing w:after="120"/>
        <w:rPr>
          <w:lang w:val="en-US"/>
        </w:rPr>
      </w:pPr>
      <w:r w:rsidRPr="007D47AD">
        <w:rPr>
          <w:rStyle w:val="FootnoteReference"/>
          <w:lang w:val="en-US"/>
        </w:rPr>
        <w:footnoteRef/>
      </w:r>
      <w:r w:rsidRPr="007D47AD">
        <w:rPr>
          <w:lang w:val="en-US"/>
        </w:rPr>
        <w:t xml:space="preserve"> Observations and comments by the State, January 13, 2020, p. 30.</w:t>
      </w:r>
    </w:p>
  </w:footnote>
  <w:footnote w:id="7">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Sexto Informe del Estado mexicano sobre el cumplimiento y seguimiento de las recomendaciones contenidas en el informe “Situación de los Derechos Humanos en México,” pp. 5-6. </w:t>
      </w:r>
    </w:p>
  </w:footnote>
  <w:footnote w:id="8">
    <w:p w:rsidR="00385F1D" w:rsidRPr="007D47AD" w:rsidRDefault="00385F1D" w:rsidP="00C66025">
      <w:pPr>
        <w:pStyle w:val="FootnoteText"/>
        <w:spacing w:after="120"/>
        <w:rPr>
          <w:lang w:val="en-US"/>
        </w:rPr>
      </w:pPr>
      <w:r w:rsidRPr="007D47AD">
        <w:rPr>
          <w:rStyle w:val="FootnoteReference"/>
          <w:rFonts w:asciiTheme="minorHAnsi" w:hAnsiTheme="minorHAnsi"/>
          <w:lang w:val="en-US"/>
        </w:rPr>
        <w:footnoteRef/>
      </w:r>
      <w:r w:rsidRPr="007D47AD">
        <w:rPr>
          <w:lang w:val="en-US"/>
        </w:rPr>
        <w:t xml:space="preserve"> IACHR, Press Release 251/18 – </w:t>
      </w:r>
      <w:hyperlink r:id="rId1" w:history="1">
        <w:r w:rsidRPr="007D47AD">
          <w:rPr>
            <w:rStyle w:val="Hyperlink"/>
            <w:rFonts w:asciiTheme="minorHAnsi" w:hAnsiTheme="minorHAnsi"/>
            <w:color w:val="auto"/>
            <w:lang w:val="en-US"/>
          </w:rPr>
          <w:t>IACHR Welcomes Mexican Supreme Court of Justice Ruling on Unconstitutionality of Domestic Security Law</w:t>
        </w:r>
      </w:hyperlink>
      <w:r w:rsidRPr="007D47AD">
        <w:rPr>
          <w:lang w:val="en-US"/>
        </w:rPr>
        <w:t>. Washington DC, November 22, 2018.</w:t>
      </w:r>
    </w:p>
  </w:footnote>
  <w:footnote w:id="9">
    <w:p w:rsidR="00385F1D" w:rsidRPr="007D47AD" w:rsidRDefault="00385F1D" w:rsidP="00C66025">
      <w:pPr>
        <w:pStyle w:val="FootnoteText"/>
        <w:spacing w:after="120"/>
        <w:rPr>
          <w:lang w:val="en-US"/>
        </w:rPr>
      </w:pPr>
      <w:r w:rsidRPr="007D47AD">
        <w:rPr>
          <w:rStyle w:val="FootnoteReference"/>
          <w:rFonts w:asciiTheme="minorHAnsi" w:hAnsiTheme="minorHAnsi"/>
          <w:lang w:val="en-US"/>
        </w:rPr>
        <w:footnoteRef/>
      </w:r>
      <w:r w:rsidRPr="007D47AD">
        <w:rPr>
          <w:lang w:val="en-US"/>
        </w:rPr>
        <w:t xml:space="preserve"> IACHR, 2018 Annual Report, para. 18. </w:t>
      </w:r>
    </w:p>
  </w:footnote>
  <w:footnote w:id="10">
    <w:p w:rsidR="00385F1D" w:rsidRPr="007D47AD" w:rsidRDefault="00385F1D" w:rsidP="00C66025">
      <w:pPr>
        <w:pStyle w:val="FootnoteText"/>
        <w:spacing w:after="120"/>
        <w:rPr>
          <w:lang w:val="en-US"/>
        </w:rPr>
      </w:pPr>
      <w:r w:rsidRPr="007D47AD">
        <w:rPr>
          <w:rStyle w:val="FootnoteReference"/>
          <w:rFonts w:asciiTheme="minorHAnsi" w:hAnsiTheme="minorHAnsi"/>
          <w:lang w:val="en-US"/>
        </w:rPr>
        <w:footnoteRef/>
      </w:r>
      <w:r w:rsidRPr="007D47AD">
        <w:rPr>
          <w:lang w:val="en-US"/>
        </w:rPr>
        <w:t xml:space="preserve"> Articles 10; 16, paragraph 5; 21, paragraphs 9, 10, and 10(b); 31(III); 35(IV); 36(II); 73(XXIII); 76(IV) and (XI), and 89(VII); the eleventh, twelfth, and thirteenth articles are added to Article 21; and Article 73(XV) and Article 78(I)) of the Constitution of Mexico are derogated. </w:t>
      </w:r>
    </w:p>
  </w:footnote>
  <w:footnote w:id="11">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n-US"/>
        </w:rPr>
        <w:t xml:space="preserve"> </w:t>
      </w:r>
      <w:hyperlink r:id="rId2" w:history="1">
        <w:r w:rsidRPr="007D47AD">
          <w:rPr>
            <w:rStyle w:val="Hyperlink"/>
            <w:rFonts w:asciiTheme="minorHAnsi" w:hAnsiTheme="minorHAnsi"/>
            <w:lang w:val="en-US"/>
          </w:rPr>
          <w:t xml:space="preserve">Diario Oficial. Executive Branch. Ministry of Interior. </w:t>
        </w:r>
        <w:r w:rsidRPr="007D47AD">
          <w:rPr>
            <w:rStyle w:val="Hyperlink"/>
            <w:rFonts w:asciiTheme="minorHAnsi" w:hAnsiTheme="minorHAnsi"/>
            <w:lang w:val="es-419"/>
          </w:rPr>
          <w:t>Tuesday, March 26, 2019, first section, pp. 11 ff.</w:t>
        </w:r>
      </w:hyperlink>
      <w:r w:rsidRPr="007D47AD">
        <w:rPr>
          <w:lang w:val="es-419"/>
        </w:rPr>
        <w:t xml:space="preserve"> </w:t>
      </w:r>
    </w:p>
  </w:footnote>
  <w:footnote w:id="12">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Sexto Informe del Estado mexicano sobre el cumplimiento y seguimiento de las recomendaciones contenidas en el informe “Situación de los Derechos Humanos en México,” p. 5.</w:t>
      </w:r>
    </w:p>
  </w:footnote>
  <w:footnote w:id="13">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United Nations, </w:t>
      </w:r>
      <w:hyperlink r:id="rId3" w:history="1">
        <w:r w:rsidRPr="007D47AD">
          <w:rPr>
            <w:rStyle w:val="Hyperlink"/>
            <w:rFonts w:asciiTheme="minorHAnsi" w:hAnsiTheme="minorHAnsi"/>
            <w:lang w:val="es-419"/>
          </w:rPr>
          <w:t>La ONU.DH saluda los cambios positivos sobre Guardia Nacional. February 22, 2019</w:t>
        </w:r>
      </w:hyperlink>
      <w:r w:rsidRPr="007D47AD">
        <w:rPr>
          <w:rStyle w:val="Hyperlink"/>
          <w:rFonts w:asciiTheme="minorHAnsi" w:hAnsiTheme="minorHAnsi"/>
          <w:color w:val="auto"/>
          <w:lang w:val="es-419"/>
        </w:rPr>
        <w:t xml:space="preserve">. </w:t>
      </w:r>
    </w:p>
  </w:footnote>
  <w:footnote w:id="14">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OHCHR - Mexico. Avances y preocupaciones en las leyes sobre uso de la fuerza y registro de detenciones.  May 24, 2019.</w:t>
      </w:r>
    </w:p>
  </w:footnote>
  <w:footnote w:id="15">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Amnesty International, Document “México, insumos para el Informe Anual de la Comisión Interamericana,” October 31, 2019. </w:t>
      </w:r>
    </w:p>
  </w:footnote>
  <w:footnote w:id="16">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CMDPDH, Seguimiento sobre el cumplimiento de las recomendaciones del Informe “Situación de Derechos Humanos en México,” November 8, 2019, pp. 1-2. </w:t>
      </w:r>
    </w:p>
  </w:footnote>
  <w:footnote w:id="17">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n-US"/>
        </w:rPr>
        <w:t xml:space="preserve"> Communication from the Mexican State. </w:t>
      </w:r>
      <w:r w:rsidRPr="007D47AD">
        <w:rPr>
          <w:lang w:val="es-419"/>
        </w:rPr>
        <w:t>Quinto Informe del Estado mexicano sobre el seguimiento a las recomendaciones del Informe “Situación de los Derechos Humanos en México,” pp. 2-12.</w:t>
      </w:r>
    </w:p>
  </w:footnote>
  <w:footnote w:id="18">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n-US"/>
        </w:rPr>
        <w:t xml:space="preserve"> I/A Court HR, Case of Alvarado Espinoza et al. v. Mexico, Judgment of November 28, 2018. </w:t>
      </w:r>
      <w:r w:rsidRPr="007D47AD">
        <w:rPr>
          <w:lang w:val="es-419"/>
        </w:rPr>
        <w:t>Series C No. 370, paras. 181-182.</w:t>
      </w:r>
    </w:p>
  </w:footnote>
  <w:footnote w:id="19">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Amnesty International, Document “México, insumos para el Informe Anual de la Comisión Interamericana,” October 31, 2019. </w:t>
      </w:r>
    </w:p>
  </w:footnote>
  <w:footnote w:id="20">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CMDPDH, Seguimiento sobre el cumplimiento de las recomendaciones del Informe “Situación de Derechos Humanos en México,” November 8, 2019, pp. 1-3.</w:t>
      </w:r>
    </w:p>
  </w:footnote>
  <w:footnote w:id="21">
    <w:p w:rsidR="00385F1D" w:rsidRPr="007D47AD" w:rsidRDefault="00385F1D" w:rsidP="00C66025">
      <w:pPr>
        <w:pStyle w:val="FootnoteText"/>
        <w:spacing w:after="120"/>
        <w:rPr>
          <w:lang w:val="es-419"/>
        </w:rPr>
      </w:pPr>
      <w:r w:rsidRPr="007D47AD">
        <w:rPr>
          <w:rStyle w:val="FootnoteReference"/>
          <w:lang w:val="en-US"/>
        </w:rPr>
        <w:footnoteRef/>
      </w:r>
      <w:r w:rsidRPr="007D47AD">
        <w:rPr>
          <w:lang w:val="es-419"/>
        </w:rPr>
        <w:t xml:space="preserve"> CMDPDH, Seguimiento sobre el cumplimiento de las recomendaciones del Informe “Situación de Derechos Humanos en México,” November 8, 2019, pp. 1-3.</w:t>
      </w:r>
    </w:p>
  </w:footnote>
  <w:footnote w:id="22">
    <w:p w:rsidR="00385F1D" w:rsidRPr="007D47AD" w:rsidRDefault="00385F1D" w:rsidP="00C66025">
      <w:pPr>
        <w:pStyle w:val="FootnoteText"/>
        <w:spacing w:after="120"/>
        <w:rPr>
          <w:lang w:val="es-419"/>
        </w:rPr>
      </w:pPr>
      <w:r w:rsidRPr="007D47AD">
        <w:rPr>
          <w:rStyle w:val="FootnoteReference"/>
          <w:lang w:val="en-US"/>
        </w:rPr>
        <w:footnoteRef/>
      </w:r>
      <w:r w:rsidRPr="007D47AD">
        <w:rPr>
          <w:lang w:val="en-US"/>
        </w:rPr>
        <w:t xml:space="preserve"> Observations and comments by the State, January 13, 2020, paras. </w:t>
      </w:r>
      <w:r w:rsidRPr="007D47AD">
        <w:rPr>
          <w:lang w:val="es-419"/>
        </w:rPr>
        <w:t xml:space="preserve">1-3. </w:t>
      </w:r>
    </w:p>
  </w:footnote>
  <w:footnote w:id="23">
    <w:p w:rsidR="00385F1D" w:rsidRPr="007D47AD" w:rsidRDefault="00385F1D" w:rsidP="00C66025">
      <w:pPr>
        <w:pStyle w:val="FootnoteText"/>
        <w:spacing w:after="120"/>
        <w:rPr>
          <w:lang w:val="es-419"/>
        </w:rPr>
      </w:pPr>
      <w:r w:rsidRPr="007D47AD">
        <w:rPr>
          <w:rStyle w:val="FootnoteReference"/>
          <w:lang w:val="en-US"/>
        </w:rPr>
        <w:footnoteRef/>
      </w:r>
      <w:r w:rsidRPr="007D47AD">
        <w:rPr>
          <w:lang w:val="es-419"/>
        </w:rPr>
        <w:t xml:space="preserve"> Observations and comments by the State, January 13, 2020, paras. 4-9.</w:t>
      </w:r>
    </w:p>
  </w:footnote>
  <w:footnote w:id="24">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Sexto Informe del Estado mexicano sobre el cumplimiento y seguimiento de las recomendaciones contenidas en el informe “Situación de los Derechos Humanos en México,” p. 5.</w:t>
      </w:r>
    </w:p>
  </w:footnote>
  <w:footnote w:id="25">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Sexto Informe del Estado mexicano sobre el cumplimiento y seguimiento de las recomendaciones contenidas en el informe “Situación de los Derechos Humanos en México,” p. 7.</w:t>
      </w:r>
    </w:p>
  </w:footnote>
  <w:footnote w:id="26">
    <w:p w:rsidR="00385F1D" w:rsidRPr="007D47AD" w:rsidRDefault="00385F1D" w:rsidP="00C66025">
      <w:pPr>
        <w:pStyle w:val="FootnoteText"/>
        <w:spacing w:after="120"/>
        <w:rPr>
          <w:lang w:val="es-419"/>
        </w:rPr>
      </w:pPr>
      <w:r w:rsidRPr="007D47AD">
        <w:rPr>
          <w:rStyle w:val="FootnoteReference"/>
          <w:lang w:val="en-US"/>
        </w:rPr>
        <w:footnoteRef/>
      </w:r>
      <w:r w:rsidRPr="007D47AD">
        <w:rPr>
          <w:lang w:val="en-US"/>
        </w:rPr>
        <w:t xml:space="preserve"> Observations and comments by the State, January 13, 2020, paras. </w:t>
      </w:r>
      <w:r w:rsidRPr="007D47AD">
        <w:rPr>
          <w:lang w:val="es-419"/>
        </w:rPr>
        <w:t>10-11.</w:t>
      </w:r>
    </w:p>
  </w:footnote>
  <w:footnote w:id="27">
    <w:p w:rsidR="00385F1D" w:rsidRPr="007D47AD" w:rsidRDefault="00385F1D" w:rsidP="00C66025">
      <w:pPr>
        <w:pStyle w:val="FootnoteText"/>
        <w:spacing w:after="120"/>
        <w:rPr>
          <w:b/>
          <w:lang w:val="en-US"/>
        </w:rPr>
      </w:pPr>
      <w:r w:rsidRPr="007D47AD">
        <w:rPr>
          <w:rStyle w:val="FootnoteReference"/>
          <w:rFonts w:asciiTheme="minorHAnsi" w:hAnsiTheme="minorHAnsi"/>
          <w:lang w:val="en-US"/>
        </w:rPr>
        <w:footnoteRef/>
      </w:r>
      <w:r w:rsidRPr="007D47AD">
        <w:rPr>
          <w:lang w:val="es-419"/>
        </w:rPr>
        <w:t xml:space="preserve"> CNDH, Actualización correspondiente al año 2019 de la aportación de la Comisión Nacional de los Derechos Humanos de México (CNDH) en el marco de la revisión del cumplimiento de recomendaciones contenidas en el “Informe sobre situación de los Derechos Humanos en México,” publicado por la Comisión Interamericana de Derechos Humanos (IACHR) en 2015. </w:t>
      </w:r>
      <w:r w:rsidRPr="007D47AD">
        <w:rPr>
          <w:lang w:val="en-US"/>
        </w:rPr>
        <w:t>October 2019.</w:t>
      </w:r>
    </w:p>
  </w:footnote>
  <w:footnote w:id="28">
    <w:p w:rsidR="00385F1D" w:rsidRPr="007D47AD" w:rsidRDefault="00385F1D" w:rsidP="00C66025">
      <w:pPr>
        <w:pStyle w:val="FootnoteText"/>
        <w:spacing w:after="120"/>
        <w:rPr>
          <w:lang w:val="en-US"/>
        </w:rPr>
      </w:pPr>
      <w:r w:rsidRPr="007D47AD">
        <w:rPr>
          <w:rStyle w:val="FootnoteReference"/>
          <w:rFonts w:asciiTheme="minorHAnsi" w:hAnsiTheme="minorHAnsi"/>
          <w:lang w:val="en-US"/>
        </w:rPr>
        <w:footnoteRef/>
      </w:r>
      <w:r w:rsidRPr="007D47AD">
        <w:rPr>
          <w:lang w:val="en-US"/>
        </w:rPr>
        <w:t xml:space="preserve"> </w:t>
      </w:r>
      <w:hyperlink r:id="rId4" w:history="1">
        <w:r w:rsidRPr="007D47AD">
          <w:rPr>
            <w:rStyle w:val="Hyperlink"/>
            <w:rFonts w:asciiTheme="minorHAnsi" w:hAnsiTheme="minorHAnsi"/>
            <w:lang w:val="en-US"/>
          </w:rPr>
          <w:t>Federal Law on the Use of Force, May 27, 2019</w:t>
        </w:r>
      </w:hyperlink>
      <w:r w:rsidRPr="007D47AD">
        <w:rPr>
          <w:lang w:val="en-US"/>
        </w:rPr>
        <w:t xml:space="preserve">.  </w:t>
      </w:r>
    </w:p>
  </w:footnote>
  <w:footnote w:id="29">
    <w:p w:rsidR="00385F1D" w:rsidRPr="007D47AD" w:rsidRDefault="00385F1D" w:rsidP="00C66025">
      <w:pPr>
        <w:pStyle w:val="FootnoteText"/>
        <w:spacing w:after="120"/>
        <w:rPr>
          <w:lang w:val="en-US"/>
        </w:rPr>
      </w:pPr>
      <w:r w:rsidRPr="007D47AD">
        <w:rPr>
          <w:rStyle w:val="FootnoteReference"/>
          <w:rFonts w:asciiTheme="minorHAnsi" w:hAnsiTheme="minorHAnsi"/>
          <w:lang w:val="en-US"/>
        </w:rPr>
        <w:footnoteRef/>
      </w:r>
      <w:r w:rsidRPr="007D47AD">
        <w:rPr>
          <w:lang w:val="en-US"/>
        </w:rPr>
        <w:t xml:space="preserve"> </w:t>
      </w:r>
      <w:hyperlink r:id="rId5" w:history="1">
        <w:r w:rsidRPr="007D47AD">
          <w:rPr>
            <w:rStyle w:val="Hyperlink"/>
            <w:rFonts w:asciiTheme="minorHAnsi" w:hAnsiTheme="minorHAnsi"/>
            <w:lang w:val="en-US"/>
          </w:rPr>
          <w:t>Federal Law on the Use of Force, May 27, 2019</w:t>
        </w:r>
      </w:hyperlink>
      <w:r w:rsidRPr="007D47AD">
        <w:rPr>
          <w:lang w:val="en-US"/>
        </w:rPr>
        <w:t xml:space="preserve">.  </w:t>
      </w:r>
    </w:p>
  </w:footnote>
  <w:footnote w:id="30">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CMDPDH, Seguimiento sobre el cumplimiento de las recomendaciones del Informe “Situación de Derechos Humanos en México,” November 8, 2019, pp. 3-4. </w:t>
      </w:r>
    </w:p>
  </w:footnote>
  <w:footnote w:id="31">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Sexto Informe del Estado mexicano sobre el cumplimiento y seguimiento de las recomendaciones contenidas en el informe “Situación de los Derechos Humanos en México,” p. 5.</w:t>
      </w:r>
    </w:p>
  </w:footnote>
  <w:footnote w:id="32">
    <w:p w:rsidR="00385F1D" w:rsidRPr="007D47AD" w:rsidRDefault="00385F1D" w:rsidP="00C66025">
      <w:pPr>
        <w:pStyle w:val="FootnoteText"/>
        <w:spacing w:after="120"/>
        <w:rPr>
          <w:lang w:val="en-US"/>
        </w:rPr>
      </w:pPr>
      <w:r w:rsidRPr="007D47AD">
        <w:rPr>
          <w:rStyle w:val="FootnoteReference"/>
          <w:rFonts w:asciiTheme="minorHAnsi" w:hAnsiTheme="minorHAnsi"/>
          <w:lang w:val="en-US"/>
        </w:rPr>
        <w:footnoteRef/>
      </w:r>
      <w:r w:rsidRPr="007D47AD">
        <w:rPr>
          <w:lang w:val="en-US"/>
        </w:rPr>
        <w:t xml:space="preserve"> IACHR, </w:t>
      </w:r>
      <w:hyperlink r:id="rId6" w:history="1">
        <w:r w:rsidRPr="007D47AD">
          <w:rPr>
            <w:rStyle w:val="Hyperlink"/>
            <w:rFonts w:asciiTheme="minorHAnsi" w:hAnsiTheme="minorHAnsi"/>
            <w:color w:val="auto"/>
            <w:lang w:val="en-US"/>
          </w:rPr>
          <w:t>Situation of Human Rights in Mexico</w:t>
        </w:r>
      </w:hyperlink>
      <w:r w:rsidRPr="007D47AD">
        <w:rPr>
          <w:lang w:val="en-US"/>
        </w:rPr>
        <w:t xml:space="preserve">, 2015. United Nations, </w:t>
      </w:r>
      <w:hyperlink r:id="rId7" w:history="1">
        <w:r w:rsidRPr="007D47AD">
          <w:rPr>
            <w:rStyle w:val="Hyperlink"/>
            <w:rFonts w:asciiTheme="minorHAnsi" w:hAnsiTheme="minorHAnsi"/>
            <w:color w:val="auto"/>
            <w:lang w:val="en-US"/>
          </w:rPr>
          <w:t>Recommendations on Mexico made by the UN High Commissioner for Human Rights, Mr. Zeid Ra’ad Al Hussein, following up on his official visit to the country in October 2015</w:t>
        </w:r>
      </w:hyperlink>
      <w:r w:rsidRPr="007D47AD">
        <w:rPr>
          <w:lang w:val="en-US"/>
        </w:rPr>
        <w:t>, October 20, 2016.</w:t>
      </w:r>
    </w:p>
  </w:footnote>
  <w:footnote w:id="33">
    <w:p w:rsidR="00385F1D" w:rsidRPr="007D47AD" w:rsidRDefault="00385F1D" w:rsidP="00C66025">
      <w:pPr>
        <w:pStyle w:val="FootnoteText"/>
        <w:spacing w:after="120"/>
        <w:rPr>
          <w:lang w:val="es-419"/>
        </w:rPr>
      </w:pPr>
      <w:r w:rsidRPr="007D47AD">
        <w:rPr>
          <w:rStyle w:val="FootnoteReference"/>
          <w:lang w:val="en-US"/>
        </w:rPr>
        <w:footnoteRef/>
      </w:r>
      <w:r w:rsidRPr="007D47AD">
        <w:rPr>
          <w:lang w:val="en-US"/>
        </w:rPr>
        <w:t xml:space="preserve"> Observations and comments by the State, January 13, 2020, paras. </w:t>
      </w:r>
      <w:r w:rsidRPr="007D47AD">
        <w:rPr>
          <w:lang w:val="es-419"/>
        </w:rPr>
        <w:t xml:space="preserve">12-13. </w:t>
      </w:r>
    </w:p>
  </w:footnote>
  <w:footnote w:id="34">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Amnesty International, Document “México, insumos para el Informe Anual de la Comisión Interamericana,” October 31, 2019. </w:t>
      </w:r>
    </w:p>
  </w:footnote>
  <w:footnote w:id="35">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Sexto Informe del Estado mexicano sobre el cumplimiento y seguimiento de las recomendaciones contenidas en el informe “Situación de los Derechos Humanos en México,” p. 5.</w:t>
      </w:r>
    </w:p>
  </w:footnote>
  <w:footnote w:id="36">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CMDPDH, Seguimiento sobre el cumplimiento de las recomendaciones del Informe “Situación de Derechos Humanos en México,” November 8, 2019, pp. 4-5.</w:t>
      </w:r>
    </w:p>
  </w:footnote>
  <w:footnote w:id="37">
    <w:p w:rsidR="00385F1D" w:rsidRPr="007D47AD" w:rsidRDefault="00385F1D" w:rsidP="00C66025">
      <w:pPr>
        <w:pStyle w:val="FootnoteText"/>
        <w:spacing w:after="120"/>
        <w:rPr>
          <w:lang w:val="es-419"/>
        </w:rPr>
      </w:pPr>
      <w:r w:rsidRPr="007D47AD">
        <w:rPr>
          <w:rStyle w:val="FootnoteReference"/>
          <w:lang w:val="en-US"/>
        </w:rPr>
        <w:footnoteRef/>
      </w:r>
      <w:r w:rsidRPr="007D47AD">
        <w:rPr>
          <w:lang w:val="en-US"/>
        </w:rPr>
        <w:t xml:space="preserve"> Observations and comments by the State, January 13, 2020, para. </w:t>
      </w:r>
      <w:r w:rsidRPr="007D47AD">
        <w:rPr>
          <w:lang w:val="es-419"/>
        </w:rPr>
        <w:t>14.</w:t>
      </w:r>
    </w:p>
  </w:footnote>
  <w:footnote w:id="38">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Informe del Estado mexicano sobre el cumplimiento y seguimiento de las recomendaciones contenidas en el informe “Situación de los Derechos Humanos en México,” p. 10.</w:t>
      </w:r>
    </w:p>
  </w:footnote>
  <w:footnote w:id="39">
    <w:p w:rsidR="00385F1D" w:rsidRPr="007D47AD" w:rsidRDefault="00385F1D" w:rsidP="00C66025">
      <w:pPr>
        <w:pStyle w:val="FootnoteText"/>
        <w:spacing w:after="120"/>
        <w:rPr>
          <w:lang w:val="es-419"/>
        </w:rPr>
      </w:pPr>
      <w:r w:rsidRPr="007D47AD">
        <w:rPr>
          <w:rStyle w:val="FootnoteReference"/>
          <w:lang w:val="en-US"/>
        </w:rPr>
        <w:footnoteRef/>
      </w:r>
      <w:r w:rsidRPr="007D47AD">
        <w:rPr>
          <w:lang w:val="en-US"/>
        </w:rPr>
        <w:t xml:space="preserve"> Observations and comments by the State, January 13, 2020, para. </w:t>
      </w:r>
      <w:r w:rsidRPr="007D47AD">
        <w:rPr>
          <w:lang w:val="es-419"/>
        </w:rPr>
        <w:t>15.</w:t>
      </w:r>
    </w:p>
  </w:footnote>
  <w:footnote w:id="40">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Sexto Informe del Estado mexicano sobre el cumplimiento y seguimiento de las recomendaciones contenidas en el informe “Situación de los Derechos Humanos en México,” p. 12.</w:t>
      </w:r>
    </w:p>
  </w:footnote>
  <w:footnote w:id="41">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Sexto Informe del Estado mexicano sobre el cumplimiento y seguimiento de las recomendaciones contenidas en el informe “Situación de los Derechos Humanos en México,” p. 12.</w:t>
      </w:r>
    </w:p>
  </w:footnote>
  <w:footnote w:id="42">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Sexto Informe del Estado mexicano sobre el cumplimiento y seguimiento de las recomendaciones contenidas en el informe “Situación de los Derechos Humanos en México,” p. 13.</w:t>
      </w:r>
    </w:p>
  </w:footnote>
  <w:footnote w:id="43">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Sexto Informe del Estado mexicano sobre el cumplimiento y seguimiento de las recomendaciones contenidas en el informe “Situación de los Derechos Humanos en México,” p. 18.</w:t>
      </w:r>
    </w:p>
  </w:footnote>
  <w:footnote w:id="44">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Sexto Informe del Estado mexicano sobre el cumplimiento y seguimiento de las recomendaciones contenidas en el informe “Situación de los Derechos Humanos en México,” pp. 15-16.</w:t>
      </w:r>
    </w:p>
  </w:footnote>
  <w:footnote w:id="45">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Sexto Informe del Estado mexicano sobre el cumplimiento y seguimiento de las recomendaciones contenidas en el informe “Situación de los Derechos Humanos en México,” pp. 17-18.</w:t>
      </w:r>
    </w:p>
  </w:footnote>
  <w:footnote w:id="46">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Sexto Informe del Estado mexicano sobre el cumplimiento y seguimiento de las recomendaciones contenidas en el informe “Situación de los Derechos Humanos en México,” pp. 17-18.</w:t>
      </w:r>
    </w:p>
  </w:footnote>
  <w:footnote w:id="47">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Sexto Informe del Estado mexicano sobre el cumplimiento y seguimiento de las recomendaciones contenidas en el informe “Situación de los Derechos Humanos en México,” p. 19.</w:t>
      </w:r>
    </w:p>
  </w:footnote>
  <w:footnote w:id="48">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Sexto Informe del Estado mexicano sobre el cumplimiento y seguimiento de las recomendaciones contenidas en el informe “Situación de los Derechos Humanos en México,” p. 19.</w:t>
      </w:r>
    </w:p>
  </w:footnote>
  <w:footnote w:id="49">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Sexto Informe del Estado mexicano sobre el cumplimiento y seguimiento de las recomendaciones contenidas en el informe “Situación de los Derechos Humanos en México,” pp. 19-20.</w:t>
      </w:r>
    </w:p>
  </w:footnote>
  <w:footnote w:id="50">
    <w:p w:rsidR="00385F1D" w:rsidRPr="007D47AD" w:rsidRDefault="00385F1D" w:rsidP="00C66025">
      <w:pPr>
        <w:pStyle w:val="FootnoteText"/>
        <w:spacing w:after="120"/>
        <w:rPr>
          <w:lang w:val="es-US"/>
        </w:rPr>
      </w:pPr>
      <w:r w:rsidRPr="007D47AD">
        <w:rPr>
          <w:rStyle w:val="FootnoteReference"/>
        </w:rPr>
        <w:footnoteRef/>
      </w:r>
      <w:r w:rsidRPr="007D47AD">
        <w:rPr>
          <w:lang w:val="es-US"/>
        </w:rPr>
        <w:t xml:space="preserve">CONAPRED, </w:t>
      </w:r>
      <w:r w:rsidRPr="007D47AD">
        <w:rPr>
          <w:color w:val="0000FF"/>
          <w:u w:val="single"/>
          <w:lang w:val="es-US"/>
        </w:rPr>
        <w:t>Encuesta Nacional sobre Discriminación (ENADIS)</w:t>
      </w:r>
      <w:r w:rsidRPr="007D47AD">
        <w:rPr>
          <w:lang w:val="es-US"/>
        </w:rPr>
        <w:t xml:space="preserve">, 2017. </w:t>
      </w:r>
    </w:p>
  </w:footnote>
  <w:footnote w:id="51">
    <w:p w:rsidR="00385F1D" w:rsidRPr="007D47AD" w:rsidRDefault="00385F1D" w:rsidP="00C66025">
      <w:pPr>
        <w:pStyle w:val="FootnoteText"/>
        <w:spacing w:after="120"/>
        <w:rPr>
          <w:lang w:val="es-US"/>
        </w:rPr>
      </w:pPr>
      <w:r w:rsidRPr="007D47AD">
        <w:rPr>
          <w:rStyle w:val="FootnoteReference"/>
        </w:rPr>
        <w:footnoteRef/>
      </w:r>
      <w:r w:rsidRPr="007D47AD">
        <w:rPr>
          <w:lang w:val="es-US"/>
        </w:rPr>
        <w:t xml:space="preserve"> Diario Oficial. Poder Ejecutivo Secretaría de Gobernación, </w:t>
      </w:r>
      <w:r w:rsidRPr="007D47AD">
        <w:rPr>
          <w:color w:val="0000FF"/>
          <w:u w:val="single"/>
          <w:lang w:val="es-US"/>
        </w:rPr>
        <w:t>Decreto por el que se adiciona un apartado C al artículo 2o. de la Constitución Política de los Estados Unidos Mexicanos,</w:t>
      </w:r>
      <w:r w:rsidRPr="007D47AD">
        <w:rPr>
          <w:lang w:val="es-US"/>
        </w:rPr>
        <w:t xml:space="preserve"> 9 agosto 2019. </w:t>
      </w:r>
    </w:p>
  </w:footnote>
  <w:footnote w:id="52">
    <w:p w:rsidR="00385F1D" w:rsidRPr="007D47AD" w:rsidRDefault="00385F1D" w:rsidP="00C66025">
      <w:pPr>
        <w:pStyle w:val="FootnoteText"/>
        <w:spacing w:after="120"/>
        <w:rPr>
          <w:lang w:val="en-US"/>
        </w:rPr>
      </w:pPr>
      <w:r w:rsidRPr="007D47AD">
        <w:rPr>
          <w:rStyle w:val="FootnoteReference"/>
        </w:rPr>
        <w:footnoteRef/>
      </w:r>
      <w:r w:rsidRPr="007D47AD">
        <w:rPr>
          <w:lang w:val="es-US"/>
        </w:rPr>
        <w:t xml:space="preserve"> CIDH. Audiencia, México: </w:t>
      </w:r>
      <w:r w:rsidRPr="007D47AD">
        <w:rPr>
          <w:color w:val="0000FF"/>
          <w:u w:val="single"/>
          <w:lang w:val="es-US"/>
        </w:rPr>
        <w:t>Criterio Racial en censo 2020</w:t>
      </w:r>
      <w:r w:rsidRPr="007D47AD">
        <w:rPr>
          <w:lang w:val="es-US"/>
        </w:rPr>
        <w:t xml:space="preserve">, 172 Período de sesiones. </w:t>
      </w:r>
      <w:r w:rsidRPr="007D47AD">
        <w:rPr>
          <w:lang w:val="en-US"/>
        </w:rPr>
        <w:t xml:space="preserve">Jamaica. 9 mayo 2019. </w:t>
      </w:r>
      <w:hyperlink r:id="rId8" w:history="1"/>
      <w:r w:rsidRPr="007D47AD">
        <w:rPr>
          <w:lang w:val="en-US"/>
        </w:rPr>
        <w:t xml:space="preserve"> </w:t>
      </w:r>
    </w:p>
  </w:footnote>
  <w:footnote w:id="53">
    <w:p w:rsidR="00385F1D" w:rsidRPr="007D47AD" w:rsidRDefault="00385F1D" w:rsidP="00C66025">
      <w:pPr>
        <w:pStyle w:val="FootnoteText"/>
        <w:spacing w:after="120"/>
        <w:rPr>
          <w:lang w:val="es-419"/>
        </w:rPr>
      </w:pPr>
      <w:r w:rsidRPr="007D47AD">
        <w:rPr>
          <w:rStyle w:val="FootnoteReference"/>
          <w:lang w:val="en-US"/>
        </w:rPr>
        <w:footnoteRef/>
      </w:r>
      <w:r w:rsidRPr="007D47AD">
        <w:rPr>
          <w:lang w:val="en-US"/>
        </w:rPr>
        <w:t xml:space="preserve"> Observations and comments by the State, January 13, 2020, paras. </w:t>
      </w:r>
      <w:r w:rsidRPr="007D47AD">
        <w:rPr>
          <w:lang w:val="es-419"/>
        </w:rPr>
        <w:t>17-18.</w:t>
      </w:r>
    </w:p>
  </w:footnote>
  <w:footnote w:id="54">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Sexto Informe del Estado mexicano sobre el cumplimiento y seguimiento de las recomendaciones contenidas en el informe “Situación de los Derechos Humanos en México,” pp. 12-24.</w:t>
      </w:r>
    </w:p>
  </w:footnote>
  <w:footnote w:id="55">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Séptimo Informe del Estado mexicano sobre el cumplimiento y seguimiento de las recomendaciones contenidas en el informe “Situación de los Derechos Humanos en México”, pág. 12 -24.</w:t>
      </w:r>
    </w:p>
  </w:footnote>
  <w:footnote w:id="56">
    <w:p w:rsidR="00385F1D" w:rsidRPr="007D47AD" w:rsidRDefault="00385F1D" w:rsidP="00C66025">
      <w:pPr>
        <w:pStyle w:val="FootnoteText"/>
        <w:spacing w:after="120"/>
        <w:rPr>
          <w:lang w:val="es-419"/>
        </w:rPr>
      </w:pPr>
      <w:r w:rsidRPr="007D47AD">
        <w:rPr>
          <w:rStyle w:val="FootnoteReference"/>
          <w:lang w:val="en-US"/>
        </w:rPr>
        <w:footnoteRef/>
      </w:r>
      <w:r w:rsidRPr="007D47AD">
        <w:rPr>
          <w:lang w:val="en-US"/>
        </w:rPr>
        <w:t xml:space="preserve"> Observations and comments by the State, January 13, 2020, para. </w:t>
      </w:r>
      <w:r w:rsidRPr="007D47AD">
        <w:rPr>
          <w:lang w:val="es-419"/>
        </w:rPr>
        <w:t xml:space="preserve">19. </w:t>
      </w:r>
    </w:p>
  </w:footnote>
  <w:footnote w:id="57">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CMDPDH, Seguimiento sobre el cumplimiento de las recomendaciones del Informe “Situación de Derechos Humanos en México,” November 8, 2019, pp. 4-5.</w:t>
      </w:r>
    </w:p>
  </w:footnote>
  <w:footnote w:id="58">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Sexto Informe del Estado mexicano sobre el cumplimiento y seguimiento de las recomendaciones contenidas en el informe “Situación de los Derechos Humanos en México,” pp. 21-22.</w:t>
      </w:r>
    </w:p>
  </w:footnote>
  <w:footnote w:id="59">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Sexto Informe del Estado mexicano sobre el cumplimiento y seguimiento de las recomendaciones contenidas en el informe “Situación de los Derechos Humanos en México,” p. 22.</w:t>
      </w:r>
    </w:p>
  </w:footnote>
  <w:footnote w:id="60">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La Jornada. </w:t>
      </w:r>
      <w:hyperlink r:id="rId9" w:history="1">
        <w:r w:rsidRPr="007D47AD">
          <w:rPr>
            <w:rStyle w:val="Hyperlink"/>
            <w:rFonts w:asciiTheme="minorHAnsi" w:hAnsiTheme="minorHAnsi"/>
            <w:lang w:val="es-419"/>
          </w:rPr>
          <w:t>Instruye AMLO siete acciones para búsqueda de desaparecidos</w:t>
        </w:r>
      </w:hyperlink>
      <w:r w:rsidRPr="007D47AD">
        <w:rPr>
          <w:lang w:val="es-419"/>
        </w:rPr>
        <w:t xml:space="preserve">. August 30, 2019; Animal Político. </w:t>
      </w:r>
      <w:hyperlink r:id="rId10" w:history="1">
        <w:r w:rsidRPr="007D47AD">
          <w:rPr>
            <w:rStyle w:val="Hyperlink"/>
            <w:rFonts w:asciiTheme="minorHAnsi" w:hAnsiTheme="minorHAnsi"/>
            <w:lang w:val="es-419"/>
          </w:rPr>
          <w:t>Las siete acciones de búsqueda de desaparecidos propuestas por AMLO</w:t>
        </w:r>
      </w:hyperlink>
      <w:r w:rsidRPr="007D47AD">
        <w:rPr>
          <w:lang w:val="es-419"/>
        </w:rPr>
        <w:t xml:space="preserve">. August 30, 2019. </w:t>
      </w:r>
    </w:p>
  </w:footnote>
  <w:footnote w:id="61">
    <w:p w:rsidR="00385F1D" w:rsidRPr="007D47AD" w:rsidRDefault="00385F1D" w:rsidP="00C66025">
      <w:pPr>
        <w:pStyle w:val="FootnoteText"/>
        <w:spacing w:after="120"/>
        <w:rPr>
          <w:b/>
          <w:lang w:val="es-419"/>
        </w:rPr>
      </w:pPr>
      <w:r w:rsidRPr="007D47AD">
        <w:rPr>
          <w:rStyle w:val="FootnoteReference"/>
          <w:rFonts w:asciiTheme="minorHAnsi" w:hAnsiTheme="minorHAnsi"/>
          <w:lang w:val="en-US"/>
        </w:rPr>
        <w:footnoteRef/>
      </w:r>
      <w:r w:rsidRPr="007D47AD">
        <w:rPr>
          <w:lang w:val="es-419"/>
        </w:rPr>
        <w:t xml:space="preserve"> CNDH, Actualización correspondiente al año 2019 de la aportación de la Comisión Nacional de los Derechos Humanos de México (CNDH) en el marco de la revisión del cumplimiento de recomendaciones contenidas en el “Informe sobre situación de los Derechos Humanos en México,” publicado por la Comisión Interamericana de Derechos Humanos (IACHR) en 2015. October 2019. </w:t>
      </w:r>
    </w:p>
  </w:footnote>
  <w:footnote w:id="62">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Informe Sombra Temático sobre Desaparición Forzada y por Particulares en México. Document prepared by the Centro de Derechos Humanos de la Montaña, Tlachinollan, Centro de Justicia para la Paz y el Desarrollo A.C. (CEPAD), Fundar, Centro de Análisis e Investigación, Red por los Derechos de la Infancia en México (REDIM), Red Nacional de Organismos Civiles de Derechos Humanos “Todos los Derechos para Todas y Todos" (Red TDT) in the context of the Sixth Review of Mexico before the Human Rights Committee, p. 3. [hereinafter “Shadow Report…”]</w:t>
      </w:r>
    </w:p>
  </w:footnote>
  <w:footnote w:id="63">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Commissions established in the following states: Baja California, Campeche, Chihuahua, Mexico City, Coahuila, Colima, Durango, México, Guerrero, Hidalgo, Jalisco, Michoacán, Morelos, Nayarit, Nuevo León, Querétaro, San Luis Potosí, Sinaloa, Tabasco, Tamaulipas, Tlaxcala, Veracruz, and Zacatecas.</w:t>
      </w:r>
    </w:p>
  </w:footnote>
  <w:footnote w:id="64">
    <w:p w:rsidR="00385F1D" w:rsidRPr="007D47AD" w:rsidRDefault="00385F1D" w:rsidP="00C66025">
      <w:pPr>
        <w:pStyle w:val="FootnoteText"/>
        <w:spacing w:after="120"/>
        <w:rPr>
          <w:lang w:val="en-US"/>
        </w:rPr>
      </w:pPr>
      <w:r w:rsidRPr="007D47AD">
        <w:rPr>
          <w:rStyle w:val="FootnoteReference"/>
          <w:rFonts w:asciiTheme="minorHAnsi" w:hAnsiTheme="minorHAnsi"/>
          <w:lang w:val="en-US"/>
        </w:rPr>
        <w:footnoteRef/>
      </w:r>
      <w:r w:rsidRPr="007D47AD">
        <w:rPr>
          <w:lang w:val="es-419"/>
        </w:rPr>
        <w:t xml:space="preserve"> CNDH, Actualización correspondiente al año 2019 de la aportación de la Comisión Nacional de los Derechos Humanos de México (CNDH) en el marco de la revisión del cumplimiento de recomendaciones contenidas en el “Informe sobre situación de los Derechos Humanos en México,” publicado por la Comisión Interamericana de Derechos Humanos (CIDH) en 2015. </w:t>
      </w:r>
      <w:r w:rsidRPr="007D47AD">
        <w:rPr>
          <w:lang w:val="en-US"/>
        </w:rPr>
        <w:t>October 2019.</w:t>
      </w:r>
    </w:p>
  </w:footnote>
  <w:footnote w:id="65">
    <w:p w:rsidR="00385F1D" w:rsidRPr="007D47AD" w:rsidRDefault="00385F1D" w:rsidP="00C66025">
      <w:pPr>
        <w:pStyle w:val="FootnoteText"/>
        <w:spacing w:after="120"/>
        <w:rPr>
          <w:lang w:val="en-US"/>
        </w:rPr>
      </w:pPr>
      <w:r w:rsidRPr="007D47AD">
        <w:rPr>
          <w:rStyle w:val="FootnoteReference"/>
          <w:rFonts w:asciiTheme="minorHAnsi" w:hAnsiTheme="minorHAnsi"/>
          <w:lang w:val="en-US"/>
        </w:rPr>
        <w:footnoteRef/>
      </w:r>
      <w:r w:rsidRPr="007D47AD">
        <w:rPr>
          <w:lang w:val="en-US"/>
        </w:rPr>
        <w:t xml:space="preserve"> The budget for 2019 was 400 million Mexican pesos, which implied a reduction of 69 million pesos of fiscal year 2018. </w:t>
      </w:r>
    </w:p>
  </w:footnote>
  <w:footnote w:id="66">
    <w:p w:rsidR="00385F1D" w:rsidRPr="007D47AD" w:rsidRDefault="00385F1D" w:rsidP="00C66025">
      <w:pPr>
        <w:pStyle w:val="FootnoteText"/>
        <w:spacing w:after="120"/>
        <w:rPr>
          <w:lang w:val="en-US"/>
        </w:rPr>
      </w:pPr>
      <w:r w:rsidRPr="007D47AD">
        <w:rPr>
          <w:rStyle w:val="FootnoteReference"/>
          <w:rFonts w:asciiTheme="minorHAnsi" w:hAnsiTheme="minorHAnsi"/>
          <w:lang w:val="en-US"/>
        </w:rPr>
        <w:footnoteRef/>
      </w:r>
      <w:r w:rsidRPr="007D47AD">
        <w:rPr>
          <w:lang w:val="es-419"/>
        </w:rPr>
        <w:t xml:space="preserve"> Movimiento por nuestros desparecidos en México. </w:t>
      </w:r>
      <w:r w:rsidRPr="007D47AD">
        <w:rPr>
          <w:lang w:val="en-US"/>
        </w:rPr>
        <w:t>Alternative report to the United Nations Human Rights Committee. September 10, 2019, p. 2.</w:t>
      </w:r>
    </w:p>
  </w:footnote>
  <w:footnote w:id="67">
    <w:p w:rsidR="00385F1D" w:rsidRPr="007D47AD" w:rsidRDefault="00385F1D" w:rsidP="00C66025">
      <w:pPr>
        <w:pStyle w:val="FootnoteText"/>
        <w:spacing w:after="120"/>
        <w:rPr>
          <w:lang w:val="es-419"/>
        </w:rPr>
      </w:pPr>
      <w:r w:rsidRPr="007D47AD">
        <w:rPr>
          <w:rStyle w:val="FootnoteReference"/>
          <w:lang w:val="en-US"/>
        </w:rPr>
        <w:footnoteRef/>
      </w:r>
      <w:r w:rsidRPr="007D47AD">
        <w:rPr>
          <w:lang w:val="en-US"/>
        </w:rPr>
        <w:t xml:space="preserve"> Observations and comments by the State, January 13, 2020, para. </w:t>
      </w:r>
      <w:r w:rsidRPr="007D47AD">
        <w:rPr>
          <w:lang w:val="es-419"/>
        </w:rPr>
        <w:t xml:space="preserve">21. </w:t>
      </w:r>
    </w:p>
  </w:footnote>
  <w:footnote w:id="68">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PGR. </w:t>
      </w:r>
      <w:hyperlink r:id="rId11" w:history="1">
        <w:r w:rsidRPr="007D47AD">
          <w:rPr>
            <w:rStyle w:val="Hyperlink"/>
            <w:rFonts w:asciiTheme="minorHAnsi" w:hAnsiTheme="minorHAnsi"/>
            <w:lang w:val="es-419"/>
          </w:rPr>
          <w:t>La PGR presentará el Programa Nacional de Exhumaciones, ante la Conferencia Nacional de Procuración de Justicia</w:t>
        </w:r>
      </w:hyperlink>
      <w:r w:rsidRPr="007D47AD">
        <w:rPr>
          <w:lang w:val="es-419"/>
        </w:rPr>
        <w:t xml:space="preserve">. </w:t>
      </w:r>
    </w:p>
  </w:footnote>
  <w:footnote w:id="69">
    <w:p w:rsidR="00385F1D" w:rsidRPr="007D47AD" w:rsidRDefault="00385F1D" w:rsidP="00C66025">
      <w:pPr>
        <w:pStyle w:val="FootnoteText"/>
        <w:spacing w:after="120"/>
        <w:rPr>
          <w:lang w:val="en-US"/>
        </w:rPr>
      </w:pPr>
      <w:r w:rsidRPr="007D47AD">
        <w:rPr>
          <w:rStyle w:val="FootnoteReference"/>
          <w:rFonts w:asciiTheme="minorHAnsi" w:hAnsiTheme="minorHAnsi"/>
          <w:lang w:val="en-US"/>
        </w:rPr>
        <w:footnoteRef/>
      </w:r>
      <w:r w:rsidRPr="007D47AD">
        <w:rPr>
          <w:lang w:val="en-US"/>
        </w:rPr>
        <w:t xml:space="preserve"> Meeting held October 7, 2019, at the offices of the Centro de Investigación y Docencia Económicas (CIDE).</w:t>
      </w:r>
    </w:p>
  </w:footnote>
  <w:footnote w:id="70">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Shadow report..., p. 4.</w:t>
      </w:r>
    </w:p>
  </w:footnote>
  <w:footnote w:id="71">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Meeting held Thursday, October 17, 2019 with representatives of FUNDAR – Centro de Análisis e Investigación, SERAPAZ- Servicios y Asesoría para la Paz, and Fundación para la Justicia y el Estado Democrático de Derecho.</w:t>
      </w:r>
    </w:p>
  </w:footnote>
  <w:footnote w:id="72">
    <w:p w:rsidR="00385F1D" w:rsidRPr="007D47AD" w:rsidRDefault="00385F1D" w:rsidP="00C66025">
      <w:pPr>
        <w:pStyle w:val="FootnoteText"/>
        <w:spacing w:after="120"/>
        <w:rPr>
          <w:lang w:val="es-419"/>
        </w:rPr>
      </w:pPr>
      <w:r w:rsidRPr="007D47AD">
        <w:rPr>
          <w:rStyle w:val="FootnoteReference"/>
          <w:lang w:val="en-US"/>
        </w:rPr>
        <w:footnoteRef/>
      </w:r>
      <w:r w:rsidRPr="007D47AD">
        <w:rPr>
          <w:lang w:val="en-US"/>
        </w:rPr>
        <w:t xml:space="preserve"> Observations and comments by the State, January 13, 2020, para. </w:t>
      </w:r>
      <w:r w:rsidRPr="007D47AD">
        <w:rPr>
          <w:lang w:val="es-419"/>
        </w:rPr>
        <w:t xml:space="preserve">22. </w:t>
      </w:r>
    </w:p>
  </w:footnote>
  <w:footnote w:id="73">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Sexto Informe del Estado mexicano sobre el cumplimiento y seguimiento de las recomendaciones contenidas en el informe “Situación de los Derechos Humanos en México,” p. 23.</w:t>
      </w:r>
    </w:p>
  </w:footnote>
  <w:footnote w:id="74">
    <w:p w:rsidR="00385F1D" w:rsidRPr="007D47AD" w:rsidRDefault="00385F1D" w:rsidP="00C66025">
      <w:pPr>
        <w:pStyle w:val="FootnoteText"/>
        <w:spacing w:after="120"/>
        <w:rPr>
          <w:lang w:val="en-US"/>
        </w:rPr>
      </w:pPr>
      <w:r w:rsidRPr="007D47AD">
        <w:rPr>
          <w:rStyle w:val="FootnoteReference"/>
          <w:rFonts w:asciiTheme="minorHAnsi" w:hAnsiTheme="minorHAnsi"/>
          <w:lang w:val="en-US"/>
        </w:rPr>
        <w:footnoteRef/>
      </w:r>
      <w:r w:rsidRPr="007D47AD">
        <w:rPr>
          <w:lang w:val="es-419"/>
        </w:rPr>
        <w:t xml:space="preserve"> Shadow report …, p. 3; and Movimiento por nuestros desparecidos en México. </w:t>
      </w:r>
      <w:r w:rsidRPr="007D47AD">
        <w:rPr>
          <w:lang w:val="en-US"/>
        </w:rPr>
        <w:t xml:space="preserve">Alternative report for the United Nations Human Rights Committee, September 10, 2019, p. 3. </w:t>
      </w:r>
    </w:p>
  </w:footnote>
  <w:footnote w:id="75">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Meeting held Thursday, October 17, 2019 with representatives of FUNDAR – Centro de Análisis e Investigación, SERAPAZ- Servicios y Asesoría para la Paz, and Fundación para la Justicia y el Estado Democrático de Derecho.</w:t>
      </w:r>
    </w:p>
  </w:footnote>
  <w:footnote w:id="76">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CNB, </w:t>
      </w:r>
      <w:hyperlink r:id="rId12" w:history="1">
        <w:r w:rsidRPr="007D47AD">
          <w:rPr>
            <w:rStyle w:val="Hyperlink"/>
            <w:rFonts w:asciiTheme="minorHAnsi" w:hAnsiTheme="minorHAnsi"/>
            <w:lang w:val="es-419"/>
          </w:rPr>
          <w:t>Conferencia de prensa de lanzamiento del RNPED</w:t>
        </w:r>
      </w:hyperlink>
      <w:r w:rsidRPr="007D47AD">
        <w:rPr>
          <w:lang w:val="es-419"/>
        </w:rPr>
        <w:t xml:space="preserve">, November 7, 2019. </w:t>
      </w:r>
    </w:p>
  </w:footnote>
  <w:footnote w:id="77">
    <w:p w:rsidR="00385F1D" w:rsidRPr="007D47AD" w:rsidRDefault="00385F1D" w:rsidP="00C66025">
      <w:pPr>
        <w:pStyle w:val="FootnoteText"/>
        <w:spacing w:after="120"/>
        <w:rPr>
          <w:lang w:val="es-419"/>
        </w:rPr>
      </w:pPr>
      <w:r w:rsidRPr="007D47AD">
        <w:rPr>
          <w:rStyle w:val="FootnoteReference"/>
          <w:lang w:val="en-US"/>
        </w:rPr>
        <w:footnoteRef/>
      </w:r>
      <w:r w:rsidRPr="007D47AD">
        <w:rPr>
          <w:lang w:val="en-US"/>
        </w:rPr>
        <w:t xml:space="preserve"> Observations and comments by the State, January 13, 2020, paras. </w:t>
      </w:r>
      <w:r w:rsidRPr="007D47AD">
        <w:rPr>
          <w:lang w:val="es-419"/>
        </w:rPr>
        <w:t>26-28.</w:t>
      </w:r>
    </w:p>
  </w:footnote>
  <w:footnote w:id="78">
    <w:p w:rsidR="00385F1D" w:rsidRPr="007D47AD" w:rsidRDefault="00385F1D" w:rsidP="00C66025">
      <w:pPr>
        <w:pStyle w:val="FootnoteText"/>
        <w:spacing w:after="120"/>
        <w:rPr>
          <w:lang w:val="en-US"/>
        </w:rPr>
      </w:pPr>
      <w:r w:rsidRPr="007D47AD">
        <w:rPr>
          <w:rStyle w:val="FootnoteReference"/>
          <w:rFonts w:asciiTheme="minorHAnsi" w:hAnsiTheme="minorHAnsi"/>
          <w:lang w:val="en-US"/>
        </w:rPr>
        <w:footnoteRef/>
      </w:r>
      <w:r w:rsidRPr="007D47AD">
        <w:rPr>
          <w:lang w:val="es-419"/>
        </w:rPr>
        <w:t xml:space="preserve"> Movimiento por nuestros desparecidos en México. Informe Alternativo para el Comité de Derechos Humanos de las Naciones Unidas. </w:t>
      </w:r>
      <w:r w:rsidRPr="007D47AD">
        <w:rPr>
          <w:lang w:val="en-US"/>
        </w:rPr>
        <w:t>September 10, 2019, p. 3.</w:t>
      </w:r>
    </w:p>
  </w:footnote>
  <w:footnote w:id="79">
    <w:p w:rsidR="00385F1D" w:rsidRPr="007D47AD" w:rsidRDefault="00385F1D" w:rsidP="00C66025">
      <w:pPr>
        <w:pStyle w:val="FootnoteText"/>
        <w:spacing w:after="120"/>
        <w:rPr>
          <w:lang w:val="en-US"/>
        </w:rPr>
      </w:pPr>
      <w:r w:rsidRPr="007D47AD">
        <w:rPr>
          <w:rStyle w:val="FootnoteReference"/>
          <w:lang w:val="en-US"/>
        </w:rPr>
        <w:footnoteRef/>
      </w:r>
      <w:r w:rsidRPr="007D47AD">
        <w:rPr>
          <w:lang w:val="en-US"/>
        </w:rPr>
        <w:t xml:space="preserve"> With respect to the National Forensic Data Base and the National Registry of Unidentified and Unclaimed Deceased Persons, the State indicated in its observations (paragraph 35) that both tools continue to be in the process of being “established and improved upon” and indicated that in April 2019 the directors of Expert and Forensic Medical Services  nationwide were interviewed to collect information for this purpose. </w:t>
      </w:r>
    </w:p>
  </w:footnote>
  <w:footnote w:id="80">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Movimiento por nuestros desparecidos en México. Informe Alternativo para el Comité de Derechos Humanos de las Naciones Unidas. September 10, 2019, p. 3.</w:t>
      </w:r>
    </w:p>
  </w:footnote>
  <w:footnote w:id="81">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Noticieros Televisa. </w:t>
      </w:r>
      <w:hyperlink r:id="rId13" w:history="1">
        <w:r w:rsidRPr="007D47AD">
          <w:rPr>
            <w:rStyle w:val="Hyperlink"/>
            <w:rFonts w:asciiTheme="minorHAnsi" w:hAnsiTheme="minorHAnsi"/>
            <w:bCs/>
            <w:lang w:val="es-419"/>
          </w:rPr>
          <w:t>Existen 3,024 fosas clandestinas en México, informa gobierno de AMLO</w:t>
        </w:r>
      </w:hyperlink>
      <w:r w:rsidRPr="007D47AD">
        <w:rPr>
          <w:lang w:val="es-419"/>
        </w:rPr>
        <w:t xml:space="preserve">, August 30, 2019; Milenio. </w:t>
      </w:r>
      <w:hyperlink r:id="rId14" w:history="1">
        <w:r w:rsidRPr="007D47AD">
          <w:rPr>
            <w:rStyle w:val="Hyperlink"/>
            <w:rFonts w:asciiTheme="minorHAnsi" w:hAnsiTheme="minorHAnsi"/>
            <w:lang w:val="es-419"/>
          </w:rPr>
          <w:t>En 13 años, se hallaron 3 mil 24 fosas clandestinas; con AMLO, 522</w:t>
        </w:r>
      </w:hyperlink>
      <w:r w:rsidRPr="007D47AD">
        <w:rPr>
          <w:lang w:val="es-419"/>
        </w:rPr>
        <w:t>, August 30, 2019; Amnesty International, Document “México, insumos para el Informe Anual de la Comisión Interamericana,” October 31, 2019.</w:t>
      </w:r>
    </w:p>
  </w:footnote>
  <w:footnote w:id="82">
    <w:p w:rsidR="00385F1D" w:rsidRPr="007D47AD" w:rsidRDefault="00385F1D" w:rsidP="00C66025">
      <w:pPr>
        <w:pStyle w:val="FootnoteText"/>
        <w:spacing w:after="120"/>
        <w:rPr>
          <w:lang w:val="en-US"/>
        </w:rPr>
      </w:pPr>
      <w:r w:rsidRPr="007D47AD">
        <w:rPr>
          <w:rStyle w:val="FootnoteReference"/>
          <w:rFonts w:asciiTheme="minorHAnsi" w:hAnsiTheme="minorHAnsi"/>
          <w:lang w:val="en-US"/>
        </w:rPr>
        <w:footnoteRef/>
      </w:r>
      <w:r w:rsidRPr="007D47AD">
        <w:rPr>
          <w:lang w:val="es-419"/>
        </w:rPr>
        <w:t xml:space="preserve"> CNDH, Actualización correspondiente al año 2019 de la aportación de la Comisión Nacional de los Derechos Humanos de México (CNDH) en el marco de la revisión del cumplimiento de recomendaciones contenidas en el “Informe sobre situación de los Derechos Humanos en México,” publicado por la Comisión Interamericana de Derechos Humanos (CIDH) en 2015. </w:t>
      </w:r>
      <w:r w:rsidRPr="007D47AD">
        <w:rPr>
          <w:lang w:val="en-US"/>
        </w:rPr>
        <w:t xml:space="preserve">October 2019, p. 7. </w:t>
      </w:r>
    </w:p>
  </w:footnote>
  <w:footnote w:id="83">
    <w:p w:rsidR="00385F1D" w:rsidRPr="007D47AD" w:rsidRDefault="00385F1D" w:rsidP="00C66025">
      <w:pPr>
        <w:pStyle w:val="FootnoteText"/>
        <w:spacing w:after="120"/>
        <w:rPr>
          <w:lang w:val="es-419"/>
        </w:rPr>
      </w:pPr>
      <w:r w:rsidRPr="007D47AD">
        <w:rPr>
          <w:rStyle w:val="FootnoteReference"/>
          <w:lang w:val="en-US"/>
        </w:rPr>
        <w:footnoteRef/>
      </w:r>
      <w:r w:rsidRPr="007D47AD">
        <w:rPr>
          <w:lang w:val="en-US"/>
        </w:rPr>
        <w:t xml:space="preserve"> Observations and comments by the State, January 13, 2020, para. </w:t>
      </w:r>
      <w:r w:rsidRPr="007D47AD">
        <w:rPr>
          <w:lang w:val="es-419"/>
        </w:rPr>
        <w:t xml:space="preserve">23. </w:t>
      </w:r>
    </w:p>
  </w:footnote>
  <w:footnote w:id="84">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Sexto Informe del Estado mexicano sobre el cumplimiento y seguimiento de las recomendaciones contenidas en el informe “Situación de los Derechos Humanos en México,” p. 25.</w:t>
      </w:r>
    </w:p>
  </w:footnote>
  <w:footnote w:id="85">
    <w:p w:rsidR="00385F1D" w:rsidRPr="007D47AD" w:rsidRDefault="00385F1D" w:rsidP="00C66025">
      <w:pPr>
        <w:pStyle w:val="FootnoteText"/>
        <w:spacing w:after="120"/>
        <w:rPr>
          <w:lang w:val="en-US"/>
        </w:rPr>
      </w:pPr>
      <w:r w:rsidRPr="007D47AD">
        <w:rPr>
          <w:rStyle w:val="FootnoteReference"/>
          <w:rFonts w:asciiTheme="minorHAnsi" w:hAnsiTheme="minorHAnsi"/>
          <w:lang w:val="en-US"/>
        </w:rPr>
        <w:footnoteRef/>
      </w:r>
      <w:r w:rsidRPr="007D47AD">
        <w:rPr>
          <w:lang w:val="es-419"/>
        </w:rPr>
        <w:t xml:space="preserve"> Movimiento por nuestros desparecidos en México. Informe Alternativo para el Comité de Derechos Humanos de las Naciones Unidas. </w:t>
      </w:r>
      <w:r w:rsidRPr="007D47AD">
        <w:rPr>
          <w:lang w:val="en-US"/>
        </w:rPr>
        <w:t>September 10, 2019, p. 2; Shadow report…, p. 3.</w:t>
      </w:r>
    </w:p>
  </w:footnote>
  <w:footnote w:id="86">
    <w:p w:rsidR="00385F1D" w:rsidRPr="007D47AD" w:rsidRDefault="00385F1D" w:rsidP="00C66025">
      <w:pPr>
        <w:pStyle w:val="FootnoteText"/>
        <w:spacing w:after="120"/>
        <w:rPr>
          <w:lang w:val="en-US"/>
        </w:rPr>
      </w:pPr>
      <w:r w:rsidRPr="007D47AD">
        <w:rPr>
          <w:rStyle w:val="FootnoteReference"/>
          <w:lang w:val="en-US"/>
        </w:rPr>
        <w:footnoteRef/>
      </w:r>
      <w:r w:rsidRPr="007D47AD">
        <w:rPr>
          <w:lang w:val="en-US"/>
        </w:rPr>
        <w:t xml:space="preserve"> Observations and comments by the State, January 13, 2020, paras. 25 and 29-30.  </w:t>
      </w:r>
    </w:p>
  </w:footnote>
  <w:footnote w:id="87">
    <w:p w:rsidR="00385F1D" w:rsidRPr="007D47AD" w:rsidRDefault="00385F1D" w:rsidP="00C66025">
      <w:pPr>
        <w:pStyle w:val="FootnoteText"/>
        <w:spacing w:after="120"/>
        <w:rPr>
          <w:lang w:val="en-US"/>
        </w:rPr>
      </w:pPr>
      <w:r w:rsidRPr="007D47AD">
        <w:rPr>
          <w:rStyle w:val="FootnoteReference"/>
          <w:rFonts w:asciiTheme="minorHAnsi" w:hAnsiTheme="minorHAnsi"/>
          <w:lang w:val="en-US"/>
        </w:rPr>
        <w:footnoteRef/>
      </w:r>
      <w:r w:rsidRPr="007D47AD">
        <w:rPr>
          <w:lang w:val="en-US"/>
        </w:rPr>
        <w:t xml:space="preserve"> </w:t>
      </w:r>
      <w:hyperlink r:id="rId15" w:history="1">
        <w:r w:rsidRPr="007D47AD">
          <w:rPr>
            <w:rStyle w:val="Hyperlink"/>
            <w:rFonts w:asciiTheme="minorHAnsi" w:hAnsiTheme="minorHAnsi"/>
            <w:lang w:val="en-US"/>
          </w:rPr>
          <w:t xml:space="preserve">Standardized Protocol for the Search for Disappeared Persons and Investigating the Crime of Forced Disappearance. </w:t>
        </w:r>
      </w:hyperlink>
    </w:p>
  </w:footnote>
  <w:footnote w:id="88">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Sexto Informe del Estado mexicano sobre el cumplimiento y seguimiento de las recomendaciones contenidas en el informe “Situación de los Derechos Humanos en México,” pp. 25-26.</w:t>
      </w:r>
    </w:p>
  </w:footnote>
  <w:footnote w:id="89">
    <w:p w:rsidR="00385F1D" w:rsidRPr="007D47AD" w:rsidRDefault="00385F1D" w:rsidP="00C66025">
      <w:pPr>
        <w:pStyle w:val="FootnoteText"/>
        <w:spacing w:after="120"/>
        <w:rPr>
          <w:lang w:val="en-US"/>
        </w:rPr>
      </w:pPr>
      <w:r w:rsidRPr="007D47AD">
        <w:rPr>
          <w:rStyle w:val="FootnoteReference"/>
          <w:rFonts w:asciiTheme="minorHAnsi" w:hAnsiTheme="minorHAnsi"/>
          <w:lang w:val="en-US"/>
        </w:rPr>
        <w:footnoteRef/>
      </w:r>
      <w:r w:rsidRPr="007D47AD">
        <w:rPr>
          <w:lang w:val="en-US"/>
        </w:rPr>
        <w:t xml:space="preserve"> </w:t>
      </w:r>
      <w:hyperlink r:id="rId16" w:history="1">
        <w:r w:rsidRPr="007D47AD">
          <w:rPr>
            <w:rStyle w:val="Hyperlink"/>
            <w:rFonts w:asciiTheme="minorHAnsi" w:hAnsiTheme="minorHAnsi"/>
            <w:lang w:val="en-US"/>
          </w:rPr>
          <w:t>Standardized Protocol for Investigating the Crimes of Forced Disappearance and Disappearance Committed by Private Persons</w:t>
        </w:r>
      </w:hyperlink>
    </w:p>
  </w:footnote>
  <w:footnote w:id="90">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Meeting held October 17, 2019 with representatives of FUNDAR – Centro de Análisis e Investigación, SERAPAZ – Servicios y Asesoría para la Paz, and Fundación para la Justicia y el Estado Democrático de Derecho; Movimiento por nuestros desparecidos en México. </w:t>
      </w:r>
      <w:r w:rsidRPr="007D47AD">
        <w:rPr>
          <w:bCs/>
          <w:lang w:val="es-419"/>
        </w:rPr>
        <w:t>Informe Alternativo para el Comité de Derechos Humanos de las Naciones Unidas. September 10, 2019, p. 9.</w:t>
      </w:r>
    </w:p>
  </w:footnote>
  <w:footnote w:id="91">
    <w:p w:rsidR="00385F1D" w:rsidRPr="007D47AD" w:rsidRDefault="00385F1D" w:rsidP="00C66025">
      <w:pPr>
        <w:pStyle w:val="FootnoteText"/>
        <w:spacing w:after="120"/>
        <w:rPr>
          <w:lang w:val="en-US"/>
        </w:rPr>
      </w:pPr>
      <w:r w:rsidRPr="007D47AD">
        <w:rPr>
          <w:rStyle w:val="FootnoteReference"/>
          <w:rFonts w:asciiTheme="minorHAnsi" w:hAnsiTheme="minorHAnsi"/>
          <w:lang w:val="en-US"/>
        </w:rPr>
        <w:footnoteRef/>
      </w:r>
      <w:r w:rsidRPr="007D47AD">
        <w:rPr>
          <w:lang w:val="es-419"/>
        </w:rPr>
        <w:t xml:space="preserve"> CNDH, Actualización correspondiente al año 2019 de la aportación de la Comisión Nacional de los Derechos Humanos de México (CNDH) en el marco de la revisión del cumplimiento de recomendaciones contenidas en el “Informe sobre situación de los Derechos Humanos en México,” publicado por la Comisión Interamericana de Derechos Humanos (CIDH) en 2015. </w:t>
      </w:r>
      <w:r w:rsidRPr="007D47AD">
        <w:rPr>
          <w:lang w:val="en-US"/>
        </w:rPr>
        <w:t>October 2019.</w:t>
      </w:r>
    </w:p>
  </w:footnote>
  <w:footnote w:id="92">
    <w:p w:rsidR="00385F1D" w:rsidRPr="007D47AD" w:rsidRDefault="00385F1D" w:rsidP="00C66025">
      <w:pPr>
        <w:pStyle w:val="FootnoteText"/>
        <w:spacing w:after="120"/>
        <w:rPr>
          <w:lang w:val="en-US"/>
        </w:rPr>
      </w:pPr>
      <w:r w:rsidRPr="007D47AD">
        <w:rPr>
          <w:rStyle w:val="FootnoteReference"/>
          <w:rFonts w:asciiTheme="minorHAnsi" w:hAnsiTheme="minorHAnsi"/>
          <w:lang w:val="en-US"/>
        </w:rPr>
        <w:footnoteRef/>
      </w:r>
      <w:r w:rsidRPr="007D47AD">
        <w:rPr>
          <w:lang w:val="en-US"/>
        </w:rPr>
        <w:t xml:space="preserve"> Human Rights Committee, </w:t>
      </w:r>
      <w:hyperlink r:id="rId17" w:history="1">
        <w:r w:rsidRPr="007D47AD">
          <w:rPr>
            <w:rStyle w:val="Hyperlink"/>
            <w:rFonts w:asciiTheme="minorHAnsi" w:hAnsiTheme="minorHAnsi"/>
            <w:lang w:val="en-US"/>
          </w:rPr>
          <w:t>Views adopted by the Committee under article 5 (4) of the Optional Protocol, concerning communication No. 2750/2016</w:t>
        </w:r>
      </w:hyperlink>
      <w:r w:rsidRPr="007D47AD">
        <w:rPr>
          <w:lang w:val="en-US"/>
        </w:rPr>
        <w:t xml:space="preserve">. August 5, 2019. </w:t>
      </w:r>
    </w:p>
  </w:footnote>
  <w:footnote w:id="93">
    <w:p w:rsidR="00385F1D" w:rsidRPr="007D47AD" w:rsidRDefault="00385F1D" w:rsidP="00C66025">
      <w:pPr>
        <w:pStyle w:val="FootnoteText"/>
        <w:spacing w:after="120"/>
        <w:rPr>
          <w:lang w:val="en-US"/>
        </w:rPr>
      </w:pPr>
      <w:r w:rsidRPr="007D47AD">
        <w:rPr>
          <w:rStyle w:val="FootnoteReference"/>
          <w:lang w:val="en-US"/>
        </w:rPr>
        <w:footnoteRef/>
      </w:r>
      <w:r w:rsidRPr="007D47AD">
        <w:rPr>
          <w:lang w:val="en-US"/>
        </w:rPr>
        <w:t xml:space="preserve"> Observations and comments by the State, January 13, 2020, paras. 33-34.</w:t>
      </w:r>
    </w:p>
  </w:footnote>
  <w:footnote w:id="94">
    <w:p w:rsidR="00385F1D" w:rsidRPr="007D47AD" w:rsidRDefault="00385F1D" w:rsidP="00C66025">
      <w:pPr>
        <w:pStyle w:val="FootnoteText"/>
        <w:spacing w:after="120"/>
        <w:rPr>
          <w:lang w:val="en-US"/>
        </w:rPr>
      </w:pPr>
      <w:r w:rsidRPr="007D47AD">
        <w:rPr>
          <w:rStyle w:val="FootnoteReference"/>
          <w:rFonts w:asciiTheme="minorHAnsi" w:hAnsiTheme="minorHAnsi"/>
          <w:lang w:val="en-US"/>
        </w:rPr>
        <w:footnoteRef/>
      </w:r>
      <w:r w:rsidRPr="007D47AD">
        <w:rPr>
          <w:lang w:val="en-US"/>
        </w:rPr>
        <w:t xml:space="preserve"> Government of Mexico, Executive Secretariat of the National System of Public Security, </w:t>
      </w:r>
      <w:hyperlink r:id="rId18" w:history="1">
        <w:r w:rsidRPr="007D47AD">
          <w:rPr>
            <w:rStyle w:val="Hyperlink"/>
            <w:rFonts w:asciiTheme="minorHAnsi" w:hAnsiTheme="minorHAnsi"/>
            <w:color w:val="auto"/>
            <w:lang w:val="en-US"/>
          </w:rPr>
          <w:t>National Registry of Missing or Disappeared Persons</w:t>
        </w:r>
      </w:hyperlink>
      <w:r w:rsidRPr="007D47AD">
        <w:rPr>
          <w:rFonts w:cs="Calibri"/>
          <w:lang w:val="en-US"/>
        </w:rPr>
        <w:t xml:space="preserve">. </w:t>
      </w:r>
    </w:p>
  </w:footnote>
  <w:footnote w:id="95">
    <w:p w:rsidR="00385F1D" w:rsidRPr="007D47AD" w:rsidRDefault="00385F1D" w:rsidP="00C66025">
      <w:pPr>
        <w:pStyle w:val="FootnoteText"/>
        <w:spacing w:after="120"/>
        <w:rPr>
          <w:lang w:val="en-US"/>
        </w:rPr>
      </w:pPr>
      <w:r w:rsidRPr="007D47AD">
        <w:rPr>
          <w:rStyle w:val="FootnoteReference"/>
          <w:rFonts w:asciiTheme="minorHAnsi" w:hAnsiTheme="minorHAnsi"/>
          <w:lang w:val="en-US"/>
        </w:rPr>
        <w:footnoteRef/>
      </w:r>
      <w:r w:rsidRPr="007D47AD">
        <w:rPr>
          <w:lang w:val="en-US"/>
        </w:rPr>
        <w:t xml:space="preserve"> IACHR. </w:t>
      </w:r>
      <w:hyperlink r:id="rId19" w:history="1">
        <w:r w:rsidRPr="007D47AD">
          <w:rPr>
            <w:rStyle w:val="Hyperlink"/>
            <w:rFonts w:asciiTheme="minorHAnsi" w:hAnsiTheme="minorHAnsi"/>
            <w:lang w:val="en-US"/>
          </w:rPr>
          <w:t>Public hearing on forced disappearances in Mexico, 172</w:t>
        </w:r>
        <w:r w:rsidRPr="007D47AD">
          <w:rPr>
            <w:rStyle w:val="Hyperlink"/>
            <w:rFonts w:asciiTheme="minorHAnsi" w:hAnsiTheme="minorHAnsi"/>
            <w:vertAlign w:val="superscript"/>
            <w:lang w:val="en-US"/>
          </w:rPr>
          <w:t>nd</w:t>
        </w:r>
        <w:r w:rsidRPr="007D47AD">
          <w:rPr>
            <w:rStyle w:val="Hyperlink"/>
            <w:rFonts w:asciiTheme="minorHAnsi" w:hAnsiTheme="minorHAnsi"/>
            <w:lang w:val="en-US"/>
          </w:rPr>
          <w:t xml:space="preserve"> period of sessions of the IACHR.</w:t>
        </w:r>
      </w:hyperlink>
      <w:r w:rsidRPr="007D47AD">
        <w:rPr>
          <w:lang w:val="en-US"/>
        </w:rPr>
        <w:t xml:space="preserve"> May 10, 2019. </w:t>
      </w:r>
    </w:p>
  </w:footnote>
  <w:footnote w:id="96">
    <w:p w:rsidR="00385F1D" w:rsidRPr="007D47AD" w:rsidRDefault="00385F1D" w:rsidP="00C66025">
      <w:pPr>
        <w:pStyle w:val="FootnoteText"/>
        <w:spacing w:after="120"/>
        <w:rPr>
          <w:lang w:val="en-US"/>
        </w:rPr>
      </w:pPr>
      <w:r w:rsidRPr="007D47AD">
        <w:rPr>
          <w:rStyle w:val="FootnoteReference"/>
          <w:rFonts w:asciiTheme="minorHAnsi" w:hAnsiTheme="minorHAnsi"/>
          <w:lang w:val="en-US"/>
        </w:rPr>
        <w:footnoteRef/>
      </w:r>
      <w:r w:rsidRPr="007D47AD">
        <w:rPr>
          <w:lang w:val="en-US"/>
        </w:rPr>
        <w:t xml:space="preserve"> IACHR. </w:t>
      </w:r>
      <w:hyperlink r:id="rId20" w:history="1">
        <w:r w:rsidRPr="007D47AD">
          <w:rPr>
            <w:rStyle w:val="Hyperlink"/>
            <w:rFonts w:asciiTheme="minorHAnsi" w:hAnsiTheme="minorHAnsi"/>
            <w:lang w:val="en-US"/>
          </w:rPr>
          <w:t>Public hearing on forced disappearances in Mexico, 172</w:t>
        </w:r>
        <w:r w:rsidRPr="007D47AD">
          <w:rPr>
            <w:rStyle w:val="Hyperlink"/>
            <w:rFonts w:asciiTheme="minorHAnsi" w:hAnsiTheme="minorHAnsi"/>
            <w:vertAlign w:val="superscript"/>
            <w:lang w:val="en-US"/>
          </w:rPr>
          <w:t>nd</w:t>
        </w:r>
        <w:r w:rsidRPr="007D47AD">
          <w:rPr>
            <w:rStyle w:val="Hyperlink"/>
            <w:rFonts w:asciiTheme="minorHAnsi" w:hAnsiTheme="minorHAnsi"/>
            <w:lang w:val="en-US"/>
          </w:rPr>
          <w:t xml:space="preserve"> period of sessions of the IACHR.</w:t>
        </w:r>
      </w:hyperlink>
      <w:r w:rsidRPr="007D47AD">
        <w:rPr>
          <w:lang w:val="en-US"/>
        </w:rPr>
        <w:t xml:space="preserve"> May 10, 2019. </w:t>
      </w:r>
    </w:p>
  </w:footnote>
  <w:footnote w:id="97">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n-US"/>
        </w:rPr>
        <w:t xml:space="preserve"> IACHR. </w:t>
      </w:r>
      <w:hyperlink r:id="rId21" w:history="1">
        <w:r w:rsidRPr="007D47AD">
          <w:rPr>
            <w:rStyle w:val="Hyperlink"/>
            <w:rFonts w:asciiTheme="minorHAnsi" w:hAnsiTheme="minorHAnsi"/>
            <w:lang w:val="en-US"/>
          </w:rPr>
          <w:t>Public hearing on forced disappearances in Mexico, 172</w:t>
        </w:r>
        <w:r w:rsidRPr="007D47AD">
          <w:rPr>
            <w:rStyle w:val="Hyperlink"/>
            <w:rFonts w:asciiTheme="minorHAnsi" w:hAnsiTheme="minorHAnsi"/>
            <w:vertAlign w:val="superscript"/>
            <w:lang w:val="en-US"/>
          </w:rPr>
          <w:t>nd</w:t>
        </w:r>
        <w:r w:rsidRPr="007D47AD">
          <w:rPr>
            <w:rStyle w:val="Hyperlink"/>
            <w:rFonts w:asciiTheme="minorHAnsi" w:hAnsiTheme="minorHAnsi"/>
            <w:lang w:val="en-US"/>
          </w:rPr>
          <w:t xml:space="preserve"> period of sessions of the IACHR.</w:t>
        </w:r>
      </w:hyperlink>
      <w:r w:rsidRPr="007D47AD">
        <w:rPr>
          <w:lang w:val="en-US"/>
        </w:rPr>
        <w:t xml:space="preserve"> </w:t>
      </w:r>
      <w:r w:rsidRPr="007D47AD">
        <w:rPr>
          <w:lang w:val="es-419"/>
        </w:rPr>
        <w:t xml:space="preserve">May 10, 2019. </w:t>
      </w:r>
    </w:p>
  </w:footnote>
  <w:footnote w:id="98">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Movimiento por nuestros desparecidos en México. Informe Alternativo para el Comité de Derechos Humanos de las Naciones Unidas. September 10, 2019. P. 2; Shadow report …, p. 5.</w:t>
      </w:r>
    </w:p>
  </w:footnote>
  <w:footnote w:id="99">
    <w:p w:rsidR="00385F1D" w:rsidRPr="007D47AD" w:rsidRDefault="00385F1D" w:rsidP="00C66025">
      <w:pPr>
        <w:pStyle w:val="FootnoteText"/>
        <w:spacing w:after="120"/>
        <w:rPr>
          <w:lang w:val="es-419"/>
        </w:rPr>
      </w:pPr>
      <w:r w:rsidRPr="007D47AD">
        <w:rPr>
          <w:rStyle w:val="FootnoteReference"/>
          <w:lang w:val="en-US"/>
        </w:rPr>
        <w:footnoteRef/>
      </w:r>
      <w:r w:rsidRPr="007D47AD">
        <w:rPr>
          <w:lang w:val="es-419"/>
        </w:rPr>
        <w:t xml:space="preserve"> Ministry of Interior, </w:t>
      </w:r>
      <w:hyperlink r:id="rId22" w:history="1">
        <w:r w:rsidRPr="007D47AD">
          <w:rPr>
            <w:rStyle w:val="Hyperlink"/>
            <w:lang w:val="es-419"/>
          </w:rPr>
          <w:t>Aprueban el primer Mecanismo Extraordinario de Identificación Forense en el país; los recursos serán ilimitados asegura Olga Sánchez Cordero,</w:t>
        </w:r>
      </w:hyperlink>
      <w:r w:rsidRPr="007D47AD">
        <w:rPr>
          <w:lang w:val="es-419"/>
        </w:rPr>
        <w:t xml:space="preserve"> December 5, 2019</w:t>
      </w:r>
    </w:p>
  </w:footnote>
  <w:footnote w:id="100">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Sexto Informe del Estado mexicano sobre el cumplimiento y seguimiento de las recomendaciones contenidas en el informe “Situación de los Derechos Humanos en México,” October 2019, p. 25.</w:t>
      </w:r>
    </w:p>
  </w:footnote>
  <w:footnote w:id="101">
    <w:p w:rsidR="00385F1D" w:rsidRPr="007D47AD" w:rsidRDefault="00385F1D" w:rsidP="00C66025">
      <w:pPr>
        <w:pStyle w:val="FootnoteText"/>
        <w:spacing w:after="120"/>
        <w:rPr>
          <w:lang w:val="en-US"/>
        </w:rPr>
      </w:pPr>
      <w:r w:rsidRPr="007D47AD">
        <w:rPr>
          <w:rStyle w:val="FootnoteReference"/>
          <w:rFonts w:asciiTheme="minorHAnsi" w:hAnsiTheme="minorHAnsi"/>
          <w:color w:val="000000"/>
          <w:lang w:val="en-US"/>
        </w:rPr>
        <w:footnoteRef/>
      </w:r>
      <w:r w:rsidRPr="007D47AD">
        <w:rPr>
          <w:lang w:val="en-US"/>
        </w:rPr>
        <w:t xml:space="preserve"> Amnesty International, </w:t>
      </w:r>
      <w:hyperlink r:id="rId23" w:history="1">
        <w:r w:rsidRPr="007D47AD">
          <w:rPr>
            <w:rStyle w:val="Hyperlink"/>
            <w:rFonts w:asciiTheme="minorHAnsi" w:hAnsiTheme="minorHAnsi" w:cs="Calibri"/>
            <w:color w:val="000000"/>
            <w:lang w:val="en-US"/>
          </w:rPr>
          <w:t>The State of the World’s Human Rights</w:t>
        </w:r>
      </w:hyperlink>
      <w:r w:rsidRPr="007D47AD">
        <w:rPr>
          <w:rStyle w:val="Hyperlink"/>
          <w:rFonts w:asciiTheme="minorHAnsi" w:hAnsiTheme="minorHAnsi" w:cs="Calibri"/>
          <w:color w:val="000000"/>
          <w:u w:val="none"/>
          <w:lang w:val="en-US"/>
        </w:rPr>
        <w:t>,</w:t>
      </w:r>
      <w:r w:rsidRPr="007D47AD">
        <w:rPr>
          <w:lang w:val="en-US"/>
        </w:rPr>
        <w:t xml:space="preserve"> Annual Report 2017/2018, 2018, p. 314.</w:t>
      </w:r>
    </w:p>
  </w:footnote>
  <w:footnote w:id="102">
    <w:p w:rsidR="00385F1D" w:rsidRPr="007D47AD" w:rsidRDefault="00385F1D" w:rsidP="00C66025">
      <w:pPr>
        <w:pStyle w:val="FootnoteText"/>
        <w:spacing w:after="120"/>
        <w:rPr>
          <w:lang w:val="en-US"/>
        </w:rPr>
      </w:pPr>
      <w:r w:rsidRPr="007D47AD">
        <w:rPr>
          <w:vertAlign w:val="superscript"/>
          <w:lang w:val="en-US"/>
        </w:rPr>
        <w:footnoteRef/>
      </w:r>
      <w:r w:rsidRPr="007D47AD">
        <w:rPr>
          <w:lang w:val="es-419"/>
        </w:rPr>
        <w:t xml:space="preserve"> CNDH. Actualización correspondiente al año 2019 de la revisión del cumplimiento de recomendaciones contenidas en el “Informe sobre situación de los Derechos Humanos en México,” October 2019, para. </w:t>
      </w:r>
      <w:r w:rsidRPr="007D47AD">
        <w:rPr>
          <w:lang w:val="en-US"/>
        </w:rPr>
        <w:t xml:space="preserve">16. </w:t>
      </w:r>
    </w:p>
  </w:footnote>
  <w:footnote w:id="103">
    <w:p w:rsidR="00385F1D" w:rsidRPr="007D47AD" w:rsidRDefault="00385F1D" w:rsidP="00C66025">
      <w:pPr>
        <w:pStyle w:val="FootnoteText"/>
        <w:spacing w:after="120"/>
        <w:rPr>
          <w:lang w:val="en-US"/>
        </w:rPr>
      </w:pPr>
      <w:r w:rsidRPr="007D47AD">
        <w:rPr>
          <w:rStyle w:val="FootnoteReference"/>
          <w:rFonts w:asciiTheme="minorHAnsi" w:hAnsiTheme="minorHAnsi"/>
          <w:color w:val="000000"/>
          <w:lang w:val="en-US"/>
        </w:rPr>
        <w:footnoteRef/>
      </w:r>
      <w:r w:rsidRPr="007D47AD">
        <w:rPr>
          <w:lang w:val="en-US"/>
        </w:rPr>
        <w:t xml:space="preserve"> Id(dh)eas, Violations of the rights of women due to disappearance of women and girls in the State of Mexico, thematic hearing held in the context of the 172</w:t>
      </w:r>
      <w:r w:rsidRPr="007D47AD">
        <w:rPr>
          <w:vertAlign w:val="superscript"/>
          <w:lang w:val="en-US"/>
        </w:rPr>
        <w:t>nd</w:t>
      </w:r>
      <w:r w:rsidRPr="007D47AD">
        <w:rPr>
          <w:lang w:val="en-US"/>
        </w:rPr>
        <w:t xml:space="preserve"> period of sessions of the IACHR, May 9, 2019. </w:t>
      </w:r>
    </w:p>
  </w:footnote>
  <w:footnote w:id="104">
    <w:p w:rsidR="00385F1D" w:rsidRPr="007D47AD" w:rsidRDefault="00385F1D" w:rsidP="00C66025">
      <w:pPr>
        <w:spacing w:after="120" w:line="240" w:lineRule="auto"/>
        <w:ind w:firstLine="720"/>
        <w:contextualSpacing/>
        <w:jc w:val="both"/>
        <w:rPr>
          <w:rFonts w:asciiTheme="minorHAnsi" w:hAnsiTheme="minorHAnsi"/>
          <w:color w:val="000000"/>
          <w:sz w:val="16"/>
          <w:szCs w:val="16"/>
          <w:lang w:val="en-US"/>
        </w:rPr>
      </w:pPr>
      <w:r w:rsidRPr="007D47AD">
        <w:rPr>
          <w:rStyle w:val="FootnoteReference"/>
          <w:rFonts w:asciiTheme="minorHAnsi" w:hAnsiTheme="minorHAnsi"/>
          <w:color w:val="000000"/>
          <w:sz w:val="16"/>
          <w:szCs w:val="16"/>
          <w:lang w:val="en-US"/>
        </w:rPr>
        <w:footnoteRef/>
      </w:r>
      <w:r w:rsidRPr="007D47AD">
        <w:rPr>
          <w:rFonts w:asciiTheme="minorHAnsi" w:hAnsiTheme="minorHAnsi"/>
          <w:color w:val="000000"/>
          <w:sz w:val="16"/>
          <w:szCs w:val="16"/>
          <w:lang w:val="en-US"/>
        </w:rPr>
        <w:t xml:space="preserve"> </w:t>
      </w:r>
      <w:r w:rsidRPr="007D47AD">
        <w:rPr>
          <w:rFonts w:asciiTheme="minorHAnsi" w:hAnsiTheme="minorHAnsi" w:cs="Calibri"/>
          <w:color w:val="000000"/>
          <w:sz w:val="16"/>
          <w:szCs w:val="16"/>
          <w:lang w:val="en-US"/>
        </w:rPr>
        <w:t xml:space="preserve">Amnesty International, </w:t>
      </w:r>
      <w:hyperlink r:id="rId24" w:history="1">
        <w:r w:rsidRPr="007D47AD">
          <w:rPr>
            <w:rStyle w:val="Hyperlink"/>
            <w:rFonts w:asciiTheme="minorHAnsi" w:hAnsiTheme="minorHAnsi" w:cs="Calibri"/>
            <w:color w:val="000000"/>
            <w:sz w:val="16"/>
            <w:szCs w:val="16"/>
            <w:lang w:val="en-US"/>
          </w:rPr>
          <w:t>The State of the World’s Human Rights</w:t>
        </w:r>
      </w:hyperlink>
      <w:r w:rsidRPr="007D47AD">
        <w:rPr>
          <w:rFonts w:asciiTheme="minorHAnsi" w:hAnsiTheme="minorHAnsi" w:cs="Calibri"/>
          <w:color w:val="000000"/>
          <w:sz w:val="16"/>
          <w:szCs w:val="16"/>
          <w:lang w:val="en-US"/>
        </w:rPr>
        <w:t>, Annual Report 2017/2018, 2018, p</w:t>
      </w:r>
      <w:r w:rsidRPr="007D47AD">
        <w:rPr>
          <w:rFonts w:asciiTheme="minorHAnsi" w:hAnsiTheme="minorHAnsi"/>
          <w:color w:val="000000"/>
          <w:sz w:val="16"/>
          <w:szCs w:val="16"/>
          <w:lang w:val="en-US"/>
        </w:rPr>
        <w:t>. 314.</w:t>
      </w:r>
    </w:p>
  </w:footnote>
  <w:footnote w:id="105">
    <w:p w:rsidR="00385F1D" w:rsidRPr="007D47AD" w:rsidRDefault="00385F1D" w:rsidP="00C66025">
      <w:pPr>
        <w:spacing w:after="120" w:line="240" w:lineRule="auto"/>
        <w:ind w:firstLine="720"/>
        <w:contextualSpacing/>
        <w:jc w:val="both"/>
        <w:rPr>
          <w:rFonts w:asciiTheme="minorHAnsi" w:hAnsiTheme="minorHAnsi"/>
          <w:color w:val="000000"/>
          <w:sz w:val="16"/>
          <w:szCs w:val="16"/>
          <w:lang w:val="es-419"/>
        </w:rPr>
      </w:pPr>
      <w:r w:rsidRPr="007D47AD">
        <w:rPr>
          <w:rStyle w:val="FootnoteReference"/>
          <w:rFonts w:asciiTheme="minorHAnsi" w:hAnsiTheme="minorHAnsi"/>
          <w:color w:val="000000"/>
          <w:sz w:val="16"/>
          <w:szCs w:val="16"/>
          <w:lang w:val="en-US"/>
        </w:rPr>
        <w:footnoteRef/>
      </w:r>
      <w:r w:rsidRPr="007D47AD">
        <w:rPr>
          <w:rFonts w:asciiTheme="minorHAnsi" w:hAnsiTheme="minorHAnsi"/>
          <w:color w:val="000000"/>
          <w:sz w:val="16"/>
          <w:szCs w:val="16"/>
          <w:lang w:val="es-419"/>
        </w:rPr>
        <w:t xml:space="preserve"> </w:t>
      </w:r>
      <w:r w:rsidRPr="007D47AD">
        <w:rPr>
          <w:rFonts w:asciiTheme="minorHAnsi" w:hAnsiTheme="minorHAnsi" w:cs="Calibri"/>
          <w:color w:val="000000"/>
          <w:sz w:val="16"/>
          <w:szCs w:val="16"/>
          <w:lang w:val="es-419"/>
        </w:rPr>
        <w:t>Id</w:t>
      </w:r>
      <w:r w:rsidRPr="007D47AD">
        <w:rPr>
          <w:rFonts w:asciiTheme="minorHAnsi" w:hAnsiTheme="minorHAnsi"/>
          <w:color w:val="000000"/>
          <w:sz w:val="16"/>
          <w:szCs w:val="16"/>
          <w:lang w:val="es-419"/>
        </w:rPr>
        <w:t xml:space="preserve">(dh)eas, </w:t>
      </w:r>
      <w:hyperlink r:id="rId25" w:history="1">
        <w:r w:rsidRPr="007D47AD">
          <w:rPr>
            <w:rStyle w:val="Hyperlink"/>
            <w:rFonts w:asciiTheme="minorHAnsi" w:hAnsiTheme="minorHAnsi"/>
            <w:color w:val="000000"/>
            <w:sz w:val="16"/>
            <w:szCs w:val="16"/>
            <w:lang w:val="es-419"/>
          </w:rPr>
          <w:t>Informe alternativo sobre la desaparición de mujeres en el Estado de México</w:t>
        </w:r>
      </w:hyperlink>
      <w:r w:rsidRPr="007D47AD">
        <w:rPr>
          <w:rFonts w:asciiTheme="minorHAnsi" w:hAnsiTheme="minorHAnsi"/>
          <w:color w:val="000000"/>
          <w:sz w:val="16"/>
          <w:szCs w:val="16"/>
          <w:lang w:val="es-419"/>
        </w:rPr>
        <w:t>, June 2018; Cortalínea, E</w:t>
      </w:r>
      <w:hyperlink r:id="rId26" w:history="1">
        <w:r w:rsidRPr="007D47AD">
          <w:rPr>
            <w:rStyle w:val="Hyperlink"/>
            <w:rFonts w:asciiTheme="minorHAnsi" w:hAnsiTheme="minorHAnsi"/>
            <w:color w:val="000000"/>
            <w:sz w:val="16"/>
            <w:szCs w:val="16"/>
            <w:lang w:val="es-419"/>
          </w:rPr>
          <w:t>n la Ciudad de México, impunes los casos de mujeres desaparecidas</w:t>
        </w:r>
      </w:hyperlink>
      <w:r w:rsidRPr="007D47AD">
        <w:rPr>
          <w:rFonts w:asciiTheme="minorHAnsi" w:hAnsiTheme="minorHAnsi"/>
          <w:color w:val="000000"/>
          <w:sz w:val="16"/>
          <w:szCs w:val="16"/>
          <w:lang w:val="es-419"/>
        </w:rPr>
        <w:t xml:space="preserve">, March 7, 2019; La Jornada, </w:t>
      </w:r>
      <w:hyperlink r:id="rId27" w:history="1">
        <w:r w:rsidRPr="007D47AD">
          <w:rPr>
            <w:rStyle w:val="Hyperlink"/>
            <w:rFonts w:asciiTheme="minorHAnsi" w:hAnsiTheme="minorHAnsi"/>
            <w:color w:val="000000"/>
            <w:sz w:val="16"/>
            <w:szCs w:val="16"/>
            <w:lang w:val="es-419"/>
          </w:rPr>
          <w:t>Desapariciones de mujeres en CDMX se concentran en cuatro alcaldías</w:t>
        </w:r>
      </w:hyperlink>
      <w:r w:rsidRPr="007D47AD">
        <w:rPr>
          <w:rFonts w:asciiTheme="minorHAnsi" w:hAnsiTheme="minorHAnsi"/>
          <w:color w:val="000000"/>
          <w:sz w:val="16"/>
          <w:szCs w:val="16"/>
          <w:lang w:val="es-419"/>
        </w:rPr>
        <w:t xml:space="preserve">, June 25, 2019; Infobae, </w:t>
      </w:r>
      <w:hyperlink r:id="rId28" w:history="1">
        <w:r w:rsidRPr="007D47AD">
          <w:rPr>
            <w:rStyle w:val="Hyperlink"/>
            <w:rFonts w:asciiTheme="minorHAnsi" w:hAnsiTheme="minorHAnsi"/>
            <w:color w:val="000000"/>
            <w:sz w:val="16"/>
            <w:szCs w:val="16"/>
            <w:lang w:val="es-419"/>
          </w:rPr>
          <w:t>En el Estado de México se emitió una segunda Alerta de Violencia de Género por el alto numero de mujeres desaparecidas</w:t>
        </w:r>
      </w:hyperlink>
      <w:r w:rsidRPr="007D47AD">
        <w:rPr>
          <w:rFonts w:asciiTheme="minorHAnsi" w:hAnsiTheme="minorHAnsi"/>
          <w:color w:val="000000"/>
          <w:sz w:val="16"/>
          <w:szCs w:val="16"/>
          <w:lang w:val="es-419"/>
        </w:rPr>
        <w:t>, October 2, 2019.</w:t>
      </w:r>
    </w:p>
  </w:footnote>
  <w:footnote w:id="106">
    <w:p w:rsidR="00385F1D" w:rsidRPr="007D47AD" w:rsidRDefault="00385F1D" w:rsidP="00C66025">
      <w:pPr>
        <w:pStyle w:val="FootnoteText"/>
        <w:spacing w:after="120"/>
        <w:rPr>
          <w:lang w:val="en-US"/>
        </w:rPr>
      </w:pPr>
      <w:r w:rsidRPr="007D47AD">
        <w:rPr>
          <w:rStyle w:val="FootnoteReference"/>
          <w:lang w:val="en-US"/>
        </w:rPr>
        <w:footnoteRef/>
      </w:r>
      <w:r w:rsidRPr="007D47AD">
        <w:rPr>
          <w:lang w:val="en-US"/>
        </w:rPr>
        <w:t xml:space="preserve"> Observations and comments by the State, January 13, 2020, para. 37-39</w:t>
      </w:r>
    </w:p>
  </w:footnote>
  <w:footnote w:id="107">
    <w:p w:rsidR="00385F1D" w:rsidRPr="007D47AD" w:rsidRDefault="00385F1D" w:rsidP="00C66025">
      <w:pPr>
        <w:spacing w:after="120" w:line="240" w:lineRule="auto"/>
        <w:ind w:firstLine="720"/>
        <w:contextualSpacing/>
        <w:jc w:val="both"/>
        <w:rPr>
          <w:rFonts w:asciiTheme="minorHAnsi" w:hAnsiTheme="minorHAnsi"/>
          <w:color w:val="000000"/>
          <w:sz w:val="16"/>
          <w:szCs w:val="16"/>
          <w:lang w:val="es-419"/>
        </w:rPr>
      </w:pPr>
      <w:r w:rsidRPr="007D47AD">
        <w:rPr>
          <w:rStyle w:val="FootnoteReference"/>
          <w:rFonts w:asciiTheme="minorHAnsi" w:hAnsiTheme="minorHAnsi"/>
          <w:color w:val="000000"/>
          <w:sz w:val="16"/>
          <w:szCs w:val="16"/>
          <w:lang w:val="en-US"/>
        </w:rPr>
        <w:footnoteRef/>
      </w:r>
      <w:r w:rsidRPr="007D47AD">
        <w:rPr>
          <w:rFonts w:asciiTheme="minorHAnsi" w:hAnsiTheme="minorHAnsi"/>
          <w:color w:val="000000"/>
          <w:sz w:val="16"/>
          <w:szCs w:val="16"/>
          <w:lang w:val="en-US"/>
        </w:rPr>
        <w:t xml:space="preserve"> United Nations – Committee on Enforced Disappearances, </w:t>
      </w:r>
      <w:hyperlink r:id="rId29" w:history="1">
        <w:r w:rsidRPr="007D47AD">
          <w:rPr>
            <w:rStyle w:val="Hyperlink"/>
            <w:rFonts w:asciiTheme="minorHAnsi" w:hAnsiTheme="minorHAnsi"/>
            <w:color w:val="000000"/>
            <w:sz w:val="16"/>
            <w:szCs w:val="16"/>
            <w:lang w:val="en-US"/>
          </w:rPr>
          <w:t>Concluding observations on the report submitted by Mexico pursuant to Article 29(1) of the Convention</w:t>
        </w:r>
      </w:hyperlink>
      <w:r w:rsidRPr="007D47AD">
        <w:rPr>
          <w:rFonts w:asciiTheme="minorHAnsi" w:hAnsiTheme="minorHAnsi"/>
          <w:color w:val="000000"/>
          <w:sz w:val="16"/>
          <w:szCs w:val="16"/>
          <w:lang w:val="en-US"/>
        </w:rPr>
        <w:t xml:space="preserve">, with the addition of the Follow-up Observations of the Committee on the additional information submitted by Mexico pursuant to article 29(4) of the Convention, CED/C/MEX/FU/1, November 19, 2018, para. </w:t>
      </w:r>
      <w:r w:rsidRPr="007D47AD">
        <w:rPr>
          <w:rFonts w:asciiTheme="minorHAnsi" w:hAnsiTheme="minorHAnsi"/>
          <w:color w:val="000000"/>
          <w:sz w:val="16"/>
          <w:szCs w:val="16"/>
          <w:lang w:val="es-419"/>
        </w:rPr>
        <w:t>46.</w:t>
      </w:r>
    </w:p>
  </w:footnote>
  <w:footnote w:id="108">
    <w:p w:rsidR="00385F1D" w:rsidRPr="007D47AD" w:rsidRDefault="00385F1D" w:rsidP="00C66025">
      <w:pPr>
        <w:pStyle w:val="FootnoteText"/>
        <w:spacing w:after="120"/>
        <w:rPr>
          <w:lang w:val="es-419"/>
        </w:rPr>
      </w:pPr>
      <w:r w:rsidRPr="007D47AD">
        <w:rPr>
          <w:rStyle w:val="FootnoteReference"/>
          <w:rFonts w:asciiTheme="minorHAnsi" w:hAnsiTheme="minorHAnsi"/>
          <w:color w:val="000000"/>
          <w:lang w:val="en-US"/>
        </w:rPr>
        <w:footnoteRef/>
      </w:r>
      <w:r w:rsidRPr="007D47AD">
        <w:rPr>
          <w:lang w:val="es-419"/>
        </w:rPr>
        <w:t xml:space="preserve"> CNDH. Actualización correspondiente al año 2019 de la revisión del cumplimiento de recomendaciones contenidas en el “Informe sobre situación de los Derechos Humanos en México,” October 2019, para. 21.</w:t>
      </w:r>
    </w:p>
  </w:footnote>
  <w:footnote w:id="109">
    <w:p w:rsidR="00385F1D" w:rsidRPr="007D47AD" w:rsidRDefault="00385F1D" w:rsidP="00C66025">
      <w:pPr>
        <w:pStyle w:val="FootnoteText"/>
        <w:spacing w:after="120"/>
        <w:rPr>
          <w:lang w:val="es-419"/>
        </w:rPr>
      </w:pPr>
      <w:r w:rsidRPr="007D47AD">
        <w:rPr>
          <w:rStyle w:val="FootnoteReference"/>
          <w:lang w:val="en-US"/>
        </w:rPr>
        <w:footnoteRef/>
      </w:r>
      <w:r w:rsidRPr="007D47AD">
        <w:rPr>
          <w:lang w:val="es-419"/>
        </w:rPr>
        <w:t xml:space="preserve"> Observations and comments by the State, January 13, 2020, para. 55.</w:t>
      </w:r>
    </w:p>
  </w:footnote>
  <w:footnote w:id="110">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Sexto Informe del Estado mexicano sobre el cumplimiento y seguimiento de las recomendaciones contenidas en el informe “Situación de los Derechos Humanos en México,” p. 27.</w:t>
      </w:r>
    </w:p>
  </w:footnote>
  <w:footnote w:id="111">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Sexto Informe del Estado mexicano sobre el cumplimiento y seguimiento de las recomendaciones contenidas en el informe “Situación de los Derechos Humanos en México,” p. 27.</w:t>
      </w:r>
    </w:p>
  </w:footnote>
  <w:footnote w:id="112">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Sexto Informe del Estado mexicano sobre el cumplimiento y seguimiento de las recomendaciones contenidas en el informe “Situación de los Derechos Humanos en México,” p. 26.</w:t>
      </w:r>
    </w:p>
  </w:footnote>
  <w:footnote w:id="113">
    <w:p w:rsidR="00385F1D" w:rsidRPr="007D47AD" w:rsidRDefault="00385F1D" w:rsidP="00C66025">
      <w:pPr>
        <w:pStyle w:val="FootnoteText"/>
        <w:spacing w:after="120"/>
        <w:rPr>
          <w:lang w:val="es-419"/>
        </w:rPr>
      </w:pPr>
      <w:r w:rsidRPr="007D47AD">
        <w:rPr>
          <w:rStyle w:val="FootnoteReference"/>
          <w:lang w:val="en-US"/>
        </w:rPr>
        <w:footnoteRef/>
      </w:r>
      <w:r w:rsidRPr="007D47AD">
        <w:rPr>
          <w:lang w:val="en-US"/>
        </w:rPr>
        <w:t xml:space="preserve"> Observations and comments by the State, January 13, 2020, paras. </w:t>
      </w:r>
      <w:r w:rsidRPr="007D47AD">
        <w:rPr>
          <w:lang w:val="es-419"/>
        </w:rPr>
        <w:t>40-42.</w:t>
      </w:r>
    </w:p>
  </w:footnote>
  <w:footnote w:id="114">
    <w:p w:rsidR="00385F1D" w:rsidRPr="007D47AD" w:rsidRDefault="00385F1D" w:rsidP="00C66025">
      <w:pPr>
        <w:pStyle w:val="FootnoteText"/>
        <w:spacing w:after="120"/>
        <w:rPr>
          <w:lang w:val="es-419"/>
        </w:rPr>
      </w:pPr>
      <w:r w:rsidRPr="007D47AD">
        <w:rPr>
          <w:rStyle w:val="FootnoteReference"/>
          <w:lang w:val="en-US"/>
        </w:rPr>
        <w:footnoteRef/>
      </w:r>
      <w:r w:rsidRPr="007D47AD">
        <w:rPr>
          <w:lang w:val="es-419"/>
        </w:rPr>
        <w:t xml:space="preserve"> Observations and comments by the State, January 13, 2020, para. 43.</w:t>
      </w:r>
    </w:p>
  </w:footnote>
  <w:footnote w:id="115">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Sexto Informe del Estado mexicano sobre el cumplimiento y seguimiento de las recomendaciones contenidas en el informe “Situación de los Derechos Humanos en México,” p. 30.</w:t>
      </w:r>
    </w:p>
  </w:footnote>
  <w:footnote w:id="116">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w:t>
      </w:r>
      <w:hyperlink r:id="rId30" w:history="1">
        <w:r w:rsidRPr="007D47AD">
          <w:rPr>
            <w:rStyle w:val="Hyperlink"/>
            <w:rFonts w:asciiTheme="minorHAnsi" w:hAnsiTheme="minorHAnsi"/>
            <w:lang w:val="es-419"/>
          </w:rPr>
          <w:t>Informe Alternativo de las Organizaciones de Sociedad Civil de México al Comité Contra la Tortura de la ONU 2012 – 2019</w:t>
        </w:r>
      </w:hyperlink>
      <w:r w:rsidRPr="007D47AD">
        <w:rPr>
          <w:lang w:val="es-419"/>
        </w:rPr>
        <w:t>, p. 14.</w:t>
      </w:r>
    </w:p>
  </w:footnote>
  <w:footnote w:id="117">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w:t>
      </w:r>
      <w:hyperlink r:id="rId31" w:history="1">
        <w:r w:rsidRPr="007D47AD">
          <w:rPr>
            <w:rStyle w:val="Hyperlink"/>
            <w:rFonts w:asciiTheme="minorHAnsi" w:hAnsiTheme="minorHAnsi"/>
            <w:lang w:val="es-419"/>
          </w:rPr>
          <w:t>Informe Alternativo de las Organizaciones de Sociedad Civil de México al Comité Contra la Tortura de la ONU 2012 – 2019</w:t>
        </w:r>
      </w:hyperlink>
      <w:r w:rsidRPr="007D47AD">
        <w:rPr>
          <w:lang w:val="es-419"/>
        </w:rPr>
        <w:t>, p. 15.</w:t>
      </w:r>
    </w:p>
  </w:footnote>
  <w:footnote w:id="118">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w:t>
      </w:r>
      <w:hyperlink r:id="rId32" w:history="1">
        <w:r w:rsidRPr="007D47AD">
          <w:rPr>
            <w:rStyle w:val="Hyperlink"/>
            <w:rFonts w:asciiTheme="minorHAnsi" w:hAnsiTheme="minorHAnsi"/>
            <w:lang w:val="es-419"/>
          </w:rPr>
          <w:t>Informe Alternativo de las Organizaciones de Sociedad Civil de México al Comité Contra la Tortura de la ONU 2012 – 2019</w:t>
        </w:r>
      </w:hyperlink>
      <w:r w:rsidRPr="007D47AD">
        <w:rPr>
          <w:lang w:val="es-419"/>
        </w:rPr>
        <w:t>, p. 20.</w:t>
      </w:r>
    </w:p>
  </w:footnote>
  <w:footnote w:id="119">
    <w:p w:rsidR="00385F1D" w:rsidRPr="007D47AD" w:rsidRDefault="00385F1D" w:rsidP="00C66025">
      <w:pPr>
        <w:pStyle w:val="FootnoteText"/>
        <w:spacing w:after="120"/>
        <w:rPr>
          <w:lang w:val="es-419"/>
        </w:rPr>
      </w:pPr>
      <w:r w:rsidRPr="007D47AD">
        <w:rPr>
          <w:rStyle w:val="FootnoteReference"/>
          <w:lang w:val="en-US"/>
        </w:rPr>
        <w:footnoteRef/>
      </w:r>
      <w:r w:rsidRPr="007D47AD">
        <w:rPr>
          <w:lang w:val="en-US"/>
        </w:rPr>
        <w:t xml:space="preserve"> Observations and comments by the State, January 13, 2020, paras. </w:t>
      </w:r>
      <w:r w:rsidRPr="007D47AD">
        <w:rPr>
          <w:lang w:val="es-419"/>
        </w:rPr>
        <w:t>45-46.</w:t>
      </w:r>
    </w:p>
  </w:footnote>
  <w:footnote w:id="120">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CMDPDH, Seguimiento sobre el cumplimiento de las recomendaciones del Informe “Situación de Derechos Humanos en México,” November 8, 2019, p. 8. </w:t>
      </w:r>
    </w:p>
  </w:footnote>
  <w:footnote w:id="121">
    <w:p w:rsidR="00385F1D" w:rsidRPr="007D47AD" w:rsidRDefault="00385F1D" w:rsidP="00C66025">
      <w:pPr>
        <w:pStyle w:val="FootnoteText"/>
        <w:spacing w:after="120"/>
        <w:rPr>
          <w:lang w:val="en-US"/>
        </w:rPr>
      </w:pPr>
      <w:r w:rsidRPr="007D47AD">
        <w:rPr>
          <w:rStyle w:val="FootnoteReference"/>
          <w:rFonts w:asciiTheme="minorHAnsi" w:hAnsiTheme="minorHAnsi"/>
          <w:lang w:val="en-US"/>
        </w:rPr>
        <w:footnoteRef/>
      </w:r>
      <w:r w:rsidRPr="007D47AD">
        <w:rPr>
          <w:lang w:val="es-419"/>
        </w:rPr>
        <w:t xml:space="preserve"> CNDH, Actualización correspondiente al año 2019 de la aportación de la Comisión Nacional de los Derechos Humanos de México (CNDH) en el marco de la revisión del cumplimiento de recomendaciones contenidas en el “Informe sobre situación de los Derechos Humanos en México,” publicado por la Comisión Interamericana de Derechos Humanos (CIDH) en 2015. </w:t>
      </w:r>
      <w:r w:rsidRPr="007D47AD">
        <w:rPr>
          <w:lang w:val="en-US"/>
        </w:rPr>
        <w:t>October 2019, p. 8.</w:t>
      </w:r>
    </w:p>
  </w:footnote>
  <w:footnote w:id="122">
    <w:p w:rsidR="00385F1D" w:rsidRPr="007D47AD" w:rsidRDefault="00385F1D" w:rsidP="00C66025">
      <w:pPr>
        <w:pStyle w:val="FootnoteText"/>
        <w:spacing w:after="120"/>
        <w:rPr>
          <w:lang w:val="en-US"/>
        </w:rPr>
      </w:pPr>
      <w:r w:rsidRPr="007D47AD">
        <w:rPr>
          <w:rStyle w:val="FootnoteReference"/>
          <w:rFonts w:asciiTheme="minorHAnsi" w:hAnsiTheme="minorHAnsi"/>
          <w:lang w:val="en-US"/>
        </w:rPr>
        <w:footnoteRef/>
      </w:r>
      <w:r w:rsidRPr="007D47AD">
        <w:rPr>
          <w:lang w:val="en-US"/>
        </w:rPr>
        <w:t xml:space="preserve"> Committee Against Torture, </w:t>
      </w:r>
      <w:hyperlink r:id="rId33" w:history="1">
        <w:r w:rsidRPr="007D47AD">
          <w:rPr>
            <w:rStyle w:val="Hyperlink"/>
            <w:rFonts w:asciiTheme="minorHAnsi" w:hAnsiTheme="minorHAnsi"/>
            <w:lang w:val="en-US"/>
          </w:rPr>
          <w:t>Concluding observations on the seventh periodic report of Mexico</w:t>
        </w:r>
      </w:hyperlink>
      <w:r w:rsidRPr="007D47AD">
        <w:rPr>
          <w:lang w:val="en-US"/>
        </w:rPr>
        <w:t>. Approved by the Committee at its 66</w:t>
      </w:r>
      <w:r w:rsidRPr="007D47AD">
        <w:rPr>
          <w:vertAlign w:val="superscript"/>
          <w:lang w:val="en-US"/>
        </w:rPr>
        <w:t>th</w:t>
      </w:r>
      <w:r w:rsidRPr="007D47AD">
        <w:rPr>
          <w:lang w:val="en-US"/>
        </w:rPr>
        <w:t xml:space="preserve"> session, April 23 to May 17, 2019, p. 4.  </w:t>
      </w:r>
    </w:p>
  </w:footnote>
  <w:footnote w:id="123">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Centro PRODH, </w:t>
      </w:r>
      <w:hyperlink r:id="rId34" w:history="1">
        <w:r w:rsidRPr="007D47AD">
          <w:rPr>
            <w:rStyle w:val="Hyperlink"/>
            <w:rFonts w:asciiTheme="minorHAnsi" w:hAnsiTheme="minorHAnsi"/>
            <w:lang w:val="es-419"/>
          </w:rPr>
          <w:t>Patrones de Impunidad, Deficiencias en la Investigación de Violaciones a Derechos Humanos y Alternativas en el Poder Judicial</w:t>
        </w:r>
      </w:hyperlink>
      <w:r w:rsidRPr="007D47AD">
        <w:rPr>
          <w:lang w:val="es-419"/>
        </w:rPr>
        <w:t>, p. 35.</w:t>
      </w:r>
    </w:p>
  </w:footnote>
  <w:footnote w:id="124">
    <w:p w:rsidR="00385F1D" w:rsidRPr="007D47AD" w:rsidRDefault="00385F1D" w:rsidP="00C66025">
      <w:pPr>
        <w:pStyle w:val="FootnoteText"/>
        <w:spacing w:after="120"/>
        <w:rPr>
          <w:lang w:val="en-US"/>
        </w:rPr>
      </w:pPr>
      <w:r w:rsidRPr="007D47AD">
        <w:rPr>
          <w:rStyle w:val="FootnoteReference"/>
          <w:rFonts w:asciiTheme="minorHAnsi" w:hAnsiTheme="minorHAnsi"/>
          <w:lang w:val="en-US"/>
        </w:rPr>
        <w:footnoteRef/>
      </w:r>
      <w:r w:rsidRPr="007D47AD">
        <w:rPr>
          <w:lang w:val="es-419"/>
        </w:rPr>
        <w:t xml:space="preserve"> IACHR, </w:t>
      </w:r>
      <w:hyperlink r:id="rId35" w:history="1">
        <w:r w:rsidRPr="007D47AD">
          <w:rPr>
            <w:rStyle w:val="Hyperlink"/>
            <w:rFonts w:asciiTheme="minorHAnsi" w:hAnsiTheme="minorHAnsi" w:cs="Arial"/>
            <w:color w:val="auto"/>
            <w:lang w:val="es-419"/>
          </w:rPr>
          <w:t>Annual Report. Mexico</w:t>
        </w:r>
      </w:hyperlink>
      <w:r w:rsidRPr="007D47AD">
        <w:rPr>
          <w:rFonts w:eastAsia="Times New Roman"/>
          <w:lang w:val="es-419"/>
        </w:rPr>
        <w:t xml:space="preserve">, 2017, para. </w:t>
      </w:r>
      <w:r w:rsidRPr="007D47AD">
        <w:rPr>
          <w:rFonts w:eastAsia="Times New Roman"/>
          <w:lang w:val="en-US"/>
        </w:rPr>
        <w:t>84.</w:t>
      </w:r>
    </w:p>
  </w:footnote>
  <w:footnote w:id="125">
    <w:p w:rsidR="00385F1D" w:rsidRPr="007D47AD" w:rsidRDefault="00385F1D" w:rsidP="00C66025">
      <w:pPr>
        <w:pStyle w:val="FootnoteText"/>
        <w:spacing w:after="120"/>
        <w:rPr>
          <w:lang w:val="en-US"/>
        </w:rPr>
      </w:pPr>
      <w:r w:rsidRPr="007D47AD">
        <w:rPr>
          <w:rStyle w:val="FootnoteReference"/>
          <w:rFonts w:asciiTheme="minorHAnsi" w:hAnsiTheme="minorHAnsi"/>
          <w:lang w:val="en-US"/>
        </w:rPr>
        <w:footnoteRef/>
      </w:r>
      <w:r w:rsidRPr="007D47AD">
        <w:rPr>
          <w:lang w:val="en-US"/>
        </w:rPr>
        <w:t xml:space="preserve"> </w:t>
      </w:r>
      <w:r w:rsidRPr="007D47AD">
        <w:rPr>
          <w:i/>
          <w:lang w:val="en-US"/>
        </w:rPr>
        <w:t>Id.</w:t>
      </w:r>
      <w:r w:rsidRPr="007D47AD">
        <w:rPr>
          <w:lang w:val="en-US"/>
        </w:rPr>
        <w:t>, para. 85.</w:t>
      </w:r>
    </w:p>
  </w:footnote>
  <w:footnote w:id="126">
    <w:p w:rsidR="00385F1D" w:rsidRPr="007D47AD" w:rsidRDefault="00385F1D" w:rsidP="00C66025">
      <w:pPr>
        <w:pStyle w:val="FootnoteText"/>
        <w:spacing w:after="120"/>
        <w:rPr>
          <w:lang w:val="en-US"/>
        </w:rPr>
      </w:pPr>
      <w:r w:rsidRPr="007D47AD">
        <w:rPr>
          <w:rStyle w:val="FootnoteReference"/>
          <w:rFonts w:asciiTheme="minorHAnsi" w:hAnsiTheme="minorHAnsi"/>
          <w:lang w:val="en-US"/>
        </w:rPr>
        <w:footnoteRef/>
      </w:r>
      <w:r w:rsidRPr="007D47AD">
        <w:rPr>
          <w:lang w:val="en-US"/>
        </w:rPr>
        <w:t xml:space="preserve"> </w:t>
      </w:r>
      <w:hyperlink r:id="rId36" w:history="1">
        <w:r w:rsidRPr="007D47AD">
          <w:rPr>
            <w:rStyle w:val="Hyperlink"/>
            <w:rFonts w:asciiTheme="minorHAnsi" w:hAnsiTheme="minorHAnsi"/>
            <w:color w:val="auto"/>
            <w:lang w:val="en-US"/>
          </w:rPr>
          <w:t>General Law to Prevent, Investigate, and Punish Torture and other Cruel, Inhuman or Degrading Treatment or Punishment</w:t>
        </w:r>
      </w:hyperlink>
      <w:r w:rsidRPr="007D47AD">
        <w:rPr>
          <w:lang w:val="en-US"/>
        </w:rPr>
        <w:t>, Diario Oficial de la Federación, June 26, 2017, Article 51.</w:t>
      </w:r>
    </w:p>
  </w:footnote>
  <w:footnote w:id="127">
    <w:p w:rsidR="00385F1D" w:rsidRPr="007D47AD" w:rsidRDefault="00385F1D" w:rsidP="00C66025">
      <w:pPr>
        <w:pStyle w:val="FootnoteText"/>
        <w:spacing w:after="120"/>
        <w:rPr>
          <w:lang w:val="en-US"/>
        </w:rPr>
      </w:pPr>
      <w:r w:rsidRPr="007D47AD">
        <w:rPr>
          <w:rStyle w:val="FootnoteReference"/>
          <w:rFonts w:asciiTheme="minorHAnsi" w:hAnsiTheme="minorHAnsi"/>
          <w:lang w:val="en-US"/>
        </w:rPr>
        <w:footnoteRef/>
      </w:r>
      <w:r w:rsidRPr="007D47AD">
        <w:rPr>
          <w:lang w:val="en-US"/>
        </w:rPr>
        <w:t xml:space="preserve"> Committee Against Torture, </w:t>
      </w:r>
      <w:hyperlink r:id="rId37" w:history="1">
        <w:r w:rsidRPr="007D47AD">
          <w:rPr>
            <w:rStyle w:val="Hyperlink"/>
            <w:rFonts w:asciiTheme="minorHAnsi" w:hAnsiTheme="minorHAnsi"/>
            <w:lang w:val="en-US"/>
          </w:rPr>
          <w:t>Concluding observations on the seventh periodic report of Mexico</w:t>
        </w:r>
      </w:hyperlink>
      <w:r w:rsidRPr="007D47AD">
        <w:rPr>
          <w:lang w:val="en-US"/>
        </w:rPr>
        <w:t>. Approved by the Committee at its 66</w:t>
      </w:r>
      <w:r w:rsidRPr="007D47AD">
        <w:rPr>
          <w:vertAlign w:val="superscript"/>
          <w:lang w:val="en-US"/>
        </w:rPr>
        <w:t>th</w:t>
      </w:r>
      <w:r w:rsidRPr="007D47AD">
        <w:rPr>
          <w:lang w:val="en-US"/>
        </w:rPr>
        <w:t xml:space="preserve"> session from April 23 to May 17, 2019, p. 4.  </w:t>
      </w:r>
    </w:p>
  </w:footnote>
  <w:footnote w:id="128">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w:t>
      </w:r>
      <w:hyperlink r:id="rId38" w:history="1">
        <w:r w:rsidRPr="007D47AD">
          <w:rPr>
            <w:rStyle w:val="Hyperlink"/>
            <w:rFonts w:asciiTheme="minorHAnsi" w:hAnsiTheme="minorHAnsi"/>
            <w:lang w:val="es-419"/>
          </w:rPr>
          <w:t>Informe Alternativo de las Organizaciones de Sociedad Civil de México al Comité Contra la Tortura de la ONU 2012-2019</w:t>
        </w:r>
      </w:hyperlink>
      <w:r w:rsidRPr="007D47AD">
        <w:rPr>
          <w:lang w:val="es-419"/>
        </w:rPr>
        <w:t>, p. 19.</w:t>
      </w:r>
    </w:p>
  </w:footnote>
  <w:footnote w:id="129">
    <w:p w:rsidR="00385F1D" w:rsidRPr="007D47AD" w:rsidRDefault="00385F1D" w:rsidP="00C66025">
      <w:pPr>
        <w:pStyle w:val="FootnoteText"/>
        <w:spacing w:after="120"/>
        <w:rPr>
          <w:lang w:val="es-AR"/>
        </w:rPr>
      </w:pPr>
      <w:r w:rsidRPr="007D47AD">
        <w:rPr>
          <w:rStyle w:val="FootnoteReference"/>
          <w:rFonts w:asciiTheme="minorHAnsi" w:hAnsiTheme="minorHAnsi"/>
          <w:lang w:val="en-US"/>
        </w:rPr>
        <w:footnoteRef/>
      </w:r>
      <w:r w:rsidRPr="007D47AD">
        <w:rPr>
          <w:lang w:val="es-AR"/>
        </w:rPr>
        <w:t xml:space="preserve"> IACHR, </w:t>
      </w:r>
      <w:hyperlink r:id="rId39" w:history="1">
        <w:r w:rsidRPr="007D47AD">
          <w:rPr>
            <w:rStyle w:val="Hyperlink"/>
            <w:rFonts w:asciiTheme="minorHAnsi" w:hAnsiTheme="minorHAnsi"/>
            <w:lang w:val="es-AR"/>
          </w:rPr>
          <w:t>Annual Report, Mexico,</w:t>
        </w:r>
      </w:hyperlink>
      <w:r w:rsidRPr="007D47AD">
        <w:rPr>
          <w:lang w:val="es-AR"/>
        </w:rPr>
        <w:t xml:space="preserve"> 2018, para. 77.</w:t>
      </w:r>
    </w:p>
  </w:footnote>
  <w:footnote w:id="130">
    <w:p w:rsidR="00385F1D" w:rsidRPr="007D47AD" w:rsidRDefault="00385F1D" w:rsidP="00C66025">
      <w:pPr>
        <w:pStyle w:val="FootnoteText"/>
        <w:spacing w:after="120"/>
        <w:rPr>
          <w:lang w:val="es-419"/>
        </w:rPr>
      </w:pPr>
      <w:r w:rsidRPr="007D47AD">
        <w:rPr>
          <w:rStyle w:val="FootnoteReference"/>
          <w:lang w:val="en-US"/>
        </w:rPr>
        <w:footnoteRef/>
      </w:r>
      <w:r w:rsidRPr="007D47AD">
        <w:rPr>
          <w:lang w:val="es-AR"/>
        </w:rPr>
        <w:t xml:space="preserve"> Observations and comments by the State, January 13, 2020, para. </w:t>
      </w:r>
      <w:r w:rsidRPr="007D47AD">
        <w:rPr>
          <w:lang w:val="es-419"/>
        </w:rPr>
        <w:t>47.</w:t>
      </w:r>
    </w:p>
  </w:footnote>
  <w:footnote w:id="131">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Sexto Informe del Estado mexicano sobre el cumplimiento y seguimiento de las recomendaciones contenidas en el informe “Situación de los Derechos Humanos en México,” p. 32.</w:t>
      </w:r>
    </w:p>
  </w:footnote>
  <w:footnote w:id="132">
    <w:p w:rsidR="00385F1D" w:rsidRPr="007D47AD" w:rsidRDefault="00385F1D" w:rsidP="00C66025">
      <w:pPr>
        <w:pStyle w:val="FootnoteText"/>
        <w:spacing w:after="120"/>
        <w:rPr>
          <w:lang w:val="es-419"/>
        </w:rPr>
      </w:pPr>
      <w:r w:rsidRPr="007D47AD">
        <w:rPr>
          <w:rStyle w:val="FootnoteReference"/>
          <w:lang w:val="en-US"/>
        </w:rPr>
        <w:footnoteRef/>
      </w:r>
      <w:r w:rsidRPr="007D47AD">
        <w:rPr>
          <w:lang w:val="en-US"/>
        </w:rPr>
        <w:t xml:space="preserve"> Observations and comments by the State, January 13, 2020, para. </w:t>
      </w:r>
      <w:r w:rsidRPr="007D47AD">
        <w:rPr>
          <w:lang w:val="es-419"/>
        </w:rPr>
        <w:t>75.</w:t>
      </w:r>
    </w:p>
  </w:footnote>
  <w:footnote w:id="133">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Sexto Informe del Estado mexicano sobre el cumplimiento y seguimiento de las recomendaciones contenidas en el informe “Situación de los Derechos Humanos en México,” p. 32.</w:t>
      </w:r>
    </w:p>
  </w:footnote>
  <w:footnote w:id="134">
    <w:p w:rsidR="00385F1D" w:rsidRPr="007D47AD" w:rsidRDefault="00385F1D" w:rsidP="00C66025">
      <w:pPr>
        <w:pStyle w:val="FootnoteText"/>
        <w:spacing w:after="120"/>
        <w:rPr>
          <w:lang w:val="es-US"/>
        </w:rPr>
      </w:pPr>
      <w:r w:rsidRPr="007D47AD">
        <w:rPr>
          <w:rStyle w:val="FootnoteReference"/>
          <w:rFonts w:asciiTheme="minorHAnsi" w:hAnsiTheme="minorHAnsi"/>
          <w:lang w:val="en-US"/>
        </w:rPr>
        <w:footnoteRef/>
      </w:r>
      <w:r w:rsidRPr="007D47AD">
        <w:rPr>
          <w:lang w:val="es-419"/>
        </w:rPr>
        <w:t xml:space="preserve"> OHCHR – Mexico, </w:t>
      </w:r>
      <w:hyperlink r:id="rId40" w:history="1">
        <w:r w:rsidRPr="007D47AD">
          <w:rPr>
            <w:rStyle w:val="Hyperlink"/>
            <w:rFonts w:asciiTheme="minorHAnsi" w:hAnsiTheme="minorHAnsi"/>
            <w:lang w:val="es-419"/>
          </w:rPr>
          <w:t>Avances y preocupaciones en las leyes sobre uso de la fuerza y registro de detenciones.</w:t>
        </w:r>
      </w:hyperlink>
      <w:r w:rsidRPr="007D47AD">
        <w:rPr>
          <w:lang w:val="es-419"/>
        </w:rPr>
        <w:t xml:space="preserve">  </w:t>
      </w:r>
      <w:r w:rsidRPr="007D47AD">
        <w:rPr>
          <w:lang w:val="es-US"/>
        </w:rPr>
        <w:t>May 24, 2019</w:t>
      </w:r>
    </w:p>
  </w:footnote>
  <w:footnote w:id="135">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OHCHR – Mexico, </w:t>
      </w:r>
      <w:hyperlink r:id="rId41" w:history="1">
        <w:r w:rsidRPr="007D47AD">
          <w:rPr>
            <w:rStyle w:val="Hyperlink"/>
            <w:rFonts w:asciiTheme="minorHAnsi" w:hAnsiTheme="minorHAnsi"/>
            <w:lang w:val="es-419"/>
          </w:rPr>
          <w:t>Nota informativa: Consideraciones preliminares sobre la Ley Nacional sobre el Uso de la Fuerza y la Ley Nacional de Registro de Detenciones</w:t>
        </w:r>
      </w:hyperlink>
      <w:r w:rsidRPr="007D47AD">
        <w:rPr>
          <w:lang w:val="es-419"/>
        </w:rPr>
        <w:t xml:space="preserve"> , May 23, 2019.</w:t>
      </w:r>
    </w:p>
  </w:footnote>
  <w:footnote w:id="136">
    <w:p w:rsidR="00385F1D" w:rsidRPr="007D47AD" w:rsidRDefault="00385F1D" w:rsidP="00C66025">
      <w:pPr>
        <w:pStyle w:val="FootnoteText"/>
        <w:spacing w:after="120"/>
        <w:rPr>
          <w:lang w:val="en-US"/>
        </w:rPr>
      </w:pPr>
      <w:r w:rsidRPr="007D47AD">
        <w:rPr>
          <w:rStyle w:val="FootnoteReference"/>
          <w:rFonts w:asciiTheme="minorHAnsi" w:hAnsiTheme="minorHAnsi"/>
          <w:lang w:val="en-US"/>
        </w:rPr>
        <w:footnoteRef/>
      </w:r>
      <w:r w:rsidRPr="007D47AD">
        <w:rPr>
          <w:lang w:val="es-419"/>
        </w:rPr>
        <w:t xml:space="preserve"> CNDH, Actualización correspondiente al año 2019 de la aportación de la Comisión Nacional de los Derechos Humanos de México (CNDH) en el marco de la revisión del cumplimiento de recomendaciones contenidas en el “Informe sobre situación de los Derechos Humanos en México, publicado por la Comisión Interamericana de Derechos Humanos (CIDH) en 2015. </w:t>
      </w:r>
      <w:r w:rsidRPr="007D47AD">
        <w:rPr>
          <w:lang w:val="en-US"/>
        </w:rPr>
        <w:t>October 2019.</w:t>
      </w:r>
    </w:p>
  </w:footnote>
  <w:footnote w:id="137">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n-US"/>
        </w:rPr>
        <w:t xml:space="preserve"> Centro PRODH, Information following up on the Report “Situation of Human Rights in Mexico” 2015. </w:t>
      </w:r>
      <w:r w:rsidRPr="007D47AD">
        <w:rPr>
          <w:lang w:val="es-419"/>
        </w:rPr>
        <w:t xml:space="preserve">Information sent October 2, 2019, p. 12. </w:t>
      </w:r>
    </w:p>
  </w:footnote>
  <w:footnote w:id="138">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CMDPDH, Seguimiento sobre el cumplimiento de las recomendaciones del Informe “Situación de Derechos Humanos en México,” November 8, 2019, p. 9. </w:t>
      </w:r>
    </w:p>
  </w:footnote>
  <w:footnote w:id="139">
    <w:p w:rsidR="00385F1D" w:rsidRPr="007D47AD" w:rsidRDefault="00385F1D" w:rsidP="00C66025">
      <w:pPr>
        <w:pStyle w:val="FootnoteText"/>
        <w:spacing w:after="120"/>
        <w:rPr>
          <w:lang w:val="en-US"/>
        </w:rPr>
      </w:pPr>
      <w:r w:rsidRPr="007D47AD">
        <w:rPr>
          <w:vertAlign w:val="superscript"/>
          <w:lang w:val="en-US"/>
        </w:rPr>
        <w:footnoteRef/>
      </w:r>
      <w:r w:rsidRPr="007D47AD">
        <w:rPr>
          <w:lang w:val="en-US"/>
        </w:rPr>
        <w:t xml:space="preserve"> In its fifth Report of the Mexican State on compliance with and follow-up to the recommendations contained in the report “Situation of Human Rights in Mexico” of the previous year, the State forwarded the “Protocol for Action for Those Who Impart Justice in Matters that Involve Acts Constitutive of Torture and Mistreatment,” issued by the Supreme Court, which provides for the use of protocols such as the Istanbul Protocol. </w:t>
      </w:r>
    </w:p>
  </w:footnote>
  <w:footnote w:id="140">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Sexto Informe del Estado mexicano sobre el cumplimiento y seguimiento de las recomendaciones contenidas en el informe “Situación de los Derechos Humanos en México,” pp. 32-33.</w:t>
      </w:r>
    </w:p>
  </w:footnote>
  <w:footnote w:id="141">
    <w:p w:rsidR="00385F1D" w:rsidRPr="007D47AD" w:rsidRDefault="00385F1D" w:rsidP="00C66025">
      <w:pPr>
        <w:pStyle w:val="FootnoteText"/>
        <w:spacing w:after="120"/>
        <w:rPr>
          <w:lang w:val="en-US"/>
        </w:rPr>
      </w:pPr>
      <w:r w:rsidRPr="007D47AD">
        <w:rPr>
          <w:rStyle w:val="FootnoteReference"/>
          <w:rFonts w:asciiTheme="minorHAnsi" w:hAnsiTheme="minorHAnsi"/>
          <w:lang w:val="en-US"/>
        </w:rPr>
        <w:footnoteRef/>
      </w:r>
      <w:r w:rsidRPr="007D47AD">
        <w:rPr>
          <w:lang w:val="en-US"/>
        </w:rPr>
        <w:t xml:space="preserve"> Committee Against Torture, </w:t>
      </w:r>
      <w:hyperlink r:id="rId42" w:history="1">
        <w:r w:rsidRPr="007D47AD">
          <w:rPr>
            <w:rStyle w:val="Hyperlink"/>
            <w:rFonts w:asciiTheme="minorHAnsi" w:hAnsiTheme="minorHAnsi"/>
            <w:lang w:val="en-US"/>
          </w:rPr>
          <w:t>Concluding observations on the seventh periodic report of Mexico</w:t>
        </w:r>
      </w:hyperlink>
      <w:r w:rsidRPr="007D47AD">
        <w:rPr>
          <w:lang w:val="en-US"/>
        </w:rPr>
        <w:t>. Adopted by the Committee at its 66</w:t>
      </w:r>
      <w:r w:rsidRPr="007D47AD">
        <w:rPr>
          <w:vertAlign w:val="superscript"/>
          <w:lang w:val="en-US"/>
        </w:rPr>
        <w:t>th</w:t>
      </w:r>
      <w:r w:rsidRPr="007D47AD">
        <w:rPr>
          <w:lang w:val="en-US"/>
        </w:rPr>
        <w:t xml:space="preserve"> session from April 23 to May 17, 2019, p. 8.  </w:t>
      </w:r>
    </w:p>
  </w:footnote>
  <w:footnote w:id="142">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w:t>
      </w:r>
      <w:hyperlink r:id="rId43" w:history="1">
        <w:r w:rsidRPr="007D47AD">
          <w:rPr>
            <w:rStyle w:val="Hyperlink"/>
            <w:rFonts w:asciiTheme="minorHAnsi" w:hAnsiTheme="minorHAnsi"/>
            <w:lang w:val="es-419"/>
          </w:rPr>
          <w:t>Informe Alternativo de las Organizaciones de Sociedad Civil de México al Comité Contra la Tortura de la ONU 2012 – 2019</w:t>
        </w:r>
      </w:hyperlink>
      <w:r w:rsidRPr="007D47AD">
        <w:rPr>
          <w:lang w:val="es-419"/>
        </w:rPr>
        <w:t>, pp. 14, 54.</w:t>
      </w:r>
    </w:p>
  </w:footnote>
  <w:footnote w:id="143">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CMDPDH, Seguimiento sobre el cumplimiento de las recomendaciones del Informe “Situación de Derechos Humanos en México,” November 8, 2019, p. 10.</w:t>
      </w:r>
    </w:p>
  </w:footnote>
  <w:footnote w:id="144">
    <w:p w:rsidR="00385F1D" w:rsidRPr="007D47AD" w:rsidRDefault="00385F1D" w:rsidP="00C66025">
      <w:pPr>
        <w:pStyle w:val="FootnoteText"/>
        <w:spacing w:after="120"/>
        <w:rPr>
          <w:lang w:val="es-419"/>
        </w:rPr>
      </w:pPr>
      <w:r w:rsidRPr="007D47AD">
        <w:rPr>
          <w:vertAlign w:val="superscript"/>
          <w:lang w:val="en-US"/>
        </w:rPr>
        <w:footnoteRef/>
      </w:r>
      <w:r w:rsidRPr="007D47AD">
        <w:rPr>
          <w:lang w:val="es-419"/>
        </w:rPr>
        <w:t xml:space="preserve"> Sexto Informe del Estado mexicano sobre el cumplimiento y seguimiento de las recomendaciones contenidas en el informe “Situación de los Derechos Humanos en México,” p. 34.</w:t>
      </w:r>
    </w:p>
  </w:footnote>
  <w:footnote w:id="145">
    <w:p w:rsidR="00385F1D" w:rsidRPr="007D47AD" w:rsidRDefault="00385F1D" w:rsidP="00C66025">
      <w:pPr>
        <w:pStyle w:val="FootnoteText"/>
        <w:spacing w:after="120"/>
        <w:rPr>
          <w:lang w:val="en-US"/>
        </w:rPr>
      </w:pPr>
      <w:r w:rsidRPr="007D47AD">
        <w:rPr>
          <w:rStyle w:val="FootnoteReference"/>
          <w:rFonts w:asciiTheme="minorHAnsi" w:hAnsiTheme="minorHAnsi"/>
          <w:lang w:val="en-US"/>
        </w:rPr>
        <w:footnoteRef/>
      </w:r>
      <w:r w:rsidRPr="007D47AD">
        <w:rPr>
          <w:lang w:val="en-US"/>
        </w:rPr>
        <w:t xml:space="preserve"> Committee Against Torture, </w:t>
      </w:r>
      <w:hyperlink r:id="rId44" w:history="1">
        <w:r w:rsidRPr="007D47AD">
          <w:rPr>
            <w:rStyle w:val="Hyperlink"/>
            <w:rFonts w:asciiTheme="minorHAnsi" w:hAnsiTheme="minorHAnsi"/>
            <w:lang w:val="en-US"/>
          </w:rPr>
          <w:t>Concluding observations on the seventh periodic report of Mexico</w:t>
        </w:r>
      </w:hyperlink>
      <w:r w:rsidRPr="007D47AD">
        <w:rPr>
          <w:lang w:val="en-US"/>
        </w:rPr>
        <w:t>. Adopted by the Committee at its 66</w:t>
      </w:r>
      <w:r w:rsidRPr="007D47AD">
        <w:rPr>
          <w:vertAlign w:val="superscript"/>
          <w:lang w:val="en-US"/>
        </w:rPr>
        <w:t>th</w:t>
      </w:r>
      <w:r w:rsidRPr="007D47AD">
        <w:rPr>
          <w:lang w:val="en-US"/>
        </w:rPr>
        <w:t xml:space="preserve"> session from April 23 to May 17, 2019, p. 5.  </w:t>
      </w:r>
    </w:p>
  </w:footnote>
  <w:footnote w:id="146">
    <w:p w:rsidR="00385F1D" w:rsidRPr="007D47AD" w:rsidRDefault="00385F1D" w:rsidP="00C66025">
      <w:pPr>
        <w:pStyle w:val="FootnoteText"/>
        <w:spacing w:after="120"/>
        <w:rPr>
          <w:lang w:val="es-419"/>
        </w:rPr>
      </w:pPr>
      <w:r w:rsidRPr="007D47AD">
        <w:rPr>
          <w:vertAlign w:val="superscript"/>
          <w:lang w:val="en-US"/>
        </w:rPr>
        <w:footnoteRef/>
      </w:r>
      <w:r w:rsidRPr="007D47AD">
        <w:rPr>
          <w:lang w:val="es-419"/>
        </w:rPr>
        <w:t>Sexto Informe del Estado mexicano sobre el cumplimiento y seguimiento de las recomendaciones contenidas en el informe “Situación de los Derechos Humanos en México,” p. 34.</w:t>
      </w:r>
    </w:p>
  </w:footnote>
  <w:footnote w:id="147">
    <w:p w:rsidR="00385F1D" w:rsidRPr="007D47AD" w:rsidRDefault="00385F1D" w:rsidP="00C66025">
      <w:pPr>
        <w:pStyle w:val="FootnoteText"/>
        <w:spacing w:after="120"/>
        <w:rPr>
          <w:lang w:val="en-US"/>
        </w:rPr>
      </w:pPr>
      <w:r w:rsidRPr="007D47AD">
        <w:rPr>
          <w:rStyle w:val="FootnoteReference"/>
          <w:rFonts w:asciiTheme="minorHAnsi" w:hAnsiTheme="minorHAnsi"/>
          <w:lang w:val="en-US"/>
        </w:rPr>
        <w:footnoteRef/>
      </w:r>
      <w:r w:rsidRPr="007D47AD">
        <w:rPr>
          <w:lang w:val="en-US"/>
        </w:rPr>
        <w:t xml:space="preserve"> Committee Against Torture, </w:t>
      </w:r>
      <w:hyperlink r:id="rId45" w:history="1">
        <w:r w:rsidRPr="007D47AD">
          <w:rPr>
            <w:rStyle w:val="Hyperlink"/>
            <w:rFonts w:asciiTheme="minorHAnsi" w:hAnsiTheme="minorHAnsi"/>
            <w:lang w:val="en-US"/>
          </w:rPr>
          <w:t>Concluding observations on the seventh periodic report of Mexico</w:t>
        </w:r>
      </w:hyperlink>
      <w:r w:rsidRPr="007D47AD">
        <w:rPr>
          <w:lang w:val="en-US"/>
        </w:rPr>
        <w:t>. Adopted by the Committee at its 66</w:t>
      </w:r>
      <w:r w:rsidRPr="007D47AD">
        <w:rPr>
          <w:vertAlign w:val="superscript"/>
          <w:lang w:val="en-US"/>
        </w:rPr>
        <w:t>th</w:t>
      </w:r>
      <w:r w:rsidRPr="007D47AD">
        <w:rPr>
          <w:lang w:val="en-US"/>
        </w:rPr>
        <w:t xml:space="preserve"> session from April 23 to May 17, 2019, p. 3.  </w:t>
      </w:r>
    </w:p>
  </w:footnote>
  <w:footnote w:id="148">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w:t>
      </w:r>
      <w:hyperlink r:id="rId46" w:history="1">
        <w:r w:rsidRPr="007D47AD">
          <w:rPr>
            <w:rStyle w:val="Hyperlink"/>
            <w:rFonts w:asciiTheme="minorHAnsi" w:hAnsiTheme="minorHAnsi"/>
            <w:lang w:val="es-419"/>
          </w:rPr>
          <w:t>Informe Alternativo de las Organizaciones de Sociedad Civil de México al Comité Contra la Tortura de la ONU 2012 – 2019</w:t>
        </w:r>
      </w:hyperlink>
      <w:r w:rsidRPr="007D47AD">
        <w:rPr>
          <w:lang w:val="es-419"/>
        </w:rPr>
        <w:t>, p. 22.</w:t>
      </w:r>
    </w:p>
  </w:footnote>
  <w:footnote w:id="149">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Sexto Informe del Estado mexicano sobre el cumplimiento y seguimiento de las recomendaciones contenidas en el informe “Situación de los Derechos Humanos en México,” p. 35. </w:t>
      </w:r>
    </w:p>
  </w:footnote>
  <w:footnote w:id="150">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Sexto Informe del Estado mexicano sobre el cumplimiento y seguimiento de las recomendaciones contenidas en el informe “Situación de los Derechos Humanos en México,” p. 35.</w:t>
      </w:r>
    </w:p>
  </w:footnote>
  <w:footnote w:id="151">
    <w:p w:rsidR="00385F1D" w:rsidRPr="007D47AD" w:rsidRDefault="00385F1D" w:rsidP="00C66025">
      <w:pPr>
        <w:pStyle w:val="FootnoteText"/>
        <w:spacing w:after="120"/>
        <w:rPr>
          <w:lang w:val="en-US"/>
        </w:rPr>
      </w:pPr>
      <w:r w:rsidRPr="007D47AD">
        <w:rPr>
          <w:rStyle w:val="FootnoteReference"/>
          <w:rFonts w:asciiTheme="minorHAnsi" w:hAnsiTheme="minorHAnsi"/>
          <w:lang w:val="en-US"/>
        </w:rPr>
        <w:footnoteRef/>
      </w:r>
      <w:r w:rsidRPr="007D47AD">
        <w:rPr>
          <w:lang w:val="en-US"/>
        </w:rPr>
        <w:t xml:space="preserve"> Centro PRODH, Information following up on the Report “Situation of Human Rights in Mexico” 2015. Information sent on October 2, 2019, pp. 3-4.</w:t>
      </w:r>
    </w:p>
  </w:footnote>
  <w:footnote w:id="152">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n-US"/>
        </w:rPr>
        <w:t xml:space="preserve"> Centro PRODH, Information following up on the Report “Situation of Human Rights in Mexico” 2015. </w:t>
      </w:r>
      <w:r w:rsidRPr="007D47AD">
        <w:rPr>
          <w:lang w:val="es-419"/>
        </w:rPr>
        <w:t>Information sent on October 2, 2019, pp. 3-4.</w:t>
      </w:r>
    </w:p>
  </w:footnote>
  <w:footnote w:id="153">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Sexto Informe del Estado mexicano sobre el cumplimiento y seguimiento de las recomendaciones contenidas en el informe “Situación de los Derechos Humanos en México,” p. 36.</w:t>
      </w:r>
    </w:p>
  </w:footnote>
  <w:footnote w:id="154">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n-US"/>
        </w:rPr>
        <w:t xml:space="preserve"> Centro PRODH, Information following up on the Report “Situation of Human Rights in Mexico” 2015. </w:t>
      </w:r>
      <w:r w:rsidRPr="007D47AD">
        <w:rPr>
          <w:lang w:val="es-419"/>
        </w:rPr>
        <w:t>Information sent on October 2, 2019, pp. 3-4.</w:t>
      </w:r>
    </w:p>
  </w:footnote>
  <w:footnote w:id="155">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Sexto Informe del Estado mexicano sobre el cumplimiento y seguimiento de las recomendaciones contenidas en el informe “Situación de los Derechos Humanos en México,” pp. 36-37. </w:t>
      </w:r>
    </w:p>
  </w:footnote>
  <w:footnote w:id="156">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Sexto Informe del Estado mexicano sobre el cumplimiento y seguimiento de las recomendaciones contenidas en el informe “Situación de los Derechos Humanos en México,” p. 38.</w:t>
      </w:r>
    </w:p>
  </w:footnote>
  <w:footnote w:id="157">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Sexto Informe del Estado mexicano sobre el cumplimiento y seguimiento de las recomendaciones contenidas en el informe “Situación de los Derechos Humanos en México,” p. 38.</w:t>
      </w:r>
    </w:p>
  </w:footnote>
  <w:footnote w:id="158">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n-US"/>
        </w:rPr>
        <w:t xml:space="preserve"> Centro PRODH, Information following up on the Report “Situation of Human Rights in Mexico” 2015. </w:t>
      </w:r>
      <w:r w:rsidRPr="007D47AD">
        <w:rPr>
          <w:lang w:val="es-419"/>
        </w:rPr>
        <w:t>Information sent on October 2, 2019, p. 15.</w:t>
      </w:r>
    </w:p>
  </w:footnote>
  <w:footnote w:id="159">
    <w:p w:rsidR="00385F1D" w:rsidRPr="007D47AD" w:rsidRDefault="00385F1D" w:rsidP="00C66025">
      <w:pPr>
        <w:pStyle w:val="FootnoteText"/>
        <w:spacing w:after="120"/>
        <w:rPr>
          <w:lang w:val="es-US"/>
        </w:rPr>
      </w:pPr>
      <w:r w:rsidRPr="007D47AD">
        <w:rPr>
          <w:rStyle w:val="FootnoteReference"/>
          <w:rFonts w:asciiTheme="minorHAnsi" w:hAnsiTheme="minorHAnsi"/>
          <w:lang w:val="en-US"/>
        </w:rPr>
        <w:footnoteRef/>
      </w:r>
      <w:r w:rsidRPr="007D47AD">
        <w:rPr>
          <w:lang w:val="es-419"/>
        </w:rPr>
        <w:t xml:space="preserve"> El Universal. </w:t>
      </w:r>
      <w:hyperlink r:id="rId47" w:history="1">
        <w:r w:rsidRPr="007D47AD">
          <w:rPr>
            <w:rStyle w:val="Hyperlink"/>
            <w:rFonts w:asciiTheme="minorHAnsi" w:hAnsiTheme="minorHAnsi"/>
            <w:lang w:val="es-419"/>
          </w:rPr>
          <w:t>Dejaron que cuerpos de “tráiler de la muerte” se pudrieran, no podrán ser identificados.</w:t>
        </w:r>
      </w:hyperlink>
      <w:r w:rsidRPr="007D47AD">
        <w:rPr>
          <w:lang w:val="es-419"/>
        </w:rPr>
        <w:t xml:space="preserve"> </w:t>
      </w:r>
      <w:r w:rsidRPr="007D47AD">
        <w:rPr>
          <w:lang w:val="es-US"/>
        </w:rPr>
        <w:t xml:space="preserve">May 22, 2019. </w:t>
      </w:r>
    </w:p>
  </w:footnote>
  <w:footnote w:id="160">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Sexto Informe del Estado mexicano sobre el cumplimiento y seguimiento de las recomendaciones contenidas en el informe “Situación de los Derechos Humanos en México,” pp. 38-39.</w:t>
      </w:r>
    </w:p>
  </w:footnote>
  <w:footnote w:id="161">
    <w:p w:rsidR="00385F1D" w:rsidRPr="007D47AD" w:rsidRDefault="00385F1D" w:rsidP="00C66025">
      <w:pPr>
        <w:pStyle w:val="Heading1"/>
        <w:numPr>
          <w:ilvl w:val="0"/>
          <w:numId w:val="0"/>
        </w:numPr>
        <w:shd w:val="clear" w:color="auto" w:fill="FFFFFF"/>
        <w:tabs>
          <w:tab w:val="left" w:pos="0"/>
        </w:tabs>
        <w:spacing w:before="0" w:after="120"/>
        <w:rPr>
          <w:rFonts w:asciiTheme="minorHAnsi" w:hAnsiTheme="minorHAnsi"/>
          <w:b w:val="0"/>
          <w:color w:val="2C2C2B"/>
          <w:sz w:val="16"/>
          <w:szCs w:val="16"/>
          <w:lang w:val="es-419"/>
        </w:rPr>
      </w:pPr>
      <w:r w:rsidRPr="007D47AD">
        <w:rPr>
          <w:rFonts w:asciiTheme="minorHAnsi" w:hAnsiTheme="minorHAnsi"/>
          <w:b w:val="0"/>
          <w:sz w:val="16"/>
          <w:szCs w:val="16"/>
          <w:lang w:val="es-419"/>
        </w:rPr>
        <w:tab/>
      </w:r>
      <w:r w:rsidRPr="007D47AD">
        <w:rPr>
          <w:rStyle w:val="FootnoteReference"/>
          <w:rFonts w:asciiTheme="minorHAnsi" w:hAnsiTheme="minorHAnsi"/>
          <w:b w:val="0"/>
          <w:sz w:val="16"/>
          <w:szCs w:val="16"/>
          <w:lang w:val="en-US"/>
        </w:rPr>
        <w:footnoteRef/>
      </w:r>
      <w:r w:rsidRPr="007D47AD">
        <w:rPr>
          <w:rFonts w:asciiTheme="minorHAnsi" w:hAnsiTheme="minorHAnsi"/>
          <w:b w:val="0"/>
          <w:sz w:val="16"/>
          <w:szCs w:val="16"/>
          <w:lang w:val="es-419"/>
        </w:rPr>
        <w:t xml:space="preserve"> Ministry of Interior, </w:t>
      </w:r>
      <w:hyperlink r:id="rId48" w:history="1">
        <w:r w:rsidRPr="007D47AD">
          <w:rPr>
            <w:rStyle w:val="Hyperlink"/>
            <w:rFonts w:asciiTheme="minorHAnsi" w:hAnsiTheme="minorHAnsi"/>
            <w:b w:val="0"/>
            <w:sz w:val="16"/>
            <w:szCs w:val="16"/>
            <w:lang w:val="es-419"/>
          </w:rPr>
          <w:t>Informa Comisión Nacional de Búsqueda de Personas avances a 100 días de gestión</w:t>
        </w:r>
      </w:hyperlink>
      <w:r w:rsidRPr="007D47AD">
        <w:rPr>
          <w:rFonts w:asciiTheme="minorHAnsi" w:hAnsiTheme="minorHAnsi"/>
          <w:b w:val="0"/>
          <w:color w:val="2C2C2B"/>
          <w:sz w:val="16"/>
          <w:szCs w:val="16"/>
          <w:lang w:val="es-419"/>
        </w:rPr>
        <w:t>, May 28, 2019.</w:t>
      </w:r>
    </w:p>
  </w:footnote>
  <w:footnote w:id="162">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Sexto Informe del Estado mexicano sobre el cumplimiento y seguimiento de las recomendaciones contenidas en el informe “Situación de los Derechos Humanos en México,” pp. 39-40.</w:t>
      </w:r>
    </w:p>
  </w:footnote>
  <w:footnote w:id="163">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Sexto Informe del Estado mexicano sobre el cumplimiento y seguimiento de las recomendaciones contenidas en el informe “Situación de los Derechos Humanos en México,” pp. 40-41.</w:t>
      </w:r>
    </w:p>
  </w:footnote>
  <w:footnote w:id="164">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Sexto Informe del Estado mexicano sobre el cumplimiento y seguimiento de las recomendaciones contenidas en el informe “Situación de los Derechos Humanos en México,” p. 42.</w:t>
      </w:r>
    </w:p>
  </w:footnote>
  <w:footnote w:id="165">
    <w:p w:rsidR="00385F1D" w:rsidRPr="007D47AD" w:rsidRDefault="00385F1D" w:rsidP="00C66025">
      <w:pPr>
        <w:pStyle w:val="FootnoteText"/>
        <w:spacing w:after="120"/>
        <w:rPr>
          <w:lang w:val="en-US"/>
        </w:rPr>
      </w:pPr>
      <w:r w:rsidRPr="007D47AD">
        <w:rPr>
          <w:rStyle w:val="FootnoteReference"/>
          <w:lang w:val="en-US"/>
        </w:rPr>
        <w:footnoteRef/>
      </w:r>
      <w:r w:rsidRPr="007D47AD">
        <w:rPr>
          <w:lang w:val="en-US"/>
        </w:rPr>
        <w:t xml:space="preserve"> Observations and comments by the State, January 13, 2020, para. 49</w:t>
      </w:r>
    </w:p>
  </w:footnote>
  <w:footnote w:id="166">
    <w:p w:rsidR="00385F1D" w:rsidRPr="007D47AD" w:rsidRDefault="00385F1D" w:rsidP="00C66025">
      <w:pPr>
        <w:pStyle w:val="FootnoteText"/>
        <w:spacing w:after="120"/>
        <w:rPr>
          <w:lang w:val="en-US"/>
        </w:rPr>
      </w:pPr>
      <w:r w:rsidRPr="007D47AD">
        <w:rPr>
          <w:rStyle w:val="FootnoteReference"/>
          <w:lang w:val="en-US"/>
        </w:rPr>
        <w:footnoteRef/>
      </w:r>
      <w:r w:rsidRPr="007D47AD">
        <w:rPr>
          <w:lang w:val="en-US"/>
        </w:rPr>
        <w:t xml:space="preserve"> Observations and comments by the State, January 13, 2020, para. 50.</w:t>
      </w:r>
    </w:p>
  </w:footnote>
  <w:footnote w:id="167">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n-US"/>
        </w:rPr>
        <w:t xml:space="preserve"> IACHR, </w:t>
      </w:r>
      <w:hyperlink r:id="rId49" w:history="1">
        <w:r w:rsidRPr="007D47AD">
          <w:rPr>
            <w:rStyle w:val="Hyperlink"/>
            <w:rFonts w:asciiTheme="minorHAnsi" w:hAnsiTheme="minorHAnsi"/>
            <w:lang w:val="en-US"/>
          </w:rPr>
          <w:t>Guarantees for the independence of justice operators (2013)</w:t>
        </w:r>
      </w:hyperlink>
      <w:r w:rsidRPr="007D47AD">
        <w:rPr>
          <w:lang w:val="en-US"/>
        </w:rPr>
        <w:t xml:space="preserve">, paras. </w:t>
      </w:r>
      <w:r w:rsidRPr="007D47AD">
        <w:rPr>
          <w:lang w:val="es-419"/>
        </w:rPr>
        <w:t xml:space="preserve">146 ff. </w:t>
      </w:r>
    </w:p>
  </w:footnote>
  <w:footnote w:id="168">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Sexto Informe del Estado mexicano sobre el cumplimiento y seguimiento de las recomendaciones contenidas en el informe “Situación de los Derechos Humanos en México,” p. 43.</w:t>
      </w:r>
    </w:p>
  </w:footnote>
  <w:footnote w:id="169">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CNDH, Actualización correspondiente al año 2019 de la aportación de la Comisión Nacional de los Derechos Humanos de México (CNDH) en el marco de la revisión del cumplimiento de recomendaciones contenidas en el “Informe sobre situación de los Derechos Humanos en México,” publicado por la Comisión Interamericana de Derechos Humanos (CIDH) en 2015. October 2019, p. 11. </w:t>
      </w:r>
    </w:p>
  </w:footnote>
  <w:footnote w:id="170">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Aguascalientes, Baja California, Campeche, Chiapas, Guanajuato, Hidalgo, Oaxaca, Puebla, and Sonora. </w:t>
      </w:r>
    </w:p>
  </w:footnote>
  <w:footnote w:id="171">
    <w:p w:rsidR="00385F1D" w:rsidRPr="007D47AD" w:rsidRDefault="00385F1D" w:rsidP="00C66025">
      <w:pPr>
        <w:pStyle w:val="FootnoteText"/>
        <w:spacing w:after="120"/>
        <w:rPr>
          <w:lang w:val="es-419"/>
        </w:rPr>
      </w:pPr>
      <w:r w:rsidRPr="007D47AD">
        <w:rPr>
          <w:rStyle w:val="FootnoteReference"/>
          <w:lang w:val="en-US"/>
        </w:rPr>
        <w:footnoteRef/>
      </w:r>
      <w:r w:rsidRPr="007D47AD">
        <w:rPr>
          <w:lang w:val="en-US"/>
        </w:rPr>
        <w:t xml:space="preserve"> Observations and comments by the State, January 13, 2020, paras. </w:t>
      </w:r>
      <w:r w:rsidRPr="007D47AD">
        <w:rPr>
          <w:lang w:val="es-419"/>
        </w:rPr>
        <w:t>52-54.</w:t>
      </w:r>
    </w:p>
  </w:footnote>
  <w:footnote w:id="172">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CEAV, </w:t>
      </w:r>
      <w:hyperlink r:id="rId50" w:history="1">
        <w:r w:rsidRPr="007D47AD">
          <w:rPr>
            <w:rStyle w:val="Hyperlink"/>
            <w:rFonts w:asciiTheme="minorHAnsi" w:hAnsiTheme="minorHAnsi"/>
            <w:lang w:val="es-419"/>
          </w:rPr>
          <w:t>Consulta Pública Abierta sobre Atención a Víctimas en México 2019</w:t>
        </w:r>
        <w:r w:rsidRPr="007D47AD">
          <w:rPr>
            <w:rStyle w:val="Hyperlink"/>
            <w:rFonts w:asciiTheme="minorHAnsi" w:hAnsiTheme="minorHAnsi"/>
            <w:u w:val="none"/>
            <w:lang w:val="es-419"/>
          </w:rPr>
          <w:t>,</w:t>
        </w:r>
      </w:hyperlink>
      <w:r w:rsidRPr="007D47AD">
        <w:rPr>
          <w:lang w:val="es-419"/>
        </w:rPr>
        <w:t xml:space="preserve"> pp. 24 ff. </w:t>
      </w:r>
    </w:p>
  </w:footnote>
  <w:footnote w:id="173">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According to information from SERAPAZ: Aguascalientes, Baja California, Campeche, Chiapas, Mexico City, Guanajuato, Hidalgo, Oaxaca, Puebla, Sinaloa, and Sonora. </w:t>
      </w:r>
    </w:p>
  </w:footnote>
  <w:footnote w:id="174">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Sexto Informe del Estado mexicano sobre el cumplimiento y seguimiento de las recomendaciones contenidas en el informe “Situación de los Derechos Humanos en México,” p. 44. </w:t>
      </w:r>
    </w:p>
  </w:footnote>
  <w:footnote w:id="175">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Centro PRODH, Información de seguimiento al Informe “Situación de los derechos humanos en México” 2015. Information sent on October 2, 2019, p. 15</w:t>
      </w:r>
    </w:p>
  </w:footnote>
  <w:footnote w:id="176">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Government of Mexico, </w:t>
      </w:r>
      <w:hyperlink r:id="rId51" w:history="1">
        <w:r w:rsidRPr="007D47AD">
          <w:rPr>
            <w:rStyle w:val="Hyperlink"/>
            <w:rFonts w:asciiTheme="minorHAnsi" w:hAnsiTheme="minorHAnsi"/>
            <w:lang w:val="es-419"/>
          </w:rPr>
          <w:t>CEAV presenta Plan de Atención y Reparación a las Víctimas de la Violencia Política del Pasado, en Atoyac de Álvarez, Guerrero</w:t>
        </w:r>
      </w:hyperlink>
      <w:r w:rsidRPr="007D47AD">
        <w:rPr>
          <w:lang w:val="es-419"/>
        </w:rPr>
        <w:t xml:space="preserve">, February 11, 2019. </w:t>
      </w:r>
    </w:p>
  </w:footnote>
  <w:footnote w:id="177">
    <w:p w:rsidR="00385F1D" w:rsidRPr="007D47AD" w:rsidRDefault="00385F1D" w:rsidP="00C66025">
      <w:pPr>
        <w:pStyle w:val="FootnoteText"/>
        <w:spacing w:after="120"/>
        <w:rPr>
          <w:lang w:val="es-419"/>
        </w:rPr>
      </w:pPr>
      <w:r w:rsidRPr="007D47AD">
        <w:rPr>
          <w:rStyle w:val="FootnoteReference"/>
          <w:lang w:val="en-US"/>
        </w:rPr>
        <w:footnoteRef/>
      </w:r>
      <w:r w:rsidRPr="007D47AD">
        <w:rPr>
          <w:lang w:val="en-US"/>
        </w:rPr>
        <w:t xml:space="preserve"> Observations and comments by the State, January 13, 2020, para. </w:t>
      </w:r>
      <w:r w:rsidRPr="007D47AD">
        <w:rPr>
          <w:lang w:val="es-419"/>
        </w:rPr>
        <w:t>55.</w:t>
      </w:r>
    </w:p>
  </w:footnote>
  <w:footnote w:id="178">
    <w:p w:rsidR="00385F1D" w:rsidRPr="007D47AD" w:rsidRDefault="00385F1D" w:rsidP="00C66025">
      <w:pPr>
        <w:pStyle w:val="FootnoteText"/>
        <w:spacing w:after="120"/>
        <w:rPr>
          <w:lang w:val="en-US"/>
        </w:rPr>
      </w:pPr>
      <w:r w:rsidRPr="007D47AD">
        <w:rPr>
          <w:rStyle w:val="FootnoteReference"/>
          <w:rFonts w:asciiTheme="minorHAnsi" w:hAnsiTheme="minorHAnsi"/>
          <w:lang w:val="en-US"/>
        </w:rPr>
        <w:footnoteRef/>
      </w:r>
      <w:r w:rsidRPr="007D47AD">
        <w:rPr>
          <w:lang w:val="es-419"/>
        </w:rPr>
        <w:t xml:space="preserve"> Article 19. “Poder judicial resolverá si la SEP está obligada a incluir la Guerra Sucia en los programas educativos.” </w:t>
      </w:r>
      <w:r w:rsidRPr="007D47AD">
        <w:rPr>
          <w:lang w:val="en-US"/>
        </w:rPr>
        <w:t>October 1, 2018. https://articulo19.org/poder-judicial-resolvera-si-la-sep-esta-obligada-a-incluir-la-guerra-sucia-en-los-programas-educativos/</w:t>
      </w:r>
    </w:p>
  </w:footnote>
  <w:footnote w:id="179">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Sexto Informe del Estado mexicano sobre el cumplimiento y seguimiento de las recomendaciones contenidas en el informe “Situación de los Derechos Humanos en México,” p. 47.</w:t>
      </w:r>
    </w:p>
  </w:footnote>
  <w:footnote w:id="180">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n-US"/>
        </w:rPr>
        <w:t xml:space="preserve"> I/A Court HR, Supervision of Compliance with Judgment, Cases of Radilla Pacheco, Fernández Ortega et al., Rosendo Cantú and others v. Mexico, April 17, 2015, para. </w:t>
      </w:r>
      <w:r w:rsidRPr="007D47AD">
        <w:rPr>
          <w:lang w:val="es-419"/>
        </w:rPr>
        <w:t>20.</w:t>
      </w:r>
    </w:p>
  </w:footnote>
  <w:footnote w:id="181">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Sexto Informe del Estado mexicano sobre el cumplimiento y seguimiento de las recomendaciones contenidas en el informe “Situación de los Derechos Humanos en México,” </w:t>
      </w:r>
      <w:r w:rsidRPr="007D47AD">
        <w:rPr>
          <w:rFonts w:eastAsia="Times New Roman" w:cs="Calibri Light"/>
          <w:lang w:val="es-419"/>
        </w:rPr>
        <w:t>p.</w:t>
      </w:r>
      <w:r w:rsidRPr="007D47AD">
        <w:rPr>
          <w:lang w:val="es-419"/>
        </w:rPr>
        <w:t xml:space="preserve"> 48.</w:t>
      </w:r>
    </w:p>
  </w:footnote>
  <w:footnote w:id="182">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Sexto Informe del Estado mexicano sobre el cumplimiento y seguimiento de las recomendaciones contenidas en el informe “Situación de los Derechos Humanos en México,” p. 48.</w:t>
      </w:r>
    </w:p>
  </w:footnote>
  <w:footnote w:id="183">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n-US"/>
        </w:rPr>
        <w:t xml:space="preserve"> IACHR, </w:t>
      </w:r>
      <w:hyperlink r:id="rId52" w:history="1">
        <w:r w:rsidRPr="007D47AD">
          <w:rPr>
            <w:rStyle w:val="Hyperlink1"/>
            <w:rFonts w:asciiTheme="minorHAnsi" w:hAnsiTheme="minorHAnsi"/>
            <w:sz w:val="16"/>
            <w:szCs w:val="16"/>
            <w:lang w:val="en-US"/>
          </w:rPr>
          <w:t>2018 Annual Report</w:t>
        </w:r>
      </w:hyperlink>
      <w:r w:rsidRPr="007D47AD">
        <w:rPr>
          <w:lang w:val="en-US"/>
        </w:rPr>
        <w:t xml:space="preserve">, 2018, p. 701, paras. </w:t>
      </w:r>
      <w:r w:rsidRPr="007D47AD">
        <w:rPr>
          <w:lang w:val="es-419"/>
        </w:rPr>
        <w:t xml:space="preserve">103 ff. </w:t>
      </w:r>
    </w:p>
  </w:footnote>
  <w:footnote w:id="184">
    <w:p w:rsidR="00385F1D" w:rsidRPr="007D47AD" w:rsidRDefault="00385F1D" w:rsidP="00C66025">
      <w:pPr>
        <w:pStyle w:val="FootnoteText"/>
        <w:spacing w:after="120"/>
        <w:rPr>
          <w:lang w:val="es-US"/>
        </w:rPr>
      </w:pPr>
      <w:r w:rsidRPr="007D47AD">
        <w:rPr>
          <w:rStyle w:val="FootnoteReference"/>
          <w:rFonts w:asciiTheme="minorHAnsi" w:hAnsiTheme="minorHAnsi"/>
          <w:lang w:val="en-US"/>
        </w:rPr>
        <w:footnoteRef/>
      </w:r>
      <w:r w:rsidRPr="007D47AD">
        <w:rPr>
          <w:lang w:val="es-419"/>
        </w:rPr>
        <w:t xml:space="preserve"> México Evalúa, </w:t>
      </w:r>
      <w:hyperlink r:id="rId53" w:history="1">
        <w:r w:rsidRPr="007D47AD">
          <w:rPr>
            <w:rStyle w:val="Hyperlink"/>
            <w:rFonts w:asciiTheme="minorHAnsi" w:hAnsiTheme="minorHAnsi"/>
            <w:lang w:val="es-419"/>
          </w:rPr>
          <w:t>Autonomía en la procuración de justicia ¿suficiente garantía?</w:t>
        </w:r>
      </w:hyperlink>
      <w:r w:rsidRPr="007D47AD">
        <w:rPr>
          <w:lang w:val="es-419"/>
        </w:rPr>
        <w:t xml:space="preserve">  </w:t>
      </w:r>
      <w:r w:rsidRPr="007D47AD">
        <w:rPr>
          <w:lang w:val="es-US"/>
        </w:rPr>
        <w:t xml:space="preserve">October 25, 2019. </w:t>
      </w:r>
    </w:p>
  </w:footnote>
  <w:footnote w:id="185">
    <w:p w:rsidR="00385F1D" w:rsidRPr="007D47AD" w:rsidRDefault="00385F1D" w:rsidP="00C66025">
      <w:pPr>
        <w:pStyle w:val="FootnoteText"/>
        <w:spacing w:after="120"/>
        <w:rPr>
          <w:lang w:val="en-US"/>
        </w:rPr>
      </w:pPr>
      <w:r w:rsidRPr="007D47AD">
        <w:rPr>
          <w:rStyle w:val="FootnoteReference"/>
          <w:rFonts w:asciiTheme="minorHAnsi" w:hAnsiTheme="minorHAnsi"/>
          <w:lang w:val="en-US"/>
        </w:rPr>
        <w:footnoteRef/>
      </w:r>
      <w:r w:rsidRPr="007D47AD">
        <w:rPr>
          <w:lang w:val="es-419"/>
        </w:rPr>
        <w:t xml:space="preserve"> México Evalúa, </w:t>
      </w:r>
      <w:hyperlink r:id="rId54" w:history="1">
        <w:r w:rsidRPr="007D47AD">
          <w:rPr>
            <w:rStyle w:val="Hyperlink"/>
            <w:rFonts w:asciiTheme="minorHAnsi" w:hAnsiTheme="minorHAnsi"/>
            <w:lang w:val="es-419"/>
          </w:rPr>
          <w:t>De PGR a FGR: Observatorio de la transición 2019.</w:t>
        </w:r>
      </w:hyperlink>
      <w:r w:rsidRPr="007D47AD">
        <w:rPr>
          <w:lang w:val="es-419"/>
        </w:rPr>
        <w:t xml:space="preserve">  </w:t>
      </w:r>
      <w:r w:rsidRPr="007D47AD">
        <w:rPr>
          <w:lang w:val="en-US"/>
        </w:rPr>
        <w:t>October 2019, pp. 24 ff.</w:t>
      </w:r>
    </w:p>
  </w:footnote>
  <w:footnote w:id="186">
    <w:p w:rsidR="00385F1D" w:rsidRPr="007D47AD" w:rsidRDefault="00385F1D" w:rsidP="00C66025">
      <w:pPr>
        <w:pStyle w:val="FootnoteText"/>
        <w:spacing w:after="120"/>
        <w:rPr>
          <w:lang w:val="en-US"/>
        </w:rPr>
      </w:pPr>
      <w:r w:rsidRPr="007D47AD">
        <w:rPr>
          <w:rStyle w:val="FootnoteReference"/>
          <w:rFonts w:asciiTheme="minorHAnsi" w:hAnsiTheme="minorHAnsi"/>
          <w:lang w:val="en-US"/>
        </w:rPr>
        <w:footnoteRef/>
      </w:r>
      <w:r w:rsidRPr="007D47AD">
        <w:rPr>
          <w:lang w:val="en-US"/>
        </w:rPr>
        <w:t xml:space="preserve"> Centro PRODH, Information following up on the Report “Situation of Human Rights in Mexico” 2015. Information sent on October 2, 2019, p. 16.</w:t>
      </w:r>
    </w:p>
  </w:footnote>
  <w:footnote w:id="187">
    <w:p w:rsidR="00385F1D" w:rsidRPr="007D47AD" w:rsidRDefault="00385F1D" w:rsidP="00C66025">
      <w:pPr>
        <w:pStyle w:val="FootnoteText"/>
        <w:spacing w:after="120"/>
        <w:rPr>
          <w:lang w:val="es-US"/>
        </w:rPr>
      </w:pPr>
      <w:r w:rsidRPr="007D47AD">
        <w:rPr>
          <w:rStyle w:val="FootnoteReference"/>
          <w:rFonts w:asciiTheme="minorHAnsi" w:hAnsiTheme="minorHAnsi"/>
          <w:lang w:val="en-US"/>
        </w:rPr>
        <w:footnoteRef/>
      </w:r>
      <w:r w:rsidRPr="007D47AD">
        <w:rPr>
          <w:lang w:val="es-US"/>
        </w:rPr>
        <w:t xml:space="preserve"> Ministry of Interior, </w:t>
      </w:r>
      <w:hyperlink r:id="rId55" w:history="1">
        <w:r w:rsidRPr="007D47AD">
          <w:rPr>
            <w:rStyle w:val="Hyperlink"/>
            <w:rFonts w:asciiTheme="minorHAnsi" w:hAnsiTheme="minorHAnsi"/>
            <w:lang w:val="es-US"/>
          </w:rPr>
          <w:t>Sistema Nacional de Información sobre Discriminación</w:t>
        </w:r>
      </w:hyperlink>
      <w:r w:rsidRPr="007D47AD">
        <w:rPr>
          <w:lang w:val="es-US"/>
        </w:rPr>
        <w:t xml:space="preserve">, November 6, 2019. </w:t>
      </w:r>
    </w:p>
  </w:footnote>
  <w:footnote w:id="188">
    <w:p w:rsidR="00385F1D" w:rsidRPr="007D47AD" w:rsidRDefault="00385F1D" w:rsidP="00C66025">
      <w:pPr>
        <w:pStyle w:val="FootnoteText"/>
        <w:spacing w:after="120"/>
        <w:rPr>
          <w:lang w:val="en-US"/>
        </w:rPr>
      </w:pPr>
      <w:r w:rsidRPr="007D47AD">
        <w:rPr>
          <w:rStyle w:val="FootnoteReference"/>
          <w:rFonts w:asciiTheme="minorHAnsi" w:hAnsiTheme="minorHAnsi"/>
          <w:lang w:val="en-US"/>
        </w:rPr>
        <w:footnoteRef/>
      </w:r>
      <w:r w:rsidRPr="007D47AD">
        <w:rPr>
          <w:lang w:val="en-US"/>
        </w:rPr>
        <w:t xml:space="preserve"> Response presented by the State in the framework of the request for information for preparing the 2019 Annual Report. </w:t>
      </w:r>
    </w:p>
  </w:footnote>
  <w:footnote w:id="189">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Sexto Informe del Estado mexicano sobre el cumplimiento y seguimiento de las recomendaciones contenidas en el informe “Situación de los Derechos Humanos en México,” pp. 49-50.</w:t>
      </w:r>
    </w:p>
  </w:footnote>
  <w:footnote w:id="190">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Senate of the Republic, </w:t>
      </w:r>
      <w:hyperlink r:id="rId56" w:history="1">
        <w:r w:rsidRPr="007D47AD">
          <w:rPr>
            <w:rStyle w:val="Hyperlink"/>
            <w:rFonts w:asciiTheme="minorHAnsi" w:hAnsiTheme="minorHAnsi"/>
            <w:lang w:val="es-419"/>
          </w:rPr>
          <w:t>Aprueban instrumentos internacionales contra el racismo, la discriminación y la intolerancia</w:t>
        </w:r>
      </w:hyperlink>
      <w:r w:rsidRPr="007D47AD">
        <w:rPr>
          <w:lang w:val="es-419"/>
        </w:rPr>
        <w:t>, October 10, 2019.</w:t>
      </w:r>
    </w:p>
  </w:footnote>
  <w:footnote w:id="191">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Senate of the Republic, </w:t>
      </w:r>
      <w:hyperlink r:id="rId57" w:history="1">
        <w:r w:rsidRPr="007D47AD">
          <w:rPr>
            <w:rStyle w:val="Hyperlink"/>
            <w:rFonts w:asciiTheme="minorHAnsi" w:hAnsiTheme="minorHAnsi"/>
            <w:lang w:val="es-419"/>
          </w:rPr>
          <w:t>Aprueban instrumentos internacionales contra el racismo, la discriminación y la intolerancia</w:t>
        </w:r>
      </w:hyperlink>
      <w:r w:rsidRPr="007D47AD">
        <w:rPr>
          <w:lang w:val="es-419"/>
        </w:rPr>
        <w:t>, October 10, 2019.</w:t>
      </w:r>
    </w:p>
  </w:footnote>
  <w:footnote w:id="192">
    <w:p w:rsidR="00385F1D" w:rsidRPr="007D47AD" w:rsidRDefault="00385F1D" w:rsidP="00C66025">
      <w:pPr>
        <w:pStyle w:val="FootnoteText"/>
        <w:spacing w:after="120"/>
        <w:rPr>
          <w:lang w:val="es-419"/>
        </w:rPr>
      </w:pPr>
      <w:r w:rsidRPr="007D47AD">
        <w:rPr>
          <w:rStyle w:val="FootnoteReference"/>
          <w:lang w:val="en-US"/>
        </w:rPr>
        <w:footnoteRef/>
      </w:r>
      <w:r w:rsidRPr="007D47AD">
        <w:rPr>
          <w:lang w:val="en-US"/>
        </w:rPr>
        <w:t xml:space="preserve"> Observations and comments by the State, January 13, 2020, para. </w:t>
      </w:r>
      <w:r w:rsidRPr="007D47AD">
        <w:rPr>
          <w:lang w:val="es-419"/>
        </w:rPr>
        <w:t>60.</w:t>
      </w:r>
    </w:p>
  </w:footnote>
  <w:footnote w:id="193">
    <w:p w:rsidR="00385F1D" w:rsidRPr="007D47AD" w:rsidRDefault="00385F1D" w:rsidP="00C66025">
      <w:pPr>
        <w:pStyle w:val="FootnoteText"/>
        <w:spacing w:after="120"/>
        <w:rPr>
          <w:lang w:val="es-419"/>
        </w:rPr>
      </w:pPr>
      <w:r w:rsidRPr="007D47AD">
        <w:rPr>
          <w:rStyle w:val="FootnoteReference"/>
          <w:lang w:val="en-US"/>
        </w:rPr>
        <w:footnoteRef/>
      </w:r>
      <w:r w:rsidRPr="007D47AD">
        <w:rPr>
          <w:lang w:val="es-419"/>
        </w:rPr>
        <w:t xml:space="preserve"> Observations and comments by the State, January 13, 2020, paras. 58-61.</w:t>
      </w:r>
    </w:p>
  </w:footnote>
  <w:footnote w:id="194">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Infobae, </w:t>
      </w:r>
      <w:hyperlink r:id="rId58" w:history="1">
        <w:r w:rsidRPr="007D47AD">
          <w:rPr>
            <w:rStyle w:val="Hyperlink"/>
            <w:rFonts w:asciiTheme="minorHAnsi" w:hAnsiTheme="minorHAnsi"/>
            <w:lang w:val="es-419"/>
          </w:rPr>
          <w:t>Óscar Cazorla fue asesinado en su casa; era activista muxe de la lucha por los derechos LGBT</w:t>
        </w:r>
      </w:hyperlink>
      <w:r w:rsidRPr="007D47AD">
        <w:rPr>
          <w:lang w:val="es-419"/>
        </w:rPr>
        <w:t>, February 10, 2019.</w:t>
      </w:r>
    </w:p>
  </w:footnote>
  <w:footnote w:id="195">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SDP, </w:t>
      </w:r>
      <w:hyperlink r:id="rId59" w:history="1">
        <w:r w:rsidRPr="007D47AD">
          <w:rPr>
            <w:rStyle w:val="Hyperlink"/>
            <w:rFonts w:asciiTheme="minorHAnsi" w:hAnsiTheme="minorHAnsi"/>
            <w:lang w:val="es-419"/>
          </w:rPr>
          <w:t>Denuncian impunidad en asesinato de Óscar Cazorla, activista muxe</w:t>
        </w:r>
      </w:hyperlink>
      <w:r w:rsidRPr="007D47AD">
        <w:rPr>
          <w:lang w:val="es-419"/>
        </w:rPr>
        <w:t>, July 1, 2019.</w:t>
      </w:r>
    </w:p>
  </w:footnote>
  <w:footnote w:id="196">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Expansión Política, </w:t>
      </w:r>
      <w:hyperlink r:id="rId60" w:history="1">
        <w:r w:rsidRPr="007D47AD">
          <w:rPr>
            <w:rStyle w:val="Hyperlink"/>
            <w:rFonts w:asciiTheme="minorHAnsi" w:hAnsiTheme="minorHAnsi"/>
            <w:lang w:val="es-419"/>
          </w:rPr>
          <w:t>Un activista LGBT+ es asesinado a golpes y pedradas en Veracruz</w:t>
        </w:r>
      </w:hyperlink>
      <w:r w:rsidRPr="007D47AD">
        <w:rPr>
          <w:lang w:val="es-419"/>
        </w:rPr>
        <w:t>, August 12, 2019.</w:t>
      </w:r>
    </w:p>
  </w:footnote>
  <w:footnote w:id="197">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El Independiente de Hidalgo, </w:t>
      </w:r>
      <w:hyperlink r:id="rId61" w:history="1">
        <w:r w:rsidRPr="007D47AD">
          <w:rPr>
            <w:rStyle w:val="Hyperlink"/>
            <w:rFonts w:asciiTheme="minorHAnsi" w:hAnsiTheme="minorHAnsi"/>
            <w:lang w:val="es-419"/>
          </w:rPr>
          <w:t>Piden Justicia para Renata</w:t>
        </w:r>
      </w:hyperlink>
      <w:r w:rsidRPr="007D47AD">
        <w:rPr>
          <w:lang w:val="es-419"/>
        </w:rPr>
        <w:t>, March 11, 2019.</w:t>
      </w:r>
    </w:p>
  </w:footnote>
  <w:footnote w:id="198">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Horas, </w:t>
      </w:r>
      <w:hyperlink r:id="rId62" w:history="1">
        <w:r w:rsidRPr="007D47AD">
          <w:rPr>
            <w:rStyle w:val="Hyperlink"/>
            <w:rFonts w:asciiTheme="minorHAnsi" w:hAnsiTheme="minorHAnsi"/>
            <w:lang w:val="es-419"/>
          </w:rPr>
          <w:t>Asesinan a profesor de primaria indígena en su casa; había sido amenazado por ser homosexual</w:t>
        </w:r>
      </w:hyperlink>
      <w:r w:rsidRPr="007D47AD">
        <w:rPr>
          <w:lang w:val="es-419"/>
        </w:rPr>
        <w:t>, February 6, 2019.</w:t>
      </w:r>
    </w:p>
  </w:footnote>
  <w:footnote w:id="199">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w:t>
      </w:r>
      <w:hyperlink r:id="rId63" w:history="1">
        <w:r w:rsidRPr="007D47AD">
          <w:rPr>
            <w:rStyle w:val="Hyperlink"/>
            <w:rFonts w:asciiTheme="minorHAnsi" w:hAnsiTheme="minorHAnsi"/>
            <w:lang w:val="es-419"/>
          </w:rPr>
          <w:t>Ejecutan a mujer transgénero en Oaxaca; “no nos maten”, clama presidenta de la AAFLO</w:t>
        </w:r>
      </w:hyperlink>
      <w:r w:rsidRPr="007D47AD">
        <w:rPr>
          <w:lang w:val="es-419"/>
        </w:rPr>
        <w:t>, July 15, 2019.</w:t>
      </w:r>
    </w:p>
  </w:footnote>
  <w:footnote w:id="200">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En Contacto, </w:t>
      </w:r>
      <w:hyperlink r:id="rId64" w:history="1">
        <w:r w:rsidRPr="007D47AD">
          <w:rPr>
            <w:rStyle w:val="Hyperlink"/>
            <w:rFonts w:asciiTheme="minorHAnsi" w:hAnsiTheme="minorHAnsi"/>
            <w:lang w:val="es-419"/>
          </w:rPr>
          <w:t>Crimen de odio; violado y apuñalado en el cuello</w:t>
        </w:r>
      </w:hyperlink>
      <w:r w:rsidRPr="007D47AD">
        <w:rPr>
          <w:lang w:val="es-419"/>
        </w:rPr>
        <w:t>, March 15, 2019.</w:t>
      </w:r>
    </w:p>
  </w:footnote>
  <w:footnote w:id="201">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La Jornada, </w:t>
      </w:r>
      <w:hyperlink r:id="rId65" w:history="1">
        <w:r w:rsidRPr="007D47AD">
          <w:rPr>
            <w:rStyle w:val="Hyperlink"/>
            <w:rFonts w:asciiTheme="minorHAnsi" w:hAnsiTheme="minorHAnsi"/>
            <w:lang w:val="es-419"/>
          </w:rPr>
          <w:t>Hallan muerta a mujer que reportaron desaparecida</w:t>
        </w:r>
      </w:hyperlink>
      <w:r w:rsidRPr="007D47AD">
        <w:rPr>
          <w:lang w:val="es-419"/>
        </w:rPr>
        <w:t>, July 9, 2019.</w:t>
      </w:r>
    </w:p>
  </w:footnote>
  <w:footnote w:id="202">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Sin Violencia, </w:t>
      </w:r>
      <w:hyperlink r:id="rId66" w:history="1">
        <w:r w:rsidRPr="007D47AD">
          <w:rPr>
            <w:rStyle w:val="Hyperlink"/>
            <w:rFonts w:asciiTheme="minorHAnsi" w:hAnsiTheme="minorHAnsi"/>
            <w:lang w:val="es-419"/>
          </w:rPr>
          <w:t>El Prejuicio no conoce fronteras</w:t>
        </w:r>
      </w:hyperlink>
      <w:r w:rsidRPr="007D47AD">
        <w:rPr>
          <w:lang w:val="es-419"/>
        </w:rPr>
        <w:t>, August 2019.</w:t>
      </w:r>
    </w:p>
  </w:footnote>
  <w:footnote w:id="203">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Supreme Court, </w:t>
      </w:r>
      <w:hyperlink r:id="rId67" w:history="1">
        <w:r w:rsidRPr="007D47AD">
          <w:rPr>
            <w:rStyle w:val="Hyperlink"/>
            <w:rFonts w:asciiTheme="minorHAnsi" w:hAnsiTheme="minorHAnsi"/>
            <w:lang w:val="es-419"/>
          </w:rPr>
          <w:t>Primera Sala declara inconstitucional que se limite el derecho de filiación de los menores que nacen en el seno de uniones familiares homoparentales</w:t>
        </w:r>
      </w:hyperlink>
      <w:r w:rsidRPr="007D47AD">
        <w:rPr>
          <w:lang w:val="es-419"/>
        </w:rPr>
        <w:t>, May 8, 2019.</w:t>
      </w:r>
    </w:p>
  </w:footnote>
  <w:footnote w:id="204">
    <w:p w:rsidR="00385F1D" w:rsidRPr="007D47AD" w:rsidRDefault="00385F1D" w:rsidP="00C66025">
      <w:pPr>
        <w:pStyle w:val="FootnoteText"/>
        <w:spacing w:after="120"/>
        <w:rPr>
          <w:lang w:val="en-US"/>
        </w:rPr>
      </w:pPr>
      <w:r w:rsidRPr="007D47AD">
        <w:rPr>
          <w:rStyle w:val="FootnoteReference"/>
          <w:rFonts w:asciiTheme="minorHAnsi" w:hAnsiTheme="minorHAnsi"/>
          <w:lang w:val="en-US"/>
        </w:rPr>
        <w:footnoteRef/>
      </w:r>
      <w:r w:rsidRPr="007D47AD">
        <w:rPr>
          <w:lang w:val="en-US"/>
        </w:rPr>
        <w:t xml:space="preserve"> Ministry of Interior, </w:t>
      </w:r>
      <w:hyperlink r:id="rId68" w:history="1">
        <w:r w:rsidRPr="007D47AD">
          <w:rPr>
            <w:rStyle w:val="Hyperlink"/>
            <w:rFonts w:asciiTheme="minorHAnsi" w:hAnsiTheme="minorHAnsi"/>
            <w:lang w:val="en-US"/>
          </w:rPr>
          <w:t>Action of Unconstitutionality 29/2018</w:t>
        </w:r>
      </w:hyperlink>
      <w:r w:rsidRPr="007D47AD">
        <w:rPr>
          <w:lang w:val="en-US"/>
        </w:rPr>
        <w:t>, May 31, 2019.</w:t>
      </w:r>
    </w:p>
  </w:footnote>
  <w:footnote w:id="205">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Milenio.com, </w:t>
      </w:r>
      <w:hyperlink r:id="rId69" w:history="1">
        <w:r w:rsidRPr="007D47AD">
          <w:rPr>
            <w:rStyle w:val="Hyperlink"/>
            <w:rFonts w:asciiTheme="minorHAnsi" w:hAnsiTheme="minorHAnsi"/>
            <w:lang w:val="es-419"/>
          </w:rPr>
          <w:t>Aprueban matrimonio igualitario en Hidalgo</w:t>
        </w:r>
      </w:hyperlink>
      <w:r w:rsidRPr="007D47AD">
        <w:rPr>
          <w:lang w:val="es-419"/>
        </w:rPr>
        <w:t>, May 14, 2019.</w:t>
      </w:r>
    </w:p>
  </w:footnote>
  <w:footnote w:id="206">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La Jornada, </w:t>
      </w:r>
      <w:hyperlink r:id="rId70" w:history="1">
        <w:r w:rsidRPr="007D47AD">
          <w:rPr>
            <w:rStyle w:val="Hyperlink"/>
            <w:rFonts w:asciiTheme="minorHAnsi" w:hAnsiTheme="minorHAnsi"/>
            <w:lang w:val="es-419"/>
          </w:rPr>
          <w:t>Aprueban matrimonio igualitario en Baja California Sur</w:t>
        </w:r>
      </w:hyperlink>
      <w:r w:rsidRPr="007D47AD">
        <w:rPr>
          <w:lang w:val="es-419"/>
        </w:rPr>
        <w:t>, June 27, 2019.</w:t>
      </w:r>
    </w:p>
  </w:footnote>
  <w:footnote w:id="207">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Expansión Policita, </w:t>
      </w:r>
      <w:hyperlink r:id="rId71" w:history="1">
        <w:r w:rsidRPr="007D47AD">
          <w:rPr>
            <w:rStyle w:val="Hyperlink"/>
            <w:rFonts w:asciiTheme="minorHAnsi" w:hAnsiTheme="minorHAnsi"/>
            <w:lang w:val="es-419"/>
          </w:rPr>
          <w:t>Oaxaca dice "Sí" al matrimonio igualitario</w:t>
        </w:r>
      </w:hyperlink>
      <w:r w:rsidRPr="007D47AD">
        <w:rPr>
          <w:lang w:val="es-419"/>
        </w:rPr>
        <w:t>, August 28, 2019.</w:t>
      </w:r>
    </w:p>
  </w:footnote>
  <w:footnote w:id="208">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Infobae, </w:t>
      </w:r>
      <w:hyperlink r:id="rId72" w:history="1">
        <w:r w:rsidRPr="007D47AD">
          <w:rPr>
            <w:rStyle w:val="Hyperlink"/>
            <w:rFonts w:asciiTheme="minorHAnsi" w:hAnsiTheme="minorHAnsi"/>
            <w:lang w:val="es-419"/>
          </w:rPr>
          <w:t>Congreso de San Luis Potosí aprobó el matrimonio igualitario con 14 votos a favor</w:t>
        </w:r>
      </w:hyperlink>
      <w:r w:rsidRPr="007D47AD">
        <w:rPr>
          <w:lang w:val="es-419"/>
        </w:rPr>
        <w:t>, May16, 2019.</w:t>
      </w:r>
    </w:p>
  </w:footnote>
  <w:footnote w:id="209">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Animal Político, </w:t>
      </w:r>
      <w:hyperlink r:id="rId73" w:history="1">
        <w:r w:rsidRPr="007D47AD">
          <w:rPr>
            <w:rStyle w:val="Hyperlink"/>
            <w:rFonts w:asciiTheme="minorHAnsi" w:hAnsiTheme="minorHAnsi"/>
            <w:lang w:val="es-419"/>
          </w:rPr>
          <w:t>Parejas del mismo sexo podrán casarse en los todos los consulados de México en el mundo</w:t>
        </w:r>
      </w:hyperlink>
      <w:r w:rsidRPr="007D47AD">
        <w:rPr>
          <w:lang w:val="es-419"/>
        </w:rPr>
        <w:t>, May 16, 2019; Observations and comments by the State, January 13, 2020, para. 62.</w:t>
      </w:r>
    </w:p>
  </w:footnote>
  <w:footnote w:id="210">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Infobae, </w:t>
      </w:r>
      <w:hyperlink r:id="rId74" w:history="1">
        <w:r w:rsidRPr="007D47AD">
          <w:rPr>
            <w:rStyle w:val="Hyperlink"/>
            <w:rFonts w:asciiTheme="minorHAnsi" w:hAnsiTheme="minorHAnsi"/>
            <w:lang w:val="es-419"/>
          </w:rPr>
          <w:t>El Congreso de Sinaloa rechazó el matrimonio igualitario; no se podrá reagendar el tema en la actual Legislatura</w:t>
        </w:r>
      </w:hyperlink>
      <w:r w:rsidRPr="007D47AD">
        <w:rPr>
          <w:lang w:val="es-419"/>
        </w:rPr>
        <w:t>, June18, 2019.</w:t>
      </w:r>
    </w:p>
  </w:footnote>
  <w:footnote w:id="211">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Ruido, </w:t>
      </w:r>
      <w:hyperlink r:id="rId75" w:history="1">
        <w:r w:rsidRPr="007D47AD">
          <w:rPr>
            <w:rStyle w:val="Hyperlink"/>
            <w:rFonts w:asciiTheme="minorHAnsi" w:hAnsiTheme="minorHAnsi"/>
            <w:lang w:val="es-419"/>
          </w:rPr>
          <w:t>Una burla en el Congreso de Yucatán</w:t>
        </w:r>
      </w:hyperlink>
      <w:r w:rsidRPr="007D47AD">
        <w:rPr>
          <w:lang w:val="es-419"/>
        </w:rPr>
        <w:t>, April 10, 2019.</w:t>
      </w:r>
    </w:p>
  </w:footnote>
  <w:footnote w:id="212">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Observatorio LGBT, </w:t>
      </w:r>
      <w:hyperlink r:id="rId76" w:history="1">
        <w:r w:rsidRPr="007D47AD">
          <w:rPr>
            <w:rStyle w:val="Hyperlink"/>
            <w:rFonts w:asciiTheme="minorHAnsi" w:hAnsiTheme="minorHAnsi"/>
            <w:lang w:val="es-419"/>
          </w:rPr>
          <w:t>Educación sexual es reconocida en la Constitución; planes de estudio deberán incluirla</w:t>
        </w:r>
      </w:hyperlink>
      <w:r w:rsidRPr="007D47AD">
        <w:rPr>
          <w:lang w:val="es-419"/>
        </w:rPr>
        <w:t>, May 20, 2019.</w:t>
      </w:r>
    </w:p>
  </w:footnote>
  <w:footnote w:id="213">
    <w:p w:rsidR="00385F1D" w:rsidRPr="007D47AD" w:rsidRDefault="00385F1D" w:rsidP="00C66025">
      <w:pPr>
        <w:pStyle w:val="FootnoteText"/>
        <w:spacing w:after="120"/>
        <w:rPr>
          <w:lang w:val="en-US"/>
        </w:rPr>
      </w:pPr>
      <w:r w:rsidRPr="007D47AD">
        <w:rPr>
          <w:rStyle w:val="FootnoteReference"/>
          <w:rFonts w:asciiTheme="minorHAnsi" w:hAnsiTheme="minorHAnsi"/>
          <w:lang w:val="en-US"/>
        </w:rPr>
        <w:footnoteRef/>
      </w:r>
      <w:r w:rsidRPr="007D47AD">
        <w:rPr>
          <w:lang w:val="en-US"/>
        </w:rPr>
        <w:t xml:space="preserve"> IACHR, </w:t>
      </w:r>
      <w:hyperlink r:id="rId77" w:history="1">
        <w:r w:rsidRPr="007D47AD">
          <w:rPr>
            <w:rStyle w:val="Hyperlink"/>
            <w:rFonts w:asciiTheme="minorHAnsi" w:hAnsiTheme="minorHAnsi"/>
            <w:lang w:val="en-US"/>
          </w:rPr>
          <w:t>IACHR Regrets Ban on Gender Education in Paraguay</w:t>
        </w:r>
      </w:hyperlink>
      <w:r w:rsidRPr="007D47AD">
        <w:rPr>
          <w:lang w:val="en-US"/>
        </w:rPr>
        <w:t>, December 15, 2017.</w:t>
      </w:r>
    </w:p>
  </w:footnote>
  <w:footnote w:id="214">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Government of Jalisco, </w:t>
      </w:r>
      <w:hyperlink r:id="rId78" w:history="1">
        <w:r w:rsidRPr="007D47AD">
          <w:rPr>
            <w:rStyle w:val="Hyperlink"/>
            <w:rFonts w:asciiTheme="minorHAnsi" w:hAnsiTheme="minorHAnsi"/>
            <w:lang w:val="es-419"/>
          </w:rPr>
          <w:t>Jalisco tiene la primera Unidad de Atención Médica Sexual del país</w:t>
        </w:r>
      </w:hyperlink>
      <w:r w:rsidRPr="007D47AD">
        <w:rPr>
          <w:lang w:val="es-419"/>
        </w:rPr>
        <w:t>, July 22, 2019.</w:t>
      </w:r>
    </w:p>
  </w:footnote>
  <w:footnote w:id="215">
    <w:p w:rsidR="00385F1D" w:rsidRPr="007D47AD" w:rsidRDefault="00385F1D" w:rsidP="00C66025">
      <w:pPr>
        <w:spacing w:after="120" w:line="240" w:lineRule="auto"/>
        <w:ind w:firstLine="709"/>
        <w:jc w:val="both"/>
        <w:rPr>
          <w:rFonts w:asciiTheme="minorHAnsi" w:hAnsiTheme="minorHAnsi"/>
          <w:sz w:val="16"/>
          <w:szCs w:val="16"/>
          <w:lang w:val="es-419"/>
        </w:rPr>
      </w:pPr>
      <w:r w:rsidRPr="007D47AD">
        <w:rPr>
          <w:rStyle w:val="FootnoteReference"/>
          <w:rFonts w:asciiTheme="minorHAnsi" w:hAnsiTheme="minorHAnsi"/>
          <w:sz w:val="16"/>
          <w:szCs w:val="16"/>
          <w:lang w:val="en-US"/>
        </w:rPr>
        <w:footnoteRef/>
      </w:r>
      <w:r w:rsidRPr="007D47AD">
        <w:rPr>
          <w:rFonts w:asciiTheme="minorHAnsi" w:hAnsiTheme="minorHAnsi"/>
          <w:sz w:val="16"/>
          <w:szCs w:val="16"/>
          <w:lang w:val="es-419"/>
        </w:rPr>
        <w:t xml:space="preserve"> Reporte Índigo, </w:t>
      </w:r>
      <w:hyperlink r:id="rId79" w:history="1">
        <w:r w:rsidRPr="007D47AD">
          <w:rPr>
            <w:rStyle w:val="Hyperlink"/>
            <w:rFonts w:asciiTheme="minorHAnsi" w:hAnsiTheme="minorHAnsi"/>
            <w:sz w:val="16"/>
            <w:szCs w:val="16"/>
            <w:lang w:val="es-419"/>
          </w:rPr>
          <w:t>Abren en Jalisco unidad médica especializada para personas transgénero</w:t>
        </w:r>
      </w:hyperlink>
      <w:r w:rsidRPr="007D47AD">
        <w:rPr>
          <w:rFonts w:asciiTheme="minorHAnsi" w:hAnsiTheme="minorHAnsi"/>
          <w:sz w:val="16"/>
          <w:szCs w:val="16"/>
          <w:lang w:val="es-419"/>
        </w:rPr>
        <w:t>, July 23, 2019.</w:t>
      </w:r>
    </w:p>
  </w:footnote>
  <w:footnote w:id="216">
    <w:p w:rsidR="00385F1D" w:rsidRPr="007D47AD" w:rsidRDefault="00385F1D" w:rsidP="00C66025">
      <w:pPr>
        <w:spacing w:after="120" w:line="240" w:lineRule="auto"/>
        <w:ind w:firstLine="709"/>
        <w:jc w:val="both"/>
        <w:rPr>
          <w:rFonts w:asciiTheme="minorHAnsi" w:hAnsiTheme="minorHAnsi"/>
          <w:sz w:val="16"/>
          <w:szCs w:val="16"/>
          <w:lang w:val="es-419"/>
        </w:rPr>
      </w:pPr>
      <w:r w:rsidRPr="007D47AD">
        <w:rPr>
          <w:rStyle w:val="FootnoteReference"/>
          <w:rFonts w:asciiTheme="minorHAnsi" w:hAnsiTheme="minorHAnsi"/>
          <w:sz w:val="16"/>
          <w:szCs w:val="16"/>
          <w:lang w:val="en-US"/>
        </w:rPr>
        <w:footnoteRef/>
      </w:r>
      <w:r w:rsidRPr="007D47AD">
        <w:rPr>
          <w:rFonts w:asciiTheme="minorHAnsi" w:hAnsiTheme="minorHAnsi"/>
          <w:sz w:val="16"/>
          <w:szCs w:val="16"/>
          <w:lang w:val="es-419"/>
        </w:rPr>
        <w:t xml:space="preserve"> </w:t>
      </w:r>
      <w:r w:rsidRPr="007D47AD">
        <w:rPr>
          <w:rStyle w:val="FootnoteReference"/>
          <w:rFonts w:asciiTheme="minorHAnsi" w:hAnsiTheme="minorHAnsi"/>
          <w:sz w:val="16"/>
          <w:szCs w:val="16"/>
          <w:vertAlign w:val="baseline"/>
          <w:lang w:val="es-419"/>
        </w:rPr>
        <w:t>Congres</w:t>
      </w:r>
      <w:r w:rsidRPr="007D47AD">
        <w:rPr>
          <w:rFonts w:asciiTheme="minorHAnsi" w:hAnsiTheme="minorHAnsi"/>
          <w:sz w:val="16"/>
          <w:szCs w:val="16"/>
          <w:lang w:val="es-419"/>
        </w:rPr>
        <w:t xml:space="preserve">s of the State of </w:t>
      </w:r>
      <w:r w:rsidRPr="007D47AD">
        <w:rPr>
          <w:rStyle w:val="FootnoteReference"/>
          <w:rFonts w:asciiTheme="minorHAnsi" w:hAnsiTheme="minorHAnsi"/>
          <w:sz w:val="16"/>
          <w:szCs w:val="16"/>
          <w:vertAlign w:val="baseline"/>
          <w:lang w:val="es-419"/>
        </w:rPr>
        <w:t>Morelos,</w:t>
      </w:r>
      <w:r w:rsidRPr="007D47AD">
        <w:rPr>
          <w:rStyle w:val="FootnoteReference"/>
          <w:rFonts w:asciiTheme="minorHAnsi" w:hAnsiTheme="minorHAnsi"/>
          <w:sz w:val="16"/>
          <w:szCs w:val="16"/>
          <w:lang w:val="es-419"/>
        </w:rPr>
        <w:t xml:space="preserve"> </w:t>
      </w:r>
      <w:r w:rsidRPr="007D47AD">
        <w:rPr>
          <w:rFonts w:asciiTheme="minorHAnsi" w:hAnsiTheme="minorHAnsi"/>
          <w:sz w:val="16"/>
          <w:szCs w:val="16"/>
          <w:lang w:val="es-419"/>
        </w:rPr>
        <w:t xml:space="preserve"> </w:t>
      </w:r>
      <w:hyperlink r:id="rId80" w:history="1">
        <w:r w:rsidRPr="007D47AD">
          <w:rPr>
            <w:rStyle w:val="Hyperlink"/>
            <w:rFonts w:asciiTheme="minorHAnsi" w:hAnsiTheme="minorHAnsi"/>
            <w:sz w:val="16"/>
            <w:szCs w:val="16"/>
            <w:lang w:val="es-419"/>
          </w:rPr>
          <w:t>Avalan que médicos y enfermeras puedan ejercer su derecho de objeción de conciencia</w:t>
        </w:r>
      </w:hyperlink>
      <w:r w:rsidRPr="007D47AD">
        <w:rPr>
          <w:rFonts w:asciiTheme="minorHAnsi" w:hAnsiTheme="minorHAnsi"/>
          <w:sz w:val="16"/>
          <w:szCs w:val="16"/>
          <w:lang w:val="es-419"/>
        </w:rPr>
        <w:t>, July 15, 2019.</w:t>
      </w:r>
    </w:p>
  </w:footnote>
  <w:footnote w:id="217">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Sin Embargo, </w:t>
      </w:r>
      <w:hyperlink r:id="rId81" w:history="1">
        <w:r w:rsidRPr="007D47AD">
          <w:rPr>
            <w:rStyle w:val="Hyperlink"/>
            <w:rFonts w:asciiTheme="minorHAnsi" w:hAnsiTheme="minorHAnsi"/>
            <w:lang w:val="es-419"/>
          </w:rPr>
          <w:t>NL aprueba que el personal de salud no atienda a personas LGBT+ por “objeción de conciencia,</w:t>
        </w:r>
        <w:r w:rsidRPr="007D47AD">
          <w:rPr>
            <w:rStyle w:val="Hyperlink"/>
            <w:rFonts w:asciiTheme="minorHAnsi" w:hAnsiTheme="minorHAnsi"/>
            <w:u w:val="none"/>
            <w:lang w:val="es-419"/>
          </w:rPr>
          <w:t>”</w:t>
        </w:r>
      </w:hyperlink>
      <w:r w:rsidRPr="007D47AD">
        <w:rPr>
          <w:lang w:val="es-419"/>
        </w:rPr>
        <w:t xml:space="preserve"> October 21, 2019.</w:t>
      </w:r>
    </w:p>
  </w:footnote>
  <w:footnote w:id="218">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Agencia EFE, </w:t>
      </w:r>
      <w:hyperlink r:id="rId82" w:history="1">
        <w:r w:rsidRPr="007D47AD">
          <w:rPr>
            <w:rStyle w:val="Hyperlink"/>
            <w:rFonts w:asciiTheme="minorHAnsi" w:hAnsiTheme="minorHAnsi"/>
            <w:lang w:val="es-419"/>
          </w:rPr>
          <w:t>Centros de conversión sexual en México, ineficaces y altamente peligrosos</w:t>
        </w:r>
      </w:hyperlink>
      <w:r w:rsidRPr="007D47AD">
        <w:rPr>
          <w:lang w:val="es-419"/>
        </w:rPr>
        <w:t>, June 28, 2019.</w:t>
      </w:r>
    </w:p>
  </w:footnote>
  <w:footnote w:id="219">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n-US"/>
        </w:rPr>
        <w:t xml:space="preserve"> IACHR, </w:t>
      </w:r>
      <w:hyperlink r:id="rId83" w:history="1">
        <w:r w:rsidRPr="007D47AD">
          <w:rPr>
            <w:rStyle w:val="Hyperlink"/>
            <w:rFonts w:asciiTheme="minorHAnsi" w:hAnsiTheme="minorHAnsi"/>
            <w:lang w:val="en-US"/>
          </w:rPr>
          <w:t>Violence against LGBTI</w:t>
        </w:r>
      </w:hyperlink>
      <w:r w:rsidRPr="007D47AD">
        <w:rPr>
          <w:rStyle w:val="Hyperlink"/>
          <w:rFonts w:asciiTheme="minorHAnsi" w:hAnsiTheme="minorHAnsi"/>
          <w:lang w:val="en-US"/>
        </w:rPr>
        <w:t xml:space="preserve"> persons</w:t>
      </w:r>
      <w:r w:rsidRPr="007D47AD">
        <w:rPr>
          <w:lang w:val="en-US"/>
        </w:rPr>
        <w:t xml:space="preserve">, para. </w:t>
      </w:r>
      <w:r w:rsidRPr="007D47AD">
        <w:rPr>
          <w:lang w:val="es-419"/>
        </w:rPr>
        <w:t xml:space="preserve">200. </w:t>
      </w:r>
    </w:p>
  </w:footnote>
  <w:footnote w:id="220">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El Heraldo, </w:t>
      </w:r>
      <w:hyperlink r:id="rId84" w:history="1">
        <w:r w:rsidRPr="007D47AD">
          <w:rPr>
            <w:rStyle w:val="Hyperlink"/>
            <w:rFonts w:asciiTheme="minorHAnsi" w:hAnsiTheme="minorHAnsi"/>
            <w:lang w:val="es-419"/>
          </w:rPr>
          <w:t>Congreso de Colima aprueba cambio de identidad de género en documentos oficiales</w:t>
        </w:r>
      </w:hyperlink>
      <w:r w:rsidRPr="007D47AD">
        <w:rPr>
          <w:lang w:val="es-419"/>
        </w:rPr>
        <w:t>, February 13, 2019.</w:t>
      </w:r>
    </w:p>
  </w:footnote>
  <w:footnote w:id="221">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Excélsior, </w:t>
      </w:r>
      <w:hyperlink r:id="rId85" w:history="1">
        <w:r w:rsidRPr="007D47AD">
          <w:rPr>
            <w:rStyle w:val="Hyperlink"/>
            <w:rFonts w:asciiTheme="minorHAnsi" w:hAnsiTheme="minorHAnsi"/>
            <w:lang w:val="es-419"/>
          </w:rPr>
          <w:t>En Hidalgo se podrá elegir identidad de género a los 18 años</w:t>
        </w:r>
      </w:hyperlink>
      <w:r w:rsidRPr="007D47AD">
        <w:rPr>
          <w:lang w:val="es-419"/>
        </w:rPr>
        <w:t>, April 25, 2019.</w:t>
      </w:r>
    </w:p>
  </w:footnote>
  <w:footnote w:id="222">
    <w:p w:rsidR="00385F1D" w:rsidRPr="007D47AD" w:rsidRDefault="00385F1D" w:rsidP="00C66025">
      <w:pPr>
        <w:pStyle w:val="FootnoteText"/>
        <w:spacing w:after="120"/>
        <w:rPr>
          <w:lang w:val="en-US"/>
        </w:rPr>
      </w:pPr>
      <w:r w:rsidRPr="007D47AD">
        <w:rPr>
          <w:rStyle w:val="FootnoteReference"/>
          <w:rFonts w:asciiTheme="minorHAnsi" w:hAnsiTheme="minorHAnsi"/>
          <w:lang w:val="en-US"/>
        </w:rPr>
        <w:footnoteRef/>
      </w:r>
      <w:r w:rsidRPr="007D47AD">
        <w:rPr>
          <w:lang w:val="en-US"/>
        </w:rPr>
        <w:t xml:space="preserve"> IACHR, </w:t>
      </w:r>
      <w:hyperlink r:id="rId86" w:history="1">
        <w:r w:rsidRPr="007D47AD">
          <w:rPr>
            <w:rStyle w:val="Hyperlink"/>
            <w:rFonts w:asciiTheme="minorHAnsi" w:hAnsiTheme="minorHAnsi"/>
            <w:lang w:val="en-US"/>
          </w:rPr>
          <w:t>IACHR Welcomes Progress towards the Recognition of Gender Identity in the Region</w:t>
        </w:r>
      </w:hyperlink>
      <w:r w:rsidRPr="007D47AD">
        <w:rPr>
          <w:lang w:val="en-US"/>
        </w:rPr>
        <w:t xml:space="preserve">, December 21, 2018. </w:t>
      </w:r>
    </w:p>
  </w:footnote>
  <w:footnote w:id="223">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Sexto Informe del Estado mexicano sobre el cumplimiento y seguimiento de las recomendaciones contenidas en el informe “Situación de los Derechos Humanos en México,” p. 55. </w:t>
      </w:r>
    </w:p>
  </w:footnote>
  <w:footnote w:id="224">
    <w:p w:rsidR="00385F1D" w:rsidRPr="007D47AD" w:rsidRDefault="00385F1D" w:rsidP="00C66025">
      <w:pPr>
        <w:pStyle w:val="FootnoteText"/>
        <w:spacing w:after="120"/>
        <w:rPr>
          <w:lang w:val="en-US"/>
        </w:rPr>
      </w:pPr>
      <w:r w:rsidRPr="007D47AD">
        <w:rPr>
          <w:rStyle w:val="FootnoteReference"/>
          <w:lang w:val="en-US"/>
        </w:rPr>
        <w:footnoteRef/>
      </w:r>
      <w:r w:rsidRPr="007D47AD">
        <w:rPr>
          <w:lang w:val="es-419"/>
        </w:rPr>
        <w:t xml:space="preserve"> Séptimo Informe del Estado mexicano sobre el cumplimiento y seguimiento de las recomendaciones contenidas en el informe “Situación de los Derechos Humanos en México,” October 2019, p. 57 and Observations and comments by the State, January 13, 2020, paras. </w:t>
      </w:r>
      <w:r w:rsidRPr="007D47AD">
        <w:rPr>
          <w:lang w:val="en-US"/>
        </w:rPr>
        <w:t xml:space="preserve">63-65. </w:t>
      </w:r>
      <w:r w:rsidRPr="007D47AD">
        <w:rPr>
          <w:rFonts w:asciiTheme="minorHAnsi" w:hAnsiTheme="minorHAnsi"/>
          <w:lang w:val="en-US"/>
        </w:rPr>
        <w:t xml:space="preserve"> The trainings include: trainings for physicians and nursing personnel; implementing the online course “Human Rights and Gender”; trainings for personnel of the “Isidro Espinosa de los Reyes” National Institute of Perinatology (INPer) and the National Institute of Cardiology (INCar); in the area of the Office of the Attorney General a training was held on "The Importance of Expert Evidence in Social Anthropology for Respecting the Human Rights of Indigenous and Afro-Mexican Peoples with a Gender Perspective”; courses called: “Awareness-raising and training to prevent and respond to sexual harassment in the workplace,” geared to substantive personnel of the Federal Prosecutorial Police and the National Center for Planning, Analysis, and Information for Fighting Crime (CENAPI); as well as planning a specialized training in a Seminar on Expert Services with a Gender Perspective; and training activities by the Institute of the Federal Judiciary. </w:t>
      </w:r>
    </w:p>
  </w:footnote>
  <w:footnote w:id="225">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Sexto Informe del Estado mexicano sobre el cumplimiento y seguimiento de las recomendaciones contenidas en el informe “Situación de los Derechos Humanos en México,”October 2019, p. 56. </w:t>
      </w:r>
    </w:p>
  </w:footnote>
  <w:footnote w:id="226">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Sexto Informe del Estado mexicano sobre el cumplimiento y seguimiento de las recomendaciones contenidas en el informe “Situación de los Derechos Humanos en México,” October 2019, p. 59. </w:t>
      </w:r>
    </w:p>
  </w:footnote>
  <w:footnote w:id="227">
    <w:p w:rsidR="00385F1D" w:rsidRPr="007D47AD" w:rsidRDefault="00385F1D" w:rsidP="00C66025">
      <w:pPr>
        <w:pStyle w:val="FootnoteText"/>
        <w:spacing w:after="120"/>
        <w:rPr>
          <w:lang w:val="es-419"/>
        </w:rPr>
      </w:pPr>
      <w:r w:rsidRPr="007D47AD">
        <w:rPr>
          <w:rStyle w:val="FootnoteReference"/>
          <w:rFonts w:asciiTheme="minorHAnsi" w:hAnsiTheme="minorHAnsi"/>
          <w:color w:val="000000"/>
          <w:lang w:val="en-US"/>
        </w:rPr>
        <w:footnoteRef/>
      </w:r>
      <w:r w:rsidRPr="007D47AD">
        <w:rPr>
          <w:lang w:val="es-419"/>
        </w:rPr>
        <w:t xml:space="preserve"> CNDH. Actualización correspondiente al año 2019 de la revisión del cumplimiento de recomendaciones contenidas en el “Informe sobre situación de los Derechos Humanos en México,” October 2019, para. 21.</w:t>
      </w:r>
    </w:p>
  </w:footnote>
  <w:footnote w:id="228">
    <w:p w:rsidR="00385F1D" w:rsidRPr="007D47AD" w:rsidRDefault="00385F1D" w:rsidP="00C66025">
      <w:pPr>
        <w:pStyle w:val="FootnoteText"/>
        <w:spacing w:after="120"/>
        <w:rPr>
          <w:lang w:val="es-419"/>
        </w:rPr>
      </w:pPr>
      <w:r w:rsidRPr="007D47AD">
        <w:rPr>
          <w:rStyle w:val="FootnoteReference"/>
          <w:rFonts w:asciiTheme="minorHAnsi" w:hAnsiTheme="minorHAnsi"/>
          <w:color w:val="000000"/>
          <w:lang w:val="en-US"/>
        </w:rPr>
        <w:footnoteRef/>
      </w:r>
      <w:r w:rsidRPr="007D47AD">
        <w:rPr>
          <w:lang w:val="es-419"/>
        </w:rPr>
        <w:t xml:space="preserve"> CNDH. Actualización correspondiente al año 2019 de la revisión del cumplimiento de recomendaciones contenidas en el “Informe sobre situación de los Derechos Humanos en México”, October 2019, para. 21.</w:t>
      </w:r>
    </w:p>
  </w:footnote>
  <w:footnote w:id="229">
    <w:p w:rsidR="00385F1D" w:rsidRPr="007D47AD" w:rsidRDefault="00385F1D" w:rsidP="00C66025">
      <w:pPr>
        <w:pStyle w:val="FootnoteText"/>
        <w:spacing w:after="120"/>
        <w:rPr>
          <w:lang w:val="es-US"/>
        </w:rPr>
      </w:pPr>
      <w:r w:rsidRPr="007D47AD">
        <w:rPr>
          <w:rStyle w:val="FootnoteReference"/>
          <w:rFonts w:asciiTheme="minorHAnsi" w:hAnsiTheme="minorHAnsi"/>
          <w:color w:val="000000"/>
          <w:lang w:val="en-US"/>
        </w:rPr>
        <w:footnoteRef/>
      </w:r>
      <w:r w:rsidRPr="007D47AD">
        <w:rPr>
          <w:lang w:val="es-419"/>
        </w:rPr>
        <w:t xml:space="preserve"> CONAVIM. </w:t>
      </w:r>
      <w:hyperlink r:id="rId87" w:history="1">
        <w:r w:rsidRPr="007D47AD">
          <w:rPr>
            <w:rStyle w:val="Hyperlink"/>
            <w:rFonts w:asciiTheme="minorHAnsi" w:hAnsiTheme="minorHAnsi"/>
            <w:color w:val="000000"/>
            <w:lang w:val="es-419"/>
          </w:rPr>
          <w:t>Foro “Centros de Justicia para las Mujeres, agenda 2019; coordinación contra la violencia de género.”</w:t>
        </w:r>
      </w:hyperlink>
      <w:r w:rsidRPr="007D47AD">
        <w:rPr>
          <w:lang w:val="es-419"/>
        </w:rPr>
        <w:t xml:space="preserve"> </w:t>
      </w:r>
      <w:r w:rsidRPr="007D47AD">
        <w:rPr>
          <w:lang w:val="es-US"/>
        </w:rPr>
        <w:t>September 1, 2019.</w:t>
      </w:r>
    </w:p>
  </w:footnote>
  <w:footnote w:id="230">
    <w:p w:rsidR="00385F1D" w:rsidRPr="007D47AD" w:rsidRDefault="00385F1D" w:rsidP="00C66025">
      <w:pPr>
        <w:pStyle w:val="FootnoteText"/>
        <w:spacing w:after="120"/>
        <w:rPr>
          <w:lang w:val="es-419"/>
        </w:rPr>
      </w:pPr>
      <w:r w:rsidRPr="007D47AD">
        <w:rPr>
          <w:rStyle w:val="FootnoteReference"/>
          <w:rFonts w:asciiTheme="minorHAnsi" w:hAnsiTheme="minorHAnsi"/>
          <w:color w:val="000000"/>
          <w:lang w:val="en-US"/>
        </w:rPr>
        <w:footnoteRef/>
      </w:r>
      <w:r w:rsidRPr="007D47AD">
        <w:rPr>
          <w:lang w:val="es-419"/>
        </w:rPr>
        <w:t xml:space="preserve"> El Universal. </w:t>
      </w:r>
      <w:hyperlink r:id="rId88" w:history="1">
        <w:r w:rsidRPr="007D47AD">
          <w:rPr>
            <w:lang w:val="es-419"/>
          </w:rPr>
          <w:t>Suman más de 37 mil casos de violencia contra las mujeres</w:t>
        </w:r>
      </w:hyperlink>
      <w:r w:rsidRPr="007D47AD">
        <w:rPr>
          <w:lang w:val="es-419"/>
        </w:rPr>
        <w:t xml:space="preserve">. September 1, 2019. </w:t>
      </w:r>
    </w:p>
  </w:footnote>
  <w:footnote w:id="231">
    <w:p w:rsidR="00385F1D" w:rsidRPr="007D47AD" w:rsidRDefault="00385F1D" w:rsidP="00C66025">
      <w:pPr>
        <w:pStyle w:val="FootnoteText"/>
        <w:spacing w:after="120"/>
        <w:rPr>
          <w:lang w:val="es-419"/>
        </w:rPr>
      </w:pPr>
      <w:r w:rsidRPr="007D47AD">
        <w:rPr>
          <w:rStyle w:val="FootnoteReference"/>
          <w:rFonts w:asciiTheme="minorHAnsi" w:hAnsiTheme="minorHAnsi"/>
          <w:color w:val="000000"/>
          <w:lang w:val="en-US"/>
        </w:rPr>
        <w:footnoteRef/>
      </w:r>
      <w:r w:rsidRPr="007D47AD">
        <w:rPr>
          <w:lang w:val="es-419"/>
        </w:rPr>
        <w:t>CNDH. Actualización correspondiente al año 2019 de la revisión del cumplimiento de recomendaciones contenidas en el “Informe sobre situación de los Derechos Humanos en México,” October 2019, para. 32.</w:t>
      </w:r>
    </w:p>
  </w:footnote>
  <w:footnote w:id="232">
    <w:p w:rsidR="00385F1D" w:rsidRPr="007D47AD" w:rsidRDefault="00385F1D" w:rsidP="00C66025">
      <w:pPr>
        <w:pStyle w:val="FootnoteText"/>
        <w:spacing w:after="120"/>
        <w:rPr>
          <w:lang w:val="es-419"/>
        </w:rPr>
      </w:pPr>
      <w:r w:rsidRPr="007D47AD">
        <w:rPr>
          <w:rStyle w:val="FootnoteReference"/>
          <w:rFonts w:asciiTheme="minorHAnsi" w:hAnsiTheme="minorHAnsi"/>
          <w:color w:val="000000"/>
          <w:lang w:val="en-US"/>
        </w:rPr>
        <w:footnoteRef/>
      </w:r>
      <w:r w:rsidRPr="007D47AD">
        <w:rPr>
          <w:lang w:val="es-419"/>
        </w:rPr>
        <w:t xml:space="preserve"> Expansión, </w:t>
      </w:r>
      <w:hyperlink r:id="rId89" w:history="1">
        <w:r w:rsidRPr="007D47AD">
          <w:rPr>
            <w:rStyle w:val="Hyperlink"/>
            <w:rFonts w:asciiTheme="minorHAnsi" w:hAnsiTheme="minorHAnsi"/>
            <w:color w:val="000000"/>
            <w:lang w:val="es-419"/>
          </w:rPr>
          <w:t>Cámara de Diputados aprueba la tipificación del delito de feminicidio</w:t>
        </w:r>
      </w:hyperlink>
      <w:r w:rsidRPr="007D47AD">
        <w:rPr>
          <w:lang w:val="es-419"/>
        </w:rPr>
        <w:t>, December 13, 2017.</w:t>
      </w:r>
    </w:p>
  </w:footnote>
  <w:footnote w:id="233">
    <w:p w:rsidR="00385F1D" w:rsidRPr="007D47AD" w:rsidRDefault="00385F1D" w:rsidP="00C66025">
      <w:pPr>
        <w:shd w:val="clear" w:color="auto" w:fill="FFFFFF"/>
        <w:spacing w:after="120" w:line="240" w:lineRule="auto"/>
        <w:ind w:firstLine="720"/>
        <w:jc w:val="both"/>
        <w:rPr>
          <w:rFonts w:asciiTheme="minorHAnsi" w:hAnsiTheme="minorHAnsi"/>
          <w:color w:val="000000"/>
          <w:sz w:val="16"/>
          <w:szCs w:val="16"/>
          <w:lang w:val="es-419"/>
        </w:rPr>
      </w:pPr>
      <w:r w:rsidRPr="007D47AD">
        <w:rPr>
          <w:rStyle w:val="FootnoteReference"/>
          <w:rFonts w:asciiTheme="minorHAnsi" w:hAnsiTheme="minorHAnsi"/>
          <w:color w:val="000000"/>
          <w:sz w:val="16"/>
          <w:szCs w:val="16"/>
          <w:lang w:val="en-US"/>
        </w:rPr>
        <w:footnoteRef/>
      </w:r>
      <w:r w:rsidRPr="007D47AD">
        <w:rPr>
          <w:rFonts w:asciiTheme="minorHAnsi" w:hAnsiTheme="minorHAnsi"/>
          <w:color w:val="000000"/>
          <w:sz w:val="16"/>
          <w:szCs w:val="16"/>
          <w:lang w:val="en-US"/>
        </w:rPr>
        <w:t xml:space="preserve"> The states that have a criminal statute that fully or partially has the characteristics for being able to show the crime (depriving a woman of life for reasons of gender) are: Campeche, Chiapas, Mexico City, Coahuila, Colima, Guerrero, Hidalgo, Jalisco, state of México, Morelos, Nuevo León, Oaxaca, Querétaro, San Luis Potosí, Sinaloa, Sonora, Tamaulipas, Veracruz, and Zacatecas. The 13 states that do not have an adequate criminal statute are Aguascalientes, Baja California, Baja California Sur, Chihuahua, Durango, Guanajuato, Michoacán, Nayarit, Puebla, Quintana Roo, Tabasco, Tlaxcala, and Yucatán. All of them – with the exception of Chihuahua, which included specific conduct until 2017, without yet recognizing the term “feminicide’ in its Criminal Code – have made one or two reforms without this meaning an improvement in the codification of feminicide. </w:t>
      </w:r>
      <w:r w:rsidRPr="007D47AD">
        <w:rPr>
          <w:rFonts w:asciiTheme="minorHAnsi" w:hAnsiTheme="minorHAnsi"/>
          <w:color w:val="000000"/>
          <w:sz w:val="16"/>
          <w:szCs w:val="16"/>
          <w:lang w:val="es-419"/>
        </w:rPr>
        <w:t xml:space="preserve">(El País, </w:t>
      </w:r>
      <w:hyperlink r:id="rId90" w:history="1">
        <w:r w:rsidRPr="007D47AD">
          <w:rPr>
            <w:rStyle w:val="Hyperlink"/>
            <w:rFonts w:asciiTheme="minorHAnsi" w:hAnsiTheme="minorHAnsi"/>
            <w:color w:val="000000"/>
            <w:sz w:val="16"/>
            <w:szCs w:val="16"/>
            <w:lang w:val="es-419"/>
          </w:rPr>
          <w:t>La ONU pide a México tipificar el feminicidio en todo el país</w:t>
        </w:r>
      </w:hyperlink>
      <w:r w:rsidRPr="007D47AD">
        <w:rPr>
          <w:rFonts w:asciiTheme="minorHAnsi" w:hAnsiTheme="minorHAnsi"/>
          <w:color w:val="000000"/>
          <w:sz w:val="16"/>
          <w:szCs w:val="16"/>
          <w:lang w:val="es-419"/>
        </w:rPr>
        <w:t>, June 13, 2018).</w:t>
      </w:r>
    </w:p>
  </w:footnote>
  <w:footnote w:id="234">
    <w:p w:rsidR="00385F1D" w:rsidRPr="007D47AD" w:rsidRDefault="00385F1D" w:rsidP="00C66025">
      <w:pPr>
        <w:spacing w:after="120" w:line="240" w:lineRule="auto"/>
        <w:ind w:firstLine="720"/>
        <w:jc w:val="both"/>
        <w:rPr>
          <w:rFonts w:asciiTheme="minorHAnsi" w:hAnsiTheme="minorHAnsi" w:cs="Arial"/>
          <w:color w:val="000000"/>
          <w:sz w:val="16"/>
          <w:szCs w:val="16"/>
          <w:lang w:val="es-419"/>
        </w:rPr>
      </w:pPr>
      <w:r w:rsidRPr="007D47AD">
        <w:rPr>
          <w:rStyle w:val="FootnoteReference"/>
          <w:rFonts w:asciiTheme="minorHAnsi" w:hAnsiTheme="minorHAnsi"/>
          <w:color w:val="000000"/>
          <w:sz w:val="16"/>
          <w:szCs w:val="16"/>
          <w:lang w:val="en-US"/>
        </w:rPr>
        <w:footnoteRef/>
      </w:r>
      <w:r w:rsidRPr="007D47AD">
        <w:rPr>
          <w:rFonts w:asciiTheme="minorHAnsi" w:hAnsiTheme="minorHAnsi"/>
          <w:color w:val="000000"/>
          <w:sz w:val="16"/>
          <w:szCs w:val="16"/>
          <w:lang w:val="es-419"/>
        </w:rPr>
        <w:t xml:space="preserve"> </w:t>
      </w:r>
      <w:r w:rsidRPr="007D47AD">
        <w:rPr>
          <w:rFonts w:asciiTheme="minorHAnsi" w:hAnsiTheme="minorHAnsi" w:cs="Arial"/>
          <w:color w:val="000000"/>
          <w:sz w:val="16"/>
          <w:szCs w:val="16"/>
          <w:lang w:val="es-419"/>
        </w:rPr>
        <w:t xml:space="preserve">CNDH, Aportación en el marco de la revisión del cumplimiento de recomendaciones contenidas en el informe de la CIDH de 2015, November 30, 2018. </w:t>
      </w:r>
    </w:p>
  </w:footnote>
  <w:footnote w:id="235">
    <w:p w:rsidR="00385F1D" w:rsidRPr="007D47AD" w:rsidRDefault="00385F1D" w:rsidP="00C66025">
      <w:pPr>
        <w:pStyle w:val="FootnoteText"/>
        <w:spacing w:after="120"/>
        <w:rPr>
          <w:lang w:val="es-419"/>
        </w:rPr>
      </w:pPr>
      <w:r w:rsidRPr="007D47AD">
        <w:rPr>
          <w:rStyle w:val="FootnoteReference"/>
          <w:rFonts w:asciiTheme="minorHAnsi" w:hAnsiTheme="minorHAnsi"/>
          <w:color w:val="000000"/>
          <w:lang w:val="en-US"/>
        </w:rPr>
        <w:footnoteRef/>
      </w:r>
      <w:r w:rsidRPr="007D47AD">
        <w:rPr>
          <w:lang w:val="es-419"/>
        </w:rPr>
        <w:t xml:space="preserve"> CNDH. Actualización correspondiente al año 2019 de la revisión del cumplimiento de recomendaciones contenidas en el “Informe sobre situación de los Derechos Humanos en México,” October 2019, para. 49.</w:t>
      </w:r>
    </w:p>
  </w:footnote>
  <w:footnote w:id="236">
    <w:p w:rsidR="00385F1D" w:rsidRPr="007D47AD" w:rsidRDefault="00385F1D" w:rsidP="00C66025">
      <w:pPr>
        <w:pStyle w:val="FootnoteText"/>
        <w:spacing w:after="120"/>
        <w:rPr>
          <w:lang w:val="es-419"/>
        </w:rPr>
      </w:pPr>
      <w:r w:rsidRPr="007D47AD">
        <w:rPr>
          <w:rStyle w:val="FootnoteReference"/>
          <w:rFonts w:asciiTheme="minorHAnsi" w:hAnsiTheme="minorHAnsi"/>
          <w:color w:val="000000"/>
          <w:lang w:val="en-US"/>
        </w:rPr>
        <w:footnoteRef/>
      </w:r>
      <w:r w:rsidRPr="007D47AD">
        <w:rPr>
          <w:lang w:val="es-419"/>
        </w:rPr>
        <w:t xml:space="preserve"> Milenio, </w:t>
      </w:r>
      <w:hyperlink r:id="rId91" w:history="1">
        <w:r w:rsidRPr="007D47AD">
          <w:rPr>
            <w:rStyle w:val="Hyperlink"/>
            <w:rFonts w:asciiTheme="minorHAnsi" w:hAnsiTheme="minorHAnsi"/>
            <w:color w:val="000000"/>
            <w:lang w:val="es-419"/>
          </w:rPr>
          <w:t>En 2019, aumentaron 20% denuncias por delitos sexuales</w:t>
        </w:r>
      </w:hyperlink>
      <w:r w:rsidRPr="007D47AD">
        <w:rPr>
          <w:lang w:val="es-419"/>
        </w:rPr>
        <w:t>, August 15, 2019.</w:t>
      </w:r>
    </w:p>
  </w:footnote>
  <w:footnote w:id="237">
    <w:p w:rsidR="00385F1D" w:rsidRPr="007D47AD" w:rsidRDefault="00385F1D" w:rsidP="00C66025">
      <w:pPr>
        <w:pStyle w:val="FootnoteText"/>
        <w:spacing w:after="120"/>
        <w:rPr>
          <w:lang w:val="es-419"/>
        </w:rPr>
      </w:pPr>
      <w:r w:rsidRPr="007D47AD">
        <w:rPr>
          <w:rStyle w:val="FootnoteReference"/>
          <w:lang w:val="en-US"/>
        </w:rPr>
        <w:footnoteRef/>
      </w:r>
      <w:r w:rsidRPr="007D47AD">
        <w:rPr>
          <w:lang w:val="es-419"/>
        </w:rPr>
        <w:t xml:space="preserve"> Observations and comments by the State, January 13, 2020, para. 69.</w:t>
      </w:r>
    </w:p>
  </w:footnote>
  <w:footnote w:id="238">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El Economista, </w:t>
      </w:r>
      <w:hyperlink r:id="rId92" w:history="1">
        <w:r w:rsidRPr="007D47AD">
          <w:rPr>
            <w:rStyle w:val="Hyperlink"/>
            <w:rFonts w:asciiTheme="minorHAnsi" w:hAnsiTheme="minorHAnsi"/>
            <w:lang w:val="es-419"/>
          </w:rPr>
          <w:t>El presupuesto del 2019, retroceso en igualdad de género</w:t>
        </w:r>
      </w:hyperlink>
      <w:r w:rsidRPr="007D47AD">
        <w:rPr>
          <w:lang w:val="es-419"/>
        </w:rPr>
        <w:t xml:space="preserve">, December 19, 2018; El País, </w:t>
      </w:r>
      <w:hyperlink r:id="rId93" w:history="1">
        <w:r w:rsidRPr="007D47AD">
          <w:rPr>
            <w:rStyle w:val="Hyperlink"/>
            <w:rFonts w:asciiTheme="minorHAnsi" w:hAnsiTheme="minorHAnsi"/>
            <w:lang w:val="es-419"/>
          </w:rPr>
          <w:t>López Obrador limita las ayudas a menores y mujeres víctimas de maltrato</w:t>
        </w:r>
      </w:hyperlink>
      <w:r w:rsidRPr="007D47AD">
        <w:rPr>
          <w:lang w:val="es-419"/>
        </w:rPr>
        <w:t>, March 4, 2019.</w:t>
      </w:r>
    </w:p>
  </w:footnote>
  <w:footnote w:id="239">
    <w:p w:rsidR="00385F1D" w:rsidRPr="007D47AD" w:rsidRDefault="00385F1D" w:rsidP="00C66025">
      <w:pPr>
        <w:pStyle w:val="FootnoteText"/>
        <w:spacing w:after="120"/>
        <w:rPr>
          <w:lang w:val="es-419"/>
        </w:rPr>
      </w:pPr>
      <w:r w:rsidRPr="007D47AD">
        <w:rPr>
          <w:rStyle w:val="FootnoteReference"/>
          <w:lang w:val="en-US"/>
        </w:rPr>
        <w:footnoteRef/>
      </w:r>
      <w:r w:rsidRPr="007D47AD">
        <w:rPr>
          <w:lang w:val="en-US"/>
        </w:rPr>
        <w:t xml:space="preserve"> Observations and comments by the State, January 13, 2020, para. </w:t>
      </w:r>
      <w:r w:rsidRPr="007D47AD">
        <w:rPr>
          <w:lang w:val="es-419"/>
        </w:rPr>
        <w:t>66</w:t>
      </w:r>
    </w:p>
  </w:footnote>
  <w:footnote w:id="240">
    <w:p w:rsidR="00385F1D" w:rsidRPr="007D47AD" w:rsidRDefault="00385F1D" w:rsidP="00C66025">
      <w:pPr>
        <w:pStyle w:val="FootnoteText"/>
        <w:spacing w:after="120"/>
        <w:rPr>
          <w:lang w:val="es-419"/>
        </w:rPr>
      </w:pPr>
      <w:r w:rsidRPr="007D47AD">
        <w:rPr>
          <w:rStyle w:val="FootnoteReference"/>
          <w:rFonts w:asciiTheme="minorHAnsi" w:hAnsiTheme="minorHAnsi"/>
          <w:color w:val="000000"/>
          <w:lang w:val="en-US"/>
        </w:rPr>
        <w:footnoteRef/>
      </w:r>
      <w:r w:rsidRPr="007D47AD">
        <w:rPr>
          <w:lang w:val="es-419"/>
        </w:rPr>
        <w:t xml:space="preserve"> FGJME, </w:t>
      </w:r>
      <w:hyperlink r:id="rId94" w:history="1">
        <w:r w:rsidRPr="007D47AD">
          <w:rPr>
            <w:rStyle w:val="Hyperlink"/>
            <w:rFonts w:asciiTheme="minorHAnsi" w:hAnsiTheme="minorHAnsi" w:cs="Arial"/>
            <w:color w:val="000000"/>
            <w:lang w:val="es-419"/>
          </w:rPr>
          <w:t>3er Informe de gestión de la Fiscalía General de Justicia Abril 2019-Marzo 2019</w:t>
        </w:r>
      </w:hyperlink>
      <w:r w:rsidRPr="007D47AD">
        <w:rPr>
          <w:lang w:val="es-419"/>
        </w:rPr>
        <w:t>. June 2019.</w:t>
      </w:r>
      <w:r w:rsidRPr="007D47AD">
        <w:rPr>
          <w:lang w:val="es-419"/>
        </w:rPr>
        <w:tab/>
      </w:r>
    </w:p>
  </w:footnote>
  <w:footnote w:id="241">
    <w:p w:rsidR="00385F1D" w:rsidRPr="007D47AD" w:rsidRDefault="00385F1D" w:rsidP="00C66025">
      <w:pPr>
        <w:pStyle w:val="FootnoteText"/>
        <w:spacing w:after="120"/>
        <w:rPr>
          <w:lang w:val="en-US"/>
        </w:rPr>
      </w:pPr>
      <w:r w:rsidRPr="007D47AD">
        <w:rPr>
          <w:rStyle w:val="FootnoteReference"/>
          <w:rFonts w:asciiTheme="minorHAnsi" w:hAnsiTheme="minorHAnsi"/>
          <w:color w:val="000000"/>
          <w:lang w:val="en-US"/>
        </w:rPr>
        <w:footnoteRef/>
      </w:r>
      <w:r w:rsidRPr="007D47AD">
        <w:rPr>
          <w:lang w:val="es-419"/>
        </w:rPr>
        <w:t xml:space="preserve"> CONAVIM. </w:t>
      </w:r>
      <w:hyperlink r:id="rId95" w:history="1">
        <w:r w:rsidRPr="007D47AD">
          <w:rPr>
            <w:rStyle w:val="Hyperlink"/>
            <w:rFonts w:asciiTheme="minorHAnsi" w:hAnsiTheme="minorHAnsi" w:cs="TimesNewRomanPSMT"/>
            <w:color w:val="000000"/>
            <w:lang w:val="es-419"/>
          </w:rPr>
          <w:t>Re-certificación para los Centros de Justicia para las Mujeres 2019</w:t>
        </w:r>
      </w:hyperlink>
      <w:r w:rsidRPr="007D47AD">
        <w:rPr>
          <w:lang w:val="es-419"/>
        </w:rPr>
        <w:t xml:space="preserve">. </w:t>
      </w:r>
      <w:r w:rsidRPr="007D47AD">
        <w:rPr>
          <w:lang w:val="en-US"/>
        </w:rPr>
        <w:t>September 27, 2019.</w:t>
      </w:r>
    </w:p>
  </w:footnote>
  <w:footnote w:id="242">
    <w:p w:rsidR="00385F1D" w:rsidRPr="007D47AD" w:rsidRDefault="00385F1D" w:rsidP="00C66025">
      <w:pPr>
        <w:pStyle w:val="FootnoteText"/>
        <w:spacing w:after="120"/>
        <w:rPr>
          <w:lang w:val="es-419"/>
        </w:rPr>
      </w:pPr>
      <w:r w:rsidRPr="007D47AD">
        <w:rPr>
          <w:rStyle w:val="FootnoteReference"/>
          <w:rFonts w:asciiTheme="minorHAnsi" w:hAnsiTheme="minorHAnsi"/>
          <w:color w:val="000000"/>
          <w:lang w:val="en-US"/>
        </w:rPr>
        <w:footnoteRef/>
      </w:r>
      <w:r w:rsidRPr="007D47AD">
        <w:rPr>
          <w:lang w:val="en-US"/>
        </w:rPr>
        <w:t xml:space="preserve"> United Nations, Committee Against Torture, Concluding observations on the seventh periodic report of Mexico, CAT/C/MEX/CO/7, July 24, 2019, para. </w:t>
      </w:r>
      <w:r w:rsidRPr="007D47AD">
        <w:rPr>
          <w:lang w:val="es-419"/>
        </w:rPr>
        <w:t>58.</w:t>
      </w:r>
    </w:p>
  </w:footnote>
  <w:footnote w:id="243">
    <w:p w:rsidR="00385F1D" w:rsidRPr="007D47AD" w:rsidRDefault="00385F1D" w:rsidP="00C66025">
      <w:pPr>
        <w:spacing w:after="120" w:line="240" w:lineRule="auto"/>
        <w:ind w:firstLine="720"/>
        <w:jc w:val="both"/>
        <w:rPr>
          <w:rFonts w:asciiTheme="minorHAnsi" w:hAnsiTheme="minorHAnsi"/>
          <w:color w:val="000000"/>
          <w:sz w:val="16"/>
          <w:szCs w:val="16"/>
          <w:lang w:val="es-419"/>
        </w:rPr>
      </w:pPr>
      <w:r w:rsidRPr="007D47AD">
        <w:rPr>
          <w:rStyle w:val="FootnoteReference"/>
          <w:rFonts w:asciiTheme="minorHAnsi" w:hAnsiTheme="minorHAnsi"/>
          <w:color w:val="000000"/>
          <w:sz w:val="16"/>
          <w:szCs w:val="16"/>
          <w:lang w:val="en-US"/>
        </w:rPr>
        <w:footnoteRef/>
      </w:r>
      <w:r w:rsidRPr="007D47AD">
        <w:rPr>
          <w:rFonts w:asciiTheme="minorHAnsi" w:hAnsiTheme="minorHAnsi"/>
          <w:color w:val="000000"/>
          <w:sz w:val="16"/>
          <w:szCs w:val="16"/>
          <w:lang w:val="es-419"/>
        </w:rPr>
        <w:t xml:space="preserve"> El País, </w:t>
      </w:r>
      <w:hyperlink r:id="rId96" w:history="1">
        <w:r w:rsidRPr="007D47AD">
          <w:rPr>
            <w:rStyle w:val="Hyperlink"/>
            <w:rFonts w:asciiTheme="minorHAnsi" w:hAnsiTheme="minorHAnsi"/>
            <w:color w:val="000000"/>
            <w:sz w:val="16"/>
            <w:szCs w:val="16"/>
            <w:lang w:val="es-419"/>
          </w:rPr>
          <w:t>La frustración y el enojo: la ruta para denunciar el abuso sexual en México</w:t>
        </w:r>
      </w:hyperlink>
      <w:r w:rsidRPr="007D47AD">
        <w:rPr>
          <w:rFonts w:asciiTheme="minorHAnsi" w:hAnsiTheme="minorHAnsi"/>
          <w:color w:val="000000"/>
          <w:sz w:val="16"/>
          <w:szCs w:val="16"/>
          <w:lang w:val="es-419"/>
        </w:rPr>
        <w:t xml:space="preserve">, August 19, 2019.  </w:t>
      </w:r>
    </w:p>
  </w:footnote>
  <w:footnote w:id="244">
    <w:p w:rsidR="00385F1D" w:rsidRPr="007D47AD" w:rsidRDefault="00385F1D" w:rsidP="00C66025">
      <w:pPr>
        <w:autoSpaceDE w:val="0"/>
        <w:autoSpaceDN w:val="0"/>
        <w:adjustRightInd w:val="0"/>
        <w:spacing w:after="120" w:line="240" w:lineRule="auto"/>
        <w:ind w:firstLine="720"/>
        <w:jc w:val="both"/>
        <w:rPr>
          <w:rFonts w:asciiTheme="minorHAnsi" w:hAnsiTheme="minorHAnsi"/>
          <w:color w:val="000000"/>
          <w:sz w:val="16"/>
          <w:szCs w:val="16"/>
          <w:lang w:val="en-US"/>
        </w:rPr>
      </w:pPr>
      <w:r w:rsidRPr="007D47AD">
        <w:rPr>
          <w:rStyle w:val="FootnoteReference"/>
          <w:rFonts w:asciiTheme="minorHAnsi" w:hAnsiTheme="minorHAnsi"/>
          <w:color w:val="000000"/>
          <w:sz w:val="16"/>
          <w:szCs w:val="16"/>
          <w:lang w:val="en-US"/>
        </w:rPr>
        <w:footnoteRef/>
      </w:r>
      <w:r w:rsidRPr="007D47AD">
        <w:rPr>
          <w:rFonts w:asciiTheme="minorHAnsi" w:hAnsiTheme="minorHAnsi"/>
          <w:color w:val="000000"/>
          <w:sz w:val="16"/>
          <w:szCs w:val="16"/>
          <w:lang w:val="en-US"/>
        </w:rPr>
        <w:t xml:space="preserve"> United Nations, Committee on the Elimination of Discrimination against Women, Concluding observations on the ninth periodic report of Mexico, Convention on the Elimination of All Forms of Discrimination against Women, CEDAW/C/MEX/CO/9, July 25, 2018; Equis et al., Acciones Judiciales en contra de los Derechos de las Mujeres en México, request for thematic hearing in the context of the 168</w:t>
      </w:r>
      <w:r w:rsidRPr="007D47AD">
        <w:rPr>
          <w:rFonts w:asciiTheme="minorHAnsi" w:hAnsiTheme="minorHAnsi"/>
          <w:color w:val="000000"/>
          <w:sz w:val="16"/>
          <w:szCs w:val="16"/>
          <w:vertAlign w:val="superscript"/>
          <w:lang w:val="en-US"/>
        </w:rPr>
        <w:t>th</w:t>
      </w:r>
      <w:r w:rsidRPr="007D47AD">
        <w:rPr>
          <w:rFonts w:asciiTheme="minorHAnsi" w:hAnsiTheme="minorHAnsi"/>
          <w:color w:val="000000"/>
          <w:sz w:val="16"/>
          <w:szCs w:val="16"/>
          <w:lang w:val="en-US"/>
        </w:rPr>
        <w:t xml:space="preserve"> period of session of the IACHR in Santo Domingo (Dominican Republic), communication of March 9, 2018.</w:t>
      </w:r>
    </w:p>
  </w:footnote>
  <w:footnote w:id="245">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Sexto Informe del Estado mexicano sobre el cumplimiento y seguimiento de las recomendaciones contenidas en el informe “Situación de los Derechos Humanos en México,” October 2019, p. 61.</w:t>
      </w:r>
    </w:p>
  </w:footnote>
  <w:footnote w:id="246">
    <w:p w:rsidR="00385F1D" w:rsidRPr="007D47AD" w:rsidRDefault="00385F1D" w:rsidP="00C66025">
      <w:pPr>
        <w:pStyle w:val="FootnoteText"/>
        <w:spacing w:after="120"/>
        <w:rPr>
          <w:lang w:val="es-419"/>
        </w:rPr>
      </w:pPr>
      <w:r w:rsidRPr="007D47AD">
        <w:rPr>
          <w:rStyle w:val="FootnoteReference"/>
          <w:lang w:val="en-US"/>
        </w:rPr>
        <w:footnoteRef/>
      </w:r>
      <w:r w:rsidRPr="007D47AD">
        <w:rPr>
          <w:lang w:val="en-US"/>
        </w:rPr>
        <w:t xml:space="preserve"> Observations and comments by the State, January 13, 2020, paras. </w:t>
      </w:r>
      <w:r w:rsidRPr="007D47AD">
        <w:rPr>
          <w:lang w:val="es-419"/>
        </w:rPr>
        <w:t>71 and 72.</w:t>
      </w:r>
    </w:p>
  </w:footnote>
  <w:footnote w:id="247">
    <w:p w:rsidR="00385F1D" w:rsidRPr="007D47AD" w:rsidRDefault="00385F1D" w:rsidP="00C66025">
      <w:pPr>
        <w:pStyle w:val="FootnoteText"/>
        <w:spacing w:after="120"/>
        <w:rPr>
          <w:lang w:val="es-419"/>
        </w:rPr>
      </w:pPr>
      <w:r w:rsidRPr="007D47AD">
        <w:rPr>
          <w:rStyle w:val="FootnoteReference"/>
          <w:lang w:val="en-US"/>
        </w:rPr>
        <w:footnoteRef/>
      </w:r>
      <w:r w:rsidRPr="007D47AD">
        <w:rPr>
          <w:lang w:val="es-419"/>
        </w:rPr>
        <w:t xml:space="preserve"> Observations and comments by the State, January 13, 2020, para. 70.</w:t>
      </w:r>
    </w:p>
  </w:footnote>
  <w:footnote w:id="248">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Sexto Informe del Estado mexicano sobre el cumplimiento y seguimiento de las recomendaciones contenidas en el informe “Situación de los Derechos Humanos en México,” October 2019, p. 62.</w:t>
      </w:r>
    </w:p>
  </w:footnote>
  <w:footnote w:id="249">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Sexto Informe del Estado mexicano sobre el cumplimiento y seguimiento de las recomendaciones contenidas en el informe “Situación de los Derechos Humanos en México,” October 2019, p. 63.</w:t>
      </w:r>
    </w:p>
  </w:footnote>
  <w:footnote w:id="250">
    <w:p w:rsidR="00385F1D" w:rsidRPr="007D47AD" w:rsidRDefault="00385F1D" w:rsidP="00C66025">
      <w:pPr>
        <w:pStyle w:val="FootnoteText"/>
        <w:spacing w:after="120"/>
        <w:rPr>
          <w:lang w:val="es-419"/>
        </w:rPr>
      </w:pPr>
      <w:r w:rsidRPr="007D47AD">
        <w:rPr>
          <w:rStyle w:val="FootnoteReference"/>
          <w:lang w:val="en-US"/>
        </w:rPr>
        <w:footnoteRef/>
      </w:r>
      <w:r w:rsidRPr="007D47AD">
        <w:rPr>
          <w:lang w:val="es-419"/>
        </w:rPr>
        <w:t xml:space="preserve"> Gobierno de la Ciudad de México, </w:t>
      </w:r>
      <w:hyperlink r:id="rId97" w:history="1">
        <w:r w:rsidRPr="007D47AD">
          <w:rPr>
            <w:rStyle w:val="Hyperlink"/>
            <w:lang w:val="es-419"/>
          </w:rPr>
          <w:t>Se decreta la Alerta por Violencia contra Mujeres,</w:t>
        </w:r>
      </w:hyperlink>
      <w:r w:rsidRPr="007D47AD">
        <w:rPr>
          <w:lang w:val="es-419"/>
        </w:rPr>
        <w:t xml:space="preserve"> 23 de noviembre de 2019.</w:t>
      </w:r>
    </w:p>
  </w:footnote>
  <w:footnote w:id="251">
    <w:p w:rsidR="00385F1D" w:rsidRPr="007D47AD" w:rsidRDefault="00385F1D" w:rsidP="00C66025">
      <w:pPr>
        <w:pStyle w:val="Heading1"/>
        <w:numPr>
          <w:ilvl w:val="0"/>
          <w:numId w:val="0"/>
        </w:numPr>
        <w:spacing w:before="0" w:after="120"/>
        <w:ind w:firstLine="720"/>
        <w:rPr>
          <w:rFonts w:asciiTheme="minorHAnsi" w:hAnsiTheme="minorHAnsi"/>
          <w:b w:val="0"/>
          <w:color w:val="000000"/>
          <w:sz w:val="16"/>
          <w:szCs w:val="16"/>
          <w:lang w:val="es-419"/>
        </w:rPr>
      </w:pPr>
      <w:r w:rsidRPr="007D47AD">
        <w:rPr>
          <w:rStyle w:val="FootnoteReference"/>
          <w:rFonts w:asciiTheme="minorHAnsi" w:hAnsiTheme="minorHAnsi"/>
          <w:b w:val="0"/>
          <w:color w:val="000000"/>
          <w:sz w:val="16"/>
          <w:szCs w:val="16"/>
          <w:lang w:val="en-US"/>
        </w:rPr>
        <w:footnoteRef/>
      </w:r>
      <w:r w:rsidRPr="007D47AD">
        <w:rPr>
          <w:rFonts w:asciiTheme="minorHAnsi" w:hAnsiTheme="minorHAnsi"/>
          <w:b w:val="0"/>
          <w:color w:val="000000"/>
          <w:sz w:val="16"/>
          <w:szCs w:val="16"/>
          <w:lang w:val="es-419"/>
        </w:rPr>
        <w:t xml:space="preserve"> Animal Político, </w:t>
      </w:r>
      <w:hyperlink r:id="rId98" w:history="1">
        <w:r w:rsidRPr="007D47AD">
          <w:rPr>
            <w:rStyle w:val="Hyperlink"/>
            <w:rFonts w:asciiTheme="minorHAnsi" w:eastAsia="Cambria" w:hAnsiTheme="minorHAnsi"/>
            <w:b w:val="0"/>
            <w:color w:val="000000"/>
            <w:sz w:val="16"/>
            <w:szCs w:val="16"/>
            <w:lang w:val="es-419"/>
          </w:rPr>
          <w:t>En México, 8 de cada 10 mujeres detenidas sufren tortura o malos tratos de las autoridade</w:t>
        </w:r>
      </w:hyperlink>
      <w:r w:rsidRPr="007D47AD">
        <w:rPr>
          <w:rFonts w:asciiTheme="minorHAnsi" w:hAnsiTheme="minorHAnsi"/>
          <w:b w:val="0"/>
          <w:color w:val="000000"/>
          <w:sz w:val="16"/>
          <w:szCs w:val="16"/>
          <w:lang w:val="es-419"/>
        </w:rPr>
        <w:t xml:space="preserve">s, November 21, 2018. </w:t>
      </w:r>
    </w:p>
  </w:footnote>
  <w:footnote w:id="252">
    <w:p w:rsidR="00385F1D" w:rsidRPr="007D47AD" w:rsidRDefault="00385F1D" w:rsidP="00C66025">
      <w:pPr>
        <w:spacing w:after="120" w:line="240" w:lineRule="auto"/>
        <w:ind w:firstLine="720"/>
        <w:jc w:val="both"/>
        <w:rPr>
          <w:rFonts w:asciiTheme="minorHAnsi" w:hAnsiTheme="minorHAnsi"/>
          <w:color w:val="000000"/>
          <w:sz w:val="16"/>
          <w:szCs w:val="16"/>
          <w:lang w:val="es-419"/>
        </w:rPr>
      </w:pPr>
      <w:r w:rsidRPr="007D47AD">
        <w:rPr>
          <w:rStyle w:val="FootnoteReference"/>
          <w:rFonts w:asciiTheme="minorHAnsi" w:hAnsiTheme="minorHAnsi"/>
          <w:color w:val="000000"/>
          <w:sz w:val="16"/>
          <w:szCs w:val="16"/>
          <w:lang w:val="en-US"/>
        </w:rPr>
        <w:footnoteRef/>
      </w:r>
      <w:r w:rsidRPr="007D47AD">
        <w:rPr>
          <w:rFonts w:asciiTheme="minorHAnsi" w:hAnsiTheme="minorHAnsi"/>
          <w:color w:val="000000"/>
          <w:sz w:val="16"/>
          <w:szCs w:val="16"/>
          <w:lang w:val="es-419"/>
        </w:rPr>
        <w:t xml:space="preserve"> Centro Prodi, </w:t>
      </w:r>
      <w:hyperlink r:id="rId99" w:history="1">
        <w:r w:rsidRPr="007D47AD">
          <w:rPr>
            <w:rStyle w:val="Hyperlink"/>
            <w:rFonts w:asciiTheme="minorHAnsi" w:hAnsiTheme="minorHAnsi" w:cs="Arial"/>
            <w:color w:val="000000"/>
            <w:sz w:val="16"/>
            <w:szCs w:val="16"/>
            <w:shd w:val="clear" w:color="auto" w:fill="FFFFFF"/>
            <w:lang w:val="es-419"/>
          </w:rPr>
          <w:t>Mujeres con la frente en alto. Informe sobre la tortura sexual en México y la respuesta del Estado</w:t>
        </w:r>
      </w:hyperlink>
      <w:r w:rsidRPr="007D47AD">
        <w:rPr>
          <w:rStyle w:val="Strong"/>
          <w:rFonts w:asciiTheme="minorHAnsi" w:hAnsiTheme="minorHAnsi" w:cs="Arial"/>
          <w:color w:val="000000"/>
          <w:sz w:val="16"/>
          <w:szCs w:val="16"/>
          <w:shd w:val="clear" w:color="auto" w:fill="FFFFFF"/>
          <w:lang w:val="es-419"/>
        </w:rPr>
        <w:t xml:space="preserve">, </w:t>
      </w:r>
      <w:r w:rsidRPr="007D47AD">
        <w:rPr>
          <w:rStyle w:val="Strong"/>
          <w:rFonts w:asciiTheme="minorHAnsi" w:hAnsiTheme="minorHAnsi" w:cs="Arial"/>
          <w:b w:val="0"/>
          <w:bCs w:val="0"/>
          <w:color w:val="000000"/>
          <w:sz w:val="16"/>
          <w:szCs w:val="16"/>
          <w:shd w:val="clear" w:color="auto" w:fill="FFFFFF"/>
          <w:lang w:val="es-419"/>
        </w:rPr>
        <w:t>November</w:t>
      </w:r>
      <w:r w:rsidRPr="007D47AD">
        <w:rPr>
          <w:rStyle w:val="Strong"/>
          <w:rFonts w:asciiTheme="minorHAnsi" w:hAnsiTheme="minorHAnsi" w:cs="Arial"/>
          <w:color w:val="000000"/>
          <w:sz w:val="16"/>
          <w:szCs w:val="16"/>
          <w:shd w:val="clear" w:color="auto" w:fill="FFFFFF"/>
          <w:lang w:val="es-419"/>
        </w:rPr>
        <w:t xml:space="preserve"> </w:t>
      </w:r>
      <w:r w:rsidRPr="007D47AD">
        <w:rPr>
          <w:rStyle w:val="Strong"/>
          <w:rFonts w:asciiTheme="minorHAnsi" w:hAnsiTheme="minorHAnsi" w:cs="Arial"/>
          <w:b w:val="0"/>
          <w:color w:val="000000"/>
          <w:sz w:val="16"/>
          <w:szCs w:val="16"/>
          <w:shd w:val="clear" w:color="auto" w:fill="FFFFFF"/>
          <w:lang w:val="es-419"/>
        </w:rPr>
        <w:t>2018</w:t>
      </w:r>
      <w:r w:rsidRPr="007D47AD">
        <w:rPr>
          <w:rStyle w:val="Strong"/>
          <w:rFonts w:asciiTheme="minorHAnsi" w:hAnsiTheme="minorHAnsi" w:cs="Arial"/>
          <w:color w:val="000000"/>
          <w:sz w:val="16"/>
          <w:szCs w:val="16"/>
          <w:shd w:val="clear" w:color="auto" w:fill="FFFFFF"/>
          <w:lang w:val="es-419"/>
        </w:rPr>
        <w:t>.</w:t>
      </w:r>
      <w:r w:rsidRPr="007D47AD">
        <w:rPr>
          <w:rFonts w:asciiTheme="minorHAnsi" w:hAnsiTheme="minorHAnsi"/>
          <w:color w:val="000000"/>
          <w:sz w:val="16"/>
          <w:szCs w:val="16"/>
          <w:lang w:val="es-419"/>
        </w:rPr>
        <w:t xml:space="preserve"> </w:t>
      </w:r>
    </w:p>
  </w:footnote>
  <w:footnote w:id="253">
    <w:p w:rsidR="00385F1D" w:rsidRPr="007D47AD" w:rsidRDefault="00385F1D" w:rsidP="00C66025">
      <w:pPr>
        <w:autoSpaceDE w:val="0"/>
        <w:autoSpaceDN w:val="0"/>
        <w:adjustRightInd w:val="0"/>
        <w:spacing w:after="120" w:line="240" w:lineRule="auto"/>
        <w:ind w:firstLine="720"/>
        <w:jc w:val="both"/>
        <w:rPr>
          <w:rFonts w:asciiTheme="minorHAnsi" w:hAnsiTheme="minorHAnsi"/>
          <w:color w:val="000000"/>
          <w:sz w:val="16"/>
          <w:szCs w:val="16"/>
          <w:lang w:val="en-US"/>
        </w:rPr>
      </w:pPr>
      <w:r w:rsidRPr="007D47AD">
        <w:rPr>
          <w:rStyle w:val="FootnoteReference"/>
          <w:rFonts w:asciiTheme="minorHAnsi" w:hAnsiTheme="minorHAnsi"/>
          <w:color w:val="000000"/>
          <w:sz w:val="16"/>
          <w:szCs w:val="16"/>
          <w:lang w:val="en-US"/>
        </w:rPr>
        <w:footnoteRef/>
      </w:r>
      <w:r w:rsidRPr="007D47AD">
        <w:rPr>
          <w:rFonts w:asciiTheme="minorHAnsi" w:hAnsiTheme="minorHAnsi"/>
          <w:color w:val="000000"/>
          <w:sz w:val="16"/>
          <w:szCs w:val="16"/>
          <w:lang w:val="en-US"/>
        </w:rPr>
        <w:t xml:space="preserve"> IACHR, </w:t>
      </w:r>
      <w:hyperlink r:id="rId100" w:history="1">
        <w:r w:rsidRPr="007D47AD">
          <w:rPr>
            <w:rStyle w:val="Hyperlink"/>
            <w:rFonts w:asciiTheme="minorHAnsi" w:hAnsiTheme="minorHAnsi"/>
            <w:color w:val="000000"/>
            <w:sz w:val="16"/>
            <w:szCs w:val="16"/>
            <w:lang w:val="en-US"/>
          </w:rPr>
          <w:t>Situation of the human rights of women in the context of the criminalization of drugs in the region</w:t>
        </w:r>
      </w:hyperlink>
      <w:r w:rsidRPr="007D47AD">
        <w:rPr>
          <w:rStyle w:val="Hyperlink"/>
          <w:rFonts w:asciiTheme="minorHAnsi" w:hAnsiTheme="minorHAnsi"/>
          <w:color w:val="000000"/>
          <w:sz w:val="16"/>
          <w:szCs w:val="16"/>
          <w:u w:val="none"/>
          <w:lang w:val="en-US"/>
        </w:rPr>
        <w:t>,</w:t>
      </w:r>
      <w:r w:rsidRPr="007D47AD">
        <w:rPr>
          <w:rFonts w:asciiTheme="minorHAnsi" w:hAnsiTheme="minorHAnsi"/>
          <w:color w:val="000000"/>
          <w:sz w:val="16"/>
          <w:szCs w:val="16"/>
          <w:lang w:val="en-US"/>
        </w:rPr>
        <w:t xml:space="preserve"> Thematic hearing, 168</w:t>
      </w:r>
      <w:r w:rsidRPr="007D47AD">
        <w:rPr>
          <w:rFonts w:asciiTheme="minorHAnsi" w:hAnsiTheme="minorHAnsi"/>
          <w:color w:val="000000"/>
          <w:sz w:val="16"/>
          <w:szCs w:val="16"/>
          <w:vertAlign w:val="superscript"/>
          <w:lang w:val="en-US"/>
        </w:rPr>
        <w:t>th</w:t>
      </w:r>
      <w:r w:rsidRPr="007D47AD">
        <w:rPr>
          <w:rFonts w:asciiTheme="minorHAnsi" w:hAnsiTheme="minorHAnsi"/>
          <w:color w:val="000000"/>
          <w:sz w:val="16"/>
          <w:szCs w:val="16"/>
          <w:lang w:val="en-US"/>
        </w:rPr>
        <w:t xml:space="preserve"> period of sessions, Santo Domingo (Dominican Republic), May 10, 2018. </w:t>
      </w:r>
    </w:p>
  </w:footnote>
  <w:footnote w:id="254">
    <w:p w:rsidR="00385F1D" w:rsidRPr="007D47AD" w:rsidRDefault="00385F1D" w:rsidP="00C66025">
      <w:pPr>
        <w:spacing w:after="120" w:line="240" w:lineRule="auto"/>
        <w:ind w:firstLine="720"/>
        <w:jc w:val="both"/>
        <w:rPr>
          <w:rFonts w:asciiTheme="minorHAnsi" w:hAnsiTheme="minorHAnsi"/>
          <w:color w:val="000000"/>
          <w:sz w:val="16"/>
          <w:szCs w:val="16"/>
          <w:lang w:val="es-419"/>
        </w:rPr>
      </w:pPr>
      <w:r w:rsidRPr="007D47AD">
        <w:rPr>
          <w:rStyle w:val="FootnoteReference"/>
          <w:rFonts w:asciiTheme="minorHAnsi" w:hAnsiTheme="minorHAnsi"/>
          <w:color w:val="000000"/>
          <w:sz w:val="16"/>
          <w:szCs w:val="16"/>
          <w:lang w:val="en-US"/>
        </w:rPr>
        <w:footnoteRef/>
      </w:r>
      <w:r w:rsidRPr="007D47AD">
        <w:rPr>
          <w:rFonts w:asciiTheme="minorHAnsi" w:hAnsiTheme="minorHAnsi"/>
          <w:color w:val="000000"/>
          <w:sz w:val="16"/>
          <w:szCs w:val="16"/>
          <w:lang w:val="es-419"/>
        </w:rPr>
        <w:t xml:space="preserve"> Infobae, </w:t>
      </w:r>
      <w:hyperlink r:id="rId101" w:history="1">
        <w:r w:rsidRPr="007D47AD">
          <w:rPr>
            <w:rStyle w:val="Hyperlink"/>
            <w:rFonts w:asciiTheme="minorHAnsi" w:hAnsiTheme="minorHAnsi"/>
            <w:color w:val="000000"/>
            <w:sz w:val="16"/>
            <w:szCs w:val="16"/>
            <w:lang w:val="es-419"/>
          </w:rPr>
          <w:t>Denunciarán ante la ONU la tortura sexual que sufren las mujeres reclusas en México</w:t>
        </w:r>
      </w:hyperlink>
      <w:r w:rsidRPr="007D47AD">
        <w:rPr>
          <w:rFonts w:asciiTheme="minorHAnsi" w:hAnsiTheme="minorHAnsi"/>
          <w:color w:val="000000"/>
          <w:sz w:val="16"/>
          <w:szCs w:val="16"/>
          <w:lang w:val="es-419"/>
        </w:rPr>
        <w:t xml:space="preserve">, April 22, 2019; El Universal, </w:t>
      </w:r>
      <w:hyperlink r:id="rId102" w:history="1">
        <w:r w:rsidRPr="007D47AD">
          <w:rPr>
            <w:rStyle w:val="Hyperlink"/>
            <w:rFonts w:asciiTheme="minorHAnsi" w:hAnsiTheme="minorHAnsi"/>
            <w:color w:val="000000"/>
            <w:sz w:val="16"/>
            <w:szCs w:val="16"/>
            <w:lang w:val="es-419"/>
          </w:rPr>
          <w:t>Acusarán a México ante Naciones Unidas por Tortura Sexual contra Mujeres</w:t>
        </w:r>
      </w:hyperlink>
      <w:r w:rsidRPr="007D47AD">
        <w:rPr>
          <w:rFonts w:asciiTheme="minorHAnsi" w:hAnsiTheme="minorHAnsi"/>
          <w:color w:val="000000"/>
          <w:sz w:val="16"/>
          <w:szCs w:val="16"/>
          <w:lang w:val="es-419"/>
        </w:rPr>
        <w:t xml:space="preserve">, April 22, 2019. </w:t>
      </w:r>
    </w:p>
  </w:footnote>
  <w:footnote w:id="255">
    <w:p w:rsidR="00385F1D" w:rsidRPr="007D47AD" w:rsidRDefault="00385F1D" w:rsidP="00C66025">
      <w:pPr>
        <w:pStyle w:val="FootnoteText"/>
        <w:spacing w:after="120"/>
        <w:rPr>
          <w:lang w:val="en-US"/>
        </w:rPr>
      </w:pPr>
      <w:r w:rsidRPr="007D47AD">
        <w:rPr>
          <w:rStyle w:val="FootnoteReference"/>
          <w:rFonts w:asciiTheme="minorHAnsi" w:hAnsiTheme="minorHAnsi"/>
          <w:color w:val="000000"/>
          <w:lang w:val="en-US"/>
        </w:rPr>
        <w:footnoteRef/>
      </w:r>
      <w:r w:rsidRPr="007D47AD">
        <w:rPr>
          <w:lang w:val="es-419"/>
        </w:rPr>
        <w:t xml:space="preserve"> Amnesty International, </w:t>
      </w:r>
      <w:hyperlink r:id="rId103" w:history="1">
        <w:r w:rsidRPr="007D47AD">
          <w:rPr>
            <w:rStyle w:val="Hyperlink"/>
            <w:rFonts w:asciiTheme="minorHAnsi" w:hAnsiTheme="minorHAnsi" w:cs="Arial"/>
            <w:color w:val="000000"/>
            <w:lang w:val="es-419"/>
          </w:rPr>
          <w:t>Informe al Comité sobre la eliminación de la discriminación contra la mujer</w:t>
        </w:r>
      </w:hyperlink>
      <w:r w:rsidRPr="007D47AD">
        <w:rPr>
          <w:lang w:val="es-419"/>
        </w:rPr>
        <w:t>, 70</w:t>
      </w:r>
      <w:r w:rsidRPr="007D47AD">
        <w:rPr>
          <w:vertAlign w:val="superscript"/>
          <w:lang w:val="es-419"/>
        </w:rPr>
        <w:t>th</w:t>
      </w:r>
      <w:r w:rsidRPr="007D47AD">
        <w:rPr>
          <w:lang w:val="es-419"/>
        </w:rPr>
        <w:t xml:space="preserve"> session,  July 2-21, 2018; I/A Court HR. </w:t>
      </w:r>
      <w:r w:rsidRPr="007D47AD">
        <w:rPr>
          <w:lang w:val="en-US"/>
        </w:rPr>
        <w:t>Case of Women Victims of Sexual Torture in Atenco v. Mexico. Preliminary Objection, Merits, Reparations and Costs. Judgment of November 28, 2018. Series C No. 371.</w:t>
      </w:r>
    </w:p>
  </w:footnote>
  <w:footnote w:id="256">
    <w:p w:rsidR="00385F1D" w:rsidRPr="007D47AD" w:rsidRDefault="00385F1D" w:rsidP="00C66025">
      <w:pPr>
        <w:spacing w:after="120" w:line="240" w:lineRule="auto"/>
        <w:ind w:firstLine="720"/>
        <w:jc w:val="both"/>
        <w:rPr>
          <w:rFonts w:asciiTheme="minorHAnsi" w:hAnsiTheme="minorHAnsi"/>
          <w:color w:val="000000"/>
          <w:sz w:val="16"/>
          <w:szCs w:val="16"/>
          <w:lang w:val="en-US"/>
        </w:rPr>
      </w:pPr>
      <w:r w:rsidRPr="007D47AD">
        <w:rPr>
          <w:rStyle w:val="FootnoteReference"/>
          <w:rFonts w:asciiTheme="minorHAnsi" w:hAnsiTheme="minorHAnsi"/>
          <w:color w:val="000000"/>
          <w:sz w:val="16"/>
          <w:szCs w:val="16"/>
          <w:lang w:val="en-US"/>
        </w:rPr>
        <w:footnoteRef/>
      </w:r>
      <w:r w:rsidRPr="007D47AD">
        <w:rPr>
          <w:rFonts w:asciiTheme="minorHAnsi" w:hAnsiTheme="minorHAnsi"/>
          <w:color w:val="000000"/>
          <w:sz w:val="16"/>
          <w:szCs w:val="16"/>
          <w:lang w:val="en-US"/>
        </w:rPr>
        <w:t xml:space="preserve"> United Nations, Committee on the Elimination of Discrimination against Women, Concluding observations on the ninth periodic report of Mexico, Convention on the Elimination of All Forms of Discrimination against Women, CEDAW/C/MEX/CO/9, July 25, 2018.</w:t>
      </w:r>
    </w:p>
  </w:footnote>
  <w:footnote w:id="257">
    <w:p w:rsidR="00385F1D" w:rsidRPr="007D47AD" w:rsidRDefault="00385F1D" w:rsidP="00C66025">
      <w:pPr>
        <w:pStyle w:val="FootnoteText"/>
        <w:spacing w:after="120"/>
        <w:rPr>
          <w:lang w:val="en-US"/>
        </w:rPr>
      </w:pPr>
      <w:r w:rsidRPr="007D47AD">
        <w:rPr>
          <w:rStyle w:val="FootnoteReference"/>
          <w:rFonts w:asciiTheme="minorHAnsi" w:hAnsiTheme="minorHAnsi"/>
          <w:color w:val="000000"/>
          <w:lang w:val="en-US"/>
        </w:rPr>
        <w:footnoteRef/>
      </w:r>
      <w:r w:rsidRPr="007D47AD">
        <w:rPr>
          <w:lang w:val="en-US"/>
        </w:rPr>
        <w:t xml:space="preserve"> I/A Court HR. Case of women victims of sexual torture in Atenco v. Mexico. Preliminary Objection, Merits, Reparations and Costs. Judgment of November 28, 2018. Series C No. 371.</w:t>
      </w:r>
    </w:p>
  </w:footnote>
  <w:footnote w:id="258">
    <w:p w:rsidR="00385F1D" w:rsidRPr="007D47AD" w:rsidRDefault="00385F1D" w:rsidP="00C66025">
      <w:pPr>
        <w:pStyle w:val="FootnoteText"/>
        <w:spacing w:after="120"/>
        <w:rPr>
          <w:lang w:val="es-419"/>
        </w:rPr>
      </w:pPr>
      <w:r w:rsidRPr="007D47AD">
        <w:rPr>
          <w:rStyle w:val="FootnoteReference"/>
          <w:rFonts w:asciiTheme="minorHAnsi" w:hAnsiTheme="minorHAnsi"/>
          <w:color w:val="000000"/>
          <w:lang w:val="en-US"/>
        </w:rPr>
        <w:footnoteRef/>
      </w:r>
      <w:r w:rsidRPr="007D47AD">
        <w:rPr>
          <w:lang w:val="es-419"/>
        </w:rPr>
        <w:t xml:space="preserve"> PRODH. </w:t>
      </w:r>
      <w:hyperlink r:id="rId104" w:history="1">
        <w:r w:rsidRPr="007D47AD">
          <w:rPr>
            <w:rStyle w:val="Hyperlink"/>
            <w:rFonts w:asciiTheme="minorHAnsi" w:hAnsiTheme="minorHAnsi"/>
            <w:color w:val="000000"/>
            <w:lang w:val="es-419"/>
          </w:rPr>
          <w:t>A 13 años de Atenco, mujeres sobrevivientes demandan cumplimiento de sentencia interamericana y exigen justicia para las mujeres que han alzado la voz contra la tortura sexual</w:t>
        </w:r>
      </w:hyperlink>
      <w:r w:rsidRPr="007D47AD">
        <w:rPr>
          <w:lang w:val="es-419"/>
        </w:rPr>
        <w:t>. May 3, 2019.</w:t>
      </w:r>
    </w:p>
  </w:footnote>
  <w:footnote w:id="259">
    <w:p w:rsidR="00385F1D" w:rsidRPr="007D47AD" w:rsidRDefault="00385F1D" w:rsidP="00C66025">
      <w:pPr>
        <w:pStyle w:val="FootnoteText"/>
        <w:spacing w:after="120"/>
        <w:rPr>
          <w:lang w:val="es-419"/>
        </w:rPr>
      </w:pPr>
      <w:r w:rsidRPr="007D47AD">
        <w:rPr>
          <w:rStyle w:val="FootnoteReference"/>
          <w:lang w:val="en-US"/>
        </w:rPr>
        <w:footnoteRef/>
      </w:r>
      <w:r w:rsidRPr="007D47AD">
        <w:rPr>
          <w:lang w:val="es-419"/>
        </w:rPr>
        <w:t xml:space="preserve"> Observations and comments by the State, January 13, 2020, para. 73-74.</w:t>
      </w:r>
    </w:p>
  </w:footnote>
  <w:footnote w:id="260">
    <w:p w:rsidR="00385F1D" w:rsidRPr="007D47AD" w:rsidRDefault="00385F1D" w:rsidP="00C66025">
      <w:pPr>
        <w:shd w:val="clear" w:color="auto" w:fill="FFFFFF"/>
        <w:spacing w:after="120" w:line="240" w:lineRule="auto"/>
        <w:ind w:firstLine="720"/>
        <w:jc w:val="both"/>
        <w:rPr>
          <w:rFonts w:asciiTheme="minorHAnsi" w:hAnsiTheme="minorHAnsi" w:cs="Arial"/>
          <w:color w:val="000000"/>
          <w:sz w:val="16"/>
          <w:szCs w:val="16"/>
          <w:lang w:val="es-419"/>
        </w:rPr>
      </w:pPr>
      <w:r w:rsidRPr="007D47AD">
        <w:rPr>
          <w:rStyle w:val="FootnoteReference"/>
          <w:rFonts w:asciiTheme="minorHAnsi" w:hAnsiTheme="minorHAnsi"/>
          <w:color w:val="000000"/>
          <w:sz w:val="16"/>
          <w:szCs w:val="16"/>
          <w:lang w:val="en-US"/>
        </w:rPr>
        <w:footnoteRef/>
      </w:r>
      <w:r w:rsidRPr="007D47AD">
        <w:rPr>
          <w:rFonts w:asciiTheme="minorHAnsi" w:hAnsiTheme="minorHAnsi"/>
          <w:color w:val="000000"/>
          <w:sz w:val="16"/>
          <w:szCs w:val="16"/>
          <w:lang w:val="es-419"/>
        </w:rPr>
        <w:t xml:space="preserve"> The states that have protocols on the crime of feminicide are</w:t>
      </w:r>
      <w:r w:rsidRPr="007D47AD">
        <w:rPr>
          <w:rFonts w:asciiTheme="minorHAnsi" w:hAnsiTheme="minorHAnsi" w:cs="TimesNewRomanPSMT"/>
          <w:color w:val="000000"/>
          <w:sz w:val="16"/>
          <w:szCs w:val="16"/>
          <w:lang w:val="es-419"/>
        </w:rPr>
        <w:t xml:space="preserve">: </w:t>
      </w:r>
      <w:r w:rsidRPr="007D47AD">
        <w:rPr>
          <w:rFonts w:asciiTheme="minorHAnsi" w:hAnsiTheme="minorHAnsi" w:cs="ArialMT"/>
          <w:color w:val="000000"/>
          <w:sz w:val="16"/>
          <w:szCs w:val="16"/>
          <w:lang w:val="es-419"/>
        </w:rPr>
        <w:t>Aguascalientes, Baja California, Chiapas, Colima, Mexico City, Guanajuato, Guerrero, Hidalgo, Jalisco, state of México, Morelos, Nuevo León, Oaxaca, Puebla, Quintana, Roo, San Luis Potosí, Sinaloa, Sonora, Tabasco, Tamaulipas, Veracruz, Yucatán, and Zacatecas</w:t>
      </w:r>
      <w:r w:rsidRPr="007D47AD">
        <w:rPr>
          <w:rFonts w:asciiTheme="minorHAnsi" w:hAnsiTheme="minorHAnsi" w:cs="TimesNewRomanPSMT"/>
          <w:color w:val="000000"/>
          <w:sz w:val="16"/>
          <w:szCs w:val="16"/>
          <w:lang w:val="es-419"/>
        </w:rPr>
        <w:t xml:space="preserve">. </w:t>
      </w:r>
      <w:r w:rsidRPr="007D47AD">
        <w:rPr>
          <w:rFonts w:asciiTheme="minorHAnsi" w:hAnsiTheme="minorHAnsi" w:cs="TimesNewRomanPSMT"/>
          <w:color w:val="000000"/>
          <w:sz w:val="16"/>
          <w:szCs w:val="16"/>
          <w:lang w:val="en-US"/>
        </w:rPr>
        <w:t xml:space="preserve">The five states that have a protocol on homicide for reasons of gender are: </w:t>
      </w:r>
      <w:r w:rsidRPr="007D47AD">
        <w:rPr>
          <w:rFonts w:asciiTheme="minorHAnsi" w:hAnsiTheme="minorHAnsi" w:cs="ArialMT"/>
          <w:color w:val="000000"/>
          <w:sz w:val="16"/>
          <w:szCs w:val="16"/>
          <w:lang w:val="en-US"/>
        </w:rPr>
        <w:t>Campeche, Chihuahua, Michoacán, Querétaro, and Tlaxcala</w:t>
      </w:r>
      <w:r w:rsidRPr="007D47AD">
        <w:rPr>
          <w:rFonts w:asciiTheme="minorHAnsi" w:hAnsiTheme="minorHAnsi" w:cs="TimesNewRomanPSMT"/>
          <w:color w:val="000000"/>
          <w:sz w:val="16"/>
          <w:szCs w:val="16"/>
          <w:lang w:val="en-US"/>
        </w:rPr>
        <w:t xml:space="preserve">. The two states that are in the process of preparing and publishing protocols on feminicide are </w:t>
      </w:r>
      <w:r w:rsidRPr="007D47AD">
        <w:rPr>
          <w:rFonts w:asciiTheme="minorHAnsi" w:hAnsiTheme="minorHAnsi" w:cs="ArialMT"/>
          <w:color w:val="000000"/>
          <w:sz w:val="16"/>
          <w:szCs w:val="16"/>
          <w:lang w:val="en-US"/>
        </w:rPr>
        <w:t>Coahuila and Durango</w:t>
      </w:r>
      <w:r w:rsidRPr="007D47AD">
        <w:rPr>
          <w:rFonts w:asciiTheme="minorHAnsi" w:hAnsiTheme="minorHAnsi" w:cs="TimesNewRomanPSMT"/>
          <w:color w:val="000000"/>
          <w:sz w:val="16"/>
          <w:szCs w:val="16"/>
          <w:lang w:val="en-US"/>
        </w:rPr>
        <w:t xml:space="preserve">. Only two states do not yet have a protocol on feminicide, </w:t>
      </w:r>
      <w:r w:rsidRPr="007D47AD">
        <w:rPr>
          <w:rFonts w:asciiTheme="minorHAnsi" w:hAnsiTheme="minorHAnsi" w:cs="ArialMT"/>
          <w:color w:val="000000"/>
          <w:sz w:val="16"/>
          <w:szCs w:val="16"/>
          <w:lang w:val="en-US"/>
        </w:rPr>
        <w:t xml:space="preserve">Baja California Sur and Nayarit. </w:t>
      </w:r>
      <w:r w:rsidRPr="007D47AD">
        <w:rPr>
          <w:rFonts w:asciiTheme="minorHAnsi" w:hAnsiTheme="minorHAnsi" w:cs="Arial"/>
          <w:color w:val="000000"/>
          <w:sz w:val="16"/>
          <w:szCs w:val="16"/>
          <w:lang w:val="es-419"/>
        </w:rPr>
        <w:t>Quinto Informe del Estado mexicano sobre el cumplimiento y seguimiento de las recomendaciones contenidas en el informe “Situación de los Derechos Humanos en México.”</w:t>
      </w:r>
    </w:p>
  </w:footnote>
  <w:footnote w:id="261">
    <w:p w:rsidR="00385F1D" w:rsidRPr="007D47AD" w:rsidRDefault="00385F1D" w:rsidP="00C66025">
      <w:pPr>
        <w:pStyle w:val="FootnoteText"/>
        <w:spacing w:after="120"/>
        <w:rPr>
          <w:lang w:val="es-419"/>
        </w:rPr>
      </w:pPr>
      <w:r w:rsidRPr="007D47AD">
        <w:rPr>
          <w:rStyle w:val="FootnoteReference"/>
          <w:rFonts w:asciiTheme="minorHAnsi" w:hAnsiTheme="minorHAnsi"/>
          <w:color w:val="000000"/>
          <w:lang w:val="en-US"/>
        </w:rPr>
        <w:footnoteRef/>
      </w:r>
      <w:r w:rsidRPr="007D47AD">
        <w:rPr>
          <w:lang w:val="es-419"/>
        </w:rPr>
        <w:t xml:space="preserve"> CNDH. Actualización correspondiente al año 2019 de la revisión del cumplimiento de recomendaciones contenidas en el “Informe sobre situación de los Derechos Humanos en México,” October 2019, para. 54.</w:t>
      </w:r>
    </w:p>
  </w:footnote>
  <w:footnote w:id="262">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Sexto Informe del Estado mexicano sobre el cumplimiento y seguimiento de las recomendaciones contenidas en el informe “Situación de los Derechos Humanos en México,” October 2019, p. 63.</w:t>
      </w:r>
    </w:p>
  </w:footnote>
  <w:footnote w:id="263">
    <w:p w:rsidR="00385F1D" w:rsidRPr="007D47AD" w:rsidRDefault="00385F1D" w:rsidP="00C66025">
      <w:pPr>
        <w:pStyle w:val="FootnoteText"/>
        <w:spacing w:after="120"/>
        <w:rPr>
          <w:lang w:val="es-419"/>
        </w:rPr>
      </w:pPr>
      <w:r w:rsidRPr="007D47AD">
        <w:rPr>
          <w:rStyle w:val="FootnoteReference"/>
          <w:lang w:val="en-US"/>
        </w:rPr>
        <w:footnoteRef/>
      </w:r>
      <w:r w:rsidRPr="007D47AD">
        <w:rPr>
          <w:lang w:val="en-US"/>
        </w:rPr>
        <w:t xml:space="preserve"> Observations and comments by the State, January 13, 2020, para. </w:t>
      </w:r>
      <w:r w:rsidRPr="007D47AD">
        <w:rPr>
          <w:lang w:val="es-419"/>
        </w:rPr>
        <w:t xml:space="preserve">76. </w:t>
      </w:r>
    </w:p>
  </w:footnote>
  <w:footnote w:id="264">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Séptimo Informe del Estado mexicano sobre el cumplimiento y seguimiento de las recomendaciones contenidas en el informe “Situación de los Derechos Humanos en México” October 2019, p. 65.</w:t>
      </w:r>
    </w:p>
  </w:footnote>
  <w:footnote w:id="265">
    <w:p w:rsidR="00385F1D" w:rsidRPr="007D47AD" w:rsidRDefault="00385F1D" w:rsidP="00C66025">
      <w:pPr>
        <w:pStyle w:val="FootnoteText"/>
        <w:spacing w:after="120"/>
        <w:rPr>
          <w:lang w:val="es-419"/>
        </w:rPr>
      </w:pPr>
      <w:r w:rsidRPr="007D47AD">
        <w:rPr>
          <w:rStyle w:val="FootnoteReference"/>
          <w:lang w:val="en-US"/>
        </w:rPr>
        <w:footnoteRef/>
      </w:r>
      <w:r w:rsidRPr="007D47AD">
        <w:rPr>
          <w:lang w:val="en-US"/>
        </w:rPr>
        <w:t xml:space="preserve"> Observations and comments by the State, January 13, 2020, para. </w:t>
      </w:r>
      <w:r w:rsidRPr="007D47AD">
        <w:rPr>
          <w:lang w:val="es-419"/>
        </w:rPr>
        <w:t>79</w:t>
      </w:r>
    </w:p>
  </w:footnote>
  <w:footnote w:id="266">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Sexto Informe del Estado mexicano sobre el cumplimiento y seguimiento de las recomendaciones contenidas en el informe “Situación de los Derechos Humanos en México,” October 2019, p. 65.</w:t>
      </w:r>
    </w:p>
  </w:footnote>
  <w:footnote w:id="267">
    <w:p w:rsidR="00385F1D" w:rsidRPr="007D47AD" w:rsidRDefault="00385F1D" w:rsidP="00C66025">
      <w:pPr>
        <w:pStyle w:val="FootnoteText"/>
        <w:spacing w:after="120"/>
        <w:rPr>
          <w:lang w:val="es-419"/>
        </w:rPr>
      </w:pPr>
      <w:r w:rsidRPr="007D47AD">
        <w:rPr>
          <w:rStyle w:val="FootnoteReference"/>
          <w:lang w:val="en-US"/>
        </w:rPr>
        <w:footnoteRef/>
      </w:r>
      <w:r w:rsidRPr="007D47AD">
        <w:rPr>
          <w:lang w:val="en-US"/>
        </w:rPr>
        <w:t xml:space="preserve"> Observations and comments by the State, January 13, 2020, paras. </w:t>
      </w:r>
      <w:r w:rsidRPr="007D47AD">
        <w:rPr>
          <w:lang w:val="es-419"/>
        </w:rPr>
        <w:t>77-78.</w:t>
      </w:r>
    </w:p>
  </w:footnote>
  <w:footnote w:id="268">
    <w:p w:rsidR="00385F1D" w:rsidRPr="007D47AD" w:rsidRDefault="00385F1D" w:rsidP="00C66025">
      <w:pPr>
        <w:pStyle w:val="FootnoteText"/>
        <w:spacing w:after="120"/>
        <w:rPr>
          <w:lang w:val="es-US"/>
        </w:rPr>
      </w:pPr>
      <w:r w:rsidRPr="007D47AD">
        <w:rPr>
          <w:rStyle w:val="FootnoteReference"/>
        </w:rPr>
        <w:footnoteRef/>
      </w:r>
      <w:r w:rsidRPr="007D47AD">
        <w:rPr>
          <w:lang w:val="es-US"/>
        </w:rPr>
        <w:t xml:space="preserve"> Comisión de Derechos Humanos de la Ciudad de México (CDHDF). </w:t>
      </w:r>
      <w:r w:rsidRPr="007D47AD">
        <w:rPr>
          <w:color w:val="0000FF"/>
          <w:u w:val="single"/>
          <w:lang w:val="es-US"/>
        </w:rPr>
        <w:t>Se debe garantizar participación de mujeres afromexicanas en legislación secundaria</w:t>
      </w:r>
      <w:r w:rsidRPr="007D47AD">
        <w:rPr>
          <w:lang w:val="es-US"/>
        </w:rPr>
        <w:t xml:space="preserve">. 25 julio 2019. </w:t>
      </w:r>
    </w:p>
  </w:footnote>
  <w:footnote w:id="269">
    <w:p w:rsidR="00385F1D" w:rsidRPr="007D47AD" w:rsidRDefault="00385F1D" w:rsidP="00C66025">
      <w:pPr>
        <w:pStyle w:val="FootnoteText"/>
        <w:spacing w:after="120"/>
        <w:rPr>
          <w:lang w:val="en-US"/>
        </w:rPr>
      </w:pPr>
      <w:r w:rsidRPr="007D47AD">
        <w:rPr>
          <w:rStyle w:val="FootnoteReference"/>
          <w:rFonts w:asciiTheme="minorHAnsi" w:hAnsiTheme="minorHAnsi"/>
          <w:color w:val="000000"/>
          <w:lang w:val="en-US"/>
        </w:rPr>
        <w:footnoteRef/>
      </w:r>
      <w:r w:rsidRPr="007D47AD">
        <w:rPr>
          <w:lang w:val="es-419"/>
        </w:rPr>
        <w:t xml:space="preserve"> INM. </w:t>
      </w:r>
      <w:hyperlink r:id="rId105" w:history="1">
        <w:r w:rsidRPr="007D47AD">
          <w:rPr>
            <w:rStyle w:val="Hyperlink"/>
            <w:rFonts w:asciiTheme="minorHAnsi" w:hAnsiTheme="minorHAnsi" w:cs="Arial"/>
            <w:color w:val="000000"/>
            <w:lang w:val="es-419"/>
          </w:rPr>
          <w:t>Paridad en todo: 50% mujeres y 50% hombres en la toma de decisiones</w:t>
        </w:r>
      </w:hyperlink>
      <w:r w:rsidRPr="007D47AD">
        <w:rPr>
          <w:lang w:val="es-419"/>
        </w:rPr>
        <w:t xml:space="preserve">. </w:t>
      </w:r>
      <w:r w:rsidRPr="007D47AD">
        <w:rPr>
          <w:lang w:val="en-US"/>
        </w:rPr>
        <w:t>June 19, 2019.</w:t>
      </w:r>
    </w:p>
  </w:footnote>
  <w:footnote w:id="270">
    <w:p w:rsidR="00385F1D" w:rsidRPr="007D47AD" w:rsidRDefault="00385F1D" w:rsidP="00C66025">
      <w:pPr>
        <w:pStyle w:val="FootnoteText"/>
        <w:spacing w:after="120"/>
        <w:rPr>
          <w:lang w:val="en-US"/>
        </w:rPr>
      </w:pPr>
      <w:r w:rsidRPr="007D47AD">
        <w:rPr>
          <w:rStyle w:val="FootnoteReference"/>
          <w:lang w:val="en-US"/>
        </w:rPr>
        <w:footnoteRef/>
      </w:r>
      <w:r w:rsidRPr="007D47AD">
        <w:rPr>
          <w:lang w:val="en-US"/>
        </w:rPr>
        <w:t xml:space="preserve"> Observations and comments by the State, January 13, 2020, paras. 80 – 82.</w:t>
      </w:r>
    </w:p>
  </w:footnote>
  <w:footnote w:id="271">
    <w:p w:rsidR="00385F1D" w:rsidRPr="007D47AD" w:rsidRDefault="00385F1D" w:rsidP="00C66025">
      <w:pPr>
        <w:pStyle w:val="FootnoteText"/>
        <w:spacing w:after="120"/>
        <w:rPr>
          <w:lang w:val="en-US"/>
        </w:rPr>
      </w:pPr>
      <w:r w:rsidRPr="007D47AD">
        <w:rPr>
          <w:rStyle w:val="FootnoteReference"/>
          <w:rFonts w:asciiTheme="minorHAnsi" w:hAnsiTheme="minorHAnsi"/>
          <w:color w:val="000000"/>
          <w:lang w:val="en-US"/>
        </w:rPr>
        <w:footnoteRef/>
      </w:r>
      <w:r w:rsidRPr="007D47AD">
        <w:rPr>
          <w:lang w:val="en-US"/>
        </w:rPr>
        <w:t xml:space="preserve"> </w:t>
      </w:r>
      <w:r w:rsidRPr="007D47AD">
        <w:rPr>
          <w:rFonts w:asciiTheme="minorHAnsi" w:hAnsiTheme="minorHAnsi"/>
          <w:color w:val="000000"/>
          <w:lang w:val="en-US"/>
        </w:rPr>
        <w:t>United Nations, Committee on the Elimination of Discrimination against Women, Concluding observations on the ninth periodic report of Mexico, Convention on the Elimination of All Forms of Discrimination against Women, CEDAW/C/MEX/CO/9, July 25, 2018</w:t>
      </w:r>
      <w:r w:rsidRPr="007D47AD">
        <w:rPr>
          <w:lang w:val="en-US"/>
        </w:rPr>
        <w:t>, para. 11.</w:t>
      </w:r>
    </w:p>
  </w:footnote>
  <w:footnote w:id="272">
    <w:p w:rsidR="00385F1D" w:rsidRPr="007D47AD" w:rsidRDefault="00385F1D" w:rsidP="00C66025">
      <w:pPr>
        <w:spacing w:after="120" w:line="240" w:lineRule="auto"/>
        <w:ind w:firstLine="720"/>
        <w:jc w:val="both"/>
        <w:rPr>
          <w:rFonts w:asciiTheme="minorHAnsi" w:hAnsiTheme="minorHAnsi" w:cs="Arial"/>
          <w:color w:val="000000"/>
          <w:sz w:val="16"/>
          <w:szCs w:val="16"/>
          <w:lang w:val="es-419"/>
        </w:rPr>
      </w:pPr>
      <w:r w:rsidRPr="007D47AD">
        <w:rPr>
          <w:rStyle w:val="FootnoteReference"/>
          <w:rFonts w:asciiTheme="minorHAnsi" w:hAnsiTheme="minorHAnsi"/>
          <w:color w:val="000000"/>
          <w:sz w:val="16"/>
          <w:szCs w:val="16"/>
          <w:lang w:val="en-US"/>
        </w:rPr>
        <w:footnoteRef/>
      </w:r>
      <w:r w:rsidRPr="007D47AD">
        <w:rPr>
          <w:rFonts w:asciiTheme="minorHAnsi" w:hAnsiTheme="minorHAnsi"/>
          <w:color w:val="000000"/>
          <w:sz w:val="16"/>
          <w:szCs w:val="16"/>
          <w:lang w:val="en-US"/>
        </w:rPr>
        <w:t xml:space="preserve"> United Nations, Committee on the Elimination of Discrimination against Women, Concluding observations on the ninth periodic report of Mexico, Convention on the Elimination of All Forms of Discrimination against Women, CEDAW/C/MEX/CO/9, July 25, 2018.  United Nations General Assembly, </w:t>
      </w:r>
      <w:hyperlink r:id="rId106" w:history="1">
        <w:r w:rsidRPr="007D47AD">
          <w:rPr>
            <w:rStyle w:val="Hyperlink"/>
            <w:rFonts w:asciiTheme="minorHAnsi" w:hAnsiTheme="minorHAnsi"/>
            <w:color w:val="000000"/>
            <w:sz w:val="16"/>
            <w:szCs w:val="16"/>
            <w:lang w:val="en-US"/>
          </w:rPr>
          <w:t>Compilation on Mexico</w:t>
        </w:r>
      </w:hyperlink>
      <w:r w:rsidRPr="007D47AD">
        <w:rPr>
          <w:rFonts w:asciiTheme="minorHAnsi" w:hAnsiTheme="minorHAnsi"/>
          <w:color w:val="000000"/>
          <w:sz w:val="16"/>
          <w:szCs w:val="16"/>
          <w:lang w:val="en-US"/>
        </w:rPr>
        <w:t>, Human Rights Council, Working Group on the Universal Periodic Review, 31</w:t>
      </w:r>
      <w:r w:rsidRPr="007D47AD">
        <w:rPr>
          <w:rFonts w:asciiTheme="minorHAnsi" w:hAnsiTheme="minorHAnsi"/>
          <w:color w:val="000000"/>
          <w:sz w:val="16"/>
          <w:szCs w:val="16"/>
          <w:vertAlign w:val="superscript"/>
          <w:lang w:val="en-US"/>
        </w:rPr>
        <w:t>st</w:t>
      </w:r>
      <w:r w:rsidRPr="007D47AD">
        <w:rPr>
          <w:rFonts w:asciiTheme="minorHAnsi" w:hAnsiTheme="minorHAnsi"/>
          <w:color w:val="000000"/>
          <w:sz w:val="16"/>
          <w:szCs w:val="16"/>
          <w:lang w:val="en-US"/>
        </w:rPr>
        <w:t xml:space="preserve"> period of sessions, A/HRC/WG.6/31/MEX/2, September 3, 2018. </w:t>
      </w:r>
      <w:r w:rsidRPr="007D47AD">
        <w:rPr>
          <w:rFonts w:asciiTheme="minorHAnsi" w:hAnsiTheme="minorHAnsi" w:cs="Arial"/>
          <w:color w:val="000000"/>
          <w:sz w:val="16"/>
          <w:szCs w:val="16"/>
          <w:lang w:val="es-419"/>
        </w:rPr>
        <w:t xml:space="preserve">Amnesty International, </w:t>
      </w:r>
      <w:hyperlink r:id="rId107" w:history="1">
        <w:r w:rsidRPr="007D47AD">
          <w:rPr>
            <w:rStyle w:val="Hyperlink"/>
            <w:rFonts w:asciiTheme="minorHAnsi" w:hAnsiTheme="minorHAnsi" w:cs="Arial"/>
            <w:color w:val="000000"/>
            <w:sz w:val="16"/>
            <w:szCs w:val="16"/>
            <w:lang w:val="es-419"/>
          </w:rPr>
          <w:t>Informe al Comité sobre la eliminación de la discriminación contra la mujer</w:t>
        </w:r>
      </w:hyperlink>
      <w:r w:rsidRPr="007D47AD">
        <w:rPr>
          <w:rFonts w:asciiTheme="minorHAnsi" w:hAnsiTheme="minorHAnsi" w:cs="Arial"/>
          <w:color w:val="000000"/>
          <w:sz w:val="16"/>
          <w:szCs w:val="16"/>
          <w:lang w:val="es-419"/>
        </w:rPr>
        <w:t>, 70</w:t>
      </w:r>
      <w:r w:rsidRPr="007D47AD">
        <w:rPr>
          <w:rFonts w:asciiTheme="minorHAnsi" w:hAnsiTheme="minorHAnsi" w:cs="Arial"/>
          <w:color w:val="000000"/>
          <w:sz w:val="16"/>
          <w:szCs w:val="16"/>
          <w:vertAlign w:val="superscript"/>
          <w:lang w:val="es-419"/>
        </w:rPr>
        <w:t>th</w:t>
      </w:r>
      <w:r w:rsidRPr="007D47AD">
        <w:rPr>
          <w:rFonts w:asciiTheme="minorHAnsi" w:hAnsiTheme="minorHAnsi" w:cs="Arial"/>
          <w:color w:val="000000"/>
          <w:sz w:val="16"/>
          <w:szCs w:val="16"/>
          <w:lang w:val="es-419"/>
        </w:rPr>
        <w:t xml:space="preserve"> session, July 22, 2018.  </w:t>
      </w:r>
    </w:p>
  </w:footnote>
  <w:footnote w:id="273">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Sexto Informe del Estado mexicano sobre el cumplimiento y seguimiento de las recomendaciones contenidas en el informe “Situación de los Derechos Humanos en México,” October 2019, p. 68.</w:t>
      </w:r>
    </w:p>
  </w:footnote>
  <w:footnote w:id="274">
    <w:p w:rsidR="00385F1D" w:rsidRPr="007D47AD" w:rsidRDefault="00385F1D" w:rsidP="00C66025">
      <w:pPr>
        <w:pStyle w:val="FootnoteText"/>
        <w:spacing w:after="120"/>
        <w:rPr>
          <w:lang w:val="en-US"/>
        </w:rPr>
      </w:pPr>
      <w:r w:rsidRPr="007D47AD">
        <w:rPr>
          <w:rStyle w:val="FootnoteReference"/>
          <w:lang w:val="en-US"/>
        </w:rPr>
        <w:footnoteRef/>
      </w:r>
      <w:r w:rsidRPr="007D47AD">
        <w:rPr>
          <w:lang w:val="en-US"/>
        </w:rPr>
        <w:t xml:space="preserve"> Observations and comments by the State, January 13, 2020, para. 84</w:t>
      </w:r>
    </w:p>
  </w:footnote>
  <w:footnote w:id="275">
    <w:p w:rsidR="00385F1D" w:rsidRPr="007D47AD" w:rsidRDefault="00385F1D" w:rsidP="00C66025">
      <w:pPr>
        <w:spacing w:after="120" w:line="240" w:lineRule="auto"/>
        <w:ind w:firstLine="720"/>
        <w:jc w:val="both"/>
        <w:rPr>
          <w:rFonts w:asciiTheme="minorHAnsi" w:hAnsiTheme="minorHAnsi"/>
          <w:color w:val="000000"/>
          <w:sz w:val="16"/>
          <w:szCs w:val="16"/>
          <w:lang w:val="en-US"/>
        </w:rPr>
      </w:pPr>
      <w:r w:rsidRPr="007D47AD">
        <w:rPr>
          <w:rStyle w:val="FootnoteReference"/>
          <w:rFonts w:asciiTheme="minorHAnsi" w:hAnsiTheme="minorHAnsi"/>
          <w:color w:val="000000"/>
          <w:sz w:val="16"/>
          <w:szCs w:val="16"/>
          <w:lang w:val="en-US"/>
        </w:rPr>
        <w:footnoteRef/>
      </w:r>
      <w:r w:rsidRPr="007D47AD">
        <w:rPr>
          <w:rFonts w:asciiTheme="minorHAnsi" w:hAnsiTheme="minorHAnsi"/>
          <w:color w:val="000000"/>
          <w:sz w:val="16"/>
          <w:szCs w:val="16"/>
          <w:lang w:val="en-US"/>
        </w:rPr>
        <w:t xml:space="preserve"> United Nations, Committee on the Elimination of Racial Discrimination, </w:t>
      </w:r>
      <w:hyperlink r:id="rId108" w:history="1">
        <w:r w:rsidRPr="007D47AD">
          <w:rPr>
            <w:rStyle w:val="Hyperlink"/>
            <w:rFonts w:asciiTheme="minorHAnsi" w:hAnsiTheme="minorHAnsi"/>
            <w:color w:val="000000"/>
            <w:sz w:val="16"/>
            <w:szCs w:val="16"/>
            <w:lang w:val="en-US"/>
          </w:rPr>
          <w:t>Concluding observations on the 18</w:t>
        </w:r>
        <w:r w:rsidRPr="007D47AD">
          <w:rPr>
            <w:rStyle w:val="Hyperlink"/>
            <w:rFonts w:asciiTheme="minorHAnsi" w:hAnsiTheme="minorHAnsi"/>
            <w:color w:val="000000"/>
            <w:sz w:val="16"/>
            <w:szCs w:val="16"/>
            <w:vertAlign w:val="superscript"/>
            <w:lang w:val="en-US"/>
          </w:rPr>
          <w:t>th</w:t>
        </w:r>
        <w:r w:rsidRPr="007D47AD">
          <w:rPr>
            <w:rStyle w:val="Hyperlink"/>
            <w:rFonts w:asciiTheme="minorHAnsi" w:hAnsiTheme="minorHAnsi"/>
            <w:color w:val="000000"/>
            <w:sz w:val="16"/>
            <w:szCs w:val="16"/>
            <w:lang w:val="en-US"/>
          </w:rPr>
          <w:t xml:space="preserve"> to 21</w:t>
        </w:r>
        <w:r w:rsidRPr="007D47AD">
          <w:rPr>
            <w:rStyle w:val="Hyperlink"/>
            <w:rFonts w:asciiTheme="minorHAnsi" w:hAnsiTheme="minorHAnsi"/>
            <w:color w:val="000000"/>
            <w:sz w:val="16"/>
            <w:szCs w:val="16"/>
            <w:vertAlign w:val="superscript"/>
            <w:lang w:val="en-US"/>
          </w:rPr>
          <w:t>st</w:t>
        </w:r>
        <w:r w:rsidRPr="007D47AD">
          <w:rPr>
            <w:rStyle w:val="Hyperlink"/>
            <w:rFonts w:asciiTheme="minorHAnsi" w:hAnsiTheme="minorHAnsi"/>
            <w:color w:val="000000"/>
            <w:sz w:val="16"/>
            <w:szCs w:val="16"/>
            <w:lang w:val="en-US"/>
          </w:rPr>
          <w:t xml:space="preserve"> combined periodic reports of Mexico</w:t>
        </w:r>
      </w:hyperlink>
      <w:r w:rsidRPr="007D47AD">
        <w:rPr>
          <w:rFonts w:asciiTheme="minorHAnsi" w:hAnsiTheme="minorHAnsi"/>
          <w:color w:val="000000"/>
          <w:sz w:val="16"/>
          <w:szCs w:val="16"/>
          <w:lang w:val="en-US"/>
        </w:rPr>
        <w:t xml:space="preserve">, CERD/C/MEX/CO/18-2, August 29, 2019, para. 24. </w:t>
      </w:r>
    </w:p>
  </w:footnote>
  <w:footnote w:id="276">
    <w:p w:rsidR="00385F1D" w:rsidRPr="007D47AD" w:rsidRDefault="00385F1D" w:rsidP="00C66025">
      <w:pPr>
        <w:spacing w:after="120" w:line="240" w:lineRule="auto"/>
        <w:ind w:firstLine="720"/>
        <w:jc w:val="both"/>
        <w:rPr>
          <w:rFonts w:asciiTheme="minorHAnsi" w:hAnsiTheme="minorHAnsi"/>
          <w:color w:val="000000"/>
          <w:sz w:val="16"/>
          <w:szCs w:val="16"/>
          <w:lang w:val="es-419"/>
        </w:rPr>
      </w:pPr>
      <w:r w:rsidRPr="007D47AD">
        <w:rPr>
          <w:rStyle w:val="FootnoteReference"/>
          <w:rFonts w:asciiTheme="minorHAnsi" w:hAnsiTheme="minorHAnsi"/>
          <w:color w:val="000000"/>
          <w:sz w:val="16"/>
          <w:szCs w:val="16"/>
          <w:lang w:val="en-US"/>
        </w:rPr>
        <w:footnoteRef/>
      </w:r>
      <w:r w:rsidRPr="007D47AD">
        <w:rPr>
          <w:rFonts w:asciiTheme="minorHAnsi" w:hAnsiTheme="minorHAnsi"/>
          <w:color w:val="000000"/>
          <w:sz w:val="16"/>
          <w:szCs w:val="16"/>
          <w:lang w:val="en-US"/>
        </w:rPr>
        <w:t xml:space="preserve"> United Nations, Committee on the Elimination of Racial Discrimination, </w:t>
      </w:r>
      <w:hyperlink r:id="rId109" w:history="1">
        <w:r w:rsidRPr="007D47AD">
          <w:rPr>
            <w:rStyle w:val="Hyperlink"/>
            <w:rFonts w:asciiTheme="minorHAnsi" w:hAnsiTheme="minorHAnsi"/>
            <w:color w:val="000000"/>
            <w:sz w:val="16"/>
            <w:szCs w:val="16"/>
            <w:lang w:val="en-US"/>
          </w:rPr>
          <w:t>Concluding observations on the 18</w:t>
        </w:r>
        <w:r w:rsidRPr="007D47AD">
          <w:rPr>
            <w:rStyle w:val="Hyperlink"/>
            <w:rFonts w:asciiTheme="minorHAnsi" w:hAnsiTheme="minorHAnsi"/>
            <w:color w:val="000000"/>
            <w:sz w:val="16"/>
            <w:szCs w:val="16"/>
            <w:vertAlign w:val="superscript"/>
            <w:lang w:val="en-US"/>
          </w:rPr>
          <w:t>th</w:t>
        </w:r>
        <w:r w:rsidRPr="007D47AD">
          <w:rPr>
            <w:rStyle w:val="Hyperlink"/>
            <w:rFonts w:asciiTheme="minorHAnsi" w:hAnsiTheme="minorHAnsi"/>
            <w:color w:val="000000"/>
            <w:sz w:val="16"/>
            <w:szCs w:val="16"/>
            <w:lang w:val="en-US"/>
          </w:rPr>
          <w:t xml:space="preserve"> to 21</w:t>
        </w:r>
        <w:r w:rsidRPr="007D47AD">
          <w:rPr>
            <w:rStyle w:val="Hyperlink"/>
            <w:rFonts w:asciiTheme="minorHAnsi" w:hAnsiTheme="minorHAnsi"/>
            <w:color w:val="000000"/>
            <w:sz w:val="16"/>
            <w:szCs w:val="16"/>
            <w:vertAlign w:val="superscript"/>
            <w:lang w:val="en-US"/>
          </w:rPr>
          <w:t>st</w:t>
        </w:r>
        <w:r w:rsidRPr="007D47AD">
          <w:rPr>
            <w:rStyle w:val="Hyperlink"/>
            <w:rFonts w:asciiTheme="minorHAnsi" w:hAnsiTheme="minorHAnsi"/>
            <w:color w:val="000000"/>
            <w:sz w:val="16"/>
            <w:szCs w:val="16"/>
            <w:lang w:val="en-US"/>
          </w:rPr>
          <w:t xml:space="preserve"> combined periodic reports of Mexico</w:t>
        </w:r>
      </w:hyperlink>
      <w:r w:rsidRPr="007D47AD">
        <w:rPr>
          <w:rFonts w:asciiTheme="minorHAnsi" w:hAnsiTheme="minorHAnsi"/>
          <w:color w:val="000000"/>
          <w:sz w:val="16"/>
          <w:szCs w:val="16"/>
          <w:lang w:val="en-US"/>
        </w:rPr>
        <w:t xml:space="preserve">, CERD/C/MEX/CO/18-2, August 29, 2019, para. </w:t>
      </w:r>
      <w:r w:rsidRPr="007D47AD">
        <w:rPr>
          <w:rFonts w:asciiTheme="minorHAnsi" w:hAnsiTheme="minorHAnsi"/>
          <w:color w:val="000000"/>
          <w:sz w:val="16"/>
          <w:szCs w:val="16"/>
          <w:lang w:val="es-419"/>
        </w:rPr>
        <w:t xml:space="preserve">24. </w:t>
      </w:r>
    </w:p>
  </w:footnote>
  <w:footnote w:id="277">
    <w:p w:rsidR="00385F1D" w:rsidRPr="007D47AD" w:rsidRDefault="00385F1D" w:rsidP="00C66025">
      <w:pPr>
        <w:pStyle w:val="FootnoteText"/>
        <w:spacing w:after="120"/>
        <w:rPr>
          <w:lang w:val="es-419"/>
        </w:rPr>
      </w:pPr>
      <w:r w:rsidRPr="007D47AD">
        <w:rPr>
          <w:rStyle w:val="FootnoteReference"/>
          <w:rFonts w:asciiTheme="minorHAnsi" w:hAnsiTheme="minorHAnsi"/>
          <w:color w:val="000000"/>
          <w:lang w:val="en-US"/>
        </w:rPr>
        <w:footnoteRef/>
      </w:r>
      <w:r w:rsidRPr="007D47AD">
        <w:rPr>
          <w:lang w:val="es-419"/>
        </w:rPr>
        <w:t xml:space="preserve"> Equis et al., </w:t>
      </w:r>
      <w:hyperlink r:id="rId110" w:history="1">
        <w:r w:rsidRPr="007D47AD">
          <w:rPr>
            <w:rStyle w:val="Hyperlink"/>
            <w:rFonts w:asciiTheme="minorHAnsi" w:hAnsiTheme="minorHAnsi"/>
            <w:color w:val="000000"/>
            <w:lang w:val="es-419"/>
          </w:rPr>
          <w:t>Acceso a la Justicia para Mujeres Indígenas. Informe Sombra para el Comité de la ONU para la Eliminación de la Discriminación Racial</w:t>
        </w:r>
      </w:hyperlink>
      <w:r w:rsidRPr="007D47AD">
        <w:rPr>
          <w:lang w:val="es-419"/>
        </w:rPr>
        <w:t>, August 2019, p. 2.</w:t>
      </w:r>
    </w:p>
  </w:footnote>
  <w:footnote w:id="278">
    <w:p w:rsidR="00385F1D" w:rsidRPr="007D47AD" w:rsidRDefault="00385F1D" w:rsidP="00C66025">
      <w:pPr>
        <w:spacing w:after="120" w:line="240" w:lineRule="auto"/>
        <w:ind w:firstLine="720"/>
        <w:jc w:val="both"/>
        <w:rPr>
          <w:rFonts w:asciiTheme="minorHAnsi" w:hAnsiTheme="minorHAnsi"/>
          <w:color w:val="000000"/>
          <w:sz w:val="16"/>
          <w:szCs w:val="16"/>
          <w:lang w:val="es-419"/>
        </w:rPr>
      </w:pPr>
      <w:r w:rsidRPr="007D47AD">
        <w:rPr>
          <w:rStyle w:val="FootnoteReference"/>
          <w:rFonts w:asciiTheme="minorHAnsi" w:hAnsiTheme="minorHAnsi"/>
          <w:color w:val="000000"/>
          <w:sz w:val="16"/>
          <w:szCs w:val="16"/>
          <w:lang w:val="en-US"/>
        </w:rPr>
        <w:footnoteRef/>
      </w:r>
      <w:r w:rsidRPr="007D47AD">
        <w:rPr>
          <w:rFonts w:asciiTheme="minorHAnsi" w:hAnsiTheme="minorHAnsi"/>
          <w:color w:val="000000"/>
          <w:sz w:val="16"/>
          <w:szCs w:val="16"/>
          <w:lang w:val="es-419"/>
        </w:rPr>
        <w:t xml:space="preserve"> Animal Político, </w:t>
      </w:r>
      <w:hyperlink r:id="rId111" w:history="1">
        <w:r w:rsidRPr="007D47AD">
          <w:rPr>
            <w:rStyle w:val="Hyperlink"/>
            <w:rFonts w:asciiTheme="minorHAnsi" w:hAnsiTheme="minorHAnsi"/>
            <w:color w:val="000000"/>
            <w:sz w:val="16"/>
            <w:szCs w:val="16"/>
            <w:lang w:val="es-419"/>
          </w:rPr>
          <w:t>Lo que tienes que saber sobre discriminación racial contra las mujeres indígenas en México</w:t>
        </w:r>
      </w:hyperlink>
      <w:r w:rsidRPr="007D47AD">
        <w:rPr>
          <w:rFonts w:asciiTheme="minorHAnsi" w:hAnsiTheme="minorHAnsi"/>
          <w:color w:val="000000"/>
          <w:sz w:val="16"/>
          <w:szCs w:val="16"/>
          <w:lang w:val="es-419"/>
        </w:rPr>
        <w:t xml:space="preserve">, September 5, 2019. </w:t>
      </w:r>
    </w:p>
  </w:footnote>
  <w:footnote w:id="279">
    <w:p w:rsidR="00385F1D" w:rsidRPr="007D47AD" w:rsidRDefault="00385F1D" w:rsidP="00C66025">
      <w:pPr>
        <w:spacing w:after="120" w:line="240" w:lineRule="auto"/>
        <w:ind w:firstLine="720"/>
        <w:jc w:val="both"/>
        <w:rPr>
          <w:rFonts w:asciiTheme="minorHAnsi" w:hAnsiTheme="minorHAnsi"/>
          <w:color w:val="000000"/>
          <w:sz w:val="16"/>
          <w:szCs w:val="16"/>
          <w:lang w:val="es-419"/>
        </w:rPr>
      </w:pPr>
      <w:r w:rsidRPr="007D47AD">
        <w:rPr>
          <w:rStyle w:val="FootnoteReference"/>
          <w:rFonts w:asciiTheme="minorHAnsi" w:hAnsiTheme="minorHAnsi"/>
          <w:color w:val="000000"/>
          <w:sz w:val="16"/>
          <w:szCs w:val="16"/>
          <w:lang w:val="en-US"/>
        </w:rPr>
        <w:footnoteRef/>
      </w:r>
      <w:r w:rsidRPr="007D47AD">
        <w:rPr>
          <w:rFonts w:asciiTheme="minorHAnsi" w:hAnsiTheme="minorHAnsi"/>
          <w:color w:val="000000"/>
          <w:sz w:val="16"/>
          <w:szCs w:val="16"/>
          <w:lang w:val="en-US"/>
        </w:rPr>
        <w:t xml:space="preserve"> United Nations, Committee on the Elimination of Racial Discrimination, </w:t>
      </w:r>
      <w:hyperlink r:id="rId112" w:history="1">
        <w:r w:rsidRPr="007D47AD">
          <w:rPr>
            <w:rStyle w:val="Hyperlink"/>
            <w:rFonts w:asciiTheme="minorHAnsi" w:hAnsiTheme="minorHAnsi"/>
            <w:color w:val="000000"/>
            <w:sz w:val="16"/>
            <w:szCs w:val="16"/>
            <w:lang w:val="en-US"/>
          </w:rPr>
          <w:t>Concluding observations on the 18</w:t>
        </w:r>
        <w:r w:rsidRPr="007D47AD">
          <w:rPr>
            <w:rStyle w:val="Hyperlink"/>
            <w:rFonts w:asciiTheme="minorHAnsi" w:hAnsiTheme="minorHAnsi"/>
            <w:color w:val="000000"/>
            <w:sz w:val="16"/>
            <w:szCs w:val="16"/>
            <w:vertAlign w:val="superscript"/>
            <w:lang w:val="en-US"/>
          </w:rPr>
          <w:t>th</w:t>
        </w:r>
        <w:r w:rsidRPr="007D47AD">
          <w:rPr>
            <w:rStyle w:val="Hyperlink"/>
            <w:rFonts w:asciiTheme="minorHAnsi" w:hAnsiTheme="minorHAnsi"/>
            <w:color w:val="000000"/>
            <w:sz w:val="16"/>
            <w:szCs w:val="16"/>
            <w:lang w:val="en-US"/>
          </w:rPr>
          <w:t xml:space="preserve"> to 21</w:t>
        </w:r>
        <w:r w:rsidRPr="007D47AD">
          <w:rPr>
            <w:rStyle w:val="Hyperlink"/>
            <w:rFonts w:asciiTheme="minorHAnsi" w:hAnsiTheme="minorHAnsi"/>
            <w:color w:val="000000"/>
            <w:sz w:val="16"/>
            <w:szCs w:val="16"/>
            <w:vertAlign w:val="superscript"/>
            <w:lang w:val="en-US"/>
          </w:rPr>
          <w:t>st</w:t>
        </w:r>
        <w:r w:rsidRPr="007D47AD">
          <w:rPr>
            <w:rStyle w:val="Hyperlink"/>
            <w:rFonts w:asciiTheme="minorHAnsi" w:hAnsiTheme="minorHAnsi"/>
            <w:color w:val="000000"/>
            <w:sz w:val="16"/>
            <w:szCs w:val="16"/>
            <w:lang w:val="en-US"/>
          </w:rPr>
          <w:t xml:space="preserve"> combined periodic reports of Mexico</w:t>
        </w:r>
      </w:hyperlink>
      <w:r w:rsidRPr="007D47AD">
        <w:rPr>
          <w:rFonts w:asciiTheme="minorHAnsi" w:hAnsiTheme="minorHAnsi"/>
          <w:color w:val="000000"/>
          <w:sz w:val="16"/>
          <w:szCs w:val="16"/>
          <w:lang w:val="en-US"/>
        </w:rPr>
        <w:t xml:space="preserve">, CERD/C/MEX/CO/18-2, August 29, 2019, para. </w:t>
      </w:r>
      <w:r w:rsidRPr="007D47AD">
        <w:rPr>
          <w:rFonts w:asciiTheme="minorHAnsi" w:hAnsiTheme="minorHAnsi"/>
          <w:color w:val="000000"/>
          <w:sz w:val="16"/>
          <w:szCs w:val="16"/>
          <w:lang w:val="es-419"/>
        </w:rPr>
        <w:t xml:space="preserve">26. </w:t>
      </w:r>
    </w:p>
  </w:footnote>
  <w:footnote w:id="280">
    <w:p w:rsidR="00385F1D" w:rsidRPr="007D47AD" w:rsidRDefault="00385F1D" w:rsidP="00C66025">
      <w:pPr>
        <w:spacing w:after="120" w:line="240" w:lineRule="auto"/>
        <w:ind w:firstLine="720"/>
        <w:jc w:val="both"/>
        <w:rPr>
          <w:rFonts w:asciiTheme="minorHAnsi" w:hAnsiTheme="minorHAnsi"/>
          <w:color w:val="000000"/>
          <w:sz w:val="16"/>
          <w:szCs w:val="16"/>
          <w:lang w:val="es-419"/>
        </w:rPr>
      </w:pPr>
      <w:r w:rsidRPr="007D47AD">
        <w:rPr>
          <w:rStyle w:val="FootnoteReference"/>
          <w:rFonts w:asciiTheme="minorHAnsi" w:hAnsiTheme="minorHAnsi"/>
          <w:color w:val="000000"/>
          <w:sz w:val="16"/>
          <w:szCs w:val="16"/>
          <w:lang w:val="en-US"/>
        </w:rPr>
        <w:footnoteRef/>
      </w:r>
      <w:r w:rsidRPr="007D47AD">
        <w:rPr>
          <w:rFonts w:asciiTheme="minorHAnsi" w:hAnsiTheme="minorHAnsi"/>
          <w:color w:val="000000"/>
          <w:sz w:val="16"/>
          <w:szCs w:val="16"/>
          <w:lang w:val="es-419"/>
        </w:rPr>
        <w:t xml:space="preserve"> Equis et al., </w:t>
      </w:r>
      <w:hyperlink r:id="rId113" w:history="1">
        <w:r w:rsidRPr="007D47AD">
          <w:rPr>
            <w:rStyle w:val="Hyperlink"/>
            <w:rFonts w:asciiTheme="minorHAnsi" w:hAnsiTheme="minorHAnsi"/>
            <w:color w:val="000000"/>
            <w:sz w:val="16"/>
            <w:szCs w:val="16"/>
            <w:lang w:val="es-419"/>
          </w:rPr>
          <w:t>Acceso a la Justicia para Mujeres Indígenas. Informe Sombra para el Comité de la ONU para la Eliminación de la Discriminación Racial</w:t>
        </w:r>
      </w:hyperlink>
      <w:r w:rsidRPr="007D47AD">
        <w:rPr>
          <w:rFonts w:asciiTheme="minorHAnsi" w:hAnsiTheme="minorHAnsi"/>
          <w:color w:val="000000"/>
          <w:sz w:val="16"/>
          <w:szCs w:val="16"/>
          <w:lang w:val="es-419"/>
        </w:rPr>
        <w:t>, August 2019, p. 4.</w:t>
      </w:r>
    </w:p>
  </w:footnote>
  <w:footnote w:id="281">
    <w:p w:rsidR="00385F1D" w:rsidRPr="007D47AD" w:rsidRDefault="00385F1D" w:rsidP="00C66025">
      <w:pPr>
        <w:pStyle w:val="FootnoteText"/>
        <w:spacing w:after="120"/>
        <w:rPr>
          <w:lang w:val="es-419"/>
        </w:rPr>
      </w:pPr>
      <w:r w:rsidRPr="007D47AD">
        <w:rPr>
          <w:rStyle w:val="FootnoteReference"/>
          <w:rFonts w:asciiTheme="minorHAnsi" w:hAnsiTheme="minorHAnsi"/>
          <w:color w:val="000000"/>
          <w:lang w:val="en-US"/>
        </w:rPr>
        <w:footnoteRef/>
      </w:r>
      <w:r w:rsidRPr="007D47AD">
        <w:rPr>
          <w:lang w:val="es-419"/>
        </w:rPr>
        <w:t xml:space="preserve"> Equis et al., </w:t>
      </w:r>
      <w:hyperlink r:id="rId114" w:history="1">
        <w:r w:rsidRPr="007D47AD">
          <w:rPr>
            <w:rStyle w:val="Hyperlink"/>
            <w:rFonts w:asciiTheme="minorHAnsi" w:hAnsiTheme="minorHAnsi"/>
            <w:color w:val="000000"/>
            <w:lang w:val="es-419"/>
          </w:rPr>
          <w:t>Acceso a la Justicia para Mujeres Indígenas. Informe Sombra para el Comité de la ONU para la Eliminación de la Discriminación Racial</w:t>
        </w:r>
      </w:hyperlink>
      <w:r w:rsidRPr="007D47AD">
        <w:rPr>
          <w:lang w:val="es-419"/>
        </w:rPr>
        <w:t xml:space="preserve">, August 2019, p. 15. </w:t>
      </w:r>
    </w:p>
  </w:footnote>
  <w:footnote w:id="282">
    <w:p w:rsidR="00385F1D" w:rsidRPr="007D47AD" w:rsidRDefault="00385F1D" w:rsidP="00C66025">
      <w:pPr>
        <w:pStyle w:val="FootnoteText"/>
        <w:spacing w:after="120"/>
        <w:rPr>
          <w:lang w:val="es-419"/>
        </w:rPr>
      </w:pPr>
      <w:r w:rsidRPr="007D47AD">
        <w:rPr>
          <w:rStyle w:val="FootnoteReference"/>
          <w:rFonts w:asciiTheme="minorHAnsi" w:hAnsiTheme="minorHAnsi"/>
          <w:color w:val="000000"/>
          <w:lang w:val="en-US"/>
        </w:rPr>
        <w:footnoteRef/>
      </w:r>
      <w:r w:rsidRPr="007D47AD">
        <w:rPr>
          <w:lang w:val="es-419"/>
        </w:rPr>
        <w:t xml:space="preserve"> Equis et al., </w:t>
      </w:r>
      <w:hyperlink r:id="rId115" w:history="1">
        <w:r w:rsidRPr="007D47AD">
          <w:rPr>
            <w:rStyle w:val="Hyperlink"/>
            <w:rFonts w:asciiTheme="minorHAnsi" w:hAnsiTheme="minorHAnsi"/>
            <w:color w:val="000000"/>
            <w:lang w:val="es-419"/>
          </w:rPr>
          <w:t>Acceso a la Justicia para Mujeres Indígenas. Informe Sombra para el Comité de la ONU para la Eliminación de la Discriminación Racial</w:t>
        </w:r>
      </w:hyperlink>
      <w:r w:rsidRPr="007D47AD">
        <w:rPr>
          <w:lang w:val="es-419"/>
        </w:rPr>
        <w:t>, August 2019, p. 17.</w:t>
      </w:r>
    </w:p>
  </w:footnote>
  <w:footnote w:id="283">
    <w:p w:rsidR="00385F1D" w:rsidRPr="007D47AD" w:rsidRDefault="00385F1D" w:rsidP="00C66025">
      <w:pPr>
        <w:pStyle w:val="FootnoteText"/>
        <w:spacing w:after="120"/>
        <w:rPr>
          <w:lang w:val="es-419"/>
        </w:rPr>
      </w:pPr>
      <w:r w:rsidRPr="007D47AD">
        <w:rPr>
          <w:vertAlign w:val="superscript"/>
          <w:lang w:val="en-US"/>
        </w:rPr>
        <w:footnoteRef/>
      </w:r>
      <w:r w:rsidRPr="007D47AD">
        <w:rPr>
          <w:lang w:val="en-US"/>
        </w:rPr>
        <w:t xml:space="preserve">  In particular, the State indicated that said Alliance, which formed in December 2018, has made it possible to identify various gains, challenges, and gaps, both legislative and in terms of public policies, to put an end to the forms of violence to which children and adolescents are exposed. </w:t>
      </w:r>
      <w:r w:rsidRPr="007D47AD">
        <w:rPr>
          <w:lang w:val="es-419"/>
        </w:rPr>
        <w:t xml:space="preserve">Communication from the Mexican State, Quinto Informe del Estado mexicano sobre el cumplimiento y seguimiento de las recomendaciones contenidas en el informe “Situación de los Derechos Humanos en México” de la Comisión Interamericana de Derechos Humanos, resultado de la visita que realizó a México del 28 de septiembre al 2 de octubre de 2015, November 2018, </w:t>
      </w:r>
      <w:r w:rsidRPr="007D47AD">
        <w:rPr>
          <w:rFonts w:eastAsia="Times New Roman" w:cs="Calibri Light"/>
          <w:lang w:val="es-419"/>
        </w:rPr>
        <w:t>pp.</w:t>
      </w:r>
      <w:r w:rsidRPr="007D47AD">
        <w:rPr>
          <w:lang w:val="es-419"/>
        </w:rPr>
        <w:t xml:space="preserve"> 45-46.  </w:t>
      </w:r>
    </w:p>
  </w:footnote>
  <w:footnote w:id="284">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Sexto Informe del Estado mexicano sobre el cumplimiento y seguimiento de las recomendaciones contenidas en el informe “Situación de los Derechos Humanos en México,” p. 69.</w:t>
      </w:r>
    </w:p>
  </w:footnote>
  <w:footnote w:id="285">
    <w:p w:rsidR="00385F1D" w:rsidRPr="007D47AD" w:rsidRDefault="00385F1D" w:rsidP="00C66025">
      <w:pPr>
        <w:pStyle w:val="FootnoteText"/>
        <w:spacing w:after="120"/>
        <w:rPr>
          <w:lang w:val="es-419"/>
        </w:rPr>
      </w:pPr>
      <w:r w:rsidRPr="007D47AD">
        <w:rPr>
          <w:rStyle w:val="FootnoteReference"/>
          <w:lang w:val="en-US"/>
        </w:rPr>
        <w:footnoteRef/>
      </w:r>
      <w:r w:rsidRPr="007D47AD">
        <w:rPr>
          <w:lang w:val="en-US"/>
        </w:rPr>
        <w:t xml:space="preserve"> Observations and comments by the State, January 13, 2020, para. </w:t>
      </w:r>
      <w:r w:rsidRPr="007D47AD">
        <w:rPr>
          <w:lang w:val="es-419"/>
        </w:rPr>
        <w:t>90</w:t>
      </w:r>
    </w:p>
  </w:footnote>
  <w:footnote w:id="286">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CNDH, “Nota de prensa: </w:t>
      </w:r>
      <w:hyperlink r:id="rId116" w:history="1">
        <w:r w:rsidRPr="007D47AD">
          <w:rPr>
            <w:rStyle w:val="Hyperlink"/>
            <w:rFonts w:asciiTheme="minorHAnsi" w:hAnsiTheme="minorHAnsi"/>
            <w:lang w:val="es-419"/>
          </w:rPr>
          <w:t>La CNDH expresa su preocupación por pobreza de niñez y adolescencia y exhorta a las autoridades a elaborar políticas públicas con enfoque de derechos humanos</w:t>
        </w:r>
      </w:hyperlink>
      <w:r w:rsidRPr="007D47AD">
        <w:rPr>
          <w:rStyle w:val="Hyperlink"/>
          <w:rFonts w:asciiTheme="minorHAnsi" w:hAnsiTheme="minorHAnsi"/>
          <w:lang w:val="es-419"/>
        </w:rPr>
        <w:t>,</w:t>
      </w:r>
      <w:r w:rsidRPr="007D47AD">
        <w:rPr>
          <w:lang w:val="es-419"/>
        </w:rPr>
        <w:t xml:space="preserve">” 2019. </w:t>
      </w:r>
    </w:p>
  </w:footnote>
  <w:footnote w:id="287">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CNDH, Actualización correspondiente al año 2019 de la aportación de la Comisión Nacional de los Derechos Humanos de México (CNDH) en el marco de la revisión del cumplimiento de recomendaciones contenidas en el “Informe sobre situación de los Derechos Humanos en México”, publicado por la Comisión Interamericana de Derechos Humanos (CIDH) en 2015. October 2019, pp. 17-18.</w:t>
      </w:r>
    </w:p>
  </w:footnote>
  <w:footnote w:id="288">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El País, </w:t>
      </w:r>
      <w:hyperlink r:id="rId117" w:history="1">
        <w:r w:rsidRPr="007D47AD">
          <w:rPr>
            <w:rStyle w:val="Hyperlink"/>
            <w:rFonts w:asciiTheme="minorHAnsi" w:hAnsiTheme="minorHAnsi"/>
            <w:lang w:val="es-419"/>
          </w:rPr>
          <w:t>“Éramos niños jugando a ser sicarios”: los hijos de la violencia en México</w:t>
        </w:r>
      </w:hyperlink>
      <w:r w:rsidRPr="007D47AD">
        <w:rPr>
          <w:lang w:val="es-419"/>
        </w:rPr>
        <w:t xml:space="preserve">, October 14, 2019; Infobae, “Nota de prensa: </w:t>
      </w:r>
      <w:hyperlink r:id="rId118" w:history="1">
        <w:r w:rsidRPr="007D47AD">
          <w:rPr>
            <w:rStyle w:val="Hyperlink"/>
            <w:rFonts w:asciiTheme="minorHAnsi" w:hAnsiTheme="minorHAnsi"/>
            <w:lang w:val="es-419"/>
          </w:rPr>
          <w:t>Horror en México por la muerte de tres niños sicarios en un tiroteo</w:t>
        </w:r>
      </w:hyperlink>
      <w:r w:rsidRPr="007D47AD">
        <w:rPr>
          <w:rStyle w:val="Hyperlink"/>
          <w:rFonts w:asciiTheme="minorHAnsi" w:hAnsiTheme="minorHAnsi"/>
          <w:lang w:val="es-419"/>
        </w:rPr>
        <w:t>,</w:t>
      </w:r>
      <w:r w:rsidRPr="007D47AD">
        <w:rPr>
          <w:lang w:val="es-419"/>
        </w:rPr>
        <w:t xml:space="preserve">” September 13, 2019. </w:t>
      </w:r>
    </w:p>
  </w:footnote>
  <w:footnote w:id="289">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Ministry of Public Security, </w:t>
      </w:r>
      <w:hyperlink r:id="rId119" w:history="1">
        <w:r w:rsidRPr="007D47AD">
          <w:rPr>
            <w:rStyle w:val="Hyperlink"/>
            <w:rFonts w:asciiTheme="minorHAnsi" w:hAnsiTheme="minorHAnsi"/>
            <w:lang w:val="es-419"/>
          </w:rPr>
          <w:t>Se actualiza Policía Estatal Preventiva en Protocolo de Actuación en la Detención de Menores</w:t>
        </w:r>
      </w:hyperlink>
      <w:r w:rsidRPr="007D47AD">
        <w:rPr>
          <w:lang w:val="es-419"/>
        </w:rPr>
        <w:t xml:space="preserve">, April 24, 2019. </w:t>
      </w:r>
    </w:p>
  </w:footnote>
  <w:footnote w:id="290">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Novedades Yucatán, </w:t>
      </w:r>
      <w:hyperlink r:id="rId120" w:history="1">
        <w:r w:rsidRPr="007D47AD">
          <w:rPr>
            <w:rStyle w:val="Hyperlink"/>
            <w:rFonts w:asciiTheme="minorHAnsi" w:hAnsiTheme="minorHAnsi"/>
            <w:lang w:val="es-419"/>
          </w:rPr>
          <w:t>Mérida primera ciudad del país con protocolo para arrestar a menores</w:t>
        </w:r>
      </w:hyperlink>
      <w:r w:rsidRPr="007D47AD">
        <w:rPr>
          <w:lang w:val="es-419"/>
        </w:rPr>
        <w:t xml:space="preserve">, September 27, 2019. </w:t>
      </w:r>
      <w:r w:rsidRPr="007D47AD">
        <w:rPr>
          <w:lang w:val="es-419"/>
        </w:rPr>
        <w:tab/>
        <w:t xml:space="preserve"> </w:t>
      </w:r>
    </w:p>
  </w:footnote>
  <w:footnote w:id="291">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REDIM, </w:t>
      </w:r>
      <w:hyperlink r:id="rId121" w:history="1">
        <w:r w:rsidRPr="007D47AD">
          <w:rPr>
            <w:rStyle w:val="Hyperlink"/>
            <w:rFonts w:asciiTheme="minorHAnsi" w:hAnsiTheme="minorHAnsi"/>
            <w:lang w:val="es-419"/>
          </w:rPr>
          <w:t>REDIM llama al Estado mexicano a construir una Política de Estado para prevenir y frenar la violencia armada que viven niñas, niños y adolescentes</w:t>
        </w:r>
      </w:hyperlink>
      <w:r w:rsidRPr="007D47AD">
        <w:rPr>
          <w:lang w:val="es-419"/>
        </w:rPr>
        <w:t xml:space="preserve">, no date; REDIM, </w:t>
      </w:r>
      <w:hyperlink r:id="rId122" w:history="1">
        <w:r w:rsidRPr="007D47AD">
          <w:rPr>
            <w:rStyle w:val="Hyperlink"/>
            <w:rFonts w:asciiTheme="minorHAnsi" w:hAnsiTheme="minorHAnsi"/>
            <w:lang w:val="es-419"/>
          </w:rPr>
          <w:t>¿Qué hay más importante para el Presidente AMLO que atender con urgencia la violencia armada en contra de la niñez?</w:t>
        </w:r>
      </w:hyperlink>
      <w:r w:rsidRPr="007D47AD">
        <w:rPr>
          <w:lang w:val="es-419"/>
        </w:rPr>
        <w:t xml:space="preserve">, April 28, 2019.  </w:t>
      </w:r>
    </w:p>
  </w:footnote>
  <w:footnote w:id="292">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REDIM, </w:t>
      </w:r>
      <w:hyperlink r:id="rId123" w:history="1">
        <w:r w:rsidRPr="007D47AD">
          <w:rPr>
            <w:rStyle w:val="Hyperlink"/>
            <w:rFonts w:asciiTheme="minorHAnsi" w:hAnsiTheme="minorHAnsi"/>
            <w:lang w:val="es-419"/>
          </w:rPr>
          <w:t>#REDIM urge al jefe del estado y presidente del SIPINNA, diseñar estrategia nacional para frenar los ataques armados en contra de niñas niños y adolescentes</w:t>
        </w:r>
      </w:hyperlink>
      <w:r w:rsidRPr="007D47AD">
        <w:rPr>
          <w:lang w:val="es-419"/>
        </w:rPr>
        <w:t xml:space="preserve">, </w:t>
      </w:r>
    </w:p>
  </w:footnote>
  <w:footnote w:id="293">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n-US"/>
        </w:rPr>
        <w:t xml:space="preserve"> Observations and comments by the State, January 13, 2020, paras. </w:t>
      </w:r>
      <w:r w:rsidRPr="007D47AD">
        <w:rPr>
          <w:lang w:val="es-419"/>
        </w:rPr>
        <w:t>91, 93.</w:t>
      </w:r>
    </w:p>
  </w:footnote>
  <w:footnote w:id="294">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Sexto Informe del Estado mexicano sobre el cumplimiento y seguimiento de las recomendaciones contenidas en el informe “Situación de los Derechos Humanos en México,” p. 71.</w:t>
      </w:r>
    </w:p>
  </w:footnote>
  <w:footnote w:id="295">
    <w:p w:rsidR="00385F1D" w:rsidRPr="007D47AD" w:rsidRDefault="00385F1D" w:rsidP="00C66025">
      <w:pPr>
        <w:pStyle w:val="FootnoteText"/>
        <w:spacing w:after="120"/>
        <w:rPr>
          <w:lang w:val="en-US"/>
        </w:rPr>
      </w:pPr>
      <w:r w:rsidRPr="007D47AD">
        <w:rPr>
          <w:rStyle w:val="FootnoteReference"/>
          <w:rFonts w:asciiTheme="minorHAnsi" w:hAnsiTheme="minorHAnsi"/>
          <w:lang w:val="en-US"/>
        </w:rPr>
        <w:footnoteRef/>
      </w:r>
      <w:r w:rsidRPr="007D47AD">
        <w:rPr>
          <w:lang w:val="es-419"/>
        </w:rPr>
        <w:t xml:space="preserve"> CNDH, Actualización correspondiente al año 2019 de la aportación de la Comisión Nacional de los Derechos Humanos de México (CNDH) en el marco de la revisión del cumplimiento de recomendaciones contenidas en el “Informe sobre situación de los Derechos Humanos en México”, publicado por la Comisión Interamericana de Derechos Humanos (CIDH) en 2015. </w:t>
      </w:r>
      <w:r w:rsidRPr="007D47AD">
        <w:rPr>
          <w:lang w:val="en-US"/>
        </w:rPr>
        <w:t>October 2019, pp. 17-18.</w:t>
      </w:r>
    </w:p>
  </w:footnote>
  <w:footnote w:id="296">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n-US"/>
        </w:rPr>
        <w:t xml:space="preserve"> Observations and comments by the State, January 13, 2020, para. </w:t>
      </w:r>
      <w:r w:rsidRPr="007D47AD">
        <w:rPr>
          <w:lang w:val="es-419"/>
        </w:rPr>
        <w:t>92</w:t>
      </w:r>
    </w:p>
  </w:footnote>
  <w:footnote w:id="297">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Sexto Informe del Estado mexicano sobre el cumplimiento y seguimiento de las recomendaciones contenidas en el informe “Situación de los Derechos Humanos en México,” pp. 72-74.</w:t>
      </w:r>
    </w:p>
  </w:footnote>
  <w:footnote w:id="298">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UNICEF, </w:t>
      </w:r>
      <w:hyperlink r:id="rId124" w:history="1">
        <w:r w:rsidRPr="007D47AD">
          <w:rPr>
            <w:rStyle w:val="Hyperlink"/>
            <w:rFonts w:asciiTheme="minorHAnsi" w:hAnsiTheme="minorHAnsi"/>
            <w:lang w:val="es-419"/>
          </w:rPr>
          <w:t>Panorama estadístico de la violencia contra niñas, niños y adolescentes en México</w:t>
        </w:r>
      </w:hyperlink>
      <w:r w:rsidRPr="007D47AD">
        <w:rPr>
          <w:lang w:val="es-419"/>
        </w:rPr>
        <w:t xml:space="preserve">, July 2019. </w:t>
      </w:r>
    </w:p>
  </w:footnote>
  <w:footnote w:id="299">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CELIG, </w:t>
      </w:r>
      <w:hyperlink r:id="rId125" w:history="1">
        <w:r w:rsidRPr="007D47AD">
          <w:rPr>
            <w:rStyle w:val="Hyperlink"/>
            <w:rFonts w:asciiTheme="minorHAnsi" w:hAnsiTheme="minorHAnsi"/>
            <w:color w:val="auto"/>
            <w:lang w:val="es-419"/>
          </w:rPr>
          <w:t>Niñas, niños y adolescentes víctimas de la violencia en México</w:t>
        </w:r>
      </w:hyperlink>
      <w:r w:rsidRPr="007D47AD">
        <w:rPr>
          <w:lang w:val="es-419"/>
        </w:rPr>
        <w:t>, February 15, 2019.</w:t>
      </w:r>
    </w:p>
  </w:footnote>
  <w:footnote w:id="300">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n-US"/>
        </w:rPr>
        <w:t xml:space="preserve"> Observations and comments by the State, January 13, 2020, para. </w:t>
      </w:r>
      <w:r w:rsidRPr="007D47AD">
        <w:rPr>
          <w:lang w:val="es-419"/>
        </w:rPr>
        <w:t>94</w:t>
      </w:r>
    </w:p>
  </w:footnote>
  <w:footnote w:id="301">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Televisa, </w:t>
      </w:r>
      <w:hyperlink r:id="rId126" w:history="1">
        <w:r w:rsidRPr="007D47AD">
          <w:rPr>
            <w:rStyle w:val="Hyperlink"/>
            <w:rFonts w:asciiTheme="minorHAnsi" w:hAnsiTheme="minorHAnsi"/>
            <w:color w:val="auto"/>
            <w:lang w:val="es-419"/>
          </w:rPr>
          <w:t>México, sin registro estadístico de violencia contra niños y adolescentes</w:t>
        </w:r>
      </w:hyperlink>
      <w:r w:rsidRPr="007D47AD">
        <w:rPr>
          <w:lang w:val="es-419"/>
        </w:rPr>
        <w:t xml:space="preserve">, July 11, 2019. </w:t>
      </w:r>
    </w:p>
  </w:footnote>
  <w:footnote w:id="302">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CNN, </w:t>
      </w:r>
      <w:hyperlink r:id="rId127" w:history="1">
        <w:r w:rsidRPr="007D47AD">
          <w:rPr>
            <w:rStyle w:val="Hyperlink"/>
            <w:rFonts w:asciiTheme="minorHAnsi" w:hAnsiTheme="minorHAnsi"/>
            <w:lang w:val="es-419"/>
          </w:rPr>
          <w:t>Informe revela aumento en la violencia contra niños y adolescentes en México</w:t>
        </w:r>
      </w:hyperlink>
      <w:r w:rsidRPr="007D47AD">
        <w:rPr>
          <w:lang w:val="es-419"/>
        </w:rPr>
        <w:t xml:space="preserve">, May 9, 2019. </w:t>
      </w:r>
    </w:p>
  </w:footnote>
  <w:footnote w:id="303">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Infobae, </w:t>
      </w:r>
      <w:hyperlink r:id="rId128" w:history="1">
        <w:r w:rsidRPr="007D47AD">
          <w:rPr>
            <w:rStyle w:val="Hyperlink"/>
            <w:rFonts w:asciiTheme="minorHAnsi" w:hAnsiTheme="minorHAnsi"/>
            <w:lang w:val="es-419"/>
          </w:rPr>
          <w:t>La realidad de la infancia en México: 6 de cada 10 niños sufren violencia dentro y fuera de sus hogares</w:t>
        </w:r>
      </w:hyperlink>
      <w:r w:rsidRPr="007D47AD">
        <w:rPr>
          <w:lang w:val="es-419"/>
        </w:rPr>
        <w:t xml:space="preserve">, April 24, 2019. </w:t>
      </w:r>
    </w:p>
  </w:footnote>
  <w:footnote w:id="304">
    <w:p w:rsidR="00385F1D" w:rsidRPr="007D47AD" w:rsidRDefault="00385F1D" w:rsidP="00C66025">
      <w:pPr>
        <w:pStyle w:val="FootnoteText"/>
        <w:spacing w:after="120"/>
        <w:rPr>
          <w:lang w:val="en-US"/>
        </w:rPr>
      </w:pPr>
      <w:r w:rsidRPr="007D47AD">
        <w:rPr>
          <w:vertAlign w:val="superscript"/>
          <w:lang w:val="en-US"/>
        </w:rPr>
        <w:footnoteRef/>
      </w:r>
      <w:r w:rsidRPr="007D47AD">
        <w:rPr>
          <w:lang w:val="en-US"/>
        </w:rPr>
        <w:t xml:space="preserve"> IACHR, </w:t>
      </w:r>
      <w:hyperlink r:id="rId129" w:history="1">
        <w:r w:rsidRPr="007D47AD">
          <w:rPr>
            <w:rStyle w:val="Hyperlink1"/>
            <w:rFonts w:asciiTheme="minorHAnsi" w:hAnsiTheme="minorHAnsi"/>
            <w:sz w:val="16"/>
            <w:szCs w:val="16"/>
            <w:lang w:val="en-US"/>
          </w:rPr>
          <w:t>2017 Annual Report</w:t>
        </w:r>
      </w:hyperlink>
      <w:r w:rsidRPr="007D47AD">
        <w:rPr>
          <w:lang w:val="en-US"/>
        </w:rPr>
        <w:t xml:space="preserve">, 2017. </w:t>
      </w:r>
    </w:p>
  </w:footnote>
  <w:footnote w:id="305">
    <w:p w:rsidR="00385F1D" w:rsidRPr="007D47AD" w:rsidRDefault="00385F1D" w:rsidP="00C66025">
      <w:pPr>
        <w:pStyle w:val="FootnoteText"/>
        <w:spacing w:after="120"/>
        <w:rPr>
          <w:lang w:val="en-US"/>
        </w:rPr>
      </w:pPr>
      <w:r w:rsidRPr="007D47AD">
        <w:rPr>
          <w:vertAlign w:val="superscript"/>
          <w:lang w:val="en-US"/>
        </w:rPr>
        <w:footnoteRef/>
      </w:r>
      <w:r w:rsidRPr="007D47AD">
        <w:rPr>
          <w:lang w:val="en-US"/>
        </w:rPr>
        <w:t xml:space="preserve"> In the case of the “Ciudad de los Niños” shelters it is alleged that crimes of sexual violence, mistreatment, forced disappearance, and human trafficking were committed. </w:t>
      </w:r>
    </w:p>
  </w:footnote>
  <w:footnote w:id="306">
    <w:p w:rsidR="00385F1D" w:rsidRPr="007D47AD" w:rsidRDefault="00385F1D" w:rsidP="00C66025">
      <w:pPr>
        <w:pStyle w:val="FootnoteText"/>
        <w:spacing w:after="120"/>
        <w:rPr>
          <w:lang w:val="es-419"/>
        </w:rPr>
      </w:pPr>
      <w:r w:rsidRPr="007D47AD">
        <w:rPr>
          <w:vertAlign w:val="superscript"/>
          <w:lang w:val="en-US"/>
        </w:rPr>
        <w:footnoteRef/>
      </w:r>
      <w:r w:rsidRPr="007D47AD">
        <w:rPr>
          <w:lang w:val="es-419"/>
        </w:rPr>
        <w:t xml:space="preserve"> IACHR, </w:t>
      </w:r>
      <w:hyperlink r:id="rId130" w:history="1">
        <w:r w:rsidRPr="007D47AD">
          <w:rPr>
            <w:rStyle w:val="Hyperlink0"/>
            <w:rFonts w:asciiTheme="minorHAnsi" w:hAnsiTheme="minorHAnsi"/>
            <w:lang w:val="es-419"/>
          </w:rPr>
          <w:t>2017 Annual Report</w:t>
        </w:r>
      </w:hyperlink>
      <w:r w:rsidRPr="007D47AD">
        <w:rPr>
          <w:lang w:val="es-419"/>
        </w:rPr>
        <w:t xml:space="preserve">, 2017, para. 163. </w:t>
      </w:r>
    </w:p>
  </w:footnote>
  <w:footnote w:id="307">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Eje Central, </w:t>
      </w:r>
      <w:hyperlink r:id="rId131" w:history="1">
        <w:r w:rsidRPr="007D47AD">
          <w:rPr>
            <w:rStyle w:val="Hyperlink"/>
            <w:rFonts w:asciiTheme="minorHAnsi" w:hAnsiTheme="minorHAnsi"/>
            <w:lang w:val="es-419"/>
          </w:rPr>
          <w:t>Piden no reabrir albergue “Ciudad de los Niños,”</w:t>
        </w:r>
      </w:hyperlink>
      <w:r w:rsidRPr="007D47AD">
        <w:rPr>
          <w:lang w:val="es-419"/>
        </w:rPr>
        <w:t xml:space="preserve"> July 21, 2019; Contralínea, </w:t>
      </w:r>
      <w:hyperlink r:id="rId132" w:history="1">
        <w:r w:rsidRPr="007D47AD">
          <w:rPr>
            <w:rStyle w:val="Hyperlink"/>
            <w:rFonts w:asciiTheme="minorHAnsi" w:hAnsiTheme="minorHAnsi"/>
            <w:lang w:val="es-419"/>
          </w:rPr>
          <w:t>Organizaciones exigen a autoridades no reabrir albergues “Ciudad de los Niños”</w:t>
        </w:r>
      </w:hyperlink>
      <w:r w:rsidRPr="007D47AD">
        <w:rPr>
          <w:lang w:val="es-419"/>
        </w:rPr>
        <w:t xml:space="preserve">, July 22, 2019. </w:t>
      </w:r>
    </w:p>
  </w:footnote>
  <w:footnote w:id="308">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El País, </w:t>
      </w:r>
      <w:hyperlink r:id="rId133" w:history="1">
        <w:r w:rsidRPr="007D47AD">
          <w:rPr>
            <w:rStyle w:val="Hyperlink"/>
            <w:rFonts w:asciiTheme="minorHAnsi" w:hAnsiTheme="minorHAnsi"/>
            <w:lang w:val="es-419"/>
          </w:rPr>
          <w:t>El trauma es que abusen de ti y digan que no es malo, que Dios está viendo</w:t>
        </w:r>
      </w:hyperlink>
      <w:r w:rsidRPr="007D47AD">
        <w:rPr>
          <w:lang w:val="es-419"/>
        </w:rPr>
        <w:t xml:space="preserve">, May 10, 2019. </w:t>
      </w:r>
    </w:p>
  </w:footnote>
  <w:footnote w:id="309">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n-US"/>
        </w:rPr>
        <w:t xml:space="preserve"> Observations and comments by the State, January 13, 2020, para. </w:t>
      </w:r>
      <w:r w:rsidRPr="007D47AD">
        <w:rPr>
          <w:lang w:val="es-419"/>
        </w:rPr>
        <w:t>95.</w:t>
      </w:r>
    </w:p>
  </w:footnote>
  <w:footnote w:id="310">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CNDH, </w:t>
      </w:r>
      <w:hyperlink r:id="rId134" w:history="1">
        <w:r w:rsidRPr="007D47AD">
          <w:rPr>
            <w:rStyle w:val="Hyperlink"/>
            <w:rFonts w:asciiTheme="minorHAnsi" w:hAnsiTheme="minorHAnsi"/>
            <w:lang w:val="es-419"/>
          </w:rPr>
          <w:t>Informe Especial sobre la situación de los derechos de niñas, niños y adolescentes en centros de asistencia social y albergues públicos y privados de la República Mexicana,</w:t>
        </w:r>
      </w:hyperlink>
      <w:r w:rsidRPr="007D47AD">
        <w:rPr>
          <w:lang w:val="es-419"/>
        </w:rPr>
        <w:t xml:space="preserve"> October 2019. </w:t>
      </w:r>
    </w:p>
  </w:footnote>
  <w:footnote w:id="311">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CNDH, </w:t>
      </w:r>
      <w:hyperlink r:id="rId135" w:history="1">
        <w:r w:rsidRPr="007D47AD">
          <w:rPr>
            <w:rStyle w:val="Hyperlink"/>
            <w:rFonts w:asciiTheme="minorHAnsi" w:hAnsiTheme="minorHAnsi"/>
            <w:lang w:val="es-419"/>
          </w:rPr>
          <w:t>Informe Especial sobre la situación de los derechos de niñas, niños y adolescentes en centros de asistencia social y albergues públicos y privados de la República Mexicana,</w:t>
        </w:r>
      </w:hyperlink>
      <w:r w:rsidRPr="007D47AD">
        <w:rPr>
          <w:lang w:val="es-419"/>
        </w:rPr>
        <w:t xml:space="preserve"> October 2019. </w:t>
      </w:r>
    </w:p>
  </w:footnote>
  <w:footnote w:id="312">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SIPINNA, </w:t>
      </w:r>
      <w:hyperlink r:id="rId136" w:history="1">
        <w:r w:rsidRPr="007D47AD">
          <w:rPr>
            <w:rStyle w:val="Hyperlink"/>
            <w:rFonts w:asciiTheme="minorHAnsi" w:hAnsiTheme="minorHAnsi"/>
            <w:lang w:val="es-419"/>
          </w:rPr>
          <w:t>OPINNA ¡qué buen plan!. Reporte de Resultados</w:t>
        </w:r>
      </w:hyperlink>
      <w:r w:rsidRPr="007D47AD">
        <w:rPr>
          <w:lang w:val="es-419"/>
        </w:rPr>
        <w:t xml:space="preserve">, October 29, 2019. </w:t>
      </w:r>
    </w:p>
  </w:footnote>
  <w:footnote w:id="313">
    <w:p w:rsidR="00385F1D" w:rsidRPr="007D47AD" w:rsidRDefault="00385F1D" w:rsidP="00C66025">
      <w:pPr>
        <w:pStyle w:val="FootnoteText"/>
        <w:spacing w:after="120"/>
        <w:rPr>
          <w:lang w:val="es-US"/>
        </w:rPr>
      </w:pPr>
      <w:r w:rsidRPr="007D47AD">
        <w:rPr>
          <w:rStyle w:val="FootnoteReference"/>
        </w:rPr>
        <w:footnoteRef/>
      </w:r>
      <w:r w:rsidRPr="007D47AD">
        <w:rPr>
          <w:lang w:val="es-US"/>
        </w:rPr>
        <w:t xml:space="preserve"> La Jornada del campo. </w:t>
      </w:r>
      <w:r w:rsidRPr="007D47AD">
        <w:rPr>
          <w:color w:val="0000FF"/>
          <w:u w:val="single"/>
          <w:lang w:val="es-US"/>
        </w:rPr>
        <w:t>Niñez afromexicana. Retos en el marco del Decenio Internacional para los Afrodescendientes</w:t>
      </w:r>
      <w:r w:rsidRPr="007D47AD">
        <w:rPr>
          <w:lang w:val="es-US"/>
        </w:rPr>
        <w:t xml:space="preserve">. 20 abril 2019. </w:t>
      </w:r>
    </w:p>
  </w:footnote>
  <w:footnote w:id="314">
    <w:p w:rsidR="00385F1D" w:rsidRPr="007D47AD" w:rsidRDefault="00385F1D" w:rsidP="00C66025">
      <w:pPr>
        <w:pStyle w:val="FootnoteText"/>
        <w:spacing w:after="120"/>
        <w:rPr>
          <w:lang w:val="es-US"/>
        </w:rPr>
      </w:pPr>
      <w:r w:rsidRPr="007D47AD">
        <w:rPr>
          <w:rStyle w:val="FootnoteReference"/>
        </w:rPr>
        <w:footnoteRef/>
      </w:r>
      <w:r w:rsidRPr="007D47AD">
        <w:rPr>
          <w:lang w:val="es-US"/>
        </w:rPr>
        <w:t xml:space="preserve"> Naciones Unidas. </w:t>
      </w:r>
      <w:r w:rsidRPr="007D47AD">
        <w:rPr>
          <w:color w:val="0000FF"/>
          <w:u w:val="single"/>
          <w:lang w:val="es-US"/>
        </w:rPr>
        <w:t>Decenio Internacional para los Afrodescendientes</w:t>
      </w:r>
      <w:r w:rsidRPr="007D47AD">
        <w:rPr>
          <w:lang w:val="es-US"/>
        </w:rPr>
        <w:t xml:space="preserve">, 2015-2024. </w:t>
      </w:r>
    </w:p>
  </w:footnote>
  <w:footnote w:id="315">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Séptimo Informe del Estado mexicano sobre el cumplimiento y seguimiento de las recomendaciones contenidas en el informe “Situación de los Derechos Humanos en México”, pp. 72-74 and Observations and comments by the State, January 13, 2020, para. 87.</w:t>
      </w:r>
    </w:p>
  </w:footnote>
  <w:footnote w:id="316">
    <w:p w:rsidR="00385F1D" w:rsidRPr="007D47AD" w:rsidRDefault="00385F1D" w:rsidP="00C66025">
      <w:pPr>
        <w:pStyle w:val="FootnoteText"/>
        <w:spacing w:after="120"/>
        <w:rPr>
          <w:lang w:val="es-419"/>
        </w:rPr>
      </w:pPr>
      <w:r w:rsidRPr="007D47AD">
        <w:rPr>
          <w:rStyle w:val="FootnoteReference"/>
          <w:lang w:val="en-US"/>
        </w:rPr>
        <w:footnoteRef/>
      </w:r>
      <w:r w:rsidRPr="007D47AD">
        <w:rPr>
          <w:lang w:val="es-419"/>
        </w:rPr>
        <w:t xml:space="preserve"> Séptimo Informe del Estado mexicano sobre el cumplimiento y seguimiento de las recomendaciones contenidas en el informe “Situación de los Derechos Humanos en México”, pp. 68-69.</w:t>
      </w:r>
    </w:p>
  </w:footnote>
  <w:footnote w:id="317">
    <w:p w:rsidR="00385F1D" w:rsidRPr="007D47AD" w:rsidRDefault="00385F1D" w:rsidP="00C66025">
      <w:pPr>
        <w:pStyle w:val="FootnoteText"/>
        <w:spacing w:after="120"/>
        <w:rPr>
          <w:lang w:val="es-AR"/>
        </w:rPr>
      </w:pPr>
      <w:r w:rsidRPr="007D47AD">
        <w:rPr>
          <w:rStyle w:val="FootnoteReference"/>
          <w:rFonts w:asciiTheme="minorHAnsi" w:hAnsiTheme="minorHAnsi"/>
          <w:lang w:val="en-US"/>
        </w:rPr>
        <w:footnoteRef/>
      </w:r>
      <w:r w:rsidRPr="007D47AD">
        <w:rPr>
          <w:lang w:val="en-US"/>
        </w:rPr>
        <w:t xml:space="preserve"> Observations and comments by the State, January 13, 2020, para. </w:t>
      </w:r>
      <w:r w:rsidRPr="007D47AD">
        <w:rPr>
          <w:lang w:val="es-AR"/>
        </w:rPr>
        <w:t>96.</w:t>
      </w:r>
    </w:p>
  </w:footnote>
  <w:footnote w:id="318">
    <w:p w:rsidR="00385F1D" w:rsidRPr="007D47AD" w:rsidRDefault="00385F1D" w:rsidP="00C66025">
      <w:pPr>
        <w:spacing w:after="120" w:line="240" w:lineRule="auto"/>
        <w:ind w:firstLine="720"/>
        <w:jc w:val="both"/>
        <w:rPr>
          <w:rFonts w:asciiTheme="minorHAnsi" w:hAnsiTheme="minorHAnsi" w:cs="Cambria"/>
          <w:sz w:val="16"/>
          <w:szCs w:val="16"/>
          <w:lang w:val="es-AR"/>
        </w:rPr>
      </w:pPr>
      <w:r w:rsidRPr="007D47AD">
        <w:rPr>
          <w:rStyle w:val="FootnoteReference"/>
          <w:rFonts w:asciiTheme="minorHAnsi" w:hAnsiTheme="minorHAnsi" w:cs="Cambria"/>
          <w:sz w:val="16"/>
          <w:szCs w:val="16"/>
          <w:lang w:val="en-US"/>
        </w:rPr>
        <w:footnoteRef/>
      </w:r>
      <w:r w:rsidRPr="007D47AD">
        <w:rPr>
          <w:rFonts w:asciiTheme="minorHAnsi" w:hAnsiTheme="minorHAnsi" w:cs="Cambria"/>
          <w:sz w:val="16"/>
          <w:szCs w:val="16"/>
          <w:lang w:val="es-AR"/>
        </w:rPr>
        <w:t xml:space="preserve"> La Jornada, </w:t>
      </w:r>
      <w:hyperlink r:id="rId137" w:history="1">
        <w:r w:rsidRPr="007D47AD">
          <w:rPr>
            <w:rStyle w:val="Hyperlink"/>
            <w:rFonts w:asciiTheme="minorHAnsi" w:hAnsiTheme="minorHAnsi" w:cs="Cambria"/>
            <w:sz w:val="16"/>
            <w:szCs w:val="16"/>
            <w:lang w:val="es-AR"/>
          </w:rPr>
          <w:t>Desaparecen albergues para niños indígenas</w:t>
        </w:r>
      </w:hyperlink>
      <w:r w:rsidRPr="007D47AD">
        <w:rPr>
          <w:rFonts w:asciiTheme="minorHAnsi" w:hAnsiTheme="minorHAnsi" w:cs="Cambria"/>
          <w:sz w:val="16"/>
          <w:szCs w:val="16"/>
          <w:lang w:val="es-AR"/>
        </w:rPr>
        <w:t xml:space="preserve">, April 14, 2019. </w:t>
      </w:r>
    </w:p>
  </w:footnote>
  <w:footnote w:id="319">
    <w:p w:rsidR="00385F1D" w:rsidRPr="007D47AD" w:rsidRDefault="00385F1D" w:rsidP="00C66025">
      <w:pPr>
        <w:spacing w:after="120" w:line="240" w:lineRule="auto"/>
        <w:ind w:firstLine="720"/>
        <w:jc w:val="both"/>
        <w:rPr>
          <w:rFonts w:asciiTheme="minorHAnsi" w:hAnsiTheme="minorHAnsi" w:cs="Cambria"/>
          <w:sz w:val="16"/>
          <w:szCs w:val="16"/>
          <w:lang w:val="es-AR"/>
        </w:rPr>
      </w:pPr>
      <w:r w:rsidRPr="007D47AD">
        <w:rPr>
          <w:rStyle w:val="FootnoteReference"/>
          <w:rFonts w:asciiTheme="minorHAnsi" w:hAnsiTheme="minorHAnsi" w:cs="Cambria"/>
          <w:sz w:val="16"/>
          <w:szCs w:val="16"/>
          <w:lang w:val="en-US"/>
        </w:rPr>
        <w:footnoteRef/>
      </w:r>
      <w:r w:rsidRPr="007D47AD">
        <w:rPr>
          <w:rFonts w:asciiTheme="minorHAnsi" w:hAnsiTheme="minorHAnsi" w:cs="Cambria"/>
          <w:sz w:val="16"/>
          <w:szCs w:val="16"/>
          <w:lang w:val="es-AR"/>
        </w:rPr>
        <w:t xml:space="preserve"> Contralínea, </w:t>
      </w:r>
      <w:hyperlink r:id="rId138" w:history="1">
        <w:r w:rsidRPr="007D47AD">
          <w:rPr>
            <w:rStyle w:val="Hyperlink"/>
            <w:rFonts w:asciiTheme="minorHAnsi" w:hAnsiTheme="minorHAnsi" w:cs="Cambria"/>
            <w:sz w:val="16"/>
            <w:szCs w:val="16"/>
            <w:lang w:val="es-AR"/>
          </w:rPr>
          <w:t>Estado mexicano incumple medidas cautelares a favor de indígenas de Oaxaca, dictadas por CIDH</w:t>
        </w:r>
      </w:hyperlink>
      <w:r w:rsidRPr="007D47AD">
        <w:rPr>
          <w:rFonts w:asciiTheme="minorHAnsi" w:hAnsiTheme="minorHAnsi" w:cs="Cambria"/>
          <w:sz w:val="16"/>
          <w:szCs w:val="16"/>
          <w:lang w:val="es-AR"/>
        </w:rPr>
        <w:t xml:space="preserve">, April 30, 2019; Voltairenet.org, </w:t>
      </w:r>
      <w:hyperlink r:id="rId139" w:history="1">
        <w:r w:rsidRPr="007D47AD">
          <w:rPr>
            <w:rStyle w:val="Hyperlink"/>
            <w:rFonts w:asciiTheme="minorHAnsi" w:hAnsiTheme="minorHAnsi" w:cs="Cambria"/>
            <w:sz w:val="16"/>
            <w:szCs w:val="16"/>
            <w:lang w:val="es-AR"/>
          </w:rPr>
          <w:t>En Santo Domingo Ixcatlan, Estado mexicano incumple medidas cautelares de CIDH</w:t>
        </w:r>
      </w:hyperlink>
      <w:r w:rsidRPr="007D47AD">
        <w:rPr>
          <w:rFonts w:asciiTheme="minorHAnsi" w:hAnsiTheme="minorHAnsi" w:cs="Cambria"/>
          <w:sz w:val="16"/>
          <w:szCs w:val="16"/>
          <w:lang w:val="es-AR"/>
        </w:rPr>
        <w:t xml:space="preserve">, May 14, 2019. </w:t>
      </w:r>
    </w:p>
  </w:footnote>
  <w:footnote w:id="320">
    <w:p w:rsidR="00385F1D" w:rsidRPr="007D47AD" w:rsidRDefault="00385F1D" w:rsidP="00C66025">
      <w:pPr>
        <w:pStyle w:val="FootnoteText"/>
        <w:spacing w:after="120"/>
        <w:rPr>
          <w:lang w:val="en-US"/>
        </w:rPr>
      </w:pPr>
      <w:r w:rsidRPr="007D47AD">
        <w:rPr>
          <w:rStyle w:val="FootnoteReference"/>
          <w:rFonts w:asciiTheme="minorHAnsi" w:hAnsiTheme="minorHAnsi" w:cs="Cambria"/>
          <w:lang w:val="en-US"/>
        </w:rPr>
        <w:footnoteRef/>
      </w:r>
      <w:r w:rsidRPr="007D47AD">
        <w:rPr>
          <w:lang w:val="en-US"/>
        </w:rPr>
        <w:t xml:space="preserve"> IACHR, </w:t>
      </w:r>
      <w:hyperlink r:id="rId140" w:history="1">
        <w:r w:rsidRPr="007D47AD">
          <w:rPr>
            <w:rStyle w:val="Hyperlink"/>
            <w:rFonts w:asciiTheme="minorHAnsi" w:hAnsiTheme="minorHAnsi" w:cs="Cambria"/>
            <w:lang w:val="en-US"/>
          </w:rPr>
          <w:t>Precautionary Measures granted by the IACHR in 2008</w:t>
        </w:r>
      </w:hyperlink>
      <w:r w:rsidRPr="007D47AD">
        <w:rPr>
          <w:lang w:val="en-US"/>
        </w:rPr>
        <w:t>, May 19, 2008.</w:t>
      </w:r>
    </w:p>
  </w:footnote>
  <w:footnote w:id="321">
    <w:p w:rsidR="00385F1D" w:rsidRPr="007D47AD" w:rsidRDefault="00385F1D" w:rsidP="00C66025">
      <w:pPr>
        <w:spacing w:after="120" w:line="240" w:lineRule="auto"/>
        <w:ind w:firstLine="720"/>
        <w:jc w:val="both"/>
        <w:rPr>
          <w:rFonts w:asciiTheme="minorHAnsi" w:hAnsiTheme="minorHAnsi" w:cs="Cambria"/>
          <w:sz w:val="16"/>
          <w:szCs w:val="16"/>
          <w:lang w:val="es-419"/>
        </w:rPr>
      </w:pPr>
      <w:r w:rsidRPr="007D47AD">
        <w:rPr>
          <w:rStyle w:val="FootnoteReference"/>
          <w:rFonts w:asciiTheme="minorHAnsi" w:hAnsiTheme="minorHAnsi" w:cs="Cambria"/>
          <w:sz w:val="16"/>
          <w:szCs w:val="16"/>
          <w:lang w:val="en-US"/>
        </w:rPr>
        <w:footnoteRef/>
      </w:r>
      <w:r w:rsidRPr="007D47AD">
        <w:rPr>
          <w:rFonts w:asciiTheme="minorHAnsi" w:hAnsiTheme="minorHAnsi" w:cs="Cambria"/>
          <w:sz w:val="16"/>
          <w:szCs w:val="16"/>
          <w:lang w:val="es-419"/>
        </w:rPr>
        <w:t xml:space="preserve"> Contralínea, </w:t>
      </w:r>
      <w:hyperlink r:id="rId141" w:history="1">
        <w:r w:rsidRPr="007D47AD">
          <w:rPr>
            <w:rStyle w:val="Hyperlink"/>
            <w:rFonts w:asciiTheme="minorHAnsi" w:hAnsiTheme="minorHAnsi" w:cs="Cambria"/>
            <w:sz w:val="16"/>
            <w:szCs w:val="16"/>
            <w:lang w:val="es-419"/>
          </w:rPr>
          <w:t>Cárteles, en guerra contra pueblos indígenas</w:t>
        </w:r>
      </w:hyperlink>
      <w:r w:rsidRPr="007D47AD">
        <w:rPr>
          <w:rFonts w:asciiTheme="minorHAnsi" w:hAnsiTheme="minorHAnsi" w:cs="Cambria"/>
          <w:sz w:val="16"/>
          <w:szCs w:val="16"/>
          <w:lang w:val="es-419"/>
        </w:rPr>
        <w:t>, October 9, 2019.</w:t>
      </w:r>
    </w:p>
  </w:footnote>
  <w:footnote w:id="322">
    <w:p w:rsidR="00385F1D" w:rsidRPr="007D47AD" w:rsidRDefault="00385F1D" w:rsidP="00C66025">
      <w:pPr>
        <w:spacing w:after="120" w:line="240" w:lineRule="auto"/>
        <w:ind w:firstLine="720"/>
        <w:jc w:val="both"/>
        <w:rPr>
          <w:rFonts w:asciiTheme="minorHAnsi" w:hAnsiTheme="minorHAnsi" w:cs="Cambria"/>
          <w:sz w:val="16"/>
          <w:szCs w:val="16"/>
          <w:lang w:val="es-419"/>
        </w:rPr>
      </w:pPr>
      <w:r w:rsidRPr="007D47AD">
        <w:rPr>
          <w:rStyle w:val="FootnoteReference"/>
          <w:rFonts w:asciiTheme="minorHAnsi" w:hAnsiTheme="minorHAnsi" w:cs="Cambria"/>
          <w:sz w:val="16"/>
          <w:szCs w:val="16"/>
          <w:lang w:val="en-US"/>
        </w:rPr>
        <w:footnoteRef/>
      </w:r>
      <w:r w:rsidRPr="007D47AD">
        <w:rPr>
          <w:rFonts w:asciiTheme="minorHAnsi" w:hAnsiTheme="minorHAnsi" w:cs="Cambria"/>
          <w:sz w:val="16"/>
          <w:szCs w:val="16"/>
          <w:lang w:val="es-419"/>
        </w:rPr>
        <w:t xml:space="preserve"> Contralínea, </w:t>
      </w:r>
      <w:hyperlink r:id="rId142" w:history="1">
        <w:r w:rsidRPr="007D47AD">
          <w:rPr>
            <w:rStyle w:val="Hyperlink"/>
            <w:rFonts w:asciiTheme="minorHAnsi" w:hAnsiTheme="minorHAnsi" w:cs="Cambria"/>
            <w:sz w:val="16"/>
            <w:szCs w:val="16"/>
            <w:lang w:val="es-419"/>
          </w:rPr>
          <w:t>Cárteles, en guerra contra pueblos indígenas</w:t>
        </w:r>
      </w:hyperlink>
      <w:r w:rsidRPr="007D47AD">
        <w:rPr>
          <w:rFonts w:asciiTheme="minorHAnsi" w:hAnsiTheme="minorHAnsi" w:cs="Cambria"/>
          <w:sz w:val="16"/>
          <w:szCs w:val="16"/>
          <w:lang w:val="es-419"/>
        </w:rPr>
        <w:t>, October 9, 2019.</w:t>
      </w:r>
    </w:p>
  </w:footnote>
  <w:footnote w:id="323">
    <w:p w:rsidR="00385F1D" w:rsidRPr="007D47AD" w:rsidRDefault="00385F1D" w:rsidP="00C66025">
      <w:pPr>
        <w:spacing w:after="120" w:line="240" w:lineRule="auto"/>
        <w:ind w:firstLine="720"/>
        <w:jc w:val="both"/>
        <w:rPr>
          <w:rFonts w:asciiTheme="minorHAnsi" w:hAnsiTheme="minorHAnsi" w:cs="Cambria"/>
          <w:sz w:val="16"/>
          <w:szCs w:val="16"/>
          <w:lang w:val="es-419"/>
        </w:rPr>
      </w:pPr>
      <w:r w:rsidRPr="007D47AD">
        <w:rPr>
          <w:rStyle w:val="FootnoteReference"/>
          <w:rFonts w:asciiTheme="minorHAnsi" w:hAnsiTheme="minorHAnsi" w:cs="Cambria"/>
          <w:sz w:val="16"/>
          <w:szCs w:val="16"/>
          <w:lang w:val="en-US"/>
        </w:rPr>
        <w:footnoteRef/>
      </w:r>
      <w:r w:rsidRPr="007D47AD">
        <w:rPr>
          <w:rFonts w:asciiTheme="minorHAnsi" w:hAnsiTheme="minorHAnsi" w:cs="Cambria"/>
          <w:sz w:val="16"/>
          <w:szCs w:val="16"/>
          <w:lang w:val="es-419"/>
        </w:rPr>
        <w:t xml:space="preserve"> Sputinik Mundo, </w:t>
      </w:r>
      <w:hyperlink r:id="rId143" w:history="1">
        <w:r w:rsidRPr="007D47AD">
          <w:rPr>
            <w:rStyle w:val="Hyperlink"/>
            <w:rFonts w:asciiTheme="minorHAnsi" w:hAnsiTheme="minorHAnsi" w:cs="Cambria"/>
            <w:sz w:val="16"/>
            <w:szCs w:val="16"/>
            <w:lang w:val="es-419"/>
          </w:rPr>
          <w:t>Los pueblos indígenas reclaman en ciudad de México un lugar digno en la sociedad</w:t>
        </w:r>
      </w:hyperlink>
      <w:r w:rsidRPr="007D47AD">
        <w:rPr>
          <w:rFonts w:asciiTheme="minorHAnsi" w:hAnsiTheme="minorHAnsi" w:cs="Cambria"/>
          <w:sz w:val="16"/>
          <w:szCs w:val="16"/>
          <w:lang w:val="es-419"/>
        </w:rPr>
        <w:t>, February 22, 2019.</w:t>
      </w:r>
    </w:p>
  </w:footnote>
  <w:footnote w:id="324">
    <w:p w:rsidR="00385F1D" w:rsidRPr="007D47AD" w:rsidRDefault="00385F1D" w:rsidP="00C66025">
      <w:pPr>
        <w:pStyle w:val="FootnoteText"/>
        <w:spacing w:after="120"/>
        <w:rPr>
          <w:lang w:val="en-US"/>
        </w:rPr>
      </w:pPr>
      <w:r w:rsidRPr="007D47AD">
        <w:rPr>
          <w:rStyle w:val="FootnoteReference"/>
          <w:rFonts w:asciiTheme="minorHAnsi" w:hAnsiTheme="minorHAnsi" w:cs="Cambria"/>
          <w:lang w:val="en-US"/>
        </w:rPr>
        <w:footnoteRef/>
      </w:r>
      <w:r w:rsidRPr="007D47AD">
        <w:rPr>
          <w:lang w:val="en-US"/>
        </w:rPr>
        <w:t xml:space="preserve"> IACHR, </w:t>
      </w:r>
      <w:hyperlink r:id="rId144" w:history="1">
        <w:r w:rsidRPr="007D47AD">
          <w:rPr>
            <w:rStyle w:val="Hyperlink"/>
            <w:rFonts w:asciiTheme="minorHAnsi" w:hAnsiTheme="minorHAnsi" w:cs="Cambria"/>
            <w:lang w:val="en-US"/>
          </w:rPr>
          <w:t>Precautionary measure No. 106-15 “Matter of Cruz Sánchez Lagarda and others with respect to Mexico,”</w:t>
        </w:r>
      </w:hyperlink>
      <w:r w:rsidRPr="007D47AD">
        <w:rPr>
          <w:lang w:val="en-US"/>
        </w:rPr>
        <w:t xml:space="preserve"> April 27, 2015.</w:t>
      </w:r>
    </w:p>
  </w:footnote>
  <w:footnote w:id="325">
    <w:p w:rsidR="00385F1D" w:rsidRPr="007D47AD" w:rsidRDefault="00385F1D" w:rsidP="00C66025">
      <w:pPr>
        <w:spacing w:after="120" w:line="240" w:lineRule="auto"/>
        <w:ind w:firstLine="720"/>
        <w:jc w:val="both"/>
        <w:rPr>
          <w:rFonts w:asciiTheme="minorHAnsi" w:hAnsiTheme="minorHAnsi" w:cs="Cambria"/>
          <w:sz w:val="16"/>
          <w:szCs w:val="16"/>
          <w:lang w:val="es-419"/>
        </w:rPr>
      </w:pPr>
      <w:r w:rsidRPr="007D47AD">
        <w:rPr>
          <w:rStyle w:val="FootnoteReference"/>
          <w:rFonts w:asciiTheme="minorHAnsi" w:hAnsiTheme="minorHAnsi" w:cs="Cambria"/>
          <w:sz w:val="16"/>
          <w:szCs w:val="16"/>
          <w:lang w:val="en-US"/>
        </w:rPr>
        <w:footnoteRef/>
      </w:r>
      <w:r w:rsidRPr="007D47AD">
        <w:rPr>
          <w:rFonts w:asciiTheme="minorHAnsi" w:hAnsiTheme="minorHAnsi" w:cs="Cambria"/>
          <w:sz w:val="16"/>
          <w:szCs w:val="16"/>
          <w:lang w:val="es-419"/>
        </w:rPr>
        <w:t xml:space="preserve"> EFE Noticias, </w:t>
      </w:r>
      <w:hyperlink r:id="rId145" w:history="1">
        <w:r w:rsidRPr="007D47AD">
          <w:rPr>
            <w:rStyle w:val="Hyperlink"/>
            <w:rFonts w:asciiTheme="minorHAnsi" w:hAnsiTheme="minorHAnsi" w:cs="Cambria"/>
            <w:sz w:val="16"/>
            <w:szCs w:val="16"/>
            <w:lang w:val="es-419"/>
          </w:rPr>
          <w:t>Gobierno mexicano pacta con pueblos Indígenas para pacificar altos de Chiapas</w:t>
        </w:r>
      </w:hyperlink>
      <w:r w:rsidRPr="007D47AD">
        <w:rPr>
          <w:rFonts w:asciiTheme="minorHAnsi" w:hAnsiTheme="minorHAnsi" w:cs="Cambria"/>
          <w:sz w:val="16"/>
          <w:szCs w:val="16"/>
          <w:lang w:val="es-419"/>
        </w:rPr>
        <w:t xml:space="preserve">, June 5, 2019; Conexión Migrante, </w:t>
      </w:r>
      <w:hyperlink r:id="rId146" w:history="1">
        <w:r w:rsidRPr="007D47AD">
          <w:rPr>
            <w:rStyle w:val="Hyperlink"/>
            <w:rFonts w:asciiTheme="minorHAnsi" w:hAnsiTheme="minorHAnsi" w:cs="Cambria"/>
            <w:sz w:val="16"/>
            <w:szCs w:val="16"/>
            <w:lang w:val="es-419"/>
          </w:rPr>
          <w:t>Gobierno pacta con pueblos indígenas para pacificar Altos de Chiapas</w:t>
        </w:r>
      </w:hyperlink>
      <w:r w:rsidRPr="007D47AD">
        <w:rPr>
          <w:rFonts w:asciiTheme="minorHAnsi" w:hAnsiTheme="minorHAnsi" w:cs="Cambria"/>
          <w:sz w:val="16"/>
          <w:szCs w:val="16"/>
          <w:lang w:val="es-419"/>
        </w:rPr>
        <w:t>, June 5, 2019.</w:t>
      </w:r>
    </w:p>
  </w:footnote>
  <w:footnote w:id="326">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Sexto Informe del Estado mexicano sobre el cumplimiento y seguimiento de las recomendaciones contenidas en el informe “Situación de los Derechos Humanos en México,” p. 75.</w:t>
      </w:r>
    </w:p>
  </w:footnote>
  <w:footnote w:id="327">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Sexto Informe del Estado mexicano sobre el cumplimiento y seguimiento de las recomendaciones contenidas en el informe “Situación de los Derechos Humanos en México,” p. 75.</w:t>
      </w:r>
    </w:p>
  </w:footnote>
  <w:footnote w:id="328">
    <w:p w:rsidR="00385F1D" w:rsidRPr="007D47AD" w:rsidRDefault="00385F1D" w:rsidP="00C66025">
      <w:pPr>
        <w:pStyle w:val="Heading1"/>
        <w:numPr>
          <w:ilvl w:val="0"/>
          <w:numId w:val="0"/>
        </w:numPr>
        <w:spacing w:before="0" w:after="120"/>
        <w:ind w:firstLine="720"/>
        <w:rPr>
          <w:rFonts w:asciiTheme="minorHAnsi" w:hAnsiTheme="minorHAnsi" w:cs="Cambria"/>
          <w:b w:val="0"/>
          <w:color w:val="2C2C2B"/>
          <w:sz w:val="16"/>
          <w:szCs w:val="16"/>
          <w:lang w:val="es-419"/>
        </w:rPr>
      </w:pPr>
      <w:r w:rsidRPr="007D47AD">
        <w:rPr>
          <w:rStyle w:val="FootnoteReference"/>
          <w:rFonts w:asciiTheme="minorHAnsi" w:hAnsiTheme="minorHAnsi" w:cs="Cambria"/>
          <w:b w:val="0"/>
          <w:color w:val="000000"/>
          <w:sz w:val="16"/>
          <w:szCs w:val="16"/>
          <w:lang w:val="en-US"/>
        </w:rPr>
        <w:footnoteRef/>
      </w:r>
      <w:r w:rsidRPr="007D47AD">
        <w:rPr>
          <w:rFonts w:asciiTheme="minorHAnsi" w:hAnsiTheme="minorHAnsi" w:cs="Cambria"/>
          <w:b w:val="0"/>
          <w:color w:val="000000"/>
          <w:sz w:val="16"/>
          <w:szCs w:val="16"/>
          <w:lang w:val="es-419"/>
        </w:rPr>
        <w:t xml:space="preserve"> Government of Mexico, </w:t>
      </w:r>
      <w:hyperlink r:id="rId147" w:history="1">
        <w:r w:rsidRPr="007D47AD">
          <w:rPr>
            <w:rStyle w:val="Hyperlink"/>
            <w:rFonts w:asciiTheme="minorHAnsi" w:hAnsiTheme="minorHAnsi" w:cs="Cambria"/>
            <w:b w:val="0"/>
            <w:sz w:val="16"/>
            <w:szCs w:val="16"/>
            <w:lang w:val="es-419"/>
          </w:rPr>
          <w:t>México es uno de los países con mayor diversidad lingüística en el mundo</w:t>
        </w:r>
      </w:hyperlink>
      <w:r w:rsidRPr="007D47AD">
        <w:rPr>
          <w:rFonts w:asciiTheme="minorHAnsi" w:hAnsiTheme="minorHAnsi" w:cs="Cambria"/>
          <w:b w:val="0"/>
          <w:color w:val="000000"/>
          <w:sz w:val="16"/>
          <w:szCs w:val="16"/>
          <w:lang w:val="es-419"/>
        </w:rPr>
        <w:t>, February 18, 2019.</w:t>
      </w:r>
    </w:p>
  </w:footnote>
  <w:footnote w:id="329">
    <w:p w:rsidR="00385F1D" w:rsidRPr="007D47AD" w:rsidRDefault="00385F1D" w:rsidP="00C66025">
      <w:pPr>
        <w:pStyle w:val="FootnoteText"/>
        <w:spacing w:after="120"/>
        <w:rPr>
          <w:rFonts w:cs="Cambria"/>
          <w:lang w:val="es-419"/>
        </w:rPr>
      </w:pPr>
      <w:r w:rsidRPr="007D47AD">
        <w:rPr>
          <w:rStyle w:val="FootnoteReference"/>
          <w:rFonts w:asciiTheme="minorHAnsi" w:hAnsiTheme="minorHAnsi" w:cs="Cambria"/>
          <w:lang w:val="en-US"/>
        </w:rPr>
        <w:footnoteRef/>
      </w:r>
      <w:r w:rsidRPr="007D47AD">
        <w:rPr>
          <w:rFonts w:cs="Cambria"/>
          <w:lang w:val="es-419"/>
        </w:rPr>
        <w:t xml:space="preserve"> INEGI, </w:t>
      </w:r>
      <w:hyperlink r:id="rId148" w:history="1">
        <w:r w:rsidRPr="007D47AD">
          <w:rPr>
            <w:rStyle w:val="Hyperlink"/>
            <w:rFonts w:asciiTheme="minorHAnsi" w:hAnsiTheme="minorHAnsi" w:cs="Cambria"/>
            <w:lang w:val="es-419"/>
          </w:rPr>
          <w:t>Encuesta intersensal 2015</w:t>
        </w:r>
      </w:hyperlink>
      <w:r w:rsidRPr="007D47AD">
        <w:rPr>
          <w:rFonts w:cs="Cambria"/>
          <w:lang w:val="es-419"/>
        </w:rPr>
        <w:t>, visited November 5, 2019.</w:t>
      </w:r>
    </w:p>
  </w:footnote>
  <w:footnote w:id="330">
    <w:p w:rsidR="00385F1D" w:rsidRPr="007D47AD" w:rsidRDefault="00385F1D" w:rsidP="00C66025">
      <w:pPr>
        <w:pStyle w:val="Heading1"/>
        <w:numPr>
          <w:ilvl w:val="0"/>
          <w:numId w:val="0"/>
        </w:numPr>
        <w:spacing w:before="0" w:after="120"/>
        <w:ind w:firstLine="720"/>
        <w:rPr>
          <w:rFonts w:asciiTheme="minorHAnsi" w:hAnsiTheme="minorHAnsi" w:cs="Cambria"/>
          <w:b w:val="0"/>
          <w:color w:val="2C2C2B"/>
          <w:sz w:val="16"/>
          <w:szCs w:val="16"/>
          <w:lang w:val="es-419"/>
        </w:rPr>
      </w:pPr>
      <w:r w:rsidRPr="007D47AD">
        <w:rPr>
          <w:rStyle w:val="FootnoteReference"/>
          <w:rFonts w:asciiTheme="minorHAnsi" w:hAnsiTheme="minorHAnsi" w:cs="Cambria"/>
          <w:b w:val="0"/>
          <w:color w:val="000000"/>
          <w:sz w:val="16"/>
          <w:szCs w:val="16"/>
          <w:lang w:val="en-US"/>
        </w:rPr>
        <w:footnoteRef/>
      </w:r>
      <w:r w:rsidRPr="007D47AD">
        <w:rPr>
          <w:rFonts w:asciiTheme="minorHAnsi" w:hAnsiTheme="minorHAnsi" w:cs="Cambria"/>
          <w:b w:val="0"/>
          <w:color w:val="000000"/>
          <w:sz w:val="16"/>
          <w:szCs w:val="16"/>
          <w:lang w:val="es-419"/>
        </w:rPr>
        <w:t xml:space="preserve"> Government of Mexico, </w:t>
      </w:r>
      <w:hyperlink r:id="rId149" w:history="1">
        <w:r w:rsidRPr="007D47AD">
          <w:rPr>
            <w:rStyle w:val="Hyperlink"/>
            <w:rFonts w:asciiTheme="minorHAnsi" w:hAnsiTheme="minorHAnsi" w:cs="Cambria"/>
            <w:b w:val="0"/>
            <w:sz w:val="16"/>
            <w:szCs w:val="16"/>
            <w:lang w:val="es-419"/>
          </w:rPr>
          <w:t>México es uno de los países con mayor diversidad lingüística en el mundo</w:t>
        </w:r>
      </w:hyperlink>
      <w:r w:rsidRPr="007D47AD">
        <w:rPr>
          <w:rFonts w:asciiTheme="minorHAnsi" w:hAnsiTheme="minorHAnsi" w:cs="Cambria"/>
          <w:b w:val="0"/>
          <w:color w:val="000000"/>
          <w:sz w:val="16"/>
          <w:szCs w:val="16"/>
          <w:lang w:val="es-419"/>
        </w:rPr>
        <w:t>, February 18, 2019.</w:t>
      </w:r>
    </w:p>
  </w:footnote>
  <w:footnote w:id="331">
    <w:p w:rsidR="00385F1D" w:rsidRPr="007D47AD" w:rsidRDefault="00385F1D" w:rsidP="00C66025">
      <w:pPr>
        <w:pStyle w:val="Heading1"/>
        <w:numPr>
          <w:ilvl w:val="0"/>
          <w:numId w:val="0"/>
        </w:numPr>
        <w:spacing w:before="0" w:after="120"/>
        <w:ind w:firstLine="720"/>
        <w:rPr>
          <w:rFonts w:asciiTheme="minorHAnsi" w:hAnsiTheme="minorHAnsi" w:cs="Cambria"/>
          <w:b w:val="0"/>
          <w:color w:val="2C2C2B"/>
          <w:sz w:val="16"/>
          <w:szCs w:val="16"/>
          <w:lang w:val="es-419"/>
        </w:rPr>
      </w:pPr>
      <w:r w:rsidRPr="007D47AD">
        <w:rPr>
          <w:rStyle w:val="FootnoteReference"/>
          <w:rFonts w:asciiTheme="minorHAnsi" w:hAnsiTheme="minorHAnsi" w:cs="Cambria"/>
          <w:b w:val="0"/>
          <w:color w:val="000000"/>
          <w:sz w:val="16"/>
          <w:szCs w:val="16"/>
          <w:lang w:val="en-US"/>
        </w:rPr>
        <w:footnoteRef/>
      </w:r>
      <w:r w:rsidRPr="007D47AD">
        <w:rPr>
          <w:rFonts w:asciiTheme="minorHAnsi" w:hAnsiTheme="minorHAnsi" w:cs="Cambria"/>
          <w:b w:val="0"/>
          <w:color w:val="000000"/>
          <w:sz w:val="16"/>
          <w:szCs w:val="16"/>
          <w:lang w:val="es-419"/>
        </w:rPr>
        <w:t xml:space="preserve"> Government of Mexico, </w:t>
      </w:r>
      <w:hyperlink r:id="rId150" w:history="1">
        <w:r w:rsidRPr="007D47AD">
          <w:rPr>
            <w:rStyle w:val="Hyperlink"/>
            <w:rFonts w:asciiTheme="minorHAnsi" w:hAnsiTheme="minorHAnsi" w:cs="Cambria"/>
            <w:b w:val="0"/>
            <w:sz w:val="16"/>
            <w:szCs w:val="16"/>
            <w:lang w:val="es-419"/>
          </w:rPr>
          <w:t>México es uno de los países con mayor diversidad lingüística en el mundo</w:t>
        </w:r>
      </w:hyperlink>
      <w:r w:rsidRPr="007D47AD">
        <w:rPr>
          <w:rFonts w:asciiTheme="minorHAnsi" w:hAnsiTheme="minorHAnsi" w:cs="Cambria"/>
          <w:b w:val="0"/>
          <w:color w:val="000000"/>
          <w:sz w:val="16"/>
          <w:szCs w:val="16"/>
          <w:lang w:val="es-419"/>
        </w:rPr>
        <w:t>, February 18, 2019.</w:t>
      </w:r>
    </w:p>
  </w:footnote>
  <w:footnote w:id="332">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n-US"/>
        </w:rPr>
        <w:t xml:space="preserve"> Observations and comments by the State, January 13, 2020, para. </w:t>
      </w:r>
      <w:r w:rsidRPr="007D47AD">
        <w:rPr>
          <w:lang w:val="es-419"/>
        </w:rPr>
        <w:t>98.</w:t>
      </w:r>
    </w:p>
  </w:footnote>
  <w:footnote w:id="333">
    <w:p w:rsidR="00385F1D" w:rsidRPr="007D47AD" w:rsidRDefault="00385F1D" w:rsidP="00C66025">
      <w:pPr>
        <w:pStyle w:val="Heading1"/>
        <w:numPr>
          <w:ilvl w:val="0"/>
          <w:numId w:val="0"/>
        </w:numPr>
        <w:spacing w:before="0" w:after="120"/>
        <w:ind w:firstLine="720"/>
        <w:textAlignment w:val="baseline"/>
        <w:rPr>
          <w:rFonts w:asciiTheme="minorHAnsi" w:hAnsiTheme="minorHAnsi" w:cs="Cambria"/>
          <w:b w:val="0"/>
          <w:color w:val="19ABDA"/>
          <w:sz w:val="16"/>
          <w:szCs w:val="16"/>
          <w:lang w:val="es-419"/>
        </w:rPr>
      </w:pPr>
      <w:r w:rsidRPr="007D47AD">
        <w:rPr>
          <w:rStyle w:val="FootnoteReference"/>
          <w:rFonts w:asciiTheme="minorHAnsi" w:hAnsiTheme="minorHAnsi" w:cs="Cambria"/>
          <w:b w:val="0"/>
          <w:color w:val="000000"/>
          <w:sz w:val="16"/>
          <w:szCs w:val="16"/>
          <w:lang w:val="en-US"/>
        </w:rPr>
        <w:footnoteRef/>
      </w:r>
      <w:r w:rsidRPr="007D47AD">
        <w:rPr>
          <w:rFonts w:asciiTheme="minorHAnsi" w:hAnsiTheme="minorHAnsi" w:cs="Cambria"/>
          <w:b w:val="0"/>
          <w:color w:val="000000"/>
          <w:sz w:val="16"/>
          <w:szCs w:val="16"/>
          <w:lang w:val="es-419"/>
        </w:rPr>
        <w:t xml:space="preserve"> FILAC, </w:t>
      </w:r>
      <w:hyperlink r:id="rId151" w:history="1">
        <w:r w:rsidRPr="007D47AD">
          <w:rPr>
            <w:rStyle w:val="Hyperlink"/>
            <w:rFonts w:asciiTheme="minorHAnsi" w:hAnsiTheme="minorHAnsi" w:cs="Cambria"/>
            <w:b w:val="0"/>
            <w:sz w:val="16"/>
            <w:szCs w:val="16"/>
            <w:lang w:val="es-419"/>
          </w:rPr>
          <w:t>Más de 8 mil indígenas en la cárcel por falta de traductores en México</w:t>
        </w:r>
      </w:hyperlink>
      <w:r w:rsidRPr="007D47AD">
        <w:rPr>
          <w:rFonts w:asciiTheme="minorHAnsi" w:hAnsiTheme="minorHAnsi" w:cs="Cambria"/>
          <w:b w:val="0"/>
          <w:color w:val="000000"/>
          <w:sz w:val="16"/>
          <w:szCs w:val="16"/>
          <w:lang w:val="es-419"/>
        </w:rPr>
        <w:t>, March 22, 2019.</w:t>
      </w:r>
    </w:p>
  </w:footnote>
  <w:footnote w:id="334">
    <w:p w:rsidR="00385F1D" w:rsidRPr="007D47AD" w:rsidRDefault="00385F1D" w:rsidP="00C66025">
      <w:pPr>
        <w:pStyle w:val="FootnoteText"/>
        <w:spacing w:after="120"/>
        <w:rPr>
          <w:lang w:val="en-US"/>
        </w:rPr>
      </w:pPr>
      <w:r w:rsidRPr="007D47AD">
        <w:rPr>
          <w:rStyle w:val="FootnoteReference"/>
          <w:rFonts w:asciiTheme="minorHAnsi" w:hAnsiTheme="minorHAnsi"/>
          <w:lang w:val="en-US"/>
        </w:rPr>
        <w:footnoteRef/>
      </w:r>
      <w:r w:rsidRPr="007D47AD">
        <w:rPr>
          <w:lang w:val="en-US"/>
        </w:rPr>
        <w:t xml:space="preserve"> Observations and comments by the State, January 13, 2020, para. 97.</w:t>
      </w:r>
    </w:p>
  </w:footnote>
  <w:footnote w:id="335">
    <w:p w:rsidR="00385F1D" w:rsidRPr="007D47AD" w:rsidRDefault="00385F1D" w:rsidP="00C66025">
      <w:pPr>
        <w:pStyle w:val="Heading1"/>
        <w:numPr>
          <w:ilvl w:val="0"/>
          <w:numId w:val="0"/>
        </w:numPr>
        <w:spacing w:before="0" w:after="120"/>
        <w:ind w:firstLine="720"/>
        <w:rPr>
          <w:rFonts w:asciiTheme="minorHAnsi" w:hAnsiTheme="minorHAnsi" w:cs="Cambria"/>
          <w:color w:val="333333"/>
          <w:sz w:val="16"/>
          <w:szCs w:val="16"/>
          <w:lang w:val="en-US"/>
        </w:rPr>
      </w:pPr>
      <w:r w:rsidRPr="007D47AD">
        <w:rPr>
          <w:rStyle w:val="FootnoteReference"/>
          <w:rFonts w:asciiTheme="minorHAnsi" w:hAnsiTheme="minorHAnsi" w:cs="Cambria"/>
          <w:b w:val="0"/>
          <w:color w:val="000000"/>
          <w:sz w:val="16"/>
          <w:szCs w:val="16"/>
          <w:lang w:val="en-US"/>
        </w:rPr>
        <w:footnoteRef/>
      </w:r>
      <w:r w:rsidRPr="007D47AD">
        <w:rPr>
          <w:rFonts w:asciiTheme="minorHAnsi" w:hAnsiTheme="minorHAnsi" w:cs="Cambria"/>
          <w:b w:val="0"/>
          <w:color w:val="000000"/>
          <w:sz w:val="16"/>
          <w:szCs w:val="16"/>
          <w:lang w:val="en-US"/>
        </w:rPr>
        <w:t xml:space="preserve"> IACHR, Press Release, </w:t>
      </w:r>
      <w:hyperlink r:id="rId152" w:history="1">
        <w:r w:rsidRPr="007D47AD">
          <w:rPr>
            <w:rStyle w:val="Hyperlink"/>
            <w:rFonts w:asciiTheme="minorHAnsi" w:hAnsiTheme="minorHAnsi" w:cs="Cambria"/>
            <w:b w:val="0"/>
            <w:sz w:val="16"/>
            <w:szCs w:val="16"/>
            <w:lang w:val="en-US"/>
          </w:rPr>
          <w:t>“IACHR conducted visit to the United States’ Southern Border</w:t>
        </w:r>
      </w:hyperlink>
      <w:r w:rsidRPr="007D47AD">
        <w:rPr>
          <w:rStyle w:val="Hyperlink"/>
          <w:rFonts w:asciiTheme="minorHAnsi" w:hAnsiTheme="minorHAnsi" w:cs="Cambria"/>
          <w:b w:val="0"/>
          <w:sz w:val="16"/>
          <w:szCs w:val="16"/>
          <w:lang w:val="en-US"/>
        </w:rPr>
        <w:t>,</w:t>
      </w:r>
      <w:r w:rsidRPr="007D47AD">
        <w:rPr>
          <w:rFonts w:asciiTheme="minorHAnsi" w:hAnsiTheme="minorHAnsi" w:cs="Cambria"/>
          <w:b w:val="0"/>
          <w:color w:val="000000"/>
          <w:sz w:val="16"/>
          <w:szCs w:val="16"/>
          <w:lang w:val="en-US"/>
        </w:rPr>
        <w:t>” September 16, 2019.</w:t>
      </w:r>
    </w:p>
  </w:footnote>
  <w:footnote w:id="336">
    <w:p w:rsidR="00385F1D" w:rsidRPr="007D47AD" w:rsidRDefault="00385F1D" w:rsidP="00C66025">
      <w:pPr>
        <w:pStyle w:val="FootnoteText"/>
        <w:spacing w:after="120"/>
        <w:rPr>
          <w:lang w:val="es-419"/>
        </w:rPr>
      </w:pPr>
      <w:r w:rsidRPr="007D47AD">
        <w:rPr>
          <w:rStyle w:val="FootnoteReference"/>
          <w:rFonts w:asciiTheme="minorHAnsi" w:hAnsiTheme="minorHAnsi" w:cs="Calibri"/>
          <w:lang w:val="en-US"/>
        </w:rPr>
        <w:footnoteRef/>
      </w:r>
      <w:r w:rsidRPr="007D47AD">
        <w:rPr>
          <w:lang w:val="es-419"/>
        </w:rPr>
        <w:t xml:space="preserve"> Sexto Informe del Estado mexicano sobre el cumplimiento y seguimiento de las recomendaciones contenidas en el informe “Situación de los Derechos Humanos en México,” p. 77.</w:t>
      </w:r>
    </w:p>
  </w:footnote>
  <w:footnote w:id="337">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n-US"/>
        </w:rPr>
        <w:t xml:space="preserve"> Observations and comments by the State, January 13, 2020, paras. </w:t>
      </w:r>
      <w:r w:rsidRPr="007D47AD">
        <w:rPr>
          <w:lang w:val="es-419"/>
        </w:rPr>
        <w:t>102-103.</w:t>
      </w:r>
    </w:p>
  </w:footnote>
  <w:footnote w:id="338">
    <w:p w:rsidR="00385F1D" w:rsidRPr="007D47AD" w:rsidRDefault="00385F1D" w:rsidP="00C66025">
      <w:pPr>
        <w:spacing w:after="120" w:line="240" w:lineRule="auto"/>
        <w:ind w:firstLine="720"/>
        <w:jc w:val="both"/>
        <w:rPr>
          <w:rFonts w:asciiTheme="minorHAnsi" w:hAnsiTheme="minorHAnsi" w:cs="Cambria"/>
          <w:sz w:val="16"/>
          <w:szCs w:val="16"/>
          <w:lang w:val="es-419"/>
        </w:rPr>
      </w:pPr>
      <w:r w:rsidRPr="007D47AD">
        <w:rPr>
          <w:rStyle w:val="FootnoteReference"/>
          <w:rFonts w:asciiTheme="minorHAnsi" w:hAnsiTheme="minorHAnsi" w:cs="Cambria"/>
          <w:sz w:val="16"/>
          <w:szCs w:val="16"/>
          <w:lang w:val="en-US"/>
        </w:rPr>
        <w:footnoteRef/>
      </w:r>
      <w:r w:rsidRPr="007D47AD">
        <w:rPr>
          <w:rFonts w:asciiTheme="minorHAnsi" w:hAnsiTheme="minorHAnsi" w:cs="Cambria"/>
          <w:sz w:val="16"/>
          <w:szCs w:val="16"/>
          <w:lang w:val="es-419"/>
        </w:rPr>
        <w:t xml:space="preserve"> Animal Político, </w:t>
      </w:r>
      <w:hyperlink r:id="rId153" w:history="1">
        <w:r w:rsidRPr="007D47AD">
          <w:rPr>
            <w:rStyle w:val="Hyperlink"/>
            <w:rFonts w:asciiTheme="minorHAnsi" w:hAnsiTheme="minorHAnsi" w:cs="Cambria"/>
            <w:sz w:val="16"/>
            <w:szCs w:val="16"/>
            <w:lang w:val="es-419"/>
          </w:rPr>
          <w:t>Comunidad indígena de Puebla logra llevar a revisión la inconstitucionalidad de la Ley Minera</w:t>
        </w:r>
      </w:hyperlink>
      <w:r w:rsidRPr="007D47AD">
        <w:rPr>
          <w:rFonts w:asciiTheme="minorHAnsi" w:hAnsiTheme="minorHAnsi" w:cs="Cambria"/>
          <w:sz w:val="16"/>
          <w:szCs w:val="16"/>
          <w:lang w:val="es-419"/>
        </w:rPr>
        <w:t xml:space="preserve">, October 21, 2019; Proceso, </w:t>
      </w:r>
      <w:hyperlink r:id="rId154" w:history="1">
        <w:r w:rsidRPr="007D47AD">
          <w:rPr>
            <w:rStyle w:val="Hyperlink"/>
            <w:rFonts w:asciiTheme="minorHAnsi" w:hAnsiTheme="minorHAnsi" w:cs="Cambria"/>
            <w:sz w:val="16"/>
            <w:szCs w:val="16"/>
            <w:lang w:val="es-419"/>
          </w:rPr>
          <w:t>Comunidad nahua gana amparo contra instalación de minera canadiense en Ixtacamaxtitlan</w:t>
        </w:r>
      </w:hyperlink>
      <w:r w:rsidRPr="007D47AD">
        <w:rPr>
          <w:rFonts w:asciiTheme="minorHAnsi" w:hAnsiTheme="minorHAnsi" w:cs="Cambria"/>
          <w:sz w:val="16"/>
          <w:szCs w:val="16"/>
          <w:lang w:val="es-419"/>
        </w:rPr>
        <w:t>, April 23, 2019.</w:t>
      </w:r>
    </w:p>
  </w:footnote>
  <w:footnote w:id="339">
    <w:p w:rsidR="00385F1D" w:rsidRPr="007D47AD" w:rsidRDefault="00385F1D" w:rsidP="00C66025">
      <w:pPr>
        <w:pStyle w:val="FootnoteText"/>
        <w:spacing w:after="120"/>
        <w:rPr>
          <w:lang w:val="es-419"/>
        </w:rPr>
      </w:pPr>
      <w:r w:rsidRPr="007D47AD">
        <w:rPr>
          <w:rStyle w:val="FootnoteReference"/>
          <w:lang w:val="en-US"/>
        </w:rPr>
        <w:footnoteRef/>
      </w:r>
      <w:r w:rsidRPr="007D47AD">
        <w:rPr>
          <w:lang w:val="es-419"/>
        </w:rPr>
        <w:t xml:space="preserve"> La Prensa Latina, </w:t>
      </w:r>
      <w:hyperlink r:id="rId155" w:history="1">
        <w:r w:rsidRPr="007D47AD">
          <w:rPr>
            <w:rStyle w:val="Hyperlink"/>
            <w:lang w:val="es-419"/>
          </w:rPr>
          <w:t>Consulta indígena del proyecto transístmico en México se inicia con rechazo</w:t>
        </w:r>
      </w:hyperlink>
      <w:r w:rsidRPr="007D47AD">
        <w:rPr>
          <w:lang w:val="es-419"/>
        </w:rPr>
        <w:t>, March 30, 2019.</w:t>
      </w:r>
    </w:p>
  </w:footnote>
  <w:footnote w:id="340">
    <w:p w:rsidR="00385F1D" w:rsidRPr="007D47AD" w:rsidRDefault="00385F1D" w:rsidP="00C66025">
      <w:pPr>
        <w:spacing w:after="120" w:line="240" w:lineRule="auto"/>
        <w:ind w:firstLine="720"/>
        <w:jc w:val="both"/>
        <w:rPr>
          <w:rFonts w:asciiTheme="minorHAnsi" w:hAnsiTheme="minorHAnsi" w:cs="Cambria"/>
          <w:sz w:val="16"/>
          <w:szCs w:val="16"/>
          <w:lang w:val="es-419"/>
        </w:rPr>
      </w:pPr>
      <w:r w:rsidRPr="007D47AD">
        <w:rPr>
          <w:rStyle w:val="FootnoteReference"/>
          <w:rFonts w:asciiTheme="minorHAnsi" w:hAnsiTheme="minorHAnsi" w:cs="Cambria"/>
          <w:sz w:val="16"/>
          <w:szCs w:val="16"/>
          <w:lang w:val="en-US"/>
        </w:rPr>
        <w:footnoteRef/>
      </w:r>
      <w:r w:rsidRPr="007D47AD">
        <w:rPr>
          <w:rFonts w:asciiTheme="minorHAnsi" w:hAnsiTheme="minorHAnsi" w:cs="Cambria"/>
          <w:sz w:val="16"/>
          <w:szCs w:val="16"/>
          <w:lang w:val="es-419"/>
        </w:rPr>
        <w:t xml:space="preserve"> La Vanguardia</w:t>
      </w:r>
      <w:hyperlink r:id="rId156" w:history="1">
        <w:r w:rsidRPr="007D47AD">
          <w:rPr>
            <w:rStyle w:val="Hyperlink"/>
            <w:rFonts w:asciiTheme="minorHAnsi" w:hAnsiTheme="minorHAnsi" w:cs="Cambria"/>
            <w:sz w:val="16"/>
            <w:szCs w:val="16"/>
            <w:lang w:val="es-419"/>
          </w:rPr>
          <w:t>, Anuncian consulta indígena sobre plan de desarrollo del Itsmo de Tehuantepec</w:t>
        </w:r>
      </w:hyperlink>
      <w:r w:rsidRPr="007D47AD">
        <w:rPr>
          <w:rFonts w:asciiTheme="minorHAnsi" w:hAnsiTheme="minorHAnsi" w:cs="Cambria"/>
          <w:sz w:val="16"/>
          <w:szCs w:val="16"/>
          <w:lang w:val="es-419"/>
        </w:rPr>
        <w:t>, March 28, 2019.</w:t>
      </w:r>
    </w:p>
  </w:footnote>
  <w:footnote w:id="341">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n-US"/>
        </w:rPr>
        <w:t xml:space="preserve"> Observations and comments by the State, January 13, 2020, para. </w:t>
      </w:r>
      <w:r w:rsidRPr="007D47AD">
        <w:rPr>
          <w:lang w:val="es-419"/>
        </w:rPr>
        <w:t>104.</w:t>
      </w:r>
    </w:p>
  </w:footnote>
  <w:footnote w:id="342">
    <w:p w:rsidR="00385F1D" w:rsidRPr="007D47AD" w:rsidRDefault="00385F1D" w:rsidP="00C66025">
      <w:pPr>
        <w:spacing w:after="120" w:line="240" w:lineRule="auto"/>
        <w:ind w:firstLine="720"/>
        <w:jc w:val="both"/>
        <w:rPr>
          <w:rFonts w:asciiTheme="minorHAnsi" w:hAnsiTheme="minorHAnsi" w:cs="Cambria"/>
          <w:sz w:val="16"/>
          <w:szCs w:val="16"/>
          <w:lang w:val="es-419"/>
        </w:rPr>
      </w:pPr>
      <w:r w:rsidRPr="007D47AD">
        <w:rPr>
          <w:rStyle w:val="FootnoteReference"/>
          <w:rFonts w:asciiTheme="minorHAnsi" w:hAnsiTheme="minorHAnsi" w:cs="Cambria"/>
          <w:sz w:val="16"/>
          <w:szCs w:val="16"/>
          <w:lang w:val="en-US"/>
        </w:rPr>
        <w:footnoteRef/>
      </w:r>
      <w:r w:rsidRPr="007D47AD">
        <w:rPr>
          <w:rFonts w:asciiTheme="minorHAnsi" w:hAnsiTheme="minorHAnsi" w:cs="Cambria"/>
          <w:sz w:val="16"/>
          <w:szCs w:val="16"/>
          <w:lang w:val="es-419"/>
        </w:rPr>
        <w:t xml:space="preserve"> La Jornada, </w:t>
      </w:r>
      <w:hyperlink r:id="rId157" w:history="1">
        <w:r w:rsidRPr="007D47AD">
          <w:rPr>
            <w:rStyle w:val="Hyperlink"/>
            <w:rFonts w:asciiTheme="minorHAnsi" w:hAnsiTheme="minorHAnsi" w:cs="Cambria"/>
            <w:sz w:val="16"/>
            <w:szCs w:val="16"/>
            <w:lang w:val="es-419"/>
          </w:rPr>
          <w:t>Organizaciones indígenas rechazan Consulta Istmo</w:t>
        </w:r>
      </w:hyperlink>
      <w:r w:rsidRPr="007D47AD">
        <w:rPr>
          <w:rFonts w:asciiTheme="minorHAnsi" w:hAnsiTheme="minorHAnsi" w:cs="Cambria"/>
          <w:sz w:val="16"/>
          <w:szCs w:val="16"/>
          <w:lang w:val="es-419"/>
        </w:rPr>
        <w:t xml:space="preserve">, March 30, 2019; SDP, </w:t>
      </w:r>
      <w:hyperlink r:id="rId158" w:history="1">
        <w:r w:rsidRPr="007D47AD">
          <w:rPr>
            <w:rStyle w:val="Hyperlink"/>
            <w:rFonts w:asciiTheme="minorHAnsi" w:hAnsiTheme="minorHAnsi" w:cs="Cambria"/>
            <w:sz w:val="16"/>
            <w:szCs w:val="16"/>
            <w:lang w:val="es-419"/>
          </w:rPr>
          <w:t>Denuncian que megaproyectos en el Istmo profundizan despojo a pueblos indígenas</w:t>
        </w:r>
      </w:hyperlink>
      <w:r w:rsidRPr="007D47AD">
        <w:rPr>
          <w:rFonts w:asciiTheme="minorHAnsi" w:hAnsiTheme="minorHAnsi" w:cs="Cambria"/>
          <w:sz w:val="16"/>
          <w:szCs w:val="16"/>
          <w:lang w:val="es-419"/>
        </w:rPr>
        <w:t xml:space="preserve">, April 29, 2019; El País, </w:t>
      </w:r>
      <w:hyperlink r:id="rId159" w:history="1">
        <w:r w:rsidRPr="007D47AD">
          <w:rPr>
            <w:rStyle w:val="Hyperlink"/>
            <w:rFonts w:asciiTheme="minorHAnsi" w:hAnsiTheme="minorHAnsi" w:cs="Cambria"/>
            <w:sz w:val="16"/>
            <w:szCs w:val="16"/>
            <w:lang w:val="es-419"/>
          </w:rPr>
          <w:t>Indigenismo simulado</w:t>
        </w:r>
      </w:hyperlink>
      <w:r w:rsidRPr="007D47AD">
        <w:rPr>
          <w:rFonts w:asciiTheme="minorHAnsi" w:hAnsiTheme="minorHAnsi" w:cs="Cambria"/>
          <w:sz w:val="16"/>
          <w:szCs w:val="16"/>
          <w:lang w:val="es-419"/>
        </w:rPr>
        <w:t>, May 9, 2019.</w:t>
      </w:r>
    </w:p>
  </w:footnote>
  <w:footnote w:id="343">
    <w:p w:rsidR="00385F1D" w:rsidRPr="007D47AD" w:rsidRDefault="00385F1D" w:rsidP="00C66025">
      <w:pPr>
        <w:spacing w:after="120" w:line="240" w:lineRule="auto"/>
        <w:ind w:firstLine="720"/>
        <w:jc w:val="both"/>
        <w:rPr>
          <w:rFonts w:asciiTheme="minorHAnsi" w:hAnsiTheme="minorHAnsi" w:cs="Cambria"/>
          <w:sz w:val="16"/>
          <w:szCs w:val="16"/>
          <w:lang w:val="es-419"/>
        </w:rPr>
      </w:pPr>
      <w:r w:rsidRPr="007D47AD">
        <w:rPr>
          <w:rStyle w:val="FootnoteReference"/>
          <w:rFonts w:asciiTheme="minorHAnsi" w:hAnsiTheme="minorHAnsi" w:cs="Cambria"/>
          <w:sz w:val="16"/>
          <w:szCs w:val="16"/>
          <w:lang w:val="en-US"/>
        </w:rPr>
        <w:footnoteRef/>
      </w:r>
      <w:r w:rsidRPr="007D47AD">
        <w:rPr>
          <w:rFonts w:asciiTheme="minorHAnsi" w:hAnsiTheme="minorHAnsi" w:cs="Cambria"/>
          <w:sz w:val="16"/>
          <w:szCs w:val="16"/>
          <w:lang w:val="es-419"/>
        </w:rPr>
        <w:t xml:space="preserve"> Proceso, </w:t>
      </w:r>
      <w:hyperlink r:id="rId160" w:history="1">
        <w:r w:rsidRPr="007D47AD">
          <w:rPr>
            <w:rStyle w:val="Hyperlink"/>
            <w:rFonts w:asciiTheme="minorHAnsi" w:hAnsiTheme="minorHAnsi" w:cs="Cambria"/>
            <w:sz w:val="16"/>
            <w:szCs w:val="16"/>
            <w:lang w:val="es-419"/>
          </w:rPr>
          <w:t>Urgen en Oaxaca frenar los despojos que dan paso a megaproyectos</w:t>
        </w:r>
      </w:hyperlink>
      <w:r w:rsidRPr="007D47AD">
        <w:rPr>
          <w:rFonts w:asciiTheme="minorHAnsi" w:hAnsiTheme="minorHAnsi" w:cs="Cambria"/>
          <w:sz w:val="16"/>
          <w:szCs w:val="16"/>
          <w:lang w:val="es-419"/>
        </w:rPr>
        <w:t>, March 28. 2019.</w:t>
      </w:r>
    </w:p>
  </w:footnote>
  <w:footnote w:id="344">
    <w:p w:rsidR="00385F1D" w:rsidRPr="007D47AD" w:rsidRDefault="00385F1D" w:rsidP="00C66025">
      <w:pPr>
        <w:spacing w:after="120" w:line="240" w:lineRule="auto"/>
        <w:ind w:firstLine="720"/>
        <w:jc w:val="both"/>
        <w:rPr>
          <w:rFonts w:asciiTheme="minorHAnsi" w:hAnsiTheme="minorHAnsi" w:cs="Cambria"/>
          <w:sz w:val="16"/>
          <w:szCs w:val="16"/>
          <w:lang w:val="es-419"/>
        </w:rPr>
      </w:pPr>
      <w:r w:rsidRPr="007D47AD">
        <w:rPr>
          <w:rStyle w:val="FootnoteReference"/>
          <w:rFonts w:asciiTheme="minorHAnsi" w:hAnsiTheme="minorHAnsi" w:cs="Cambria"/>
          <w:sz w:val="16"/>
          <w:szCs w:val="16"/>
          <w:lang w:val="en-US"/>
        </w:rPr>
        <w:footnoteRef/>
      </w:r>
      <w:r w:rsidRPr="007D47AD">
        <w:rPr>
          <w:rFonts w:asciiTheme="minorHAnsi" w:hAnsiTheme="minorHAnsi" w:cs="Cambria"/>
          <w:sz w:val="16"/>
          <w:szCs w:val="16"/>
          <w:lang w:val="es-419"/>
        </w:rPr>
        <w:t xml:space="preserve"> El Universal, </w:t>
      </w:r>
      <w:hyperlink r:id="rId161" w:history="1">
        <w:r w:rsidRPr="007D47AD">
          <w:rPr>
            <w:rStyle w:val="Hyperlink"/>
            <w:rFonts w:asciiTheme="minorHAnsi" w:hAnsiTheme="minorHAnsi" w:cs="Cambria"/>
            <w:sz w:val="16"/>
            <w:szCs w:val="16"/>
            <w:lang w:val="es-419"/>
          </w:rPr>
          <w:t>Megaproyectos ponen en riesgo existencia de pueblos indígenas: CNDH</w:t>
        </w:r>
      </w:hyperlink>
      <w:r w:rsidRPr="007D47AD">
        <w:rPr>
          <w:rFonts w:asciiTheme="minorHAnsi" w:hAnsiTheme="minorHAnsi" w:cs="Cambria"/>
          <w:sz w:val="16"/>
          <w:szCs w:val="16"/>
          <w:lang w:val="es-419"/>
        </w:rPr>
        <w:t xml:space="preserve">, April 16, 2019. </w:t>
      </w:r>
    </w:p>
  </w:footnote>
  <w:footnote w:id="345">
    <w:p w:rsidR="00385F1D" w:rsidRPr="007D47AD" w:rsidRDefault="00385F1D" w:rsidP="00C66025">
      <w:pPr>
        <w:spacing w:after="120" w:line="240" w:lineRule="auto"/>
        <w:ind w:firstLine="720"/>
        <w:jc w:val="both"/>
        <w:rPr>
          <w:rFonts w:asciiTheme="minorHAnsi" w:hAnsiTheme="minorHAnsi" w:cs="Cambria"/>
          <w:sz w:val="16"/>
          <w:szCs w:val="16"/>
          <w:lang w:val="es-419"/>
        </w:rPr>
      </w:pPr>
      <w:r w:rsidRPr="007D47AD">
        <w:rPr>
          <w:rStyle w:val="FootnoteReference"/>
          <w:rFonts w:asciiTheme="minorHAnsi" w:hAnsiTheme="minorHAnsi" w:cs="Cambria"/>
          <w:sz w:val="16"/>
          <w:szCs w:val="16"/>
          <w:lang w:val="en-US"/>
        </w:rPr>
        <w:footnoteRef/>
      </w:r>
      <w:r w:rsidRPr="007D47AD">
        <w:rPr>
          <w:rFonts w:asciiTheme="minorHAnsi" w:hAnsiTheme="minorHAnsi" w:cs="Cambria"/>
          <w:sz w:val="16"/>
          <w:szCs w:val="16"/>
          <w:lang w:val="es-419"/>
        </w:rPr>
        <w:t xml:space="preserve"> La Jornada, </w:t>
      </w:r>
      <w:hyperlink r:id="rId162" w:history="1">
        <w:r w:rsidRPr="007D47AD">
          <w:rPr>
            <w:rStyle w:val="Hyperlink"/>
            <w:rFonts w:asciiTheme="minorHAnsi" w:hAnsiTheme="minorHAnsi" w:cs="Cambria"/>
            <w:sz w:val="16"/>
            <w:szCs w:val="16"/>
            <w:lang w:val="es-419"/>
          </w:rPr>
          <w:t>Pide CNDH proteger a pueblos indígenas por proyecto del Itsmo</w:t>
        </w:r>
      </w:hyperlink>
      <w:r w:rsidRPr="007D47AD">
        <w:rPr>
          <w:rFonts w:asciiTheme="minorHAnsi" w:hAnsiTheme="minorHAnsi" w:cs="Cambria"/>
          <w:sz w:val="16"/>
          <w:szCs w:val="16"/>
          <w:lang w:val="es-419"/>
        </w:rPr>
        <w:t xml:space="preserve">, March 30, 2019. </w:t>
      </w:r>
    </w:p>
  </w:footnote>
  <w:footnote w:id="346">
    <w:p w:rsidR="00385F1D" w:rsidRPr="007D47AD" w:rsidRDefault="00385F1D" w:rsidP="00C66025">
      <w:pPr>
        <w:spacing w:after="120" w:line="240" w:lineRule="auto"/>
        <w:ind w:firstLine="720"/>
        <w:jc w:val="both"/>
        <w:rPr>
          <w:rFonts w:asciiTheme="minorHAnsi" w:hAnsiTheme="minorHAnsi" w:cs="Cambria"/>
          <w:sz w:val="16"/>
          <w:szCs w:val="16"/>
          <w:lang w:val="es-419"/>
        </w:rPr>
      </w:pPr>
      <w:r w:rsidRPr="007D47AD">
        <w:rPr>
          <w:rStyle w:val="FootnoteReference"/>
          <w:rFonts w:asciiTheme="minorHAnsi" w:hAnsiTheme="minorHAnsi" w:cs="Cambria"/>
          <w:sz w:val="16"/>
          <w:szCs w:val="16"/>
          <w:lang w:val="en-US"/>
        </w:rPr>
        <w:footnoteRef/>
      </w:r>
      <w:r w:rsidRPr="007D47AD">
        <w:rPr>
          <w:rFonts w:asciiTheme="minorHAnsi" w:hAnsiTheme="minorHAnsi" w:cs="Cambria"/>
          <w:sz w:val="16"/>
          <w:szCs w:val="16"/>
          <w:lang w:val="es-419"/>
        </w:rPr>
        <w:t xml:space="preserve"> Kaosenlared.net, </w:t>
      </w:r>
      <w:hyperlink r:id="rId163" w:history="1">
        <w:r w:rsidRPr="007D47AD">
          <w:rPr>
            <w:rStyle w:val="Hyperlink"/>
            <w:rFonts w:asciiTheme="minorHAnsi" w:hAnsiTheme="minorHAnsi" w:cs="Cambria"/>
            <w:sz w:val="16"/>
            <w:szCs w:val="16"/>
            <w:lang w:val="es-419"/>
          </w:rPr>
          <w:t>México. Organizaciones indígenas inician jornada de protesta por los “graves atropellos del Estado” contra los pueblos en Oaxaca</w:t>
        </w:r>
      </w:hyperlink>
      <w:r w:rsidRPr="007D47AD">
        <w:rPr>
          <w:rFonts w:asciiTheme="minorHAnsi" w:hAnsiTheme="minorHAnsi" w:cs="Cambria"/>
          <w:sz w:val="16"/>
          <w:szCs w:val="16"/>
          <w:lang w:val="es-419"/>
        </w:rPr>
        <w:t xml:space="preserve">, April 5, 2019; desinformémonos, </w:t>
      </w:r>
      <w:hyperlink r:id="rId164" w:history="1">
        <w:r w:rsidRPr="007D47AD">
          <w:rPr>
            <w:rStyle w:val="Hyperlink"/>
            <w:rFonts w:asciiTheme="minorHAnsi" w:hAnsiTheme="minorHAnsi" w:cs="Cambria"/>
            <w:sz w:val="16"/>
            <w:szCs w:val="16"/>
            <w:lang w:val="es-419"/>
          </w:rPr>
          <w:t>Organizaciones indígenas inician jornada de protesta por los “graves atropellos del Estado” contra los pueblos en Oaxaca</w:t>
        </w:r>
      </w:hyperlink>
      <w:r w:rsidRPr="007D47AD">
        <w:rPr>
          <w:rFonts w:asciiTheme="minorHAnsi" w:hAnsiTheme="minorHAnsi" w:cs="Cambria"/>
          <w:sz w:val="16"/>
          <w:szCs w:val="16"/>
          <w:lang w:val="es-419"/>
        </w:rPr>
        <w:t xml:space="preserve">, April 4, 2019. </w:t>
      </w:r>
    </w:p>
  </w:footnote>
  <w:footnote w:id="347">
    <w:p w:rsidR="00385F1D" w:rsidRPr="007D47AD" w:rsidRDefault="00385F1D" w:rsidP="00C66025">
      <w:pPr>
        <w:pStyle w:val="FootnoteText"/>
        <w:spacing w:after="120"/>
        <w:rPr>
          <w:lang w:val="es-419"/>
        </w:rPr>
      </w:pPr>
      <w:r w:rsidRPr="007D47AD">
        <w:rPr>
          <w:rStyle w:val="FootnoteReference"/>
          <w:rFonts w:asciiTheme="minorHAnsi" w:hAnsiTheme="minorHAnsi" w:cs="Cambria"/>
          <w:lang w:val="en-US"/>
        </w:rPr>
        <w:footnoteRef/>
      </w:r>
      <w:r w:rsidRPr="007D47AD">
        <w:rPr>
          <w:lang w:val="es-419"/>
        </w:rPr>
        <w:t xml:space="preserve"> BBC News, </w:t>
      </w:r>
      <w:hyperlink r:id="rId165" w:history="1">
        <w:r w:rsidRPr="007D47AD">
          <w:rPr>
            <w:rStyle w:val="Hyperlink"/>
            <w:rFonts w:asciiTheme="minorHAnsi" w:hAnsiTheme="minorHAnsi" w:cs="Cambria"/>
            <w:lang w:val="es-419"/>
          </w:rPr>
          <w:t>Tren Maya: así es el ambicioso proyecto que propone AMLO y tiene un costo de miles de millones de dólares para México</w:t>
        </w:r>
      </w:hyperlink>
      <w:r w:rsidRPr="007D47AD">
        <w:rPr>
          <w:lang w:val="es-419"/>
        </w:rPr>
        <w:t>, November 15, 2008.</w:t>
      </w:r>
    </w:p>
  </w:footnote>
  <w:footnote w:id="348">
    <w:p w:rsidR="00385F1D" w:rsidRPr="007D47AD" w:rsidRDefault="00385F1D" w:rsidP="00C66025">
      <w:pPr>
        <w:spacing w:after="120" w:line="240" w:lineRule="auto"/>
        <w:ind w:firstLine="720"/>
        <w:jc w:val="both"/>
        <w:rPr>
          <w:rFonts w:asciiTheme="minorHAnsi" w:hAnsiTheme="minorHAnsi" w:cs="Cambria"/>
          <w:sz w:val="16"/>
          <w:szCs w:val="16"/>
          <w:lang w:val="es-419"/>
        </w:rPr>
      </w:pPr>
      <w:r w:rsidRPr="007D47AD">
        <w:rPr>
          <w:rStyle w:val="FootnoteReference"/>
          <w:rFonts w:asciiTheme="minorHAnsi" w:hAnsiTheme="minorHAnsi" w:cs="Cambria"/>
          <w:sz w:val="16"/>
          <w:szCs w:val="16"/>
          <w:lang w:val="en-US"/>
        </w:rPr>
        <w:footnoteRef/>
      </w:r>
      <w:r w:rsidRPr="007D47AD">
        <w:rPr>
          <w:rFonts w:asciiTheme="minorHAnsi" w:hAnsiTheme="minorHAnsi" w:cs="Cambria"/>
          <w:sz w:val="16"/>
          <w:szCs w:val="16"/>
          <w:lang w:val="es-419"/>
        </w:rPr>
        <w:t xml:space="preserve"> El Sol de México, </w:t>
      </w:r>
      <w:hyperlink r:id="rId166" w:history="1">
        <w:r w:rsidRPr="007D47AD">
          <w:rPr>
            <w:rStyle w:val="Hyperlink"/>
            <w:rFonts w:asciiTheme="minorHAnsi" w:hAnsiTheme="minorHAnsi" w:cs="Cambria"/>
            <w:sz w:val="16"/>
            <w:szCs w:val="16"/>
            <w:lang w:val="es-419"/>
          </w:rPr>
          <w:t>AMLO defiende licitación del Tren Maya sin consultar a pueblos indígenas</w:t>
        </w:r>
      </w:hyperlink>
      <w:r w:rsidRPr="007D47AD">
        <w:rPr>
          <w:rFonts w:asciiTheme="minorHAnsi" w:hAnsiTheme="minorHAnsi" w:cs="Cambria"/>
          <w:sz w:val="16"/>
          <w:szCs w:val="16"/>
          <w:lang w:val="es-419"/>
        </w:rPr>
        <w:t xml:space="preserve">, May 1, 2019; Milenio, </w:t>
      </w:r>
      <w:hyperlink r:id="rId167" w:history="1">
        <w:r w:rsidRPr="007D47AD">
          <w:rPr>
            <w:rStyle w:val="Hyperlink"/>
            <w:rFonts w:asciiTheme="minorHAnsi" w:hAnsiTheme="minorHAnsi" w:cs="Cambria"/>
            <w:sz w:val="16"/>
            <w:szCs w:val="16"/>
            <w:lang w:val="es-419"/>
          </w:rPr>
          <w:t>Válido, licitar Tren Maya sin consultar a comunidades: AMLO</w:t>
        </w:r>
      </w:hyperlink>
      <w:r w:rsidRPr="007D47AD">
        <w:rPr>
          <w:rFonts w:asciiTheme="minorHAnsi" w:hAnsiTheme="minorHAnsi" w:cs="Cambria"/>
          <w:sz w:val="16"/>
          <w:szCs w:val="16"/>
          <w:lang w:val="es-419"/>
        </w:rPr>
        <w:t xml:space="preserve">, May 1, 2019; El mañana, </w:t>
      </w:r>
      <w:hyperlink r:id="rId168" w:history="1">
        <w:r w:rsidRPr="007D47AD">
          <w:rPr>
            <w:rStyle w:val="Hyperlink"/>
            <w:rFonts w:asciiTheme="minorHAnsi" w:hAnsiTheme="minorHAnsi" w:cs="Cambria"/>
            <w:sz w:val="16"/>
            <w:szCs w:val="16"/>
            <w:lang w:val="es-419"/>
          </w:rPr>
          <w:t>Proceso de licitación del Tren Maya es válido aun sin consulta: AMLO</w:t>
        </w:r>
      </w:hyperlink>
      <w:r w:rsidRPr="007D47AD">
        <w:rPr>
          <w:rFonts w:asciiTheme="minorHAnsi" w:hAnsiTheme="minorHAnsi" w:cs="Cambria"/>
          <w:sz w:val="16"/>
          <w:szCs w:val="16"/>
          <w:lang w:val="es-419"/>
        </w:rPr>
        <w:t>, May 1, 2019.</w:t>
      </w:r>
    </w:p>
  </w:footnote>
  <w:footnote w:id="349">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n-US"/>
        </w:rPr>
        <w:t xml:space="preserve"> Observations and comments by the State, January 13, 2020, para. </w:t>
      </w:r>
      <w:r w:rsidRPr="007D47AD">
        <w:rPr>
          <w:lang w:val="es-419"/>
        </w:rPr>
        <w:t>104.</w:t>
      </w:r>
    </w:p>
  </w:footnote>
  <w:footnote w:id="350">
    <w:p w:rsidR="00385F1D" w:rsidRPr="007D47AD" w:rsidRDefault="00385F1D" w:rsidP="00C66025">
      <w:pPr>
        <w:spacing w:after="120" w:line="240" w:lineRule="auto"/>
        <w:ind w:firstLine="720"/>
        <w:jc w:val="both"/>
        <w:rPr>
          <w:rFonts w:asciiTheme="minorHAnsi" w:hAnsiTheme="minorHAnsi" w:cs="Cambria"/>
          <w:sz w:val="16"/>
          <w:szCs w:val="16"/>
          <w:lang w:val="es-419"/>
        </w:rPr>
      </w:pPr>
      <w:r w:rsidRPr="007D47AD">
        <w:rPr>
          <w:rStyle w:val="FootnoteReference"/>
          <w:rFonts w:asciiTheme="minorHAnsi" w:hAnsiTheme="minorHAnsi" w:cs="Cambria"/>
          <w:sz w:val="16"/>
          <w:szCs w:val="16"/>
          <w:lang w:val="en-US"/>
        </w:rPr>
        <w:footnoteRef/>
      </w:r>
      <w:r w:rsidRPr="007D47AD">
        <w:rPr>
          <w:rFonts w:asciiTheme="minorHAnsi" w:hAnsiTheme="minorHAnsi" w:cs="Cambria"/>
          <w:sz w:val="16"/>
          <w:szCs w:val="16"/>
          <w:lang w:val="es-419"/>
        </w:rPr>
        <w:t xml:space="preserve">La Jornada, </w:t>
      </w:r>
      <w:hyperlink r:id="rId169" w:history="1">
        <w:r w:rsidRPr="007D47AD">
          <w:rPr>
            <w:rStyle w:val="Hyperlink"/>
            <w:rFonts w:asciiTheme="minorHAnsi" w:hAnsiTheme="minorHAnsi" w:cs="Cambria"/>
            <w:sz w:val="16"/>
            <w:szCs w:val="16"/>
            <w:lang w:val="es-419"/>
          </w:rPr>
          <w:t>Procede amparo contra creación del instituto de pueblos indígenas</w:t>
        </w:r>
      </w:hyperlink>
      <w:r w:rsidRPr="007D47AD">
        <w:rPr>
          <w:rFonts w:asciiTheme="minorHAnsi" w:hAnsiTheme="minorHAnsi" w:cs="Cambria"/>
          <w:sz w:val="16"/>
          <w:szCs w:val="16"/>
          <w:lang w:val="es-419"/>
        </w:rPr>
        <w:t xml:space="preserve">, January 28, 2019; El Mañana, </w:t>
      </w:r>
      <w:hyperlink r:id="rId170" w:history="1">
        <w:r w:rsidRPr="007D47AD">
          <w:rPr>
            <w:rStyle w:val="Hyperlink"/>
            <w:rFonts w:asciiTheme="minorHAnsi" w:hAnsiTheme="minorHAnsi" w:cs="Cambria"/>
            <w:sz w:val="16"/>
            <w:szCs w:val="16"/>
            <w:lang w:val="es-419"/>
          </w:rPr>
          <w:t>Se amparan indígenas contra un instituto</w:t>
        </w:r>
      </w:hyperlink>
      <w:r w:rsidRPr="007D47AD">
        <w:rPr>
          <w:rFonts w:asciiTheme="minorHAnsi" w:hAnsiTheme="minorHAnsi" w:cs="Cambria"/>
          <w:sz w:val="16"/>
          <w:szCs w:val="16"/>
          <w:lang w:val="es-419"/>
        </w:rPr>
        <w:t>, January 29, 2019.</w:t>
      </w:r>
    </w:p>
  </w:footnote>
  <w:footnote w:id="351">
    <w:p w:rsidR="00385F1D" w:rsidRPr="007D47AD" w:rsidRDefault="00385F1D" w:rsidP="00C66025">
      <w:pPr>
        <w:spacing w:after="120" w:line="240" w:lineRule="auto"/>
        <w:ind w:firstLine="720"/>
        <w:jc w:val="both"/>
        <w:rPr>
          <w:rFonts w:asciiTheme="minorHAnsi" w:hAnsiTheme="minorHAnsi" w:cs="Cambria"/>
          <w:sz w:val="16"/>
          <w:szCs w:val="16"/>
          <w:lang w:val="es-419"/>
        </w:rPr>
      </w:pPr>
      <w:r w:rsidRPr="007D47AD">
        <w:rPr>
          <w:rStyle w:val="FootnoteReference"/>
          <w:rFonts w:asciiTheme="minorHAnsi" w:hAnsiTheme="minorHAnsi" w:cs="Cambria"/>
          <w:sz w:val="16"/>
          <w:szCs w:val="16"/>
          <w:lang w:val="en-US"/>
        </w:rPr>
        <w:footnoteRef/>
      </w:r>
      <w:r w:rsidRPr="007D47AD">
        <w:rPr>
          <w:rFonts w:asciiTheme="minorHAnsi" w:hAnsiTheme="minorHAnsi" w:cs="Cambria"/>
          <w:sz w:val="16"/>
          <w:szCs w:val="16"/>
          <w:lang w:val="es-419"/>
        </w:rPr>
        <w:t xml:space="preserve"> Diario Oficial de la Federación, </w:t>
      </w:r>
      <w:hyperlink r:id="rId171" w:history="1">
        <w:r w:rsidRPr="007D47AD">
          <w:rPr>
            <w:rStyle w:val="Hyperlink"/>
            <w:rFonts w:asciiTheme="minorHAnsi" w:hAnsiTheme="minorHAnsi" w:cs="Cambria"/>
            <w:sz w:val="16"/>
            <w:szCs w:val="16"/>
            <w:lang w:val="es-419"/>
          </w:rPr>
          <w:t>Acuerdo por el que se emiten los Lineamientos del Programa de Derechos Indígenas para el ejercicio fiscal 2019, a cargo del Instituto Nacional de los Pueblos Indígenas</w:t>
        </w:r>
      </w:hyperlink>
      <w:r w:rsidRPr="007D47AD">
        <w:rPr>
          <w:rFonts w:asciiTheme="minorHAnsi" w:hAnsiTheme="minorHAnsi" w:cs="Cambria"/>
          <w:sz w:val="16"/>
          <w:szCs w:val="16"/>
          <w:lang w:val="es-419"/>
        </w:rPr>
        <w:t xml:space="preserve">, April 1, 2019; Notimex, </w:t>
      </w:r>
      <w:hyperlink r:id="rId172" w:history="1">
        <w:r w:rsidRPr="007D47AD">
          <w:rPr>
            <w:rStyle w:val="Hyperlink"/>
            <w:rFonts w:asciiTheme="minorHAnsi" w:hAnsiTheme="minorHAnsi" w:cs="Cambria"/>
            <w:sz w:val="16"/>
            <w:szCs w:val="16"/>
            <w:lang w:val="es-419"/>
          </w:rPr>
          <w:t>Publican lineamientos del Programa de Derechos Indígenas 2019</w:t>
        </w:r>
      </w:hyperlink>
      <w:r w:rsidRPr="007D47AD">
        <w:rPr>
          <w:rFonts w:asciiTheme="minorHAnsi" w:hAnsiTheme="minorHAnsi" w:cs="Cambria"/>
          <w:sz w:val="16"/>
          <w:szCs w:val="16"/>
          <w:lang w:val="es-419"/>
        </w:rPr>
        <w:t xml:space="preserve">, April 1, 2019. </w:t>
      </w:r>
    </w:p>
  </w:footnote>
  <w:footnote w:id="352">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n-US"/>
        </w:rPr>
        <w:t xml:space="preserve"> Observations and comments by the State, January 13, 2020, para. </w:t>
      </w:r>
      <w:r w:rsidRPr="007D47AD">
        <w:rPr>
          <w:lang w:val="es-419"/>
        </w:rPr>
        <w:t>104.</w:t>
      </w:r>
    </w:p>
  </w:footnote>
  <w:footnote w:id="353">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CNDH México, “Actualización correspondiente al año 2019 de la aportación de la Comisión Nacional de los Derechos Humanos de México (CNDH) en el marco de la revisión del cumplimiento de recomendaciones contenidas en el ‘Informe sobre situación de los Derechos Humanos en México,’ publicado por la Comisión Interamericana de Derechos Humanos (CIDH) en 2015,” October 2019, p. 19 [in archive of the IACHR].</w:t>
      </w:r>
    </w:p>
  </w:footnote>
  <w:footnote w:id="354">
    <w:p w:rsidR="00385F1D" w:rsidRPr="007D47AD" w:rsidRDefault="00385F1D" w:rsidP="00C66025">
      <w:pPr>
        <w:pStyle w:val="FootnoteText"/>
        <w:spacing w:after="120"/>
        <w:rPr>
          <w:lang w:val="en-US"/>
        </w:rPr>
      </w:pPr>
      <w:r w:rsidRPr="007D47AD">
        <w:rPr>
          <w:rStyle w:val="FootnoteReference"/>
          <w:rFonts w:asciiTheme="minorHAnsi" w:hAnsiTheme="minorHAnsi"/>
          <w:lang w:val="en-US"/>
        </w:rPr>
        <w:footnoteRef/>
      </w:r>
      <w:r w:rsidRPr="007D47AD">
        <w:rPr>
          <w:lang w:val="en-US"/>
        </w:rPr>
        <w:t xml:space="preserve"> IACHR, </w:t>
      </w:r>
      <w:hyperlink r:id="rId173" w:history="1">
        <w:r w:rsidRPr="007D47AD">
          <w:rPr>
            <w:rStyle w:val="Hyperlink"/>
            <w:rFonts w:asciiTheme="minorHAnsi" w:hAnsiTheme="minorHAnsi"/>
            <w:lang w:val="en-US"/>
          </w:rPr>
          <w:t>Situation of Human Rights of the Indigenous and Tribal Peoples of the Pan Amazon Region</w:t>
        </w:r>
      </w:hyperlink>
      <w:r w:rsidRPr="007D47AD">
        <w:rPr>
          <w:lang w:val="en-US"/>
        </w:rPr>
        <w:t>, OEA/Ser.L/V/II. Doc. 176, September 29, 2019, para. 34.</w:t>
      </w:r>
    </w:p>
  </w:footnote>
  <w:footnote w:id="355">
    <w:p w:rsidR="00385F1D" w:rsidRPr="007D47AD" w:rsidRDefault="00385F1D" w:rsidP="00C66025">
      <w:pPr>
        <w:pStyle w:val="Default"/>
        <w:spacing w:after="120"/>
        <w:ind w:firstLine="720"/>
        <w:jc w:val="both"/>
        <w:rPr>
          <w:rFonts w:asciiTheme="minorHAnsi" w:hAnsiTheme="minorHAnsi" w:cs="Cambria"/>
          <w:color w:val="auto"/>
          <w:sz w:val="16"/>
          <w:szCs w:val="16"/>
          <w:lang w:val="es-419" w:eastAsia="en-US"/>
        </w:rPr>
      </w:pPr>
      <w:r w:rsidRPr="007D47AD">
        <w:rPr>
          <w:rStyle w:val="FootnoteReference"/>
          <w:rFonts w:asciiTheme="minorHAnsi" w:hAnsiTheme="minorHAnsi" w:cs="Cambria"/>
          <w:color w:val="auto"/>
          <w:sz w:val="16"/>
          <w:szCs w:val="16"/>
        </w:rPr>
        <w:footnoteRef/>
      </w:r>
      <w:r w:rsidRPr="007D47AD">
        <w:rPr>
          <w:rFonts w:asciiTheme="minorHAnsi" w:hAnsiTheme="minorHAnsi" w:cs="Cambria"/>
          <w:color w:val="auto"/>
          <w:sz w:val="16"/>
          <w:szCs w:val="16"/>
        </w:rPr>
        <w:t xml:space="preserve"> I/A Court HR, </w:t>
      </w:r>
      <w:hyperlink r:id="rId174" w:history="1">
        <w:r w:rsidRPr="007D47AD">
          <w:rPr>
            <w:rStyle w:val="Hyperlink"/>
            <w:rFonts w:asciiTheme="minorHAnsi" w:hAnsiTheme="minorHAnsi" w:cs="Cambria"/>
            <w:sz w:val="16"/>
            <w:szCs w:val="16"/>
          </w:rPr>
          <w:t>Case of the Kichwa Indigenous People of Sarayaku v. Ecuado</w:t>
        </w:r>
      </w:hyperlink>
      <w:r w:rsidRPr="007D47AD">
        <w:rPr>
          <w:rFonts w:asciiTheme="minorHAnsi" w:hAnsiTheme="minorHAnsi" w:cs="Cambria"/>
          <w:color w:val="auto"/>
          <w:sz w:val="16"/>
          <w:szCs w:val="16"/>
        </w:rPr>
        <w:t xml:space="preserve">r, Series C No. 245, Judgment on the Merits and Reparations, June 27, 2012, para. </w:t>
      </w:r>
      <w:r w:rsidRPr="007D47AD">
        <w:rPr>
          <w:rFonts w:asciiTheme="minorHAnsi" w:hAnsiTheme="minorHAnsi" w:cs="Cambria"/>
          <w:color w:val="auto"/>
          <w:sz w:val="16"/>
          <w:szCs w:val="16"/>
          <w:lang w:val="es-419"/>
        </w:rPr>
        <w:t>186.</w:t>
      </w:r>
    </w:p>
  </w:footnote>
  <w:footnote w:id="356">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Sexto Informe del Estado mexicano sobre el cumplimiento y seguimiento de las recomendaciones contenidas en el informe “Situación de los Derechos Humanos en México,” p. 77.</w:t>
      </w:r>
    </w:p>
  </w:footnote>
  <w:footnote w:id="357">
    <w:p w:rsidR="00385F1D" w:rsidRPr="007D47AD" w:rsidRDefault="00385F1D" w:rsidP="00C66025">
      <w:pPr>
        <w:pStyle w:val="FootnoteText"/>
        <w:spacing w:after="120"/>
        <w:rPr>
          <w:lang w:val="es-419"/>
        </w:rPr>
      </w:pPr>
      <w:r w:rsidRPr="007D47AD">
        <w:rPr>
          <w:rStyle w:val="FootnoteReference"/>
          <w:rFonts w:asciiTheme="minorHAnsi" w:hAnsiTheme="minorHAnsi" w:cs="Calibri Light"/>
          <w:lang w:val="en-US"/>
        </w:rPr>
        <w:footnoteRef/>
      </w:r>
      <w:r w:rsidRPr="007D47AD">
        <w:rPr>
          <w:lang w:val="es-419"/>
        </w:rPr>
        <w:t xml:space="preserve"> Quinto Informe del Estado mexicano sobre el cumplimiento y seguimiento de las recomendaciones contenidas en el informe “Situación de los Derechos Humanos en México,” pp. 51-52.</w:t>
      </w:r>
    </w:p>
  </w:footnote>
  <w:footnote w:id="358">
    <w:p w:rsidR="00385F1D" w:rsidRPr="007D47AD" w:rsidRDefault="00385F1D" w:rsidP="00C66025">
      <w:pPr>
        <w:pStyle w:val="FootnoteText"/>
        <w:spacing w:after="120"/>
        <w:rPr>
          <w:lang w:val="en-US"/>
        </w:rPr>
      </w:pPr>
      <w:r w:rsidRPr="007D47AD">
        <w:rPr>
          <w:rStyle w:val="FootnoteReference"/>
          <w:rFonts w:asciiTheme="minorHAnsi" w:hAnsiTheme="minorHAnsi"/>
          <w:lang w:val="en-US"/>
        </w:rPr>
        <w:footnoteRef/>
      </w:r>
      <w:r w:rsidRPr="007D47AD">
        <w:rPr>
          <w:lang w:val="en-US"/>
        </w:rPr>
        <w:t xml:space="preserve"> IACHR, </w:t>
      </w:r>
      <w:hyperlink r:id="rId175" w:history="1">
        <w:r w:rsidRPr="007D47AD">
          <w:rPr>
            <w:rStyle w:val="Hyperlink"/>
            <w:rFonts w:asciiTheme="minorHAnsi" w:hAnsiTheme="minorHAnsi"/>
            <w:lang w:val="en-US"/>
          </w:rPr>
          <w:t>Press Release 3/19 – “IACHR Calls on the Mexican State to Refrain from Taking Legislative Measures That Run Counter to International Standards on Pretrial Detention</w:t>
        </w:r>
      </w:hyperlink>
      <w:r w:rsidRPr="007D47AD">
        <w:rPr>
          <w:rStyle w:val="Hyperlink"/>
          <w:rFonts w:asciiTheme="minorHAnsi" w:hAnsiTheme="minorHAnsi"/>
          <w:lang w:val="en-US"/>
        </w:rPr>
        <w:t>.</w:t>
      </w:r>
      <w:r w:rsidRPr="007D47AD">
        <w:rPr>
          <w:lang w:val="en-US"/>
        </w:rPr>
        <w:t xml:space="preserve">” Washington, D.C., January 9, 2019. </w:t>
      </w:r>
    </w:p>
  </w:footnote>
  <w:footnote w:id="359">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n-US"/>
        </w:rPr>
        <w:t xml:space="preserve"> By multiple press releases and </w:t>
      </w:r>
      <w:hyperlink r:id="rId176" w:history="1">
        <w:r w:rsidRPr="007D47AD">
          <w:rPr>
            <w:rStyle w:val="Hyperlink"/>
            <w:rFonts w:asciiTheme="minorHAnsi" w:hAnsiTheme="minorHAnsi"/>
            <w:lang w:val="en-US"/>
          </w:rPr>
          <w:t>official notes</w:t>
        </w:r>
      </w:hyperlink>
      <w:r w:rsidRPr="007D47AD">
        <w:rPr>
          <w:lang w:val="en-US"/>
        </w:rPr>
        <w:t xml:space="preserve"> directed to the competent authorities, the National Commission on Human Rights (CNDH) urged the Mexican State not to expand the list of crimes that merit pretrial detention. </w:t>
      </w:r>
      <w:r w:rsidRPr="007D47AD">
        <w:rPr>
          <w:lang w:val="es-419"/>
        </w:rPr>
        <w:t>CNDH, “</w:t>
      </w:r>
      <w:hyperlink r:id="rId177" w:history="1">
        <w:r w:rsidRPr="007D47AD">
          <w:rPr>
            <w:rStyle w:val="Hyperlink"/>
            <w:rFonts w:asciiTheme="minorHAnsi" w:hAnsiTheme="minorHAnsi"/>
            <w:lang w:val="es-419"/>
          </w:rPr>
          <w:t>Comunicado de Prensa DGC/041/19</w:t>
        </w:r>
      </w:hyperlink>
      <w:r w:rsidRPr="007D47AD">
        <w:rPr>
          <w:lang w:val="es-419"/>
        </w:rPr>
        <w:t>”, February 6, 2019; CNDH, “</w:t>
      </w:r>
      <w:hyperlink r:id="rId178" w:history="1">
        <w:r w:rsidRPr="007D47AD">
          <w:rPr>
            <w:rStyle w:val="Hyperlink"/>
            <w:rFonts w:asciiTheme="minorHAnsi" w:hAnsiTheme="minorHAnsi"/>
            <w:lang w:val="es-419"/>
          </w:rPr>
          <w:t>Comunicado de Prensa DGC/056/19</w:t>
        </w:r>
      </w:hyperlink>
      <w:r w:rsidRPr="007D47AD">
        <w:rPr>
          <w:lang w:val="es-419"/>
        </w:rPr>
        <w:t>”, February 19, 2019; CNDH, “</w:t>
      </w:r>
      <w:hyperlink r:id="rId179" w:history="1">
        <w:r w:rsidRPr="007D47AD">
          <w:rPr>
            <w:rStyle w:val="Hyperlink"/>
            <w:rFonts w:asciiTheme="minorHAnsi" w:hAnsiTheme="minorHAnsi"/>
            <w:lang w:val="es-419"/>
          </w:rPr>
          <w:t>Oficio del Presidente de la CNDH al Presidente de la mesa Directiva del Senado de la República</w:t>
        </w:r>
      </w:hyperlink>
      <w:r w:rsidRPr="007D47AD">
        <w:rPr>
          <w:rStyle w:val="Hyperlink"/>
          <w:rFonts w:asciiTheme="minorHAnsi" w:hAnsiTheme="minorHAnsi"/>
          <w:lang w:val="es-419"/>
        </w:rPr>
        <w:t>,</w:t>
      </w:r>
      <w:r w:rsidRPr="007D47AD">
        <w:rPr>
          <w:lang w:val="es-419"/>
        </w:rPr>
        <w:t xml:space="preserve">” December 5, 2018. </w:t>
      </w:r>
    </w:p>
  </w:footnote>
  <w:footnote w:id="360">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United Nations High Commissioner for Human Rights; OHCHR - Mexico, “</w:t>
      </w:r>
      <w:hyperlink r:id="rId180" w:history="1">
        <w:r w:rsidRPr="007D47AD">
          <w:rPr>
            <w:rStyle w:val="Hyperlink"/>
            <w:rFonts w:asciiTheme="minorHAnsi" w:hAnsiTheme="minorHAnsi"/>
            <w:lang w:val="es-419"/>
          </w:rPr>
          <w:t>La ONU-DH lamenta extensión de delitos a los que se aplica la prisión preventiva oficiosa</w:t>
        </w:r>
      </w:hyperlink>
      <w:r w:rsidRPr="007D47AD">
        <w:rPr>
          <w:lang w:val="es-419"/>
        </w:rPr>
        <w:t xml:space="preserve">”, February 20, 2019. </w:t>
      </w:r>
    </w:p>
  </w:footnote>
  <w:footnote w:id="361">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Diario Oficial de la Federación, “</w:t>
      </w:r>
      <w:hyperlink r:id="rId181" w:history="1">
        <w:r w:rsidRPr="007D47AD">
          <w:rPr>
            <w:rStyle w:val="Hyperlink"/>
            <w:rFonts w:asciiTheme="minorHAnsi" w:hAnsiTheme="minorHAnsi"/>
            <w:lang w:val="es-419"/>
          </w:rPr>
          <w:t>Decreto por el que se declara reformado el Artículo 19 de la Constitución Política de los Estados Unidos Mexicanos, en materia de prisión preventiva Oficiosa</w:t>
        </w:r>
      </w:hyperlink>
      <w:r w:rsidRPr="007D47AD">
        <w:rPr>
          <w:lang w:val="es-419"/>
        </w:rPr>
        <w:t xml:space="preserve">”, April 12, 2019. See also IACHR, </w:t>
      </w:r>
      <w:hyperlink r:id="rId182" w:history="1">
        <w:r w:rsidRPr="007D47AD">
          <w:rPr>
            <w:rStyle w:val="Hyperlink"/>
            <w:rFonts w:asciiTheme="minorHAnsi" w:hAnsiTheme="minorHAnsi"/>
            <w:lang w:val="es-419"/>
          </w:rPr>
          <w:t>2018 Annual Report, Chapter V “Mexico”</w:t>
        </w:r>
      </w:hyperlink>
      <w:r w:rsidRPr="007D47AD">
        <w:rPr>
          <w:lang w:val="es-419"/>
        </w:rPr>
        <w:t>, para. 190.</w:t>
      </w:r>
    </w:p>
  </w:footnote>
  <w:footnote w:id="362">
    <w:p w:rsidR="00385F1D" w:rsidRPr="007D47AD" w:rsidRDefault="00385F1D" w:rsidP="00C66025">
      <w:pPr>
        <w:spacing w:after="120" w:line="240" w:lineRule="auto"/>
        <w:ind w:firstLine="720"/>
        <w:jc w:val="both"/>
        <w:rPr>
          <w:rFonts w:asciiTheme="minorHAnsi" w:hAnsiTheme="minorHAnsi"/>
          <w:sz w:val="16"/>
          <w:szCs w:val="16"/>
          <w:lang w:val="es-419"/>
        </w:rPr>
      </w:pPr>
      <w:r w:rsidRPr="007D47AD">
        <w:rPr>
          <w:rStyle w:val="FootnoteReference"/>
          <w:rFonts w:asciiTheme="minorHAnsi" w:hAnsiTheme="minorHAnsi"/>
          <w:sz w:val="16"/>
          <w:szCs w:val="16"/>
          <w:lang w:val="en-US"/>
        </w:rPr>
        <w:footnoteRef/>
      </w:r>
      <w:r w:rsidRPr="007D47AD">
        <w:rPr>
          <w:rFonts w:asciiTheme="minorHAnsi" w:hAnsiTheme="minorHAnsi"/>
          <w:sz w:val="16"/>
          <w:szCs w:val="16"/>
          <w:lang w:val="es-419"/>
        </w:rPr>
        <w:t xml:space="preserve"> CNDH, “</w:t>
      </w:r>
      <w:hyperlink r:id="rId183" w:history="1">
        <w:r w:rsidRPr="007D47AD">
          <w:rPr>
            <w:rStyle w:val="Hyperlink"/>
            <w:rFonts w:asciiTheme="minorHAnsi" w:hAnsiTheme="minorHAnsi"/>
            <w:sz w:val="16"/>
            <w:szCs w:val="16"/>
            <w:lang w:val="es-419"/>
          </w:rPr>
          <w:t>Comunicado de Prensa DGC/041/19</w:t>
        </w:r>
      </w:hyperlink>
      <w:r w:rsidRPr="007D47AD">
        <w:rPr>
          <w:rStyle w:val="Hyperlink"/>
          <w:rFonts w:asciiTheme="minorHAnsi" w:hAnsiTheme="minorHAnsi"/>
          <w:sz w:val="16"/>
          <w:szCs w:val="16"/>
          <w:lang w:val="es-419"/>
        </w:rPr>
        <w:t>,</w:t>
      </w:r>
      <w:r w:rsidRPr="007D47AD">
        <w:rPr>
          <w:rFonts w:asciiTheme="minorHAnsi" w:hAnsiTheme="minorHAnsi"/>
          <w:sz w:val="16"/>
          <w:szCs w:val="16"/>
          <w:lang w:val="es-419"/>
        </w:rPr>
        <w:t xml:space="preserve">” February 6, 2019. </w:t>
      </w:r>
    </w:p>
  </w:footnote>
  <w:footnote w:id="363">
    <w:p w:rsidR="00385F1D" w:rsidRPr="007D47AD" w:rsidRDefault="00385F1D" w:rsidP="00C66025">
      <w:pPr>
        <w:spacing w:after="120" w:line="240" w:lineRule="auto"/>
        <w:ind w:firstLine="720"/>
        <w:jc w:val="both"/>
        <w:rPr>
          <w:rFonts w:asciiTheme="minorHAnsi" w:hAnsiTheme="minorHAnsi"/>
          <w:sz w:val="16"/>
          <w:szCs w:val="16"/>
          <w:lang w:val="es-419"/>
        </w:rPr>
      </w:pPr>
      <w:r w:rsidRPr="007D47AD">
        <w:rPr>
          <w:rStyle w:val="FootnoteReference"/>
          <w:rFonts w:asciiTheme="minorHAnsi" w:hAnsiTheme="minorHAnsi"/>
          <w:sz w:val="16"/>
          <w:szCs w:val="16"/>
          <w:lang w:val="en-US"/>
        </w:rPr>
        <w:footnoteRef/>
      </w:r>
      <w:r w:rsidRPr="007D47AD">
        <w:rPr>
          <w:rFonts w:asciiTheme="minorHAnsi" w:hAnsiTheme="minorHAnsi"/>
          <w:sz w:val="16"/>
          <w:szCs w:val="16"/>
          <w:lang w:val="es-419"/>
        </w:rPr>
        <w:t xml:space="preserve"> CNDH, “</w:t>
      </w:r>
      <w:hyperlink r:id="rId184" w:history="1">
        <w:r w:rsidRPr="007D47AD">
          <w:rPr>
            <w:rStyle w:val="Hyperlink"/>
            <w:rFonts w:asciiTheme="minorHAnsi" w:hAnsiTheme="minorHAnsi"/>
            <w:sz w:val="16"/>
            <w:szCs w:val="16"/>
            <w:lang w:val="es-419"/>
          </w:rPr>
          <w:t>Comunicado de Prensa DGC/056/19</w:t>
        </w:r>
      </w:hyperlink>
      <w:r w:rsidRPr="007D47AD">
        <w:rPr>
          <w:rStyle w:val="Hyperlink"/>
          <w:rFonts w:asciiTheme="minorHAnsi" w:hAnsiTheme="minorHAnsi"/>
          <w:sz w:val="16"/>
          <w:szCs w:val="16"/>
          <w:lang w:val="es-419"/>
        </w:rPr>
        <w:t>,</w:t>
      </w:r>
      <w:r w:rsidRPr="007D47AD">
        <w:rPr>
          <w:rFonts w:asciiTheme="minorHAnsi" w:hAnsiTheme="minorHAnsi"/>
          <w:sz w:val="16"/>
          <w:szCs w:val="16"/>
          <w:lang w:val="es-419"/>
        </w:rPr>
        <w:t xml:space="preserve">” February 19, 2019. </w:t>
      </w:r>
    </w:p>
  </w:footnote>
  <w:footnote w:id="364">
    <w:p w:rsidR="00385F1D" w:rsidRPr="007D47AD" w:rsidRDefault="00385F1D" w:rsidP="00C66025">
      <w:pPr>
        <w:pStyle w:val="FootnoteText"/>
        <w:spacing w:after="120"/>
        <w:rPr>
          <w:lang w:val="en-US"/>
        </w:rPr>
      </w:pPr>
      <w:r w:rsidRPr="007D47AD">
        <w:rPr>
          <w:rStyle w:val="FootnoteReference"/>
          <w:rFonts w:asciiTheme="minorHAnsi" w:hAnsiTheme="minorHAnsi"/>
          <w:lang w:val="en-US"/>
        </w:rPr>
        <w:footnoteRef/>
      </w:r>
      <w:r w:rsidRPr="007D47AD">
        <w:rPr>
          <w:lang w:val="es-419"/>
        </w:rPr>
        <w:t xml:space="preserve"> Centro PRODH, Información de seguimiento al Informe “Situación de los derechos humanos en México” 2015. </w:t>
      </w:r>
      <w:r w:rsidRPr="007D47AD">
        <w:rPr>
          <w:lang w:val="en-US"/>
        </w:rPr>
        <w:t>Information sent October 2, 2019, p. 18.</w:t>
      </w:r>
    </w:p>
  </w:footnote>
  <w:footnote w:id="365">
    <w:p w:rsidR="00385F1D" w:rsidRPr="007D47AD" w:rsidRDefault="00385F1D" w:rsidP="00C66025">
      <w:pPr>
        <w:pStyle w:val="FootnoteText"/>
        <w:spacing w:after="120"/>
        <w:rPr>
          <w:lang w:val="en-US"/>
        </w:rPr>
      </w:pPr>
      <w:r w:rsidRPr="007D47AD">
        <w:rPr>
          <w:rStyle w:val="FootnoteReference"/>
          <w:lang w:val="en-US"/>
        </w:rPr>
        <w:footnoteRef/>
      </w:r>
      <w:r w:rsidRPr="007D47AD">
        <w:rPr>
          <w:lang w:val="en-US"/>
        </w:rPr>
        <w:t xml:space="preserve"> IACHR, </w:t>
      </w:r>
      <w:hyperlink r:id="rId185" w:history="1">
        <w:r w:rsidRPr="007D47AD">
          <w:rPr>
            <w:rStyle w:val="Hyperlink"/>
            <w:lang w:val="en-US"/>
          </w:rPr>
          <w:t>IACHR Calls on the Mexican State to Refrain from Taking Legislative Measures That Run Counter to International Standards on Pretrial Detention</w:t>
        </w:r>
      </w:hyperlink>
      <w:r w:rsidRPr="007D47AD">
        <w:rPr>
          <w:lang w:val="en-US"/>
        </w:rPr>
        <w:t xml:space="preserve">, January 9, 2019.  </w:t>
      </w:r>
    </w:p>
  </w:footnote>
  <w:footnote w:id="366">
    <w:p w:rsidR="00385F1D" w:rsidRPr="007D47AD" w:rsidRDefault="00385F1D" w:rsidP="00C66025">
      <w:pPr>
        <w:pStyle w:val="FootnoteText"/>
        <w:spacing w:after="120"/>
        <w:rPr>
          <w:lang w:val="en-US"/>
        </w:rPr>
      </w:pPr>
      <w:r w:rsidRPr="007D47AD">
        <w:rPr>
          <w:rStyle w:val="FootnoteReference"/>
          <w:rFonts w:asciiTheme="minorHAnsi" w:hAnsiTheme="minorHAnsi"/>
          <w:lang w:val="en-US"/>
        </w:rPr>
        <w:footnoteRef/>
      </w:r>
      <w:r w:rsidRPr="007D47AD">
        <w:rPr>
          <w:lang w:val="en-US"/>
        </w:rPr>
        <w:t xml:space="preserve"> IACHR, </w:t>
      </w:r>
      <w:hyperlink r:id="rId186" w:history="1">
        <w:r w:rsidRPr="007D47AD">
          <w:rPr>
            <w:rStyle w:val="Hyperlink"/>
            <w:rFonts w:asciiTheme="minorHAnsi" w:hAnsiTheme="minorHAnsi"/>
            <w:lang w:val="en-US"/>
          </w:rPr>
          <w:t>Situation of Human Rights in Honduras,</w:t>
        </w:r>
      </w:hyperlink>
      <w:r w:rsidRPr="007D47AD">
        <w:rPr>
          <w:lang w:val="en-US"/>
        </w:rPr>
        <w:t xml:space="preserve"> OEA/Ser.L/V/II. Doc. 42/15 December 31, 2015, para. 558; I/A Court HR. Case of Suárez Rosero v. Ecuador. Judgment of November 12, 1997. Series C No. 35, para. 98.; I/A Court HR. Case of Acosta Calderón v. Ecuador. Judgment of June 24, 2005. Series C No. 129, para. 135; I/A Court HR. Case of López Álvarez v. Honduras. Judgment of February 1, 2006. Series C No. 141, para. 81. As in the inter-American system, the European Court considers that “any system of mandatory detention on remand is </w:t>
      </w:r>
      <w:r w:rsidRPr="007D47AD">
        <w:rPr>
          <w:i/>
          <w:iCs/>
          <w:lang w:val="en-US"/>
        </w:rPr>
        <w:t>per se</w:t>
      </w:r>
      <w:r w:rsidRPr="007D47AD">
        <w:rPr>
          <w:lang w:val="en-US"/>
        </w:rPr>
        <w:t xml:space="preserve"> incompatible with Article 5(3) of the [European] Convention.” ECHR, Case of Ilijkov v. Bulgaria (Application No. 33977/96), Judgment of July 26, 2001 (Fourth Section of the Court), para. 84.</w:t>
      </w:r>
    </w:p>
  </w:footnote>
  <w:footnote w:id="367">
    <w:p w:rsidR="00385F1D" w:rsidRPr="007D47AD" w:rsidRDefault="00385F1D" w:rsidP="00C66025">
      <w:pPr>
        <w:pStyle w:val="FootnoteText"/>
        <w:spacing w:after="120"/>
        <w:rPr>
          <w:lang w:val="en-US"/>
        </w:rPr>
      </w:pPr>
      <w:r w:rsidRPr="007D47AD">
        <w:rPr>
          <w:rStyle w:val="FootnoteReference"/>
          <w:rFonts w:asciiTheme="minorHAnsi" w:hAnsiTheme="minorHAnsi"/>
          <w:lang w:val="en-US"/>
        </w:rPr>
        <w:footnoteRef/>
      </w:r>
      <w:r w:rsidRPr="007D47AD">
        <w:rPr>
          <w:lang w:val="en-US"/>
        </w:rPr>
        <w:t xml:space="preserve"> IACHR, “</w:t>
      </w:r>
      <w:hyperlink r:id="rId187" w:history="1">
        <w:r w:rsidRPr="007D47AD">
          <w:rPr>
            <w:rStyle w:val="Hyperlink"/>
            <w:rFonts w:asciiTheme="minorHAnsi" w:hAnsiTheme="minorHAnsi"/>
            <w:lang w:val="en-US"/>
          </w:rPr>
          <w:t>Report on measures aimed at reducing the use of pretrial detention in the Americas</w:t>
        </w:r>
      </w:hyperlink>
      <w:r w:rsidRPr="007D47AD">
        <w:rPr>
          <w:rStyle w:val="Hyperlink"/>
          <w:rFonts w:asciiTheme="minorHAnsi" w:hAnsiTheme="minorHAnsi"/>
          <w:lang w:val="en-US"/>
        </w:rPr>
        <w:t>,</w:t>
      </w:r>
      <w:r w:rsidRPr="007D47AD">
        <w:rPr>
          <w:lang w:val="en-US"/>
        </w:rPr>
        <w:t>” OEA/Ser.L/V/II.163. Doc. 105, July 3, 2017, para. 91; IACHR, “</w:t>
      </w:r>
      <w:hyperlink r:id="rId188" w:history="1">
        <w:r w:rsidRPr="007D47AD">
          <w:rPr>
            <w:rStyle w:val="Hyperlink"/>
            <w:rFonts w:asciiTheme="minorHAnsi" w:hAnsiTheme="minorHAnsi"/>
            <w:lang w:val="en-US"/>
          </w:rPr>
          <w:t>Report on the use of pretrial detention in the Americas</w:t>
        </w:r>
      </w:hyperlink>
      <w:r w:rsidRPr="007D47AD">
        <w:rPr>
          <w:rStyle w:val="Hyperlink"/>
          <w:rFonts w:asciiTheme="minorHAnsi" w:hAnsiTheme="minorHAnsi"/>
          <w:lang w:val="en-US"/>
        </w:rPr>
        <w:t>,</w:t>
      </w:r>
      <w:r w:rsidRPr="007D47AD">
        <w:rPr>
          <w:lang w:val="en-US"/>
        </w:rPr>
        <w:t>” OEA/Ser.L/V/II., Doc. 46/13, December 30, 2013, para. 151; IACHR, Report on the Merits No. 86/09, Case 12,553. Merits. Jorge, Jose and Dante Peirano Basso. Uruguay. August 6, 2009, para. 141.</w:t>
      </w:r>
    </w:p>
  </w:footnote>
  <w:footnote w:id="368">
    <w:p w:rsidR="00385F1D" w:rsidRPr="007D47AD" w:rsidRDefault="00385F1D" w:rsidP="00C66025">
      <w:pPr>
        <w:pStyle w:val="FootnoteText"/>
        <w:spacing w:after="120"/>
        <w:rPr>
          <w:lang w:val="en-US"/>
        </w:rPr>
      </w:pPr>
      <w:r w:rsidRPr="007D47AD">
        <w:rPr>
          <w:rStyle w:val="FootnoteReference"/>
          <w:rFonts w:asciiTheme="minorHAnsi" w:hAnsiTheme="minorHAnsi"/>
          <w:lang w:val="en-US"/>
        </w:rPr>
        <w:footnoteRef/>
      </w:r>
      <w:r w:rsidRPr="007D47AD">
        <w:rPr>
          <w:lang w:val="en-US"/>
        </w:rPr>
        <w:t xml:space="preserve"> IACHR, </w:t>
      </w:r>
      <w:hyperlink r:id="rId189" w:history="1">
        <w:r w:rsidRPr="007D47AD">
          <w:rPr>
            <w:rStyle w:val="Hyperlink"/>
            <w:rFonts w:asciiTheme="minorHAnsi" w:hAnsiTheme="minorHAnsi"/>
            <w:lang w:val="en-US"/>
          </w:rPr>
          <w:t>Situation of Human Rights in Honduras</w:t>
        </w:r>
      </w:hyperlink>
      <w:r w:rsidRPr="007D47AD">
        <w:rPr>
          <w:lang w:val="en-US"/>
        </w:rPr>
        <w:t>, OEA/Ser.L/V/II. Doc. 42/15, December 31, 2015, para. 558; IACHR, “</w:t>
      </w:r>
      <w:hyperlink r:id="rId190" w:history="1">
        <w:r w:rsidRPr="007D47AD">
          <w:rPr>
            <w:rStyle w:val="Hyperlink"/>
            <w:rFonts w:asciiTheme="minorHAnsi" w:hAnsiTheme="minorHAnsi"/>
            <w:lang w:val="en-US"/>
          </w:rPr>
          <w:t>Report on the use of pretrial detention in the Americas</w:t>
        </w:r>
      </w:hyperlink>
      <w:r w:rsidRPr="007D47AD">
        <w:rPr>
          <w:rStyle w:val="Hyperlink"/>
          <w:rFonts w:asciiTheme="minorHAnsi" w:hAnsiTheme="minorHAnsi"/>
          <w:lang w:val="en-US"/>
        </w:rPr>
        <w:t>,</w:t>
      </w:r>
      <w:r w:rsidRPr="007D47AD">
        <w:rPr>
          <w:lang w:val="en-US"/>
        </w:rPr>
        <w:t>” OEA/Ser.L/V/II. Doc.46/13, December 30, 2013, para. 137.</w:t>
      </w:r>
    </w:p>
  </w:footnote>
  <w:footnote w:id="369">
    <w:p w:rsidR="00385F1D" w:rsidRPr="007D47AD" w:rsidRDefault="00385F1D" w:rsidP="00C66025">
      <w:pPr>
        <w:pStyle w:val="FootnoteText"/>
        <w:spacing w:after="120"/>
        <w:rPr>
          <w:lang w:val="en-US"/>
        </w:rPr>
      </w:pPr>
      <w:r w:rsidRPr="007D47AD">
        <w:rPr>
          <w:rStyle w:val="FootnoteReference"/>
          <w:rFonts w:asciiTheme="minorHAnsi" w:hAnsiTheme="minorHAnsi" w:cs="Calibri Light"/>
          <w:lang w:val="en-US"/>
        </w:rPr>
        <w:footnoteRef/>
      </w:r>
      <w:r w:rsidRPr="007D47AD">
        <w:rPr>
          <w:lang w:val="en-US"/>
        </w:rPr>
        <w:t xml:space="preserve"> IACHR, </w:t>
      </w:r>
      <w:hyperlink r:id="rId191" w:history="1">
        <w:r w:rsidRPr="007D47AD">
          <w:rPr>
            <w:rStyle w:val="Hyperlink"/>
            <w:rFonts w:asciiTheme="minorHAnsi" w:hAnsiTheme="minorHAnsi" w:cs="Calibri Light"/>
            <w:color w:val="auto"/>
            <w:lang w:val="en-US"/>
          </w:rPr>
          <w:t>Report on measures aimed at reducing the use of pretrial detention in the Americas</w:t>
        </w:r>
      </w:hyperlink>
      <w:r w:rsidRPr="007D47AD">
        <w:rPr>
          <w:lang w:val="en-US"/>
        </w:rPr>
        <w:t>, OEA/Ser.L/V/II.163. Doc. 105, July 3, 2017, para. 231. Recommendation A “General Measures in Relation to State Policies,” para. 1.</w:t>
      </w:r>
    </w:p>
  </w:footnote>
  <w:footnote w:id="370">
    <w:p w:rsidR="00385F1D" w:rsidRPr="007D47AD" w:rsidRDefault="00385F1D" w:rsidP="00C66025">
      <w:pPr>
        <w:tabs>
          <w:tab w:val="left" w:pos="0"/>
        </w:tabs>
        <w:autoSpaceDE w:val="0"/>
        <w:autoSpaceDN w:val="0"/>
        <w:adjustRightInd w:val="0"/>
        <w:spacing w:after="120" w:line="240" w:lineRule="auto"/>
        <w:ind w:firstLine="720"/>
        <w:jc w:val="both"/>
        <w:rPr>
          <w:rFonts w:asciiTheme="minorHAnsi" w:hAnsiTheme="minorHAnsi" w:cs="Calibri Light"/>
          <w:sz w:val="16"/>
          <w:szCs w:val="16"/>
          <w:lang w:val="en-US"/>
        </w:rPr>
      </w:pPr>
      <w:r w:rsidRPr="007D47AD">
        <w:rPr>
          <w:rStyle w:val="FootnoteReference"/>
          <w:rFonts w:asciiTheme="minorHAnsi" w:hAnsiTheme="minorHAnsi" w:cs="Calibri Light"/>
          <w:sz w:val="16"/>
          <w:szCs w:val="16"/>
          <w:lang w:val="en-US"/>
        </w:rPr>
        <w:footnoteRef/>
      </w:r>
      <w:r w:rsidRPr="007D47AD">
        <w:rPr>
          <w:rFonts w:asciiTheme="minorHAnsi" w:hAnsiTheme="minorHAnsi" w:cs="Calibri Light"/>
          <w:sz w:val="16"/>
          <w:szCs w:val="16"/>
          <w:lang w:val="en-US"/>
        </w:rPr>
        <w:t xml:space="preserve"> In particular, the presumption of innocence is contained in the Universal Declaration of Human Rights (Art. 11(1)), the International Covenant on Civil and Political Rights (Art. 14(2)), the American Declaration (Art. XXVI), and the American Convention (Art. 8(2)). In this regard, see also IACHR, </w:t>
      </w:r>
      <w:hyperlink r:id="rId192" w:history="1">
        <w:r w:rsidRPr="007D47AD">
          <w:rPr>
            <w:rStyle w:val="Hyperlink"/>
            <w:rFonts w:asciiTheme="minorHAnsi" w:hAnsiTheme="minorHAnsi" w:cs="Calibri Light"/>
            <w:sz w:val="16"/>
            <w:szCs w:val="16"/>
            <w:lang w:val="en-US"/>
          </w:rPr>
          <w:t>Report on the use of pretrial detention in the Americas</w:t>
        </w:r>
      </w:hyperlink>
      <w:r w:rsidRPr="007D47AD">
        <w:rPr>
          <w:rFonts w:asciiTheme="minorHAnsi" w:hAnsiTheme="minorHAnsi" w:cs="Calibri Light"/>
          <w:sz w:val="16"/>
          <w:szCs w:val="16"/>
          <w:lang w:val="en-US"/>
        </w:rPr>
        <w:t xml:space="preserve">, OEA/Ser.L/V/II., Doc. 46/13, December 30, 2013, para. </w:t>
      </w:r>
      <w:r w:rsidRPr="007D47AD">
        <w:rPr>
          <w:rFonts w:asciiTheme="minorHAnsi" w:hAnsiTheme="minorHAnsi" w:cs="Calibri Light"/>
          <w:sz w:val="16"/>
          <w:szCs w:val="16"/>
          <w:lang w:val="es-AR"/>
        </w:rPr>
        <w:t xml:space="preserve">16; IACHR. Report No. 50/00, Case 11,298, Merits, Reinaldo Figueredo Planchart, Venezuela, April 13, 2000, para. </w:t>
      </w:r>
      <w:r w:rsidRPr="007D47AD">
        <w:rPr>
          <w:rFonts w:asciiTheme="minorHAnsi" w:hAnsiTheme="minorHAnsi" w:cs="Calibri Light"/>
          <w:sz w:val="16"/>
          <w:szCs w:val="16"/>
          <w:lang w:val="en-US"/>
        </w:rPr>
        <w:t>118.</w:t>
      </w:r>
    </w:p>
  </w:footnote>
  <w:footnote w:id="371">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n-US"/>
        </w:rPr>
        <w:t xml:space="preserve"> IACHR, </w:t>
      </w:r>
      <w:hyperlink r:id="rId193" w:history="1">
        <w:r w:rsidRPr="007D47AD">
          <w:rPr>
            <w:rStyle w:val="Hyperlink"/>
            <w:rFonts w:asciiTheme="minorHAnsi" w:hAnsiTheme="minorHAnsi"/>
            <w:lang w:val="en-US"/>
          </w:rPr>
          <w:t>Press Release 3/19 – IACHR Calls on the Mexican State to Refrain from Taking Legislative Measures That Run Counter to International Standards on Pretrial Detention</w:t>
        </w:r>
      </w:hyperlink>
      <w:r w:rsidRPr="007D47AD">
        <w:rPr>
          <w:lang w:val="en-US"/>
        </w:rPr>
        <w:t xml:space="preserve">. </w:t>
      </w:r>
      <w:r w:rsidRPr="007D47AD">
        <w:rPr>
          <w:lang w:val="es-419"/>
        </w:rPr>
        <w:t>Washington, D.C., January 9, 2019.</w:t>
      </w:r>
    </w:p>
  </w:footnote>
  <w:footnote w:id="372">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Sexto Informe del Estado mexicano sobre el cumplimiento y seguimiento de las recomendaciones contenidas en el informe “Situación de los Derechos Humanos en México,” p. 78.</w:t>
      </w:r>
    </w:p>
  </w:footnote>
  <w:footnote w:id="373">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Sexto Informe del Estado mexicano sobre el cumplimiento y seguimiento de las recomendaciones contenidas en el informe “Situación de los Derechos Humanos en México,” p. 80.</w:t>
      </w:r>
    </w:p>
  </w:footnote>
  <w:footnote w:id="374">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CNDH, Criterios para un sistema orientado al respeto de los Derechos Humanos. Un modelo de reinserción social, June 2019. </w:t>
      </w:r>
    </w:p>
  </w:footnote>
  <w:footnote w:id="375">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CNDH, Un Modelo de Atención Postpenitenciaria. Criterios para un sistema orientado al respeto de los Derechos Humanos. June 2019. </w:t>
      </w:r>
    </w:p>
  </w:footnote>
  <w:footnote w:id="376">
    <w:p w:rsidR="00385F1D" w:rsidRPr="007D47AD" w:rsidRDefault="00385F1D" w:rsidP="00C66025">
      <w:pPr>
        <w:pStyle w:val="FootnoteText"/>
        <w:spacing w:after="120"/>
        <w:rPr>
          <w:lang w:val="en-US"/>
        </w:rPr>
      </w:pPr>
      <w:r w:rsidRPr="007D47AD">
        <w:rPr>
          <w:rStyle w:val="FootnoteReference"/>
          <w:rFonts w:asciiTheme="minorHAnsi" w:hAnsiTheme="minorHAnsi"/>
          <w:lang w:val="en-US"/>
        </w:rPr>
        <w:footnoteRef/>
      </w:r>
      <w:r w:rsidRPr="007D47AD">
        <w:rPr>
          <w:lang w:val="es-419"/>
        </w:rPr>
        <w:t xml:space="preserve"> CNDH, Criterios para un sistema orientado al respeto de los Derechos Humanos. </w:t>
      </w:r>
      <w:r w:rsidRPr="007D47AD">
        <w:rPr>
          <w:lang w:val="en-US"/>
        </w:rPr>
        <w:t>Cooperación para la Reinserción Social. June 2019.</w:t>
      </w:r>
    </w:p>
  </w:footnote>
  <w:footnote w:id="377">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n-US"/>
        </w:rPr>
        <w:t xml:space="preserve"> Observations and comments by the State, January 13, 2020, para. </w:t>
      </w:r>
      <w:r w:rsidRPr="007D47AD">
        <w:rPr>
          <w:lang w:val="es-419"/>
        </w:rPr>
        <w:t>105.</w:t>
      </w:r>
    </w:p>
  </w:footnote>
  <w:footnote w:id="378">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Sexto Informe del Estado mexicano sobre el cumplimiento y seguimiento de las recomendaciones contenidas en el informe “Situación de los Derechos Humanos en México,” p. 79.</w:t>
      </w:r>
    </w:p>
  </w:footnote>
  <w:footnote w:id="379">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n-US"/>
        </w:rPr>
        <w:t xml:space="preserve"> Observations and comments by the State, January 13, 2020, para. </w:t>
      </w:r>
      <w:r w:rsidRPr="007D47AD">
        <w:rPr>
          <w:lang w:val="es-419"/>
        </w:rPr>
        <w:t>107.</w:t>
      </w:r>
    </w:p>
  </w:footnote>
  <w:footnote w:id="380">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CNDH, “</w:t>
      </w:r>
      <w:hyperlink r:id="rId194" w:history="1">
        <w:r w:rsidRPr="007D47AD">
          <w:rPr>
            <w:rStyle w:val="Hyperlink"/>
            <w:rFonts w:asciiTheme="minorHAnsi" w:hAnsiTheme="minorHAnsi"/>
            <w:lang w:val="es-419"/>
          </w:rPr>
          <w:t>Cooperación para la reinserción social</w:t>
        </w:r>
      </w:hyperlink>
      <w:r w:rsidRPr="007D47AD">
        <w:rPr>
          <w:lang w:val="es-419"/>
        </w:rPr>
        <w:t xml:space="preserve">”, June 2019, p. 40. </w:t>
      </w:r>
    </w:p>
  </w:footnote>
  <w:footnote w:id="381">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CNDH, “</w:t>
      </w:r>
      <w:hyperlink r:id="rId195" w:history="1">
        <w:r w:rsidRPr="007D47AD">
          <w:rPr>
            <w:rStyle w:val="Hyperlink"/>
            <w:rFonts w:asciiTheme="minorHAnsi" w:hAnsiTheme="minorHAnsi"/>
            <w:lang w:val="es-419"/>
          </w:rPr>
          <w:t>Cooperación para la reinserción social</w:t>
        </w:r>
      </w:hyperlink>
      <w:r w:rsidRPr="007D47AD">
        <w:rPr>
          <w:lang w:val="es-419"/>
        </w:rPr>
        <w:t>”, June 2019, p. 40.</w:t>
      </w:r>
    </w:p>
  </w:footnote>
  <w:footnote w:id="382">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CNDH, “</w:t>
      </w:r>
      <w:hyperlink r:id="rId196" w:history="1">
        <w:r w:rsidRPr="007D47AD">
          <w:rPr>
            <w:rStyle w:val="Hyperlink"/>
            <w:rFonts w:asciiTheme="minorHAnsi" w:hAnsiTheme="minorHAnsi"/>
            <w:lang w:val="es-419"/>
          </w:rPr>
          <w:t>Cooperación para la reinserción social</w:t>
        </w:r>
      </w:hyperlink>
      <w:r w:rsidRPr="007D47AD">
        <w:rPr>
          <w:lang w:val="es-419"/>
        </w:rPr>
        <w:t>”, June 2019, p. 40.</w:t>
      </w:r>
    </w:p>
  </w:footnote>
  <w:footnote w:id="383">
    <w:p w:rsidR="00385F1D" w:rsidRPr="007D47AD" w:rsidRDefault="00385F1D" w:rsidP="00C66025">
      <w:pPr>
        <w:spacing w:after="120" w:line="240" w:lineRule="auto"/>
        <w:ind w:firstLine="720"/>
        <w:jc w:val="both"/>
        <w:rPr>
          <w:rFonts w:asciiTheme="minorHAnsi" w:hAnsiTheme="minorHAnsi"/>
          <w:bCs/>
          <w:sz w:val="16"/>
          <w:szCs w:val="16"/>
          <w:shd w:val="clear" w:color="auto" w:fill="FFFFFF"/>
          <w:lang w:val="es-419"/>
        </w:rPr>
      </w:pPr>
      <w:r w:rsidRPr="007D47AD">
        <w:rPr>
          <w:rStyle w:val="FootnoteReference"/>
          <w:rFonts w:asciiTheme="minorHAnsi" w:hAnsiTheme="minorHAnsi"/>
          <w:sz w:val="16"/>
          <w:szCs w:val="16"/>
          <w:lang w:val="en-US"/>
        </w:rPr>
        <w:footnoteRef/>
      </w:r>
      <w:r w:rsidRPr="007D47AD">
        <w:rPr>
          <w:rFonts w:asciiTheme="minorHAnsi" w:hAnsiTheme="minorHAnsi"/>
          <w:sz w:val="16"/>
          <w:szCs w:val="16"/>
          <w:lang w:val="es-419"/>
        </w:rPr>
        <w:t xml:space="preserve"> </w:t>
      </w:r>
      <w:r w:rsidRPr="007D47AD">
        <w:rPr>
          <w:rFonts w:asciiTheme="minorHAnsi" w:hAnsiTheme="minorHAnsi"/>
          <w:bCs/>
          <w:sz w:val="16"/>
          <w:szCs w:val="16"/>
          <w:shd w:val="clear" w:color="auto" w:fill="FFFFFF"/>
          <w:lang w:val="es-419"/>
        </w:rPr>
        <w:t>Quadratin México, “</w:t>
      </w:r>
      <w:hyperlink r:id="rId197" w:history="1">
        <w:r w:rsidRPr="007D47AD">
          <w:rPr>
            <w:rStyle w:val="Hyperlink"/>
            <w:rFonts w:asciiTheme="minorHAnsi" w:hAnsiTheme="minorHAnsi"/>
            <w:bCs/>
            <w:sz w:val="16"/>
            <w:szCs w:val="16"/>
            <w:shd w:val="clear" w:color="auto" w:fill="FFFFFF"/>
            <w:lang w:val="es-419"/>
          </w:rPr>
          <w:t>Iniciativa Mérida da acreditación internacional a 13 penales mexicanos</w:t>
        </w:r>
      </w:hyperlink>
      <w:r w:rsidRPr="007D47AD">
        <w:rPr>
          <w:rFonts w:asciiTheme="minorHAnsi" w:hAnsiTheme="minorHAnsi"/>
          <w:bCs/>
          <w:sz w:val="16"/>
          <w:szCs w:val="16"/>
          <w:shd w:val="clear" w:color="auto" w:fill="FFFFFF"/>
          <w:lang w:val="es-419"/>
        </w:rPr>
        <w:t xml:space="preserve">”, August 5, 2019. </w:t>
      </w:r>
    </w:p>
  </w:footnote>
  <w:footnote w:id="384">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Sexto Informe del Estado mexicano sobre el cumplimiento y seguimiento de las recomendaciones contenidas en el informe “Situación de los Derechos Humanos en México,” pp. 80-81.</w:t>
      </w:r>
    </w:p>
  </w:footnote>
  <w:footnote w:id="385">
    <w:p w:rsidR="00385F1D" w:rsidRPr="007D47AD" w:rsidRDefault="00385F1D" w:rsidP="00C66025">
      <w:pPr>
        <w:pStyle w:val="FootnoteText"/>
        <w:spacing w:after="120"/>
        <w:rPr>
          <w:lang w:val="en-US"/>
        </w:rPr>
      </w:pPr>
      <w:r w:rsidRPr="007D47AD">
        <w:rPr>
          <w:rStyle w:val="FootnoteReference"/>
          <w:rFonts w:asciiTheme="minorHAnsi" w:hAnsiTheme="minorHAnsi"/>
          <w:lang w:val="en-US"/>
        </w:rPr>
        <w:footnoteRef/>
      </w:r>
      <w:r w:rsidRPr="007D47AD">
        <w:rPr>
          <w:lang w:val="en-US"/>
        </w:rPr>
        <w:t xml:space="preserve"> Observations and comments by the State, January 13, 2020, para. 108.</w:t>
      </w:r>
    </w:p>
  </w:footnote>
  <w:footnote w:id="386">
    <w:p w:rsidR="00385F1D" w:rsidRPr="007D47AD" w:rsidRDefault="00385F1D" w:rsidP="00C66025">
      <w:pPr>
        <w:pStyle w:val="FootnoteText"/>
        <w:spacing w:after="120"/>
        <w:rPr>
          <w:lang w:val="en-US"/>
        </w:rPr>
      </w:pPr>
      <w:r w:rsidRPr="007D47AD">
        <w:rPr>
          <w:rStyle w:val="FootnoteReference"/>
          <w:rFonts w:asciiTheme="minorHAnsi" w:hAnsiTheme="minorHAnsi"/>
          <w:lang w:val="en-US"/>
        </w:rPr>
        <w:footnoteRef/>
      </w:r>
      <w:r w:rsidRPr="007D47AD">
        <w:rPr>
          <w:lang w:val="en-US"/>
        </w:rPr>
        <w:t xml:space="preserve"> Observations and comments by the State, January 13, 2020, para. 113.</w:t>
      </w:r>
    </w:p>
  </w:footnote>
  <w:footnote w:id="387">
    <w:p w:rsidR="00385F1D" w:rsidRPr="007D47AD" w:rsidRDefault="00385F1D" w:rsidP="00C66025">
      <w:pPr>
        <w:spacing w:after="120" w:line="240" w:lineRule="auto"/>
        <w:ind w:firstLine="720"/>
        <w:jc w:val="both"/>
        <w:rPr>
          <w:rFonts w:asciiTheme="minorHAnsi" w:hAnsiTheme="minorHAnsi"/>
          <w:sz w:val="16"/>
          <w:szCs w:val="16"/>
          <w:lang w:val="es-US"/>
        </w:rPr>
      </w:pPr>
      <w:r w:rsidRPr="007D47AD">
        <w:rPr>
          <w:rStyle w:val="FootnoteReference"/>
          <w:rFonts w:asciiTheme="minorHAnsi" w:hAnsiTheme="minorHAnsi"/>
          <w:sz w:val="16"/>
          <w:szCs w:val="16"/>
          <w:lang w:val="en-US"/>
        </w:rPr>
        <w:footnoteRef/>
      </w:r>
      <w:r w:rsidRPr="007D47AD">
        <w:rPr>
          <w:rFonts w:asciiTheme="minorHAnsi" w:hAnsiTheme="minorHAnsi"/>
          <w:sz w:val="16"/>
          <w:szCs w:val="16"/>
          <w:lang w:val="es-US"/>
        </w:rPr>
        <w:t xml:space="preserve"> CNDH, “</w:t>
      </w:r>
      <w:hyperlink r:id="rId198" w:history="1">
        <w:r w:rsidRPr="007D47AD">
          <w:rPr>
            <w:rStyle w:val="Hyperlink"/>
            <w:rFonts w:asciiTheme="minorHAnsi" w:hAnsiTheme="minorHAnsi"/>
            <w:sz w:val="16"/>
            <w:szCs w:val="16"/>
            <w:lang w:val="es-US"/>
          </w:rPr>
          <w:t>Comunicado de prensa DGC/091/19</w:t>
        </w:r>
      </w:hyperlink>
      <w:r w:rsidRPr="007D47AD">
        <w:rPr>
          <w:rFonts w:asciiTheme="minorHAnsi" w:hAnsiTheme="minorHAnsi"/>
          <w:sz w:val="16"/>
          <w:szCs w:val="16"/>
          <w:lang w:val="es-US"/>
        </w:rPr>
        <w:t xml:space="preserve">”, March 15, 2019. </w:t>
      </w:r>
    </w:p>
  </w:footnote>
  <w:footnote w:id="388">
    <w:p w:rsidR="00385F1D" w:rsidRPr="007D47AD" w:rsidRDefault="00385F1D" w:rsidP="00C66025">
      <w:pPr>
        <w:pStyle w:val="FootnoteText"/>
        <w:spacing w:after="120"/>
        <w:rPr>
          <w:lang w:val="en-US"/>
        </w:rPr>
      </w:pPr>
      <w:r w:rsidRPr="007D47AD">
        <w:rPr>
          <w:rStyle w:val="FootnoteReference"/>
          <w:rFonts w:asciiTheme="minorHAnsi" w:hAnsiTheme="minorHAnsi"/>
          <w:lang w:val="en-US"/>
        </w:rPr>
        <w:footnoteRef/>
      </w:r>
      <w:r w:rsidRPr="007D47AD">
        <w:rPr>
          <w:lang w:val="en-US"/>
        </w:rPr>
        <w:t xml:space="preserve"> The statistics are from March 2019. </w:t>
      </w:r>
    </w:p>
  </w:footnote>
  <w:footnote w:id="389">
    <w:p w:rsidR="00385F1D" w:rsidRPr="007D47AD" w:rsidRDefault="00385F1D" w:rsidP="00C66025">
      <w:pPr>
        <w:spacing w:after="120" w:line="240" w:lineRule="auto"/>
        <w:ind w:firstLine="720"/>
        <w:jc w:val="both"/>
        <w:rPr>
          <w:rFonts w:asciiTheme="minorHAnsi" w:hAnsiTheme="minorHAnsi"/>
          <w:sz w:val="16"/>
          <w:szCs w:val="16"/>
          <w:lang w:val="es-419"/>
        </w:rPr>
      </w:pPr>
      <w:r w:rsidRPr="007D47AD">
        <w:rPr>
          <w:rStyle w:val="FootnoteReference"/>
          <w:rFonts w:asciiTheme="minorHAnsi" w:hAnsiTheme="minorHAnsi"/>
          <w:sz w:val="16"/>
          <w:szCs w:val="16"/>
          <w:lang w:val="en-US"/>
        </w:rPr>
        <w:footnoteRef/>
      </w:r>
      <w:r w:rsidRPr="007D47AD">
        <w:rPr>
          <w:rFonts w:asciiTheme="minorHAnsi" w:hAnsiTheme="minorHAnsi"/>
          <w:sz w:val="16"/>
          <w:szCs w:val="16"/>
          <w:lang w:val="es-419"/>
        </w:rPr>
        <w:t xml:space="preserve"> CNDH, “</w:t>
      </w:r>
      <w:hyperlink r:id="rId199" w:history="1">
        <w:r w:rsidRPr="007D47AD">
          <w:rPr>
            <w:rStyle w:val="Hyperlink"/>
            <w:rFonts w:asciiTheme="minorHAnsi" w:hAnsiTheme="minorHAnsi"/>
            <w:sz w:val="16"/>
            <w:szCs w:val="16"/>
            <w:lang w:val="es-419"/>
          </w:rPr>
          <w:t>Comunicado de prensa DGC/091/19</w:t>
        </w:r>
      </w:hyperlink>
      <w:r w:rsidRPr="007D47AD">
        <w:rPr>
          <w:rFonts w:asciiTheme="minorHAnsi" w:hAnsiTheme="minorHAnsi"/>
          <w:sz w:val="16"/>
          <w:szCs w:val="16"/>
          <w:lang w:val="es-419"/>
        </w:rPr>
        <w:t xml:space="preserve">”, March 15, 2019. </w:t>
      </w:r>
    </w:p>
  </w:footnote>
  <w:footnote w:id="390">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CNDH, “</w:t>
      </w:r>
      <w:hyperlink r:id="rId200" w:history="1">
        <w:r w:rsidRPr="007D47AD">
          <w:rPr>
            <w:rStyle w:val="Hyperlink"/>
            <w:rFonts w:asciiTheme="minorHAnsi" w:hAnsiTheme="minorHAnsi"/>
            <w:lang w:val="es-419"/>
          </w:rPr>
          <w:t>Comunicado de prensa DGC/091/19</w:t>
        </w:r>
      </w:hyperlink>
      <w:r w:rsidRPr="007D47AD">
        <w:rPr>
          <w:lang w:val="es-419"/>
        </w:rPr>
        <w:t>”, March 15, 2019.</w:t>
      </w:r>
    </w:p>
  </w:footnote>
  <w:footnote w:id="391">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INEGI, “</w:t>
      </w:r>
      <w:hyperlink r:id="rId201" w:anchor="Documentacion" w:history="1">
        <w:r w:rsidRPr="007D47AD">
          <w:rPr>
            <w:rStyle w:val="Hyperlink"/>
            <w:rFonts w:asciiTheme="minorHAnsi" w:hAnsiTheme="minorHAnsi"/>
            <w:lang w:val="es-419"/>
          </w:rPr>
          <w:t>Encuesta Nacional de Población Privada de la Libertad 2016 (ENPOL),”</w:t>
        </w:r>
      </w:hyperlink>
      <w:r w:rsidRPr="007D47AD">
        <w:rPr>
          <w:lang w:val="es-419"/>
        </w:rPr>
        <w:t xml:space="preserve"> July 31, 2017. </w:t>
      </w:r>
    </w:p>
  </w:footnote>
  <w:footnote w:id="392">
    <w:p w:rsidR="00385F1D" w:rsidRPr="007D47AD" w:rsidRDefault="00385F1D" w:rsidP="00C66025">
      <w:pPr>
        <w:spacing w:after="120" w:line="240" w:lineRule="auto"/>
        <w:ind w:firstLine="720"/>
        <w:jc w:val="both"/>
        <w:rPr>
          <w:rFonts w:asciiTheme="minorHAnsi" w:hAnsiTheme="minorHAnsi"/>
          <w:sz w:val="16"/>
          <w:szCs w:val="16"/>
          <w:lang w:val="es-419"/>
        </w:rPr>
      </w:pPr>
      <w:r w:rsidRPr="007D47AD">
        <w:rPr>
          <w:rStyle w:val="FootnoteReference"/>
          <w:rFonts w:asciiTheme="minorHAnsi" w:hAnsiTheme="minorHAnsi"/>
          <w:sz w:val="16"/>
          <w:szCs w:val="16"/>
          <w:lang w:val="en-US"/>
        </w:rPr>
        <w:footnoteRef/>
      </w:r>
      <w:r w:rsidRPr="007D47AD">
        <w:rPr>
          <w:rFonts w:asciiTheme="minorHAnsi" w:hAnsiTheme="minorHAnsi"/>
          <w:sz w:val="16"/>
          <w:szCs w:val="16"/>
          <w:lang w:val="es-419"/>
        </w:rPr>
        <w:t xml:space="preserve"> Periódico Sin Embargo, “</w:t>
      </w:r>
      <w:hyperlink r:id="rId202" w:history="1">
        <w:r w:rsidRPr="007D47AD">
          <w:rPr>
            <w:rStyle w:val="Hyperlink"/>
            <w:rFonts w:asciiTheme="minorHAnsi" w:hAnsiTheme="minorHAnsi"/>
            <w:sz w:val="16"/>
            <w:szCs w:val="16"/>
            <w:lang w:val="es-419"/>
          </w:rPr>
          <w:t>Más de 80% de mujeres en prisión son madres con hijos menores que sufren violencia, denuncian</w:t>
        </w:r>
      </w:hyperlink>
      <w:r w:rsidRPr="007D47AD">
        <w:rPr>
          <w:rFonts w:asciiTheme="minorHAnsi" w:hAnsiTheme="minorHAnsi"/>
          <w:sz w:val="16"/>
          <w:szCs w:val="16"/>
          <w:lang w:val="es-419"/>
        </w:rPr>
        <w:t xml:space="preserve">”, May 10, 2019. </w:t>
      </w:r>
    </w:p>
  </w:footnote>
  <w:footnote w:id="393">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Periódico Sin Embargo, “</w:t>
      </w:r>
      <w:hyperlink r:id="rId203" w:history="1">
        <w:r w:rsidRPr="007D47AD">
          <w:rPr>
            <w:rStyle w:val="Hyperlink"/>
            <w:rFonts w:asciiTheme="minorHAnsi" w:hAnsiTheme="minorHAnsi"/>
            <w:lang w:val="es-419"/>
          </w:rPr>
          <w:t>Más de 80% de mujeres en prisión son madres con hijos menores que sufren violencia, denuncian</w:t>
        </w:r>
      </w:hyperlink>
      <w:r w:rsidRPr="007D47AD">
        <w:rPr>
          <w:lang w:val="es-419"/>
        </w:rPr>
        <w:t>”, May 10, 2019.</w:t>
      </w:r>
    </w:p>
  </w:footnote>
  <w:footnote w:id="394">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n-US"/>
        </w:rPr>
        <w:t xml:space="preserve"> Observations and comments by the State, January 13, 2020, para. </w:t>
      </w:r>
      <w:r w:rsidRPr="007D47AD">
        <w:rPr>
          <w:lang w:val="es-419"/>
        </w:rPr>
        <w:t>109.</w:t>
      </w:r>
    </w:p>
  </w:footnote>
  <w:footnote w:id="395">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Observations and comments by the State, January 13, 2020, para. 106.</w:t>
      </w:r>
    </w:p>
  </w:footnote>
  <w:footnote w:id="396">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Sexto Informe del Estado mexicano sobre el cumplimiento y seguimiento de las recomendaciones contenidas en el informe “Situación de los Derechos Humanos en México,” p. 82.</w:t>
      </w:r>
    </w:p>
  </w:footnote>
  <w:footnote w:id="397">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Sexto Informe del Estado mexicano sobre el cumplimiento y seguimiento de las recomendaciones contenidas en el informe “Situación de los Derechos Humanos en México,” p. 82.</w:t>
      </w:r>
    </w:p>
  </w:footnote>
  <w:footnote w:id="398">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Sexto Informe del Estado mexicano sobre el cumplimiento y seguimiento de las recomendaciones contenidas en el informe “Situación de los Derechos Humanos en México,” p. 82.</w:t>
      </w:r>
    </w:p>
  </w:footnote>
  <w:footnote w:id="399">
    <w:p w:rsidR="00385F1D" w:rsidRPr="007D47AD" w:rsidRDefault="00385F1D" w:rsidP="00C66025">
      <w:pPr>
        <w:spacing w:after="120" w:line="240" w:lineRule="auto"/>
        <w:ind w:firstLine="720"/>
        <w:jc w:val="both"/>
        <w:rPr>
          <w:rFonts w:asciiTheme="minorHAnsi" w:hAnsiTheme="minorHAnsi"/>
          <w:sz w:val="16"/>
          <w:szCs w:val="16"/>
          <w:lang w:val="es-419"/>
        </w:rPr>
      </w:pPr>
      <w:r w:rsidRPr="007D47AD">
        <w:rPr>
          <w:rStyle w:val="FootnoteReference"/>
          <w:rFonts w:asciiTheme="minorHAnsi" w:hAnsiTheme="minorHAnsi"/>
          <w:sz w:val="16"/>
          <w:szCs w:val="16"/>
          <w:lang w:val="en-US"/>
        </w:rPr>
        <w:footnoteRef/>
      </w:r>
      <w:r w:rsidRPr="007D47AD">
        <w:rPr>
          <w:rFonts w:asciiTheme="minorHAnsi" w:hAnsiTheme="minorHAnsi"/>
          <w:sz w:val="16"/>
          <w:szCs w:val="16"/>
          <w:lang w:val="es-419"/>
        </w:rPr>
        <w:t xml:space="preserve"> Animal Político, “</w:t>
      </w:r>
      <w:hyperlink r:id="rId204" w:history="1">
        <w:r w:rsidRPr="007D47AD">
          <w:rPr>
            <w:rStyle w:val="Hyperlink"/>
            <w:rFonts w:asciiTheme="minorHAnsi" w:hAnsiTheme="minorHAnsi"/>
            <w:sz w:val="16"/>
            <w:szCs w:val="16"/>
            <w:lang w:val="es-419"/>
          </w:rPr>
          <w:t>Cárceles mexicanas reducen su población, son 57 mil 254 presos menos que hace cuatro años</w:t>
        </w:r>
      </w:hyperlink>
      <w:r w:rsidRPr="007D47AD">
        <w:rPr>
          <w:rFonts w:asciiTheme="minorHAnsi" w:hAnsiTheme="minorHAnsi"/>
          <w:sz w:val="16"/>
          <w:szCs w:val="16"/>
          <w:lang w:val="es-419"/>
        </w:rPr>
        <w:t>”, July 15, 2019.</w:t>
      </w:r>
    </w:p>
  </w:footnote>
  <w:footnote w:id="400">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n-US"/>
        </w:rPr>
        <w:t xml:space="preserve">  IACHR, Report on the use of pretrial detention in the Americas, OEA/Ser.L/V/II. Doc. 46/13,  December 30, 2013, paras. </w:t>
      </w:r>
      <w:r w:rsidRPr="007D47AD">
        <w:rPr>
          <w:lang w:val="es-419"/>
        </w:rPr>
        <w:t>107, 131 and 132.</w:t>
      </w:r>
    </w:p>
  </w:footnote>
  <w:footnote w:id="401">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Observations and comments by the State, January 13, 2020, paras. 110-111.</w:t>
      </w:r>
    </w:p>
  </w:footnote>
  <w:footnote w:id="402">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Sexto Informe del Estado mexicano sobre el cumplimiento y seguimiento de las recomendaciones contenidas en el informe “Situación de los Derechos Humanos en México,” p. 84.</w:t>
      </w:r>
    </w:p>
  </w:footnote>
  <w:footnote w:id="403">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Sexto Informe del Estado mexicano sobre el cumplimiento y seguimiento de las recomendaciones contenidas en el informe “Situación de los Derechos Humanos en México,” p. 85.</w:t>
      </w:r>
    </w:p>
  </w:footnote>
  <w:footnote w:id="404">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Sexto Informe del Estado mexicano sobre el cumplimiento y seguimiento de las recomendaciones contenidas en el informe “Situación de los Derechos Humanos en México,” p. 84.</w:t>
      </w:r>
    </w:p>
  </w:footnote>
  <w:footnote w:id="405">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Sexto Informe del Estado mexicano sobre el cumplimiento y seguimiento de las recomendaciones contenidas en el informe “Situación de los Derechos Humanos en México,” pp. 84-85.</w:t>
      </w:r>
    </w:p>
  </w:footnote>
  <w:footnote w:id="406">
    <w:p w:rsidR="00385F1D" w:rsidRPr="007D47AD" w:rsidRDefault="00385F1D" w:rsidP="00C66025">
      <w:pPr>
        <w:pStyle w:val="FootnoteText"/>
        <w:spacing w:after="120"/>
        <w:rPr>
          <w:lang w:val="en-US"/>
        </w:rPr>
      </w:pPr>
      <w:r w:rsidRPr="007D47AD">
        <w:rPr>
          <w:rStyle w:val="FootnoteReference"/>
          <w:rFonts w:asciiTheme="minorHAnsi" w:hAnsiTheme="minorHAnsi"/>
          <w:lang w:val="en-US"/>
        </w:rPr>
        <w:footnoteRef/>
      </w:r>
      <w:r w:rsidRPr="007D47AD">
        <w:rPr>
          <w:lang w:val="es-419"/>
        </w:rPr>
        <w:t xml:space="preserve"> IACHR, </w:t>
      </w:r>
      <w:hyperlink r:id="rId205" w:history="1">
        <w:r w:rsidRPr="007D47AD">
          <w:rPr>
            <w:rStyle w:val="Hyperlink"/>
            <w:rFonts w:asciiTheme="minorHAnsi" w:hAnsiTheme="minorHAnsi"/>
            <w:lang w:val="es-419"/>
          </w:rPr>
          <w:t>Annual Report. Mexico</w:t>
        </w:r>
      </w:hyperlink>
      <w:r w:rsidRPr="007D47AD">
        <w:rPr>
          <w:lang w:val="es-419"/>
        </w:rPr>
        <w:t xml:space="preserve">, 2018, para. </w:t>
      </w:r>
      <w:r w:rsidRPr="007D47AD">
        <w:rPr>
          <w:lang w:val="en-US"/>
        </w:rPr>
        <w:t xml:space="preserve">216. </w:t>
      </w:r>
      <w:hyperlink r:id="rId206" w:history="1">
        <w:r w:rsidRPr="007D47AD">
          <w:rPr>
            <w:rStyle w:val="Hyperlink"/>
            <w:rFonts w:asciiTheme="minorHAnsi" w:hAnsiTheme="minorHAnsi"/>
            <w:lang w:val="en-US"/>
          </w:rPr>
          <w:t>Annual Report. Mexico</w:t>
        </w:r>
      </w:hyperlink>
      <w:r w:rsidRPr="007D47AD">
        <w:rPr>
          <w:lang w:val="en-US"/>
        </w:rPr>
        <w:t xml:space="preserve">, 2017, para. 197. </w:t>
      </w:r>
    </w:p>
  </w:footnote>
  <w:footnote w:id="407">
    <w:p w:rsidR="00385F1D" w:rsidRPr="007D47AD" w:rsidRDefault="00385F1D" w:rsidP="00C66025">
      <w:pPr>
        <w:pStyle w:val="FootnoteText"/>
        <w:spacing w:after="120"/>
        <w:rPr>
          <w:lang w:val="en-US"/>
        </w:rPr>
      </w:pPr>
      <w:r w:rsidRPr="007D47AD">
        <w:rPr>
          <w:rStyle w:val="FootnoteReference"/>
          <w:rFonts w:asciiTheme="minorHAnsi" w:hAnsiTheme="minorHAnsi"/>
          <w:lang w:val="en-US"/>
        </w:rPr>
        <w:footnoteRef/>
      </w:r>
      <w:r w:rsidRPr="007D47AD">
        <w:rPr>
          <w:lang w:val="en-US"/>
        </w:rPr>
        <w:t xml:space="preserve"> UNHCR, </w:t>
      </w:r>
      <w:hyperlink r:id="rId207" w:history="1">
        <w:r w:rsidRPr="007D47AD">
          <w:rPr>
            <w:rStyle w:val="Hyperlink"/>
            <w:rFonts w:asciiTheme="minorHAnsi" w:hAnsiTheme="minorHAnsi"/>
            <w:lang w:val="en-US"/>
          </w:rPr>
          <w:t>Global Tremds: Forced Displaced in 2018</w:t>
        </w:r>
      </w:hyperlink>
      <w:r w:rsidRPr="007D47AD">
        <w:rPr>
          <w:lang w:val="en-US"/>
        </w:rPr>
        <w:t xml:space="preserve">, June 20, 2019, p. 67. </w:t>
      </w:r>
    </w:p>
  </w:footnote>
  <w:footnote w:id="408">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COMAR, </w:t>
      </w:r>
      <w:hyperlink r:id="rId208" w:history="1">
        <w:r w:rsidRPr="007D47AD">
          <w:rPr>
            <w:rStyle w:val="Hyperlink"/>
            <w:rFonts w:asciiTheme="minorHAnsi" w:hAnsiTheme="minorHAnsi"/>
            <w:lang w:val="es-419"/>
          </w:rPr>
          <w:t>La COMAR en números. Actualización al mes de septiembre de 2019</w:t>
        </w:r>
      </w:hyperlink>
      <w:r w:rsidRPr="007D47AD">
        <w:rPr>
          <w:lang w:val="es-419"/>
        </w:rPr>
        <w:t>, September 4, 2019.</w:t>
      </w:r>
    </w:p>
  </w:footnote>
  <w:footnote w:id="409">
    <w:p w:rsidR="00385F1D" w:rsidRPr="007D47AD" w:rsidRDefault="00385F1D" w:rsidP="00C66025">
      <w:pPr>
        <w:pStyle w:val="FootnoteText"/>
        <w:spacing w:after="120"/>
        <w:rPr>
          <w:lang w:val="en-US"/>
        </w:rPr>
      </w:pPr>
      <w:r w:rsidRPr="007D47AD">
        <w:rPr>
          <w:rStyle w:val="FootnoteReference"/>
          <w:rFonts w:asciiTheme="minorHAnsi" w:hAnsiTheme="minorHAnsi"/>
          <w:lang w:val="en-US"/>
        </w:rPr>
        <w:footnoteRef/>
      </w:r>
      <w:r w:rsidRPr="007D47AD">
        <w:rPr>
          <w:lang w:val="es-419"/>
        </w:rPr>
        <w:t xml:space="preserve"> COMAR, </w:t>
      </w:r>
      <w:hyperlink r:id="rId209" w:history="1">
        <w:r w:rsidRPr="007D47AD">
          <w:rPr>
            <w:rStyle w:val="Hyperlink"/>
            <w:rFonts w:asciiTheme="minorHAnsi" w:hAnsiTheme="minorHAnsi"/>
            <w:lang w:val="es-419"/>
          </w:rPr>
          <w:t xml:space="preserve">La COMAR en números. </w:t>
        </w:r>
        <w:r w:rsidRPr="007D47AD">
          <w:rPr>
            <w:rStyle w:val="Hyperlink"/>
            <w:rFonts w:asciiTheme="minorHAnsi" w:hAnsiTheme="minorHAnsi"/>
            <w:lang w:val="en-US"/>
          </w:rPr>
          <w:t>Actualización al mes de septiembre de 2019</w:t>
        </w:r>
      </w:hyperlink>
      <w:r w:rsidRPr="007D47AD">
        <w:rPr>
          <w:lang w:val="en-US"/>
        </w:rPr>
        <w:t>, September 4, 2019.</w:t>
      </w:r>
    </w:p>
  </w:footnote>
  <w:footnote w:id="410">
    <w:p w:rsidR="00385F1D" w:rsidRPr="007D47AD" w:rsidRDefault="00385F1D" w:rsidP="00C66025">
      <w:pPr>
        <w:pStyle w:val="FootnoteText"/>
        <w:spacing w:after="120"/>
        <w:rPr>
          <w:lang w:val="en-US"/>
        </w:rPr>
      </w:pPr>
      <w:r w:rsidRPr="007D47AD">
        <w:rPr>
          <w:rStyle w:val="FootnoteReference"/>
          <w:rFonts w:asciiTheme="minorHAnsi" w:hAnsiTheme="minorHAnsi"/>
          <w:lang w:val="en-US"/>
        </w:rPr>
        <w:footnoteRef/>
      </w:r>
      <w:r w:rsidRPr="007D47AD">
        <w:rPr>
          <w:lang w:val="en-US"/>
        </w:rPr>
        <w:t xml:space="preserve"> IACHR, Press Release 43/17, </w:t>
      </w:r>
      <w:hyperlink r:id="rId210" w:history="1">
        <w:r w:rsidRPr="007D47AD">
          <w:rPr>
            <w:rStyle w:val="Hyperlink"/>
            <w:rFonts w:asciiTheme="minorHAnsi" w:hAnsiTheme="minorHAnsi"/>
            <w:lang w:val="en-US"/>
          </w:rPr>
          <w:t>IACHR Welcomes Measures to Provide Protection to Venezuelan Migrants in Peru and Calls on States in the Region to Implement Measures for their Protection</w:t>
        </w:r>
      </w:hyperlink>
      <w:r w:rsidRPr="007D47AD">
        <w:rPr>
          <w:lang w:val="en-US"/>
        </w:rPr>
        <w:t xml:space="preserve">, Washington, D.C., January 25, 2017. </w:t>
      </w:r>
    </w:p>
  </w:footnote>
  <w:footnote w:id="411">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COMAR, </w:t>
      </w:r>
      <w:hyperlink r:id="rId211" w:history="1">
        <w:r w:rsidRPr="007D47AD">
          <w:rPr>
            <w:rStyle w:val="Hyperlink"/>
            <w:rFonts w:asciiTheme="minorHAnsi" w:hAnsiTheme="minorHAnsi"/>
            <w:lang w:val="es-419"/>
          </w:rPr>
          <w:t>La COMAR en números. Actualización al mes de septiembre de 2019</w:t>
        </w:r>
      </w:hyperlink>
      <w:r w:rsidRPr="007D47AD">
        <w:rPr>
          <w:lang w:val="es-419"/>
        </w:rPr>
        <w:t>, September 4, 2019.</w:t>
      </w:r>
    </w:p>
  </w:footnote>
  <w:footnote w:id="412">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CNDH, Actualización correspondiente al año 2019 de la aportación de la Comisión Nacional de los Derechos Humanos de México (CNDH) en el marco de la revisión del cumplimiento de recomendaciones contenidas en el “Informe sobre situación de los Derechos Humanos en México”, publicado por la Comisión Interamericana de Derechos Humanos (CIDH) en 2015, October 2019. </w:t>
      </w:r>
    </w:p>
  </w:footnote>
  <w:footnote w:id="413">
    <w:p w:rsidR="00385F1D" w:rsidRPr="007D47AD" w:rsidRDefault="00385F1D" w:rsidP="00C66025">
      <w:pPr>
        <w:pStyle w:val="Default"/>
        <w:spacing w:after="120"/>
        <w:jc w:val="both"/>
        <w:rPr>
          <w:rFonts w:asciiTheme="minorHAnsi" w:hAnsiTheme="minorHAnsi" w:cs="Arial"/>
          <w:sz w:val="16"/>
          <w:szCs w:val="16"/>
        </w:rPr>
      </w:pPr>
      <w:r w:rsidRPr="007D47AD">
        <w:rPr>
          <w:rStyle w:val="FootnoteReference"/>
          <w:rFonts w:asciiTheme="minorHAnsi" w:hAnsiTheme="minorHAnsi"/>
          <w:sz w:val="16"/>
          <w:szCs w:val="16"/>
        </w:rPr>
        <w:footnoteRef/>
      </w:r>
      <w:r w:rsidRPr="007D47AD">
        <w:rPr>
          <w:rFonts w:asciiTheme="minorHAnsi" w:hAnsiTheme="minorHAnsi"/>
          <w:sz w:val="16"/>
          <w:szCs w:val="16"/>
        </w:rPr>
        <w:t xml:space="preserve"> </w:t>
      </w:r>
      <w:r w:rsidRPr="007D47AD">
        <w:rPr>
          <w:rFonts w:asciiTheme="minorHAnsi" w:hAnsiTheme="minorHAnsi" w:cs="Arial"/>
          <w:sz w:val="16"/>
          <w:szCs w:val="16"/>
        </w:rPr>
        <w:t xml:space="preserve">General Congress of the United Mexican States, </w:t>
      </w:r>
      <w:hyperlink r:id="rId212" w:history="1">
        <w:r w:rsidRPr="007D47AD">
          <w:rPr>
            <w:rStyle w:val="Hyperlink"/>
            <w:rFonts w:asciiTheme="minorHAnsi" w:hAnsiTheme="minorHAnsi" w:cs="Arial"/>
            <w:sz w:val="16"/>
            <w:szCs w:val="16"/>
          </w:rPr>
          <w:t>Law on Migration</w:t>
        </w:r>
      </w:hyperlink>
      <w:r w:rsidRPr="007D47AD">
        <w:rPr>
          <w:rFonts w:asciiTheme="minorHAnsi" w:hAnsiTheme="minorHAnsi" w:cs="Arial"/>
          <w:sz w:val="16"/>
          <w:szCs w:val="16"/>
        </w:rPr>
        <w:t>, current text, latest reform published July 3, 2019.</w:t>
      </w:r>
    </w:p>
  </w:footnote>
  <w:footnote w:id="414">
    <w:p w:rsidR="00385F1D" w:rsidRPr="007D47AD" w:rsidRDefault="00385F1D" w:rsidP="00C66025">
      <w:pPr>
        <w:pStyle w:val="Default"/>
        <w:spacing w:after="120"/>
        <w:jc w:val="both"/>
        <w:rPr>
          <w:rFonts w:asciiTheme="minorHAnsi" w:hAnsiTheme="minorHAnsi" w:cs="Arial"/>
          <w:sz w:val="16"/>
          <w:szCs w:val="16"/>
        </w:rPr>
      </w:pPr>
      <w:r w:rsidRPr="007D47AD">
        <w:rPr>
          <w:rStyle w:val="FootnoteReference"/>
          <w:rFonts w:asciiTheme="minorHAnsi" w:hAnsiTheme="minorHAnsi"/>
          <w:sz w:val="16"/>
          <w:szCs w:val="16"/>
        </w:rPr>
        <w:footnoteRef/>
      </w:r>
      <w:r w:rsidRPr="007D47AD">
        <w:rPr>
          <w:rFonts w:asciiTheme="minorHAnsi" w:hAnsiTheme="minorHAnsi"/>
          <w:sz w:val="16"/>
          <w:szCs w:val="16"/>
        </w:rPr>
        <w:t xml:space="preserve"> Supreme Court of Justice of the Nation, </w:t>
      </w:r>
      <w:hyperlink r:id="rId213" w:history="1">
        <w:r w:rsidRPr="007D47AD">
          <w:rPr>
            <w:rStyle w:val="Hyperlink"/>
            <w:rFonts w:asciiTheme="minorHAnsi" w:hAnsiTheme="minorHAnsi"/>
            <w:sz w:val="16"/>
            <w:szCs w:val="16"/>
          </w:rPr>
          <w:t>Amparo on review 275/2019</w:t>
        </w:r>
      </w:hyperlink>
      <w:r w:rsidRPr="007D47AD">
        <w:rPr>
          <w:rFonts w:asciiTheme="minorHAnsi" w:hAnsiTheme="minorHAnsi"/>
          <w:sz w:val="16"/>
          <w:szCs w:val="16"/>
        </w:rPr>
        <w:t>, Draft resolutions of the Supreme Court of Justice and of the Collegial Circuit Courts</w:t>
      </w:r>
      <w:r w:rsidRPr="007D47AD">
        <w:rPr>
          <w:rFonts w:asciiTheme="minorHAnsi" w:hAnsiTheme="minorHAnsi" w:cs="Arial"/>
          <w:bCs/>
          <w:sz w:val="16"/>
          <w:szCs w:val="16"/>
        </w:rPr>
        <w:t>, paras. 173, 174, and 175.</w:t>
      </w:r>
    </w:p>
  </w:footnote>
  <w:footnote w:id="415">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n-US"/>
        </w:rPr>
        <w:t xml:space="preserve"> Supreme Court of Justice of the Nation, </w:t>
      </w:r>
      <w:hyperlink r:id="rId214" w:history="1">
        <w:r w:rsidRPr="007D47AD">
          <w:rPr>
            <w:rStyle w:val="Hyperlink"/>
            <w:rFonts w:asciiTheme="minorHAnsi" w:hAnsiTheme="minorHAnsi"/>
            <w:lang w:val="en-US"/>
          </w:rPr>
          <w:t xml:space="preserve">Comunicado de Prensa. </w:t>
        </w:r>
        <w:r w:rsidRPr="007D47AD">
          <w:rPr>
            <w:rStyle w:val="Hyperlink"/>
            <w:rFonts w:asciiTheme="minorHAnsi" w:hAnsiTheme="minorHAnsi" w:cs="Arial"/>
            <w:lang w:val="es-419"/>
          </w:rPr>
          <w:t>Inválido artículo de ley de protección de los migrantes de Jalisco, que los obligaba a identificarse</w:t>
        </w:r>
      </w:hyperlink>
      <w:r w:rsidRPr="007D47AD">
        <w:rPr>
          <w:rStyle w:val="Strong"/>
          <w:rFonts w:asciiTheme="minorHAnsi" w:hAnsiTheme="minorHAnsi" w:cs="Arial"/>
          <w:b w:val="0"/>
          <w:color w:val="000000"/>
          <w:lang w:val="es-419"/>
        </w:rPr>
        <w:t>, 005/2019, January 15, 2019.</w:t>
      </w:r>
    </w:p>
  </w:footnote>
  <w:footnote w:id="416">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Ibero, </w:t>
      </w:r>
      <w:hyperlink r:id="rId215" w:history="1">
        <w:r w:rsidRPr="007D47AD">
          <w:rPr>
            <w:rStyle w:val="Hyperlink"/>
            <w:rFonts w:asciiTheme="minorHAnsi" w:hAnsiTheme="minorHAnsi"/>
            <w:lang w:val="es-419"/>
          </w:rPr>
          <w:t>Jueces declaran inconstitucional el plazo de 30 días establecido en la ley para solicitar el acceso a la condición de refugiado</w:t>
        </w:r>
      </w:hyperlink>
      <w:r w:rsidRPr="007D47AD">
        <w:rPr>
          <w:lang w:val="es-419"/>
        </w:rPr>
        <w:t>, March 20, 2019.</w:t>
      </w:r>
    </w:p>
  </w:footnote>
  <w:footnote w:id="417">
    <w:p w:rsidR="00385F1D" w:rsidRPr="007D47AD" w:rsidRDefault="00385F1D" w:rsidP="00C66025">
      <w:pPr>
        <w:pStyle w:val="FootnoteText"/>
        <w:spacing w:after="120"/>
        <w:rPr>
          <w:lang w:val="en-US"/>
        </w:rPr>
      </w:pPr>
      <w:r w:rsidRPr="007D47AD">
        <w:rPr>
          <w:rStyle w:val="FootnoteReference"/>
          <w:rFonts w:asciiTheme="minorHAnsi" w:hAnsiTheme="minorHAnsi"/>
          <w:lang w:val="en-US"/>
        </w:rPr>
        <w:footnoteRef/>
      </w:r>
      <w:r w:rsidRPr="007D47AD">
        <w:rPr>
          <w:lang w:val="es-419"/>
        </w:rPr>
        <w:t xml:space="preserve"> Semanario Judicial de la Federación, Niñas y niños adolescentes migrantes. </w:t>
      </w:r>
      <w:hyperlink r:id="rId216" w:history="1">
        <w:r w:rsidRPr="007D47AD">
          <w:rPr>
            <w:rStyle w:val="Hyperlink"/>
            <w:rFonts w:asciiTheme="minorHAnsi" w:hAnsiTheme="minorHAnsi"/>
            <w:lang w:val="es-419"/>
          </w:rPr>
          <w:t>Efectos de la suspensión de oficio en el amparo decretada contra su deportación, cuando se encuentran detenidos en estaciones migratorias</w:t>
        </w:r>
      </w:hyperlink>
      <w:r w:rsidRPr="007D47AD">
        <w:rPr>
          <w:lang w:val="es-419"/>
        </w:rPr>
        <w:t xml:space="preserve">. </w:t>
      </w:r>
      <w:r w:rsidRPr="007D47AD">
        <w:rPr>
          <w:lang w:val="en-US"/>
        </w:rPr>
        <w:t xml:space="preserve">Thesis I.21o.A.4 A (10a.), Book 69, August 2019, tome IV, p. 4587. </w:t>
      </w:r>
    </w:p>
  </w:footnote>
  <w:footnote w:id="418">
    <w:p w:rsidR="00385F1D" w:rsidRPr="007D47AD" w:rsidRDefault="00385F1D" w:rsidP="00C66025">
      <w:pPr>
        <w:autoSpaceDE w:val="0"/>
        <w:autoSpaceDN w:val="0"/>
        <w:adjustRightInd w:val="0"/>
        <w:spacing w:after="120" w:line="240" w:lineRule="auto"/>
        <w:ind w:firstLine="720"/>
        <w:jc w:val="both"/>
        <w:rPr>
          <w:rFonts w:asciiTheme="minorHAnsi" w:hAnsiTheme="minorHAnsi"/>
          <w:sz w:val="16"/>
          <w:szCs w:val="16"/>
          <w:lang w:val="en-US"/>
        </w:rPr>
      </w:pPr>
      <w:r w:rsidRPr="007D47AD">
        <w:rPr>
          <w:rStyle w:val="FootnoteReference"/>
          <w:rFonts w:asciiTheme="minorHAnsi" w:hAnsiTheme="minorHAnsi"/>
          <w:sz w:val="16"/>
          <w:szCs w:val="16"/>
          <w:lang w:val="en-US"/>
        </w:rPr>
        <w:footnoteRef/>
      </w:r>
      <w:r w:rsidRPr="007D47AD">
        <w:rPr>
          <w:rFonts w:asciiTheme="minorHAnsi" w:hAnsiTheme="minorHAnsi"/>
          <w:sz w:val="16"/>
          <w:szCs w:val="16"/>
          <w:lang w:val="en-US"/>
        </w:rPr>
        <w:t xml:space="preserve"> </w:t>
      </w:r>
      <w:r w:rsidRPr="007D47AD">
        <w:rPr>
          <w:rStyle w:val="Strong"/>
          <w:rFonts w:asciiTheme="minorHAnsi" w:hAnsiTheme="minorHAnsi"/>
          <w:b w:val="0"/>
          <w:sz w:val="16"/>
          <w:szCs w:val="16"/>
          <w:lang w:val="en-US"/>
        </w:rPr>
        <w:t>I/A Court HR, Case of Nadege Dorzema et al. v. Dominican Republic, Merits, Reparations and Costs, Judgment of October 24, 2012, para. 205. I/A Court HR, Case of Expelled Dominicans and Haitians v. Dominican Republic, Preliminary Objections, Reparations and Costs, Judgment of August 28, 2014,</w:t>
      </w:r>
      <w:r w:rsidRPr="007D47AD">
        <w:rPr>
          <w:rStyle w:val="Strong"/>
          <w:rFonts w:asciiTheme="minorHAnsi" w:hAnsiTheme="minorHAnsi"/>
          <w:sz w:val="16"/>
          <w:szCs w:val="16"/>
          <w:lang w:val="en-US"/>
        </w:rPr>
        <w:t xml:space="preserve"> </w:t>
      </w:r>
      <w:r w:rsidRPr="007D47AD">
        <w:rPr>
          <w:rFonts w:asciiTheme="minorHAnsi" w:hAnsiTheme="minorHAnsi" w:cs="Calibri"/>
          <w:sz w:val="16"/>
          <w:szCs w:val="16"/>
          <w:lang w:val="en-US"/>
        </w:rPr>
        <w:t>paras. 261-274.</w:t>
      </w:r>
    </w:p>
  </w:footnote>
  <w:footnote w:id="419">
    <w:p w:rsidR="00385F1D" w:rsidRPr="007D47AD" w:rsidRDefault="00385F1D" w:rsidP="00C66025">
      <w:pPr>
        <w:pStyle w:val="FootnoteText"/>
        <w:spacing w:after="120"/>
        <w:rPr>
          <w:lang w:val="en-US"/>
        </w:rPr>
      </w:pPr>
      <w:r w:rsidRPr="007D47AD">
        <w:rPr>
          <w:rStyle w:val="FootnoteReference"/>
          <w:rFonts w:asciiTheme="minorHAnsi" w:hAnsiTheme="minorHAnsi"/>
          <w:lang w:val="en-US"/>
        </w:rPr>
        <w:footnoteRef/>
      </w:r>
      <w:r w:rsidRPr="007D47AD">
        <w:rPr>
          <w:lang w:val="en-US"/>
        </w:rPr>
        <w:t xml:space="preserve"> IACHR, Thematic Hearing, Asylum and Refuge in Mexico, 173</w:t>
      </w:r>
      <w:r w:rsidRPr="007D47AD">
        <w:rPr>
          <w:vertAlign w:val="superscript"/>
          <w:lang w:val="en-US"/>
        </w:rPr>
        <w:t>rd</w:t>
      </w:r>
      <w:r w:rsidRPr="007D47AD">
        <w:rPr>
          <w:lang w:val="en-US"/>
        </w:rPr>
        <w:t xml:space="preserve"> period of sessions, September 27, 2019.</w:t>
      </w:r>
    </w:p>
  </w:footnote>
  <w:footnote w:id="420">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CNDH, </w:t>
      </w:r>
      <w:hyperlink r:id="rId217" w:history="1">
        <w:r w:rsidRPr="007D47AD">
          <w:rPr>
            <w:rStyle w:val="Hyperlink"/>
            <w:rFonts w:asciiTheme="minorHAnsi" w:hAnsiTheme="minorHAnsi"/>
            <w:lang w:val="es-419"/>
          </w:rPr>
          <w:t>Comunicado de prensa. CNDH expresa ante la CIDH persistencia en México de falta de protección y atención a la niñez y adolescencia migrantes, y advierte que este año el número de detenciones de personas menores de edad migrantes será récord</w:t>
        </w:r>
      </w:hyperlink>
      <w:r w:rsidRPr="007D47AD">
        <w:rPr>
          <w:lang w:val="es-419"/>
        </w:rPr>
        <w:t>, DGC/370/19, September 27, 2019.</w:t>
      </w:r>
    </w:p>
  </w:footnote>
  <w:footnote w:id="421">
    <w:p w:rsidR="00385F1D" w:rsidRPr="007D47AD" w:rsidRDefault="00385F1D" w:rsidP="00C66025">
      <w:pPr>
        <w:autoSpaceDE w:val="0"/>
        <w:autoSpaceDN w:val="0"/>
        <w:adjustRightInd w:val="0"/>
        <w:spacing w:after="120" w:line="240" w:lineRule="auto"/>
        <w:ind w:firstLine="720"/>
        <w:jc w:val="both"/>
        <w:rPr>
          <w:rFonts w:asciiTheme="minorHAnsi" w:hAnsiTheme="minorHAnsi" w:cs="Cambria"/>
          <w:sz w:val="16"/>
          <w:szCs w:val="16"/>
          <w:lang w:val="en-US"/>
        </w:rPr>
      </w:pPr>
      <w:r w:rsidRPr="007D47AD">
        <w:rPr>
          <w:rStyle w:val="FootnoteReference"/>
          <w:rFonts w:asciiTheme="minorHAnsi" w:hAnsiTheme="minorHAnsi"/>
          <w:sz w:val="16"/>
          <w:szCs w:val="16"/>
          <w:lang w:val="en-US"/>
        </w:rPr>
        <w:footnoteRef/>
      </w:r>
      <w:r w:rsidRPr="007D47AD">
        <w:rPr>
          <w:rFonts w:asciiTheme="minorHAnsi" w:hAnsiTheme="minorHAnsi"/>
          <w:sz w:val="16"/>
          <w:szCs w:val="16"/>
          <w:lang w:val="en-US"/>
        </w:rPr>
        <w:t xml:space="preserve"> IACHR, </w:t>
      </w:r>
      <w:hyperlink r:id="rId218" w:history="1">
        <w:r w:rsidRPr="007D47AD">
          <w:rPr>
            <w:rStyle w:val="Hyperlink"/>
            <w:rFonts w:asciiTheme="minorHAnsi" w:hAnsiTheme="minorHAnsi" w:cs="Cambria"/>
            <w:sz w:val="16"/>
            <w:szCs w:val="16"/>
            <w:lang w:val="en-US"/>
          </w:rPr>
          <w:t>Human rights of migrants, refugees, stateless persons, victims of human trafficking and internally displaced persons: Norms and standards of the Inter-American Human Rights System</w:t>
        </w:r>
      </w:hyperlink>
      <w:r w:rsidRPr="007D47AD">
        <w:rPr>
          <w:rFonts w:asciiTheme="minorHAnsi" w:hAnsiTheme="minorHAnsi"/>
          <w:sz w:val="16"/>
          <w:szCs w:val="16"/>
          <w:lang w:val="en-US"/>
        </w:rPr>
        <w:t xml:space="preserve">, </w:t>
      </w:r>
      <w:r w:rsidRPr="007D47AD">
        <w:rPr>
          <w:rFonts w:asciiTheme="minorHAnsi" w:hAnsiTheme="minorHAnsi" w:cs="Cambria"/>
          <w:sz w:val="16"/>
          <w:szCs w:val="16"/>
          <w:lang w:val="en-US"/>
        </w:rPr>
        <w:t>OEA/Ser.L/V/II.</w:t>
      </w:r>
      <w:r w:rsidRPr="007D47AD">
        <w:rPr>
          <w:rFonts w:asciiTheme="minorHAnsi" w:hAnsiTheme="minorHAnsi"/>
          <w:sz w:val="16"/>
          <w:szCs w:val="16"/>
          <w:lang w:val="en-US"/>
        </w:rPr>
        <w:t xml:space="preserve"> </w:t>
      </w:r>
      <w:r w:rsidRPr="007D47AD">
        <w:rPr>
          <w:rFonts w:asciiTheme="minorHAnsi" w:hAnsiTheme="minorHAnsi" w:cs="Cambria"/>
          <w:sz w:val="16"/>
          <w:szCs w:val="16"/>
          <w:lang w:val="en-US"/>
        </w:rPr>
        <w:t xml:space="preserve">Doc. 46/15, December </w:t>
      </w:r>
      <w:r w:rsidRPr="007D47AD">
        <w:rPr>
          <w:rFonts w:asciiTheme="minorHAnsi" w:hAnsiTheme="minorHAnsi"/>
          <w:sz w:val="16"/>
          <w:szCs w:val="16"/>
          <w:lang w:val="en-US"/>
        </w:rPr>
        <w:t>31, 2015, para. 382.</w:t>
      </w:r>
    </w:p>
  </w:footnote>
  <w:footnote w:id="422">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n-US"/>
        </w:rPr>
        <w:t xml:space="preserve"> IACHR, </w:t>
      </w:r>
      <w:hyperlink r:id="rId219" w:history="1">
        <w:r w:rsidRPr="007D47AD">
          <w:rPr>
            <w:rStyle w:val="Hyperlink"/>
            <w:rFonts w:asciiTheme="minorHAnsi" w:hAnsiTheme="minorHAnsi" w:cs="Cambria"/>
            <w:lang w:val="en-US"/>
          </w:rPr>
          <w:t>Human rights of migrants, refugees, stateless persons, victims of human trafficking and internally displaced persons: Norms and standards of the Inter-American Human Rights System</w:t>
        </w:r>
      </w:hyperlink>
      <w:r w:rsidRPr="007D47AD">
        <w:rPr>
          <w:lang w:val="en-US"/>
        </w:rPr>
        <w:t xml:space="preserve">, OEA/Ser.L/V/II. Doc. 46/15, December 31, 2015, para. </w:t>
      </w:r>
      <w:r w:rsidRPr="007D47AD">
        <w:rPr>
          <w:lang w:val="es-419"/>
        </w:rPr>
        <w:t>406.</w:t>
      </w:r>
    </w:p>
  </w:footnote>
  <w:footnote w:id="423">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IACHR, </w:t>
      </w:r>
      <w:hyperlink r:id="rId220" w:history="1">
        <w:r w:rsidRPr="007D47AD">
          <w:rPr>
            <w:rStyle w:val="Hyperlink"/>
            <w:rFonts w:asciiTheme="minorHAnsi" w:hAnsiTheme="minorHAnsi"/>
            <w:lang w:val="es-419"/>
          </w:rPr>
          <w:t>Annual Report. Mexico</w:t>
        </w:r>
      </w:hyperlink>
      <w:r w:rsidRPr="007D47AD">
        <w:rPr>
          <w:lang w:val="es-419"/>
        </w:rPr>
        <w:t>, 2018, para. 213.</w:t>
      </w:r>
    </w:p>
  </w:footnote>
  <w:footnote w:id="424">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CNDH, </w:t>
      </w:r>
      <w:hyperlink r:id="rId221" w:history="1">
        <w:r w:rsidRPr="007D47AD">
          <w:rPr>
            <w:rStyle w:val="Hyperlink"/>
            <w:rFonts w:asciiTheme="minorHAnsi" w:hAnsiTheme="minorHAnsi"/>
            <w:lang w:val="es-419"/>
          </w:rPr>
          <w:t>Recomendación No. 37/2019</w:t>
        </w:r>
      </w:hyperlink>
      <w:r w:rsidRPr="007D47AD">
        <w:rPr>
          <w:lang w:val="es-419"/>
        </w:rPr>
        <w:t xml:space="preserve">, June 24, 2019. CNDH, </w:t>
      </w:r>
      <w:hyperlink r:id="rId222" w:history="1">
        <w:r w:rsidRPr="007D47AD">
          <w:rPr>
            <w:rStyle w:val="Hyperlink"/>
            <w:rFonts w:asciiTheme="minorHAnsi" w:hAnsiTheme="minorHAnsi"/>
            <w:lang w:val="es-419"/>
          </w:rPr>
          <w:t>Recomendación No. 40/2019</w:t>
        </w:r>
      </w:hyperlink>
      <w:r w:rsidRPr="007D47AD">
        <w:rPr>
          <w:lang w:val="es-419"/>
        </w:rPr>
        <w:t xml:space="preserve">, June 27, 2019. National Migration Institute, </w:t>
      </w:r>
      <w:hyperlink r:id="rId223" w:history="1">
        <w:r w:rsidRPr="007D47AD">
          <w:rPr>
            <w:rStyle w:val="Hyperlink"/>
            <w:rFonts w:asciiTheme="minorHAnsi" w:hAnsiTheme="minorHAnsi" w:cs="Arial"/>
            <w:lang w:val="es-419"/>
          </w:rPr>
          <w:t>Recomendaciones que en materia de Derechos Humanos, No Discriminación y/o Equidad de Género, ha recibido la institución, y su curso de acción</w:t>
        </w:r>
      </w:hyperlink>
      <w:r w:rsidRPr="007D47AD">
        <w:rPr>
          <w:rFonts w:cs="Arial"/>
          <w:color w:val="2C2C2B"/>
          <w:lang w:val="es-419"/>
        </w:rPr>
        <w:t>, July 31, 2019.</w:t>
      </w:r>
      <w:r w:rsidRPr="007D47AD">
        <w:rPr>
          <w:lang w:val="es-419"/>
        </w:rPr>
        <w:t xml:space="preserve"> </w:t>
      </w:r>
      <w:r w:rsidRPr="007D47AD">
        <w:rPr>
          <w:lang w:val="en-US"/>
        </w:rPr>
        <w:t xml:space="preserve">The Siglo XXI Migration Station has capacity for 900 persons and was holding as many as 1,400 persons. </w:t>
      </w:r>
      <w:r w:rsidRPr="007D47AD">
        <w:rPr>
          <w:lang w:val="es-419"/>
        </w:rPr>
        <w:t xml:space="preserve">Diario del Sur, </w:t>
      </w:r>
      <w:hyperlink r:id="rId224" w:history="1">
        <w:r w:rsidRPr="007D47AD">
          <w:rPr>
            <w:rStyle w:val="Hyperlink"/>
            <w:rFonts w:asciiTheme="minorHAnsi" w:hAnsiTheme="minorHAnsi" w:cs="Arial"/>
            <w:lang w:val="es-419"/>
          </w:rPr>
          <w:t>Estación Migratoria Siglo XXI está saturada: CNDH</w:t>
        </w:r>
      </w:hyperlink>
      <w:r w:rsidRPr="007D47AD">
        <w:rPr>
          <w:rFonts w:cs="Arial"/>
          <w:lang w:val="es-419"/>
        </w:rPr>
        <w:t>, April 3, 2019.</w:t>
      </w:r>
    </w:p>
  </w:footnote>
  <w:footnote w:id="425">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The New York Times, </w:t>
      </w:r>
      <w:hyperlink r:id="rId225" w:history="1">
        <w:r w:rsidRPr="007D47AD">
          <w:rPr>
            <w:rStyle w:val="Hyperlink"/>
            <w:rFonts w:asciiTheme="minorHAnsi" w:eastAsia="Times New Roman" w:hAnsiTheme="minorHAnsi" w:cs="Arial"/>
            <w:lang w:val="es-419"/>
          </w:rPr>
          <w:t>Las pésimas condiciones de los centros de detención de migrantes en México</w:t>
        </w:r>
      </w:hyperlink>
      <w:r w:rsidRPr="007D47AD">
        <w:rPr>
          <w:color w:val="2C2C2B"/>
          <w:lang w:val="es-419"/>
        </w:rPr>
        <w:t>, August 5, 2019.</w:t>
      </w:r>
    </w:p>
  </w:footnote>
  <w:footnote w:id="426">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National Migration Institute, </w:t>
      </w:r>
      <w:hyperlink r:id="rId226" w:history="1">
        <w:r w:rsidRPr="007D47AD">
          <w:rPr>
            <w:rStyle w:val="Hyperlink"/>
            <w:rFonts w:asciiTheme="minorHAnsi" w:hAnsiTheme="minorHAnsi"/>
            <w:lang w:val="es-419"/>
          </w:rPr>
          <w:t xml:space="preserve">Comunicado de Prensa. </w:t>
        </w:r>
        <w:r w:rsidRPr="007D47AD">
          <w:rPr>
            <w:rStyle w:val="Hyperlink"/>
            <w:rFonts w:asciiTheme="minorHAnsi" w:hAnsiTheme="minorHAnsi" w:cs="Arial"/>
            <w:lang w:val="es-419"/>
          </w:rPr>
          <w:t>Garantiza INM condiciones dignas en las estaciones migratorias, estancias provisionales y albergues temporales</w:t>
        </w:r>
      </w:hyperlink>
      <w:r w:rsidRPr="007D47AD">
        <w:rPr>
          <w:rFonts w:cs="Arial"/>
          <w:color w:val="2C2C2B"/>
          <w:lang w:val="es-419"/>
        </w:rPr>
        <w:t>, No. 037/2019, July 23, 2019.</w:t>
      </w:r>
    </w:p>
  </w:footnote>
  <w:footnote w:id="427">
    <w:p w:rsidR="00385F1D" w:rsidRPr="007D47AD" w:rsidRDefault="00385F1D" w:rsidP="00C66025">
      <w:pPr>
        <w:autoSpaceDE w:val="0"/>
        <w:autoSpaceDN w:val="0"/>
        <w:adjustRightInd w:val="0"/>
        <w:spacing w:after="120" w:line="240" w:lineRule="auto"/>
        <w:ind w:firstLine="720"/>
        <w:jc w:val="both"/>
        <w:rPr>
          <w:rFonts w:asciiTheme="minorHAnsi" w:hAnsiTheme="minorHAnsi" w:cs="Arial"/>
          <w:color w:val="000000"/>
          <w:sz w:val="16"/>
          <w:szCs w:val="16"/>
          <w:lang w:val="es-419"/>
        </w:rPr>
      </w:pPr>
      <w:r w:rsidRPr="007D47AD">
        <w:rPr>
          <w:rStyle w:val="FootnoteReference"/>
          <w:rFonts w:asciiTheme="minorHAnsi" w:hAnsiTheme="minorHAnsi"/>
          <w:sz w:val="16"/>
          <w:szCs w:val="16"/>
          <w:lang w:val="en-US"/>
        </w:rPr>
        <w:footnoteRef/>
      </w:r>
      <w:r w:rsidRPr="007D47AD">
        <w:rPr>
          <w:rFonts w:asciiTheme="minorHAnsi" w:hAnsiTheme="minorHAnsi"/>
          <w:sz w:val="16"/>
          <w:szCs w:val="16"/>
          <w:lang w:val="es-419"/>
        </w:rPr>
        <w:t xml:space="preserve"> La Comisión Mexicana de Defensa y Promoción de los Derechos Humanos, A.C. (CMDPDH), “</w:t>
      </w:r>
      <w:hyperlink r:id="rId227" w:history="1">
        <w:r w:rsidRPr="007D47AD">
          <w:rPr>
            <w:rStyle w:val="Hyperlink"/>
            <w:rFonts w:asciiTheme="minorHAnsi" w:hAnsiTheme="minorHAnsi"/>
            <w:sz w:val="16"/>
            <w:szCs w:val="16"/>
            <w:lang w:val="es-419"/>
          </w:rPr>
          <w:t>Amicus Curiae, Amparo en revisión 275/2019</w:t>
        </w:r>
      </w:hyperlink>
      <w:r w:rsidRPr="007D47AD">
        <w:rPr>
          <w:rFonts w:asciiTheme="minorHAnsi" w:hAnsiTheme="minorHAnsi"/>
          <w:sz w:val="16"/>
          <w:szCs w:val="16"/>
          <w:lang w:val="es-419"/>
        </w:rPr>
        <w:t>”, September 3, 2019.</w:t>
      </w:r>
    </w:p>
  </w:footnote>
  <w:footnote w:id="428">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CNDH, </w:t>
      </w:r>
      <w:hyperlink r:id="rId228" w:history="1">
        <w:r w:rsidRPr="007D47AD">
          <w:rPr>
            <w:rStyle w:val="Hyperlink"/>
            <w:rFonts w:asciiTheme="minorHAnsi" w:hAnsiTheme="minorHAnsi" w:cs="Arial"/>
            <w:bCs/>
            <w:lang w:val="es-419"/>
          </w:rPr>
          <w:t>Inicia CNDH de oficio dos expedientes de queja, por hacinamiento y sobrepoblación en instalaciones del INM en Monterrey, y por la muerte de una persona migrante originaria de El Salvador</w:t>
        </w:r>
      </w:hyperlink>
      <w:r w:rsidRPr="007D47AD">
        <w:rPr>
          <w:lang w:val="es-419"/>
        </w:rPr>
        <w:t>, DGC/274/19, July 17, 2019.</w:t>
      </w:r>
    </w:p>
  </w:footnote>
  <w:footnote w:id="429">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Ministry of Interior, </w:t>
      </w:r>
      <w:hyperlink r:id="rId229" w:history="1">
        <w:r w:rsidRPr="007D47AD">
          <w:rPr>
            <w:rStyle w:val="Hyperlink"/>
            <w:rFonts w:asciiTheme="minorHAnsi" w:hAnsiTheme="minorHAnsi" w:cs="Arial"/>
            <w:lang w:val="es-419"/>
          </w:rPr>
          <w:t>Identifica INM a persona de nacionalidad guatemalteca que posteriormente sufrió un infarto</w:t>
        </w:r>
      </w:hyperlink>
      <w:r w:rsidRPr="007D47AD">
        <w:rPr>
          <w:rFonts w:cs="Arial"/>
          <w:color w:val="2C2C2B"/>
          <w:lang w:val="es-419"/>
        </w:rPr>
        <w:t>, June 11, 2019.</w:t>
      </w:r>
    </w:p>
  </w:footnote>
  <w:footnote w:id="430">
    <w:p w:rsidR="00385F1D" w:rsidRPr="007D47AD" w:rsidRDefault="00385F1D" w:rsidP="00C66025">
      <w:pPr>
        <w:pStyle w:val="Default"/>
        <w:spacing w:after="120"/>
        <w:ind w:firstLine="720"/>
        <w:jc w:val="both"/>
        <w:rPr>
          <w:rFonts w:asciiTheme="minorHAnsi" w:hAnsiTheme="minorHAnsi"/>
          <w:sz w:val="16"/>
          <w:szCs w:val="16"/>
          <w:lang w:val="es-419"/>
        </w:rPr>
      </w:pPr>
      <w:r w:rsidRPr="007D47AD">
        <w:rPr>
          <w:rStyle w:val="FootnoteReference"/>
          <w:rFonts w:asciiTheme="minorHAnsi" w:hAnsiTheme="minorHAnsi"/>
          <w:sz w:val="16"/>
          <w:szCs w:val="16"/>
        </w:rPr>
        <w:footnoteRef/>
      </w:r>
      <w:r w:rsidRPr="007D47AD">
        <w:rPr>
          <w:rFonts w:asciiTheme="minorHAnsi" w:hAnsiTheme="minorHAnsi"/>
          <w:sz w:val="16"/>
          <w:szCs w:val="16"/>
          <w:lang w:val="es-419"/>
        </w:rPr>
        <w:t xml:space="preserve"> CNDH, </w:t>
      </w:r>
      <w:hyperlink r:id="rId230" w:history="1">
        <w:r w:rsidRPr="007D47AD">
          <w:rPr>
            <w:rStyle w:val="Hyperlink"/>
            <w:rFonts w:asciiTheme="minorHAnsi" w:hAnsiTheme="minorHAnsi"/>
            <w:sz w:val="16"/>
            <w:szCs w:val="16"/>
            <w:lang w:val="es-419"/>
          </w:rPr>
          <w:t>Comunicado de Prensa. Dirige CNDH recomendación al INM, por la omisión, negligencia e inadecuada atención médica que trajo como consecuencia la pérdida de la vida de una persona menor de edad que cayó de la parte superior de una litera en la estación migratoria de la Ciudad de México</w:t>
        </w:r>
      </w:hyperlink>
      <w:r w:rsidRPr="007D47AD">
        <w:rPr>
          <w:rFonts w:asciiTheme="minorHAnsi" w:hAnsiTheme="minorHAnsi"/>
          <w:sz w:val="16"/>
          <w:szCs w:val="16"/>
          <w:lang w:val="es-419"/>
        </w:rPr>
        <w:t xml:space="preserve">, </w:t>
      </w:r>
      <w:r w:rsidRPr="007D47AD">
        <w:rPr>
          <w:rFonts w:asciiTheme="minorHAnsi" w:hAnsiTheme="minorHAnsi" w:cs="Arial"/>
          <w:bCs/>
          <w:sz w:val="16"/>
          <w:szCs w:val="16"/>
          <w:lang w:val="es-419"/>
        </w:rPr>
        <w:t xml:space="preserve">DGC/384/19, October 7, 2019; Ministry of Interior, </w:t>
      </w:r>
      <w:hyperlink r:id="rId231" w:history="1">
        <w:r w:rsidRPr="007D47AD">
          <w:rPr>
            <w:rStyle w:val="Hyperlink"/>
            <w:rFonts w:asciiTheme="minorHAnsi" w:hAnsiTheme="minorHAnsi" w:cs="Arial"/>
            <w:sz w:val="16"/>
            <w:szCs w:val="16"/>
            <w:lang w:val="es-419"/>
          </w:rPr>
          <w:t>Tarjeta Informativa del Instituto Nacional de Migración</w:t>
        </w:r>
      </w:hyperlink>
      <w:r w:rsidRPr="007D47AD">
        <w:rPr>
          <w:rFonts w:asciiTheme="minorHAnsi" w:hAnsiTheme="minorHAnsi" w:cs="Arial"/>
          <w:color w:val="2C2C2B"/>
          <w:sz w:val="16"/>
          <w:szCs w:val="16"/>
          <w:lang w:val="es-419"/>
        </w:rPr>
        <w:t>, May 16, 2019.</w:t>
      </w:r>
    </w:p>
  </w:footnote>
  <w:footnote w:id="431">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CNDH, </w:t>
      </w:r>
      <w:hyperlink r:id="rId232" w:history="1">
        <w:r w:rsidRPr="007D47AD">
          <w:rPr>
            <w:rStyle w:val="Hyperlink"/>
            <w:rFonts w:asciiTheme="minorHAnsi" w:hAnsiTheme="minorHAnsi" w:cs="Arial"/>
            <w:bCs/>
            <w:lang w:val="es-419"/>
          </w:rPr>
          <w:t>Inicia CNDH de oficio dos expedientes de queja, por hacinamiento y sobrepoblación en instalaciones del INM en Monterrey, y por la muerte de una persona migrante originaria de El Salvador</w:t>
        </w:r>
      </w:hyperlink>
      <w:r w:rsidRPr="007D47AD">
        <w:rPr>
          <w:lang w:val="es-419"/>
        </w:rPr>
        <w:t>, DGC/274/19, July 17, 2019.</w:t>
      </w:r>
    </w:p>
  </w:footnote>
  <w:footnote w:id="432">
    <w:p w:rsidR="00385F1D" w:rsidRPr="007D47AD" w:rsidRDefault="00385F1D" w:rsidP="00C66025">
      <w:pPr>
        <w:pStyle w:val="Default"/>
        <w:spacing w:after="120"/>
        <w:ind w:firstLine="720"/>
        <w:jc w:val="both"/>
        <w:rPr>
          <w:rFonts w:asciiTheme="minorHAnsi" w:hAnsiTheme="minorHAnsi"/>
          <w:sz w:val="16"/>
          <w:szCs w:val="16"/>
          <w:lang w:val="es-419"/>
        </w:rPr>
      </w:pPr>
      <w:r w:rsidRPr="007D47AD">
        <w:rPr>
          <w:rStyle w:val="FootnoteReference"/>
          <w:rFonts w:asciiTheme="minorHAnsi" w:hAnsiTheme="minorHAnsi"/>
          <w:sz w:val="16"/>
          <w:szCs w:val="16"/>
        </w:rPr>
        <w:footnoteRef/>
      </w:r>
      <w:r w:rsidRPr="007D47AD">
        <w:rPr>
          <w:rFonts w:asciiTheme="minorHAnsi" w:hAnsiTheme="minorHAnsi"/>
          <w:sz w:val="16"/>
          <w:szCs w:val="16"/>
          <w:lang w:val="es-419"/>
        </w:rPr>
        <w:t xml:space="preserve"> Centro de Derechos Humanos Fray Matías de Córdova, </w:t>
      </w:r>
      <w:hyperlink r:id="rId233" w:history="1">
        <w:r w:rsidRPr="007D47AD">
          <w:rPr>
            <w:rStyle w:val="Hyperlink"/>
            <w:rFonts w:asciiTheme="minorHAnsi" w:hAnsiTheme="minorHAnsi"/>
            <w:sz w:val="16"/>
            <w:szCs w:val="16"/>
            <w:lang w:val="es-419"/>
          </w:rPr>
          <w:t xml:space="preserve">Boletín de Prensa. </w:t>
        </w:r>
        <w:r w:rsidRPr="007D47AD">
          <w:rPr>
            <w:rStyle w:val="Hyperlink"/>
            <w:rFonts w:asciiTheme="minorHAnsi" w:hAnsiTheme="minorHAnsi" w:cs="Calibri"/>
            <w:sz w:val="16"/>
            <w:szCs w:val="16"/>
            <w:lang w:val="es-419"/>
          </w:rPr>
          <w:t>Muere una persona interna en el Centro de detención migratoria de Tapachula</w:t>
        </w:r>
      </w:hyperlink>
      <w:r w:rsidRPr="007D47AD">
        <w:rPr>
          <w:rFonts w:asciiTheme="minorHAnsi" w:hAnsiTheme="minorHAnsi" w:cs="Calibri"/>
          <w:sz w:val="16"/>
          <w:szCs w:val="16"/>
          <w:lang w:val="es-419"/>
        </w:rPr>
        <w:t>, August 8, 2019.</w:t>
      </w:r>
    </w:p>
  </w:footnote>
  <w:footnote w:id="433">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United Nations, </w:t>
      </w:r>
      <w:hyperlink r:id="rId234" w:history="1">
        <w:r w:rsidRPr="007D47AD">
          <w:rPr>
            <w:rStyle w:val="Hyperlink"/>
            <w:rFonts w:asciiTheme="minorHAnsi" w:hAnsiTheme="minorHAnsi"/>
            <w:lang w:val="es-419"/>
          </w:rPr>
          <w:t>Noticias ONU: “</w:t>
        </w:r>
        <w:r w:rsidRPr="007D47AD">
          <w:rPr>
            <w:rStyle w:val="Hyperlink"/>
            <w:rFonts w:asciiTheme="minorHAnsi" w:hAnsiTheme="minorHAnsi" w:cs="Arial"/>
            <w:lang w:val="es-419"/>
          </w:rPr>
          <w:t>La ONU advierte sobre los riesgos de la nueva política de asilo en Estados Unidos</w:t>
        </w:r>
        <w:r w:rsidRPr="007D47AD">
          <w:rPr>
            <w:rStyle w:val="Hyperlink"/>
            <w:rFonts w:asciiTheme="minorHAnsi" w:hAnsiTheme="minorHAnsi"/>
            <w:lang w:val="es-419"/>
          </w:rPr>
          <w:t>”</w:t>
        </w:r>
      </w:hyperlink>
      <w:r w:rsidRPr="007D47AD">
        <w:rPr>
          <w:lang w:val="es-419"/>
        </w:rPr>
        <w:t>, September 13, 2019.</w:t>
      </w:r>
    </w:p>
  </w:footnote>
  <w:footnote w:id="434">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Amnesty International, Document “México, insumos para el Informe Anual de la Comisión Interamericana,” October 31, 2019. </w:t>
      </w:r>
    </w:p>
  </w:footnote>
  <w:footnote w:id="435">
    <w:p w:rsidR="00385F1D" w:rsidRPr="007D47AD" w:rsidRDefault="00385F1D" w:rsidP="00C66025">
      <w:pPr>
        <w:pStyle w:val="FootnoteText"/>
        <w:spacing w:after="120"/>
        <w:rPr>
          <w:lang w:val="en-US"/>
        </w:rPr>
      </w:pPr>
      <w:r w:rsidRPr="007D47AD">
        <w:rPr>
          <w:rStyle w:val="FootnoteReference"/>
          <w:rFonts w:asciiTheme="minorHAnsi" w:hAnsiTheme="minorHAnsi"/>
          <w:lang w:val="en-US"/>
        </w:rPr>
        <w:footnoteRef/>
      </w:r>
      <w:r w:rsidRPr="007D47AD">
        <w:rPr>
          <w:lang w:val="en-US"/>
        </w:rPr>
        <w:t xml:space="preserve"> IACHR, Thematic Hearing, Asylum and Refuge in Mexico, 173</w:t>
      </w:r>
      <w:r w:rsidRPr="007D47AD">
        <w:rPr>
          <w:vertAlign w:val="superscript"/>
          <w:lang w:val="en-US"/>
        </w:rPr>
        <w:t>rd</w:t>
      </w:r>
      <w:r w:rsidRPr="007D47AD">
        <w:rPr>
          <w:lang w:val="en-US"/>
        </w:rPr>
        <w:t xml:space="preserve"> period of sessions, September 27, 2019.</w:t>
      </w:r>
    </w:p>
  </w:footnote>
  <w:footnote w:id="436">
    <w:p w:rsidR="00385F1D" w:rsidRPr="007D47AD" w:rsidRDefault="00385F1D" w:rsidP="00C66025">
      <w:pPr>
        <w:spacing w:after="120" w:line="240" w:lineRule="auto"/>
        <w:ind w:firstLine="720"/>
        <w:jc w:val="both"/>
        <w:rPr>
          <w:rFonts w:asciiTheme="minorHAnsi" w:hAnsiTheme="minorHAnsi"/>
          <w:sz w:val="16"/>
          <w:szCs w:val="16"/>
          <w:lang w:val="en-US"/>
        </w:rPr>
      </w:pPr>
      <w:r w:rsidRPr="007D47AD">
        <w:rPr>
          <w:rStyle w:val="FootnoteReference"/>
          <w:rFonts w:asciiTheme="minorHAnsi" w:hAnsiTheme="minorHAnsi"/>
          <w:sz w:val="16"/>
          <w:szCs w:val="16"/>
          <w:lang w:val="en-US"/>
        </w:rPr>
        <w:footnoteRef/>
      </w:r>
      <w:r w:rsidRPr="007D47AD">
        <w:rPr>
          <w:rFonts w:asciiTheme="minorHAnsi" w:hAnsiTheme="minorHAnsi"/>
          <w:sz w:val="16"/>
          <w:szCs w:val="16"/>
          <w:lang w:val="en-US"/>
        </w:rPr>
        <w:t xml:space="preserve"> In this regard, IACHR, Press Release 180/19 – </w:t>
      </w:r>
      <w:hyperlink r:id="rId235" w:history="1">
        <w:r w:rsidRPr="007D47AD">
          <w:rPr>
            <w:rStyle w:val="Hyperlink"/>
            <w:rFonts w:asciiTheme="minorHAnsi" w:hAnsiTheme="minorHAnsi"/>
            <w:sz w:val="16"/>
            <w:szCs w:val="16"/>
            <w:lang w:val="en-US"/>
          </w:rPr>
          <w:t>IACHR Expresses Deep Concern about the Situation of Migrants and Refugees in the United States, Mexico, and Central America</w:t>
        </w:r>
      </w:hyperlink>
      <w:r w:rsidRPr="007D47AD">
        <w:rPr>
          <w:rFonts w:asciiTheme="minorHAnsi" w:hAnsiTheme="minorHAnsi"/>
          <w:sz w:val="16"/>
          <w:szCs w:val="16"/>
          <w:lang w:val="en-US"/>
        </w:rPr>
        <w:t>, Washington DC, July 23, 2019.</w:t>
      </w:r>
    </w:p>
  </w:footnote>
  <w:footnote w:id="437">
    <w:p w:rsidR="00385F1D" w:rsidRPr="007D47AD" w:rsidRDefault="00385F1D" w:rsidP="00C66025">
      <w:pPr>
        <w:autoSpaceDE w:val="0"/>
        <w:autoSpaceDN w:val="0"/>
        <w:adjustRightInd w:val="0"/>
        <w:spacing w:after="120" w:line="240" w:lineRule="auto"/>
        <w:ind w:firstLine="720"/>
        <w:jc w:val="both"/>
        <w:rPr>
          <w:rFonts w:asciiTheme="minorHAnsi" w:eastAsia="Times New Roman" w:hAnsiTheme="minorHAnsi" w:cs="Arial"/>
          <w:color w:val="2C2C2B"/>
          <w:sz w:val="16"/>
          <w:szCs w:val="16"/>
          <w:lang w:val="es-419"/>
        </w:rPr>
      </w:pPr>
      <w:r w:rsidRPr="007D47AD">
        <w:rPr>
          <w:rStyle w:val="FootnoteReference"/>
          <w:rFonts w:asciiTheme="minorHAnsi" w:hAnsiTheme="minorHAnsi"/>
          <w:sz w:val="16"/>
          <w:szCs w:val="16"/>
          <w:lang w:val="en-US"/>
        </w:rPr>
        <w:footnoteRef/>
      </w:r>
      <w:r w:rsidRPr="007D47AD">
        <w:rPr>
          <w:rFonts w:asciiTheme="minorHAnsi" w:hAnsiTheme="minorHAnsi"/>
          <w:sz w:val="16"/>
          <w:szCs w:val="16"/>
          <w:lang w:val="es-419"/>
        </w:rPr>
        <w:t xml:space="preserve"> </w:t>
      </w:r>
      <w:r w:rsidRPr="007D47AD">
        <w:rPr>
          <w:rFonts w:asciiTheme="minorHAnsi" w:eastAsia="Times New Roman" w:hAnsiTheme="minorHAnsi" w:cs="Arial"/>
          <w:sz w:val="16"/>
          <w:szCs w:val="16"/>
          <w:lang w:val="es-419"/>
        </w:rPr>
        <w:t xml:space="preserve">BBC, </w:t>
      </w:r>
      <w:r w:rsidRPr="007D47AD">
        <w:rPr>
          <w:rFonts w:asciiTheme="minorHAnsi" w:eastAsia="Times New Roman" w:hAnsiTheme="minorHAnsi" w:cs="Arial"/>
          <w:color w:val="2C2C2B"/>
          <w:sz w:val="16"/>
          <w:szCs w:val="16"/>
          <w:lang w:val="es-419"/>
        </w:rPr>
        <w:t>“</w:t>
      </w:r>
      <w:hyperlink r:id="rId236" w:history="1">
        <w:r w:rsidRPr="007D47AD">
          <w:rPr>
            <w:rStyle w:val="Hyperlink"/>
            <w:rFonts w:asciiTheme="minorHAnsi" w:hAnsiTheme="minorHAnsi" w:cs="Arial"/>
            <w:sz w:val="16"/>
            <w:szCs w:val="16"/>
            <w:lang w:val="es-419"/>
          </w:rPr>
          <w:t>Crisis migratoria: México asegura que redujo el flujo de inmigrantes un 56% desde que Trump amenazó con imponer aranceles a sus productos</w:t>
        </w:r>
      </w:hyperlink>
      <w:r w:rsidRPr="007D47AD">
        <w:rPr>
          <w:rFonts w:asciiTheme="minorHAnsi" w:eastAsia="Times New Roman" w:hAnsiTheme="minorHAnsi" w:cs="Arial"/>
          <w:color w:val="2C2C2B"/>
          <w:sz w:val="16"/>
          <w:szCs w:val="16"/>
          <w:lang w:val="es-419"/>
        </w:rPr>
        <w:t>”, September 6, 2019.</w:t>
      </w:r>
    </w:p>
  </w:footnote>
  <w:footnote w:id="438">
    <w:p w:rsidR="00385F1D" w:rsidRPr="007D47AD" w:rsidRDefault="00385F1D" w:rsidP="00C66025">
      <w:pPr>
        <w:pStyle w:val="FootnoteText"/>
        <w:spacing w:after="120"/>
        <w:rPr>
          <w:lang w:val="en-US"/>
        </w:rPr>
      </w:pPr>
      <w:r w:rsidRPr="007D47AD">
        <w:rPr>
          <w:rStyle w:val="FootnoteReference"/>
          <w:rFonts w:asciiTheme="minorHAnsi" w:hAnsiTheme="minorHAnsi"/>
          <w:lang w:val="en-US"/>
        </w:rPr>
        <w:footnoteRef/>
      </w:r>
      <w:r w:rsidRPr="007D47AD">
        <w:rPr>
          <w:lang w:val="en-US"/>
        </w:rPr>
        <w:t xml:space="preserve"> IACHR, </w:t>
      </w:r>
      <w:hyperlink r:id="rId237" w:history="1">
        <w:r w:rsidRPr="007D47AD">
          <w:rPr>
            <w:rStyle w:val="Hyperlink"/>
            <w:rFonts w:asciiTheme="minorHAnsi" w:hAnsiTheme="minorHAnsi" w:cs="Cambria"/>
            <w:lang w:val="en-US"/>
          </w:rPr>
          <w:t>Human rights of migrants, refugees, stateless persons, victims of human trafficking and internally displaced persons: Norms and standards of the Inter-American Human Rights System</w:t>
        </w:r>
      </w:hyperlink>
      <w:r w:rsidRPr="007D47AD">
        <w:rPr>
          <w:lang w:val="en-US"/>
        </w:rPr>
        <w:t>, OEA/Ser.L/V/II. Doc. 46/15, December 31, 2015, para. 348.</w:t>
      </w:r>
    </w:p>
  </w:footnote>
  <w:footnote w:id="439">
    <w:p w:rsidR="00385F1D" w:rsidRPr="007D47AD" w:rsidRDefault="00385F1D" w:rsidP="00C66025">
      <w:pPr>
        <w:pStyle w:val="FootnoteText"/>
        <w:spacing w:after="120"/>
        <w:rPr>
          <w:lang w:val="en-US"/>
        </w:rPr>
      </w:pPr>
      <w:r w:rsidRPr="007D47AD">
        <w:rPr>
          <w:rStyle w:val="FootnoteReference"/>
          <w:rFonts w:asciiTheme="minorHAnsi" w:hAnsiTheme="minorHAnsi"/>
          <w:lang w:val="en-US"/>
        </w:rPr>
        <w:footnoteRef/>
      </w:r>
      <w:r w:rsidRPr="007D47AD">
        <w:rPr>
          <w:lang w:val="en-US"/>
        </w:rPr>
        <w:t xml:space="preserve"> Homeland Security, </w:t>
      </w:r>
      <w:hyperlink r:id="rId238" w:history="1">
        <w:r w:rsidRPr="007D47AD">
          <w:rPr>
            <w:rStyle w:val="Hyperlink"/>
            <w:rFonts w:asciiTheme="minorHAnsi" w:hAnsiTheme="minorHAnsi"/>
            <w:lang w:val="en-US"/>
          </w:rPr>
          <w:t>Migrant Protection Protocols</w:t>
        </w:r>
      </w:hyperlink>
      <w:r w:rsidRPr="007D47AD">
        <w:rPr>
          <w:lang w:val="en-US"/>
        </w:rPr>
        <w:t>, January 24, 2019.</w:t>
      </w:r>
    </w:p>
  </w:footnote>
  <w:footnote w:id="440">
    <w:p w:rsidR="00385F1D" w:rsidRPr="007D47AD" w:rsidRDefault="00385F1D" w:rsidP="00C66025">
      <w:pPr>
        <w:pStyle w:val="FootnoteText"/>
        <w:spacing w:after="120"/>
        <w:rPr>
          <w:lang w:val="en-US"/>
        </w:rPr>
      </w:pPr>
      <w:r w:rsidRPr="007D47AD">
        <w:rPr>
          <w:rStyle w:val="FootnoteReference"/>
          <w:rFonts w:asciiTheme="minorHAnsi" w:hAnsiTheme="minorHAnsi"/>
          <w:lang w:val="en-US"/>
        </w:rPr>
        <w:footnoteRef/>
      </w:r>
      <w:r w:rsidRPr="007D47AD">
        <w:rPr>
          <w:lang w:val="en-US"/>
        </w:rPr>
        <w:t xml:space="preserve"> IACHR, Thematic Hearing, Asylum and Refuge in Mexico, 173</w:t>
      </w:r>
      <w:r w:rsidRPr="007D47AD">
        <w:rPr>
          <w:vertAlign w:val="superscript"/>
          <w:lang w:val="en-US"/>
        </w:rPr>
        <w:t>rd</w:t>
      </w:r>
      <w:r w:rsidRPr="007D47AD">
        <w:rPr>
          <w:lang w:val="en-US"/>
        </w:rPr>
        <w:t xml:space="preserve"> period of sessions, September 27, 2019.</w:t>
      </w:r>
    </w:p>
  </w:footnote>
  <w:footnote w:id="441">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National Migration Institute, </w:t>
      </w:r>
      <w:hyperlink r:id="rId239" w:history="1">
        <w:r w:rsidRPr="007D47AD">
          <w:rPr>
            <w:rStyle w:val="Hyperlink"/>
            <w:rFonts w:asciiTheme="minorHAnsi" w:hAnsiTheme="minorHAnsi" w:cs="Arial"/>
            <w:lang w:val="es-419"/>
          </w:rPr>
          <w:t>Internaciones en México de extranjeros solicitantes de asilo en EU</w:t>
        </w:r>
      </w:hyperlink>
      <w:r w:rsidRPr="007D47AD">
        <w:rPr>
          <w:rFonts w:cs="Arial"/>
          <w:color w:val="2C2C2B"/>
          <w:lang w:val="es-419"/>
        </w:rPr>
        <w:t>, July 11, 2019.</w:t>
      </w:r>
    </w:p>
  </w:footnote>
  <w:footnote w:id="442">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National Migration Institute, </w:t>
      </w:r>
      <w:hyperlink r:id="rId240" w:history="1">
        <w:r w:rsidRPr="007D47AD">
          <w:rPr>
            <w:rStyle w:val="Hyperlink"/>
            <w:rFonts w:asciiTheme="minorHAnsi" w:hAnsiTheme="minorHAnsi" w:cs="Arial"/>
            <w:lang w:val="es-419"/>
          </w:rPr>
          <w:t>Internaciones de centroamericanos a territorio mexicano en espera de la resolución de su trámite de asilo en Estados Unidos</w:t>
        </w:r>
      </w:hyperlink>
      <w:r w:rsidRPr="007D47AD">
        <w:rPr>
          <w:rFonts w:cs="Arial"/>
          <w:color w:val="2C2C2B"/>
          <w:lang w:val="es-419"/>
        </w:rPr>
        <w:t>, July 7, 2019.</w:t>
      </w:r>
    </w:p>
  </w:footnote>
  <w:footnote w:id="443">
    <w:p w:rsidR="00385F1D" w:rsidRPr="007D47AD" w:rsidRDefault="00385F1D" w:rsidP="00C66025">
      <w:pPr>
        <w:pStyle w:val="FootnoteText"/>
        <w:spacing w:after="120"/>
        <w:rPr>
          <w:lang w:val="en-US"/>
        </w:rPr>
      </w:pPr>
      <w:r w:rsidRPr="007D47AD">
        <w:rPr>
          <w:rStyle w:val="FootnoteReference"/>
          <w:rFonts w:asciiTheme="minorHAnsi" w:hAnsiTheme="minorHAnsi"/>
          <w:lang w:val="en-US"/>
        </w:rPr>
        <w:footnoteRef/>
      </w:r>
      <w:r w:rsidRPr="007D47AD">
        <w:rPr>
          <w:lang w:val="en-US"/>
        </w:rPr>
        <w:t xml:space="preserve"> IACHR, Thematic Hearing, Asylum and Refuge in Mexico, 173</w:t>
      </w:r>
      <w:r w:rsidRPr="007D47AD">
        <w:rPr>
          <w:vertAlign w:val="superscript"/>
          <w:lang w:val="en-US"/>
        </w:rPr>
        <w:t>rd</w:t>
      </w:r>
      <w:r w:rsidRPr="007D47AD">
        <w:rPr>
          <w:lang w:val="en-US"/>
        </w:rPr>
        <w:t xml:space="preserve"> period of sessions, September 27, 2019.</w:t>
      </w:r>
    </w:p>
  </w:footnote>
  <w:footnote w:id="444">
    <w:p w:rsidR="00385F1D" w:rsidRPr="007D47AD" w:rsidRDefault="00385F1D" w:rsidP="00C66025">
      <w:pPr>
        <w:pStyle w:val="FootnoteText"/>
        <w:spacing w:after="120"/>
        <w:rPr>
          <w:lang w:val="es-AR"/>
        </w:rPr>
      </w:pPr>
      <w:r w:rsidRPr="007D47AD">
        <w:rPr>
          <w:rStyle w:val="FootnoteReference"/>
          <w:rFonts w:asciiTheme="minorHAnsi" w:hAnsiTheme="minorHAnsi"/>
          <w:lang w:val="en-US"/>
        </w:rPr>
        <w:footnoteRef/>
      </w:r>
      <w:r w:rsidRPr="007D47AD">
        <w:rPr>
          <w:lang w:val="es-AR"/>
        </w:rPr>
        <w:t xml:space="preserve"> Ministry of Finance and Public Credit, </w:t>
      </w:r>
      <w:hyperlink r:id="rId241" w:history="1">
        <w:r w:rsidRPr="007D47AD">
          <w:rPr>
            <w:rStyle w:val="Hyperlink"/>
            <w:rFonts w:asciiTheme="minorHAnsi" w:hAnsiTheme="minorHAnsi" w:cs="Arial"/>
            <w:lang w:val="es-AR"/>
          </w:rPr>
          <w:t>Comunicado No. 010 UIF bloquea cuentas presuntamente relacionadas con el tráfico ilegal de migrantes</w:t>
        </w:r>
      </w:hyperlink>
      <w:r w:rsidRPr="007D47AD">
        <w:rPr>
          <w:rFonts w:cs="Arial"/>
          <w:color w:val="2C2C2B"/>
          <w:lang w:val="es-AR"/>
        </w:rPr>
        <w:t>, June 6, 2019.</w:t>
      </w:r>
    </w:p>
  </w:footnote>
  <w:footnote w:id="445">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Animal Político, </w:t>
      </w:r>
      <w:hyperlink r:id="rId242" w:history="1">
        <w:r w:rsidRPr="007D47AD">
          <w:rPr>
            <w:rStyle w:val="Hyperlink"/>
            <w:rFonts w:asciiTheme="minorHAnsi" w:hAnsiTheme="minorHAnsi"/>
            <w:lang w:val="es-419"/>
          </w:rPr>
          <w:t>Migrantes serán deportados así sean de Marte: titular de INM; acusa a africanos de agredir a la Guardia</w:t>
        </w:r>
      </w:hyperlink>
      <w:r w:rsidRPr="007D47AD">
        <w:rPr>
          <w:lang w:val="es-419"/>
        </w:rPr>
        <w:t xml:space="preserve">, October 21, 2019. </w:t>
      </w:r>
    </w:p>
  </w:footnote>
  <w:footnote w:id="446">
    <w:p w:rsidR="00385F1D" w:rsidRPr="007D47AD" w:rsidRDefault="00385F1D" w:rsidP="00C66025">
      <w:pPr>
        <w:pStyle w:val="FootnoteText"/>
        <w:spacing w:after="120"/>
        <w:rPr>
          <w:lang w:val="en-US"/>
        </w:rPr>
      </w:pPr>
      <w:r w:rsidRPr="007D47AD">
        <w:rPr>
          <w:rStyle w:val="FootnoteReference"/>
          <w:rFonts w:asciiTheme="minorHAnsi" w:hAnsiTheme="minorHAnsi"/>
          <w:lang w:val="en-US"/>
        </w:rPr>
        <w:footnoteRef/>
      </w:r>
      <w:r w:rsidRPr="007D47AD">
        <w:rPr>
          <w:lang w:val="en-US"/>
        </w:rPr>
        <w:t xml:space="preserve"> IACHR, Thematic Hearing, Asylum and Refuge in Mexico, 173</w:t>
      </w:r>
      <w:r w:rsidRPr="007D47AD">
        <w:rPr>
          <w:vertAlign w:val="superscript"/>
          <w:lang w:val="en-US"/>
        </w:rPr>
        <w:t>rd</w:t>
      </w:r>
      <w:r w:rsidRPr="007D47AD">
        <w:rPr>
          <w:lang w:val="en-US"/>
        </w:rPr>
        <w:t xml:space="preserve"> period of sessions, September 27, 2019.</w:t>
      </w:r>
    </w:p>
  </w:footnote>
  <w:footnote w:id="447">
    <w:p w:rsidR="00385F1D" w:rsidRPr="007D47AD" w:rsidRDefault="00385F1D" w:rsidP="00C66025">
      <w:pPr>
        <w:autoSpaceDE w:val="0"/>
        <w:autoSpaceDN w:val="0"/>
        <w:adjustRightInd w:val="0"/>
        <w:spacing w:after="120" w:line="240" w:lineRule="auto"/>
        <w:ind w:firstLine="720"/>
        <w:jc w:val="both"/>
        <w:rPr>
          <w:rFonts w:asciiTheme="minorHAnsi" w:hAnsiTheme="minorHAnsi" w:cs="Arial"/>
          <w:b/>
          <w:bCs/>
          <w:sz w:val="16"/>
          <w:szCs w:val="16"/>
          <w:lang w:val="es-419"/>
        </w:rPr>
      </w:pPr>
      <w:r w:rsidRPr="007D47AD">
        <w:rPr>
          <w:rStyle w:val="FootnoteReference"/>
          <w:rFonts w:asciiTheme="minorHAnsi" w:hAnsiTheme="minorHAnsi"/>
          <w:sz w:val="16"/>
          <w:szCs w:val="16"/>
          <w:lang w:val="en-US"/>
        </w:rPr>
        <w:footnoteRef/>
      </w:r>
      <w:r w:rsidRPr="007D47AD">
        <w:rPr>
          <w:rFonts w:asciiTheme="minorHAnsi" w:hAnsiTheme="minorHAnsi"/>
          <w:sz w:val="16"/>
          <w:szCs w:val="16"/>
          <w:lang w:val="es-419"/>
        </w:rPr>
        <w:t xml:space="preserve"> CNDH, Press Release. </w:t>
      </w:r>
      <w:hyperlink r:id="rId243" w:history="1">
        <w:r w:rsidRPr="007D47AD">
          <w:rPr>
            <w:rStyle w:val="Hyperlink"/>
            <w:rFonts w:asciiTheme="minorHAnsi" w:hAnsiTheme="minorHAnsi" w:cs="Arial"/>
            <w:bCs/>
            <w:sz w:val="16"/>
            <w:szCs w:val="16"/>
            <w:lang w:val="es-419"/>
          </w:rPr>
          <w:t>Emite CNDH medidas cautelares en favor de albergues para migrantes en Sonora y Coahuila, y condena hostigamiento y amenazas de personal militar y de la Guardia Nacional a personas defensoras de derechos humanos</w:t>
        </w:r>
      </w:hyperlink>
      <w:r w:rsidRPr="007D47AD">
        <w:rPr>
          <w:rFonts w:asciiTheme="minorHAnsi" w:hAnsiTheme="minorHAnsi" w:cs="Arial"/>
          <w:bCs/>
          <w:sz w:val="16"/>
          <w:szCs w:val="16"/>
          <w:lang w:val="es-419"/>
        </w:rPr>
        <w:t>, DGC/288/19, July 25, 2019.</w:t>
      </w:r>
    </w:p>
  </w:footnote>
  <w:footnote w:id="448">
    <w:p w:rsidR="00385F1D" w:rsidRPr="007D47AD" w:rsidRDefault="00385F1D" w:rsidP="00C66025">
      <w:pPr>
        <w:pStyle w:val="FootnoteText"/>
        <w:spacing w:after="120"/>
        <w:rPr>
          <w:lang w:val="en-US"/>
        </w:rPr>
      </w:pPr>
      <w:r w:rsidRPr="007D47AD">
        <w:rPr>
          <w:rStyle w:val="FootnoteReference"/>
          <w:rFonts w:asciiTheme="minorHAnsi" w:hAnsiTheme="minorHAnsi"/>
          <w:lang w:val="en-US"/>
        </w:rPr>
        <w:footnoteRef/>
      </w:r>
      <w:r w:rsidRPr="007D47AD">
        <w:rPr>
          <w:lang w:val="en-US"/>
        </w:rPr>
        <w:t xml:space="preserve"> IACHR, Thematic Hearing, Asylum and Refuge in Mexico, 173</w:t>
      </w:r>
      <w:r w:rsidRPr="007D47AD">
        <w:rPr>
          <w:vertAlign w:val="superscript"/>
          <w:lang w:val="en-US"/>
        </w:rPr>
        <w:t>rd</w:t>
      </w:r>
      <w:r w:rsidRPr="007D47AD">
        <w:rPr>
          <w:lang w:val="en-US"/>
        </w:rPr>
        <w:t xml:space="preserve"> period of sessions, September 27, 2019.</w:t>
      </w:r>
    </w:p>
  </w:footnote>
  <w:footnote w:id="449">
    <w:p w:rsidR="00385F1D" w:rsidRPr="007D47AD" w:rsidRDefault="00385F1D" w:rsidP="00C66025">
      <w:pPr>
        <w:pStyle w:val="FootnoteText"/>
        <w:spacing w:after="120"/>
        <w:rPr>
          <w:lang w:val="en-US"/>
        </w:rPr>
      </w:pPr>
      <w:r w:rsidRPr="007D47AD">
        <w:rPr>
          <w:rStyle w:val="FootnoteReference"/>
          <w:rFonts w:asciiTheme="minorHAnsi" w:hAnsiTheme="minorHAnsi"/>
          <w:lang w:val="en-US"/>
        </w:rPr>
        <w:footnoteRef/>
      </w:r>
      <w:r w:rsidRPr="007D47AD">
        <w:rPr>
          <w:lang w:val="en-US"/>
        </w:rPr>
        <w:t xml:space="preserve"> IACHR, </w:t>
      </w:r>
      <w:hyperlink r:id="rId244" w:history="1">
        <w:r w:rsidRPr="007D47AD">
          <w:rPr>
            <w:rStyle w:val="Hyperlink"/>
            <w:rFonts w:asciiTheme="minorHAnsi" w:hAnsiTheme="minorHAnsi"/>
            <w:lang w:val="en-US"/>
          </w:rPr>
          <w:t>IACHR Expresses Deep Concern about the Situation of Migrants and Refugees in the United States, Mexico, and Central America</w:t>
        </w:r>
      </w:hyperlink>
      <w:r w:rsidRPr="007D47AD">
        <w:rPr>
          <w:lang w:val="en-US"/>
        </w:rPr>
        <w:t xml:space="preserve">, July 23, 2019. </w:t>
      </w:r>
    </w:p>
  </w:footnote>
  <w:footnote w:id="450">
    <w:p w:rsidR="00385F1D" w:rsidRPr="007D47AD" w:rsidRDefault="00385F1D" w:rsidP="00C66025">
      <w:pPr>
        <w:pStyle w:val="FootnoteText"/>
        <w:spacing w:after="120"/>
        <w:rPr>
          <w:lang w:val="en-US"/>
        </w:rPr>
      </w:pPr>
      <w:r w:rsidRPr="007D47AD">
        <w:rPr>
          <w:rStyle w:val="FootnoteReference"/>
          <w:rFonts w:asciiTheme="minorHAnsi" w:hAnsiTheme="minorHAnsi"/>
          <w:lang w:val="en-US"/>
        </w:rPr>
        <w:footnoteRef/>
      </w:r>
      <w:r w:rsidRPr="007D47AD">
        <w:rPr>
          <w:lang w:val="en-US"/>
        </w:rPr>
        <w:t xml:space="preserve"> IACHR, Resolution 51/2019, Precautionary Measure No. 870/2019, </w:t>
      </w:r>
      <w:r w:rsidRPr="007D47AD">
        <w:rPr>
          <w:rStyle w:val="Strong"/>
          <w:rFonts w:asciiTheme="minorHAnsi" w:hAnsiTheme="minorHAnsi"/>
          <w:b w:val="0"/>
          <w:color w:val="000000"/>
          <w:shd w:val="clear" w:color="auto" w:fill="FFFFFF"/>
          <w:lang w:val="en-US"/>
        </w:rPr>
        <w:t>Aaron Casimiro Méndez Ruíz and Alfredo Castillo</w:t>
      </w:r>
      <w:r w:rsidRPr="007D47AD">
        <w:rPr>
          <w:rStyle w:val="Strong"/>
          <w:rFonts w:asciiTheme="minorHAnsi" w:hAnsiTheme="minorHAnsi"/>
          <w:color w:val="000000"/>
          <w:shd w:val="clear" w:color="auto" w:fill="FFFFFF"/>
          <w:lang w:val="en-US"/>
        </w:rPr>
        <w:t xml:space="preserve"> </w:t>
      </w:r>
      <w:r w:rsidRPr="007D47AD">
        <w:rPr>
          <w:rStyle w:val="Strong"/>
          <w:rFonts w:asciiTheme="minorHAnsi" w:hAnsiTheme="minorHAnsi"/>
          <w:b w:val="0"/>
          <w:bCs w:val="0"/>
          <w:color w:val="000000"/>
          <w:shd w:val="clear" w:color="auto" w:fill="FFFFFF"/>
          <w:lang w:val="en-US"/>
        </w:rPr>
        <w:t>with respect to</w:t>
      </w:r>
      <w:r w:rsidRPr="007D47AD">
        <w:rPr>
          <w:rStyle w:val="Strong"/>
          <w:rFonts w:asciiTheme="minorHAnsi" w:hAnsiTheme="minorHAnsi"/>
          <w:color w:val="000000"/>
          <w:shd w:val="clear" w:color="auto" w:fill="FFFFFF"/>
          <w:lang w:val="en-US"/>
        </w:rPr>
        <w:t xml:space="preserve"> </w:t>
      </w:r>
      <w:r w:rsidRPr="007D47AD">
        <w:rPr>
          <w:lang w:val="en-US"/>
        </w:rPr>
        <w:t>Mexico, October 4, 2019.</w:t>
      </w:r>
    </w:p>
  </w:footnote>
  <w:footnote w:id="451">
    <w:p w:rsidR="00385F1D" w:rsidRPr="007D47AD" w:rsidRDefault="00385F1D" w:rsidP="00C66025">
      <w:pPr>
        <w:autoSpaceDE w:val="0"/>
        <w:autoSpaceDN w:val="0"/>
        <w:adjustRightInd w:val="0"/>
        <w:spacing w:after="120" w:line="240" w:lineRule="auto"/>
        <w:ind w:firstLine="720"/>
        <w:jc w:val="both"/>
        <w:rPr>
          <w:rFonts w:asciiTheme="minorHAnsi" w:hAnsiTheme="minorHAnsi" w:cs="Cambria"/>
          <w:sz w:val="16"/>
          <w:szCs w:val="16"/>
          <w:lang w:val="en-US"/>
        </w:rPr>
      </w:pPr>
      <w:r w:rsidRPr="007D47AD">
        <w:rPr>
          <w:rStyle w:val="FootnoteReference"/>
          <w:rFonts w:asciiTheme="minorHAnsi" w:hAnsiTheme="minorHAnsi"/>
          <w:sz w:val="16"/>
          <w:szCs w:val="16"/>
          <w:lang w:val="en-US"/>
        </w:rPr>
        <w:footnoteRef/>
      </w:r>
      <w:r w:rsidRPr="007D47AD">
        <w:rPr>
          <w:rFonts w:asciiTheme="minorHAnsi" w:hAnsiTheme="minorHAnsi"/>
          <w:sz w:val="16"/>
          <w:szCs w:val="16"/>
          <w:lang w:val="en-US"/>
        </w:rPr>
        <w:t xml:space="preserve"> IACHR, </w:t>
      </w:r>
      <w:hyperlink r:id="rId245" w:history="1">
        <w:r w:rsidRPr="007D47AD">
          <w:rPr>
            <w:rStyle w:val="Hyperlink"/>
            <w:rFonts w:asciiTheme="minorHAnsi" w:hAnsiTheme="minorHAnsi" w:cs="Cambria"/>
            <w:sz w:val="16"/>
            <w:szCs w:val="16"/>
            <w:lang w:val="en-US"/>
          </w:rPr>
          <w:t>Criminalization of the Work of Human Rights Defenders</w:t>
        </w:r>
      </w:hyperlink>
      <w:r w:rsidRPr="007D47AD">
        <w:rPr>
          <w:rFonts w:asciiTheme="minorHAnsi" w:hAnsiTheme="minorHAnsi"/>
          <w:sz w:val="16"/>
          <w:szCs w:val="16"/>
          <w:lang w:val="en-US"/>
        </w:rPr>
        <w:t xml:space="preserve">,  </w:t>
      </w:r>
      <w:r w:rsidRPr="007D47AD">
        <w:rPr>
          <w:rFonts w:asciiTheme="minorHAnsi" w:hAnsiTheme="minorHAnsi" w:cs="Cambria"/>
          <w:sz w:val="16"/>
          <w:szCs w:val="16"/>
          <w:lang w:val="en-US"/>
        </w:rPr>
        <w:t>OEA/Ser.L/V/II.</w:t>
      </w:r>
      <w:r w:rsidRPr="007D47AD">
        <w:rPr>
          <w:rFonts w:asciiTheme="minorHAnsi" w:hAnsiTheme="minorHAnsi"/>
          <w:sz w:val="16"/>
          <w:szCs w:val="16"/>
          <w:lang w:val="en-US"/>
        </w:rPr>
        <w:t xml:space="preserve"> </w:t>
      </w:r>
      <w:r w:rsidRPr="007D47AD">
        <w:rPr>
          <w:rFonts w:asciiTheme="minorHAnsi" w:hAnsiTheme="minorHAnsi" w:cs="Cambria"/>
          <w:sz w:val="16"/>
          <w:szCs w:val="16"/>
          <w:lang w:val="en-US"/>
        </w:rPr>
        <w:t xml:space="preserve">Doc. 49/15, December </w:t>
      </w:r>
      <w:r w:rsidRPr="007D47AD">
        <w:rPr>
          <w:rFonts w:asciiTheme="minorHAnsi" w:hAnsiTheme="minorHAnsi"/>
          <w:sz w:val="16"/>
          <w:szCs w:val="16"/>
          <w:lang w:val="en-US"/>
        </w:rPr>
        <w:t>31, 2015, para. 21.</w:t>
      </w:r>
    </w:p>
  </w:footnote>
  <w:footnote w:id="452">
    <w:p w:rsidR="00385F1D" w:rsidRPr="007D47AD" w:rsidRDefault="00385F1D" w:rsidP="00C66025">
      <w:pPr>
        <w:pStyle w:val="FootnoteText"/>
        <w:spacing w:after="120"/>
        <w:rPr>
          <w:lang w:val="en-US"/>
        </w:rPr>
      </w:pPr>
      <w:r w:rsidRPr="007D47AD">
        <w:rPr>
          <w:rStyle w:val="FootnoteReference"/>
          <w:rFonts w:asciiTheme="minorHAnsi" w:hAnsiTheme="minorHAnsi"/>
          <w:lang w:val="en-US"/>
        </w:rPr>
        <w:footnoteRef/>
      </w:r>
      <w:r w:rsidRPr="007D47AD">
        <w:rPr>
          <w:lang w:val="en-US"/>
        </w:rPr>
        <w:t xml:space="preserve"> IACHR, Thematic Hearing, Asylum and Refuge in Mexico, 173</w:t>
      </w:r>
      <w:r w:rsidRPr="007D47AD">
        <w:rPr>
          <w:vertAlign w:val="superscript"/>
          <w:lang w:val="en-US"/>
        </w:rPr>
        <w:t>rd</w:t>
      </w:r>
      <w:r w:rsidRPr="007D47AD">
        <w:rPr>
          <w:lang w:val="en-US"/>
        </w:rPr>
        <w:t xml:space="preserve"> period of sessions, September 27, 2019.</w:t>
      </w:r>
    </w:p>
  </w:footnote>
  <w:footnote w:id="453">
    <w:p w:rsidR="00385F1D" w:rsidRPr="007D47AD" w:rsidRDefault="00385F1D" w:rsidP="00C66025">
      <w:pPr>
        <w:pStyle w:val="FootnoteText"/>
        <w:spacing w:after="120"/>
        <w:rPr>
          <w:lang w:val="en-US"/>
        </w:rPr>
      </w:pPr>
      <w:r w:rsidRPr="007D47AD">
        <w:rPr>
          <w:rStyle w:val="FootnoteReference"/>
          <w:rFonts w:asciiTheme="minorHAnsi" w:hAnsiTheme="minorHAnsi"/>
          <w:lang w:val="en-US"/>
        </w:rPr>
        <w:footnoteRef/>
      </w:r>
      <w:r w:rsidRPr="007D47AD">
        <w:rPr>
          <w:lang w:val="en-US"/>
        </w:rPr>
        <w:t xml:space="preserve"> Internal Displacement Monitoring Centre, </w:t>
      </w:r>
      <w:hyperlink r:id="rId246" w:history="1">
        <w:r w:rsidRPr="007D47AD">
          <w:rPr>
            <w:rStyle w:val="Hyperlink"/>
            <w:rFonts w:asciiTheme="minorHAnsi" w:hAnsiTheme="minorHAnsi"/>
            <w:lang w:val="en-US"/>
          </w:rPr>
          <w:t>Country Information Mexico</w:t>
        </w:r>
      </w:hyperlink>
      <w:r w:rsidRPr="007D47AD">
        <w:rPr>
          <w:lang w:val="en-US"/>
        </w:rPr>
        <w:t>, 2018.</w:t>
      </w:r>
    </w:p>
  </w:footnote>
  <w:footnote w:id="454">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n-US"/>
        </w:rPr>
        <w:t xml:space="preserve"> Observations and comments by the State, January 13, 2020, paras. </w:t>
      </w:r>
      <w:r w:rsidRPr="007D47AD">
        <w:rPr>
          <w:lang w:val="es-419"/>
        </w:rPr>
        <w:t>114-118.</w:t>
      </w:r>
    </w:p>
  </w:footnote>
  <w:footnote w:id="455">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Sexto Informe del Estado mexicano sobre el cumplimiento y seguimiento de las recomendaciones contenidas en el informe “Situación de los Derechos Humanos en México,” p. 86.</w:t>
      </w:r>
    </w:p>
  </w:footnote>
  <w:footnote w:id="456">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Díaz Pérez, María Cristina. Raúl Romo Viramontes, </w:t>
      </w:r>
      <w:hyperlink r:id="rId247" w:history="1">
        <w:r w:rsidRPr="007D47AD">
          <w:rPr>
            <w:rStyle w:val="Hyperlink"/>
            <w:rFonts w:asciiTheme="minorHAnsi" w:hAnsiTheme="minorHAnsi" w:cs="Montserrat-Italic"/>
            <w:iCs/>
            <w:lang w:val="es-419"/>
          </w:rPr>
          <w:t>La violencia como causa de desplazamiento interno forzado. Aproximaciones a su análisis en México</w:t>
        </w:r>
      </w:hyperlink>
      <w:r w:rsidRPr="007D47AD">
        <w:rPr>
          <w:lang w:val="es-419"/>
        </w:rPr>
        <w:t>, March 2019.</w:t>
      </w:r>
    </w:p>
  </w:footnote>
  <w:footnote w:id="457">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Díaz Pérez, María Cristina. Raúl Romo Viramontes, </w:t>
      </w:r>
      <w:hyperlink r:id="rId248" w:history="1">
        <w:r w:rsidRPr="007D47AD">
          <w:rPr>
            <w:rStyle w:val="Hyperlink"/>
            <w:rFonts w:asciiTheme="minorHAnsi" w:hAnsiTheme="minorHAnsi" w:cs="Montserrat-Italic"/>
            <w:iCs/>
            <w:lang w:val="es-419"/>
          </w:rPr>
          <w:t>La violencia como causa de desplazamiento interno forzado. Aproximaciones a su análisis en México</w:t>
        </w:r>
      </w:hyperlink>
      <w:r w:rsidRPr="007D47AD">
        <w:rPr>
          <w:lang w:val="es-419"/>
        </w:rPr>
        <w:t>, March 2019, pp. 83, 84.</w:t>
      </w:r>
    </w:p>
  </w:footnote>
  <w:footnote w:id="458">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Díaz Pérez, María Cristina. Raúl Romo Viramontes, </w:t>
      </w:r>
      <w:hyperlink r:id="rId249" w:history="1">
        <w:r w:rsidRPr="007D47AD">
          <w:rPr>
            <w:rStyle w:val="Hyperlink"/>
            <w:rFonts w:asciiTheme="minorHAnsi" w:hAnsiTheme="minorHAnsi" w:cs="Montserrat-Italic"/>
            <w:iCs/>
            <w:lang w:val="es-419"/>
          </w:rPr>
          <w:t>La violencia como causa de desplazamiento interno forzado. Aproximaciones a su análisis en México</w:t>
        </w:r>
      </w:hyperlink>
      <w:r w:rsidRPr="007D47AD">
        <w:rPr>
          <w:lang w:val="es-419"/>
        </w:rPr>
        <w:t>, March 2019, pp. 83, 84.</w:t>
      </w:r>
    </w:p>
  </w:footnote>
  <w:footnote w:id="459">
    <w:p w:rsidR="00385F1D" w:rsidRPr="007D47AD" w:rsidRDefault="00385F1D" w:rsidP="00C66025">
      <w:pPr>
        <w:pStyle w:val="FootnoteText"/>
        <w:spacing w:after="120"/>
        <w:rPr>
          <w:lang w:val="es-US"/>
        </w:rPr>
      </w:pPr>
      <w:r w:rsidRPr="007D47AD">
        <w:rPr>
          <w:rStyle w:val="FootnoteReference"/>
        </w:rPr>
        <w:footnoteRef/>
      </w:r>
      <w:r w:rsidRPr="007D47AD">
        <w:rPr>
          <w:lang w:val="es-US"/>
        </w:rPr>
        <w:t xml:space="preserve"> Telemundo Noticias, </w:t>
      </w:r>
      <w:r w:rsidRPr="007D47AD">
        <w:rPr>
          <w:color w:val="0000FF"/>
          <w:u w:val="single"/>
          <w:lang w:val="es-US"/>
        </w:rPr>
        <w:t>Migrantes africanos ponen en jaque al Gobierno mexicano y bloquean el acceso a Estación Migratoria en Chiapas</w:t>
      </w:r>
      <w:r w:rsidRPr="007D47AD">
        <w:rPr>
          <w:lang w:val="es-US"/>
        </w:rPr>
        <w:t xml:space="preserve">, 27 agosto 2019. </w:t>
      </w:r>
    </w:p>
  </w:footnote>
  <w:footnote w:id="460">
    <w:p w:rsidR="00385F1D" w:rsidRPr="007D47AD" w:rsidRDefault="00385F1D" w:rsidP="00C66025">
      <w:pPr>
        <w:pStyle w:val="FootnoteText"/>
        <w:spacing w:after="120"/>
        <w:rPr>
          <w:lang w:val="es-419"/>
        </w:rPr>
      </w:pPr>
      <w:r w:rsidRPr="007D47AD">
        <w:rPr>
          <w:rStyle w:val="FootnoteReference"/>
        </w:rPr>
        <w:footnoteRef/>
      </w:r>
      <w:r w:rsidRPr="007D47AD">
        <w:t xml:space="preserve"> </w:t>
      </w:r>
      <w:r w:rsidRPr="007D47AD">
        <w:rPr>
          <w:lang w:val="es-419"/>
        </w:rPr>
        <w:t xml:space="preserve">El Sol de Tijuana, </w:t>
      </w:r>
      <w:hyperlink r:id="rId250" w:history="1">
        <w:r w:rsidRPr="007D47AD">
          <w:rPr>
            <w:rStyle w:val="Hyperlink"/>
            <w:lang w:val="es-419"/>
          </w:rPr>
          <w:t>Implementa INM perfil racial para detener a migrantes</w:t>
        </w:r>
      </w:hyperlink>
      <w:r w:rsidRPr="007D47AD">
        <w:rPr>
          <w:lang w:val="es-419"/>
        </w:rPr>
        <w:t xml:space="preserve">, 22 de octubre de 2019. </w:t>
      </w:r>
    </w:p>
  </w:footnote>
  <w:footnote w:id="461">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Ministry of Foreign Affairs, Recomendaciones de la Comisión Interamericana de Derechos Humanos. Emitidas en su informe Sexto Informe del Estado mexicano sobre el cumplimiento y seguimiento de las recomendaciones contenidas en el informe “Situación de los Derechos Humanos en México,” p. 87.</w:t>
      </w:r>
    </w:p>
  </w:footnote>
  <w:footnote w:id="462">
    <w:p w:rsidR="00385F1D" w:rsidRPr="007D47AD" w:rsidRDefault="00385F1D" w:rsidP="00C66025">
      <w:pPr>
        <w:pStyle w:val="Heading1"/>
        <w:numPr>
          <w:ilvl w:val="0"/>
          <w:numId w:val="0"/>
        </w:numPr>
        <w:shd w:val="clear" w:color="auto" w:fill="FFFFFF"/>
        <w:spacing w:before="0" w:after="120"/>
        <w:ind w:firstLine="720"/>
        <w:rPr>
          <w:rFonts w:asciiTheme="minorHAnsi" w:hAnsiTheme="minorHAnsi"/>
          <w:b w:val="0"/>
          <w:color w:val="2C2C2B"/>
          <w:sz w:val="16"/>
          <w:szCs w:val="16"/>
          <w:lang w:val="es-419"/>
        </w:rPr>
      </w:pPr>
      <w:r w:rsidRPr="007D47AD">
        <w:rPr>
          <w:rStyle w:val="FootnoteReference"/>
          <w:rFonts w:asciiTheme="minorHAnsi" w:hAnsiTheme="minorHAnsi"/>
          <w:b w:val="0"/>
          <w:sz w:val="16"/>
          <w:szCs w:val="16"/>
          <w:lang w:val="en-US"/>
        </w:rPr>
        <w:footnoteRef/>
      </w:r>
      <w:r w:rsidRPr="007D47AD">
        <w:rPr>
          <w:rFonts w:asciiTheme="minorHAnsi" w:hAnsiTheme="minorHAnsi"/>
          <w:b w:val="0"/>
          <w:sz w:val="16"/>
          <w:szCs w:val="16"/>
          <w:lang w:val="es-419"/>
        </w:rPr>
        <w:t xml:space="preserve"> Ministry of Interior, </w:t>
      </w:r>
      <w:hyperlink r:id="rId251" w:history="1">
        <w:r w:rsidRPr="007D47AD">
          <w:rPr>
            <w:rStyle w:val="Hyperlink"/>
            <w:rFonts w:asciiTheme="minorHAnsi" w:hAnsiTheme="minorHAnsi"/>
            <w:b w:val="0"/>
            <w:sz w:val="16"/>
            <w:szCs w:val="16"/>
            <w:lang w:val="es-419"/>
          </w:rPr>
          <w:t>Al Congreso iniciativa de ley sobre desplazamiento forzado interno, la próxima semana</w:t>
        </w:r>
      </w:hyperlink>
      <w:r w:rsidRPr="007D47AD">
        <w:rPr>
          <w:rFonts w:asciiTheme="minorHAnsi" w:hAnsiTheme="minorHAnsi"/>
          <w:b w:val="0"/>
          <w:color w:val="2C2C2B"/>
          <w:sz w:val="16"/>
          <w:szCs w:val="16"/>
          <w:lang w:val="es-419"/>
        </w:rPr>
        <w:t>, September 5, 2019.</w:t>
      </w:r>
    </w:p>
  </w:footnote>
  <w:footnote w:id="463">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n-US"/>
        </w:rPr>
        <w:t xml:space="preserve"> IACHR, </w:t>
      </w:r>
      <w:hyperlink r:id="rId252" w:history="1">
        <w:r w:rsidRPr="007D47AD">
          <w:rPr>
            <w:rStyle w:val="Hyperlink"/>
            <w:rFonts w:asciiTheme="minorHAnsi" w:hAnsiTheme="minorHAnsi"/>
            <w:lang w:val="en-US"/>
          </w:rPr>
          <w:t>Desplazamiento Internal displacement in the Northern Triangle of Central America: Public policy guidelines</w:t>
        </w:r>
      </w:hyperlink>
      <w:r w:rsidRPr="007D47AD">
        <w:rPr>
          <w:lang w:val="en-US"/>
        </w:rPr>
        <w:t xml:space="preserve">, OEA/Ser.L/V/II. </w:t>
      </w:r>
      <w:r w:rsidRPr="007D47AD">
        <w:rPr>
          <w:lang w:val="es-419"/>
        </w:rPr>
        <w:t>Document 101, July 27, 2018.</w:t>
      </w:r>
    </w:p>
  </w:footnote>
  <w:footnote w:id="464">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Ministry of Foreign Affairs, Recomendaciones de la Comisión Interamericana de Derechos Humanos. Emitidas en su informe sobre la “Situación de los Derechos Humanos en México”, derivado de su visita realizada a México del 28 de septiembre al 2 de octubre de 2015, p. 87.</w:t>
      </w:r>
    </w:p>
  </w:footnote>
  <w:footnote w:id="465">
    <w:p w:rsidR="00385F1D" w:rsidRPr="007D47AD" w:rsidRDefault="00385F1D" w:rsidP="00C66025">
      <w:pPr>
        <w:pStyle w:val="FootnoteText"/>
        <w:spacing w:after="120"/>
        <w:rPr>
          <w:lang w:val="en-US"/>
        </w:rPr>
      </w:pPr>
      <w:r w:rsidRPr="007D47AD">
        <w:rPr>
          <w:rStyle w:val="FootnoteReference"/>
          <w:rFonts w:asciiTheme="minorHAnsi" w:hAnsiTheme="minorHAnsi"/>
          <w:lang w:val="en-US"/>
        </w:rPr>
        <w:footnoteRef/>
      </w:r>
      <w:r w:rsidRPr="007D47AD">
        <w:rPr>
          <w:lang w:val="en-US"/>
        </w:rPr>
        <w:t xml:space="preserve"> IACHR, Press Release 100/19 – </w:t>
      </w:r>
      <w:hyperlink r:id="rId253" w:history="1">
        <w:r w:rsidRPr="007D47AD">
          <w:rPr>
            <w:rStyle w:val="Hyperlink"/>
            <w:rFonts w:asciiTheme="minorHAnsi" w:hAnsiTheme="minorHAnsi"/>
            <w:lang w:val="en-US"/>
          </w:rPr>
          <w:t>IACHR and the UN Special Rapporteur on the Human Rights of Internally Displaced Persons Welcome Decision for the protection of internally displaced persons in Mexico</w:t>
        </w:r>
      </w:hyperlink>
      <w:r w:rsidRPr="007D47AD">
        <w:rPr>
          <w:lang w:val="en-US"/>
        </w:rPr>
        <w:t>, Washington D.C., April 17, 2019.</w:t>
      </w:r>
    </w:p>
  </w:footnote>
  <w:footnote w:id="466">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CMDPDH, Comunicado - </w:t>
      </w:r>
      <w:hyperlink r:id="rId254" w:history="1">
        <w:r w:rsidRPr="007D47AD">
          <w:rPr>
            <w:rStyle w:val="Hyperlink"/>
            <w:rFonts w:asciiTheme="minorHAnsi" w:hAnsiTheme="minorHAnsi"/>
            <w:lang w:val="es-419"/>
          </w:rPr>
          <w:t>Por primera ocasión, inicia implementación de Programa de Atención Integral para grupo de víctimas de desplazamiento interno forzado: CEAV y Comisiones Estatales de Atención a Víctimas</w:t>
        </w:r>
      </w:hyperlink>
      <w:r w:rsidRPr="007D47AD">
        <w:rPr>
          <w:lang w:val="es-419"/>
        </w:rPr>
        <w:t>, July 10, 2019.</w:t>
      </w:r>
    </w:p>
  </w:footnote>
  <w:footnote w:id="467">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Sexto Informe del Estado mexicano sobre el cumplimiento y seguimiento de las recomendaciones contenidas en el informe “Situación de los Derechos Humanos en México,” p. 88.</w:t>
      </w:r>
    </w:p>
  </w:footnote>
  <w:footnote w:id="468">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Amnesty International, Document “México, insumos para el Informe Anual de la Comisión Interamericana,” October 31, 2019. </w:t>
      </w:r>
    </w:p>
  </w:footnote>
  <w:footnote w:id="469">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OHCHR, </w:t>
      </w:r>
      <w:hyperlink r:id="rId255" w:history="1">
        <w:r w:rsidRPr="007D47AD">
          <w:rPr>
            <w:rStyle w:val="Hyperlink"/>
            <w:rFonts w:asciiTheme="minorHAnsi" w:hAnsiTheme="minorHAnsi"/>
            <w:lang w:val="es-419"/>
          </w:rPr>
          <w:t>Diagnóstico sobre el funcionamiento del mecanismo</w:t>
        </w:r>
      </w:hyperlink>
      <w:r w:rsidRPr="007D47AD">
        <w:rPr>
          <w:lang w:val="es-419"/>
        </w:rPr>
        <w:t xml:space="preserve">, Mexico City, July 2019, p. 8.  </w:t>
      </w:r>
    </w:p>
  </w:footnote>
  <w:footnote w:id="470">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El Proceso</w:t>
      </w:r>
      <w:hyperlink r:id="rId256" w:history="1">
        <w:r w:rsidRPr="007D47AD">
          <w:rPr>
            <w:rStyle w:val="Hyperlink"/>
            <w:rFonts w:asciiTheme="minorHAnsi" w:hAnsiTheme="minorHAnsi"/>
            <w:lang w:val="es-419"/>
          </w:rPr>
          <w:t>, En octubre podría darse aumento de 150 mdp al Mecanismo de Protección: Segob</w:t>
        </w:r>
      </w:hyperlink>
      <w:r w:rsidRPr="007D47AD">
        <w:rPr>
          <w:lang w:val="es-419"/>
        </w:rPr>
        <w:t xml:space="preserve">, August 26, 2019.  </w:t>
      </w:r>
    </w:p>
  </w:footnote>
  <w:footnote w:id="471">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n-US"/>
        </w:rPr>
        <w:t xml:space="preserve"> Observations and comments by the State, January 13, 2020, para. </w:t>
      </w:r>
      <w:r w:rsidRPr="007D47AD">
        <w:rPr>
          <w:lang w:val="es-419"/>
        </w:rPr>
        <w:t>120.</w:t>
      </w:r>
    </w:p>
  </w:footnote>
  <w:footnote w:id="472">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OHCHR, </w:t>
      </w:r>
      <w:hyperlink r:id="rId257" w:history="1">
        <w:r w:rsidRPr="007D47AD">
          <w:rPr>
            <w:rStyle w:val="Hyperlink"/>
            <w:rFonts w:asciiTheme="minorHAnsi" w:hAnsiTheme="minorHAnsi"/>
            <w:lang w:val="es-419"/>
          </w:rPr>
          <w:t>Diagnóstico sobre el funcionamiento del mecanismo</w:t>
        </w:r>
      </w:hyperlink>
      <w:r w:rsidRPr="007D47AD">
        <w:rPr>
          <w:lang w:val="es-419"/>
        </w:rPr>
        <w:t xml:space="preserve">, Mexico City, July 2019, p. 226.  </w:t>
      </w:r>
    </w:p>
  </w:footnote>
  <w:footnote w:id="473">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n-US"/>
        </w:rPr>
        <w:t xml:space="preserve"> Observations and comments by the State, January 13, 2020, para. </w:t>
      </w:r>
      <w:r w:rsidRPr="007D47AD">
        <w:rPr>
          <w:lang w:val="es-419"/>
        </w:rPr>
        <w:t>119.</w:t>
      </w:r>
    </w:p>
  </w:footnote>
  <w:footnote w:id="474">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Sexto Informe del Estado mexicano sobre el cumplimiento y seguimiento de las recomendaciones contenidas en el informe “Situación de los Derechos Humanos en México,” p. 91.</w:t>
      </w:r>
    </w:p>
  </w:footnote>
  <w:footnote w:id="475">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Sexto Informe del Estado mexicano sobre el cumplimiento y seguimiento de las recomendaciones contenidas en el informe “Situación de los Derechos Humanos en México,” p. 91.</w:t>
      </w:r>
    </w:p>
  </w:footnote>
  <w:footnote w:id="476">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Sexto Informe del Estado mexicano sobre el cumplimiento y seguimiento de las recomendaciones contenidas en el informe “Situación de los Derechos Humanos en México,” p. 91.</w:t>
      </w:r>
    </w:p>
  </w:footnote>
  <w:footnote w:id="477">
    <w:p w:rsidR="00385F1D" w:rsidRPr="007D47AD" w:rsidRDefault="00385F1D" w:rsidP="00C66025">
      <w:pPr>
        <w:pStyle w:val="FootnoteText"/>
        <w:spacing w:after="120"/>
        <w:rPr>
          <w:lang w:val="en-US"/>
        </w:rPr>
      </w:pPr>
      <w:r w:rsidRPr="007D47AD">
        <w:rPr>
          <w:rStyle w:val="FootnoteReference"/>
          <w:rFonts w:asciiTheme="minorHAnsi" w:hAnsiTheme="minorHAnsi"/>
          <w:lang w:val="en-US"/>
        </w:rPr>
        <w:footnoteRef/>
      </w:r>
      <w:r w:rsidRPr="007D47AD">
        <w:rPr>
          <w:lang w:val="en-US"/>
        </w:rPr>
        <w:t xml:space="preserve"> Observations and comments by the State, January 13, 2020, paras. 121-122.</w:t>
      </w:r>
    </w:p>
  </w:footnote>
  <w:footnote w:id="478">
    <w:p w:rsidR="00385F1D" w:rsidRPr="007D47AD" w:rsidRDefault="00385F1D" w:rsidP="00C66025">
      <w:pPr>
        <w:pStyle w:val="FootnoteText"/>
        <w:spacing w:after="120"/>
        <w:rPr>
          <w:lang w:val="en-US"/>
        </w:rPr>
      </w:pPr>
      <w:r w:rsidRPr="007D47AD">
        <w:rPr>
          <w:rStyle w:val="FootnoteReference"/>
          <w:rFonts w:asciiTheme="minorHAnsi" w:hAnsiTheme="minorHAnsi"/>
          <w:lang w:val="en-US"/>
        </w:rPr>
        <w:footnoteRef/>
      </w:r>
      <w:r w:rsidRPr="007D47AD">
        <w:rPr>
          <w:lang w:val="en-US"/>
        </w:rPr>
        <w:t xml:space="preserve"> Observations and comments by the State, January 13, 2020, para. 123.</w:t>
      </w:r>
    </w:p>
  </w:footnote>
  <w:footnote w:id="479">
    <w:p w:rsidR="00385F1D" w:rsidRPr="007D47AD" w:rsidRDefault="00385F1D" w:rsidP="00C66025">
      <w:pPr>
        <w:pStyle w:val="FootnoteText"/>
        <w:spacing w:after="120"/>
        <w:rPr>
          <w:lang w:val="es-419"/>
        </w:rPr>
      </w:pPr>
      <w:r w:rsidRPr="007D47AD">
        <w:rPr>
          <w:rStyle w:val="FootnoteReference"/>
          <w:lang w:val="en-US"/>
        </w:rPr>
        <w:footnoteRef/>
      </w:r>
      <w:r w:rsidRPr="007D47AD">
        <w:rPr>
          <w:lang w:val="en-US"/>
        </w:rPr>
        <w:t xml:space="preserve"> IACHR. Office of the Special Rapporteur for Freedom of Expression. </w:t>
      </w:r>
      <w:r w:rsidRPr="007D47AD">
        <w:rPr>
          <w:lang w:val="es-419"/>
        </w:rPr>
        <w:t xml:space="preserve">August 30, 2019. </w:t>
      </w:r>
      <w:hyperlink r:id="rId258" w:history="1">
        <w:r w:rsidRPr="007D47AD">
          <w:rPr>
            <w:rStyle w:val="Hyperlink"/>
            <w:i/>
            <w:lang w:val="es-419"/>
          </w:rPr>
          <w:t>Comunicado de Prensa R213/19  Relatoria Especial condena asesinato de periodista Nevith Condes en Mexico; urge al Estado  a revisar y reforzar las medidas de protección y la acción de la Fiscalía Especial frente a la grave situación de violencia contra comunicadores</w:t>
        </w:r>
        <w:r w:rsidRPr="007D47AD">
          <w:rPr>
            <w:rStyle w:val="Hyperlink"/>
            <w:lang w:val="es-419"/>
          </w:rPr>
          <w:t>.</w:t>
        </w:r>
      </w:hyperlink>
      <w:r w:rsidRPr="007D47AD">
        <w:rPr>
          <w:lang w:val="es-419"/>
        </w:rPr>
        <w:t xml:space="preserve">  CPJ. June 18, 2019. </w:t>
      </w:r>
      <w:hyperlink r:id="rId259" w:history="1">
        <w:r w:rsidRPr="007D47AD">
          <w:rPr>
            <w:rStyle w:val="Hyperlink"/>
            <w:i/>
            <w:lang w:val="es-419"/>
          </w:rPr>
          <w:t>Cumbre sobre la libertad de prensa insta al Gobierno mexicano a reformar los mecanismos dedicados a la protección de los periodistas.</w:t>
        </w:r>
      </w:hyperlink>
      <w:r w:rsidRPr="007D47AD">
        <w:rPr>
          <w:i/>
          <w:lang w:val="es-419"/>
        </w:rPr>
        <w:t xml:space="preserve"> </w:t>
      </w:r>
      <w:r w:rsidRPr="007D47AD">
        <w:rPr>
          <w:lang w:val="es-419"/>
        </w:rPr>
        <w:t>RSF. August 27, 2019.</w:t>
      </w:r>
      <w:r w:rsidRPr="007D47AD">
        <w:rPr>
          <w:i/>
          <w:lang w:val="es-419"/>
        </w:rPr>
        <w:t xml:space="preserve"> </w:t>
      </w:r>
      <w:hyperlink r:id="rId260" w:history="1">
        <w:r w:rsidRPr="007D47AD">
          <w:rPr>
            <w:rStyle w:val="Hyperlink"/>
            <w:i/>
            <w:lang w:val="es-419"/>
          </w:rPr>
          <w:t>Ola de asesinatos de periodistas en México; las autoridades, impotentes</w:t>
        </w:r>
      </w:hyperlink>
      <w:r w:rsidRPr="007D47AD">
        <w:rPr>
          <w:i/>
          <w:lang w:val="es-419"/>
        </w:rPr>
        <w:t>.</w:t>
      </w:r>
    </w:p>
  </w:footnote>
  <w:footnote w:id="480">
    <w:p w:rsidR="00385F1D" w:rsidRPr="007D47AD" w:rsidRDefault="00385F1D" w:rsidP="00C66025">
      <w:pPr>
        <w:pStyle w:val="FootnoteText"/>
        <w:spacing w:after="120"/>
        <w:rPr>
          <w:lang w:val="es-419"/>
        </w:rPr>
      </w:pPr>
      <w:r w:rsidRPr="007D47AD">
        <w:rPr>
          <w:rStyle w:val="FootnoteReference"/>
          <w:lang w:val="en-US"/>
        </w:rPr>
        <w:footnoteRef/>
      </w:r>
      <w:r w:rsidRPr="007D47AD">
        <w:rPr>
          <w:lang w:val="en-US"/>
        </w:rPr>
        <w:t xml:space="preserve"> The New York Times. Spanish. </w:t>
      </w:r>
      <w:r w:rsidRPr="007D47AD">
        <w:rPr>
          <w:lang w:val="es-419"/>
        </w:rPr>
        <w:t xml:space="preserve">February 11, 2019. </w:t>
      </w:r>
      <w:hyperlink r:id="rId261" w:history="1">
        <w:r w:rsidRPr="007D47AD">
          <w:rPr>
            <w:rStyle w:val="Hyperlink"/>
            <w:i/>
            <w:lang w:val="es-419"/>
          </w:rPr>
          <w:t>Corren tiempos oscuros para el periodismo mexicano</w:t>
        </w:r>
      </w:hyperlink>
      <w:r w:rsidRPr="007D47AD">
        <w:rPr>
          <w:i/>
          <w:lang w:val="es-419"/>
        </w:rPr>
        <w:t>.</w:t>
      </w:r>
    </w:p>
  </w:footnote>
  <w:footnote w:id="481">
    <w:p w:rsidR="00385F1D" w:rsidRPr="007D47AD" w:rsidRDefault="00385F1D" w:rsidP="00C66025">
      <w:pPr>
        <w:pStyle w:val="FootnoteText"/>
        <w:spacing w:after="120"/>
        <w:rPr>
          <w:lang w:val="es-419"/>
        </w:rPr>
      </w:pPr>
      <w:r w:rsidRPr="007D47AD">
        <w:rPr>
          <w:rStyle w:val="FootnoteReference"/>
          <w:lang w:val="en-US"/>
        </w:rPr>
        <w:footnoteRef/>
      </w:r>
      <w:r w:rsidRPr="007D47AD">
        <w:rPr>
          <w:lang w:val="es-419"/>
        </w:rPr>
        <w:t xml:space="preserve"> Sexto Informe del Estado mexicano sobre el cumplimiento y seguimiento de las recomendaciones contenidas en el informe “Situación de los Derechos Humanos en México,” p. 89.</w:t>
      </w:r>
    </w:p>
  </w:footnote>
  <w:footnote w:id="482">
    <w:p w:rsidR="00385F1D" w:rsidRPr="007D47AD" w:rsidRDefault="00385F1D" w:rsidP="00C66025">
      <w:pPr>
        <w:pStyle w:val="FootnoteText"/>
        <w:spacing w:after="120"/>
        <w:rPr>
          <w:lang w:val="es-419"/>
        </w:rPr>
      </w:pPr>
      <w:r w:rsidRPr="007D47AD">
        <w:rPr>
          <w:rStyle w:val="FootnoteReference"/>
          <w:lang w:val="en-US"/>
        </w:rPr>
        <w:footnoteRef/>
      </w:r>
      <w:r w:rsidRPr="007D47AD">
        <w:rPr>
          <w:lang w:val="es-419"/>
        </w:rPr>
        <w:t xml:space="preserve"> Forbes México. July 22, 2019. </w:t>
      </w:r>
      <w:hyperlink r:id="rId262" w:history="1">
        <w:r w:rsidRPr="007D47AD">
          <w:rPr>
            <w:rStyle w:val="Hyperlink"/>
            <w:i/>
            <w:lang w:val="es-419"/>
          </w:rPr>
          <w:t>Saquean casa de Lydia Cacho y envenenan a sus mascotas</w:t>
        </w:r>
      </w:hyperlink>
      <w:r w:rsidRPr="007D47AD">
        <w:rPr>
          <w:i/>
          <w:lang w:val="es-419"/>
        </w:rPr>
        <w:t xml:space="preserve">. </w:t>
      </w:r>
      <w:r w:rsidRPr="007D47AD">
        <w:rPr>
          <w:lang w:val="es-419"/>
        </w:rPr>
        <w:t>Animal Político. July 22, 2019.</w:t>
      </w:r>
      <w:r w:rsidRPr="007D47AD">
        <w:rPr>
          <w:i/>
          <w:lang w:val="es-419"/>
        </w:rPr>
        <w:t xml:space="preserve"> </w:t>
      </w:r>
      <w:hyperlink r:id="rId263" w:history="1">
        <w:r w:rsidRPr="007D47AD">
          <w:rPr>
            <w:rStyle w:val="Hyperlink"/>
            <w:i/>
            <w:lang w:val="es-419"/>
          </w:rPr>
          <w:t>Saquean casa de la periodista Lydia Cacho y envenenan a sus mascotas.</w:t>
        </w:r>
      </w:hyperlink>
      <w:r w:rsidRPr="007D47AD">
        <w:rPr>
          <w:i/>
          <w:lang w:val="es-419"/>
        </w:rPr>
        <w:t xml:space="preserve"> </w:t>
      </w:r>
      <w:r w:rsidRPr="007D47AD">
        <w:rPr>
          <w:lang w:val="es-419"/>
        </w:rPr>
        <w:t xml:space="preserve">The New York Times. Spanish. February 11, 2019. </w:t>
      </w:r>
      <w:hyperlink r:id="rId264" w:history="1">
        <w:r w:rsidRPr="007D47AD">
          <w:rPr>
            <w:rStyle w:val="Hyperlink"/>
            <w:i/>
            <w:lang w:val="es-419"/>
          </w:rPr>
          <w:t>Corren tiempos oscuros para el periodismo mexicano</w:t>
        </w:r>
      </w:hyperlink>
      <w:r w:rsidRPr="007D47AD">
        <w:rPr>
          <w:i/>
          <w:lang w:val="es-419"/>
        </w:rPr>
        <w:t>.</w:t>
      </w:r>
    </w:p>
  </w:footnote>
  <w:footnote w:id="483">
    <w:p w:rsidR="00385F1D" w:rsidRPr="007D47AD" w:rsidRDefault="00385F1D" w:rsidP="00C66025">
      <w:pPr>
        <w:pStyle w:val="FootnoteText"/>
        <w:spacing w:after="120"/>
        <w:rPr>
          <w:lang w:val="es-419"/>
        </w:rPr>
      </w:pPr>
      <w:r w:rsidRPr="007D47AD">
        <w:rPr>
          <w:rStyle w:val="FootnoteReference"/>
          <w:lang w:val="en-US"/>
        </w:rPr>
        <w:footnoteRef/>
      </w:r>
      <w:r w:rsidRPr="007D47AD">
        <w:rPr>
          <w:lang w:val="es-419"/>
        </w:rPr>
        <w:t xml:space="preserve"> Proceso. July 23, 2019</w:t>
      </w:r>
      <w:r w:rsidRPr="007D47AD">
        <w:rPr>
          <w:i/>
          <w:lang w:val="es-419"/>
        </w:rPr>
        <w:t xml:space="preserve">. </w:t>
      </w:r>
      <w:hyperlink r:id="rId265" w:history="1">
        <w:r w:rsidRPr="007D47AD">
          <w:rPr>
            <w:rStyle w:val="Hyperlink"/>
            <w:i/>
            <w:lang w:val="es-419"/>
          </w:rPr>
          <w:t>“Despóticas muestras de intolerancia”, las declaraciones de AMLO contra Proceso: Coparmex</w:t>
        </w:r>
      </w:hyperlink>
      <w:r w:rsidRPr="007D47AD">
        <w:rPr>
          <w:lang w:val="es-419"/>
        </w:rPr>
        <w:t xml:space="preserve">. Expansión Política. July 22, 2019. </w:t>
      </w:r>
      <w:hyperlink r:id="rId266" w:history="1">
        <w:r w:rsidRPr="007D47AD">
          <w:rPr>
            <w:rStyle w:val="Hyperlink"/>
            <w:i/>
            <w:lang w:val="es-419"/>
          </w:rPr>
          <w:t>AMLO critica (otra vez) a la prensa que no apoya la "transformación".</w:t>
        </w:r>
      </w:hyperlink>
      <w:r w:rsidRPr="007D47AD">
        <w:rPr>
          <w:lang w:val="es-419"/>
        </w:rPr>
        <w:t xml:space="preserve"> Tabasco Hoy. February 26, 2019. </w:t>
      </w:r>
      <w:hyperlink r:id="rId267" w:history="1">
        <w:r w:rsidRPr="007D47AD">
          <w:rPr>
            <w:rStyle w:val="Hyperlink"/>
            <w:i/>
            <w:lang w:val="es-419"/>
          </w:rPr>
          <w:t>Oculta edil inseguridad a Presidente</w:t>
        </w:r>
      </w:hyperlink>
      <w:r w:rsidRPr="007D47AD">
        <w:rPr>
          <w:i/>
          <w:lang w:val="es-419"/>
        </w:rPr>
        <w:t xml:space="preserve">. </w:t>
      </w:r>
      <w:r w:rsidRPr="007D47AD">
        <w:rPr>
          <w:lang w:val="es-419"/>
        </w:rPr>
        <w:t>Sin Embargo. February 27, 2019</w:t>
      </w:r>
      <w:r w:rsidRPr="007D47AD">
        <w:rPr>
          <w:i/>
          <w:lang w:val="es-419"/>
        </w:rPr>
        <w:t xml:space="preserve">. </w:t>
      </w:r>
      <w:hyperlink r:id="rId268" w:history="1">
        <w:r w:rsidRPr="007D47AD">
          <w:rPr>
            <w:rStyle w:val="Hyperlink"/>
            <w:i/>
            <w:lang w:val="es-419"/>
          </w:rPr>
          <w:t>Alcaldesa de Quintana Roo llama “sicarios periodísticos” a medios locales; Artículo 19 pide no estigmatizar</w:t>
        </w:r>
      </w:hyperlink>
      <w:r w:rsidRPr="007D47AD">
        <w:rPr>
          <w:i/>
          <w:lang w:val="es-419"/>
        </w:rPr>
        <w:t>.</w:t>
      </w:r>
    </w:p>
    <w:p w:rsidR="00385F1D" w:rsidRPr="007D47AD" w:rsidRDefault="00385F1D" w:rsidP="00C66025">
      <w:pPr>
        <w:pStyle w:val="FootnoteText"/>
        <w:spacing w:after="120"/>
        <w:rPr>
          <w:lang w:val="es-419"/>
        </w:rPr>
      </w:pPr>
    </w:p>
  </w:footnote>
  <w:footnote w:id="484">
    <w:p w:rsidR="00385F1D" w:rsidRPr="007D47AD" w:rsidRDefault="00385F1D" w:rsidP="00C66025">
      <w:pPr>
        <w:pStyle w:val="FootnoteText"/>
        <w:spacing w:after="120"/>
        <w:rPr>
          <w:i/>
          <w:lang w:val="es-419"/>
        </w:rPr>
      </w:pPr>
      <w:r w:rsidRPr="007D47AD">
        <w:rPr>
          <w:rStyle w:val="FootnoteReference"/>
          <w:lang w:val="en-US"/>
        </w:rPr>
        <w:footnoteRef/>
      </w:r>
      <w:r w:rsidRPr="007D47AD">
        <w:rPr>
          <w:lang w:val="es-419"/>
        </w:rPr>
        <w:t xml:space="preserve"> Proceso. July 20, 2019</w:t>
      </w:r>
      <w:r w:rsidRPr="007D47AD">
        <w:rPr>
          <w:i/>
          <w:lang w:val="es-419"/>
        </w:rPr>
        <w:t xml:space="preserve">. </w:t>
      </w:r>
      <w:hyperlink r:id="rId269" w:history="1">
        <w:r w:rsidRPr="007D47AD">
          <w:rPr>
            <w:rStyle w:val="Hyperlink"/>
            <w:i/>
            <w:lang w:val="es-419"/>
          </w:rPr>
          <w:t>Salinas Pliego, el magnate que movió los hilos en la estafa Pemex-Fertinal.</w:t>
        </w:r>
      </w:hyperlink>
    </w:p>
  </w:footnote>
  <w:footnote w:id="485">
    <w:p w:rsidR="00385F1D" w:rsidRPr="007D47AD" w:rsidRDefault="00385F1D" w:rsidP="00C66025">
      <w:pPr>
        <w:pStyle w:val="FootnoteText"/>
        <w:spacing w:after="120"/>
        <w:rPr>
          <w:lang w:val="es-419"/>
        </w:rPr>
      </w:pPr>
      <w:r w:rsidRPr="007D47AD">
        <w:rPr>
          <w:rStyle w:val="FootnoteReference"/>
          <w:lang w:val="en-US"/>
        </w:rPr>
        <w:footnoteRef/>
      </w:r>
      <w:r w:rsidRPr="007D47AD">
        <w:rPr>
          <w:lang w:val="es-419"/>
        </w:rPr>
        <w:t xml:space="preserve"> Proceso. July 23, 2019</w:t>
      </w:r>
      <w:r w:rsidRPr="007D47AD">
        <w:rPr>
          <w:i/>
          <w:lang w:val="es-419"/>
        </w:rPr>
        <w:t xml:space="preserve">. </w:t>
      </w:r>
      <w:hyperlink r:id="rId270" w:history="1">
        <w:r w:rsidRPr="007D47AD">
          <w:rPr>
            <w:rStyle w:val="Hyperlink"/>
            <w:i/>
            <w:lang w:val="es-419"/>
          </w:rPr>
          <w:t>“Despóticas muestras de intolerancia”, las declaraciones de AMLO contra Proceso: Coparmex</w:t>
        </w:r>
      </w:hyperlink>
      <w:r w:rsidRPr="007D47AD">
        <w:rPr>
          <w:lang w:val="es-419"/>
        </w:rPr>
        <w:t xml:space="preserve">. Expansión Política. July 22, 2019. </w:t>
      </w:r>
      <w:hyperlink r:id="rId271" w:history="1">
        <w:r w:rsidRPr="007D47AD">
          <w:rPr>
            <w:rStyle w:val="Hyperlink"/>
            <w:i/>
            <w:lang w:val="es-419"/>
          </w:rPr>
          <w:t>AMLO critica (otra vez) a la prensa que no apoya la "transformación".</w:t>
        </w:r>
      </w:hyperlink>
    </w:p>
  </w:footnote>
  <w:footnote w:id="486">
    <w:p w:rsidR="00385F1D" w:rsidRPr="007D47AD" w:rsidRDefault="00385F1D" w:rsidP="00C66025">
      <w:pPr>
        <w:pStyle w:val="FootnoteText"/>
        <w:spacing w:after="120"/>
        <w:rPr>
          <w:lang w:val="en-US"/>
        </w:rPr>
      </w:pPr>
      <w:r w:rsidRPr="007D47AD">
        <w:rPr>
          <w:rStyle w:val="FootnoteReference"/>
          <w:lang w:val="en-US"/>
        </w:rPr>
        <w:footnoteRef/>
      </w:r>
      <w:r w:rsidRPr="007D47AD">
        <w:rPr>
          <w:lang w:val="en-US"/>
        </w:rPr>
        <w:t xml:space="preserve"> Other examples noted in: Amnesty International, Mexico: When Words are Not Enough: The Human Rights Situation One Year into the New Government, November 2019, p. 16. </w:t>
      </w:r>
    </w:p>
  </w:footnote>
  <w:footnote w:id="487">
    <w:p w:rsidR="00385F1D" w:rsidRPr="007D47AD" w:rsidRDefault="00385F1D" w:rsidP="00C66025">
      <w:pPr>
        <w:pStyle w:val="FootnoteText"/>
        <w:spacing w:after="120"/>
        <w:rPr>
          <w:lang w:val="es-419"/>
        </w:rPr>
      </w:pPr>
      <w:r w:rsidRPr="007D47AD">
        <w:rPr>
          <w:rStyle w:val="FootnoteReference"/>
          <w:lang w:val="en-US"/>
        </w:rPr>
        <w:footnoteRef/>
      </w:r>
      <w:r w:rsidRPr="007D47AD">
        <w:rPr>
          <w:lang w:val="en-US"/>
        </w:rPr>
        <w:t xml:space="preserve"> Ministry of Foreign Affairs. Office of the Vice-Minister for Multilateral Matters and Human Rights. </w:t>
      </w:r>
      <w:r w:rsidRPr="007D47AD">
        <w:rPr>
          <w:lang w:val="es-419"/>
        </w:rPr>
        <w:t>General Bureau of Human Rights and Democracy. Informe sobre recomendaciones emitidas CIDH sobre la “Situación de los Derechos Humanos en México” derivado de su visita realizada a México del 28 de septiembre al 2 de octubre de 2015, p. 93, para. 67.</w:t>
      </w:r>
    </w:p>
  </w:footnote>
  <w:footnote w:id="488">
    <w:p w:rsidR="00385F1D" w:rsidRPr="007D47AD" w:rsidRDefault="00385F1D" w:rsidP="00C66025">
      <w:pPr>
        <w:pStyle w:val="FootnoteText"/>
        <w:spacing w:after="120"/>
        <w:rPr>
          <w:lang w:val="en-US"/>
        </w:rPr>
      </w:pPr>
      <w:r w:rsidRPr="007D47AD">
        <w:rPr>
          <w:rStyle w:val="FootnoteReference"/>
          <w:lang w:val="en-US"/>
        </w:rPr>
        <w:footnoteRef/>
      </w:r>
      <w:r w:rsidRPr="007D47AD">
        <w:rPr>
          <w:lang w:val="es-419"/>
        </w:rPr>
        <w:t xml:space="preserve"> FEADLE. </w:t>
      </w:r>
      <w:hyperlink r:id="rId272" w:history="1">
        <w:r w:rsidRPr="007D47AD">
          <w:rPr>
            <w:rStyle w:val="Hyperlink"/>
            <w:lang w:val="es-419"/>
          </w:rPr>
          <w:t>Indicadores de delitos contra la libertad de expresión con perspectiva de género</w:t>
        </w:r>
      </w:hyperlink>
      <w:r w:rsidRPr="007D47AD">
        <w:rPr>
          <w:lang w:val="es-419"/>
        </w:rPr>
        <w:t xml:space="preserve">. </w:t>
      </w:r>
      <w:r w:rsidRPr="007D47AD">
        <w:rPr>
          <w:lang w:val="en-US"/>
        </w:rPr>
        <w:t>September 2019.</w:t>
      </w:r>
    </w:p>
  </w:footnote>
  <w:footnote w:id="489">
    <w:p w:rsidR="00385F1D" w:rsidRPr="007D47AD" w:rsidRDefault="00385F1D" w:rsidP="00C66025">
      <w:pPr>
        <w:pStyle w:val="FootnoteText"/>
        <w:spacing w:after="120"/>
        <w:rPr>
          <w:lang w:val="es-419"/>
        </w:rPr>
      </w:pPr>
      <w:r w:rsidRPr="007D47AD">
        <w:rPr>
          <w:rStyle w:val="FootnoteReference"/>
          <w:lang w:val="en-US"/>
        </w:rPr>
        <w:footnoteRef/>
      </w:r>
      <w:r w:rsidRPr="007D47AD">
        <w:rPr>
          <w:lang w:val="en-US"/>
        </w:rPr>
        <w:t xml:space="preserve"> Ministry of Foreign Affairs. Office of the Vice-Minister for Multilateral Matters and Human Rights. </w:t>
      </w:r>
      <w:r w:rsidRPr="007D47AD">
        <w:rPr>
          <w:lang w:val="es-419"/>
        </w:rPr>
        <w:t>General Bureau of Human Rights and Democracy. Indicadores de Delitos contra la Libertad de Expresión, con perspectiva de Género.</w:t>
      </w:r>
    </w:p>
  </w:footnote>
  <w:footnote w:id="490">
    <w:p w:rsidR="00385F1D" w:rsidRPr="007D47AD" w:rsidRDefault="00385F1D" w:rsidP="00C66025">
      <w:pPr>
        <w:pStyle w:val="FootnoteText"/>
        <w:spacing w:after="120"/>
        <w:rPr>
          <w:lang w:val="es-419"/>
        </w:rPr>
      </w:pPr>
      <w:r w:rsidRPr="007D47AD">
        <w:rPr>
          <w:rStyle w:val="FootnoteReference"/>
          <w:lang w:val="en-US"/>
        </w:rPr>
        <w:footnoteRef/>
      </w:r>
      <w:r w:rsidRPr="007D47AD">
        <w:rPr>
          <w:lang w:val="es-419"/>
        </w:rPr>
        <w:t xml:space="preserve"> FEADLE. </w:t>
      </w:r>
      <w:hyperlink r:id="rId273" w:history="1">
        <w:r w:rsidRPr="007D47AD">
          <w:rPr>
            <w:rStyle w:val="Hyperlink"/>
            <w:lang w:val="es-419"/>
          </w:rPr>
          <w:t>Sistematización averiguaciones previas y carpetas de investigación en torno a las denuncias sobre delitos contra la libertad de expresión</w:t>
        </w:r>
      </w:hyperlink>
      <w:r w:rsidRPr="007D47AD">
        <w:rPr>
          <w:lang w:val="es-419"/>
        </w:rPr>
        <w:t>. September 2019.</w:t>
      </w:r>
    </w:p>
  </w:footnote>
  <w:footnote w:id="491">
    <w:p w:rsidR="00385F1D" w:rsidRPr="007D47AD" w:rsidRDefault="00385F1D" w:rsidP="00C66025">
      <w:pPr>
        <w:pStyle w:val="FootnoteText"/>
        <w:spacing w:after="120"/>
        <w:rPr>
          <w:lang w:val="en-US"/>
        </w:rPr>
      </w:pPr>
      <w:r w:rsidRPr="007D47AD">
        <w:rPr>
          <w:rStyle w:val="FootnoteReference"/>
          <w:lang w:val="en-US"/>
        </w:rPr>
        <w:footnoteRef/>
      </w:r>
      <w:r w:rsidRPr="007D47AD">
        <w:rPr>
          <w:lang w:val="es-419"/>
        </w:rPr>
        <w:t xml:space="preserve"> Article 19. Protocolo de la impunidad en delitos contra periodistas. Análisis de investigaciones sobre delitos contra la Libertad de Expresión. </w:t>
      </w:r>
      <w:r w:rsidRPr="007D47AD">
        <w:rPr>
          <w:lang w:val="en-US"/>
        </w:rPr>
        <w:t>Ch. 1, p. 18.</w:t>
      </w:r>
    </w:p>
  </w:footnote>
  <w:footnote w:id="492">
    <w:p w:rsidR="00385F1D" w:rsidRPr="007D47AD" w:rsidRDefault="00385F1D" w:rsidP="00C66025">
      <w:pPr>
        <w:pStyle w:val="FootnoteText"/>
        <w:spacing w:after="120"/>
        <w:rPr>
          <w:lang w:val="en-US"/>
        </w:rPr>
      </w:pPr>
      <w:r w:rsidRPr="007D47AD">
        <w:rPr>
          <w:rStyle w:val="FootnoteReference"/>
          <w:lang w:val="en-US"/>
        </w:rPr>
        <w:footnoteRef/>
      </w:r>
      <w:r w:rsidRPr="007D47AD">
        <w:rPr>
          <w:lang w:val="en-US"/>
        </w:rPr>
        <w:t xml:space="preserve"> IACHR. Office of the Special Rapporteur for Freedom of Expression. June 2018. </w:t>
      </w:r>
      <w:hyperlink r:id="rId274" w:history="1">
        <w:r w:rsidRPr="007D47AD">
          <w:rPr>
            <w:lang w:val="en-US"/>
          </w:rPr>
          <w:t>S</w:t>
        </w:r>
        <w:r w:rsidRPr="007D47AD">
          <w:rPr>
            <w:rStyle w:val="Hyperlink"/>
            <w:i/>
            <w:lang w:val="en-US"/>
          </w:rPr>
          <w:t>pecial Report on the Situation of Freedom of Expression in Mexico.</w:t>
        </w:r>
      </w:hyperlink>
      <w:r w:rsidRPr="007D47AD">
        <w:rPr>
          <w:lang w:val="en-US"/>
        </w:rPr>
        <w:t xml:space="preserve"> Ch. IV, paras. 33, 34, 35. </w:t>
      </w:r>
    </w:p>
  </w:footnote>
  <w:footnote w:id="493">
    <w:p w:rsidR="00385F1D" w:rsidRPr="007D47AD" w:rsidRDefault="00385F1D" w:rsidP="00C66025">
      <w:pPr>
        <w:pStyle w:val="FootnoteText"/>
        <w:spacing w:after="120"/>
        <w:rPr>
          <w:lang w:val="es-US"/>
        </w:rPr>
      </w:pPr>
      <w:r w:rsidRPr="007D47AD">
        <w:rPr>
          <w:rStyle w:val="FootnoteReference"/>
          <w:rFonts w:asciiTheme="minorHAnsi" w:hAnsiTheme="minorHAnsi"/>
          <w:lang w:val="en-US"/>
        </w:rPr>
        <w:footnoteRef/>
      </w:r>
      <w:r w:rsidRPr="007D47AD">
        <w:rPr>
          <w:lang w:val="en-US"/>
        </w:rPr>
        <w:t xml:space="preserve"> Observations and comments by the State, January 13, 2020, paras. </w:t>
      </w:r>
      <w:r w:rsidRPr="007D47AD">
        <w:rPr>
          <w:lang w:val="es-US"/>
        </w:rPr>
        <w:t>124-128.</w:t>
      </w:r>
    </w:p>
  </w:footnote>
  <w:footnote w:id="494">
    <w:p w:rsidR="00385F1D" w:rsidRPr="007D47AD" w:rsidRDefault="00385F1D" w:rsidP="00C66025">
      <w:pPr>
        <w:pStyle w:val="FootnoteText"/>
        <w:spacing w:after="120"/>
        <w:rPr>
          <w:lang w:val="es-419"/>
        </w:rPr>
      </w:pPr>
      <w:r w:rsidRPr="007D47AD">
        <w:rPr>
          <w:rStyle w:val="FootnoteReference"/>
          <w:lang w:val="en-US"/>
        </w:rPr>
        <w:footnoteRef/>
      </w:r>
      <w:r w:rsidRPr="007D47AD">
        <w:rPr>
          <w:lang w:val="es-US"/>
        </w:rPr>
        <w:t xml:space="preserve"> Propuesta Cívica. </w:t>
      </w:r>
      <w:r w:rsidRPr="007D47AD">
        <w:rPr>
          <w:lang w:val="es-419"/>
        </w:rPr>
        <w:t xml:space="preserve">Frente al riesgo y al caos. Análisis del marco normativo de protección para personas defensores y periodistas en México. June 2019. OHCHR Mexico. Diagnóstico sobre el funcionamiento del mecanismo. July 2019. Article 19. Protocolo de la impunidad en delitos contra periodistas. Análisis de investigaciones sobre delitos contra la Libertad de Expresión. CPJ. </w:t>
      </w:r>
      <w:hyperlink r:id="rId275" w:history="1">
        <w:r w:rsidRPr="007D47AD">
          <w:rPr>
            <w:rStyle w:val="Hyperlink"/>
            <w:i/>
            <w:lang w:val="es-419"/>
          </w:rPr>
          <w:t>Cumbre sobre libertad de expresión México</w:t>
        </w:r>
      </w:hyperlink>
      <w:r w:rsidRPr="007D47AD">
        <w:rPr>
          <w:i/>
          <w:lang w:val="es-419"/>
        </w:rPr>
        <w:t xml:space="preserve">. </w:t>
      </w:r>
      <w:r w:rsidRPr="007D47AD">
        <w:rPr>
          <w:lang w:val="es-419"/>
        </w:rPr>
        <w:t xml:space="preserve">June 18, 2019. RSF. </w:t>
      </w:r>
      <w:hyperlink r:id="rId276" w:history="1">
        <w:r w:rsidRPr="007D47AD">
          <w:rPr>
            <w:rStyle w:val="Hyperlink"/>
            <w:i/>
            <w:lang w:val="es-419"/>
          </w:rPr>
          <w:t>México se moviliza para luchar contra la impunidad de los crímenes cometidos contra periodistas.</w:t>
        </w:r>
      </w:hyperlink>
      <w:r w:rsidRPr="007D47AD">
        <w:rPr>
          <w:lang w:val="es-419"/>
        </w:rPr>
        <w:t xml:space="preserve"> March 12, 2019. </w:t>
      </w:r>
    </w:p>
  </w:footnote>
  <w:footnote w:id="495">
    <w:p w:rsidR="00385F1D" w:rsidRPr="007D47AD" w:rsidRDefault="00385F1D" w:rsidP="00C66025">
      <w:pPr>
        <w:pStyle w:val="FootnoteText"/>
        <w:spacing w:after="120"/>
        <w:rPr>
          <w:lang w:val="es-419"/>
        </w:rPr>
      </w:pPr>
      <w:r w:rsidRPr="007D47AD">
        <w:rPr>
          <w:rStyle w:val="FootnoteReference"/>
          <w:lang w:val="en-US"/>
        </w:rPr>
        <w:footnoteRef/>
      </w:r>
      <w:r w:rsidRPr="007D47AD">
        <w:rPr>
          <w:lang w:val="es-419"/>
        </w:rPr>
        <w:t xml:space="preserve"> Comisión Nacional de los Derechos Humanos de México (CNDH). Actualización correspondiente al año 2019 de la aportación de la CNDH en el marco de la revisión del cumplimiento de recomendaciones contenidas en el </w:t>
      </w:r>
      <w:r w:rsidRPr="007D47AD">
        <w:rPr>
          <w:i/>
          <w:lang w:val="es-419"/>
        </w:rPr>
        <w:t xml:space="preserve">“Informe sobre situación de los Derechos Humanos en México”, </w:t>
      </w:r>
      <w:r w:rsidRPr="007D47AD">
        <w:rPr>
          <w:lang w:val="es-419"/>
        </w:rPr>
        <w:t xml:space="preserve">publicado por la CIDH en 2015. </w:t>
      </w:r>
    </w:p>
  </w:footnote>
  <w:footnote w:id="496">
    <w:p w:rsidR="00385F1D" w:rsidRPr="007D47AD" w:rsidRDefault="00385F1D" w:rsidP="00C66025">
      <w:pPr>
        <w:pStyle w:val="FootnoteText"/>
        <w:spacing w:after="120"/>
        <w:rPr>
          <w:lang w:val="es-419"/>
        </w:rPr>
      </w:pPr>
      <w:r w:rsidRPr="007D47AD">
        <w:rPr>
          <w:rStyle w:val="FootnoteReference"/>
          <w:lang w:val="en-US"/>
        </w:rPr>
        <w:footnoteRef/>
      </w:r>
      <w:r w:rsidRPr="007D47AD">
        <w:rPr>
          <w:lang w:val="en-US"/>
        </w:rPr>
        <w:t xml:space="preserve"> IACHR. Office of the Special Rapporteur for Freedom of Expression. </w:t>
      </w:r>
      <w:hyperlink r:id="rId277" w:history="1">
        <w:r w:rsidRPr="007D47AD">
          <w:rPr>
            <w:rStyle w:val="Hyperlink"/>
            <w:i/>
            <w:lang w:val="es-419"/>
          </w:rPr>
          <w:t>Press Releases Mexico 2019.</w:t>
        </w:r>
      </w:hyperlink>
    </w:p>
  </w:footnote>
  <w:footnote w:id="497">
    <w:p w:rsidR="00385F1D" w:rsidRPr="007D47AD" w:rsidRDefault="00385F1D" w:rsidP="00C66025">
      <w:pPr>
        <w:pStyle w:val="FootnoteText"/>
        <w:spacing w:after="120"/>
        <w:rPr>
          <w:lang w:val="es-419"/>
        </w:rPr>
      </w:pPr>
      <w:r w:rsidRPr="007D47AD">
        <w:rPr>
          <w:rStyle w:val="FootnoteReference"/>
          <w:lang w:val="en-US"/>
        </w:rPr>
        <w:footnoteRef/>
      </w:r>
      <w:r w:rsidRPr="007D47AD">
        <w:rPr>
          <w:lang w:val="es-419"/>
        </w:rPr>
        <w:t xml:space="preserve"> Comisión Nacional de los Derechos Humanos de México (CNDH). Actualización correspondiente al año 2019 de la aportación de la CNDH en el marco de la revisión del cumplimiento de recomendaciones contenidas en el “Informe sobre situación de los Derechos Humanos en México”, publicado por la CIDH en 2015. </w:t>
      </w:r>
      <w:r w:rsidRPr="007D47AD">
        <w:rPr>
          <w:lang w:val="en-US"/>
        </w:rPr>
        <w:t xml:space="preserve">Ch. II.  Office in Mexico of the United Nations High Commissioner for Human Rights. </w:t>
      </w:r>
      <w:r w:rsidRPr="007D47AD">
        <w:rPr>
          <w:lang w:val="es-419"/>
        </w:rPr>
        <w:t xml:space="preserve">July 2019. </w:t>
      </w:r>
      <w:hyperlink r:id="rId278" w:history="1">
        <w:r w:rsidRPr="007D47AD">
          <w:rPr>
            <w:rStyle w:val="Hyperlink"/>
            <w:i/>
            <w:lang w:val="es-419"/>
          </w:rPr>
          <w:t>Diagnóstico sobre el funcionamiento del Mecanismo.</w:t>
        </w:r>
      </w:hyperlink>
    </w:p>
  </w:footnote>
  <w:footnote w:id="498">
    <w:p w:rsidR="00385F1D" w:rsidRPr="007D47AD" w:rsidRDefault="00385F1D" w:rsidP="00C66025">
      <w:pPr>
        <w:pStyle w:val="FootnoteText"/>
        <w:spacing w:after="120"/>
        <w:rPr>
          <w:lang w:val="es-419"/>
        </w:rPr>
      </w:pPr>
      <w:r w:rsidRPr="007D47AD">
        <w:rPr>
          <w:rStyle w:val="FootnoteReference"/>
          <w:lang w:val="en-US"/>
        </w:rPr>
        <w:footnoteRef/>
      </w:r>
      <w:r w:rsidRPr="007D47AD">
        <w:rPr>
          <w:lang w:val="es-419"/>
        </w:rPr>
        <w:t xml:space="preserve"> Comisión Nacional de los Derechos Humanos de México (CNDH). Actualización correspondiente al año 2019 de la aportación de la CNDH en el marco de la revisión del cumplimiento de recomendaciones contenidas en el “Informe sobre situación de los Derechos Humanos en México”, publicado por la CIDH en 2015. </w:t>
      </w:r>
      <w:r w:rsidRPr="007D47AD">
        <w:rPr>
          <w:lang w:val="en-US"/>
        </w:rPr>
        <w:t xml:space="preserve">Chapters II. III. IV.  Office in Mexico of the United Nations High Commissioner for Human Rights. </w:t>
      </w:r>
      <w:r w:rsidRPr="007D47AD">
        <w:rPr>
          <w:lang w:val="es-419"/>
        </w:rPr>
        <w:t xml:space="preserve">July 2019. </w:t>
      </w:r>
      <w:hyperlink r:id="rId279" w:history="1">
        <w:r w:rsidRPr="007D47AD">
          <w:rPr>
            <w:rStyle w:val="Hyperlink"/>
            <w:i/>
            <w:lang w:val="es-419"/>
          </w:rPr>
          <w:t>Diagnóstico sobre el funcionamiento del Mecanismo.</w:t>
        </w:r>
      </w:hyperlink>
    </w:p>
  </w:footnote>
  <w:footnote w:id="499">
    <w:p w:rsidR="00385F1D" w:rsidRPr="007D47AD" w:rsidRDefault="00385F1D" w:rsidP="00C66025">
      <w:pPr>
        <w:pStyle w:val="FootnoteText"/>
        <w:spacing w:after="120"/>
        <w:rPr>
          <w:lang w:val="es-419"/>
        </w:rPr>
      </w:pPr>
      <w:r w:rsidRPr="007D47AD">
        <w:rPr>
          <w:rStyle w:val="FootnoteReference"/>
          <w:lang w:val="en-US"/>
        </w:rPr>
        <w:footnoteRef/>
      </w:r>
      <w:r w:rsidRPr="007D47AD">
        <w:rPr>
          <w:lang w:val="es-419"/>
        </w:rPr>
        <w:t xml:space="preserve"> Debate. February 25, 2019. </w:t>
      </w:r>
      <w:hyperlink r:id="rId280" w:history="1">
        <w:r w:rsidRPr="007D47AD">
          <w:rPr>
            <w:rStyle w:val="Hyperlink"/>
            <w:i/>
            <w:lang w:val="es-419"/>
          </w:rPr>
          <w:t>Impunes el 99.13 por ciento de delitos contra la prensa.</w:t>
        </w:r>
      </w:hyperlink>
    </w:p>
  </w:footnote>
  <w:footnote w:id="500">
    <w:p w:rsidR="00385F1D" w:rsidRPr="007D47AD" w:rsidRDefault="00385F1D" w:rsidP="00C66025">
      <w:pPr>
        <w:pStyle w:val="FootnoteText"/>
        <w:spacing w:after="120"/>
        <w:rPr>
          <w:lang w:val="en-US"/>
        </w:rPr>
      </w:pPr>
      <w:r w:rsidRPr="007D47AD">
        <w:rPr>
          <w:rStyle w:val="FootnoteReference"/>
          <w:lang w:val="en-US"/>
        </w:rPr>
        <w:footnoteRef/>
      </w:r>
      <w:r w:rsidRPr="007D47AD">
        <w:rPr>
          <w:lang w:val="en-US"/>
        </w:rPr>
        <w:t xml:space="preserve"> Office of the Attorney General of the Republic of Mexico. Office of the Deputy Attorney General for Human Rights, Crime Prevention, and Community Services. </w:t>
      </w:r>
      <w:r w:rsidRPr="007D47AD">
        <w:rPr>
          <w:lang w:val="es-419"/>
        </w:rPr>
        <w:t xml:space="preserve">October 25, 2019.  </w:t>
      </w:r>
      <w:hyperlink r:id="rId281" w:history="1">
        <w:r w:rsidRPr="007D47AD">
          <w:rPr>
            <w:rStyle w:val="Hyperlink"/>
            <w:i/>
            <w:lang w:val="es-419"/>
          </w:rPr>
          <w:t>Informe estadístico de la Fiscalía Especial de para la Atención a Delitos cometidos contra la Libertad de Expresión</w:t>
        </w:r>
      </w:hyperlink>
      <w:r w:rsidRPr="007D47AD">
        <w:rPr>
          <w:i/>
          <w:lang w:val="es-419"/>
        </w:rPr>
        <w:t>.</w:t>
      </w:r>
      <w:r w:rsidRPr="007D47AD">
        <w:rPr>
          <w:lang w:val="es-419"/>
        </w:rPr>
        <w:t xml:space="preserve"> </w:t>
      </w:r>
      <w:r w:rsidRPr="007D47AD">
        <w:rPr>
          <w:lang w:val="en-US"/>
        </w:rPr>
        <w:t>Mexico City: FEADLE.</w:t>
      </w:r>
    </w:p>
  </w:footnote>
  <w:footnote w:id="501">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n-US"/>
        </w:rPr>
        <w:t xml:space="preserve"> Observations and comments by the State, January 13, 2020, paras. </w:t>
      </w:r>
      <w:r w:rsidRPr="007D47AD">
        <w:rPr>
          <w:lang w:val="es-419"/>
        </w:rPr>
        <w:t>129-132.</w:t>
      </w:r>
    </w:p>
  </w:footnote>
  <w:footnote w:id="502">
    <w:p w:rsidR="00385F1D" w:rsidRPr="007D47AD" w:rsidRDefault="00385F1D" w:rsidP="00C66025">
      <w:pPr>
        <w:pStyle w:val="FootnoteText"/>
        <w:spacing w:after="120"/>
        <w:rPr>
          <w:lang w:val="es-419"/>
        </w:rPr>
      </w:pPr>
      <w:r w:rsidRPr="007D47AD">
        <w:rPr>
          <w:rStyle w:val="FootnoteReference"/>
          <w:lang w:val="en-US"/>
        </w:rPr>
        <w:footnoteRef/>
      </w:r>
      <w:r w:rsidRPr="007D47AD">
        <w:rPr>
          <w:lang w:val="es-419"/>
        </w:rPr>
        <w:t xml:space="preserve"> Sexto Informe del Estado mexicano sobre el cumplimiento y seguimiento de las recomendaciones contenidas en el informe “Situación de los Derechos Humanos en México,” p. 90.</w:t>
      </w:r>
    </w:p>
  </w:footnote>
  <w:footnote w:id="503">
    <w:p w:rsidR="00385F1D" w:rsidRPr="007D47AD" w:rsidRDefault="00385F1D" w:rsidP="00C66025">
      <w:pPr>
        <w:pStyle w:val="FootnoteText"/>
        <w:spacing w:after="120"/>
        <w:rPr>
          <w:lang w:val="es-419"/>
        </w:rPr>
      </w:pPr>
      <w:r w:rsidRPr="007D47AD">
        <w:rPr>
          <w:rStyle w:val="FootnoteReference"/>
          <w:lang w:val="en-US"/>
        </w:rPr>
        <w:footnoteRef/>
      </w:r>
      <w:r w:rsidRPr="007D47AD">
        <w:rPr>
          <w:lang w:val="es-419"/>
        </w:rPr>
        <w:t xml:space="preserve"> Article 19. Protocolo de la impunidad en delitos contra periodistas. Análisis de investigaciones sobre delitos contra la Libertad de Expresión. Ch. 1, p. 17.</w:t>
      </w:r>
    </w:p>
  </w:footnote>
  <w:footnote w:id="504">
    <w:p w:rsidR="00385F1D" w:rsidRPr="007D47AD" w:rsidRDefault="00385F1D" w:rsidP="00C66025">
      <w:pPr>
        <w:pStyle w:val="FootnoteText"/>
        <w:spacing w:after="120"/>
        <w:rPr>
          <w:lang w:val="es-419"/>
        </w:rPr>
      </w:pPr>
      <w:r w:rsidRPr="007D47AD">
        <w:rPr>
          <w:rStyle w:val="FootnoteReference"/>
          <w:lang w:val="en-US"/>
        </w:rPr>
        <w:footnoteRef/>
      </w:r>
      <w:r w:rsidRPr="007D47AD">
        <w:rPr>
          <w:lang w:val="es-419"/>
        </w:rPr>
        <w:t xml:space="preserve"> Sexto Informe del Estado mexicano sobre el cumplimiento y seguimiento de las recomendaciones contenidas en el informe “Situación de los Derechos Humanos en México,” p. 91. </w:t>
      </w:r>
    </w:p>
  </w:footnote>
  <w:footnote w:id="505">
    <w:p w:rsidR="00385F1D" w:rsidRPr="007D47AD" w:rsidRDefault="00385F1D" w:rsidP="00C66025">
      <w:pPr>
        <w:pStyle w:val="FootnoteText"/>
        <w:spacing w:after="120"/>
        <w:rPr>
          <w:lang w:val="es-419"/>
        </w:rPr>
      </w:pPr>
      <w:r w:rsidRPr="007D47AD">
        <w:rPr>
          <w:rStyle w:val="FootnoteReference"/>
          <w:lang w:val="en-US"/>
        </w:rPr>
        <w:footnoteRef/>
      </w:r>
      <w:r w:rsidRPr="007D47AD">
        <w:rPr>
          <w:lang w:val="es-419"/>
        </w:rPr>
        <w:t xml:space="preserve"> Sexto Informe del Estado mexicano sobre el cumplimiento y seguimiento de las recomendaciones contenidas en el informe “Situación de los Derechos Humanos en México,” p. 91.</w:t>
      </w:r>
    </w:p>
  </w:footnote>
  <w:footnote w:id="506">
    <w:p w:rsidR="00385F1D" w:rsidRPr="007D47AD" w:rsidRDefault="00385F1D" w:rsidP="00C66025">
      <w:pPr>
        <w:pStyle w:val="FootnoteText"/>
        <w:spacing w:after="120"/>
        <w:rPr>
          <w:lang w:val="en-US"/>
        </w:rPr>
      </w:pPr>
      <w:r w:rsidRPr="007D47AD">
        <w:rPr>
          <w:rStyle w:val="FootnoteReference"/>
          <w:lang w:val="en-US"/>
        </w:rPr>
        <w:footnoteRef/>
      </w:r>
      <w:r w:rsidRPr="007D47AD">
        <w:rPr>
          <w:lang w:val="en-US"/>
        </w:rPr>
        <w:t xml:space="preserve"> Office of the Attorney General of the Republic of Mexico, Office of the Deputy Attorney General for Human Rights, Crime Prevention, and Community Services. </w:t>
      </w:r>
      <w:hyperlink r:id="rId282" w:history="1">
        <w:r w:rsidRPr="007D47AD">
          <w:rPr>
            <w:rStyle w:val="Hyperlink"/>
            <w:lang w:val="es-419"/>
          </w:rPr>
          <w:t>Informe estadístico de la Fiscalía Especial de para la Atención a Delitos cometidos contra la Libertad de Expresión</w:t>
        </w:r>
      </w:hyperlink>
      <w:r w:rsidRPr="007D47AD">
        <w:rPr>
          <w:lang w:val="es-419"/>
        </w:rPr>
        <w:t xml:space="preserve">. </w:t>
      </w:r>
      <w:r w:rsidRPr="007D47AD">
        <w:rPr>
          <w:lang w:val="en-US"/>
        </w:rPr>
        <w:t>Mexico City: FEADLE, p. 7.</w:t>
      </w:r>
    </w:p>
  </w:footnote>
  <w:footnote w:id="507">
    <w:p w:rsidR="00385F1D" w:rsidRPr="007D47AD" w:rsidRDefault="00385F1D" w:rsidP="00C66025">
      <w:pPr>
        <w:pStyle w:val="NoSpacing"/>
        <w:spacing w:after="120"/>
        <w:ind w:firstLine="720"/>
        <w:rPr>
          <w:rFonts w:asciiTheme="minorHAnsi" w:hAnsiTheme="minorHAnsi"/>
          <w:sz w:val="16"/>
          <w:szCs w:val="16"/>
          <w:lang w:val="es-419"/>
        </w:rPr>
      </w:pPr>
      <w:r w:rsidRPr="007D47AD">
        <w:rPr>
          <w:rStyle w:val="FootnoteReference"/>
          <w:rFonts w:asciiTheme="minorHAnsi" w:hAnsiTheme="minorHAnsi"/>
          <w:sz w:val="16"/>
          <w:szCs w:val="16"/>
        </w:rPr>
        <w:footnoteRef/>
      </w:r>
      <w:r w:rsidRPr="007D47AD">
        <w:rPr>
          <w:rFonts w:asciiTheme="minorHAnsi" w:hAnsiTheme="minorHAnsi"/>
          <w:sz w:val="16"/>
          <w:szCs w:val="16"/>
          <w:vertAlign w:val="superscript"/>
        </w:rPr>
        <w:t xml:space="preserve"> </w:t>
      </w:r>
      <w:r w:rsidRPr="007D47AD">
        <w:rPr>
          <w:rFonts w:asciiTheme="minorHAnsi" w:hAnsiTheme="minorHAnsi"/>
          <w:sz w:val="16"/>
          <w:szCs w:val="16"/>
        </w:rPr>
        <w:t xml:space="preserve">IACHR. </w:t>
      </w:r>
      <w:hyperlink r:id="rId283" w:history="1">
        <w:r w:rsidRPr="007D47AD">
          <w:rPr>
            <w:rStyle w:val="Hyperlink"/>
            <w:rFonts w:asciiTheme="minorHAnsi" w:hAnsiTheme="minorHAnsi"/>
            <w:sz w:val="16"/>
            <w:szCs w:val="16"/>
          </w:rPr>
          <w:t>Situation of Human Rights in Mexico</w:t>
        </w:r>
      </w:hyperlink>
      <w:r w:rsidRPr="007D47AD">
        <w:rPr>
          <w:rFonts w:asciiTheme="minorHAnsi" w:hAnsiTheme="minorHAnsi"/>
          <w:sz w:val="16"/>
          <w:szCs w:val="16"/>
        </w:rPr>
        <w:t xml:space="preserve">. </w:t>
      </w:r>
      <w:r w:rsidRPr="007D47AD">
        <w:rPr>
          <w:rFonts w:asciiTheme="minorHAnsi" w:hAnsiTheme="minorHAnsi"/>
          <w:sz w:val="16"/>
          <w:szCs w:val="16"/>
          <w:lang w:val="es-419"/>
        </w:rPr>
        <w:t>OEA/Ser.L/V/II. Doc. 44/15. December 31, 2015, paras. 499 to 505.</w:t>
      </w:r>
    </w:p>
  </w:footnote>
  <w:footnote w:id="508">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Sexto Informe del Estado mexicano sobre el cumplimiento y seguimiento de las recomendaciones contenidas en el informe “Situación de los Derechos Humanos en México,” p. 93. </w:t>
      </w:r>
    </w:p>
  </w:footnote>
  <w:footnote w:id="509">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n-US"/>
        </w:rPr>
        <w:t xml:space="preserve"> Observations and comments by the State, January 13, 2020, para. </w:t>
      </w:r>
      <w:r w:rsidRPr="007D47AD">
        <w:rPr>
          <w:lang w:val="es-419"/>
        </w:rPr>
        <w:t>133.</w:t>
      </w:r>
    </w:p>
  </w:footnote>
  <w:footnote w:id="510">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Sexto Informe del Estado mexicano sobre el cumplimiento y seguimiento de las recomendaciones contenidas en el informe “Situación de los Derechos Humanos en México,” p. 93.  </w:t>
      </w:r>
    </w:p>
  </w:footnote>
  <w:footnote w:id="511">
    <w:p w:rsidR="00385F1D" w:rsidRPr="007D47AD" w:rsidRDefault="00385F1D" w:rsidP="00C66025">
      <w:pPr>
        <w:pStyle w:val="NoSpacing"/>
        <w:spacing w:after="120"/>
        <w:ind w:firstLine="720"/>
        <w:rPr>
          <w:rFonts w:asciiTheme="minorHAnsi" w:hAnsiTheme="minorHAnsi"/>
          <w:sz w:val="16"/>
          <w:szCs w:val="16"/>
        </w:rPr>
      </w:pPr>
      <w:r w:rsidRPr="007D47AD">
        <w:rPr>
          <w:rStyle w:val="FootnoteReference"/>
          <w:rFonts w:asciiTheme="minorHAnsi" w:hAnsiTheme="minorHAnsi"/>
          <w:sz w:val="16"/>
          <w:szCs w:val="16"/>
        </w:rPr>
        <w:footnoteRef/>
      </w:r>
      <w:r w:rsidRPr="007D47AD">
        <w:rPr>
          <w:rFonts w:asciiTheme="minorHAnsi" w:hAnsiTheme="minorHAnsi"/>
          <w:sz w:val="16"/>
          <w:szCs w:val="16"/>
        </w:rPr>
        <w:t xml:space="preserve"> Mexico. Chamber of Deputies. </w:t>
      </w:r>
      <w:hyperlink r:id="rId284" w:history="1">
        <w:r w:rsidRPr="007D47AD">
          <w:rPr>
            <w:rStyle w:val="Hyperlink"/>
            <w:rFonts w:asciiTheme="minorHAnsi" w:hAnsiTheme="minorHAnsi"/>
            <w:sz w:val="16"/>
            <w:szCs w:val="16"/>
          </w:rPr>
          <w:t>General Law on Archives</w:t>
        </w:r>
      </w:hyperlink>
      <w:r w:rsidRPr="007D47AD">
        <w:rPr>
          <w:rFonts w:asciiTheme="minorHAnsi" w:hAnsiTheme="minorHAnsi"/>
          <w:sz w:val="16"/>
          <w:szCs w:val="16"/>
        </w:rPr>
        <w:t>, June 15, 2018.</w:t>
      </w:r>
    </w:p>
  </w:footnote>
  <w:footnote w:id="512">
    <w:p w:rsidR="00385F1D" w:rsidRPr="007D47AD" w:rsidRDefault="00385F1D" w:rsidP="00C66025">
      <w:pPr>
        <w:pStyle w:val="NoSpacing"/>
        <w:spacing w:after="120"/>
        <w:ind w:firstLine="720"/>
        <w:rPr>
          <w:rFonts w:asciiTheme="minorHAnsi" w:hAnsiTheme="minorHAnsi"/>
          <w:sz w:val="16"/>
          <w:szCs w:val="16"/>
        </w:rPr>
      </w:pPr>
      <w:r w:rsidRPr="007D47AD">
        <w:rPr>
          <w:rStyle w:val="FootnoteReference"/>
          <w:rFonts w:asciiTheme="minorHAnsi" w:hAnsiTheme="minorHAnsi"/>
          <w:sz w:val="16"/>
          <w:szCs w:val="16"/>
        </w:rPr>
        <w:footnoteRef/>
      </w:r>
      <w:r w:rsidRPr="007D47AD">
        <w:rPr>
          <w:rFonts w:asciiTheme="minorHAnsi" w:hAnsiTheme="minorHAnsi"/>
          <w:sz w:val="16"/>
          <w:szCs w:val="16"/>
        </w:rPr>
        <w:t xml:space="preserve"> Office of the Special Rapporteur for Freedom of Expression of the IACHR / Office of the United Nations Special Rapporteur on the promotion and protection of the right to freedom of opinion. </w:t>
      </w:r>
      <w:hyperlink r:id="rId285" w:history="1">
        <w:r w:rsidRPr="007D47AD">
          <w:rPr>
            <w:rStyle w:val="Hyperlink"/>
            <w:rFonts w:asciiTheme="minorHAnsi" w:hAnsiTheme="minorHAnsi"/>
            <w:sz w:val="16"/>
            <w:szCs w:val="16"/>
          </w:rPr>
          <w:t>Special Report on the Situation of Freedom of Expression in Mexico.</w:t>
        </w:r>
      </w:hyperlink>
      <w:r w:rsidRPr="007D47AD">
        <w:rPr>
          <w:rStyle w:val="Hyperlink"/>
          <w:rFonts w:asciiTheme="minorHAnsi" w:hAnsiTheme="minorHAnsi"/>
          <w:sz w:val="16"/>
          <w:szCs w:val="16"/>
        </w:rPr>
        <w:t xml:space="preserve"> June 2018</w:t>
      </w:r>
      <w:r w:rsidRPr="007D47AD">
        <w:rPr>
          <w:rFonts w:asciiTheme="minorHAnsi" w:hAnsiTheme="minorHAnsi"/>
          <w:sz w:val="16"/>
          <w:szCs w:val="16"/>
        </w:rPr>
        <w:t>, para. 58.</w:t>
      </w:r>
    </w:p>
  </w:footnote>
  <w:footnote w:id="513">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n-US"/>
        </w:rPr>
        <w:t xml:space="preserve"> Observations and comments by the State, January 13, 2020, paras. </w:t>
      </w:r>
      <w:r w:rsidRPr="007D47AD">
        <w:rPr>
          <w:lang w:val="es-419"/>
        </w:rPr>
        <w:t>134 and 135.</w:t>
      </w:r>
    </w:p>
  </w:footnote>
  <w:footnote w:id="514">
    <w:p w:rsidR="00385F1D" w:rsidRPr="007D47AD" w:rsidRDefault="00385F1D" w:rsidP="00C66025">
      <w:pPr>
        <w:spacing w:after="120" w:line="240" w:lineRule="auto"/>
        <w:rPr>
          <w:rFonts w:asciiTheme="minorHAnsi" w:hAnsiTheme="minorHAnsi"/>
          <w:sz w:val="16"/>
          <w:szCs w:val="16"/>
          <w:lang w:val="es-419"/>
        </w:rPr>
      </w:pPr>
    </w:p>
  </w:footnote>
  <w:footnote w:id="515">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Sexto Informe del Estado mexicano sobre el cumplimiento y seguimiento de las recomendaciones contenidas en el informe “Situación de los Derechos Humanos en México,” p. 93.</w:t>
      </w:r>
    </w:p>
  </w:footnote>
  <w:footnote w:id="516">
    <w:p w:rsidR="00385F1D" w:rsidRPr="007D47AD" w:rsidRDefault="00385F1D" w:rsidP="00C66025">
      <w:pPr>
        <w:spacing w:after="120" w:line="240" w:lineRule="auto"/>
        <w:ind w:firstLine="720"/>
        <w:jc w:val="both"/>
        <w:rPr>
          <w:rFonts w:asciiTheme="minorHAnsi" w:hAnsiTheme="minorHAnsi" w:cs="Tahoma"/>
          <w:sz w:val="16"/>
          <w:szCs w:val="16"/>
          <w:lang w:val="en-US"/>
        </w:rPr>
      </w:pPr>
      <w:r w:rsidRPr="007D47AD">
        <w:rPr>
          <w:rStyle w:val="FootnoteReference"/>
          <w:rFonts w:asciiTheme="minorHAnsi" w:hAnsiTheme="minorHAnsi"/>
          <w:sz w:val="16"/>
          <w:szCs w:val="16"/>
          <w:lang w:val="en-US"/>
        </w:rPr>
        <w:footnoteRef/>
      </w:r>
      <w:r w:rsidRPr="007D47AD">
        <w:rPr>
          <w:rFonts w:asciiTheme="minorHAnsi" w:hAnsiTheme="minorHAnsi"/>
          <w:sz w:val="16"/>
          <w:szCs w:val="16"/>
          <w:lang w:val="en-US"/>
        </w:rPr>
        <w:t xml:space="preserve"> </w:t>
      </w:r>
      <w:r w:rsidRPr="007D47AD">
        <w:rPr>
          <w:rFonts w:asciiTheme="minorHAnsi" w:hAnsiTheme="minorHAnsi" w:cs="Tahoma"/>
          <w:sz w:val="16"/>
          <w:szCs w:val="16"/>
          <w:lang w:val="en-US"/>
        </w:rPr>
        <w:t>IACHR, Resolution 82/2018, Precautionary Measure No.</w:t>
      </w:r>
      <w:r w:rsidRPr="007D47AD">
        <w:rPr>
          <w:rFonts w:asciiTheme="minorHAnsi" w:hAnsiTheme="minorHAnsi"/>
          <w:sz w:val="16"/>
          <w:szCs w:val="16"/>
          <w:lang w:val="en-US"/>
        </w:rPr>
        <w:t xml:space="preserve"> </w:t>
      </w:r>
      <w:r w:rsidRPr="007D47AD">
        <w:rPr>
          <w:rFonts w:asciiTheme="minorHAnsi" w:hAnsiTheme="minorHAnsi" w:cs="Tahoma"/>
          <w:sz w:val="16"/>
          <w:szCs w:val="16"/>
          <w:lang w:val="en-US"/>
        </w:rPr>
        <w:t>1165/18, Matter of Sergio López Cantera with respect to Mexico, October 18, 2018</w:t>
      </w:r>
      <w:r w:rsidRPr="007D47AD">
        <w:rPr>
          <w:rFonts w:asciiTheme="minorHAnsi" w:hAnsiTheme="minorHAnsi"/>
          <w:sz w:val="16"/>
          <w:szCs w:val="16"/>
          <w:lang w:val="en-US"/>
        </w:rPr>
        <w:t xml:space="preserve">; </w:t>
      </w:r>
      <w:r w:rsidRPr="007D47AD">
        <w:rPr>
          <w:rFonts w:asciiTheme="minorHAnsi" w:hAnsiTheme="minorHAnsi" w:cs="Tahoma"/>
          <w:sz w:val="16"/>
          <w:szCs w:val="16"/>
          <w:lang w:val="en-US"/>
        </w:rPr>
        <w:t>IACHR, Resolution 27/2018, Precautionary Measure No.</w:t>
      </w:r>
      <w:r w:rsidRPr="007D47AD">
        <w:rPr>
          <w:rFonts w:asciiTheme="minorHAnsi" w:hAnsiTheme="minorHAnsi"/>
          <w:sz w:val="16"/>
          <w:szCs w:val="16"/>
          <w:lang w:val="en-US"/>
        </w:rPr>
        <w:t xml:space="preserve"> </w:t>
      </w:r>
      <w:r w:rsidRPr="007D47AD">
        <w:rPr>
          <w:rFonts w:asciiTheme="minorHAnsi" w:hAnsiTheme="minorHAnsi" w:cs="Tahoma"/>
          <w:sz w:val="16"/>
          <w:szCs w:val="16"/>
          <w:lang w:val="en-US"/>
        </w:rPr>
        <w:t>1014/17, Matter of indigenous girl U.V.O. and family with respect to Mexico, May 5, 2018</w:t>
      </w:r>
      <w:r w:rsidRPr="007D47AD">
        <w:rPr>
          <w:rFonts w:asciiTheme="minorHAnsi" w:hAnsiTheme="minorHAnsi"/>
          <w:sz w:val="16"/>
          <w:szCs w:val="16"/>
          <w:lang w:val="en-US"/>
        </w:rPr>
        <w:t xml:space="preserve">; </w:t>
      </w:r>
      <w:r w:rsidRPr="007D47AD">
        <w:rPr>
          <w:rFonts w:asciiTheme="minorHAnsi" w:hAnsiTheme="minorHAnsi" w:cs="Tahoma"/>
          <w:sz w:val="16"/>
          <w:szCs w:val="16"/>
          <w:lang w:val="en-US"/>
        </w:rPr>
        <w:t>IACHR, Resolution 1/2018, Precautionary Measure No. 685/16, Matter of Lucila Bettina Cruz and her nuclear family with respect to Mexico, January 4, 2018</w:t>
      </w:r>
      <w:r w:rsidRPr="007D47AD">
        <w:rPr>
          <w:rFonts w:asciiTheme="minorHAnsi" w:hAnsiTheme="minorHAnsi"/>
          <w:sz w:val="16"/>
          <w:szCs w:val="16"/>
          <w:lang w:val="en-US"/>
        </w:rPr>
        <w:t xml:space="preserve">; </w:t>
      </w:r>
      <w:r w:rsidRPr="007D47AD">
        <w:rPr>
          <w:rFonts w:asciiTheme="minorHAnsi" w:hAnsiTheme="minorHAnsi" w:cs="Tahoma"/>
          <w:sz w:val="16"/>
          <w:szCs w:val="16"/>
          <w:lang w:val="en-US"/>
        </w:rPr>
        <w:t>IACHR, Resolution 31/2017, Precautionary Measure No.</w:t>
      </w:r>
      <w:r w:rsidRPr="007D47AD">
        <w:rPr>
          <w:rFonts w:asciiTheme="minorHAnsi" w:hAnsiTheme="minorHAnsi"/>
          <w:sz w:val="16"/>
          <w:szCs w:val="16"/>
          <w:lang w:val="en-US"/>
        </w:rPr>
        <w:t xml:space="preserve"> </w:t>
      </w:r>
      <w:r w:rsidRPr="007D47AD">
        <w:rPr>
          <w:rFonts w:asciiTheme="minorHAnsi" w:hAnsiTheme="minorHAnsi" w:cs="Tahoma"/>
          <w:sz w:val="16"/>
          <w:szCs w:val="16"/>
          <w:lang w:val="en-US"/>
        </w:rPr>
        <w:t>209/17, Matter of Francisco Javier Barraza Gómez with respect to Mexico, August 15, 2017</w:t>
      </w:r>
      <w:r w:rsidRPr="007D47AD">
        <w:rPr>
          <w:rFonts w:asciiTheme="minorHAnsi" w:hAnsiTheme="minorHAnsi"/>
          <w:sz w:val="16"/>
          <w:szCs w:val="16"/>
          <w:lang w:val="en-US"/>
        </w:rPr>
        <w:t xml:space="preserve">; </w:t>
      </w:r>
      <w:r w:rsidRPr="007D47AD">
        <w:rPr>
          <w:rFonts w:asciiTheme="minorHAnsi" w:hAnsiTheme="minorHAnsi" w:cs="Tahoma"/>
          <w:sz w:val="16"/>
          <w:szCs w:val="16"/>
          <w:lang w:val="en-US"/>
        </w:rPr>
        <w:t>IACHR, Resolution 24/2016, Precautionary Measure No.</w:t>
      </w:r>
      <w:r w:rsidRPr="007D47AD">
        <w:rPr>
          <w:rFonts w:asciiTheme="minorHAnsi" w:hAnsiTheme="minorHAnsi"/>
          <w:sz w:val="16"/>
          <w:szCs w:val="16"/>
          <w:lang w:val="en-US"/>
        </w:rPr>
        <w:t xml:space="preserve"> 29/16, Matter of Margari</w:t>
      </w:r>
      <w:r w:rsidRPr="007D47AD">
        <w:rPr>
          <w:rFonts w:asciiTheme="minorHAnsi" w:hAnsiTheme="minorHAnsi" w:cs="Tahoma"/>
          <w:sz w:val="16"/>
          <w:szCs w:val="16"/>
          <w:lang w:val="en-US"/>
        </w:rPr>
        <w:t>ta Marín Yan and others with respect to Mexico, April 15, 2016</w:t>
      </w:r>
      <w:r w:rsidRPr="007D47AD">
        <w:rPr>
          <w:rFonts w:asciiTheme="minorHAnsi" w:hAnsiTheme="minorHAnsi"/>
          <w:sz w:val="16"/>
          <w:szCs w:val="16"/>
          <w:lang w:val="en-US"/>
        </w:rPr>
        <w:t xml:space="preserve">; </w:t>
      </w:r>
      <w:r w:rsidRPr="007D47AD">
        <w:rPr>
          <w:rFonts w:asciiTheme="minorHAnsi" w:hAnsiTheme="minorHAnsi" w:cs="Tahoma"/>
          <w:sz w:val="16"/>
          <w:szCs w:val="16"/>
          <w:lang w:val="en-US"/>
        </w:rPr>
        <w:t>IACHR, Resolution 20/2016, Precautionary Measure No.</w:t>
      </w:r>
      <w:r w:rsidRPr="007D47AD">
        <w:rPr>
          <w:rFonts w:asciiTheme="minorHAnsi" w:hAnsiTheme="minorHAnsi"/>
          <w:sz w:val="16"/>
          <w:szCs w:val="16"/>
          <w:lang w:val="en-US"/>
        </w:rPr>
        <w:t xml:space="preserve"> 451/14, Matter of Norma Madero Jiménez and others with respect to Mexico, April 7, 2016; </w:t>
      </w:r>
      <w:r w:rsidRPr="007D47AD">
        <w:rPr>
          <w:rFonts w:asciiTheme="minorHAnsi" w:hAnsiTheme="minorHAnsi" w:cs="Tahoma"/>
          <w:sz w:val="16"/>
          <w:szCs w:val="16"/>
          <w:lang w:val="en-US"/>
        </w:rPr>
        <w:t>IACHR, Resolution 7/2016, Precautionary Measure No.</w:t>
      </w:r>
      <w:r w:rsidRPr="007D47AD">
        <w:rPr>
          <w:rFonts w:asciiTheme="minorHAnsi" w:hAnsiTheme="minorHAnsi"/>
          <w:sz w:val="16"/>
          <w:szCs w:val="16"/>
          <w:lang w:val="en-US"/>
        </w:rPr>
        <w:t xml:space="preserve"> 452/13, Matter of </w:t>
      </w:r>
      <w:r w:rsidRPr="007D47AD">
        <w:rPr>
          <w:rFonts w:asciiTheme="minorHAnsi" w:hAnsiTheme="minorHAnsi" w:cs="Tahoma"/>
          <w:sz w:val="16"/>
          <w:szCs w:val="16"/>
          <w:lang w:val="en-US"/>
        </w:rPr>
        <w:t>Lauro Baumea Mora and others with respect to Mexico, March 2, 2016</w:t>
      </w:r>
      <w:r w:rsidRPr="007D47AD">
        <w:rPr>
          <w:rFonts w:asciiTheme="minorHAnsi" w:hAnsiTheme="minorHAnsi"/>
          <w:sz w:val="16"/>
          <w:szCs w:val="16"/>
          <w:lang w:val="en-US"/>
        </w:rPr>
        <w:t xml:space="preserve">; </w:t>
      </w:r>
      <w:r w:rsidRPr="007D47AD">
        <w:rPr>
          <w:rFonts w:asciiTheme="minorHAnsi" w:hAnsiTheme="minorHAnsi" w:cs="Tahoma"/>
          <w:sz w:val="16"/>
          <w:szCs w:val="16"/>
          <w:lang w:val="en-US"/>
        </w:rPr>
        <w:t xml:space="preserve">IACHR, Resolution 1/2016, Precautionary Measure No. </w:t>
      </w:r>
      <w:r w:rsidRPr="007D47AD">
        <w:rPr>
          <w:rFonts w:asciiTheme="minorHAnsi" w:hAnsiTheme="minorHAnsi"/>
          <w:sz w:val="16"/>
          <w:szCs w:val="16"/>
          <w:lang w:val="en-US"/>
        </w:rPr>
        <w:t xml:space="preserve">388/12, Matter of </w:t>
      </w:r>
      <w:r w:rsidRPr="007D47AD">
        <w:rPr>
          <w:rFonts w:asciiTheme="minorHAnsi" w:hAnsiTheme="minorHAnsi" w:cs="Tahoma"/>
          <w:sz w:val="16"/>
          <w:szCs w:val="16"/>
          <w:lang w:val="en-US"/>
        </w:rPr>
        <w:t>Edgar Ismael Solorio Solís and others with respect to Mexico, January 13, 2016</w:t>
      </w:r>
      <w:r w:rsidRPr="007D47AD">
        <w:rPr>
          <w:rFonts w:asciiTheme="minorHAnsi" w:hAnsiTheme="minorHAnsi"/>
          <w:sz w:val="16"/>
          <w:szCs w:val="16"/>
          <w:lang w:val="en-US"/>
        </w:rPr>
        <w:t xml:space="preserve">; </w:t>
      </w:r>
      <w:r w:rsidRPr="007D47AD">
        <w:rPr>
          <w:rFonts w:asciiTheme="minorHAnsi" w:hAnsiTheme="minorHAnsi" w:cs="Tahoma"/>
          <w:sz w:val="16"/>
          <w:szCs w:val="16"/>
          <w:lang w:val="en-US"/>
        </w:rPr>
        <w:t>IACHR, Resolution 16/2015, Precautionary Measure No.</w:t>
      </w:r>
      <w:r w:rsidRPr="007D47AD">
        <w:rPr>
          <w:rFonts w:asciiTheme="minorHAnsi" w:hAnsiTheme="minorHAnsi"/>
          <w:sz w:val="16"/>
          <w:szCs w:val="16"/>
          <w:lang w:val="en-US"/>
        </w:rPr>
        <w:t xml:space="preserve"> 513/15, Matter of X and others with respect to Mexico, November 16, 2015; </w:t>
      </w:r>
      <w:r w:rsidRPr="007D47AD">
        <w:rPr>
          <w:rFonts w:asciiTheme="minorHAnsi" w:hAnsiTheme="minorHAnsi" w:cs="Tahoma"/>
          <w:sz w:val="16"/>
          <w:szCs w:val="16"/>
          <w:lang w:val="en-US"/>
        </w:rPr>
        <w:t xml:space="preserve">IACHR, Resolution 44/2015, Precautionary Measure No. </w:t>
      </w:r>
      <w:r w:rsidRPr="007D47AD">
        <w:rPr>
          <w:rFonts w:asciiTheme="minorHAnsi" w:hAnsiTheme="minorHAnsi"/>
          <w:sz w:val="16"/>
          <w:szCs w:val="16"/>
          <w:lang w:val="en-US"/>
        </w:rPr>
        <w:t xml:space="preserve">561/2015, Matter of Zenaida Candia Espinobarros and her nuclear family with respect to Mexico, November 10, 2015; </w:t>
      </w:r>
      <w:r w:rsidRPr="007D47AD">
        <w:rPr>
          <w:rFonts w:asciiTheme="minorHAnsi" w:hAnsiTheme="minorHAnsi" w:cs="Tahoma"/>
          <w:sz w:val="16"/>
          <w:szCs w:val="16"/>
          <w:lang w:val="en-US"/>
        </w:rPr>
        <w:t xml:space="preserve">IACHR, Resolution 30/2015, Precautionary Measure No. </w:t>
      </w:r>
      <w:r w:rsidRPr="007D47AD">
        <w:rPr>
          <w:rFonts w:asciiTheme="minorHAnsi" w:hAnsiTheme="minorHAnsi"/>
          <w:sz w:val="16"/>
          <w:szCs w:val="16"/>
          <w:lang w:val="en-US"/>
        </w:rPr>
        <w:t xml:space="preserve">506/14, Matter of Marcelo Pérez and </w:t>
      </w:r>
      <w:r w:rsidRPr="007D47AD">
        <w:rPr>
          <w:rFonts w:asciiTheme="minorHAnsi" w:hAnsiTheme="minorHAnsi" w:cs="Tahoma"/>
          <w:sz w:val="16"/>
          <w:szCs w:val="16"/>
          <w:lang w:val="en-US"/>
        </w:rPr>
        <w:t>Isidro Hernández Gutiérrez with respect to Mexico, September 1, 2015</w:t>
      </w:r>
      <w:r w:rsidRPr="007D47AD">
        <w:rPr>
          <w:rFonts w:asciiTheme="minorHAnsi" w:hAnsiTheme="minorHAnsi"/>
          <w:sz w:val="16"/>
          <w:szCs w:val="16"/>
          <w:lang w:val="en-US"/>
        </w:rPr>
        <w:t xml:space="preserve">; </w:t>
      </w:r>
      <w:r w:rsidRPr="007D47AD">
        <w:rPr>
          <w:rFonts w:asciiTheme="minorHAnsi" w:hAnsiTheme="minorHAnsi" w:cs="Tahoma"/>
          <w:sz w:val="16"/>
          <w:szCs w:val="16"/>
          <w:lang w:val="en-US"/>
        </w:rPr>
        <w:t>IACHR, Resolution 15/2015, Precautionary Measure No. 106/15, Matter of Cruz Sánchez Lagarda and others with respect to Mexico, April 27, 2015</w:t>
      </w:r>
      <w:r w:rsidRPr="007D47AD">
        <w:rPr>
          <w:rFonts w:asciiTheme="minorHAnsi" w:hAnsiTheme="minorHAnsi"/>
          <w:sz w:val="16"/>
          <w:szCs w:val="16"/>
          <w:lang w:val="en-US"/>
        </w:rPr>
        <w:t xml:space="preserve">; </w:t>
      </w:r>
      <w:r w:rsidRPr="007D47AD">
        <w:rPr>
          <w:rFonts w:asciiTheme="minorHAnsi" w:hAnsiTheme="minorHAnsi" w:cs="Tahoma"/>
          <w:sz w:val="16"/>
          <w:szCs w:val="16"/>
          <w:lang w:val="en-US"/>
        </w:rPr>
        <w:t>IACHR, Resolution 14/2015, Precautionary Measure No. 77/15, Matter of Defenders E. and K. and their family members with respect to Mexico, April 27, 2015</w:t>
      </w:r>
      <w:r w:rsidRPr="007D47AD">
        <w:rPr>
          <w:rFonts w:asciiTheme="minorHAnsi" w:hAnsiTheme="minorHAnsi"/>
          <w:sz w:val="16"/>
          <w:szCs w:val="16"/>
          <w:lang w:val="en-US"/>
        </w:rPr>
        <w:t xml:space="preserve">; </w:t>
      </w:r>
      <w:r w:rsidRPr="007D47AD">
        <w:rPr>
          <w:rFonts w:asciiTheme="minorHAnsi" w:hAnsiTheme="minorHAnsi" w:cs="Tahoma"/>
          <w:sz w:val="16"/>
          <w:szCs w:val="16"/>
          <w:lang w:val="en-US"/>
        </w:rPr>
        <w:t>IACHR, Resolution 5/2015, Precautionary Measure No. 13/15, Matter of Norma Mesino and 10 members of her family with respect to Mexico, February 25, 2015</w:t>
      </w:r>
      <w:r w:rsidRPr="007D47AD">
        <w:rPr>
          <w:rFonts w:asciiTheme="minorHAnsi" w:hAnsiTheme="minorHAnsi"/>
          <w:sz w:val="16"/>
          <w:szCs w:val="16"/>
          <w:lang w:val="en-US"/>
        </w:rPr>
        <w:t xml:space="preserve">; </w:t>
      </w:r>
      <w:r w:rsidRPr="007D47AD">
        <w:rPr>
          <w:rFonts w:asciiTheme="minorHAnsi" w:hAnsiTheme="minorHAnsi" w:cs="Tahoma"/>
          <w:sz w:val="16"/>
          <w:szCs w:val="16"/>
          <w:lang w:val="en-US"/>
        </w:rPr>
        <w:t>IACHR, Resolution 1/2018, Precautionary Measure No. 5/15, Matter of José Moisés Sánchez Cerezo, with respect to Mexico, January 26, 2015</w:t>
      </w:r>
      <w:r w:rsidRPr="007D47AD">
        <w:rPr>
          <w:rFonts w:asciiTheme="minorHAnsi" w:hAnsiTheme="minorHAnsi"/>
          <w:sz w:val="16"/>
          <w:szCs w:val="16"/>
          <w:lang w:val="en-US"/>
        </w:rPr>
        <w:t xml:space="preserve">; and other precautionary measures; </w:t>
      </w:r>
      <w:r w:rsidRPr="007D47AD">
        <w:rPr>
          <w:rFonts w:asciiTheme="minorHAnsi" w:hAnsiTheme="minorHAnsi" w:cs="Tahoma"/>
          <w:sz w:val="16"/>
          <w:szCs w:val="16"/>
          <w:lang w:val="en-US"/>
        </w:rPr>
        <w:t>I/A Court HR. Case of Fernández Ortega et al. v. Mexico.</w:t>
      </w:r>
      <w:r w:rsidRPr="007D47AD">
        <w:rPr>
          <w:rFonts w:asciiTheme="minorHAnsi" w:hAnsiTheme="minorHAnsi" w:cs="Tahoma"/>
          <w:sz w:val="16"/>
          <w:szCs w:val="16"/>
          <w:lang w:val="en-US"/>
        </w:rPr>
        <w:tab/>
      </w:r>
    </w:p>
  </w:footnote>
  <w:footnote w:id="517">
    <w:p w:rsidR="00385F1D" w:rsidRPr="007D47AD" w:rsidRDefault="00385F1D" w:rsidP="00C66025">
      <w:pPr>
        <w:pStyle w:val="FootnoteText"/>
        <w:spacing w:after="120"/>
        <w:rPr>
          <w:lang w:val="en-US"/>
        </w:rPr>
      </w:pPr>
      <w:r w:rsidRPr="007D47AD">
        <w:rPr>
          <w:rStyle w:val="FootnoteReference"/>
          <w:rFonts w:asciiTheme="minorHAnsi" w:hAnsiTheme="minorHAnsi"/>
          <w:lang w:val="en-US"/>
        </w:rPr>
        <w:footnoteRef/>
      </w:r>
      <w:r w:rsidRPr="007D47AD">
        <w:rPr>
          <w:lang w:val="en-US"/>
        </w:rPr>
        <w:t xml:space="preserve"> Provisional Measures. Resolution of the Inter-American Court of Human Rights of March 13, 2019; I/A Court HR. Matter of Alvarado Reyes and others with respect to Mexico. Provisional Measures. Resolution of the Inter-American Court of Human Rights of March 14, 2018; I/A Court HR. Matter of Alvarado Reyes and others with respect to Mexico. Provisional Measures. Resolution of the Inter-American Court of Human Rights of November 14, 2017; I/A Court HR. Matter of Castro Rodríguez with respect to Mexico. Provisional Measures. Resolution of the Inter-American Court of Human Rights of November 14, 2017; I/A Court HR. Matter of Members of the Indigenous Community of Asunto Choréachi with respect to Mexico. Request for Provisional Measures. Resolution of the Inter-American Court of Human Rights of March 25, 2017; I/A Court HR. Case of Fernández Ortega and others v. Mexico. Provisional Measures. Resolution of the Inter-American Court of Human Rights of February 7, 2017; I/A Court HR. Case of Fernández Ortega and others v. Mexico. Provisional Measures. Resolution of the Inter-American Court of Human Rights of February 23, 2016; I/A Court HR. Case of Rosendo Cantú and one other v. Mexico. Provisional Measures. Resolution of the Inter-American Court of Human Rights of February 23, 2016; I/A Court HR. Case of Rosendo Cantú and one other v. Mexico. Provisional Measures. Resolution of the Inter-American Court of Human Rights of June 23, 2015; I/A Court HR. Matter of Alvarado Reyes and others with respect to Mexico. Provisional Measures. Resolution of the Inter-American Court of Human Rights of June 23, 2015; I/A Court HR. Matter of Castro Rodríguez with respect to Mexico. Provisional Measures. Resolution of the Inter-American Court of Human Rights of June 23, 2015; and other provisional measures. </w:t>
      </w:r>
    </w:p>
  </w:footnote>
  <w:footnote w:id="518">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Sexto Informe del Estado mexicano sobre el cumplimiento y seguimiento de las recomendaciones contenidas en el informe “Situación de los Derechos Humanos en México,” p. 96. </w:t>
      </w:r>
    </w:p>
  </w:footnote>
  <w:footnote w:id="519">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Government of Mexico, </w:t>
      </w:r>
      <w:hyperlink r:id="rId286" w:history="1">
        <w:r w:rsidRPr="007D47AD">
          <w:rPr>
            <w:rStyle w:val="Hyperlink"/>
            <w:rFonts w:asciiTheme="minorHAnsi" w:hAnsiTheme="minorHAnsi"/>
            <w:lang w:val="es-419"/>
          </w:rPr>
          <w:t>Elementos del Servicio de Protección Federal son capacitados para el mecanismo de seguridad a defensores de derechos humanos y periodistas</w:t>
        </w:r>
      </w:hyperlink>
      <w:r w:rsidRPr="007D47AD">
        <w:rPr>
          <w:lang w:val="es-419"/>
        </w:rPr>
        <w:t xml:space="preserve">, September 22, 2019. </w:t>
      </w:r>
    </w:p>
  </w:footnote>
  <w:footnote w:id="520">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OHCHR, </w:t>
      </w:r>
      <w:hyperlink r:id="rId287" w:history="1">
        <w:r w:rsidRPr="007D47AD">
          <w:rPr>
            <w:rStyle w:val="Hyperlink"/>
            <w:rFonts w:asciiTheme="minorHAnsi" w:hAnsiTheme="minorHAnsi"/>
            <w:lang w:val="es-419"/>
          </w:rPr>
          <w:t>Diagnóstico sobre el funcionamiento del mecanismo</w:t>
        </w:r>
      </w:hyperlink>
      <w:r w:rsidRPr="007D47AD">
        <w:rPr>
          <w:lang w:val="es-419"/>
        </w:rPr>
        <w:t xml:space="preserve">, Mexico City, July 2019, p. 232.  </w:t>
      </w:r>
    </w:p>
  </w:footnote>
  <w:footnote w:id="521">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n-US"/>
        </w:rPr>
        <w:t xml:space="preserve"> Observations and comments by the State, January 13, 2020, paras. </w:t>
      </w:r>
      <w:r w:rsidRPr="007D47AD">
        <w:rPr>
          <w:lang w:val="es-419"/>
        </w:rPr>
        <w:t xml:space="preserve">136-137. </w:t>
      </w:r>
    </w:p>
  </w:footnote>
  <w:footnote w:id="522">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Sexto Informe del Estado mexicano sobre el cumplimiento y seguimiento de las recomendaciones contenidas en el informe “Situación de los Derechos Humanos en México,” p. 74.</w:t>
      </w:r>
    </w:p>
  </w:footnote>
  <w:footnote w:id="523">
    <w:p w:rsidR="00385F1D" w:rsidRPr="007D47AD" w:rsidRDefault="00385F1D" w:rsidP="00C66025">
      <w:pPr>
        <w:pStyle w:val="FootnoteText"/>
        <w:spacing w:after="120"/>
        <w:rPr>
          <w:lang w:val="en-US"/>
        </w:rPr>
      </w:pPr>
      <w:r w:rsidRPr="007D47AD">
        <w:rPr>
          <w:rStyle w:val="FootnoteReference"/>
          <w:rFonts w:asciiTheme="minorHAnsi" w:hAnsiTheme="minorHAnsi"/>
          <w:lang w:val="en-US"/>
        </w:rPr>
        <w:footnoteRef/>
      </w:r>
      <w:r w:rsidRPr="007D47AD">
        <w:rPr>
          <w:lang w:val="en-US"/>
        </w:rPr>
        <w:t xml:space="preserve"> Observations and comments by the State, January 13, 2020, para. 138.</w:t>
      </w:r>
    </w:p>
  </w:footnote>
  <w:footnote w:id="524">
    <w:p w:rsidR="00385F1D" w:rsidRPr="007D47AD" w:rsidRDefault="00385F1D" w:rsidP="00C66025">
      <w:pPr>
        <w:pStyle w:val="FootnoteText"/>
        <w:spacing w:after="120"/>
        <w:rPr>
          <w:lang w:val="en-US"/>
        </w:rPr>
      </w:pPr>
      <w:r w:rsidRPr="007D47AD">
        <w:rPr>
          <w:rStyle w:val="FootnoteReference"/>
          <w:rFonts w:asciiTheme="minorHAnsi" w:hAnsiTheme="minorHAnsi"/>
          <w:lang w:val="en-US"/>
        </w:rPr>
        <w:footnoteRef/>
      </w:r>
      <w:r w:rsidRPr="007D47AD">
        <w:rPr>
          <w:lang w:val="en-US"/>
        </w:rPr>
        <w:t xml:space="preserve"> WOLA, </w:t>
      </w:r>
      <w:hyperlink r:id="rId288" w:history="1">
        <w:r w:rsidRPr="007D47AD">
          <w:rPr>
            <w:rStyle w:val="Hyperlink"/>
            <w:rFonts w:asciiTheme="minorHAnsi" w:hAnsiTheme="minorHAnsi"/>
            <w:lang w:val="en-US"/>
          </w:rPr>
          <w:t>Turning the Tide on Impunity for Crimes Against Journalists, Human Rights Defenders in Mexico</w:t>
        </w:r>
      </w:hyperlink>
      <w:r w:rsidRPr="007D47AD">
        <w:rPr>
          <w:lang w:val="en-US"/>
        </w:rPr>
        <w:t xml:space="preserve">, March 2019, p. 9. </w:t>
      </w:r>
    </w:p>
  </w:footnote>
  <w:footnote w:id="525">
    <w:p w:rsidR="00385F1D" w:rsidRPr="007D47AD" w:rsidRDefault="00385F1D" w:rsidP="00C66025">
      <w:pPr>
        <w:spacing w:after="120" w:line="240" w:lineRule="auto"/>
        <w:ind w:firstLine="720"/>
        <w:jc w:val="both"/>
        <w:rPr>
          <w:rFonts w:asciiTheme="minorHAnsi" w:hAnsiTheme="minorHAnsi"/>
          <w:sz w:val="16"/>
          <w:szCs w:val="16"/>
          <w:lang w:val="es-419"/>
        </w:rPr>
      </w:pPr>
      <w:r w:rsidRPr="007D47AD">
        <w:rPr>
          <w:rStyle w:val="FootnoteReference"/>
          <w:rFonts w:asciiTheme="minorHAnsi" w:hAnsiTheme="minorHAnsi"/>
          <w:sz w:val="16"/>
          <w:szCs w:val="16"/>
          <w:lang w:val="en-US"/>
        </w:rPr>
        <w:footnoteRef/>
      </w:r>
      <w:r w:rsidRPr="007D47AD">
        <w:rPr>
          <w:rFonts w:asciiTheme="minorHAnsi" w:hAnsiTheme="minorHAnsi"/>
          <w:sz w:val="16"/>
          <w:szCs w:val="16"/>
          <w:lang w:val="es-419"/>
        </w:rPr>
        <w:t xml:space="preserve"> CMDPDH, </w:t>
      </w:r>
      <w:hyperlink r:id="rId289" w:history="1">
        <w:r w:rsidRPr="007D47AD">
          <w:rPr>
            <w:rStyle w:val="Hyperlink"/>
            <w:rFonts w:asciiTheme="minorHAnsi" w:hAnsiTheme="minorHAnsi"/>
            <w:sz w:val="16"/>
            <w:szCs w:val="16"/>
            <w:lang w:val="es-419"/>
          </w:rPr>
          <w:t>Carta de las OSC Mexicanas, Personas Defensoras junto con el apoyo de Organizaciones Internacionales en seguimiento a la visita de la Alta Comisionada para los Derechos Humanos de la ONU a México</w:t>
        </w:r>
      </w:hyperlink>
      <w:r w:rsidRPr="007D47AD">
        <w:rPr>
          <w:rFonts w:asciiTheme="minorHAnsi" w:hAnsiTheme="minorHAnsi"/>
          <w:sz w:val="16"/>
          <w:szCs w:val="16"/>
          <w:lang w:val="es-419"/>
        </w:rPr>
        <w:t>, May 6, 2019.</w:t>
      </w:r>
    </w:p>
  </w:footnote>
  <w:footnote w:id="526">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n-US"/>
        </w:rPr>
        <w:t xml:space="preserve"> Observations and comments by the State, January 13, 2020, para. </w:t>
      </w:r>
      <w:r w:rsidRPr="007D47AD">
        <w:rPr>
          <w:lang w:val="es-419"/>
        </w:rPr>
        <w:t>139</w:t>
      </w:r>
    </w:p>
  </w:footnote>
  <w:footnote w:id="527">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Sexto Informe del Estado mexicano sobre el cumplimiento y seguimiento de las recomendaciones contenidas en el informe “Situación de los Derechos Humanos en México,” p. 93. </w:t>
      </w:r>
    </w:p>
  </w:footnote>
  <w:footnote w:id="528">
    <w:p w:rsidR="00385F1D" w:rsidRPr="007D47AD" w:rsidRDefault="00385F1D" w:rsidP="00C66025">
      <w:pPr>
        <w:pStyle w:val="FootnoteText"/>
        <w:spacing w:after="120"/>
        <w:rPr>
          <w:lang w:val="es-419"/>
        </w:rPr>
      </w:pPr>
      <w:r w:rsidRPr="007D47AD">
        <w:rPr>
          <w:rStyle w:val="FootnoteReference"/>
          <w:rFonts w:asciiTheme="minorHAnsi" w:hAnsiTheme="minorHAnsi"/>
          <w:lang w:val="en-US"/>
        </w:rPr>
        <w:footnoteRef/>
      </w:r>
      <w:r w:rsidRPr="007D47AD">
        <w:rPr>
          <w:lang w:val="es-419"/>
        </w:rPr>
        <w:t xml:space="preserve"> Article 19. Protocolo de la impunidad en delitos contra periodistas. Análisis de investigaciones sobre delitos contra la Libertad de Expresión. Ch. 1, p. 17.</w:t>
      </w:r>
    </w:p>
  </w:footnote>
  <w:footnote w:id="529">
    <w:p w:rsidR="00385F1D" w:rsidRPr="007D47AD" w:rsidRDefault="00385F1D" w:rsidP="00C66025">
      <w:pPr>
        <w:pStyle w:val="FootnoteText"/>
        <w:spacing w:after="120"/>
        <w:rPr>
          <w:b/>
          <w:bCs/>
          <w:lang w:val="es-419"/>
        </w:rPr>
      </w:pPr>
      <w:r w:rsidRPr="007D47AD">
        <w:rPr>
          <w:rStyle w:val="FootnoteReference"/>
          <w:rFonts w:asciiTheme="minorHAnsi" w:hAnsiTheme="minorHAnsi"/>
          <w:lang w:val="en-US"/>
        </w:rPr>
        <w:footnoteRef/>
      </w:r>
      <w:r w:rsidRPr="007D47AD">
        <w:rPr>
          <w:lang w:val="es-419"/>
        </w:rPr>
        <w:t xml:space="preserve"> Sexto Informe del Estado mexicano sobre el cumplimiento y seguimiento de las recomendaciones contenidas en el informe “Situación de los Derechos Humanos en México,” p. 100.</w:t>
      </w:r>
    </w:p>
  </w:footnote>
  <w:footnote w:id="530">
    <w:p w:rsidR="00385F1D" w:rsidRPr="007D47AD" w:rsidRDefault="00385F1D" w:rsidP="00C66025">
      <w:pPr>
        <w:pStyle w:val="FootnoteText"/>
        <w:spacing w:after="120"/>
        <w:rPr>
          <w:lang w:val="en-US"/>
        </w:rPr>
      </w:pPr>
      <w:r w:rsidRPr="007D47AD">
        <w:rPr>
          <w:rStyle w:val="FootnoteReference"/>
          <w:rFonts w:asciiTheme="minorHAnsi" w:hAnsiTheme="minorHAnsi"/>
          <w:lang w:val="en-US"/>
        </w:rPr>
        <w:footnoteRef/>
      </w:r>
      <w:r w:rsidRPr="007D47AD">
        <w:rPr>
          <w:lang w:val="en-US"/>
        </w:rPr>
        <w:t xml:space="preserve"> Observations and comments by the State, January 13, 2020, para. 140.</w:t>
      </w:r>
    </w:p>
  </w:footnote>
  <w:footnote w:id="531">
    <w:p w:rsidR="00385F1D" w:rsidRPr="0088708D" w:rsidRDefault="00385F1D" w:rsidP="00C66025">
      <w:pPr>
        <w:pStyle w:val="FootnoteText"/>
        <w:spacing w:after="120"/>
        <w:rPr>
          <w:lang w:val="en-US"/>
        </w:rPr>
      </w:pPr>
      <w:r w:rsidRPr="007D47AD">
        <w:rPr>
          <w:rStyle w:val="FootnoteReference"/>
          <w:rFonts w:asciiTheme="minorHAnsi" w:hAnsiTheme="minorHAnsi"/>
          <w:lang w:val="en-US"/>
        </w:rPr>
        <w:footnoteRef/>
      </w:r>
      <w:r w:rsidRPr="007D47AD">
        <w:rPr>
          <w:lang w:val="en-US"/>
        </w:rPr>
        <w:t xml:space="preserve"> Observations and comments by the State, January 13, 2020, para. 141.</w:t>
      </w:r>
      <w:r w:rsidRPr="0088708D">
        <w:rPr>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F1D" w:rsidRDefault="00385F1D" w:rsidP="00F97BFB">
    <w:pPr>
      <w:pStyle w:val="Header"/>
      <w:jc w:val="center"/>
    </w:pPr>
    <w:r>
      <w:rPr>
        <w:noProof/>
        <w:lang w:val="en-US"/>
      </w:rPr>
      <w:drawing>
        <wp:inline distT="0" distB="0" distL="0" distR="0" wp14:anchorId="05D6466D" wp14:editId="14BA6B7C">
          <wp:extent cx="2277110" cy="120650"/>
          <wp:effectExtent l="0" t="0" r="8890" b="0"/>
          <wp:docPr id="7" name="Picture 7" descr="iachr-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achr-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7110" cy="120650"/>
                  </a:xfrm>
                  <a:prstGeom prst="rect">
                    <a:avLst/>
                  </a:prstGeom>
                  <a:noFill/>
                  <a:ln>
                    <a:noFill/>
                  </a:ln>
                </pic:spPr>
              </pic:pic>
            </a:graphicData>
          </a:graphic>
        </wp:inline>
      </w:drawing>
    </w:r>
  </w:p>
  <w:p w:rsidR="00385F1D" w:rsidRDefault="00523154" w:rsidP="00F97BFB">
    <w:pPr>
      <w:pStyle w:val="Header"/>
    </w:pPr>
    <w:r>
      <w:pict w14:anchorId="08587FFE">
        <v:rect id="_x0000_i1025" style="width:0;height:1.5pt" o:hralign="center" o:hrstd="t" o:hr="t" fillcolor="#a0a0a0" strok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F1D" w:rsidRPr="00F97BFB" w:rsidRDefault="00385F1D" w:rsidP="00F97BFB">
    <w:pPr>
      <w:pStyle w:val="Header"/>
      <w:rPr>
        <w:sz w:val="16"/>
        <w:lang w:val="en-US"/>
      </w:rPr>
    </w:pPr>
    <w:r>
      <w:rPr>
        <w:noProof/>
        <w:lang w:val="en-US"/>
      </w:rPr>
      <w:drawing>
        <wp:anchor distT="0" distB="0" distL="114300" distR="114300" simplePos="0" relativeHeight="251659264" behindDoc="1" locked="0" layoutInCell="1" allowOverlap="1" wp14:anchorId="1D9AD958" wp14:editId="2B6475A0">
          <wp:simplePos x="0" y="0"/>
          <wp:positionH relativeFrom="column">
            <wp:posOffset>4112895</wp:posOffset>
          </wp:positionH>
          <wp:positionV relativeFrom="paragraph">
            <wp:posOffset>-31750</wp:posOffset>
          </wp:positionV>
          <wp:extent cx="1860550" cy="410845"/>
          <wp:effectExtent l="0" t="0" r="6350" b="8255"/>
          <wp:wrapThrough wrapText="bothSides">
            <wp:wrapPolygon edited="0">
              <wp:start x="0" y="0"/>
              <wp:lineTo x="0" y="21032"/>
              <wp:lineTo x="21453" y="21032"/>
              <wp:lineTo x="21453" y="0"/>
              <wp:lineTo x="0" y="0"/>
            </wp:wrapPolygon>
          </wp:wrapThrough>
          <wp:docPr id="6" name="Picture 6" descr="cid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h-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0550" cy="41084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0288" behindDoc="1" locked="0" layoutInCell="1" allowOverlap="1" wp14:anchorId="5890D90A" wp14:editId="780CFEB7">
          <wp:simplePos x="0" y="0"/>
          <wp:positionH relativeFrom="column">
            <wp:posOffset>0</wp:posOffset>
          </wp:positionH>
          <wp:positionV relativeFrom="paragraph">
            <wp:posOffset>-38100</wp:posOffset>
          </wp:positionV>
          <wp:extent cx="1842135" cy="407035"/>
          <wp:effectExtent l="0" t="0" r="5715" b="0"/>
          <wp:wrapThrough wrapText="bothSides">
            <wp:wrapPolygon edited="0">
              <wp:start x="0" y="0"/>
              <wp:lineTo x="0" y="20218"/>
              <wp:lineTo x="21444" y="20218"/>
              <wp:lineTo x="21444" y="0"/>
              <wp:lineTo x="0" y="0"/>
            </wp:wrapPolygon>
          </wp:wrapThrough>
          <wp:docPr id="3" name="Picture 3" descr="IA2019-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A2019-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42135" cy="407035"/>
                  </a:xfrm>
                  <a:prstGeom prst="rect">
                    <a:avLst/>
                  </a:prstGeom>
                  <a:noFill/>
                </pic:spPr>
              </pic:pic>
            </a:graphicData>
          </a:graphic>
          <wp14:sizeRelH relativeFrom="page">
            <wp14:pctWidth>0</wp14:pctWidth>
          </wp14:sizeRelH>
          <wp14:sizeRelV relativeFrom="page">
            <wp14:pctHeight>0</wp14:pctHeight>
          </wp14:sizeRelV>
        </wp:anchor>
      </w:drawing>
    </w:r>
    <w:r>
      <w:tab/>
    </w:r>
    <w:r>
      <w:tab/>
    </w:r>
  </w:p>
  <w:p w:rsidR="00385F1D" w:rsidRPr="00F97BFB" w:rsidRDefault="00385F1D" w:rsidP="00F97BFB">
    <w:pPr>
      <w:pStyle w:val="Header"/>
      <w:rPr>
        <w:sz w:val="16"/>
      </w:rPr>
    </w:pPr>
  </w:p>
  <w:p w:rsidR="00385F1D" w:rsidRPr="00F97BFB" w:rsidRDefault="00385F1D" w:rsidP="00F97BFB">
    <w:pPr>
      <w:pStyle w:val="Header"/>
      <w:rPr>
        <w:sz w:val="16"/>
      </w:rPr>
    </w:pPr>
  </w:p>
  <w:p w:rsidR="00385F1D" w:rsidRDefault="00523154" w:rsidP="00F97BFB">
    <w:pPr>
      <w:pStyle w:val="Header"/>
    </w:pPr>
    <w:r>
      <w:pict w14:anchorId="69555C75">
        <v:rect id="_x0000_i1026"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A5080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70C7C17"/>
    <w:multiLevelType w:val="hybridMultilevel"/>
    <w:tmpl w:val="A1B89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B7822"/>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AB56886"/>
    <w:multiLevelType w:val="hybridMultilevel"/>
    <w:tmpl w:val="5C2EE16C"/>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5" w15:restartNumberingAfterBreak="0">
    <w:nsid w:val="0DD712EE"/>
    <w:multiLevelType w:val="hybridMultilevel"/>
    <w:tmpl w:val="9AA41442"/>
    <w:lvl w:ilvl="0" w:tplc="0409000F">
      <w:start w:val="1"/>
      <w:numFmt w:val="decimal"/>
      <w:lvlText w:val="%1."/>
      <w:lvlJc w:val="left"/>
      <w:pPr>
        <w:ind w:left="108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0F3066C3"/>
    <w:multiLevelType w:val="hybridMultilevel"/>
    <w:tmpl w:val="0A328F90"/>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7" w15:restartNumberingAfterBreak="0">
    <w:nsid w:val="13252E89"/>
    <w:multiLevelType w:val="hybridMultilevel"/>
    <w:tmpl w:val="7DEAE5B0"/>
    <w:lvl w:ilvl="0" w:tplc="396A26E8">
      <w:start w:val="1"/>
      <w:numFmt w:val="upperLetter"/>
      <w:pStyle w:val="Heading2"/>
      <w:lvlText w:val="%1."/>
      <w:lvlJc w:val="left"/>
      <w:pPr>
        <w:ind w:left="1080" w:hanging="360"/>
      </w:pPr>
      <w:rPr>
        <w:rFonts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B62C39"/>
    <w:multiLevelType w:val="hybridMultilevel"/>
    <w:tmpl w:val="A8125F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01A43BB"/>
    <w:multiLevelType w:val="hybridMultilevel"/>
    <w:tmpl w:val="654A40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432546B"/>
    <w:multiLevelType w:val="hybridMultilevel"/>
    <w:tmpl w:val="A6269C1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 w15:restartNumberingAfterBreak="0">
    <w:nsid w:val="272907FF"/>
    <w:multiLevelType w:val="multilevel"/>
    <w:tmpl w:val="C74E9440"/>
    <w:lvl w:ilvl="0">
      <w:start w:val="1"/>
      <w:numFmt w:val="decimal"/>
      <w:lvlText w:val="%1."/>
      <w:lvlJc w:val="left"/>
      <w:pPr>
        <w:ind w:left="540" w:hanging="360"/>
      </w:pPr>
      <w:rPr>
        <w:rFonts w:ascii="Cambria" w:hAnsi="Cambria" w:hint="default"/>
        <w:b w:val="0"/>
        <w:i w:val="0"/>
        <w:sz w:val="20"/>
        <w:szCs w:val="20"/>
      </w:rPr>
    </w:lvl>
    <w:lvl w:ilvl="1">
      <w:start w:val="1"/>
      <w:numFmt w:val="lowerLetter"/>
      <w:lvlText w:val="%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9374A6E"/>
    <w:multiLevelType w:val="hybridMultilevel"/>
    <w:tmpl w:val="578061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38520C6"/>
    <w:multiLevelType w:val="hybridMultilevel"/>
    <w:tmpl w:val="F1865E9A"/>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4" w15:restartNumberingAfterBreak="0">
    <w:nsid w:val="33EB097C"/>
    <w:multiLevelType w:val="hybridMultilevel"/>
    <w:tmpl w:val="331C11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56C3263"/>
    <w:multiLevelType w:val="hybridMultilevel"/>
    <w:tmpl w:val="11E252FA"/>
    <w:lvl w:ilvl="0" w:tplc="E5940C9E">
      <w:start w:val="1"/>
      <w:numFmt w:val="decimal"/>
      <w:pStyle w:val="Numberedparagraphs"/>
      <w:lvlText w:val="%1."/>
      <w:lvlJc w:val="left"/>
      <w:pPr>
        <w:ind w:left="360" w:hanging="360"/>
      </w:pPr>
      <w:rPr>
        <w:rFonts w:ascii="Cambria" w:hAnsi="Cambria" w:hint="default"/>
        <w:b w:val="0"/>
        <w:i w:val="0"/>
        <w:strike w:val="0"/>
        <w:color w:val="595959"/>
        <w:sz w:val="18"/>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BD54CE"/>
    <w:multiLevelType w:val="hybridMultilevel"/>
    <w:tmpl w:val="41D615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6E53E02"/>
    <w:multiLevelType w:val="hybridMultilevel"/>
    <w:tmpl w:val="7E8A0D8E"/>
    <w:lvl w:ilvl="0" w:tplc="666476FE">
      <w:start w:val="1"/>
      <w:numFmt w:val="upperRoman"/>
      <w:pStyle w:val="Heading1"/>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37DF2B7A"/>
    <w:multiLevelType w:val="multilevel"/>
    <w:tmpl w:val="D2A0BE42"/>
    <w:lvl w:ilvl="0">
      <w:start w:val="1"/>
      <w:numFmt w:val="decimal"/>
      <w:lvlText w:val="%1."/>
      <w:lvlJc w:val="left"/>
      <w:pPr>
        <w:ind w:left="540" w:hanging="360"/>
      </w:pPr>
      <w:rPr>
        <w:rFonts w:ascii="Cambria" w:hAnsi="Cambria" w:hint="default"/>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E7A1FEA"/>
    <w:multiLevelType w:val="hybridMultilevel"/>
    <w:tmpl w:val="7E3EB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141DDA"/>
    <w:multiLevelType w:val="hybridMultilevel"/>
    <w:tmpl w:val="ACFE2A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A80515A"/>
    <w:multiLevelType w:val="hybridMultilevel"/>
    <w:tmpl w:val="110C7A2E"/>
    <w:lvl w:ilvl="0" w:tplc="ACD4C41A">
      <w:start w:val="1"/>
      <w:numFmt w:val="decimal"/>
      <w:pStyle w:val="Heading3"/>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B72EC0"/>
    <w:multiLevelType w:val="hybridMultilevel"/>
    <w:tmpl w:val="06347AAE"/>
    <w:lvl w:ilvl="0" w:tplc="DF2E7588">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FD1ED6"/>
    <w:multiLevelType w:val="hybridMultilevel"/>
    <w:tmpl w:val="10027880"/>
    <w:lvl w:ilvl="0" w:tplc="31C0DF5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2BF33E8"/>
    <w:multiLevelType w:val="hybridMultilevel"/>
    <w:tmpl w:val="1DDE463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5" w15:restartNumberingAfterBreak="0">
    <w:nsid w:val="58D661C0"/>
    <w:multiLevelType w:val="hybridMultilevel"/>
    <w:tmpl w:val="4A7A841A"/>
    <w:lvl w:ilvl="0" w:tplc="8CB469C8">
      <w:start w:val="1"/>
      <w:numFmt w:val="decimal"/>
      <w:lvlText w:val="%1."/>
      <w:lvlJc w:val="left"/>
      <w:pPr>
        <w:ind w:left="540" w:hanging="360"/>
      </w:pPr>
      <w:rPr>
        <w:rFonts w:ascii="Cambria" w:hAnsi="Cambria" w:hint="default"/>
        <w:i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B52E90"/>
    <w:multiLevelType w:val="hybridMultilevel"/>
    <w:tmpl w:val="4A7A841A"/>
    <w:lvl w:ilvl="0" w:tplc="8CB469C8">
      <w:start w:val="1"/>
      <w:numFmt w:val="decimal"/>
      <w:lvlText w:val="%1."/>
      <w:lvlJc w:val="left"/>
      <w:pPr>
        <w:ind w:left="540" w:hanging="360"/>
      </w:pPr>
      <w:rPr>
        <w:rFonts w:ascii="Cambria" w:hAnsi="Cambria" w:hint="default"/>
        <w:i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606855"/>
    <w:multiLevelType w:val="hybridMultilevel"/>
    <w:tmpl w:val="4A7A841A"/>
    <w:lvl w:ilvl="0" w:tplc="8CB469C8">
      <w:start w:val="1"/>
      <w:numFmt w:val="decimal"/>
      <w:lvlText w:val="%1."/>
      <w:lvlJc w:val="left"/>
      <w:pPr>
        <w:ind w:left="540" w:hanging="360"/>
      </w:pPr>
      <w:rPr>
        <w:rFonts w:ascii="Cambria" w:hAnsi="Cambria" w:hint="default"/>
        <w:i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0C7495"/>
    <w:multiLevelType w:val="multilevel"/>
    <w:tmpl w:val="26249FA0"/>
    <w:lvl w:ilvl="0">
      <w:start w:val="1"/>
      <w:numFmt w:val="none"/>
      <w:lvlText w:val=""/>
      <w:lvlJc w:val="left"/>
      <w:pPr>
        <w:ind w:left="360" w:hanging="360"/>
      </w:pPr>
      <w:rPr>
        <w:rFonts w:ascii="Cambria" w:hAnsi="Cambria" w:cs="Times New Roman" w:hint="default"/>
        <w:b/>
        <w:bCs w:val="0"/>
        <w:i w:val="0"/>
        <w:iCs w:val="0"/>
        <w:caps w:val="0"/>
        <w:smallCaps w:val="0"/>
        <w:strike w:val="0"/>
        <w:dstrike w:val="0"/>
        <w:vanish w:val="0"/>
        <w:color w:val="000000"/>
        <w:spacing w:val="0"/>
        <w:kern w:val="0"/>
        <w:position w:val="0"/>
        <w:u w:val="none"/>
        <w:effect w:val="none"/>
        <w:vertAlign w:val="baseline"/>
        <w:em w:val="none"/>
      </w:rPr>
    </w:lvl>
    <w:lvl w:ilvl="1">
      <w:start w:val="1"/>
      <w:numFmt w:val="upperLetter"/>
      <w:lvlText w:val="%2."/>
      <w:lvlJc w:val="left"/>
      <w:pPr>
        <w:ind w:left="1080" w:hanging="360"/>
      </w:pPr>
      <w:rPr>
        <w:rFonts w:hint="default"/>
        <w:i/>
      </w:rPr>
    </w:lvl>
    <w:lvl w:ilvl="2">
      <w:start w:val="1"/>
      <w:numFmt w:val="decimal"/>
      <w:lvlText w:val="%3."/>
      <w:lvlJc w:val="left"/>
      <w:pPr>
        <w:ind w:left="890" w:hanging="180"/>
      </w:pPr>
      <w:rPr>
        <w:rFonts w:hint="default"/>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b/>
      </w:rPr>
    </w:lvl>
    <w:lvl w:ilvl="5">
      <w:start w:val="1"/>
      <w:numFmt w:val="none"/>
      <w:lvlText w:val="%6"/>
      <w:lvlJc w:val="right"/>
      <w:pPr>
        <w:ind w:left="3960" w:hanging="180"/>
      </w:pPr>
      <w:rPr>
        <w:rFonts w:hint="default"/>
      </w:rPr>
    </w:lvl>
    <w:lvl w:ilvl="6">
      <w:start w:val="1"/>
      <w:numFmt w:val="none"/>
      <w:lvlText w:val="%7"/>
      <w:lvlJc w:val="left"/>
      <w:pPr>
        <w:ind w:left="4680" w:hanging="360"/>
      </w:pPr>
      <w:rPr>
        <w:rFonts w:hint="default"/>
      </w:rPr>
    </w:lvl>
    <w:lvl w:ilvl="7">
      <w:start w:val="1"/>
      <w:numFmt w:val="none"/>
      <w:lvlText w:val="%8"/>
      <w:lvlJc w:val="left"/>
      <w:pPr>
        <w:ind w:left="5400" w:hanging="360"/>
      </w:pPr>
      <w:rPr>
        <w:rFonts w:hint="default"/>
      </w:rPr>
    </w:lvl>
    <w:lvl w:ilvl="8">
      <w:start w:val="1"/>
      <w:numFmt w:val="none"/>
      <w:lvlText w:val="%9"/>
      <w:lvlJc w:val="right"/>
      <w:pPr>
        <w:ind w:left="6120" w:hanging="180"/>
      </w:pPr>
      <w:rPr>
        <w:rFonts w:hint="default"/>
      </w:rPr>
    </w:lvl>
  </w:abstractNum>
  <w:abstractNum w:abstractNumId="29" w15:restartNumberingAfterBreak="0">
    <w:nsid w:val="67CB1F2C"/>
    <w:multiLevelType w:val="hybridMultilevel"/>
    <w:tmpl w:val="74EAD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3D7EB0"/>
    <w:multiLevelType w:val="hybridMultilevel"/>
    <w:tmpl w:val="F5B250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C792728"/>
    <w:multiLevelType w:val="hybridMultilevel"/>
    <w:tmpl w:val="F40E68A2"/>
    <w:lvl w:ilvl="0" w:tplc="8CB469C8">
      <w:start w:val="1"/>
      <w:numFmt w:val="decimal"/>
      <w:lvlText w:val="%1."/>
      <w:lvlJc w:val="left"/>
      <w:pPr>
        <w:ind w:left="540" w:hanging="360"/>
      </w:pPr>
      <w:rPr>
        <w:rFonts w:ascii="Cambria" w:hAnsi="Cambria" w:hint="default"/>
        <w:i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E84B31"/>
    <w:multiLevelType w:val="hybridMultilevel"/>
    <w:tmpl w:val="A81CE0AC"/>
    <w:lvl w:ilvl="0" w:tplc="35323DDC">
      <w:start w:val="1"/>
      <w:numFmt w:val="decimal"/>
      <w:lvlText w:val="%1."/>
      <w:lvlJc w:val="left"/>
      <w:pPr>
        <w:ind w:left="720" w:hanging="360"/>
      </w:pPr>
      <w:rPr>
        <w:rFonts w:ascii="Cambria" w:hAnsi="Cambria" w:cs="Calibri" w:hint="default"/>
        <w:color w:val="000000"/>
        <w:sz w:val="2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3" w15:restartNumberingAfterBreak="0">
    <w:nsid w:val="71593867"/>
    <w:multiLevelType w:val="hybridMultilevel"/>
    <w:tmpl w:val="FF7CFB1E"/>
    <w:lvl w:ilvl="0" w:tplc="04090001">
      <w:start w:val="1"/>
      <w:numFmt w:val="bullet"/>
      <w:lvlText w:val=""/>
      <w:lvlJc w:val="left"/>
      <w:pPr>
        <w:ind w:left="540" w:hanging="360"/>
      </w:pPr>
      <w:rPr>
        <w:rFonts w:ascii="Symbol" w:hAnsi="Symbol" w:hint="default"/>
        <w:i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8C45B0"/>
    <w:multiLevelType w:val="hybridMultilevel"/>
    <w:tmpl w:val="4D14554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5" w15:restartNumberingAfterBreak="0">
    <w:nsid w:val="7359707F"/>
    <w:multiLevelType w:val="hybridMultilevel"/>
    <w:tmpl w:val="7FD47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E678D4"/>
    <w:multiLevelType w:val="hybridMultilevel"/>
    <w:tmpl w:val="E17283F6"/>
    <w:lvl w:ilvl="0" w:tplc="E5EC46FE">
      <w:start w:val="1"/>
      <w:numFmt w:val="decimal"/>
      <w:lvlText w:val="%1."/>
      <w:lvlJc w:val="left"/>
      <w:pPr>
        <w:ind w:left="540" w:hanging="360"/>
      </w:pPr>
      <w:rPr>
        <w:rFonts w:ascii="Cambria" w:hAnsi="Cambria" w:hint="default"/>
        <w:b w:val="0"/>
        <w:i w:val="0"/>
        <w:sz w:val="20"/>
        <w:szCs w:val="20"/>
      </w:rPr>
    </w:lvl>
    <w:lvl w:ilvl="1" w:tplc="04090019">
      <w:start w:val="1"/>
      <w:numFmt w:val="lowerLetter"/>
      <w:lvlText w:val="%2."/>
      <w:lvlJc w:val="left"/>
      <w:pPr>
        <w:ind w:left="36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3275CA"/>
    <w:multiLevelType w:val="hybridMultilevel"/>
    <w:tmpl w:val="4274C3B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8" w15:restartNumberingAfterBreak="0">
    <w:nsid w:val="7C61690C"/>
    <w:multiLevelType w:val="hybridMultilevel"/>
    <w:tmpl w:val="743A5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7"/>
  </w:num>
  <w:num w:numId="2">
    <w:abstractNumId w:val="3"/>
  </w:num>
  <w:num w:numId="3">
    <w:abstractNumId w:val="21"/>
  </w:num>
  <w:num w:numId="4">
    <w:abstractNumId w:val="7"/>
  </w:num>
  <w:num w:numId="5">
    <w:abstractNumId w:val="23"/>
  </w:num>
  <w:num w:numId="6">
    <w:abstractNumId w:val="36"/>
  </w:num>
  <w:num w:numId="7">
    <w:abstractNumId w:val="28"/>
  </w:num>
  <w:num w:numId="8">
    <w:abstractNumId w:val="15"/>
  </w:num>
  <w:num w:numId="9">
    <w:abstractNumId w:val="22"/>
  </w:num>
  <w:num w:numId="10">
    <w:abstractNumId w:val="38"/>
  </w:num>
  <w:num w:numId="11">
    <w:abstractNumId w:val="12"/>
  </w:num>
  <w:num w:numId="12">
    <w:abstractNumId w:val="30"/>
  </w:num>
  <w:num w:numId="13">
    <w:abstractNumId w:val="16"/>
  </w:num>
  <w:num w:numId="14">
    <w:abstractNumId w:val="9"/>
  </w:num>
  <w:num w:numId="15">
    <w:abstractNumId w:val="10"/>
  </w:num>
  <w:num w:numId="16">
    <w:abstractNumId w:val="8"/>
  </w:num>
  <w:num w:numId="17">
    <w:abstractNumId w:val="37"/>
  </w:num>
  <w:num w:numId="18">
    <w:abstractNumId w:val="24"/>
  </w:num>
  <w:num w:numId="19">
    <w:abstractNumId w:val="14"/>
  </w:num>
  <w:num w:numId="20">
    <w:abstractNumId w:val="4"/>
  </w:num>
  <w:num w:numId="21">
    <w:abstractNumId w:val="20"/>
  </w:num>
  <w:num w:numId="22">
    <w:abstractNumId w:val="6"/>
  </w:num>
  <w:num w:numId="23">
    <w:abstractNumId w:val="5"/>
  </w:num>
  <w:num w:numId="24">
    <w:abstractNumId w:val="33"/>
  </w:num>
  <w:num w:numId="25">
    <w:abstractNumId w:val="13"/>
  </w:num>
  <w:num w:numId="26">
    <w:abstractNumId w:val="0"/>
  </w:num>
  <w:num w:numId="27">
    <w:abstractNumId w:val="35"/>
  </w:num>
  <w:num w:numId="28">
    <w:abstractNumId w:val="31"/>
  </w:num>
  <w:num w:numId="29">
    <w:abstractNumId w:val="2"/>
  </w:num>
  <w:num w:numId="30">
    <w:abstractNumId w:val="26"/>
  </w:num>
  <w:num w:numId="31">
    <w:abstractNumId w:val="27"/>
  </w:num>
  <w:num w:numId="32">
    <w:abstractNumId w:val="25"/>
  </w:num>
  <w:num w:numId="33">
    <w:abstractNumId w:val="18"/>
  </w:num>
  <w:num w:numId="34">
    <w:abstractNumId w:val="34"/>
  </w:num>
  <w:num w:numId="35">
    <w:abstractNumId w:val="29"/>
  </w:num>
  <w:num w:numId="36">
    <w:abstractNumId w:val="19"/>
  </w:num>
  <w:num w:numId="37">
    <w:abstractNumId w:val="1"/>
  </w:num>
  <w:num w:numId="38">
    <w:abstractNumId w:val="32"/>
  </w:num>
  <w:num w:numId="39">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activeWritingStyle w:appName="MSWord" w:lang="es-ES"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uz-Cyrl-UZ" w:vendorID="64" w:dllVersion="6" w:nlCheck="1" w:checkStyle="0"/>
  <w:activeWritingStyle w:appName="MSWord" w:lang="es-US" w:vendorID="64" w:dllVersion="6" w:nlCheck="1" w:checkStyle="0"/>
  <w:activeWritingStyle w:appName="MSWord" w:lang="es-CO" w:vendorID="64" w:dllVersion="6" w:nlCheck="1" w:checkStyle="0"/>
  <w:activeWritingStyle w:appName="MSWord" w:lang="en-US" w:vendorID="64" w:dllVersion="6" w:nlCheck="1" w:checkStyle="1"/>
  <w:activeWritingStyle w:appName="MSWord" w:lang="pt-BR" w:vendorID="64" w:dllVersion="6" w:nlCheck="1" w:checkStyle="0"/>
  <w:activeWritingStyle w:appName="MSWord" w:lang="es-AR" w:vendorID="64" w:dllVersion="6" w:nlCheck="1" w:checkStyle="0"/>
  <w:activeWritingStyle w:appName="MSWord" w:lang="en-GB" w:vendorID="64" w:dllVersion="6" w:nlCheck="1" w:checkStyle="1"/>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US" w:vendorID="64" w:dllVersion="0" w:nlCheck="1" w:checkStyle="0"/>
  <w:activeWritingStyle w:appName="MSWord" w:lang="es-CO" w:vendorID="64" w:dllVersion="0" w:nlCheck="1" w:checkStyle="0"/>
  <w:activeWritingStyle w:appName="MSWord" w:lang="es-AR" w:vendorID="64" w:dllVersion="0" w:nlCheck="1" w:checkStyle="0"/>
  <w:activeWritingStyle w:appName="MSWord" w:lang="en-GB" w:vendorID="64" w:dllVersion="0" w:nlCheck="1" w:checkStyle="0"/>
  <w:activeWritingStyle w:appName="MSWord" w:lang="en-US" w:vendorID="64" w:dllVersion="0" w:nlCheck="1" w:checkStyle="0"/>
  <w:activeWritingStyle w:appName="MSWord" w:lang="es-419" w:vendorID="64" w:dllVersion="6" w:nlCheck="1" w:checkStyle="0"/>
  <w:activeWritingStyle w:appName="MSWord" w:lang="es-419" w:vendorID="64" w:dllVersion="0" w:nlCheck="1" w:checkStyle="0"/>
  <w:activeWritingStyle w:appName="MSWord" w:lang="en-US" w:vendorID="64" w:dllVersion="131078" w:nlCheck="1" w:checkStyle="0"/>
  <w:activeWritingStyle w:appName="MSWord" w:lang="es-419" w:vendorID="64" w:dllVersion="131078" w:nlCheck="1" w:checkStyle="0"/>
  <w:activeWritingStyle w:appName="MSWord" w:lang="es-ES_tradnl" w:vendorID="64" w:dllVersion="131078" w:nlCheck="1" w:checkStyle="0"/>
  <w:activeWritingStyle w:appName="MSWord" w:lang="es-US"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s-CO" w:vendorID="64" w:dllVersion="131078" w:nlCheck="1" w:checkStyle="0"/>
  <w:activeWritingStyle w:appName="MSWord" w:lang="es-AR" w:vendorID="64" w:dllVersion="131078" w:nlCheck="1" w:checkStyle="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B0F"/>
    <w:rsid w:val="0000106C"/>
    <w:rsid w:val="000027F5"/>
    <w:rsid w:val="00005E69"/>
    <w:rsid w:val="00006815"/>
    <w:rsid w:val="000069D9"/>
    <w:rsid w:val="00006AF0"/>
    <w:rsid w:val="0001152E"/>
    <w:rsid w:val="00016778"/>
    <w:rsid w:val="0001720F"/>
    <w:rsid w:val="00017898"/>
    <w:rsid w:val="00017C6B"/>
    <w:rsid w:val="000215D6"/>
    <w:rsid w:val="00021801"/>
    <w:rsid w:val="00021E65"/>
    <w:rsid w:val="0002210F"/>
    <w:rsid w:val="00022D4B"/>
    <w:rsid w:val="000230C0"/>
    <w:rsid w:val="00024E19"/>
    <w:rsid w:val="00024ED4"/>
    <w:rsid w:val="00025D1E"/>
    <w:rsid w:val="00027135"/>
    <w:rsid w:val="00031103"/>
    <w:rsid w:val="00036305"/>
    <w:rsid w:val="000417C3"/>
    <w:rsid w:val="00041F30"/>
    <w:rsid w:val="000437E0"/>
    <w:rsid w:val="000455F1"/>
    <w:rsid w:val="00047000"/>
    <w:rsid w:val="000472F5"/>
    <w:rsid w:val="000500CA"/>
    <w:rsid w:val="00051D7A"/>
    <w:rsid w:val="00051F39"/>
    <w:rsid w:val="0005228B"/>
    <w:rsid w:val="00052CC0"/>
    <w:rsid w:val="00056163"/>
    <w:rsid w:val="000563CB"/>
    <w:rsid w:val="00061273"/>
    <w:rsid w:val="00061475"/>
    <w:rsid w:val="00061532"/>
    <w:rsid w:val="00061D10"/>
    <w:rsid w:val="00061E40"/>
    <w:rsid w:val="00062B25"/>
    <w:rsid w:val="00063C7B"/>
    <w:rsid w:val="0006625E"/>
    <w:rsid w:val="000710E4"/>
    <w:rsid w:val="00071C4C"/>
    <w:rsid w:val="00072447"/>
    <w:rsid w:val="000735DE"/>
    <w:rsid w:val="00082B18"/>
    <w:rsid w:val="00084393"/>
    <w:rsid w:val="000878B3"/>
    <w:rsid w:val="00094178"/>
    <w:rsid w:val="00094325"/>
    <w:rsid w:val="00096FA7"/>
    <w:rsid w:val="000A1D48"/>
    <w:rsid w:val="000A47DD"/>
    <w:rsid w:val="000A504B"/>
    <w:rsid w:val="000A7993"/>
    <w:rsid w:val="000B11E3"/>
    <w:rsid w:val="000B1896"/>
    <w:rsid w:val="000B38FD"/>
    <w:rsid w:val="000B3D6E"/>
    <w:rsid w:val="000B58F6"/>
    <w:rsid w:val="000B5F03"/>
    <w:rsid w:val="000B64A4"/>
    <w:rsid w:val="000B7836"/>
    <w:rsid w:val="000B7963"/>
    <w:rsid w:val="000B7A57"/>
    <w:rsid w:val="000C0DAF"/>
    <w:rsid w:val="000C4045"/>
    <w:rsid w:val="000C525F"/>
    <w:rsid w:val="000D2470"/>
    <w:rsid w:val="000D342C"/>
    <w:rsid w:val="000D5C25"/>
    <w:rsid w:val="000D5C66"/>
    <w:rsid w:val="000D7594"/>
    <w:rsid w:val="000D7D1B"/>
    <w:rsid w:val="000E2F13"/>
    <w:rsid w:val="000E59C3"/>
    <w:rsid w:val="000E6496"/>
    <w:rsid w:val="000F03D8"/>
    <w:rsid w:val="000F1ADD"/>
    <w:rsid w:val="000F4A0B"/>
    <w:rsid w:val="000F7597"/>
    <w:rsid w:val="000F76C7"/>
    <w:rsid w:val="0010320C"/>
    <w:rsid w:val="00104DF9"/>
    <w:rsid w:val="00105FB5"/>
    <w:rsid w:val="00110257"/>
    <w:rsid w:val="001131B7"/>
    <w:rsid w:val="00120392"/>
    <w:rsid w:val="00121917"/>
    <w:rsid w:val="001221C7"/>
    <w:rsid w:val="00122F18"/>
    <w:rsid w:val="00124408"/>
    <w:rsid w:val="001244DB"/>
    <w:rsid w:val="00124ECF"/>
    <w:rsid w:val="00126272"/>
    <w:rsid w:val="00127705"/>
    <w:rsid w:val="001332E8"/>
    <w:rsid w:val="001333AC"/>
    <w:rsid w:val="00134C72"/>
    <w:rsid w:val="00134C78"/>
    <w:rsid w:val="00140942"/>
    <w:rsid w:val="00140D8C"/>
    <w:rsid w:val="00141CF4"/>
    <w:rsid w:val="00144ECE"/>
    <w:rsid w:val="001466D6"/>
    <w:rsid w:val="0015110D"/>
    <w:rsid w:val="00151935"/>
    <w:rsid w:val="001540BD"/>
    <w:rsid w:val="00155FA4"/>
    <w:rsid w:val="00156FBB"/>
    <w:rsid w:val="00157B5F"/>
    <w:rsid w:val="00160A4E"/>
    <w:rsid w:val="001668AD"/>
    <w:rsid w:val="00171932"/>
    <w:rsid w:val="00173070"/>
    <w:rsid w:val="00174FBE"/>
    <w:rsid w:val="00176E29"/>
    <w:rsid w:val="001773C5"/>
    <w:rsid w:val="00177CC8"/>
    <w:rsid w:val="00182A11"/>
    <w:rsid w:val="00182F5A"/>
    <w:rsid w:val="00183E6A"/>
    <w:rsid w:val="00186D42"/>
    <w:rsid w:val="00191A9D"/>
    <w:rsid w:val="0019428B"/>
    <w:rsid w:val="00195558"/>
    <w:rsid w:val="00196B0F"/>
    <w:rsid w:val="001974BF"/>
    <w:rsid w:val="00197BD1"/>
    <w:rsid w:val="00197FCB"/>
    <w:rsid w:val="001A136A"/>
    <w:rsid w:val="001A3444"/>
    <w:rsid w:val="001A35BF"/>
    <w:rsid w:val="001A6A93"/>
    <w:rsid w:val="001B092A"/>
    <w:rsid w:val="001B1725"/>
    <w:rsid w:val="001B1D10"/>
    <w:rsid w:val="001B1F7A"/>
    <w:rsid w:val="001B1FA1"/>
    <w:rsid w:val="001B210A"/>
    <w:rsid w:val="001B3F2F"/>
    <w:rsid w:val="001B416C"/>
    <w:rsid w:val="001B7839"/>
    <w:rsid w:val="001C0A6D"/>
    <w:rsid w:val="001C0DC1"/>
    <w:rsid w:val="001C16AF"/>
    <w:rsid w:val="001C1847"/>
    <w:rsid w:val="001C229C"/>
    <w:rsid w:val="001C575E"/>
    <w:rsid w:val="001C6183"/>
    <w:rsid w:val="001D0D29"/>
    <w:rsid w:val="001D222F"/>
    <w:rsid w:val="001D28F8"/>
    <w:rsid w:val="001D742B"/>
    <w:rsid w:val="001D75D5"/>
    <w:rsid w:val="001E093F"/>
    <w:rsid w:val="001E4BD7"/>
    <w:rsid w:val="001E5E84"/>
    <w:rsid w:val="001E7483"/>
    <w:rsid w:val="001E74D3"/>
    <w:rsid w:val="001F110E"/>
    <w:rsid w:val="001F36F9"/>
    <w:rsid w:val="001F3EFA"/>
    <w:rsid w:val="001F3FEF"/>
    <w:rsid w:val="001F48E3"/>
    <w:rsid w:val="001F495A"/>
    <w:rsid w:val="001F74F7"/>
    <w:rsid w:val="001F76BF"/>
    <w:rsid w:val="002009B4"/>
    <w:rsid w:val="00200F60"/>
    <w:rsid w:val="002016AE"/>
    <w:rsid w:val="00204AD1"/>
    <w:rsid w:val="00205001"/>
    <w:rsid w:val="002058AC"/>
    <w:rsid w:val="00207781"/>
    <w:rsid w:val="0021029A"/>
    <w:rsid w:val="00211993"/>
    <w:rsid w:val="00212B06"/>
    <w:rsid w:val="00213860"/>
    <w:rsid w:val="002142FF"/>
    <w:rsid w:val="00214C39"/>
    <w:rsid w:val="0021643C"/>
    <w:rsid w:val="0021669C"/>
    <w:rsid w:val="00217A39"/>
    <w:rsid w:val="00222404"/>
    <w:rsid w:val="00222D4F"/>
    <w:rsid w:val="00223AED"/>
    <w:rsid w:val="00223B36"/>
    <w:rsid w:val="0022501E"/>
    <w:rsid w:val="00225723"/>
    <w:rsid w:val="00231DBE"/>
    <w:rsid w:val="00233CB2"/>
    <w:rsid w:val="00235E2E"/>
    <w:rsid w:val="00236412"/>
    <w:rsid w:val="00243B8D"/>
    <w:rsid w:val="00246905"/>
    <w:rsid w:val="00250058"/>
    <w:rsid w:val="00252376"/>
    <w:rsid w:val="00255BF7"/>
    <w:rsid w:val="002615E7"/>
    <w:rsid w:val="002629E5"/>
    <w:rsid w:val="00262B6C"/>
    <w:rsid w:val="00264BA2"/>
    <w:rsid w:val="00265C94"/>
    <w:rsid w:val="002766A3"/>
    <w:rsid w:val="00276BEC"/>
    <w:rsid w:val="0028084C"/>
    <w:rsid w:val="002809BE"/>
    <w:rsid w:val="0028131A"/>
    <w:rsid w:val="002844FF"/>
    <w:rsid w:val="00295A5C"/>
    <w:rsid w:val="002968C0"/>
    <w:rsid w:val="00297C67"/>
    <w:rsid w:val="002A0E1B"/>
    <w:rsid w:val="002A3176"/>
    <w:rsid w:val="002A32DA"/>
    <w:rsid w:val="002A39B2"/>
    <w:rsid w:val="002A3BF7"/>
    <w:rsid w:val="002A48B9"/>
    <w:rsid w:val="002A6335"/>
    <w:rsid w:val="002B0B2A"/>
    <w:rsid w:val="002B0CD6"/>
    <w:rsid w:val="002B0E72"/>
    <w:rsid w:val="002B0EF9"/>
    <w:rsid w:val="002B5C19"/>
    <w:rsid w:val="002B7C3C"/>
    <w:rsid w:val="002C073E"/>
    <w:rsid w:val="002C28B4"/>
    <w:rsid w:val="002C478B"/>
    <w:rsid w:val="002C60FD"/>
    <w:rsid w:val="002C658C"/>
    <w:rsid w:val="002C755F"/>
    <w:rsid w:val="002C7B82"/>
    <w:rsid w:val="002D14B8"/>
    <w:rsid w:val="002D4BEF"/>
    <w:rsid w:val="002D6103"/>
    <w:rsid w:val="002D6CE2"/>
    <w:rsid w:val="002D740E"/>
    <w:rsid w:val="002D77DE"/>
    <w:rsid w:val="002D7BA7"/>
    <w:rsid w:val="002E25A3"/>
    <w:rsid w:val="002E6E93"/>
    <w:rsid w:val="002F2575"/>
    <w:rsid w:val="002F37C2"/>
    <w:rsid w:val="002F4063"/>
    <w:rsid w:val="002F612A"/>
    <w:rsid w:val="002F6645"/>
    <w:rsid w:val="002F6A78"/>
    <w:rsid w:val="002F6A8C"/>
    <w:rsid w:val="00301425"/>
    <w:rsid w:val="00303750"/>
    <w:rsid w:val="003037FD"/>
    <w:rsid w:val="003040AF"/>
    <w:rsid w:val="003049F8"/>
    <w:rsid w:val="00306CCF"/>
    <w:rsid w:val="003076B8"/>
    <w:rsid w:val="0031028D"/>
    <w:rsid w:val="00310E5B"/>
    <w:rsid w:val="00310F5C"/>
    <w:rsid w:val="00315A52"/>
    <w:rsid w:val="00317891"/>
    <w:rsid w:val="0032055A"/>
    <w:rsid w:val="003229F0"/>
    <w:rsid w:val="00322A24"/>
    <w:rsid w:val="00325299"/>
    <w:rsid w:val="00331091"/>
    <w:rsid w:val="003319CD"/>
    <w:rsid w:val="003320FF"/>
    <w:rsid w:val="00336C65"/>
    <w:rsid w:val="003376EF"/>
    <w:rsid w:val="0033793A"/>
    <w:rsid w:val="00340717"/>
    <w:rsid w:val="0034275D"/>
    <w:rsid w:val="00344FC4"/>
    <w:rsid w:val="003457FF"/>
    <w:rsid w:val="00347A72"/>
    <w:rsid w:val="00347CF3"/>
    <w:rsid w:val="00351233"/>
    <w:rsid w:val="003518A6"/>
    <w:rsid w:val="003564A2"/>
    <w:rsid w:val="00365DD9"/>
    <w:rsid w:val="003662C4"/>
    <w:rsid w:val="003666BD"/>
    <w:rsid w:val="0037069A"/>
    <w:rsid w:val="00375069"/>
    <w:rsid w:val="003754DA"/>
    <w:rsid w:val="00375A9D"/>
    <w:rsid w:val="003828E9"/>
    <w:rsid w:val="00382D69"/>
    <w:rsid w:val="0038424F"/>
    <w:rsid w:val="00384253"/>
    <w:rsid w:val="00385F1D"/>
    <w:rsid w:val="00393310"/>
    <w:rsid w:val="003941D4"/>
    <w:rsid w:val="00397FD9"/>
    <w:rsid w:val="003A01C2"/>
    <w:rsid w:val="003A1482"/>
    <w:rsid w:val="003A1980"/>
    <w:rsid w:val="003A228F"/>
    <w:rsid w:val="003A3EC2"/>
    <w:rsid w:val="003A44B4"/>
    <w:rsid w:val="003A4802"/>
    <w:rsid w:val="003A7D73"/>
    <w:rsid w:val="003B05A9"/>
    <w:rsid w:val="003B12ED"/>
    <w:rsid w:val="003B2F87"/>
    <w:rsid w:val="003B54D7"/>
    <w:rsid w:val="003B684F"/>
    <w:rsid w:val="003B6FCE"/>
    <w:rsid w:val="003B7542"/>
    <w:rsid w:val="003C191E"/>
    <w:rsid w:val="003C1E5E"/>
    <w:rsid w:val="003C1EA1"/>
    <w:rsid w:val="003C3B0E"/>
    <w:rsid w:val="003C5160"/>
    <w:rsid w:val="003D011F"/>
    <w:rsid w:val="003D0A00"/>
    <w:rsid w:val="003D172A"/>
    <w:rsid w:val="003D393A"/>
    <w:rsid w:val="003D451E"/>
    <w:rsid w:val="003E3690"/>
    <w:rsid w:val="003E388A"/>
    <w:rsid w:val="003E6557"/>
    <w:rsid w:val="003E7EC8"/>
    <w:rsid w:val="003F0A40"/>
    <w:rsid w:val="003F0CD4"/>
    <w:rsid w:val="003F6A3C"/>
    <w:rsid w:val="00402A1C"/>
    <w:rsid w:val="00402E7E"/>
    <w:rsid w:val="00402EBC"/>
    <w:rsid w:val="00410726"/>
    <w:rsid w:val="00413C5B"/>
    <w:rsid w:val="0041483D"/>
    <w:rsid w:val="00414F7D"/>
    <w:rsid w:val="00415C9C"/>
    <w:rsid w:val="00415FAC"/>
    <w:rsid w:val="00417D49"/>
    <w:rsid w:val="00417DE6"/>
    <w:rsid w:val="00421DBB"/>
    <w:rsid w:val="00422D7A"/>
    <w:rsid w:val="0042359A"/>
    <w:rsid w:val="00424F2D"/>
    <w:rsid w:val="00425F09"/>
    <w:rsid w:val="0042724C"/>
    <w:rsid w:val="00427301"/>
    <w:rsid w:val="00431AD8"/>
    <w:rsid w:val="00433427"/>
    <w:rsid w:val="00434C20"/>
    <w:rsid w:val="00443499"/>
    <w:rsid w:val="00446B0D"/>
    <w:rsid w:val="00446C61"/>
    <w:rsid w:val="004535AF"/>
    <w:rsid w:val="0045388C"/>
    <w:rsid w:val="00454196"/>
    <w:rsid w:val="0045706A"/>
    <w:rsid w:val="00457B8C"/>
    <w:rsid w:val="00457C1C"/>
    <w:rsid w:val="004643A0"/>
    <w:rsid w:val="00464FD1"/>
    <w:rsid w:val="004653C5"/>
    <w:rsid w:val="00466C79"/>
    <w:rsid w:val="00467D0C"/>
    <w:rsid w:val="00467FD6"/>
    <w:rsid w:val="00470066"/>
    <w:rsid w:val="00470618"/>
    <w:rsid w:val="004711B5"/>
    <w:rsid w:val="004738CD"/>
    <w:rsid w:val="0048039D"/>
    <w:rsid w:val="0048341B"/>
    <w:rsid w:val="00485656"/>
    <w:rsid w:val="00485FE9"/>
    <w:rsid w:val="0048622E"/>
    <w:rsid w:val="00487302"/>
    <w:rsid w:val="00487453"/>
    <w:rsid w:val="00487560"/>
    <w:rsid w:val="004903A7"/>
    <w:rsid w:val="004917E8"/>
    <w:rsid w:val="00491A94"/>
    <w:rsid w:val="00491B17"/>
    <w:rsid w:val="004964A5"/>
    <w:rsid w:val="00496AFD"/>
    <w:rsid w:val="004A15BA"/>
    <w:rsid w:val="004A1CA0"/>
    <w:rsid w:val="004A231C"/>
    <w:rsid w:val="004A3CE2"/>
    <w:rsid w:val="004A4F79"/>
    <w:rsid w:val="004A7652"/>
    <w:rsid w:val="004B443E"/>
    <w:rsid w:val="004B62CB"/>
    <w:rsid w:val="004B6FAF"/>
    <w:rsid w:val="004C087D"/>
    <w:rsid w:val="004C0D2A"/>
    <w:rsid w:val="004C166D"/>
    <w:rsid w:val="004D2224"/>
    <w:rsid w:val="004D25BB"/>
    <w:rsid w:val="004D31A1"/>
    <w:rsid w:val="004D6BCA"/>
    <w:rsid w:val="004D6D85"/>
    <w:rsid w:val="004D6FEC"/>
    <w:rsid w:val="004D7999"/>
    <w:rsid w:val="004D7F97"/>
    <w:rsid w:val="004E08FB"/>
    <w:rsid w:val="004E155D"/>
    <w:rsid w:val="004E2CEC"/>
    <w:rsid w:val="004E4A5E"/>
    <w:rsid w:val="004E4CB8"/>
    <w:rsid w:val="004E7990"/>
    <w:rsid w:val="004F1F1A"/>
    <w:rsid w:val="004F3077"/>
    <w:rsid w:val="004F5F4D"/>
    <w:rsid w:val="004F6860"/>
    <w:rsid w:val="004F7FE3"/>
    <w:rsid w:val="00500E95"/>
    <w:rsid w:val="00502568"/>
    <w:rsid w:val="00503B16"/>
    <w:rsid w:val="00505A3A"/>
    <w:rsid w:val="00506151"/>
    <w:rsid w:val="00507766"/>
    <w:rsid w:val="005121F2"/>
    <w:rsid w:val="005129DE"/>
    <w:rsid w:val="00512A9B"/>
    <w:rsid w:val="0051320C"/>
    <w:rsid w:val="005137C7"/>
    <w:rsid w:val="005168F2"/>
    <w:rsid w:val="00516F3C"/>
    <w:rsid w:val="00517B64"/>
    <w:rsid w:val="00517C9D"/>
    <w:rsid w:val="00521C62"/>
    <w:rsid w:val="00522FA3"/>
    <w:rsid w:val="00523154"/>
    <w:rsid w:val="00523C8A"/>
    <w:rsid w:val="00523DD8"/>
    <w:rsid w:val="005267EF"/>
    <w:rsid w:val="00526B6E"/>
    <w:rsid w:val="00527CE7"/>
    <w:rsid w:val="0053010B"/>
    <w:rsid w:val="005318CD"/>
    <w:rsid w:val="0053322D"/>
    <w:rsid w:val="00534218"/>
    <w:rsid w:val="00534E67"/>
    <w:rsid w:val="005357EC"/>
    <w:rsid w:val="005409BF"/>
    <w:rsid w:val="0054224D"/>
    <w:rsid w:val="00543A09"/>
    <w:rsid w:val="00543EB7"/>
    <w:rsid w:val="00544C0E"/>
    <w:rsid w:val="00544D56"/>
    <w:rsid w:val="00546C48"/>
    <w:rsid w:val="00547A56"/>
    <w:rsid w:val="00550651"/>
    <w:rsid w:val="00550EE2"/>
    <w:rsid w:val="00551B19"/>
    <w:rsid w:val="0055322A"/>
    <w:rsid w:val="00554C78"/>
    <w:rsid w:val="00560602"/>
    <w:rsid w:val="00561A1E"/>
    <w:rsid w:val="005638FA"/>
    <w:rsid w:val="00564F10"/>
    <w:rsid w:val="005677DB"/>
    <w:rsid w:val="00574759"/>
    <w:rsid w:val="00575180"/>
    <w:rsid w:val="0057586B"/>
    <w:rsid w:val="00575A38"/>
    <w:rsid w:val="00581AE8"/>
    <w:rsid w:val="00582346"/>
    <w:rsid w:val="0058290E"/>
    <w:rsid w:val="0058338A"/>
    <w:rsid w:val="00585058"/>
    <w:rsid w:val="0058688A"/>
    <w:rsid w:val="00590BCD"/>
    <w:rsid w:val="005920F2"/>
    <w:rsid w:val="00592D56"/>
    <w:rsid w:val="00592F84"/>
    <w:rsid w:val="00593B02"/>
    <w:rsid w:val="00594142"/>
    <w:rsid w:val="00594182"/>
    <w:rsid w:val="005974D8"/>
    <w:rsid w:val="005A08A9"/>
    <w:rsid w:val="005A0FDE"/>
    <w:rsid w:val="005A2A33"/>
    <w:rsid w:val="005A2AEB"/>
    <w:rsid w:val="005A2E4A"/>
    <w:rsid w:val="005A3B79"/>
    <w:rsid w:val="005A4DE4"/>
    <w:rsid w:val="005A4FC8"/>
    <w:rsid w:val="005A5A79"/>
    <w:rsid w:val="005B187E"/>
    <w:rsid w:val="005B23B6"/>
    <w:rsid w:val="005B32FC"/>
    <w:rsid w:val="005B6719"/>
    <w:rsid w:val="005C5563"/>
    <w:rsid w:val="005D2481"/>
    <w:rsid w:val="005D5BFA"/>
    <w:rsid w:val="005D64EE"/>
    <w:rsid w:val="005D6CE7"/>
    <w:rsid w:val="005E045D"/>
    <w:rsid w:val="005E12E5"/>
    <w:rsid w:val="005E163B"/>
    <w:rsid w:val="005E27EF"/>
    <w:rsid w:val="005E7376"/>
    <w:rsid w:val="005E7E1B"/>
    <w:rsid w:val="005F0517"/>
    <w:rsid w:val="005F1683"/>
    <w:rsid w:val="005F2575"/>
    <w:rsid w:val="005F3C7A"/>
    <w:rsid w:val="005F42C3"/>
    <w:rsid w:val="005F4AAA"/>
    <w:rsid w:val="005F5F47"/>
    <w:rsid w:val="005F7220"/>
    <w:rsid w:val="006003E2"/>
    <w:rsid w:val="00604132"/>
    <w:rsid w:val="006043DF"/>
    <w:rsid w:val="00604F1C"/>
    <w:rsid w:val="006059DD"/>
    <w:rsid w:val="0060672B"/>
    <w:rsid w:val="00606E81"/>
    <w:rsid w:val="00607EC1"/>
    <w:rsid w:val="00612CD5"/>
    <w:rsid w:val="00612D71"/>
    <w:rsid w:val="0061439D"/>
    <w:rsid w:val="00615F68"/>
    <w:rsid w:val="00616F61"/>
    <w:rsid w:val="00617FCE"/>
    <w:rsid w:val="00620AFC"/>
    <w:rsid w:val="00622BF2"/>
    <w:rsid w:val="00634901"/>
    <w:rsid w:val="00634B32"/>
    <w:rsid w:val="00635EB1"/>
    <w:rsid w:val="00636576"/>
    <w:rsid w:val="0064228B"/>
    <w:rsid w:val="006451B4"/>
    <w:rsid w:val="00645A52"/>
    <w:rsid w:val="006472D1"/>
    <w:rsid w:val="00651219"/>
    <w:rsid w:val="006541A4"/>
    <w:rsid w:val="00656EB6"/>
    <w:rsid w:val="0066126F"/>
    <w:rsid w:val="00662254"/>
    <w:rsid w:val="00673A20"/>
    <w:rsid w:val="00675F8B"/>
    <w:rsid w:val="006763DB"/>
    <w:rsid w:val="006773C5"/>
    <w:rsid w:val="00677684"/>
    <w:rsid w:val="00680800"/>
    <w:rsid w:val="00681B34"/>
    <w:rsid w:val="00683318"/>
    <w:rsid w:val="00686590"/>
    <w:rsid w:val="00687A4F"/>
    <w:rsid w:val="006917FF"/>
    <w:rsid w:val="006964C0"/>
    <w:rsid w:val="006967D1"/>
    <w:rsid w:val="006968B7"/>
    <w:rsid w:val="006A2AFD"/>
    <w:rsid w:val="006A53A3"/>
    <w:rsid w:val="006A6AB3"/>
    <w:rsid w:val="006A7562"/>
    <w:rsid w:val="006A7A2C"/>
    <w:rsid w:val="006B17E1"/>
    <w:rsid w:val="006B4042"/>
    <w:rsid w:val="006B59FB"/>
    <w:rsid w:val="006B7A89"/>
    <w:rsid w:val="006C229A"/>
    <w:rsid w:val="006D1398"/>
    <w:rsid w:val="006D4C26"/>
    <w:rsid w:val="006D64AF"/>
    <w:rsid w:val="006D664B"/>
    <w:rsid w:val="006D6E70"/>
    <w:rsid w:val="006D77F2"/>
    <w:rsid w:val="006E0753"/>
    <w:rsid w:val="006E2DD7"/>
    <w:rsid w:val="006E746E"/>
    <w:rsid w:val="006F0429"/>
    <w:rsid w:val="006F5DE4"/>
    <w:rsid w:val="006F5E16"/>
    <w:rsid w:val="006F715E"/>
    <w:rsid w:val="006F7BFA"/>
    <w:rsid w:val="00700861"/>
    <w:rsid w:val="00700DF6"/>
    <w:rsid w:val="007016DA"/>
    <w:rsid w:val="007026A8"/>
    <w:rsid w:val="00704A83"/>
    <w:rsid w:val="00706A5B"/>
    <w:rsid w:val="007073B0"/>
    <w:rsid w:val="007109C8"/>
    <w:rsid w:val="00716878"/>
    <w:rsid w:val="007203E0"/>
    <w:rsid w:val="00720648"/>
    <w:rsid w:val="00720F6A"/>
    <w:rsid w:val="00722834"/>
    <w:rsid w:val="007233E1"/>
    <w:rsid w:val="007237F0"/>
    <w:rsid w:val="00724AB3"/>
    <w:rsid w:val="00725942"/>
    <w:rsid w:val="00726F33"/>
    <w:rsid w:val="00734E73"/>
    <w:rsid w:val="007362B8"/>
    <w:rsid w:val="0074720D"/>
    <w:rsid w:val="0075125C"/>
    <w:rsid w:val="007519DF"/>
    <w:rsid w:val="007531A1"/>
    <w:rsid w:val="00755EBB"/>
    <w:rsid w:val="007572E2"/>
    <w:rsid w:val="007622C8"/>
    <w:rsid w:val="0076432A"/>
    <w:rsid w:val="00764A6E"/>
    <w:rsid w:val="00764F4B"/>
    <w:rsid w:val="00766003"/>
    <w:rsid w:val="00770D21"/>
    <w:rsid w:val="00774776"/>
    <w:rsid w:val="00775C40"/>
    <w:rsid w:val="007767F7"/>
    <w:rsid w:val="00777A08"/>
    <w:rsid w:val="00782D97"/>
    <w:rsid w:val="007831DC"/>
    <w:rsid w:val="0078439E"/>
    <w:rsid w:val="00785EF9"/>
    <w:rsid w:val="00787046"/>
    <w:rsid w:val="00790ECA"/>
    <w:rsid w:val="00793458"/>
    <w:rsid w:val="0079399A"/>
    <w:rsid w:val="0079691E"/>
    <w:rsid w:val="007A036E"/>
    <w:rsid w:val="007A4B45"/>
    <w:rsid w:val="007A4C94"/>
    <w:rsid w:val="007A7D7D"/>
    <w:rsid w:val="007B02E5"/>
    <w:rsid w:val="007B054E"/>
    <w:rsid w:val="007B0627"/>
    <w:rsid w:val="007B084E"/>
    <w:rsid w:val="007B1234"/>
    <w:rsid w:val="007B25A6"/>
    <w:rsid w:val="007B522C"/>
    <w:rsid w:val="007B6373"/>
    <w:rsid w:val="007C1408"/>
    <w:rsid w:val="007C2CC3"/>
    <w:rsid w:val="007C2F11"/>
    <w:rsid w:val="007C351D"/>
    <w:rsid w:val="007C48BD"/>
    <w:rsid w:val="007C57AF"/>
    <w:rsid w:val="007C7983"/>
    <w:rsid w:val="007C7C92"/>
    <w:rsid w:val="007D10AB"/>
    <w:rsid w:val="007D19E5"/>
    <w:rsid w:val="007D215B"/>
    <w:rsid w:val="007D2DD8"/>
    <w:rsid w:val="007D47AD"/>
    <w:rsid w:val="007D543E"/>
    <w:rsid w:val="007D7AF9"/>
    <w:rsid w:val="007E0216"/>
    <w:rsid w:val="007E14D9"/>
    <w:rsid w:val="007E181B"/>
    <w:rsid w:val="007E1FF8"/>
    <w:rsid w:val="007E4851"/>
    <w:rsid w:val="007E4B1B"/>
    <w:rsid w:val="007E4ED5"/>
    <w:rsid w:val="007E52D5"/>
    <w:rsid w:val="007E5A38"/>
    <w:rsid w:val="007F0363"/>
    <w:rsid w:val="007F05D3"/>
    <w:rsid w:val="007F1794"/>
    <w:rsid w:val="007F2C94"/>
    <w:rsid w:val="007F40CE"/>
    <w:rsid w:val="007F5D01"/>
    <w:rsid w:val="007F5F4E"/>
    <w:rsid w:val="007F7538"/>
    <w:rsid w:val="008000C4"/>
    <w:rsid w:val="008047BB"/>
    <w:rsid w:val="008070E2"/>
    <w:rsid w:val="00807BAA"/>
    <w:rsid w:val="008123B4"/>
    <w:rsid w:val="0081328A"/>
    <w:rsid w:val="00814AF4"/>
    <w:rsid w:val="008170F0"/>
    <w:rsid w:val="0082016B"/>
    <w:rsid w:val="00820BDB"/>
    <w:rsid w:val="00820C91"/>
    <w:rsid w:val="008211D4"/>
    <w:rsid w:val="00822967"/>
    <w:rsid w:val="00822DF9"/>
    <w:rsid w:val="008261FA"/>
    <w:rsid w:val="008269EA"/>
    <w:rsid w:val="00826DFB"/>
    <w:rsid w:val="0083095A"/>
    <w:rsid w:val="0083236B"/>
    <w:rsid w:val="0083289E"/>
    <w:rsid w:val="0083491A"/>
    <w:rsid w:val="00835769"/>
    <w:rsid w:val="0083654A"/>
    <w:rsid w:val="00837327"/>
    <w:rsid w:val="0084005C"/>
    <w:rsid w:val="0084179A"/>
    <w:rsid w:val="00841999"/>
    <w:rsid w:val="00843DC1"/>
    <w:rsid w:val="00844275"/>
    <w:rsid w:val="00844D80"/>
    <w:rsid w:val="00845310"/>
    <w:rsid w:val="00846CED"/>
    <w:rsid w:val="00851202"/>
    <w:rsid w:val="00852338"/>
    <w:rsid w:val="008527F5"/>
    <w:rsid w:val="008550EF"/>
    <w:rsid w:val="00857591"/>
    <w:rsid w:val="008579EC"/>
    <w:rsid w:val="00861474"/>
    <w:rsid w:val="0086358A"/>
    <w:rsid w:val="00865A75"/>
    <w:rsid w:val="00871872"/>
    <w:rsid w:val="00871DCA"/>
    <w:rsid w:val="00873DBF"/>
    <w:rsid w:val="00874F5D"/>
    <w:rsid w:val="00875735"/>
    <w:rsid w:val="008776CE"/>
    <w:rsid w:val="008805D5"/>
    <w:rsid w:val="008828D6"/>
    <w:rsid w:val="008847C9"/>
    <w:rsid w:val="0088532F"/>
    <w:rsid w:val="00885814"/>
    <w:rsid w:val="00885E07"/>
    <w:rsid w:val="0088708D"/>
    <w:rsid w:val="00891C76"/>
    <w:rsid w:val="00897552"/>
    <w:rsid w:val="008A0806"/>
    <w:rsid w:val="008A389B"/>
    <w:rsid w:val="008A3C2B"/>
    <w:rsid w:val="008A5964"/>
    <w:rsid w:val="008A696C"/>
    <w:rsid w:val="008B0E2A"/>
    <w:rsid w:val="008B19A5"/>
    <w:rsid w:val="008B4D67"/>
    <w:rsid w:val="008B60EA"/>
    <w:rsid w:val="008C182D"/>
    <w:rsid w:val="008D11E7"/>
    <w:rsid w:val="008D3AD0"/>
    <w:rsid w:val="008D4C2E"/>
    <w:rsid w:val="008D5087"/>
    <w:rsid w:val="008D6BA6"/>
    <w:rsid w:val="008E063F"/>
    <w:rsid w:val="008E1A29"/>
    <w:rsid w:val="008E65F3"/>
    <w:rsid w:val="008F0421"/>
    <w:rsid w:val="008F12D5"/>
    <w:rsid w:val="008F1AE3"/>
    <w:rsid w:val="008F1DE4"/>
    <w:rsid w:val="008F68CA"/>
    <w:rsid w:val="008F75C5"/>
    <w:rsid w:val="008F7735"/>
    <w:rsid w:val="008F7BC7"/>
    <w:rsid w:val="00901176"/>
    <w:rsid w:val="00903303"/>
    <w:rsid w:val="00905FFC"/>
    <w:rsid w:val="00910021"/>
    <w:rsid w:val="00910222"/>
    <w:rsid w:val="00910B8D"/>
    <w:rsid w:val="009150B9"/>
    <w:rsid w:val="00924666"/>
    <w:rsid w:val="0092672F"/>
    <w:rsid w:val="00927952"/>
    <w:rsid w:val="009304AC"/>
    <w:rsid w:val="00932506"/>
    <w:rsid w:val="009331A5"/>
    <w:rsid w:val="0093638F"/>
    <w:rsid w:val="00936A24"/>
    <w:rsid w:val="00942A23"/>
    <w:rsid w:val="009433E0"/>
    <w:rsid w:val="009433E2"/>
    <w:rsid w:val="00945B32"/>
    <w:rsid w:val="00946040"/>
    <w:rsid w:val="0094663F"/>
    <w:rsid w:val="00947156"/>
    <w:rsid w:val="009510BD"/>
    <w:rsid w:val="0095226D"/>
    <w:rsid w:val="00953B52"/>
    <w:rsid w:val="00954CAD"/>
    <w:rsid w:val="00960063"/>
    <w:rsid w:val="009607B6"/>
    <w:rsid w:val="00960C2B"/>
    <w:rsid w:val="00962CC3"/>
    <w:rsid w:val="00962E8F"/>
    <w:rsid w:val="009641AD"/>
    <w:rsid w:val="00966DB5"/>
    <w:rsid w:val="009715CE"/>
    <w:rsid w:val="009764C8"/>
    <w:rsid w:val="00976592"/>
    <w:rsid w:val="00976EA9"/>
    <w:rsid w:val="00980ACC"/>
    <w:rsid w:val="00982763"/>
    <w:rsid w:val="0099525C"/>
    <w:rsid w:val="009A23D3"/>
    <w:rsid w:val="009A301E"/>
    <w:rsid w:val="009A50D5"/>
    <w:rsid w:val="009A5253"/>
    <w:rsid w:val="009A52CD"/>
    <w:rsid w:val="009A696D"/>
    <w:rsid w:val="009A6A0E"/>
    <w:rsid w:val="009A7418"/>
    <w:rsid w:val="009A78A2"/>
    <w:rsid w:val="009B2E28"/>
    <w:rsid w:val="009B4311"/>
    <w:rsid w:val="009B470E"/>
    <w:rsid w:val="009B732E"/>
    <w:rsid w:val="009C095D"/>
    <w:rsid w:val="009C1936"/>
    <w:rsid w:val="009C1D69"/>
    <w:rsid w:val="009C2BA3"/>
    <w:rsid w:val="009C4D87"/>
    <w:rsid w:val="009C5A0D"/>
    <w:rsid w:val="009C6058"/>
    <w:rsid w:val="009C6A61"/>
    <w:rsid w:val="009C720D"/>
    <w:rsid w:val="009C7FFC"/>
    <w:rsid w:val="009D241A"/>
    <w:rsid w:val="009D28D1"/>
    <w:rsid w:val="009D4026"/>
    <w:rsid w:val="009D475A"/>
    <w:rsid w:val="009D4AE4"/>
    <w:rsid w:val="009D63E8"/>
    <w:rsid w:val="009D68FB"/>
    <w:rsid w:val="009D6B9F"/>
    <w:rsid w:val="009D70DF"/>
    <w:rsid w:val="009E09A7"/>
    <w:rsid w:val="009E1843"/>
    <w:rsid w:val="009F14C8"/>
    <w:rsid w:val="009F1E02"/>
    <w:rsid w:val="009F2E5A"/>
    <w:rsid w:val="009F34FD"/>
    <w:rsid w:val="009F4AB7"/>
    <w:rsid w:val="009F5C21"/>
    <w:rsid w:val="009F60C0"/>
    <w:rsid w:val="00A00EE9"/>
    <w:rsid w:val="00A01299"/>
    <w:rsid w:val="00A02BBE"/>
    <w:rsid w:val="00A03EC4"/>
    <w:rsid w:val="00A05094"/>
    <w:rsid w:val="00A070B1"/>
    <w:rsid w:val="00A079BB"/>
    <w:rsid w:val="00A10FBB"/>
    <w:rsid w:val="00A11FE4"/>
    <w:rsid w:val="00A1316C"/>
    <w:rsid w:val="00A15295"/>
    <w:rsid w:val="00A17723"/>
    <w:rsid w:val="00A17F23"/>
    <w:rsid w:val="00A23BF1"/>
    <w:rsid w:val="00A24461"/>
    <w:rsid w:val="00A25C66"/>
    <w:rsid w:val="00A25CA7"/>
    <w:rsid w:val="00A30A5C"/>
    <w:rsid w:val="00A32EA0"/>
    <w:rsid w:val="00A3384F"/>
    <w:rsid w:val="00A343FF"/>
    <w:rsid w:val="00A35A44"/>
    <w:rsid w:val="00A35E40"/>
    <w:rsid w:val="00A41353"/>
    <w:rsid w:val="00A44839"/>
    <w:rsid w:val="00A47F08"/>
    <w:rsid w:val="00A5015B"/>
    <w:rsid w:val="00A51B56"/>
    <w:rsid w:val="00A55B7C"/>
    <w:rsid w:val="00A60124"/>
    <w:rsid w:val="00A61555"/>
    <w:rsid w:val="00A62354"/>
    <w:rsid w:val="00A65861"/>
    <w:rsid w:val="00A65F3C"/>
    <w:rsid w:val="00A70025"/>
    <w:rsid w:val="00A72869"/>
    <w:rsid w:val="00A74772"/>
    <w:rsid w:val="00A755BE"/>
    <w:rsid w:val="00A7712B"/>
    <w:rsid w:val="00A774C3"/>
    <w:rsid w:val="00A82F75"/>
    <w:rsid w:val="00A83916"/>
    <w:rsid w:val="00A854F0"/>
    <w:rsid w:val="00A86135"/>
    <w:rsid w:val="00A8621E"/>
    <w:rsid w:val="00A8674E"/>
    <w:rsid w:val="00A922AE"/>
    <w:rsid w:val="00A9556A"/>
    <w:rsid w:val="00AA0A24"/>
    <w:rsid w:val="00AA158A"/>
    <w:rsid w:val="00AA17BE"/>
    <w:rsid w:val="00AA3773"/>
    <w:rsid w:val="00AA6991"/>
    <w:rsid w:val="00AB0296"/>
    <w:rsid w:val="00AB1C8E"/>
    <w:rsid w:val="00AC2EA8"/>
    <w:rsid w:val="00AC4D99"/>
    <w:rsid w:val="00AC65DF"/>
    <w:rsid w:val="00AC6D1D"/>
    <w:rsid w:val="00AC7C07"/>
    <w:rsid w:val="00AD12E4"/>
    <w:rsid w:val="00AD315C"/>
    <w:rsid w:val="00AD42D3"/>
    <w:rsid w:val="00AD6602"/>
    <w:rsid w:val="00AD68C2"/>
    <w:rsid w:val="00AE1B0F"/>
    <w:rsid w:val="00AE1C09"/>
    <w:rsid w:val="00AE49FA"/>
    <w:rsid w:val="00AE7866"/>
    <w:rsid w:val="00AF0867"/>
    <w:rsid w:val="00AF0EA7"/>
    <w:rsid w:val="00AF4770"/>
    <w:rsid w:val="00AF4EFA"/>
    <w:rsid w:val="00AF5C68"/>
    <w:rsid w:val="00AF5D2A"/>
    <w:rsid w:val="00AF7007"/>
    <w:rsid w:val="00B00551"/>
    <w:rsid w:val="00B0343C"/>
    <w:rsid w:val="00B040FC"/>
    <w:rsid w:val="00B05106"/>
    <w:rsid w:val="00B056D9"/>
    <w:rsid w:val="00B111AF"/>
    <w:rsid w:val="00B12825"/>
    <w:rsid w:val="00B2161A"/>
    <w:rsid w:val="00B2367E"/>
    <w:rsid w:val="00B2461C"/>
    <w:rsid w:val="00B260BA"/>
    <w:rsid w:val="00B27FAB"/>
    <w:rsid w:val="00B310AF"/>
    <w:rsid w:val="00B31EA3"/>
    <w:rsid w:val="00B338EB"/>
    <w:rsid w:val="00B36EA3"/>
    <w:rsid w:val="00B37206"/>
    <w:rsid w:val="00B43AFA"/>
    <w:rsid w:val="00B46674"/>
    <w:rsid w:val="00B51758"/>
    <w:rsid w:val="00B51C68"/>
    <w:rsid w:val="00B52FB8"/>
    <w:rsid w:val="00B537A8"/>
    <w:rsid w:val="00B54A97"/>
    <w:rsid w:val="00B5626D"/>
    <w:rsid w:val="00B56398"/>
    <w:rsid w:val="00B56AB5"/>
    <w:rsid w:val="00B573D9"/>
    <w:rsid w:val="00B601DF"/>
    <w:rsid w:val="00B613B2"/>
    <w:rsid w:val="00B62F1B"/>
    <w:rsid w:val="00B71444"/>
    <w:rsid w:val="00B7254A"/>
    <w:rsid w:val="00B7258F"/>
    <w:rsid w:val="00B72987"/>
    <w:rsid w:val="00B74471"/>
    <w:rsid w:val="00B7459E"/>
    <w:rsid w:val="00B76202"/>
    <w:rsid w:val="00B7662F"/>
    <w:rsid w:val="00B806AC"/>
    <w:rsid w:val="00B816F4"/>
    <w:rsid w:val="00B81A69"/>
    <w:rsid w:val="00B81DCA"/>
    <w:rsid w:val="00B82921"/>
    <w:rsid w:val="00B82FDB"/>
    <w:rsid w:val="00B833D7"/>
    <w:rsid w:val="00B85B55"/>
    <w:rsid w:val="00B86635"/>
    <w:rsid w:val="00B86CB5"/>
    <w:rsid w:val="00B90477"/>
    <w:rsid w:val="00B90B85"/>
    <w:rsid w:val="00B91DD1"/>
    <w:rsid w:val="00B92571"/>
    <w:rsid w:val="00B933C5"/>
    <w:rsid w:val="00B93993"/>
    <w:rsid w:val="00B948DF"/>
    <w:rsid w:val="00B96C32"/>
    <w:rsid w:val="00B96EE5"/>
    <w:rsid w:val="00B96F06"/>
    <w:rsid w:val="00B975FA"/>
    <w:rsid w:val="00BA1B6B"/>
    <w:rsid w:val="00BA4391"/>
    <w:rsid w:val="00BA4879"/>
    <w:rsid w:val="00BA5344"/>
    <w:rsid w:val="00BA5BC6"/>
    <w:rsid w:val="00BB2FD4"/>
    <w:rsid w:val="00BB3293"/>
    <w:rsid w:val="00BB4226"/>
    <w:rsid w:val="00BB458A"/>
    <w:rsid w:val="00BB4A5C"/>
    <w:rsid w:val="00BC0DD5"/>
    <w:rsid w:val="00BC0F39"/>
    <w:rsid w:val="00BC1A85"/>
    <w:rsid w:val="00BC3FDA"/>
    <w:rsid w:val="00BC44DE"/>
    <w:rsid w:val="00BD1329"/>
    <w:rsid w:val="00BD2A3F"/>
    <w:rsid w:val="00BD7AB6"/>
    <w:rsid w:val="00BE066E"/>
    <w:rsid w:val="00BE144C"/>
    <w:rsid w:val="00BE24C8"/>
    <w:rsid w:val="00BE29F5"/>
    <w:rsid w:val="00BE4F79"/>
    <w:rsid w:val="00BE6CCB"/>
    <w:rsid w:val="00BF1919"/>
    <w:rsid w:val="00BF1C8C"/>
    <w:rsid w:val="00BF3B7D"/>
    <w:rsid w:val="00BF3C88"/>
    <w:rsid w:val="00BF519C"/>
    <w:rsid w:val="00BF6464"/>
    <w:rsid w:val="00C01A5B"/>
    <w:rsid w:val="00C02FE9"/>
    <w:rsid w:val="00C04C07"/>
    <w:rsid w:val="00C06C5D"/>
    <w:rsid w:val="00C10F4E"/>
    <w:rsid w:val="00C16A57"/>
    <w:rsid w:val="00C205B3"/>
    <w:rsid w:val="00C23156"/>
    <w:rsid w:val="00C23A63"/>
    <w:rsid w:val="00C253BF"/>
    <w:rsid w:val="00C26514"/>
    <w:rsid w:val="00C304F0"/>
    <w:rsid w:val="00C31D11"/>
    <w:rsid w:val="00C41081"/>
    <w:rsid w:val="00C41B9B"/>
    <w:rsid w:val="00C41F2B"/>
    <w:rsid w:val="00C42B40"/>
    <w:rsid w:val="00C46800"/>
    <w:rsid w:val="00C50A24"/>
    <w:rsid w:val="00C51596"/>
    <w:rsid w:val="00C51B18"/>
    <w:rsid w:val="00C5321C"/>
    <w:rsid w:val="00C533C0"/>
    <w:rsid w:val="00C542CC"/>
    <w:rsid w:val="00C543A0"/>
    <w:rsid w:val="00C5650F"/>
    <w:rsid w:val="00C573FB"/>
    <w:rsid w:val="00C602C9"/>
    <w:rsid w:val="00C60DF7"/>
    <w:rsid w:val="00C61359"/>
    <w:rsid w:val="00C62008"/>
    <w:rsid w:val="00C62F3B"/>
    <w:rsid w:val="00C63150"/>
    <w:rsid w:val="00C633D4"/>
    <w:rsid w:val="00C649F0"/>
    <w:rsid w:val="00C64CD9"/>
    <w:rsid w:val="00C66025"/>
    <w:rsid w:val="00C715BA"/>
    <w:rsid w:val="00C72361"/>
    <w:rsid w:val="00C735CE"/>
    <w:rsid w:val="00C751CE"/>
    <w:rsid w:val="00C7557F"/>
    <w:rsid w:val="00C75F5E"/>
    <w:rsid w:val="00C777D5"/>
    <w:rsid w:val="00C81BCF"/>
    <w:rsid w:val="00C82C75"/>
    <w:rsid w:val="00C834C0"/>
    <w:rsid w:val="00C83BF4"/>
    <w:rsid w:val="00C84143"/>
    <w:rsid w:val="00C858B8"/>
    <w:rsid w:val="00C8712E"/>
    <w:rsid w:val="00C878BC"/>
    <w:rsid w:val="00C87FF8"/>
    <w:rsid w:val="00C90207"/>
    <w:rsid w:val="00C91020"/>
    <w:rsid w:val="00C919F2"/>
    <w:rsid w:val="00C92135"/>
    <w:rsid w:val="00C9234D"/>
    <w:rsid w:val="00C92C81"/>
    <w:rsid w:val="00C92C91"/>
    <w:rsid w:val="00C94A92"/>
    <w:rsid w:val="00C968FA"/>
    <w:rsid w:val="00C975C7"/>
    <w:rsid w:val="00C97E8B"/>
    <w:rsid w:val="00CA07DD"/>
    <w:rsid w:val="00CA1826"/>
    <w:rsid w:val="00CA266B"/>
    <w:rsid w:val="00CA26A8"/>
    <w:rsid w:val="00CA2777"/>
    <w:rsid w:val="00CA33E2"/>
    <w:rsid w:val="00CA3E6A"/>
    <w:rsid w:val="00CA49B2"/>
    <w:rsid w:val="00CA5398"/>
    <w:rsid w:val="00CA769E"/>
    <w:rsid w:val="00CB1259"/>
    <w:rsid w:val="00CB1627"/>
    <w:rsid w:val="00CB1E4B"/>
    <w:rsid w:val="00CB26E7"/>
    <w:rsid w:val="00CB328E"/>
    <w:rsid w:val="00CB59AE"/>
    <w:rsid w:val="00CB665A"/>
    <w:rsid w:val="00CB7CE4"/>
    <w:rsid w:val="00CC416C"/>
    <w:rsid w:val="00CC4274"/>
    <w:rsid w:val="00CC5946"/>
    <w:rsid w:val="00CD17F4"/>
    <w:rsid w:val="00CD50B7"/>
    <w:rsid w:val="00CD5155"/>
    <w:rsid w:val="00CD6B7D"/>
    <w:rsid w:val="00CD7A2A"/>
    <w:rsid w:val="00CE2FDD"/>
    <w:rsid w:val="00CE4F4E"/>
    <w:rsid w:val="00CE6FF0"/>
    <w:rsid w:val="00CF0F47"/>
    <w:rsid w:val="00CF0FC6"/>
    <w:rsid w:val="00CF1FC2"/>
    <w:rsid w:val="00CF37BB"/>
    <w:rsid w:val="00CF440F"/>
    <w:rsid w:val="00CF497E"/>
    <w:rsid w:val="00CF4CD2"/>
    <w:rsid w:val="00CF55BE"/>
    <w:rsid w:val="00D026C4"/>
    <w:rsid w:val="00D034AB"/>
    <w:rsid w:val="00D0376D"/>
    <w:rsid w:val="00D04157"/>
    <w:rsid w:val="00D05BCC"/>
    <w:rsid w:val="00D05BD7"/>
    <w:rsid w:val="00D060A0"/>
    <w:rsid w:val="00D06454"/>
    <w:rsid w:val="00D079B5"/>
    <w:rsid w:val="00D10622"/>
    <w:rsid w:val="00D1142D"/>
    <w:rsid w:val="00D1164A"/>
    <w:rsid w:val="00D1334C"/>
    <w:rsid w:val="00D13990"/>
    <w:rsid w:val="00D140AC"/>
    <w:rsid w:val="00D14412"/>
    <w:rsid w:val="00D162C4"/>
    <w:rsid w:val="00D179CF"/>
    <w:rsid w:val="00D17FE0"/>
    <w:rsid w:val="00D20885"/>
    <w:rsid w:val="00D20AE5"/>
    <w:rsid w:val="00D20CD8"/>
    <w:rsid w:val="00D20FAD"/>
    <w:rsid w:val="00D2125C"/>
    <w:rsid w:val="00D2146F"/>
    <w:rsid w:val="00D21667"/>
    <w:rsid w:val="00D222B7"/>
    <w:rsid w:val="00D32A4A"/>
    <w:rsid w:val="00D33B33"/>
    <w:rsid w:val="00D3746C"/>
    <w:rsid w:val="00D37C61"/>
    <w:rsid w:val="00D449D8"/>
    <w:rsid w:val="00D45BE7"/>
    <w:rsid w:val="00D45C12"/>
    <w:rsid w:val="00D50D31"/>
    <w:rsid w:val="00D513E7"/>
    <w:rsid w:val="00D5166A"/>
    <w:rsid w:val="00D52F68"/>
    <w:rsid w:val="00D54489"/>
    <w:rsid w:val="00D5733B"/>
    <w:rsid w:val="00D577F9"/>
    <w:rsid w:val="00D57915"/>
    <w:rsid w:val="00D57E39"/>
    <w:rsid w:val="00D626C3"/>
    <w:rsid w:val="00D6287C"/>
    <w:rsid w:val="00D62ECC"/>
    <w:rsid w:val="00D65373"/>
    <w:rsid w:val="00D73203"/>
    <w:rsid w:val="00D746A8"/>
    <w:rsid w:val="00D74CA1"/>
    <w:rsid w:val="00D75245"/>
    <w:rsid w:val="00D77625"/>
    <w:rsid w:val="00D77CF9"/>
    <w:rsid w:val="00D80F8A"/>
    <w:rsid w:val="00D82D68"/>
    <w:rsid w:val="00D82E91"/>
    <w:rsid w:val="00D83185"/>
    <w:rsid w:val="00D8318C"/>
    <w:rsid w:val="00D8326A"/>
    <w:rsid w:val="00D838E5"/>
    <w:rsid w:val="00D83FB6"/>
    <w:rsid w:val="00D84E20"/>
    <w:rsid w:val="00D90232"/>
    <w:rsid w:val="00D91B0F"/>
    <w:rsid w:val="00D937BC"/>
    <w:rsid w:val="00D9695E"/>
    <w:rsid w:val="00DA087A"/>
    <w:rsid w:val="00DA6DE1"/>
    <w:rsid w:val="00DB17C3"/>
    <w:rsid w:val="00DB2900"/>
    <w:rsid w:val="00DB397A"/>
    <w:rsid w:val="00DB4153"/>
    <w:rsid w:val="00DB446C"/>
    <w:rsid w:val="00DB6486"/>
    <w:rsid w:val="00DB77B8"/>
    <w:rsid w:val="00DC03A0"/>
    <w:rsid w:val="00DC2901"/>
    <w:rsid w:val="00DC45F3"/>
    <w:rsid w:val="00DC5657"/>
    <w:rsid w:val="00DC61FA"/>
    <w:rsid w:val="00DC6D48"/>
    <w:rsid w:val="00DC7B47"/>
    <w:rsid w:val="00DD0808"/>
    <w:rsid w:val="00DD2E01"/>
    <w:rsid w:val="00DD402B"/>
    <w:rsid w:val="00DD4944"/>
    <w:rsid w:val="00DD4A43"/>
    <w:rsid w:val="00DD70AF"/>
    <w:rsid w:val="00DE085C"/>
    <w:rsid w:val="00DE5647"/>
    <w:rsid w:val="00DE77F1"/>
    <w:rsid w:val="00DE7882"/>
    <w:rsid w:val="00DF009D"/>
    <w:rsid w:val="00DF0FE5"/>
    <w:rsid w:val="00DF1FD7"/>
    <w:rsid w:val="00DF32D0"/>
    <w:rsid w:val="00DF7C06"/>
    <w:rsid w:val="00DF7F62"/>
    <w:rsid w:val="00E01CA4"/>
    <w:rsid w:val="00E020C2"/>
    <w:rsid w:val="00E0218E"/>
    <w:rsid w:val="00E03108"/>
    <w:rsid w:val="00E04605"/>
    <w:rsid w:val="00E04AC6"/>
    <w:rsid w:val="00E04DCC"/>
    <w:rsid w:val="00E04F38"/>
    <w:rsid w:val="00E0765F"/>
    <w:rsid w:val="00E1002E"/>
    <w:rsid w:val="00E10427"/>
    <w:rsid w:val="00E136EF"/>
    <w:rsid w:val="00E1589F"/>
    <w:rsid w:val="00E161FA"/>
    <w:rsid w:val="00E17D94"/>
    <w:rsid w:val="00E20B6E"/>
    <w:rsid w:val="00E21775"/>
    <w:rsid w:val="00E2449F"/>
    <w:rsid w:val="00E24DB9"/>
    <w:rsid w:val="00E24DFC"/>
    <w:rsid w:val="00E3040C"/>
    <w:rsid w:val="00E32273"/>
    <w:rsid w:val="00E3372F"/>
    <w:rsid w:val="00E349C0"/>
    <w:rsid w:val="00E35512"/>
    <w:rsid w:val="00E40466"/>
    <w:rsid w:val="00E41E06"/>
    <w:rsid w:val="00E42371"/>
    <w:rsid w:val="00E42493"/>
    <w:rsid w:val="00E42656"/>
    <w:rsid w:val="00E4386D"/>
    <w:rsid w:val="00E45568"/>
    <w:rsid w:val="00E472A2"/>
    <w:rsid w:val="00E47BE8"/>
    <w:rsid w:val="00E47DD6"/>
    <w:rsid w:val="00E5098B"/>
    <w:rsid w:val="00E52F10"/>
    <w:rsid w:val="00E53194"/>
    <w:rsid w:val="00E53874"/>
    <w:rsid w:val="00E55BD8"/>
    <w:rsid w:val="00E60D30"/>
    <w:rsid w:val="00E6354B"/>
    <w:rsid w:val="00E63687"/>
    <w:rsid w:val="00E63856"/>
    <w:rsid w:val="00E64D5C"/>
    <w:rsid w:val="00E664B0"/>
    <w:rsid w:val="00E6733A"/>
    <w:rsid w:val="00E677A6"/>
    <w:rsid w:val="00E71FD0"/>
    <w:rsid w:val="00E73042"/>
    <w:rsid w:val="00E75145"/>
    <w:rsid w:val="00E76B3D"/>
    <w:rsid w:val="00E80247"/>
    <w:rsid w:val="00E80C39"/>
    <w:rsid w:val="00E82FBC"/>
    <w:rsid w:val="00E87698"/>
    <w:rsid w:val="00E87A4D"/>
    <w:rsid w:val="00EA1098"/>
    <w:rsid w:val="00EB0DE4"/>
    <w:rsid w:val="00EB0F33"/>
    <w:rsid w:val="00EB180B"/>
    <w:rsid w:val="00EB482E"/>
    <w:rsid w:val="00EB6B97"/>
    <w:rsid w:val="00EB6E5C"/>
    <w:rsid w:val="00EC1BBF"/>
    <w:rsid w:val="00EC2DB0"/>
    <w:rsid w:val="00EC3B26"/>
    <w:rsid w:val="00EC5DE6"/>
    <w:rsid w:val="00ED0A1F"/>
    <w:rsid w:val="00ED4C58"/>
    <w:rsid w:val="00ED6C9E"/>
    <w:rsid w:val="00ED7240"/>
    <w:rsid w:val="00EE0ADC"/>
    <w:rsid w:val="00EE26F4"/>
    <w:rsid w:val="00EE416A"/>
    <w:rsid w:val="00EE58D9"/>
    <w:rsid w:val="00EE6030"/>
    <w:rsid w:val="00EE7CF9"/>
    <w:rsid w:val="00EE7E49"/>
    <w:rsid w:val="00EF0137"/>
    <w:rsid w:val="00EF03C6"/>
    <w:rsid w:val="00EF06C6"/>
    <w:rsid w:val="00EF1BD7"/>
    <w:rsid w:val="00EF2F1D"/>
    <w:rsid w:val="00EF6777"/>
    <w:rsid w:val="00EF7A9E"/>
    <w:rsid w:val="00F00FEB"/>
    <w:rsid w:val="00F031B1"/>
    <w:rsid w:val="00F04855"/>
    <w:rsid w:val="00F06DD4"/>
    <w:rsid w:val="00F06E69"/>
    <w:rsid w:val="00F1218C"/>
    <w:rsid w:val="00F12C3A"/>
    <w:rsid w:val="00F16D7B"/>
    <w:rsid w:val="00F205D1"/>
    <w:rsid w:val="00F20E7D"/>
    <w:rsid w:val="00F23223"/>
    <w:rsid w:val="00F23EE2"/>
    <w:rsid w:val="00F2506B"/>
    <w:rsid w:val="00F25E78"/>
    <w:rsid w:val="00F266AE"/>
    <w:rsid w:val="00F27BAF"/>
    <w:rsid w:val="00F307FD"/>
    <w:rsid w:val="00F30B1F"/>
    <w:rsid w:val="00F30CD2"/>
    <w:rsid w:val="00F30E4D"/>
    <w:rsid w:val="00F34DDE"/>
    <w:rsid w:val="00F354E4"/>
    <w:rsid w:val="00F40EC4"/>
    <w:rsid w:val="00F42125"/>
    <w:rsid w:val="00F42A46"/>
    <w:rsid w:val="00F45A3C"/>
    <w:rsid w:val="00F5014B"/>
    <w:rsid w:val="00F50651"/>
    <w:rsid w:val="00F52F31"/>
    <w:rsid w:val="00F54F60"/>
    <w:rsid w:val="00F6020D"/>
    <w:rsid w:val="00F62C5C"/>
    <w:rsid w:val="00F66D95"/>
    <w:rsid w:val="00F66FEE"/>
    <w:rsid w:val="00F72AE2"/>
    <w:rsid w:val="00F73B19"/>
    <w:rsid w:val="00F76AA9"/>
    <w:rsid w:val="00F77034"/>
    <w:rsid w:val="00F80435"/>
    <w:rsid w:val="00F8169F"/>
    <w:rsid w:val="00F82BF7"/>
    <w:rsid w:val="00F911BC"/>
    <w:rsid w:val="00F94122"/>
    <w:rsid w:val="00F95C38"/>
    <w:rsid w:val="00F96E75"/>
    <w:rsid w:val="00F96F87"/>
    <w:rsid w:val="00F97572"/>
    <w:rsid w:val="00F97BFB"/>
    <w:rsid w:val="00FA1DA9"/>
    <w:rsid w:val="00FA2D5E"/>
    <w:rsid w:val="00FA3EA2"/>
    <w:rsid w:val="00FA7B3C"/>
    <w:rsid w:val="00FB04E5"/>
    <w:rsid w:val="00FB23E3"/>
    <w:rsid w:val="00FB4C2B"/>
    <w:rsid w:val="00FB5D21"/>
    <w:rsid w:val="00FB6485"/>
    <w:rsid w:val="00FB6488"/>
    <w:rsid w:val="00FC5094"/>
    <w:rsid w:val="00FC66C2"/>
    <w:rsid w:val="00FC67B6"/>
    <w:rsid w:val="00FC74D6"/>
    <w:rsid w:val="00FD1463"/>
    <w:rsid w:val="00FD36FA"/>
    <w:rsid w:val="00FD42F2"/>
    <w:rsid w:val="00FD4536"/>
    <w:rsid w:val="00FD68F7"/>
    <w:rsid w:val="00FD75CC"/>
    <w:rsid w:val="00FE1315"/>
    <w:rsid w:val="00FE1931"/>
    <w:rsid w:val="00FE3748"/>
    <w:rsid w:val="00FE3C44"/>
    <w:rsid w:val="00FF028E"/>
    <w:rsid w:val="00FF62A1"/>
    <w:rsid w:val="00FF6B1C"/>
    <w:rsid w:val="00FF6E49"/>
  </w:rsids>
  <m:mathPr>
    <m:mathFont m:val="Cambria Math"/>
    <m:brkBin m:val="before"/>
    <m:brkBinSub m:val="--"/>
    <m:smallFrac m:val="0"/>
    <m:dispDef/>
    <m:lMargin m:val="0"/>
    <m:rMargin m:val="0"/>
    <m:defJc m:val="centerGroup"/>
    <m:wrapIndent m:val="1440"/>
    <m:intLim m:val="subSup"/>
    <m:naryLim m:val="undOvr"/>
  </m:mathPr>
  <w:themeFontLang w:val="es-ES_tradn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0"/>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Web"/>
    <w:next w:val="Normal"/>
    <w:link w:val="Heading1Char"/>
    <w:qFormat/>
    <w:rsid w:val="0086358A"/>
    <w:pPr>
      <w:numPr>
        <w:numId w:val="1"/>
      </w:numPr>
      <w:spacing w:before="120" w:beforeAutospacing="0" w:after="240" w:afterAutospacing="0"/>
      <w:ind w:left="1440"/>
      <w:jc w:val="both"/>
      <w:outlineLvl w:val="0"/>
    </w:pPr>
    <w:rPr>
      <w:rFonts w:ascii="Cambria" w:hAnsi="Cambria"/>
      <w:b/>
      <w:bCs/>
      <w:sz w:val="22"/>
      <w:szCs w:val="20"/>
      <w:lang w:val="es-ES" w:eastAsia="es-ES_tradnl"/>
    </w:rPr>
  </w:style>
  <w:style w:type="paragraph" w:styleId="Heading2">
    <w:name w:val="heading 2"/>
    <w:basedOn w:val="ListParagraph"/>
    <w:next w:val="Normal"/>
    <w:link w:val="Heading2Char"/>
    <w:unhideWhenUsed/>
    <w:qFormat/>
    <w:rsid w:val="0086358A"/>
    <w:pPr>
      <w:numPr>
        <w:numId w:val="4"/>
      </w:numPr>
      <w:spacing w:after="240"/>
      <w:ind w:left="1440" w:hanging="720"/>
      <w:contextualSpacing w:val="0"/>
      <w:outlineLvl w:val="1"/>
    </w:pPr>
    <w:rPr>
      <w:rFonts w:ascii="Cambria" w:hAnsi="Cambria"/>
      <w:b/>
      <w:szCs w:val="20"/>
      <w:lang w:val="es-ES"/>
    </w:rPr>
  </w:style>
  <w:style w:type="paragraph" w:styleId="Heading3">
    <w:name w:val="heading 3"/>
    <w:basedOn w:val="ListParagraph"/>
    <w:next w:val="Normal"/>
    <w:link w:val="Heading3Char"/>
    <w:unhideWhenUsed/>
    <w:qFormat/>
    <w:rsid w:val="0086358A"/>
    <w:pPr>
      <w:numPr>
        <w:numId w:val="3"/>
      </w:numPr>
      <w:shd w:val="clear" w:color="auto" w:fill="FFFFFF"/>
      <w:tabs>
        <w:tab w:val="num" w:pos="360"/>
      </w:tabs>
      <w:spacing w:before="360" w:after="240"/>
      <w:ind w:left="547" w:hanging="547"/>
      <w:contextualSpacing w:val="0"/>
      <w:outlineLvl w:val="2"/>
    </w:pPr>
    <w:rPr>
      <w:rFonts w:ascii="Cambria" w:eastAsia="Yu Gothic Light" w:hAnsi="Cambria"/>
      <w:b/>
      <w:sz w:val="24"/>
      <w:lang w:val="es-MX"/>
    </w:rPr>
  </w:style>
  <w:style w:type="paragraph" w:styleId="Heading4">
    <w:name w:val="heading 4"/>
    <w:basedOn w:val="Normal"/>
    <w:next w:val="Normal"/>
    <w:link w:val="Heading4Char"/>
    <w:unhideWhenUsed/>
    <w:qFormat/>
    <w:rsid w:val="0086358A"/>
    <w:pPr>
      <w:keepNext/>
      <w:keepLines/>
      <w:spacing w:before="40" w:after="0" w:line="240" w:lineRule="auto"/>
      <w:jc w:val="both"/>
      <w:outlineLvl w:val="3"/>
    </w:pPr>
    <w:rPr>
      <w:rFonts w:ascii="Calibri Light" w:eastAsia="Yu Gothic Light" w:hAnsi="Calibri Light"/>
      <w:i/>
      <w:iCs/>
      <w:color w:val="2E74B5"/>
    </w:rPr>
  </w:style>
  <w:style w:type="paragraph" w:styleId="Heading5">
    <w:name w:val="heading 5"/>
    <w:basedOn w:val="Heading4"/>
    <w:link w:val="Heading5Char"/>
    <w:uiPriority w:val="9"/>
    <w:qFormat/>
    <w:rsid w:val="009C095D"/>
    <w:pPr>
      <w:keepNext w:val="0"/>
      <w:keepLines w:val="0"/>
      <w:spacing w:before="0" w:after="240"/>
      <w:ind w:left="1094" w:hanging="547"/>
      <w:outlineLvl w:val="4"/>
    </w:pPr>
    <w:rPr>
      <w:rFonts w:ascii="Cambria" w:eastAsia="MS Mincho" w:hAnsi="Cambria"/>
      <w:b/>
      <w:i w:val="0"/>
      <w:iCs w:val="0"/>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semiHidden/>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43FF"/>
    <w:rPr>
      <w:rFonts w:ascii="Tahoma" w:hAnsi="Tahoma" w:cs="Tahoma"/>
      <w:sz w:val="16"/>
      <w:szCs w:val="16"/>
    </w:rPr>
  </w:style>
  <w:style w:type="paragraph" w:styleId="NoSpacing">
    <w:name w:val="No Spacing"/>
    <w:aliases w:val="Informes"/>
    <w:link w:val="NoSpacingChar"/>
    <w:uiPriority w:val="1"/>
    <w:qFormat/>
    <w:rsid w:val="00F52F31"/>
    <w:rPr>
      <w:rFonts w:eastAsia="MS Mincho" w:cs="Arial"/>
      <w:sz w:val="22"/>
      <w:szCs w:val="22"/>
      <w:lang w:val="en-US" w:eastAsia="ja-JP"/>
    </w:rPr>
  </w:style>
  <w:style w:type="character" w:customStyle="1" w:styleId="NoSpacingChar">
    <w:name w:val="No Spacing Char"/>
    <w:aliases w:val="Informes Char"/>
    <w:link w:val="NoSpacing"/>
    <w:uiPriority w:val="1"/>
    <w:qFormat/>
    <w:rsid w:val="00F52F31"/>
    <w:rPr>
      <w:rFonts w:eastAsia="MS Mincho" w:cs="Arial"/>
      <w:sz w:val="22"/>
      <w:szCs w:val="22"/>
      <w:lang w:eastAsia="ja-JP"/>
    </w:rPr>
  </w:style>
  <w:style w:type="paragraph" w:styleId="NormalWeb">
    <w:name w:val="Normal (Web)"/>
    <w:basedOn w:val="Normal"/>
    <w:uiPriority w:val="99"/>
    <w:unhideWhenUsed/>
    <w:rsid w:val="0001720F"/>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link w:val="Heading1"/>
    <w:rsid w:val="0086358A"/>
    <w:rPr>
      <w:rFonts w:ascii="Cambria" w:eastAsia="Times New Roman" w:hAnsi="Cambria"/>
      <w:b/>
      <w:bCs/>
      <w:sz w:val="22"/>
      <w:lang w:val="es-ES" w:eastAsia="es-ES_tradnl"/>
    </w:rPr>
  </w:style>
  <w:style w:type="character" w:customStyle="1" w:styleId="Heading2Char">
    <w:name w:val="Heading 2 Char"/>
    <w:link w:val="Heading2"/>
    <w:rsid w:val="0086358A"/>
    <w:rPr>
      <w:rFonts w:ascii="Cambria" w:hAnsi="Cambria"/>
      <w:b/>
      <w:sz w:val="22"/>
      <w:lang w:val="es-ES"/>
    </w:rPr>
  </w:style>
  <w:style w:type="character" w:customStyle="1" w:styleId="Heading3Char">
    <w:name w:val="Heading 3 Char"/>
    <w:link w:val="Heading3"/>
    <w:rsid w:val="0086358A"/>
    <w:rPr>
      <w:rFonts w:ascii="Cambria" w:eastAsia="Yu Gothic Light" w:hAnsi="Cambria"/>
      <w:b/>
      <w:sz w:val="24"/>
      <w:szCs w:val="22"/>
      <w:shd w:val="clear" w:color="auto" w:fill="FFFFFF"/>
      <w:lang w:val="es-MX"/>
    </w:rPr>
  </w:style>
  <w:style w:type="character" w:customStyle="1" w:styleId="Heading4Char">
    <w:name w:val="Heading 4 Char"/>
    <w:link w:val="Heading4"/>
    <w:rsid w:val="0086358A"/>
    <w:rPr>
      <w:rFonts w:ascii="Calibri Light" w:eastAsia="Yu Gothic Light" w:hAnsi="Calibri Light"/>
      <w:i/>
      <w:iCs/>
      <w:color w:val="2E74B5"/>
      <w:sz w:val="22"/>
      <w:szCs w:val="22"/>
      <w:lang w:val="es-ES_tradnl"/>
    </w:rPr>
  </w:style>
  <w:style w:type="character" w:styleId="Hyperlink">
    <w:name w:val="Hyperlink"/>
    <w:aliases w:val="http://www.fantaproject.org/sites/default/files/resources/Guatemala-municipal-brief-English-June30.pdf"/>
    <w:uiPriority w:val="99"/>
    <w:unhideWhenUsed/>
    <w:rsid w:val="0086358A"/>
    <w:rPr>
      <w:color w:val="0000FF"/>
      <w:u w:val="single"/>
    </w:rPr>
  </w:style>
  <w:style w:type="paragraph" w:styleId="FootnoteText">
    <w:name w:val="footnote text"/>
    <w:aliases w:val="FA Fu,Footnote Text Char Char Char Char Char,Footnote Text Char Char Char Char,Footnote reference,Footnote Text Char Char Char,Texto nota pie [MM],FA Fußnotentext,FA Fuﬂnotentext,ft,texto de nota al pie,Car1,Ca,fn,C,Texto nota pie C,5_G"/>
    <w:basedOn w:val="Normal"/>
    <w:link w:val="FootnoteTextChar"/>
    <w:autoRedefine/>
    <w:uiPriority w:val="99"/>
    <w:unhideWhenUsed/>
    <w:qFormat/>
    <w:rsid w:val="00061D10"/>
    <w:pPr>
      <w:spacing w:after="0" w:line="240" w:lineRule="auto"/>
      <w:ind w:firstLine="720"/>
      <w:jc w:val="both"/>
    </w:pPr>
    <w:rPr>
      <w:rFonts w:ascii="Cambria" w:hAnsi="Cambria"/>
      <w:sz w:val="16"/>
      <w:szCs w:val="16"/>
    </w:rPr>
  </w:style>
  <w:style w:type="character" w:customStyle="1" w:styleId="FootnoteTextChar">
    <w:name w:val="Footnote Text Char"/>
    <w:aliases w:val="FA Fu Char,Footnote Text Char Char Char Char Char Char,Footnote Text Char Char Char Char Char1,Footnote reference Char,Footnote Text Char Char Char Char1,Texto nota pie [MM] Char,FA Fußnotentext Char,FA Fuﬂnotentext Char,ft Char"/>
    <w:link w:val="FootnoteText"/>
    <w:uiPriority w:val="99"/>
    <w:qFormat/>
    <w:rsid w:val="00061D10"/>
    <w:rPr>
      <w:rFonts w:ascii="Cambria" w:hAnsi="Cambria"/>
      <w:sz w:val="16"/>
      <w:szCs w:val="16"/>
    </w:rPr>
  </w:style>
  <w:style w:type="character" w:styleId="FootnoteReference">
    <w:name w:val="footnote reference"/>
    <w:aliases w:val="4_G,Texto de nota al pie,Appel note de bas de page,Footnote number,Footnotes refss,referencia nota al pie,BVI fnr,f,Ref,de nota al pie,normal,16 Point,Superscript 6 Point,Texto nota al pie,Footnote Reference Char3,Ref. de nota al,Re"/>
    <w:link w:val="Refdenotaalpie"/>
    <w:uiPriority w:val="99"/>
    <w:unhideWhenUsed/>
    <w:qFormat/>
    <w:rsid w:val="0086358A"/>
    <w:rPr>
      <w:vertAlign w:val="superscript"/>
    </w:rPr>
  </w:style>
  <w:style w:type="paragraph" w:customStyle="1" w:styleId="Refdenotaalpie">
    <w:name w:val="Ref. de nota al pie."/>
    <w:aliases w:val="Footnote symbol,Footnote,Ref. de nota al pi,f1,referencia nota al pi..."/>
    <w:basedOn w:val="Normal"/>
    <w:link w:val="FootnoteReference"/>
    <w:uiPriority w:val="99"/>
    <w:rsid w:val="0086358A"/>
    <w:pPr>
      <w:spacing w:before="200" w:after="160" w:line="240" w:lineRule="exact"/>
    </w:pPr>
    <w:rPr>
      <w:sz w:val="20"/>
      <w:szCs w:val="20"/>
      <w:vertAlign w:val="superscript"/>
    </w:rPr>
  </w:style>
  <w:style w:type="character" w:styleId="FollowedHyperlink">
    <w:name w:val="FollowedHyperlink"/>
    <w:uiPriority w:val="99"/>
    <w:semiHidden/>
    <w:unhideWhenUsed/>
    <w:rsid w:val="0086358A"/>
    <w:rPr>
      <w:color w:val="954F72"/>
      <w:u w:val="single"/>
    </w:rPr>
  </w:style>
  <w:style w:type="character" w:styleId="CommentReference">
    <w:name w:val="annotation reference"/>
    <w:uiPriority w:val="99"/>
    <w:semiHidden/>
    <w:unhideWhenUsed/>
    <w:rsid w:val="0086358A"/>
    <w:rPr>
      <w:sz w:val="16"/>
      <w:szCs w:val="16"/>
    </w:rPr>
  </w:style>
  <w:style w:type="paragraph" w:styleId="CommentText">
    <w:name w:val="annotation text"/>
    <w:basedOn w:val="Normal"/>
    <w:link w:val="CommentTextChar"/>
    <w:uiPriority w:val="99"/>
    <w:unhideWhenUsed/>
    <w:rsid w:val="0086358A"/>
    <w:pPr>
      <w:spacing w:after="160" w:line="240" w:lineRule="auto"/>
    </w:pPr>
    <w:rPr>
      <w:sz w:val="20"/>
      <w:szCs w:val="20"/>
    </w:rPr>
  </w:style>
  <w:style w:type="character" w:customStyle="1" w:styleId="CommentTextChar">
    <w:name w:val="Comment Text Char"/>
    <w:basedOn w:val="DefaultParagraphFont"/>
    <w:link w:val="CommentText"/>
    <w:uiPriority w:val="99"/>
    <w:rsid w:val="0086358A"/>
  </w:style>
  <w:style w:type="character" w:customStyle="1" w:styleId="ColorfulList-Accent1Char">
    <w:name w:val="Colorful List - Accent 1 Char"/>
    <w:aliases w:val="List Char,Segundo nivel de viñetas Char,List Paragraph1 Char,titulo 3 Char,Bullets Char,Llista Nivell1 Char,Párrafo de lista1 Char,Ha Char,Párrafo de lista2 Char,Lista vistosa - Énfasis 11 Char,Dot pt Char,No Spacing1 Char"/>
    <w:link w:val="ColorfulList-Accent1"/>
    <w:uiPriority w:val="34"/>
    <w:qFormat/>
    <w:locked/>
    <w:rsid w:val="0086358A"/>
    <w:rPr>
      <w:rFonts w:ascii="Cambria" w:eastAsia="Cambria" w:hAnsi="Cambria" w:cs="Cambria"/>
      <w:color w:val="000000"/>
      <w:sz w:val="24"/>
      <w:szCs w:val="24"/>
      <w:u w:color="000000"/>
      <w:bdr w:val="nil"/>
      <w:lang w:eastAsia="es-ES"/>
    </w:rPr>
  </w:style>
  <w:style w:type="table" w:styleId="ColorfulList-Accent1">
    <w:name w:val="Colorful List Accent 1"/>
    <w:basedOn w:val="TableNormal"/>
    <w:link w:val="ColorfulList-Accent1Char"/>
    <w:uiPriority w:val="34"/>
    <w:unhideWhenUsed/>
    <w:rsid w:val="0086358A"/>
    <w:rPr>
      <w:rFonts w:ascii="Cambria" w:eastAsia="Cambria" w:hAnsi="Cambria" w:cs="Cambria"/>
      <w:color w:val="000000"/>
      <w:sz w:val="24"/>
      <w:szCs w:val="24"/>
      <w:u w:color="000000"/>
      <w:bdr w:val="nil"/>
      <w:lang w:eastAsia="es-ES"/>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styleId="CommentSubject">
    <w:name w:val="annotation subject"/>
    <w:basedOn w:val="CommentText"/>
    <w:next w:val="CommentText"/>
    <w:link w:val="CommentSubjectChar"/>
    <w:uiPriority w:val="99"/>
    <w:semiHidden/>
    <w:unhideWhenUsed/>
    <w:rsid w:val="0086358A"/>
    <w:pPr>
      <w:spacing w:after="0"/>
      <w:jc w:val="both"/>
    </w:pPr>
    <w:rPr>
      <w:b/>
      <w:bCs/>
    </w:rPr>
  </w:style>
  <w:style w:type="character" w:customStyle="1" w:styleId="CommentSubjectChar">
    <w:name w:val="Comment Subject Char"/>
    <w:link w:val="CommentSubject"/>
    <w:uiPriority w:val="99"/>
    <w:semiHidden/>
    <w:rsid w:val="0086358A"/>
    <w:rPr>
      <w:b/>
      <w:bCs/>
      <w:lang w:val="es-ES_tradnl"/>
    </w:rPr>
  </w:style>
  <w:style w:type="paragraph" w:styleId="Revision">
    <w:name w:val="Revision"/>
    <w:hidden/>
    <w:uiPriority w:val="99"/>
    <w:semiHidden/>
    <w:rsid w:val="0086358A"/>
    <w:rPr>
      <w:sz w:val="22"/>
      <w:szCs w:val="22"/>
    </w:rPr>
  </w:style>
  <w:style w:type="paragraph" w:styleId="ListParagraph">
    <w:name w:val="List Paragraph"/>
    <w:aliases w:val="Parragrap,Superíndice,Dot pt,No Spacing1,List Paragraph Char Char Char,Indicator Text,List Paragraph1,Numbered Para 1,4 Párrafo de lista,Figuras,DH1,4 Párrafo de l,Colorful List - Accent 11,Bullet 1,F5 List Paragraph,Bullet Points,Ha"/>
    <w:basedOn w:val="Normal"/>
    <w:link w:val="ListParagraphChar"/>
    <w:uiPriority w:val="34"/>
    <w:qFormat/>
    <w:rsid w:val="0086358A"/>
    <w:pPr>
      <w:spacing w:after="0" w:line="240" w:lineRule="auto"/>
      <w:ind w:left="720"/>
      <w:contextualSpacing/>
      <w:jc w:val="both"/>
    </w:pPr>
  </w:style>
  <w:style w:type="character" w:customStyle="1" w:styleId="Ninguno">
    <w:name w:val="Ninguno"/>
    <w:rsid w:val="0086358A"/>
    <w:rPr>
      <w:lang w:val="es-ES_tradnl"/>
    </w:rPr>
  </w:style>
  <w:style w:type="character" w:customStyle="1" w:styleId="ListParagraphChar">
    <w:name w:val="List Paragraph Char"/>
    <w:aliases w:val="Parragrap Char,Superíndice Char,Dot pt Char1,No Spacing1 Char1,List Paragraph Char Char Char Char,Indicator Text Char,List Paragraph1 Char1,Numbered Para 1 Char,4 Párrafo de lista Char,Figuras Char,DH1 Char,4 Párrafo de l Char"/>
    <w:link w:val="ListParagraph"/>
    <w:uiPriority w:val="34"/>
    <w:qFormat/>
    <w:locked/>
    <w:rsid w:val="0086358A"/>
    <w:rPr>
      <w:sz w:val="22"/>
      <w:szCs w:val="22"/>
      <w:lang w:val="es-ES_tradnl"/>
    </w:rPr>
  </w:style>
  <w:style w:type="paragraph" w:styleId="TOC3">
    <w:name w:val="toc 3"/>
    <w:basedOn w:val="Normal"/>
    <w:next w:val="Normal"/>
    <w:autoRedefine/>
    <w:uiPriority w:val="39"/>
    <w:unhideWhenUsed/>
    <w:rsid w:val="0086358A"/>
    <w:pPr>
      <w:spacing w:after="100" w:line="240" w:lineRule="auto"/>
      <w:ind w:left="440"/>
      <w:jc w:val="both"/>
    </w:pPr>
    <w:rPr>
      <w:rFonts w:eastAsia="MS Mincho"/>
    </w:rPr>
  </w:style>
  <w:style w:type="character" w:styleId="Strong">
    <w:name w:val="Strong"/>
    <w:uiPriority w:val="22"/>
    <w:qFormat/>
    <w:rsid w:val="0086358A"/>
    <w:rPr>
      <w:b/>
      <w:bCs/>
    </w:rPr>
  </w:style>
  <w:style w:type="numbering" w:styleId="111111">
    <w:name w:val="Outline List 2"/>
    <w:basedOn w:val="NoList"/>
    <w:uiPriority w:val="99"/>
    <w:semiHidden/>
    <w:unhideWhenUsed/>
    <w:rsid w:val="0086358A"/>
    <w:pPr>
      <w:numPr>
        <w:numId w:val="2"/>
      </w:numPr>
    </w:pPr>
  </w:style>
  <w:style w:type="character" w:styleId="Emphasis">
    <w:name w:val="Emphasis"/>
    <w:uiPriority w:val="20"/>
    <w:qFormat/>
    <w:rsid w:val="0086358A"/>
    <w:rPr>
      <w:i/>
      <w:iCs/>
    </w:rPr>
  </w:style>
  <w:style w:type="character" w:customStyle="1" w:styleId="apple-converted-space">
    <w:name w:val="apple-converted-space"/>
    <w:rsid w:val="0086358A"/>
  </w:style>
  <w:style w:type="character" w:customStyle="1" w:styleId="Cuadrculamediana2Car">
    <w:name w:val="Cuadrícula mediana 2 Car"/>
    <w:aliases w:val="Informes Car"/>
    <w:link w:val="MediumGrid2"/>
    <w:uiPriority w:val="1"/>
    <w:rsid w:val="0086358A"/>
    <w:rPr>
      <w:rFonts w:ascii="Cambria" w:hAnsi="Cambria"/>
      <w:sz w:val="16"/>
      <w:lang w:bidi="ar-SA"/>
    </w:rPr>
  </w:style>
  <w:style w:type="table" w:styleId="MediumGrid2">
    <w:name w:val="Medium Grid 2"/>
    <w:basedOn w:val="TableNormal"/>
    <w:link w:val="Cuadrculamediana2Car"/>
    <w:uiPriority w:val="1"/>
    <w:rsid w:val="0086358A"/>
    <w:rPr>
      <w:rFonts w:ascii="Cambria" w:hAnsi="Cambria"/>
      <w:sz w:val="16"/>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SingleTxtG">
    <w:name w:val="_ Single Txt_G"/>
    <w:basedOn w:val="Normal"/>
    <w:link w:val="SingleTxtGChar"/>
    <w:rsid w:val="0086358A"/>
    <w:pPr>
      <w:suppressAutoHyphens/>
      <w:spacing w:after="120" w:line="240" w:lineRule="atLeast"/>
      <w:ind w:left="1134" w:right="1134"/>
      <w:jc w:val="both"/>
    </w:pPr>
    <w:rPr>
      <w:rFonts w:ascii="Times New Roman" w:eastAsia="Times New Roman" w:hAnsi="Times New Roman"/>
      <w:sz w:val="20"/>
      <w:szCs w:val="20"/>
      <w:lang w:val="es-ES"/>
    </w:rPr>
  </w:style>
  <w:style w:type="character" w:customStyle="1" w:styleId="SingleTxtGChar">
    <w:name w:val="_ Single Txt_G Char"/>
    <w:link w:val="SingleTxtG"/>
    <w:rsid w:val="0086358A"/>
    <w:rPr>
      <w:rFonts w:ascii="Times New Roman" w:eastAsia="Times New Roman" w:hAnsi="Times New Roman"/>
      <w:lang w:val="es-ES"/>
    </w:rPr>
  </w:style>
  <w:style w:type="character" w:customStyle="1" w:styleId="Sombreadomediano1-nfasis1Car">
    <w:name w:val="Sombreado mediano 1 - Énfasis 1 Car"/>
    <w:link w:val="MediumShading1-Accent1"/>
    <w:rsid w:val="0086358A"/>
    <w:rPr>
      <w:rFonts w:eastAsia="MS Mincho"/>
      <w:sz w:val="22"/>
      <w:szCs w:val="22"/>
      <w:lang w:val="es-AR" w:eastAsia="en-US"/>
    </w:rPr>
  </w:style>
  <w:style w:type="character" w:customStyle="1" w:styleId="Nenhum">
    <w:name w:val="Nenhum"/>
    <w:rsid w:val="0086358A"/>
  </w:style>
  <w:style w:type="table" w:styleId="MediumShading1-Accent1">
    <w:name w:val="Medium Shading 1 Accent 1"/>
    <w:basedOn w:val="TableNormal"/>
    <w:link w:val="Sombreadomediano1-nfasis1Car"/>
    <w:rsid w:val="0086358A"/>
    <w:rPr>
      <w:rFonts w:eastAsia="MS Mincho"/>
      <w:sz w:val="22"/>
      <w:szCs w:val="22"/>
      <w:lang w:val="es-AR"/>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rpo">
    <w:name w:val="Corpo"/>
    <w:rsid w:val="0086358A"/>
    <w:pPr>
      <w:pBdr>
        <w:top w:val="nil"/>
        <w:left w:val="nil"/>
        <w:bottom w:val="nil"/>
        <w:right w:val="nil"/>
        <w:between w:val="nil"/>
        <w:bar w:val="nil"/>
      </w:pBdr>
      <w:spacing w:after="200" w:line="276" w:lineRule="auto"/>
    </w:pPr>
    <w:rPr>
      <w:rFonts w:cs="Calibri"/>
      <w:color w:val="000000"/>
      <w:sz w:val="22"/>
      <w:szCs w:val="22"/>
      <w:u w:color="000000"/>
      <w:bdr w:val="nil"/>
      <w:lang w:eastAsia="es-ES"/>
    </w:rPr>
  </w:style>
  <w:style w:type="character" w:customStyle="1" w:styleId="Hyperlink1">
    <w:name w:val="Hyperlink.1"/>
    <w:rsid w:val="0086358A"/>
    <w:rPr>
      <w:rFonts w:ascii="Cambria" w:eastAsia="Cambria" w:hAnsi="Cambria" w:cs="Cambria"/>
      <w:color w:val="0000FF"/>
      <w:sz w:val="18"/>
      <w:szCs w:val="18"/>
      <w:u w:val="single" w:color="0000FF"/>
      <w:lang w:val="es-ES_tradnl"/>
    </w:rPr>
  </w:style>
  <w:style w:type="paragraph" w:customStyle="1" w:styleId="Char2">
    <w:name w:val="Char2"/>
    <w:basedOn w:val="Normal"/>
    <w:uiPriority w:val="99"/>
    <w:rsid w:val="0086358A"/>
    <w:pPr>
      <w:spacing w:after="160" w:line="240" w:lineRule="exact"/>
    </w:pPr>
    <w:rPr>
      <w:sz w:val="20"/>
      <w:szCs w:val="20"/>
      <w:vertAlign w:val="superscript"/>
    </w:rPr>
  </w:style>
  <w:style w:type="character" w:customStyle="1" w:styleId="Fuentedeprrafopredeter1">
    <w:name w:val="Fuente de párrafo predeter.1"/>
    <w:qFormat/>
    <w:rsid w:val="0086358A"/>
  </w:style>
  <w:style w:type="paragraph" w:customStyle="1" w:styleId="Standard">
    <w:name w:val="Standard"/>
    <w:qFormat/>
    <w:rsid w:val="0086358A"/>
    <w:pPr>
      <w:suppressAutoHyphens/>
      <w:textAlignment w:val="baseline"/>
    </w:pPr>
    <w:rPr>
      <w:rFonts w:ascii="Liberation Serif" w:eastAsia="Tahoma" w:hAnsi="Liberation Serif" w:cs="Lohit Devanagari"/>
      <w:color w:val="00000A"/>
      <w:sz w:val="24"/>
      <w:szCs w:val="24"/>
      <w:lang w:val="es-NI" w:eastAsia="zh-CN" w:bidi="hi-IN"/>
    </w:rPr>
  </w:style>
  <w:style w:type="paragraph" w:styleId="DocumentMap">
    <w:name w:val="Document Map"/>
    <w:basedOn w:val="Normal"/>
    <w:link w:val="DocumentMapChar"/>
    <w:uiPriority w:val="99"/>
    <w:semiHidden/>
    <w:unhideWhenUsed/>
    <w:rsid w:val="0086358A"/>
    <w:pPr>
      <w:spacing w:after="0" w:line="240" w:lineRule="auto"/>
      <w:jc w:val="both"/>
    </w:pPr>
    <w:rPr>
      <w:rFonts w:ascii="Lucida Grande" w:hAnsi="Lucida Grande"/>
      <w:sz w:val="24"/>
      <w:szCs w:val="24"/>
    </w:rPr>
  </w:style>
  <w:style w:type="character" w:customStyle="1" w:styleId="DocumentMapChar">
    <w:name w:val="Document Map Char"/>
    <w:link w:val="DocumentMap"/>
    <w:uiPriority w:val="99"/>
    <w:semiHidden/>
    <w:rsid w:val="0086358A"/>
    <w:rPr>
      <w:rFonts w:ascii="Lucida Grande" w:hAnsi="Lucida Grande"/>
      <w:sz w:val="24"/>
      <w:szCs w:val="24"/>
      <w:lang w:val="es-ES_tradnl"/>
    </w:rPr>
  </w:style>
  <w:style w:type="character" w:customStyle="1" w:styleId="UnresolvedMention1">
    <w:name w:val="Unresolved Mention1"/>
    <w:uiPriority w:val="99"/>
    <w:semiHidden/>
    <w:unhideWhenUsed/>
    <w:rsid w:val="0086358A"/>
    <w:rPr>
      <w:color w:val="605E5C"/>
      <w:shd w:val="clear" w:color="auto" w:fill="E1DFDD"/>
    </w:rPr>
  </w:style>
  <w:style w:type="character" w:customStyle="1" w:styleId="Heading5Char">
    <w:name w:val="Heading 5 Char"/>
    <w:link w:val="Heading5"/>
    <w:uiPriority w:val="9"/>
    <w:rsid w:val="009C095D"/>
    <w:rPr>
      <w:rFonts w:ascii="Cambria" w:eastAsia="MS Mincho" w:hAnsi="Cambria"/>
      <w:b/>
      <w:sz w:val="22"/>
      <w:lang w:val="es-ES_tradnl"/>
    </w:rPr>
  </w:style>
  <w:style w:type="paragraph" w:customStyle="1" w:styleId="MediumGrid2-Accent11">
    <w:name w:val="Medium Grid 2 - Accent 11"/>
    <w:link w:val="MediumGrid2-Accent1Char"/>
    <w:uiPriority w:val="1"/>
    <w:qFormat/>
    <w:rsid w:val="009C095D"/>
    <w:rPr>
      <w:rFonts w:eastAsia="MS Mincho" w:cs="Arial"/>
      <w:sz w:val="22"/>
      <w:szCs w:val="22"/>
      <w:lang w:val="en-US" w:eastAsia="ja-JP"/>
    </w:rPr>
  </w:style>
  <w:style w:type="character" w:customStyle="1" w:styleId="MediumGrid2-Accent1Char">
    <w:name w:val="Medium Grid 2 - Accent 1 Char"/>
    <w:link w:val="MediumGrid2-Accent11"/>
    <w:uiPriority w:val="1"/>
    <w:rsid w:val="009C095D"/>
    <w:rPr>
      <w:rFonts w:eastAsia="MS Mincho" w:cs="Arial"/>
      <w:sz w:val="22"/>
      <w:szCs w:val="22"/>
      <w:lang w:eastAsia="ja-JP"/>
    </w:rPr>
  </w:style>
  <w:style w:type="paragraph" w:customStyle="1" w:styleId="Default">
    <w:name w:val="Default"/>
    <w:rsid w:val="009C095D"/>
    <w:pPr>
      <w:autoSpaceDE w:val="0"/>
      <w:autoSpaceDN w:val="0"/>
      <w:adjustRightInd w:val="0"/>
    </w:pPr>
    <w:rPr>
      <w:rFonts w:ascii="Times New Roman" w:eastAsia="Arial Unicode MS" w:hAnsi="Times New Roman"/>
      <w:color w:val="000000"/>
      <w:sz w:val="24"/>
      <w:szCs w:val="24"/>
      <w:bdr w:val="nil"/>
      <w:lang w:val="en-US" w:eastAsia="es-ES"/>
    </w:rPr>
  </w:style>
  <w:style w:type="paragraph" w:styleId="PlainText">
    <w:name w:val="Plain Text"/>
    <w:basedOn w:val="Normal"/>
    <w:link w:val="PlainTextChar"/>
    <w:semiHidden/>
    <w:unhideWhenUsed/>
    <w:rsid w:val="009C095D"/>
    <w:pPr>
      <w:spacing w:after="0" w:line="240" w:lineRule="auto"/>
    </w:pPr>
    <w:rPr>
      <w:rFonts w:ascii="Courier New" w:eastAsia="Times New Roman" w:hAnsi="Courier New" w:cs="Courier New"/>
      <w:sz w:val="20"/>
      <w:szCs w:val="20"/>
    </w:rPr>
  </w:style>
  <w:style w:type="character" w:customStyle="1" w:styleId="PlainTextChar">
    <w:name w:val="Plain Text Char"/>
    <w:link w:val="PlainText"/>
    <w:semiHidden/>
    <w:rsid w:val="009C095D"/>
    <w:rPr>
      <w:rFonts w:ascii="Courier New" w:eastAsia="Times New Roman" w:hAnsi="Courier New" w:cs="Courier New"/>
    </w:rPr>
  </w:style>
  <w:style w:type="paragraph" w:customStyle="1" w:styleId="Numberedparagraphs">
    <w:name w:val="Numbered paragraphs"/>
    <w:basedOn w:val="Normal"/>
    <w:qFormat/>
    <w:rsid w:val="009C095D"/>
    <w:pPr>
      <w:numPr>
        <w:numId w:val="8"/>
      </w:numPr>
      <w:spacing w:after="240" w:line="240" w:lineRule="auto"/>
      <w:jc w:val="both"/>
    </w:pPr>
    <w:rPr>
      <w:rFonts w:ascii="Cambria" w:eastAsia="MS Mincho" w:hAnsi="Cambria"/>
      <w:sz w:val="20"/>
      <w:szCs w:val="20"/>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9C095D"/>
    <w:pPr>
      <w:spacing w:before="200" w:after="160" w:line="240" w:lineRule="exact"/>
    </w:pPr>
    <w:rPr>
      <w:rFonts w:eastAsia="MS Mincho"/>
      <w:sz w:val="20"/>
      <w:szCs w:val="20"/>
      <w:vertAlign w:val="superscript"/>
    </w:rPr>
  </w:style>
  <w:style w:type="paragraph" w:customStyle="1" w:styleId="western">
    <w:name w:val="western"/>
    <w:basedOn w:val="Normal"/>
    <w:rsid w:val="009C095D"/>
    <w:pPr>
      <w:spacing w:after="150" w:line="240" w:lineRule="auto"/>
      <w:jc w:val="both"/>
    </w:pPr>
    <w:rPr>
      <w:rFonts w:ascii="Times New Roman" w:eastAsia="Times New Roman" w:hAnsi="Times New Roman"/>
      <w:sz w:val="24"/>
      <w:szCs w:val="24"/>
    </w:rPr>
  </w:style>
  <w:style w:type="paragraph" w:customStyle="1" w:styleId="MediumShading1-Accent11">
    <w:name w:val="Medium Shading 1 - Accent 11"/>
    <w:uiPriority w:val="1"/>
    <w:qFormat/>
    <w:rsid w:val="009C095D"/>
    <w:rPr>
      <w:sz w:val="22"/>
      <w:szCs w:val="22"/>
      <w:lang w:val="en-US"/>
    </w:rPr>
  </w:style>
  <w:style w:type="paragraph" w:customStyle="1" w:styleId="1">
    <w:name w:val="1"/>
    <w:basedOn w:val="Normal"/>
    <w:uiPriority w:val="99"/>
    <w:rsid w:val="009C095D"/>
    <w:pPr>
      <w:spacing w:after="160" w:line="240" w:lineRule="exact"/>
    </w:pPr>
    <w:rPr>
      <w:rFonts w:ascii="Cambria" w:eastAsia="MS Mincho" w:hAnsi="Cambria"/>
      <w:sz w:val="24"/>
      <w:szCs w:val="24"/>
      <w:vertAlign w:val="superscript"/>
      <w:lang w:eastAsia="es-ES"/>
    </w:rPr>
  </w:style>
  <w:style w:type="paragraph" w:customStyle="1" w:styleId="ColorfulList-Accent12">
    <w:name w:val="Colorful List - Accent 12"/>
    <w:basedOn w:val="Normal"/>
    <w:qFormat/>
    <w:rsid w:val="009C095D"/>
    <w:pPr>
      <w:ind w:left="720"/>
    </w:pPr>
    <w:rPr>
      <w:rFonts w:eastAsia="MS Mincho"/>
    </w:rPr>
  </w:style>
  <w:style w:type="paragraph" w:customStyle="1" w:styleId="p2">
    <w:name w:val="p2"/>
    <w:basedOn w:val="Normal"/>
    <w:rsid w:val="009C095D"/>
    <w:pPr>
      <w:spacing w:after="0" w:line="240" w:lineRule="auto"/>
    </w:pPr>
    <w:rPr>
      <w:rFonts w:ascii="Times New Roman" w:eastAsia="MS Mincho" w:hAnsi="Times New Roman"/>
      <w:sz w:val="17"/>
      <w:szCs w:val="17"/>
      <w:lang w:eastAsia="es-ES_tradnl"/>
    </w:rPr>
  </w:style>
  <w:style w:type="character" w:customStyle="1" w:styleId="negritas">
    <w:name w:val="negritas"/>
    <w:rsid w:val="009C095D"/>
  </w:style>
  <w:style w:type="paragraph" w:customStyle="1" w:styleId="alignjustify1">
    <w:name w:val="alignjustify1"/>
    <w:basedOn w:val="Normal"/>
    <w:rsid w:val="009C095D"/>
    <w:pPr>
      <w:spacing w:before="100" w:beforeAutospacing="1" w:after="240" w:line="240" w:lineRule="auto"/>
      <w:jc w:val="both"/>
    </w:pPr>
    <w:rPr>
      <w:rFonts w:ascii="Times New Roman" w:eastAsia="Times New Roman" w:hAnsi="Times New Roman"/>
      <w:sz w:val="24"/>
      <w:szCs w:val="24"/>
    </w:rPr>
  </w:style>
  <w:style w:type="paragraph" w:customStyle="1" w:styleId="CorpoA">
    <w:name w:val="Corpo A"/>
    <w:rsid w:val="009C095D"/>
    <w:pPr>
      <w:pBdr>
        <w:top w:val="nil"/>
        <w:left w:val="nil"/>
        <w:bottom w:val="nil"/>
        <w:right w:val="nil"/>
        <w:between w:val="nil"/>
        <w:bar w:val="nil"/>
      </w:pBdr>
      <w:spacing w:after="160" w:line="259" w:lineRule="auto"/>
    </w:pPr>
    <w:rPr>
      <w:rFonts w:cs="Calibri"/>
      <w:color w:val="000000"/>
      <w:sz w:val="22"/>
      <w:szCs w:val="22"/>
      <w:u w:color="000000"/>
      <w:bdr w:val="nil"/>
    </w:rPr>
  </w:style>
  <w:style w:type="character" w:customStyle="1" w:styleId="Hyperlink0">
    <w:name w:val="Hyperlink.0"/>
    <w:rsid w:val="009C095D"/>
    <w:rPr>
      <w:color w:val="000000"/>
      <w:u w:val="single" w:color="000000"/>
      <w:lang w:val="es-ES_tradnl"/>
    </w:rPr>
  </w:style>
  <w:style w:type="character" w:customStyle="1" w:styleId="Hyperlink2">
    <w:name w:val="Hyperlink.2"/>
    <w:rsid w:val="009C095D"/>
    <w:rPr>
      <w:color w:val="0000FF"/>
      <w:sz w:val="18"/>
      <w:szCs w:val="18"/>
      <w:u w:val="single" w:color="0000FF"/>
      <w:lang w:val="es-ES_tradnl"/>
    </w:rPr>
  </w:style>
  <w:style w:type="character" w:customStyle="1" w:styleId="Hyperlink3">
    <w:name w:val="Hyperlink.3"/>
    <w:rsid w:val="009C095D"/>
    <w:rPr>
      <w:color w:val="0000FF"/>
      <w:sz w:val="18"/>
      <w:szCs w:val="18"/>
      <w:u w:val="single" w:color="0000FF"/>
    </w:rPr>
  </w:style>
  <w:style w:type="character" w:customStyle="1" w:styleId="Hyperlink4">
    <w:name w:val="Hyperlink.4"/>
    <w:rsid w:val="009C095D"/>
    <w:rPr>
      <w:color w:val="000000"/>
      <w:sz w:val="18"/>
      <w:szCs w:val="18"/>
      <w:u w:val="single" w:color="000000"/>
    </w:rPr>
  </w:style>
  <w:style w:type="paragraph" w:customStyle="1" w:styleId="m-8320586899623630245numberedparagraphs">
    <w:name w:val="m_-8320586899623630245numberedparagraphs"/>
    <w:basedOn w:val="Normal"/>
    <w:rsid w:val="009C095D"/>
    <w:pPr>
      <w:spacing w:before="100" w:beforeAutospacing="1" w:after="100" w:afterAutospacing="1" w:line="240" w:lineRule="auto"/>
    </w:pPr>
    <w:rPr>
      <w:rFonts w:ascii="Times New Roman" w:hAnsi="Times New Roman"/>
      <w:sz w:val="24"/>
      <w:szCs w:val="24"/>
    </w:rPr>
  </w:style>
  <w:style w:type="paragraph" w:customStyle="1" w:styleId="Appelnotedebasde">
    <w:name w:val="Appel note de bas de..."/>
    <w:basedOn w:val="Normal"/>
    <w:uiPriority w:val="99"/>
    <w:rsid w:val="009C095D"/>
    <w:pPr>
      <w:spacing w:after="160" w:line="240" w:lineRule="exact"/>
    </w:pPr>
    <w:rPr>
      <w:rFonts w:eastAsia="MS Mincho"/>
      <w:sz w:val="24"/>
      <w:szCs w:val="24"/>
      <w:vertAlign w:val="superscript"/>
      <w:lang w:val="es-SV" w:eastAsia="es-ES_tradnl"/>
    </w:rPr>
  </w:style>
  <w:style w:type="character" w:customStyle="1" w:styleId="m002d8320586899623630245numberedparagraphschar">
    <w:name w:val="m___002d8320586899623630245numberedparagraphs__char"/>
    <w:rsid w:val="009C095D"/>
  </w:style>
  <w:style w:type="table" w:styleId="TableGrid">
    <w:name w:val="Table Grid"/>
    <w:basedOn w:val="TableNormal"/>
    <w:uiPriority w:val="59"/>
    <w:rsid w:val="00BA5B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724AB3"/>
  </w:style>
  <w:style w:type="paragraph" w:styleId="TOC2">
    <w:name w:val="toc 2"/>
    <w:basedOn w:val="Normal"/>
    <w:next w:val="Normal"/>
    <w:autoRedefine/>
    <w:uiPriority w:val="39"/>
    <w:unhideWhenUsed/>
    <w:rsid w:val="00724AB3"/>
    <w:pPr>
      <w:ind w:left="220"/>
    </w:pPr>
  </w:style>
  <w:style w:type="paragraph" w:styleId="TOC4">
    <w:name w:val="toc 4"/>
    <w:basedOn w:val="Normal"/>
    <w:next w:val="Normal"/>
    <w:autoRedefine/>
    <w:uiPriority w:val="39"/>
    <w:unhideWhenUsed/>
    <w:rsid w:val="00724AB3"/>
    <w:pPr>
      <w:ind w:left="660"/>
    </w:pPr>
  </w:style>
  <w:style w:type="paragraph" w:styleId="TOC5">
    <w:name w:val="toc 5"/>
    <w:basedOn w:val="Normal"/>
    <w:next w:val="Normal"/>
    <w:autoRedefine/>
    <w:uiPriority w:val="39"/>
    <w:unhideWhenUsed/>
    <w:rsid w:val="00724AB3"/>
    <w:pPr>
      <w:ind w:left="880"/>
    </w:pPr>
  </w:style>
  <w:style w:type="paragraph" w:styleId="TOC6">
    <w:name w:val="toc 6"/>
    <w:basedOn w:val="Normal"/>
    <w:next w:val="Normal"/>
    <w:autoRedefine/>
    <w:uiPriority w:val="39"/>
    <w:unhideWhenUsed/>
    <w:rsid w:val="00724AB3"/>
    <w:pPr>
      <w:ind w:left="1100"/>
    </w:pPr>
  </w:style>
  <w:style w:type="paragraph" w:styleId="TOC7">
    <w:name w:val="toc 7"/>
    <w:basedOn w:val="Normal"/>
    <w:next w:val="Normal"/>
    <w:autoRedefine/>
    <w:uiPriority w:val="39"/>
    <w:unhideWhenUsed/>
    <w:rsid w:val="00724AB3"/>
    <w:pPr>
      <w:ind w:left="1320"/>
    </w:pPr>
  </w:style>
  <w:style w:type="paragraph" w:styleId="TOC8">
    <w:name w:val="toc 8"/>
    <w:basedOn w:val="Normal"/>
    <w:next w:val="Normal"/>
    <w:autoRedefine/>
    <w:uiPriority w:val="39"/>
    <w:unhideWhenUsed/>
    <w:rsid w:val="00724AB3"/>
    <w:pPr>
      <w:ind w:left="1540"/>
    </w:pPr>
  </w:style>
  <w:style w:type="paragraph" w:styleId="TOC9">
    <w:name w:val="toc 9"/>
    <w:basedOn w:val="Normal"/>
    <w:next w:val="Normal"/>
    <w:autoRedefine/>
    <w:uiPriority w:val="39"/>
    <w:unhideWhenUsed/>
    <w:rsid w:val="00724AB3"/>
    <w:pPr>
      <w:ind w:left="1760"/>
    </w:pPr>
  </w:style>
  <w:style w:type="paragraph" w:customStyle="1" w:styleId="CuerpoB">
    <w:name w:val="Cuerpo B"/>
    <w:rsid w:val="00C878BC"/>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86755">
      <w:bodyDiv w:val="1"/>
      <w:marLeft w:val="0"/>
      <w:marRight w:val="0"/>
      <w:marTop w:val="0"/>
      <w:marBottom w:val="0"/>
      <w:divBdr>
        <w:top w:val="none" w:sz="0" w:space="0" w:color="auto"/>
        <w:left w:val="none" w:sz="0" w:space="0" w:color="auto"/>
        <w:bottom w:val="none" w:sz="0" w:space="0" w:color="auto"/>
        <w:right w:val="none" w:sz="0" w:space="0" w:color="auto"/>
      </w:divBdr>
    </w:div>
    <w:div w:id="59528206">
      <w:bodyDiv w:val="1"/>
      <w:marLeft w:val="0"/>
      <w:marRight w:val="0"/>
      <w:marTop w:val="0"/>
      <w:marBottom w:val="0"/>
      <w:divBdr>
        <w:top w:val="none" w:sz="0" w:space="0" w:color="auto"/>
        <w:left w:val="none" w:sz="0" w:space="0" w:color="auto"/>
        <w:bottom w:val="none" w:sz="0" w:space="0" w:color="auto"/>
        <w:right w:val="none" w:sz="0" w:space="0" w:color="auto"/>
      </w:divBdr>
    </w:div>
    <w:div w:id="122160847">
      <w:bodyDiv w:val="1"/>
      <w:marLeft w:val="0"/>
      <w:marRight w:val="0"/>
      <w:marTop w:val="0"/>
      <w:marBottom w:val="0"/>
      <w:divBdr>
        <w:top w:val="none" w:sz="0" w:space="0" w:color="auto"/>
        <w:left w:val="none" w:sz="0" w:space="0" w:color="auto"/>
        <w:bottom w:val="none" w:sz="0" w:space="0" w:color="auto"/>
        <w:right w:val="none" w:sz="0" w:space="0" w:color="auto"/>
      </w:divBdr>
    </w:div>
    <w:div w:id="171921936">
      <w:bodyDiv w:val="1"/>
      <w:marLeft w:val="0"/>
      <w:marRight w:val="0"/>
      <w:marTop w:val="0"/>
      <w:marBottom w:val="0"/>
      <w:divBdr>
        <w:top w:val="none" w:sz="0" w:space="0" w:color="auto"/>
        <w:left w:val="none" w:sz="0" w:space="0" w:color="auto"/>
        <w:bottom w:val="none" w:sz="0" w:space="0" w:color="auto"/>
        <w:right w:val="none" w:sz="0" w:space="0" w:color="auto"/>
      </w:divBdr>
    </w:div>
    <w:div w:id="237056888">
      <w:bodyDiv w:val="1"/>
      <w:marLeft w:val="0"/>
      <w:marRight w:val="0"/>
      <w:marTop w:val="0"/>
      <w:marBottom w:val="0"/>
      <w:divBdr>
        <w:top w:val="none" w:sz="0" w:space="0" w:color="auto"/>
        <w:left w:val="none" w:sz="0" w:space="0" w:color="auto"/>
        <w:bottom w:val="none" w:sz="0" w:space="0" w:color="auto"/>
        <w:right w:val="none" w:sz="0" w:space="0" w:color="auto"/>
      </w:divBdr>
    </w:div>
    <w:div w:id="278532735">
      <w:bodyDiv w:val="1"/>
      <w:marLeft w:val="0"/>
      <w:marRight w:val="0"/>
      <w:marTop w:val="0"/>
      <w:marBottom w:val="0"/>
      <w:divBdr>
        <w:top w:val="none" w:sz="0" w:space="0" w:color="auto"/>
        <w:left w:val="none" w:sz="0" w:space="0" w:color="auto"/>
        <w:bottom w:val="none" w:sz="0" w:space="0" w:color="auto"/>
        <w:right w:val="none" w:sz="0" w:space="0" w:color="auto"/>
      </w:divBdr>
    </w:div>
    <w:div w:id="301158837">
      <w:bodyDiv w:val="1"/>
      <w:marLeft w:val="0"/>
      <w:marRight w:val="0"/>
      <w:marTop w:val="0"/>
      <w:marBottom w:val="0"/>
      <w:divBdr>
        <w:top w:val="none" w:sz="0" w:space="0" w:color="auto"/>
        <w:left w:val="none" w:sz="0" w:space="0" w:color="auto"/>
        <w:bottom w:val="none" w:sz="0" w:space="0" w:color="auto"/>
        <w:right w:val="none" w:sz="0" w:space="0" w:color="auto"/>
      </w:divBdr>
    </w:div>
    <w:div w:id="327710586">
      <w:bodyDiv w:val="1"/>
      <w:marLeft w:val="0"/>
      <w:marRight w:val="0"/>
      <w:marTop w:val="0"/>
      <w:marBottom w:val="0"/>
      <w:divBdr>
        <w:top w:val="none" w:sz="0" w:space="0" w:color="auto"/>
        <w:left w:val="none" w:sz="0" w:space="0" w:color="auto"/>
        <w:bottom w:val="none" w:sz="0" w:space="0" w:color="auto"/>
        <w:right w:val="none" w:sz="0" w:space="0" w:color="auto"/>
      </w:divBdr>
    </w:div>
    <w:div w:id="365452832">
      <w:bodyDiv w:val="1"/>
      <w:marLeft w:val="0"/>
      <w:marRight w:val="0"/>
      <w:marTop w:val="0"/>
      <w:marBottom w:val="0"/>
      <w:divBdr>
        <w:top w:val="none" w:sz="0" w:space="0" w:color="auto"/>
        <w:left w:val="none" w:sz="0" w:space="0" w:color="auto"/>
        <w:bottom w:val="none" w:sz="0" w:space="0" w:color="auto"/>
        <w:right w:val="none" w:sz="0" w:space="0" w:color="auto"/>
      </w:divBdr>
    </w:div>
    <w:div w:id="375277700">
      <w:bodyDiv w:val="1"/>
      <w:marLeft w:val="0"/>
      <w:marRight w:val="0"/>
      <w:marTop w:val="0"/>
      <w:marBottom w:val="0"/>
      <w:divBdr>
        <w:top w:val="none" w:sz="0" w:space="0" w:color="auto"/>
        <w:left w:val="none" w:sz="0" w:space="0" w:color="auto"/>
        <w:bottom w:val="none" w:sz="0" w:space="0" w:color="auto"/>
        <w:right w:val="none" w:sz="0" w:space="0" w:color="auto"/>
      </w:divBdr>
    </w:div>
    <w:div w:id="422383065">
      <w:bodyDiv w:val="1"/>
      <w:marLeft w:val="0"/>
      <w:marRight w:val="0"/>
      <w:marTop w:val="0"/>
      <w:marBottom w:val="0"/>
      <w:divBdr>
        <w:top w:val="none" w:sz="0" w:space="0" w:color="auto"/>
        <w:left w:val="none" w:sz="0" w:space="0" w:color="auto"/>
        <w:bottom w:val="none" w:sz="0" w:space="0" w:color="auto"/>
        <w:right w:val="none" w:sz="0" w:space="0" w:color="auto"/>
      </w:divBdr>
    </w:div>
    <w:div w:id="426001816">
      <w:bodyDiv w:val="1"/>
      <w:marLeft w:val="0"/>
      <w:marRight w:val="0"/>
      <w:marTop w:val="0"/>
      <w:marBottom w:val="0"/>
      <w:divBdr>
        <w:top w:val="none" w:sz="0" w:space="0" w:color="auto"/>
        <w:left w:val="none" w:sz="0" w:space="0" w:color="auto"/>
        <w:bottom w:val="none" w:sz="0" w:space="0" w:color="auto"/>
        <w:right w:val="none" w:sz="0" w:space="0" w:color="auto"/>
      </w:divBdr>
    </w:div>
    <w:div w:id="437532874">
      <w:bodyDiv w:val="1"/>
      <w:marLeft w:val="0"/>
      <w:marRight w:val="0"/>
      <w:marTop w:val="0"/>
      <w:marBottom w:val="0"/>
      <w:divBdr>
        <w:top w:val="none" w:sz="0" w:space="0" w:color="auto"/>
        <w:left w:val="none" w:sz="0" w:space="0" w:color="auto"/>
        <w:bottom w:val="none" w:sz="0" w:space="0" w:color="auto"/>
        <w:right w:val="none" w:sz="0" w:space="0" w:color="auto"/>
      </w:divBdr>
    </w:div>
    <w:div w:id="451478183">
      <w:bodyDiv w:val="1"/>
      <w:marLeft w:val="0"/>
      <w:marRight w:val="0"/>
      <w:marTop w:val="0"/>
      <w:marBottom w:val="0"/>
      <w:divBdr>
        <w:top w:val="none" w:sz="0" w:space="0" w:color="auto"/>
        <w:left w:val="none" w:sz="0" w:space="0" w:color="auto"/>
        <w:bottom w:val="none" w:sz="0" w:space="0" w:color="auto"/>
        <w:right w:val="none" w:sz="0" w:space="0" w:color="auto"/>
      </w:divBdr>
    </w:div>
    <w:div w:id="475411531">
      <w:bodyDiv w:val="1"/>
      <w:marLeft w:val="0"/>
      <w:marRight w:val="0"/>
      <w:marTop w:val="0"/>
      <w:marBottom w:val="0"/>
      <w:divBdr>
        <w:top w:val="none" w:sz="0" w:space="0" w:color="auto"/>
        <w:left w:val="none" w:sz="0" w:space="0" w:color="auto"/>
        <w:bottom w:val="none" w:sz="0" w:space="0" w:color="auto"/>
        <w:right w:val="none" w:sz="0" w:space="0" w:color="auto"/>
      </w:divBdr>
    </w:div>
    <w:div w:id="557983846">
      <w:bodyDiv w:val="1"/>
      <w:marLeft w:val="0"/>
      <w:marRight w:val="0"/>
      <w:marTop w:val="0"/>
      <w:marBottom w:val="0"/>
      <w:divBdr>
        <w:top w:val="none" w:sz="0" w:space="0" w:color="auto"/>
        <w:left w:val="none" w:sz="0" w:space="0" w:color="auto"/>
        <w:bottom w:val="none" w:sz="0" w:space="0" w:color="auto"/>
        <w:right w:val="none" w:sz="0" w:space="0" w:color="auto"/>
      </w:divBdr>
    </w:div>
    <w:div w:id="573516030">
      <w:bodyDiv w:val="1"/>
      <w:marLeft w:val="0"/>
      <w:marRight w:val="0"/>
      <w:marTop w:val="0"/>
      <w:marBottom w:val="0"/>
      <w:divBdr>
        <w:top w:val="none" w:sz="0" w:space="0" w:color="auto"/>
        <w:left w:val="none" w:sz="0" w:space="0" w:color="auto"/>
        <w:bottom w:val="none" w:sz="0" w:space="0" w:color="auto"/>
        <w:right w:val="none" w:sz="0" w:space="0" w:color="auto"/>
      </w:divBdr>
    </w:div>
    <w:div w:id="624391472">
      <w:bodyDiv w:val="1"/>
      <w:marLeft w:val="0"/>
      <w:marRight w:val="0"/>
      <w:marTop w:val="0"/>
      <w:marBottom w:val="0"/>
      <w:divBdr>
        <w:top w:val="none" w:sz="0" w:space="0" w:color="auto"/>
        <w:left w:val="none" w:sz="0" w:space="0" w:color="auto"/>
        <w:bottom w:val="none" w:sz="0" w:space="0" w:color="auto"/>
        <w:right w:val="none" w:sz="0" w:space="0" w:color="auto"/>
      </w:divBdr>
    </w:div>
    <w:div w:id="625084759">
      <w:bodyDiv w:val="1"/>
      <w:marLeft w:val="0"/>
      <w:marRight w:val="0"/>
      <w:marTop w:val="0"/>
      <w:marBottom w:val="0"/>
      <w:divBdr>
        <w:top w:val="none" w:sz="0" w:space="0" w:color="auto"/>
        <w:left w:val="none" w:sz="0" w:space="0" w:color="auto"/>
        <w:bottom w:val="none" w:sz="0" w:space="0" w:color="auto"/>
        <w:right w:val="none" w:sz="0" w:space="0" w:color="auto"/>
      </w:divBdr>
    </w:div>
    <w:div w:id="659233359">
      <w:bodyDiv w:val="1"/>
      <w:marLeft w:val="0"/>
      <w:marRight w:val="0"/>
      <w:marTop w:val="0"/>
      <w:marBottom w:val="0"/>
      <w:divBdr>
        <w:top w:val="none" w:sz="0" w:space="0" w:color="auto"/>
        <w:left w:val="none" w:sz="0" w:space="0" w:color="auto"/>
        <w:bottom w:val="none" w:sz="0" w:space="0" w:color="auto"/>
        <w:right w:val="none" w:sz="0" w:space="0" w:color="auto"/>
      </w:divBdr>
    </w:div>
    <w:div w:id="803355979">
      <w:bodyDiv w:val="1"/>
      <w:marLeft w:val="0"/>
      <w:marRight w:val="0"/>
      <w:marTop w:val="0"/>
      <w:marBottom w:val="0"/>
      <w:divBdr>
        <w:top w:val="none" w:sz="0" w:space="0" w:color="auto"/>
        <w:left w:val="none" w:sz="0" w:space="0" w:color="auto"/>
        <w:bottom w:val="none" w:sz="0" w:space="0" w:color="auto"/>
        <w:right w:val="none" w:sz="0" w:space="0" w:color="auto"/>
      </w:divBdr>
    </w:div>
    <w:div w:id="817840094">
      <w:bodyDiv w:val="1"/>
      <w:marLeft w:val="0"/>
      <w:marRight w:val="0"/>
      <w:marTop w:val="0"/>
      <w:marBottom w:val="0"/>
      <w:divBdr>
        <w:top w:val="none" w:sz="0" w:space="0" w:color="auto"/>
        <w:left w:val="none" w:sz="0" w:space="0" w:color="auto"/>
        <w:bottom w:val="none" w:sz="0" w:space="0" w:color="auto"/>
        <w:right w:val="none" w:sz="0" w:space="0" w:color="auto"/>
      </w:divBdr>
    </w:div>
    <w:div w:id="866329148">
      <w:bodyDiv w:val="1"/>
      <w:marLeft w:val="0"/>
      <w:marRight w:val="0"/>
      <w:marTop w:val="0"/>
      <w:marBottom w:val="0"/>
      <w:divBdr>
        <w:top w:val="none" w:sz="0" w:space="0" w:color="auto"/>
        <w:left w:val="none" w:sz="0" w:space="0" w:color="auto"/>
        <w:bottom w:val="none" w:sz="0" w:space="0" w:color="auto"/>
        <w:right w:val="none" w:sz="0" w:space="0" w:color="auto"/>
      </w:divBdr>
    </w:div>
    <w:div w:id="873857115">
      <w:bodyDiv w:val="1"/>
      <w:marLeft w:val="0"/>
      <w:marRight w:val="0"/>
      <w:marTop w:val="0"/>
      <w:marBottom w:val="0"/>
      <w:divBdr>
        <w:top w:val="none" w:sz="0" w:space="0" w:color="auto"/>
        <w:left w:val="none" w:sz="0" w:space="0" w:color="auto"/>
        <w:bottom w:val="none" w:sz="0" w:space="0" w:color="auto"/>
        <w:right w:val="none" w:sz="0" w:space="0" w:color="auto"/>
      </w:divBdr>
    </w:div>
    <w:div w:id="915826459">
      <w:bodyDiv w:val="1"/>
      <w:marLeft w:val="0"/>
      <w:marRight w:val="0"/>
      <w:marTop w:val="0"/>
      <w:marBottom w:val="0"/>
      <w:divBdr>
        <w:top w:val="none" w:sz="0" w:space="0" w:color="auto"/>
        <w:left w:val="none" w:sz="0" w:space="0" w:color="auto"/>
        <w:bottom w:val="none" w:sz="0" w:space="0" w:color="auto"/>
        <w:right w:val="none" w:sz="0" w:space="0" w:color="auto"/>
      </w:divBdr>
    </w:div>
    <w:div w:id="946694589">
      <w:bodyDiv w:val="1"/>
      <w:marLeft w:val="0"/>
      <w:marRight w:val="0"/>
      <w:marTop w:val="0"/>
      <w:marBottom w:val="0"/>
      <w:divBdr>
        <w:top w:val="none" w:sz="0" w:space="0" w:color="auto"/>
        <w:left w:val="none" w:sz="0" w:space="0" w:color="auto"/>
        <w:bottom w:val="none" w:sz="0" w:space="0" w:color="auto"/>
        <w:right w:val="none" w:sz="0" w:space="0" w:color="auto"/>
      </w:divBdr>
    </w:div>
    <w:div w:id="951399762">
      <w:bodyDiv w:val="1"/>
      <w:marLeft w:val="0"/>
      <w:marRight w:val="0"/>
      <w:marTop w:val="0"/>
      <w:marBottom w:val="0"/>
      <w:divBdr>
        <w:top w:val="none" w:sz="0" w:space="0" w:color="auto"/>
        <w:left w:val="none" w:sz="0" w:space="0" w:color="auto"/>
        <w:bottom w:val="none" w:sz="0" w:space="0" w:color="auto"/>
        <w:right w:val="none" w:sz="0" w:space="0" w:color="auto"/>
      </w:divBdr>
    </w:div>
    <w:div w:id="971708757">
      <w:bodyDiv w:val="1"/>
      <w:marLeft w:val="0"/>
      <w:marRight w:val="0"/>
      <w:marTop w:val="0"/>
      <w:marBottom w:val="0"/>
      <w:divBdr>
        <w:top w:val="none" w:sz="0" w:space="0" w:color="auto"/>
        <w:left w:val="none" w:sz="0" w:space="0" w:color="auto"/>
        <w:bottom w:val="none" w:sz="0" w:space="0" w:color="auto"/>
        <w:right w:val="none" w:sz="0" w:space="0" w:color="auto"/>
      </w:divBdr>
    </w:div>
    <w:div w:id="990791133">
      <w:bodyDiv w:val="1"/>
      <w:marLeft w:val="0"/>
      <w:marRight w:val="0"/>
      <w:marTop w:val="0"/>
      <w:marBottom w:val="0"/>
      <w:divBdr>
        <w:top w:val="none" w:sz="0" w:space="0" w:color="auto"/>
        <w:left w:val="none" w:sz="0" w:space="0" w:color="auto"/>
        <w:bottom w:val="none" w:sz="0" w:space="0" w:color="auto"/>
        <w:right w:val="none" w:sz="0" w:space="0" w:color="auto"/>
      </w:divBdr>
    </w:div>
    <w:div w:id="1037589281">
      <w:bodyDiv w:val="1"/>
      <w:marLeft w:val="0"/>
      <w:marRight w:val="0"/>
      <w:marTop w:val="0"/>
      <w:marBottom w:val="0"/>
      <w:divBdr>
        <w:top w:val="none" w:sz="0" w:space="0" w:color="auto"/>
        <w:left w:val="none" w:sz="0" w:space="0" w:color="auto"/>
        <w:bottom w:val="none" w:sz="0" w:space="0" w:color="auto"/>
        <w:right w:val="none" w:sz="0" w:space="0" w:color="auto"/>
      </w:divBdr>
    </w:div>
    <w:div w:id="1063601096">
      <w:bodyDiv w:val="1"/>
      <w:marLeft w:val="0"/>
      <w:marRight w:val="0"/>
      <w:marTop w:val="0"/>
      <w:marBottom w:val="0"/>
      <w:divBdr>
        <w:top w:val="none" w:sz="0" w:space="0" w:color="auto"/>
        <w:left w:val="none" w:sz="0" w:space="0" w:color="auto"/>
        <w:bottom w:val="none" w:sz="0" w:space="0" w:color="auto"/>
        <w:right w:val="none" w:sz="0" w:space="0" w:color="auto"/>
      </w:divBdr>
    </w:div>
    <w:div w:id="1072966849">
      <w:bodyDiv w:val="1"/>
      <w:marLeft w:val="0"/>
      <w:marRight w:val="0"/>
      <w:marTop w:val="0"/>
      <w:marBottom w:val="0"/>
      <w:divBdr>
        <w:top w:val="none" w:sz="0" w:space="0" w:color="auto"/>
        <w:left w:val="none" w:sz="0" w:space="0" w:color="auto"/>
        <w:bottom w:val="none" w:sz="0" w:space="0" w:color="auto"/>
        <w:right w:val="none" w:sz="0" w:space="0" w:color="auto"/>
      </w:divBdr>
    </w:div>
    <w:div w:id="1100879043">
      <w:bodyDiv w:val="1"/>
      <w:marLeft w:val="0"/>
      <w:marRight w:val="0"/>
      <w:marTop w:val="0"/>
      <w:marBottom w:val="0"/>
      <w:divBdr>
        <w:top w:val="none" w:sz="0" w:space="0" w:color="auto"/>
        <w:left w:val="none" w:sz="0" w:space="0" w:color="auto"/>
        <w:bottom w:val="none" w:sz="0" w:space="0" w:color="auto"/>
        <w:right w:val="none" w:sz="0" w:space="0" w:color="auto"/>
      </w:divBdr>
    </w:div>
    <w:div w:id="1152142030">
      <w:bodyDiv w:val="1"/>
      <w:marLeft w:val="0"/>
      <w:marRight w:val="0"/>
      <w:marTop w:val="0"/>
      <w:marBottom w:val="0"/>
      <w:divBdr>
        <w:top w:val="none" w:sz="0" w:space="0" w:color="auto"/>
        <w:left w:val="none" w:sz="0" w:space="0" w:color="auto"/>
        <w:bottom w:val="none" w:sz="0" w:space="0" w:color="auto"/>
        <w:right w:val="none" w:sz="0" w:space="0" w:color="auto"/>
      </w:divBdr>
    </w:div>
    <w:div w:id="1238396458">
      <w:bodyDiv w:val="1"/>
      <w:marLeft w:val="0"/>
      <w:marRight w:val="0"/>
      <w:marTop w:val="0"/>
      <w:marBottom w:val="0"/>
      <w:divBdr>
        <w:top w:val="none" w:sz="0" w:space="0" w:color="auto"/>
        <w:left w:val="none" w:sz="0" w:space="0" w:color="auto"/>
        <w:bottom w:val="none" w:sz="0" w:space="0" w:color="auto"/>
        <w:right w:val="none" w:sz="0" w:space="0" w:color="auto"/>
      </w:divBdr>
    </w:div>
    <w:div w:id="1269508127">
      <w:bodyDiv w:val="1"/>
      <w:marLeft w:val="0"/>
      <w:marRight w:val="0"/>
      <w:marTop w:val="0"/>
      <w:marBottom w:val="0"/>
      <w:divBdr>
        <w:top w:val="none" w:sz="0" w:space="0" w:color="auto"/>
        <w:left w:val="none" w:sz="0" w:space="0" w:color="auto"/>
        <w:bottom w:val="none" w:sz="0" w:space="0" w:color="auto"/>
        <w:right w:val="none" w:sz="0" w:space="0" w:color="auto"/>
      </w:divBdr>
    </w:div>
    <w:div w:id="1273517329">
      <w:bodyDiv w:val="1"/>
      <w:marLeft w:val="0"/>
      <w:marRight w:val="0"/>
      <w:marTop w:val="0"/>
      <w:marBottom w:val="0"/>
      <w:divBdr>
        <w:top w:val="none" w:sz="0" w:space="0" w:color="auto"/>
        <w:left w:val="none" w:sz="0" w:space="0" w:color="auto"/>
        <w:bottom w:val="none" w:sz="0" w:space="0" w:color="auto"/>
        <w:right w:val="none" w:sz="0" w:space="0" w:color="auto"/>
      </w:divBdr>
    </w:div>
    <w:div w:id="1296255446">
      <w:bodyDiv w:val="1"/>
      <w:marLeft w:val="0"/>
      <w:marRight w:val="0"/>
      <w:marTop w:val="0"/>
      <w:marBottom w:val="0"/>
      <w:divBdr>
        <w:top w:val="none" w:sz="0" w:space="0" w:color="auto"/>
        <w:left w:val="none" w:sz="0" w:space="0" w:color="auto"/>
        <w:bottom w:val="none" w:sz="0" w:space="0" w:color="auto"/>
        <w:right w:val="none" w:sz="0" w:space="0" w:color="auto"/>
      </w:divBdr>
    </w:div>
    <w:div w:id="1343700144">
      <w:bodyDiv w:val="1"/>
      <w:marLeft w:val="0"/>
      <w:marRight w:val="0"/>
      <w:marTop w:val="0"/>
      <w:marBottom w:val="0"/>
      <w:divBdr>
        <w:top w:val="none" w:sz="0" w:space="0" w:color="auto"/>
        <w:left w:val="none" w:sz="0" w:space="0" w:color="auto"/>
        <w:bottom w:val="none" w:sz="0" w:space="0" w:color="auto"/>
        <w:right w:val="none" w:sz="0" w:space="0" w:color="auto"/>
      </w:divBdr>
    </w:div>
    <w:div w:id="1353267019">
      <w:bodyDiv w:val="1"/>
      <w:marLeft w:val="0"/>
      <w:marRight w:val="0"/>
      <w:marTop w:val="0"/>
      <w:marBottom w:val="0"/>
      <w:divBdr>
        <w:top w:val="none" w:sz="0" w:space="0" w:color="auto"/>
        <w:left w:val="none" w:sz="0" w:space="0" w:color="auto"/>
        <w:bottom w:val="none" w:sz="0" w:space="0" w:color="auto"/>
        <w:right w:val="none" w:sz="0" w:space="0" w:color="auto"/>
      </w:divBdr>
    </w:div>
    <w:div w:id="1353994227">
      <w:bodyDiv w:val="1"/>
      <w:marLeft w:val="0"/>
      <w:marRight w:val="0"/>
      <w:marTop w:val="0"/>
      <w:marBottom w:val="0"/>
      <w:divBdr>
        <w:top w:val="none" w:sz="0" w:space="0" w:color="auto"/>
        <w:left w:val="none" w:sz="0" w:space="0" w:color="auto"/>
        <w:bottom w:val="none" w:sz="0" w:space="0" w:color="auto"/>
        <w:right w:val="none" w:sz="0" w:space="0" w:color="auto"/>
      </w:divBdr>
    </w:div>
    <w:div w:id="1392535736">
      <w:bodyDiv w:val="1"/>
      <w:marLeft w:val="0"/>
      <w:marRight w:val="0"/>
      <w:marTop w:val="0"/>
      <w:marBottom w:val="0"/>
      <w:divBdr>
        <w:top w:val="none" w:sz="0" w:space="0" w:color="auto"/>
        <w:left w:val="none" w:sz="0" w:space="0" w:color="auto"/>
        <w:bottom w:val="none" w:sz="0" w:space="0" w:color="auto"/>
        <w:right w:val="none" w:sz="0" w:space="0" w:color="auto"/>
      </w:divBdr>
    </w:div>
    <w:div w:id="1413965733">
      <w:bodyDiv w:val="1"/>
      <w:marLeft w:val="0"/>
      <w:marRight w:val="0"/>
      <w:marTop w:val="0"/>
      <w:marBottom w:val="0"/>
      <w:divBdr>
        <w:top w:val="none" w:sz="0" w:space="0" w:color="auto"/>
        <w:left w:val="none" w:sz="0" w:space="0" w:color="auto"/>
        <w:bottom w:val="none" w:sz="0" w:space="0" w:color="auto"/>
        <w:right w:val="none" w:sz="0" w:space="0" w:color="auto"/>
      </w:divBdr>
    </w:div>
    <w:div w:id="1463813807">
      <w:bodyDiv w:val="1"/>
      <w:marLeft w:val="0"/>
      <w:marRight w:val="0"/>
      <w:marTop w:val="0"/>
      <w:marBottom w:val="0"/>
      <w:divBdr>
        <w:top w:val="none" w:sz="0" w:space="0" w:color="auto"/>
        <w:left w:val="none" w:sz="0" w:space="0" w:color="auto"/>
        <w:bottom w:val="none" w:sz="0" w:space="0" w:color="auto"/>
        <w:right w:val="none" w:sz="0" w:space="0" w:color="auto"/>
      </w:divBdr>
    </w:div>
    <w:div w:id="1502696787">
      <w:bodyDiv w:val="1"/>
      <w:marLeft w:val="0"/>
      <w:marRight w:val="0"/>
      <w:marTop w:val="0"/>
      <w:marBottom w:val="0"/>
      <w:divBdr>
        <w:top w:val="none" w:sz="0" w:space="0" w:color="auto"/>
        <w:left w:val="none" w:sz="0" w:space="0" w:color="auto"/>
        <w:bottom w:val="none" w:sz="0" w:space="0" w:color="auto"/>
        <w:right w:val="none" w:sz="0" w:space="0" w:color="auto"/>
      </w:divBdr>
    </w:div>
    <w:div w:id="1506751694">
      <w:bodyDiv w:val="1"/>
      <w:marLeft w:val="0"/>
      <w:marRight w:val="0"/>
      <w:marTop w:val="0"/>
      <w:marBottom w:val="0"/>
      <w:divBdr>
        <w:top w:val="none" w:sz="0" w:space="0" w:color="auto"/>
        <w:left w:val="none" w:sz="0" w:space="0" w:color="auto"/>
        <w:bottom w:val="none" w:sz="0" w:space="0" w:color="auto"/>
        <w:right w:val="none" w:sz="0" w:space="0" w:color="auto"/>
      </w:divBdr>
    </w:div>
    <w:div w:id="1514299689">
      <w:bodyDiv w:val="1"/>
      <w:marLeft w:val="0"/>
      <w:marRight w:val="0"/>
      <w:marTop w:val="0"/>
      <w:marBottom w:val="0"/>
      <w:divBdr>
        <w:top w:val="none" w:sz="0" w:space="0" w:color="auto"/>
        <w:left w:val="none" w:sz="0" w:space="0" w:color="auto"/>
        <w:bottom w:val="none" w:sz="0" w:space="0" w:color="auto"/>
        <w:right w:val="none" w:sz="0" w:space="0" w:color="auto"/>
      </w:divBdr>
    </w:div>
    <w:div w:id="1529560861">
      <w:bodyDiv w:val="1"/>
      <w:marLeft w:val="0"/>
      <w:marRight w:val="0"/>
      <w:marTop w:val="0"/>
      <w:marBottom w:val="0"/>
      <w:divBdr>
        <w:top w:val="none" w:sz="0" w:space="0" w:color="auto"/>
        <w:left w:val="none" w:sz="0" w:space="0" w:color="auto"/>
        <w:bottom w:val="none" w:sz="0" w:space="0" w:color="auto"/>
        <w:right w:val="none" w:sz="0" w:space="0" w:color="auto"/>
      </w:divBdr>
    </w:div>
    <w:div w:id="1542329937">
      <w:bodyDiv w:val="1"/>
      <w:marLeft w:val="0"/>
      <w:marRight w:val="0"/>
      <w:marTop w:val="0"/>
      <w:marBottom w:val="0"/>
      <w:divBdr>
        <w:top w:val="none" w:sz="0" w:space="0" w:color="auto"/>
        <w:left w:val="none" w:sz="0" w:space="0" w:color="auto"/>
        <w:bottom w:val="none" w:sz="0" w:space="0" w:color="auto"/>
        <w:right w:val="none" w:sz="0" w:space="0" w:color="auto"/>
      </w:divBdr>
    </w:div>
    <w:div w:id="1624922268">
      <w:bodyDiv w:val="1"/>
      <w:marLeft w:val="0"/>
      <w:marRight w:val="0"/>
      <w:marTop w:val="0"/>
      <w:marBottom w:val="0"/>
      <w:divBdr>
        <w:top w:val="none" w:sz="0" w:space="0" w:color="auto"/>
        <w:left w:val="none" w:sz="0" w:space="0" w:color="auto"/>
        <w:bottom w:val="none" w:sz="0" w:space="0" w:color="auto"/>
        <w:right w:val="none" w:sz="0" w:space="0" w:color="auto"/>
      </w:divBdr>
    </w:div>
    <w:div w:id="1744643034">
      <w:bodyDiv w:val="1"/>
      <w:marLeft w:val="0"/>
      <w:marRight w:val="0"/>
      <w:marTop w:val="0"/>
      <w:marBottom w:val="0"/>
      <w:divBdr>
        <w:top w:val="none" w:sz="0" w:space="0" w:color="auto"/>
        <w:left w:val="none" w:sz="0" w:space="0" w:color="auto"/>
        <w:bottom w:val="none" w:sz="0" w:space="0" w:color="auto"/>
        <w:right w:val="none" w:sz="0" w:space="0" w:color="auto"/>
      </w:divBdr>
    </w:div>
    <w:div w:id="1772776181">
      <w:bodyDiv w:val="1"/>
      <w:marLeft w:val="0"/>
      <w:marRight w:val="0"/>
      <w:marTop w:val="0"/>
      <w:marBottom w:val="0"/>
      <w:divBdr>
        <w:top w:val="none" w:sz="0" w:space="0" w:color="auto"/>
        <w:left w:val="none" w:sz="0" w:space="0" w:color="auto"/>
        <w:bottom w:val="none" w:sz="0" w:space="0" w:color="auto"/>
        <w:right w:val="none" w:sz="0" w:space="0" w:color="auto"/>
      </w:divBdr>
    </w:div>
    <w:div w:id="1813063466">
      <w:bodyDiv w:val="1"/>
      <w:marLeft w:val="0"/>
      <w:marRight w:val="0"/>
      <w:marTop w:val="0"/>
      <w:marBottom w:val="0"/>
      <w:divBdr>
        <w:top w:val="none" w:sz="0" w:space="0" w:color="auto"/>
        <w:left w:val="none" w:sz="0" w:space="0" w:color="auto"/>
        <w:bottom w:val="none" w:sz="0" w:space="0" w:color="auto"/>
        <w:right w:val="none" w:sz="0" w:space="0" w:color="auto"/>
      </w:divBdr>
    </w:div>
    <w:div w:id="1839999345">
      <w:bodyDiv w:val="1"/>
      <w:marLeft w:val="0"/>
      <w:marRight w:val="0"/>
      <w:marTop w:val="0"/>
      <w:marBottom w:val="0"/>
      <w:divBdr>
        <w:top w:val="none" w:sz="0" w:space="0" w:color="auto"/>
        <w:left w:val="none" w:sz="0" w:space="0" w:color="auto"/>
        <w:bottom w:val="none" w:sz="0" w:space="0" w:color="auto"/>
        <w:right w:val="none" w:sz="0" w:space="0" w:color="auto"/>
      </w:divBdr>
    </w:div>
    <w:div w:id="1889025891">
      <w:bodyDiv w:val="1"/>
      <w:marLeft w:val="0"/>
      <w:marRight w:val="0"/>
      <w:marTop w:val="0"/>
      <w:marBottom w:val="0"/>
      <w:divBdr>
        <w:top w:val="none" w:sz="0" w:space="0" w:color="auto"/>
        <w:left w:val="none" w:sz="0" w:space="0" w:color="auto"/>
        <w:bottom w:val="none" w:sz="0" w:space="0" w:color="auto"/>
        <w:right w:val="none" w:sz="0" w:space="0" w:color="auto"/>
      </w:divBdr>
    </w:div>
    <w:div w:id="20054716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17" Type="http://schemas.openxmlformats.org/officeDocument/2006/relationships/hyperlink" Target="https://elpais.com/internacional/2019/10/15/mexico/1571096538_312293.html" TargetMode="External"/><Relationship Id="rId21" Type="http://schemas.openxmlformats.org/officeDocument/2006/relationships/hyperlink" Target="https://youtu.be/0ZzjN_RmQXw" TargetMode="External"/><Relationship Id="rId42" Type="http://schemas.openxmlformats.org/officeDocument/2006/relationships/hyperlink" Target="http://hchr.org.mx/images/doc_pub/CAT_C_MEX_CO_7_34944_S.pdf" TargetMode="External"/><Relationship Id="rId63" Type="http://schemas.openxmlformats.org/officeDocument/2006/relationships/hyperlink" Target="https://www.proceso.com.mx/592498/ejecutan-a-mujer-transgenero-en-oaxaca-no-nos-maten-clama-presidenta-de-la-aaflo" TargetMode="External"/><Relationship Id="rId84" Type="http://schemas.openxmlformats.org/officeDocument/2006/relationships/hyperlink" Target="https://heraldodemexico.com.mx/estados/congreso-de-colima-aprueba-cambio-de-identidad-de-genero-en-documentos-oficiales/" TargetMode="External"/><Relationship Id="rId138" Type="http://schemas.openxmlformats.org/officeDocument/2006/relationships/hyperlink" Target="https://www.contralinea.com.mx/archivo-revista/2019/04/30/estado-mexicano-incumple-medidas-cautelares-a-favor-de-indigenas-de-oaxaca-dictadas-por-cidh/" TargetMode="External"/><Relationship Id="rId159" Type="http://schemas.openxmlformats.org/officeDocument/2006/relationships/hyperlink" Target="https://elpais.com/internacional/2019/05/09/mexico/1557364435_294505.html" TargetMode="External"/><Relationship Id="rId170" Type="http://schemas.openxmlformats.org/officeDocument/2006/relationships/hyperlink" Target="https://www.elmanana.com/se-amparan-indigenas-contra-un-instituto-amparo-comunidad-indigena-afectacion-de-sus-territorios/4740990" TargetMode="External"/><Relationship Id="rId191" Type="http://schemas.openxmlformats.org/officeDocument/2006/relationships/hyperlink" Target="http://www.oas.org/es/cidh/informes/pdfs/PrisionPreventiva.pdf" TargetMode="External"/><Relationship Id="rId205" Type="http://schemas.openxmlformats.org/officeDocument/2006/relationships/hyperlink" Target="https://www.oas.org/es/cidh/docs/anual/2018/docs/IA2018cap.5MX-es.pdf" TargetMode="External"/><Relationship Id="rId226" Type="http://schemas.openxmlformats.org/officeDocument/2006/relationships/hyperlink" Target="https://www.gob.mx/inm/prensa/garantiza-inm-condiciones-dignas-en-las-estaciones-migratorias-estancias-provisionales-y-albergues-temporales-210046?idiom=es" TargetMode="External"/><Relationship Id="rId247" Type="http://schemas.openxmlformats.org/officeDocument/2006/relationships/hyperlink" Target="https://www.gob.mx/cms/uploads/attachment/file/456109/Desplaz_2019_web_color-comp.pdf" TargetMode="External"/><Relationship Id="rId107" Type="http://schemas.openxmlformats.org/officeDocument/2006/relationships/hyperlink" Target="https://www.amnesty.org/download/Documents/AMR4184652018SPANISH.PDF" TargetMode="External"/><Relationship Id="rId268" Type="http://schemas.openxmlformats.org/officeDocument/2006/relationships/hyperlink" Target="https://www.sinembargo.mx/27-02-2019/3543400" TargetMode="External"/><Relationship Id="rId289" Type="http://schemas.openxmlformats.org/officeDocument/2006/relationships/hyperlink" Target="http://cmdpdh.org/project/carta-de-las-osc-mexicanas-personas-defensoras-junto-con-el-apoyo-de-organizaciones-internacionales-en-seguimiento-a-su-visita-a-mexico/" TargetMode="External"/><Relationship Id="rId11" Type="http://schemas.openxmlformats.org/officeDocument/2006/relationships/hyperlink" Target="http://aga.funcionpublica.gob.mx/aga/Home/Documento?doc=1.%20Nota%20T%C3%A9cnica%20Programa%20Nacional%20de%20Exhumaciones.pdf" TargetMode="External"/><Relationship Id="rId32" Type="http://schemas.openxmlformats.org/officeDocument/2006/relationships/hyperlink" Target="https://www.omct.org/files/2019/04/25320/informe_conjunto_oscs_mexico_cat2019.pdf" TargetMode="External"/><Relationship Id="rId53" Type="http://schemas.openxmlformats.org/officeDocument/2006/relationships/hyperlink" Target="https://www.mexicoevalua.org/2019/10/25/autonomia-en-la-procuracion-justicia-suficiente-garantia/" TargetMode="External"/><Relationship Id="rId74" Type="http://schemas.openxmlformats.org/officeDocument/2006/relationships/hyperlink" Target="https://www.infobae.com/america/mexico/2019/06/18/el-congreso-de-sinaloa-rechazo-el-matrimonio-igualitario-no-se-podra-reagendar-el-tema-en-la-actual-legislatura/" TargetMode="External"/><Relationship Id="rId128" Type="http://schemas.openxmlformats.org/officeDocument/2006/relationships/hyperlink" Target="https://www.infobae.com/america/mexico/2019/04/24/la-realidad-de-la-infancia-en-mexico-6-de-cada-10-ninos-sufren-violencia-dentro-y-fuera-de-sus-hogares/" TargetMode="External"/><Relationship Id="rId149" Type="http://schemas.openxmlformats.org/officeDocument/2006/relationships/hyperlink" Target="https://www.gob.mx/cultura/prensa/mexico-es-uno-de-los-paises-con-mayor-diversidad-linguistica-en-el-mundo" TargetMode="External"/><Relationship Id="rId5" Type="http://schemas.openxmlformats.org/officeDocument/2006/relationships/hyperlink" Target="http://www.diputados.gob.mx/LeyesBiblio/pdf/LNUF_270519.pdf" TargetMode="External"/><Relationship Id="rId95" Type="http://schemas.openxmlformats.org/officeDocument/2006/relationships/hyperlink" Target="https://aristeguinoticias.com/2704/mexico/traete-tu-petate-dice-alcalde-a-representante-indigena/" TargetMode="External"/><Relationship Id="rId160" Type="http://schemas.openxmlformats.org/officeDocument/2006/relationships/hyperlink" Target="https://www.proceso.com.mx/577307/urgen-en-oaxaca-frenar-los-despojos-que-dan-paso-a-megaproyectos" TargetMode="External"/><Relationship Id="rId181" Type="http://schemas.openxmlformats.org/officeDocument/2006/relationships/hyperlink" Target="https://www.dof.gob.mx/nota_detalle.php?codigo=5557700&amp;fecha=12/04/2019" TargetMode="External"/><Relationship Id="rId216" Type="http://schemas.openxmlformats.org/officeDocument/2006/relationships/hyperlink" Target="https://sjf.scjn.gob.mx/SJFSist/paginas/DetalleGeneralV2.aspx?ID=2020336&amp;Clase=DetalleTesisBL&amp;Semanario=0" TargetMode="External"/><Relationship Id="rId237" Type="http://schemas.openxmlformats.org/officeDocument/2006/relationships/hyperlink" Target="https://www.oas.org/es/cidh/informes/pdfs/MovilidadHumana.pdf" TargetMode="External"/><Relationship Id="rId258" Type="http://schemas.openxmlformats.org/officeDocument/2006/relationships/hyperlink" Target="http://www.oas.org/es/cidh/expresion/showarticle.asp?artID=1154&amp;lID=2" TargetMode="External"/><Relationship Id="rId279" Type="http://schemas.openxmlformats.org/officeDocument/2006/relationships/hyperlink" Target="http://hchr.org.mx/images/doc_pub/190725-Diagnostico-Mecanismo-FINAL.pdf" TargetMode="External"/><Relationship Id="rId22" Type="http://schemas.openxmlformats.org/officeDocument/2006/relationships/hyperlink" Target="https://www.gob.mx/segob/prensa/aprueban-el-primer-mecanismo-extraordinario-de-identificacion-forense-en-el-pais-los-recursos-seran-ilimitados-asegura-olga-sanchez-cordero?idiom=es" TargetMode="External"/><Relationship Id="rId43" Type="http://schemas.openxmlformats.org/officeDocument/2006/relationships/hyperlink" Target="https://www.omct.org/files/2019/04/25320/informe_conjunto_oscs_mexico_cat2019.pdf" TargetMode="External"/><Relationship Id="rId64" Type="http://schemas.openxmlformats.org/officeDocument/2006/relationships/hyperlink" Target="https://encontacto.mx/crimen-de-odio-violado-y-apunalado-en-el-cuello/" TargetMode="External"/><Relationship Id="rId118" Type="http://schemas.openxmlformats.org/officeDocument/2006/relationships/hyperlink" Target="https://www.infobae.com/america/mexico/2019/09/13/la-triste-historia-de-los-tres-ninos-sicarios-ejecutados-en-sonora/" TargetMode="External"/><Relationship Id="rId139" Type="http://schemas.openxmlformats.org/officeDocument/2006/relationships/hyperlink" Target="https://www.voltairenet.org/article206494.html" TargetMode="External"/><Relationship Id="rId85" Type="http://schemas.openxmlformats.org/officeDocument/2006/relationships/hyperlink" Target="https://www.excelsior.com.mx/nacional/en-hidalgo-se-podra-elegir-identidad-de-genero-a-los-18-anos/1309465" TargetMode="External"/><Relationship Id="rId150" Type="http://schemas.openxmlformats.org/officeDocument/2006/relationships/hyperlink" Target="https://www.gob.mx/cultura/prensa/mexico-es-uno-de-los-paises-con-mayor-diversidad-linguistica-en-el-mundo" TargetMode="External"/><Relationship Id="rId171" Type="http://schemas.openxmlformats.org/officeDocument/2006/relationships/hyperlink" Target="https://dof.gob.mx/nota_detalle.php?codigo=5556040&amp;fecha=01/04/2019" TargetMode="External"/><Relationship Id="rId192" Type="http://schemas.openxmlformats.org/officeDocument/2006/relationships/hyperlink" Target="http://www.oas.org/es/cidh/ppl/informes/pdfs/Informe-PP-2013-es.pdf" TargetMode="External"/><Relationship Id="rId206" Type="http://schemas.openxmlformats.org/officeDocument/2006/relationships/hyperlink" Target="https://www.oas.org/es/cidh/docs/anual/2017/docs/IA2017cap.5MX-es.pdf" TargetMode="External"/><Relationship Id="rId227" Type="http://schemas.openxmlformats.org/officeDocument/2006/relationships/hyperlink" Target="http://www.cmdpdh.org/publicaciones-pdf/amicus-ley-de-migracion-scjn.pdf" TargetMode="External"/><Relationship Id="rId248" Type="http://schemas.openxmlformats.org/officeDocument/2006/relationships/hyperlink" Target="https://www.gob.mx/cms/uploads/attachment/file/456109/Desplaz_2019_web_color-comp.pdf" TargetMode="External"/><Relationship Id="rId269" Type="http://schemas.openxmlformats.org/officeDocument/2006/relationships/hyperlink" Target="https://www.proceso.com.mx/593226/salinas-pliego-el-magnate-que-movio-los-hilos-en-la-estafa-pemex-fertinal" TargetMode="External"/><Relationship Id="rId12" Type="http://schemas.openxmlformats.org/officeDocument/2006/relationships/hyperlink" Target="https://twitter.com/segob_mx/status/1192504822827642880?s=12" TargetMode="External"/><Relationship Id="rId33" Type="http://schemas.openxmlformats.org/officeDocument/2006/relationships/hyperlink" Target="http://hchr.org.mx/images/doc_pub/CAT_C_MEX_CO_7_34944_S.pdf" TargetMode="External"/><Relationship Id="rId108" Type="http://schemas.openxmlformats.org/officeDocument/2006/relationships/hyperlink" Target="http://hchr.org.mx/images/doc_pub/CERD_C_MEX_CO_18-21_36936_S.pdf" TargetMode="External"/><Relationship Id="rId129" Type="http://schemas.openxmlformats.org/officeDocument/2006/relationships/hyperlink" Target="http://www.oas.org/es/cidh/docs/anual/2017/indice.asp" TargetMode="External"/><Relationship Id="rId280" Type="http://schemas.openxmlformats.org/officeDocument/2006/relationships/hyperlink" Target="https://www.debate.com.mx/mexico/Impunes-el-99.13-por-ciento-de-delitos-contra-la-prensa--20190225-0133.html" TargetMode="External"/><Relationship Id="rId54" Type="http://schemas.openxmlformats.org/officeDocument/2006/relationships/hyperlink" Target="https://www.mexicoevalua.org/pgr-a-fgr-observatorio-la-transicion-2019/?fbclid=IwAR1r8YiVlhfioAlqG2PmJo4qAXZZQtQkylZg959cNmAipuCPIg_Xy-XT_eM" TargetMode="External"/><Relationship Id="rId75" Type="http://schemas.openxmlformats.org/officeDocument/2006/relationships/hyperlink" Target="http://www.hazruido.mx/reportes/una-burla-en-el-congreso-de-yucatan/?fbclid=IwAR3BJRx0AS4Py0AlD_0SUvqujeX9eqd8j_OLhZq27rxvU8he-2BAApEAYeg" TargetMode="External"/><Relationship Id="rId96" Type="http://schemas.openxmlformats.org/officeDocument/2006/relationships/hyperlink" Target="https://elpais.com/sociedad/2019/08/18/actualidad/1566161127_450051.html" TargetMode="External"/><Relationship Id="rId140" Type="http://schemas.openxmlformats.org/officeDocument/2006/relationships/hyperlink" Target="http://www.cidh.org/medidas/2008.sp.htm" TargetMode="External"/><Relationship Id="rId161" Type="http://schemas.openxmlformats.org/officeDocument/2006/relationships/hyperlink" Target="https://www.eluniversal.com.mx/nacion/sociedad/megaproyectos-ponen-en-riesgo-existencia-de-pueblos-indigenas-cndh" TargetMode="External"/><Relationship Id="rId182" Type="http://schemas.openxmlformats.org/officeDocument/2006/relationships/hyperlink" Target="https://www.oas.org/es/cidh/docs/anual/2018/docs/IA2018cap.5MX-es.pdf" TargetMode="External"/><Relationship Id="rId217" Type="http://schemas.openxmlformats.org/officeDocument/2006/relationships/hyperlink" Target="https://www.cndh.org.mx/sites/default/files/documentos/2019-09/Com_2019_370.pdf" TargetMode="External"/><Relationship Id="rId6" Type="http://schemas.openxmlformats.org/officeDocument/2006/relationships/hyperlink" Target="http://www.oas.org/es/cidh/informes/pais.asp" TargetMode="External"/><Relationship Id="rId238" Type="http://schemas.openxmlformats.org/officeDocument/2006/relationships/hyperlink" Target="https://www.dhs.gov/news/2019/01/24/migrant-protection-protocols" TargetMode="External"/><Relationship Id="rId259" Type="http://schemas.openxmlformats.org/officeDocument/2006/relationships/hyperlink" Target="https://cpj.org/es/2019/07/cumbre-sobre-la-libertad-de-prensa-insta-al-gobier.php" TargetMode="External"/><Relationship Id="rId23" Type="http://schemas.openxmlformats.org/officeDocument/2006/relationships/hyperlink" Target="https://www.amnesty.org/download/Documents/POL1067002018SPANISH.PDF" TargetMode="External"/><Relationship Id="rId119" Type="http://schemas.openxmlformats.org/officeDocument/2006/relationships/hyperlink" Target="https://sspbcs.gob.mx/ssp/index.php/1318-se-actualiza-pep-en-protocolo-de-actuacion-en-la-detencion-de-menores" TargetMode="External"/><Relationship Id="rId270" Type="http://schemas.openxmlformats.org/officeDocument/2006/relationships/hyperlink" Target="file:///C:\Users\CIDH_USER\Downloads\proceso.com.mx\593527\despoticas-amlo-proceso-coparmex" TargetMode="External"/><Relationship Id="rId44" Type="http://schemas.openxmlformats.org/officeDocument/2006/relationships/hyperlink" Target="http://hchr.org.mx/images/doc_pub/CAT_C_MEX_CO_7_34944_S.pdf" TargetMode="External"/><Relationship Id="rId65" Type="http://schemas.openxmlformats.org/officeDocument/2006/relationships/hyperlink" Target="http://www.jornadaveracruz.com.mx/Post.aspx?id=190709_074320_630" TargetMode="External"/><Relationship Id="rId86" Type="http://schemas.openxmlformats.org/officeDocument/2006/relationships/hyperlink" Target="http://www.oas.org/es/cidh/prensa/comunicados/2018/275.asp" TargetMode="External"/><Relationship Id="rId130" Type="http://schemas.openxmlformats.org/officeDocument/2006/relationships/hyperlink" Target="http://www.oas.org/es/cidh/docs/anual/2017/indice.asp" TargetMode="External"/><Relationship Id="rId151" Type="http://schemas.openxmlformats.org/officeDocument/2006/relationships/hyperlink" Target="https://www.filac.org/wp/comunicacion/actualidad-indigena/mas-de-8-mil-indigenas-en-la-carcel-por-falta-de-traductores-en-mexico/" TargetMode="External"/><Relationship Id="rId172" Type="http://schemas.openxmlformats.org/officeDocument/2006/relationships/hyperlink" Target="https://www.20minutos.com.mx/noticia/498345/0/publican-lineamientos-del-programa-de-derechos-indigenas-2019/" TargetMode="External"/><Relationship Id="rId193" Type="http://schemas.openxmlformats.org/officeDocument/2006/relationships/hyperlink" Target="http://www.oas.org/es/cidh/prensa/comunicados/2019/003.asp" TargetMode="External"/><Relationship Id="rId207" Type="http://schemas.openxmlformats.org/officeDocument/2006/relationships/hyperlink" Target="https://www.acnur.org/5d09c37c4.pdf" TargetMode="External"/><Relationship Id="rId228" Type="http://schemas.openxmlformats.org/officeDocument/2006/relationships/hyperlink" Target="https://www.cndh.org.mx/sites/default/files/documentos/2019-07/COMUNICADO%20274-2019.pdf" TargetMode="External"/><Relationship Id="rId249" Type="http://schemas.openxmlformats.org/officeDocument/2006/relationships/hyperlink" Target="https://www.gob.mx/cms/uploads/attachment/file/456109/Desplaz_2019_web_color-comp.pdf" TargetMode="External"/><Relationship Id="rId13" Type="http://schemas.openxmlformats.org/officeDocument/2006/relationships/hyperlink" Target="http://www.noticieros.televisa.com/ultimas-noticias/amlo-fosas-clandestinas-personas-desaparecidas-mexico-derechos-humanos/" TargetMode="External"/><Relationship Id="rId109" Type="http://schemas.openxmlformats.org/officeDocument/2006/relationships/hyperlink" Target="http://hchr.org.mx/images/doc_pub/CERD_C_MEX_CO_18-21_36936_S.pdf" TargetMode="External"/><Relationship Id="rId260" Type="http://schemas.openxmlformats.org/officeDocument/2006/relationships/hyperlink" Target="https://rsf.org/es/noticias/ola-de-asesinatos-de-periodistas-en-mexico-las-autoridades-impotentes-0" TargetMode="External"/><Relationship Id="rId281" Type="http://schemas.openxmlformats.org/officeDocument/2006/relationships/hyperlink" Target="https://www.gob.mx/cms/uploads/attachment/file/432247/ESTADISTICAS_Dic_2018_" TargetMode="External"/><Relationship Id="rId34" Type="http://schemas.openxmlformats.org/officeDocument/2006/relationships/hyperlink" Target="https://centroprodh.org.mx/wp-content/uploads/2019/07/Patrones.pdf" TargetMode="External"/><Relationship Id="rId50" Type="http://schemas.openxmlformats.org/officeDocument/2006/relationships/hyperlink" Target="https://www.gob.mx/cms/uploads/attachment/file/489219/Informe_Encuesta_PAIV_2019-2024_1.pdf" TargetMode="External"/><Relationship Id="rId55" Type="http://schemas.openxmlformats.org/officeDocument/2006/relationships/hyperlink" Target="http://sindis.conapred.org.mx/" TargetMode="External"/><Relationship Id="rId76" Type="http://schemas.openxmlformats.org/officeDocument/2006/relationships/hyperlink" Target="http://www.observatoriolgbt.org.bo/index.php/noticia/detalle/cod_noticia/2782" TargetMode="External"/><Relationship Id="rId97" Type="http://schemas.openxmlformats.org/officeDocument/2006/relationships/hyperlink" Target="https://www.cdmx.gob.mx/portal/articulo/alerta-por-violencia-en-contra-de-las-mujeres-en-la-ciudad-de-mexico" TargetMode="External"/><Relationship Id="rId104" Type="http://schemas.openxmlformats.org/officeDocument/2006/relationships/hyperlink" Target="https://aristeguinoticias.com/2704/mexico/traete-tu-petate-dice-alcalde-a-representante-indigena/" TargetMode="External"/><Relationship Id="rId120" Type="http://schemas.openxmlformats.org/officeDocument/2006/relationships/hyperlink" Target="https://sipse.com/novedades-yucatan/protocolo-arresto-menores-respeto-derechos-humanos-merida-345547.html" TargetMode="External"/><Relationship Id="rId125" Type="http://schemas.openxmlformats.org/officeDocument/2006/relationships/hyperlink" Target="http://www3.diputados.gob.mx/camara/content/download/336723/1202791/file/LA%20VIOLENCIA%20CONTRA%20LAS%20NI%C3%91AS,%20NI%C3%91OS%20Y%20ADOLESCENTES.pdf" TargetMode="External"/><Relationship Id="rId141" Type="http://schemas.openxmlformats.org/officeDocument/2006/relationships/hyperlink" Target="https://www.contralinea.com.mx/archivo-revista/2019/10/09/carteles-punta-de-lanza-contra-los-pueblos-indigenas-del-cni/" TargetMode="External"/><Relationship Id="rId146" Type="http://schemas.openxmlformats.org/officeDocument/2006/relationships/hyperlink" Target="https://conexionmigrante.com/2019-/06-/05/gobierno-mexicano-pacta-con-pueblos-indigenas-para-pacificar-altos-de-chiapas/" TargetMode="External"/><Relationship Id="rId167" Type="http://schemas.openxmlformats.org/officeDocument/2006/relationships/hyperlink" Target="https://www.milenio.com/politica/amlo-valido-licitar-tren-maya-consultar-comunidades" TargetMode="External"/><Relationship Id="rId188" Type="http://schemas.openxmlformats.org/officeDocument/2006/relationships/hyperlink" Target="http://www.oas.org/es/cidh/ppl/informes/pdfs/Informe-PP-2013-es.pdf" TargetMode="External"/><Relationship Id="rId7" Type="http://schemas.openxmlformats.org/officeDocument/2006/relationships/hyperlink" Target="http://hchr.org.mx/index.php?option=com_k2&amp;view=itemlist&amp;layout=category&amp;task=category&amp;id=35&amp;Itemid=396" TargetMode="External"/><Relationship Id="rId71" Type="http://schemas.openxmlformats.org/officeDocument/2006/relationships/hyperlink" Target="https://politica.expansion.mx/estados/2019/08/28/congreso-oaxaca-aprueba-matrimonio-igualitario" TargetMode="External"/><Relationship Id="rId92" Type="http://schemas.openxmlformats.org/officeDocument/2006/relationships/hyperlink" Target="https://www.eleconomista.com.mx/arteseideas/El-presupuesto-del-2019-retroceso-en-igualdad-de-genero-Fundar-20181219-0133.html" TargetMode="External"/><Relationship Id="rId162" Type="http://schemas.openxmlformats.org/officeDocument/2006/relationships/hyperlink" Target="https://www.lajornadamaya.mx/2019-03-30/Pide-CNDH-proteger-a-pueblos-indigenas-por-proyecto-del-Istmo" TargetMode="External"/><Relationship Id="rId183" Type="http://schemas.openxmlformats.org/officeDocument/2006/relationships/hyperlink" Target="https://www.cndh.org.mx/sites/default/files/documentos/2019-02/Com_2019_041.pdf" TargetMode="External"/><Relationship Id="rId213" Type="http://schemas.openxmlformats.org/officeDocument/2006/relationships/hyperlink" Target="https://www.scjn.gob.mx/sites/default/files/listas/documento_dos/2019-07/A.R.-275-2019-190814.pdf" TargetMode="External"/><Relationship Id="rId218" Type="http://schemas.openxmlformats.org/officeDocument/2006/relationships/hyperlink" Target="https://www.oas.org/es/cidh/informes/pdfs/MovilidadHumana.pdf" TargetMode="External"/><Relationship Id="rId234" Type="http://schemas.openxmlformats.org/officeDocument/2006/relationships/hyperlink" Target="https://news.un.org/es/audio/2019/09/1462082" TargetMode="External"/><Relationship Id="rId239" Type="http://schemas.openxmlformats.org/officeDocument/2006/relationships/hyperlink" Target="https://www.gob.mx/cms/uploads/attachment/file/476581/Estadisticas_Internaciones_11_julio.pdf" TargetMode="External"/><Relationship Id="rId2" Type="http://schemas.openxmlformats.org/officeDocument/2006/relationships/hyperlink" Target="http://www.diputados.gob.mx/LeyesBiblio/ref/dof/CPEUM_ref_235_26mar19.pdf" TargetMode="External"/><Relationship Id="rId29" Type="http://schemas.openxmlformats.org/officeDocument/2006/relationships/hyperlink" Target="https://tbinternet.ohchr.org/Treaties/CED/Shared%20Documents/MEX/CED_C_MEX_FU_1_33066_S.pdf" TargetMode="External"/><Relationship Id="rId250" Type="http://schemas.openxmlformats.org/officeDocument/2006/relationships/hyperlink" Target="https://www.elsoldetijuana.com.mx/local/implementa-inm-perfil-racial-para-detener-a-migrantes-4351038.html" TargetMode="External"/><Relationship Id="rId255" Type="http://schemas.openxmlformats.org/officeDocument/2006/relationships/hyperlink" Target="http://hchr.org.mx/images/doc_pub/190725-Diagnostico-Mecanismo-FINAL.pdf" TargetMode="External"/><Relationship Id="rId271" Type="http://schemas.openxmlformats.org/officeDocument/2006/relationships/hyperlink" Target="https://politica.expansion.mx/mexico/2019/07/22/amlo-critica-otra-vez-a-la-prensa-que-no-apoya-la-transformacion" TargetMode="External"/><Relationship Id="rId276" Type="http://schemas.openxmlformats.org/officeDocument/2006/relationships/hyperlink" Target="https://rsf.org/es/noticias/mexico-rsf-se-moviliza-para-luchar-contra-la-impunidad-de-los-crimenes-cometidos-contra-periodistas" TargetMode="External"/><Relationship Id="rId24" Type="http://schemas.openxmlformats.org/officeDocument/2006/relationships/hyperlink" Target="https://www.amnesty.org/download/Documents/POL1067002018SPANISH.PDF" TargetMode="External"/><Relationship Id="rId40" Type="http://schemas.openxmlformats.org/officeDocument/2006/relationships/hyperlink" Target="https://www.hchr.org.mx/index.php?option=com_k2&amp;view=item&amp;id=1273:avances-y-preocupaciones-en-las-leyes-sobre-uso-de-la-fuerza-y-registro-de-detenciones&amp;Itemid=265" TargetMode="External"/><Relationship Id="rId45" Type="http://schemas.openxmlformats.org/officeDocument/2006/relationships/hyperlink" Target="http://hchr.org.mx/images/doc_pub/CAT_C_MEX_CO_7_34944_S.pdf" TargetMode="External"/><Relationship Id="rId66" Type="http://schemas.openxmlformats.org/officeDocument/2006/relationships/hyperlink" Target="https://sinviolencia.lgbt/wp-content/uploads/2019/08/Informe_Prejuicios_compressed.pdf" TargetMode="External"/><Relationship Id="rId87" Type="http://schemas.openxmlformats.org/officeDocument/2006/relationships/hyperlink" Target="https://aristeguinoticias.com/2704/mexico/traete-tu-petate-dice-alcalde-a-representante-indigena/" TargetMode="External"/><Relationship Id="rId110" Type="http://schemas.openxmlformats.org/officeDocument/2006/relationships/hyperlink" Target="http://equis.org.mx/wp-content/uploads/2019/08/Informe-sombra_CERD_ESP.pdf" TargetMode="External"/><Relationship Id="rId115" Type="http://schemas.openxmlformats.org/officeDocument/2006/relationships/hyperlink" Target="http://equis.org.mx/wp-content/uploads/2019/08/Informe-sombra_CERD_ESP.pdf" TargetMode="External"/><Relationship Id="rId131" Type="http://schemas.openxmlformats.org/officeDocument/2006/relationships/hyperlink" Target="http://www.ejecentral.com.mx/piden-no-permitir-apertura-de-ciudad-de-los-ninos/" TargetMode="External"/><Relationship Id="rId136" Type="http://schemas.openxmlformats.org/officeDocument/2006/relationships/hyperlink" Target="https://www.gob.mx/cms/uploads/attachment/file/505543/opinna_reporte_Que__buen_plan.pdf" TargetMode="External"/><Relationship Id="rId157" Type="http://schemas.openxmlformats.org/officeDocument/2006/relationships/hyperlink" Target="https://www.lajornadamaya.mx/2019-03-30/Organizaciones-indigenas-rechazan-Consulta-Istmo" TargetMode="External"/><Relationship Id="rId178" Type="http://schemas.openxmlformats.org/officeDocument/2006/relationships/hyperlink" Target="https://www.cndh.org.mx/sites/default/files/documentos/2019-02/Com_2019_056.pdf" TargetMode="External"/><Relationship Id="rId61" Type="http://schemas.openxmlformats.org/officeDocument/2006/relationships/hyperlink" Target="https://www.elindependientedehidalgo.com.mx/piden-justicia-para-renata/" TargetMode="External"/><Relationship Id="rId82" Type="http://schemas.openxmlformats.org/officeDocument/2006/relationships/hyperlink" Target="https://www.efe.com/efe/america/sociedad/centros-de-conversion-sexual-en-mexico-ineficaces-y-altamente-peligrosos/20000013-4011786" TargetMode="External"/><Relationship Id="rId152" Type="http://schemas.openxmlformats.org/officeDocument/2006/relationships/hyperlink" Target="http://www.oas.org/es/cidh/prensa/comunicados/2019/228.asp" TargetMode="External"/><Relationship Id="rId173" Type="http://schemas.openxmlformats.org/officeDocument/2006/relationships/hyperlink" Target="http://www.oas.org/es/cidh/informes/pdfs/Panamazonia2019.pdf" TargetMode="External"/><Relationship Id="rId194" Type="http://schemas.openxmlformats.org/officeDocument/2006/relationships/hyperlink" Target="file:///C:\Users\CIDHInt23\Downloads\estudio-cooperacion-reinsercion-social.pdf" TargetMode="External"/><Relationship Id="rId199" Type="http://schemas.openxmlformats.org/officeDocument/2006/relationships/hyperlink" Target="https://www.cndh.org.mx/sites/default/files/documentos/2019-03/Com_2019_091.pdf" TargetMode="External"/><Relationship Id="rId203" Type="http://schemas.openxmlformats.org/officeDocument/2006/relationships/hyperlink" Target="https://www.sinembargo.mx/10-05-2019/3578841" TargetMode="External"/><Relationship Id="rId208" Type="http://schemas.openxmlformats.org/officeDocument/2006/relationships/hyperlink" Target="https://www.gob.mx/cms/uploads/attachment/file/498410/REPORTE_AL_CIERRE_DE_SEPTIEMBRE_2019__2-oct_.pdf" TargetMode="External"/><Relationship Id="rId229" Type="http://schemas.openxmlformats.org/officeDocument/2006/relationships/hyperlink" Target="https://www.gob.mx/segob/prensa/identifica-inm-a-persona-de-nacionalidad-guatemalteca-que-posteriormente-sufrio-un-infarto?idiom=es" TargetMode="External"/><Relationship Id="rId19" Type="http://schemas.openxmlformats.org/officeDocument/2006/relationships/hyperlink" Target="https://youtu.be/0ZzjN_RmQXw" TargetMode="External"/><Relationship Id="rId224" Type="http://schemas.openxmlformats.org/officeDocument/2006/relationships/hyperlink" Target="https://www.diariodelsur.com.mx/local/estacion-migratoria-siglo-xxi-esta-saturada-cndh-migrantes-haitianos-africanos-cubanos-protestas-migracion-3271385.html" TargetMode="External"/><Relationship Id="rId240" Type="http://schemas.openxmlformats.org/officeDocument/2006/relationships/hyperlink" Target="https://www.gob.mx/cms/uploads/attachment/file/474525/ESTADISTICAS_7_julio.pdf" TargetMode="External"/><Relationship Id="rId245" Type="http://schemas.openxmlformats.org/officeDocument/2006/relationships/hyperlink" Target="http://www.oas.org/es/cidh/informes/pdfs/criminalizacion2016.pdf" TargetMode="External"/><Relationship Id="rId261" Type="http://schemas.openxmlformats.org/officeDocument/2006/relationships/hyperlink" Target="https://www.nytimes.com/es/2019/02/11/periodistas-asesinados-mexico/" TargetMode="External"/><Relationship Id="rId266" Type="http://schemas.openxmlformats.org/officeDocument/2006/relationships/hyperlink" Target="https://politica.expansion.mx/mexico/2019/07/22/amlo-critica-otra-vez-a-la-prensa-que-no-apoya-la-transformacion" TargetMode="External"/><Relationship Id="rId287" Type="http://schemas.openxmlformats.org/officeDocument/2006/relationships/hyperlink" Target="http://hchr.org.mx/images/doc_pub/190725-Diagnostico-Mecanismo-FINAL.pdf" TargetMode="External"/><Relationship Id="rId14" Type="http://schemas.openxmlformats.org/officeDocument/2006/relationships/hyperlink" Target="http://www.milenio.com/politica/13-anos-hallaron-3-mil-024-fosas-clandestinas-amlo-522" TargetMode="External"/><Relationship Id="rId30" Type="http://schemas.openxmlformats.org/officeDocument/2006/relationships/hyperlink" Target="https://www.omct.org/files/2019/04/25320/informe_conjunto_oscs_mexico_cat2019.pdf" TargetMode="External"/><Relationship Id="rId35" Type="http://schemas.openxmlformats.org/officeDocument/2006/relationships/hyperlink" Target="http://www.oas.org/es/cidh/docs/anual/2017/indice.asp" TargetMode="External"/><Relationship Id="rId56" Type="http://schemas.openxmlformats.org/officeDocument/2006/relationships/hyperlink" Target="http://comunicacion.senado.gob.mx/index.php/informacion/boletines/46415-aprueban-instrumentos-internacionales-contra-el-racismo-la-discriminacion-y-la-intolerancia.html" TargetMode="External"/><Relationship Id="rId77" Type="http://schemas.openxmlformats.org/officeDocument/2006/relationships/hyperlink" Target="https://www.oas.org/es/cidh/prensa/comunicados/2017/208.asp" TargetMode="External"/><Relationship Id="rId100" Type="http://schemas.openxmlformats.org/officeDocument/2006/relationships/hyperlink" Target="http://www.oas.org/es/cidh/prensa/comunicados/2018/104A.asp" TargetMode="External"/><Relationship Id="rId105" Type="http://schemas.openxmlformats.org/officeDocument/2006/relationships/hyperlink" Target="https://www.proceso.com.mx/584076/senado-aprueba-reforma-en-materia-de-paridad-de-genero-en-cargos-publicos" TargetMode="External"/><Relationship Id="rId126" Type="http://schemas.openxmlformats.org/officeDocument/2006/relationships/hyperlink" Target="https://noticieros.televisa.com/ultimas-noticias/mexico-sin-registro-estadistico-violencia-ninos-adolescentes/" TargetMode="External"/><Relationship Id="rId147" Type="http://schemas.openxmlformats.org/officeDocument/2006/relationships/hyperlink" Target="https://www.gob.mx/cultura/prensa/mexico-es-uno-de-los-paises-con-mayor-diversidad-linguistica-en-el-mundo" TargetMode="External"/><Relationship Id="rId168" Type="http://schemas.openxmlformats.org/officeDocument/2006/relationships/hyperlink" Target="https://www.elmanana.com/proceso-de-licitacion-del-tren-maya-es-valido-aun-sin-consulta-amlo-licitaciones-proyecto-tren-maya/4812487" TargetMode="External"/><Relationship Id="rId282" Type="http://schemas.openxmlformats.org/officeDocument/2006/relationships/hyperlink" Target="https://www.gob.mx/cms/uploads/attachment/file/432247/ESTADISTICAS_Dic_2018_" TargetMode="External"/><Relationship Id="rId8" Type="http://schemas.openxmlformats.org/officeDocument/2006/relationships/hyperlink" Target="https://www.youtube.com/watch?v=IwjpsnimVOg&amp;list=PL5QlapyOGhXvvyKD3Y0-GblPrDQ1xE_Ht&amp;index=3" TargetMode="External"/><Relationship Id="rId51" Type="http://schemas.openxmlformats.org/officeDocument/2006/relationships/hyperlink" Target="https://www.gob.mx/ceav/prensa/ceav-presenta-plan-de-atencion-y-reparacion-a-las-victimas-de-la-violencia-politica-del-pasado-en-atoyac-de-alvarez-guerrero?idiom=es" TargetMode="External"/><Relationship Id="rId72" Type="http://schemas.openxmlformats.org/officeDocument/2006/relationships/hyperlink" Target="https://www.infobae.com/america/mexico/2019/05/16/congreso-de-san-luis-potosi-aprobo-el-matrimonio-igualitario-con-14-votos-a-favor/" TargetMode="External"/><Relationship Id="rId93" Type="http://schemas.openxmlformats.org/officeDocument/2006/relationships/hyperlink" Target="https://elpais.com/internacional/2019/03/03/mexico/1551648283_893550.html" TargetMode="External"/><Relationship Id="rId98" Type="http://schemas.openxmlformats.org/officeDocument/2006/relationships/hyperlink" Target="https://www.animalpolitico.com/2018/11/mujeres-detenidas-mexico-tortura-sexual-autoridades/" TargetMode="External"/><Relationship Id="rId121" Type="http://schemas.openxmlformats.org/officeDocument/2006/relationships/hyperlink" Target="http://derechosinfancia.org.mx/index.php?contenido=boletin&amp;id=170&amp;id_opcion=73" TargetMode="External"/><Relationship Id="rId142" Type="http://schemas.openxmlformats.org/officeDocument/2006/relationships/hyperlink" Target="https://www.contralinea.com.mx/archivo-revista/2019/10/09/carteles-punta-de-lanza-contra-los-pueblos-indigenas-del-cni/" TargetMode="External"/><Relationship Id="rId163" Type="http://schemas.openxmlformats.org/officeDocument/2006/relationships/hyperlink" Target="https://kaosenlared.net/mexico-organizaciones-indigenas-inician-jornada-de-protesta-por-los-graves-atropellos-del-estado-contra-los-pueblos-en-oaxaca/" TargetMode="External"/><Relationship Id="rId184" Type="http://schemas.openxmlformats.org/officeDocument/2006/relationships/hyperlink" Target="https://www.cndh.org.mx/sites/default/files/documentos/2019-02/Com_2019_056.pdf" TargetMode="External"/><Relationship Id="rId189" Type="http://schemas.openxmlformats.org/officeDocument/2006/relationships/hyperlink" Target="http://www.oas.org/es/cidh/informes/pdfs/Honduras-es-2015.pdf" TargetMode="External"/><Relationship Id="rId219" Type="http://schemas.openxmlformats.org/officeDocument/2006/relationships/hyperlink" Target="https://www.oas.org/es/cidh/informes/pdfs/MovilidadHumana.pdf" TargetMode="External"/><Relationship Id="rId3" Type="http://schemas.openxmlformats.org/officeDocument/2006/relationships/hyperlink" Target="https://www.hchr.org.mx/index.php?option=com_k2&amp;view=item&amp;id=1236:la-onu-dh-saluda-los-cambios-positivos-sobre-guardia-nacional&amp;Itemid=265" TargetMode="External"/><Relationship Id="rId214" Type="http://schemas.openxmlformats.org/officeDocument/2006/relationships/hyperlink" Target="http://www.internet2.scjn.gob.mx/red2/comunicados/noticia.asp?id=5816" TargetMode="External"/><Relationship Id="rId230" Type="http://schemas.openxmlformats.org/officeDocument/2006/relationships/hyperlink" Target="https://www.cndh.org.mx/sites/default/files/documentos/2019-10/384-2019.pdf" TargetMode="External"/><Relationship Id="rId235" Type="http://schemas.openxmlformats.org/officeDocument/2006/relationships/hyperlink" Target="https://www.oas.org/es/cidh/prensa/comunicados/2019/180.asp" TargetMode="External"/><Relationship Id="rId251" Type="http://schemas.openxmlformats.org/officeDocument/2006/relationships/hyperlink" Target="https://www.gob.mx/segob/prensa/al-congreso-iniciativa-de-ley-sobre-desplazamiento-forzado-interno-la-proxima-semana-216355?idiom=es" TargetMode="External"/><Relationship Id="rId256" Type="http://schemas.openxmlformats.org/officeDocument/2006/relationships/hyperlink" Target="https://www.proceso.com.mx/597268/en-octubre-podria-darse-aumento-de-150-mdp-al-mecanismo-de-proteccion-segob" TargetMode="External"/><Relationship Id="rId277" Type="http://schemas.openxmlformats.org/officeDocument/2006/relationships/hyperlink" Target="http://www.oas.org/es/cidh/expresion/artListCat.asp?year=2019&amp;countryID=24&amp;lID=2&amp;catID=1" TargetMode="External"/><Relationship Id="rId25" Type="http://schemas.openxmlformats.org/officeDocument/2006/relationships/hyperlink" Target="https://tbinternet.ohchr.org/Treaties/CEDAW/Shared%20Documents/MEX/INT_CEDAW_NGO_MEX_31593_S.pdf" TargetMode="External"/><Relationship Id="rId46" Type="http://schemas.openxmlformats.org/officeDocument/2006/relationships/hyperlink" Target="https://www.omct.org/files/2019/04/25320/informe_conjunto_oscs_mexico_cat2019.pdf" TargetMode="External"/><Relationship Id="rId67" Type="http://schemas.openxmlformats.org/officeDocument/2006/relationships/hyperlink" Target="https://twitter.com/SCJN/status/1126243697543274502" TargetMode="External"/><Relationship Id="rId116" Type="http://schemas.openxmlformats.org/officeDocument/2006/relationships/hyperlink" Target="https://www.cndh.org.mx/noticia/cndh-noticias-programa-274" TargetMode="External"/><Relationship Id="rId137" Type="http://schemas.openxmlformats.org/officeDocument/2006/relationships/hyperlink" Target="https://www.jornada.com.mx/2019/04/14/sociedad/026n1soc" TargetMode="External"/><Relationship Id="rId158" Type="http://schemas.openxmlformats.org/officeDocument/2006/relationships/hyperlink" Target="https://www.sdpnoticias.com/nacional/megaproyectos-profundizan-denuncian-despojo-istmo.html" TargetMode="External"/><Relationship Id="rId272" Type="http://schemas.openxmlformats.org/officeDocument/2006/relationships/hyperlink" Target="https://www.gob.mx/cms/uploads/attachment/file/500131/V_ctimas_Mujeres_FEADLE_-_sep_2019.pdf" TargetMode="External"/><Relationship Id="rId20" Type="http://schemas.openxmlformats.org/officeDocument/2006/relationships/hyperlink" Target="https://youtu.be/0ZzjN_RmQXw" TargetMode="External"/><Relationship Id="rId41" Type="http://schemas.openxmlformats.org/officeDocument/2006/relationships/hyperlink" Target="https://www.hchr.org.mx/index.php?option=com_k2&amp;view=item&amp;id=1272:nota-informativa-consideraciones-preliminares-sobre-la-ley-nacional-sobre-el-uso-de-la-fuerza-y-la-ley-nacional-del-registro-de-detenciones&amp;Itemid=265" TargetMode="External"/><Relationship Id="rId62" Type="http://schemas.openxmlformats.org/officeDocument/2006/relationships/hyperlink" Target="https://www.24-horas.mx/2019/02/06/asesinan-a-profesor-de-primaria-indigena-en-su-casa-habia-sido-amenazado-por-ser-homosexual/" TargetMode="External"/><Relationship Id="rId83" Type="http://schemas.openxmlformats.org/officeDocument/2006/relationships/hyperlink" Target="http://www.oas.org/es/cidh/informes/pdfs/violenciapersonaslgbti.pdf" TargetMode="External"/><Relationship Id="rId88" Type="http://schemas.openxmlformats.org/officeDocument/2006/relationships/hyperlink" Target="https://www.eluniversal.com.mx/nacion/suman-mas-de-37-mil-casos-de-violencia-contra-las-mujeres" TargetMode="External"/><Relationship Id="rId111" Type="http://schemas.openxmlformats.org/officeDocument/2006/relationships/hyperlink" Target="https://www.animalpolitico.com/blog-invitado/lo-que-tienes-que-saber-sobre-discriminacion-racial-contra-las-mujeres-indigenas-en-mexico/" TargetMode="External"/><Relationship Id="rId132" Type="http://schemas.openxmlformats.org/officeDocument/2006/relationships/hyperlink" Target="https://www.contralinea.com.mx/archivo-revista/2019/07/22/organizaciones-exigen-a-autoridades-no-reabrir-albergues-ciudad-de-los-ninos/" TargetMode="External"/><Relationship Id="rId153" Type="http://schemas.openxmlformats.org/officeDocument/2006/relationships/hyperlink" Target="https://www.animalpolitico.com/2019/03/comunidad-indigena-puebla-ley-minera/" TargetMode="External"/><Relationship Id="rId174" Type="http://schemas.openxmlformats.org/officeDocument/2006/relationships/hyperlink" Target="http://corteidh.or.cr/docs/casos/articulos/seriec_245_esp.pdf" TargetMode="External"/><Relationship Id="rId179" Type="http://schemas.openxmlformats.org/officeDocument/2006/relationships/hyperlink" Target="https://www.cndh.org.mx/sites/default/files/documentos/2019-01/Doc_2018_069.pdf" TargetMode="External"/><Relationship Id="rId195" Type="http://schemas.openxmlformats.org/officeDocument/2006/relationships/hyperlink" Target="file:///C:\Users\CIDHInt23\Downloads\estudio-cooperacion-reinsercion-social.pdf" TargetMode="External"/><Relationship Id="rId209" Type="http://schemas.openxmlformats.org/officeDocument/2006/relationships/hyperlink" Target="https://www.gob.mx/cms/uploads/attachment/file/498410/REPORTE_AL_CIERRE_DE_SEPTIEMBRE_2019__2-oct_.pdf" TargetMode="External"/><Relationship Id="rId190" Type="http://schemas.openxmlformats.org/officeDocument/2006/relationships/hyperlink" Target="http://www.oas.org/es/cidh/ppl/informes/pdfs/Informe-PP-2013-es.pdf" TargetMode="External"/><Relationship Id="rId204" Type="http://schemas.openxmlformats.org/officeDocument/2006/relationships/hyperlink" Target="https://www.animalpolitico.com/2019/07/carceles-presos-poblacion-baja/" TargetMode="External"/><Relationship Id="rId220" Type="http://schemas.openxmlformats.org/officeDocument/2006/relationships/hyperlink" Target="https://www.oas.org/es/cidh/docs/anual/2018/docs/IA2018cap.5MX-es.pdf" TargetMode="External"/><Relationship Id="rId225" Type="http://schemas.openxmlformats.org/officeDocument/2006/relationships/hyperlink" Target="https://www.nytimes.com/es/2019/08/05/mexico-centros-detencion-migrantes/" TargetMode="External"/><Relationship Id="rId241" Type="http://schemas.openxmlformats.org/officeDocument/2006/relationships/hyperlink" Target="https://www.gob.mx/shcp/prensa/comunicado-no-010-uif-bloquea-cuentas-presuntamente-relacionadas-con-el-trafico-ilegal-de-migrantes?idiom=es" TargetMode="External"/><Relationship Id="rId246" Type="http://schemas.openxmlformats.org/officeDocument/2006/relationships/hyperlink" Target="http://www.internal-displacement.org/countries/mexico" TargetMode="External"/><Relationship Id="rId267" Type="http://schemas.openxmlformats.org/officeDocument/2006/relationships/hyperlink" Target="https://www.tabascohoy.com/nota/471401/oculta-edil-inseguridad-a-presidente" TargetMode="External"/><Relationship Id="rId288" Type="http://schemas.openxmlformats.org/officeDocument/2006/relationships/hyperlink" Target="https://www.wola.org/wp-content/uploads/2019/03/SPN_WOLA-PBI-2019.pdf" TargetMode="External"/><Relationship Id="rId15" Type="http://schemas.openxmlformats.org/officeDocument/2006/relationships/hyperlink" Target="https://www.gob.mx/cms/uploads/attachment/file/342262/Protocolo_Desaparici_n_Forzada_agosto_2015_Espa_ol.pdf" TargetMode="External"/><Relationship Id="rId36" Type="http://schemas.openxmlformats.org/officeDocument/2006/relationships/hyperlink" Target="http://www.diputados.gob.mx/LeyesBiblio/pdf/LGPIST_260617.pdf" TargetMode="External"/><Relationship Id="rId57" Type="http://schemas.openxmlformats.org/officeDocument/2006/relationships/hyperlink" Target="http://comunicacion.senado.gob.mx/index.php/informacion/boletines/46415-aprueban-instrumentos-internacionales-contra-el-racismo-la-discriminacion-y-la-intolerancia.html" TargetMode="External"/><Relationship Id="rId106" Type="http://schemas.openxmlformats.org/officeDocument/2006/relationships/hyperlink" Target="https://documents-dds-ny.un.org/doc/UNDOC/GEN/G18/266/93/PDF/G1826693.pdf?OpenElement" TargetMode="External"/><Relationship Id="rId127" Type="http://schemas.openxmlformats.org/officeDocument/2006/relationships/hyperlink" Target="https://cnnespanol.cnn.com/video/inseguridad-ninos-infancia-violencia-adolescentes-unicef-redim-informe-vo-perspectivas-mexico/" TargetMode="External"/><Relationship Id="rId262" Type="http://schemas.openxmlformats.org/officeDocument/2006/relationships/hyperlink" Target="https://www.forbes.com.mx/saquean-casa-de-lydia-cacho-y-envenenan-a-sus-mascotas/" TargetMode="External"/><Relationship Id="rId283" Type="http://schemas.openxmlformats.org/officeDocument/2006/relationships/hyperlink" Target="http://www.oas.org/es/cidh/informes/pdfs/Mexico2016-es.pdf" TargetMode="External"/><Relationship Id="rId10" Type="http://schemas.openxmlformats.org/officeDocument/2006/relationships/hyperlink" Target="https://www.animalpolitico.com/2019/08/acciones-busqueda-desaparecidos-propuesta-amlo/" TargetMode="External"/><Relationship Id="rId31" Type="http://schemas.openxmlformats.org/officeDocument/2006/relationships/hyperlink" Target="https://www.omct.org/files/2019/04/25320/informe_conjunto_oscs_mexico_cat2019.pdf" TargetMode="External"/><Relationship Id="rId52" Type="http://schemas.openxmlformats.org/officeDocument/2006/relationships/hyperlink" Target="http://www.oas.org/es/cidh/docs/anual/2018/indice.asp" TargetMode="External"/><Relationship Id="rId73" Type="http://schemas.openxmlformats.org/officeDocument/2006/relationships/hyperlink" Target="https://www.animalpolitico.com/2019/05/consulados-matrimonio-parejas-mismo-sexo/" TargetMode="External"/><Relationship Id="rId78" Type="http://schemas.openxmlformats.org/officeDocument/2006/relationships/hyperlink" Target="https://ssj.jalisco.gob.mx/prensa/noticia/8591" TargetMode="External"/><Relationship Id="rId94" Type="http://schemas.openxmlformats.org/officeDocument/2006/relationships/hyperlink" Target="https://www.ipomex.org.mx/ipo3/archivos/downloadAttach/581831.web;jsessionid=5157E21EF81BD082A348ADE8D6798C61" TargetMode="External"/><Relationship Id="rId99" Type="http://schemas.openxmlformats.org/officeDocument/2006/relationships/hyperlink" Target="http://centroprodh.org.mx/2018/11/21/presentacion-del-informe-mujeres-con-la-frente-en-alto-2/" TargetMode="External"/><Relationship Id="rId101" Type="http://schemas.openxmlformats.org/officeDocument/2006/relationships/hyperlink" Target="https://www.infobae.com/america/mexico/2019/04/22/denunciaran-ante-la-onu-la-tortura-sexual-que-sufren-las-mujeres-reclusas-en-mexico/" TargetMode="External"/><Relationship Id="rId122" Type="http://schemas.openxmlformats.org/officeDocument/2006/relationships/hyperlink" Target="http://derechosinfancia.org.mx/index.php?contenido=boletin&amp;id=171&amp;id_opcion=73" TargetMode="External"/><Relationship Id="rId143" Type="http://schemas.openxmlformats.org/officeDocument/2006/relationships/hyperlink" Target="https://mundo.sputniknews.com/cultura/201902221085638210-pueblos-indigenas-ciudad-de-mexico-nahuatl/" TargetMode="External"/><Relationship Id="rId148" Type="http://schemas.openxmlformats.org/officeDocument/2006/relationships/hyperlink" Target="https://www.inegi.org.mx/programas/intercensal/2015/default.html" TargetMode="External"/><Relationship Id="rId164" Type="http://schemas.openxmlformats.org/officeDocument/2006/relationships/hyperlink" Target="https://desinformemonos.org/organizaciones-indigenas-inician-jornada-de-protesta-por-los-graves-atropellos-del-estado-contra-los-pueblos-en-oaxaca/" TargetMode="External"/><Relationship Id="rId169" Type="http://schemas.openxmlformats.org/officeDocument/2006/relationships/hyperlink" Target="https://www.jornada.com.mx/ultimas/politica/2019/01/28/procede-amparo-contra-creacion-del-instituto-de-pueblos-indigenas-8939.html" TargetMode="External"/><Relationship Id="rId185" Type="http://schemas.openxmlformats.org/officeDocument/2006/relationships/hyperlink" Target="https://www.oas.org/es/cidh/prensa/comunicados/2019/003.asp" TargetMode="External"/><Relationship Id="rId4" Type="http://schemas.openxmlformats.org/officeDocument/2006/relationships/hyperlink" Target="http://www.diputados.gob.mx/LeyesBiblio/pdf/LNUF_270519.pdf" TargetMode="External"/><Relationship Id="rId9" Type="http://schemas.openxmlformats.org/officeDocument/2006/relationships/hyperlink" Target="https://www.jornada.com.mx/ultimas/politica/2019/08/30/instruye-amlo-siete-acciones-para-busqueda-de-desaparecidos-3749.html" TargetMode="External"/><Relationship Id="rId180" Type="http://schemas.openxmlformats.org/officeDocument/2006/relationships/hyperlink" Target="https://www.hchr.org.mx/index.php?option=com_k2&amp;view=item&amp;id=1234:la-onu-dh-lamenta-extension-de-delitos-a-los-que-se-aplica-la-prision-preventiva-oficiosa&amp;Itemid=265" TargetMode="External"/><Relationship Id="rId210" Type="http://schemas.openxmlformats.org/officeDocument/2006/relationships/hyperlink" Target="https://www.oas.org/es/cidh/prensa/comunicados/2017/006.asp" TargetMode="External"/><Relationship Id="rId215" Type="http://schemas.openxmlformats.org/officeDocument/2006/relationships/hyperlink" Target="https://ibero.mx/prensa/jueces-declaran-inconstitucional-el-plazo-de-30-dias-establecido-en-la-ley-para-solicitar-el-acceso-la-condicion-de-refugiado" TargetMode="External"/><Relationship Id="rId236" Type="http://schemas.openxmlformats.org/officeDocument/2006/relationships/hyperlink" Target="https://www.bbc.com/mundo/noticias-america-latina-49616051" TargetMode="External"/><Relationship Id="rId257" Type="http://schemas.openxmlformats.org/officeDocument/2006/relationships/hyperlink" Target="http://hchr.org.mx/images/doc_pub/190725-Diagnostico-Mecanismo-FINAL.pdf" TargetMode="External"/><Relationship Id="rId278" Type="http://schemas.openxmlformats.org/officeDocument/2006/relationships/hyperlink" Target="http://hchr.org.mx/images/doc_pub/190725-Diagnostico-Mecanismo-FINAL.pdf" TargetMode="External"/><Relationship Id="rId26" Type="http://schemas.openxmlformats.org/officeDocument/2006/relationships/hyperlink" Target="https://www.contralinea.com.mx/archivo-revista/2019/03/07/en-la-ciudad-de-mexico-impunes-los-casos-de-mujeres-desaparecidas/" TargetMode="External"/><Relationship Id="rId231" Type="http://schemas.openxmlformats.org/officeDocument/2006/relationships/hyperlink" Target="https://www.gob.mx/segob/prensa/tarjeta-informativa-del-instituto-nacional-de-migracion" TargetMode="External"/><Relationship Id="rId252" Type="http://schemas.openxmlformats.org/officeDocument/2006/relationships/hyperlink" Target="https://www.oas.org/es/cidh/informes/pdfs/DesplazamientoInterno.pdf" TargetMode="External"/><Relationship Id="rId273" Type="http://schemas.openxmlformats.org/officeDocument/2006/relationships/hyperlink" Target="https://www.gob.mx/cms/uploads/attachment/file/499081/ESTADISTICAS_Sep_2019.pdf" TargetMode="External"/><Relationship Id="rId47" Type="http://schemas.openxmlformats.org/officeDocument/2006/relationships/hyperlink" Target="https://www.eluniversal.com.mx/estados/dejaron-que-cuerpos-de-trailer-de-la-muerte-se-pudrieran-no-podran-ser-identificados" TargetMode="External"/><Relationship Id="rId68" Type="http://schemas.openxmlformats.org/officeDocument/2006/relationships/hyperlink" Target="https://www.dof.gob.mx/nota_detalle.php?codigo=5561626&amp;fecha=31/05/2019" TargetMode="External"/><Relationship Id="rId89" Type="http://schemas.openxmlformats.org/officeDocument/2006/relationships/hyperlink" Target="https://expansion.mx/nacional/2011/12/13/la-camara-de-diputados-aprueba-la-tipificacion-del-delito-de-feminicidio" TargetMode="External"/><Relationship Id="rId112" Type="http://schemas.openxmlformats.org/officeDocument/2006/relationships/hyperlink" Target="http://hchr.org.mx/images/doc_pub/CERD_C_MEX_CO_18-21_36936_S.pdf" TargetMode="External"/><Relationship Id="rId133" Type="http://schemas.openxmlformats.org/officeDocument/2006/relationships/hyperlink" Target="https://elpais.com/sociedad/2019/05/09/actualidad/1557434866_359654.html?id_externo_rsoc=TW_AM_CM&amp;hootPostID=80ce443900745d1327d0d2dff6be6e23" TargetMode="External"/><Relationship Id="rId154" Type="http://schemas.openxmlformats.org/officeDocument/2006/relationships/hyperlink" Target="https://www.proceso.com.mx/580868/comunidad-nahua-gana-amparo-contra-instalacion-de-minera-canadiense-en-ixtacamaxtitlan" TargetMode="External"/><Relationship Id="rId175" Type="http://schemas.openxmlformats.org/officeDocument/2006/relationships/hyperlink" Target="http://www.oas.org/es/cidh/prensa/comunicados/2019/003.asp" TargetMode="External"/><Relationship Id="rId196" Type="http://schemas.openxmlformats.org/officeDocument/2006/relationships/hyperlink" Target="file:///C:\Users\CIDHInt23\Downloads\estudio-cooperacion-reinsercion-social.pdf" TargetMode="External"/><Relationship Id="rId200" Type="http://schemas.openxmlformats.org/officeDocument/2006/relationships/hyperlink" Target="https://www.cndh.org.mx/sites/default/files/documentos/2019-03/Com_2019_091.pdf" TargetMode="External"/><Relationship Id="rId16" Type="http://schemas.openxmlformats.org/officeDocument/2006/relationships/hyperlink" Target="https://aplicaciones.pgr.gob.mx/normatecasustantiva/Normateca%20Sustantiva/Protocolo%20de%20Desaparici%C3%B3n%20Forzada.pdf" TargetMode="External"/><Relationship Id="rId221" Type="http://schemas.openxmlformats.org/officeDocument/2006/relationships/hyperlink" Target="https://www.cndh.org.mx/sites/default/files/documentos/2019-06/rec-2019-37.pdf" TargetMode="External"/><Relationship Id="rId242" Type="http://schemas.openxmlformats.org/officeDocument/2006/relationships/hyperlink" Target="https://www.animalpolitico.com/2019/10/migrantes-deportados-inm-marte-guardia/" TargetMode="External"/><Relationship Id="rId263" Type="http://schemas.openxmlformats.org/officeDocument/2006/relationships/hyperlink" Target="https://www.animalpolitico.com/2019/07/saquean-casa-lydia-cacho/" TargetMode="External"/><Relationship Id="rId284" Type="http://schemas.openxmlformats.org/officeDocument/2006/relationships/hyperlink" Target="http://www.diputados.gob.mx/LeyesBiblio/pdf/LGA_150618.pdf" TargetMode="External"/><Relationship Id="rId37" Type="http://schemas.openxmlformats.org/officeDocument/2006/relationships/hyperlink" Target="http://hchr.org.mx/images/doc_pub/CAT_C_MEX_CO_7_34944_S.pdf" TargetMode="External"/><Relationship Id="rId58" Type="http://schemas.openxmlformats.org/officeDocument/2006/relationships/hyperlink" Target="https://www.infobae.com/america/mexico/2019/02/10/oscar-cazorla-fue-asesinado-en-su-casa-era-activista-de-la-lucha-por-los-derechos-lgbt/" TargetMode="External"/><Relationship Id="rId79" Type="http://schemas.openxmlformats.org/officeDocument/2006/relationships/hyperlink" Target="https://www.reporteindigo.com/reporte/abren-en-jalisco-unidad-medica-especializada-para-personas-transgenero/" TargetMode="External"/><Relationship Id="rId102" Type="http://schemas.openxmlformats.org/officeDocument/2006/relationships/hyperlink" Target="https://www.eluniversal.com.mx/nacion/acusaran-mexico-ante-la-onu-por-tortura-sexual-mujeres" TargetMode="External"/><Relationship Id="rId123" Type="http://schemas.openxmlformats.org/officeDocument/2006/relationships/hyperlink" Target="http://derechosinfancia.org.mx/index.php?contenido=boletin&amp;id=201&amp;id_opcion=73" TargetMode="External"/><Relationship Id="rId144" Type="http://schemas.openxmlformats.org/officeDocument/2006/relationships/hyperlink" Target="http://www.oas.org/es/cidh/decisiones/pdf/2015/MC106-15-ES.pdf" TargetMode="External"/><Relationship Id="rId90" Type="http://schemas.openxmlformats.org/officeDocument/2006/relationships/hyperlink" Target="https://elpais.com/internacional/2018/07/23/mexico/1532369836_872417.html?" TargetMode="External"/><Relationship Id="rId165" Type="http://schemas.openxmlformats.org/officeDocument/2006/relationships/hyperlink" Target="https://www.bbc.com/mundo/noticias-america-latina-45254080" TargetMode="External"/><Relationship Id="rId186" Type="http://schemas.openxmlformats.org/officeDocument/2006/relationships/hyperlink" Target="http://www.oas.org/es/cidh/informes/pdfs/Honduras-es-2015.pdf" TargetMode="External"/><Relationship Id="rId211" Type="http://schemas.openxmlformats.org/officeDocument/2006/relationships/hyperlink" Target="https://www.gob.mx/cms/uploads/attachment/file/498410/REPORTE_AL_CIERRE_DE_SEPTIEMBRE_2019__2-oct_.pdf" TargetMode="External"/><Relationship Id="rId232" Type="http://schemas.openxmlformats.org/officeDocument/2006/relationships/hyperlink" Target="https://www.cndh.org.mx/sites/default/files/documentos/2019-07/COMUNICADO%20274-2019.pdf" TargetMode="External"/><Relationship Id="rId253" Type="http://schemas.openxmlformats.org/officeDocument/2006/relationships/hyperlink" Target="http://www.oas.org/es/cidh/prensa/comunicados/2019/100.asp" TargetMode="External"/><Relationship Id="rId274" Type="http://schemas.openxmlformats.org/officeDocument/2006/relationships/hyperlink" Target="https://www.oas.org/es/cidh/expresion/docs/2018_06_18%20CIDH-UN_FINAL_MX_report_SPA.PDF" TargetMode="External"/><Relationship Id="rId27" Type="http://schemas.openxmlformats.org/officeDocument/2006/relationships/hyperlink" Target="https://www.jornada.com.mx/ultimas/sociedad/2019/06/25/desapariciones-de-mujeres-en-cdmx-se-concentran-en-cuatro-alcaldias-6789.html" TargetMode="External"/><Relationship Id="rId48" Type="http://schemas.openxmlformats.org/officeDocument/2006/relationships/hyperlink" Target="https://www.gob.mx/segob/prensa/informa-comision-nacional-de-busqueda-de-personas-avances-a-100-dias-de-gestion-201903?idiom=es" TargetMode="External"/><Relationship Id="rId69" Type="http://schemas.openxmlformats.org/officeDocument/2006/relationships/hyperlink" Target="https://www.milenio.com/politica/congreso/aprueban-matrimonios-igualitarios-en-hidalgo" TargetMode="External"/><Relationship Id="rId113" Type="http://schemas.openxmlformats.org/officeDocument/2006/relationships/hyperlink" Target="http://equis.org.mx/wp-content/uploads/2019/08/Informe-sombra_CERD_ESP.pdf" TargetMode="External"/><Relationship Id="rId134" Type="http://schemas.openxmlformats.org/officeDocument/2006/relationships/hyperlink" Target="https://www.cndh.org.mx/documento/informe-especial-sobre-la-situacion-de-los-derechos-de-ninas-ninos-y-adolescentes" TargetMode="External"/><Relationship Id="rId80" Type="http://schemas.openxmlformats.org/officeDocument/2006/relationships/hyperlink" Target="http://congresomorelos.gob.mx/avalan-que-medicos-y-enfermeras-puedan-ejercer-su-derecho-de-objecion-de-conciencia/" TargetMode="External"/><Relationship Id="rId155" Type="http://schemas.openxmlformats.org/officeDocument/2006/relationships/hyperlink" Target="https://www.laprensalatina.com/consulta-indigena-del-proyecto-transistmico-en-mexico-se-inicia-con-rechazo/" TargetMode="External"/><Relationship Id="rId176" Type="http://schemas.openxmlformats.org/officeDocument/2006/relationships/hyperlink" Target="https://www.cndh.org.mx/sites/default/files/documentos/2019-01/Doc_2018_069.pdf" TargetMode="External"/><Relationship Id="rId197" Type="http://schemas.openxmlformats.org/officeDocument/2006/relationships/hyperlink" Target="https://mexico.quadratin.com.mx/iniciativa-merida-da-acreditacion-internacional-a-13-penales-mexicanos/" TargetMode="External"/><Relationship Id="rId201" Type="http://schemas.openxmlformats.org/officeDocument/2006/relationships/hyperlink" Target="https://www.inegi.org.mx/programas/enpol/2016/default.html" TargetMode="External"/><Relationship Id="rId222" Type="http://schemas.openxmlformats.org/officeDocument/2006/relationships/hyperlink" Target="https://www.cndh.org.mx/sites/default/files/documentos/2019-07/RECO_040_2019.pdf" TargetMode="External"/><Relationship Id="rId243" Type="http://schemas.openxmlformats.org/officeDocument/2006/relationships/hyperlink" Target="https://www.cndh.org.mx/sites/default/files/documentos/2019-07/Com_2019_288.pdf" TargetMode="External"/><Relationship Id="rId264" Type="http://schemas.openxmlformats.org/officeDocument/2006/relationships/hyperlink" Target="https://www.nytimes.com/es/2019/02/11/periodistas-asesinados-mexico/" TargetMode="External"/><Relationship Id="rId285" Type="http://schemas.openxmlformats.org/officeDocument/2006/relationships/hyperlink" Target="http://www.oas.org/es/cidh/expresion/docs/2018_06_18%20CIDH-UN_FINAL_MX_report_SPA.PDF" TargetMode="External"/><Relationship Id="rId17" Type="http://schemas.openxmlformats.org/officeDocument/2006/relationships/hyperlink" Target="https://tbinternet.ohchr.org/Treaties/CCPR/Shared%20Documents/MEX/CCPR_C_126_D_2750_2016_28688_S.docx" TargetMode="External"/><Relationship Id="rId38" Type="http://schemas.openxmlformats.org/officeDocument/2006/relationships/hyperlink" Target="https://www.omct.org/files/2019/04/25320/informe_conjunto_oscs_mexico_cat2019.pdf" TargetMode="External"/><Relationship Id="rId59" Type="http://schemas.openxmlformats.org/officeDocument/2006/relationships/hyperlink" Target="https://www.sdpnoticias.com/local/oaxaca/asesinato-impunidad-denuncian-cazorla-oscar.html" TargetMode="External"/><Relationship Id="rId103" Type="http://schemas.openxmlformats.org/officeDocument/2006/relationships/hyperlink" Target="https://www.amnesty.org/download/Documents/AMR4184652018SPANISH.PDF" TargetMode="External"/><Relationship Id="rId124" Type="http://schemas.openxmlformats.org/officeDocument/2006/relationships/hyperlink" Target="https://www.unicef.org/mexico/informes/panorama-estad%C3%ADstico-de-la-violencia" TargetMode="External"/><Relationship Id="rId70" Type="http://schemas.openxmlformats.org/officeDocument/2006/relationships/hyperlink" Target="https://www.jornada.com.mx/ultimas/estados/2019/06/27/aprueban-matrimonio-igualitario-en-baja-california-sur-5317.html" TargetMode="External"/><Relationship Id="rId91" Type="http://schemas.openxmlformats.org/officeDocument/2006/relationships/hyperlink" Target="https://www.milenio.com/policia/denuncias-delitos-sexuales-aumentaron-20-2019-mexico" TargetMode="External"/><Relationship Id="rId145" Type="http://schemas.openxmlformats.org/officeDocument/2006/relationships/hyperlink" Target="http://udgtv.com/noticias/gobierno-mexicano-acta-pueblos-indigenas-pacificar-altos-chiapas/" TargetMode="External"/><Relationship Id="rId166" Type="http://schemas.openxmlformats.org/officeDocument/2006/relationships/hyperlink" Target="https://www.elsoldemexico.com.mx/finanzas/amlo-defiende-licitacion-del-tren-maya-sin-consultar-a-pueblos-indigenas-3445984.html" TargetMode="External"/><Relationship Id="rId187" Type="http://schemas.openxmlformats.org/officeDocument/2006/relationships/hyperlink" Target="http://www.oas.org/es/cidh/informes/pdfs/PrisionPreventiva.pdf" TargetMode="External"/><Relationship Id="rId1" Type="http://schemas.openxmlformats.org/officeDocument/2006/relationships/hyperlink" Target="http://www.oas.org/es/cidh/prensa/comunicados/2018/251.asp" TargetMode="External"/><Relationship Id="rId212" Type="http://schemas.openxmlformats.org/officeDocument/2006/relationships/hyperlink" Target="http://www.diputados.gob.mx/LeyesBiblio/pdf/LMigra_030719.pdf" TargetMode="External"/><Relationship Id="rId233" Type="http://schemas.openxmlformats.org/officeDocument/2006/relationships/hyperlink" Target="http://cdhfraymatias.org/web/wp-content/uploads/2019/08/GIDMT-Comunicado-08-08-2019.pdf" TargetMode="External"/><Relationship Id="rId254" Type="http://schemas.openxmlformats.org/officeDocument/2006/relationships/hyperlink" Target="http://cmdpdh.org/2019/07/cp-por-primera-ocasion-inicia-implementacion-de-programa-de-atencion-integral-para-grupo-de-victimas-de-desplazamiento-interno-forzado-ceav-y-comisiones-estatales-de-atencion-a-victimas/" TargetMode="External"/><Relationship Id="rId28" Type="http://schemas.openxmlformats.org/officeDocument/2006/relationships/hyperlink" Target="https://www.infobae.com/america/mexico/2019/10/02/en-el-estado-de-mexico-se-emitio-una-segunda-alerta-de-violencia-de-genero-por-el-alto-numero-de-mujeres-desaparecidas/" TargetMode="External"/><Relationship Id="rId49" Type="http://schemas.openxmlformats.org/officeDocument/2006/relationships/hyperlink" Target="http://www.oas.org/es/cidh/defensores/docs/pdf/Operadores-de-Justicia-2013.pdf" TargetMode="External"/><Relationship Id="rId114" Type="http://schemas.openxmlformats.org/officeDocument/2006/relationships/hyperlink" Target="http://equis.org.mx/wp-content/uploads/2019/08/Informe-sombra_CERD_ESP.pdf" TargetMode="External"/><Relationship Id="rId275" Type="http://schemas.openxmlformats.org/officeDocument/2006/relationships/hyperlink" Target="https://cpj.org/es/2019/07/cumbre-sobre-la-libertad-de-prensa-insta-al-gobier.php" TargetMode="External"/><Relationship Id="rId60" Type="http://schemas.openxmlformats.org/officeDocument/2006/relationships/hyperlink" Target="https://politica.expansion.mx/estados/2019/08/12/un-activista-lgbt-es-asesinado-a-golpes-y-pedradas-en-veracruz" TargetMode="External"/><Relationship Id="rId81" Type="http://schemas.openxmlformats.org/officeDocument/2006/relationships/hyperlink" Target="https://www.sinembargo.mx/21-10-2019/3665363" TargetMode="External"/><Relationship Id="rId135" Type="http://schemas.openxmlformats.org/officeDocument/2006/relationships/hyperlink" Target="https://www.cndh.org.mx/documento/informe-especial-sobre-la-situacion-de-los-derechos-de-ninas-ninos-y-adolescentes" TargetMode="External"/><Relationship Id="rId156" Type="http://schemas.openxmlformats.org/officeDocument/2006/relationships/hyperlink" Target="https://www.lavanguardia.com/politica/20190328/461306591374/anuncian-consulta-indigena-sobre-plan-de-desarrollo-del-istmo-de-tehuantepec.html" TargetMode="External"/><Relationship Id="rId177" Type="http://schemas.openxmlformats.org/officeDocument/2006/relationships/hyperlink" Target="https://www.cndh.org.mx/sites/default/files/documentos/2019-02/Com_2019_041.pdf" TargetMode="External"/><Relationship Id="rId198" Type="http://schemas.openxmlformats.org/officeDocument/2006/relationships/hyperlink" Target="https://www.cndh.org.mx/sites/default/files/documentos/2019-03/Com_2019_091.pdf" TargetMode="External"/><Relationship Id="rId202" Type="http://schemas.openxmlformats.org/officeDocument/2006/relationships/hyperlink" Target="https://www.sinembargo.mx/10-05-2019/3578841" TargetMode="External"/><Relationship Id="rId223" Type="http://schemas.openxmlformats.org/officeDocument/2006/relationships/hyperlink" Target="https://www.gob.mx/inm/documentos/recomendaciones-dirigidas-al-inm" TargetMode="External"/><Relationship Id="rId244" Type="http://schemas.openxmlformats.org/officeDocument/2006/relationships/hyperlink" Target="http://www.oas.org/es/cidh/prensa/comunicados/2019/180.asp" TargetMode="External"/><Relationship Id="rId18" Type="http://schemas.openxmlformats.org/officeDocument/2006/relationships/hyperlink" Target="https://www.gob.mx/sesnsp/acciones-y-programas/registro-nacional-de-datos-de-personas-extraviadas-o-desaparecidas-rnped" TargetMode="External"/><Relationship Id="rId39" Type="http://schemas.openxmlformats.org/officeDocument/2006/relationships/hyperlink" Target="http://www.oas.org/es/cidh/docs/anual/2018/docs/IA2018cap.5MX-es.doc" TargetMode="External"/><Relationship Id="rId265" Type="http://schemas.openxmlformats.org/officeDocument/2006/relationships/hyperlink" Target="file:///C:\Users\CIDH_USER\Downloads\proceso.com.mx\593527\despoticas-amlo-proceso-coparmex" TargetMode="External"/><Relationship Id="rId286" Type="http://schemas.openxmlformats.org/officeDocument/2006/relationships/hyperlink" Target="https://www.gob.mx/sspc/prensa/elementos-del-servicio-de-proteccion-federal-son-capacitados-para-el-mecanismo-de-seguridad-a-defensores-de-derechos-humanos-y-periodistas-218415?idiom=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Macro-Enabled_Worksheet1.xlsm"/><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Macro-Enabled_Worksheet2.xlsm"/><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800"/>
              <a:t>Asylum-seekers</a:t>
            </a:r>
          </a:p>
        </c:rich>
      </c:tx>
      <c:overlay val="0"/>
      <c:spPr>
        <a:noFill/>
        <a:ln w="25407">
          <a:noFill/>
        </a:ln>
      </c:spPr>
    </c:title>
    <c:autoTitleDeleted val="0"/>
    <c:plotArea>
      <c:layout/>
      <c:pieChart>
        <c:varyColors val="1"/>
        <c:ser>
          <c:idx val="0"/>
          <c:order val="0"/>
          <c:tx>
            <c:strRef>
              <c:f>Sheet1!$B$1</c:f>
              <c:strCache>
                <c:ptCount val="1"/>
                <c:pt idx="0">
                  <c:v>Series 1</c:v>
                </c:pt>
              </c:strCache>
            </c:strRef>
          </c:tx>
          <c:dPt>
            <c:idx val="0"/>
            <c:bubble3D val="0"/>
            <c:spPr>
              <a:solidFill>
                <a:srgbClr val="4F81BD"/>
              </a:solidFill>
              <a:ln w="25407">
                <a:noFill/>
              </a:ln>
            </c:spPr>
            <c:extLst xmlns:c16r2="http://schemas.microsoft.com/office/drawing/2015/06/chart">
              <c:ext xmlns:c16="http://schemas.microsoft.com/office/drawing/2014/chart" uri="{C3380CC4-5D6E-409C-BE32-E72D297353CC}">
                <c16:uniqueId val="{00000001-8471-4B8F-AF58-C689534E013D}"/>
              </c:ext>
            </c:extLst>
          </c:dPt>
          <c:dPt>
            <c:idx val="1"/>
            <c:bubble3D val="0"/>
            <c:spPr>
              <a:solidFill>
                <a:srgbClr val="C0504D"/>
              </a:solidFill>
              <a:ln w="25407">
                <a:noFill/>
              </a:ln>
            </c:spPr>
            <c:extLst xmlns:c16r2="http://schemas.microsoft.com/office/drawing/2015/06/chart">
              <c:ext xmlns:c16="http://schemas.microsoft.com/office/drawing/2014/chart" uri="{C3380CC4-5D6E-409C-BE32-E72D297353CC}">
                <c16:uniqueId val="{00000003-8471-4B8F-AF58-C689534E013D}"/>
              </c:ext>
            </c:extLst>
          </c:dPt>
          <c:dLbls>
            <c:spPr>
              <a:noFill/>
              <a:ln w="25407">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8"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numRef>
              <c:f>Sheet1!$A$2:$A$3</c:f>
              <c:numCache>
                <c:formatCode>General</c:formatCode>
                <c:ptCount val="2"/>
                <c:pt idx="0">
                  <c:v>2018</c:v>
                </c:pt>
                <c:pt idx="1">
                  <c:v>2019</c:v>
                </c:pt>
              </c:numCache>
            </c:numRef>
          </c:cat>
          <c:val>
            <c:numRef>
              <c:f>Sheet1!$B$2:$B$3</c:f>
              <c:numCache>
                <c:formatCode>#,##0</c:formatCode>
                <c:ptCount val="2"/>
                <c:pt idx="0">
                  <c:v>29631</c:v>
                </c:pt>
                <c:pt idx="1">
                  <c:v>54377</c:v>
                </c:pt>
              </c:numCache>
            </c:numRef>
          </c:val>
          <c:extLst xmlns:c16r2="http://schemas.microsoft.com/office/drawing/2015/06/chart">
            <c:ext xmlns:c16="http://schemas.microsoft.com/office/drawing/2014/chart" uri="{C3380CC4-5D6E-409C-BE32-E72D297353CC}">
              <c16:uniqueId val="{00000004-8471-4B8F-AF58-C689534E013D}"/>
            </c:ext>
          </c:extLst>
        </c:ser>
        <c:dLbls>
          <c:showLegendKey val="0"/>
          <c:showVal val="0"/>
          <c:showCatName val="0"/>
          <c:showSerName val="0"/>
          <c:showPercent val="0"/>
          <c:showBubbleSize val="0"/>
          <c:showLeaderLines val="1"/>
        </c:dLbls>
        <c:firstSliceAng val="0"/>
      </c:pieChart>
      <c:spPr>
        <a:noFill/>
        <a:ln w="25407">
          <a:noFill/>
        </a:ln>
      </c:spPr>
    </c:plotArea>
    <c:legend>
      <c:legendPos val="b"/>
      <c:overlay val="0"/>
      <c:spPr>
        <a:noFill/>
        <a:ln w="25407">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8"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798" b="1" i="0" u="none" strike="noStrike" kern="1200" cap="all" spc="150" baseline="0">
                <a:solidFill>
                  <a:schemeClr val="tx1">
                    <a:lumMod val="50000"/>
                    <a:lumOff val="50000"/>
                  </a:schemeClr>
                </a:solidFill>
                <a:latin typeface="+mn-lt"/>
                <a:ea typeface="+mn-ea"/>
                <a:cs typeface="+mn-cs"/>
              </a:defRPr>
            </a:pPr>
            <a:r>
              <a:rPr lang="en-US" sz="1199"/>
              <a:t>persons recognized as</a:t>
            </a:r>
            <a:r>
              <a:rPr lang="en-US" sz="1199" baseline="0"/>
              <a:t> </a:t>
            </a:r>
            <a:r>
              <a:rPr lang="en-US" sz="1199"/>
              <a:t>refugees and </a:t>
            </a:r>
            <a:r>
              <a:rPr lang="en-US" sz="1199" baseline="0"/>
              <a:t>BENEFICIARIeS of </a:t>
            </a:r>
            <a:r>
              <a:rPr lang="en-US" sz="1199"/>
              <a:t>complementary</a:t>
            </a:r>
            <a:r>
              <a:rPr lang="en-US" sz="1199" baseline="0"/>
              <a:t> protection</a:t>
            </a:r>
            <a:endParaRPr lang="en-US" sz="1199"/>
          </a:p>
        </c:rich>
      </c:tx>
      <c:overlay val="0"/>
      <c:spPr>
        <a:noFill/>
        <a:ln w="25368">
          <a:noFill/>
        </a:ln>
      </c:spPr>
    </c:title>
    <c:autoTitleDeleted val="0"/>
    <c:plotArea>
      <c:layout/>
      <c:barChart>
        <c:barDir val="col"/>
        <c:grouping val="clustered"/>
        <c:varyColors val="0"/>
        <c:ser>
          <c:idx val="0"/>
          <c:order val="0"/>
          <c:tx>
            <c:strRef>
              <c:f>Sheet1!$B$1</c:f>
              <c:strCache>
                <c:ptCount val="1"/>
                <c:pt idx="0">
                  <c:v>Total Solicitudes 2018</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dLbl>
              <c:idx val="0"/>
              <c:tx>
                <c:rich>
                  <a:bodyPr/>
                  <a:lstStyle/>
                  <a:p>
                    <a:fld id="{40C141EE-0F7C-4BF5-900C-20B39DD7C249}" type="VALUE">
                      <a:rPr lang="en-US" sz="699"/>
                      <a:pPr/>
                      <a:t>[VALUE]</a:t>
                    </a:fld>
                    <a:endParaRPr lang="en-US"/>
                  </a:p>
                </c:rich>
              </c:tx>
              <c:dLblPos val="outEnd"/>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0-C0B7-4D8B-90E0-EE5F05675661}"/>
                </c:ext>
                <c:ext xmlns:c15="http://schemas.microsoft.com/office/drawing/2012/chart" uri="{CE6537A1-D6FC-4f65-9D91-7224C49458BB}">
                  <c15:dlblFieldTable/>
                  <c15:showDataLabelsRange val="0"/>
                </c:ext>
              </c:extLst>
            </c:dLbl>
            <c:spPr>
              <a:noFill/>
              <a:ln w="25368">
                <a:noFill/>
              </a:ln>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Sheet1!$A$2:$A$6</c:f>
              <c:strCache>
                <c:ptCount val="5"/>
                <c:pt idx="0">
                  <c:v>Venezuela</c:v>
                </c:pt>
                <c:pt idx="1">
                  <c:v>Honduras</c:v>
                </c:pt>
                <c:pt idx="2">
                  <c:v>El Salvador</c:v>
                </c:pt>
                <c:pt idx="3">
                  <c:v>Guatemala</c:v>
                </c:pt>
                <c:pt idx="4">
                  <c:v>Nicaragua</c:v>
                </c:pt>
              </c:strCache>
            </c:strRef>
          </c:cat>
          <c:val>
            <c:numRef>
              <c:f>Sheet1!$B$2:$B$6</c:f>
              <c:numCache>
                <c:formatCode>General</c:formatCode>
                <c:ptCount val="5"/>
                <c:pt idx="0">
                  <c:v>3523</c:v>
                </c:pt>
                <c:pt idx="1">
                  <c:v>2707</c:v>
                </c:pt>
                <c:pt idx="2">
                  <c:v>2199</c:v>
                </c:pt>
                <c:pt idx="3">
                  <c:v>325</c:v>
                </c:pt>
                <c:pt idx="4">
                  <c:v>174</c:v>
                </c:pt>
              </c:numCache>
            </c:numRef>
          </c:val>
          <c:extLst xmlns:c16r2="http://schemas.microsoft.com/office/drawing/2015/06/chart">
            <c:ext xmlns:c16="http://schemas.microsoft.com/office/drawing/2014/chart" uri="{C3380CC4-5D6E-409C-BE32-E72D297353CC}">
              <c16:uniqueId val="{00000001-C0B7-4D8B-90E0-EE5F05675661}"/>
            </c:ext>
          </c:extLst>
        </c:ser>
        <c:ser>
          <c:idx val="1"/>
          <c:order val="1"/>
          <c:tx>
            <c:strRef>
              <c:f>Sheet1!$C$1</c:f>
              <c:strCache>
                <c:ptCount val="1"/>
                <c:pt idx="0">
                  <c:v>Total Otorgamientos Positivos 2018 </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dLbl>
              <c:idx val="0"/>
              <c:tx>
                <c:rich>
                  <a:bodyPr/>
                  <a:lstStyle/>
                  <a:p>
                    <a:fld id="{07284950-D8DB-4B48-AD9C-CE3C8DDD49F7}" type="VALUE">
                      <a:rPr lang="en-US" sz="699"/>
                      <a:pPr/>
                      <a:t>[VALUE]</a:t>
                    </a:fld>
                    <a:endParaRPr lang="en-US"/>
                  </a:p>
                </c:rich>
              </c:tx>
              <c:dLblPos val="outEnd"/>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2-C0B7-4D8B-90E0-EE5F05675661}"/>
                </c:ext>
                <c:ext xmlns:c15="http://schemas.microsoft.com/office/drawing/2012/chart" uri="{CE6537A1-D6FC-4f65-9D91-7224C49458BB}">
                  <c15:dlblFieldTable/>
                  <c15:showDataLabelsRange val="0"/>
                </c:ext>
              </c:extLst>
            </c:dLbl>
            <c:spPr>
              <a:noFill/>
              <a:ln w="25368">
                <a:noFill/>
              </a:ln>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Sheet1!$A$2:$A$6</c:f>
              <c:strCache>
                <c:ptCount val="5"/>
                <c:pt idx="0">
                  <c:v>Venezuela</c:v>
                </c:pt>
                <c:pt idx="1">
                  <c:v>Honduras</c:v>
                </c:pt>
                <c:pt idx="2">
                  <c:v>El Salvador</c:v>
                </c:pt>
                <c:pt idx="3">
                  <c:v>Guatemala</c:v>
                </c:pt>
                <c:pt idx="4">
                  <c:v>Nicaragua</c:v>
                </c:pt>
              </c:strCache>
            </c:strRef>
          </c:cat>
          <c:val>
            <c:numRef>
              <c:f>Sheet1!$C$2:$C$6</c:f>
              <c:numCache>
                <c:formatCode>General</c:formatCode>
                <c:ptCount val="5"/>
                <c:pt idx="0">
                  <c:v>3482</c:v>
                </c:pt>
                <c:pt idx="1">
                  <c:v>1770</c:v>
                </c:pt>
                <c:pt idx="2">
                  <c:v>1683</c:v>
                </c:pt>
                <c:pt idx="3">
                  <c:v>166</c:v>
                </c:pt>
                <c:pt idx="4">
                  <c:v>158</c:v>
                </c:pt>
              </c:numCache>
            </c:numRef>
          </c:val>
          <c:extLst xmlns:c16r2="http://schemas.microsoft.com/office/drawing/2015/06/chart">
            <c:ext xmlns:c16="http://schemas.microsoft.com/office/drawing/2014/chart" uri="{C3380CC4-5D6E-409C-BE32-E72D297353CC}">
              <c16:uniqueId val="{00000003-C0B7-4D8B-90E0-EE5F05675661}"/>
            </c:ext>
          </c:extLst>
        </c:ser>
        <c:ser>
          <c:idx val="2"/>
          <c:order val="2"/>
          <c:tx>
            <c:strRef>
              <c:f>Sheet1!$D$1</c:f>
              <c:strCache>
                <c:ptCount val="1"/>
                <c:pt idx="0">
                  <c:v>Total Solicitudes 2019</c:v>
                </c:pt>
              </c:strCache>
            </c:strRef>
          </c:tx>
          <c:spPr>
            <a:pattFill prst="narHorz">
              <a:fgClr>
                <a:schemeClr val="accent3"/>
              </a:fgClr>
              <a:bgClr>
                <a:schemeClr val="accent3">
                  <a:lumMod val="20000"/>
                  <a:lumOff val="80000"/>
                </a:schemeClr>
              </a:bgClr>
            </a:pattFill>
            <a:ln>
              <a:noFill/>
            </a:ln>
            <a:effectLst>
              <a:innerShdw blurRad="114300">
                <a:schemeClr val="accent3"/>
              </a:innerShdw>
            </a:effectLst>
          </c:spPr>
          <c:invertIfNegative val="0"/>
          <c:dLbls>
            <c:dLbl>
              <c:idx val="0"/>
              <c:spPr>
                <a:noFill/>
                <a:ln w="25368">
                  <a:noFill/>
                </a:ln>
              </c:spPr>
              <c:txPr>
                <a:bodyPr rot="0" spcFirstLastPara="1" vertOverflow="ellipsis" vert="horz" wrap="square" lIns="38100" tIns="19050" rIns="38100" bIns="19050" anchor="ctr" anchorCtr="1">
                  <a:spAutoFit/>
                </a:bodyPr>
                <a:lstStyle/>
                <a:p>
                  <a:pPr>
                    <a:defRPr sz="699"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dLbl>
            <c:spPr>
              <a:noFill/>
              <a:ln w="25368">
                <a:noFill/>
              </a:ln>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Sheet1!$A$2:$A$6</c:f>
              <c:strCache>
                <c:ptCount val="5"/>
                <c:pt idx="0">
                  <c:v>Venezuela</c:v>
                </c:pt>
                <c:pt idx="1">
                  <c:v>Honduras</c:v>
                </c:pt>
                <c:pt idx="2">
                  <c:v>El Salvador</c:v>
                </c:pt>
                <c:pt idx="3">
                  <c:v>Guatemala</c:v>
                </c:pt>
                <c:pt idx="4">
                  <c:v>Nicaragua</c:v>
                </c:pt>
              </c:strCache>
            </c:strRef>
          </c:cat>
          <c:val>
            <c:numRef>
              <c:f>Sheet1!$D$2:$D$6</c:f>
              <c:numCache>
                <c:formatCode>General</c:formatCode>
                <c:ptCount val="5"/>
                <c:pt idx="0">
                  <c:v>1552</c:v>
                </c:pt>
                <c:pt idx="1">
                  <c:v>1969</c:v>
                </c:pt>
                <c:pt idx="2">
                  <c:v>1202</c:v>
                </c:pt>
                <c:pt idx="3">
                  <c:v>269</c:v>
                </c:pt>
                <c:pt idx="4">
                  <c:v>213</c:v>
                </c:pt>
              </c:numCache>
            </c:numRef>
          </c:val>
          <c:extLst xmlns:c16r2="http://schemas.microsoft.com/office/drawing/2015/06/chart">
            <c:ext xmlns:c16="http://schemas.microsoft.com/office/drawing/2014/chart" uri="{C3380CC4-5D6E-409C-BE32-E72D297353CC}">
              <c16:uniqueId val="{00000005-C0B7-4D8B-90E0-EE5F05675661}"/>
            </c:ext>
          </c:extLst>
        </c:ser>
        <c:ser>
          <c:idx val="3"/>
          <c:order val="3"/>
          <c:tx>
            <c:strRef>
              <c:f>Sheet1!$E$1</c:f>
              <c:strCache>
                <c:ptCount val="1"/>
                <c:pt idx="0">
                  <c:v>Total Otorgamientos Positivos 2019</c:v>
                </c:pt>
              </c:strCache>
            </c:strRef>
          </c:tx>
          <c:spPr>
            <a:pattFill prst="narHorz">
              <a:fgClr>
                <a:schemeClr val="accent4"/>
              </a:fgClr>
              <a:bgClr>
                <a:schemeClr val="accent4">
                  <a:lumMod val="20000"/>
                  <a:lumOff val="80000"/>
                </a:schemeClr>
              </a:bgClr>
            </a:pattFill>
            <a:ln>
              <a:noFill/>
            </a:ln>
            <a:effectLst>
              <a:innerShdw blurRad="114300">
                <a:schemeClr val="accent4"/>
              </a:innerShdw>
            </a:effectLst>
          </c:spPr>
          <c:invertIfNegative val="0"/>
          <c:dLbls>
            <c:spPr>
              <a:noFill/>
              <a:ln w="25368">
                <a:noFill/>
              </a:ln>
            </c:spPr>
            <c:txPr>
              <a:bodyPr rot="0" spcFirstLastPara="1" vertOverflow="ellipsis" vert="horz" wrap="square" lIns="38100" tIns="19050" rIns="38100" bIns="19050" anchor="ctr" anchorCtr="1">
                <a:spAutoFit/>
              </a:bodyPr>
              <a:lstStyle/>
              <a:p>
                <a:pPr>
                  <a:defRPr sz="699"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Sheet1!$A$2:$A$6</c:f>
              <c:strCache>
                <c:ptCount val="5"/>
                <c:pt idx="0">
                  <c:v>Venezuela</c:v>
                </c:pt>
                <c:pt idx="1">
                  <c:v>Honduras</c:v>
                </c:pt>
                <c:pt idx="2">
                  <c:v>El Salvador</c:v>
                </c:pt>
                <c:pt idx="3">
                  <c:v>Guatemala</c:v>
                </c:pt>
                <c:pt idx="4">
                  <c:v>Nicaragua</c:v>
                </c:pt>
              </c:strCache>
            </c:strRef>
          </c:cat>
          <c:val>
            <c:numRef>
              <c:f>Sheet1!$E$2:$E$6</c:f>
              <c:numCache>
                <c:formatCode>General</c:formatCode>
                <c:ptCount val="5"/>
                <c:pt idx="0">
                  <c:v>1531</c:v>
                </c:pt>
                <c:pt idx="1">
                  <c:v>1614</c:v>
                </c:pt>
                <c:pt idx="2">
                  <c:v>990</c:v>
                </c:pt>
                <c:pt idx="3">
                  <c:v>158</c:v>
                </c:pt>
                <c:pt idx="4">
                  <c:v>202</c:v>
                </c:pt>
              </c:numCache>
            </c:numRef>
          </c:val>
          <c:extLst xmlns:c16r2="http://schemas.microsoft.com/office/drawing/2015/06/chart">
            <c:ext xmlns:c16="http://schemas.microsoft.com/office/drawing/2014/chart" uri="{C3380CC4-5D6E-409C-BE32-E72D297353CC}">
              <c16:uniqueId val="{00000006-C0B7-4D8B-90E0-EE5F05675661}"/>
            </c:ext>
          </c:extLst>
        </c:ser>
        <c:dLbls>
          <c:showLegendKey val="0"/>
          <c:showVal val="0"/>
          <c:showCatName val="0"/>
          <c:showSerName val="0"/>
          <c:showPercent val="0"/>
          <c:showBubbleSize val="0"/>
        </c:dLbls>
        <c:gapWidth val="164"/>
        <c:overlap val="-22"/>
        <c:axId val="130548808"/>
        <c:axId val="130549984"/>
      </c:barChart>
      <c:catAx>
        <c:axId val="130548808"/>
        <c:scaling>
          <c:orientation val="minMax"/>
        </c:scaling>
        <c:delete val="0"/>
        <c:axPos val="b"/>
        <c:numFmt formatCode="General" sourceLinked="1"/>
        <c:majorTickMark val="none"/>
        <c:minorTickMark val="none"/>
        <c:tickLblPos val="nextTo"/>
        <c:spPr>
          <a:noFill/>
          <a:ln w="19026" cap="flat" cmpd="sng" algn="ctr">
            <a:solidFill>
              <a:schemeClr val="tx1">
                <a:lumMod val="25000"/>
                <a:lumOff val="75000"/>
              </a:schemeClr>
            </a:solidFill>
            <a:round/>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en-US"/>
          </a:p>
        </c:txPr>
        <c:crossAx val="130549984"/>
        <c:crosses val="autoZero"/>
        <c:auto val="1"/>
        <c:lblAlgn val="ctr"/>
        <c:lblOffset val="100"/>
        <c:noMultiLvlLbl val="0"/>
      </c:catAx>
      <c:valAx>
        <c:axId val="130549984"/>
        <c:scaling>
          <c:orientation val="minMax"/>
        </c:scaling>
        <c:delete val="0"/>
        <c:axPos val="l"/>
        <c:numFmt formatCode="General" sourceLinked="1"/>
        <c:majorTickMark val="none"/>
        <c:minorTickMark val="none"/>
        <c:tickLblPos val="nextTo"/>
        <c:spPr>
          <a:ln w="9513">
            <a:noFill/>
          </a:ln>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en-US"/>
          </a:p>
        </c:txPr>
        <c:crossAx val="130548808"/>
        <c:crosses val="autoZero"/>
        <c:crossBetween val="between"/>
      </c:valAx>
      <c:spPr>
        <a:noFill/>
        <a:ln w="25368">
          <a:noFill/>
        </a:ln>
      </c:spPr>
    </c:plotArea>
    <c:legend>
      <c:legendPos val="t"/>
      <c:overlay val="0"/>
      <c:spPr>
        <a:noFill/>
        <a:ln w="25368">
          <a:noFill/>
        </a:ln>
      </c:spPr>
      <c:txPr>
        <a:bodyPr rot="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13"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3F3DD-B299-4EF2-998B-83749F74B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88</Pages>
  <Words>47388</Words>
  <Characters>252105</Characters>
  <Application>Microsoft Office Word</Application>
  <DocSecurity>0</DocSecurity>
  <Lines>3112</Lines>
  <Paragraphs>525</Paragraphs>
  <ScaleCrop>false</ScaleCrop>
  <HeadingPairs>
    <vt:vector size="2" baseType="variant">
      <vt:variant>
        <vt:lpstr>Title</vt:lpstr>
      </vt:variant>
      <vt:variant>
        <vt:i4>1</vt:i4>
      </vt:variant>
    </vt:vector>
  </HeadingPairs>
  <TitlesOfParts>
    <vt:vector size="1" baseType="lpstr">
      <vt:lpstr>Informe Anual 2019 - Capítulo V México</vt:lpstr>
    </vt:vector>
  </TitlesOfParts>
  <Company/>
  <LinksUpToDate>false</LinksUpToDate>
  <CharactersWithSpaces>298968</CharactersWithSpaces>
  <SharedDoc>false</SharedDoc>
  <HLinks>
    <vt:vector size="1680" baseType="variant">
      <vt:variant>
        <vt:i4>1048694</vt:i4>
      </vt:variant>
      <vt:variant>
        <vt:i4>9</vt:i4>
      </vt:variant>
      <vt:variant>
        <vt:i4>0</vt:i4>
      </vt:variant>
      <vt:variant>
        <vt:i4>5</vt:i4>
      </vt:variant>
      <vt:variant>
        <vt:lpwstr>https://www.gob.mx/defensorasyperiodistas</vt:lpwstr>
      </vt:variant>
      <vt:variant>
        <vt:lpwstr/>
      </vt:variant>
      <vt:variant>
        <vt:i4>5505040</vt:i4>
      </vt:variant>
      <vt:variant>
        <vt:i4>0</vt:i4>
      </vt:variant>
      <vt:variant>
        <vt:i4>0</vt:i4>
      </vt:variant>
      <vt:variant>
        <vt:i4>5</vt:i4>
      </vt:variant>
      <vt:variant>
        <vt:lpwstr>http://secretariadoejecutivo.gob.mx/docs/pdfs/nueva-metodologia/Info_delict_persp_genero_NOV2018.pdf</vt:lpwstr>
      </vt:variant>
      <vt:variant>
        <vt:lpwstr/>
      </vt:variant>
      <vt:variant>
        <vt:i4>4391022</vt:i4>
      </vt:variant>
      <vt:variant>
        <vt:i4>828</vt:i4>
      </vt:variant>
      <vt:variant>
        <vt:i4>0</vt:i4>
      </vt:variant>
      <vt:variant>
        <vt:i4>5</vt:i4>
      </vt:variant>
      <vt:variant>
        <vt:lpwstr>http://www.espacio.osc.mx/el-espacio-osc-hace-un-llamado-al-gobierno-federal-para-dotar-de-recursos-y-garantizar-el-funcionamiento-del-mecanismo-para-la-proteccion-de-personas-defensoras-de-derechos-humanos-y-periodistas/</vt:lpwstr>
      </vt:variant>
      <vt:variant>
        <vt:lpwstr/>
      </vt:variant>
      <vt:variant>
        <vt:i4>1900595</vt:i4>
      </vt:variant>
      <vt:variant>
        <vt:i4>825</vt:i4>
      </vt:variant>
      <vt:variant>
        <vt:i4>0</vt:i4>
      </vt:variant>
      <vt:variant>
        <vt:i4>5</vt:i4>
      </vt:variant>
      <vt:variant>
        <vt:lpwstr>http://www.oas.org/es/cidh/expresion/showarticle.asp?artID=1124&amp;lID=2</vt:lpwstr>
      </vt:variant>
      <vt:variant>
        <vt:lpwstr/>
      </vt:variant>
      <vt:variant>
        <vt:i4>6881397</vt:i4>
      </vt:variant>
      <vt:variant>
        <vt:i4>822</vt:i4>
      </vt:variant>
      <vt:variant>
        <vt:i4>0</vt:i4>
      </vt:variant>
      <vt:variant>
        <vt:i4>5</vt:i4>
      </vt:variant>
      <vt:variant>
        <vt:lpwstr>http://www.oas.org/es/cidh/informes/pdfs/Mexico2016-es.pdf</vt:lpwstr>
      </vt:variant>
      <vt:variant>
        <vt:lpwstr/>
      </vt:variant>
      <vt:variant>
        <vt:i4>6946875</vt:i4>
      </vt:variant>
      <vt:variant>
        <vt:i4>819</vt:i4>
      </vt:variant>
      <vt:variant>
        <vt:i4>0</vt:i4>
      </vt:variant>
      <vt:variant>
        <vt:i4>5</vt:i4>
      </vt:variant>
      <vt:variant>
        <vt:lpwstr>http://inicio.ifai.org.mx/Comunicados/Nota INAI 040-18.pdf</vt:lpwstr>
      </vt:variant>
      <vt:variant>
        <vt:lpwstr/>
      </vt:variant>
      <vt:variant>
        <vt:i4>7012410</vt:i4>
      </vt:variant>
      <vt:variant>
        <vt:i4>816</vt:i4>
      </vt:variant>
      <vt:variant>
        <vt:i4>0</vt:i4>
      </vt:variant>
      <vt:variant>
        <vt:i4>5</vt:i4>
      </vt:variant>
      <vt:variant>
        <vt:lpwstr>http://inicio.ifai.org.mx/Comunicados/Nota INAI-081-18.pdf</vt:lpwstr>
      </vt:variant>
      <vt:variant>
        <vt:lpwstr/>
      </vt:variant>
      <vt:variant>
        <vt:i4>7012410</vt:i4>
      </vt:variant>
      <vt:variant>
        <vt:i4>813</vt:i4>
      </vt:variant>
      <vt:variant>
        <vt:i4>0</vt:i4>
      </vt:variant>
      <vt:variant>
        <vt:i4>5</vt:i4>
      </vt:variant>
      <vt:variant>
        <vt:lpwstr>http://inicio.ifai.org.mx/Comunicados/Nota INAI-081-18.pdf</vt:lpwstr>
      </vt:variant>
      <vt:variant>
        <vt:lpwstr/>
      </vt:variant>
      <vt:variant>
        <vt:i4>1835094</vt:i4>
      </vt:variant>
      <vt:variant>
        <vt:i4>810</vt:i4>
      </vt:variant>
      <vt:variant>
        <vt:i4>0</vt:i4>
      </vt:variant>
      <vt:variant>
        <vt:i4>5</vt:i4>
      </vt:variant>
      <vt:variant>
        <vt:lpwstr>http://www.oas.org/es/cidh/expresion/docs/2018_06_18 CIDH-UN_FINAL_MX_report_SPA.PDF</vt:lpwstr>
      </vt:variant>
      <vt:variant>
        <vt:lpwstr/>
      </vt:variant>
      <vt:variant>
        <vt:i4>196664</vt:i4>
      </vt:variant>
      <vt:variant>
        <vt:i4>807</vt:i4>
      </vt:variant>
      <vt:variant>
        <vt:i4>0</vt:i4>
      </vt:variant>
      <vt:variant>
        <vt:i4>5</vt:i4>
      </vt:variant>
      <vt:variant>
        <vt:lpwstr>http://www.diputados.gob.mx/LeyesBiblio/pdf/LGA_150618.pdf</vt:lpwstr>
      </vt:variant>
      <vt:variant>
        <vt:lpwstr/>
      </vt:variant>
      <vt:variant>
        <vt:i4>6881397</vt:i4>
      </vt:variant>
      <vt:variant>
        <vt:i4>804</vt:i4>
      </vt:variant>
      <vt:variant>
        <vt:i4>0</vt:i4>
      </vt:variant>
      <vt:variant>
        <vt:i4>5</vt:i4>
      </vt:variant>
      <vt:variant>
        <vt:lpwstr>http://www.oas.org/es/cidh/informes/pdfs/Mexico2016-es.pdf</vt:lpwstr>
      </vt:variant>
      <vt:variant>
        <vt:lpwstr/>
      </vt:variant>
      <vt:variant>
        <vt:i4>1835094</vt:i4>
      </vt:variant>
      <vt:variant>
        <vt:i4>801</vt:i4>
      </vt:variant>
      <vt:variant>
        <vt:i4>0</vt:i4>
      </vt:variant>
      <vt:variant>
        <vt:i4>5</vt:i4>
      </vt:variant>
      <vt:variant>
        <vt:lpwstr>http://www.oas.org/es/cidh/expresion/docs/2018_06_18 CIDH-UN_FINAL_MX_report_SPA.PDF</vt:lpwstr>
      </vt:variant>
      <vt:variant>
        <vt:lpwstr/>
      </vt:variant>
      <vt:variant>
        <vt:i4>196664</vt:i4>
      </vt:variant>
      <vt:variant>
        <vt:i4>798</vt:i4>
      </vt:variant>
      <vt:variant>
        <vt:i4>0</vt:i4>
      </vt:variant>
      <vt:variant>
        <vt:i4>5</vt:i4>
      </vt:variant>
      <vt:variant>
        <vt:lpwstr>http://www.diputados.gob.mx/LeyesBiblio/pdf/LGA_150618.pdf</vt:lpwstr>
      </vt:variant>
      <vt:variant>
        <vt:lpwstr/>
      </vt:variant>
      <vt:variant>
        <vt:i4>6881397</vt:i4>
      </vt:variant>
      <vt:variant>
        <vt:i4>795</vt:i4>
      </vt:variant>
      <vt:variant>
        <vt:i4>0</vt:i4>
      </vt:variant>
      <vt:variant>
        <vt:i4>5</vt:i4>
      </vt:variant>
      <vt:variant>
        <vt:lpwstr>http://www.oas.org/es/cidh/informes/pdfs/Mexico2016-es.pdf</vt:lpwstr>
      </vt:variant>
      <vt:variant>
        <vt:lpwstr/>
      </vt:variant>
      <vt:variant>
        <vt:i4>6619137</vt:i4>
      </vt:variant>
      <vt:variant>
        <vt:i4>792</vt:i4>
      </vt:variant>
      <vt:variant>
        <vt:i4>0</vt:i4>
      </vt:variant>
      <vt:variant>
        <vt:i4>5</vt:i4>
      </vt:variant>
      <vt:variant>
        <vt:lpwstr>https://www.gob.mx/cms/uploads/attachment/file/432247/ESTADISTICAS_Dic_2018_</vt:lpwstr>
      </vt:variant>
      <vt:variant>
        <vt:lpwstr/>
      </vt:variant>
      <vt:variant>
        <vt:i4>5308491</vt:i4>
      </vt:variant>
      <vt:variant>
        <vt:i4>789</vt:i4>
      </vt:variant>
      <vt:variant>
        <vt:i4>0</vt:i4>
      </vt:variant>
      <vt:variant>
        <vt:i4>5</vt:i4>
      </vt:variant>
      <vt:variant>
        <vt:lpwstr>http://www.oas.org/es/cidh/expresion/artListCat.asp?year=2019&amp;countryID=24&amp;lID=2&amp;catID=1</vt:lpwstr>
      </vt:variant>
      <vt:variant>
        <vt:lpwstr/>
      </vt:variant>
      <vt:variant>
        <vt:i4>3801098</vt:i4>
      </vt:variant>
      <vt:variant>
        <vt:i4>786</vt:i4>
      </vt:variant>
      <vt:variant>
        <vt:i4>0</vt:i4>
      </vt:variant>
      <vt:variant>
        <vt:i4>5</vt:i4>
      </vt:variant>
      <vt:variant>
        <vt:lpwstr>https://rsf.org/es/noticias/mexico-rsf-se-moviliza-para-luchar-contra-la-impunidad-de-los-crimenes-cometidos-contra-periodistas</vt:lpwstr>
      </vt:variant>
      <vt:variant>
        <vt:lpwstr/>
      </vt:variant>
      <vt:variant>
        <vt:i4>1638449</vt:i4>
      </vt:variant>
      <vt:variant>
        <vt:i4>783</vt:i4>
      </vt:variant>
      <vt:variant>
        <vt:i4>0</vt:i4>
      </vt:variant>
      <vt:variant>
        <vt:i4>5</vt:i4>
      </vt:variant>
      <vt:variant>
        <vt:lpwstr>https://cpj.org/es/2019/07/cumbre-sobre-la-libertad-de-prensa-insta-al-gobier.php</vt:lpwstr>
      </vt:variant>
      <vt:variant>
        <vt:lpwstr/>
      </vt:variant>
      <vt:variant>
        <vt:i4>5767171</vt:i4>
      </vt:variant>
      <vt:variant>
        <vt:i4>780</vt:i4>
      </vt:variant>
      <vt:variant>
        <vt:i4>0</vt:i4>
      </vt:variant>
      <vt:variant>
        <vt:i4>5</vt:i4>
      </vt:variant>
      <vt:variant>
        <vt:lpwstr>https://www.gob.mx/cms/uploads/attachment/file/500131/V_ctimas_Mujeres_FEADLE_-_sep_2019.pdf</vt:lpwstr>
      </vt:variant>
      <vt:variant>
        <vt:lpwstr/>
      </vt:variant>
      <vt:variant>
        <vt:i4>7536660</vt:i4>
      </vt:variant>
      <vt:variant>
        <vt:i4>777</vt:i4>
      </vt:variant>
      <vt:variant>
        <vt:i4>0</vt:i4>
      </vt:variant>
      <vt:variant>
        <vt:i4>5</vt:i4>
      </vt:variant>
      <vt:variant>
        <vt:lpwstr>https://www.gob.mx/cms/uploads/attachment/file/499081/ESTADISTICAS_Sep_2019.pdf</vt:lpwstr>
      </vt:variant>
      <vt:variant>
        <vt:lpwstr/>
      </vt:variant>
      <vt:variant>
        <vt:i4>589876</vt:i4>
      </vt:variant>
      <vt:variant>
        <vt:i4>774</vt:i4>
      </vt:variant>
      <vt:variant>
        <vt:i4>0</vt:i4>
      </vt:variant>
      <vt:variant>
        <vt:i4>5</vt:i4>
      </vt:variant>
      <vt:variant>
        <vt:lpwstr>https://www.animalpolitico.com/2019/03/que-es-la-prensa-fifi-asi-explica-amlo-de-donde-viene-ese-termino/</vt:lpwstr>
      </vt:variant>
      <vt:variant>
        <vt:lpwstr/>
      </vt:variant>
      <vt:variant>
        <vt:i4>1572943</vt:i4>
      </vt:variant>
      <vt:variant>
        <vt:i4>771</vt:i4>
      </vt:variant>
      <vt:variant>
        <vt:i4>0</vt:i4>
      </vt:variant>
      <vt:variant>
        <vt:i4>5</vt:i4>
      </vt:variant>
      <vt:variant>
        <vt:lpwstr>https://www.nytimes.com/es/2019/08/07/lopez-obrador-periodistas/</vt:lpwstr>
      </vt:variant>
      <vt:variant>
        <vt:lpwstr/>
      </vt:variant>
      <vt:variant>
        <vt:i4>5701641</vt:i4>
      </vt:variant>
      <vt:variant>
        <vt:i4>768</vt:i4>
      </vt:variant>
      <vt:variant>
        <vt:i4>0</vt:i4>
      </vt:variant>
      <vt:variant>
        <vt:i4>5</vt:i4>
      </vt:variant>
      <vt:variant>
        <vt:lpwstr>https://www.nytimes.com/es/2019/02/11/periodistas-asesinados-mexico/</vt:lpwstr>
      </vt:variant>
      <vt:variant>
        <vt:lpwstr/>
      </vt:variant>
      <vt:variant>
        <vt:i4>1900548</vt:i4>
      </vt:variant>
      <vt:variant>
        <vt:i4>765</vt:i4>
      </vt:variant>
      <vt:variant>
        <vt:i4>0</vt:i4>
      </vt:variant>
      <vt:variant>
        <vt:i4>5</vt:i4>
      </vt:variant>
      <vt:variant>
        <vt:lpwstr>https://www.animalpolitico.com/2019/07/saquean-casa-lydia-cacho/</vt:lpwstr>
      </vt:variant>
      <vt:variant>
        <vt:lpwstr/>
      </vt:variant>
      <vt:variant>
        <vt:i4>852011</vt:i4>
      </vt:variant>
      <vt:variant>
        <vt:i4>762</vt:i4>
      </vt:variant>
      <vt:variant>
        <vt:i4>0</vt:i4>
      </vt:variant>
      <vt:variant>
        <vt:i4>5</vt:i4>
      </vt:variant>
      <vt:variant>
        <vt:lpwstr>https://www.forbes.com.mx/saquean-casa-de-lydia-cacho-y-envenenan-a-sus-mascotas/</vt:lpwstr>
      </vt:variant>
      <vt:variant>
        <vt:lpwstr/>
      </vt:variant>
      <vt:variant>
        <vt:i4>5701641</vt:i4>
      </vt:variant>
      <vt:variant>
        <vt:i4>759</vt:i4>
      </vt:variant>
      <vt:variant>
        <vt:i4>0</vt:i4>
      </vt:variant>
      <vt:variant>
        <vt:i4>5</vt:i4>
      </vt:variant>
      <vt:variant>
        <vt:lpwstr>https://www.nytimes.com/es/2019/02/11/periodistas-asesinados-mexico/</vt:lpwstr>
      </vt:variant>
      <vt:variant>
        <vt:lpwstr/>
      </vt:variant>
      <vt:variant>
        <vt:i4>3276873</vt:i4>
      </vt:variant>
      <vt:variant>
        <vt:i4>756</vt:i4>
      </vt:variant>
      <vt:variant>
        <vt:i4>0</vt:i4>
      </vt:variant>
      <vt:variant>
        <vt:i4>5</vt:i4>
      </vt:variant>
      <vt:variant>
        <vt:lpwstr>https://rsf.org/es/noticias/ola-de-asesinatos-de-periodistas-en-mexico-las-autoridades-impotentes-0</vt:lpwstr>
      </vt:variant>
      <vt:variant>
        <vt:lpwstr/>
      </vt:variant>
      <vt:variant>
        <vt:i4>1638449</vt:i4>
      </vt:variant>
      <vt:variant>
        <vt:i4>753</vt:i4>
      </vt:variant>
      <vt:variant>
        <vt:i4>0</vt:i4>
      </vt:variant>
      <vt:variant>
        <vt:i4>5</vt:i4>
      </vt:variant>
      <vt:variant>
        <vt:lpwstr>https://cpj.org/es/2019/07/cumbre-sobre-la-libertad-de-prensa-insta-al-gobier.php</vt:lpwstr>
      </vt:variant>
      <vt:variant>
        <vt:lpwstr/>
      </vt:variant>
      <vt:variant>
        <vt:i4>1703987</vt:i4>
      </vt:variant>
      <vt:variant>
        <vt:i4>750</vt:i4>
      </vt:variant>
      <vt:variant>
        <vt:i4>0</vt:i4>
      </vt:variant>
      <vt:variant>
        <vt:i4>5</vt:i4>
      </vt:variant>
      <vt:variant>
        <vt:lpwstr>http://www.oas.org/es/cidh/expresion/showarticle.asp?artID=1154&amp;lID=2</vt:lpwstr>
      </vt:variant>
      <vt:variant>
        <vt:lpwstr/>
      </vt:variant>
      <vt:variant>
        <vt:i4>4391022</vt:i4>
      </vt:variant>
      <vt:variant>
        <vt:i4>747</vt:i4>
      </vt:variant>
      <vt:variant>
        <vt:i4>0</vt:i4>
      </vt:variant>
      <vt:variant>
        <vt:i4>5</vt:i4>
      </vt:variant>
      <vt:variant>
        <vt:lpwstr>http://www.espacio.osc.mx/el-espacio-osc-hace-un-llamado-al-gobierno-federal-para-dotar-de-recursos-y-garantizar-el-funcionamiento-del-mecanismo-para-la-proteccion-de-personas-defensoras-de-derechos-humanos-y-periodistas/</vt:lpwstr>
      </vt:variant>
      <vt:variant>
        <vt:lpwstr/>
      </vt:variant>
      <vt:variant>
        <vt:i4>1900595</vt:i4>
      </vt:variant>
      <vt:variant>
        <vt:i4>744</vt:i4>
      </vt:variant>
      <vt:variant>
        <vt:i4>0</vt:i4>
      </vt:variant>
      <vt:variant>
        <vt:i4>5</vt:i4>
      </vt:variant>
      <vt:variant>
        <vt:lpwstr>http://www.oas.org/es/cidh/expresion/showarticle.asp?artID=1124&amp;lID=2</vt:lpwstr>
      </vt:variant>
      <vt:variant>
        <vt:lpwstr/>
      </vt:variant>
      <vt:variant>
        <vt:i4>6881397</vt:i4>
      </vt:variant>
      <vt:variant>
        <vt:i4>741</vt:i4>
      </vt:variant>
      <vt:variant>
        <vt:i4>0</vt:i4>
      </vt:variant>
      <vt:variant>
        <vt:i4>5</vt:i4>
      </vt:variant>
      <vt:variant>
        <vt:lpwstr>http://www.oas.org/es/cidh/informes/pdfs/Mexico2016-es.pdf</vt:lpwstr>
      </vt:variant>
      <vt:variant>
        <vt:lpwstr/>
      </vt:variant>
      <vt:variant>
        <vt:i4>4259933</vt:i4>
      </vt:variant>
      <vt:variant>
        <vt:i4>738</vt:i4>
      </vt:variant>
      <vt:variant>
        <vt:i4>0</vt:i4>
      </vt:variant>
      <vt:variant>
        <vt:i4>5</vt:i4>
      </vt:variant>
      <vt:variant>
        <vt:lpwstr>http://cmdpdh.org/2019/07/cp-por-primera-ocasion-inicia-implementacion-de-programa-de-atencion-integral-para-grupo-de-victimas-de-desplazamiento-interno-forzado-ceav-y-comisiones-estatales-de-atencion-a-victimas/</vt:lpwstr>
      </vt:variant>
      <vt:variant>
        <vt:lpwstr/>
      </vt:variant>
      <vt:variant>
        <vt:i4>7733297</vt:i4>
      </vt:variant>
      <vt:variant>
        <vt:i4>735</vt:i4>
      </vt:variant>
      <vt:variant>
        <vt:i4>0</vt:i4>
      </vt:variant>
      <vt:variant>
        <vt:i4>5</vt:i4>
      </vt:variant>
      <vt:variant>
        <vt:lpwstr>http://www.oas.org/es/cidh/prensa/comunicados/2019/100.asp</vt:lpwstr>
      </vt:variant>
      <vt:variant>
        <vt:lpwstr/>
      </vt:variant>
      <vt:variant>
        <vt:i4>7667796</vt:i4>
      </vt:variant>
      <vt:variant>
        <vt:i4>732</vt:i4>
      </vt:variant>
      <vt:variant>
        <vt:i4>0</vt:i4>
      </vt:variant>
      <vt:variant>
        <vt:i4>5</vt:i4>
      </vt:variant>
      <vt:variant>
        <vt:lpwstr>https://www.oas.org/es/cidh/informes/pdfs/DesplazamientoInterno.pdf</vt:lpwstr>
      </vt:variant>
      <vt:variant>
        <vt:lpwstr/>
      </vt:variant>
      <vt:variant>
        <vt:i4>1310723</vt:i4>
      </vt:variant>
      <vt:variant>
        <vt:i4>729</vt:i4>
      </vt:variant>
      <vt:variant>
        <vt:i4>0</vt:i4>
      </vt:variant>
      <vt:variant>
        <vt:i4>5</vt:i4>
      </vt:variant>
      <vt:variant>
        <vt:lpwstr>https://www.gob.mx/segob/prensa/al-congreso-iniciativa-de-ley-sobre-desplazamiento-forzado-interno-la-proxima-semana-216355?idiom=es</vt:lpwstr>
      </vt:variant>
      <vt:variant>
        <vt:lpwstr/>
      </vt:variant>
      <vt:variant>
        <vt:i4>3080230</vt:i4>
      </vt:variant>
      <vt:variant>
        <vt:i4>726</vt:i4>
      </vt:variant>
      <vt:variant>
        <vt:i4>0</vt:i4>
      </vt:variant>
      <vt:variant>
        <vt:i4>5</vt:i4>
      </vt:variant>
      <vt:variant>
        <vt:lpwstr>https://www.gob.mx/cms/uploads/attachment/file/456109/Desplaz_2019_web_color-comp.pdf</vt:lpwstr>
      </vt:variant>
      <vt:variant>
        <vt:lpwstr/>
      </vt:variant>
      <vt:variant>
        <vt:i4>3080230</vt:i4>
      </vt:variant>
      <vt:variant>
        <vt:i4>723</vt:i4>
      </vt:variant>
      <vt:variant>
        <vt:i4>0</vt:i4>
      </vt:variant>
      <vt:variant>
        <vt:i4>5</vt:i4>
      </vt:variant>
      <vt:variant>
        <vt:lpwstr>https://www.gob.mx/cms/uploads/attachment/file/456109/Desplaz_2019_web_color-comp.pdf</vt:lpwstr>
      </vt:variant>
      <vt:variant>
        <vt:lpwstr/>
      </vt:variant>
      <vt:variant>
        <vt:i4>3080230</vt:i4>
      </vt:variant>
      <vt:variant>
        <vt:i4>720</vt:i4>
      </vt:variant>
      <vt:variant>
        <vt:i4>0</vt:i4>
      </vt:variant>
      <vt:variant>
        <vt:i4>5</vt:i4>
      </vt:variant>
      <vt:variant>
        <vt:lpwstr>https://www.gob.mx/cms/uploads/attachment/file/456109/Desplaz_2019_web_color-comp.pdf</vt:lpwstr>
      </vt:variant>
      <vt:variant>
        <vt:lpwstr/>
      </vt:variant>
      <vt:variant>
        <vt:i4>5111860</vt:i4>
      </vt:variant>
      <vt:variant>
        <vt:i4>717</vt:i4>
      </vt:variant>
      <vt:variant>
        <vt:i4>0</vt:i4>
      </vt:variant>
      <vt:variant>
        <vt:i4>5</vt:i4>
      </vt:variant>
      <vt:variant>
        <vt:lpwstr>https://www.oas.org/es/cidh/docs/anual/2018/docs/IA2018cap.5MX-es.pdf</vt:lpwstr>
      </vt:variant>
      <vt:variant>
        <vt:lpwstr/>
      </vt:variant>
      <vt:variant>
        <vt:i4>131179</vt:i4>
      </vt:variant>
      <vt:variant>
        <vt:i4>714</vt:i4>
      </vt:variant>
      <vt:variant>
        <vt:i4>0</vt:i4>
      </vt:variant>
      <vt:variant>
        <vt:i4>5</vt:i4>
      </vt:variant>
      <vt:variant>
        <vt:lpwstr>http://www.internal-displacement.org/countries/mexico</vt:lpwstr>
      </vt:variant>
      <vt:variant>
        <vt:lpwstr/>
      </vt:variant>
      <vt:variant>
        <vt:i4>4784157</vt:i4>
      </vt:variant>
      <vt:variant>
        <vt:i4>711</vt:i4>
      </vt:variant>
      <vt:variant>
        <vt:i4>0</vt:i4>
      </vt:variant>
      <vt:variant>
        <vt:i4>5</vt:i4>
      </vt:variant>
      <vt:variant>
        <vt:lpwstr>http://www.oas.org/es/cidh/informes/pdfs/criminalizacion2016.pdf</vt:lpwstr>
      </vt:variant>
      <vt:variant>
        <vt:lpwstr/>
      </vt:variant>
      <vt:variant>
        <vt:i4>7733305</vt:i4>
      </vt:variant>
      <vt:variant>
        <vt:i4>708</vt:i4>
      </vt:variant>
      <vt:variant>
        <vt:i4>0</vt:i4>
      </vt:variant>
      <vt:variant>
        <vt:i4>5</vt:i4>
      </vt:variant>
      <vt:variant>
        <vt:lpwstr>http://www.oas.org/es/cidh/prensa/comunicados/2019/180.asp</vt:lpwstr>
      </vt:variant>
      <vt:variant>
        <vt:lpwstr/>
      </vt:variant>
      <vt:variant>
        <vt:i4>131124</vt:i4>
      </vt:variant>
      <vt:variant>
        <vt:i4>705</vt:i4>
      </vt:variant>
      <vt:variant>
        <vt:i4>0</vt:i4>
      </vt:variant>
      <vt:variant>
        <vt:i4>5</vt:i4>
      </vt:variant>
      <vt:variant>
        <vt:lpwstr>https://www.cndh.org.mx/sites/default/files/documentos/2019-07/Com_2019_288.pdf</vt:lpwstr>
      </vt:variant>
      <vt:variant>
        <vt:lpwstr/>
      </vt:variant>
      <vt:variant>
        <vt:i4>2490482</vt:i4>
      </vt:variant>
      <vt:variant>
        <vt:i4>702</vt:i4>
      </vt:variant>
      <vt:variant>
        <vt:i4>0</vt:i4>
      </vt:variant>
      <vt:variant>
        <vt:i4>5</vt:i4>
      </vt:variant>
      <vt:variant>
        <vt:lpwstr>https://www.animalpolitico.com/2019/10/migrantes-deportados-inm-marte-guardia/</vt:lpwstr>
      </vt:variant>
      <vt:variant>
        <vt:lpwstr/>
      </vt:variant>
      <vt:variant>
        <vt:i4>2883663</vt:i4>
      </vt:variant>
      <vt:variant>
        <vt:i4>699</vt:i4>
      </vt:variant>
      <vt:variant>
        <vt:i4>0</vt:i4>
      </vt:variant>
      <vt:variant>
        <vt:i4>5</vt:i4>
      </vt:variant>
      <vt:variant>
        <vt:lpwstr>https://www.gob.mx/shcp/prensa/comunicado-no-010-uif-bloquea-cuentas-presuntamente-relacionadas-con-el-trafico-ilegal-de-migrantes?idiom=es</vt:lpwstr>
      </vt:variant>
      <vt:variant>
        <vt:lpwstr/>
      </vt:variant>
      <vt:variant>
        <vt:i4>7733303</vt:i4>
      </vt:variant>
      <vt:variant>
        <vt:i4>696</vt:i4>
      </vt:variant>
      <vt:variant>
        <vt:i4>0</vt:i4>
      </vt:variant>
      <vt:variant>
        <vt:i4>5</vt:i4>
      </vt:variant>
      <vt:variant>
        <vt:lpwstr>https://www.gob.mx/cms/uploads/attachment/file/474525/ESTADISTICAS_7_julio.pdf</vt:lpwstr>
      </vt:variant>
      <vt:variant>
        <vt:lpwstr/>
      </vt:variant>
      <vt:variant>
        <vt:i4>7602215</vt:i4>
      </vt:variant>
      <vt:variant>
        <vt:i4>693</vt:i4>
      </vt:variant>
      <vt:variant>
        <vt:i4>0</vt:i4>
      </vt:variant>
      <vt:variant>
        <vt:i4>5</vt:i4>
      </vt:variant>
      <vt:variant>
        <vt:lpwstr>https://www.gob.mx/cms/uploads/attachment/file/476581/Estadisticas_Internaciones_11_julio.pdf</vt:lpwstr>
      </vt:variant>
      <vt:variant>
        <vt:lpwstr/>
      </vt:variant>
      <vt:variant>
        <vt:i4>917512</vt:i4>
      </vt:variant>
      <vt:variant>
        <vt:i4>690</vt:i4>
      </vt:variant>
      <vt:variant>
        <vt:i4>0</vt:i4>
      </vt:variant>
      <vt:variant>
        <vt:i4>5</vt:i4>
      </vt:variant>
      <vt:variant>
        <vt:lpwstr>https://www.dhs.gov/news/2019/01/24/migrant-protection-protocols</vt:lpwstr>
      </vt:variant>
      <vt:variant>
        <vt:lpwstr/>
      </vt:variant>
      <vt:variant>
        <vt:i4>524331</vt:i4>
      </vt:variant>
      <vt:variant>
        <vt:i4>687</vt:i4>
      </vt:variant>
      <vt:variant>
        <vt:i4>0</vt:i4>
      </vt:variant>
      <vt:variant>
        <vt:i4>5</vt:i4>
      </vt:variant>
      <vt:variant>
        <vt:lpwstr>https://www.oas.org/es/cidh/informes/pdfs/MovilidadHumana.pdf</vt:lpwstr>
      </vt:variant>
      <vt:variant>
        <vt:lpwstr/>
      </vt:variant>
      <vt:variant>
        <vt:i4>3670063</vt:i4>
      </vt:variant>
      <vt:variant>
        <vt:i4>684</vt:i4>
      </vt:variant>
      <vt:variant>
        <vt:i4>0</vt:i4>
      </vt:variant>
      <vt:variant>
        <vt:i4>5</vt:i4>
      </vt:variant>
      <vt:variant>
        <vt:lpwstr>https://www.bbc.com/mundo/noticias-america-latina-49616051</vt:lpwstr>
      </vt:variant>
      <vt:variant>
        <vt:lpwstr/>
      </vt:variant>
      <vt:variant>
        <vt:i4>2162717</vt:i4>
      </vt:variant>
      <vt:variant>
        <vt:i4>681</vt:i4>
      </vt:variant>
      <vt:variant>
        <vt:i4>0</vt:i4>
      </vt:variant>
      <vt:variant>
        <vt:i4>5</vt:i4>
      </vt:variant>
      <vt:variant>
        <vt:lpwstr>https://www.oas.org/es/cidh/prensa/comunicados/2019/180.asp</vt:lpwstr>
      </vt:variant>
      <vt:variant>
        <vt:lpwstr/>
      </vt:variant>
      <vt:variant>
        <vt:i4>524352</vt:i4>
      </vt:variant>
      <vt:variant>
        <vt:i4>678</vt:i4>
      </vt:variant>
      <vt:variant>
        <vt:i4>0</vt:i4>
      </vt:variant>
      <vt:variant>
        <vt:i4>5</vt:i4>
      </vt:variant>
      <vt:variant>
        <vt:lpwstr>https://news.un.org/es/audio/2019/09/1462082</vt:lpwstr>
      </vt:variant>
      <vt:variant>
        <vt:lpwstr/>
      </vt:variant>
      <vt:variant>
        <vt:i4>3604575</vt:i4>
      </vt:variant>
      <vt:variant>
        <vt:i4>675</vt:i4>
      </vt:variant>
      <vt:variant>
        <vt:i4>0</vt:i4>
      </vt:variant>
      <vt:variant>
        <vt:i4>5</vt:i4>
      </vt:variant>
      <vt:variant>
        <vt:lpwstr>http://cdhfraymatias.org/web/wp-content/uploads/2019/08/GIDMT-Comunicado-08-08-2019.pdf</vt:lpwstr>
      </vt:variant>
      <vt:variant>
        <vt:lpwstr/>
      </vt:variant>
      <vt:variant>
        <vt:i4>6291491</vt:i4>
      </vt:variant>
      <vt:variant>
        <vt:i4>672</vt:i4>
      </vt:variant>
      <vt:variant>
        <vt:i4>0</vt:i4>
      </vt:variant>
      <vt:variant>
        <vt:i4>5</vt:i4>
      </vt:variant>
      <vt:variant>
        <vt:lpwstr>https://www.cndh.org.mx/sites/default/files/documentos/2019-07/COMUNICADO 274-2019.pdf</vt:lpwstr>
      </vt:variant>
      <vt:variant>
        <vt:lpwstr/>
      </vt:variant>
      <vt:variant>
        <vt:i4>7602191</vt:i4>
      </vt:variant>
      <vt:variant>
        <vt:i4>669</vt:i4>
      </vt:variant>
      <vt:variant>
        <vt:i4>0</vt:i4>
      </vt:variant>
      <vt:variant>
        <vt:i4>5</vt:i4>
      </vt:variant>
      <vt:variant>
        <vt:lpwstr>https://www.gob.mx/segob/prensa/tarjeta-informativa-del-instituto-nacional-de-migracion</vt:lpwstr>
      </vt:variant>
      <vt:variant>
        <vt:lpwstr/>
      </vt:variant>
      <vt:variant>
        <vt:i4>7012378</vt:i4>
      </vt:variant>
      <vt:variant>
        <vt:i4>666</vt:i4>
      </vt:variant>
      <vt:variant>
        <vt:i4>0</vt:i4>
      </vt:variant>
      <vt:variant>
        <vt:i4>5</vt:i4>
      </vt:variant>
      <vt:variant>
        <vt:lpwstr>https://www.cndh.org.mx/sites/default/files/documentos/2019-10/384-2019.pdf</vt:lpwstr>
      </vt:variant>
      <vt:variant>
        <vt:lpwstr/>
      </vt:variant>
      <vt:variant>
        <vt:i4>2752535</vt:i4>
      </vt:variant>
      <vt:variant>
        <vt:i4>663</vt:i4>
      </vt:variant>
      <vt:variant>
        <vt:i4>0</vt:i4>
      </vt:variant>
      <vt:variant>
        <vt:i4>5</vt:i4>
      </vt:variant>
      <vt:variant>
        <vt:lpwstr>https://www.gob.mx/segob/prensa/identifica-inm-a-persona-de-nacionalidad-guatemalteca-que-posteriormente-sufrio-un-infarto?idiom=es</vt:lpwstr>
      </vt:variant>
      <vt:variant>
        <vt:lpwstr/>
      </vt:variant>
      <vt:variant>
        <vt:i4>6291491</vt:i4>
      </vt:variant>
      <vt:variant>
        <vt:i4>660</vt:i4>
      </vt:variant>
      <vt:variant>
        <vt:i4>0</vt:i4>
      </vt:variant>
      <vt:variant>
        <vt:i4>5</vt:i4>
      </vt:variant>
      <vt:variant>
        <vt:lpwstr>https://www.cndh.org.mx/sites/default/files/documentos/2019-07/COMUNICADO 274-2019.pdf</vt:lpwstr>
      </vt:variant>
      <vt:variant>
        <vt:lpwstr/>
      </vt:variant>
      <vt:variant>
        <vt:i4>5111831</vt:i4>
      </vt:variant>
      <vt:variant>
        <vt:i4>657</vt:i4>
      </vt:variant>
      <vt:variant>
        <vt:i4>0</vt:i4>
      </vt:variant>
      <vt:variant>
        <vt:i4>5</vt:i4>
      </vt:variant>
      <vt:variant>
        <vt:lpwstr>http://www.cmdpdh.org/publicaciones-pdf/amicus-ley-de-migracion-scjn.pdf</vt:lpwstr>
      </vt:variant>
      <vt:variant>
        <vt:lpwstr/>
      </vt:variant>
      <vt:variant>
        <vt:i4>8257621</vt:i4>
      </vt:variant>
      <vt:variant>
        <vt:i4>654</vt:i4>
      </vt:variant>
      <vt:variant>
        <vt:i4>0</vt:i4>
      </vt:variant>
      <vt:variant>
        <vt:i4>5</vt:i4>
      </vt:variant>
      <vt:variant>
        <vt:lpwstr>https://www.gob.mx/inm/prensa/garantiza-inm-condiciones-dignas-en-las-estaciones-migratorias-estancias-provisionales-y-albergues-temporales-210046?idiom=es</vt:lpwstr>
      </vt:variant>
      <vt:variant>
        <vt:lpwstr/>
      </vt:variant>
      <vt:variant>
        <vt:i4>5308469</vt:i4>
      </vt:variant>
      <vt:variant>
        <vt:i4>651</vt:i4>
      </vt:variant>
      <vt:variant>
        <vt:i4>0</vt:i4>
      </vt:variant>
      <vt:variant>
        <vt:i4>5</vt:i4>
      </vt:variant>
      <vt:variant>
        <vt:lpwstr>https://www.nytimes.com/es/2019/08/05/mexico-centros-detencion-migrantes/</vt:lpwstr>
      </vt:variant>
      <vt:variant>
        <vt:lpwstr/>
      </vt:variant>
      <vt:variant>
        <vt:i4>4915326</vt:i4>
      </vt:variant>
      <vt:variant>
        <vt:i4>648</vt:i4>
      </vt:variant>
      <vt:variant>
        <vt:i4>0</vt:i4>
      </vt:variant>
      <vt:variant>
        <vt:i4>5</vt:i4>
      </vt:variant>
      <vt:variant>
        <vt:lpwstr>https://www.diariodelsur.com.mx/local/estacion-migratoria-siglo-xxi-esta-saturada-cndh-migrantes-haitianos-africanos-cubanos-protestas-migracion-3271385.html</vt:lpwstr>
      </vt:variant>
      <vt:variant>
        <vt:lpwstr/>
      </vt:variant>
      <vt:variant>
        <vt:i4>3342461</vt:i4>
      </vt:variant>
      <vt:variant>
        <vt:i4>645</vt:i4>
      </vt:variant>
      <vt:variant>
        <vt:i4>0</vt:i4>
      </vt:variant>
      <vt:variant>
        <vt:i4>5</vt:i4>
      </vt:variant>
      <vt:variant>
        <vt:lpwstr>https://www.gob.mx/inm/documentos/recomendaciones-dirigidas-al-inm</vt:lpwstr>
      </vt:variant>
      <vt:variant>
        <vt:lpwstr/>
      </vt:variant>
      <vt:variant>
        <vt:i4>1572946</vt:i4>
      </vt:variant>
      <vt:variant>
        <vt:i4>642</vt:i4>
      </vt:variant>
      <vt:variant>
        <vt:i4>0</vt:i4>
      </vt:variant>
      <vt:variant>
        <vt:i4>5</vt:i4>
      </vt:variant>
      <vt:variant>
        <vt:lpwstr>https://www.cndh.org.mx/sites/default/files/documentos/2019-07/RECO_040_2019.pdf</vt:lpwstr>
      </vt:variant>
      <vt:variant>
        <vt:lpwstr/>
      </vt:variant>
      <vt:variant>
        <vt:i4>3997737</vt:i4>
      </vt:variant>
      <vt:variant>
        <vt:i4>639</vt:i4>
      </vt:variant>
      <vt:variant>
        <vt:i4>0</vt:i4>
      </vt:variant>
      <vt:variant>
        <vt:i4>5</vt:i4>
      </vt:variant>
      <vt:variant>
        <vt:lpwstr>https://www.cndh.org.mx/sites/default/files/documentos/2019-06/rec-2019-37.pdf</vt:lpwstr>
      </vt:variant>
      <vt:variant>
        <vt:lpwstr/>
      </vt:variant>
      <vt:variant>
        <vt:i4>5111860</vt:i4>
      </vt:variant>
      <vt:variant>
        <vt:i4>636</vt:i4>
      </vt:variant>
      <vt:variant>
        <vt:i4>0</vt:i4>
      </vt:variant>
      <vt:variant>
        <vt:i4>5</vt:i4>
      </vt:variant>
      <vt:variant>
        <vt:lpwstr>https://www.oas.org/es/cidh/docs/anual/2018/docs/IA2018cap.5MX-es.pdf</vt:lpwstr>
      </vt:variant>
      <vt:variant>
        <vt:lpwstr/>
      </vt:variant>
      <vt:variant>
        <vt:i4>524331</vt:i4>
      </vt:variant>
      <vt:variant>
        <vt:i4>633</vt:i4>
      </vt:variant>
      <vt:variant>
        <vt:i4>0</vt:i4>
      </vt:variant>
      <vt:variant>
        <vt:i4>5</vt:i4>
      </vt:variant>
      <vt:variant>
        <vt:lpwstr>https://www.oas.org/es/cidh/informes/pdfs/MovilidadHumana.pdf</vt:lpwstr>
      </vt:variant>
      <vt:variant>
        <vt:lpwstr/>
      </vt:variant>
      <vt:variant>
        <vt:i4>524331</vt:i4>
      </vt:variant>
      <vt:variant>
        <vt:i4>630</vt:i4>
      </vt:variant>
      <vt:variant>
        <vt:i4>0</vt:i4>
      </vt:variant>
      <vt:variant>
        <vt:i4>5</vt:i4>
      </vt:variant>
      <vt:variant>
        <vt:lpwstr>https://www.oas.org/es/cidh/informes/pdfs/MovilidadHumana.pdf</vt:lpwstr>
      </vt:variant>
      <vt:variant>
        <vt:lpwstr/>
      </vt:variant>
      <vt:variant>
        <vt:i4>196669</vt:i4>
      </vt:variant>
      <vt:variant>
        <vt:i4>627</vt:i4>
      </vt:variant>
      <vt:variant>
        <vt:i4>0</vt:i4>
      </vt:variant>
      <vt:variant>
        <vt:i4>5</vt:i4>
      </vt:variant>
      <vt:variant>
        <vt:lpwstr>https://www.cndh.org.mx/sites/default/files/documentos/2019-09/Com_2019_370.pdf</vt:lpwstr>
      </vt:variant>
      <vt:variant>
        <vt:lpwstr/>
      </vt:variant>
      <vt:variant>
        <vt:i4>1638460</vt:i4>
      </vt:variant>
      <vt:variant>
        <vt:i4>624</vt:i4>
      </vt:variant>
      <vt:variant>
        <vt:i4>0</vt:i4>
      </vt:variant>
      <vt:variant>
        <vt:i4>5</vt:i4>
      </vt:variant>
      <vt:variant>
        <vt:lpwstr>https://sjf.scjn.gob.mx/SJFSist/paginas/DetalleGeneralV2.aspx?ID=2020336&amp;Clase=DetalleTesisBL&amp;Semanario=0</vt:lpwstr>
      </vt:variant>
      <vt:variant>
        <vt:lpwstr/>
      </vt:variant>
      <vt:variant>
        <vt:i4>50</vt:i4>
      </vt:variant>
      <vt:variant>
        <vt:i4>621</vt:i4>
      </vt:variant>
      <vt:variant>
        <vt:i4>0</vt:i4>
      </vt:variant>
      <vt:variant>
        <vt:i4>5</vt:i4>
      </vt:variant>
      <vt:variant>
        <vt:lpwstr>https://ibero.mx/prensa/jueces-declaran-inconstitucional-el-plazo-de-30-dias-establecido-en-la-ley-para-solicitar-el-acceso-la-condicion-de-refugiado</vt:lpwstr>
      </vt:variant>
      <vt:variant>
        <vt:lpwstr/>
      </vt:variant>
      <vt:variant>
        <vt:i4>1769525</vt:i4>
      </vt:variant>
      <vt:variant>
        <vt:i4>618</vt:i4>
      </vt:variant>
      <vt:variant>
        <vt:i4>0</vt:i4>
      </vt:variant>
      <vt:variant>
        <vt:i4>5</vt:i4>
      </vt:variant>
      <vt:variant>
        <vt:lpwstr>http://www.internet2.scjn.gob.mx/red2/comunicados/noticia.asp?id=5816</vt:lpwstr>
      </vt:variant>
      <vt:variant>
        <vt:lpwstr/>
      </vt:variant>
      <vt:variant>
        <vt:i4>1638425</vt:i4>
      </vt:variant>
      <vt:variant>
        <vt:i4>615</vt:i4>
      </vt:variant>
      <vt:variant>
        <vt:i4>0</vt:i4>
      </vt:variant>
      <vt:variant>
        <vt:i4>5</vt:i4>
      </vt:variant>
      <vt:variant>
        <vt:lpwstr>https://www.scjn.gob.mx/sites/default/files/listas/documento_dos/2019-07/A.R.-275-2019-190814.pdf</vt:lpwstr>
      </vt:variant>
      <vt:variant>
        <vt:lpwstr/>
      </vt:variant>
      <vt:variant>
        <vt:i4>393292</vt:i4>
      </vt:variant>
      <vt:variant>
        <vt:i4>612</vt:i4>
      </vt:variant>
      <vt:variant>
        <vt:i4>0</vt:i4>
      </vt:variant>
      <vt:variant>
        <vt:i4>5</vt:i4>
      </vt:variant>
      <vt:variant>
        <vt:lpwstr>http://www.diputados.gob.mx/LeyesBiblio/pdf/LMigra_030719.pdf</vt:lpwstr>
      </vt:variant>
      <vt:variant>
        <vt:lpwstr/>
      </vt:variant>
      <vt:variant>
        <vt:i4>5636167</vt:i4>
      </vt:variant>
      <vt:variant>
        <vt:i4>609</vt:i4>
      </vt:variant>
      <vt:variant>
        <vt:i4>0</vt:i4>
      </vt:variant>
      <vt:variant>
        <vt:i4>5</vt:i4>
      </vt:variant>
      <vt:variant>
        <vt:lpwstr>https://www.gob.mx/cms/uploads/attachment/file/498410/REPORTE_AL_CIERRE_DE_SEPTIEMBRE_2019__2-oct_.pdf</vt:lpwstr>
      </vt:variant>
      <vt:variant>
        <vt:lpwstr/>
      </vt:variant>
      <vt:variant>
        <vt:i4>2686996</vt:i4>
      </vt:variant>
      <vt:variant>
        <vt:i4>606</vt:i4>
      </vt:variant>
      <vt:variant>
        <vt:i4>0</vt:i4>
      </vt:variant>
      <vt:variant>
        <vt:i4>5</vt:i4>
      </vt:variant>
      <vt:variant>
        <vt:lpwstr>https://www.oas.org/es/cidh/prensa/comunicados/2017/006.asp</vt:lpwstr>
      </vt:variant>
      <vt:variant>
        <vt:lpwstr/>
      </vt:variant>
      <vt:variant>
        <vt:i4>5636167</vt:i4>
      </vt:variant>
      <vt:variant>
        <vt:i4>603</vt:i4>
      </vt:variant>
      <vt:variant>
        <vt:i4>0</vt:i4>
      </vt:variant>
      <vt:variant>
        <vt:i4>5</vt:i4>
      </vt:variant>
      <vt:variant>
        <vt:lpwstr>https://www.gob.mx/cms/uploads/attachment/file/498410/REPORTE_AL_CIERRE_DE_SEPTIEMBRE_2019__2-oct_.pdf</vt:lpwstr>
      </vt:variant>
      <vt:variant>
        <vt:lpwstr/>
      </vt:variant>
      <vt:variant>
        <vt:i4>5636167</vt:i4>
      </vt:variant>
      <vt:variant>
        <vt:i4>600</vt:i4>
      </vt:variant>
      <vt:variant>
        <vt:i4>0</vt:i4>
      </vt:variant>
      <vt:variant>
        <vt:i4>5</vt:i4>
      </vt:variant>
      <vt:variant>
        <vt:lpwstr>https://www.gob.mx/cms/uploads/attachment/file/498410/REPORTE_AL_CIERRE_DE_SEPTIEMBRE_2019__2-oct_.pdf</vt:lpwstr>
      </vt:variant>
      <vt:variant>
        <vt:lpwstr/>
      </vt:variant>
      <vt:variant>
        <vt:i4>6946886</vt:i4>
      </vt:variant>
      <vt:variant>
        <vt:i4>597</vt:i4>
      </vt:variant>
      <vt:variant>
        <vt:i4>0</vt:i4>
      </vt:variant>
      <vt:variant>
        <vt:i4>5</vt:i4>
      </vt:variant>
      <vt:variant>
        <vt:lpwstr>https://www.acnur.org/5d09c37c4.pdf</vt:lpwstr>
      </vt:variant>
      <vt:variant>
        <vt:lpwstr/>
      </vt:variant>
      <vt:variant>
        <vt:i4>5111860</vt:i4>
      </vt:variant>
      <vt:variant>
        <vt:i4>594</vt:i4>
      </vt:variant>
      <vt:variant>
        <vt:i4>0</vt:i4>
      </vt:variant>
      <vt:variant>
        <vt:i4>5</vt:i4>
      </vt:variant>
      <vt:variant>
        <vt:lpwstr>https://www.oas.org/es/cidh/docs/anual/2017/docs/IA2017cap.5MX-es.pdf</vt:lpwstr>
      </vt:variant>
      <vt:variant>
        <vt:lpwstr/>
      </vt:variant>
      <vt:variant>
        <vt:i4>5111860</vt:i4>
      </vt:variant>
      <vt:variant>
        <vt:i4>591</vt:i4>
      </vt:variant>
      <vt:variant>
        <vt:i4>0</vt:i4>
      </vt:variant>
      <vt:variant>
        <vt:i4>5</vt:i4>
      </vt:variant>
      <vt:variant>
        <vt:lpwstr>https://www.oas.org/es/cidh/docs/anual/2018/docs/IA2018cap.5MX-es.pdf</vt:lpwstr>
      </vt:variant>
      <vt:variant>
        <vt:lpwstr/>
      </vt:variant>
      <vt:variant>
        <vt:i4>4718626</vt:i4>
      </vt:variant>
      <vt:variant>
        <vt:i4>588</vt:i4>
      </vt:variant>
      <vt:variant>
        <vt:i4>0</vt:i4>
      </vt:variant>
      <vt:variant>
        <vt:i4>5</vt:i4>
      </vt:variant>
      <vt:variant>
        <vt:lpwstr>https://www.mexicoevalua.org/wp-content/uploads/2019/08/000PolicyBrief_Seguridad.pdf</vt:lpwstr>
      </vt:variant>
      <vt:variant>
        <vt:lpwstr/>
      </vt:variant>
      <vt:variant>
        <vt:i4>3080242</vt:i4>
      </vt:variant>
      <vt:variant>
        <vt:i4>585</vt:i4>
      </vt:variant>
      <vt:variant>
        <vt:i4>0</vt:i4>
      </vt:variant>
      <vt:variant>
        <vt:i4>5</vt:i4>
      </vt:variant>
      <vt:variant>
        <vt:lpwstr>https://www.animalpolitico.com/2019/07/carceles-presos-poblacion-baja/</vt:lpwstr>
      </vt:variant>
      <vt:variant>
        <vt:lpwstr/>
      </vt:variant>
      <vt:variant>
        <vt:i4>5242972</vt:i4>
      </vt:variant>
      <vt:variant>
        <vt:i4>582</vt:i4>
      </vt:variant>
      <vt:variant>
        <vt:i4>0</vt:i4>
      </vt:variant>
      <vt:variant>
        <vt:i4>5</vt:i4>
      </vt:variant>
      <vt:variant>
        <vt:lpwstr>https://www.sinembargo.mx/10-05-2019/3578841</vt:lpwstr>
      </vt:variant>
      <vt:variant>
        <vt:lpwstr/>
      </vt:variant>
      <vt:variant>
        <vt:i4>5242972</vt:i4>
      </vt:variant>
      <vt:variant>
        <vt:i4>579</vt:i4>
      </vt:variant>
      <vt:variant>
        <vt:i4>0</vt:i4>
      </vt:variant>
      <vt:variant>
        <vt:i4>5</vt:i4>
      </vt:variant>
      <vt:variant>
        <vt:lpwstr>https://www.sinembargo.mx/10-05-2019/3578841</vt:lpwstr>
      </vt:variant>
      <vt:variant>
        <vt:lpwstr/>
      </vt:variant>
      <vt:variant>
        <vt:i4>3407897</vt:i4>
      </vt:variant>
      <vt:variant>
        <vt:i4>576</vt:i4>
      </vt:variant>
      <vt:variant>
        <vt:i4>0</vt:i4>
      </vt:variant>
      <vt:variant>
        <vt:i4>5</vt:i4>
      </vt:variant>
      <vt:variant>
        <vt:lpwstr>https://www.inegi.org.mx/programas/enpol/2016/default.html</vt:lpwstr>
      </vt:variant>
      <vt:variant>
        <vt:lpwstr>Documentacion</vt:lpwstr>
      </vt:variant>
      <vt:variant>
        <vt:i4>458815</vt:i4>
      </vt:variant>
      <vt:variant>
        <vt:i4>573</vt:i4>
      </vt:variant>
      <vt:variant>
        <vt:i4>0</vt:i4>
      </vt:variant>
      <vt:variant>
        <vt:i4>5</vt:i4>
      </vt:variant>
      <vt:variant>
        <vt:lpwstr>https://www.cndh.org.mx/sites/default/files/documentos/2019-03/Com_2019_091.pdf</vt:lpwstr>
      </vt:variant>
      <vt:variant>
        <vt:lpwstr/>
      </vt:variant>
      <vt:variant>
        <vt:i4>458815</vt:i4>
      </vt:variant>
      <vt:variant>
        <vt:i4>570</vt:i4>
      </vt:variant>
      <vt:variant>
        <vt:i4>0</vt:i4>
      </vt:variant>
      <vt:variant>
        <vt:i4>5</vt:i4>
      </vt:variant>
      <vt:variant>
        <vt:lpwstr>https://www.cndh.org.mx/sites/default/files/documentos/2019-03/Com_2019_091.pdf</vt:lpwstr>
      </vt:variant>
      <vt:variant>
        <vt:lpwstr/>
      </vt:variant>
      <vt:variant>
        <vt:i4>458815</vt:i4>
      </vt:variant>
      <vt:variant>
        <vt:i4>567</vt:i4>
      </vt:variant>
      <vt:variant>
        <vt:i4>0</vt:i4>
      </vt:variant>
      <vt:variant>
        <vt:i4>5</vt:i4>
      </vt:variant>
      <vt:variant>
        <vt:lpwstr>https://www.cndh.org.mx/sites/default/files/documentos/2019-03/Com_2019_091.pdf</vt:lpwstr>
      </vt:variant>
      <vt:variant>
        <vt:lpwstr/>
      </vt:variant>
      <vt:variant>
        <vt:i4>6684676</vt:i4>
      </vt:variant>
      <vt:variant>
        <vt:i4>564</vt:i4>
      </vt:variant>
      <vt:variant>
        <vt:i4>0</vt:i4>
      </vt:variant>
      <vt:variant>
        <vt:i4>5</vt:i4>
      </vt:variant>
      <vt:variant>
        <vt:lpwstr>https://mexico.quadratin.com.mx/iniciativa-merida-da-acreditacion-internacional-a-13-penales-mexicanos/</vt:lpwstr>
      </vt:variant>
      <vt:variant>
        <vt:lpwstr/>
      </vt:variant>
      <vt:variant>
        <vt:i4>2228247</vt:i4>
      </vt:variant>
      <vt:variant>
        <vt:i4>561</vt:i4>
      </vt:variant>
      <vt:variant>
        <vt:i4>0</vt:i4>
      </vt:variant>
      <vt:variant>
        <vt:i4>5</vt:i4>
      </vt:variant>
      <vt:variant>
        <vt:lpwstr>file:///C:/Users/CIDHInt23/Downloads/estudio-cooperacion-reinsercion-social.pdf</vt:lpwstr>
      </vt:variant>
      <vt:variant>
        <vt:lpwstr/>
      </vt:variant>
      <vt:variant>
        <vt:i4>2228247</vt:i4>
      </vt:variant>
      <vt:variant>
        <vt:i4>558</vt:i4>
      </vt:variant>
      <vt:variant>
        <vt:i4>0</vt:i4>
      </vt:variant>
      <vt:variant>
        <vt:i4>5</vt:i4>
      </vt:variant>
      <vt:variant>
        <vt:lpwstr>file:///C:/Users/CIDHInt23/Downloads/estudio-cooperacion-reinsercion-social.pdf</vt:lpwstr>
      </vt:variant>
      <vt:variant>
        <vt:lpwstr/>
      </vt:variant>
      <vt:variant>
        <vt:i4>2228247</vt:i4>
      </vt:variant>
      <vt:variant>
        <vt:i4>555</vt:i4>
      </vt:variant>
      <vt:variant>
        <vt:i4>0</vt:i4>
      </vt:variant>
      <vt:variant>
        <vt:i4>5</vt:i4>
      </vt:variant>
      <vt:variant>
        <vt:lpwstr>file:///C:/Users/CIDHInt23/Downloads/estudio-cooperacion-reinsercion-social.pdf</vt:lpwstr>
      </vt:variant>
      <vt:variant>
        <vt:lpwstr/>
      </vt:variant>
      <vt:variant>
        <vt:i4>7602225</vt:i4>
      </vt:variant>
      <vt:variant>
        <vt:i4>552</vt:i4>
      </vt:variant>
      <vt:variant>
        <vt:i4>0</vt:i4>
      </vt:variant>
      <vt:variant>
        <vt:i4>5</vt:i4>
      </vt:variant>
      <vt:variant>
        <vt:lpwstr>http://www.oas.org/es/cidh/prensa/comunicados/2019/003.asp</vt:lpwstr>
      </vt:variant>
      <vt:variant>
        <vt:lpwstr/>
      </vt:variant>
      <vt:variant>
        <vt:i4>2162714</vt:i4>
      </vt:variant>
      <vt:variant>
        <vt:i4>549</vt:i4>
      </vt:variant>
      <vt:variant>
        <vt:i4>0</vt:i4>
      </vt:variant>
      <vt:variant>
        <vt:i4>5</vt:i4>
      </vt:variant>
      <vt:variant>
        <vt:lpwstr>http://www.oas.org/es/cidh/ppl/informes/pdfs/Informe-PP-2013-es.pdf</vt:lpwstr>
      </vt:variant>
      <vt:variant>
        <vt:lpwstr/>
      </vt:variant>
      <vt:variant>
        <vt:i4>4063337</vt:i4>
      </vt:variant>
      <vt:variant>
        <vt:i4>546</vt:i4>
      </vt:variant>
      <vt:variant>
        <vt:i4>0</vt:i4>
      </vt:variant>
      <vt:variant>
        <vt:i4>5</vt:i4>
      </vt:variant>
      <vt:variant>
        <vt:lpwstr>http://www.oas.org/es/cidh/informes/pdfs/PrisionPreventiva.pdf</vt:lpwstr>
      </vt:variant>
      <vt:variant>
        <vt:lpwstr/>
      </vt:variant>
      <vt:variant>
        <vt:i4>2162714</vt:i4>
      </vt:variant>
      <vt:variant>
        <vt:i4>543</vt:i4>
      </vt:variant>
      <vt:variant>
        <vt:i4>0</vt:i4>
      </vt:variant>
      <vt:variant>
        <vt:i4>5</vt:i4>
      </vt:variant>
      <vt:variant>
        <vt:lpwstr>http://www.oas.org/es/cidh/ppl/informes/pdfs/Informe-PP-2013-es.pdf</vt:lpwstr>
      </vt:variant>
      <vt:variant>
        <vt:lpwstr/>
      </vt:variant>
      <vt:variant>
        <vt:i4>5308526</vt:i4>
      </vt:variant>
      <vt:variant>
        <vt:i4>540</vt:i4>
      </vt:variant>
      <vt:variant>
        <vt:i4>0</vt:i4>
      </vt:variant>
      <vt:variant>
        <vt:i4>5</vt:i4>
      </vt:variant>
      <vt:variant>
        <vt:lpwstr>http://www.oas.org/es/cidh/informes/pdfs/Honduras-es-2015.pdf</vt:lpwstr>
      </vt:variant>
      <vt:variant>
        <vt:lpwstr/>
      </vt:variant>
      <vt:variant>
        <vt:i4>2162714</vt:i4>
      </vt:variant>
      <vt:variant>
        <vt:i4>537</vt:i4>
      </vt:variant>
      <vt:variant>
        <vt:i4>0</vt:i4>
      </vt:variant>
      <vt:variant>
        <vt:i4>5</vt:i4>
      </vt:variant>
      <vt:variant>
        <vt:lpwstr>http://www.oas.org/es/cidh/ppl/informes/pdfs/Informe-PP-2013-es.pdf</vt:lpwstr>
      </vt:variant>
      <vt:variant>
        <vt:lpwstr/>
      </vt:variant>
      <vt:variant>
        <vt:i4>4063337</vt:i4>
      </vt:variant>
      <vt:variant>
        <vt:i4>534</vt:i4>
      </vt:variant>
      <vt:variant>
        <vt:i4>0</vt:i4>
      </vt:variant>
      <vt:variant>
        <vt:i4>5</vt:i4>
      </vt:variant>
      <vt:variant>
        <vt:lpwstr>http://www.oas.org/es/cidh/informes/pdfs/PrisionPreventiva.pdf</vt:lpwstr>
      </vt:variant>
      <vt:variant>
        <vt:lpwstr/>
      </vt:variant>
      <vt:variant>
        <vt:i4>5308526</vt:i4>
      </vt:variant>
      <vt:variant>
        <vt:i4>531</vt:i4>
      </vt:variant>
      <vt:variant>
        <vt:i4>0</vt:i4>
      </vt:variant>
      <vt:variant>
        <vt:i4>5</vt:i4>
      </vt:variant>
      <vt:variant>
        <vt:lpwstr>http://www.oas.org/es/cidh/informes/pdfs/Honduras-es-2015.pdf</vt:lpwstr>
      </vt:variant>
      <vt:variant>
        <vt:lpwstr/>
      </vt:variant>
      <vt:variant>
        <vt:i4>655416</vt:i4>
      </vt:variant>
      <vt:variant>
        <vt:i4>528</vt:i4>
      </vt:variant>
      <vt:variant>
        <vt:i4>0</vt:i4>
      </vt:variant>
      <vt:variant>
        <vt:i4>5</vt:i4>
      </vt:variant>
      <vt:variant>
        <vt:lpwstr>https://www.cndh.org.mx/sites/default/files/documentos/2019-02/Com_2019_056.pdf</vt:lpwstr>
      </vt:variant>
      <vt:variant>
        <vt:lpwstr/>
      </vt:variant>
      <vt:variant>
        <vt:i4>720959</vt:i4>
      </vt:variant>
      <vt:variant>
        <vt:i4>525</vt:i4>
      </vt:variant>
      <vt:variant>
        <vt:i4>0</vt:i4>
      </vt:variant>
      <vt:variant>
        <vt:i4>5</vt:i4>
      </vt:variant>
      <vt:variant>
        <vt:lpwstr>https://www.cndh.org.mx/sites/default/files/documentos/2019-02/Com_2019_041.pdf</vt:lpwstr>
      </vt:variant>
      <vt:variant>
        <vt:lpwstr/>
      </vt:variant>
      <vt:variant>
        <vt:i4>5111860</vt:i4>
      </vt:variant>
      <vt:variant>
        <vt:i4>522</vt:i4>
      </vt:variant>
      <vt:variant>
        <vt:i4>0</vt:i4>
      </vt:variant>
      <vt:variant>
        <vt:i4>5</vt:i4>
      </vt:variant>
      <vt:variant>
        <vt:lpwstr>https://www.oas.org/es/cidh/docs/anual/2018/docs/IA2018cap.5MX-es.pdf</vt:lpwstr>
      </vt:variant>
      <vt:variant>
        <vt:lpwstr/>
      </vt:variant>
      <vt:variant>
        <vt:i4>4653135</vt:i4>
      </vt:variant>
      <vt:variant>
        <vt:i4>519</vt:i4>
      </vt:variant>
      <vt:variant>
        <vt:i4>0</vt:i4>
      </vt:variant>
      <vt:variant>
        <vt:i4>5</vt:i4>
      </vt:variant>
      <vt:variant>
        <vt:lpwstr>https://www.dof.gob.mx/nota_detalle.php?codigo=5557700&amp;fecha=12/04/2019</vt:lpwstr>
      </vt:variant>
      <vt:variant>
        <vt:lpwstr/>
      </vt:variant>
      <vt:variant>
        <vt:i4>7864414</vt:i4>
      </vt:variant>
      <vt:variant>
        <vt:i4>516</vt:i4>
      </vt:variant>
      <vt:variant>
        <vt:i4>0</vt:i4>
      </vt:variant>
      <vt:variant>
        <vt:i4>5</vt:i4>
      </vt:variant>
      <vt:variant>
        <vt:lpwstr>https://www.hchr.org.mx/index.php?option=com_k2&amp;view=item&amp;id=1234:la-onu-dh-lamenta-extension-de-delitos-a-los-que-se-aplica-la-prision-preventiva-oficiosa&amp;Itemid=265</vt:lpwstr>
      </vt:variant>
      <vt:variant>
        <vt:lpwstr/>
      </vt:variant>
      <vt:variant>
        <vt:i4>196662</vt:i4>
      </vt:variant>
      <vt:variant>
        <vt:i4>513</vt:i4>
      </vt:variant>
      <vt:variant>
        <vt:i4>0</vt:i4>
      </vt:variant>
      <vt:variant>
        <vt:i4>5</vt:i4>
      </vt:variant>
      <vt:variant>
        <vt:lpwstr>https://www.cndh.org.mx/sites/default/files/documentos/2019-01/Doc_2018_069.pdf</vt:lpwstr>
      </vt:variant>
      <vt:variant>
        <vt:lpwstr/>
      </vt:variant>
      <vt:variant>
        <vt:i4>655416</vt:i4>
      </vt:variant>
      <vt:variant>
        <vt:i4>510</vt:i4>
      </vt:variant>
      <vt:variant>
        <vt:i4>0</vt:i4>
      </vt:variant>
      <vt:variant>
        <vt:i4>5</vt:i4>
      </vt:variant>
      <vt:variant>
        <vt:lpwstr>https://www.cndh.org.mx/sites/default/files/documentos/2019-02/Com_2019_056.pdf</vt:lpwstr>
      </vt:variant>
      <vt:variant>
        <vt:lpwstr/>
      </vt:variant>
      <vt:variant>
        <vt:i4>720959</vt:i4>
      </vt:variant>
      <vt:variant>
        <vt:i4>507</vt:i4>
      </vt:variant>
      <vt:variant>
        <vt:i4>0</vt:i4>
      </vt:variant>
      <vt:variant>
        <vt:i4>5</vt:i4>
      </vt:variant>
      <vt:variant>
        <vt:lpwstr>https://www.cndh.org.mx/sites/default/files/documentos/2019-02/Com_2019_041.pdf</vt:lpwstr>
      </vt:variant>
      <vt:variant>
        <vt:lpwstr/>
      </vt:variant>
      <vt:variant>
        <vt:i4>196662</vt:i4>
      </vt:variant>
      <vt:variant>
        <vt:i4>504</vt:i4>
      </vt:variant>
      <vt:variant>
        <vt:i4>0</vt:i4>
      </vt:variant>
      <vt:variant>
        <vt:i4>5</vt:i4>
      </vt:variant>
      <vt:variant>
        <vt:lpwstr>https://www.cndh.org.mx/sites/default/files/documentos/2019-01/Doc_2018_069.pdf</vt:lpwstr>
      </vt:variant>
      <vt:variant>
        <vt:lpwstr/>
      </vt:variant>
      <vt:variant>
        <vt:i4>7602225</vt:i4>
      </vt:variant>
      <vt:variant>
        <vt:i4>501</vt:i4>
      </vt:variant>
      <vt:variant>
        <vt:i4>0</vt:i4>
      </vt:variant>
      <vt:variant>
        <vt:i4>5</vt:i4>
      </vt:variant>
      <vt:variant>
        <vt:lpwstr>http://www.oas.org/es/cidh/prensa/comunicados/2019/003.asp</vt:lpwstr>
      </vt:variant>
      <vt:variant>
        <vt:lpwstr/>
      </vt:variant>
      <vt:variant>
        <vt:i4>5505132</vt:i4>
      </vt:variant>
      <vt:variant>
        <vt:i4>498</vt:i4>
      </vt:variant>
      <vt:variant>
        <vt:i4>0</vt:i4>
      </vt:variant>
      <vt:variant>
        <vt:i4>5</vt:i4>
      </vt:variant>
      <vt:variant>
        <vt:lpwstr>http://corteidh.or.cr/docs/casos/articulos/seriec_245_esp.pdf</vt:lpwstr>
      </vt:variant>
      <vt:variant>
        <vt:lpwstr/>
      </vt:variant>
      <vt:variant>
        <vt:i4>5046289</vt:i4>
      </vt:variant>
      <vt:variant>
        <vt:i4>495</vt:i4>
      </vt:variant>
      <vt:variant>
        <vt:i4>0</vt:i4>
      </vt:variant>
      <vt:variant>
        <vt:i4>5</vt:i4>
      </vt:variant>
      <vt:variant>
        <vt:lpwstr>http://www.oas.org/es/cidh/informes/pdfs/Panamazonia2019.pdf</vt:lpwstr>
      </vt:variant>
      <vt:variant>
        <vt:lpwstr/>
      </vt:variant>
      <vt:variant>
        <vt:i4>5898257</vt:i4>
      </vt:variant>
      <vt:variant>
        <vt:i4>492</vt:i4>
      </vt:variant>
      <vt:variant>
        <vt:i4>0</vt:i4>
      </vt:variant>
      <vt:variant>
        <vt:i4>5</vt:i4>
      </vt:variant>
      <vt:variant>
        <vt:lpwstr>https://www.20minutos.com.mx/noticia/498345/0/publican-lineamientos-del-programa-de-derechos-indigenas-2019/</vt:lpwstr>
      </vt:variant>
      <vt:variant>
        <vt:lpwstr/>
      </vt:variant>
      <vt:variant>
        <vt:i4>1572937</vt:i4>
      </vt:variant>
      <vt:variant>
        <vt:i4>489</vt:i4>
      </vt:variant>
      <vt:variant>
        <vt:i4>0</vt:i4>
      </vt:variant>
      <vt:variant>
        <vt:i4>5</vt:i4>
      </vt:variant>
      <vt:variant>
        <vt:lpwstr>https://dof.gob.mx/nota_detalle.php?codigo=5556040&amp;fecha=01/04/2019</vt:lpwstr>
      </vt:variant>
      <vt:variant>
        <vt:lpwstr/>
      </vt:variant>
      <vt:variant>
        <vt:i4>5832761</vt:i4>
      </vt:variant>
      <vt:variant>
        <vt:i4>486</vt:i4>
      </vt:variant>
      <vt:variant>
        <vt:i4>0</vt:i4>
      </vt:variant>
      <vt:variant>
        <vt:i4>5</vt:i4>
      </vt:variant>
      <vt:variant>
        <vt:lpwstr>https://www.elmanana.com/se-amparan-indigenas-contra-un-instituto-amparo-comunidad-indigena-afectacion-de-sus-territorios/4740990</vt:lpwstr>
      </vt:variant>
      <vt:variant>
        <vt:lpwstr/>
      </vt:variant>
      <vt:variant>
        <vt:i4>7929978</vt:i4>
      </vt:variant>
      <vt:variant>
        <vt:i4>483</vt:i4>
      </vt:variant>
      <vt:variant>
        <vt:i4>0</vt:i4>
      </vt:variant>
      <vt:variant>
        <vt:i4>5</vt:i4>
      </vt:variant>
      <vt:variant>
        <vt:lpwstr>https://www.jornada.com.mx/ultimas/politica/2019/01/28/procede-amparo-contra-creacion-del-instituto-de-pueblos-indigenas-8939.html</vt:lpwstr>
      </vt:variant>
      <vt:variant>
        <vt:lpwstr/>
      </vt:variant>
      <vt:variant>
        <vt:i4>5832725</vt:i4>
      </vt:variant>
      <vt:variant>
        <vt:i4>480</vt:i4>
      </vt:variant>
      <vt:variant>
        <vt:i4>0</vt:i4>
      </vt:variant>
      <vt:variant>
        <vt:i4>5</vt:i4>
      </vt:variant>
      <vt:variant>
        <vt:lpwstr>https://www.elmanana.com/proceso-de-licitacion-del-tren-maya-es-valido-aun-sin-consulta-amlo-licitaciones-proyecto-tren-maya/4812487</vt:lpwstr>
      </vt:variant>
      <vt:variant>
        <vt:lpwstr/>
      </vt:variant>
      <vt:variant>
        <vt:i4>5373977</vt:i4>
      </vt:variant>
      <vt:variant>
        <vt:i4>477</vt:i4>
      </vt:variant>
      <vt:variant>
        <vt:i4>0</vt:i4>
      </vt:variant>
      <vt:variant>
        <vt:i4>5</vt:i4>
      </vt:variant>
      <vt:variant>
        <vt:lpwstr>https://www.milenio.com/politica/amlo-valido-licitar-tren-maya-consultar-comunidades</vt:lpwstr>
      </vt:variant>
      <vt:variant>
        <vt:lpwstr/>
      </vt:variant>
      <vt:variant>
        <vt:i4>6815808</vt:i4>
      </vt:variant>
      <vt:variant>
        <vt:i4>474</vt:i4>
      </vt:variant>
      <vt:variant>
        <vt:i4>0</vt:i4>
      </vt:variant>
      <vt:variant>
        <vt:i4>5</vt:i4>
      </vt:variant>
      <vt:variant>
        <vt:lpwstr>https://www.elsoldemexico.com.mx/finanzas/amlo-defiende-licitacion-del-tren-maya-sin-consultar-a-pueblos-indigenas-3445984.html</vt:lpwstr>
      </vt:variant>
      <vt:variant>
        <vt:lpwstr/>
      </vt:variant>
      <vt:variant>
        <vt:i4>3211300</vt:i4>
      </vt:variant>
      <vt:variant>
        <vt:i4>471</vt:i4>
      </vt:variant>
      <vt:variant>
        <vt:i4>0</vt:i4>
      </vt:variant>
      <vt:variant>
        <vt:i4>5</vt:i4>
      </vt:variant>
      <vt:variant>
        <vt:lpwstr>https://www.bbc.com/mundo/noticias-america-latina-45254080</vt:lpwstr>
      </vt:variant>
      <vt:variant>
        <vt:lpwstr/>
      </vt:variant>
      <vt:variant>
        <vt:i4>6356997</vt:i4>
      </vt:variant>
      <vt:variant>
        <vt:i4>468</vt:i4>
      </vt:variant>
      <vt:variant>
        <vt:i4>0</vt:i4>
      </vt:variant>
      <vt:variant>
        <vt:i4>5</vt:i4>
      </vt:variant>
      <vt:variant>
        <vt:lpwstr>https://desinformemonos.org/organizaciones-indigenas-inician-jornada-de-protesta-por-los-graves-atropellos-del-estado-contra-los-pueblos-en-oaxaca/</vt:lpwstr>
      </vt:variant>
      <vt:variant>
        <vt:lpwstr/>
      </vt:variant>
      <vt:variant>
        <vt:i4>2621540</vt:i4>
      </vt:variant>
      <vt:variant>
        <vt:i4>465</vt:i4>
      </vt:variant>
      <vt:variant>
        <vt:i4>0</vt:i4>
      </vt:variant>
      <vt:variant>
        <vt:i4>5</vt:i4>
      </vt:variant>
      <vt:variant>
        <vt:lpwstr>https://kaosenlared.net/mexico-organizaciones-indigenas-inician-jornada-de-protesta-por-los-graves-atropellos-del-estado-contra-los-pueblos-en-oaxaca/</vt:lpwstr>
      </vt:variant>
      <vt:variant>
        <vt:lpwstr/>
      </vt:variant>
      <vt:variant>
        <vt:i4>5308470</vt:i4>
      </vt:variant>
      <vt:variant>
        <vt:i4>462</vt:i4>
      </vt:variant>
      <vt:variant>
        <vt:i4>0</vt:i4>
      </vt:variant>
      <vt:variant>
        <vt:i4>5</vt:i4>
      </vt:variant>
      <vt:variant>
        <vt:lpwstr>https://www.lajornadamaya.mx/2019-03-30/Pide-CNDH-proteger-a-pueblos-indigenas-por-proyecto-del-Istmo</vt:lpwstr>
      </vt:variant>
      <vt:variant>
        <vt:lpwstr/>
      </vt:variant>
      <vt:variant>
        <vt:i4>262192</vt:i4>
      </vt:variant>
      <vt:variant>
        <vt:i4>459</vt:i4>
      </vt:variant>
      <vt:variant>
        <vt:i4>0</vt:i4>
      </vt:variant>
      <vt:variant>
        <vt:i4>5</vt:i4>
      </vt:variant>
      <vt:variant>
        <vt:lpwstr>https://www.eluniversal.com.mx/nacion/sociedad/megaproyectos-ponen-en-riesgo-existencia-de-pueblos-indigenas-cndh</vt:lpwstr>
      </vt:variant>
      <vt:variant>
        <vt:lpwstr/>
      </vt:variant>
      <vt:variant>
        <vt:i4>6946912</vt:i4>
      </vt:variant>
      <vt:variant>
        <vt:i4>456</vt:i4>
      </vt:variant>
      <vt:variant>
        <vt:i4>0</vt:i4>
      </vt:variant>
      <vt:variant>
        <vt:i4>5</vt:i4>
      </vt:variant>
      <vt:variant>
        <vt:lpwstr>https://www.proceso.com.mx/577307/urgen-en-oaxaca-frenar-los-despojos-que-dan-paso-a-megaproyectos</vt:lpwstr>
      </vt:variant>
      <vt:variant>
        <vt:lpwstr/>
      </vt:variant>
      <vt:variant>
        <vt:i4>3276854</vt:i4>
      </vt:variant>
      <vt:variant>
        <vt:i4>453</vt:i4>
      </vt:variant>
      <vt:variant>
        <vt:i4>0</vt:i4>
      </vt:variant>
      <vt:variant>
        <vt:i4>5</vt:i4>
      </vt:variant>
      <vt:variant>
        <vt:lpwstr>https://elpais.com/internacional/2019/05/09/mexico/1557364435_294505.html</vt:lpwstr>
      </vt:variant>
      <vt:variant>
        <vt:lpwstr/>
      </vt:variant>
      <vt:variant>
        <vt:i4>4063305</vt:i4>
      </vt:variant>
      <vt:variant>
        <vt:i4>450</vt:i4>
      </vt:variant>
      <vt:variant>
        <vt:i4>0</vt:i4>
      </vt:variant>
      <vt:variant>
        <vt:i4>5</vt:i4>
      </vt:variant>
      <vt:variant>
        <vt:lpwstr>https://www.sdpnoticias.com/nacional/megaproyectos-profundizan-denuncian-despojo-istmo.html</vt:lpwstr>
      </vt:variant>
      <vt:variant>
        <vt:lpwstr/>
      </vt:variant>
      <vt:variant>
        <vt:i4>4718594</vt:i4>
      </vt:variant>
      <vt:variant>
        <vt:i4>447</vt:i4>
      </vt:variant>
      <vt:variant>
        <vt:i4>0</vt:i4>
      </vt:variant>
      <vt:variant>
        <vt:i4>5</vt:i4>
      </vt:variant>
      <vt:variant>
        <vt:lpwstr>https://www.lajornadamaya.mx/2019-03-30/Organizaciones-indigenas-rechazan-Consulta-Istmo</vt:lpwstr>
      </vt:variant>
      <vt:variant>
        <vt:lpwstr/>
      </vt:variant>
      <vt:variant>
        <vt:i4>524399</vt:i4>
      </vt:variant>
      <vt:variant>
        <vt:i4>444</vt:i4>
      </vt:variant>
      <vt:variant>
        <vt:i4>0</vt:i4>
      </vt:variant>
      <vt:variant>
        <vt:i4>5</vt:i4>
      </vt:variant>
      <vt:variant>
        <vt:lpwstr>https://www.lavanguardia.com/politica/20190328/461306591374/anuncian-consulta-indigena-sobre-plan-de-desarrollo-del-istmo-de-tehuantepec.html</vt:lpwstr>
      </vt:variant>
      <vt:variant>
        <vt:lpwstr/>
      </vt:variant>
      <vt:variant>
        <vt:i4>1441807</vt:i4>
      </vt:variant>
      <vt:variant>
        <vt:i4>441</vt:i4>
      </vt:variant>
      <vt:variant>
        <vt:i4>0</vt:i4>
      </vt:variant>
      <vt:variant>
        <vt:i4>5</vt:i4>
      </vt:variant>
      <vt:variant>
        <vt:lpwstr>https://www.proceso.com.mx/580868/comunidad-nahua-gana-amparo-contra-instalacion-de-minera-canadiense-en-ixtacamaxtitlan</vt:lpwstr>
      </vt:variant>
      <vt:variant>
        <vt:lpwstr/>
      </vt:variant>
      <vt:variant>
        <vt:i4>4325399</vt:i4>
      </vt:variant>
      <vt:variant>
        <vt:i4>438</vt:i4>
      </vt:variant>
      <vt:variant>
        <vt:i4>0</vt:i4>
      </vt:variant>
      <vt:variant>
        <vt:i4>5</vt:i4>
      </vt:variant>
      <vt:variant>
        <vt:lpwstr>https://www.animalpolitico.com/2019/03/comunidad-indigena-puebla-ley-minera/</vt:lpwstr>
      </vt:variant>
      <vt:variant>
        <vt:lpwstr/>
      </vt:variant>
      <vt:variant>
        <vt:i4>8192051</vt:i4>
      </vt:variant>
      <vt:variant>
        <vt:i4>435</vt:i4>
      </vt:variant>
      <vt:variant>
        <vt:i4>0</vt:i4>
      </vt:variant>
      <vt:variant>
        <vt:i4>5</vt:i4>
      </vt:variant>
      <vt:variant>
        <vt:lpwstr>http://www.oas.org/es/cidh/prensa/comunicados/2019/228.asp</vt:lpwstr>
      </vt:variant>
      <vt:variant>
        <vt:lpwstr/>
      </vt:variant>
      <vt:variant>
        <vt:i4>262186</vt:i4>
      </vt:variant>
      <vt:variant>
        <vt:i4>432</vt:i4>
      </vt:variant>
      <vt:variant>
        <vt:i4>0</vt:i4>
      </vt:variant>
      <vt:variant>
        <vt:i4>5</vt:i4>
      </vt:variant>
      <vt:variant>
        <vt:lpwstr>https://www.filac.org/wp/comunicacion/actualidad-indigena/mas-de-8-mil-indigenas-en-la-carcel-por-falta-de-traductores-en-mexico/</vt:lpwstr>
      </vt:variant>
      <vt:variant>
        <vt:lpwstr/>
      </vt:variant>
      <vt:variant>
        <vt:i4>393248</vt:i4>
      </vt:variant>
      <vt:variant>
        <vt:i4>429</vt:i4>
      </vt:variant>
      <vt:variant>
        <vt:i4>0</vt:i4>
      </vt:variant>
      <vt:variant>
        <vt:i4>5</vt:i4>
      </vt:variant>
      <vt:variant>
        <vt:lpwstr>https://www.eluniversal.com.mx/cultura/falta-de-traductores-obstaculo-para-rescatar-lenguas-indigenas</vt:lpwstr>
      </vt:variant>
      <vt:variant>
        <vt:lpwstr/>
      </vt:variant>
      <vt:variant>
        <vt:i4>3801146</vt:i4>
      </vt:variant>
      <vt:variant>
        <vt:i4>426</vt:i4>
      </vt:variant>
      <vt:variant>
        <vt:i4>0</vt:i4>
      </vt:variant>
      <vt:variant>
        <vt:i4>5</vt:i4>
      </vt:variant>
      <vt:variant>
        <vt:lpwstr>https://www.gob.mx/cultura/prensa/mexico-es-uno-de-los-paises-con-mayor-diversidad-linguistica-en-el-mundo</vt:lpwstr>
      </vt:variant>
      <vt:variant>
        <vt:lpwstr/>
      </vt:variant>
      <vt:variant>
        <vt:i4>3801146</vt:i4>
      </vt:variant>
      <vt:variant>
        <vt:i4>423</vt:i4>
      </vt:variant>
      <vt:variant>
        <vt:i4>0</vt:i4>
      </vt:variant>
      <vt:variant>
        <vt:i4>5</vt:i4>
      </vt:variant>
      <vt:variant>
        <vt:lpwstr>https://www.gob.mx/cultura/prensa/mexico-es-uno-de-los-paises-con-mayor-diversidad-linguistica-en-el-mundo</vt:lpwstr>
      </vt:variant>
      <vt:variant>
        <vt:lpwstr/>
      </vt:variant>
      <vt:variant>
        <vt:i4>6225950</vt:i4>
      </vt:variant>
      <vt:variant>
        <vt:i4>420</vt:i4>
      </vt:variant>
      <vt:variant>
        <vt:i4>0</vt:i4>
      </vt:variant>
      <vt:variant>
        <vt:i4>5</vt:i4>
      </vt:variant>
      <vt:variant>
        <vt:lpwstr>https://www.inegi.org.mx/programas/intercensal/2015/default.html</vt:lpwstr>
      </vt:variant>
      <vt:variant>
        <vt:lpwstr/>
      </vt:variant>
      <vt:variant>
        <vt:i4>3801146</vt:i4>
      </vt:variant>
      <vt:variant>
        <vt:i4>417</vt:i4>
      </vt:variant>
      <vt:variant>
        <vt:i4>0</vt:i4>
      </vt:variant>
      <vt:variant>
        <vt:i4>5</vt:i4>
      </vt:variant>
      <vt:variant>
        <vt:lpwstr>https://www.gob.mx/cultura/prensa/mexico-es-uno-de-los-paises-con-mayor-diversidad-linguistica-en-el-mundo</vt:lpwstr>
      </vt:variant>
      <vt:variant>
        <vt:lpwstr/>
      </vt:variant>
      <vt:variant>
        <vt:i4>852034</vt:i4>
      </vt:variant>
      <vt:variant>
        <vt:i4>414</vt:i4>
      </vt:variant>
      <vt:variant>
        <vt:i4>0</vt:i4>
      </vt:variant>
      <vt:variant>
        <vt:i4>5</vt:i4>
      </vt:variant>
      <vt:variant>
        <vt:lpwstr>https://conexionmigrante.com/2019-/06-/05/gobierno-mexicano-pacta-con-pueblos-indigenas-para-pacificar-altos-de-chiapas/</vt:lpwstr>
      </vt:variant>
      <vt:variant>
        <vt:lpwstr/>
      </vt:variant>
      <vt:variant>
        <vt:i4>2883661</vt:i4>
      </vt:variant>
      <vt:variant>
        <vt:i4>411</vt:i4>
      </vt:variant>
      <vt:variant>
        <vt:i4>0</vt:i4>
      </vt:variant>
      <vt:variant>
        <vt:i4>5</vt:i4>
      </vt:variant>
      <vt:variant>
        <vt:lpwstr>http://udgtv.com/noticias/gobierno-mexicano-acta-pueblos-indigenas-pacificar-altos-chiapas/</vt:lpwstr>
      </vt:variant>
      <vt:variant>
        <vt:lpwstr/>
      </vt:variant>
      <vt:variant>
        <vt:i4>7864383</vt:i4>
      </vt:variant>
      <vt:variant>
        <vt:i4>408</vt:i4>
      </vt:variant>
      <vt:variant>
        <vt:i4>0</vt:i4>
      </vt:variant>
      <vt:variant>
        <vt:i4>5</vt:i4>
      </vt:variant>
      <vt:variant>
        <vt:lpwstr>http://www.oas.org/es/cidh/decisiones/pdf/2015/MC106-15-ES.pdf</vt:lpwstr>
      </vt:variant>
      <vt:variant>
        <vt:lpwstr/>
      </vt:variant>
      <vt:variant>
        <vt:i4>196613</vt:i4>
      </vt:variant>
      <vt:variant>
        <vt:i4>405</vt:i4>
      </vt:variant>
      <vt:variant>
        <vt:i4>0</vt:i4>
      </vt:variant>
      <vt:variant>
        <vt:i4>5</vt:i4>
      </vt:variant>
      <vt:variant>
        <vt:lpwstr>https://mundo.sputniknews.com/cultura/201902221085638210-pueblos-indigenas-ciudad-de-mexico-nahuatl/</vt:lpwstr>
      </vt:variant>
      <vt:variant>
        <vt:lpwstr/>
      </vt:variant>
      <vt:variant>
        <vt:i4>2621532</vt:i4>
      </vt:variant>
      <vt:variant>
        <vt:i4>402</vt:i4>
      </vt:variant>
      <vt:variant>
        <vt:i4>0</vt:i4>
      </vt:variant>
      <vt:variant>
        <vt:i4>5</vt:i4>
      </vt:variant>
      <vt:variant>
        <vt:lpwstr>https://www.contralinea.com.mx/archivo-revista/2019/10/09/carteles-punta-de-lanza-contra-los-pueblos-indigenas-del-cni/</vt:lpwstr>
      </vt:variant>
      <vt:variant>
        <vt:lpwstr/>
      </vt:variant>
      <vt:variant>
        <vt:i4>2621532</vt:i4>
      </vt:variant>
      <vt:variant>
        <vt:i4>399</vt:i4>
      </vt:variant>
      <vt:variant>
        <vt:i4>0</vt:i4>
      </vt:variant>
      <vt:variant>
        <vt:i4>5</vt:i4>
      </vt:variant>
      <vt:variant>
        <vt:lpwstr>https://www.contralinea.com.mx/archivo-revista/2019/10/09/carteles-punta-de-lanza-contra-los-pueblos-indigenas-del-cni/</vt:lpwstr>
      </vt:variant>
      <vt:variant>
        <vt:lpwstr/>
      </vt:variant>
      <vt:variant>
        <vt:i4>3932190</vt:i4>
      </vt:variant>
      <vt:variant>
        <vt:i4>396</vt:i4>
      </vt:variant>
      <vt:variant>
        <vt:i4>0</vt:i4>
      </vt:variant>
      <vt:variant>
        <vt:i4>5</vt:i4>
      </vt:variant>
      <vt:variant>
        <vt:lpwstr>http://www.cidh.org/medidas/2008.sp.htm</vt:lpwstr>
      </vt:variant>
      <vt:variant>
        <vt:lpwstr/>
      </vt:variant>
      <vt:variant>
        <vt:i4>3473533</vt:i4>
      </vt:variant>
      <vt:variant>
        <vt:i4>393</vt:i4>
      </vt:variant>
      <vt:variant>
        <vt:i4>0</vt:i4>
      </vt:variant>
      <vt:variant>
        <vt:i4>5</vt:i4>
      </vt:variant>
      <vt:variant>
        <vt:lpwstr>https://www.voltairenet.org/article206494.html</vt:lpwstr>
      </vt:variant>
      <vt:variant>
        <vt:lpwstr/>
      </vt:variant>
      <vt:variant>
        <vt:i4>6291484</vt:i4>
      </vt:variant>
      <vt:variant>
        <vt:i4>390</vt:i4>
      </vt:variant>
      <vt:variant>
        <vt:i4>0</vt:i4>
      </vt:variant>
      <vt:variant>
        <vt:i4>5</vt:i4>
      </vt:variant>
      <vt:variant>
        <vt:lpwstr>https://www.contralinea.com.mx/archivo-revista/2019/04/30/estado-mexicano-incumple-medidas-cautelares-a-favor-de-indigenas-de-oaxaca-dictadas-por-cidh/</vt:lpwstr>
      </vt:variant>
      <vt:variant>
        <vt:lpwstr/>
      </vt:variant>
      <vt:variant>
        <vt:i4>6422593</vt:i4>
      </vt:variant>
      <vt:variant>
        <vt:i4>387</vt:i4>
      </vt:variant>
      <vt:variant>
        <vt:i4>0</vt:i4>
      </vt:variant>
      <vt:variant>
        <vt:i4>5</vt:i4>
      </vt:variant>
      <vt:variant>
        <vt:lpwstr>https://www.jornada.com.mx/2019/04/14/sociedad/026n1soc</vt:lpwstr>
      </vt:variant>
      <vt:variant>
        <vt:lpwstr/>
      </vt:variant>
      <vt:variant>
        <vt:i4>4587550</vt:i4>
      </vt:variant>
      <vt:variant>
        <vt:i4>384</vt:i4>
      </vt:variant>
      <vt:variant>
        <vt:i4>0</vt:i4>
      </vt:variant>
      <vt:variant>
        <vt:i4>5</vt:i4>
      </vt:variant>
      <vt:variant>
        <vt:lpwstr>https://www.gob.mx/cms/uploads/attachment/file/505543/opinna_reporte_Que__buen_plan.pdf</vt:lpwstr>
      </vt:variant>
      <vt:variant>
        <vt:lpwstr/>
      </vt:variant>
      <vt:variant>
        <vt:i4>2359369</vt:i4>
      </vt:variant>
      <vt:variant>
        <vt:i4>381</vt:i4>
      </vt:variant>
      <vt:variant>
        <vt:i4>0</vt:i4>
      </vt:variant>
      <vt:variant>
        <vt:i4>5</vt:i4>
      </vt:variant>
      <vt:variant>
        <vt:lpwstr>https://www.infobae.com/america/mexico/2019/08/16/el-policia-acusado-de-violar-a-una-menor-de-edad-en-un-museo-fue-vinculado-a-proceso/</vt:lpwstr>
      </vt:variant>
      <vt:variant>
        <vt:lpwstr/>
      </vt:variant>
      <vt:variant>
        <vt:i4>6946839</vt:i4>
      </vt:variant>
      <vt:variant>
        <vt:i4>378</vt:i4>
      </vt:variant>
      <vt:variant>
        <vt:i4>0</vt:i4>
      </vt:variant>
      <vt:variant>
        <vt:i4>5</vt:i4>
      </vt:variant>
      <vt:variant>
        <vt:lpwstr>file:///C:/Users/fdelima/AppData/Local/Microsoft/Windows/INetCache/Content.Outlook/7AGJQYOH/Coreando la consigna de %22no me cuidan, me violan%22, cientos de personas salieron a las calles de Ciudad de M%C3%A9xico desde el pasado fin de semana para protestar contra la polic%C3%ADa y las autoridades de la capital mexicana.</vt:lpwstr>
      </vt:variant>
      <vt:variant>
        <vt:lpwstr/>
      </vt:variant>
      <vt:variant>
        <vt:i4>3342396</vt:i4>
      </vt:variant>
      <vt:variant>
        <vt:i4>375</vt:i4>
      </vt:variant>
      <vt:variant>
        <vt:i4>0</vt:i4>
      </vt:variant>
      <vt:variant>
        <vt:i4>5</vt:i4>
      </vt:variant>
      <vt:variant>
        <vt:lpwstr>https://elpais.com/internacional/2019/08/13/mexico/1565652861_953256.html</vt:lpwstr>
      </vt:variant>
      <vt:variant>
        <vt:lpwstr/>
      </vt:variant>
      <vt:variant>
        <vt:i4>4194427</vt:i4>
      </vt:variant>
      <vt:variant>
        <vt:i4>372</vt:i4>
      </vt:variant>
      <vt:variant>
        <vt:i4>0</vt:i4>
      </vt:variant>
      <vt:variant>
        <vt:i4>5</vt:i4>
      </vt:variant>
      <vt:variant>
        <vt:lpwstr>https://www.france24.com/es/20190817-protestas-mexico-justicia-adolescentes-violadas-policias</vt:lpwstr>
      </vt:variant>
      <vt:variant>
        <vt:lpwstr/>
      </vt:variant>
      <vt:variant>
        <vt:i4>3145787</vt:i4>
      </vt:variant>
      <vt:variant>
        <vt:i4>369</vt:i4>
      </vt:variant>
      <vt:variant>
        <vt:i4>0</vt:i4>
      </vt:variant>
      <vt:variant>
        <vt:i4>5</vt:i4>
      </vt:variant>
      <vt:variant>
        <vt:lpwstr>https://www.eltiempo.com/mundo/latinoamerica/protestas-en-mexico-por-violaciones-de-policias-a-dos-adolescentes-402220</vt:lpwstr>
      </vt:variant>
      <vt:variant>
        <vt:lpwstr/>
      </vt:variant>
      <vt:variant>
        <vt:i4>2621527</vt:i4>
      </vt:variant>
      <vt:variant>
        <vt:i4>366</vt:i4>
      </vt:variant>
      <vt:variant>
        <vt:i4>0</vt:i4>
      </vt:variant>
      <vt:variant>
        <vt:i4>5</vt:i4>
      </vt:variant>
      <vt:variant>
        <vt:lpwstr>https://www.cndh.org.mx/documento/informe-especial-sobre-la-situacion-de-los-derechos-de-ninas-ninos-y-adolescentes</vt:lpwstr>
      </vt:variant>
      <vt:variant>
        <vt:lpwstr/>
      </vt:variant>
      <vt:variant>
        <vt:i4>2621527</vt:i4>
      </vt:variant>
      <vt:variant>
        <vt:i4>363</vt:i4>
      </vt:variant>
      <vt:variant>
        <vt:i4>0</vt:i4>
      </vt:variant>
      <vt:variant>
        <vt:i4>5</vt:i4>
      </vt:variant>
      <vt:variant>
        <vt:lpwstr>https://www.cndh.org.mx/documento/informe-especial-sobre-la-situacion-de-los-derechos-de-ninas-ninos-y-adolescentes</vt:lpwstr>
      </vt:variant>
      <vt:variant>
        <vt:lpwstr/>
      </vt:variant>
      <vt:variant>
        <vt:i4>7602217</vt:i4>
      </vt:variant>
      <vt:variant>
        <vt:i4>360</vt:i4>
      </vt:variant>
      <vt:variant>
        <vt:i4>0</vt:i4>
      </vt:variant>
      <vt:variant>
        <vt:i4>5</vt:i4>
      </vt:variant>
      <vt:variant>
        <vt:lpwstr>https://elpais.com/sociedad/2019/05/09/actualidad/1557434866_359654.html?id_externo_rsoc=TW_AM_CM&amp;hootPostID=80ce443900745d1327d0d2dff6be6e23</vt:lpwstr>
      </vt:variant>
      <vt:variant>
        <vt:lpwstr/>
      </vt:variant>
      <vt:variant>
        <vt:i4>3735571</vt:i4>
      </vt:variant>
      <vt:variant>
        <vt:i4>357</vt:i4>
      </vt:variant>
      <vt:variant>
        <vt:i4>0</vt:i4>
      </vt:variant>
      <vt:variant>
        <vt:i4>5</vt:i4>
      </vt:variant>
      <vt:variant>
        <vt:lpwstr>https://www.contralinea.com.mx/archivo-revista/2019/07/22/organizaciones-exigen-a-autoridades-no-reabrir-albergues-ciudad-de-los-ninos/</vt:lpwstr>
      </vt:variant>
      <vt:variant>
        <vt:lpwstr/>
      </vt:variant>
      <vt:variant>
        <vt:i4>6422544</vt:i4>
      </vt:variant>
      <vt:variant>
        <vt:i4>354</vt:i4>
      </vt:variant>
      <vt:variant>
        <vt:i4>0</vt:i4>
      </vt:variant>
      <vt:variant>
        <vt:i4>5</vt:i4>
      </vt:variant>
      <vt:variant>
        <vt:lpwstr>http://www.ejecentral.com.mx/piden-no-permitir-apertura-de-ciudad-de-los-ninos/</vt:lpwstr>
      </vt:variant>
      <vt:variant>
        <vt:lpwstr/>
      </vt:variant>
      <vt:variant>
        <vt:i4>4718626</vt:i4>
      </vt:variant>
      <vt:variant>
        <vt:i4>351</vt:i4>
      </vt:variant>
      <vt:variant>
        <vt:i4>0</vt:i4>
      </vt:variant>
      <vt:variant>
        <vt:i4>5</vt:i4>
      </vt:variant>
      <vt:variant>
        <vt:lpwstr>http://www.oas.org/es/cidh/docs/anual/2017/indice.asp</vt:lpwstr>
      </vt:variant>
      <vt:variant>
        <vt:lpwstr/>
      </vt:variant>
      <vt:variant>
        <vt:i4>4718626</vt:i4>
      </vt:variant>
      <vt:variant>
        <vt:i4>348</vt:i4>
      </vt:variant>
      <vt:variant>
        <vt:i4>0</vt:i4>
      </vt:variant>
      <vt:variant>
        <vt:i4>5</vt:i4>
      </vt:variant>
      <vt:variant>
        <vt:lpwstr>http://www.oas.org/es/cidh/docs/anual/2017/indice.asp</vt:lpwstr>
      </vt:variant>
      <vt:variant>
        <vt:lpwstr/>
      </vt:variant>
      <vt:variant>
        <vt:i4>4194338</vt:i4>
      </vt:variant>
      <vt:variant>
        <vt:i4>345</vt:i4>
      </vt:variant>
      <vt:variant>
        <vt:i4>0</vt:i4>
      </vt:variant>
      <vt:variant>
        <vt:i4>5</vt:i4>
      </vt:variant>
      <vt:variant>
        <vt:lpwstr>https://www.infobae.com/america/mexico/2019/04/24/la-realidad-de-la-infancia-en-mexico-6-de-cada-10-ninos-sufren-violencia-dentro-y-fuera-de-sus-hogares/</vt:lpwstr>
      </vt:variant>
      <vt:variant>
        <vt:lpwstr/>
      </vt:variant>
      <vt:variant>
        <vt:i4>7667736</vt:i4>
      </vt:variant>
      <vt:variant>
        <vt:i4>342</vt:i4>
      </vt:variant>
      <vt:variant>
        <vt:i4>0</vt:i4>
      </vt:variant>
      <vt:variant>
        <vt:i4>5</vt:i4>
      </vt:variant>
      <vt:variant>
        <vt:lpwstr>https://cnnespanol.cnn.com/video/inseguridad-ninos-infancia-violencia-adolescentes-unicef-redim-informe-vo-perspectivas-mexico/</vt:lpwstr>
      </vt:variant>
      <vt:variant>
        <vt:lpwstr/>
      </vt:variant>
      <vt:variant>
        <vt:i4>7340072</vt:i4>
      </vt:variant>
      <vt:variant>
        <vt:i4>339</vt:i4>
      </vt:variant>
      <vt:variant>
        <vt:i4>0</vt:i4>
      </vt:variant>
      <vt:variant>
        <vt:i4>5</vt:i4>
      </vt:variant>
      <vt:variant>
        <vt:lpwstr>https://noticieros.televisa.com/ultimas-noticias/mexico-sin-registro-estadistico-violencia-ninos-adolescentes/</vt:lpwstr>
      </vt:variant>
      <vt:variant>
        <vt:lpwstr/>
      </vt:variant>
      <vt:variant>
        <vt:i4>2555957</vt:i4>
      </vt:variant>
      <vt:variant>
        <vt:i4>336</vt:i4>
      </vt:variant>
      <vt:variant>
        <vt:i4>0</vt:i4>
      </vt:variant>
      <vt:variant>
        <vt:i4>5</vt:i4>
      </vt:variant>
      <vt:variant>
        <vt:lpwstr>http://www3.diputados.gob.mx/camara/content/download/336723/1202791/file/LA VIOLENCIA CONTRA LAS NI%C3%91AS, NI%C3%91OS Y ADOLESCENTES.pdf</vt:lpwstr>
      </vt:variant>
      <vt:variant>
        <vt:lpwstr/>
      </vt:variant>
      <vt:variant>
        <vt:i4>458843</vt:i4>
      </vt:variant>
      <vt:variant>
        <vt:i4>333</vt:i4>
      </vt:variant>
      <vt:variant>
        <vt:i4>0</vt:i4>
      </vt:variant>
      <vt:variant>
        <vt:i4>5</vt:i4>
      </vt:variant>
      <vt:variant>
        <vt:lpwstr>https://www.unicef.org/mexico/informes/panorama-estad%C3%ADstico-de-la-violencia</vt:lpwstr>
      </vt:variant>
      <vt:variant>
        <vt:lpwstr/>
      </vt:variant>
      <vt:variant>
        <vt:i4>7798879</vt:i4>
      </vt:variant>
      <vt:variant>
        <vt:i4>330</vt:i4>
      </vt:variant>
      <vt:variant>
        <vt:i4>0</vt:i4>
      </vt:variant>
      <vt:variant>
        <vt:i4>5</vt:i4>
      </vt:variant>
      <vt:variant>
        <vt:lpwstr>http://derechosinfancia.org.mx/index.php?contenido=boletin&amp;id=201&amp;id_opcion=73</vt:lpwstr>
      </vt:variant>
      <vt:variant>
        <vt:lpwstr/>
      </vt:variant>
      <vt:variant>
        <vt:i4>7340124</vt:i4>
      </vt:variant>
      <vt:variant>
        <vt:i4>327</vt:i4>
      </vt:variant>
      <vt:variant>
        <vt:i4>0</vt:i4>
      </vt:variant>
      <vt:variant>
        <vt:i4>5</vt:i4>
      </vt:variant>
      <vt:variant>
        <vt:lpwstr>http://derechosinfancia.org.mx/index.php?contenido=boletin&amp;id=171&amp;id_opcion=73</vt:lpwstr>
      </vt:variant>
      <vt:variant>
        <vt:lpwstr/>
      </vt:variant>
      <vt:variant>
        <vt:i4>7340125</vt:i4>
      </vt:variant>
      <vt:variant>
        <vt:i4>324</vt:i4>
      </vt:variant>
      <vt:variant>
        <vt:i4>0</vt:i4>
      </vt:variant>
      <vt:variant>
        <vt:i4>5</vt:i4>
      </vt:variant>
      <vt:variant>
        <vt:lpwstr>http://derechosinfancia.org.mx/index.php?contenido=boletin&amp;id=170&amp;id_opcion=73</vt:lpwstr>
      </vt:variant>
      <vt:variant>
        <vt:lpwstr/>
      </vt:variant>
      <vt:variant>
        <vt:i4>1966141</vt:i4>
      </vt:variant>
      <vt:variant>
        <vt:i4>321</vt:i4>
      </vt:variant>
      <vt:variant>
        <vt:i4>0</vt:i4>
      </vt:variant>
      <vt:variant>
        <vt:i4>5</vt:i4>
      </vt:variant>
      <vt:variant>
        <vt:lpwstr>https://sipse.com/novedades-yucatan/protocolo-arresto-menores-respeto-derechos-humanos-merida-345547.html</vt:lpwstr>
      </vt:variant>
      <vt:variant>
        <vt:lpwstr/>
      </vt:variant>
      <vt:variant>
        <vt:i4>3342457</vt:i4>
      </vt:variant>
      <vt:variant>
        <vt:i4>318</vt:i4>
      </vt:variant>
      <vt:variant>
        <vt:i4>0</vt:i4>
      </vt:variant>
      <vt:variant>
        <vt:i4>5</vt:i4>
      </vt:variant>
      <vt:variant>
        <vt:lpwstr>https://sspbcs.gob.mx/ssp/index.php/1318-se-actualiza-pep-en-protocolo-de-actuacion-en-la-detencion-de-menores</vt:lpwstr>
      </vt:variant>
      <vt:variant>
        <vt:lpwstr/>
      </vt:variant>
      <vt:variant>
        <vt:i4>4980772</vt:i4>
      </vt:variant>
      <vt:variant>
        <vt:i4>315</vt:i4>
      </vt:variant>
      <vt:variant>
        <vt:i4>0</vt:i4>
      </vt:variant>
      <vt:variant>
        <vt:i4>5</vt:i4>
      </vt:variant>
      <vt:variant>
        <vt:lpwstr>https://www.infobae.com/america/mexico/2019/09/13/la-triste-historia-de-los-tres-ninos-sicarios-ejecutados-en-sonora/</vt:lpwstr>
      </vt:variant>
      <vt:variant>
        <vt:lpwstr/>
      </vt:variant>
      <vt:variant>
        <vt:i4>3932208</vt:i4>
      </vt:variant>
      <vt:variant>
        <vt:i4>312</vt:i4>
      </vt:variant>
      <vt:variant>
        <vt:i4>0</vt:i4>
      </vt:variant>
      <vt:variant>
        <vt:i4>5</vt:i4>
      </vt:variant>
      <vt:variant>
        <vt:lpwstr>https://elpais.com/internacional/2019/10/15/mexico/1571096538_312293.html</vt:lpwstr>
      </vt:variant>
      <vt:variant>
        <vt:lpwstr/>
      </vt:variant>
      <vt:variant>
        <vt:i4>6553721</vt:i4>
      </vt:variant>
      <vt:variant>
        <vt:i4>309</vt:i4>
      </vt:variant>
      <vt:variant>
        <vt:i4>0</vt:i4>
      </vt:variant>
      <vt:variant>
        <vt:i4>5</vt:i4>
      </vt:variant>
      <vt:variant>
        <vt:lpwstr>https://www.cndh.org.mx/noticia/cndh-noticias-programa-274</vt:lpwstr>
      </vt:variant>
      <vt:variant>
        <vt:lpwstr/>
      </vt:variant>
      <vt:variant>
        <vt:i4>7143456</vt:i4>
      </vt:variant>
      <vt:variant>
        <vt:i4>306</vt:i4>
      </vt:variant>
      <vt:variant>
        <vt:i4>0</vt:i4>
      </vt:variant>
      <vt:variant>
        <vt:i4>5</vt:i4>
      </vt:variant>
      <vt:variant>
        <vt:lpwstr>http://www.fao.org/americas/noticias/ver/es/c/1096109/</vt:lpwstr>
      </vt:variant>
      <vt:variant>
        <vt:lpwstr/>
      </vt:variant>
      <vt:variant>
        <vt:i4>4784156</vt:i4>
      </vt:variant>
      <vt:variant>
        <vt:i4>303</vt:i4>
      </vt:variant>
      <vt:variant>
        <vt:i4>0</vt:i4>
      </vt:variant>
      <vt:variant>
        <vt:i4>5</vt:i4>
      </vt:variant>
      <vt:variant>
        <vt:lpwstr>https://www.eluniversal.com.mx/nacion/sociedad/continua-discriminacion-y-violencia-contra-los-pueblos-indigenas-cndh</vt:lpwstr>
      </vt:variant>
      <vt:variant>
        <vt:lpwstr/>
      </vt:variant>
      <vt:variant>
        <vt:i4>458772</vt:i4>
      </vt:variant>
      <vt:variant>
        <vt:i4>300</vt:i4>
      </vt:variant>
      <vt:variant>
        <vt:i4>0</vt:i4>
      </vt:variant>
      <vt:variant>
        <vt:i4>5</vt:i4>
      </vt:variant>
      <vt:variant>
        <vt:lpwstr>https://centralelectoral.ine.mx/2018/09/24/diputadas-diputados-indigenas-podrian-impulsar-agenda-congreso-beneficie-comunidades/</vt:lpwstr>
      </vt:variant>
      <vt:variant>
        <vt:lpwstr/>
      </vt:variant>
      <vt:variant>
        <vt:i4>3538953</vt:i4>
      </vt:variant>
      <vt:variant>
        <vt:i4>297</vt:i4>
      </vt:variant>
      <vt:variant>
        <vt:i4>0</vt:i4>
      </vt:variant>
      <vt:variant>
        <vt:i4>5</vt:i4>
      </vt:variant>
      <vt:variant>
        <vt:lpwstr>https://www.amnesty.org/download/Documents/AMR4184652018SPANISH.PDF</vt:lpwstr>
      </vt:variant>
      <vt:variant>
        <vt:lpwstr/>
      </vt:variant>
      <vt:variant>
        <vt:i4>5439607</vt:i4>
      </vt:variant>
      <vt:variant>
        <vt:i4>294</vt:i4>
      </vt:variant>
      <vt:variant>
        <vt:i4>0</vt:i4>
      </vt:variant>
      <vt:variant>
        <vt:i4>5</vt:i4>
      </vt:variant>
      <vt:variant>
        <vt:lpwstr>https://documents-dds-ny.un.org/doc/UNDOC/GEN/G18/266/93/PDF/G1826693.pdf?OpenElement</vt:lpwstr>
      </vt:variant>
      <vt:variant>
        <vt:lpwstr/>
      </vt:variant>
      <vt:variant>
        <vt:i4>5767292</vt:i4>
      </vt:variant>
      <vt:variant>
        <vt:i4>291</vt:i4>
      </vt:variant>
      <vt:variant>
        <vt:i4>0</vt:i4>
      </vt:variant>
      <vt:variant>
        <vt:i4>5</vt:i4>
      </vt:variant>
      <vt:variant>
        <vt:lpwstr>https://documents-dds-ny.un.org/doc/UNDOC/GEN/G18/256/76/PDF/G1825676.pdf?OpenElement</vt:lpwstr>
      </vt:variant>
      <vt:variant>
        <vt:lpwstr/>
      </vt:variant>
      <vt:variant>
        <vt:i4>3538953</vt:i4>
      </vt:variant>
      <vt:variant>
        <vt:i4>288</vt:i4>
      </vt:variant>
      <vt:variant>
        <vt:i4>0</vt:i4>
      </vt:variant>
      <vt:variant>
        <vt:i4>5</vt:i4>
      </vt:variant>
      <vt:variant>
        <vt:lpwstr>https://www.amnesty.org/download/Documents/AMR4184652018SPANISH.PDF</vt:lpwstr>
      </vt:variant>
      <vt:variant>
        <vt:lpwstr/>
      </vt:variant>
      <vt:variant>
        <vt:i4>4128796</vt:i4>
      </vt:variant>
      <vt:variant>
        <vt:i4>285</vt:i4>
      </vt:variant>
      <vt:variant>
        <vt:i4>0</vt:i4>
      </vt:variant>
      <vt:variant>
        <vt:i4>5</vt:i4>
      </vt:variant>
      <vt:variant>
        <vt:lpwstr>http://www.oas.org/es/cidh/prensa/comunicados/2018/104A.asp</vt:lpwstr>
      </vt:variant>
      <vt:variant>
        <vt:lpwstr/>
      </vt:variant>
      <vt:variant>
        <vt:i4>3801144</vt:i4>
      </vt:variant>
      <vt:variant>
        <vt:i4>282</vt:i4>
      </vt:variant>
      <vt:variant>
        <vt:i4>0</vt:i4>
      </vt:variant>
      <vt:variant>
        <vt:i4>5</vt:i4>
      </vt:variant>
      <vt:variant>
        <vt:lpwstr>http://centroprodh.org.mx/2018/11/21/presentacion-del-informe-mujeres-con-la-frente-en-alto-2/</vt:lpwstr>
      </vt:variant>
      <vt:variant>
        <vt:lpwstr/>
      </vt:variant>
      <vt:variant>
        <vt:i4>2883657</vt:i4>
      </vt:variant>
      <vt:variant>
        <vt:i4>279</vt:i4>
      </vt:variant>
      <vt:variant>
        <vt:i4>0</vt:i4>
      </vt:variant>
      <vt:variant>
        <vt:i4>5</vt:i4>
      </vt:variant>
      <vt:variant>
        <vt:lpwstr>https://www.animalpolitico.com/2018/11/mujeres-detenidas-mexico-tortura-sexual-autoridades/</vt:lpwstr>
      </vt:variant>
      <vt:variant>
        <vt:lpwstr/>
      </vt:variant>
      <vt:variant>
        <vt:i4>5439607</vt:i4>
      </vt:variant>
      <vt:variant>
        <vt:i4>276</vt:i4>
      </vt:variant>
      <vt:variant>
        <vt:i4>0</vt:i4>
      </vt:variant>
      <vt:variant>
        <vt:i4>5</vt:i4>
      </vt:variant>
      <vt:variant>
        <vt:lpwstr>https://documents-dds-ny.un.org/doc/UNDOC/GEN/G18/266/93/PDF/G1826693.pdf?OpenElement</vt:lpwstr>
      </vt:variant>
      <vt:variant>
        <vt:lpwstr/>
      </vt:variant>
      <vt:variant>
        <vt:i4>5505040</vt:i4>
      </vt:variant>
      <vt:variant>
        <vt:i4>273</vt:i4>
      </vt:variant>
      <vt:variant>
        <vt:i4>0</vt:i4>
      </vt:variant>
      <vt:variant>
        <vt:i4>5</vt:i4>
      </vt:variant>
      <vt:variant>
        <vt:lpwstr>http://secretariadoejecutivo.gob.mx/docs/pdfs/nueva-metodologia/Info_delict_persp_genero_NOV2018.pdf</vt:lpwstr>
      </vt:variant>
      <vt:variant>
        <vt:lpwstr/>
      </vt:variant>
      <vt:variant>
        <vt:i4>720954</vt:i4>
      </vt:variant>
      <vt:variant>
        <vt:i4>270</vt:i4>
      </vt:variant>
      <vt:variant>
        <vt:i4>0</vt:i4>
      </vt:variant>
      <vt:variant>
        <vt:i4>5</vt:i4>
      </vt:variant>
      <vt:variant>
        <vt:lpwstr>https://elpais.com/internacional/2018/07/23/mexico/1532369836_872417.html?</vt:lpwstr>
      </vt:variant>
      <vt:variant>
        <vt:lpwstr/>
      </vt:variant>
      <vt:variant>
        <vt:i4>1572926</vt:i4>
      </vt:variant>
      <vt:variant>
        <vt:i4>267</vt:i4>
      </vt:variant>
      <vt:variant>
        <vt:i4>0</vt:i4>
      </vt:variant>
      <vt:variant>
        <vt:i4>5</vt:i4>
      </vt:variant>
      <vt:variant>
        <vt:lpwstr>https://expansion.mx/nacional/2011/12/13/la-camara-de-diputados-aprueba-la-tipificacion-del-delito-de-feminicidio</vt:lpwstr>
      </vt:variant>
      <vt:variant>
        <vt:lpwstr/>
      </vt:variant>
      <vt:variant>
        <vt:i4>5767292</vt:i4>
      </vt:variant>
      <vt:variant>
        <vt:i4>264</vt:i4>
      </vt:variant>
      <vt:variant>
        <vt:i4>0</vt:i4>
      </vt:variant>
      <vt:variant>
        <vt:i4>5</vt:i4>
      </vt:variant>
      <vt:variant>
        <vt:lpwstr>https://documents-dds-ny.un.org/doc/UNDOC/GEN/G18/256/76/PDF/G1825676.pdf?OpenElement</vt:lpwstr>
      </vt:variant>
      <vt:variant>
        <vt:lpwstr/>
      </vt:variant>
      <vt:variant>
        <vt:i4>7405622</vt:i4>
      </vt:variant>
      <vt:variant>
        <vt:i4>261</vt:i4>
      </vt:variant>
      <vt:variant>
        <vt:i4>0</vt:i4>
      </vt:variant>
      <vt:variant>
        <vt:i4>5</vt:i4>
      </vt:variant>
      <vt:variant>
        <vt:lpwstr>http://www.oas.org/es/cidh/prensa/comunicados/2018/275.asp</vt:lpwstr>
      </vt:variant>
      <vt:variant>
        <vt:lpwstr/>
      </vt:variant>
      <vt:variant>
        <vt:i4>2424959</vt:i4>
      </vt:variant>
      <vt:variant>
        <vt:i4>258</vt:i4>
      </vt:variant>
      <vt:variant>
        <vt:i4>0</vt:i4>
      </vt:variant>
      <vt:variant>
        <vt:i4>5</vt:i4>
      </vt:variant>
      <vt:variant>
        <vt:lpwstr>https://www.excelsior.com.mx/nacional/en-hidalgo-se-podra-elegir-identidad-de-genero-a-los-18-anos/1309465</vt:lpwstr>
      </vt:variant>
      <vt:variant>
        <vt:lpwstr/>
      </vt:variant>
      <vt:variant>
        <vt:i4>786507</vt:i4>
      </vt:variant>
      <vt:variant>
        <vt:i4>255</vt:i4>
      </vt:variant>
      <vt:variant>
        <vt:i4>0</vt:i4>
      </vt:variant>
      <vt:variant>
        <vt:i4>5</vt:i4>
      </vt:variant>
      <vt:variant>
        <vt:lpwstr>https://heraldodemexico.com.mx/estados/congreso-de-colima-aprueba-cambio-de-identidad-de-genero-en-documentos-oficiales/</vt:lpwstr>
      </vt:variant>
      <vt:variant>
        <vt:lpwstr/>
      </vt:variant>
      <vt:variant>
        <vt:i4>7864384</vt:i4>
      </vt:variant>
      <vt:variant>
        <vt:i4>252</vt:i4>
      </vt:variant>
      <vt:variant>
        <vt:i4>0</vt:i4>
      </vt:variant>
      <vt:variant>
        <vt:i4>5</vt:i4>
      </vt:variant>
      <vt:variant>
        <vt:lpwstr>http://www.oas.org/es/cidh/informes/pdfs/violenciapersonaslgbti.pdf</vt:lpwstr>
      </vt:variant>
      <vt:variant>
        <vt:lpwstr/>
      </vt:variant>
      <vt:variant>
        <vt:i4>2424952</vt:i4>
      </vt:variant>
      <vt:variant>
        <vt:i4>249</vt:i4>
      </vt:variant>
      <vt:variant>
        <vt:i4>0</vt:i4>
      </vt:variant>
      <vt:variant>
        <vt:i4>5</vt:i4>
      </vt:variant>
      <vt:variant>
        <vt:lpwstr>https://www.efe.com/efe/america/sociedad/centros-de-conversion-sexual-en-mexico-ineficaces-y-altamente-peligrosos/20000013-4011786</vt:lpwstr>
      </vt:variant>
      <vt:variant>
        <vt:lpwstr/>
      </vt:variant>
      <vt:variant>
        <vt:i4>5767254</vt:i4>
      </vt:variant>
      <vt:variant>
        <vt:i4>246</vt:i4>
      </vt:variant>
      <vt:variant>
        <vt:i4>0</vt:i4>
      </vt:variant>
      <vt:variant>
        <vt:i4>5</vt:i4>
      </vt:variant>
      <vt:variant>
        <vt:lpwstr>https://www.sinembargo.mx/21-10-2019/3665363</vt:lpwstr>
      </vt:variant>
      <vt:variant>
        <vt:lpwstr/>
      </vt:variant>
      <vt:variant>
        <vt:i4>2424932</vt:i4>
      </vt:variant>
      <vt:variant>
        <vt:i4>243</vt:i4>
      </vt:variant>
      <vt:variant>
        <vt:i4>0</vt:i4>
      </vt:variant>
      <vt:variant>
        <vt:i4>5</vt:i4>
      </vt:variant>
      <vt:variant>
        <vt:lpwstr>http://congresomorelos.gob.mx/avalan-que-medicos-y-enfermeras-puedan-ejercer-su-derecho-de-objecion-de-conciencia/</vt:lpwstr>
      </vt:variant>
      <vt:variant>
        <vt:lpwstr/>
      </vt:variant>
      <vt:variant>
        <vt:i4>5439541</vt:i4>
      </vt:variant>
      <vt:variant>
        <vt:i4>240</vt:i4>
      </vt:variant>
      <vt:variant>
        <vt:i4>0</vt:i4>
      </vt:variant>
      <vt:variant>
        <vt:i4>5</vt:i4>
      </vt:variant>
      <vt:variant>
        <vt:lpwstr>https://www.reporteindigo.com/reporte/abren-en-jalisco-unidad-medica-especializada-para-personas-transgenero/</vt:lpwstr>
      </vt:variant>
      <vt:variant>
        <vt:lpwstr/>
      </vt:variant>
      <vt:variant>
        <vt:i4>3997792</vt:i4>
      </vt:variant>
      <vt:variant>
        <vt:i4>237</vt:i4>
      </vt:variant>
      <vt:variant>
        <vt:i4>0</vt:i4>
      </vt:variant>
      <vt:variant>
        <vt:i4>5</vt:i4>
      </vt:variant>
      <vt:variant>
        <vt:lpwstr>https://ssj.jalisco.gob.mx/prensa/noticia/8591</vt:lpwstr>
      </vt:variant>
      <vt:variant>
        <vt:lpwstr/>
      </vt:variant>
      <vt:variant>
        <vt:i4>8061018</vt:i4>
      </vt:variant>
      <vt:variant>
        <vt:i4>234</vt:i4>
      </vt:variant>
      <vt:variant>
        <vt:i4>0</vt:i4>
      </vt:variant>
      <vt:variant>
        <vt:i4>5</vt:i4>
      </vt:variant>
      <vt:variant>
        <vt:lpwstr>https://www.animalpolitico.com/2019/11/delitos-comunidad-lgbti-odio-discriminacion/</vt:lpwstr>
      </vt:variant>
      <vt:variant>
        <vt:lpwstr/>
      </vt:variant>
      <vt:variant>
        <vt:i4>2687000</vt:i4>
      </vt:variant>
      <vt:variant>
        <vt:i4>231</vt:i4>
      </vt:variant>
      <vt:variant>
        <vt:i4>0</vt:i4>
      </vt:variant>
      <vt:variant>
        <vt:i4>5</vt:i4>
      </vt:variant>
      <vt:variant>
        <vt:lpwstr>https://www.oas.org/es/cidh/prensa/comunicados/2017/208.asp</vt:lpwstr>
      </vt:variant>
      <vt:variant>
        <vt:lpwstr/>
      </vt:variant>
      <vt:variant>
        <vt:i4>5242894</vt:i4>
      </vt:variant>
      <vt:variant>
        <vt:i4>228</vt:i4>
      </vt:variant>
      <vt:variant>
        <vt:i4>0</vt:i4>
      </vt:variant>
      <vt:variant>
        <vt:i4>5</vt:i4>
      </vt:variant>
      <vt:variant>
        <vt:lpwstr>http://www.observatoriolgbt.org.bo/index.php/noticia/detalle/cod_noticia/2782</vt:lpwstr>
      </vt:variant>
      <vt:variant>
        <vt:lpwstr/>
      </vt:variant>
      <vt:variant>
        <vt:i4>1048678</vt:i4>
      </vt:variant>
      <vt:variant>
        <vt:i4>225</vt:i4>
      </vt:variant>
      <vt:variant>
        <vt:i4>0</vt:i4>
      </vt:variant>
      <vt:variant>
        <vt:i4>5</vt:i4>
      </vt:variant>
      <vt:variant>
        <vt:lpwstr>http://www.hazruido.mx/reportes/una-burla-en-el-congreso-de-yucatan/?fbclid=IwAR3BJRx0AS4Py0AlD_0SUvqujeX9eqd8j_OLhZq27rxvU8he-2BAApEAYeg</vt:lpwstr>
      </vt:variant>
      <vt:variant>
        <vt:lpwstr/>
      </vt:variant>
      <vt:variant>
        <vt:i4>3997810</vt:i4>
      </vt:variant>
      <vt:variant>
        <vt:i4>222</vt:i4>
      </vt:variant>
      <vt:variant>
        <vt:i4>0</vt:i4>
      </vt:variant>
      <vt:variant>
        <vt:i4>5</vt:i4>
      </vt:variant>
      <vt:variant>
        <vt:lpwstr>https://www.infobae.com/america/mexico/2019/06/18/el-congreso-de-sinaloa-rechazo-el-matrimonio-igualitario-no-se-podra-reagendar-el-tema-en-la-actual-legislatura/</vt:lpwstr>
      </vt:variant>
      <vt:variant>
        <vt:lpwstr/>
      </vt:variant>
      <vt:variant>
        <vt:i4>5898253</vt:i4>
      </vt:variant>
      <vt:variant>
        <vt:i4>219</vt:i4>
      </vt:variant>
      <vt:variant>
        <vt:i4>0</vt:i4>
      </vt:variant>
      <vt:variant>
        <vt:i4>5</vt:i4>
      </vt:variant>
      <vt:variant>
        <vt:lpwstr>https://www.animalpolitico.com/2019/05/consulados-matrimonio-parejas-mismo-sexo/</vt:lpwstr>
      </vt:variant>
      <vt:variant>
        <vt:lpwstr/>
      </vt:variant>
      <vt:variant>
        <vt:i4>4456462</vt:i4>
      </vt:variant>
      <vt:variant>
        <vt:i4>216</vt:i4>
      </vt:variant>
      <vt:variant>
        <vt:i4>0</vt:i4>
      </vt:variant>
      <vt:variant>
        <vt:i4>5</vt:i4>
      </vt:variant>
      <vt:variant>
        <vt:lpwstr>https://www.infobae.com/america/mexico/2019/05/16/congreso-de-san-luis-potosi-aprobo-el-matrimonio-igualitario-con-14-votos-a-favor/</vt:lpwstr>
      </vt:variant>
      <vt:variant>
        <vt:lpwstr/>
      </vt:variant>
      <vt:variant>
        <vt:i4>3539022</vt:i4>
      </vt:variant>
      <vt:variant>
        <vt:i4>213</vt:i4>
      </vt:variant>
      <vt:variant>
        <vt:i4>0</vt:i4>
      </vt:variant>
      <vt:variant>
        <vt:i4>5</vt:i4>
      </vt:variant>
      <vt:variant>
        <vt:lpwstr>https://politica.expansion.mx/estados/2019/08/28/congreso-oaxaca-aprueba-matrimonio-igualitario</vt:lpwstr>
      </vt:variant>
      <vt:variant>
        <vt:lpwstr/>
      </vt:variant>
      <vt:variant>
        <vt:i4>2883646</vt:i4>
      </vt:variant>
      <vt:variant>
        <vt:i4>210</vt:i4>
      </vt:variant>
      <vt:variant>
        <vt:i4>0</vt:i4>
      </vt:variant>
      <vt:variant>
        <vt:i4>5</vt:i4>
      </vt:variant>
      <vt:variant>
        <vt:lpwstr>https://www.jornada.com.mx/ultimas/estados/2019/06/27/aprueban-matrimonio-igualitario-en-baja-california-sur-5317.html</vt:lpwstr>
      </vt:variant>
      <vt:variant>
        <vt:lpwstr/>
      </vt:variant>
      <vt:variant>
        <vt:i4>3604531</vt:i4>
      </vt:variant>
      <vt:variant>
        <vt:i4>207</vt:i4>
      </vt:variant>
      <vt:variant>
        <vt:i4>0</vt:i4>
      </vt:variant>
      <vt:variant>
        <vt:i4>5</vt:i4>
      </vt:variant>
      <vt:variant>
        <vt:lpwstr>https://www.milenio.com/politica/congreso/aprueban-matrimonios-igualitarios-en-hidalgo</vt:lpwstr>
      </vt:variant>
      <vt:variant>
        <vt:lpwstr/>
      </vt:variant>
      <vt:variant>
        <vt:i4>4194376</vt:i4>
      </vt:variant>
      <vt:variant>
        <vt:i4>204</vt:i4>
      </vt:variant>
      <vt:variant>
        <vt:i4>0</vt:i4>
      </vt:variant>
      <vt:variant>
        <vt:i4>5</vt:i4>
      </vt:variant>
      <vt:variant>
        <vt:lpwstr>https://www.dof.gob.mx/nota_detalle.php?codigo=5561626&amp;fecha=31/05/2019</vt:lpwstr>
      </vt:variant>
      <vt:variant>
        <vt:lpwstr/>
      </vt:variant>
      <vt:variant>
        <vt:i4>7077917</vt:i4>
      </vt:variant>
      <vt:variant>
        <vt:i4>201</vt:i4>
      </vt:variant>
      <vt:variant>
        <vt:i4>0</vt:i4>
      </vt:variant>
      <vt:variant>
        <vt:i4>5</vt:i4>
      </vt:variant>
      <vt:variant>
        <vt:lpwstr>https://twitter.com/SCJN/status/1126243697543274502</vt:lpwstr>
      </vt:variant>
      <vt:variant>
        <vt:lpwstr/>
      </vt:variant>
      <vt:variant>
        <vt:i4>262232</vt:i4>
      </vt:variant>
      <vt:variant>
        <vt:i4>198</vt:i4>
      </vt:variant>
      <vt:variant>
        <vt:i4>0</vt:i4>
      </vt:variant>
      <vt:variant>
        <vt:i4>5</vt:i4>
      </vt:variant>
      <vt:variant>
        <vt:lpwstr>https://sinviolencia.lgbt/wp-content/uploads/2019/08/Informe_Prejuicios_compressed.pdf</vt:lpwstr>
      </vt:variant>
      <vt:variant>
        <vt:lpwstr/>
      </vt:variant>
      <vt:variant>
        <vt:i4>8257583</vt:i4>
      </vt:variant>
      <vt:variant>
        <vt:i4>195</vt:i4>
      </vt:variant>
      <vt:variant>
        <vt:i4>0</vt:i4>
      </vt:variant>
      <vt:variant>
        <vt:i4>5</vt:i4>
      </vt:variant>
      <vt:variant>
        <vt:lpwstr>http://www.jornadaveracruz.com.mx/Post.aspx?id=190709_074320_630</vt:lpwstr>
      </vt:variant>
      <vt:variant>
        <vt:lpwstr/>
      </vt:variant>
      <vt:variant>
        <vt:i4>7143533</vt:i4>
      </vt:variant>
      <vt:variant>
        <vt:i4>192</vt:i4>
      </vt:variant>
      <vt:variant>
        <vt:i4>0</vt:i4>
      </vt:variant>
      <vt:variant>
        <vt:i4>5</vt:i4>
      </vt:variant>
      <vt:variant>
        <vt:lpwstr>https://encontacto.mx/crimen-de-odio-violado-y-apunalado-en-el-cuello/</vt:lpwstr>
      </vt:variant>
      <vt:variant>
        <vt:lpwstr/>
      </vt:variant>
      <vt:variant>
        <vt:i4>2424951</vt:i4>
      </vt:variant>
      <vt:variant>
        <vt:i4>189</vt:i4>
      </vt:variant>
      <vt:variant>
        <vt:i4>0</vt:i4>
      </vt:variant>
      <vt:variant>
        <vt:i4>5</vt:i4>
      </vt:variant>
      <vt:variant>
        <vt:lpwstr>https://www.proceso.com.mx/592498/ejecutan-a-mujer-transgenero-en-oaxaca-no-nos-maten-clama-presidenta-de-la-aaflo</vt:lpwstr>
      </vt:variant>
      <vt:variant>
        <vt:lpwstr/>
      </vt:variant>
      <vt:variant>
        <vt:i4>2424846</vt:i4>
      </vt:variant>
      <vt:variant>
        <vt:i4>186</vt:i4>
      </vt:variant>
      <vt:variant>
        <vt:i4>0</vt:i4>
      </vt:variant>
      <vt:variant>
        <vt:i4>5</vt:i4>
      </vt:variant>
      <vt:variant>
        <vt:lpwstr>https://www.24-horas.mx/2019/02/06/asesinan-a-profesor-de-primaria-indigena-en-su-casa-habia-sido-amenazado-por-ser-homosexual/</vt:lpwstr>
      </vt:variant>
      <vt:variant>
        <vt:lpwstr/>
      </vt:variant>
      <vt:variant>
        <vt:i4>7340096</vt:i4>
      </vt:variant>
      <vt:variant>
        <vt:i4>183</vt:i4>
      </vt:variant>
      <vt:variant>
        <vt:i4>0</vt:i4>
      </vt:variant>
      <vt:variant>
        <vt:i4>5</vt:i4>
      </vt:variant>
      <vt:variant>
        <vt:lpwstr>https://www.elindependientedehidalgo.com.mx/piden-justicia-para-renata/</vt:lpwstr>
      </vt:variant>
      <vt:variant>
        <vt:lpwstr/>
      </vt:variant>
      <vt:variant>
        <vt:i4>3407965</vt:i4>
      </vt:variant>
      <vt:variant>
        <vt:i4>180</vt:i4>
      </vt:variant>
      <vt:variant>
        <vt:i4>0</vt:i4>
      </vt:variant>
      <vt:variant>
        <vt:i4>5</vt:i4>
      </vt:variant>
      <vt:variant>
        <vt:lpwstr>https://politica.expansion.mx/estados/2019/08/12/un-activista-lgbt-es-asesinado-a-golpes-y-pedradas-en-veracruz</vt:lpwstr>
      </vt:variant>
      <vt:variant>
        <vt:lpwstr/>
      </vt:variant>
      <vt:variant>
        <vt:i4>1835063</vt:i4>
      </vt:variant>
      <vt:variant>
        <vt:i4>177</vt:i4>
      </vt:variant>
      <vt:variant>
        <vt:i4>0</vt:i4>
      </vt:variant>
      <vt:variant>
        <vt:i4>5</vt:i4>
      </vt:variant>
      <vt:variant>
        <vt:lpwstr>https://www.sdpnoticias.com/local/oaxaca/asesinato-impunidad-denuncian-cazorla-oscar.html</vt:lpwstr>
      </vt:variant>
      <vt:variant>
        <vt:lpwstr/>
      </vt:variant>
      <vt:variant>
        <vt:i4>4391018</vt:i4>
      </vt:variant>
      <vt:variant>
        <vt:i4>174</vt:i4>
      </vt:variant>
      <vt:variant>
        <vt:i4>0</vt:i4>
      </vt:variant>
      <vt:variant>
        <vt:i4>5</vt:i4>
      </vt:variant>
      <vt:variant>
        <vt:lpwstr>https://www.infobae.com/america/mexico/2019/02/10/oscar-cazorla-fue-asesinado-en-su-casa-era-activista-de-la-lucha-por-los-derechos-lgbt/</vt:lpwstr>
      </vt:variant>
      <vt:variant>
        <vt:lpwstr/>
      </vt:variant>
      <vt:variant>
        <vt:i4>4849739</vt:i4>
      </vt:variant>
      <vt:variant>
        <vt:i4>171</vt:i4>
      </vt:variant>
      <vt:variant>
        <vt:i4>0</vt:i4>
      </vt:variant>
      <vt:variant>
        <vt:i4>5</vt:i4>
      </vt:variant>
      <vt:variant>
        <vt:lpwstr>http://comunicacion.senado.gob.mx/index.php/informacion/boletines/46415-aprueban-instrumentos-internacionales-contra-el-racismo-la-discriminacion-y-la-intolerancia.html</vt:lpwstr>
      </vt:variant>
      <vt:variant>
        <vt:lpwstr/>
      </vt:variant>
      <vt:variant>
        <vt:i4>4849739</vt:i4>
      </vt:variant>
      <vt:variant>
        <vt:i4>168</vt:i4>
      </vt:variant>
      <vt:variant>
        <vt:i4>0</vt:i4>
      </vt:variant>
      <vt:variant>
        <vt:i4>5</vt:i4>
      </vt:variant>
      <vt:variant>
        <vt:lpwstr>http://comunicacion.senado.gob.mx/index.php/informacion/boletines/46415-aprueban-instrumentos-internacionales-contra-el-racismo-la-discriminacion-y-la-intolerancia.html</vt:lpwstr>
      </vt:variant>
      <vt:variant>
        <vt:lpwstr/>
      </vt:variant>
      <vt:variant>
        <vt:i4>2293861</vt:i4>
      </vt:variant>
      <vt:variant>
        <vt:i4>165</vt:i4>
      </vt:variant>
      <vt:variant>
        <vt:i4>0</vt:i4>
      </vt:variant>
      <vt:variant>
        <vt:i4>5</vt:i4>
      </vt:variant>
      <vt:variant>
        <vt:lpwstr>http://sindis.conapred.org.mx/</vt:lpwstr>
      </vt:variant>
      <vt:variant>
        <vt:lpwstr/>
      </vt:variant>
      <vt:variant>
        <vt:i4>5767173</vt:i4>
      </vt:variant>
      <vt:variant>
        <vt:i4>162</vt:i4>
      </vt:variant>
      <vt:variant>
        <vt:i4>0</vt:i4>
      </vt:variant>
      <vt:variant>
        <vt:i4>5</vt:i4>
      </vt:variant>
      <vt:variant>
        <vt:lpwstr>https://www.mexicoevalua.org/pgr-a-fgr-observatorio-la-transicion-2019/?fbclid=IwAR1r8YiVlhfioAlqG2PmJo4qAXZZQtQkylZg959cNmAipuCPIg_Xy-XT_eM</vt:lpwstr>
      </vt:variant>
      <vt:variant>
        <vt:lpwstr/>
      </vt:variant>
      <vt:variant>
        <vt:i4>5832755</vt:i4>
      </vt:variant>
      <vt:variant>
        <vt:i4>159</vt:i4>
      </vt:variant>
      <vt:variant>
        <vt:i4>0</vt:i4>
      </vt:variant>
      <vt:variant>
        <vt:i4>5</vt:i4>
      </vt:variant>
      <vt:variant>
        <vt:lpwstr>https://www.mexicoevalua.org/2019/10/25/autonomia-en-la-procuracion-justicia-suficiente-garantia/</vt:lpwstr>
      </vt:variant>
      <vt:variant>
        <vt:lpwstr/>
      </vt:variant>
      <vt:variant>
        <vt:i4>4653090</vt:i4>
      </vt:variant>
      <vt:variant>
        <vt:i4>156</vt:i4>
      </vt:variant>
      <vt:variant>
        <vt:i4>0</vt:i4>
      </vt:variant>
      <vt:variant>
        <vt:i4>5</vt:i4>
      </vt:variant>
      <vt:variant>
        <vt:lpwstr>http://www.oas.org/es/cidh/docs/anual/2018/indice.asp</vt:lpwstr>
      </vt:variant>
      <vt:variant>
        <vt:lpwstr/>
      </vt:variant>
      <vt:variant>
        <vt:i4>1310723</vt:i4>
      </vt:variant>
      <vt:variant>
        <vt:i4>153</vt:i4>
      </vt:variant>
      <vt:variant>
        <vt:i4>0</vt:i4>
      </vt:variant>
      <vt:variant>
        <vt:i4>5</vt:i4>
      </vt:variant>
      <vt:variant>
        <vt:lpwstr>https://www.gob.mx/ceav/prensa/ceav-presenta-plan-de-atencion-y-reparacion-a-las-victimas-de-la-violencia-politica-del-pasado-en-atoyac-de-alvarez-guerrero?idiom=es</vt:lpwstr>
      </vt:variant>
      <vt:variant>
        <vt:lpwstr/>
      </vt:variant>
      <vt:variant>
        <vt:i4>5177377</vt:i4>
      </vt:variant>
      <vt:variant>
        <vt:i4>150</vt:i4>
      </vt:variant>
      <vt:variant>
        <vt:i4>0</vt:i4>
      </vt:variant>
      <vt:variant>
        <vt:i4>5</vt:i4>
      </vt:variant>
      <vt:variant>
        <vt:lpwstr>https://www.gob.mx/cms/uploads/attachment/file/489219/Informe_Encuesta_PAIV_2019-2024_1.pdf</vt:lpwstr>
      </vt:variant>
      <vt:variant>
        <vt:lpwstr/>
      </vt:variant>
      <vt:variant>
        <vt:i4>4128876</vt:i4>
      </vt:variant>
      <vt:variant>
        <vt:i4>147</vt:i4>
      </vt:variant>
      <vt:variant>
        <vt:i4>0</vt:i4>
      </vt:variant>
      <vt:variant>
        <vt:i4>5</vt:i4>
      </vt:variant>
      <vt:variant>
        <vt:lpwstr>http://www.oas.org/es/cidh/defensores/docs/pdf/Operadores-de-Justicia-2013.pdf</vt:lpwstr>
      </vt:variant>
      <vt:variant>
        <vt:lpwstr/>
      </vt:variant>
      <vt:variant>
        <vt:i4>131129</vt:i4>
      </vt:variant>
      <vt:variant>
        <vt:i4>144</vt:i4>
      </vt:variant>
      <vt:variant>
        <vt:i4>0</vt:i4>
      </vt:variant>
      <vt:variant>
        <vt:i4>5</vt:i4>
      </vt:variant>
      <vt:variant>
        <vt:lpwstr>https://www.cndh.org.mx/sites/default/files/documentos/2019-09/Com_2019_364.pdf</vt:lpwstr>
      </vt:variant>
      <vt:variant>
        <vt:lpwstr/>
      </vt:variant>
      <vt:variant>
        <vt:i4>131129</vt:i4>
      </vt:variant>
      <vt:variant>
        <vt:i4>141</vt:i4>
      </vt:variant>
      <vt:variant>
        <vt:i4>0</vt:i4>
      </vt:variant>
      <vt:variant>
        <vt:i4>5</vt:i4>
      </vt:variant>
      <vt:variant>
        <vt:lpwstr>https://www.cndh.org.mx/sites/default/files/documentos/2019-09/Com_2019_364.pdf</vt:lpwstr>
      </vt:variant>
      <vt:variant>
        <vt:lpwstr/>
      </vt:variant>
      <vt:variant>
        <vt:i4>7012407</vt:i4>
      </vt:variant>
      <vt:variant>
        <vt:i4>138</vt:i4>
      </vt:variant>
      <vt:variant>
        <vt:i4>0</vt:i4>
      </vt:variant>
      <vt:variant>
        <vt:i4>5</vt:i4>
      </vt:variant>
      <vt:variant>
        <vt:lpwstr>https://www.cndh.org.mx/sites/all/doc/Informes/Especiales/DIAGNOSTICO-TDP-2019.pdf</vt:lpwstr>
      </vt:variant>
      <vt:variant>
        <vt:lpwstr/>
      </vt:variant>
      <vt:variant>
        <vt:i4>7012407</vt:i4>
      </vt:variant>
      <vt:variant>
        <vt:i4>135</vt:i4>
      </vt:variant>
      <vt:variant>
        <vt:i4>0</vt:i4>
      </vt:variant>
      <vt:variant>
        <vt:i4>5</vt:i4>
      </vt:variant>
      <vt:variant>
        <vt:lpwstr>https://www.cndh.org.mx/sites/all/doc/Informes/Especiales/DIAGNOSTICO-TDP-2019.pdf</vt:lpwstr>
      </vt:variant>
      <vt:variant>
        <vt:lpwstr/>
      </vt:variant>
      <vt:variant>
        <vt:i4>7012407</vt:i4>
      </vt:variant>
      <vt:variant>
        <vt:i4>132</vt:i4>
      </vt:variant>
      <vt:variant>
        <vt:i4>0</vt:i4>
      </vt:variant>
      <vt:variant>
        <vt:i4>5</vt:i4>
      </vt:variant>
      <vt:variant>
        <vt:lpwstr>https://www.cndh.org.mx/sites/all/doc/Informes/Especiales/DIAGNOSTICO-TDP-2019.pdf</vt:lpwstr>
      </vt:variant>
      <vt:variant>
        <vt:lpwstr/>
      </vt:variant>
      <vt:variant>
        <vt:i4>7012407</vt:i4>
      </vt:variant>
      <vt:variant>
        <vt:i4>129</vt:i4>
      </vt:variant>
      <vt:variant>
        <vt:i4>0</vt:i4>
      </vt:variant>
      <vt:variant>
        <vt:i4>5</vt:i4>
      </vt:variant>
      <vt:variant>
        <vt:lpwstr>https://www.cndh.org.mx/sites/all/doc/Informes/Especiales/DIAGNOSTICO-TDP-2019.pdf</vt:lpwstr>
      </vt:variant>
      <vt:variant>
        <vt:lpwstr/>
      </vt:variant>
      <vt:variant>
        <vt:i4>8257562</vt:i4>
      </vt:variant>
      <vt:variant>
        <vt:i4>126</vt:i4>
      </vt:variant>
      <vt:variant>
        <vt:i4>0</vt:i4>
      </vt:variant>
      <vt:variant>
        <vt:i4>5</vt:i4>
      </vt:variant>
      <vt:variant>
        <vt:lpwstr>https://www.gob.mx/segob/prensa/informa-comision-nacional-de-busqueda-de-personas-avances-a-100-dias-de-gestion-201903?idiom=es</vt:lpwstr>
      </vt:variant>
      <vt:variant>
        <vt:lpwstr/>
      </vt:variant>
      <vt:variant>
        <vt:i4>6946894</vt:i4>
      </vt:variant>
      <vt:variant>
        <vt:i4>123</vt:i4>
      </vt:variant>
      <vt:variant>
        <vt:i4>0</vt:i4>
      </vt:variant>
      <vt:variant>
        <vt:i4>5</vt:i4>
      </vt:variant>
      <vt:variant>
        <vt:lpwstr>https://www.eluniversal.com.mx/estados/dejaron-que-cuerpos-de-trailer-de-la-muerte-se-pudrieran-no-podran-ser-identificados</vt:lpwstr>
      </vt:variant>
      <vt:variant>
        <vt:lpwstr/>
      </vt:variant>
      <vt:variant>
        <vt:i4>5308457</vt:i4>
      </vt:variant>
      <vt:variant>
        <vt:i4>120</vt:i4>
      </vt:variant>
      <vt:variant>
        <vt:i4>0</vt:i4>
      </vt:variant>
      <vt:variant>
        <vt:i4>5</vt:i4>
      </vt:variant>
      <vt:variant>
        <vt:lpwstr>http://hchr.org.mx/images/doc_pub/CAT_C_MEX_CO_7_34944_S.pdf</vt:lpwstr>
      </vt:variant>
      <vt:variant>
        <vt:lpwstr/>
      </vt:variant>
      <vt:variant>
        <vt:i4>4390957</vt:i4>
      </vt:variant>
      <vt:variant>
        <vt:i4>117</vt:i4>
      </vt:variant>
      <vt:variant>
        <vt:i4>0</vt:i4>
      </vt:variant>
      <vt:variant>
        <vt:i4>5</vt:i4>
      </vt:variant>
      <vt:variant>
        <vt:lpwstr>https://www.omct.org/files/2019/04/25320/informe_conjunto_oscs_mexico_cat2019.pdf</vt:lpwstr>
      </vt:variant>
      <vt:variant>
        <vt:lpwstr/>
      </vt:variant>
      <vt:variant>
        <vt:i4>5308457</vt:i4>
      </vt:variant>
      <vt:variant>
        <vt:i4>114</vt:i4>
      </vt:variant>
      <vt:variant>
        <vt:i4>0</vt:i4>
      </vt:variant>
      <vt:variant>
        <vt:i4>5</vt:i4>
      </vt:variant>
      <vt:variant>
        <vt:lpwstr>http://hchr.org.mx/images/doc_pub/CAT_C_MEX_CO_7_34944_S.pdf</vt:lpwstr>
      </vt:variant>
      <vt:variant>
        <vt:lpwstr/>
      </vt:variant>
      <vt:variant>
        <vt:i4>5308457</vt:i4>
      </vt:variant>
      <vt:variant>
        <vt:i4>111</vt:i4>
      </vt:variant>
      <vt:variant>
        <vt:i4>0</vt:i4>
      </vt:variant>
      <vt:variant>
        <vt:i4>5</vt:i4>
      </vt:variant>
      <vt:variant>
        <vt:lpwstr>http://hchr.org.mx/images/doc_pub/CAT_C_MEX_CO_7_34944_S.pdf</vt:lpwstr>
      </vt:variant>
      <vt:variant>
        <vt:lpwstr/>
      </vt:variant>
      <vt:variant>
        <vt:i4>4390957</vt:i4>
      </vt:variant>
      <vt:variant>
        <vt:i4>108</vt:i4>
      </vt:variant>
      <vt:variant>
        <vt:i4>0</vt:i4>
      </vt:variant>
      <vt:variant>
        <vt:i4>5</vt:i4>
      </vt:variant>
      <vt:variant>
        <vt:lpwstr>https://www.omct.org/files/2019/04/25320/informe_conjunto_oscs_mexico_cat2019.pdf</vt:lpwstr>
      </vt:variant>
      <vt:variant>
        <vt:lpwstr/>
      </vt:variant>
      <vt:variant>
        <vt:i4>5308457</vt:i4>
      </vt:variant>
      <vt:variant>
        <vt:i4>105</vt:i4>
      </vt:variant>
      <vt:variant>
        <vt:i4>0</vt:i4>
      </vt:variant>
      <vt:variant>
        <vt:i4>5</vt:i4>
      </vt:variant>
      <vt:variant>
        <vt:lpwstr>http://hchr.org.mx/images/doc_pub/CAT_C_MEX_CO_7_34944_S.pdf</vt:lpwstr>
      </vt:variant>
      <vt:variant>
        <vt:lpwstr/>
      </vt:variant>
      <vt:variant>
        <vt:i4>983084</vt:i4>
      </vt:variant>
      <vt:variant>
        <vt:i4>102</vt:i4>
      </vt:variant>
      <vt:variant>
        <vt:i4>0</vt:i4>
      </vt:variant>
      <vt:variant>
        <vt:i4>5</vt:i4>
      </vt:variant>
      <vt:variant>
        <vt:lpwstr>https://www.hchr.org.mx/index.php?option=com_k2&amp;view=item&amp;id=1272:nota-informativa-consideraciones-preliminares-sobre-la-ley-nacional-sobre-el-uso-de-la-fuerza-y-la-ley-nacional-del-registro-de-detenciones&amp;Itemid=265</vt:lpwstr>
      </vt:variant>
      <vt:variant>
        <vt:lpwstr/>
      </vt:variant>
      <vt:variant>
        <vt:i4>8192126</vt:i4>
      </vt:variant>
      <vt:variant>
        <vt:i4>99</vt:i4>
      </vt:variant>
      <vt:variant>
        <vt:i4>0</vt:i4>
      </vt:variant>
      <vt:variant>
        <vt:i4>5</vt:i4>
      </vt:variant>
      <vt:variant>
        <vt:lpwstr>https://www.hchr.org.mx/index.php?option=com_k2&amp;view=item&amp;id=1273:avances-y-preocupaciones-en-las-leyes-sobre-uso-de-la-fuerza-y-registro-de-detenciones&amp;Itemid=265</vt:lpwstr>
      </vt:variant>
      <vt:variant>
        <vt:lpwstr/>
      </vt:variant>
      <vt:variant>
        <vt:i4>8323143</vt:i4>
      </vt:variant>
      <vt:variant>
        <vt:i4>96</vt:i4>
      </vt:variant>
      <vt:variant>
        <vt:i4>0</vt:i4>
      </vt:variant>
      <vt:variant>
        <vt:i4>5</vt:i4>
      </vt:variant>
      <vt:variant>
        <vt:lpwstr>https://www.youtube.com/watch?v=FreZfTxeR9g</vt:lpwstr>
      </vt:variant>
      <vt:variant>
        <vt:lpwstr/>
      </vt:variant>
      <vt:variant>
        <vt:i4>5111901</vt:i4>
      </vt:variant>
      <vt:variant>
        <vt:i4>93</vt:i4>
      </vt:variant>
      <vt:variant>
        <vt:i4>0</vt:i4>
      </vt:variant>
      <vt:variant>
        <vt:i4>5</vt:i4>
      </vt:variant>
      <vt:variant>
        <vt:lpwstr>http://www.oas.org/es/cidh/docs/anual/2018/docs/IA2018cap.5MX-es.doc</vt:lpwstr>
      </vt:variant>
      <vt:variant>
        <vt:lpwstr/>
      </vt:variant>
      <vt:variant>
        <vt:i4>4390957</vt:i4>
      </vt:variant>
      <vt:variant>
        <vt:i4>90</vt:i4>
      </vt:variant>
      <vt:variant>
        <vt:i4>0</vt:i4>
      </vt:variant>
      <vt:variant>
        <vt:i4>5</vt:i4>
      </vt:variant>
      <vt:variant>
        <vt:lpwstr>https://www.omct.org/files/2019/04/25320/informe_conjunto_oscs_mexico_cat2019.pdf</vt:lpwstr>
      </vt:variant>
      <vt:variant>
        <vt:lpwstr/>
      </vt:variant>
      <vt:variant>
        <vt:i4>5308457</vt:i4>
      </vt:variant>
      <vt:variant>
        <vt:i4>87</vt:i4>
      </vt:variant>
      <vt:variant>
        <vt:i4>0</vt:i4>
      </vt:variant>
      <vt:variant>
        <vt:i4>5</vt:i4>
      </vt:variant>
      <vt:variant>
        <vt:lpwstr>http://hchr.org.mx/images/doc_pub/CAT_C_MEX_CO_7_34944_S.pdf</vt:lpwstr>
      </vt:variant>
      <vt:variant>
        <vt:lpwstr/>
      </vt:variant>
      <vt:variant>
        <vt:i4>1376350</vt:i4>
      </vt:variant>
      <vt:variant>
        <vt:i4>84</vt:i4>
      </vt:variant>
      <vt:variant>
        <vt:i4>0</vt:i4>
      </vt:variant>
      <vt:variant>
        <vt:i4>5</vt:i4>
      </vt:variant>
      <vt:variant>
        <vt:lpwstr>http://www.diputados.gob.mx/LeyesBiblio/pdf/LGPIST_260617.pdf</vt:lpwstr>
      </vt:variant>
      <vt:variant>
        <vt:lpwstr/>
      </vt:variant>
      <vt:variant>
        <vt:i4>4718626</vt:i4>
      </vt:variant>
      <vt:variant>
        <vt:i4>81</vt:i4>
      </vt:variant>
      <vt:variant>
        <vt:i4>0</vt:i4>
      </vt:variant>
      <vt:variant>
        <vt:i4>5</vt:i4>
      </vt:variant>
      <vt:variant>
        <vt:lpwstr>http://www.oas.org/es/cidh/docs/anual/2017/indice.asp</vt:lpwstr>
      </vt:variant>
      <vt:variant>
        <vt:lpwstr/>
      </vt:variant>
      <vt:variant>
        <vt:i4>2687034</vt:i4>
      </vt:variant>
      <vt:variant>
        <vt:i4>78</vt:i4>
      </vt:variant>
      <vt:variant>
        <vt:i4>0</vt:i4>
      </vt:variant>
      <vt:variant>
        <vt:i4>5</vt:i4>
      </vt:variant>
      <vt:variant>
        <vt:lpwstr>https://centroprodh.org.mx/wp-content/uploads/2019/07/Patrones.pdf</vt:lpwstr>
      </vt:variant>
      <vt:variant>
        <vt:lpwstr/>
      </vt:variant>
      <vt:variant>
        <vt:i4>5308457</vt:i4>
      </vt:variant>
      <vt:variant>
        <vt:i4>75</vt:i4>
      </vt:variant>
      <vt:variant>
        <vt:i4>0</vt:i4>
      </vt:variant>
      <vt:variant>
        <vt:i4>5</vt:i4>
      </vt:variant>
      <vt:variant>
        <vt:lpwstr>http://hchr.org.mx/images/doc_pub/CAT_C_MEX_CO_7_34944_S.pdf</vt:lpwstr>
      </vt:variant>
      <vt:variant>
        <vt:lpwstr/>
      </vt:variant>
      <vt:variant>
        <vt:i4>4390957</vt:i4>
      </vt:variant>
      <vt:variant>
        <vt:i4>72</vt:i4>
      </vt:variant>
      <vt:variant>
        <vt:i4>0</vt:i4>
      </vt:variant>
      <vt:variant>
        <vt:i4>5</vt:i4>
      </vt:variant>
      <vt:variant>
        <vt:lpwstr>https://www.omct.org/files/2019/04/25320/informe_conjunto_oscs_mexico_cat2019.pdf</vt:lpwstr>
      </vt:variant>
      <vt:variant>
        <vt:lpwstr/>
      </vt:variant>
      <vt:variant>
        <vt:i4>4390957</vt:i4>
      </vt:variant>
      <vt:variant>
        <vt:i4>69</vt:i4>
      </vt:variant>
      <vt:variant>
        <vt:i4>0</vt:i4>
      </vt:variant>
      <vt:variant>
        <vt:i4>5</vt:i4>
      </vt:variant>
      <vt:variant>
        <vt:lpwstr>https://www.omct.org/files/2019/04/25320/informe_conjunto_oscs_mexico_cat2019.pdf</vt:lpwstr>
      </vt:variant>
      <vt:variant>
        <vt:lpwstr/>
      </vt:variant>
      <vt:variant>
        <vt:i4>4390957</vt:i4>
      </vt:variant>
      <vt:variant>
        <vt:i4>66</vt:i4>
      </vt:variant>
      <vt:variant>
        <vt:i4>0</vt:i4>
      </vt:variant>
      <vt:variant>
        <vt:i4>5</vt:i4>
      </vt:variant>
      <vt:variant>
        <vt:lpwstr>https://www.omct.org/files/2019/04/25320/informe_conjunto_oscs_mexico_cat2019.pdf</vt:lpwstr>
      </vt:variant>
      <vt:variant>
        <vt:lpwstr/>
      </vt:variant>
      <vt:variant>
        <vt:i4>4259963</vt:i4>
      </vt:variant>
      <vt:variant>
        <vt:i4>63</vt:i4>
      </vt:variant>
      <vt:variant>
        <vt:i4>0</vt:i4>
      </vt:variant>
      <vt:variant>
        <vt:i4>5</vt:i4>
      </vt:variant>
      <vt:variant>
        <vt:lpwstr>https://www.gob.mx/segob/prensa/atender-emergencia-forense-en-el-pais-prioridad-del-gobierno-de-mexico-reafirma-alejandro-encinas</vt:lpwstr>
      </vt:variant>
      <vt:variant>
        <vt:lpwstr/>
      </vt:variant>
      <vt:variant>
        <vt:i4>1114158</vt:i4>
      </vt:variant>
      <vt:variant>
        <vt:i4>60</vt:i4>
      </vt:variant>
      <vt:variant>
        <vt:i4>0</vt:i4>
      </vt:variant>
      <vt:variant>
        <vt:i4>5</vt:i4>
      </vt:variant>
      <vt:variant>
        <vt:lpwstr>https://youtu.be/0ZzjN_RmQXw</vt:lpwstr>
      </vt:variant>
      <vt:variant>
        <vt:lpwstr/>
      </vt:variant>
      <vt:variant>
        <vt:i4>1114158</vt:i4>
      </vt:variant>
      <vt:variant>
        <vt:i4>57</vt:i4>
      </vt:variant>
      <vt:variant>
        <vt:i4>0</vt:i4>
      </vt:variant>
      <vt:variant>
        <vt:i4>5</vt:i4>
      </vt:variant>
      <vt:variant>
        <vt:lpwstr>https://youtu.be/0ZzjN_RmQXw</vt:lpwstr>
      </vt:variant>
      <vt:variant>
        <vt:lpwstr/>
      </vt:variant>
      <vt:variant>
        <vt:i4>8323157</vt:i4>
      </vt:variant>
      <vt:variant>
        <vt:i4>54</vt:i4>
      </vt:variant>
      <vt:variant>
        <vt:i4>0</vt:i4>
      </vt:variant>
      <vt:variant>
        <vt:i4>5</vt:i4>
      </vt:variant>
      <vt:variant>
        <vt:lpwstr>https://www.gob.mx/sesnsp/acciones-y-programas/registro-nacional-de-datos-de-personas-extraviadas-o-desaparecidas-rnped</vt:lpwstr>
      </vt:variant>
      <vt:variant>
        <vt:lpwstr/>
      </vt:variant>
      <vt:variant>
        <vt:i4>1310806</vt:i4>
      </vt:variant>
      <vt:variant>
        <vt:i4>51</vt:i4>
      </vt:variant>
      <vt:variant>
        <vt:i4>0</vt:i4>
      </vt:variant>
      <vt:variant>
        <vt:i4>5</vt:i4>
      </vt:variant>
      <vt:variant>
        <vt:lpwstr>https://tbinternet.ohchr.org/Treaties/CCPR/Shared Documents/MEX/CCPR_C_126_D_2750_2016_28688_S.docx</vt:lpwstr>
      </vt:variant>
      <vt:variant>
        <vt:lpwstr/>
      </vt:variant>
      <vt:variant>
        <vt:i4>7077904</vt:i4>
      </vt:variant>
      <vt:variant>
        <vt:i4>48</vt:i4>
      </vt:variant>
      <vt:variant>
        <vt:i4>0</vt:i4>
      </vt:variant>
      <vt:variant>
        <vt:i4>5</vt:i4>
      </vt:variant>
      <vt:variant>
        <vt:lpwstr>https://aplicaciones.pgr.gob.mx/normatecasustantiva/Normateca Sustantiva/Protocolo de Desaparici%C3%B3n Forzada.pdf</vt:lpwstr>
      </vt:variant>
      <vt:variant>
        <vt:lpwstr/>
      </vt:variant>
      <vt:variant>
        <vt:i4>8192084</vt:i4>
      </vt:variant>
      <vt:variant>
        <vt:i4>45</vt:i4>
      </vt:variant>
      <vt:variant>
        <vt:i4>0</vt:i4>
      </vt:variant>
      <vt:variant>
        <vt:i4>5</vt:i4>
      </vt:variant>
      <vt:variant>
        <vt:lpwstr>https://www.gob.mx/cms/uploads/attachment/file/342262/Protocolo_Desaparici_n_Forzada_agosto_2015_Espa_ol.pdf</vt:lpwstr>
      </vt:variant>
      <vt:variant>
        <vt:lpwstr/>
      </vt:variant>
      <vt:variant>
        <vt:i4>6619194</vt:i4>
      </vt:variant>
      <vt:variant>
        <vt:i4>42</vt:i4>
      </vt:variant>
      <vt:variant>
        <vt:i4>0</vt:i4>
      </vt:variant>
      <vt:variant>
        <vt:i4>5</vt:i4>
      </vt:variant>
      <vt:variant>
        <vt:lpwstr>http://www.milenio.com/politica/13-anos-hallaron-3-mil-024-fosas-clandestinas-amlo-522</vt:lpwstr>
      </vt:variant>
      <vt:variant>
        <vt:lpwstr/>
      </vt:variant>
      <vt:variant>
        <vt:i4>4063249</vt:i4>
      </vt:variant>
      <vt:variant>
        <vt:i4>39</vt:i4>
      </vt:variant>
      <vt:variant>
        <vt:i4>0</vt:i4>
      </vt:variant>
      <vt:variant>
        <vt:i4>5</vt:i4>
      </vt:variant>
      <vt:variant>
        <vt:lpwstr>http://www.noticieros.televisa.com/ultimas-noticias/amlo-fosas-clandestinas-personas-desaparecidas-mexico-derechos-humanos/</vt:lpwstr>
      </vt:variant>
      <vt:variant>
        <vt:lpwstr/>
      </vt:variant>
      <vt:variant>
        <vt:i4>8061016</vt:i4>
      </vt:variant>
      <vt:variant>
        <vt:i4>36</vt:i4>
      </vt:variant>
      <vt:variant>
        <vt:i4>0</vt:i4>
      </vt:variant>
      <vt:variant>
        <vt:i4>5</vt:i4>
      </vt:variant>
      <vt:variant>
        <vt:lpwstr>https://twitter.com/segob_mx/status/1192504822827642880?s=12</vt:lpwstr>
      </vt:variant>
      <vt:variant>
        <vt:lpwstr/>
      </vt:variant>
      <vt:variant>
        <vt:i4>7143523</vt:i4>
      </vt:variant>
      <vt:variant>
        <vt:i4>33</vt:i4>
      </vt:variant>
      <vt:variant>
        <vt:i4>0</vt:i4>
      </vt:variant>
      <vt:variant>
        <vt:i4>5</vt:i4>
      </vt:variant>
      <vt:variant>
        <vt:lpwstr>http://aga.funcionpublica.gob.mx/aga/Home/Documento?doc=1. Nota T%C3%A9cnica Programa Nacional de Exhumaciones.pdf</vt:lpwstr>
      </vt:variant>
      <vt:variant>
        <vt:lpwstr/>
      </vt:variant>
      <vt:variant>
        <vt:i4>7995396</vt:i4>
      </vt:variant>
      <vt:variant>
        <vt:i4>30</vt:i4>
      </vt:variant>
      <vt:variant>
        <vt:i4>0</vt:i4>
      </vt:variant>
      <vt:variant>
        <vt:i4>5</vt:i4>
      </vt:variant>
      <vt:variant>
        <vt:lpwstr>https://youtu.be/C1KX9EnjT8g?t=1529</vt:lpwstr>
      </vt:variant>
      <vt:variant>
        <vt:lpwstr/>
      </vt:variant>
      <vt:variant>
        <vt:i4>2293879</vt:i4>
      </vt:variant>
      <vt:variant>
        <vt:i4>27</vt:i4>
      </vt:variant>
      <vt:variant>
        <vt:i4>0</vt:i4>
      </vt:variant>
      <vt:variant>
        <vt:i4>5</vt:i4>
      </vt:variant>
      <vt:variant>
        <vt:lpwstr>https://www.animalpolitico.com/2019/08/acciones-busqueda-desaparecidos-propuesta-amlo/</vt:lpwstr>
      </vt:variant>
      <vt:variant>
        <vt:lpwstr/>
      </vt:variant>
      <vt:variant>
        <vt:i4>5701650</vt:i4>
      </vt:variant>
      <vt:variant>
        <vt:i4>24</vt:i4>
      </vt:variant>
      <vt:variant>
        <vt:i4>0</vt:i4>
      </vt:variant>
      <vt:variant>
        <vt:i4>5</vt:i4>
      </vt:variant>
      <vt:variant>
        <vt:lpwstr>https://www.jornada.com.mx/ultimas/politica/2019/08/30/instruye-amlo-siete-acciones-para-busqueda-de-desaparecidos-3749.html</vt:lpwstr>
      </vt:variant>
      <vt:variant>
        <vt:lpwstr/>
      </vt:variant>
      <vt:variant>
        <vt:i4>5374022</vt:i4>
      </vt:variant>
      <vt:variant>
        <vt:i4>21</vt:i4>
      </vt:variant>
      <vt:variant>
        <vt:i4>0</vt:i4>
      </vt:variant>
      <vt:variant>
        <vt:i4>5</vt:i4>
      </vt:variant>
      <vt:variant>
        <vt:lpwstr>http://hchr.org.mx/index.php?option=com_k2&amp;view=itemlist&amp;layout=category&amp;task=category&amp;id=35&amp;Itemid=396</vt:lpwstr>
      </vt:variant>
      <vt:variant>
        <vt:lpwstr/>
      </vt:variant>
      <vt:variant>
        <vt:i4>4194370</vt:i4>
      </vt:variant>
      <vt:variant>
        <vt:i4>18</vt:i4>
      </vt:variant>
      <vt:variant>
        <vt:i4>0</vt:i4>
      </vt:variant>
      <vt:variant>
        <vt:i4>5</vt:i4>
      </vt:variant>
      <vt:variant>
        <vt:lpwstr>http://www.oas.org/es/cidh/informes/pais.asp</vt:lpwstr>
      </vt:variant>
      <vt:variant>
        <vt:lpwstr/>
      </vt:variant>
      <vt:variant>
        <vt:i4>2818070</vt:i4>
      </vt:variant>
      <vt:variant>
        <vt:i4>15</vt:i4>
      </vt:variant>
      <vt:variant>
        <vt:i4>0</vt:i4>
      </vt:variant>
      <vt:variant>
        <vt:i4>5</vt:i4>
      </vt:variant>
      <vt:variant>
        <vt:lpwstr>https://www.hchr.org.mx/index.php?option=com_k2&amp;view=item&amp;id=1236:la-onu-dh-saluda-los-cambios-positivos-sobre-guardia-nacional&amp;Itemid=265</vt:lpwstr>
      </vt:variant>
      <vt:variant>
        <vt:lpwstr/>
      </vt:variant>
      <vt:variant>
        <vt:i4>6750244</vt:i4>
      </vt:variant>
      <vt:variant>
        <vt:i4>12</vt:i4>
      </vt:variant>
      <vt:variant>
        <vt:i4>0</vt:i4>
      </vt:variant>
      <vt:variant>
        <vt:i4>5</vt:i4>
      </vt:variant>
      <vt:variant>
        <vt:lpwstr>http://www.diputados.gob.mx/LeyesBiblio/pdf/LNUF_270519.pdf</vt:lpwstr>
      </vt:variant>
      <vt:variant>
        <vt:lpwstr/>
      </vt:variant>
      <vt:variant>
        <vt:i4>6750244</vt:i4>
      </vt:variant>
      <vt:variant>
        <vt:i4>9</vt:i4>
      </vt:variant>
      <vt:variant>
        <vt:i4>0</vt:i4>
      </vt:variant>
      <vt:variant>
        <vt:i4>5</vt:i4>
      </vt:variant>
      <vt:variant>
        <vt:lpwstr>http://www.diputados.gob.mx/LeyesBiblio/pdf/LNUF_270519.pdf</vt:lpwstr>
      </vt:variant>
      <vt:variant>
        <vt:lpwstr/>
      </vt:variant>
      <vt:variant>
        <vt:i4>7798837</vt:i4>
      </vt:variant>
      <vt:variant>
        <vt:i4>6</vt:i4>
      </vt:variant>
      <vt:variant>
        <vt:i4>0</vt:i4>
      </vt:variant>
      <vt:variant>
        <vt:i4>5</vt:i4>
      </vt:variant>
      <vt:variant>
        <vt:lpwstr>http://www.diputados.gob.mx/LeyesBiblio/ref/dof/CPEUM_ref_235_26mar19.pdf</vt:lpwstr>
      </vt:variant>
      <vt:variant>
        <vt:lpwstr/>
      </vt:variant>
      <vt:variant>
        <vt:i4>7667764</vt:i4>
      </vt:variant>
      <vt:variant>
        <vt:i4>3</vt:i4>
      </vt:variant>
      <vt:variant>
        <vt:i4>0</vt:i4>
      </vt:variant>
      <vt:variant>
        <vt:i4>5</vt:i4>
      </vt:variant>
      <vt:variant>
        <vt:lpwstr>http://www.oas.org/es/cidh/prensa/comunicados/2018/251.asp</vt:lpwstr>
      </vt:variant>
      <vt:variant>
        <vt:lpwstr/>
      </vt:variant>
      <vt:variant>
        <vt:i4>79</vt:i4>
      </vt:variant>
      <vt:variant>
        <vt:i4>614209</vt:i4>
      </vt:variant>
      <vt:variant>
        <vt:i4>1027</vt:i4>
      </vt:variant>
      <vt:variant>
        <vt:i4>1</vt:i4>
      </vt:variant>
      <vt:variant>
        <vt:lpwstr>cidh-peq</vt:lpwstr>
      </vt:variant>
      <vt:variant>
        <vt:lpwstr/>
      </vt:variant>
      <vt:variant>
        <vt:i4>6553689</vt:i4>
      </vt:variant>
      <vt:variant>
        <vt:i4>-1</vt:i4>
      </vt:variant>
      <vt:variant>
        <vt:i4>2050</vt:i4>
      </vt:variant>
      <vt:variant>
        <vt:i4>1</vt:i4>
      </vt:variant>
      <vt:variant>
        <vt:lpwstr>cidh-es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Anual 2019 - Capítulo V México</dc:title>
  <dc:subject/>
  <dc:creator/>
  <cp:keywords/>
  <dc:description/>
  <cp:lastModifiedBy/>
  <cp:revision>1</cp:revision>
  <dcterms:created xsi:type="dcterms:W3CDTF">2020-02-21T20:28:00Z</dcterms:created>
  <dcterms:modified xsi:type="dcterms:W3CDTF">2020-03-10T19:29:00Z</dcterms:modified>
</cp:coreProperties>
</file>