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3B7" w:rsidRPr="00C45F6D" w:rsidRDefault="00F053B7" w:rsidP="003A43CA">
      <w:pPr>
        <w:shd w:val="clear" w:color="auto" w:fill="FFFFFF"/>
        <w:spacing w:after="0" w:line="240" w:lineRule="auto"/>
        <w:jc w:val="center"/>
        <w:rPr>
          <w:rFonts w:ascii="Cambria" w:hAnsi="Cambria" w:cs="Cambria"/>
          <w:b/>
          <w:bCs/>
          <w:sz w:val="32"/>
          <w:szCs w:val="32"/>
        </w:rPr>
      </w:pPr>
      <w:bookmarkStart w:id="0" w:name="_GoBack"/>
      <w:bookmarkEnd w:id="0"/>
    </w:p>
    <w:p w:rsidR="00F053B7" w:rsidRPr="00C45F6D" w:rsidRDefault="00F053B7" w:rsidP="003A43CA">
      <w:pPr>
        <w:shd w:val="clear" w:color="auto" w:fill="FFFFFF"/>
        <w:spacing w:after="0" w:line="240" w:lineRule="auto"/>
        <w:jc w:val="center"/>
        <w:rPr>
          <w:rFonts w:ascii="Cambria" w:hAnsi="Cambria" w:cs="Cambria"/>
          <w:b/>
          <w:bCs/>
          <w:sz w:val="32"/>
          <w:szCs w:val="32"/>
        </w:rPr>
      </w:pPr>
      <w:r w:rsidRPr="00C45F6D">
        <w:rPr>
          <w:rFonts w:ascii="Cambria" w:hAnsi="Cambria" w:cs="Cambria"/>
          <w:b/>
          <w:bCs/>
          <w:sz w:val="32"/>
          <w:szCs w:val="32"/>
        </w:rPr>
        <w:t>CHAPTER V</w:t>
      </w:r>
    </w:p>
    <w:p w:rsidR="00650382" w:rsidRDefault="00650382" w:rsidP="003A43CA">
      <w:pPr>
        <w:shd w:val="clear" w:color="auto" w:fill="FFFFFF"/>
        <w:spacing w:after="0" w:line="240" w:lineRule="auto"/>
        <w:jc w:val="center"/>
        <w:rPr>
          <w:rFonts w:ascii="Cambria" w:hAnsi="Cambria" w:cs="Cambria"/>
          <w:b/>
          <w:bCs/>
          <w:sz w:val="32"/>
          <w:szCs w:val="32"/>
        </w:rPr>
      </w:pPr>
    </w:p>
    <w:p w:rsidR="00F053B7" w:rsidRPr="00C45F6D" w:rsidRDefault="00F053B7" w:rsidP="003A43CA">
      <w:pPr>
        <w:shd w:val="clear" w:color="auto" w:fill="FFFFFF"/>
        <w:spacing w:after="0" w:line="240" w:lineRule="auto"/>
        <w:jc w:val="center"/>
        <w:rPr>
          <w:rFonts w:ascii="Cambria" w:hAnsi="Cambria" w:cs="Cambria"/>
          <w:b/>
          <w:bCs/>
          <w:sz w:val="32"/>
          <w:szCs w:val="32"/>
        </w:rPr>
      </w:pPr>
      <w:r w:rsidRPr="00C45F6D">
        <w:rPr>
          <w:rFonts w:ascii="Cambria" w:hAnsi="Cambria" w:cs="Cambria"/>
          <w:b/>
          <w:bCs/>
          <w:sz w:val="32"/>
          <w:szCs w:val="32"/>
        </w:rPr>
        <w:t xml:space="preserve">FOLLOW-UP ON RECOMMENDATIONS ISSUED BY THE IACHR IN ITS COUNTRY AND THEMATIC REPORTS </w:t>
      </w:r>
    </w:p>
    <w:p w:rsidR="00F053B7" w:rsidRPr="00C45F6D" w:rsidRDefault="00F053B7" w:rsidP="003A43CA">
      <w:pPr>
        <w:shd w:val="clear" w:color="auto" w:fill="FFFFFF"/>
        <w:spacing w:after="0" w:line="240" w:lineRule="auto"/>
        <w:jc w:val="center"/>
        <w:rPr>
          <w:rFonts w:ascii="Cambria" w:hAnsi="Cambria" w:cs="Cambria"/>
          <w:b/>
          <w:bCs/>
        </w:rPr>
      </w:pPr>
    </w:p>
    <w:p w:rsidR="00F053B7" w:rsidRPr="00C45F6D" w:rsidRDefault="00F053B7" w:rsidP="003A43CA">
      <w:pPr>
        <w:spacing w:after="0" w:line="240" w:lineRule="auto"/>
        <w:jc w:val="both"/>
      </w:pPr>
    </w:p>
    <w:p w:rsidR="00F053B7" w:rsidRPr="0011062D" w:rsidRDefault="00F053B7" w:rsidP="003A43CA">
      <w:pPr>
        <w:spacing w:after="0" w:line="240" w:lineRule="auto"/>
        <w:ind w:firstLine="720"/>
        <w:jc w:val="both"/>
        <w:rPr>
          <w:rFonts w:ascii="Cambria" w:hAnsi="Cambria" w:cs="Cambria"/>
          <w:b/>
          <w:bCs/>
          <w:szCs w:val="20"/>
        </w:rPr>
      </w:pPr>
      <w:r w:rsidRPr="0011062D">
        <w:rPr>
          <w:rFonts w:ascii="Cambria" w:hAnsi="Cambria" w:cs="Cambria"/>
          <w:b/>
          <w:bCs/>
          <w:szCs w:val="20"/>
        </w:rPr>
        <w:t xml:space="preserve">INTRODUCTION </w:t>
      </w:r>
    </w:p>
    <w:p w:rsidR="00F053B7" w:rsidRPr="00C45F6D" w:rsidRDefault="00F053B7" w:rsidP="003A43CA">
      <w:pPr>
        <w:spacing w:after="0" w:line="240" w:lineRule="auto"/>
        <w:ind w:firstLine="720"/>
        <w:jc w:val="both"/>
        <w:rPr>
          <w:rFonts w:ascii="Cambria" w:hAnsi="Cambria" w:cs="Cambria"/>
          <w:b/>
          <w:bCs/>
          <w:sz w:val="20"/>
          <w:szCs w:val="20"/>
        </w:rPr>
      </w:pPr>
    </w:p>
    <w:p w:rsidR="00F053B7" w:rsidRPr="00C45F6D" w:rsidRDefault="00F053B7" w:rsidP="003A43CA">
      <w:pPr>
        <w:pStyle w:val="ListParagraph"/>
        <w:numPr>
          <w:ilvl w:val="0"/>
          <w:numId w:val="12"/>
        </w:numPr>
        <w:tabs>
          <w:tab w:val="left" w:pos="-720"/>
        </w:tabs>
        <w:suppressAutoHyphens/>
        <w:ind w:left="0" w:firstLine="720"/>
        <w:jc w:val="both"/>
        <w:rPr>
          <w:rFonts w:ascii="Cambria" w:hAnsi="Cambria" w:cs="Cambria"/>
          <w:sz w:val="20"/>
          <w:szCs w:val="20"/>
        </w:rPr>
      </w:pPr>
      <w:r w:rsidRPr="00C45F6D">
        <w:rPr>
          <w:rFonts w:ascii="Cambria" w:hAnsi="Cambria" w:cs="Cambria"/>
          <w:color w:val="000000"/>
          <w:sz w:val="20"/>
          <w:szCs w:val="20"/>
        </w:rPr>
        <w:t>In this chapter, the IACHR provides follow-up on the measures adopted to implement the recommendations formulated in its country and thematic reports, or in reports published previously in Chapter IV.B of its Annual Report, in compliance with Article 59 of its Rules of Procedure.</w:t>
      </w:r>
      <w:r w:rsidRPr="00C45F6D">
        <w:rPr>
          <w:vertAlign w:val="superscript"/>
        </w:rPr>
        <w:footnoteReference w:id="1"/>
      </w:r>
      <w:r w:rsidRPr="00C45F6D">
        <w:rPr>
          <w:rFonts w:ascii="Cambria" w:hAnsi="Cambria" w:cs="Cambria"/>
          <w:color w:val="000000"/>
          <w:sz w:val="20"/>
          <w:szCs w:val="20"/>
        </w:rPr>
        <w:t xml:space="preserve"> In keeping with that provision, the IACHR highlights the progress made and the difficulties encountered in the effective observance of human rights in the region.</w:t>
      </w:r>
    </w:p>
    <w:p w:rsidR="00F053B7" w:rsidRPr="00C45F6D" w:rsidRDefault="00F053B7" w:rsidP="003A43CA">
      <w:pPr>
        <w:tabs>
          <w:tab w:val="left" w:pos="-720"/>
        </w:tabs>
        <w:suppressAutoHyphens/>
        <w:spacing w:after="0" w:line="240" w:lineRule="auto"/>
        <w:ind w:firstLine="720"/>
        <w:jc w:val="both"/>
        <w:rPr>
          <w:rFonts w:ascii="Cambria" w:hAnsi="Cambria" w:cs="Cambria"/>
          <w:sz w:val="20"/>
          <w:szCs w:val="20"/>
        </w:rPr>
      </w:pPr>
    </w:p>
    <w:p w:rsidR="00F053B7" w:rsidRPr="00C45F6D" w:rsidRDefault="00F053B7" w:rsidP="003A43CA">
      <w:pPr>
        <w:pStyle w:val="ListParagraph"/>
        <w:numPr>
          <w:ilvl w:val="0"/>
          <w:numId w:val="12"/>
        </w:numPr>
        <w:tabs>
          <w:tab w:val="left" w:pos="-720"/>
        </w:tabs>
        <w:suppressAutoHyphens/>
        <w:ind w:left="0" w:firstLine="720"/>
        <w:jc w:val="both"/>
        <w:rPr>
          <w:rFonts w:ascii="Cambria" w:hAnsi="Cambria" w:cs="Cambria"/>
          <w:sz w:val="20"/>
          <w:szCs w:val="20"/>
        </w:rPr>
      </w:pPr>
      <w:r w:rsidRPr="00C45F6D">
        <w:rPr>
          <w:rFonts w:ascii="Cambria" w:hAnsi="Cambria" w:cs="Cambria"/>
          <w:sz w:val="20"/>
          <w:szCs w:val="20"/>
        </w:rPr>
        <w:t>On August 3, 2018, the Commission approved the preparation of follow-up reports in connection with the country reports on Colombia,</w:t>
      </w:r>
      <w:r w:rsidRPr="00C45F6D">
        <w:rPr>
          <w:rStyle w:val="FootnoteReference"/>
          <w:rFonts w:ascii="Cambria" w:hAnsi="Cambria" w:cs="Cambria"/>
          <w:sz w:val="20"/>
          <w:szCs w:val="20"/>
        </w:rPr>
        <w:footnoteReference w:id="2"/>
      </w:r>
      <w:r w:rsidRPr="00C45F6D">
        <w:rPr>
          <w:rFonts w:ascii="Cambria" w:hAnsi="Cambria" w:cs="Cambria"/>
          <w:sz w:val="20"/>
          <w:szCs w:val="20"/>
        </w:rPr>
        <w:t xml:space="preserve"> Guatemala,</w:t>
      </w:r>
      <w:r w:rsidRPr="00C45F6D">
        <w:rPr>
          <w:rStyle w:val="FootnoteReference"/>
          <w:rFonts w:ascii="Cambria" w:hAnsi="Cambria" w:cs="Cambria"/>
          <w:sz w:val="20"/>
          <w:szCs w:val="20"/>
        </w:rPr>
        <w:footnoteReference w:id="3"/>
      </w:r>
      <w:r w:rsidRPr="00C45F6D">
        <w:rPr>
          <w:rFonts w:ascii="Cambria" w:hAnsi="Cambria" w:cs="Cambria"/>
          <w:sz w:val="20"/>
          <w:szCs w:val="20"/>
        </w:rPr>
        <w:t xml:space="preserve"> Mexico,</w:t>
      </w:r>
      <w:r w:rsidRPr="00C45F6D">
        <w:rPr>
          <w:rFonts w:ascii="Cambria" w:hAnsi="Cambria" w:cs="Cambria"/>
          <w:sz w:val="20"/>
          <w:szCs w:val="20"/>
          <w:vertAlign w:val="superscript"/>
        </w:rPr>
        <w:footnoteReference w:id="4"/>
      </w:r>
      <w:r w:rsidRPr="00C45F6D">
        <w:rPr>
          <w:rFonts w:ascii="Cambria" w:hAnsi="Cambria" w:cs="Cambria"/>
          <w:sz w:val="20"/>
          <w:szCs w:val="20"/>
        </w:rPr>
        <w:t xml:space="preserve"> and the Dominican Republic.</w:t>
      </w:r>
      <w:r w:rsidRPr="00C45F6D">
        <w:rPr>
          <w:rStyle w:val="FootnoteReference"/>
          <w:rFonts w:ascii="Cambria" w:hAnsi="Cambria" w:cs="Cambria"/>
          <w:sz w:val="20"/>
          <w:szCs w:val="20"/>
        </w:rPr>
        <w:footnoteReference w:id="5"/>
      </w:r>
    </w:p>
    <w:p w:rsidR="00F053B7" w:rsidRPr="00C45F6D" w:rsidRDefault="00F053B7" w:rsidP="003A43CA">
      <w:pPr>
        <w:tabs>
          <w:tab w:val="left" w:pos="-720"/>
        </w:tabs>
        <w:suppressAutoHyphens/>
        <w:spacing w:after="0" w:line="240" w:lineRule="auto"/>
        <w:ind w:firstLine="720"/>
        <w:jc w:val="both"/>
        <w:rPr>
          <w:rFonts w:ascii="Cambria" w:hAnsi="Cambria" w:cs="Cambria"/>
          <w:color w:val="000000"/>
          <w:sz w:val="20"/>
          <w:szCs w:val="20"/>
        </w:rPr>
      </w:pPr>
    </w:p>
    <w:p w:rsidR="00F053B7" w:rsidRPr="00C45F6D" w:rsidRDefault="00F053B7" w:rsidP="003A43CA">
      <w:pPr>
        <w:numPr>
          <w:ilvl w:val="0"/>
          <w:numId w:val="1"/>
        </w:numPr>
        <w:tabs>
          <w:tab w:val="left" w:pos="-720"/>
        </w:tabs>
        <w:suppressAutoHyphens/>
        <w:spacing w:after="0" w:line="240" w:lineRule="auto"/>
        <w:ind w:left="0" w:firstLine="720"/>
        <w:jc w:val="both"/>
        <w:rPr>
          <w:rFonts w:ascii="Cambria" w:hAnsi="Cambria" w:cs="Cambria"/>
          <w:b/>
          <w:bCs/>
          <w:color w:val="000000"/>
          <w:sz w:val="20"/>
          <w:szCs w:val="20"/>
        </w:rPr>
      </w:pPr>
      <w:r w:rsidRPr="00C45F6D">
        <w:rPr>
          <w:rFonts w:ascii="Cambria" w:hAnsi="Cambria" w:cs="Cambria"/>
          <w:b/>
          <w:bCs/>
          <w:color w:val="000000"/>
          <w:sz w:val="20"/>
          <w:szCs w:val="20"/>
        </w:rPr>
        <w:t>Working method</w:t>
      </w:r>
    </w:p>
    <w:p w:rsidR="00F053B7" w:rsidRPr="00C45F6D" w:rsidRDefault="00F053B7" w:rsidP="003A43CA">
      <w:pPr>
        <w:tabs>
          <w:tab w:val="left" w:pos="-720"/>
        </w:tabs>
        <w:suppressAutoHyphens/>
        <w:spacing w:after="0" w:line="240" w:lineRule="auto"/>
        <w:ind w:firstLine="720"/>
        <w:jc w:val="both"/>
        <w:rPr>
          <w:rFonts w:ascii="Cambria" w:hAnsi="Cambria" w:cs="Cambria"/>
          <w:sz w:val="20"/>
          <w:szCs w:val="20"/>
        </w:rPr>
      </w:pPr>
    </w:p>
    <w:p w:rsidR="00F053B7" w:rsidRDefault="00F719DD" w:rsidP="003A43CA">
      <w:pPr>
        <w:pStyle w:val="ListParagraph"/>
        <w:numPr>
          <w:ilvl w:val="0"/>
          <w:numId w:val="12"/>
        </w:numPr>
        <w:tabs>
          <w:tab w:val="left" w:pos="-720"/>
        </w:tabs>
        <w:suppressAutoHyphens/>
        <w:ind w:left="0" w:firstLine="720"/>
        <w:jc w:val="both"/>
        <w:rPr>
          <w:rFonts w:ascii="Cambria" w:hAnsi="Cambria" w:cs="Cambria"/>
          <w:sz w:val="20"/>
          <w:szCs w:val="20"/>
        </w:rPr>
      </w:pPr>
      <w:r>
        <w:rPr>
          <w:rFonts w:ascii="Cambria" w:hAnsi="Cambria" w:cs="Cambria"/>
          <w:sz w:val="20"/>
          <w:szCs w:val="20"/>
        </w:rPr>
        <w:t>For the preparation of this</w:t>
      </w:r>
      <w:r w:rsidR="00F053B7" w:rsidRPr="00C45F6D">
        <w:rPr>
          <w:rFonts w:ascii="Cambria" w:hAnsi="Cambria" w:cs="Cambria"/>
          <w:sz w:val="20"/>
          <w:szCs w:val="20"/>
        </w:rPr>
        <w:t xml:space="preserve"> section, the IACHR </w:t>
      </w:r>
      <w:r>
        <w:rPr>
          <w:rFonts w:ascii="Cambria" w:hAnsi="Cambria" w:cs="Cambria"/>
          <w:sz w:val="20"/>
          <w:szCs w:val="20"/>
        </w:rPr>
        <w:t xml:space="preserve">requested information </w:t>
      </w:r>
      <w:r w:rsidR="00D0647C">
        <w:rPr>
          <w:rFonts w:ascii="Cambria" w:hAnsi="Cambria" w:cs="Cambria"/>
          <w:sz w:val="20"/>
          <w:szCs w:val="20"/>
        </w:rPr>
        <w:t>from</w:t>
      </w:r>
      <w:r w:rsidRPr="00C45F6D">
        <w:rPr>
          <w:rFonts w:ascii="Cambria" w:hAnsi="Cambria" w:cs="Cambria"/>
          <w:sz w:val="20"/>
          <w:szCs w:val="20"/>
        </w:rPr>
        <w:t xml:space="preserve"> </w:t>
      </w:r>
      <w:r w:rsidR="00F053B7" w:rsidRPr="00C45F6D">
        <w:rPr>
          <w:rFonts w:ascii="Cambria" w:hAnsi="Cambria" w:cs="Cambria"/>
          <w:sz w:val="20"/>
          <w:szCs w:val="20"/>
        </w:rPr>
        <w:t xml:space="preserve">the States </w:t>
      </w:r>
      <w:r>
        <w:rPr>
          <w:rFonts w:ascii="Cambria" w:hAnsi="Cambria" w:cs="Cambria"/>
          <w:sz w:val="20"/>
          <w:szCs w:val="20"/>
        </w:rPr>
        <w:t>concerned</w:t>
      </w:r>
      <w:r w:rsidR="00F053B7" w:rsidRPr="00C45F6D">
        <w:rPr>
          <w:rFonts w:ascii="Cambria" w:hAnsi="Cambria" w:cs="Cambria"/>
          <w:sz w:val="20"/>
          <w:szCs w:val="20"/>
        </w:rPr>
        <w:t>, the</w:t>
      </w:r>
      <w:r w:rsidR="00D0647C">
        <w:rPr>
          <w:rFonts w:ascii="Cambria" w:hAnsi="Cambria" w:cs="Cambria"/>
          <w:sz w:val="20"/>
          <w:szCs w:val="20"/>
        </w:rPr>
        <w:t xml:space="preserve"> ombudsmen’s offices</w:t>
      </w:r>
      <w:r w:rsidR="00F053B7" w:rsidRPr="00C45F6D">
        <w:rPr>
          <w:rFonts w:ascii="Cambria" w:hAnsi="Cambria" w:cs="Cambria"/>
          <w:sz w:val="20"/>
          <w:szCs w:val="20"/>
        </w:rPr>
        <w:t>, and</w:t>
      </w:r>
      <w:r w:rsidR="00D0647C">
        <w:rPr>
          <w:rFonts w:ascii="Cambria" w:hAnsi="Cambria" w:cs="Cambria"/>
          <w:sz w:val="20"/>
          <w:szCs w:val="20"/>
        </w:rPr>
        <w:t xml:space="preserve"> the</w:t>
      </w:r>
      <w:r w:rsidR="00F053B7" w:rsidRPr="00C45F6D">
        <w:rPr>
          <w:rFonts w:ascii="Cambria" w:hAnsi="Cambria" w:cs="Cambria"/>
          <w:sz w:val="20"/>
          <w:szCs w:val="20"/>
        </w:rPr>
        <w:t xml:space="preserve"> civil society organizations</w:t>
      </w:r>
      <w:r w:rsidR="00D0647C">
        <w:rPr>
          <w:rFonts w:ascii="Cambria" w:hAnsi="Cambria" w:cs="Cambria"/>
          <w:sz w:val="20"/>
          <w:szCs w:val="20"/>
        </w:rPr>
        <w:t xml:space="preserve"> of</w:t>
      </w:r>
      <w:r w:rsidR="00D0647C" w:rsidRPr="00D0647C">
        <w:rPr>
          <w:rFonts w:ascii="Cambria" w:hAnsi="Cambria" w:cs="Cambria"/>
          <w:sz w:val="20"/>
          <w:szCs w:val="20"/>
        </w:rPr>
        <w:t xml:space="preserve"> those countries regarding compliance with the recommendations contained in the country report</w:t>
      </w:r>
      <w:r w:rsidR="00D0647C">
        <w:rPr>
          <w:rFonts w:ascii="Cambria" w:hAnsi="Cambria" w:cs="Cambria"/>
          <w:sz w:val="20"/>
          <w:szCs w:val="20"/>
        </w:rPr>
        <w:t xml:space="preserve">. </w:t>
      </w:r>
      <w:r w:rsidR="00F053B7" w:rsidRPr="00C45F6D">
        <w:rPr>
          <w:rFonts w:ascii="Cambria" w:hAnsi="Cambria" w:cs="Cambria"/>
          <w:sz w:val="20"/>
          <w:szCs w:val="20"/>
        </w:rPr>
        <w:t>. In its letter submitting that request to the States, the IACHR included some general guidelines for the presentation of that information. In addition to the official documents received</w:t>
      </w:r>
      <w:r w:rsidR="00F053B7">
        <w:rPr>
          <w:rFonts w:ascii="Cambria" w:hAnsi="Cambria" w:cs="Cambria"/>
          <w:sz w:val="20"/>
          <w:szCs w:val="20"/>
        </w:rPr>
        <w:t xml:space="preserve"> </w:t>
      </w:r>
      <w:r w:rsidR="00D0647C" w:rsidRPr="00C40E77">
        <w:rPr>
          <w:rFonts w:ascii="Cambria" w:hAnsi="Cambria"/>
        </w:rPr>
        <w:t>or of public access</w:t>
      </w:r>
      <w:r w:rsidR="00F053B7" w:rsidRPr="00C45F6D">
        <w:rPr>
          <w:rFonts w:ascii="Cambria" w:hAnsi="Cambria" w:cs="Cambria"/>
          <w:sz w:val="20"/>
          <w:szCs w:val="20"/>
        </w:rPr>
        <w:t>, it also made use of documents and reports from universal human rights protection agencies</w:t>
      </w:r>
      <w:r w:rsidR="00D0647C">
        <w:rPr>
          <w:rFonts w:ascii="Cambria" w:hAnsi="Cambria"/>
        </w:rPr>
        <w:t xml:space="preserve">, as well as </w:t>
      </w:r>
      <w:r w:rsidR="00F053B7" w:rsidRPr="00C45F6D">
        <w:rPr>
          <w:rFonts w:ascii="Cambria" w:hAnsi="Cambria" w:cs="Cambria"/>
          <w:sz w:val="20"/>
          <w:szCs w:val="20"/>
        </w:rPr>
        <w:t>from civil society organizations and the media. The IACHR also used information generated by the different mechanisms through which it monitors the situation in the countries, including public hearings, thematic visits, requests for information under Article 41 of the American Convention, precautionary measures</w:t>
      </w:r>
      <w:r w:rsidR="00D0647C">
        <w:rPr>
          <w:rFonts w:ascii="Cambria" w:hAnsi="Cambria"/>
        </w:rPr>
        <w:t>,</w:t>
      </w:r>
      <w:r w:rsidR="00D0647C" w:rsidRPr="00C40E77">
        <w:rPr>
          <w:rFonts w:ascii="Cambria" w:hAnsi="Cambria"/>
        </w:rPr>
        <w:t xml:space="preserve"> among others</w:t>
      </w:r>
      <w:proofErr w:type="gramStart"/>
      <w:r w:rsidR="00D0647C" w:rsidRPr="00C40E77">
        <w:t>.</w:t>
      </w:r>
      <w:r w:rsidR="00F053B7" w:rsidRPr="00C45F6D">
        <w:rPr>
          <w:rFonts w:ascii="Cambria" w:hAnsi="Cambria" w:cs="Cambria"/>
          <w:sz w:val="20"/>
          <w:szCs w:val="20"/>
        </w:rPr>
        <w:t>.</w:t>
      </w:r>
      <w:proofErr w:type="gramEnd"/>
      <w:r w:rsidR="00F053B7" w:rsidRPr="00C45F6D">
        <w:rPr>
          <w:rFonts w:ascii="Cambria" w:hAnsi="Cambria" w:cs="Cambria"/>
          <w:sz w:val="20"/>
          <w:szCs w:val="20"/>
        </w:rPr>
        <w:t xml:space="preserve"> </w:t>
      </w:r>
    </w:p>
    <w:p w:rsidR="00F053B7" w:rsidRPr="00C45F6D" w:rsidRDefault="00F053B7" w:rsidP="00BD4A9B">
      <w:pPr>
        <w:tabs>
          <w:tab w:val="left" w:pos="-720"/>
        </w:tabs>
        <w:suppressAutoHyphens/>
        <w:spacing w:after="0" w:line="240" w:lineRule="auto"/>
        <w:jc w:val="both"/>
        <w:rPr>
          <w:rFonts w:ascii="Cambria" w:hAnsi="Cambria" w:cs="Cambria"/>
          <w:sz w:val="20"/>
          <w:szCs w:val="20"/>
        </w:rPr>
      </w:pPr>
    </w:p>
    <w:p w:rsidR="00F053B7" w:rsidRPr="00C45F6D" w:rsidRDefault="00F053B7" w:rsidP="003A43CA">
      <w:pPr>
        <w:pStyle w:val="ListParagraph"/>
        <w:numPr>
          <w:ilvl w:val="0"/>
          <w:numId w:val="12"/>
        </w:numPr>
        <w:tabs>
          <w:tab w:val="left" w:pos="-720"/>
        </w:tabs>
        <w:suppressAutoHyphens/>
        <w:ind w:left="0" w:firstLine="720"/>
        <w:jc w:val="both"/>
        <w:rPr>
          <w:rFonts w:ascii="Cambria" w:hAnsi="Cambria" w:cs="Cambria"/>
          <w:sz w:val="20"/>
          <w:szCs w:val="20"/>
        </w:rPr>
      </w:pPr>
      <w:r w:rsidRPr="00C45F6D">
        <w:rPr>
          <w:rFonts w:ascii="Cambria" w:hAnsi="Cambria" w:cs="Cambria"/>
          <w:sz w:val="20"/>
          <w:szCs w:val="20"/>
        </w:rPr>
        <w:t xml:space="preserve">In order </w:t>
      </w:r>
      <w:r w:rsidR="002E171B" w:rsidRPr="00581161">
        <w:rPr>
          <w:rFonts w:ascii="Cambria" w:hAnsi="Cambria"/>
          <w:sz w:val="20"/>
        </w:rPr>
        <w:t>of improving the methodology for following up on the recommendations of the country reports for the evaluation of their full compliance, and observing their mandates and the Strategic Plan 2017-2021, the IACHR decided to classify the levels of compliance with the recommendations</w:t>
      </w:r>
      <w:r w:rsidR="002E171B">
        <w:rPr>
          <w:rFonts w:ascii="Cambria" w:hAnsi="Cambria"/>
          <w:sz w:val="20"/>
        </w:rPr>
        <w:t xml:space="preserve"> </w:t>
      </w:r>
      <w:r w:rsidR="002E171B" w:rsidRPr="00581161">
        <w:rPr>
          <w:rFonts w:ascii="Cambria" w:hAnsi="Cambria"/>
          <w:sz w:val="20"/>
        </w:rPr>
        <w:t xml:space="preserve">of the </w:t>
      </w:r>
      <w:r w:rsidR="002E171B">
        <w:rPr>
          <w:rFonts w:ascii="Cambria" w:hAnsi="Cambria"/>
          <w:sz w:val="20"/>
        </w:rPr>
        <w:t>r</w:t>
      </w:r>
      <w:r w:rsidR="002E171B" w:rsidRPr="00581161">
        <w:rPr>
          <w:rFonts w:ascii="Cambria" w:hAnsi="Cambria"/>
          <w:sz w:val="20"/>
        </w:rPr>
        <w:t>eports according to the following categories and criteria</w:t>
      </w:r>
      <w:r w:rsidR="002E171B">
        <w:rPr>
          <w:rFonts w:ascii="Cambria" w:hAnsi="Cambria"/>
          <w:sz w:val="20"/>
        </w:rPr>
        <w:t>:</w:t>
      </w:r>
      <w:r w:rsidR="002E171B" w:rsidRPr="00581161">
        <w:rPr>
          <w:rFonts w:ascii="Cambria" w:hAnsi="Cambria"/>
          <w:sz w:val="20"/>
        </w:rPr>
        <w:t xml:space="preserve"> </w:t>
      </w:r>
      <w:r w:rsidRPr="00C45F6D">
        <w:rPr>
          <w:rFonts w:ascii="Cambria" w:hAnsi="Cambria" w:cs="Cambria"/>
          <w:sz w:val="20"/>
          <w:szCs w:val="20"/>
        </w:rPr>
        <w:t>:</w:t>
      </w:r>
    </w:p>
    <w:p w:rsidR="00F053B7" w:rsidRPr="00C45F6D" w:rsidRDefault="00F053B7" w:rsidP="0011062D">
      <w:pPr>
        <w:pStyle w:val="Heading2"/>
        <w:numPr>
          <w:ilvl w:val="0"/>
          <w:numId w:val="13"/>
        </w:numPr>
        <w:spacing w:before="240" w:after="240"/>
        <w:rPr>
          <w:lang w:val="en-US"/>
        </w:rPr>
      </w:pPr>
      <w:r w:rsidRPr="00C45F6D">
        <w:rPr>
          <w:lang w:val="en-US"/>
        </w:rPr>
        <w:t xml:space="preserve">Categories – Status of compliance with each recommendation </w:t>
      </w:r>
    </w:p>
    <w:p w:rsidR="00F053B7" w:rsidRPr="00C45F6D" w:rsidRDefault="002E171B" w:rsidP="00650382">
      <w:pPr>
        <w:numPr>
          <w:ilvl w:val="0"/>
          <w:numId w:val="9"/>
        </w:numPr>
        <w:spacing w:before="120" w:after="0" w:line="240" w:lineRule="auto"/>
        <w:ind w:left="1170" w:hanging="450"/>
        <w:jc w:val="both"/>
        <w:rPr>
          <w:rFonts w:ascii="Cambria" w:hAnsi="Cambria" w:cs="Cambria"/>
          <w:sz w:val="20"/>
          <w:szCs w:val="20"/>
        </w:rPr>
      </w:pPr>
      <w:r>
        <w:rPr>
          <w:rFonts w:ascii="Cambria" w:hAnsi="Cambria" w:cs="Cambria"/>
          <w:b/>
          <w:bCs/>
          <w:sz w:val="20"/>
          <w:szCs w:val="20"/>
        </w:rPr>
        <w:t>Total</w:t>
      </w:r>
      <w:r w:rsidRPr="00C45F6D">
        <w:rPr>
          <w:rFonts w:ascii="Cambria" w:hAnsi="Cambria" w:cs="Cambria"/>
          <w:b/>
          <w:bCs/>
          <w:sz w:val="20"/>
          <w:szCs w:val="20"/>
        </w:rPr>
        <w:t xml:space="preserve"> </w:t>
      </w:r>
      <w:r w:rsidR="00F053B7" w:rsidRPr="00C45F6D">
        <w:rPr>
          <w:rFonts w:ascii="Cambria" w:hAnsi="Cambria" w:cs="Cambria"/>
          <w:b/>
          <w:bCs/>
          <w:sz w:val="20"/>
          <w:szCs w:val="20"/>
        </w:rPr>
        <w:t xml:space="preserve">compliance: </w:t>
      </w:r>
      <w:r w:rsidRPr="002E171B">
        <w:rPr>
          <w:rFonts w:ascii="Calibri Light" w:hAnsi="Calibri Light" w:cs="Calibri Light"/>
          <w:sz w:val="20"/>
          <w:szCs w:val="20"/>
        </w:rPr>
        <w:t xml:space="preserve"> </w:t>
      </w:r>
      <w:r w:rsidRPr="00BD4A9B">
        <w:rPr>
          <w:rFonts w:asciiTheme="majorHAnsi" w:hAnsiTheme="majorHAnsi" w:cs="Calibri Light"/>
          <w:sz w:val="20"/>
          <w:szCs w:val="20"/>
        </w:rPr>
        <w:t>that recommendation in which the State has successfully begun and concluded the measures to comply with it</w:t>
      </w:r>
      <w:r w:rsidR="00F053B7" w:rsidRPr="00C45F6D">
        <w:rPr>
          <w:rFonts w:ascii="Cambria" w:hAnsi="Cambria" w:cs="Cambria"/>
          <w:sz w:val="20"/>
          <w:szCs w:val="20"/>
        </w:rPr>
        <w:t xml:space="preserve"> </w:t>
      </w:r>
    </w:p>
    <w:p w:rsidR="00F053B7" w:rsidRPr="00C45F6D" w:rsidRDefault="00F053B7" w:rsidP="00650382">
      <w:pPr>
        <w:numPr>
          <w:ilvl w:val="0"/>
          <w:numId w:val="9"/>
        </w:numPr>
        <w:spacing w:before="120" w:after="0" w:line="240" w:lineRule="auto"/>
        <w:ind w:left="1170" w:hanging="450"/>
        <w:jc w:val="both"/>
        <w:rPr>
          <w:rFonts w:ascii="Cambria" w:hAnsi="Cambria" w:cs="Cambria"/>
          <w:sz w:val="20"/>
          <w:szCs w:val="20"/>
        </w:rPr>
      </w:pPr>
      <w:r w:rsidRPr="00C45F6D">
        <w:rPr>
          <w:rFonts w:ascii="Cambria" w:hAnsi="Cambria" w:cs="Cambria"/>
          <w:b/>
          <w:bCs/>
          <w:sz w:val="20"/>
          <w:szCs w:val="20"/>
        </w:rPr>
        <w:lastRenderedPageBreak/>
        <w:t xml:space="preserve">Substantial partial compliance: </w:t>
      </w:r>
      <w:r w:rsidR="002E171B" w:rsidRPr="0082752E">
        <w:rPr>
          <w:rFonts w:ascii="Cambria" w:hAnsi="Cambria" w:cs="Calibri Light"/>
          <w:sz w:val="20"/>
          <w:szCs w:val="20"/>
        </w:rPr>
        <w:t>that recommendation in which the State has adopted relevant measures for compliance and has provided evidence of these measures, but the Commission considers that the measures for compliance have not yet been completed</w:t>
      </w:r>
      <w:proofErr w:type="gramStart"/>
      <w:r w:rsidR="002E171B">
        <w:rPr>
          <w:rFonts w:ascii="Cambria" w:hAnsi="Cambria" w:cs="Calibri Light"/>
          <w:sz w:val="20"/>
          <w:szCs w:val="20"/>
        </w:rPr>
        <w:t>.</w:t>
      </w:r>
      <w:r w:rsidRPr="00C45F6D">
        <w:rPr>
          <w:rFonts w:ascii="Cambria" w:hAnsi="Cambria" w:cs="Cambria"/>
          <w:sz w:val="20"/>
          <w:szCs w:val="20"/>
        </w:rPr>
        <w:t>.</w:t>
      </w:r>
      <w:proofErr w:type="gramEnd"/>
      <w:r w:rsidRPr="00C45F6D">
        <w:rPr>
          <w:rFonts w:ascii="Cambria" w:hAnsi="Cambria" w:cs="Cambria"/>
          <w:sz w:val="20"/>
          <w:szCs w:val="20"/>
        </w:rPr>
        <w:t xml:space="preserve"> </w:t>
      </w:r>
    </w:p>
    <w:p w:rsidR="00F053B7" w:rsidRPr="00C45F6D" w:rsidRDefault="00F053B7" w:rsidP="00650382">
      <w:pPr>
        <w:numPr>
          <w:ilvl w:val="0"/>
          <w:numId w:val="9"/>
        </w:numPr>
        <w:spacing w:before="120" w:after="0" w:line="240" w:lineRule="auto"/>
        <w:ind w:left="1170" w:hanging="450"/>
        <w:jc w:val="both"/>
        <w:rPr>
          <w:rFonts w:ascii="Cambria" w:hAnsi="Cambria" w:cs="Cambria"/>
          <w:sz w:val="20"/>
          <w:szCs w:val="20"/>
        </w:rPr>
      </w:pPr>
      <w:r w:rsidRPr="00C45F6D">
        <w:rPr>
          <w:rFonts w:ascii="Cambria" w:hAnsi="Cambria" w:cs="Cambria"/>
          <w:b/>
          <w:bCs/>
          <w:sz w:val="20"/>
          <w:szCs w:val="20"/>
        </w:rPr>
        <w:t xml:space="preserve">Partial compliance: </w:t>
      </w:r>
      <w:r w:rsidR="002E171B" w:rsidRPr="0082752E">
        <w:rPr>
          <w:rFonts w:ascii="Cambria" w:hAnsi="Cambria" w:cs="Calibri Light"/>
          <w:sz w:val="20"/>
          <w:szCs w:val="20"/>
        </w:rPr>
        <w:t>that recommendation in which the State has adopted some measures for compliance but the adoption of additional measures are still necessary</w:t>
      </w:r>
      <w:r w:rsidRPr="00C45F6D">
        <w:rPr>
          <w:rFonts w:ascii="Cambria" w:hAnsi="Cambria" w:cs="Cambria"/>
          <w:sz w:val="20"/>
          <w:szCs w:val="20"/>
        </w:rPr>
        <w:t xml:space="preserve">. </w:t>
      </w:r>
    </w:p>
    <w:p w:rsidR="00F053B7" w:rsidRPr="00C45F6D" w:rsidRDefault="00F053B7" w:rsidP="00650382">
      <w:pPr>
        <w:numPr>
          <w:ilvl w:val="0"/>
          <w:numId w:val="9"/>
        </w:numPr>
        <w:spacing w:before="120" w:after="0" w:line="240" w:lineRule="auto"/>
        <w:ind w:left="1170" w:hanging="450"/>
        <w:jc w:val="both"/>
        <w:rPr>
          <w:rFonts w:ascii="Cambria" w:hAnsi="Cambria" w:cs="Cambria"/>
          <w:sz w:val="20"/>
          <w:szCs w:val="20"/>
        </w:rPr>
      </w:pPr>
      <w:r w:rsidRPr="00C45F6D">
        <w:rPr>
          <w:rFonts w:ascii="Cambria" w:hAnsi="Cambria" w:cs="Cambria"/>
          <w:b/>
          <w:bCs/>
          <w:sz w:val="20"/>
          <w:szCs w:val="20"/>
        </w:rPr>
        <w:t xml:space="preserve">Pending compliance: </w:t>
      </w:r>
      <w:r w:rsidR="002E171B" w:rsidRPr="0082752E">
        <w:rPr>
          <w:rFonts w:ascii="Cambria" w:hAnsi="Cambria" w:cs="Calibri Light"/>
          <w:sz w:val="20"/>
          <w:szCs w:val="20"/>
        </w:rPr>
        <w:t>that recommendation in which the State has not adopted any measure to comply with the recommendation, or the proceedings when begun have not yet produced concrete results, or the adopted measure(s) do not correspond to the situation being examined</w:t>
      </w:r>
      <w:r w:rsidR="002E171B">
        <w:rPr>
          <w:rFonts w:ascii="Cambria" w:hAnsi="Cambria" w:cs="Calibri Light"/>
          <w:sz w:val="20"/>
          <w:szCs w:val="20"/>
        </w:rPr>
        <w:t>.</w:t>
      </w:r>
      <w:r w:rsidRPr="00C45F6D">
        <w:rPr>
          <w:rFonts w:ascii="Cambria" w:hAnsi="Cambria" w:cs="Cambria"/>
          <w:sz w:val="20"/>
          <w:szCs w:val="20"/>
        </w:rPr>
        <w:t xml:space="preserve"> </w:t>
      </w:r>
    </w:p>
    <w:p w:rsidR="00F053B7" w:rsidRPr="00C45F6D" w:rsidRDefault="00F053B7" w:rsidP="00650382">
      <w:pPr>
        <w:numPr>
          <w:ilvl w:val="0"/>
          <w:numId w:val="9"/>
        </w:numPr>
        <w:spacing w:before="120" w:after="0" w:line="240" w:lineRule="auto"/>
        <w:ind w:left="1170" w:hanging="450"/>
        <w:jc w:val="both"/>
        <w:rPr>
          <w:rFonts w:ascii="Cambria" w:hAnsi="Cambria" w:cs="Cambria"/>
          <w:sz w:val="20"/>
          <w:szCs w:val="20"/>
        </w:rPr>
      </w:pPr>
      <w:r w:rsidRPr="00C45F6D">
        <w:rPr>
          <w:rFonts w:ascii="Cambria" w:hAnsi="Cambria" w:cs="Cambria"/>
          <w:b/>
          <w:bCs/>
          <w:sz w:val="20"/>
          <w:szCs w:val="20"/>
        </w:rPr>
        <w:t>Non</w:t>
      </w:r>
      <w:r w:rsidR="002E171B">
        <w:rPr>
          <w:rFonts w:ascii="Cambria" w:hAnsi="Cambria" w:cs="Cambria"/>
          <w:b/>
          <w:bCs/>
          <w:sz w:val="20"/>
          <w:szCs w:val="20"/>
        </w:rPr>
        <w:t>-</w:t>
      </w:r>
      <w:r w:rsidRPr="00C45F6D">
        <w:rPr>
          <w:rFonts w:ascii="Cambria" w:hAnsi="Cambria" w:cs="Cambria"/>
          <w:b/>
          <w:bCs/>
          <w:sz w:val="20"/>
          <w:szCs w:val="20"/>
        </w:rPr>
        <w:t xml:space="preserve">compliance: </w:t>
      </w:r>
      <w:r w:rsidR="002E171B" w:rsidRPr="0082752E">
        <w:rPr>
          <w:rFonts w:ascii="Cambria" w:hAnsi="Cambria" w:cs="Calibri Light"/>
          <w:sz w:val="20"/>
          <w:szCs w:val="20"/>
        </w:rPr>
        <w:t>that recommendation in which the conduct of the State was impossible to comply with or that the State has explicitly indicated that it will not comply with the recommendation made</w:t>
      </w:r>
      <w:r w:rsidRPr="00C45F6D">
        <w:rPr>
          <w:rFonts w:ascii="Cambria" w:hAnsi="Cambria" w:cs="Cambria"/>
          <w:sz w:val="20"/>
          <w:szCs w:val="20"/>
        </w:rPr>
        <w:t xml:space="preserve">. </w:t>
      </w:r>
    </w:p>
    <w:p w:rsidR="00F053B7" w:rsidRPr="00C45F6D" w:rsidRDefault="0011062D" w:rsidP="0011062D">
      <w:pPr>
        <w:pStyle w:val="Heading2"/>
        <w:numPr>
          <w:ilvl w:val="0"/>
          <w:numId w:val="0"/>
        </w:numPr>
        <w:spacing w:before="240" w:after="240"/>
        <w:ind w:left="1080" w:hanging="372"/>
        <w:rPr>
          <w:lang w:val="en-US"/>
        </w:rPr>
      </w:pPr>
      <w:r>
        <w:rPr>
          <w:lang w:val="en-US"/>
        </w:rPr>
        <w:t>II.</w:t>
      </w:r>
      <w:r>
        <w:rPr>
          <w:lang w:val="en-US"/>
        </w:rPr>
        <w:tab/>
      </w:r>
      <w:r w:rsidR="00F053B7" w:rsidRPr="00C45F6D">
        <w:rPr>
          <w:lang w:val="en-US"/>
        </w:rPr>
        <w:t xml:space="preserve">Categories – Status of compliance with the report as a whole </w:t>
      </w:r>
    </w:p>
    <w:p w:rsidR="00F053B7" w:rsidRPr="00C45F6D" w:rsidRDefault="002E171B" w:rsidP="003A43CA">
      <w:pPr>
        <w:numPr>
          <w:ilvl w:val="0"/>
          <w:numId w:val="8"/>
        </w:numPr>
        <w:spacing w:before="120" w:after="0" w:line="240" w:lineRule="auto"/>
        <w:jc w:val="both"/>
        <w:rPr>
          <w:rFonts w:ascii="Cambria" w:hAnsi="Cambria" w:cs="Cambria"/>
          <w:sz w:val="20"/>
          <w:szCs w:val="20"/>
        </w:rPr>
      </w:pPr>
      <w:r>
        <w:rPr>
          <w:rFonts w:ascii="Cambria" w:hAnsi="Cambria" w:cs="Cambria"/>
          <w:b/>
          <w:bCs/>
          <w:sz w:val="20"/>
          <w:szCs w:val="20"/>
        </w:rPr>
        <w:t>Total</w:t>
      </w:r>
      <w:r w:rsidRPr="00C45F6D">
        <w:rPr>
          <w:rFonts w:ascii="Cambria" w:hAnsi="Cambria" w:cs="Cambria"/>
          <w:b/>
          <w:bCs/>
          <w:sz w:val="20"/>
          <w:szCs w:val="20"/>
        </w:rPr>
        <w:t xml:space="preserve"> </w:t>
      </w:r>
      <w:r w:rsidR="00F053B7" w:rsidRPr="00C45F6D">
        <w:rPr>
          <w:rFonts w:ascii="Cambria" w:hAnsi="Cambria" w:cs="Cambria"/>
          <w:b/>
          <w:bCs/>
          <w:sz w:val="20"/>
          <w:szCs w:val="20"/>
        </w:rPr>
        <w:t xml:space="preserve">compliance: </w:t>
      </w:r>
      <w:r w:rsidRPr="0082752E">
        <w:rPr>
          <w:rFonts w:ascii="Cambria" w:hAnsi="Cambria"/>
          <w:sz w:val="20"/>
          <w:szCs w:val="20"/>
          <w:lang w:val="en-CA"/>
        </w:rPr>
        <w:t>those cases in which the State has fully complied with all the recommendations made by the IACHR. The Commission considers as fully complied those recommendations in which the State has initiated and satisfactorily completed the measures for its compliance</w:t>
      </w:r>
      <w:r>
        <w:rPr>
          <w:rFonts w:ascii="Cambria" w:hAnsi="Cambria"/>
          <w:sz w:val="20"/>
          <w:szCs w:val="20"/>
          <w:lang w:val="en-CA"/>
        </w:rPr>
        <w:t>.</w:t>
      </w:r>
    </w:p>
    <w:p w:rsidR="00F053B7" w:rsidRPr="00C45F6D" w:rsidRDefault="00F053B7" w:rsidP="003A43CA">
      <w:pPr>
        <w:numPr>
          <w:ilvl w:val="0"/>
          <w:numId w:val="8"/>
        </w:numPr>
        <w:spacing w:before="120" w:after="0" w:line="240" w:lineRule="auto"/>
        <w:jc w:val="both"/>
        <w:rPr>
          <w:rFonts w:ascii="Cambria" w:hAnsi="Cambria" w:cs="Cambria"/>
          <w:sz w:val="20"/>
          <w:szCs w:val="20"/>
        </w:rPr>
      </w:pPr>
      <w:r w:rsidRPr="00C45F6D">
        <w:rPr>
          <w:rFonts w:ascii="Cambria" w:hAnsi="Cambria" w:cs="Cambria"/>
          <w:b/>
          <w:bCs/>
          <w:sz w:val="20"/>
          <w:szCs w:val="20"/>
        </w:rPr>
        <w:t xml:space="preserve">Partial compliance: </w:t>
      </w:r>
      <w:r w:rsidR="002E171B" w:rsidRPr="0082752E">
        <w:rPr>
          <w:rFonts w:ascii="Cambria" w:hAnsi="Cambria"/>
          <w:sz w:val="20"/>
          <w:szCs w:val="20"/>
          <w:lang w:val="en-CA"/>
        </w:rPr>
        <w:t>those cases in which the State has partially complied with the recommendations made by the IACHR, either by having complied only with some of the recommendations or by having incompletely complied with all of the recommendations; those cases in which the State has complied fully with all of the recommendations made by the IACHR except one whose compliance has resulted impossible</w:t>
      </w:r>
      <w:r w:rsidRPr="00C45F6D">
        <w:rPr>
          <w:rFonts w:ascii="Cambria" w:hAnsi="Cambria" w:cs="Cambria"/>
          <w:sz w:val="20"/>
          <w:szCs w:val="20"/>
        </w:rPr>
        <w:t>.</w:t>
      </w:r>
    </w:p>
    <w:p w:rsidR="00F053B7" w:rsidRPr="00C45F6D" w:rsidRDefault="00F053B7" w:rsidP="003A43CA">
      <w:pPr>
        <w:numPr>
          <w:ilvl w:val="0"/>
          <w:numId w:val="8"/>
        </w:numPr>
        <w:spacing w:before="120" w:after="0" w:line="240" w:lineRule="auto"/>
        <w:jc w:val="both"/>
        <w:rPr>
          <w:rFonts w:ascii="Cambria" w:hAnsi="Cambria" w:cs="Cambria"/>
          <w:sz w:val="20"/>
          <w:szCs w:val="20"/>
        </w:rPr>
      </w:pPr>
      <w:r w:rsidRPr="00C45F6D">
        <w:rPr>
          <w:rFonts w:ascii="Cambria" w:hAnsi="Cambria" w:cs="Cambria"/>
          <w:b/>
          <w:bCs/>
          <w:sz w:val="20"/>
          <w:szCs w:val="20"/>
        </w:rPr>
        <w:t xml:space="preserve">Pending compliance: </w:t>
      </w:r>
      <w:r w:rsidR="002E171B" w:rsidRPr="0082752E">
        <w:rPr>
          <w:rFonts w:ascii="Cambria" w:hAnsi="Cambria"/>
          <w:sz w:val="20"/>
          <w:szCs w:val="20"/>
          <w:lang w:val="en-CA"/>
        </w:rPr>
        <w:t>those cases in which the IACHR considers that there has been no compliance with the recommendations given that no steps have been taken for that purpose; that the measures initiated have not yet produced concrete results; that the State has explicitly indicated that it will not comply with the recommendations made; or because the State has not presented information to the IACHR and that the IACHR does not have information from other sources indicating an opposite conclusion</w:t>
      </w:r>
      <w:r w:rsidRPr="00C45F6D">
        <w:rPr>
          <w:rFonts w:ascii="Cambria" w:hAnsi="Cambria" w:cs="Cambria"/>
          <w:sz w:val="20"/>
          <w:szCs w:val="20"/>
        </w:rPr>
        <w:t xml:space="preserve">. </w:t>
      </w:r>
    </w:p>
    <w:p w:rsidR="00F053B7" w:rsidRPr="00C45F6D" w:rsidRDefault="00F053B7" w:rsidP="003A43CA">
      <w:pPr>
        <w:tabs>
          <w:tab w:val="left" w:pos="-720"/>
        </w:tabs>
        <w:suppressAutoHyphens/>
        <w:spacing w:after="0" w:line="240" w:lineRule="auto"/>
        <w:ind w:firstLine="720"/>
        <w:jc w:val="both"/>
        <w:rPr>
          <w:rFonts w:ascii="Cambria" w:hAnsi="Cambria" w:cs="Cambria"/>
          <w:sz w:val="20"/>
          <w:szCs w:val="20"/>
        </w:rPr>
      </w:pPr>
    </w:p>
    <w:p w:rsidR="00F053B7" w:rsidRPr="00C45F6D" w:rsidRDefault="002E171B" w:rsidP="003A43CA">
      <w:pPr>
        <w:pStyle w:val="ListParagraph"/>
        <w:numPr>
          <w:ilvl w:val="0"/>
          <w:numId w:val="12"/>
        </w:numPr>
        <w:tabs>
          <w:tab w:val="left" w:pos="-720"/>
        </w:tabs>
        <w:suppressAutoHyphens/>
        <w:ind w:left="0" w:firstLine="720"/>
        <w:jc w:val="both"/>
        <w:rPr>
          <w:rFonts w:ascii="Cambria" w:hAnsi="Cambria" w:cs="Cambria"/>
          <w:sz w:val="20"/>
          <w:szCs w:val="20"/>
        </w:rPr>
      </w:pPr>
      <w:r w:rsidRPr="00581161">
        <w:rPr>
          <w:rFonts w:ascii="Cambria" w:hAnsi="Cambria"/>
          <w:sz w:val="20"/>
        </w:rPr>
        <w:t>Based on the collection and analysis of the referred information</w:t>
      </w:r>
      <w:r w:rsidR="00F053B7" w:rsidRPr="00C45F6D">
        <w:rPr>
          <w:rFonts w:ascii="Cambria" w:hAnsi="Cambria" w:cs="Cambria"/>
          <w:sz w:val="20"/>
          <w:szCs w:val="20"/>
        </w:rPr>
        <w:t xml:space="preserve">, </w:t>
      </w:r>
      <w:r w:rsidRPr="00581161">
        <w:rPr>
          <w:rFonts w:ascii="Cambria" w:hAnsi="Cambria"/>
          <w:sz w:val="20"/>
        </w:rPr>
        <w:t>the preliminary version of the follow-up report was approved by the IACHR, and a copy was transmitted to the State</w:t>
      </w:r>
      <w:r>
        <w:rPr>
          <w:rFonts w:ascii="Cambria" w:hAnsi="Cambria"/>
          <w:sz w:val="20"/>
        </w:rPr>
        <w:t>s</w:t>
      </w:r>
      <w:r w:rsidRPr="00581161">
        <w:rPr>
          <w:rFonts w:ascii="Cambria" w:hAnsi="Cambria"/>
          <w:sz w:val="20"/>
        </w:rPr>
        <w:t>, with a maximum period of one month to present its response</w:t>
      </w:r>
      <w:proofErr w:type="gramStart"/>
      <w:r w:rsidRPr="00581161">
        <w:rPr>
          <w:rFonts w:ascii="Cambria" w:hAnsi="Cambria"/>
          <w:sz w:val="20"/>
        </w:rPr>
        <w:t>,</w:t>
      </w:r>
      <w:r w:rsidR="00F053B7" w:rsidRPr="00C45F6D">
        <w:rPr>
          <w:rFonts w:ascii="Cambria" w:hAnsi="Cambria" w:cs="Cambria"/>
          <w:sz w:val="20"/>
          <w:szCs w:val="20"/>
        </w:rPr>
        <w:t>,</w:t>
      </w:r>
      <w:proofErr w:type="gramEnd"/>
      <w:r w:rsidR="00F053B7" w:rsidRPr="00C45F6D">
        <w:rPr>
          <w:rFonts w:ascii="Cambria" w:hAnsi="Cambria" w:cs="Cambria"/>
          <w:sz w:val="20"/>
          <w:szCs w:val="20"/>
        </w:rPr>
        <w:t xml:space="preserve"> in </w:t>
      </w:r>
      <w:r w:rsidR="00B10381">
        <w:rPr>
          <w:rFonts w:ascii="Cambria" w:hAnsi="Cambria" w:cs="Cambria"/>
          <w:sz w:val="20"/>
          <w:szCs w:val="20"/>
        </w:rPr>
        <w:t>accordance</w:t>
      </w:r>
      <w:r w:rsidR="00B10381" w:rsidRPr="00C45F6D">
        <w:rPr>
          <w:rFonts w:ascii="Cambria" w:hAnsi="Cambria" w:cs="Cambria"/>
          <w:sz w:val="20"/>
          <w:szCs w:val="20"/>
        </w:rPr>
        <w:t xml:space="preserve"> </w:t>
      </w:r>
      <w:r w:rsidR="00F053B7" w:rsidRPr="00C45F6D">
        <w:rPr>
          <w:rFonts w:ascii="Cambria" w:hAnsi="Cambria" w:cs="Cambria"/>
          <w:sz w:val="20"/>
          <w:szCs w:val="20"/>
        </w:rPr>
        <w:t xml:space="preserve">with Article 59, paragraph 10, of the IACHR’s Rules of Procedure. The </w:t>
      </w:r>
      <w:r w:rsidR="00B10381" w:rsidRPr="00C45F6D">
        <w:rPr>
          <w:rFonts w:ascii="Cambria" w:hAnsi="Cambria" w:cs="Cambria"/>
          <w:sz w:val="20"/>
          <w:szCs w:val="20"/>
        </w:rPr>
        <w:t>re</w:t>
      </w:r>
      <w:r w:rsidR="00B10381">
        <w:rPr>
          <w:rFonts w:ascii="Cambria" w:hAnsi="Cambria" w:cs="Cambria"/>
          <w:sz w:val="20"/>
          <w:szCs w:val="20"/>
        </w:rPr>
        <w:t>sponses</w:t>
      </w:r>
      <w:r w:rsidR="00B10381" w:rsidRPr="00C45F6D">
        <w:rPr>
          <w:rFonts w:ascii="Cambria" w:hAnsi="Cambria" w:cs="Cambria"/>
          <w:sz w:val="20"/>
          <w:szCs w:val="20"/>
        </w:rPr>
        <w:t xml:space="preserve"> </w:t>
      </w:r>
      <w:r w:rsidR="00F053B7" w:rsidRPr="00C45F6D">
        <w:rPr>
          <w:rFonts w:ascii="Cambria" w:hAnsi="Cambria" w:cs="Cambria"/>
          <w:sz w:val="20"/>
          <w:szCs w:val="20"/>
        </w:rPr>
        <w:t xml:space="preserve">submitted by the States within </w:t>
      </w:r>
      <w:r w:rsidR="00B10381">
        <w:rPr>
          <w:rFonts w:ascii="Cambria" w:hAnsi="Cambria" w:cs="Cambria"/>
          <w:sz w:val="20"/>
          <w:szCs w:val="20"/>
        </w:rPr>
        <w:t xml:space="preserve">the </w:t>
      </w:r>
      <w:r w:rsidR="00B10381" w:rsidRPr="00581161">
        <w:rPr>
          <w:rFonts w:ascii="Cambria" w:hAnsi="Cambria"/>
          <w:sz w:val="20"/>
        </w:rPr>
        <w:t>indicated period are available through an electronic link on the Commission's page</w:t>
      </w:r>
      <w:r w:rsidR="00F053B7" w:rsidRPr="00C45F6D">
        <w:rPr>
          <w:rFonts w:ascii="Cambria" w:hAnsi="Cambria" w:cs="Cambria"/>
          <w:sz w:val="20"/>
          <w:szCs w:val="20"/>
        </w:rPr>
        <w:t xml:space="preserve">, unless otherwise requested by the State. The final version of the follow-up report </w:t>
      </w:r>
      <w:r w:rsidR="00B10381">
        <w:rPr>
          <w:rFonts w:ascii="Cambria" w:hAnsi="Cambria"/>
          <w:sz w:val="20"/>
        </w:rPr>
        <w:t xml:space="preserve">reviewed and approved by </w:t>
      </w:r>
      <w:r w:rsidR="00F053B7" w:rsidRPr="00C45F6D">
        <w:rPr>
          <w:rFonts w:ascii="Cambria" w:hAnsi="Cambria" w:cs="Cambria"/>
          <w:sz w:val="20"/>
          <w:szCs w:val="20"/>
        </w:rPr>
        <w:t>the IACHR is published in this section of the 2018 Annual Report.</w:t>
      </w:r>
    </w:p>
    <w:p w:rsidR="00F053B7" w:rsidRPr="00C45F6D" w:rsidRDefault="00F053B7" w:rsidP="003A43CA">
      <w:pPr>
        <w:tabs>
          <w:tab w:val="left" w:pos="-720"/>
        </w:tabs>
        <w:suppressAutoHyphens/>
        <w:spacing w:after="0" w:line="240" w:lineRule="auto"/>
        <w:ind w:firstLine="720"/>
        <w:jc w:val="both"/>
        <w:rPr>
          <w:rFonts w:ascii="Cambria" w:hAnsi="Cambria" w:cs="Cambria"/>
          <w:sz w:val="20"/>
          <w:szCs w:val="20"/>
        </w:rPr>
      </w:pPr>
    </w:p>
    <w:p w:rsidR="00F053B7" w:rsidRPr="00C45F6D" w:rsidRDefault="00F053B7" w:rsidP="003A43CA">
      <w:pPr>
        <w:pStyle w:val="ListParagraph"/>
        <w:numPr>
          <w:ilvl w:val="0"/>
          <w:numId w:val="12"/>
        </w:numPr>
        <w:tabs>
          <w:tab w:val="left" w:pos="-720"/>
        </w:tabs>
        <w:suppressAutoHyphens/>
        <w:ind w:left="0" w:firstLine="720"/>
        <w:jc w:val="both"/>
        <w:rPr>
          <w:rFonts w:ascii="Cambria" w:hAnsi="Cambria" w:cs="Cambria"/>
          <w:sz w:val="20"/>
          <w:szCs w:val="20"/>
        </w:rPr>
      </w:pPr>
      <w:r w:rsidRPr="00C45F6D">
        <w:rPr>
          <w:rFonts w:ascii="Cambria" w:hAnsi="Cambria" w:cs="Cambria"/>
          <w:sz w:val="20"/>
          <w:szCs w:val="20"/>
        </w:rPr>
        <w:t xml:space="preserve">The IACHR notes its gratitude for the information provided by the States of Colombia, Guatemala, Mexico, and the Dominican Republic, and by the </w:t>
      </w:r>
      <w:r w:rsidR="00B10381" w:rsidRPr="00581161">
        <w:rPr>
          <w:rFonts w:ascii="Cambria" w:hAnsi="Cambria"/>
          <w:sz w:val="20"/>
        </w:rPr>
        <w:t>Ombudsman of Colombia</w:t>
      </w:r>
      <w:r w:rsidR="00B10381" w:rsidRPr="00C45F6D" w:rsidDel="00B10381">
        <w:rPr>
          <w:rFonts w:ascii="Cambria" w:hAnsi="Cambria" w:cs="Cambria"/>
          <w:sz w:val="20"/>
          <w:szCs w:val="20"/>
        </w:rPr>
        <w:t xml:space="preserve"> </w:t>
      </w:r>
      <w:r w:rsidRPr="00C45F6D">
        <w:rPr>
          <w:rFonts w:ascii="Cambria" w:hAnsi="Cambria" w:cs="Cambria"/>
          <w:sz w:val="20"/>
          <w:szCs w:val="20"/>
        </w:rPr>
        <w:t xml:space="preserve">, the National Human Rights Commission of Mexico, the </w:t>
      </w:r>
      <w:r w:rsidR="00B10381" w:rsidRPr="00581161">
        <w:rPr>
          <w:rFonts w:ascii="Cambria" w:hAnsi="Cambria"/>
          <w:sz w:val="20"/>
        </w:rPr>
        <w:t>Office of the Huma</w:t>
      </w:r>
      <w:r w:rsidR="00B10381">
        <w:rPr>
          <w:rFonts w:ascii="Cambria" w:hAnsi="Cambria"/>
          <w:sz w:val="20"/>
        </w:rPr>
        <w:t>n Rights Ombudsman of Guatemala</w:t>
      </w:r>
      <w:r w:rsidRPr="00C45F6D">
        <w:rPr>
          <w:rFonts w:ascii="Cambria" w:hAnsi="Cambria" w:cs="Cambria"/>
          <w:sz w:val="20"/>
          <w:szCs w:val="20"/>
        </w:rPr>
        <w:t xml:space="preserve">, and by civil society organizations and institutions, </w:t>
      </w:r>
      <w:r w:rsidR="00B10381" w:rsidRPr="00581161">
        <w:rPr>
          <w:rFonts w:ascii="Cambria" w:hAnsi="Cambria"/>
          <w:sz w:val="20"/>
        </w:rPr>
        <w:t>which in the pertinent was included in this section</w:t>
      </w:r>
      <w:r w:rsidR="00B10381">
        <w:rPr>
          <w:rFonts w:ascii="Cambria" w:hAnsi="Cambria"/>
          <w:sz w:val="20"/>
        </w:rPr>
        <w:t>.</w:t>
      </w:r>
    </w:p>
    <w:p w:rsidR="00F053B7" w:rsidRPr="00C45F6D" w:rsidRDefault="00F053B7" w:rsidP="003A43CA"/>
    <w:sectPr w:rsidR="00F053B7" w:rsidRPr="00C45F6D" w:rsidSect="00173FF6">
      <w:headerReference w:type="default" r:id="rId7"/>
      <w:footerReference w:type="default" r:id="rId8"/>
      <w:headerReference w:type="first" r:id="rId9"/>
      <w:pgSz w:w="12240" w:h="15840"/>
      <w:pgMar w:top="1440" w:right="1440" w:bottom="1440" w:left="1440" w:header="720" w:footer="720" w:gutter="0"/>
      <w:pgNumType w:start="51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1CF" w:rsidRDefault="00E061CF" w:rsidP="00CE0687">
      <w:pPr>
        <w:spacing w:after="0" w:line="240" w:lineRule="auto"/>
      </w:pPr>
      <w:r>
        <w:separator/>
      </w:r>
    </w:p>
  </w:endnote>
  <w:endnote w:type="continuationSeparator" w:id="0">
    <w:p w:rsidR="00E061CF" w:rsidRDefault="00E061CF" w:rsidP="00CE0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824543"/>
      <w:docPartObj>
        <w:docPartGallery w:val="Page Numbers (Bottom of Page)"/>
        <w:docPartUnique/>
      </w:docPartObj>
    </w:sdtPr>
    <w:sdtEndPr>
      <w:rPr>
        <w:noProof/>
      </w:rPr>
    </w:sdtEndPr>
    <w:sdtContent>
      <w:p w:rsidR="0011062D" w:rsidRDefault="0011062D" w:rsidP="0011062D">
        <w:pPr>
          <w:pStyle w:val="Footer"/>
          <w:jc w:val="center"/>
        </w:pPr>
        <w:r w:rsidRPr="0011062D">
          <w:rPr>
            <w:sz w:val="16"/>
            <w:szCs w:val="16"/>
          </w:rPr>
          <w:fldChar w:fldCharType="begin"/>
        </w:r>
        <w:r w:rsidRPr="0011062D">
          <w:rPr>
            <w:sz w:val="16"/>
            <w:szCs w:val="16"/>
          </w:rPr>
          <w:instrText xml:space="preserve"> PAGE   \* MERGEFORMAT </w:instrText>
        </w:r>
        <w:r w:rsidRPr="0011062D">
          <w:rPr>
            <w:sz w:val="16"/>
            <w:szCs w:val="16"/>
          </w:rPr>
          <w:fldChar w:fldCharType="separate"/>
        </w:r>
        <w:r w:rsidR="00B60EB8">
          <w:rPr>
            <w:noProof/>
            <w:sz w:val="16"/>
            <w:szCs w:val="16"/>
          </w:rPr>
          <w:t>514</w:t>
        </w:r>
        <w:r w:rsidRPr="0011062D">
          <w:rPr>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1CF" w:rsidRPr="003A43CA" w:rsidRDefault="00E061CF" w:rsidP="00082FC9">
      <w:pPr>
        <w:spacing w:after="0" w:line="240" w:lineRule="auto"/>
        <w:rPr>
          <w:noProof/>
        </w:rPr>
      </w:pPr>
      <w:r w:rsidRPr="003A43CA">
        <w:rPr>
          <w:noProof/>
        </w:rPr>
        <w:separator/>
      </w:r>
    </w:p>
  </w:footnote>
  <w:footnote w:type="continuationSeparator" w:id="0">
    <w:p w:rsidR="00E061CF" w:rsidRPr="003A43CA" w:rsidRDefault="00E061CF" w:rsidP="00082FC9">
      <w:pPr>
        <w:spacing w:after="0" w:line="240" w:lineRule="auto"/>
        <w:rPr>
          <w:noProof/>
        </w:rPr>
      </w:pPr>
      <w:r w:rsidRPr="003A43CA">
        <w:rPr>
          <w:noProof/>
        </w:rPr>
        <w:continuationSeparator/>
      </w:r>
    </w:p>
  </w:footnote>
  <w:footnote w:id="1">
    <w:p w:rsidR="00F053B7" w:rsidRDefault="00F053B7" w:rsidP="003A43CA">
      <w:pPr>
        <w:pStyle w:val="FootnoteText"/>
        <w:spacing w:after="120"/>
        <w:ind w:firstLine="720"/>
        <w:jc w:val="both"/>
      </w:pPr>
      <w:r w:rsidRPr="003A43CA">
        <w:rPr>
          <w:rStyle w:val="FootnoteReference"/>
          <w:rFonts w:ascii="Cambria" w:hAnsi="Cambria" w:cs="Cambria"/>
          <w:noProof/>
          <w:sz w:val="16"/>
          <w:szCs w:val="16"/>
        </w:rPr>
        <w:footnoteRef/>
      </w:r>
      <w:r w:rsidRPr="003A43CA">
        <w:rPr>
          <w:rFonts w:ascii="Cambria" w:hAnsi="Cambria" w:cs="Cambria"/>
          <w:noProof/>
          <w:sz w:val="16"/>
          <w:szCs w:val="16"/>
        </w:rPr>
        <w:t xml:space="preserve"> Article 59.e of the IACHR</w:t>
      </w:r>
      <w:r>
        <w:rPr>
          <w:rFonts w:ascii="Cambria" w:hAnsi="Cambria" w:cs="Cambria"/>
          <w:noProof/>
          <w:sz w:val="16"/>
          <w:szCs w:val="16"/>
        </w:rPr>
        <w:t>’</w:t>
      </w:r>
      <w:r w:rsidRPr="003A43CA">
        <w:rPr>
          <w:rFonts w:ascii="Cambria" w:hAnsi="Cambria" w:cs="Cambria"/>
          <w:noProof/>
          <w:sz w:val="16"/>
          <w:szCs w:val="16"/>
        </w:rPr>
        <w:t>s Rules of Procedure, specifically as regards Chapter IV of Volume 1, section A.</w:t>
      </w:r>
    </w:p>
  </w:footnote>
  <w:footnote w:id="2">
    <w:p w:rsidR="00F053B7" w:rsidRDefault="00F053B7" w:rsidP="003A43CA">
      <w:pPr>
        <w:pStyle w:val="FootnoteText"/>
        <w:spacing w:after="120"/>
        <w:ind w:firstLine="720"/>
      </w:pPr>
      <w:r w:rsidRPr="003A43CA">
        <w:rPr>
          <w:rStyle w:val="FootnoteReference"/>
          <w:rFonts w:ascii="Cambria" w:hAnsi="Cambria" w:cs="Cambria"/>
          <w:noProof/>
          <w:sz w:val="16"/>
          <w:szCs w:val="16"/>
        </w:rPr>
        <w:footnoteRef/>
      </w:r>
      <w:r>
        <w:rPr>
          <w:rFonts w:ascii="Cambria" w:hAnsi="Cambria" w:cs="Cambria"/>
          <w:noProof/>
          <w:sz w:val="16"/>
          <w:szCs w:val="16"/>
        </w:rPr>
        <w:t xml:space="preserve"> </w:t>
      </w:r>
      <w:r w:rsidRPr="003A43CA">
        <w:rPr>
          <w:rFonts w:ascii="Cambria" w:hAnsi="Cambria" w:cs="Cambria"/>
          <w:noProof/>
          <w:sz w:val="16"/>
          <w:szCs w:val="16"/>
        </w:rPr>
        <w:t xml:space="preserve">IACHR, </w:t>
      </w:r>
      <w:hyperlink r:id="rId1" w:history="1">
        <w:r w:rsidRPr="003A43CA">
          <w:rPr>
            <w:rStyle w:val="Hyperlink"/>
            <w:rFonts w:ascii="Cambria" w:hAnsi="Cambria" w:cs="Cambria"/>
            <w:noProof/>
            <w:sz w:val="16"/>
            <w:szCs w:val="16"/>
            <w:shd w:val="clear" w:color="auto" w:fill="FFFFFF"/>
          </w:rPr>
          <w:t>Truth, Justice and Reparation</w:t>
        </w:r>
        <w:r>
          <w:rPr>
            <w:rStyle w:val="Hyperlink"/>
            <w:rFonts w:ascii="Cambria" w:hAnsi="Cambria" w:cs="Cambria"/>
            <w:noProof/>
            <w:sz w:val="16"/>
            <w:szCs w:val="16"/>
            <w:shd w:val="clear" w:color="auto" w:fill="FFFFFF"/>
          </w:rPr>
          <w:t>:</w:t>
        </w:r>
        <w:r w:rsidRPr="003A43CA">
          <w:rPr>
            <w:rStyle w:val="Hyperlink"/>
            <w:rFonts w:ascii="Cambria" w:hAnsi="Cambria" w:cs="Cambria"/>
            <w:noProof/>
            <w:sz w:val="16"/>
            <w:szCs w:val="16"/>
            <w:shd w:val="clear" w:color="auto" w:fill="FFFFFF"/>
          </w:rPr>
          <w:t xml:space="preserve"> Report on the Human Rights </w:t>
        </w:r>
        <w:r>
          <w:rPr>
            <w:rStyle w:val="Hyperlink"/>
            <w:rFonts w:ascii="Cambria" w:hAnsi="Cambria" w:cs="Cambria"/>
            <w:noProof/>
            <w:sz w:val="16"/>
            <w:szCs w:val="16"/>
            <w:shd w:val="clear" w:color="auto" w:fill="FFFFFF"/>
          </w:rPr>
          <w:t xml:space="preserve">Situation </w:t>
        </w:r>
        <w:r w:rsidRPr="003A43CA">
          <w:rPr>
            <w:rStyle w:val="Hyperlink"/>
            <w:rFonts w:ascii="Cambria" w:hAnsi="Cambria" w:cs="Cambria"/>
            <w:noProof/>
            <w:sz w:val="16"/>
            <w:szCs w:val="16"/>
            <w:shd w:val="clear" w:color="auto" w:fill="FFFFFF"/>
          </w:rPr>
          <w:t>in Colombia</w:t>
        </w:r>
      </w:hyperlink>
      <w:r w:rsidRPr="003A43CA">
        <w:rPr>
          <w:rFonts w:ascii="Cambria" w:hAnsi="Cambria" w:cs="Cambria"/>
          <w:noProof/>
          <w:color w:val="333333"/>
          <w:sz w:val="16"/>
          <w:szCs w:val="16"/>
          <w:shd w:val="clear" w:color="auto" w:fill="FFFFFF"/>
        </w:rPr>
        <w:t xml:space="preserve">, </w:t>
      </w:r>
      <w:r w:rsidRPr="003A43CA">
        <w:rPr>
          <w:rFonts w:ascii="Cambria" w:hAnsi="Cambria" w:cs="Cambria"/>
          <w:noProof/>
          <w:sz w:val="16"/>
          <w:szCs w:val="16"/>
        </w:rPr>
        <w:t>December 31, 2013.</w:t>
      </w:r>
    </w:p>
  </w:footnote>
  <w:footnote w:id="3">
    <w:p w:rsidR="00F053B7" w:rsidRDefault="00F053B7" w:rsidP="003A43CA">
      <w:pPr>
        <w:pStyle w:val="FootnoteText"/>
        <w:spacing w:after="120"/>
        <w:ind w:firstLine="720"/>
      </w:pPr>
      <w:r w:rsidRPr="003A43CA">
        <w:rPr>
          <w:rStyle w:val="FootnoteReference"/>
          <w:rFonts w:ascii="Cambria" w:hAnsi="Cambria" w:cs="Cambria"/>
          <w:noProof/>
          <w:sz w:val="16"/>
          <w:szCs w:val="16"/>
        </w:rPr>
        <w:footnoteRef/>
      </w:r>
      <w:r>
        <w:rPr>
          <w:rFonts w:ascii="Cambria" w:hAnsi="Cambria" w:cs="Cambria"/>
          <w:noProof/>
          <w:sz w:val="16"/>
          <w:szCs w:val="16"/>
        </w:rPr>
        <w:t xml:space="preserve"> </w:t>
      </w:r>
      <w:r w:rsidRPr="003A43CA">
        <w:rPr>
          <w:rFonts w:ascii="Cambria" w:hAnsi="Cambria" w:cs="Cambria"/>
          <w:noProof/>
          <w:sz w:val="16"/>
          <w:szCs w:val="16"/>
        </w:rPr>
        <w:t xml:space="preserve">IACHR, </w:t>
      </w:r>
      <w:hyperlink r:id="rId2" w:history="1">
        <w:r w:rsidRPr="003A43CA">
          <w:rPr>
            <w:rStyle w:val="Hyperlink"/>
            <w:rFonts w:ascii="Cambria" w:hAnsi="Cambria" w:cs="Cambria"/>
            <w:noProof/>
            <w:sz w:val="16"/>
            <w:szCs w:val="16"/>
            <w:shd w:val="clear" w:color="auto" w:fill="FFFFFF"/>
          </w:rPr>
          <w:t>Situation of Human Rights in Guatemala</w:t>
        </w:r>
      </w:hyperlink>
      <w:r w:rsidRPr="003A43CA">
        <w:rPr>
          <w:rFonts w:ascii="Cambria" w:hAnsi="Cambria" w:cs="Cambria"/>
          <w:noProof/>
          <w:color w:val="333333"/>
          <w:sz w:val="16"/>
          <w:szCs w:val="16"/>
          <w:shd w:val="clear" w:color="auto" w:fill="FFFFFF"/>
        </w:rPr>
        <w:t>, </w:t>
      </w:r>
      <w:r w:rsidRPr="003A43CA">
        <w:rPr>
          <w:rFonts w:ascii="Cambria" w:hAnsi="Cambria" w:cs="Cambria"/>
          <w:noProof/>
          <w:sz w:val="16"/>
          <w:szCs w:val="16"/>
        </w:rPr>
        <w:t>December 31, 2017.</w:t>
      </w:r>
    </w:p>
  </w:footnote>
  <w:footnote w:id="4">
    <w:p w:rsidR="00F053B7" w:rsidRDefault="00F053B7" w:rsidP="003A43CA">
      <w:pPr>
        <w:pStyle w:val="FootnoteText"/>
        <w:spacing w:after="120"/>
        <w:ind w:firstLine="720"/>
      </w:pPr>
      <w:r w:rsidRPr="003A43CA">
        <w:rPr>
          <w:rStyle w:val="FootnoteReference"/>
          <w:rFonts w:ascii="Cambria" w:hAnsi="Cambria" w:cs="Cambria"/>
          <w:noProof/>
          <w:sz w:val="16"/>
          <w:szCs w:val="16"/>
        </w:rPr>
        <w:footnoteRef/>
      </w:r>
      <w:r>
        <w:rPr>
          <w:rFonts w:ascii="Cambria" w:hAnsi="Cambria" w:cs="Cambria"/>
          <w:noProof/>
          <w:sz w:val="16"/>
          <w:szCs w:val="16"/>
        </w:rPr>
        <w:t xml:space="preserve"> </w:t>
      </w:r>
      <w:r w:rsidRPr="003A43CA">
        <w:rPr>
          <w:rFonts w:ascii="Cambria" w:hAnsi="Cambria" w:cs="Cambria"/>
          <w:noProof/>
          <w:sz w:val="16"/>
          <w:szCs w:val="16"/>
        </w:rPr>
        <w:t xml:space="preserve">IACHR, </w:t>
      </w:r>
      <w:hyperlink r:id="rId3" w:history="1">
        <w:r w:rsidRPr="003A43CA">
          <w:rPr>
            <w:rStyle w:val="Hyperlink"/>
            <w:rFonts w:ascii="Cambria" w:hAnsi="Cambria" w:cs="Cambria"/>
            <w:noProof/>
            <w:sz w:val="16"/>
            <w:szCs w:val="16"/>
            <w:shd w:val="clear" w:color="auto" w:fill="FFFFFF"/>
          </w:rPr>
          <w:t>Situation of Human Rights in Mexico</w:t>
        </w:r>
      </w:hyperlink>
      <w:r w:rsidRPr="003A43CA">
        <w:rPr>
          <w:rFonts w:ascii="Cambria" w:hAnsi="Cambria" w:cs="Cambria"/>
          <w:noProof/>
          <w:color w:val="333333"/>
          <w:sz w:val="16"/>
          <w:szCs w:val="16"/>
          <w:shd w:val="clear" w:color="auto" w:fill="FFFFFF"/>
        </w:rPr>
        <w:t xml:space="preserve">, </w:t>
      </w:r>
      <w:r w:rsidRPr="003A43CA">
        <w:rPr>
          <w:rFonts w:ascii="Cambria" w:hAnsi="Cambria" w:cs="Cambria"/>
          <w:noProof/>
          <w:sz w:val="16"/>
          <w:szCs w:val="16"/>
        </w:rPr>
        <w:t>December 31, 2015.</w:t>
      </w:r>
    </w:p>
  </w:footnote>
  <w:footnote w:id="5">
    <w:p w:rsidR="00F053B7" w:rsidRDefault="00F053B7" w:rsidP="003A43CA">
      <w:pPr>
        <w:pStyle w:val="FootnoteText"/>
        <w:spacing w:after="120"/>
        <w:ind w:firstLine="720"/>
      </w:pPr>
      <w:r w:rsidRPr="003A43CA">
        <w:rPr>
          <w:rStyle w:val="FootnoteReference"/>
          <w:rFonts w:ascii="Cambria" w:hAnsi="Cambria" w:cs="Cambria"/>
          <w:noProof/>
          <w:sz w:val="16"/>
          <w:szCs w:val="16"/>
        </w:rPr>
        <w:footnoteRef/>
      </w:r>
      <w:r>
        <w:rPr>
          <w:rFonts w:ascii="Cambria" w:hAnsi="Cambria" w:cs="Cambria"/>
          <w:noProof/>
          <w:sz w:val="16"/>
          <w:szCs w:val="16"/>
        </w:rPr>
        <w:t xml:space="preserve"> </w:t>
      </w:r>
      <w:r w:rsidRPr="003A43CA">
        <w:rPr>
          <w:rFonts w:ascii="Cambria" w:hAnsi="Cambria" w:cs="Cambria"/>
          <w:noProof/>
          <w:sz w:val="16"/>
          <w:szCs w:val="16"/>
        </w:rPr>
        <w:t xml:space="preserve">IACHR, </w:t>
      </w:r>
      <w:hyperlink r:id="rId4" w:history="1">
        <w:r w:rsidRPr="003A43CA">
          <w:rPr>
            <w:rStyle w:val="Hyperlink"/>
            <w:rFonts w:ascii="Cambria" w:hAnsi="Cambria" w:cs="Cambria"/>
            <w:noProof/>
            <w:sz w:val="16"/>
            <w:szCs w:val="16"/>
            <w:shd w:val="clear" w:color="auto" w:fill="FFFFFF"/>
          </w:rPr>
          <w:t>Situation of Human Rights in the Dominican Republic</w:t>
        </w:r>
      </w:hyperlink>
      <w:r w:rsidRPr="003A43CA">
        <w:rPr>
          <w:rFonts w:ascii="Cambria" w:hAnsi="Cambria" w:cs="Cambria"/>
          <w:noProof/>
          <w:color w:val="333333"/>
          <w:sz w:val="16"/>
          <w:szCs w:val="16"/>
          <w:shd w:val="clear" w:color="auto" w:fill="FFFFFF"/>
        </w:rPr>
        <w:t xml:space="preserve">, </w:t>
      </w:r>
      <w:r w:rsidRPr="003A43CA">
        <w:rPr>
          <w:rFonts w:ascii="Cambria" w:hAnsi="Cambria" w:cs="Cambria"/>
          <w:noProof/>
          <w:sz w:val="16"/>
          <w:szCs w:val="16"/>
        </w:rPr>
        <w:t>December 31, 2015.</w:t>
      </w:r>
      <w:r w:rsidRPr="003A43CA">
        <w:rPr>
          <w:rFonts w:ascii="Cambria" w:hAnsi="Cambria" w:cs="Cambria"/>
          <w:noProof/>
          <w:sz w:val="16"/>
          <w:szCs w:val="16"/>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27C" w:rsidRDefault="00D0647C" w:rsidP="005B227C">
    <w:pPr>
      <w:pStyle w:val="Header"/>
      <w:jc w:val="center"/>
    </w:pPr>
    <w:r>
      <w:rPr>
        <w:noProof/>
      </w:rPr>
      <w:drawing>
        <wp:inline distT="0" distB="0" distL="0" distR="0">
          <wp:extent cx="2272665" cy="116205"/>
          <wp:effectExtent l="0" t="0" r="0" b="0"/>
          <wp:docPr id="1" name="Picture 1" descr="iachr-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chr-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2665" cy="116205"/>
                  </a:xfrm>
                  <a:prstGeom prst="rect">
                    <a:avLst/>
                  </a:prstGeom>
                  <a:noFill/>
                  <a:ln>
                    <a:noFill/>
                  </a:ln>
                </pic:spPr>
              </pic:pic>
            </a:graphicData>
          </a:graphic>
        </wp:inline>
      </w:drawing>
    </w:r>
  </w:p>
  <w:p w:rsidR="00F053B7" w:rsidRPr="003A43CA" w:rsidRDefault="00E061CF" w:rsidP="00C4252D">
    <w:pPr>
      <w:pStyle w:val="Header"/>
      <w:rPr>
        <w:noProof/>
      </w:rPr>
    </w:pPr>
    <w:r>
      <w:rPr>
        <w:noProof/>
      </w:rPr>
      <w:pict>
        <v:rect id="_x0000_i1025"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27C" w:rsidRDefault="00D0647C" w:rsidP="0011062D">
    <w:pPr>
      <w:pStyle w:val="Header"/>
      <w:spacing w:line="360" w:lineRule="auto"/>
    </w:pPr>
    <w:r>
      <w:rPr>
        <w:noProof/>
      </w:rPr>
      <w:drawing>
        <wp:anchor distT="0" distB="0" distL="114300" distR="114300" simplePos="0" relativeHeight="251660288" behindDoc="1" locked="0" layoutInCell="1" allowOverlap="1">
          <wp:simplePos x="0" y="0"/>
          <wp:positionH relativeFrom="column">
            <wp:posOffset>-104775</wp:posOffset>
          </wp:positionH>
          <wp:positionV relativeFrom="paragraph">
            <wp:posOffset>-19050</wp:posOffset>
          </wp:positionV>
          <wp:extent cx="1914525" cy="422910"/>
          <wp:effectExtent l="0" t="0" r="9525" b="0"/>
          <wp:wrapThrough wrapText="bothSides">
            <wp:wrapPolygon edited="0">
              <wp:start x="0" y="0"/>
              <wp:lineTo x="0" y="20432"/>
              <wp:lineTo x="21493" y="20432"/>
              <wp:lineTo x="21493" y="0"/>
              <wp:lineTo x="0" y="0"/>
            </wp:wrapPolygon>
          </wp:wrapThrough>
          <wp:docPr id="5" name="Picture 5" descr="IA2018-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A2018-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229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4093845</wp:posOffset>
          </wp:positionH>
          <wp:positionV relativeFrom="paragraph">
            <wp:posOffset>-50800</wp:posOffset>
          </wp:positionV>
          <wp:extent cx="1860550" cy="410845"/>
          <wp:effectExtent l="0" t="0" r="6350" b="8255"/>
          <wp:wrapThrough wrapText="bothSides">
            <wp:wrapPolygon edited="0">
              <wp:start x="0" y="0"/>
              <wp:lineTo x="0" y="21032"/>
              <wp:lineTo x="21453" y="21032"/>
              <wp:lineTo x="21453" y="0"/>
              <wp:lineTo x="0" y="0"/>
            </wp:wrapPolygon>
          </wp:wrapThrough>
          <wp:docPr id="4" name="Picture 4"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h-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0550" cy="410845"/>
                  </a:xfrm>
                  <a:prstGeom prst="rect">
                    <a:avLst/>
                  </a:prstGeom>
                  <a:noFill/>
                </pic:spPr>
              </pic:pic>
            </a:graphicData>
          </a:graphic>
          <wp14:sizeRelH relativeFrom="page">
            <wp14:pctWidth>0</wp14:pctWidth>
          </wp14:sizeRelH>
          <wp14:sizeRelV relativeFrom="page">
            <wp14:pctHeight>0</wp14:pctHeight>
          </wp14:sizeRelV>
        </wp:anchor>
      </w:drawing>
    </w:r>
    <w:r w:rsidR="005B227C">
      <w:tab/>
    </w:r>
    <w:r w:rsidR="005B227C">
      <w:tab/>
    </w:r>
  </w:p>
  <w:p w:rsidR="005B227C" w:rsidRDefault="005B227C" w:rsidP="0011062D">
    <w:pPr>
      <w:pStyle w:val="Header"/>
      <w:spacing w:line="360" w:lineRule="auto"/>
    </w:pPr>
  </w:p>
  <w:p w:rsidR="005B227C" w:rsidRDefault="00E061CF" w:rsidP="005B227C">
    <w:pPr>
      <w:pStyle w:val="Header"/>
    </w:pPr>
    <w:r>
      <w:pict>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230DC"/>
    <w:multiLevelType w:val="hybridMultilevel"/>
    <w:tmpl w:val="C21425D8"/>
    <w:lvl w:ilvl="0" w:tplc="2B468EC6">
      <w:start w:val="2"/>
      <w:numFmt w:val="upperRoman"/>
      <w:lvlText w:val="%1."/>
      <w:lvlJc w:val="left"/>
      <w:pPr>
        <w:ind w:left="1080" w:hanging="720"/>
      </w:pPr>
      <w:rPr>
        <w:rFonts w:cs="Times New Roman"/>
      </w:rPr>
    </w:lvl>
    <w:lvl w:ilvl="1" w:tplc="D3341DE6">
      <w:start w:val="1"/>
      <w:numFmt w:val="lowerLetter"/>
      <w:lvlText w:val="%2."/>
      <w:lvlJc w:val="left"/>
      <w:pPr>
        <w:ind w:left="1440" w:hanging="360"/>
      </w:pPr>
      <w:rPr>
        <w:rFonts w:cs="Times New Roman"/>
      </w:rPr>
    </w:lvl>
    <w:lvl w:ilvl="2" w:tplc="777C6A80">
      <w:start w:val="1"/>
      <w:numFmt w:val="lowerRoman"/>
      <w:lvlText w:val="%3."/>
      <w:lvlJc w:val="right"/>
      <w:pPr>
        <w:ind w:left="2160" w:hanging="180"/>
      </w:pPr>
      <w:rPr>
        <w:rFonts w:cs="Times New Roman"/>
      </w:rPr>
    </w:lvl>
    <w:lvl w:ilvl="3" w:tplc="36DC1A78">
      <w:start w:val="1"/>
      <w:numFmt w:val="decimal"/>
      <w:lvlText w:val="%4."/>
      <w:lvlJc w:val="left"/>
      <w:pPr>
        <w:ind w:left="2880" w:hanging="360"/>
      </w:pPr>
      <w:rPr>
        <w:rFonts w:cs="Times New Roman"/>
      </w:rPr>
    </w:lvl>
    <w:lvl w:ilvl="4" w:tplc="C6149614">
      <w:start w:val="1"/>
      <w:numFmt w:val="lowerLetter"/>
      <w:lvlText w:val="%5."/>
      <w:lvlJc w:val="left"/>
      <w:pPr>
        <w:ind w:left="3600" w:hanging="360"/>
      </w:pPr>
      <w:rPr>
        <w:rFonts w:cs="Times New Roman"/>
      </w:rPr>
    </w:lvl>
    <w:lvl w:ilvl="5" w:tplc="20D60D22">
      <w:start w:val="1"/>
      <w:numFmt w:val="lowerRoman"/>
      <w:lvlText w:val="%6."/>
      <w:lvlJc w:val="right"/>
      <w:pPr>
        <w:ind w:left="4320" w:hanging="180"/>
      </w:pPr>
      <w:rPr>
        <w:rFonts w:cs="Times New Roman"/>
      </w:rPr>
    </w:lvl>
    <w:lvl w:ilvl="6" w:tplc="246CAC00">
      <w:start w:val="1"/>
      <w:numFmt w:val="decimal"/>
      <w:lvlText w:val="%7."/>
      <w:lvlJc w:val="left"/>
      <w:pPr>
        <w:ind w:left="5040" w:hanging="360"/>
      </w:pPr>
      <w:rPr>
        <w:rFonts w:cs="Times New Roman"/>
      </w:rPr>
    </w:lvl>
    <w:lvl w:ilvl="7" w:tplc="23D4E022">
      <w:start w:val="1"/>
      <w:numFmt w:val="lowerLetter"/>
      <w:lvlText w:val="%8."/>
      <w:lvlJc w:val="left"/>
      <w:pPr>
        <w:ind w:left="5760" w:hanging="360"/>
      </w:pPr>
      <w:rPr>
        <w:rFonts w:cs="Times New Roman"/>
      </w:rPr>
    </w:lvl>
    <w:lvl w:ilvl="8" w:tplc="FC3AC98A">
      <w:start w:val="1"/>
      <w:numFmt w:val="lowerRoman"/>
      <w:lvlText w:val="%9."/>
      <w:lvlJc w:val="right"/>
      <w:pPr>
        <w:ind w:left="6480" w:hanging="180"/>
      </w:pPr>
      <w:rPr>
        <w:rFonts w:cs="Times New Roman"/>
      </w:rPr>
    </w:lvl>
  </w:abstractNum>
  <w:abstractNum w:abstractNumId="1" w15:restartNumberingAfterBreak="0">
    <w:nsid w:val="1CF935D2"/>
    <w:multiLevelType w:val="hybridMultilevel"/>
    <w:tmpl w:val="CFD6C832"/>
    <w:lvl w:ilvl="0" w:tplc="2D461C34">
      <w:start w:val="1"/>
      <w:numFmt w:val="bullet"/>
      <w:lvlText w:val=""/>
      <w:lvlJc w:val="left"/>
      <w:pPr>
        <w:ind w:left="1170" w:hanging="360"/>
      </w:pPr>
      <w:rPr>
        <w:rFonts w:ascii="Wingdings" w:hAnsi="Wingdings" w:hint="default"/>
      </w:rPr>
    </w:lvl>
    <w:lvl w:ilvl="1" w:tplc="7EDAD178">
      <w:start w:val="1"/>
      <w:numFmt w:val="bullet"/>
      <w:lvlText w:val="o"/>
      <w:lvlJc w:val="left"/>
      <w:pPr>
        <w:ind w:left="1440" w:hanging="360"/>
      </w:pPr>
      <w:rPr>
        <w:rFonts w:ascii="Courier New" w:hAnsi="Courier New" w:hint="default"/>
      </w:rPr>
    </w:lvl>
    <w:lvl w:ilvl="2" w:tplc="667055C2">
      <w:start w:val="1"/>
      <w:numFmt w:val="bullet"/>
      <w:lvlText w:val=""/>
      <w:lvlJc w:val="left"/>
      <w:pPr>
        <w:ind w:left="2160" w:hanging="360"/>
      </w:pPr>
      <w:rPr>
        <w:rFonts w:ascii="Wingdings" w:hAnsi="Wingdings" w:hint="default"/>
      </w:rPr>
    </w:lvl>
    <w:lvl w:ilvl="3" w:tplc="8248A932">
      <w:start w:val="1"/>
      <w:numFmt w:val="bullet"/>
      <w:lvlText w:val=""/>
      <w:lvlJc w:val="left"/>
      <w:pPr>
        <w:ind w:left="2880" w:hanging="360"/>
      </w:pPr>
      <w:rPr>
        <w:rFonts w:ascii="Symbol" w:hAnsi="Symbol" w:hint="default"/>
      </w:rPr>
    </w:lvl>
    <w:lvl w:ilvl="4" w:tplc="5F90AF10">
      <w:start w:val="1"/>
      <w:numFmt w:val="bullet"/>
      <w:lvlText w:val="o"/>
      <w:lvlJc w:val="left"/>
      <w:pPr>
        <w:ind w:left="3600" w:hanging="360"/>
      </w:pPr>
      <w:rPr>
        <w:rFonts w:ascii="Courier New" w:hAnsi="Courier New" w:hint="default"/>
      </w:rPr>
    </w:lvl>
    <w:lvl w:ilvl="5" w:tplc="9B1ABE0E">
      <w:start w:val="1"/>
      <w:numFmt w:val="bullet"/>
      <w:lvlText w:val=""/>
      <w:lvlJc w:val="left"/>
      <w:pPr>
        <w:ind w:left="4320" w:hanging="360"/>
      </w:pPr>
      <w:rPr>
        <w:rFonts w:ascii="Wingdings" w:hAnsi="Wingdings" w:hint="default"/>
      </w:rPr>
    </w:lvl>
    <w:lvl w:ilvl="6" w:tplc="C0AC0216">
      <w:start w:val="1"/>
      <w:numFmt w:val="bullet"/>
      <w:lvlText w:val=""/>
      <w:lvlJc w:val="left"/>
      <w:pPr>
        <w:ind w:left="5040" w:hanging="360"/>
      </w:pPr>
      <w:rPr>
        <w:rFonts w:ascii="Symbol" w:hAnsi="Symbol" w:hint="default"/>
      </w:rPr>
    </w:lvl>
    <w:lvl w:ilvl="7" w:tplc="79E85A3E">
      <w:start w:val="1"/>
      <w:numFmt w:val="bullet"/>
      <w:lvlText w:val="o"/>
      <w:lvlJc w:val="left"/>
      <w:pPr>
        <w:ind w:left="5760" w:hanging="360"/>
      </w:pPr>
      <w:rPr>
        <w:rFonts w:ascii="Courier New" w:hAnsi="Courier New" w:hint="default"/>
      </w:rPr>
    </w:lvl>
    <w:lvl w:ilvl="8" w:tplc="767043D4">
      <w:start w:val="1"/>
      <w:numFmt w:val="bullet"/>
      <w:lvlText w:val=""/>
      <w:lvlJc w:val="left"/>
      <w:pPr>
        <w:ind w:left="6480" w:hanging="360"/>
      </w:pPr>
      <w:rPr>
        <w:rFonts w:ascii="Wingdings" w:hAnsi="Wingdings" w:hint="default"/>
      </w:rPr>
    </w:lvl>
  </w:abstractNum>
  <w:abstractNum w:abstractNumId="2" w15:restartNumberingAfterBreak="0">
    <w:nsid w:val="2432532F"/>
    <w:multiLevelType w:val="hybridMultilevel"/>
    <w:tmpl w:val="FE220CA0"/>
    <w:lvl w:ilvl="0" w:tplc="A12CA5C6">
      <w:start w:val="1"/>
      <w:numFmt w:val="bullet"/>
      <w:lvlText w:val=""/>
      <w:lvlJc w:val="left"/>
      <w:pPr>
        <w:ind w:left="720" w:hanging="360"/>
      </w:pPr>
      <w:rPr>
        <w:rFonts w:ascii="Wingdings" w:hAnsi="Wingdings" w:hint="default"/>
      </w:rPr>
    </w:lvl>
    <w:lvl w:ilvl="1" w:tplc="3AAEB5A4">
      <w:start w:val="1"/>
      <w:numFmt w:val="bullet"/>
      <w:lvlText w:val="o"/>
      <w:lvlJc w:val="left"/>
      <w:pPr>
        <w:ind w:left="1440" w:hanging="360"/>
      </w:pPr>
      <w:rPr>
        <w:rFonts w:ascii="Courier New" w:hAnsi="Courier New" w:hint="default"/>
      </w:rPr>
    </w:lvl>
    <w:lvl w:ilvl="2" w:tplc="0B4006DE">
      <w:start w:val="1"/>
      <w:numFmt w:val="bullet"/>
      <w:lvlText w:val=""/>
      <w:lvlJc w:val="left"/>
      <w:pPr>
        <w:ind w:left="2160" w:hanging="360"/>
      </w:pPr>
      <w:rPr>
        <w:rFonts w:ascii="Wingdings" w:hAnsi="Wingdings" w:hint="default"/>
      </w:rPr>
    </w:lvl>
    <w:lvl w:ilvl="3" w:tplc="B95C970A">
      <w:start w:val="1"/>
      <w:numFmt w:val="bullet"/>
      <w:lvlText w:val=""/>
      <w:lvlJc w:val="left"/>
      <w:pPr>
        <w:ind w:left="2880" w:hanging="360"/>
      </w:pPr>
      <w:rPr>
        <w:rFonts w:ascii="Symbol" w:hAnsi="Symbol" w:hint="default"/>
      </w:rPr>
    </w:lvl>
    <w:lvl w:ilvl="4" w:tplc="F4E45628">
      <w:start w:val="1"/>
      <w:numFmt w:val="bullet"/>
      <w:lvlText w:val="o"/>
      <w:lvlJc w:val="left"/>
      <w:pPr>
        <w:ind w:left="3600" w:hanging="360"/>
      </w:pPr>
      <w:rPr>
        <w:rFonts w:ascii="Courier New" w:hAnsi="Courier New" w:hint="default"/>
      </w:rPr>
    </w:lvl>
    <w:lvl w:ilvl="5" w:tplc="A48AF074">
      <w:start w:val="1"/>
      <w:numFmt w:val="bullet"/>
      <w:lvlText w:val=""/>
      <w:lvlJc w:val="left"/>
      <w:pPr>
        <w:ind w:left="4320" w:hanging="360"/>
      </w:pPr>
      <w:rPr>
        <w:rFonts w:ascii="Wingdings" w:hAnsi="Wingdings" w:hint="default"/>
      </w:rPr>
    </w:lvl>
    <w:lvl w:ilvl="6" w:tplc="14FC6F2C">
      <w:start w:val="1"/>
      <w:numFmt w:val="bullet"/>
      <w:lvlText w:val=""/>
      <w:lvlJc w:val="left"/>
      <w:pPr>
        <w:ind w:left="5040" w:hanging="360"/>
      </w:pPr>
      <w:rPr>
        <w:rFonts w:ascii="Symbol" w:hAnsi="Symbol" w:hint="default"/>
      </w:rPr>
    </w:lvl>
    <w:lvl w:ilvl="7" w:tplc="4B0EBB04">
      <w:start w:val="1"/>
      <w:numFmt w:val="bullet"/>
      <w:lvlText w:val="o"/>
      <w:lvlJc w:val="left"/>
      <w:pPr>
        <w:ind w:left="5760" w:hanging="360"/>
      </w:pPr>
      <w:rPr>
        <w:rFonts w:ascii="Courier New" w:hAnsi="Courier New" w:hint="default"/>
      </w:rPr>
    </w:lvl>
    <w:lvl w:ilvl="8" w:tplc="1946F38E">
      <w:start w:val="1"/>
      <w:numFmt w:val="bullet"/>
      <w:lvlText w:val=""/>
      <w:lvlJc w:val="left"/>
      <w:pPr>
        <w:ind w:left="6480" w:hanging="360"/>
      </w:pPr>
      <w:rPr>
        <w:rFonts w:ascii="Wingdings" w:hAnsi="Wingdings" w:hint="default"/>
      </w:rPr>
    </w:lvl>
  </w:abstractNum>
  <w:abstractNum w:abstractNumId="3" w15:restartNumberingAfterBreak="0">
    <w:nsid w:val="24644E43"/>
    <w:multiLevelType w:val="hybridMultilevel"/>
    <w:tmpl w:val="9566149A"/>
    <w:lvl w:ilvl="0" w:tplc="432C71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2D753B"/>
    <w:multiLevelType w:val="hybridMultilevel"/>
    <w:tmpl w:val="D1D0BFBE"/>
    <w:lvl w:ilvl="0" w:tplc="4CACBE24">
      <w:start w:val="1"/>
      <w:numFmt w:val="bullet"/>
      <w:lvlText w:val=""/>
      <w:lvlJc w:val="left"/>
      <w:pPr>
        <w:ind w:left="1170" w:hanging="360"/>
      </w:pPr>
      <w:rPr>
        <w:rFonts w:ascii="Symbol" w:hAnsi="Symbol" w:hint="default"/>
        <w:vanish w:val="0"/>
      </w:rPr>
    </w:lvl>
    <w:lvl w:ilvl="1" w:tplc="7CB4A246">
      <w:start w:val="1"/>
      <w:numFmt w:val="bullet"/>
      <w:lvlText w:val="o"/>
      <w:lvlJc w:val="left"/>
      <w:pPr>
        <w:ind w:left="1440" w:hanging="360"/>
      </w:pPr>
      <w:rPr>
        <w:rFonts w:ascii="Courier New" w:hAnsi="Courier New" w:hint="default"/>
      </w:rPr>
    </w:lvl>
    <w:lvl w:ilvl="2" w:tplc="F6DAC950">
      <w:start w:val="1"/>
      <w:numFmt w:val="bullet"/>
      <w:lvlText w:val=""/>
      <w:lvlJc w:val="left"/>
      <w:pPr>
        <w:ind w:left="2160" w:hanging="360"/>
      </w:pPr>
      <w:rPr>
        <w:rFonts w:ascii="Wingdings" w:hAnsi="Wingdings" w:hint="default"/>
      </w:rPr>
    </w:lvl>
    <w:lvl w:ilvl="3" w:tplc="BDA88CC6">
      <w:start w:val="1"/>
      <w:numFmt w:val="bullet"/>
      <w:lvlText w:val=""/>
      <w:lvlJc w:val="left"/>
      <w:pPr>
        <w:ind w:left="2880" w:hanging="360"/>
      </w:pPr>
      <w:rPr>
        <w:rFonts w:ascii="Symbol" w:hAnsi="Symbol" w:hint="default"/>
      </w:rPr>
    </w:lvl>
    <w:lvl w:ilvl="4" w:tplc="EEE468AC">
      <w:start w:val="1"/>
      <w:numFmt w:val="bullet"/>
      <w:lvlText w:val="o"/>
      <w:lvlJc w:val="left"/>
      <w:pPr>
        <w:ind w:left="3600" w:hanging="360"/>
      </w:pPr>
      <w:rPr>
        <w:rFonts w:ascii="Courier New" w:hAnsi="Courier New" w:hint="default"/>
      </w:rPr>
    </w:lvl>
    <w:lvl w:ilvl="5" w:tplc="FB0463E0">
      <w:start w:val="1"/>
      <w:numFmt w:val="bullet"/>
      <w:lvlText w:val=""/>
      <w:lvlJc w:val="left"/>
      <w:pPr>
        <w:ind w:left="4320" w:hanging="360"/>
      </w:pPr>
      <w:rPr>
        <w:rFonts w:ascii="Wingdings" w:hAnsi="Wingdings" w:hint="default"/>
      </w:rPr>
    </w:lvl>
    <w:lvl w:ilvl="6" w:tplc="FDB25C38">
      <w:start w:val="1"/>
      <w:numFmt w:val="bullet"/>
      <w:lvlText w:val=""/>
      <w:lvlJc w:val="left"/>
      <w:pPr>
        <w:ind w:left="5040" w:hanging="360"/>
      </w:pPr>
      <w:rPr>
        <w:rFonts w:ascii="Symbol" w:hAnsi="Symbol" w:hint="default"/>
      </w:rPr>
    </w:lvl>
    <w:lvl w:ilvl="7" w:tplc="352E84C0">
      <w:start w:val="1"/>
      <w:numFmt w:val="bullet"/>
      <w:lvlText w:val="o"/>
      <w:lvlJc w:val="left"/>
      <w:pPr>
        <w:ind w:left="5760" w:hanging="360"/>
      </w:pPr>
      <w:rPr>
        <w:rFonts w:ascii="Courier New" w:hAnsi="Courier New" w:hint="default"/>
      </w:rPr>
    </w:lvl>
    <w:lvl w:ilvl="8" w:tplc="52A64420">
      <w:start w:val="1"/>
      <w:numFmt w:val="bullet"/>
      <w:lvlText w:val=""/>
      <w:lvlJc w:val="left"/>
      <w:pPr>
        <w:ind w:left="6480" w:hanging="360"/>
      </w:pPr>
      <w:rPr>
        <w:rFonts w:ascii="Wingdings" w:hAnsi="Wingdings" w:hint="default"/>
      </w:rPr>
    </w:lvl>
  </w:abstractNum>
  <w:abstractNum w:abstractNumId="5" w15:restartNumberingAfterBreak="0">
    <w:nsid w:val="28197408"/>
    <w:multiLevelType w:val="hybridMultilevel"/>
    <w:tmpl w:val="D67CD914"/>
    <w:lvl w:ilvl="0" w:tplc="68C259FE">
      <w:start w:val="1"/>
      <w:numFmt w:val="bullet"/>
      <w:lvlText w:val=""/>
      <w:lvlJc w:val="left"/>
      <w:pPr>
        <w:ind w:left="720" w:hanging="360"/>
      </w:pPr>
      <w:rPr>
        <w:rFonts w:ascii="Symbol" w:hAnsi="Symbol" w:hint="default"/>
        <w:vanish w:val="0"/>
      </w:rPr>
    </w:lvl>
    <w:lvl w:ilvl="1" w:tplc="E6C83E70">
      <w:start w:val="1"/>
      <w:numFmt w:val="bullet"/>
      <w:lvlText w:val="o"/>
      <w:lvlJc w:val="left"/>
      <w:pPr>
        <w:ind w:left="1440" w:hanging="360"/>
      </w:pPr>
      <w:rPr>
        <w:rFonts w:ascii="Courier New" w:hAnsi="Courier New" w:hint="default"/>
      </w:rPr>
    </w:lvl>
    <w:lvl w:ilvl="2" w:tplc="B958D55C">
      <w:start w:val="1"/>
      <w:numFmt w:val="bullet"/>
      <w:lvlText w:val=""/>
      <w:lvlJc w:val="left"/>
      <w:pPr>
        <w:ind w:left="2160" w:hanging="360"/>
      </w:pPr>
      <w:rPr>
        <w:rFonts w:ascii="Wingdings" w:hAnsi="Wingdings" w:hint="default"/>
      </w:rPr>
    </w:lvl>
    <w:lvl w:ilvl="3" w:tplc="D5FA5662">
      <w:start w:val="1"/>
      <w:numFmt w:val="bullet"/>
      <w:lvlText w:val=""/>
      <w:lvlJc w:val="left"/>
      <w:pPr>
        <w:ind w:left="2880" w:hanging="360"/>
      </w:pPr>
      <w:rPr>
        <w:rFonts w:ascii="Symbol" w:hAnsi="Symbol" w:hint="default"/>
      </w:rPr>
    </w:lvl>
    <w:lvl w:ilvl="4" w:tplc="798EE1EA">
      <w:start w:val="1"/>
      <w:numFmt w:val="bullet"/>
      <w:lvlText w:val="o"/>
      <w:lvlJc w:val="left"/>
      <w:pPr>
        <w:ind w:left="3600" w:hanging="360"/>
      </w:pPr>
      <w:rPr>
        <w:rFonts w:ascii="Courier New" w:hAnsi="Courier New" w:hint="default"/>
      </w:rPr>
    </w:lvl>
    <w:lvl w:ilvl="5" w:tplc="828CAFDE">
      <w:start w:val="1"/>
      <w:numFmt w:val="bullet"/>
      <w:lvlText w:val=""/>
      <w:lvlJc w:val="left"/>
      <w:pPr>
        <w:ind w:left="4320" w:hanging="360"/>
      </w:pPr>
      <w:rPr>
        <w:rFonts w:ascii="Wingdings" w:hAnsi="Wingdings" w:hint="default"/>
      </w:rPr>
    </w:lvl>
    <w:lvl w:ilvl="6" w:tplc="4B7E8C34">
      <w:start w:val="1"/>
      <w:numFmt w:val="bullet"/>
      <w:lvlText w:val=""/>
      <w:lvlJc w:val="left"/>
      <w:pPr>
        <w:ind w:left="5040" w:hanging="360"/>
      </w:pPr>
      <w:rPr>
        <w:rFonts w:ascii="Symbol" w:hAnsi="Symbol" w:hint="default"/>
      </w:rPr>
    </w:lvl>
    <w:lvl w:ilvl="7" w:tplc="3CACE0DC">
      <w:start w:val="1"/>
      <w:numFmt w:val="bullet"/>
      <w:lvlText w:val="o"/>
      <w:lvlJc w:val="left"/>
      <w:pPr>
        <w:ind w:left="5760" w:hanging="360"/>
      </w:pPr>
      <w:rPr>
        <w:rFonts w:ascii="Courier New" w:hAnsi="Courier New" w:hint="default"/>
      </w:rPr>
    </w:lvl>
    <w:lvl w:ilvl="8" w:tplc="D5247694">
      <w:start w:val="1"/>
      <w:numFmt w:val="bullet"/>
      <w:lvlText w:val=""/>
      <w:lvlJc w:val="left"/>
      <w:pPr>
        <w:ind w:left="6480" w:hanging="360"/>
      </w:pPr>
      <w:rPr>
        <w:rFonts w:ascii="Wingdings" w:hAnsi="Wingdings" w:hint="default"/>
      </w:rPr>
    </w:lvl>
  </w:abstractNum>
  <w:abstractNum w:abstractNumId="6" w15:restartNumberingAfterBreak="0">
    <w:nsid w:val="37630F16"/>
    <w:multiLevelType w:val="hybridMultilevel"/>
    <w:tmpl w:val="F0822BA6"/>
    <w:lvl w:ilvl="0" w:tplc="F3802442">
      <w:start w:val="1"/>
      <w:numFmt w:val="upperLetter"/>
      <w:pStyle w:val="Heading2"/>
      <w:lvlText w:val="%1."/>
      <w:lvlJc w:val="left"/>
      <w:pPr>
        <w:ind w:left="1080" w:hanging="720"/>
      </w:pPr>
      <w:rPr>
        <w:rFonts w:cs="Times New Roman"/>
        <w:vanish w:val="0"/>
      </w:rPr>
    </w:lvl>
    <w:lvl w:ilvl="1" w:tplc="28665FEA">
      <w:start w:val="1"/>
      <w:numFmt w:val="lowerLetter"/>
      <w:lvlText w:val="%2."/>
      <w:lvlJc w:val="left"/>
      <w:pPr>
        <w:ind w:left="1440" w:hanging="360"/>
      </w:pPr>
      <w:rPr>
        <w:rFonts w:cs="Times New Roman"/>
      </w:rPr>
    </w:lvl>
    <w:lvl w:ilvl="2" w:tplc="EECC9E76">
      <w:start w:val="1"/>
      <w:numFmt w:val="lowerRoman"/>
      <w:lvlText w:val="%3."/>
      <w:lvlJc w:val="right"/>
      <w:pPr>
        <w:ind w:left="2160" w:hanging="180"/>
      </w:pPr>
      <w:rPr>
        <w:rFonts w:cs="Times New Roman"/>
      </w:rPr>
    </w:lvl>
    <w:lvl w:ilvl="3" w:tplc="AE964EEA">
      <w:start w:val="1"/>
      <w:numFmt w:val="decimal"/>
      <w:lvlText w:val="%4."/>
      <w:lvlJc w:val="left"/>
      <w:pPr>
        <w:ind w:left="2880" w:hanging="360"/>
      </w:pPr>
      <w:rPr>
        <w:rFonts w:cs="Times New Roman"/>
      </w:rPr>
    </w:lvl>
    <w:lvl w:ilvl="4" w:tplc="DE4CA3E4">
      <w:start w:val="1"/>
      <w:numFmt w:val="lowerLetter"/>
      <w:lvlText w:val="%5."/>
      <w:lvlJc w:val="left"/>
      <w:pPr>
        <w:ind w:left="3600" w:hanging="360"/>
      </w:pPr>
      <w:rPr>
        <w:rFonts w:cs="Times New Roman"/>
      </w:rPr>
    </w:lvl>
    <w:lvl w:ilvl="5" w:tplc="F07A12CE">
      <w:start w:val="1"/>
      <w:numFmt w:val="lowerRoman"/>
      <w:lvlText w:val="%6."/>
      <w:lvlJc w:val="right"/>
      <w:pPr>
        <w:ind w:left="4320" w:hanging="180"/>
      </w:pPr>
      <w:rPr>
        <w:rFonts w:cs="Times New Roman"/>
      </w:rPr>
    </w:lvl>
    <w:lvl w:ilvl="6" w:tplc="E5CC5F48">
      <w:start w:val="1"/>
      <w:numFmt w:val="decimal"/>
      <w:lvlText w:val="%7."/>
      <w:lvlJc w:val="left"/>
      <w:pPr>
        <w:ind w:left="5040" w:hanging="360"/>
      </w:pPr>
      <w:rPr>
        <w:rFonts w:cs="Times New Roman"/>
      </w:rPr>
    </w:lvl>
    <w:lvl w:ilvl="7" w:tplc="D2F8358A">
      <w:start w:val="1"/>
      <w:numFmt w:val="lowerLetter"/>
      <w:lvlText w:val="%8."/>
      <w:lvlJc w:val="left"/>
      <w:pPr>
        <w:ind w:left="5760" w:hanging="360"/>
      </w:pPr>
      <w:rPr>
        <w:rFonts w:cs="Times New Roman"/>
      </w:rPr>
    </w:lvl>
    <w:lvl w:ilvl="8" w:tplc="7D4C6E72">
      <w:start w:val="1"/>
      <w:numFmt w:val="lowerRoman"/>
      <w:lvlText w:val="%9."/>
      <w:lvlJc w:val="right"/>
      <w:pPr>
        <w:ind w:left="6480" w:hanging="180"/>
      </w:pPr>
      <w:rPr>
        <w:rFonts w:cs="Times New Roman"/>
      </w:rPr>
    </w:lvl>
  </w:abstractNum>
  <w:abstractNum w:abstractNumId="7" w15:restartNumberingAfterBreak="0">
    <w:nsid w:val="55880DF4"/>
    <w:multiLevelType w:val="hybridMultilevel"/>
    <w:tmpl w:val="D996EDBA"/>
    <w:lvl w:ilvl="0" w:tplc="94585CAE">
      <w:start w:val="1"/>
      <w:numFmt w:val="decimal"/>
      <w:lvlText w:val="%1."/>
      <w:lvlJc w:val="left"/>
      <w:pPr>
        <w:ind w:left="1440" w:hanging="360"/>
      </w:pPr>
      <w:rPr>
        <w:rFonts w:cs="Times New Roman"/>
        <w:vanish w:val="0"/>
      </w:rPr>
    </w:lvl>
    <w:lvl w:ilvl="1" w:tplc="88F25502">
      <w:start w:val="1"/>
      <w:numFmt w:val="lowerLetter"/>
      <w:lvlText w:val="%2."/>
      <w:lvlJc w:val="left"/>
      <w:pPr>
        <w:ind w:left="2160" w:hanging="360"/>
      </w:pPr>
      <w:rPr>
        <w:rFonts w:cs="Times New Roman"/>
      </w:rPr>
    </w:lvl>
    <w:lvl w:ilvl="2" w:tplc="B2DAC786">
      <w:start w:val="1"/>
      <w:numFmt w:val="lowerRoman"/>
      <w:lvlText w:val="%3."/>
      <w:lvlJc w:val="right"/>
      <w:pPr>
        <w:ind w:left="2880" w:hanging="180"/>
      </w:pPr>
      <w:rPr>
        <w:rFonts w:cs="Times New Roman"/>
      </w:rPr>
    </w:lvl>
    <w:lvl w:ilvl="3" w:tplc="D4542786">
      <w:start w:val="1"/>
      <w:numFmt w:val="decimal"/>
      <w:lvlText w:val="%4."/>
      <w:lvlJc w:val="left"/>
      <w:pPr>
        <w:ind w:left="3600" w:hanging="360"/>
      </w:pPr>
      <w:rPr>
        <w:rFonts w:cs="Times New Roman"/>
      </w:rPr>
    </w:lvl>
    <w:lvl w:ilvl="4" w:tplc="C958C23A">
      <w:start w:val="1"/>
      <w:numFmt w:val="lowerLetter"/>
      <w:lvlText w:val="%5."/>
      <w:lvlJc w:val="left"/>
      <w:pPr>
        <w:ind w:left="4320" w:hanging="360"/>
      </w:pPr>
      <w:rPr>
        <w:rFonts w:cs="Times New Roman"/>
      </w:rPr>
    </w:lvl>
    <w:lvl w:ilvl="5" w:tplc="A6B27B30">
      <w:start w:val="1"/>
      <w:numFmt w:val="lowerRoman"/>
      <w:lvlText w:val="%6."/>
      <w:lvlJc w:val="right"/>
      <w:pPr>
        <w:ind w:left="5040" w:hanging="180"/>
      </w:pPr>
      <w:rPr>
        <w:rFonts w:cs="Times New Roman"/>
      </w:rPr>
    </w:lvl>
    <w:lvl w:ilvl="6" w:tplc="41386CDC">
      <w:start w:val="1"/>
      <w:numFmt w:val="decimal"/>
      <w:lvlText w:val="%7."/>
      <w:lvlJc w:val="left"/>
      <w:pPr>
        <w:ind w:left="5760" w:hanging="360"/>
      </w:pPr>
      <w:rPr>
        <w:rFonts w:cs="Times New Roman"/>
      </w:rPr>
    </w:lvl>
    <w:lvl w:ilvl="7" w:tplc="CDA844F8">
      <w:start w:val="1"/>
      <w:numFmt w:val="lowerLetter"/>
      <w:lvlText w:val="%8."/>
      <w:lvlJc w:val="left"/>
      <w:pPr>
        <w:ind w:left="6480" w:hanging="360"/>
      </w:pPr>
      <w:rPr>
        <w:rFonts w:cs="Times New Roman"/>
      </w:rPr>
    </w:lvl>
    <w:lvl w:ilvl="8" w:tplc="31D2D6B2">
      <w:start w:val="1"/>
      <w:numFmt w:val="lowerRoman"/>
      <w:lvlText w:val="%9."/>
      <w:lvlJc w:val="right"/>
      <w:pPr>
        <w:ind w:left="7200" w:hanging="180"/>
      </w:pPr>
      <w:rPr>
        <w:rFonts w:cs="Times New Roman"/>
      </w:rPr>
    </w:lvl>
  </w:abstractNum>
  <w:abstractNum w:abstractNumId="8" w15:restartNumberingAfterBreak="0">
    <w:nsid w:val="659B2625"/>
    <w:multiLevelType w:val="hybridMultilevel"/>
    <w:tmpl w:val="E6944FAA"/>
    <w:lvl w:ilvl="0" w:tplc="F3F8001A">
      <w:start w:val="1"/>
      <w:numFmt w:val="upperRoman"/>
      <w:lvlText w:val="%1."/>
      <w:lvlJc w:val="left"/>
      <w:pPr>
        <w:ind w:left="1080" w:hanging="720"/>
      </w:pPr>
      <w:rPr>
        <w:rFonts w:cs="Times New Roman"/>
      </w:rPr>
    </w:lvl>
    <w:lvl w:ilvl="1" w:tplc="1C8C8462">
      <w:start w:val="1"/>
      <w:numFmt w:val="lowerLetter"/>
      <w:lvlText w:val="%2."/>
      <w:lvlJc w:val="left"/>
      <w:pPr>
        <w:ind w:left="1440" w:hanging="360"/>
      </w:pPr>
      <w:rPr>
        <w:rFonts w:cs="Times New Roman"/>
      </w:rPr>
    </w:lvl>
    <w:lvl w:ilvl="2" w:tplc="2A264576">
      <w:start w:val="1"/>
      <w:numFmt w:val="lowerRoman"/>
      <w:lvlText w:val="%3."/>
      <w:lvlJc w:val="right"/>
      <w:pPr>
        <w:ind w:left="2160" w:hanging="180"/>
      </w:pPr>
      <w:rPr>
        <w:rFonts w:cs="Times New Roman"/>
      </w:rPr>
    </w:lvl>
    <w:lvl w:ilvl="3" w:tplc="13BA1822">
      <w:start w:val="1"/>
      <w:numFmt w:val="decimal"/>
      <w:lvlText w:val="%4."/>
      <w:lvlJc w:val="left"/>
      <w:pPr>
        <w:ind w:left="2880" w:hanging="360"/>
      </w:pPr>
      <w:rPr>
        <w:rFonts w:cs="Times New Roman"/>
      </w:rPr>
    </w:lvl>
    <w:lvl w:ilvl="4" w:tplc="1DC46852">
      <w:start w:val="1"/>
      <w:numFmt w:val="lowerLetter"/>
      <w:lvlText w:val="%5."/>
      <w:lvlJc w:val="left"/>
      <w:pPr>
        <w:ind w:left="3600" w:hanging="360"/>
      </w:pPr>
      <w:rPr>
        <w:rFonts w:cs="Times New Roman"/>
      </w:rPr>
    </w:lvl>
    <w:lvl w:ilvl="5" w:tplc="90FA677C">
      <w:start w:val="1"/>
      <w:numFmt w:val="lowerRoman"/>
      <w:lvlText w:val="%6."/>
      <w:lvlJc w:val="right"/>
      <w:pPr>
        <w:ind w:left="4320" w:hanging="180"/>
      </w:pPr>
      <w:rPr>
        <w:rFonts w:cs="Times New Roman"/>
      </w:rPr>
    </w:lvl>
    <w:lvl w:ilvl="6" w:tplc="685AD394">
      <w:start w:val="1"/>
      <w:numFmt w:val="decimal"/>
      <w:lvlText w:val="%7."/>
      <w:lvlJc w:val="left"/>
      <w:pPr>
        <w:ind w:left="5040" w:hanging="360"/>
      </w:pPr>
      <w:rPr>
        <w:rFonts w:cs="Times New Roman"/>
      </w:rPr>
    </w:lvl>
    <w:lvl w:ilvl="7" w:tplc="6A5A9500">
      <w:start w:val="1"/>
      <w:numFmt w:val="lowerLetter"/>
      <w:lvlText w:val="%8."/>
      <w:lvlJc w:val="left"/>
      <w:pPr>
        <w:ind w:left="5760" w:hanging="360"/>
      </w:pPr>
      <w:rPr>
        <w:rFonts w:cs="Times New Roman"/>
      </w:rPr>
    </w:lvl>
    <w:lvl w:ilvl="8" w:tplc="A0AA0D5C">
      <w:start w:val="1"/>
      <w:numFmt w:val="lowerRoman"/>
      <w:lvlText w:val="%9."/>
      <w:lvlJc w:val="right"/>
      <w:pPr>
        <w:ind w:left="6480" w:hanging="180"/>
      </w:pPr>
      <w:rPr>
        <w:rFonts w:cs="Times New Roman"/>
      </w:rPr>
    </w:lvl>
  </w:abstractNum>
  <w:abstractNum w:abstractNumId="9" w15:restartNumberingAfterBreak="0">
    <w:nsid w:val="68776D92"/>
    <w:multiLevelType w:val="hybridMultilevel"/>
    <w:tmpl w:val="76062822"/>
    <w:lvl w:ilvl="0" w:tplc="1AC44754">
      <w:start w:val="1"/>
      <w:numFmt w:val="bullet"/>
      <w:lvlText w:val=""/>
      <w:lvlJc w:val="left"/>
      <w:pPr>
        <w:ind w:left="720" w:hanging="360"/>
      </w:pPr>
      <w:rPr>
        <w:rFonts w:ascii="Symbol" w:hAnsi="Symbol" w:hint="default"/>
        <w:vanish w:val="0"/>
      </w:rPr>
    </w:lvl>
    <w:lvl w:ilvl="1" w:tplc="FB8CD73C">
      <w:start w:val="1"/>
      <w:numFmt w:val="bullet"/>
      <w:lvlText w:val="o"/>
      <w:lvlJc w:val="left"/>
      <w:pPr>
        <w:ind w:left="1440" w:hanging="360"/>
      </w:pPr>
      <w:rPr>
        <w:rFonts w:ascii="Courier New" w:hAnsi="Courier New" w:hint="default"/>
      </w:rPr>
    </w:lvl>
    <w:lvl w:ilvl="2" w:tplc="D2CEBED4">
      <w:start w:val="1"/>
      <w:numFmt w:val="bullet"/>
      <w:lvlText w:val=""/>
      <w:lvlJc w:val="left"/>
      <w:pPr>
        <w:ind w:left="2160" w:hanging="360"/>
      </w:pPr>
      <w:rPr>
        <w:rFonts w:ascii="Wingdings" w:hAnsi="Wingdings" w:hint="default"/>
      </w:rPr>
    </w:lvl>
    <w:lvl w:ilvl="3" w:tplc="611838E0">
      <w:start w:val="1"/>
      <w:numFmt w:val="bullet"/>
      <w:lvlText w:val=""/>
      <w:lvlJc w:val="left"/>
      <w:pPr>
        <w:ind w:left="2880" w:hanging="360"/>
      </w:pPr>
      <w:rPr>
        <w:rFonts w:ascii="Symbol" w:hAnsi="Symbol" w:hint="default"/>
      </w:rPr>
    </w:lvl>
    <w:lvl w:ilvl="4" w:tplc="3C00479E">
      <w:start w:val="1"/>
      <w:numFmt w:val="bullet"/>
      <w:lvlText w:val="o"/>
      <w:lvlJc w:val="left"/>
      <w:pPr>
        <w:ind w:left="3600" w:hanging="360"/>
      </w:pPr>
      <w:rPr>
        <w:rFonts w:ascii="Courier New" w:hAnsi="Courier New" w:hint="default"/>
      </w:rPr>
    </w:lvl>
    <w:lvl w:ilvl="5" w:tplc="ED06BF5C">
      <w:start w:val="1"/>
      <w:numFmt w:val="bullet"/>
      <w:lvlText w:val=""/>
      <w:lvlJc w:val="left"/>
      <w:pPr>
        <w:ind w:left="4320" w:hanging="360"/>
      </w:pPr>
      <w:rPr>
        <w:rFonts w:ascii="Wingdings" w:hAnsi="Wingdings" w:hint="default"/>
      </w:rPr>
    </w:lvl>
    <w:lvl w:ilvl="6" w:tplc="D4EA9B8C">
      <w:start w:val="1"/>
      <w:numFmt w:val="bullet"/>
      <w:lvlText w:val=""/>
      <w:lvlJc w:val="left"/>
      <w:pPr>
        <w:ind w:left="5040" w:hanging="360"/>
      </w:pPr>
      <w:rPr>
        <w:rFonts w:ascii="Symbol" w:hAnsi="Symbol" w:hint="default"/>
      </w:rPr>
    </w:lvl>
    <w:lvl w:ilvl="7" w:tplc="F552F3F4">
      <w:start w:val="1"/>
      <w:numFmt w:val="bullet"/>
      <w:lvlText w:val="o"/>
      <w:lvlJc w:val="left"/>
      <w:pPr>
        <w:ind w:left="5760" w:hanging="360"/>
      </w:pPr>
      <w:rPr>
        <w:rFonts w:ascii="Courier New" w:hAnsi="Courier New" w:hint="default"/>
      </w:rPr>
    </w:lvl>
    <w:lvl w:ilvl="8" w:tplc="8A3A7AA2">
      <w:start w:val="1"/>
      <w:numFmt w:val="bullet"/>
      <w:lvlText w:val=""/>
      <w:lvlJc w:val="left"/>
      <w:pPr>
        <w:ind w:left="6480" w:hanging="360"/>
      </w:pPr>
      <w:rPr>
        <w:rFonts w:ascii="Wingdings" w:hAnsi="Wingdings" w:hint="default"/>
      </w:rPr>
    </w:lvl>
  </w:abstractNum>
  <w:num w:numId="1">
    <w:abstractNumId w:val="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0"/>
  </w:num>
  <w:num w:numId="8">
    <w:abstractNumId w:val="4"/>
  </w:num>
  <w:num w:numId="9">
    <w:abstractNumId w:val="9"/>
  </w:num>
  <w:num w:numId="10">
    <w:abstractNumId w:val="8"/>
  </w:num>
  <w:num w:numId="11">
    <w:abstractNumId w:val="6"/>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FC9"/>
    <w:rsid w:val="00001799"/>
    <w:rsid w:val="00032430"/>
    <w:rsid w:val="000828AB"/>
    <w:rsid w:val="00082FC9"/>
    <w:rsid w:val="000B1069"/>
    <w:rsid w:val="0011062D"/>
    <w:rsid w:val="00173FF6"/>
    <w:rsid w:val="00202164"/>
    <w:rsid w:val="002053DB"/>
    <w:rsid w:val="002373B8"/>
    <w:rsid w:val="00242EE6"/>
    <w:rsid w:val="00277653"/>
    <w:rsid w:val="002868B8"/>
    <w:rsid w:val="002D6320"/>
    <w:rsid w:val="002E162C"/>
    <w:rsid w:val="002E171B"/>
    <w:rsid w:val="00301F3A"/>
    <w:rsid w:val="003727A9"/>
    <w:rsid w:val="003A19B9"/>
    <w:rsid w:val="003A43CA"/>
    <w:rsid w:val="003B7292"/>
    <w:rsid w:val="00495442"/>
    <w:rsid w:val="004A26B8"/>
    <w:rsid w:val="004D4CF4"/>
    <w:rsid w:val="00557A00"/>
    <w:rsid w:val="0058688A"/>
    <w:rsid w:val="00593F6D"/>
    <w:rsid w:val="005B227C"/>
    <w:rsid w:val="005C60E0"/>
    <w:rsid w:val="0061678D"/>
    <w:rsid w:val="00650382"/>
    <w:rsid w:val="006645BA"/>
    <w:rsid w:val="006646DE"/>
    <w:rsid w:val="006A06B7"/>
    <w:rsid w:val="006B24FD"/>
    <w:rsid w:val="007063B3"/>
    <w:rsid w:val="00740A9D"/>
    <w:rsid w:val="007B236C"/>
    <w:rsid w:val="007C026D"/>
    <w:rsid w:val="007C5176"/>
    <w:rsid w:val="007D2C01"/>
    <w:rsid w:val="007F6FB4"/>
    <w:rsid w:val="00801C20"/>
    <w:rsid w:val="008372E6"/>
    <w:rsid w:val="00894243"/>
    <w:rsid w:val="008F7A1F"/>
    <w:rsid w:val="00965076"/>
    <w:rsid w:val="009E2BB2"/>
    <w:rsid w:val="00A035A2"/>
    <w:rsid w:val="00A050D9"/>
    <w:rsid w:val="00A53708"/>
    <w:rsid w:val="00A762E6"/>
    <w:rsid w:val="00A94413"/>
    <w:rsid w:val="00AF1E67"/>
    <w:rsid w:val="00B10381"/>
    <w:rsid w:val="00B60EB8"/>
    <w:rsid w:val="00B652C0"/>
    <w:rsid w:val="00BB567D"/>
    <w:rsid w:val="00BC4EA0"/>
    <w:rsid w:val="00BD4A9B"/>
    <w:rsid w:val="00C4252D"/>
    <w:rsid w:val="00C45F6D"/>
    <w:rsid w:val="00C47AD9"/>
    <w:rsid w:val="00C90A26"/>
    <w:rsid w:val="00CB7E25"/>
    <w:rsid w:val="00CD41A5"/>
    <w:rsid w:val="00CE0687"/>
    <w:rsid w:val="00D0647C"/>
    <w:rsid w:val="00D5417E"/>
    <w:rsid w:val="00E03FA5"/>
    <w:rsid w:val="00E061CF"/>
    <w:rsid w:val="00E157BC"/>
    <w:rsid w:val="00E25E27"/>
    <w:rsid w:val="00E850D0"/>
    <w:rsid w:val="00EB6395"/>
    <w:rsid w:val="00ED04D4"/>
    <w:rsid w:val="00ED5F46"/>
    <w:rsid w:val="00ED7617"/>
    <w:rsid w:val="00F053B7"/>
    <w:rsid w:val="00F23D30"/>
    <w:rsid w:val="00F719DD"/>
    <w:rsid w:val="00FA2FB5"/>
    <w:rsid w:val="00FB2269"/>
    <w:rsid w:val="00FE0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46E49BC-7E3F-4989-B932-4AB8336A4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FC9"/>
    <w:pPr>
      <w:spacing w:after="160" w:line="259" w:lineRule="auto"/>
    </w:pPr>
    <w:rPr>
      <w:rFonts w:cs="Calibri"/>
    </w:rPr>
  </w:style>
  <w:style w:type="paragraph" w:styleId="Heading2">
    <w:name w:val="heading 2"/>
    <w:basedOn w:val="ListParagraph"/>
    <w:next w:val="Normal"/>
    <w:link w:val="Heading2Char"/>
    <w:uiPriority w:val="99"/>
    <w:qFormat/>
    <w:rsid w:val="00C4252D"/>
    <w:pPr>
      <w:numPr>
        <w:numId w:val="11"/>
      </w:numPr>
      <w:spacing w:before="120"/>
      <w:jc w:val="both"/>
      <w:outlineLvl w:val="1"/>
    </w:pPr>
    <w:rPr>
      <w:rFonts w:ascii="Cambria" w:hAnsi="Cambria" w:cs="Cambria"/>
      <w:b/>
      <w:bCs/>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4252D"/>
    <w:rPr>
      <w:rFonts w:ascii="Cambria" w:hAnsi="Cambria" w:cs="Cambria"/>
      <w:b/>
      <w:bCs/>
      <w:lang w:val="es-ES_tradnl"/>
    </w:rPr>
  </w:style>
  <w:style w:type="paragraph" w:styleId="FootnoteText">
    <w:name w:val="footnote text"/>
    <w:aliases w:val="C,Ca,Car1,FA Fu,FA Fußnotentext,FA Fuﬂnotentext,Footnote Text Char Char Char,Footnote Text Char Char Char Char,Footnote Text Char Char Char Char Char,Footnote reference,Texto nota pie C,Texto nota pie [MM],fn,ft,texto de nota al pie"/>
    <w:basedOn w:val="Normal"/>
    <w:link w:val="FootnoteTextChar"/>
    <w:uiPriority w:val="99"/>
    <w:semiHidden/>
    <w:rsid w:val="00082FC9"/>
    <w:pPr>
      <w:spacing w:after="0" w:line="240" w:lineRule="auto"/>
    </w:pPr>
    <w:rPr>
      <w:color w:val="000000"/>
      <w:sz w:val="20"/>
      <w:szCs w:val="20"/>
      <w:u w:color="000000"/>
      <w:lang w:eastAsia="es-AR"/>
    </w:rPr>
  </w:style>
  <w:style w:type="character" w:customStyle="1" w:styleId="FootnoteTextChar">
    <w:name w:val="Footnote Text Char"/>
    <w:aliases w:val="C Char,Ca Char,Car1 Char,FA Fu Char,FA Fußnotentext Char,FA Fuﬂnotentext Char,Footnote Text Char Char Char Char1,Footnote Text Char Char Char Char Char1,Footnote Text Char Char Char Char Char Char,Footnote reference Char,fn Char"/>
    <w:basedOn w:val="DefaultParagraphFont"/>
    <w:link w:val="FootnoteText"/>
    <w:uiPriority w:val="99"/>
    <w:locked/>
    <w:rsid w:val="00082FC9"/>
    <w:rPr>
      <w:rFonts w:ascii="Calibri" w:hAnsi="Calibri" w:cs="Calibri"/>
      <w:color w:val="000000"/>
      <w:u w:color="000000"/>
      <w:lang w:val="en-US" w:eastAsia="es-AR"/>
    </w:rPr>
  </w:style>
  <w:style w:type="character" w:styleId="FootnoteReference">
    <w:name w:val="footnote reference"/>
    <w:aliases w:val="16 Point,4_G,Appel note de bas de page,BVI fnr,Footnote,Footnote number,Footnote symbol,Footnotes refss,Ref,Ref. de nota al pi,Ref. de nota al pie.,Superscript 6 Point,Texto de nota al pie,Texto nota al pie,f,referencia nota al pie"/>
    <w:basedOn w:val="DefaultParagraphFont"/>
    <w:link w:val="Appelnotedebasde"/>
    <w:uiPriority w:val="99"/>
    <w:semiHidden/>
    <w:locked/>
    <w:rsid w:val="00082FC9"/>
    <w:rPr>
      <w:rFonts w:cs="Times New Roman"/>
      <w:vertAlign w:val="superscript"/>
    </w:rPr>
  </w:style>
  <w:style w:type="paragraph" w:customStyle="1" w:styleId="Appelnotedebasde">
    <w:name w:val="Appel note de bas de..."/>
    <w:basedOn w:val="Normal"/>
    <w:link w:val="FootnoteReference"/>
    <w:uiPriority w:val="99"/>
    <w:rsid w:val="00082FC9"/>
    <w:pPr>
      <w:spacing w:line="240" w:lineRule="exact"/>
    </w:pPr>
    <w:rPr>
      <w:sz w:val="20"/>
      <w:szCs w:val="20"/>
      <w:vertAlign w:val="superscript"/>
    </w:rPr>
  </w:style>
  <w:style w:type="paragraph" w:styleId="Header">
    <w:name w:val="header"/>
    <w:basedOn w:val="Normal"/>
    <w:link w:val="HeaderChar"/>
    <w:uiPriority w:val="99"/>
    <w:rsid w:val="00ED04D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D04D4"/>
    <w:rPr>
      <w:rFonts w:cs="Times New Roman"/>
      <w:lang w:val="en-US"/>
    </w:rPr>
  </w:style>
  <w:style w:type="paragraph" w:styleId="Footer">
    <w:name w:val="footer"/>
    <w:basedOn w:val="Normal"/>
    <w:link w:val="FooterChar"/>
    <w:uiPriority w:val="99"/>
    <w:rsid w:val="00ED04D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D04D4"/>
    <w:rPr>
      <w:rFonts w:cs="Times New Roman"/>
      <w:lang w:val="en-US"/>
    </w:rPr>
  </w:style>
  <w:style w:type="character" w:styleId="Hyperlink">
    <w:name w:val="Hyperlink"/>
    <w:basedOn w:val="DefaultParagraphFont"/>
    <w:uiPriority w:val="99"/>
    <w:rsid w:val="003B7292"/>
    <w:rPr>
      <w:rFonts w:cs="Times New Roman"/>
      <w:color w:val="0000FF"/>
      <w:u w:val="single"/>
    </w:rPr>
  </w:style>
  <w:style w:type="paragraph" w:styleId="ListParagraph">
    <w:name w:val="List Paragraph"/>
    <w:basedOn w:val="Normal"/>
    <w:uiPriority w:val="99"/>
    <w:qFormat/>
    <w:rsid w:val="00A762E6"/>
    <w:pPr>
      <w:spacing w:after="0" w:line="240" w:lineRule="auto"/>
      <w:ind w:left="720"/>
    </w:pPr>
  </w:style>
  <w:style w:type="paragraph" w:customStyle="1" w:styleId="Default">
    <w:name w:val="Default"/>
    <w:uiPriority w:val="99"/>
    <w:rsid w:val="00894243"/>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5C60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C60E0"/>
    <w:rPr>
      <w:rFonts w:ascii="Segoe UI" w:hAnsi="Segoe UI" w:cs="Segoe UI"/>
      <w:sz w:val="18"/>
      <w:szCs w:val="18"/>
      <w:lang w:val="en-US"/>
    </w:rPr>
  </w:style>
  <w:style w:type="character" w:styleId="Emphasis">
    <w:name w:val="Emphasis"/>
    <w:basedOn w:val="DefaultParagraphFont"/>
    <w:uiPriority w:val="99"/>
    <w:qFormat/>
    <w:rsid w:val="006646DE"/>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oas.org/es/cidh/informes/pdfs/Mexico2016-es.pdf" TargetMode="External"/><Relationship Id="rId2" Type="http://schemas.openxmlformats.org/officeDocument/2006/relationships/hyperlink" Target="http://www.oas.org/es/cidh/informes/pdfs/Guatemala2017-es.pdf" TargetMode="External"/><Relationship Id="rId1" Type="http://schemas.openxmlformats.org/officeDocument/2006/relationships/hyperlink" Target="http://www.oas.org/es/cidh/docs/pdfs/Justicia-Verdad-Reparacion-es.pdf" TargetMode="External"/><Relationship Id="rId4" Type="http://schemas.openxmlformats.org/officeDocument/2006/relationships/hyperlink" Target="http://www.oas.org/es/cidh/informes/pdfs/RepublicaDominicana-201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816</Words>
  <Characters>4527</Characters>
  <Application>Microsoft Office Word</Application>
  <DocSecurity>0</DocSecurity>
  <Lines>76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2018 - Chapter V Introduction</dc:title>
  <dc:subject/>
  <dc:creator>Dos Anjos, Fernanda</dc:creator>
  <cp:keywords/>
  <dc:description/>
  <cp:lastModifiedBy>Hansen, Gloria</cp:lastModifiedBy>
  <cp:revision>6</cp:revision>
  <cp:lastPrinted>2019-03-05T19:12:00Z</cp:lastPrinted>
  <dcterms:created xsi:type="dcterms:W3CDTF">2019-03-17T18:20:00Z</dcterms:created>
  <dcterms:modified xsi:type="dcterms:W3CDTF">2019-03-20T19:49:00Z</dcterms:modified>
</cp:coreProperties>
</file>