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CC39F5" w:rsidRDefault="0049205A" w:rsidP="00627C9F">
      <w:pPr>
        <w:jc w:val="both"/>
        <w:rPr>
          <w:rFonts w:ascii="Cambria" w:hAnsi="Cambria" w:cs="Univers"/>
          <w:b/>
          <w:bCs/>
          <w:sz w:val="22"/>
          <w:szCs w:val="22"/>
        </w:rPr>
      </w:pPr>
      <w:bookmarkStart w:id="0" w:name="_GoBack"/>
      <w:bookmarkEnd w:id="0"/>
      <w:r>
        <w:pict>
          <v:rect id="Rectangle 1" o:spid="_x0000_s1035" style="position:absolute;left:0;text-align:left;margin-left:-32.75pt;margin-top:-28.1pt;width:111pt;height:706.9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chpCHl0CAACyBAAADgAAAAAAAAAAAAAAAAAuAgAAZHJzL2Uy&#10;b0RvYy54bWxQSwECLQAUAAYACAAAACEAadJE5eMAAAAMAQAADwAAAAAAAAAAAAAAAAC3BAAAZHJz&#10;L2Rvd25yZXYueG1sUEsFBgAAAAAEAAQA8wAAAMcFAAAAAA==&#10;" fillcolor="#67ae3c" stroked="f" strokeweight="2pt"/>
        </w:pict>
      </w:r>
      <w:r>
        <w:pict>
          <v:shapetype id="_x0000_t202" coordsize="21600,21600" o:spt="202" path="m,l,21600r21600,l21600,xe">
            <v:stroke joinstyle="miter"/>
            <v:path gradientshapeok="t" o:connecttype="rect"/>
          </v:shapetype>
          <v:shape id="Text Box 11" o:spid="_x0000_s1034" type="#_x0000_t202" style="position:absolute;left:0;text-align:left;margin-left:90pt;margin-top:-29.25pt;width:353.25pt;height:5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w:txbxContent>
                <w:p w:rsidR="00B04C46" w:rsidRDefault="0049205A">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98.45pt;height:38.8pt;visibility:visible">
                        <v:imagedata r:id="rId9" o:title="cidh-en"/>
                      </v:shape>
                    </w:pict>
                  </w:r>
                  <w:r w:rsidR="00B04C46">
                    <w:t xml:space="preserve">                                               </w:t>
                  </w:r>
                </w:p>
              </w:txbxContent>
            </v:textbox>
          </v:shape>
        </w:pict>
      </w:r>
    </w:p>
    <w:p w:rsidR="00040C3A" w:rsidRPr="00CC39F5" w:rsidRDefault="00040C3A" w:rsidP="00040C3A">
      <w:pPr>
        <w:tabs>
          <w:tab w:val="center" w:pos="5400"/>
        </w:tabs>
        <w:suppressAutoHyphens/>
        <w:jc w:val="both"/>
        <w:rPr>
          <w:rFonts w:ascii="Cambria" w:hAnsi="Cambria"/>
          <w:sz w:val="22"/>
          <w:szCs w:val="22"/>
        </w:rPr>
      </w:pPr>
    </w:p>
    <w:p w:rsidR="00040C3A" w:rsidRPr="00CC39F5" w:rsidRDefault="00040C3A" w:rsidP="00040C3A">
      <w:pPr>
        <w:tabs>
          <w:tab w:val="center" w:pos="5400"/>
        </w:tabs>
        <w:suppressAutoHyphens/>
        <w:jc w:val="both"/>
        <w:rPr>
          <w:rFonts w:ascii="Cambria" w:hAnsi="Cambria"/>
          <w:sz w:val="22"/>
          <w:szCs w:val="22"/>
        </w:rPr>
      </w:pPr>
    </w:p>
    <w:p w:rsidR="005128E4" w:rsidRPr="00CC39F5" w:rsidRDefault="005128E4" w:rsidP="00040C3A">
      <w:pPr>
        <w:tabs>
          <w:tab w:val="center" w:pos="5400"/>
        </w:tabs>
        <w:suppressAutoHyphens/>
        <w:rPr>
          <w:rFonts w:ascii="Cambria" w:hAnsi="Cambria"/>
          <w:sz w:val="22"/>
          <w:szCs w:val="22"/>
        </w:rPr>
      </w:pPr>
    </w:p>
    <w:p w:rsidR="005128E4" w:rsidRPr="00CC39F5" w:rsidRDefault="005128E4" w:rsidP="00040C3A">
      <w:pPr>
        <w:tabs>
          <w:tab w:val="center" w:pos="5400"/>
        </w:tabs>
        <w:suppressAutoHyphens/>
        <w:rPr>
          <w:rFonts w:ascii="Cambria" w:hAnsi="Cambria"/>
          <w:sz w:val="22"/>
          <w:szCs w:val="22"/>
        </w:rPr>
      </w:pPr>
    </w:p>
    <w:p w:rsidR="005128E4" w:rsidRPr="00CC39F5" w:rsidRDefault="005128E4" w:rsidP="00040C3A">
      <w:pPr>
        <w:tabs>
          <w:tab w:val="center" w:pos="5400"/>
        </w:tabs>
        <w:suppressAutoHyphens/>
        <w:rPr>
          <w:rFonts w:ascii="Cambria" w:hAnsi="Cambria"/>
          <w:sz w:val="22"/>
          <w:szCs w:val="22"/>
        </w:rPr>
      </w:pPr>
    </w:p>
    <w:p w:rsidR="00040C3A" w:rsidRPr="00CC39F5" w:rsidRDefault="00040C3A" w:rsidP="005128E4">
      <w:pPr>
        <w:tabs>
          <w:tab w:val="center" w:pos="5400"/>
        </w:tabs>
        <w:suppressAutoHyphens/>
        <w:jc w:val="center"/>
        <w:rPr>
          <w:rFonts w:ascii="Cambria" w:hAnsi="Cambria"/>
          <w:sz w:val="22"/>
          <w:szCs w:val="22"/>
        </w:rPr>
      </w:pPr>
    </w:p>
    <w:p w:rsidR="00040C3A" w:rsidRPr="00CC39F5" w:rsidRDefault="00040C3A" w:rsidP="005128E4">
      <w:pPr>
        <w:tabs>
          <w:tab w:val="center" w:pos="5400"/>
        </w:tabs>
        <w:suppressAutoHyphens/>
        <w:jc w:val="center"/>
        <w:rPr>
          <w:rFonts w:ascii="Cambria" w:hAnsi="Cambria"/>
          <w:sz w:val="22"/>
          <w:szCs w:val="22"/>
        </w:rPr>
      </w:pPr>
    </w:p>
    <w:p w:rsidR="005B52B0" w:rsidRPr="00CC39F5" w:rsidRDefault="005B52B0" w:rsidP="005128E4">
      <w:pPr>
        <w:tabs>
          <w:tab w:val="center" w:pos="5400"/>
        </w:tabs>
        <w:suppressAutoHyphens/>
        <w:jc w:val="center"/>
        <w:rPr>
          <w:rFonts w:ascii="Cambria" w:hAnsi="Cambria"/>
          <w:sz w:val="22"/>
          <w:szCs w:val="22"/>
        </w:rPr>
      </w:pPr>
    </w:p>
    <w:p w:rsidR="005B52B0" w:rsidRPr="00CC39F5" w:rsidRDefault="005B52B0" w:rsidP="005128E4">
      <w:pPr>
        <w:tabs>
          <w:tab w:val="center" w:pos="5400"/>
        </w:tabs>
        <w:suppressAutoHyphens/>
        <w:jc w:val="center"/>
        <w:rPr>
          <w:rFonts w:ascii="Cambria" w:hAnsi="Cambria"/>
          <w:sz w:val="22"/>
          <w:szCs w:val="22"/>
        </w:rPr>
      </w:pPr>
    </w:p>
    <w:p w:rsidR="005B52B0" w:rsidRPr="00CC39F5" w:rsidRDefault="005B52B0" w:rsidP="005128E4">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49205A" w:rsidP="00040C3A">
      <w:pPr>
        <w:tabs>
          <w:tab w:val="center" w:pos="5400"/>
        </w:tabs>
        <w:suppressAutoHyphens/>
        <w:jc w:val="center"/>
        <w:rPr>
          <w:rFonts w:ascii="Cambria" w:hAnsi="Cambria"/>
          <w:sz w:val="22"/>
          <w:szCs w:val="22"/>
        </w:rPr>
      </w:pPr>
      <w:r>
        <w:pict>
          <v:shape id="Text Box 5" o:spid="_x0000_s1033" type="#_x0000_t202" style="position:absolute;left:0;text-align:left;margin-left:95.25pt;margin-top:6.25pt;width:341.25pt;height:185.1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GNgIAAGc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L5xtYY2AgAAZwQAAA4AAAAAAAAA&#10;AAAAAAAALgIAAGRycy9lMm9Eb2MueG1sUEsBAi0AFAAGAAgAAAAhAOqyh/3hAAAACgEAAA8AAAAA&#10;AAAAAAAAAAAAkAQAAGRycy9kb3ducmV2LnhtbFBLBQYAAAAABAAEAPMAAACeBQAAAAA=&#10;" filled="f" stroked="f" strokeweight=".5pt">
            <v:textbox>
              <w:txbxContent>
                <w:p w:rsidR="00B04C46" w:rsidRPr="00063F8C" w:rsidRDefault="00B04C46" w:rsidP="006B32E1">
                  <w:pPr>
                    <w:spacing w:line="276" w:lineRule="auto"/>
                    <w:rPr>
                      <w:rFonts w:ascii="Cambria" w:hAnsi="Cambria" w:cs="Arial"/>
                      <w:b/>
                      <w:bCs/>
                      <w:color w:val="0D0D0D"/>
                      <w:sz w:val="36"/>
                      <w:szCs w:val="22"/>
                    </w:rPr>
                  </w:pPr>
                  <w:r w:rsidRPr="00063F8C">
                    <w:rPr>
                      <w:rFonts w:ascii="Cambria" w:hAnsi="Cambria" w:cs="Arial"/>
                      <w:b/>
                      <w:bCs/>
                      <w:color w:val="0D0D0D"/>
                      <w:sz w:val="36"/>
                      <w:szCs w:val="22"/>
                    </w:rPr>
                    <w:t xml:space="preserve">REPORT </w:t>
                  </w:r>
                  <w:r w:rsidRPr="00063F8C">
                    <w:rPr>
                      <w:rFonts w:ascii="Cambria" w:hAnsi="Cambria" w:cs="Arial"/>
                      <w:b/>
                      <w:bCs/>
                      <w:color w:val="0D0D0D"/>
                      <w:sz w:val="36"/>
                      <w:szCs w:val="40"/>
                    </w:rPr>
                    <w:t>No.</w:t>
                  </w:r>
                  <w:r w:rsidRPr="00063F8C">
                    <w:rPr>
                      <w:rFonts w:ascii="Cambria" w:hAnsi="Cambria" w:cs="Arial"/>
                      <w:b/>
                      <w:bCs/>
                      <w:color w:val="0D0D0D"/>
                      <w:sz w:val="36"/>
                      <w:szCs w:val="22"/>
                    </w:rPr>
                    <w:t xml:space="preserve"> </w:t>
                  </w:r>
                  <w:r w:rsidR="009B7678">
                    <w:rPr>
                      <w:rFonts w:ascii="Cambria" w:hAnsi="Cambria" w:cs="Arial"/>
                      <w:b/>
                      <w:bCs/>
                      <w:color w:val="0D0D0D"/>
                      <w:sz w:val="36"/>
                      <w:szCs w:val="22"/>
                    </w:rPr>
                    <w:t>131</w:t>
                  </w:r>
                  <w:r w:rsidRPr="00063F8C">
                    <w:rPr>
                      <w:rFonts w:ascii="Cambria" w:hAnsi="Cambria" w:cs="Arial"/>
                      <w:b/>
                      <w:bCs/>
                      <w:color w:val="0D0D0D"/>
                      <w:sz w:val="36"/>
                      <w:szCs w:val="22"/>
                    </w:rPr>
                    <w:t>/17</w:t>
                  </w:r>
                </w:p>
                <w:p w:rsidR="00B04C46" w:rsidRPr="00063F8C" w:rsidRDefault="00B04C46" w:rsidP="006B32E1">
                  <w:pPr>
                    <w:spacing w:line="276" w:lineRule="auto"/>
                    <w:rPr>
                      <w:rFonts w:ascii="Cambria" w:hAnsi="Cambria" w:cs="Arial"/>
                      <w:b/>
                      <w:color w:val="0D0D0D"/>
                      <w:sz w:val="36"/>
                      <w:szCs w:val="22"/>
                    </w:rPr>
                  </w:pPr>
                  <w:r w:rsidRPr="00063F8C">
                    <w:rPr>
                      <w:rFonts w:ascii="Cambria" w:hAnsi="Cambria" w:cs="Arial"/>
                      <w:b/>
                      <w:color w:val="0D0D0D"/>
                      <w:sz w:val="36"/>
                      <w:szCs w:val="22"/>
                    </w:rPr>
                    <w:t>CASE 11.678</w:t>
                  </w:r>
                </w:p>
                <w:p w:rsidR="00B04C46" w:rsidRPr="00063F8C" w:rsidRDefault="00B04C46" w:rsidP="006B32E1">
                  <w:pPr>
                    <w:spacing w:line="276" w:lineRule="auto"/>
                    <w:rPr>
                      <w:rFonts w:ascii="Cambria" w:hAnsi="Cambria" w:cs="Arial"/>
                      <w:color w:val="0D0D0D"/>
                      <w:szCs w:val="22"/>
                    </w:rPr>
                  </w:pPr>
                  <w:r w:rsidRPr="00063F8C">
                    <w:rPr>
                      <w:rFonts w:ascii="Cambria" w:hAnsi="Cambria" w:cs="Arial"/>
                      <w:color w:val="0D0D0D"/>
                      <w:szCs w:val="22"/>
                    </w:rPr>
                    <w:t xml:space="preserve">REPORT ON THE </w:t>
                  </w:r>
                  <w:r w:rsidR="009B7678">
                    <w:rPr>
                      <w:rFonts w:ascii="Cambria" w:hAnsi="Cambria" w:cs="Arial"/>
                      <w:color w:val="0D0D0D"/>
                      <w:szCs w:val="22"/>
                    </w:rPr>
                    <w:t xml:space="preserve">ADMISSIBILITY AND </w:t>
                  </w:r>
                  <w:r w:rsidRPr="00063F8C">
                    <w:rPr>
                      <w:rFonts w:ascii="Cambria" w:hAnsi="Cambria" w:cs="Arial"/>
                      <w:color w:val="0D0D0D"/>
                      <w:szCs w:val="22"/>
                    </w:rPr>
                    <w:t>MERITS</w:t>
                  </w:r>
                </w:p>
                <w:p w:rsidR="00B04C46" w:rsidRPr="00063F8C" w:rsidRDefault="00B04C46" w:rsidP="006B32E1">
                  <w:pPr>
                    <w:spacing w:line="276" w:lineRule="auto"/>
                    <w:rPr>
                      <w:rFonts w:ascii="Cambria" w:hAnsi="Cambria" w:cs="Arial"/>
                      <w:color w:val="0D0D0D"/>
                      <w:szCs w:val="22"/>
                    </w:rPr>
                  </w:pPr>
                  <w:bookmarkStart w:id="1" w:name="_ftnref1"/>
                </w:p>
                <w:p w:rsidR="00B04C46" w:rsidRPr="00B74E84" w:rsidRDefault="00B04C46" w:rsidP="006B32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dr w:val="none" w:sz="0" w:space="0" w:color="auto"/>
                      <w:lang w:val="es-ES"/>
                    </w:rPr>
                  </w:pPr>
                  <w:r w:rsidRPr="00B74E84">
                    <w:rPr>
                      <w:rFonts w:ascii="Cambria" w:eastAsia="Times New Roman" w:hAnsi="Cambria"/>
                      <w:bdr w:val="none" w:sz="0" w:space="0" w:color="auto"/>
                      <w:lang w:val="es-ES"/>
                    </w:rPr>
                    <w:t>MARIO MONTESINOS MEJÍA</w:t>
                  </w:r>
                </w:p>
                <w:bookmarkEnd w:id="1"/>
                <w:p w:rsidR="00B04C46" w:rsidRPr="00B74E84" w:rsidRDefault="00B04C46" w:rsidP="006B32E1">
                  <w:pPr>
                    <w:spacing w:line="276" w:lineRule="auto"/>
                    <w:rPr>
                      <w:rFonts w:ascii="Cambria" w:hAnsi="Cambria" w:cs="Arial"/>
                      <w:color w:val="0D0D0D"/>
                      <w:szCs w:val="22"/>
                      <w:lang w:val="es-ES"/>
                    </w:rPr>
                  </w:pPr>
                  <w:r w:rsidRPr="00B74E84">
                    <w:rPr>
                      <w:rFonts w:ascii="Cambria" w:hAnsi="Cambria" w:cs="Arial"/>
                      <w:color w:val="0D0D0D"/>
                      <w:szCs w:val="22"/>
                      <w:lang w:val="es-ES_tradnl"/>
                    </w:rPr>
                    <w:t>ECUADOR</w:t>
                  </w:r>
                </w:p>
                <w:p w:rsidR="00B04C46" w:rsidRPr="00CC69D2" w:rsidRDefault="00B04C46" w:rsidP="004B7EB6">
                  <w:pPr>
                    <w:spacing w:line="276" w:lineRule="auto"/>
                    <w:rPr>
                      <w:rFonts w:ascii="Cambria" w:hAnsi="Cambria"/>
                      <w:color w:val="0D0D0D"/>
                      <w:lang w:val="es-ES_tradnl"/>
                    </w:rPr>
                  </w:pPr>
                </w:p>
              </w:txbxContent>
            </v:textbox>
          </v:shape>
        </w:pict>
      </w:r>
      <w:r>
        <w:pict>
          <v:shape id="Text Box 8" o:spid="_x0000_s1032" type="#_x0000_t202" style="position:absolute;left:0;text-align:left;margin-left:-29.25pt;margin-top:10pt;width:105.0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WpiL4NwIAAGcEAAAOAAAAAAAA&#10;AAAAAAAAAC4CAABkcnMvZTJvRG9jLnhtbFBLAQItABQABgAIAAAAIQAXavU34QAAAAoBAAAPAAAA&#10;AAAAAAAAAAAAAJEEAABkcnMvZG93bnJldi54bWxQSwUGAAAAAAQABADzAAAAnwUAAAAA&#10;" filled="f" stroked="f" strokeweight=".5pt">
            <v:textbox>
              <w:txbxContent>
                <w:p w:rsidR="00B04C46" w:rsidRPr="00CC69D2" w:rsidRDefault="00B04C46" w:rsidP="002C1641">
                  <w:pPr>
                    <w:jc w:val="right"/>
                    <w:rPr>
                      <w:rFonts w:ascii="Calibri" w:hAnsi="Calibri"/>
                      <w:color w:val="FFFFFF"/>
                      <w:sz w:val="22"/>
                      <w:lang w:val="pt-BR"/>
                    </w:rPr>
                  </w:pPr>
                  <w:r w:rsidRPr="00CC69D2">
                    <w:rPr>
                      <w:rFonts w:ascii="Calibri" w:hAnsi="Calibri"/>
                      <w:color w:val="FFFFFF"/>
                      <w:sz w:val="22"/>
                      <w:lang w:val="pt-BR"/>
                    </w:rPr>
                    <w:t>OEA/Ser.L/V/II.165</w:t>
                  </w:r>
                </w:p>
                <w:p w:rsidR="00B04C46" w:rsidRPr="00CC69D2" w:rsidRDefault="00B04C46" w:rsidP="002C1641">
                  <w:pPr>
                    <w:jc w:val="right"/>
                    <w:rPr>
                      <w:rFonts w:ascii="Calibri" w:hAnsi="Calibri"/>
                      <w:color w:val="FFFFFF"/>
                      <w:sz w:val="22"/>
                      <w:lang w:val="pt-BR"/>
                    </w:rPr>
                  </w:pPr>
                  <w:r w:rsidRPr="00CC69D2">
                    <w:rPr>
                      <w:rFonts w:ascii="Calibri" w:hAnsi="Calibri"/>
                      <w:color w:val="FFFFFF"/>
                      <w:sz w:val="22"/>
                      <w:lang w:val="pt-BR"/>
                    </w:rPr>
                    <w:t xml:space="preserve">Doc. </w:t>
                  </w:r>
                  <w:r w:rsidR="009B7678">
                    <w:rPr>
                      <w:rFonts w:ascii="Calibri" w:hAnsi="Calibri"/>
                      <w:color w:val="FFFFFF"/>
                      <w:sz w:val="22"/>
                      <w:lang w:val="pt-BR"/>
                    </w:rPr>
                    <w:t>167</w:t>
                  </w:r>
                </w:p>
                <w:p w:rsidR="00B04C46" w:rsidRPr="00CC69D2" w:rsidRDefault="009B7678" w:rsidP="002C1641">
                  <w:pPr>
                    <w:jc w:val="right"/>
                    <w:rPr>
                      <w:rFonts w:ascii="Calibri" w:hAnsi="Calibri"/>
                      <w:color w:val="FFFFFF"/>
                      <w:sz w:val="22"/>
                    </w:rPr>
                  </w:pPr>
                  <w:r>
                    <w:rPr>
                      <w:rFonts w:ascii="Calibri" w:hAnsi="Calibri"/>
                      <w:color w:val="FFFFFF"/>
                      <w:sz w:val="22"/>
                    </w:rPr>
                    <w:t>October 25,</w:t>
                  </w:r>
                  <w:r w:rsidR="00B04C46" w:rsidRPr="00CC69D2">
                    <w:rPr>
                      <w:rFonts w:ascii="Calibri" w:hAnsi="Calibri"/>
                      <w:color w:val="FFFFFF"/>
                      <w:sz w:val="22"/>
                    </w:rPr>
                    <w:t xml:space="preserve"> 2017</w:t>
                  </w:r>
                </w:p>
                <w:p w:rsidR="00B04C46" w:rsidRPr="00CC69D2" w:rsidRDefault="00B04C46" w:rsidP="002C1641">
                  <w:pPr>
                    <w:jc w:val="right"/>
                    <w:rPr>
                      <w:rFonts w:ascii="Calibri" w:hAnsi="Calibri"/>
                      <w:color w:val="FFFFFF"/>
                      <w:sz w:val="22"/>
                    </w:rPr>
                  </w:pPr>
                  <w:r w:rsidRPr="00CC69D2">
                    <w:rPr>
                      <w:rFonts w:ascii="Calibri" w:hAnsi="Calibri"/>
                      <w:color w:val="FFFFFF"/>
                      <w:sz w:val="22"/>
                    </w:rPr>
                    <w:t xml:space="preserve">Original: </w:t>
                  </w:r>
                  <w:r w:rsidR="009B7678">
                    <w:rPr>
                      <w:rFonts w:ascii="Calibri" w:hAnsi="Calibri"/>
                      <w:color w:val="FFFFFF"/>
                      <w:sz w:val="22"/>
                    </w:rPr>
                    <w:t>Spanish</w:t>
                  </w:r>
                </w:p>
              </w:txbxContent>
            </v:textbox>
          </v:shape>
        </w:pict>
      </w: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cs="Arial"/>
          <w:sz w:val="22"/>
          <w:szCs w:val="22"/>
        </w:rPr>
      </w:pP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5128E4" w:rsidRPr="00CC39F5" w:rsidRDefault="005128E4"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5128E4" w:rsidRPr="00CC39F5" w:rsidRDefault="005128E4" w:rsidP="00040C3A">
      <w:pPr>
        <w:tabs>
          <w:tab w:val="center" w:pos="5400"/>
        </w:tabs>
        <w:suppressAutoHyphens/>
        <w:jc w:val="center"/>
        <w:rPr>
          <w:rFonts w:ascii="Cambria" w:hAnsi="Cambria"/>
          <w:sz w:val="22"/>
          <w:szCs w:val="22"/>
        </w:rPr>
      </w:pPr>
    </w:p>
    <w:p w:rsidR="005128E4" w:rsidRPr="00CC39F5" w:rsidRDefault="005128E4" w:rsidP="00040C3A">
      <w:pPr>
        <w:tabs>
          <w:tab w:val="center" w:pos="5400"/>
        </w:tabs>
        <w:suppressAutoHyphens/>
        <w:jc w:val="center"/>
        <w:rPr>
          <w:rFonts w:ascii="Cambria" w:hAnsi="Cambria"/>
          <w:sz w:val="22"/>
          <w:szCs w:val="22"/>
        </w:rPr>
      </w:pPr>
    </w:p>
    <w:p w:rsidR="005128E4" w:rsidRPr="00CC39F5" w:rsidRDefault="005128E4"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040C3A" w:rsidRPr="00CC39F5" w:rsidRDefault="00040C3A" w:rsidP="00040C3A">
      <w:pPr>
        <w:tabs>
          <w:tab w:val="center" w:pos="5400"/>
        </w:tabs>
        <w:suppressAutoHyphens/>
        <w:jc w:val="center"/>
        <w:rPr>
          <w:rFonts w:ascii="Cambria" w:hAnsi="Cambria"/>
          <w:sz w:val="22"/>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49205A" w:rsidP="00040C3A">
      <w:pPr>
        <w:tabs>
          <w:tab w:val="center" w:pos="5400"/>
        </w:tabs>
        <w:suppressAutoHyphens/>
        <w:jc w:val="center"/>
        <w:rPr>
          <w:rFonts w:ascii="Cambria" w:hAnsi="Cambria"/>
          <w:sz w:val="18"/>
          <w:szCs w:val="22"/>
        </w:rPr>
      </w:pPr>
      <w:r>
        <w:pict>
          <v:shape id="Text Box 7" o:spid="_x0000_s1031" type="#_x0000_t202" style="position:absolute;left:0;text-align:left;margin-left:95.25pt;margin-top:5.6pt;width:361.85pt;height:54.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" filled="f" stroked="f" strokeweight=".5pt">
            <v:textbox>
              <w:txbxContent>
                <w:p w:rsidR="00B04C46" w:rsidRPr="00CC69D2" w:rsidRDefault="00B04C46" w:rsidP="004165C2">
                  <w:pPr>
                    <w:tabs>
                      <w:tab w:val="center" w:pos="5400"/>
                    </w:tabs>
                    <w:suppressAutoHyphens/>
                    <w:spacing w:before="60"/>
                    <w:rPr>
                      <w:rFonts w:ascii="Cambria" w:hAnsi="Cambria"/>
                      <w:color w:val="0D0D0D"/>
                      <w:sz w:val="18"/>
                      <w:szCs w:val="22"/>
                    </w:rPr>
                  </w:pPr>
                  <w:r w:rsidRPr="00CC69D2">
                    <w:rPr>
                      <w:rFonts w:ascii="Cambria" w:hAnsi="Cambria"/>
                      <w:color w:val="0D0D0D"/>
                      <w:sz w:val="18"/>
                      <w:szCs w:val="20"/>
                    </w:rPr>
                    <w:t xml:space="preserve">Approved by the Commission at its session No. </w:t>
                  </w:r>
                  <w:r w:rsidR="009B7678">
                    <w:rPr>
                      <w:rFonts w:ascii="Cambria" w:hAnsi="Cambria"/>
                      <w:color w:val="0D0D0D"/>
                      <w:sz w:val="18"/>
                      <w:szCs w:val="20"/>
                    </w:rPr>
                    <w:t xml:space="preserve">2102 </w:t>
                  </w:r>
                  <w:r w:rsidRPr="00CC69D2">
                    <w:rPr>
                      <w:rFonts w:ascii="Cambria" w:hAnsi="Cambria"/>
                      <w:color w:val="0D0D0D"/>
                      <w:sz w:val="18"/>
                      <w:szCs w:val="20"/>
                    </w:rPr>
                    <w:t xml:space="preserve">held on </w:t>
                  </w:r>
                  <w:r w:rsidR="009B7678">
                    <w:rPr>
                      <w:rFonts w:ascii="Cambria" w:hAnsi="Cambria"/>
                      <w:color w:val="0D0D0D"/>
                      <w:sz w:val="18"/>
                      <w:szCs w:val="20"/>
                    </w:rPr>
                    <w:t>October 25</w:t>
                  </w:r>
                  <w:r w:rsidRPr="00CC69D2">
                    <w:rPr>
                      <w:rFonts w:ascii="Cambria" w:hAnsi="Cambria"/>
                      <w:color w:val="0D0D0D"/>
                      <w:sz w:val="18"/>
                      <w:szCs w:val="20"/>
                    </w:rPr>
                    <w:t>, 2017</w:t>
                  </w:r>
                  <w:r w:rsidRPr="00CC69D2">
                    <w:rPr>
                      <w:rFonts w:ascii="Cambria" w:hAnsi="Cambria"/>
                      <w:color w:val="0D0D0D"/>
                      <w:sz w:val="18"/>
                      <w:szCs w:val="20"/>
                    </w:rPr>
                    <w:br/>
                  </w:r>
                  <w:r w:rsidRPr="00CC69D2">
                    <w:rPr>
                      <w:rFonts w:ascii="Cambria" w:hAnsi="Cambria" w:cs="Univers"/>
                      <w:color w:val="0D0D0D"/>
                      <w:sz w:val="18"/>
                      <w:szCs w:val="20"/>
                    </w:rPr>
                    <w:t>16</w:t>
                  </w:r>
                  <w:r w:rsidR="009B7678">
                    <w:rPr>
                      <w:rFonts w:ascii="Cambria" w:hAnsi="Cambria" w:cs="Univers"/>
                      <w:color w:val="0D0D0D"/>
                      <w:sz w:val="18"/>
                      <w:szCs w:val="20"/>
                    </w:rPr>
                    <w:t>5 Extraordinary</w:t>
                  </w:r>
                  <w:r w:rsidRPr="00CC69D2">
                    <w:rPr>
                      <w:rFonts w:ascii="Cambria" w:hAnsi="Cambria" w:cs="Univers"/>
                      <w:color w:val="0D0D0D"/>
                      <w:sz w:val="18"/>
                      <w:szCs w:val="20"/>
                    </w:rPr>
                    <w:t xml:space="preserve"> Period of Sessions</w:t>
                  </w:r>
                </w:p>
                <w:p w:rsidR="00B04C46" w:rsidRPr="00CC69D2" w:rsidRDefault="00B04C46" w:rsidP="004165C2">
                  <w:pPr>
                    <w:tabs>
                      <w:tab w:val="center" w:pos="5400"/>
                    </w:tabs>
                    <w:suppressAutoHyphens/>
                    <w:spacing w:before="60"/>
                    <w:rPr>
                      <w:rFonts w:ascii="Cambria" w:hAnsi="Cambria"/>
                      <w:color w:val="0D0D0D"/>
                      <w:sz w:val="18"/>
                      <w:szCs w:val="22"/>
                    </w:rPr>
                  </w:pPr>
                </w:p>
              </w:txbxContent>
            </v:textbox>
          </v:shape>
        </w:pict>
      </w: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49205A" w:rsidP="00040C3A">
      <w:pPr>
        <w:tabs>
          <w:tab w:val="center" w:pos="5400"/>
        </w:tabs>
        <w:suppressAutoHyphens/>
        <w:jc w:val="center"/>
        <w:rPr>
          <w:rFonts w:ascii="Cambria" w:hAnsi="Cambria"/>
          <w:sz w:val="18"/>
          <w:szCs w:val="22"/>
        </w:rPr>
      </w:pPr>
      <w:r>
        <w:pict>
          <v:shape id="Text Box 14" o:spid="_x0000_s1030" type="#_x0000_t202" style="position:absolute;left:0;text-align:left;margin-left:95.25pt;margin-top:7.25pt;width:379.85pt;height:4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w:txbxContent>
                <w:p w:rsidR="00B04C46" w:rsidRPr="00CC69D2" w:rsidRDefault="00B04C46" w:rsidP="009B7678">
                  <w:pPr>
                    <w:spacing w:line="276" w:lineRule="auto"/>
                    <w:jc w:val="both"/>
                    <w:rPr>
                      <w:rFonts w:ascii="Cambria" w:hAnsi="Cambria"/>
                      <w:color w:val="595959"/>
                      <w:sz w:val="18"/>
                    </w:rPr>
                  </w:pPr>
                  <w:r w:rsidRPr="00CC69D2">
                    <w:rPr>
                      <w:rFonts w:ascii="Cambria" w:hAnsi="Cambria"/>
                      <w:b/>
                      <w:color w:val="595959"/>
                      <w:sz w:val="18"/>
                    </w:rPr>
                    <w:t xml:space="preserve">Cite as: </w:t>
                  </w:r>
                  <w:r w:rsidRPr="00CC69D2">
                    <w:rPr>
                      <w:rFonts w:ascii="Cambria" w:hAnsi="Cambria"/>
                      <w:color w:val="595959"/>
                      <w:sz w:val="18"/>
                    </w:rPr>
                    <w:t>IACHR, Report No.</w:t>
                  </w:r>
                  <w:r w:rsidR="009B7678">
                    <w:rPr>
                      <w:rFonts w:ascii="Cambria" w:hAnsi="Cambria"/>
                      <w:color w:val="595959"/>
                      <w:sz w:val="18"/>
                    </w:rPr>
                    <w:t xml:space="preserve"> 131/17, Case 11.678, Admissibility and Merits, Mario Montesinos Mejía, Ecuador, October 25, 2017. </w:t>
                  </w:r>
                </w:p>
              </w:txbxContent>
            </v:textbox>
          </v:shape>
        </w:pict>
      </w:r>
    </w:p>
    <w:p w:rsidR="002C1641" w:rsidRPr="00CC39F5" w:rsidRDefault="002C1641" w:rsidP="00040C3A">
      <w:pPr>
        <w:tabs>
          <w:tab w:val="center" w:pos="5400"/>
        </w:tabs>
        <w:suppressAutoHyphens/>
        <w:jc w:val="center"/>
        <w:rPr>
          <w:rFonts w:ascii="Cambria" w:hAnsi="Cambria"/>
          <w:sz w:val="18"/>
          <w:szCs w:val="22"/>
        </w:rPr>
      </w:pPr>
    </w:p>
    <w:p w:rsidR="002C1641" w:rsidRPr="00CC39F5" w:rsidRDefault="002C1641" w:rsidP="00040C3A">
      <w:pPr>
        <w:tabs>
          <w:tab w:val="center" w:pos="5400"/>
        </w:tabs>
        <w:suppressAutoHyphens/>
        <w:jc w:val="center"/>
        <w:rPr>
          <w:rFonts w:ascii="Cambria" w:hAnsi="Cambria"/>
          <w:sz w:val="18"/>
          <w:szCs w:val="22"/>
        </w:rPr>
      </w:pPr>
    </w:p>
    <w:p w:rsidR="003C32BC" w:rsidRPr="00CC39F5" w:rsidRDefault="003C32BC" w:rsidP="003C32BC">
      <w:pPr>
        <w:tabs>
          <w:tab w:val="center" w:pos="5400"/>
        </w:tabs>
        <w:suppressAutoHyphens/>
        <w:jc w:val="center"/>
        <w:rPr>
          <w:rFonts w:ascii="Cambria" w:hAnsi="Cambria"/>
          <w:sz w:val="18"/>
          <w:szCs w:val="22"/>
        </w:rPr>
      </w:pPr>
    </w:p>
    <w:p w:rsidR="003C32BC" w:rsidRPr="00CC39F5" w:rsidRDefault="0049205A" w:rsidP="003C32BC">
      <w:pPr>
        <w:tabs>
          <w:tab w:val="center" w:pos="5400"/>
        </w:tabs>
        <w:suppressAutoHyphens/>
        <w:jc w:val="center"/>
        <w:rPr>
          <w:rFonts w:ascii="Cambria" w:hAnsi="Cambria"/>
          <w:sz w:val="18"/>
          <w:szCs w:val="22"/>
        </w:rPr>
      </w:pPr>
      <w:r>
        <w:pict>
          <v:shape id="Text Box 3" o:spid="_x0000_s1029" type="#_x0000_t202" style="position:absolute;left:0;text-align:left;margin-left:-23.55pt;margin-top:67.6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w:txbxContent>
                <w:p w:rsidR="00B04C46" w:rsidRPr="00CC69D2" w:rsidRDefault="00B04C46" w:rsidP="006311DA">
                  <w:pPr>
                    <w:jc w:val="center"/>
                    <w:rPr>
                      <w:rFonts w:ascii="Calibri" w:hAnsi="Calibri"/>
                      <w:b/>
                      <w:color w:val="FFFFFF"/>
                    </w:rPr>
                  </w:pPr>
                  <w:r w:rsidRPr="00CC69D2">
                    <w:rPr>
                      <w:rFonts w:ascii="Calibri" w:hAnsi="Calibri"/>
                      <w:b/>
                      <w:color w:val="FFFFFF"/>
                      <w:lang w:val="pt-BR"/>
                    </w:rPr>
                    <w:t>www.cidh.org</w:t>
                  </w:r>
                </w:p>
              </w:txbxContent>
            </v:textbox>
          </v:shape>
        </w:pict>
      </w:r>
      <w:r>
        <w:pict>
          <v:shape id="Text Box 2" o:spid="_x0000_s1028" type="#_x0000_t202" style="position:absolute;left:0;text-align:left;margin-left:95.15pt;margin-top:56.9pt;width:164.25pt;height:3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bUwIAAJ8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" stroked="f" strokeweight=".5pt">
            <v:textbox>
              <w:txbxContent>
                <w:p w:rsidR="00B04C46" w:rsidRDefault="0049205A">
                  <w:r>
                    <w:rPr>
                      <w:noProof/>
                      <w:lang w:val="es-ES" w:eastAsia="es-ES"/>
                    </w:rPr>
                    <w:pict>
                      <v:shape id="Picture 4" o:spid="_x0000_i1026" type="#_x0000_t75" style="width:88.9pt;height:30.05pt;visibility:visible">
                        <v:imagedata r:id="rId10" o:title="oea-en"/>
                      </v:shape>
                    </w:pict>
                  </w:r>
                </w:p>
              </w:txbxContent>
            </v:textbox>
          </v:shape>
        </w:pict>
      </w:r>
    </w:p>
    <w:p w:rsidR="007607C4" w:rsidRPr="00CC39F5" w:rsidRDefault="007607C4" w:rsidP="003C32BC">
      <w:pPr>
        <w:tabs>
          <w:tab w:val="center" w:pos="5400"/>
        </w:tabs>
        <w:suppressAutoHyphens/>
        <w:jc w:val="center"/>
        <w:rPr>
          <w:rFonts w:ascii="Cambria" w:hAnsi="Cambria"/>
          <w:sz w:val="18"/>
          <w:szCs w:val="22"/>
        </w:rPr>
        <w:sectPr w:rsidR="007607C4" w:rsidRPr="00CC39F5"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467BB" w:rsidRPr="008D173A" w:rsidRDefault="007467BB" w:rsidP="007467BB">
      <w:pPr>
        <w:jc w:val="center"/>
        <w:rPr>
          <w:rFonts w:ascii="Cambria" w:hAnsi="Cambria"/>
          <w:sz w:val="18"/>
          <w:szCs w:val="18"/>
        </w:rPr>
      </w:pPr>
      <w:r w:rsidRPr="008D173A">
        <w:rPr>
          <w:rFonts w:ascii="Cambria" w:eastAsia="Times New Roman" w:hAnsi="Cambria"/>
          <w:b/>
          <w:sz w:val="18"/>
          <w:szCs w:val="18"/>
          <w:bdr w:val="none" w:sz="0" w:space="0" w:color="auto"/>
        </w:rPr>
        <w:lastRenderedPageBreak/>
        <w:t xml:space="preserve">REPORT No. </w:t>
      </w:r>
      <w:r w:rsidR="009B7678" w:rsidRPr="008D173A">
        <w:rPr>
          <w:rFonts w:ascii="Cambria" w:eastAsia="Times New Roman" w:hAnsi="Cambria"/>
          <w:b/>
          <w:sz w:val="18"/>
          <w:szCs w:val="18"/>
          <w:bdr w:val="none" w:sz="0" w:space="0" w:color="auto"/>
        </w:rPr>
        <w:t>131</w:t>
      </w:r>
      <w:r w:rsidRPr="008D173A">
        <w:rPr>
          <w:rFonts w:ascii="Cambria" w:eastAsia="Times New Roman" w:hAnsi="Cambria"/>
          <w:b/>
          <w:sz w:val="18"/>
          <w:szCs w:val="18"/>
          <w:bdr w:val="none" w:sz="0" w:space="0" w:color="auto"/>
        </w:rPr>
        <w:t>/17</w:t>
      </w:r>
    </w:p>
    <w:p w:rsidR="007467BB" w:rsidRPr="008D173A" w:rsidRDefault="007467BB" w:rsidP="007467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18"/>
          <w:bdr w:val="none" w:sz="0" w:space="0" w:color="auto"/>
        </w:rPr>
      </w:pPr>
      <w:r w:rsidRPr="008D173A">
        <w:rPr>
          <w:rFonts w:ascii="Cambria" w:eastAsia="Times New Roman" w:hAnsi="Cambria"/>
          <w:b/>
          <w:sz w:val="18"/>
          <w:szCs w:val="18"/>
          <w:bdr w:val="none" w:sz="0" w:space="0" w:color="auto"/>
        </w:rPr>
        <w:t>CASE 11.678</w:t>
      </w:r>
    </w:p>
    <w:p w:rsidR="007467BB" w:rsidRPr="008D173A" w:rsidRDefault="007467BB" w:rsidP="007467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8D173A">
        <w:rPr>
          <w:rFonts w:ascii="Cambria" w:eastAsia="Times New Roman" w:hAnsi="Cambria"/>
          <w:sz w:val="18"/>
          <w:szCs w:val="18"/>
          <w:bdr w:val="none" w:sz="0" w:space="0" w:color="auto"/>
        </w:rPr>
        <w:t>ADMISSIBILITY AND MERITS</w:t>
      </w:r>
    </w:p>
    <w:p w:rsidR="007467BB" w:rsidRPr="008D173A" w:rsidRDefault="007467BB" w:rsidP="007467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
        </w:rPr>
      </w:pPr>
      <w:r w:rsidRPr="008D173A">
        <w:rPr>
          <w:rFonts w:ascii="Cambria" w:eastAsia="Times New Roman" w:hAnsi="Cambria"/>
          <w:sz w:val="18"/>
          <w:szCs w:val="18"/>
          <w:bdr w:val="none" w:sz="0" w:space="0" w:color="auto"/>
          <w:lang w:val="es-ES"/>
        </w:rPr>
        <w:t>MARIO MONTESINOS MEJÍA</w:t>
      </w:r>
    </w:p>
    <w:p w:rsidR="007467BB" w:rsidRPr="008D173A" w:rsidRDefault="007467BB" w:rsidP="007467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
        </w:rPr>
      </w:pPr>
      <w:r w:rsidRPr="008D173A">
        <w:rPr>
          <w:rFonts w:ascii="Cambria" w:eastAsia="Times New Roman" w:hAnsi="Cambria"/>
          <w:sz w:val="18"/>
          <w:szCs w:val="18"/>
          <w:bdr w:val="none" w:sz="0" w:space="0" w:color="auto"/>
          <w:lang w:val="es-ES"/>
        </w:rPr>
        <w:t>ECUADOR</w:t>
      </w:r>
    </w:p>
    <w:p w:rsidR="007467BB" w:rsidRPr="008D173A" w:rsidRDefault="009B7678" w:rsidP="007467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
        </w:rPr>
      </w:pPr>
      <w:r w:rsidRPr="008D173A">
        <w:rPr>
          <w:rFonts w:ascii="Cambria" w:eastAsia="Times New Roman" w:hAnsi="Cambria"/>
          <w:sz w:val="18"/>
          <w:szCs w:val="18"/>
          <w:bdr w:val="none" w:sz="0" w:space="0" w:color="auto"/>
          <w:lang w:val="es-ES"/>
        </w:rPr>
        <w:t>OCTOBER 25</w:t>
      </w:r>
      <w:r w:rsidR="007467BB" w:rsidRPr="008D173A">
        <w:rPr>
          <w:rFonts w:ascii="Cambria" w:eastAsia="Times New Roman" w:hAnsi="Cambria"/>
          <w:sz w:val="18"/>
          <w:szCs w:val="18"/>
          <w:bdr w:val="none" w:sz="0" w:space="0" w:color="auto"/>
          <w:lang w:val="es-ES"/>
        </w:rPr>
        <w:t>, 2017</w:t>
      </w:r>
    </w:p>
    <w:p w:rsidR="007467BB" w:rsidRPr="00CC39F5" w:rsidRDefault="007467BB" w:rsidP="008D173A">
      <w:pPr>
        <w:rPr>
          <w:rFonts w:ascii="Cambria" w:eastAsia="Times New Roman" w:hAnsi="Cambria"/>
          <w:b/>
          <w:sz w:val="20"/>
          <w:szCs w:val="20"/>
          <w:bdr w:val="none" w:sz="0" w:space="0" w:color="auto"/>
          <w:lang w:val="es-ES"/>
        </w:rPr>
      </w:pPr>
    </w:p>
    <w:p w:rsidR="007467BB" w:rsidRPr="00CC39F5" w:rsidRDefault="008D173A" w:rsidP="006B32E1">
      <w:pPr>
        <w:jc w:val="center"/>
        <w:rPr>
          <w:rFonts w:ascii="Cambria" w:eastAsia="Times New Roman" w:hAnsi="Cambria"/>
          <w:b/>
          <w:sz w:val="20"/>
          <w:szCs w:val="20"/>
          <w:bdr w:val="none" w:sz="0" w:space="0" w:color="auto"/>
          <w:lang w:val="es-ES"/>
        </w:rPr>
      </w:pPr>
      <w:r>
        <w:rPr>
          <w:rFonts w:ascii="Cambria" w:eastAsia="Times New Roman" w:hAnsi="Cambria"/>
          <w:b/>
          <w:sz w:val="20"/>
          <w:szCs w:val="20"/>
          <w:bdr w:val="none" w:sz="0" w:space="0" w:color="auto"/>
          <w:lang w:val="es-ES"/>
        </w:rPr>
        <w:t>INDEX</w:t>
      </w:r>
    </w:p>
    <w:p w:rsidR="007467BB" w:rsidRPr="00CC39F5" w:rsidRDefault="007467BB" w:rsidP="006B32E1">
      <w:pPr>
        <w:jc w:val="center"/>
        <w:rPr>
          <w:rFonts w:ascii="Cambria" w:eastAsia="Times New Roman" w:hAnsi="Cambria"/>
          <w:b/>
          <w:sz w:val="20"/>
          <w:szCs w:val="20"/>
          <w:bdr w:val="none" w:sz="0" w:space="0" w:color="auto"/>
          <w:lang w:val="es-ES"/>
        </w:rPr>
      </w:pPr>
    </w:p>
    <w:p w:rsidR="00160F59" w:rsidRPr="00510B3A" w:rsidRDefault="00160F59"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r>
        <w:rPr>
          <w:rFonts w:ascii="Cambria" w:eastAsia="Times New Roman" w:hAnsi="Cambria"/>
          <w:b/>
          <w:sz w:val="20"/>
          <w:szCs w:val="20"/>
          <w:bdr w:val="none" w:sz="0" w:space="0" w:color="auto"/>
          <w:lang w:val="es-ES"/>
        </w:rPr>
        <w:fldChar w:fldCharType="begin"/>
      </w:r>
      <w:r>
        <w:rPr>
          <w:rFonts w:ascii="Cambria" w:eastAsia="Times New Roman" w:hAnsi="Cambria"/>
          <w:b/>
          <w:sz w:val="20"/>
          <w:szCs w:val="20"/>
          <w:bdr w:val="none" w:sz="0" w:space="0" w:color="auto"/>
          <w:lang w:val="es-ES"/>
        </w:rPr>
        <w:instrText xml:space="preserve"> TOC \o "1-3" \h \z \u </w:instrText>
      </w:r>
      <w:r>
        <w:rPr>
          <w:rFonts w:ascii="Cambria" w:eastAsia="Times New Roman" w:hAnsi="Cambria"/>
          <w:b/>
          <w:sz w:val="20"/>
          <w:szCs w:val="20"/>
          <w:bdr w:val="none" w:sz="0" w:space="0" w:color="auto"/>
          <w:lang w:val="es-ES"/>
        </w:rPr>
        <w:fldChar w:fldCharType="separate"/>
      </w:r>
      <w:hyperlink w:anchor="_Toc495584782" w:history="1">
        <w:r w:rsidRPr="00510B3A">
          <w:rPr>
            <w:rStyle w:val="Hyperlink"/>
            <w:rFonts w:ascii="Cambria" w:hAnsi="Cambria"/>
            <w:noProof/>
            <w:sz w:val="20"/>
            <w:szCs w:val="20"/>
          </w:rPr>
          <w:t>I.</w:t>
        </w:r>
        <w:r w:rsidRPr="00510B3A">
          <w:rPr>
            <w:rFonts w:ascii="Cambria" w:eastAsia="Times New Roman" w:hAnsi="Cambria"/>
            <w:noProof/>
            <w:sz w:val="20"/>
            <w:szCs w:val="20"/>
            <w:bdr w:val="none" w:sz="0" w:space="0" w:color="auto"/>
            <w:lang w:val="es-ES" w:eastAsia="es-ES"/>
          </w:rPr>
          <w:tab/>
        </w:r>
        <w:r w:rsidRPr="00510B3A">
          <w:rPr>
            <w:rStyle w:val="Hyperlink"/>
            <w:rFonts w:ascii="Cambria" w:hAnsi="Cambria"/>
            <w:noProof/>
            <w:sz w:val="20"/>
            <w:szCs w:val="20"/>
          </w:rPr>
          <w:t>SUMMARY</w:t>
        </w:r>
        <w:r w:rsidRPr="00510B3A">
          <w:rPr>
            <w:rFonts w:ascii="Cambria" w:hAnsi="Cambria"/>
            <w:noProof/>
            <w:webHidden/>
            <w:sz w:val="20"/>
            <w:szCs w:val="20"/>
          </w:rPr>
          <w:tab/>
        </w:r>
        <w:r w:rsidRPr="00510B3A">
          <w:rPr>
            <w:rFonts w:ascii="Cambria" w:hAnsi="Cambria"/>
            <w:noProof/>
            <w:webHidden/>
            <w:sz w:val="20"/>
            <w:szCs w:val="20"/>
          </w:rPr>
          <w:fldChar w:fldCharType="begin"/>
        </w:r>
        <w:r w:rsidRPr="00510B3A">
          <w:rPr>
            <w:rFonts w:ascii="Cambria" w:hAnsi="Cambria"/>
            <w:noProof/>
            <w:webHidden/>
            <w:sz w:val="20"/>
            <w:szCs w:val="20"/>
          </w:rPr>
          <w:instrText xml:space="preserve"> PAGEREF _Toc495584782 \h </w:instrText>
        </w:r>
        <w:r w:rsidRPr="00510B3A">
          <w:rPr>
            <w:rFonts w:ascii="Cambria" w:hAnsi="Cambria"/>
            <w:noProof/>
            <w:webHidden/>
            <w:sz w:val="20"/>
            <w:szCs w:val="20"/>
          </w:rPr>
        </w:r>
        <w:r w:rsidRPr="00510B3A">
          <w:rPr>
            <w:rFonts w:ascii="Cambria" w:hAnsi="Cambria"/>
            <w:noProof/>
            <w:webHidden/>
            <w:sz w:val="20"/>
            <w:szCs w:val="20"/>
          </w:rPr>
          <w:fldChar w:fldCharType="separate"/>
        </w:r>
        <w:r w:rsidR="00B92469">
          <w:rPr>
            <w:rFonts w:ascii="Cambria" w:hAnsi="Cambria"/>
            <w:noProof/>
            <w:webHidden/>
            <w:sz w:val="20"/>
            <w:szCs w:val="20"/>
          </w:rPr>
          <w:t>2</w:t>
        </w:r>
        <w:r w:rsidRPr="00510B3A">
          <w:rPr>
            <w:rFonts w:ascii="Cambria" w:hAnsi="Cambria"/>
            <w:noProof/>
            <w:webHidden/>
            <w:sz w:val="20"/>
            <w:szCs w:val="20"/>
          </w:rPr>
          <w:fldChar w:fldCharType="end"/>
        </w:r>
      </w:hyperlink>
    </w:p>
    <w:p w:rsidR="00160F59" w:rsidRPr="00510B3A" w:rsidRDefault="00160F59" w:rsidP="00160F59">
      <w:pPr>
        <w:pStyle w:val="TOC1"/>
        <w:tabs>
          <w:tab w:val="left" w:pos="720"/>
          <w:tab w:val="right" w:leader="dot" w:pos="9350"/>
        </w:tabs>
        <w:rPr>
          <w:rStyle w:val="Hyperlink"/>
          <w:rFonts w:ascii="Cambria" w:hAnsi="Cambria"/>
          <w:noProof/>
          <w:sz w:val="20"/>
          <w:szCs w:val="20"/>
        </w:rPr>
      </w:pPr>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83" w:history="1">
        <w:r w:rsidR="00160F59" w:rsidRPr="00510B3A">
          <w:rPr>
            <w:rStyle w:val="Hyperlink"/>
            <w:rFonts w:ascii="Cambria" w:hAnsi="Cambria"/>
            <w:noProof/>
            <w:sz w:val="20"/>
            <w:szCs w:val="20"/>
          </w:rPr>
          <w:t>II.</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PROCEEDINGS BEFORE THE COMMISSION</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_Toc495584783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2</w:t>
        </w:r>
        <w:r w:rsidR="00160F59" w:rsidRPr="00510B3A">
          <w:rPr>
            <w:rFonts w:ascii="Cambria" w:hAnsi="Cambria"/>
            <w:noProof/>
            <w:webHidden/>
            <w:sz w:val="20"/>
            <w:szCs w:val="20"/>
          </w:rPr>
          <w:fldChar w:fldCharType="end"/>
        </w:r>
      </w:hyperlink>
    </w:p>
    <w:p w:rsidR="00160F59" w:rsidRPr="00510B3A" w:rsidRDefault="00160F59" w:rsidP="00160F59">
      <w:pPr>
        <w:pStyle w:val="TOC1"/>
        <w:tabs>
          <w:tab w:val="left" w:pos="720"/>
          <w:tab w:val="right" w:leader="dot" w:pos="9350"/>
        </w:tabs>
        <w:rPr>
          <w:rStyle w:val="Hyperlink"/>
          <w:rFonts w:ascii="Cambria" w:hAnsi="Cambria"/>
          <w:noProof/>
          <w:sz w:val="20"/>
          <w:szCs w:val="20"/>
        </w:rPr>
      </w:pPr>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84" w:history="1">
        <w:r w:rsidR="00160F59" w:rsidRPr="00510B3A">
          <w:rPr>
            <w:rStyle w:val="Hyperlink"/>
            <w:rFonts w:ascii="Cambria" w:hAnsi="Cambria"/>
            <w:noProof/>
            <w:sz w:val="20"/>
            <w:szCs w:val="20"/>
          </w:rPr>
          <w:t>III.</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POSITIONS OF THE PARTIES</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_Toc495584784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2</w:t>
        </w:r>
        <w:r w:rsidR="00160F59" w:rsidRPr="00510B3A">
          <w:rPr>
            <w:rFonts w:ascii="Cambria" w:hAnsi="Cambria"/>
            <w:noProof/>
            <w:webHidden/>
            <w:sz w:val="20"/>
            <w:szCs w:val="20"/>
          </w:rPr>
          <w:fldChar w:fldCharType="end"/>
        </w:r>
      </w:hyperlink>
    </w:p>
    <w:p w:rsidR="00160F59" w:rsidRPr="00510B3A" w:rsidRDefault="0049205A" w:rsidP="00160F59">
      <w:pPr>
        <w:pStyle w:val="TOC2"/>
        <w:tabs>
          <w:tab w:val="clear" w:pos="1440"/>
          <w:tab w:val="left" w:pos="720"/>
        </w:tabs>
        <w:rPr>
          <w:rFonts w:ascii="Cambria" w:eastAsia="Times New Roman" w:hAnsi="Cambria"/>
          <w:noProof/>
          <w:sz w:val="20"/>
          <w:szCs w:val="20"/>
          <w:bdr w:val="none" w:sz="0" w:space="0" w:color="auto"/>
          <w:lang w:val="es-ES" w:eastAsia="es-ES"/>
        </w:rPr>
      </w:pPr>
      <w:hyperlink w:anchor="_Toc495584785" w:history="1">
        <w:r w:rsidR="00160F59" w:rsidRPr="00510B3A">
          <w:rPr>
            <w:rStyle w:val="Hyperlink"/>
            <w:rFonts w:ascii="Cambria" w:hAnsi="Cambria"/>
            <w:noProof/>
            <w:sz w:val="20"/>
            <w:szCs w:val="20"/>
          </w:rPr>
          <w:t>A.</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The Petitioner</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_Toc495584785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2</w:t>
        </w:r>
        <w:r w:rsidR="00160F59" w:rsidRPr="00510B3A">
          <w:rPr>
            <w:rFonts w:ascii="Cambria" w:hAnsi="Cambria"/>
            <w:noProof/>
            <w:webHidden/>
            <w:sz w:val="20"/>
            <w:szCs w:val="20"/>
          </w:rPr>
          <w:fldChar w:fldCharType="end"/>
        </w:r>
      </w:hyperlink>
    </w:p>
    <w:p w:rsidR="00160F59" w:rsidRPr="00510B3A" w:rsidRDefault="0049205A" w:rsidP="00160F59">
      <w:pPr>
        <w:pStyle w:val="TOC2"/>
        <w:tabs>
          <w:tab w:val="clear" w:pos="1440"/>
          <w:tab w:val="left" w:pos="720"/>
        </w:tabs>
        <w:rPr>
          <w:rFonts w:ascii="Cambria" w:eastAsia="Times New Roman" w:hAnsi="Cambria"/>
          <w:noProof/>
          <w:sz w:val="20"/>
          <w:szCs w:val="20"/>
          <w:bdr w:val="none" w:sz="0" w:space="0" w:color="auto"/>
          <w:lang w:val="es-ES" w:eastAsia="es-ES"/>
        </w:rPr>
      </w:pPr>
      <w:hyperlink w:anchor="_Toc495584786" w:history="1">
        <w:r w:rsidR="00160F59" w:rsidRPr="00510B3A">
          <w:rPr>
            <w:rStyle w:val="Hyperlink"/>
            <w:rFonts w:ascii="Cambria" w:hAnsi="Cambria"/>
            <w:noProof/>
            <w:sz w:val="20"/>
            <w:szCs w:val="20"/>
          </w:rPr>
          <w:t>B.</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The State</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_Toc495584786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3</w:t>
        </w:r>
        <w:r w:rsidR="00160F59" w:rsidRPr="00510B3A">
          <w:rPr>
            <w:rFonts w:ascii="Cambria" w:hAnsi="Cambria"/>
            <w:noProof/>
            <w:webHidden/>
            <w:sz w:val="20"/>
            <w:szCs w:val="20"/>
          </w:rPr>
          <w:fldChar w:fldCharType="end"/>
        </w:r>
      </w:hyperlink>
    </w:p>
    <w:p w:rsidR="00160F59" w:rsidRPr="00510B3A" w:rsidRDefault="00160F59" w:rsidP="00160F59">
      <w:pPr>
        <w:pStyle w:val="TOC1"/>
        <w:tabs>
          <w:tab w:val="left" w:pos="720"/>
          <w:tab w:val="right" w:leader="dot" w:pos="9350"/>
        </w:tabs>
        <w:rPr>
          <w:rStyle w:val="Hyperlink"/>
          <w:rFonts w:ascii="Cambria" w:hAnsi="Cambria"/>
          <w:noProof/>
          <w:sz w:val="20"/>
          <w:szCs w:val="20"/>
        </w:rPr>
      </w:pPr>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87" w:history="1">
        <w:r w:rsidR="00160F59" w:rsidRPr="00510B3A">
          <w:rPr>
            <w:rStyle w:val="Hyperlink"/>
            <w:rFonts w:ascii="Cambria" w:hAnsi="Cambria"/>
            <w:noProof/>
            <w:sz w:val="20"/>
            <w:szCs w:val="20"/>
          </w:rPr>
          <w:t>IV.</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ANALYSIS OF ADMISSIBILITY</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_Toc495584787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4</w:t>
        </w:r>
        <w:r w:rsidR="00160F59" w:rsidRPr="00510B3A">
          <w:rPr>
            <w:rFonts w:ascii="Cambria" w:hAnsi="Cambria"/>
            <w:noProof/>
            <w:webHidden/>
            <w:sz w:val="20"/>
            <w:szCs w:val="20"/>
          </w:rPr>
          <w:fldChar w:fldCharType="end"/>
        </w:r>
      </w:hyperlink>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88" w:history="1">
        <w:r w:rsidR="00160F59" w:rsidRPr="00510B3A">
          <w:rPr>
            <w:rStyle w:val="Hyperlink"/>
            <w:rFonts w:ascii="Cambria" w:eastAsia="MS Gothic" w:hAnsi="Cambria"/>
            <w:noProof/>
            <w:sz w:val="20"/>
            <w:szCs w:val="20"/>
          </w:rPr>
          <w:t>A.</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eastAsia="MS Gothic" w:hAnsi="Cambria"/>
            <w:noProof/>
            <w:sz w:val="20"/>
            <w:szCs w:val="20"/>
          </w:rPr>
          <w:t xml:space="preserve">Competence, international duplication of proceedings and </w:t>
        </w:r>
        <w:r w:rsidR="00160F59" w:rsidRPr="00510B3A">
          <w:rPr>
            <w:rStyle w:val="Hyperlink"/>
            <w:rFonts w:ascii="Cambria" w:eastAsia="MS Gothic" w:hAnsi="Cambria"/>
            <w:i/>
            <w:noProof/>
            <w:sz w:val="20"/>
            <w:szCs w:val="20"/>
          </w:rPr>
          <w:t>res judicata</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_Toc495584788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4</w:t>
        </w:r>
        <w:r w:rsidR="00160F59" w:rsidRPr="00510B3A">
          <w:rPr>
            <w:rFonts w:ascii="Cambria" w:hAnsi="Cambria"/>
            <w:noProof/>
            <w:webHidden/>
            <w:sz w:val="20"/>
            <w:szCs w:val="20"/>
          </w:rPr>
          <w:fldChar w:fldCharType="end"/>
        </w:r>
      </w:hyperlink>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89" w:history="1">
        <w:r w:rsidR="00160F59" w:rsidRPr="00510B3A">
          <w:rPr>
            <w:rStyle w:val="Hyperlink"/>
            <w:rFonts w:ascii="Cambria" w:hAnsi="Cambria"/>
            <w:noProof/>
            <w:sz w:val="20"/>
            <w:szCs w:val="20"/>
          </w:rPr>
          <w:t xml:space="preserve">B. </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eastAsia="MS Gothic" w:hAnsi="Cambria"/>
            <w:noProof/>
            <w:sz w:val="20"/>
            <w:szCs w:val="20"/>
          </w:rPr>
          <w:t>Exhaustion of domestic remedies and timeliness of the petition</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_Toc495584789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4</w:t>
        </w:r>
        <w:r w:rsidR="00160F59" w:rsidRPr="00510B3A">
          <w:rPr>
            <w:rFonts w:ascii="Cambria" w:hAnsi="Cambria"/>
            <w:noProof/>
            <w:webHidden/>
            <w:sz w:val="20"/>
            <w:szCs w:val="20"/>
          </w:rPr>
          <w:fldChar w:fldCharType="end"/>
        </w:r>
      </w:hyperlink>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90" w:history="1">
        <w:r w:rsidR="00160F59" w:rsidRPr="00510B3A">
          <w:rPr>
            <w:rStyle w:val="Hyperlink"/>
            <w:rFonts w:ascii="Cambria" w:hAnsi="Cambria"/>
            <w:noProof/>
            <w:sz w:val="20"/>
            <w:szCs w:val="20"/>
          </w:rPr>
          <w:t xml:space="preserve">C. </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eastAsia="MS Gothic" w:hAnsi="Cambria"/>
            <w:noProof/>
            <w:sz w:val="20"/>
            <w:szCs w:val="20"/>
          </w:rPr>
          <w:t>Characterization of the facts alleged</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_Toc495584790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5</w:t>
        </w:r>
        <w:r w:rsidR="00160F59" w:rsidRPr="00510B3A">
          <w:rPr>
            <w:rFonts w:ascii="Cambria" w:hAnsi="Cambria"/>
            <w:noProof/>
            <w:webHidden/>
            <w:sz w:val="20"/>
            <w:szCs w:val="20"/>
          </w:rPr>
          <w:fldChar w:fldCharType="end"/>
        </w:r>
      </w:hyperlink>
    </w:p>
    <w:p w:rsidR="00160F59" w:rsidRPr="00510B3A" w:rsidRDefault="00160F59" w:rsidP="00160F59">
      <w:pPr>
        <w:pStyle w:val="TOC1"/>
        <w:tabs>
          <w:tab w:val="left" w:pos="720"/>
          <w:tab w:val="right" w:leader="dot" w:pos="9350"/>
        </w:tabs>
        <w:rPr>
          <w:rStyle w:val="Hyperlink"/>
          <w:rFonts w:ascii="Cambria" w:hAnsi="Cambria"/>
          <w:noProof/>
          <w:sz w:val="20"/>
          <w:szCs w:val="20"/>
        </w:rPr>
      </w:pPr>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91" w:history="1">
        <w:r w:rsidR="00160F59" w:rsidRPr="00510B3A">
          <w:rPr>
            <w:rStyle w:val="Hyperlink"/>
            <w:rFonts w:ascii="Cambria" w:hAnsi="Cambria"/>
            <w:noProof/>
            <w:sz w:val="20"/>
            <w:szCs w:val="20"/>
          </w:rPr>
          <w:t>V.</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DETERMINATIONS OF FACT</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_Toc495584791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5</w:t>
        </w:r>
        <w:r w:rsidR="00160F59" w:rsidRPr="00510B3A">
          <w:rPr>
            <w:rFonts w:ascii="Cambria" w:hAnsi="Cambria"/>
            <w:noProof/>
            <w:webHidden/>
            <w:sz w:val="20"/>
            <w:szCs w:val="20"/>
          </w:rPr>
          <w:fldChar w:fldCharType="end"/>
        </w:r>
      </w:hyperlink>
    </w:p>
    <w:p w:rsidR="00160F59" w:rsidRPr="00510B3A" w:rsidRDefault="00160F59" w:rsidP="00160F59">
      <w:pPr>
        <w:pStyle w:val="TOC1"/>
        <w:tabs>
          <w:tab w:val="left" w:pos="720"/>
          <w:tab w:val="right" w:leader="dot" w:pos="9350"/>
        </w:tabs>
        <w:rPr>
          <w:rStyle w:val="Hyperlink"/>
          <w:rFonts w:ascii="Cambria" w:hAnsi="Cambria"/>
          <w:noProof/>
          <w:sz w:val="20"/>
          <w:szCs w:val="20"/>
        </w:rPr>
      </w:pPr>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92" w:history="1">
        <w:r w:rsidR="00160F59" w:rsidRPr="00510B3A">
          <w:rPr>
            <w:rStyle w:val="Hyperlink"/>
            <w:rFonts w:ascii="Cambria" w:hAnsi="Cambria"/>
            <w:noProof/>
            <w:sz w:val="20"/>
            <w:szCs w:val="20"/>
          </w:rPr>
          <w:t>VI.</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LEGAL ANALYSIS</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_Toc495584792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12</w:t>
        </w:r>
        <w:r w:rsidR="00160F59" w:rsidRPr="00510B3A">
          <w:rPr>
            <w:rFonts w:ascii="Cambria" w:hAnsi="Cambria"/>
            <w:noProof/>
            <w:webHidden/>
            <w:sz w:val="20"/>
            <w:szCs w:val="20"/>
          </w:rPr>
          <w:fldChar w:fldCharType="end"/>
        </w:r>
      </w:hyperlink>
    </w:p>
    <w:p w:rsidR="00160F59" w:rsidRPr="00510B3A" w:rsidRDefault="0049205A" w:rsidP="00160F59">
      <w:pPr>
        <w:pStyle w:val="TOC2"/>
        <w:tabs>
          <w:tab w:val="clear" w:pos="1440"/>
          <w:tab w:val="left" w:pos="720"/>
        </w:tabs>
        <w:rPr>
          <w:rFonts w:ascii="Cambria" w:eastAsia="Times New Roman" w:hAnsi="Cambria"/>
          <w:noProof/>
          <w:sz w:val="20"/>
          <w:szCs w:val="20"/>
          <w:bdr w:val="none" w:sz="0" w:space="0" w:color="auto"/>
          <w:lang w:val="es-ES" w:eastAsia="es-ES"/>
        </w:rPr>
      </w:pPr>
      <w:hyperlink w:anchor="_Toc495584793" w:history="1">
        <w:r w:rsidR="00160F59" w:rsidRPr="00510B3A">
          <w:rPr>
            <w:rStyle w:val="Hyperlink"/>
            <w:rFonts w:ascii="Cambria" w:hAnsi="Cambria"/>
            <w:noProof/>
            <w:sz w:val="20"/>
            <w:szCs w:val="20"/>
          </w:rPr>
          <w:t>A.</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The right to personal liberty and the right to equal protection before the law (Articles 7 and 24 of the American Convention, in connection with Articles 1(1) and 2 thereof)</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_Toc495584793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12</w:t>
        </w:r>
        <w:r w:rsidR="00160F59" w:rsidRPr="00510B3A">
          <w:rPr>
            <w:rFonts w:ascii="Cambria" w:hAnsi="Cambria"/>
            <w:noProof/>
            <w:webHidden/>
            <w:sz w:val="20"/>
            <w:szCs w:val="20"/>
          </w:rPr>
          <w:fldChar w:fldCharType="end"/>
        </w:r>
      </w:hyperlink>
    </w:p>
    <w:p w:rsidR="00160F59" w:rsidRPr="00510B3A" w:rsidRDefault="0049205A" w:rsidP="00160F59">
      <w:pPr>
        <w:pStyle w:val="TOC3"/>
        <w:tabs>
          <w:tab w:val="left" w:pos="720"/>
          <w:tab w:val="left" w:pos="2160"/>
        </w:tabs>
        <w:rPr>
          <w:rFonts w:ascii="Cambria" w:eastAsia="Times New Roman" w:hAnsi="Cambria"/>
          <w:noProof/>
          <w:sz w:val="20"/>
          <w:szCs w:val="20"/>
          <w:bdr w:val="none" w:sz="0" w:space="0" w:color="auto"/>
          <w:lang w:val="es-ES" w:eastAsia="es-ES"/>
        </w:rPr>
      </w:pPr>
      <w:hyperlink w:anchor="_Toc495584794" w:history="1">
        <w:r w:rsidR="00160F59" w:rsidRPr="00510B3A">
          <w:rPr>
            <w:rStyle w:val="Hyperlink"/>
            <w:rFonts w:ascii="Cambria" w:hAnsi="Cambria"/>
            <w:noProof/>
            <w:sz w:val="20"/>
            <w:szCs w:val="20"/>
          </w:rPr>
          <w:t>1.</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The right to not be deprived of liberty illegally</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_Toc495584794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12</w:t>
        </w:r>
        <w:r w:rsidR="00160F59" w:rsidRPr="00510B3A">
          <w:rPr>
            <w:rFonts w:ascii="Cambria" w:hAnsi="Cambria"/>
            <w:noProof/>
            <w:webHidden/>
            <w:sz w:val="20"/>
            <w:szCs w:val="20"/>
          </w:rPr>
          <w:fldChar w:fldCharType="end"/>
        </w:r>
      </w:hyperlink>
    </w:p>
    <w:p w:rsidR="00160F59" w:rsidRPr="00510B3A" w:rsidRDefault="0049205A" w:rsidP="00160F59">
      <w:pPr>
        <w:pStyle w:val="TOC3"/>
        <w:tabs>
          <w:tab w:val="left" w:pos="720"/>
          <w:tab w:val="left" w:pos="2160"/>
        </w:tabs>
        <w:rPr>
          <w:rFonts w:ascii="Cambria" w:eastAsia="Times New Roman" w:hAnsi="Cambria"/>
          <w:noProof/>
          <w:sz w:val="20"/>
          <w:szCs w:val="20"/>
          <w:bdr w:val="none" w:sz="0" w:space="0" w:color="auto"/>
          <w:lang w:val="es-ES" w:eastAsia="es-ES"/>
        </w:rPr>
      </w:pPr>
      <w:hyperlink w:anchor="_Toc495584795" w:history="1">
        <w:r w:rsidR="00160F59" w:rsidRPr="00510B3A">
          <w:rPr>
            <w:rStyle w:val="Hyperlink"/>
            <w:rFonts w:ascii="Cambria" w:hAnsi="Cambria"/>
            <w:noProof/>
            <w:sz w:val="20"/>
            <w:szCs w:val="20"/>
          </w:rPr>
          <w:t>2.</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The right not to be arbitrarily deprived of liberty and considerations on the length of pretrial detention</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_Toc495584795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14</w:t>
        </w:r>
        <w:r w:rsidR="00160F59" w:rsidRPr="00510B3A">
          <w:rPr>
            <w:rFonts w:ascii="Cambria" w:hAnsi="Cambria"/>
            <w:noProof/>
            <w:webHidden/>
            <w:sz w:val="20"/>
            <w:szCs w:val="20"/>
          </w:rPr>
          <w:fldChar w:fldCharType="end"/>
        </w:r>
      </w:hyperlink>
    </w:p>
    <w:p w:rsidR="00160F59" w:rsidRPr="00510B3A" w:rsidRDefault="0049205A" w:rsidP="00160F59">
      <w:pPr>
        <w:pStyle w:val="TOC3"/>
        <w:tabs>
          <w:tab w:val="left" w:pos="720"/>
          <w:tab w:val="left" w:pos="2160"/>
        </w:tabs>
        <w:rPr>
          <w:rFonts w:ascii="Cambria" w:eastAsia="Times New Roman" w:hAnsi="Cambria"/>
          <w:noProof/>
          <w:sz w:val="20"/>
          <w:szCs w:val="20"/>
          <w:bdr w:val="none" w:sz="0" w:space="0" w:color="auto"/>
          <w:lang w:val="es-ES" w:eastAsia="es-ES"/>
        </w:rPr>
      </w:pPr>
      <w:hyperlink w:anchor="_Toc495584796" w:history="1">
        <w:r w:rsidR="00160F59" w:rsidRPr="00510B3A">
          <w:rPr>
            <w:rStyle w:val="Hyperlink"/>
            <w:rFonts w:ascii="Cambria" w:hAnsi="Cambria"/>
            <w:noProof/>
            <w:sz w:val="20"/>
            <w:szCs w:val="20"/>
          </w:rPr>
          <w:t xml:space="preserve">3. </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The right to judicial oversight of pretrial detention</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_Toc495584796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17</w:t>
        </w:r>
        <w:r w:rsidR="00160F59" w:rsidRPr="00510B3A">
          <w:rPr>
            <w:rFonts w:ascii="Cambria" w:hAnsi="Cambria"/>
            <w:noProof/>
            <w:webHidden/>
            <w:sz w:val="20"/>
            <w:szCs w:val="20"/>
          </w:rPr>
          <w:fldChar w:fldCharType="end"/>
        </w:r>
      </w:hyperlink>
    </w:p>
    <w:p w:rsidR="00160F59" w:rsidRPr="00510B3A" w:rsidRDefault="0049205A" w:rsidP="00160F59">
      <w:pPr>
        <w:pStyle w:val="TOC2"/>
        <w:tabs>
          <w:tab w:val="clear" w:pos="1440"/>
          <w:tab w:val="left" w:pos="720"/>
        </w:tabs>
        <w:rPr>
          <w:rFonts w:ascii="Cambria" w:eastAsia="Times New Roman" w:hAnsi="Cambria"/>
          <w:noProof/>
          <w:sz w:val="20"/>
          <w:szCs w:val="20"/>
          <w:bdr w:val="none" w:sz="0" w:space="0" w:color="auto"/>
          <w:lang w:val="es-ES" w:eastAsia="es-ES"/>
        </w:rPr>
      </w:pPr>
      <w:hyperlink w:anchor="_Toc495584797" w:history="1">
        <w:r w:rsidR="00160F59" w:rsidRPr="00510B3A">
          <w:rPr>
            <w:rStyle w:val="Hyperlink"/>
            <w:rFonts w:ascii="Cambria" w:hAnsi="Cambria"/>
            <w:noProof/>
            <w:sz w:val="20"/>
            <w:szCs w:val="20"/>
          </w:rPr>
          <w:t>B.</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Right to humane treatment and rights to a fair trial and judicial protection (Articles 5, 8, and 25 of the American Convention in connection with Article 1(1) thereof and Articles 1, 6,and 8 of the Inter-American Convention to Prevent and Punish Torture)</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_Toc495584797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19</w:t>
        </w:r>
        <w:r w:rsidR="00160F59" w:rsidRPr="00510B3A">
          <w:rPr>
            <w:rFonts w:ascii="Cambria" w:hAnsi="Cambria"/>
            <w:noProof/>
            <w:webHidden/>
            <w:sz w:val="20"/>
            <w:szCs w:val="20"/>
          </w:rPr>
          <w:fldChar w:fldCharType="end"/>
        </w:r>
      </w:hyperlink>
    </w:p>
    <w:p w:rsidR="00160F59" w:rsidRPr="00510B3A" w:rsidRDefault="0049205A" w:rsidP="00160F59">
      <w:pPr>
        <w:pStyle w:val="TOC2"/>
        <w:tabs>
          <w:tab w:val="clear" w:pos="1440"/>
          <w:tab w:val="left" w:pos="720"/>
        </w:tabs>
        <w:rPr>
          <w:rFonts w:ascii="Cambria" w:eastAsia="Times New Roman" w:hAnsi="Cambria"/>
          <w:noProof/>
          <w:sz w:val="20"/>
          <w:szCs w:val="20"/>
          <w:bdr w:val="none" w:sz="0" w:space="0" w:color="auto"/>
          <w:lang w:val="es-ES" w:eastAsia="es-ES"/>
        </w:rPr>
      </w:pPr>
      <w:hyperlink w:anchor="_Toc495584798" w:history="1">
        <w:r w:rsidR="00160F59" w:rsidRPr="00510B3A">
          <w:rPr>
            <w:rStyle w:val="Hyperlink"/>
            <w:rFonts w:ascii="Cambria" w:hAnsi="Cambria"/>
            <w:noProof/>
            <w:sz w:val="20"/>
            <w:szCs w:val="20"/>
          </w:rPr>
          <w:t>C.</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Right to a fair trial (Article 8 of the Convention in connection with Article 1(1) thereof)</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_Toc495584798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21</w:t>
        </w:r>
        <w:r w:rsidR="00160F59" w:rsidRPr="00510B3A">
          <w:rPr>
            <w:rFonts w:ascii="Cambria" w:hAnsi="Cambria"/>
            <w:noProof/>
            <w:webHidden/>
            <w:sz w:val="20"/>
            <w:szCs w:val="20"/>
          </w:rPr>
          <w:fldChar w:fldCharType="end"/>
        </w:r>
      </w:hyperlink>
    </w:p>
    <w:p w:rsidR="00160F59" w:rsidRPr="00510B3A" w:rsidRDefault="00160F59" w:rsidP="00160F59">
      <w:pPr>
        <w:pStyle w:val="TOC1"/>
        <w:tabs>
          <w:tab w:val="left" w:pos="720"/>
          <w:tab w:val="right" w:leader="dot" w:pos="9350"/>
        </w:tabs>
        <w:rPr>
          <w:rStyle w:val="Hyperlink"/>
          <w:rFonts w:ascii="Cambria" w:hAnsi="Cambria"/>
          <w:noProof/>
          <w:sz w:val="20"/>
          <w:szCs w:val="20"/>
        </w:rPr>
      </w:pPr>
    </w:p>
    <w:p w:rsidR="00160F59" w:rsidRPr="00510B3A" w:rsidRDefault="0049205A" w:rsidP="00160F59">
      <w:pPr>
        <w:pStyle w:val="TOC1"/>
        <w:tabs>
          <w:tab w:val="left" w:pos="720"/>
          <w:tab w:val="right" w:leader="dot" w:pos="9350"/>
        </w:tabs>
        <w:rPr>
          <w:rFonts w:ascii="Cambria" w:eastAsia="Times New Roman" w:hAnsi="Cambria"/>
          <w:noProof/>
          <w:sz w:val="20"/>
          <w:szCs w:val="20"/>
          <w:bdr w:val="none" w:sz="0" w:space="0" w:color="auto"/>
          <w:lang w:val="es-ES" w:eastAsia="es-ES"/>
        </w:rPr>
      </w:pPr>
      <w:hyperlink w:anchor="_Toc495584799" w:history="1">
        <w:r w:rsidR="00160F59" w:rsidRPr="00510B3A">
          <w:rPr>
            <w:rStyle w:val="Hyperlink"/>
            <w:rFonts w:ascii="Cambria" w:hAnsi="Cambria"/>
            <w:noProof/>
            <w:sz w:val="20"/>
            <w:szCs w:val="20"/>
          </w:rPr>
          <w:t>VII.</w:t>
        </w:r>
        <w:r w:rsidR="00160F59" w:rsidRPr="00510B3A">
          <w:rPr>
            <w:rFonts w:ascii="Cambria" w:eastAsia="Times New Roman" w:hAnsi="Cambria"/>
            <w:noProof/>
            <w:sz w:val="20"/>
            <w:szCs w:val="20"/>
            <w:bdr w:val="none" w:sz="0" w:space="0" w:color="auto"/>
            <w:lang w:val="es-ES" w:eastAsia="es-ES"/>
          </w:rPr>
          <w:tab/>
        </w:r>
        <w:r w:rsidR="00160F59" w:rsidRPr="00510B3A">
          <w:rPr>
            <w:rStyle w:val="Hyperlink"/>
            <w:rFonts w:ascii="Cambria" w:hAnsi="Cambria"/>
            <w:noProof/>
            <w:sz w:val="20"/>
            <w:szCs w:val="20"/>
          </w:rPr>
          <w:t>CONCLUSIONS AND RECOMMENDATIONS</w:t>
        </w:r>
        <w:r w:rsidR="00160F59" w:rsidRPr="00510B3A">
          <w:rPr>
            <w:rFonts w:ascii="Cambria" w:hAnsi="Cambria"/>
            <w:noProof/>
            <w:webHidden/>
            <w:sz w:val="20"/>
            <w:szCs w:val="20"/>
          </w:rPr>
          <w:tab/>
        </w:r>
        <w:r w:rsidR="00160F59" w:rsidRPr="00510B3A">
          <w:rPr>
            <w:rFonts w:ascii="Cambria" w:hAnsi="Cambria"/>
            <w:noProof/>
            <w:webHidden/>
            <w:sz w:val="20"/>
            <w:szCs w:val="20"/>
          </w:rPr>
          <w:fldChar w:fldCharType="begin"/>
        </w:r>
        <w:r w:rsidR="00160F59" w:rsidRPr="00510B3A">
          <w:rPr>
            <w:rFonts w:ascii="Cambria" w:hAnsi="Cambria"/>
            <w:noProof/>
            <w:webHidden/>
            <w:sz w:val="20"/>
            <w:szCs w:val="20"/>
          </w:rPr>
          <w:instrText xml:space="preserve"> PAGEREF _Toc495584799 \h </w:instrText>
        </w:r>
        <w:r w:rsidR="00160F59" w:rsidRPr="00510B3A">
          <w:rPr>
            <w:rFonts w:ascii="Cambria" w:hAnsi="Cambria"/>
            <w:noProof/>
            <w:webHidden/>
            <w:sz w:val="20"/>
            <w:szCs w:val="20"/>
          </w:rPr>
        </w:r>
        <w:r w:rsidR="00160F59" w:rsidRPr="00510B3A">
          <w:rPr>
            <w:rFonts w:ascii="Cambria" w:hAnsi="Cambria"/>
            <w:noProof/>
            <w:webHidden/>
            <w:sz w:val="20"/>
            <w:szCs w:val="20"/>
          </w:rPr>
          <w:fldChar w:fldCharType="separate"/>
        </w:r>
        <w:r w:rsidR="00B92469">
          <w:rPr>
            <w:rFonts w:ascii="Cambria" w:hAnsi="Cambria"/>
            <w:noProof/>
            <w:webHidden/>
            <w:sz w:val="20"/>
            <w:szCs w:val="20"/>
          </w:rPr>
          <w:t>25</w:t>
        </w:r>
        <w:r w:rsidR="00160F59" w:rsidRPr="00510B3A">
          <w:rPr>
            <w:rFonts w:ascii="Cambria" w:hAnsi="Cambria"/>
            <w:noProof/>
            <w:webHidden/>
            <w:sz w:val="20"/>
            <w:szCs w:val="20"/>
          </w:rPr>
          <w:fldChar w:fldCharType="end"/>
        </w:r>
      </w:hyperlink>
    </w:p>
    <w:p w:rsidR="006B32E1" w:rsidRPr="005074AD" w:rsidRDefault="00160F59" w:rsidP="006B32E1">
      <w:pPr>
        <w:jc w:val="center"/>
        <w:rPr>
          <w:rFonts w:ascii="Cambria" w:hAnsi="Cambria"/>
          <w:sz w:val="18"/>
          <w:szCs w:val="20"/>
        </w:rPr>
      </w:pPr>
      <w:r>
        <w:rPr>
          <w:rFonts w:ascii="Cambria" w:eastAsia="Times New Roman" w:hAnsi="Cambria"/>
          <w:b/>
          <w:sz w:val="20"/>
          <w:szCs w:val="20"/>
          <w:bdr w:val="none" w:sz="0" w:space="0" w:color="auto"/>
          <w:lang w:val="es-ES"/>
        </w:rPr>
        <w:fldChar w:fldCharType="end"/>
      </w:r>
      <w:r w:rsidR="007467BB" w:rsidRPr="009B7678">
        <w:rPr>
          <w:rFonts w:ascii="Cambria" w:eastAsia="Times New Roman" w:hAnsi="Cambria"/>
          <w:b/>
          <w:sz w:val="20"/>
          <w:szCs w:val="20"/>
          <w:bdr w:val="none" w:sz="0" w:space="0" w:color="auto"/>
        </w:rPr>
        <w:br w:type="page"/>
      </w:r>
      <w:r w:rsidR="002530B6" w:rsidRPr="005074AD">
        <w:rPr>
          <w:rFonts w:ascii="Cambria" w:eastAsia="Times New Roman" w:hAnsi="Cambria"/>
          <w:b/>
          <w:sz w:val="18"/>
          <w:szCs w:val="20"/>
          <w:bdr w:val="none" w:sz="0" w:space="0" w:color="auto"/>
        </w:rPr>
        <w:lastRenderedPageBreak/>
        <w:t>REPORT</w:t>
      </w:r>
      <w:r w:rsidR="006B32E1" w:rsidRPr="005074AD">
        <w:rPr>
          <w:rFonts w:ascii="Cambria" w:eastAsia="Times New Roman" w:hAnsi="Cambria"/>
          <w:b/>
          <w:sz w:val="18"/>
          <w:szCs w:val="20"/>
          <w:bdr w:val="none" w:sz="0" w:space="0" w:color="auto"/>
        </w:rPr>
        <w:t xml:space="preserve"> No. </w:t>
      </w:r>
      <w:r w:rsidR="009B7678">
        <w:rPr>
          <w:rFonts w:ascii="Cambria" w:eastAsia="Times New Roman" w:hAnsi="Cambria"/>
          <w:b/>
          <w:sz w:val="18"/>
          <w:szCs w:val="20"/>
          <w:bdr w:val="none" w:sz="0" w:space="0" w:color="auto"/>
        </w:rPr>
        <w:t>131</w:t>
      </w:r>
      <w:r w:rsidR="006B32E1" w:rsidRPr="005074AD">
        <w:rPr>
          <w:rFonts w:ascii="Cambria" w:eastAsia="Times New Roman" w:hAnsi="Cambria"/>
          <w:b/>
          <w:sz w:val="18"/>
          <w:szCs w:val="20"/>
          <w:bdr w:val="none" w:sz="0" w:space="0" w:color="auto"/>
        </w:rPr>
        <w:t>/17</w:t>
      </w:r>
    </w:p>
    <w:p w:rsidR="006B32E1" w:rsidRPr="005074AD" w:rsidRDefault="002530B6" w:rsidP="006B32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20"/>
          <w:bdr w:val="none" w:sz="0" w:space="0" w:color="auto"/>
        </w:rPr>
      </w:pPr>
      <w:r w:rsidRPr="005074AD">
        <w:rPr>
          <w:rFonts w:ascii="Cambria" w:eastAsia="Times New Roman" w:hAnsi="Cambria"/>
          <w:b/>
          <w:sz w:val="18"/>
          <w:szCs w:val="20"/>
          <w:bdr w:val="none" w:sz="0" w:space="0" w:color="auto"/>
        </w:rPr>
        <w:t>CASE</w:t>
      </w:r>
      <w:r w:rsidR="006B32E1" w:rsidRPr="005074AD">
        <w:rPr>
          <w:rFonts w:ascii="Cambria" w:eastAsia="Times New Roman" w:hAnsi="Cambria"/>
          <w:b/>
          <w:sz w:val="18"/>
          <w:szCs w:val="20"/>
          <w:bdr w:val="none" w:sz="0" w:space="0" w:color="auto"/>
        </w:rPr>
        <w:t xml:space="preserve"> 11.678</w:t>
      </w:r>
    </w:p>
    <w:p w:rsidR="006B32E1" w:rsidRPr="005074AD" w:rsidRDefault="002530B6" w:rsidP="006B32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20"/>
          <w:bdr w:val="none" w:sz="0" w:space="0" w:color="auto"/>
        </w:rPr>
      </w:pPr>
      <w:r w:rsidRPr="005074AD">
        <w:rPr>
          <w:rFonts w:ascii="Cambria" w:eastAsia="Times New Roman" w:hAnsi="Cambria"/>
          <w:sz w:val="18"/>
          <w:szCs w:val="20"/>
          <w:bdr w:val="none" w:sz="0" w:space="0" w:color="auto"/>
        </w:rPr>
        <w:t>ADMISSIBILITY AND MERITS</w:t>
      </w:r>
    </w:p>
    <w:p w:rsidR="006B32E1" w:rsidRPr="005074AD"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20"/>
          <w:bdr w:val="none" w:sz="0" w:space="0" w:color="auto"/>
          <w:lang w:val="es-ES"/>
        </w:rPr>
      </w:pPr>
      <w:r w:rsidRPr="005074AD">
        <w:rPr>
          <w:rFonts w:ascii="Cambria" w:eastAsia="Times New Roman" w:hAnsi="Cambria"/>
          <w:sz w:val="18"/>
          <w:szCs w:val="20"/>
          <w:bdr w:val="none" w:sz="0" w:space="0" w:color="auto"/>
          <w:lang w:val="es-ES"/>
        </w:rPr>
        <w:t>MARIO MONTESINOS MEJÍA</w:t>
      </w:r>
    </w:p>
    <w:p w:rsidR="006B32E1" w:rsidRPr="005074AD"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20"/>
          <w:bdr w:val="none" w:sz="0" w:space="0" w:color="auto"/>
          <w:lang w:val="es-ES"/>
        </w:rPr>
      </w:pPr>
      <w:r w:rsidRPr="005074AD">
        <w:rPr>
          <w:rFonts w:ascii="Cambria" w:eastAsia="Times New Roman" w:hAnsi="Cambria"/>
          <w:sz w:val="18"/>
          <w:szCs w:val="20"/>
          <w:bdr w:val="none" w:sz="0" w:space="0" w:color="auto"/>
          <w:lang w:val="es-ES"/>
        </w:rPr>
        <w:t>ECUADOR</w:t>
      </w:r>
    </w:p>
    <w:p w:rsidR="006B32E1" w:rsidRPr="005074AD" w:rsidRDefault="009B7678" w:rsidP="006B32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20"/>
          <w:bdr w:val="none" w:sz="0" w:space="0" w:color="auto"/>
          <w:lang w:val="es-ES"/>
        </w:rPr>
      </w:pPr>
      <w:r>
        <w:rPr>
          <w:rFonts w:ascii="Cambria" w:eastAsia="Times New Roman" w:hAnsi="Cambria"/>
          <w:sz w:val="18"/>
          <w:szCs w:val="20"/>
          <w:bdr w:val="none" w:sz="0" w:space="0" w:color="auto"/>
          <w:lang w:val="es-ES"/>
        </w:rPr>
        <w:t>OCTOBER 25</w:t>
      </w:r>
      <w:r w:rsidR="002530B6" w:rsidRPr="005074AD">
        <w:rPr>
          <w:rFonts w:ascii="Cambria" w:eastAsia="Times New Roman" w:hAnsi="Cambria"/>
          <w:sz w:val="18"/>
          <w:szCs w:val="20"/>
          <w:bdr w:val="none" w:sz="0" w:space="0" w:color="auto"/>
          <w:lang w:val="es-ES"/>
        </w:rPr>
        <w:t>,</w:t>
      </w:r>
      <w:r w:rsidR="006B32E1" w:rsidRPr="005074AD">
        <w:rPr>
          <w:rFonts w:ascii="Cambria" w:eastAsia="Times New Roman" w:hAnsi="Cambria"/>
          <w:sz w:val="18"/>
          <w:szCs w:val="20"/>
          <w:bdr w:val="none" w:sz="0" w:space="0" w:color="auto"/>
          <w:lang w:val="es-ES"/>
        </w:rPr>
        <w:t xml:space="preserve"> 2017</w:t>
      </w:r>
    </w:p>
    <w:p w:rsidR="006B32E1" w:rsidRPr="00CC39F5" w:rsidRDefault="006B32E1" w:rsidP="006B32E1">
      <w:pPr>
        <w:rPr>
          <w:rFonts w:ascii="Cambria" w:eastAsia="Times New Roman" w:hAnsi="Cambria"/>
          <w:b/>
          <w:sz w:val="20"/>
          <w:szCs w:val="20"/>
          <w:bdr w:val="none" w:sz="0" w:space="0" w:color="auto"/>
          <w:lang w:val="es-ES"/>
        </w:rPr>
      </w:pP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
        </w:rPr>
      </w:pPr>
    </w:p>
    <w:p w:rsidR="006B32E1" w:rsidRPr="00CC39F5" w:rsidRDefault="002530B6" w:rsidP="006B32E1">
      <w:pPr>
        <w:pStyle w:val="Heading1"/>
      </w:pPr>
      <w:bookmarkStart w:id="2" w:name="_Toc495584782"/>
      <w:r w:rsidRPr="00CC39F5">
        <w:t>SUMMARY</w:t>
      </w:r>
      <w:bookmarkEnd w:id="2"/>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6B32E1" w:rsidRPr="00CC39F5" w:rsidRDefault="002530B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On August</w:t>
      </w:r>
      <w:r w:rsidR="006B32E1" w:rsidRPr="00CC39F5">
        <w:rPr>
          <w:rFonts w:ascii="Cambria" w:eastAsia="Times New Roman" w:hAnsi="Cambria"/>
          <w:sz w:val="20"/>
          <w:szCs w:val="20"/>
          <w:bdr w:val="none" w:sz="0" w:space="0" w:color="auto"/>
        </w:rPr>
        <w:t xml:space="preserve"> 30</w:t>
      </w:r>
      <w:r w:rsidR="006346D2" w:rsidRPr="00CC39F5">
        <w:rPr>
          <w:rFonts w:ascii="Cambria" w:eastAsia="Times New Roman" w:hAnsi="Cambria"/>
          <w:sz w:val="20"/>
          <w:szCs w:val="20"/>
          <w:bdr w:val="none" w:sz="0" w:space="0" w:color="auto"/>
        </w:rPr>
        <w:t>,</w:t>
      </w:r>
      <w:r w:rsidR="006B32E1" w:rsidRPr="00CC39F5">
        <w:rPr>
          <w:rFonts w:ascii="Cambria" w:eastAsia="Times New Roman" w:hAnsi="Cambria"/>
          <w:sz w:val="20"/>
          <w:szCs w:val="20"/>
          <w:bdr w:val="none" w:sz="0" w:space="0" w:color="auto"/>
        </w:rPr>
        <w:t xml:space="preserve"> 1996 </w:t>
      </w:r>
      <w:r w:rsidR="006346D2" w:rsidRPr="00CC39F5">
        <w:rPr>
          <w:rFonts w:ascii="Cambria" w:eastAsia="Times New Roman" w:hAnsi="Cambria"/>
          <w:sz w:val="20"/>
          <w:szCs w:val="20"/>
          <w:bdr w:val="none" w:sz="0" w:space="0" w:color="auto"/>
        </w:rPr>
        <w:t>the Inter-American Commission on Human Rights</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hereinafter,</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the Commission</w:t>
      </w:r>
      <w:r w:rsidR="006B32E1" w:rsidRPr="00CC39F5">
        <w:rPr>
          <w:rFonts w:ascii="Cambria" w:eastAsia="Times New Roman" w:hAnsi="Cambria"/>
          <w:sz w:val="20"/>
          <w:szCs w:val="20"/>
          <w:bdr w:val="none" w:sz="0" w:space="0" w:color="auto"/>
        </w:rPr>
        <w:t>" o</w:t>
      </w:r>
      <w:r w:rsidR="006346D2" w:rsidRPr="00CC39F5">
        <w:rPr>
          <w:rFonts w:ascii="Cambria" w:eastAsia="Times New Roman" w:hAnsi="Cambria"/>
          <w:sz w:val="20"/>
          <w:szCs w:val="20"/>
          <w:bdr w:val="none" w:sz="0" w:space="0" w:color="auto"/>
        </w:rPr>
        <w:t>r</w:t>
      </w:r>
      <w:r w:rsidR="006B32E1" w:rsidRPr="00CC39F5">
        <w:rPr>
          <w:rFonts w:ascii="Cambria" w:eastAsia="Times New Roman" w:hAnsi="Cambria"/>
          <w:sz w:val="20"/>
          <w:szCs w:val="20"/>
          <w:bdr w:val="none" w:sz="0" w:space="0" w:color="auto"/>
        </w:rPr>
        <w:t xml:space="preserve"> “</w:t>
      </w:r>
      <w:r w:rsidRPr="00CC39F5">
        <w:rPr>
          <w:rFonts w:ascii="Cambria" w:eastAsia="Times New Roman" w:hAnsi="Cambria"/>
          <w:sz w:val="20"/>
          <w:szCs w:val="20"/>
          <w:bdr w:val="none" w:sz="0" w:space="0" w:color="auto"/>
        </w:rPr>
        <w:t>the IACHR</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received a petition filed by</w:t>
      </w:r>
      <w:r w:rsidR="006B32E1" w:rsidRPr="00CC39F5">
        <w:rPr>
          <w:rFonts w:ascii="Cambria" w:eastAsia="Times New Roman" w:hAnsi="Cambria"/>
          <w:sz w:val="20"/>
          <w:szCs w:val="20"/>
          <w:bdr w:val="none" w:sz="0" w:space="0" w:color="auto"/>
        </w:rPr>
        <w:t xml:space="preserve"> </w:t>
      </w:r>
      <w:r w:rsidR="006B32E1" w:rsidRPr="00CC39F5">
        <w:rPr>
          <w:rFonts w:ascii="Cambria" w:hAnsi="Cambria"/>
          <w:sz w:val="20"/>
          <w:szCs w:val="20"/>
        </w:rPr>
        <w:t xml:space="preserve">Alejandro Ponce-Villacís </w:t>
      </w:r>
      <w:r w:rsidR="006B32E1" w:rsidRPr="00CC39F5">
        <w:rPr>
          <w:rFonts w:ascii="Cambria" w:eastAsia="Times New Roman" w:hAnsi="Cambria"/>
          <w:sz w:val="20"/>
          <w:szCs w:val="20"/>
          <w:bdr w:val="none" w:sz="0" w:space="0" w:color="auto"/>
        </w:rPr>
        <w:t>(</w:t>
      </w:r>
      <w:r w:rsidR="006346D2" w:rsidRPr="00CC39F5">
        <w:rPr>
          <w:rFonts w:ascii="Cambria" w:eastAsia="Times New Roman" w:hAnsi="Cambria"/>
          <w:sz w:val="20"/>
          <w:szCs w:val="20"/>
          <w:bdr w:val="none" w:sz="0" w:space="0" w:color="auto"/>
        </w:rPr>
        <w:t>hereinafter,</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the petitioner</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alleging the international responsibility of the Republic of Ecuador</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hereinafter,</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the State,”</w:t>
      </w:r>
      <w:r w:rsidR="006B32E1" w:rsidRPr="00CC39F5">
        <w:rPr>
          <w:rFonts w:ascii="Cambria" w:eastAsia="Times New Roman" w:hAnsi="Cambria"/>
          <w:sz w:val="20"/>
          <w:szCs w:val="20"/>
          <w:bdr w:val="none" w:sz="0" w:space="0" w:color="auto"/>
        </w:rPr>
        <w:t xml:space="preserve"> "</w:t>
      </w:r>
      <w:r w:rsidR="00820E3C" w:rsidRPr="00CC39F5">
        <w:rPr>
          <w:rFonts w:ascii="Cambria" w:eastAsia="Times New Roman" w:hAnsi="Cambria"/>
          <w:sz w:val="20"/>
          <w:szCs w:val="20"/>
          <w:bdr w:val="none" w:sz="0" w:space="0" w:color="auto"/>
        </w:rPr>
        <w:t>the Ecuadorian S</w:t>
      </w:r>
      <w:r w:rsidR="006346D2" w:rsidRPr="00CC39F5">
        <w:rPr>
          <w:rFonts w:ascii="Cambria" w:eastAsia="Times New Roman" w:hAnsi="Cambria"/>
          <w:sz w:val="20"/>
          <w:szCs w:val="20"/>
          <w:bdr w:val="none" w:sz="0" w:space="0" w:color="auto"/>
        </w:rPr>
        <w:t>tate</w:t>
      </w:r>
      <w:r w:rsidR="006B32E1" w:rsidRPr="00CC39F5">
        <w:rPr>
          <w:rFonts w:ascii="Cambria" w:eastAsia="Times New Roman" w:hAnsi="Cambria"/>
          <w:sz w:val="20"/>
          <w:szCs w:val="20"/>
          <w:bdr w:val="none" w:sz="0" w:space="0" w:color="auto"/>
        </w:rPr>
        <w:t>" o</w:t>
      </w:r>
      <w:r w:rsidR="006346D2" w:rsidRPr="00CC39F5">
        <w:rPr>
          <w:rFonts w:ascii="Cambria" w:eastAsia="Times New Roman" w:hAnsi="Cambria"/>
          <w:sz w:val="20"/>
          <w:szCs w:val="20"/>
          <w:bdr w:val="none" w:sz="0" w:space="0" w:color="auto"/>
        </w:rPr>
        <w:t>r</w:t>
      </w:r>
      <w:r w:rsidR="006B32E1" w:rsidRPr="00CC39F5">
        <w:rPr>
          <w:rFonts w:ascii="Cambria" w:eastAsia="Times New Roman" w:hAnsi="Cambria"/>
          <w:sz w:val="20"/>
          <w:szCs w:val="20"/>
          <w:bdr w:val="none" w:sz="0" w:space="0" w:color="auto"/>
        </w:rPr>
        <w:t xml:space="preserve"> "Ecuador")</w:t>
      </w:r>
      <w:r w:rsidR="006346D2" w:rsidRPr="00CC39F5">
        <w:rPr>
          <w:rFonts w:ascii="Cambria" w:eastAsia="Times New Roman" w:hAnsi="Cambria"/>
          <w:sz w:val="20"/>
          <w:szCs w:val="20"/>
          <w:bdr w:val="none" w:sz="0" w:space="0" w:color="auto"/>
        </w:rPr>
        <w:t xml:space="preserve"> for the illegal and arbitrary </w:t>
      </w:r>
      <w:r w:rsidR="00820E3C" w:rsidRPr="00CC39F5">
        <w:rPr>
          <w:rFonts w:ascii="Cambria" w:eastAsia="Times New Roman" w:hAnsi="Cambria"/>
          <w:sz w:val="20"/>
          <w:szCs w:val="20"/>
          <w:bdr w:val="none" w:sz="0" w:space="0" w:color="auto"/>
        </w:rPr>
        <w:t>arrest</w:t>
      </w:r>
      <w:r w:rsidR="006346D2" w:rsidRPr="00CC39F5">
        <w:rPr>
          <w:rFonts w:ascii="Cambria" w:eastAsia="Times New Roman" w:hAnsi="Cambria"/>
          <w:sz w:val="20"/>
          <w:szCs w:val="20"/>
          <w:bdr w:val="none" w:sz="0" w:space="0" w:color="auto"/>
        </w:rPr>
        <w:t xml:space="preserve"> of</w:t>
      </w:r>
      <w:r w:rsidR="006B32E1" w:rsidRPr="00CC39F5">
        <w:rPr>
          <w:rFonts w:ascii="Cambria" w:eastAsia="Times New Roman" w:hAnsi="Cambria"/>
          <w:sz w:val="20"/>
          <w:szCs w:val="20"/>
          <w:bdr w:val="none" w:sz="0" w:space="0" w:color="auto"/>
        </w:rPr>
        <w:t xml:space="preserve"> Mario Montesinos Mejía (</w:t>
      </w:r>
      <w:r w:rsidR="006346D2" w:rsidRPr="00CC39F5">
        <w:rPr>
          <w:rFonts w:ascii="Cambria" w:eastAsia="Times New Roman" w:hAnsi="Cambria"/>
          <w:sz w:val="20"/>
          <w:szCs w:val="20"/>
          <w:bdr w:val="none" w:sz="0" w:space="0" w:color="auto"/>
        </w:rPr>
        <w:t>hereinafter,</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the alleged victim</w:t>
      </w:r>
      <w:r w:rsidR="006B32E1" w:rsidRPr="00CC39F5">
        <w:rPr>
          <w:rFonts w:ascii="Cambria" w:eastAsia="Times New Roman" w:hAnsi="Cambria"/>
          <w:sz w:val="20"/>
          <w:szCs w:val="20"/>
          <w:bdr w:val="none" w:sz="0" w:space="0" w:color="auto"/>
        </w:rPr>
        <w:t xml:space="preserve">”) </w:t>
      </w:r>
      <w:r w:rsidR="00A06254" w:rsidRPr="00CC39F5">
        <w:rPr>
          <w:rFonts w:ascii="Cambria" w:eastAsia="Times New Roman" w:hAnsi="Cambria"/>
          <w:sz w:val="20"/>
          <w:szCs w:val="20"/>
          <w:bdr w:val="none" w:sz="0" w:space="0" w:color="auto"/>
        </w:rPr>
        <w:t xml:space="preserve">by police </w:t>
      </w:r>
      <w:r w:rsidR="00820E3C" w:rsidRPr="00CC39F5">
        <w:rPr>
          <w:rFonts w:ascii="Cambria" w:eastAsia="Times New Roman" w:hAnsi="Cambria"/>
          <w:sz w:val="20"/>
          <w:szCs w:val="20"/>
          <w:bdr w:val="none" w:sz="0" w:space="0" w:color="auto"/>
        </w:rPr>
        <w:t>officers</w:t>
      </w:r>
      <w:r w:rsidR="00A06254" w:rsidRPr="00CC39F5">
        <w:rPr>
          <w:rFonts w:ascii="Cambria" w:eastAsia="Times New Roman" w:hAnsi="Cambria"/>
          <w:sz w:val="20"/>
          <w:szCs w:val="20"/>
          <w:bdr w:val="none" w:sz="0" w:space="0" w:color="auto"/>
        </w:rPr>
        <w:t xml:space="preserve"> in </w:t>
      </w:r>
      <w:r w:rsidR="006B32E1" w:rsidRPr="00CC39F5">
        <w:rPr>
          <w:rFonts w:ascii="Cambria" w:eastAsia="Times New Roman" w:hAnsi="Cambria"/>
          <w:sz w:val="20"/>
          <w:szCs w:val="20"/>
          <w:bdr w:val="none" w:sz="0" w:space="0" w:color="auto"/>
        </w:rPr>
        <w:t xml:space="preserve">1992, </w:t>
      </w:r>
      <w:r w:rsidR="006D2F85" w:rsidRPr="00CC39F5">
        <w:rPr>
          <w:rFonts w:ascii="Cambria" w:eastAsia="Times New Roman" w:hAnsi="Cambria"/>
          <w:sz w:val="20"/>
          <w:szCs w:val="20"/>
          <w:bdr w:val="none" w:sz="0" w:space="0" w:color="auto"/>
        </w:rPr>
        <w:t xml:space="preserve">for the </w:t>
      </w:r>
      <w:r w:rsidR="00A06254" w:rsidRPr="00CC39F5">
        <w:rPr>
          <w:rFonts w:ascii="Cambria" w:eastAsia="Times New Roman" w:hAnsi="Cambria"/>
          <w:sz w:val="20"/>
          <w:szCs w:val="20"/>
          <w:bdr w:val="none" w:sz="0" w:space="0" w:color="auto"/>
        </w:rPr>
        <w:t xml:space="preserve">acts </w:t>
      </w:r>
      <w:r w:rsidR="00820E3C" w:rsidRPr="00CC39F5">
        <w:rPr>
          <w:rFonts w:ascii="Cambria" w:eastAsia="Times New Roman" w:hAnsi="Cambria"/>
          <w:sz w:val="20"/>
          <w:szCs w:val="20"/>
          <w:bdr w:val="none" w:sz="0" w:space="0" w:color="auto"/>
        </w:rPr>
        <w:t xml:space="preserve">of torture </w:t>
      </w:r>
      <w:r w:rsidR="006B5824" w:rsidRPr="00CC39F5">
        <w:rPr>
          <w:rFonts w:ascii="Cambria" w:eastAsia="Times New Roman" w:hAnsi="Cambria"/>
          <w:sz w:val="20"/>
          <w:szCs w:val="20"/>
          <w:bdr w:val="none" w:sz="0" w:space="0" w:color="auto"/>
        </w:rPr>
        <w:t>inflicted on</w:t>
      </w:r>
      <w:r w:rsidR="00820E3C" w:rsidRPr="00CC39F5">
        <w:rPr>
          <w:rFonts w:ascii="Cambria" w:eastAsia="Times New Roman" w:hAnsi="Cambria"/>
          <w:sz w:val="20"/>
          <w:szCs w:val="20"/>
          <w:bdr w:val="none" w:sz="0" w:space="0" w:color="auto"/>
        </w:rPr>
        <w:t xml:space="preserve"> him</w:t>
      </w:r>
      <w:r w:rsidR="00A06254" w:rsidRPr="00CC39F5">
        <w:rPr>
          <w:rFonts w:ascii="Cambria" w:eastAsia="Times New Roman" w:hAnsi="Cambria"/>
          <w:sz w:val="20"/>
          <w:szCs w:val="20"/>
          <w:bdr w:val="none" w:sz="0" w:space="0" w:color="auto"/>
        </w:rPr>
        <w:t xml:space="preserve">, and </w:t>
      </w:r>
      <w:r w:rsidR="006D2F85" w:rsidRPr="00CC39F5">
        <w:rPr>
          <w:rFonts w:ascii="Cambria" w:eastAsia="Times New Roman" w:hAnsi="Cambria"/>
          <w:sz w:val="20"/>
          <w:szCs w:val="20"/>
          <w:bdr w:val="none" w:sz="0" w:space="0" w:color="auto"/>
        </w:rPr>
        <w:t xml:space="preserve">for </w:t>
      </w:r>
      <w:r w:rsidR="00820E3C" w:rsidRPr="00CC39F5">
        <w:rPr>
          <w:rFonts w:ascii="Cambria" w:eastAsia="Times New Roman" w:hAnsi="Cambria"/>
          <w:sz w:val="20"/>
          <w:szCs w:val="20"/>
          <w:bdr w:val="none" w:sz="0" w:space="0" w:color="auto"/>
        </w:rPr>
        <w:t>the</w:t>
      </w:r>
      <w:r w:rsidR="00A06254" w:rsidRPr="00CC39F5">
        <w:rPr>
          <w:rFonts w:ascii="Cambria" w:eastAsia="Times New Roman" w:hAnsi="Cambria"/>
          <w:sz w:val="20"/>
          <w:szCs w:val="20"/>
          <w:bdr w:val="none" w:sz="0" w:space="0" w:color="auto"/>
        </w:rPr>
        <w:t xml:space="preserve"> lack of judicial protection in the criminal cases </w:t>
      </w:r>
      <w:r w:rsidR="006B5824" w:rsidRPr="00CC39F5">
        <w:rPr>
          <w:rFonts w:ascii="Cambria" w:eastAsia="Times New Roman" w:hAnsi="Cambria"/>
          <w:sz w:val="20"/>
          <w:szCs w:val="20"/>
          <w:bdr w:val="none" w:sz="0" w:space="0" w:color="auto"/>
        </w:rPr>
        <w:t>brought</w:t>
      </w:r>
      <w:r w:rsidR="00A06254" w:rsidRPr="00CC39F5">
        <w:rPr>
          <w:rFonts w:ascii="Cambria" w:eastAsia="Times New Roman" w:hAnsi="Cambria"/>
          <w:sz w:val="20"/>
          <w:szCs w:val="20"/>
          <w:bdr w:val="none" w:sz="0" w:space="0" w:color="auto"/>
        </w:rPr>
        <w:t xml:space="preserve"> against him</w:t>
      </w:r>
      <w:r w:rsidR="006B32E1" w:rsidRPr="00CC39F5">
        <w:rPr>
          <w:rFonts w:ascii="Cambria" w:eastAsia="Times New Roman" w:hAnsi="Cambria"/>
          <w:sz w:val="20"/>
          <w:szCs w:val="20"/>
          <w:bdr w:val="none" w:sz="0" w:space="0" w:color="auto"/>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6B32E1" w:rsidRPr="00CC39F5" w:rsidRDefault="003831A4"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The State alleged</w:t>
      </w:r>
      <w:r w:rsidR="00233E63" w:rsidRPr="00CC39F5">
        <w:rPr>
          <w:rFonts w:ascii="Cambria" w:eastAsia="Times New Roman" w:hAnsi="Cambria"/>
          <w:sz w:val="20"/>
          <w:szCs w:val="20"/>
          <w:bdr w:val="none" w:sz="0" w:space="0" w:color="auto"/>
        </w:rPr>
        <w:t xml:space="preserve"> that the case was</w:t>
      </w:r>
      <w:r w:rsidR="00DA40F2" w:rsidRPr="00CC39F5">
        <w:rPr>
          <w:rFonts w:ascii="Cambria" w:eastAsia="Times New Roman" w:hAnsi="Cambria"/>
          <w:sz w:val="20"/>
          <w:szCs w:val="20"/>
          <w:bdr w:val="none" w:sz="0" w:space="0" w:color="auto"/>
        </w:rPr>
        <w:t xml:space="preserve"> inadmissible inasmuch as Mr.</w:t>
      </w:r>
      <w:r w:rsidR="006B32E1" w:rsidRPr="00CC39F5">
        <w:rPr>
          <w:rFonts w:ascii="Cambria" w:eastAsia="Times New Roman" w:hAnsi="Cambria"/>
          <w:sz w:val="20"/>
          <w:szCs w:val="20"/>
          <w:bdr w:val="none" w:sz="0" w:space="0" w:color="auto"/>
        </w:rPr>
        <w:t xml:space="preserve"> Montesinos </w:t>
      </w:r>
      <w:r w:rsidR="003724EE" w:rsidRPr="00CC39F5">
        <w:rPr>
          <w:rFonts w:ascii="Cambria" w:eastAsia="Times New Roman" w:hAnsi="Cambria"/>
          <w:sz w:val="20"/>
          <w:szCs w:val="20"/>
          <w:bdr w:val="none" w:sz="0" w:space="0" w:color="auto"/>
        </w:rPr>
        <w:t xml:space="preserve">had </w:t>
      </w:r>
      <w:r w:rsidR="00DA40F2" w:rsidRPr="00CC39F5">
        <w:rPr>
          <w:rFonts w:ascii="Cambria" w:eastAsia="Times New Roman" w:hAnsi="Cambria"/>
          <w:sz w:val="20"/>
          <w:szCs w:val="20"/>
          <w:bdr w:val="none" w:sz="0" w:space="0" w:color="auto"/>
        </w:rPr>
        <w:t xml:space="preserve">failed to exhaust domestic remedies </w:t>
      </w:r>
      <w:r w:rsidR="003724EE" w:rsidRPr="00CC39F5">
        <w:rPr>
          <w:rFonts w:ascii="Cambria" w:eastAsia="Times New Roman" w:hAnsi="Cambria"/>
          <w:sz w:val="20"/>
          <w:szCs w:val="20"/>
          <w:bdr w:val="none" w:sz="0" w:space="0" w:color="auto"/>
        </w:rPr>
        <w:t>prior to lodging the</w:t>
      </w:r>
      <w:r w:rsidR="00DA40F2" w:rsidRPr="00CC39F5">
        <w:rPr>
          <w:rFonts w:ascii="Cambria" w:eastAsia="Times New Roman" w:hAnsi="Cambria"/>
          <w:sz w:val="20"/>
          <w:szCs w:val="20"/>
          <w:bdr w:val="none" w:sz="0" w:space="0" w:color="auto"/>
        </w:rPr>
        <w:t xml:space="preserve"> petition. It </w:t>
      </w:r>
      <w:r w:rsidRPr="00CC39F5">
        <w:rPr>
          <w:rFonts w:ascii="Cambria" w:eastAsia="Times New Roman" w:hAnsi="Cambria"/>
          <w:sz w:val="20"/>
          <w:szCs w:val="20"/>
          <w:bdr w:val="none" w:sz="0" w:space="0" w:color="auto"/>
        </w:rPr>
        <w:t>held</w:t>
      </w:r>
      <w:r w:rsidR="00DA40F2" w:rsidRPr="00CC39F5">
        <w:rPr>
          <w:rFonts w:ascii="Cambria" w:eastAsia="Times New Roman" w:hAnsi="Cambria"/>
          <w:sz w:val="20"/>
          <w:szCs w:val="20"/>
          <w:bdr w:val="none" w:sz="0" w:space="0" w:color="auto"/>
        </w:rPr>
        <w:t xml:space="preserve"> that the arrest was made in accordance with domestic law and that due process guarantees were respected during the criminal </w:t>
      </w:r>
      <w:r w:rsidRPr="00CC39F5">
        <w:rPr>
          <w:rFonts w:ascii="Cambria" w:eastAsia="Times New Roman" w:hAnsi="Cambria"/>
          <w:sz w:val="20"/>
          <w:szCs w:val="20"/>
          <w:bdr w:val="none" w:sz="0" w:space="0" w:color="auto"/>
        </w:rPr>
        <w:t>proceedings</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6B32E1" w:rsidRPr="00CC39F5" w:rsidRDefault="007E3B4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After examining the</w:t>
      </w:r>
      <w:r w:rsidR="00E05FCC" w:rsidRPr="00CC39F5">
        <w:rPr>
          <w:rFonts w:ascii="Cambria" w:eastAsia="Times New Roman" w:hAnsi="Cambria"/>
          <w:sz w:val="20"/>
          <w:szCs w:val="20"/>
          <w:bdr w:val="none" w:sz="0" w:space="0" w:color="auto"/>
        </w:rPr>
        <w:t xml:space="preserve"> points of fact and law presented by the parties,</w:t>
      </w:r>
      <w:r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the Commission</w:t>
      </w:r>
      <w:r w:rsidR="006B32E1" w:rsidRPr="00CC39F5">
        <w:rPr>
          <w:rFonts w:ascii="Cambria" w:eastAsia="Times New Roman" w:hAnsi="Cambria"/>
          <w:sz w:val="20"/>
          <w:szCs w:val="20"/>
          <w:bdr w:val="none" w:sz="0" w:space="0" w:color="auto"/>
        </w:rPr>
        <w:t xml:space="preserve"> </w:t>
      </w:r>
      <w:r w:rsidR="00643576" w:rsidRPr="00CC39F5">
        <w:rPr>
          <w:rFonts w:ascii="Cambria" w:eastAsia="Times New Roman" w:hAnsi="Cambria"/>
          <w:sz w:val="20"/>
          <w:szCs w:val="20"/>
          <w:bdr w:val="none" w:sz="0" w:space="0" w:color="auto"/>
        </w:rPr>
        <w:t>concludes</w:t>
      </w:r>
      <w:r w:rsidR="00617598" w:rsidRPr="00CC39F5">
        <w:rPr>
          <w:rFonts w:ascii="Cambria" w:eastAsia="Times New Roman" w:hAnsi="Cambria"/>
          <w:sz w:val="20"/>
          <w:szCs w:val="20"/>
          <w:bdr w:val="none" w:sz="0" w:space="0" w:color="auto"/>
        </w:rPr>
        <w:t xml:space="preserve"> that the State is responsible for violating the rights to humane treatment, personal liberty, a fair trial, and judicial protection set forth in</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Articles</w:t>
      </w:r>
      <w:r w:rsidR="00617598" w:rsidRPr="00CC39F5">
        <w:rPr>
          <w:rFonts w:ascii="Cambria" w:eastAsia="Times New Roman" w:hAnsi="Cambria"/>
          <w:sz w:val="20"/>
          <w:szCs w:val="20"/>
          <w:bdr w:val="none" w:sz="0" w:space="0" w:color="auto"/>
        </w:rPr>
        <w:t xml:space="preserve"> 5(</w:t>
      </w:r>
      <w:r w:rsidR="006B32E1" w:rsidRPr="00CC39F5">
        <w:rPr>
          <w:rFonts w:ascii="Cambria" w:eastAsia="Times New Roman" w:hAnsi="Cambria"/>
          <w:sz w:val="20"/>
          <w:szCs w:val="20"/>
          <w:bdr w:val="none" w:sz="0" w:space="0" w:color="auto"/>
        </w:rPr>
        <w:t>1</w:t>
      </w:r>
      <w:r w:rsidR="00617598" w:rsidRPr="00CC39F5">
        <w:rPr>
          <w:rFonts w:ascii="Cambria" w:eastAsia="Times New Roman" w:hAnsi="Cambria"/>
          <w:sz w:val="20"/>
          <w:szCs w:val="20"/>
          <w:bdr w:val="none" w:sz="0" w:space="0" w:color="auto"/>
        </w:rPr>
        <w:t>), 5(2), 7(</w:t>
      </w:r>
      <w:r w:rsidR="006B32E1" w:rsidRPr="00CC39F5">
        <w:rPr>
          <w:rFonts w:ascii="Cambria" w:eastAsia="Times New Roman" w:hAnsi="Cambria"/>
          <w:sz w:val="20"/>
          <w:szCs w:val="20"/>
          <w:bdr w:val="none" w:sz="0" w:space="0" w:color="auto"/>
        </w:rPr>
        <w:t>1</w:t>
      </w:r>
      <w:r w:rsidR="00617598" w:rsidRPr="00CC39F5">
        <w:rPr>
          <w:rFonts w:ascii="Cambria" w:eastAsia="Times New Roman" w:hAnsi="Cambria"/>
          <w:sz w:val="20"/>
          <w:szCs w:val="20"/>
          <w:bdr w:val="none" w:sz="0" w:space="0" w:color="auto"/>
        </w:rPr>
        <w:t>), 7(</w:t>
      </w:r>
      <w:r w:rsidR="006B32E1" w:rsidRPr="00CC39F5">
        <w:rPr>
          <w:rFonts w:ascii="Cambria" w:eastAsia="Times New Roman" w:hAnsi="Cambria"/>
          <w:sz w:val="20"/>
          <w:szCs w:val="20"/>
          <w:bdr w:val="none" w:sz="0" w:space="0" w:color="auto"/>
        </w:rPr>
        <w:t>2</w:t>
      </w:r>
      <w:r w:rsidR="00617598" w:rsidRPr="00CC39F5">
        <w:rPr>
          <w:rFonts w:ascii="Cambria" w:eastAsia="Times New Roman" w:hAnsi="Cambria"/>
          <w:sz w:val="20"/>
          <w:szCs w:val="20"/>
          <w:bdr w:val="none" w:sz="0" w:space="0" w:color="auto"/>
        </w:rPr>
        <w:t>), 7(</w:t>
      </w:r>
      <w:r w:rsidR="006B32E1" w:rsidRPr="00CC39F5">
        <w:rPr>
          <w:rFonts w:ascii="Cambria" w:eastAsia="Times New Roman" w:hAnsi="Cambria"/>
          <w:sz w:val="20"/>
          <w:szCs w:val="20"/>
          <w:bdr w:val="none" w:sz="0" w:space="0" w:color="auto"/>
        </w:rPr>
        <w:t>3</w:t>
      </w:r>
      <w:r w:rsidR="00617598" w:rsidRPr="00CC39F5">
        <w:rPr>
          <w:rFonts w:ascii="Cambria" w:eastAsia="Times New Roman" w:hAnsi="Cambria"/>
          <w:sz w:val="20"/>
          <w:szCs w:val="20"/>
          <w:bdr w:val="none" w:sz="0" w:space="0" w:color="auto"/>
        </w:rPr>
        <w:t>), 7(</w:t>
      </w:r>
      <w:r w:rsidR="006B32E1" w:rsidRPr="00CC39F5">
        <w:rPr>
          <w:rFonts w:ascii="Cambria" w:eastAsia="Times New Roman" w:hAnsi="Cambria"/>
          <w:sz w:val="20"/>
          <w:szCs w:val="20"/>
          <w:bdr w:val="none" w:sz="0" w:space="0" w:color="auto"/>
        </w:rPr>
        <w:t>4</w:t>
      </w:r>
      <w:r w:rsidR="00617598" w:rsidRPr="00CC39F5">
        <w:rPr>
          <w:rFonts w:ascii="Cambria" w:eastAsia="Times New Roman" w:hAnsi="Cambria"/>
          <w:sz w:val="20"/>
          <w:szCs w:val="20"/>
          <w:bdr w:val="none" w:sz="0" w:space="0" w:color="auto"/>
        </w:rPr>
        <w:t>), 7(</w:t>
      </w:r>
      <w:r w:rsidR="006B32E1" w:rsidRPr="00CC39F5">
        <w:rPr>
          <w:rFonts w:ascii="Cambria" w:eastAsia="Times New Roman" w:hAnsi="Cambria"/>
          <w:sz w:val="20"/>
          <w:szCs w:val="20"/>
          <w:bdr w:val="none" w:sz="0" w:space="0" w:color="auto"/>
        </w:rPr>
        <w:t>5</w:t>
      </w:r>
      <w:r w:rsidR="00617598" w:rsidRPr="00CC39F5">
        <w:rPr>
          <w:rFonts w:ascii="Cambria" w:eastAsia="Times New Roman" w:hAnsi="Cambria"/>
          <w:sz w:val="20"/>
          <w:szCs w:val="20"/>
          <w:bdr w:val="none" w:sz="0" w:space="0" w:color="auto"/>
        </w:rPr>
        <w:t>), 7(</w:t>
      </w:r>
      <w:r w:rsidR="006B32E1" w:rsidRPr="00CC39F5">
        <w:rPr>
          <w:rFonts w:ascii="Cambria" w:eastAsia="Times New Roman" w:hAnsi="Cambria"/>
          <w:sz w:val="20"/>
          <w:szCs w:val="20"/>
          <w:bdr w:val="none" w:sz="0" w:space="0" w:color="auto"/>
        </w:rPr>
        <w:t>6</w:t>
      </w:r>
      <w:r w:rsidR="00617598" w:rsidRPr="00CC39F5">
        <w:rPr>
          <w:rFonts w:ascii="Cambria" w:eastAsia="Times New Roman" w:hAnsi="Cambria"/>
          <w:sz w:val="20"/>
          <w:szCs w:val="20"/>
          <w:bdr w:val="none" w:sz="0" w:space="0" w:color="auto"/>
        </w:rPr>
        <w:t>), 8(</w:t>
      </w:r>
      <w:r w:rsidR="006B32E1" w:rsidRPr="00CC39F5">
        <w:rPr>
          <w:rFonts w:ascii="Cambria" w:eastAsia="Times New Roman" w:hAnsi="Cambria"/>
          <w:sz w:val="20"/>
          <w:szCs w:val="20"/>
          <w:bdr w:val="none" w:sz="0" w:space="0" w:color="auto"/>
        </w:rPr>
        <w:t>1</w:t>
      </w:r>
      <w:r w:rsidR="00617598" w:rsidRPr="00CC39F5">
        <w:rPr>
          <w:rFonts w:ascii="Cambria" w:eastAsia="Times New Roman" w:hAnsi="Cambria"/>
          <w:sz w:val="20"/>
          <w:szCs w:val="20"/>
          <w:bdr w:val="none" w:sz="0" w:space="0" w:color="auto"/>
        </w:rPr>
        <w:t>), 8(</w:t>
      </w:r>
      <w:r w:rsidR="006B32E1" w:rsidRPr="00CC39F5">
        <w:rPr>
          <w:rFonts w:ascii="Cambria" w:eastAsia="Times New Roman" w:hAnsi="Cambria"/>
          <w:sz w:val="20"/>
          <w:szCs w:val="20"/>
          <w:bdr w:val="none" w:sz="0" w:space="0" w:color="auto"/>
        </w:rPr>
        <w:t>2</w:t>
      </w:r>
      <w:r w:rsidR="00617598" w:rsidRPr="00CC39F5">
        <w:rPr>
          <w:rFonts w:ascii="Cambria" w:eastAsia="Times New Roman" w:hAnsi="Cambria"/>
          <w:sz w:val="20"/>
          <w:szCs w:val="20"/>
          <w:bdr w:val="none" w:sz="0" w:space="0" w:color="auto"/>
        </w:rPr>
        <w:t>), 8(</w:t>
      </w:r>
      <w:r w:rsidR="006B32E1" w:rsidRPr="00CC39F5">
        <w:rPr>
          <w:rFonts w:ascii="Cambria" w:eastAsia="Times New Roman" w:hAnsi="Cambria"/>
          <w:sz w:val="20"/>
          <w:szCs w:val="20"/>
          <w:bdr w:val="none" w:sz="0" w:space="0" w:color="auto"/>
        </w:rPr>
        <w:t>2</w:t>
      </w:r>
      <w:r w:rsidR="00617598" w:rsidRPr="00CC39F5">
        <w:rPr>
          <w:rFonts w:ascii="Cambria" w:eastAsia="Times New Roman" w:hAnsi="Cambria"/>
          <w:sz w:val="20"/>
          <w:szCs w:val="20"/>
          <w:bdr w:val="none" w:sz="0" w:space="0" w:color="auto"/>
        </w:rPr>
        <w:t>)(d), 8(</w:t>
      </w:r>
      <w:r w:rsidR="006B32E1" w:rsidRPr="00CC39F5">
        <w:rPr>
          <w:rFonts w:ascii="Cambria" w:eastAsia="Times New Roman" w:hAnsi="Cambria"/>
          <w:sz w:val="20"/>
          <w:szCs w:val="20"/>
          <w:bdr w:val="none" w:sz="0" w:space="0" w:color="auto"/>
        </w:rPr>
        <w:t>3</w:t>
      </w:r>
      <w:r w:rsidR="00617598" w:rsidRPr="00CC39F5">
        <w:rPr>
          <w:rFonts w:ascii="Cambria" w:eastAsia="Times New Roman" w:hAnsi="Cambria"/>
          <w:sz w:val="20"/>
          <w:szCs w:val="20"/>
          <w:bdr w:val="none" w:sz="0" w:space="0" w:color="auto"/>
        </w:rPr>
        <w:t>), 24, 25(</w:t>
      </w:r>
      <w:r w:rsidR="006B32E1" w:rsidRPr="00CC39F5">
        <w:rPr>
          <w:rFonts w:ascii="Cambria" w:eastAsia="Times New Roman" w:hAnsi="Cambria"/>
          <w:sz w:val="20"/>
          <w:szCs w:val="20"/>
          <w:bdr w:val="none" w:sz="0" w:space="0" w:color="auto"/>
        </w:rPr>
        <w:t>1</w:t>
      </w:r>
      <w:r w:rsidR="00617598" w:rsidRPr="00CC39F5">
        <w:rPr>
          <w:rFonts w:ascii="Cambria" w:eastAsia="Times New Roman" w:hAnsi="Cambria"/>
          <w:sz w:val="20"/>
          <w:szCs w:val="20"/>
          <w:bdr w:val="none" w:sz="0" w:space="0" w:color="auto"/>
        </w:rPr>
        <w:t>), and 25(</w:t>
      </w:r>
      <w:r w:rsidR="006B32E1" w:rsidRPr="00CC39F5">
        <w:rPr>
          <w:rFonts w:ascii="Cambria" w:eastAsia="Times New Roman" w:hAnsi="Cambria"/>
          <w:sz w:val="20"/>
          <w:szCs w:val="20"/>
          <w:bdr w:val="none" w:sz="0" w:space="0" w:color="auto"/>
        </w:rPr>
        <w:t>2</w:t>
      </w:r>
      <w:r w:rsidR="00617598" w:rsidRPr="00CC39F5">
        <w:rPr>
          <w:rFonts w:ascii="Cambria" w:eastAsia="Times New Roman" w:hAnsi="Cambria"/>
          <w:sz w:val="20"/>
          <w:szCs w:val="20"/>
          <w:bdr w:val="none" w:sz="0" w:space="0" w:color="auto"/>
        </w:rPr>
        <w:t>)(</w:t>
      </w:r>
      <w:r w:rsidR="006B32E1" w:rsidRPr="00CC39F5">
        <w:rPr>
          <w:rFonts w:ascii="Cambria" w:eastAsia="Times New Roman" w:hAnsi="Cambria"/>
          <w:sz w:val="20"/>
          <w:szCs w:val="20"/>
          <w:bdr w:val="none" w:sz="0" w:space="0" w:color="auto"/>
        </w:rPr>
        <w:t xml:space="preserve">c) </w:t>
      </w:r>
      <w:r w:rsidR="00617598" w:rsidRPr="00CC39F5">
        <w:rPr>
          <w:rFonts w:ascii="Cambria" w:eastAsia="Times New Roman" w:hAnsi="Cambria"/>
          <w:sz w:val="20"/>
          <w:szCs w:val="20"/>
          <w:bdr w:val="none" w:sz="0" w:space="0" w:color="auto"/>
        </w:rPr>
        <w:t>of the American Convention on Human Rights</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hereinafter,</w:t>
      </w:r>
      <w:r w:rsidR="006B32E1" w:rsidRPr="00CC39F5">
        <w:rPr>
          <w:rFonts w:ascii="Cambria" w:eastAsia="Times New Roman" w:hAnsi="Cambria"/>
          <w:sz w:val="20"/>
          <w:szCs w:val="20"/>
          <w:bdr w:val="none" w:sz="0" w:space="0" w:color="auto"/>
        </w:rPr>
        <w:t xml:space="preserve"> “</w:t>
      </w:r>
      <w:r w:rsidR="00617598" w:rsidRPr="00CC39F5">
        <w:rPr>
          <w:rFonts w:ascii="Cambria" w:eastAsia="Times New Roman" w:hAnsi="Cambria"/>
          <w:sz w:val="20"/>
          <w:szCs w:val="20"/>
          <w:bdr w:val="none" w:sz="0" w:space="0" w:color="auto"/>
        </w:rPr>
        <w:t>the American Convention</w:t>
      </w:r>
      <w:r w:rsidR="006B32E1" w:rsidRPr="00CC39F5">
        <w:rPr>
          <w:rFonts w:ascii="Cambria" w:eastAsia="Times New Roman" w:hAnsi="Cambria"/>
          <w:sz w:val="20"/>
          <w:szCs w:val="20"/>
          <w:bdr w:val="none" w:sz="0" w:space="0" w:color="auto"/>
        </w:rPr>
        <w:t>” o</w:t>
      </w:r>
      <w:r w:rsidR="00617598" w:rsidRPr="00CC39F5">
        <w:rPr>
          <w:rFonts w:ascii="Cambria" w:eastAsia="Times New Roman" w:hAnsi="Cambria"/>
          <w:sz w:val="20"/>
          <w:szCs w:val="20"/>
          <w:bdr w:val="none" w:sz="0" w:space="0" w:color="auto"/>
        </w:rPr>
        <w:t>r</w:t>
      </w:r>
      <w:r w:rsidR="006B32E1" w:rsidRPr="00CC39F5">
        <w:rPr>
          <w:rFonts w:ascii="Cambria" w:eastAsia="Times New Roman" w:hAnsi="Cambria"/>
          <w:sz w:val="20"/>
          <w:szCs w:val="20"/>
          <w:bdr w:val="none" w:sz="0" w:space="0" w:color="auto"/>
        </w:rPr>
        <w:t xml:space="preserve"> “</w:t>
      </w:r>
      <w:r w:rsidR="00617598" w:rsidRPr="00CC39F5">
        <w:rPr>
          <w:rFonts w:ascii="Cambria" w:eastAsia="Times New Roman" w:hAnsi="Cambria"/>
          <w:sz w:val="20"/>
          <w:szCs w:val="20"/>
          <w:bdr w:val="none" w:sz="0" w:space="0" w:color="auto"/>
        </w:rPr>
        <w:t>the Convention</w:t>
      </w:r>
      <w:r w:rsidR="006B32E1" w:rsidRPr="00CC39F5">
        <w:rPr>
          <w:rFonts w:ascii="Cambria" w:eastAsia="Times New Roman" w:hAnsi="Cambria"/>
          <w:sz w:val="20"/>
          <w:szCs w:val="20"/>
          <w:bdr w:val="none" w:sz="0" w:space="0" w:color="auto"/>
        </w:rPr>
        <w:t xml:space="preserve">”) </w:t>
      </w:r>
      <w:r w:rsidR="00617598" w:rsidRPr="00CC39F5">
        <w:rPr>
          <w:rFonts w:ascii="Cambria" w:eastAsia="Times New Roman" w:hAnsi="Cambria"/>
          <w:sz w:val="20"/>
          <w:szCs w:val="20"/>
          <w:bdr w:val="none" w:sz="0" w:space="0" w:color="auto"/>
        </w:rPr>
        <w:t>in connection with</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Articles</w:t>
      </w:r>
      <w:r w:rsidR="00617598" w:rsidRPr="00CC39F5">
        <w:rPr>
          <w:rFonts w:ascii="Cambria" w:eastAsia="Times New Roman" w:hAnsi="Cambria"/>
          <w:sz w:val="20"/>
          <w:szCs w:val="20"/>
          <w:bdr w:val="none" w:sz="0" w:space="0" w:color="auto"/>
        </w:rPr>
        <w:t xml:space="preserve"> 1(</w:t>
      </w:r>
      <w:r w:rsidR="006B32E1" w:rsidRPr="00CC39F5">
        <w:rPr>
          <w:rFonts w:ascii="Cambria" w:eastAsia="Times New Roman" w:hAnsi="Cambria"/>
          <w:sz w:val="20"/>
          <w:szCs w:val="20"/>
          <w:bdr w:val="none" w:sz="0" w:space="0" w:color="auto"/>
        </w:rPr>
        <w:t>1</w:t>
      </w:r>
      <w:r w:rsidR="00617598" w:rsidRPr="00CC39F5">
        <w:rPr>
          <w:rFonts w:ascii="Cambria" w:eastAsia="Times New Roman" w:hAnsi="Cambria"/>
          <w:sz w:val="20"/>
          <w:szCs w:val="20"/>
          <w:bdr w:val="none" w:sz="0" w:space="0" w:color="auto"/>
        </w:rPr>
        <w:t>) and</w:t>
      </w:r>
      <w:r w:rsidR="006B32E1" w:rsidRPr="00CC39F5">
        <w:rPr>
          <w:rFonts w:ascii="Cambria" w:eastAsia="Times New Roman" w:hAnsi="Cambria"/>
          <w:sz w:val="20"/>
          <w:szCs w:val="20"/>
          <w:bdr w:val="none" w:sz="0" w:space="0" w:color="auto"/>
        </w:rPr>
        <w:t xml:space="preserve"> 2</w:t>
      </w:r>
      <w:r w:rsidR="00617598" w:rsidRPr="00CC39F5">
        <w:rPr>
          <w:rFonts w:ascii="Cambria" w:eastAsia="Times New Roman" w:hAnsi="Cambria"/>
          <w:sz w:val="20"/>
          <w:szCs w:val="20"/>
          <w:bdr w:val="none" w:sz="0" w:space="0" w:color="auto"/>
        </w:rPr>
        <w:t xml:space="preserve"> thereof</w:t>
      </w:r>
      <w:r w:rsidR="00FF2031" w:rsidRPr="00CC39F5">
        <w:rPr>
          <w:rFonts w:ascii="Cambria" w:eastAsia="Times New Roman" w:hAnsi="Cambria"/>
          <w:sz w:val="20"/>
          <w:szCs w:val="20"/>
          <w:bdr w:val="none" w:sz="0" w:space="0" w:color="auto"/>
        </w:rPr>
        <w:t>,</w:t>
      </w:r>
      <w:r w:rsidR="00617598" w:rsidRPr="00CC39F5">
        <w:rPr>
          <w:rFonts w:ascii="Cambria" w:eastAsia="Times New Roman" w:hAnsi="Cambria"/>
          <w:sz w:val="20"/>
          <w:szCs w:val="20"/>
          <w:bdr w:val="none" w:sz="0" w:space="0" w:color="auto"/>
        </w:rPr>
        <w:t xml:space="preserve"> to the detriment of</w:t>
      </w:r>
      <w:r w:rsidR="006B32E1" w:rsidRPr="00CC39F5">
        <w:rPr>
          <w:rFonts w:ascii="Cambria" w:eastAsia="Times New Roman" w:hAnsi="Cambria"/>
          <w:sz w:val="20"/>
          <w:szCs w:val="20"/>
          <w:bdr w:val="none" w:sz="0" w:space="0" w:color="auto"/>
        </w:rPr>
        <w:t xml:space="preserve"> Mario Montesinos Mejía.</w:t>
      </w:r>
      <w:r w:rsidR="007A56E9" w:rsidRPr="00CC39F5">
        <w:rPr>
          <w:rFonts w:ascii="Cambria" w:eastAsia="Times New Roman" w:hAnsi="Cambria"/>
          <w:sz w:val="20"/>
          <w:szCs w:val="20"/>
          <w:bdr w:val="none" w:sz="0" w:space="0" w:color="auto"/>
        </w:rPr>
        <w:t xml:space="preserve"> T</w:t>
      </w:r>
      <w:r w:rsidR="006346D2" w:rsidRPr="00CC39F5">
        <w:rPr>
          <w:rFonts w:ascii="Cambria" w:eastAsia="Times New Roman" w:hAnsi="Cambria"/>
          <w:sz w:val="20"/>
          <w:szCs w:val="20"/>
          <w:bdr w:val="none" w:sz="0" w:space="0" w:color="auto"/>
        </w:rPr>
        <w:t>he Commission</w:t>
      </w:r>
      <w:r w:rsidR="007A56E9" w:rsidRPr="00CC39F5">
        <w:rPr>
          <w:rFonts w:ascii="Cambria" w:eastAsia="Times New Roman" w:hAnsi="Cambria"/>
          <w:sz w:val="20"/>
          <w:szCs w:val="20"/>
          <w:bdr w:val="none" w:sz="0" w:space="0" w:color="auto"/>
        </w:rPr>
        <w:t xml:space="preserve"> </w:t>
      </w:r>
      <w:r w:rsidR="00643576" w:rsidRPr="00CC39F5">
        <w:rPr>
          <w:rFonts w:ascii="Cambria" w:eastAsia="Times New Roman" w:hAnsi="Cambria"/>
          <w:sz w:val="20"/>
          <w:szCs w:val="20"/>
          <w:bdr w:val="none" w:sz="0" w:space="0" w:color="auto"/>
        </w:rPr>
        <w:t>further concludes</w:t>
      </w:r>
      <w:r w:rsidR="007A56E9" w:rsidRPr="00CC39F5">
        <w:rPr>
          <w:rFonts w:ascii="Cambria" w:eastAsia="Times New Roman" w:hAnsi="Cambria"/>
          <w:sz w:val="20"/>
          <w:szCs w:val="20"/>
          <w:bdr w:val="none" w:sz="0" w:space="0" w:color="auto"/>
        </w:rPr>
        <w:t xml:space="preserve"> that the State is responsible for the violation of</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Articles</w:t>
      </w:r>
      <w:r w:rsidR="00FF2031" w:rsidRPr="00CC39F5">
        <w:rPr>
          <w:rFonts w:ascii="Cambria" w:eastAsia="Times New Roman" w:hAnsi="Cambria"/>
          <w:sz w:val="20"/>
          <w:szCs w:val="20"/>
          <w:bdr w:val="none" w:sz="0" w:space="0" w:color="auto"/>
        </w:rPr>
        <w:t> </w:t>
      </w:r>
      <w:r w:rsidR="006B32E1" w:rsidRPr="00CC39F5">
        <w:rPr>
          <w:rFonts w:ascii="Cambria" w:eastAsia="Times New Roman" w:hAnsi="Cambria"/>
          <w:sz w:val="20"/>
          <w:szCs w:val="20"/>
          <w:bdr w:val="none" w:sz="0" w:space="0" w:color="auto"/>
        </w:rPr>
        <w:t>1, 6</w:t>
      </w:r>
      <w:r w:rsidR="007A56E9" w:rsidRPr="00CC39F5">
        <w:rPr>
          <w:rFonts w:ascii="Cambria" w:eastAsia="Times New Roman" w:hAnsi="Cambria"/>
          <w:sz w:val="20"/>
          <w:szCs w:val="20"/>
          <w:bdr w:val="none" w:sz="0" w:space="0" w:color="auto"/>
        </w:rPr>
        <w:t>, and</w:t>
      </w:r>
      <w:r w:rsidR="006B32E1" w:rsidRPr="00CC39F5">
        <w:rPr>
          <w:rFonts w:ascii="Cambria" w:eastAsia="Times New Roman" w:hAnsi="Cambria"/>
          <w:sz w:val="20"/>
          <w:szCs w:val="20"/>
          <w:bdr w:val="none" w:sz="0" w:space="0" w:color="auto"/>
        </w:rPr>
        <w:t xml:space="preserve"> 8 </w:t>
      </w:r>
      <w:r w:rsidR="007A56E9" w:rsidRPr="00CC39F5">
        <w:rPr>
          <w:rFonts w:ascii="Cambria" w:eastAsia="Times New Roman" w:hAnsi="Cambria"/>
          <w:sz w:val="20"/>
          <w:szCs w:val="20"/>
          <w:bdr w:val="none" w:sz="0" w:space="0" w:color="auto"/>
        </w:rPr>
        <w:t>of the Inter-American Convention to Prevent and Punish Torture</w:t>
      </w:r>
      <w:r w:rsidR="006B32E1" w:rsidRPr="00CC39F5">
        <w:rPr>
          <w:rFonts w:ascii="Cambria" w:eastAsia="Times New Roman" w:hAnsi="Cambria"/>
          <w:sz w:val="20"/>
          <w:szCs w:val="20"/>
          <w:bdr w:val="none" w:sz="0" w:space="0" w:color="auto"/>
        </w:rPr>
        <w:t xml:space="preserve"> (</w:t>
      </w:r>
      <w:r w:rsidR="006346D2" w:rsidRPr="00CC39F5">
        <w:rPr>
          <w:rFonts w:ascii="Cambria" w:eastAsia="Times New Roman" w:hAnsi="Cambria"/>
          <w:sz w:val="20"/>
          <w:szCs w:val="20"/>
          <w:bdr w:val="none" w:sz="0" w:space="0" w:color="auto"/>
        </w:rPr>
        <w:t>hereinafter,</w:t>
      </w:r>
      <w:r w:rsidR="006B32E1" w:rsidRPr="00CC39F5">
        <w:rPr>
          <w:rFonts w:ascii="Cambria" w:eastAsia="Times New Roman" w:hAnsi="Cambria"/>
          <w:sz w:val="20"/>
          <w:szCs w:val="20"/>
          <w:bdr w:val="none" w:sz="0" w:space="0" w:color="auto"/>
        </w:rPr>
        <w:t xml:space="preserve"> “</w:t>
      </w:r>
      <w:r w:rsidR="007A56E9" w:rsidRPr="00CC39F5">
        <w:rPr>
          <w:rFonts w:ascii="Cambria" w:eastAsia="Times New Roman" w:hAnsi="Cambria"/>
          <w:sz w:val="20"/>
          <w:szCs w:val="20"/>
          <w:bdr w:val="none" w:sz="0" w:space="0" w:color="auto"/>
        </w:rPr>
        <w:t>the IACPPT</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6B32E1" w:rsidRPr="00CC39F5" w:rsidRDefault="007A56E9" w:rsidP="006B32E1">
      <w:pPr>
        <w:pStyle w:val="Heading1"/>
      </w:pPr>
      <w:bookmarkStart w:id="3" w:name="_Toc495584783"/>
      <w:r w:rsidRPr="00CC39F5">
        <w:t>PROCEEDINGS BEFORE THE COMMISSION</w:t>
      </w:r>
      <w:bookmarkEnd w:id="3"/>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6B32E1" w:rsidRPr="00CC39F5" w:rsidRDefault="0058025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The IACHR received the initial petition</w:t>
      </w:r>
      <w:r w:rsidR="000411D7" w:rsidRPr="00CC39F5">
        <w:rPr>
          <w:rFonts w:ascii="Cambria" w:eastAsia="Times New Roman" w:hAnsi="Cambria"/>
          <w:sz w:val="20"/>
          <w:szCs w:val="20"/>
          <w:bdr w:val="none" w:sz="0" w:space="0" w:color="auto"/>
        </w:rPr>
        <w:t xml:space="preserve"> on August 30,</w:t>
      </w:r>
      <w:r w:rsidR="006B32E1" w:rsidRPr="00CC39F5">
        <w:rPr>
          <w:rFonts w:ascii="Cambria" w:eastAsia="Times New Roman" w:hAnsi="Cambria"/>
          <w:sz w:val="20"/>
          <w:szCs w:val="20"/>
          <w:bdr w:val="none" w:sz="0" w:space="0" w:color="auto"/>
        </w:rPr>
        <w:t xml:space="preserve"> 1996. </w:t>
      </w:r>
      <w:r w:rsidR="000411D7" w:rsidRPr="00CC39F5">
        <w:rPr>
          <w:rFonts w:ascii="Cambria" w:eastAsia="Times New Roman" w:hAnsi="Cambria"/>
          <w:sz w:val="20"/>
          <w:szCs w:val="20"/>
          <w:bdr w:val="none" w:sz="0" w:space="0" w:color="auto"/>
        </w:rPr>
        <w:t>On September</w:t>
      </w:r>
      <w:r w:rsidR="006B32E1" w:rsidRPr="00CC39F5">
        <w:rPr>
          <w:rFonts w:ascii="Cambria" w:eastAsia="Times New Roman" w:hAnsi="Cambria"/>
          <w:sz w:val="20"/>
          <w:szCs w:val="20"/>
          <w:bdr w:val="none" w:sz="0" w:space="0" w:color="auto"/>
        </w:rPr>
        <w:t xml:space="preserve"> 24</w:t>
      </w:r>
      <w:r w:rsidR="000411D7" w:rsidRPr="00CC39F5">
        <w:rPr>
          <w:rFonts w:ascii="Cambria" w:eastAsia="Times New Roman" w:hAnsi="Cambria"/>
          <w:sz w:val="20"/>
          <w:szCs w:val="20"/>
          <w:bdr w:val="none" w:sz="0" w:space="0" w:color="auto"/>
        </w:rPr>
        <w:t>,</w:t>
      </w:r>
      <w:r w:rsidR="006B32E1" w:rsidRPr="00CC39F5">
        <w:rPr>
          <w:rFonts w:ascii="Cambria" w:eastAsia="Times New Roman" w:hAnsi="Cambria"/>
          <w:sz w:val="20"/>
          <w:szCs w:val="20"/>
          <w:bdr w:val="none" w:sz="0" w:space="0" w:color="auto"/>
        </w:rPr>
        <w:t xml:space="preserve"> 1996 </w:t>
      </w:r>
      <w:r w:rsidR="006346D2" w:rsidRPr="00CC39F5">
        <w:rPr>
          <w:rFonts w:ascii="Cambria" w:eastAsia="Times New Roman" w:hAnsi="Cambria"/>
          <w:sz w:val="20"/>
          <w:szCs w:val="20"/>
          <w:bdr w:val="none" w:sz="0" w:space="0" w:color="auto"/>
        </w:rPr>
        <w:t>the Commission</w:t>
      </w:r>
      <w:r w:rsidR="006B32E1" w:rsidRPr="00CC39F5">
        <w:rPr>
          <w:rFonts w:ascii="Cambria" w:eastAsia="Times New Roman" w:hAnsi="Cambria"/>
          <w:sz w:val="20"/>
          <w:szCs w:val="20"/>
          <w:bdr w:val="none" w:sz="0" w:space="0" w:color="auto"/>
        </w:rPr>
        <w:t xml:space="preserve"> </w:t>
      </w:r>
      <w:r w:rsidR="000411D7" w:rsidRPr="00CC39F5">
        <w:rPr>
          <w:rFonts w:ascii="Cambria" w:eastAsia="Times New Roman" w:hAnsi="Cambria"/>
          <w:sz w:val="20"/>
          <w:szCs w:val="20"/>
          <w:bdr w:val="none" w:sz="0" w:space="0" w:color="auto"/>
        </w:rPr>
        <w:t>forwarded the petition to the State</w:t>
      </w:r>
      <w:r w:rsidR="00A92F06" w:rsidRPr="00CC39F5">
        <w:rPr>
          <w:rFonts w:ascii="Cambria" w:eastAsia="Times New Roman" w:hAnsi="Cambria"/>
          <w:sz w:val="20"/>
          <w:szCs w:val="20"/>
          <w:bdr w:val="none" w:sz="0" w:space="0" w:color="auto"/>
        </w:rPr>
        <w:t>,</w:t>
      </w:r>
      <w:r w:rsidR="000411D7" w:rsidRPr="00CC39F5">
        <w:rPr>
          <w:rFonts w:ascii="Cambria" w:eastAsia="Times New Roman" w:hAnsi="Cambria"/>
          <w:sz w:val="20"/>
          <w:szCs w:val="20"/>
          <w:bdr w:val="none" w:sz="0" w:space="0" w:color="auto"/>
        </w:rPr>
        <w:t xml:space="preserve"> </w:t>
      </w:r>
      <w:r w:rsidR="00A92F06" w:rsidRPr="00CC39F5">
        <w:rPr>
          <w:rFonts w:ascii="Cambria" w:eastAsia="Times New Roman" w:hAnsi="Cambria"/>
          <w:sz w:val="20"/>
          <w:szCs w:val="20"/>
          <w:bdr w:val="none" w:sz="0" w:space="0" w:color="auto"/>
        </w:rPr>
        <w:t>requesting</w:t>
      </w:r>
      <w:r w:rsidR="000411D7" w:rsidRPr="00CC39F5">
        <w:rPr>
          <w:rFonts w:ascii="Cambria" w:eastAsia="Times New Roman" w:hAnsi="Cambria"/>
          <w:sz w:val="20"/>
          <w:szCs w:val="20"/>
          <w:bdr w:val="none" w:sz="0" w:space="0" w:color="auto"/>
        </w:rPr>
        <w:t xml:space="preserve"> that it submit its observations on admissibility within ninety days</w:t>
      </w:r>
      <w:r w:rsidR="006B32E1" w:rsidRPr="00CC39F5">
        <w:rPr>
          <w:rFonts w:ascii="Cambria" w:eastAsia="Times New Roman" w:hAnsi="Cambria"/>
          <w:sz w:val="20"/>
          <w:szCs w:val="20"/>
          <w:bdr w:val="none" w:sz="0" w:space="0" w:color="auto"/>
        </w:rPr>
        <w:t xml:space="preserve">. </w:t>
      </w:r>
      <w:r w:rsidR="000411D7" w:rsidRPr="00CC39F5">
        <w:rPr>
          <w:rFonts w:ascii="Cambria" w:eastAsia="Times New Roman" w:hAnsi="Cambria"/>
          <w:sz w:val="20"/>
          <w:szCs w:val="20"/>
          <w:bdr w:val="none" w:sz="0" w:space="0" w:color="auto"/>
        </w:rPr>
        <w:t xml:space="preserve">The State presented its comments on December 10 of that year. </w:t>
      </w:r>
      <w:r w:rsidR="00217094" w:rsidRPr="00CC39F5">
        <w:rPr>
          <w:rFonts w:ascii="Cambria" w:eastAsia="Times New Roman" w:hAnsi="Cambria"/>
          <w:sz w:val="20"/>
          <w:szCs w:val="20"/>
          <w:bdr w:val="none" w:sz="0" w:space="0" w:color="auto"/>
        </w:rPr>
        <w:t>The</w:t>
      </w:r>
      <w:r w:rsidR="002530B6" w:rsidRPr="00CC39F5">
        <w:rPr>
          <w:rFonts w:ascii="Cambria" w:eastAsia="Times New Roman" w:hAnsi="Cambria"/>
          <w:sz w:val="20"/>
          <w:szCs w:val="20"/>
          <w:bdr w:val="none" w:sz="0" w:space="0" w:color="auto"/>
        </w:rPr>
        <w:t xml:space="preserve"> IACHR</w:t>
      </w:r>
      <w:r w:rsidR="006B32E1" w:rsidRPr="00CC39F5">
        <w:rPr>
          <w:rFonts w:ascii="Cambria" w:eastAsia="Times New Roman" w:hAnsi="Cambria"/>
          <w:sz w:val="20"/>
          <w:szCs w:val="20"/>
          <w:bdr w:val="none" w:sz="0" w:space="0" w:color="auto"/>
        </w:rPr>
        <w:t xml:space="preserve"> </w:t>
      </w:r>
      <w:r w:rsidR="00217094" w:rsidRPr="00CC39F5">
        <w:rPr>
          <w:rFonts w:ascii="Cambria" w:eastAsia="Times New Roman" w:hAnsi="Cambria"/>
          <w:sz w:val="20"/>
          <w:szCs w:val="20"/>
          <w:bdr w:val="none" w:sz="0" w:space="0" w:color="auto"/>
        </w:rPr>
        <w:t xml:space="preserve">subsequently </w:t>
      </w:r>
      <w:r w:rsidR="000411D7" w:rsidRPr="00CC39F5">
        <w:rPr>
          <w:rFonts w:ascii="Cambria" w:eastAsia="Times New Roman" w:hAnsi="Cambria"/>
          <w:sz w:val="20"/>
          <w:szCs w:val="20"/>
          <w:bdr w:val="none" w:sz="0" w:space="0" w:color="auto"/>
        </w:rPr>
        <w:t>received communications from both parties, each of which was duly forwarded</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6B32E1" w:rsidP="00F3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CC39F5">
        <w:rPr>
          <w:rFonts w:ascii="Cambria" w:eastAsia="Times New Roman" w:hAnsi="Cambria"/>
          <w:sz w:val="20"/>
          <w:szCs w:val="20"/>
          <w:bdr w:val="none" w:sz="0" w:space="0" w:color="auto"/>
        </w:rPr>
        <w:t xml:space="preserve"> </w:t>
      </w:r>
      <w:r w:rsidR="00217094" w:rsidRPr="00CC39F5">
        <w:rPr>
          <w:rFonts w:ascii="Cambria" w:eastAsia="Times New Roman" w:hAnsi="Cambria"/>
          <w:sz w:val="20"/>
          <w:szCs w:val="20"/>
          <w:bdr w:val="none" w:sz="0" w:space="0" w:color="auto"/>
        </w:rPr>
        <w:t>On February 9,</w:t>
      </w:r>
      <w:r w:rsidRPr="00CC39F5">
        <w:rPr>
          <w:rFonts w:ascii="Cambria" w:eastAsia="Times New Roman" w:hAnsi="Cambria"/>
          <w:sz w:val="20"/>
          <w:szCs w:val="20"/>
          <w:bdr w:val="none" w:sz="0" w:space="0" w:color="auto"/>
        </w:rPr>
        <w:t xml:space="preserve"> 2004 </w:t>
      </w:r>
      <w:r w:rsidR="002530B6" w:rsidRPr="00CC39F5">
        <w:rPr>
          <w:rFonts w:ascii="Cambria" w:eastAsia="Times New Roman" w:hAnsi="Cambria"/>
          <w:sz w:val="20"/>
          <w:szCs w:val="20"/>
          <w:bdr w:val="none" w:sz="0" w:space="0" w:color="auto"/>
        </w:rPr>
        <w:t>the IACHR</w:t>
      </w:r>
      <w:r w:rsidRPr="00CC39F5">
        <w:rPr>
          <w:rFonts w:ascii="Cambria" w:eastAsia="Times New Roman" w:hAnsi="Cambria"/>
          <w:sz w:val="20"/>
          <w:szCs w:val="20"/>
          <w:bdr w:val="none" w:sz="0" w:space="0" w:color="auto"/>
        </w:rPr>
        <w:t xml:space="preserve"> </w:t>
      </w:r>
      <w:r w:rsidR="006C4C1A" w:rsidRPr="00CC39F5">
        <w:rPr>
          <w:rFonts w:ascii="Cambria" w:eastAsia="Times New Roman" w:hAnsi="Cambria"/>
          <w:sz w:val="20"/>
          <w:szCs w:val="20"/>
          <w:bdr w:val="none" w:sz="0" w:space="0" w:color="auto"/>
        </w:rPr>
        <w:t xml:space="preserve">informed the parties that, </w:t>
      </w:r>
      <w:r w:rsidR="006B5824" w:rsidRPr="00CC39F5">
        <w:rPr>
          <w:rFonts w:ascii="Cambria" w:eastAsia="Times New Roman" w:hAnsi="Cambria"/>
          <w:sz w:val="20"/>
          <w:szCs w:val="20"/>
          <w:bdr w:val="none" w:sz="0" w:space="0" w:color="auto"/>
        </w:rPr>
        <w:t xml:space="preserve">pursuant to </w:t>
      </w:r>
      <w:r w:rsidR="006C4C1A" w:rsidRPr="00CC39F5">
        <w:rPr>
          <w:rFonts w:ascii="Cambria" w:eastAsia="Times New Roman" w:hAnsi="Cambria"/>
          <w:sz w:val="20"/>
          <w:szCs w:val="20"/>
          <w:bdr w:val="none" w:sz="0" w:space="0" w:color="auto"/>
        </w:rPr>
        <w:t>Article 37(</w:t>
      </w:r>
      <w:r w:rsidRPr="00CC39F5">
        <w:rPr>
          <w:rFonts w:ascii="Cambria" w:eastAsia="Times New Roman" w:hAnsi="Cambria"/>
          <w:sz w:val="20"/>
          <w:szCs w:val="20"/>
          <w:bdr w:val="none" w:sz="0" w:space="0" w:color="auto"/>
        </w:rPr>
        <w:t>3</w:t>
      </w:r>
      <w:r w:rsidR="006C4C1A" w:rsidRPr="00CC39F5">
        <w:rPr>
          <w:rFonts w:ascii="Cambria" w:eastAsia="Times New Roman" w:hAnsi="Cambria"/>
          <w:sz w:val="20"/>
          <w:szCs w:val="20"/>
          <w:bdr w:val="none" w:sz="0" w:space="0" w:color="auto"/>
        </w:rPr>
        <w:t>)</w:t>
      </w:r>
      <w:r w:rsidRPr="00CC39F5">
        <w:rPr>
          <w:rFonts w:ascii="Cambria" w:eastAsia="Times New Roman" w:hAnsi="Cambria"/>
          <w:sz w:val="20"/>
          <w:szCs w:val="20"/>
          <w:bdr w:val="none" w:sz="0" w:space="0" w:color="auto"/>
        </w:rPr>
        <w:t xml:space="preserve"> </w:t>
      </w:r>
      <w:r w:rsidR="006C4C1A" w:rsidRPr="00CC39F5">
        <w:rPr>
          <w:rFonts w:ascii="Cambria" w:eastAsia="Times New Roman" w:hAnsi="Cambria"/>
          <w:sz w:val="20"/>
          <w:szCs w:val="20"/>
          <w:bdr w:val="none" w:sz="0" w:space="0" w:color="auto"/>
        </w:rPr>
        <w:t xml:space="preserve">of its Rules of Procedure in force at the time, it had decided to defer its examination of admissibility until </w:t>
      </w:r>
      <w:r w:rsidR="00CD3A20" w:rsidRPr="00CC39F5">
        <w:rPr>
          <w:rFonts w:ascii="Cambria" w:eastAsia="Times New Roman" w:hAnsi="Cambria"/>
          <w:sz w:val="20"/>
          <w:szCs w:val="20"/>
          <w:bdr w:val="none" w:sz="0" w:space="0" w:color="auto"/>
        </w:rPr>
        <w:t>it deliberated</w:t>
      </w:r>
      <w:r w:rsidR="006C4C1A" w:rsidRPr="00CC39F5">
        <w:rPr>
          <w:rFonts w:ascii="Cambria" w:eastAsia="Times New Roman" w:hAnsi="Cambria"/>
          <w:sz w:val="20"/>
          <w:szCs w:val="20"/>
          <w:bdr w:val="none" w:sz="0" w:space="0" w:color="auto"/>
        </w:rPr>
        <w:t xml:space="preserve"> and </w:t>
      </w:r>
      <w:r w:rsidR="00644678" w:rsidRPr="00CC39F5">
        <w:rPr>
          <w:rFonts w:ascii="Cambria" w:eastAsia="Times New Roman" w:hAnsi="Cambria"/>
          <w:sz w:val="20"/>
          <w:szCs w:val="20"/>
          <w:bdr w:val="none" w:sz="0" w:space="0" w:color="auto"/>
        </w:rPr>
        <w:t>deci</w:t>
      </w:r>
      <w:r w:rsidR="00CD3A20" w:rsidRPr="00CC39F5">
        <w:rPr>
          <w:rFonts w:ascii="Cambria" w:eastAsia="Times New Roman" w:hAnsi="Cambria"/>
          <w:sz w:val="20"/>
          <w:szCs w:val="20"/>
          <w:bdr w:val="none" w:sz="0" w:space="0" w:color="auto"/>
        </w:rPr>
        <w:t>ded</w:t>
      </w:r>
      <w:r w:rsidR="006C4C1A" w:rsidRPr="00CC39F5">
        <w:rPr>
          <w:rFonts w:ascii="Cambria" w:eastAsia="Times New Roman" w:hAnsi="Cambria"/>
          <w:sz w:val="20"/>
          <w:szCs w:val="20"/>
          <w:bdr w:val="none" w:sz="0" w:space="0" w:color="auto"/>
        </w:rPr>
        <w:t xml:space="preserve"> on the merits</w:t>
      </w:r>
      <w:r w:rsidRPr="00CC39F5">
        <w:rPr>
          <w:rFonts w:ascii="Cambria" w:hAnsi="Cambria"/>
          <w:sz w:val="20"/>
          <w:szCs w:val="20"/>
        </w:rPr>
        <w:t xml:space="preserve">. </w:t>
      </w:r>
      <w:r w:rsidR="006C4C1A" w:rsidRPr="00CC39F5">
        <w:rPr>
          <w:rFonts w:ascii="Cambria" w:hAnsi="Cambria"/>
          <w:sz w:val="20"/>
          <w:szCs w:val="20"/>
        </w:rPr>
        <w:t xml:space="preserve">The petitioner </w:t>
      </w:r>
      <w:r w:rsidR="000410A1" w:rsidRPr="00CC39F5">
        <w:rPr>
          <w:rFonts w:ascii="Cambria" w:hAnsi="Cambria"/>
          <w:sz w:val="20"/>
          <w:szCs w:val="20"/>
        </w:rPr>
        <w:t>furnished</w:t>
      </w:r>
      <w:r w:rsidR="006C4C1A" w:rsidRPr="00CC39F5">
        <w:rPr>
          <w:rFonts w:ascii="Cambria" w:hAnsi="Cambria"/>
          <w:sz w:val="20"/>
          <w:szCs w:val="20"/>
        </w:rPr>
        <w:t xml:space="preserve"> additional observations on March 9, </w:t>
      </w:r>
      <w:r w:rsidRPr="00CC39F5">
        <w:rPr>
          <w:rFonts w:ascii="Cambria" w:hAnsi="Cambria"/>
          <w:sz w:val="20"/>
          <w:szCs w:val="20"/>
        </w:rPr>
        <w:t xml:space="preserve">2004. </w:t>
      </w:r>
      <w:r w:rsidR="00A91C86" w:rsidRPr="00CC39F5">
        <w:rPr>
          <w:rFonts w:ascii="Cambria" w:hAnsi="Cambria"/>
          <w:sz w:val="20"/>
          <w:szCs w:val="20"/>
        </w:rPr>
        <w:t>On December </w:t>
      </w:r>
      <w:r w:rsidR="009A447C" w:rsidRPr="00CC39F5">
        <w:rPr>
          <w:rFonts w:ascii="Cambria" w:hAnsi="Cambria"/>
          <w:sz w:val="20"/>
          <w:szCs w:val="20"/>
        </w:rPr>
        <w:t>15,</w:t>
      </w:r>
      <w:r w:rsidRPr="00CC39F5">
        <w:rPr>
          <w:rFonts w:ascii="Cambria" w:hAnsi="Cambria"/>
          <w:sz w:val="20"/>
          <w:szCs w:val="20"/>
        </w:rPr>
        <w:t xml:space="preserve"> 2005 </w:t>
      </w:r>
      <w:r w:rsidR="002530B6" w:rsidRPr="00CC39F5">
        <w:rPr>
          <w:rFonts w:ascii="Cambria" w:hAnsi="Cambria"/>
          <w:sz w:val="20"/>
          <w:szCs w:val="20"/>
        </w:rPr>
        <w:t>the IACHR</w:t>
      </w:r>
      <w:r w:rsidRPr="00CC39F5">
        <w:rPr>
          <w:rFonts w:ascii="Cambria" w:hAnsi="Cambria"/>
          <w:sz w:val="20"/>
          <w:szCs w:val="20"/>
        </w:rPr>
        <w:t xml:space="preserve"> </w:t>
      </w:r>
      <w:r w:rsidR="009A447C" w:rsidRPr="00CC39F5">
        <w:rPr>
          <w:rFonts w:ascii="Cambria" w:hAnsi="Cambria"/>
          <w:sz w:val="20"/>
          <w:szCs w:val="20"/>
        </w:rPr>
        <w:t xml:space="preserve">forwarded those observations to the State and asked it to provide </w:t>
      </w:r>
      <w:r w:rsidR="00A91C86" w:rsidRPr="00CC39F5">
        <w:rPr>
          <w:rFonts w:ascii="Cambria" w:hAnsi="Cambria"/>
          <w:sz w:val="20"/>
          <w:szCs w:val="20"/>
        </w:rPr>
        <w:t>further</w:t>
      </w:r>
      <w:r w:rsidR="009A447C" w:rsidRPr="00CC39F5">
        <w:rPr>
          <w:rFonts w:ascii="Cambria" w:hAnsi="Cambria"/>
          <w:sz w:val="20"/>
          <w:szCs w:val="20"/>
        </w:rPr>
        <w:t xml:space="preserve"> comments</w:t>
      </w:r>
      <w:r w:rsidR="000B59EF" w:rsidRPr="00CC39F5">
        <w:rPr>
          <w:rFonts w:ascii="Cambria" w:hAnsi="Cambria"/>
          <w:sz w:val="20"/>
          <w:szCs w:val="20"/>
        </w:rPr>
        <w:t xml:space="preserve"> within two months</w:t>
      </w:r>
      <w:r w:rsidRPr="00CC39F5">
        <w:rPr>
          <w:rFonts w:ascii="Cambria" w:hAnsi="Cambria"/>
          <w:sz w:val="20"/>
          <w:szCs w:val="20"/>
        </w:rPr>
        <w:t xml:space="preserve">. </w:t>
      </w:r>
      <w:r w:rsidR="000B59EF" w:rsidRPr="00CC39F5">
        <w:rPr>
          <w:rFonts w:ascii="Cambria" w:hAnsi="Cambria"/>
          <w:sz w:val="20"/>
          <w:szCs w:val="20"/>
        </w:rPr>
        <w:t xml:space="preserve">The State submitted </w:t>
      </w:r>
      <w:r w:rsidR="00A91C86" w:rsidRPr="00CC39F5">
        <w:rPr>
          <w:rFonts w:ascii="Cambria" w:hAnsi="Cambria"/>
          <w:sz w:val="20"/>
          <w:szCs w:val="20"/>
        </w:rPr>
        <w:t>additional</w:t>
      </w:r>
      <w:r w:rsidR="000B59EF" w:rsidRPr="00CC39F5">
        <w:rPr>
          <w:rFonts w:ascii="Cambria" w:hAnsi="Cambria"/>
          <w:sz w:val="20"/>
          <w:szCs w:val="20"/>
        </w:rPr>
        <w:t xml:space="preserve"> observations on the admissibility and merits on July 15, 2016</w:t>
      </w:r>
      <w:r w:rsidRPr="00CC39F5">
        <w:rPr>
          <w:rFonts w:ascii="Cambria" w:hAnsi="Cambria"/>
          <w:sz w:val="20"/>
          <w:szCs w:val="20"/>
        </w:rPr>
        <w:t>.</w:t>
      </w:r>
    </w:p>
    <w:p w:rsidR="006B32E1" w:rsidRPr="00CC39F5" w:rsidRDefault="006B32E1" w:rsidP="00F334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bookmarkStart w:id="4" w:name="_Toc338425800"/>
    </w:p>
    <w:p w:rsidR="006B32E1" w:rsidRPr="00CC39F5" w:rsidRDefault="00A730E1" w:rsidP="00F334D7">
      <w:pPr>
        <w:pStyle w:val="Heading1"/>
      </w:pPr>
      <w:bookmarkStart w:id="5" w:name="_Toc495584784"/>
      <w:bookmarkEnd w:id="4"/>
      <w:r w:rsidRPr="00CC39F5">
        <w:t>POSITION</w:t>
      </w:r>
      <w:r w:rsidR="004A0C5F" w:rsidRPr="00CC39F5">
        <w:t>S</w:t>
      </w:r>
      <w:r w:rsidRPr="00CC39F5">
        <w:t xml:space="preserve"> OF THE PARTIES</w:t>
      </w:r>
      <w:bookmarkEnd w:id="5"/>
    </w:p>
    <w:p w:rsidR="006B32E1" w:rsidRPr="00CC39F5" w:rsidRDefault="006B32E1" w:rsidP="00F334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6B32E1" w:rsidRPr="00CC39F5" w:rsidRDefault="006B32E1" w:rsidP="00F334D7">
      <w:pPr>
        <w:pStyle w:val="Heading2"/>
        <w:spacing w:before="0"/>
      </w:pPr>
      <w:bookmarkStart w:id="6" w:name="_Toc338425801"/>
      <w:bookmarkStart w:id="7" w:name="_Toc495584785"/>
      <w:r w:rsidRPr="00CC39F5">
        <w:t>A.</w:t>
      </w:r>
      <w:r w:rsidRPr="00CC39F5">
        <w:tab/>
      </w:r>
      <w:bookmarkEnd w:id="6"/>
      <w:r w:rsidR="00A730E1" w:rsidRPr="00CC39F5">
        <w:t>The Petitioner</w:t>
      </w:r>
      <w:bookmarkEnd w:id="7"/>
      <w:r w:rsidRPr="00CC39F5">
        <w:t xml:space="preserve"> </w:t>
      </w:r>
    </w:p>
    <w:p w:rsidR="006B32E1" w:rsidRPr="00CC39F5" w:rsidRDefault="006B32E1" w:rsidP="00F334D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6B32E1" w:rsidRPr="00CC39F5" w:rsidRDefault="00A730E1" w:rsidP="00F3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The petitioner alleged the international re</w:t>
      </w:r>
      <w:r w:rsidR="00C87CBC" w:rsidRPr="00CC39F5">
        <w:rPr>
          <w:rFonts w:ascii="Cambria" w:eastAsia="Times New Roman" w:hAnsi="Cambria"/>
          <w:sz w:val="20"/>
          <w:szCs w:val="20"/>
          <w:bdr w:val="none" w:sz="0" w:space="0" w:color="auto"/>
        </w:rPr>
        <w:t>sponsibility of the Ecuadorian S</w:t>
      </w:r>
      <w:r w:rsidRPr="00CC39F5">
        <w:rPr>
          <w:rFonts w:ascii="Cambria" w:eastAsia="Times New Roman" w:hAnsi="Cambria"/>
          <w:sz w:val="20"/>
          <w:szCs w:val="20"/>
          <w:bdr w:val="none" w:sz="0" w:space="0" w:color="auto"/>
        </w:rPr>
        <w:t>tate</w:t>
      </w:r>
      <w:r w:rsidR="005B0278" w:rsidRPr="00CC39F5">
        <w:rPr>
          <w:rFonts w:ascii="Cambria" w:eastAsia="Times New Roman" w:hAnsi="Cambria"/>
          <w:sz w:val="20"/>
          <w:szCs w:val="20"/>
          <w:bdr w:val="none" w:sz="0" w:space="0" w:color="auto"/>
        </w:rPr>
        <w:t xml:space="preserve"> for the illegal and arbitrary </w:t>
      </w:r>
      <w:r w:rsidR="004A0C5F" w:rsidRPr="00CC39F5">
        <w:rPr>
          <w:rFonts w:ascii="Cambria" w:eastAsia="Times New Roman" w:hAnsi="Cambria"/>
          <w:sz w:val="20"/>
          <w:szCs w:val="20"/>
          <w:bdr w:val="none" w:sz="0" w:space="0" w:color="auto"/>
        </w:rPr>
        <w:t>arrest</w:t>
      </w:r>
      <w:r w:rsidR="005B0278" w:rsidRPr="00CC39F5">
        <w:rPr>
          <w:rFonts w:ascii="Cambria" w:eastAsia="Times New Roman" w:hAnsi="Cambria"/>
          <w:sz w:val="20"/>
          <w:szCs w:val="20"/>
          <w:bdr w:val="none" w:sz="0" w:space="0" w:color="auto"/>
        </w:rPr>
        <w:t xml:space="preserve"> of</w:t>
      </w:r>
      <w:r w:rsidR="006B32E1" w:rsidRPr="00CC39F5">
        <w:rPr>
          <w:rFonts w:ascii="Cambria" w:eastAsia="Times New Roman" w:hAnsi="Cambria"/>
          <w:sz w:val="20"/>
          <w:szCs w:val="20"/>
          <w:bdr w:val="none" w:sz="0" w:space="0" w:color="auto"/>
        </w:rPr>
        <w:t xml:space="preserve"> Mario Montesinos Mejía </w:t>
      </w:r>
      <w:r w:rsidR="005B0278" w:rsidRPr="00CC39F5">
        <w:rPr>
          <w:rFonts w:ascii="Cambria" w:eastAsia="Times New Roman" w:hAnsi="Cambria"/>
          <w:sz w:val="20"/>
          <w:szCs w:val="20"/>
          <w:bdr w:val="none" w:sz="0" w:space="0" w:color="auto"/>
        </w:rPr>
        <w:t>by police officers in</w:t>
      </w:r>
      <w:r w:rsidR="006B32E1" w:rsidRPr="00CC39F5">
        <w:rPr>
          <w:rFonts w:ascii="Cambria" w:eastAsia="Times New Roman" w:hAnsi="Cambria"/>
          <w:sz w:val="20"/>
          <w:szCs w:val="20"/>
          <w:bdr w:val="none" w:sz="0" w:space="0" w:color="auto"/>
        </w:rPr>
        <w:t xml:space="preserve"> 1992, </w:t>
      </w:r>
      <w:r w:rsidR="005B0278" w:rsidRPr="00CC39F5">
        <w:rPr>
          <w:rFonts w:ascii="Cambria" w:eastAsia="Times New Roman" w:hAnsi="Cambria"/>
          <w:sz w:val="20"/>
          <w:szCs w:val="20"/>
          <w:bdr w:val="none" w:sz="0" w:space="0" w:color="auto"/>
        </w:rPr>
        <w:t xml:space="preserve">the torture he suffered, and </w:t>
      </w:r>
      <w:r w:rsidR="00C87CBC" w:rsidRPr="00CC39F5">
        <w:rPr>
          <w:rFonts w:ascii="Cambria" w:eastAsia="Times New Roman" w:hAnsi="Cambria"/>
          <w:sz w:val="20"/>
          <w:szCs w:val="20"/>
          <w:bdr w:val="none" w:sz="0" w:space="0" w:color="auto"/>
        </w:rPr>
        <w:t>the</w:t>
      </w:r>
      <w:r w:rsidR="005B0278" w:rsidRPr="00CC39F5">
        <w:rPr>
          <w:rFonts w:ascii="Cambria" w:eastAsia="Times New Roman" w:hAnsi="Cambria"/>
          <w:sz w:val="20"/>
          <w:szCs w:val="20"/>
          <w:bdr w:val="none" w:sz="0" w:space="0" w:color="auto"/>
        </w:rPr>
        <w:t xml:space="preserve"> lack of judicial protection during the</w:t>
      </w:r>
      <w:r w:rsidR="006B32E1" w:rsidRPr="00CC39F5">
        <w:rPr>
          <w:rFonts w:ascii="Cambria" w:eastAsia="Times New Roman" w:hAnsi="Cambria"/>
          <w:sz w:val="20"/>
          <w:szCs w:val="20"/>
          <w:bdr w:val="none" w:sz="0" w:space="0" w:color="auto"/>
        </w:rPr>
        <w:t xml:space="preserve"> </w:t>
      </w:r>
      <w:r w:rsidR="005B0278" w:rsidRPr="00CC39F5">
        <w:rPr>
          <w:rFonts w:ascii="Cambria" w:eastAsia="Times New Roman" w:hAnsi="Cambria"/>
          <w:sz w:val="20"/>
          <w:szCs w:val="20"/>
          <w:bdr w:val="none" w:sz="0" w:space="0" w:color="auto"/>
        </w:rPr>
        <w:t xml:space="preserve">criminal cases </w:t>
      </w:r>
      <w:r w:rsidR="00D87808" w:rsidRPr="00CC39F5">
        <w:rPr>
          <w:rFonts w:ascii="Cambria" w:eastAsia="Times New Roman" w:hAnsi="Cambria"/>
          <w:sz w:val="20"/>
          <w:szCs w:val="20"/>
          <w:bdr w:val="none" w:sz="0" w:space="0" w:color="auto"/>
        </w:rPr>
        <w:t>brought</w:t>
      </w:r>
      <w:r w:rsidR="004E6DC2" w:rsidRPr="00CC39F5">
        <w:rPr>
          <w:rFonts w:ascii="Cambria" w:eastAsia="Times New Roman" w:hAnsi="Cambria"/>
          <w:sz w:val="20"/>
          <w:szCs w:val="20"/>
          <w:bdr w:val="none" w:sz="0" w:space="0" w:color="auto"/>
        </w:rPr>
        <w:t xml:space="preserve"> against him. Details about Mr. </w:t>
      </w:r>
      <w:r w:rsidR="005B0278" w:rsidRPr="00CC39F5">
        <w:rPr>
          <w:rFonts w:ascii="Cambria" w:eastAsia="Times New Roman" w:hAnsi="Cambria"/>
          <w:sz w:val="20"/>
          <w:szCs w:val="20"/>
          <w:bdr w:val="none" w:sz="0" w:space="0" w:color="auto"/>
        </w:rPr>
        <w:t xml:space="preserve">Montesinos Mejía’s </w:t>
      </w:r>
      <w:r w:rsidR="004A0C5F" w:rsidRPr="00CC39F5">
        <w:rPr>
          <w:rFonts w:ascii="Cambria" w:eastAsia="Times New Roman" w:hAnsi="Cambria"/>
          <w:sz w:val="20"/>
          <w:szCs w:val="20"/>
          <w:bdr w:val="none" w:sz="0" w:space="0" w:color="auto"/>
        </w:rPr>
        <w:t>arrest</w:t>
      </w:r>
      <w:r w:rsidR="005B0278" w:rsidRPr="00CC39F5">
        <w:rPr>
          <w:rFonts w:ascii="Cambria" w:eastAsia="Times New Roman" w:hAnsi="Cambria"/>
          <w:sz w:val="20"/>
          <w:szCs w:val="20"/>
          <w:bdr w:val="none" w:sz="0" w:space="0" w:color="auto"/>
        </w:rPr>
        <w:t xml:space="preserve"> and the criminal </w:t>
      </w:r>
      <w:r w:rsidR="004A0C5F" w:rsidRPr="00CC39F5">
        <w:rPr>
          <w:rFonts w:ascii="Cambria" w:eastAsia="Times New Roman" w:hAnsi="Cambria"/>
          <w:sz w:val="20"/>
          <w:szCs w:val="20"/>
          <w:bdr w:val="none" w:sz="0" w:space="0" w:color="auto"/>
        </w:rPr>
        <w:t>prosecutions</w:t>
      </w:r>
      <w:r w:rsidR="005B0278" w:rsidRPr="00CC39F5">
        <w:rPr>
          <w:rFonts w:ascii="Cambria" w:eastAsia="Times New Roman" w:hAnsi="Cambria"/>
          <w:sz w:val="20"/>
          <w:szCs w:val="20"/>
          <w:bdr w:val="none" w:sz="0" w:space="0" w:color="auto"/>
        </w:rPr>
        <w:t xml:space="preserve"> can be found in the</w:t>
      </w:r>
      <w:r w:rsidR="00AA7954" w:rsidRPr="00CC39F5">
        <w:rPr>
          <w:rFonts w:ascii="Cambria" w:eastAsia="Times New Roman" w:hAnsi="Cambria"/>
          <w:sz w:val="20"/>
          <w:szCs w:val="20"/>
          <w:bdr w:val="none" w:sz="0" w:space="0" w:color="auto"/>
        </w:rPr>
        <w:t xml:space="preserve"> “Determination of Facts”</w:t>
      </w:r>
      <w:r w:rsidR="005B0278" w:rsidRPr="00CC39F5">
        <w:rPr>
          <w:rFonts w:ascii="Cambria" w:eastAsia="Times New Roman" w:hAnsi="Cambria"/>
          <w:sz w:val="20"/>
          <w:szCs w:val="20"/>
          <w:bdr w:val="none" w:sz="0" w:space="0" w:color="auto"/>
        </w:rPr>
        <w:t xml:space="preserve"> section</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4E6DC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lastRenderedPageBreak/>
        <w:t xml:space="preserve">The petitioner held that the case </w:t>
      </w:r>
      <w:r w:rsidR="009D60F6" w:rsidRPr="00CC39F5">
        <w:rPr>
          <w:rFonts w:ascii="Cambria" w:eastAsia="Times New Roman" w:hAnsi="Cambria"/>
          <w:sz w:val="20"/>
          <w:szCs w:val="20"/>
          <w:bdr w:val="none" w:sz="0" w:space="0" w:color="auto"/>
        </w:rPr>
        <w:t>was</w:t>
      </w:r>
      <w:r w:rsidRPr="00CC39F5">
        <w:rPr>
          <w:rFonts w:ascii="Cambria" w:eastAsia="Times New Roman" w:hAnsi="Cambria"/>
          <w:sz w:val="20"/>
          <w:szCs w:val="20"/>
          <w:bdr w:val="none" w:sz="0" w:space="0" w:color="auto"/>
        </w:rPr>
        <w:t xml:space="preserve"> admissible inasmuch as two of the three cases brought against Mr.</w:t>
      </w:r>
      <w:r w:rsidR="006B32E1" w:rsidRPr="00CC39F5">
        <w:rPr>
          <w:rFonts w:ascii="Cambria" w:eastAsia="Times New Roman" w:hAnsi="Cambria"/>
          <w:sz w:val="20"/>
          <w:szCs w:val="20"/>
          <w:bdr w:val="none" w:sz="0" w:space="0" w:color="auto"/>
        </w:rPr>
        <w:t xml:space="preserve"> Montesinos</w:t>
      </w:r>
      <w:r w:rsidRPr="00CC39F5">
        <w:rPr>
          <w:rFonts w:ascii="Cambria" w:eastAsia="Times New Roman" w:hAnsi="Cambria"/>
          <w:sz w:val="20"/>
          <w:szCs w:val="20"/>
          <w:bdr w:val="none" w:sz="0" w:space="0" w:color="auto"/>
        </w:rPr>
        <w:t xml:space="preserve"> were ultimately dismissed, meaning that domestic remedies </w:t>
      </w:r>
      <w:r w:rsidR="009D60F6" w:rsidRPr="00CC39F5">
        <w:rPr>
          <w:rFonts w:ascii="Cambria" w:eastAsia="Times New Roman" w:hAnsi="Cambria"/>
          <w:sz w:val="20"/>
          <w:szCs w:val="20"/>
          <w:bdr w:val="none" w:sz="0" w:space="0" w:color="auto"/>
        </w:rPr>
        <w:t>had been</w:t>
      </w:r>
      <w:r w:rsidRPr="00CC39F5">
        <w:rPr>
          <w:rFonts w:ascii="Cambria" w:eastAsia="Times New Roman" w:hAnsi="Cambria"/>
          <w:sz w:val="20"/>
          <w:szCs w:val="20"/>
          <w:bdr w:val="none" w:sz="0" w:space="0" w:color="auto"/>
        </w:rPr>
        <w:t xml:space="preserve"> exhausted</w:t>
      </w:r>
      <w:r w:rsidR="006B32E1" w:rsidRPr="00CC39F5">
        <w:rPr>
          <w:rFonts w:ascii="Cambria" w:eastAsia="Times New Roman" w:hAnsi="Cambria"/>
          <w:sz w:val="20"/>
          <w:szCs w:val="20"/>
          <w:bdr w:val="none" w:sz="0" w:space="0" w:color="auto"/>
        </w:rPr>
        <w:t xml:space="preserve">. </w:t>
      </w:r>
      <w:r w:rsidR="00927006" w:rsidRPr="00CC39F5">
        <w:rPr>
          <w:rFonts w:ascii="Cambria" w:eastAsia="Times New Roman" w:hAnsi="Cambria"/>
          <w:sz w:val="20"/>
          <w:szCs w:val="20"/>
          <w:bdr w:val="none" w:sz="0" w:space="0" w:color="auto"/>
        </w:rPr>
        <w:t xml:space="preserve">He </w:t>
      </w:r>
      <w:r w:rsidR="003E7CED" w:rsidRPr="00CC39F5">
        <w:rPr>
          <w:rFonts w:ascii="Cambria" w:eastAsia="Times New Roman" w:hAnsi="Cambria"/>
          <w:sz w:val="20"/>
          <w:szCs w:val="20"/>
          <w:bdr w:val="none" w:sz="0" w:space="0" w:color="auto"/>
        </w:rPr>
        <w:t>stated</w:t>
      </w:r>
      <w:r w:rsidR="00927006" w:rsidRPr="00CC39F5">
        <w:rPr>
          <w:rFonts w:ascii="Cambria" w:eastAsia="Times New Roman" w:hAnsi="Cambria"/>
          <w:sz w:val="20"/>
          <w:szCs w:val="20"/>
          <w:bdr w:val="none" w:sz="0" w:space="0" w:color="auto"/>
        </w:rPr>
        <w:t xml:space="preserve"> that the third case remained open</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92700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 xml:space="preserve">As to the alleged violation of the </w:t>
      </w:r>
      <w:r w:rsidRPr="00CC39F5">
        <w:rPr>
          <w:rFonts w:ascii="Cambria" w:eastAsia="Times New Roman" w:hAnsi="Cambria"/>
          <w:b/>
          <w:sz w:val="20"/>
          <w:szCs w:val="20"/>
          <w:bdr w:val="none" w:sz="0" w:space="0" w:color="auto"/>
        </w:rPr>
        <w:t>right</w:t>
      </w:r>
      <w:r w:rsidR="006B32E1" w:rsidRPr="00CC39F5">
        <w:rPr>
          <w:rFonts w:ascii="Cambria" w:eastAsia="Times New Roman" w:hAnsi="Cambria"/>
          <w:b/>
          <w:sz w:val="20"/>
          <w:szCs w:val="20"/>
          <w:bdr w:val="none" w:sz="0" w:space="0" w:color="auto"/>
        </w:rPr>
        <w:t xml:space="preserve"> </w:t>
      </w:r>
      <w:r w:rsidR="00D50F23" w:rsidRPr="00CC39F5">
        <w:rPr>
          <w:rFonts w:ascii="Cambria" w:eastAsia="Times New Roman" w:hAnsi="Cambria"/>
          <w:b/>
          <w:sz w:val="20"/>
          <w:szCs w:val="20"/>
          <w:bdr w:val="none" w:sz="0" w:space="0" w:color="auto"/>
        </w:rPr>
        <w:t>to personal liberty</w:t>
      </w:r>
      <w:r w:rsidR="00D50F23" w:rsidRPr="00CC39F5">
        <w:rPr>
          <w:rFonts w:ascii="Cambria" w:eastAsia="Times New Roman" w:hAnsi="Cambria"/>
          <w:sz w:val="20"/>
          <w:szCs w:val="20"/>
          <w:bdr w:val="none" w:sz="0" w:space="0" w:color="auto"/>
        </w:rPr>
        <w:t xml:space="preserve">, the petitioner indicated that police officers </w:t>
      </w:r>
      <w:r w:rsidR="00FC0FC7" w:rsidRPr="00CC39F5">
        <w:rPr>
          <w:rFonts w:ascii="Cambria" w:eastAsia="Times New Roman" w:hAnsi="Cambria"/>
          <w:sz w:val="20"/>
          <w:szCs w:val="20"/>
          <w:bdr w:val="none" w:sz="0" w:space="0" w:color="auto"/>
        </w:rPr>
        <w:t>had arrested</w:t>
      </w:r>
      <w:r w:rsidR="00D50F23" w:rsidRPr="00CC39F5">
        <w:rPr>
          <w:rFonts w:ascii="Cambria" w:eastAsia="Times New Roman" w:hAnsi="Cambria"/>
          <w:sz w:val="20"/>
          <w:szCs w:val="20"/>
          <w:bdr w:val="none" w:sz="0" w:space="0" w:color="auto"/>
        </w:rPr>
        <w:t xml:space="preserve"> Mr. Montesinos without a warrant a</w:t>
      </w:r>
      <w:r w:rsidR="00E32305" w:rsidRPr="00CC39F5">
        <w:rPr>
          <w:rFonts w:ascii="Cambria" w:eastAsia="Times New Roman" w:hAnsi="Cambria"/>
          <w:sz w:val="20"/>
          <w:szCs w:val="20"/>
          <w:bdr w:val="none" w:sz="0" w:space="0" w:color="auto"/>
        </w:rPr>
        <w:t xml:space="preserve">nd without catching him in </w:t>
      </w:r>
      <w:r w:rsidR="00D50F23" w:rsidRPr="00CC39F5">
        <w:rPr>
          <w:rFonts w:ascii="Cambria" w:eastAsia="Times New Roman" w:hAnsi="Cambria"/>
          <w:i/>
          <w:sz w:val="20"/>
          <w:szCs w:val="20"/>
          <w:bdr w:val="none" w:sz="0" w:space="0" w:color="auto"/>
        </w:rPr>
        <w:t>flagrante</w:t>
      </w:r>
      <w:r w:rsidR="00E32305" w:rsidRPr="00CC39F5">
        <w:rPr>
          <w:rFonts w:ascii="Cambria" w:eastAsia="Times New Roman" w:hAnsi="Cambria"/>
          <w:i/>
          <w:sz w:val="20"/>
          <w:szCs w:val="20"/>
          <w:bdr w:val="none" w:sz="0" w:space="0" w:color="auto"/>
        </w:rPr>
        <w:t xml:space="preserve"> delicto</w:t>
      </w:r>
      <w:r w:rsidR="00D50F23" w:rsidRPr="00CC39F5">
        <w:rPr>
          <w:rFonts w:ascii="Cambria" w:eastAsia="Times New Roman" w:hAnsi="Cambria"/>
          <w:sz w:val="20"/>
          <w:szCs w:val="20"/>
          <w:bdr w:val="none" w:sz="0" w:space="0" w:color="auto"/>
        </w:rPr>
        <w:t xml:space="preserve">. He </w:t>
      </w:r>
      <w:r w:rsidR="00FC0FC7" w:rsidRPr="00CC39F5">
        <w:rPr>
          <w:rFonts w:ascii="Cambria" w:eastAsia="Times New Roman" w:hAnsi="Cambria"/>
          <w:sz w:val="20"/>
          <w:szCs w:val="20"/>
          <w:bdr w:val="none" w:sz="0" w:space="0" w:color="auto"/>
        </w:rPr>
        <w:t>maintained</w:t>
      </w:r>
      <w:r w:rsidR="00D50F23" w:rsidRPr="00CC39F5">
        <w:rPr>
          <w:rFonts w:ascii="Cambria" w:eastAsia="Times New Roman" w:hAnsi="Cambria"/>
          <w:sz w:val="20"/>
          <w:szCs w:val="20"/>
          <w:bdr w:val="none" w:sz="0" w:space="0" w:color="auto"/>
        </w:rPr>
        <w:t xml:space="preserve"> that the alleged victim was not informed about why he was being arrested and that he was not brought before a </w:t>
      </w:r>
      <w:r w:rsidR="00FC0FC7" w:rsidRPr="00CC39F5">
        <w:rPr>
          <w:rFonts w:ascii="Cambria" w:eastAsia="Times New Roman" w:hAnsi="Cambria"/>
          <w:sz w:val="20"/>
          <w:szCs w:val="20"/>
          <w:bdr w:val="none" w:sz="0" w:space="0" w:color="auto"/>
        </w:rPr>
        <w:t>judicial</w:t>
      </w:r>
      <w:r w:rsidR="00D50F23" w:rsidRPr="00CC39F5">
        <w:rPr>
          <w:rFonts w:ascii="Cambria" w:eastAsia="Times New Roman" w:hAnsi="Cambria"/>
          <w:sz w:val="20"/>
          <w:szCs w:val="20"/>
          <w:bdr w:val="none" w:sz="0" w:space="0" w:color="auto"/>
        </w:rPr>
        <w:t xml:space="preserve"> authority within a reasonable timeframe</w:t>
      </w:r>
      <w:r w:rsidR="006B32E1" w:rsidRPr="00CC39F5">
        <w:rPr>
          <w:rFonts w:ascii="Cambria" w:eastAsia="Times New Roman" w:hAnsi="Cambria"/>
          <w:sz w:val="20"/>
          <w:szCs w:val="20"/>
          <w:bdr w:val="none" w:sz="0" w:space="0" w:color="auto"/>
        </w:rPr>
        <w:t xml:space="preserve">. </w:t>
      </w:r>
      <w:r w:rsidR="00D50F23" w:rsidRPr="00CC39F5">
        <w:rPr>
          <w:rFonts w:ascii="Cambria" w:eastAsia="Times New Roman" w:hAnsi="Cambria"/>
          <w:sz w:val="20"/>
          <w:szCs w:val="20"/>
          <w:bdr w:val="none" w:sz="0" w:space="0" w:color="auto"/>
        </w:rPr>
        <w:t xml:space="preserve">The petitioner added that the </w:t>
      </w:r>
      <w:r w:rsidR="00D50F23" w:rsidRPr="00CC39F5">
        <w:rPr>
          <w:rFonts w:ascii="Cambria" w:eastAsia="Times New Roman" w:hAnsi="Cambria"/>
          <w:i/>
          <w:sz w:val="20"/>
          <w:szCs w:val="20"/>
          <w:bdr w:val="none" w:sz="0" w:space="0" w:color="auto"/>
        </w:rPr>
        <w:t>ha</w:t>
      </w:r>
      <w:r w:rsidR="006B32E1" w:rsidRPr="00CC39F5">
        <w:rPr>
          <w:rFonts w:ascii="Cambria" w:eastAsia="Times New Roman" w:hAnsi="Cambria"/>
          <w:i/>
          <w:sz w:val="20"/>
          <w:szCs w:val="20"/>
          <w:bdr w:val="none" w:sz="0" w:space="0" w:color="auto"/>
        </w:rPr>
        <w:t>beas corpus</w:t>
      </w:r>
      <w:r w:rsidR="00D50F23" w:rsidRPr="00CC39F5">
        <w:rPr>
          <w:rFonts w:ascii="Cambria" w:eastAsia="Times New Roman" w:hAnsi="Cambria"/>
          <w:sz w:val="20"/>
          <w:szCs w:val="20"/>
          <w:bdr w:val="none" w:sz="0" w:space="0" w:color="auto"/>
        </w:rPr>
        <w:t xml:space="preserve"> appeals to </w:t>
      </w:r>
      <w:r w:rsidR="00FC0FC7" w:rsidRPr="00CC39F5">
        <w:rPr>
          <w:rFonts w:ascii="Cambria" w:eastAsia="Times New Roman" w:hAnsi="Cambria"/>
          <w:sz w:val="20"/>
          <w:szCs w:val="20"/>
          <w:bdr w:val="none" w:sz="0" w:space="0" w:color="auto"/>
        </w:rPr>
        <w:t>challenge</w:t>
      </w:r>
      <w:r w:rsidR="00D50F23" w:rsidRPr="00CC39F5">
        <w:rPr>
          <w:rFonts w:ascii="Cambria" w:eastAsia="Times New Roman" w:hAnsi="Cambria"/>
          <w:sz w:val="20"/>
          <w:szCs w:val="20"/>
          <w:bdr w:val="none" w:sz="0" w:space="0" w:color="auto"/>
        </w:rPr>
        <w:t xml:space="preserve"> the arrest were neither adequate nor effective</w:t>
      </w:r>
      <w:r w:rsidR="006B32E1" w:rsidRPr="00CC39F5">
        <w:rPr>
          <w:rFonts w:ascii="Cambria" w:eastAsia="Times New Roman" w:hAnsi="Cambria"/>
          <w:sz w:val="20"/>
          <w:szCs w:val="20"/>
          <w:bdr w:val="none" w:sz="0" w:space="0" w:color="auto"/>
        </w:rPr>
        <w:t xml:space="preserve">. </w:t>
      </w:r>
      <w:r w:rsidR="00E33041" w:rsidRPr="00CC39F5">
        <w:rPr>
          <w:rFonts w:ascii="Cambria" w:eastAsia="Times New Roman" w:hAnsi="Cambria"/>
          <w:sz w:val="20"/>
          <w:szCs w:val="20"/>
          <w:bdr w:val="none" w:sz="0" w:space="0" w:color="auto"/>
        </w:rPr>
        <w:t xml:space="preserve">He </w:t>
      </w:r>
      <w:r w:rsidR="00FC0FC7" w:rsidRPr="00CC39F5">
        <w:rPr>
          <w:rFonts w:ascii="Cambria" w:eastAsia="Times New Roman" w:hAnsi="Cambria"/>
          <w:sz w:val="20"/>
          <w:szCs w:val="20"/>
          <w:bdr w:val="none" w:sz="0" w:space="0" w:color="auto"/>
        </w:rPr>
        <w:t>further noted that the time the alleged victim</w:t>
      </w:r>
      <w:r w:rsidR="00E33041" w:rsidRPr="00CC39F5">
        <w:rPr>
          <w:rFonts w:ascii="Cambria" w:eastAsia="Times New Roman" w:hAnsi="Cambria"/>
          <w:sz w:val="20"/>
          <w:szCs w:val="20"/>
          <w:bdr w:val="none" w:sz="0" w:space="0" w:color="auto"/>
        </w:rPr>
        <w:t xml:space="preserve"> was held in pretrial detention was unreasonable </w:t>
      </w:r>
      <w:r w:rsidR="00FC0FC7" w:rsidRPr="00CC39F5">
        <w:rPr>
          <w:rFonts w:ascii="Cambria" w:eastAsia="Times New Roman" w:hAnsi="Cambria"/>
          <w:sz w:val="20"/>
          <w:szCs w:val="20"/>
          <w:bdr w:val="none" w:sz="0" w:space="0" w:color="auto"/>
        </w:rPr>
        <w:t>insofar</w:t>
      </w:r>
      <w:r w:rsidR="00E33041" w:rsidRPr="00CC39F5">
        <w:rPr>
          <w:rFonts w:ascii="Cambria" w:eastAsia="Times New Roman" w:hAnsi="Cambria"/>
          <w:sz w:val="20"/>
          <w:szCs w:val="20"/>
          <w:bdr w:val="none" w:sz="0" w:space="0" w:color="auto"/>
        </w:rPr>
        <w:t xml:space="preserve"> as it lasted more than six years</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9B430A"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 xml:space="preserve">Regarding the alleged violation of the </w:t>
      </w:r>
      <w:r w:rsidRPr="00CC39F5">
        <w:rPr>
          <w:rFonts w:ascii="Cambria" w:eastAsia="Times New Roman" w:hAnsi="Cambria"/>
          <w:b/>
          <w:sz w:val="20"/>
          <w:szCs w:val="20"/>
          <w:bdr w:val="none" w:sz="0" w:space="0" w:color="auto"/>
        </w:rPr>
        <w:t>right to humane treatment</w:t>
      </w:r>
      <w:r w:rsidR="006B32E1" w:rsidRPr="00CC39F5">
        <w:rPr>
          <w:rFonts w:ascii="Cambria" w:eastAsia="Times New Roman" w:hAnsi="Cambria"/>
          <w:sz w:val="20"/>
          <w:szCs w:val="20"/>
          <w:bdr w:val="none" w:sz="0" w:space="0" w:color="auto"/>
        </w:rPr>
        <w:t xml:space="preserve">, </w:t>
      </w:r>
      <w:r w:rsidR="00A60E5E" w:rsidRPr="00CC39F5">
        <w:rPr>
          <w:rFonts w:ascii="Cambria" w:eastAsia="Times New Roman" w:hAnsi="Cambria"/>
          <w:sz w:val="20"/>
          <w:szCs w:val="20"/>
          <w:bdr w:val="none" w:sz="0" w:space="0" w:color="auto"/>
        </w:rPr>
        <w:t xml:space="preserve">the petitioner claimed that while </w:t>
      </w:r>
      <w:r w:rsidR="00FC0FC7" w:rsidRPr="00CC39F5">
        <w:rPr>
          <w:rFonts w:ascii="Cambria" w:eastAsia="Times New Roman" w:hAnsi="Cambria"/>
          <w:sz w:val="20"/>
          <w:szCs w:val="20"/>
          <w:bdr w:val="none" w:sz="0" w:space="0" w:color="auto"/>
        </w:rPr>
        <w:t>in custody</w:t>
      </w:r>
      <w:r w:rsidR="00A60E5E" w:rsidRPr="00CC39F5">
        <w:rPr>
          <w:rFonts w:ascii="Cambria" w:eastAsia="Times New Roman" w:hAnsi="Cambria"/>
          <w:sz w:val="20"/>
          <w:szCs w:val="20"/>
          <w:bdr w:val="none" w:sz="0" w:space="0" w:color="auto"/>
        </w:rPr>
        <w:t xml:space="preserve">, Mr. Montesinos was tortured by the guards at the prison in an effort to get him to confess to having committed a crime. He indicated that the torture consisted of beatings, electric shocks, and gas attacks. The petitioner added that the sanitary conditions in the cell </w:t>
      </w:r>
      <w:r w:rsidR="00A67333" w:rsidRPr="00CC39F5">
        <w:rPr>
          <w:rFonts w:ascii="Cambria" w:eastAsia="Times New Roman" w:hAnsi="Cambria"/>
          <w:sz w:val="20"/>
          <w:szCs w:val="20"/>
          <w:bdr w:val="none" w:sz="0" w:space="0" w:color="auto"/>
        </w:rPr>
        <w:t xml:space="preserve">where </w:t>
      </w:r>
      <w:r w:rsidR="00A60E5E" w:rsidRPr="00CC39F5">
        <w:rPr>
          <w:rFonts w:ascii="Cambria" w:eastAsia="Times New Roman" w:hAnsi="Cambria"/>
          <w:sz w:val="20"/>
          <w:szCs w:val="20"/>
          <w:bdr w:val="none" w:sz="0" w:space="0" w:color="auto"/>
        </w:rPr>
        <w:t xml:space="preserve">Mr. Montesinos was held </w:t>
      </w:r>
      <w:r w:rsidR="00A67333" w:rsidRPr="00CC39F5">
        <w:rPr>
          <w:rFonts w:ascii="Cambria" w:eastAsia="Times New Roman" w:hAnsi="Cambria"/>
          <w:sz w:val="20"/>
          <w:szCs w:val="20"/>
          <w:bdr w:val="none" w:sz="0" w:space="0" w:color="auto"/>
        </w:rPr>
        <w:t xml:space="preserve">for </w:t>
      </w:r>
      <w:r w:rsidR="00A60E5E" w:rsidRPr="00CC39F5">
        <w:rPr>
          <w:rFonts w:ascii="Cambria" w:eastAsia="Times New Roman" w:hAnsi="Cambria"/>
          <w:sz w:val="20"/>
          <w:szCs w:val="20"/>
          <w:bdr w:val="none" w:sz="0" w:space="0" w:color="auto"/>
        </w:rPr>
        <w:t xml:space="preserve">the first </w:t>
      </w:r>
      <w:r w:rsidR="00A67333" w:rsidRPr="00CC39F5">
        <w:rPr>
          <w:rFonts w:ascii="Cambria" w:eastAsia="Times New Roman" w:hAnsi="Cambria"/>
          <w:sz w:val="20"/>
          <w:szCs w:val="20"/>
          <w:bdr w:val="none" w:sz="0" w:space="0" w:color="auto"/>
        </w:rPr>
        <w:t xml:space="preserve">few </w:t>
      </w:r>
      <w:r w:rsidR="00A60E5E" w:rsidRPr="00CC39F5">
        <w:rPr>
          <w:rFonts w:ascii="Cambria" w:eastAsia="Times New Roman" w:hAnsi="Cambria"/>
          <w:sz w:val="20"/>
          <w:szCs w:val="20"/>
          <w:bdr w:val="none" w:sz="0" w:space="0" w:color="auto"/>
        </w:rPr>
        <w:t>days were deplorable</w:t>
      </w:r>
      <w:r w:rsidR="006B32E1" w:rsidRPr="00CC39F5">
        <w:rPr>
          <w:rFonts w:ascii="Cambria" w:eastAsia="Times New Roman" w:hAnsi="Cambria"/>
          <w:sz w:val="20"/>
          <w:szCs w:val="20"/>
          <w:bdr w:val="none" w:sz="0" w:space="0" w:color="auto"/>
        </w:rPr>
        <w:t>.</w:t>
      </w:r>
    </w:p>
    <w:p w:rsidR="006B32E1" w:rsidRPr="00CC39F5" w:rsidRDefault="006B32E1" w:rsidP="006B32E1">
      <w:pPr>
        <w:pStyle w:val="ColorfulList-Accent11"/>
        <w:rPr>
          <w:rFonts w:eastAsia="Times New Roman"/>
          <w:sz w:val="20"/>
          <w:szCs w:val="20"/>
          <w:bdr w:val="none" w:sz="0" w:space="0" w:color="auto"/>
        </w:rPr>
      </w:pPr>
    </w:p>
    <w:p w:rsidR="006B32E1" w:rsidRPr="00CC39F5" w:rsidRDefault="009761B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With respect to the alleged violation of the</w:t>
      </w:r>
      <w:r w:rsidR="006B32E1" w:rsidRPr="00CC39F5">
        <w:rPr>
          <w:rFonts w:ascii="Cambria" w:eastAsia="Times New Roman" w:hAnsi="Cambria"/>
          <w:sz w:val="20"/>
          <w:szCs w:val="20"/>
          <w:bdr w:val="none" w:sz="0" w:space="0" w:color="auto"/>
        </w:rPr>
        <w:t xml:space="preserve"> </w:t>
      </w:r>
      <w:r w:rsidRPr="00CC39F5">
        <w:rPr>
          <w:rFonts w:ascii="Cambria" w:eastAsia="Times New Roman" w:hAnsi="Cambria"/>
          <w:b/>
          <w:sz w:val="20"/>
          <w:szCs w:val="20"/>
          <w:bdr w:val="none" w:sz="0" w:space="0" w:color="auto"/>
        </w:rPr>
        <w:t>rights to a fair trial and judicial protection</w:t>
      </w:r>
      <w:r w:rsidR="006B32E1" w:rsidRPr="00CC39F5">
        <w:rPr>
          <w:rFonts w:ascii="Cambria" w:eastAsia="Times New Roman" w:hAnsi="Cambria"/>
          <w:sz w:val="20"/>
          <w:szCs w:val="20"/>
          <w:bdr w:val="none" w:sz="0" w:space="0" w:color="auto"/>
        </w:rPr>
        <w:t xml:space="preserve">, </w:t>
      </w:r>
      <w:r w:rsidRPr="00CC39F5">
        <w:rPr>
          <w:rFonts w:ascii="Cambria" w:eastAsia="Times New Roman" w:hAnsi="Cambria"/>
          <w:sz w:val="20"/>
          <w:szCs w:val="20"/>
          <w:bdr w:val="none" w:sz="0" w:space="0" w:color="auto"/>
        </w:rPr>
        <w:t>the petitioner held that the criminal prosecutions were plagued with irregularities. He</w:t>
      </w:r>
      <w:r w:rsidR="00CB326A" w:rsidRPr="00CC39F5">
        <w:rPr>
          <w:rFonts w:ascii="Cambria" w:eastAsia="Times New Roman" w:hAnsi="Cambria"/>
          <w:sz w:val="20"/>
          <w:szCs w:val="20"/>
          <w:bdr w:val="none" w:sz="0" w:space="0" w:color="auto"/>
        </w:rPr>
        <w:t xml:space="preserve"> indicated that from the outset, the alleged victim was not apprised of the charges against him</w:t>
      </w:r>
      <w:r w:rsidR="006B32E1" w:rsidRPr="00CC39F5">
        <w:rPr>
          <w:rFonts w:ascii="Cambria" w:eastAsia="Times New Roman" w:hAnsi="Cambria"/>
          <w:sz w:val="20"/>
          <w:szCs w:val="20"/>
          <w:bdr w:val="none" w:sz="0" w:space="0" w:color="auto"/>
        </w:rPr>
        <w:t xml:space="preserve"> </w:t>
      </w:r>
      <w:r w:rsidR="00CB326A" w:rsidRPr="00CC39F5">
        <w:rPr>
          <w:rFonts w:ascii="Cambria" w:eastAsia="Times New Roman" w:hAnsi="Cambria"/>
          <w:sz w:val="20"/>
          <w:szCs w:val="20"/>
          <w:bdr w:val="none" w:sz="0" w:space="0" w:color="auto"/>
        </w:rPr>
        <w:t xml:space="preserve">and was unable to contact his attorney, which </w:t>
      </w:r>
      <w:r w:rsidR="00D023E2" w:rsidRPr="00CC39F5">
        <w:rPr>
          <w:rFonts w:ascii="Cambria" w:eastAsia="Times New Roman" w:hAnsi="Cambria"/>
          <w:sz w:val="20"/>
          <w:szCs w:val="20"/>
          <w:bdr w:val="none" w:sz="0" w:space="0" w:color="auto"/>
        </w:rPr>
        <w:t>undermined</w:t>
      </w:r>
      <w:r w:rsidR="00CB326A" w:rsidRPr="00CC39F5">
        <w:rPr>
          <w:rFonts w:ascii="Cambria" w:eastAsia="Times New Roman" w:hAnsi="Cambria"/>
          <w:sz w:val="20"/>
          <w:szCs w:val="20"/>
          <w:bdr w:val="none" w:sz="0" w:space="0" w:color="auto"/>
        </w:rPr>
        <w:t xml:space="preserve"> his right to a defense.</w:t>
      </w:r>
      <w:r w:rsidR="006B32E1" w:rsidRPr="00CC39F5">
        <w:rPr>
          <w:rFonts w:ascii="Cambria" w:eastAsia="Times New Roman" w:hAnsi="Cambria"/>
          <w:sz w:val="20"/>
          <w:szCs w:val="20"/>
          <w:bdr w:val="none" w:sz="0" w:space="0" w:color="auto"/>
        </w:rPr>
        <w:t xml:space="preserve"> </w:t>
      </w:r>
      <w:r w:rsidR="009D795E" w:rsidRPr="00CC39F5">
        <w:rPr>
          <w:rFonts w:ascii="Cambria" w:eastAsia="Times New Roman" w:hAnsi="Cambria"/>
          <w:sz w:val="20"/>
          <w:szCs w:val="20"/>
          <w:bdr w:val="none" w:sz="0" w:space="0" w:color="auto"/>
        </w:rPr>
        <w:t xml:space="preserve">The petitioner stated that </w:t>
      </w:r>
      <w:r w:rsidR="00A67333" w:rsidRPr="00CC39F5">
        <w:rPr>
          <w:rFonts w:ascii="Cambria" w:eastAsia="Times New Roman" w:hAnsi="Cambria"/>
          <w:sz w:val="20"/>
          <w:szCs w:val="20"/>
          <w:bdr w:val="none" w:sz="0" w:space="0" w:color="auto"/>
        </w:rPr>
        <w:t xml:space="preserve">motions filed by Mr. Montesinos’ defense team for </w:t>
      </w:r>
      <w:r w:rsidR="005E6ED1" w:rsidRPr="00CC39F5">
        <w:rPr>
          <w:rFonts w:ascii="Cambria" w:eastAsia="Times New Roman" w:hAnsi="Cambria"/>
          <w:sz w:val="20"/>
          <w:szCs w:val="20"/>
          <w:bdr w:val="none" w:sz="0" w:space="0" w:color="auto"/>
        </w:rPr>
        <w:t>an inquiry</w:t>
      </w:r>
      <w:r w:rsidR="007605A5" w:rsidRPr="00CC39F5">
        <w:rPr>
          <w:rFonts w:ascii="Cambria" w:eastAsia="Times New Roman" w:hAnsi="Cambria"/>
          <w:sz w:val="20"/>
          <w:szCs w:val="20"/>
          <w:bdr w:val="none" w:sz="0" w:space="0" w:color="auto"/>
        </w:rPr>
        <w:t xml:space="preserve"> </w:t>
      </w:r>
      <w:r w:rsidR="00A67333" w:rsidRPr="00CC39F5">
        <w:rPr>
          <w:rFonts w:ascii="Cambria" w:eastAsia="Times New Roman" w:hAnsi="Cambria"/>
          <w:sz w:val="20"/>
          <w:szCs w:val="20"/>
          <w:bdr w:val="none" w:sz="0" w:space="0" w:color="auto"/>
        </w:rPr>
        <w:t>during</w:t>
      </w:r>
      <w:r w:rsidR="009D795E" w:rsidRPr="00CC39F5">
        <w:rPr>
          <w:rFonts w:ascii="Cambria" w:eastAsia="Times New Roman" w:hAnsi="Cambria"/>
          <w:sz w:val="20"/>
          <w:szCs w:val="20"/>
          <w:bdr w:val="none" w:sz="0" w:space="0" w:color="auto"/>
        </w:rPr>
        <w:t xml:space="preserve"> the proceeding</w:t>
      </w:r>
      <w:r w:rsidR="00D023E2" w:rsidRPr="00CC39F5">
        <w:rPr>
          <w:rFonts w:ascii="Cambria" w:eastAsia="Times New Roman" w:hAnsi="Cambria"/>
          <w:sz w:val="20"/>
          <w:szCs w:val="20"/>
          <w:bdr w:val="none" w:sz="0" w:space="0" w:color="auto"/>
        </w:rPr>
        <w:t>s</w:t>
      </w:r>
      <w:r w:rsidR="009D795E" w:rsidRPr="00CC39F5">
        <w:rPr>
          <w:rFonts w:ascii="Cambria" w:eastAsia="Times New Roman" w:hAnsi="Cambria"/>
          <w:sz w:val="20"/>
          <w:szCs w:val="20"/>
          <w:bdr w:val="none" w:sz="0" w:space="0" w:color="auto"/>
        </w:rPr>
        <w:t xml:space="preserve"> </w:t>
      </w:r>
      <w:r w:rsidR="00D023E2" w:rsidRPr="00CC39F5">
        <w:rPr>
          <w:rFonts w:ascii="Cambria" w:eastAsia="Times New Roman" w:hAnsi="Cambria"/>
          <w:sz w:val="20"/>
          <w:szCs w:val="20"/>
          <w:bdr w:val="none" w:sz="0" w:space="0" w:color="auto"/>
        </w:rPr>
        <w:t>were</w:t>
      </w:r>
      <w:r w:rsidR="009D795E" w:rsidRPr="00CC39F5">
        <w:rPr>
          <w:rFonts w:ascii="Cambria" w:eastAsia="Times New Roman" w:hAnsi="Cambria"/>
          <w:sz w:val="20"/>
          <w:szCs w:val="20"/>
          <w:bdr w:val="none" w:sz="0" w:space="0" w:color="auto"/>
        </w:rPr>
        <w:t xml:space="preserve"> rejected</w:t>
      </w:r>
      <w:r w:rsidR="006B32E1" w:rsidRPr="00CC39F5">
        <w:rPr>
          <w:rFonts w:ascii="Cambria" w:eastAsia="Times New Roman" w:hAnsi="Cambria"/>
          <w:sz w:val="20"/>
          <w:szCs w:val="20"/>
          <w:bdr w:val="none" w:sz="0" w:space="0" w:color="auto"/>
        </w:rPr>
        <w:t>.</w:t>
      </w:r>
    </w:p>
    <w:p w:rsidR="006B32E1" w:rsidRPr="00CC39F5" w:rsidRDefault="006B32E1" w:rsidP="006B32E1">
      <w:pPr>
        <w:pStyle w:val="ColorfulList-Accent11"/>
        <w:rPr>
          <w:rFonts w:eastAsia="Times New Roman"/>
          <w:sz w:val="20"/>
          <w:szCs w:val="20"/>
          <w:bdr w:val="none" w:sz="0" w:space="0" w:color="auto"/>
        </w:rPr>
      </w:pPr>
    </w:p>
    <w:p w:rsidR="006B32E1" w:rsidRPr="00CC39F5" w:rsidRDefault="00910E90" w:rsidP="00F3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eastAsia="Times New Roman" w:hAnsi="Cambria"/>
          <w:sz w:val="20"/>
          <w:szCs w:val="20"/>
          <w:bdr w:val="none" w:sz="0" w:space="0" w:color="auto"/>
        </w:rPr>
        <w:t xml:space="preserve">The petitioner </w:t>
      </w:r>
      <w:r w:rsidR="00804B91" w:rsidRPr="00CC39F5">
        <w:rPr>
          <w:rFonts w:ascii="Cambria" w:eastAsia="Times New Roman" w:hAnsi="Cambria"/>
          <w:sz w:val="20"/>
          <w:szCs w:val="20"/>
          <w:bdr w:val="none" w:sz="0" w:space="0" w:color="auto"/>
        </w:rPr>
        <w:t>stated</w:t>
      </w:r>
      <w:r w:rsidRPr="00CC39F5">
        <w:rPr>
          <w:rFonts w:ascii="Cambria" w:eastAsia="Times New Roman" w:hAnsi="Cambria"/>
          <w:sz w:val="20"/>
          <w:szCs w:val="20"/>
          <w:bdr w:val="none" w:sz="0" w:space="0" w:color="auto"/>
        </w:rPr>
        <w:t xml:space="preserve"> that </w:t>
      </w:r>
      <w:r w:rsidR="008256B4" w:rsidRPr="00CC39F5">
        <w:rPr>
          <w:rFonts w:ascii="Cambria" w:eastAsia="Times New Roman" w:hAnsi="Cambria"/>
          <w:sz w:val="20"/>
          <w:szCs w:val="20"/>
          <w:bdr w:val="none" w:sz="0" w:space="0" w:color="auto"/>
        </w:rPr>
        <w:t>the application</w:t>
      </w:r>
      <w:r w:rsidRPr="00CC39F5">
        <w:rPr>
          <w:rFonts w:ascii="Cambria" w:eastAsia="Times New Roman" w:hAnsi="Cambria"/>
          <w:sz w:val="20"/>
          <w:szCs w:val="20"/>
          <w:bdr w:val="none" w:sz="0" w:space="0" w:color="auto"/>
        </w:rPr>
        <w:t xml:space="preserve"> of</w:t>
      </w:r>
      <w:r w:rsidR="006B32E1" w:rsidRPr="00CC39F5">
        <w:rPr>
          <w:rFonts w:ascii="Cambria" w:hAnsi="Cambria"/>
          <w:sz w:val="20"/>
          <w:szCs w:val="20"/>
        </w:rPr>
        <w:t xml:space="preserve"> </w:t>
      </w:r>
      <w:r w:rsidR="009761B6" w:rsidRPr="00CC39F5">
        <w:rPr>
          <w:rFonts w:ascii="Cambria" w:hAnsi="Cambria"/>
          <w:sz w:val="20"/>
          <w:szCs w:val="20"/>
        </w:rPr>
        <w:t>Article </w:t>
      </w:r>
      <w:r w:rsidR="006B32E1" w:rsidRPr="00CC39F5">
        <w:rPr>
          <w:rFonts w:ascii="Cambria" w:hAnsi="Cambria"/>
          <w:sz w:val="20"/>
          <w:szCs w:val="20"/>
        </w:rPr>
        <w:t xml:space="preserve">116 </w:t>
      </w:r>
      <w:r w:rsidRPr="00CC39F5">
        <w:rPr>
          <w:rFonts w:ascii="Cambria" w:hAnsi="Cambria"/>
          <w:sz w:val="20"/>
          <w:szCs w:val="20"/>
        </w:rPr>
        <w:t>of the Law on Narcotic</w:t>
      </w:r>
      <w:r w:rsidR="008256B4" w:rsidRPr="00CC39F5">
        <w:rPr>
          <w:rFonts w:ascii="Cambria" w:hAnsi="Cambria"/>
          <w:sz w:val="20"/>
          <w:szCs w:val="20"/>
        </w:rPr>
        <w:t>s</w:t>
      </w:r>
      <w:r w:rsidRPr="00CC39F5">
        <w:rPr>
          <w:rFonts w:ascii="Cambria" w:hAnsi="Cambria"/>
          <w:sz w:val="20"/>
          <w:szCs w:val="20"/>
        </w:rPr>
        <w:t xml:space="preserve"> and Psychotropic Substances</w:t>
      </w:r>
      <w:r w:rsidR="006B32E1" w:rsidRPr="00CC39F5">
        <w:rPr>
          <w:rFonts w:ascii="Cambria" w:hAnsi="Cambria"/>
          <w:sz w:val="20"/>
          <w:szCs w:val="20"/>
        </w:rPr>
        <w:t xml:space="preserve"> </w:t>
      </w:r>
      <w:r w:rsidR="008256B4" w:rsidRPr="00CC39F5">
        <w:rPr>
          <w:rFonts w:ascii="Cambria" w:hAnsi="Cambria"/>
          <w:sz w:val="20"/>
          <w:szCs w:val="20"/>
        </w:rPr>
        <w:t>to Mr. Montesinos’ case</w:t>
      </w:r>
      <w:r w:rsidR="006B32E1" w:rsidRPr="00CC39F5">
        <w:rPr>
          <w:rFonts w:ascii="Cambria" w:hAnsi="Cambria"/>
          <w:sz w:val="20"/>
          <w:szCs w:val="20"/>
        </w:rPr>
        <w:t xml:space="preserve"> </w:t>
      </w:r>
      <w:r w:rsidR="008256B4" w:rsidRPr="00CC39F5">
        <w:rPr>
          <w:rFonts w:ascii="Cambria" w:hAnsi="Cambria"/>
          <w:sz w:val="20"/>
          <w:szCs w:val="20"/>
        </w:rPr>
        <w:t>also violated his right to a defense</w:t>
      </w:r>
      <w:r w:rsidR="006B32E1" w:rsidRPr="00CC39F5">
        <w:rPr>
          <w:rFonts w:ascii="Cambria" w:hAnsi="Cambria"/>
          <w:sz w:val="20"/>
          <w:szCs w:val="20"/>
        </w:rPr>
        <w:t xml:space="preserve">. </w:t>
      </w:r>
      <w:r w:rsidR="0079764F" w:rsidRPr="00CC39F5">
        <w:rPr>
          <w:rFonts w:ascii="Cambria" w:hAnsi="Cambria"/>
          <w:sz w:val="20"/>
          <w:szCs w:val="20"/>
        </w:rPr>
        <w:t xml:space="preserve">This, because it stipulates that a </w:t>
      </w:r>
      <w:r w:rsidR="007479CC" w:rsidRPr="00CC39F5">
        <w:rPr>
          <w:rFonts w:ascii="Cambria" w:hAnsi="Cambria"/>
          <w:sz w:val="20"/>
          <w:szCs w:val="20"/>
        </w:rPr>
        <w:t xml:space="preserve">defendant’s </w:t>
      </w:r>
      <w:r w:rsidR="00FC4D8E" w:rsidRPr="00CC39F5">
        <w:rPr>
          <w:rFonts w:ascii="Cambria" w:hAnsi="Cambria"/>
          <w:sz w:val="20"/>
          <w:szCs w:val="20"/>
        </w:rPr>
        <w:t>preliminary</w:t>
      </w:r>
      <w:r w:rsidR="0079764F" w:rsidRPr="00CC39F5">
        <w:rPr>
          <w:rFonts w:ascii="Cambria" w:hAnsi="Cambria"/>
          <w:sz w:val="20"/>
          <w:szCs w:val="20"/>
        </w:rPr>
        <w:t xml:space="preserve"> statement</w:t>
      </w:r>
      <w:r w:rsidR="006B32E1" w:rsidRPr="00CC39F5">
        <w:rPr>
          <w:rFonts w:ascii="Cambria" w:hAnsi="Cambria"/>
          <w:sz w:val="20"/>
          <w:szCs w:val="20"/>
        </w:rPr>
        <w:t xml:space="preserve"> </w:t>
      </w:r>
      <w:r w:rsidR="0079764F" w:rsidRPr="00CC39F5">
        <w:rPr>
          <w:rFonts w:ascii="Cambria" w:hAnsi="Cambria"/>
          <w:sz w:val="20"/>
          <w:szCs w:val="20"/>
        </w:rPr>
        <w:t xml:space="preserve">and the initial police report may be considered serious </w:t>
      </w:r>
      <w:r w:rsidR="00804B91" w:rsidRPr="00CC39F5">
        <w:rPr>
          <w:rFonts w:ascii="Cambria" w:hAnsi="Cambria"/>
          <w:sz w:val="20"/>
          <w:szCs w:val="20"/>
        </w:rPr>
        <w:t>indicia</w:t>
      </w:r>
      <w:r w:rsidR="0079764F" w:rsidRPr="00CC39F5">
        <w:rPr>
          <w:rFonts w:ascii="Cambria" w:hAnsi="Cambria"/>
          <w:sz w:val="20"/>
          <w:szCs w:val="20"/>
        </w:rPr>
        <w:t xml:space="preserve"> of guilt</w:t>
      </w:r>
      <w:r w:rsidR="006B32E1" w:rsidRPr="00CC39F5">
        <w:rPr>
          <w:rFonts w:ascii="Cambria" w:hAnsi="Cambria"/>
          <w:sz w:val="20"/>
          <w:szCs w:val="20"/>
        </w:rPr>
        <w:t xml:space="preserve">. </w:t>
      </w:r>
      <w:r w:rsidR="0079764F" w:rsidRPr="00CC39F5">
        <w:rPr>
          <w:rFonts w:ascii="Cambria" w:eastAsia="Times New Roman" w:hAnsi="Cambria"/>
          <w:sz w:val="20"/>
          <w:szCs w:val="20"/>
          <w:bdr w:val="none" w:sz="0" w:space="0" w:color="auto"/>
        </w:rPr>
        <w:t>He added that the length</w:t>
      </w:r>
      <w:r w:rsidR="004B2055" w:rsidRPr="00CC39F5">
        <w:rPr>
          <w:rFonts w:ascii="Cambria" w:eastAsia="Times New Roman" w:hAnsi="Cambria"/>
          <w:sz w:val="20"/>
          <w:szCs w:val="20"/>
          <w:bdr w:val="none" w:sz="0" w:space="0" w:color="auto"/>
        </w:rPr>
        <w:t>—six years—o</w:t>
      </w:r>
      <w:r w:rsidR="0079764F" w:rsidRPr="00CC39F5">
        <w:rPr>
          <w:rFonts w:ascii="Cambria" w:eastAsia="Times New Roman" w:hAnsi="Cambria"/>
          <w:sz w:val="20"/>
          <w:szCs w:val="20"/>
          <w:bdr w:val="none" w:sz="0" w:space="0" w:color="auto"/>
        </w:rPr>
        <w:t xml:space="preserve">f the criminal </w:t>
      </w:r>
      <w:r w:rsidR="007A0CB6" w:rsidRPr="00CC39F5">
        <w:rPr>
          <w:rFonts w:ascii="Cambria" w:eastAsia="Times New Roman" w:hAnsi="Cambria"/>
          <w:sz w:val="20"/>
          <w:szCs w:val="20"/>
          <w:bdr w:val="none" w:sz="0" w:space="0" w:color="auto"/>
        </w:rPr>
        <w:t>proceedings</w:t>
      </w:r>
      <w:r w:rsidR="0079764F" w:rsidRPr="00CC39F5">
        <w:rPr>
          <w:rFonts w:ascii="Cambria" w:eastAsia="Times New Roman" w:hAnsi="Cambria"/>
          <w:sz w:val="20"/>
          <w:szCs w:val="20"/>
          <w:bdr w:val="none" w:sz="0" w:space="0" w:color="auto"/>
        </w:rPr>
        <w:t xml:space="preserve"> that were ultimately dismissed</w:t>
      </w:r>
      <w:r w:rsidR="004B2055" w:rsidRPr="00CC39F5">
        <w:rPr>
          <w:rFonts w:ascii="Cambria" w:eastAsia="Times New Roman" w:hAnsi="Cambria"/>
          <w:sz w:val="20"/>
          <w:szCs w:val="20"/>
          <w:bdr w:val="none" w:sz="0" w:space="0" w:color="auto"/>
        </w:rPr>
        <w:t xml:space="preserve"> </w:t>
      </w:r>
      <w:r w:rsidR="00813C7D" w:rsidRPr="00CC39F5">
        <w:rPr>
          <w:rFonts w:ascii="Cambria" w:eastAsia="Times New Roman" w:hAnsi="Cambria"/>
          <w:sz w:val="20"/>
          <w:szCs w:val="20"/>
          <w:bdr w:val="none" w:sz="0" w:space="0" w:color="auto"/>
        </w:rPr>
        <w:t>was not reasonable based on international standards</w:t>
      </w:r>
      <w:r w:rsidR="006B32E1" w:rsidRPr="00CC39F5">
        <w:rPr>
          <w:rFonts w:ascii="Cambria" w:eastAsia="Times New Roman" w:hAnsi="Cambria"/>
          <w:sz w:val="20"/>
          <w:szCs w:val="20"/>
          <w:bdr w:val="none" w:sz="0" w:space="0" w:color="auto"/>
        </w:rPr>
        <w:t>.</w:t>
      </w:r>
    </w:p>
    <w:p w:rsidR="006B32E1" w:rsidRPr="00CC39F5" w:rsidRDefault="006B32E1" w:rsidP="00F334D7">
      <w:pPr>
        <w:pStyle w:val="ColorfulList-Accent11"/>
        <w:rPr>
          <w:sz w:val="20"/>
          <w:szCs w:val="20"/>
        </w:rPr>
      </w:pPr>
    </w:p>
    <w:p w:rsidR="006B32E1" w:rsidRPr="00CC39F5" w:rsidRDefault="002530B6" w:rsidP="00F3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IACHR</w:t>
      </w:r>
      <w:r w:rsidR="006B32E1" w:rsidRPr="00CC39F5">
        <w:rPr>
          <w:rFonts w:ascii="Cambria" w:hAnsi="Cambria"/>
          <w:sz w:val="20"/>
          <w:szCs w:val="20"/>
        </w:rPr>
        <w:t xml:space="preserve"> </w:t>
      </w:r>
      <w:r w:rsidR="00C95F60" w:rsidRPr="00CC39F5">
        <w:rPr>
          <w:rFonts w:ascii="Cambria" w:hAnsi="Cambria"/>
          <w:sz w:val="20"/>
          <w:szCs w:val="20"/>
        </w:rPr>
        <w:t xml:space="preserve">takes note that the petitioner </w:t>
      </w:r>
      <w:r w:rsidR="001D1597" w:rsidRPr="00CC39F5">
        <w:rPr>
          <w:rFonts w:ascii="Cambria" w:hAnsi="Cambria"/>
          <w:sz w:val="20"/>
          <w:szCs w:val="20"/>
        </w:rPr>
        <w:t>further</w:t>
      </w:r>
      <w:r w:rsidR="00C95F60" w:rsidRPr="00CC39F5">
        <w:rPr>
          <w:rFonts w:ascii="Cambria" w:hAnsi="Cambria"/>
          <w:sz w:val="20"/>
          <w:szCs w:val="20"/>
        </w:rPr>
        <w:t xml:space="preserve"> alleged the violation of </w:t>
      </w:r>
      <w:r w:rsidR="00253A9B" w:rsidRPr="00CC39F5">
        <w:rPr>
          <w:rFonts w:ascii="Cambria" w:hAnsi="Cambria"/>
          <w:sz w:val="20"/>
          <w:szCs w:val="20"/>
        </w:rPr>
        <w:t xml:space="preserve">freedom from </w:t>
      </w:r>
      <w:r w:rsidR="001D1597" w:rsidRPr="00CC39F5">
        <w:rPr>
          <w:rFonts w:ascii="Cambria" w:hAnsi="Cambria"/>
          <w:i/>
          <w:sz w:val="20"/>
          <w:szCs w:val="20"/>
        </w:rPr>
        <w:t>ex post </w:t>
      </w:r>
      <w:r w:rsidR="00253A9B" w:rsidRPr="00CC39F5">
        <w:rPr>
          <w:rFonts w:ascii="Cambria" w:hAnsi="Cambria"/>
          <w:i/>
          <w:sz w:val="20"/>
          <w:szCs w:val="20"/>
        </w:rPr>
        <w:t>facto</w:t>
      </w:r>
      <w:r w:rsidR="00253A9B" w:rsidRPr="00CC39F5">
        <w:rPr>
          <w:rFonts w:ascii="Cambria" w:hAnsi="Cambria"/>
          <w:sz w:val="20"/>
          <w:szCs w:val="20"/>
        </w:rPr>
        <w:t xml:space="preserve"> laws</w:t>
      </w:r>
      <w:r w:rsidR="006B32E1" w:rsidRPr="00CC39F5">
        <w:rPr>
          <w:rFonts w:ascii="Cambria" w:hAnsi="Cambria"/>
          <w:sz w:val="20"/>
          <w:szCs w:val="20"/>
        </w:rPr>
        <w:t xml:space="preserve">, </w:t>
      </w:r>
      <w:r w:rsidR="00D1530F" w:rsidRPr="00CC39F5">
        <w:rPr>
          <w:rFonts w:ascii="Cambria" w:hAnsi="Cambria"/>
          <w:sz w:val="20"/>
          <w:szCs w:val="20"/>
        </w:rPr>
        <w:t xml:space="preserve">protection of honor and dignity, and </w:t>
      </w:r>
      <w:r w:rsidR="00BA709E" w:rsidRPr="00CC39F5">
        <w:rPr>
          <w:rFonts w:ascii="Cambria" w:hAnsi="Cambria"/>
          <w:sz w:val="20"/>
          <w:szCs w:val="20"/>
        </w:rPr>
        <w:t xml:space="preserve">[equal] </w:t>
      </w:r>
      <w:r w:rsidR="00D1530F" w:rsidRPr="00CC39F5">
        <w:rPr>
          <w:rFonts w:ascii="Cambria" w:hAnsi="Cambria"/>
          <w:sz w:val="20"/>
          <w:szCs w:val="20"/>
        </w:rPr>
        <w:t>protection before the law</w:t>
      </w:r>
      <w:r w:rsidR="006B32E1" w:rsidRPr="00CC39F5">
        <w:rPr>
          <w:rFonts w:ascii="Cambria" w:hAnsi="Cambria"/>
          <w:sz w:val="20"/>
          <w:szCs w:val="20"/>
        </w:rPr>
        <w:t xml:space="preserve">. </w:t>
      </w:r>
    </w:p>
    <w:p w:rsidR="006B32E1" w:rsidRPr="00CC39F5" w:rsidRDefault="006B32E1" w:rsidP="00F334D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760"/>
        <w:jc w:val="both"/>
        <w:rPr>
          <w:rFonts w:ascii="Cambria" w:eastAsia="Times New Roman" w:hAnsi="Cambria"/>
          <w:sz w:val="20"/>
          <w:szCs w:val="20"/>
          <w:bdr w:val="none" w:sz="0" w:space="0" w:color="auto"/>
          <w:lang w:eastAsia="es-ES"/>
        </w:rPr>
      </w:pPr>
    </w:p>
    <w:p w:rsidR="006B32E1" w:rsidRPr="00CC39F5" w:rsidRDefault="0049205A" w:rsidP="00F334D7">
      <w:pPr>
        <w:pStyle w:val="Heading2"/>
        <w:spacing w:before="0"/>
      </w:pPr>
      <w:bookmarkStart w:id="8" w:name="_Toc338425802"/>
      <w:bookmarkStart w:id="9" w:name="_Toc495584786"/>
      <w:r>
        <w:pict>
          <v:line id="Straight Connector 9" o:spid="_x0000_s1027" style="position:absolute;left:0;text-align:left;z-index:10;visibility:visible;mso-wrap-distance-top:-3e-5mm;mso-wrap-distance-bottom:-3e-5mm" from="4in,3.25pt" to="28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" strokeweight=".7pt"/>
        </w:pict>
      </w:r>
      <w:r>
        <w:pict>
          <v:line id="Straight Connector 6" o:spid="_x0000_s1026" style="position:absolute;left:0;text-align:left;z-index:9;visibility:visible;mso-wrap-distance-top:-3e-5mm;mso-wrap-distance-bottom:-3e-5mm" from="153pt,27.2pt" to="153.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" strokeweight=".7pt"/>
        </w:pict>
      </w:r>
      <w:r w:rsidR="006B32E1" w:rsidRPr="00CC39F5">
        <w:t>B.</w:t>
      </w:r>
      <w:r w:rsidR="006B32E1" w:rsidRPr="00CC39F5">
        <w:tab/>
      </w:r>
      <w:bookmarkEnd w:id="8"/>
      <w:r w:rsidR="00747BEA" w:rsidRPr="00CC39F5">
        <w:t>The State</w:t>
      </w:r>
      <w:bookmarkEnd w:id="9"/>
    </w:p>
    <w:p w:rsidR="006B32E1" w:rsidRPr="00CC39F5" w:rsidRDefault="006B32E1" w:rsidP="00F334D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6B32E1" w:rsidRPr="00CC39F5" w:rsidRDefault="00D40213" w:rsidP="00F3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The State</w:t>
      </w:r>
      <w:r w:rsidR="00AD6EFA" w:rsidRPr="00CC39F5">
        <w:rPr>
          <w:rFonts w:ascii="Cambria" w:eastAsia="Times New Roman" w:hAnsi="Cambria"/>
          <w:sz w:val="20"/>
          <w:szCs w:val="20"/>
          <w:bdr w:val="none" w:sz="0" w:space="0" w:color="auto"/>
        </w:rPr>
        <w:t xml:space="preserve"> alleged that the case </w:t>
      </w:r>
      <w:r w:rsidR="00E64164" w:rsidRPr="00CC39F5">
        <w:rPr>
          <w:rFonts w:ascii="Cambria" w:eastAsia="Times New Roman" w:hAnsi="Cambria"/>
          <w:sz w:val="20"/>
          <w:szCs w:val="20"/>
          <w:bdr w:val="none" w:sz="0" w:space="0" w:color="auto"/>
        </w:rPr>
        <w:t>is</w:t>
      </w:r>
      <w:r w:rsidR="00AD6EFA" w:rsidRPr="00CC39F5">
        <w:rPr>
          <w:rFonts w:ascii="Cambria" w:eastAsia="Times New Roman" w:hAnsi="Cambria"/>
          <w:sz w:val="20"/>
          <w:szCs w:val="20"/>
          <w:bdr w:val="none" w:sz="0" w:space="0" w:color="auto"/>
        </w:rPr>
        <w:t xml:space="preserve"> inadmissible and that it </w:t>
      </w:r>
      <w:r w:rsidR="005556AD" w:rsidRPr="00CC39F5">
        <w:rPr>
          <w:rFonts w:ascii="Cambria" w:eastAsia="Times New Roman" w:hAnsi="Cambria"/>
          <w:sz w:val="20"/>
          <w:szCs w:val="20"/>
          <w:bdr w:val="none" w:sz="0" w:space="0" w:color="auto"/>
        </w:rPr>
        <w:t>has not incurred</w:t>
      </w:r>
      <w:r w:rsidR="005961D6" w:rsidRPr="00CC39F5">
        <w:rPr>
          <w:rFonts w:ascii="Cambria" w:eastAsia="Times New Roman" w:hAnsi="Cambria"/>
          <w:sz w:val="20"/>
          <w:szCs w:val="20"/>
          <w:bdr w:val="none" w:sz="0" w:space="0" w:color="auto"/>
        </w:rPr>
        <w:t xml:space="preserve"> international responsibility</w:t>
      </w:r>
      <w:r w:rsidR="006B32E1" w:rsidRPr="00CC39F5">
        <w:rPr>
          <w:rFonts w:ascii="Cambria" w:eastAsia="Times New Roman" w:hAnsi="Cambria"/>
          <w:sz w:val="20"/>
          <w:szCs w:val="20"/>
          <w:bdr w:val="none" w:sz="0" w:space="0" w:color="auto"/>
        </w:rPr>
        <w:t xml:space="preserve">. </w:t>
      </w:r>
      <w:r w:rsidR="00B9169B" w:rsidRPr="00CC39F5">
        <w:rPr>
          <w:rFonts w:ascii="Cambria" w:eastAsia="Times New Roman" w:hAnsi="Cambria"/>
          <w:sz w:val="20"/>
          <w:szCs w:val="20"/>
          <w:bdr w:val="none" w:sz="0" w:space="0" w:color="auto"/>
        </w:rPr>
        <w:t>Ecuador</w:t>
      </w:r>
      <w:r w:rsidR="00F170BD" w:rsidRPr="00CC39F5">
        <w:rPr>
          <w:rFonts w:ascii="Cambria" w:eastAsia="Times New Roman" w:hAnsi="Cambria"/>
          <w:sz w:val="20"/>
          <w:szCs w:val="20"/>
          <w:bdr w:val="none" w:sz="0" w:space="0" w:color="auto"/>
        </w:rPr>
        <w:t xml:space="preserve"> noted that </w:t>
      </w:r>
      <w:r w:rsidR="005556AD" w:rsidRPr="00CC39F5">
        <w:rPr>
          <w:rFonts w:ascii="Cambria" w:eastAsia="Times New Roman" w:hAnsi="Cambria"/>
          <w:sz w:val="20"/>
          <w:szCs w:val="20"/>
          <w:bdr w:val="none" w:sz="0" w:space="0" w:color="auto"/>
        </w:rPr>
        <w:t xml:space="preserve">when the petition was filed </w:t>
      </w:r>
      <w:r w:rsidR="00F170BD" w:rsidRPr="00CC39F5">
        <w:rPr>
          <w:rFonts w:ascii="Cambria" w:eastAsia="Times New Roman" w:hAnsi="Cambria"/>
          <w:sz w:val="20"/>
          <w:szCs w:val="20"/>
          <w:bdr w:val="none" w:sz="0" w:space="0" w:color="auto"/>
        </w:rPr>
        <w:t>domestic remedies</w:t>
      </w:r>
      <w:r w:rsidR="005556AD" w:rsidRPr="00CC39F5">
        <w:rPr>
          <w:rFonts w:ascii="Cambria" w:eastAsia="Times New Roman" w:hAnsi="Cambria"/>
          <w:sz w:val="20"/>
          <w:szCs w:val="20"/>
          <w:bdr w:val="none" w:sz="0" w:space="0" w:color="auto"/>
        </w:rPr>
        <w:t xml:space="preserve"> for </w:t>
      </w:r>
      <w:r w:rsidR="00F170BD" w:rsidRPr="00CC39F5">
        <w:rPr>
          <w:rFonts w:ascii="Cambria" w:eastAsia="Times New Roman" w:hAnsi="Cambria"/>
          <w:sz w:val="20"/>
          <w:szCs w:val="20"/>
          <w:bdr w:val="none" w:sz="0" w:space="0" w:color="auto"/>
        </w:rPr>
        <w:t xml:space="preserve">the three criminal cases </w:t>
      </w:r>
      <w:r w:rsidR="005556AD" w:rsidRPr="00CC39F5">
        <w:rPr>
          <w:rFonts w:ascii="Cambria" w:eastAsia="Times New Roman" w:hAnsi="Cambria"/>
          <w:sz w:val="20"/>
          <w:szCs w:val="20"/>
          <w:bdr w:val="none" w:sz="0" w:space="0" w:color="auto"/>
        </w:rPr>
        <w:t>brought</w:t>
      </w:r>
      <w:r w:rsidR="00F170BD" w:rsidRPr="00CC39F5">
        <w:rPr>
          <w:rFonts w:ascii="Cambria" w:eastAsia="Times New Roman" w:hAnsi="Cambria"/>
          <w:sz w:val="20"/>
          <w:szCs w:val="20"/>
          <w:bdr w:val="none" w:sz="0" w:space="0" w:color="auto"/>
        </w:rPr>
        <w:t xml:space="preserve"> against Mr. Montesinos had not been exhaus</w:t>
      </w:r>
      <w:r w:rsidR="00B9169B" w:rsidRPr="00CC39F5">
        <w:rPr>
          <w:rFonts w:ascii="Cambria" w:eastAsia="Times New Roman" w:hAnsi="Cambria"/>
          <w:sz w:val="20"/>
          <w:szCs w:val="20"/>
          <w:bdr w:val="none" w:sz="0" w:space="0" w:color="auto"/>
        </w:rPr>
        <w:t>ted</w:t>
      </w:r>
      <w:r w:rsidR="007479CC" w:rsidRPr="00CC39F5">
        <w:rPr>
          <w:rFonts w:ascii="Cambria" w:eastAsia="Times New Roman" w:hAnsi="Cambria"/>
          <w:sz w:val="20"/>
          <w:szCs w:val="20"/>
          <w:bdr w:val="none" w:sz="0" w:space="0" w:color="auto"/>
        </w:rPr>
        <w:t>,</w:t>
      </w:r>
      <w:r w:rsidR="00B9169B" w:rsidRPr="00CC39F5">
        <w:rPr>
          <w:rFonts w:ascii="Cambria" w:eastAsia="Times New Roman" w:hAnsi="Cambria"/>
          <w:sz w:val="20"/>
          <w:szCs w:val="20"/>
          <w:bdr w:val="none" w:sz="0" w:space="0" w:color="auto"/>
        </w:rPr>
        <w:t xml:space="preserve"> and claimed</w:t>
      </w:r>
      <w:r w:rsidR="00F93098" w:rsidRPr="00CC39F5">
        <w:rPr>
          <w:rFonts w:ascii="Cambria" w:eastAsia="Times New Roman" w:hAnsi="Cambria"/>
          <w:sz w:val="20"/>
          <w:szCs w:val="20"/>
          <w:bdr w:val="none" w:sz="0" w:space="0" w:color="auto"/>
        </w:rPr>
        <w:t xml:space="preserve"> that appeals proceedings and</w:t>
      </w:r>
      <w:r w:rsidR="008B2EB0" w:rsidRPr="00CC39F5">
        <w:rPr>
          <w:rFonts w:ascii="Cambria" w:eastAsia="Times New Roman" w:hAnsi="Cambria"/>
          <w:sz w:val="20"/>
          <w:szCs w:val="20"/>
          <w:bdr w:val="none" w:sz="0" w:space="0" w:color="auto"/>
        </w:rPr>
        <w:t xml:space="preserve"> requests for judicial review were still available for the third case</w:t>
      </w:r>
      <w:r w:rsidR="006B32E1" w:rsidRPr="00CC39F5">
        <w:rPr>
          <w:rFonts w:ascii="Cambria" w:eastAsia="Times New Roman" w:hAnsi="Cambria"/>
          <w:sz w:val="20"/>
          <w:szCs w:val="20"/>
          <w:bdr w:val="none" w:sz="0" w:space="0" w:color="auto"/>
        </w:rPr>
        <w:t>.</w:t>
      </w:r>
    </w:p>
    <w:p w:rsidR="006B32E1" w:rsidRPr="00CC39F5" w:rsidRDefault="006B32E1" w:rsidP="00F334D7">
      <w:pPr>
        <w:pStyle w:val="ColorfulList-Accent11"/>
        <w:rPr>
          <w:rFonts w:eastAsia="Times New Roman"/>
          <w:sz w:val="20"/>
          <w:szCs w:val="20"/>
          <w:bdr w:val="none" w:sz="0" w:space="0" w:color="auto"/>
        </w:rPr>
      </w:pPr>
    </w:p>
    <w:p w:rsidR="006B32E1" w:rsidRPr="00CC39F5" w:rsidRDefault="00FF6121" w:rsidP="00F3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Regarding the right to personal liberty</w:t>
      </w:r>
      <w:r w:rsidR="006B32E1" w:rsidRPr="00CC39F5">
        <w:rPr>
          <w:rFonts w:ascii="Cambria" w:eastAsia="Times New Roman" w:hAnsi="Cambria"/>
          <w:sz w:val="20"/>
          <w:szCs w:val="20"/>
          <w:bdr w:val="none" w:sz="0" w:space="0" w:color="auto"/>
        </w:rPr>
        <w:t xml:space="preserve">, Ecuador </w:t>
      </w:r>
      <w:r w:rsidR="00B9169B" w:rsidRPr="00CC39F5">
        <w:rPr>
          <w:rFonts w:ascii="Cambria" w:eastAsia="Times New Roman" w:hAnsi="Cambria"/>
          <w:sz w:val="20"/>
          <w:szCs w:val="20"/>
          <w:bdr w:val="none" w:sz="0" w:space="0" w:color="auto"/>
        </w:rPr>
        <w:t>indicated that Mr. Montesinos was</w:t>
      </w:r>
      <w:r w:rsidRPr="00CC39F5">
        <w:rPr>
          <w:rFonts w:ascii="Cambria" w:eastAsia="Times New Roman" w:hAnsi="Cambria"/>
          <w:sz w:val="20"/>
          <w:szCs w:val="20"/>
          <w:bdr w:val="none" w:sz="0" w:space="0" w:color="auto"/>
        </w:rPr>
        <w:t xml:space="preserve"> arrest</w:t>
      </w:r>
      <w:r w:rsidR="00B9169B" w:rsidRPr="00CC39F5">
        <w:rPr>
          <w:rFonts w:ascii="Cambria" w:eastAsia="Times New Roman" w:hAnsi="Cambria"/>
          <w:sz w:val="20"/>
          <w:szCs w:val="20"/>
          <w:bdr w:val="none" w:sz="0" w:space="0" w:color="auto"/>
        </w:rPr>
        <w:t>ed</w:t>
      </w:r>
      <w:r w:rsidRPr="00CC39F5">
        <w:rPr>
          <w:rFonts w:ascii="Cambria" w:eastAsia="Times New Roman" w:hAnsi="Cambria"/>
          <w:sz w:val="20"/>
          <w:szCs w:val="20"/>
          <w:bdr w:val="none" w:sz="0" w:space="0" w:color="auto"/>
        </w:rPr>
        <w:t xml:space="preserve"> in accordance with </w:t>
      </w:r>
      <w:r w:rsidR="00B9169B" w:rsidRPr="00CC39F5">
        <w:rPr>
          <w:rFonts w:ascii="Cambria" w:eastAsia="Times New Roman" w:hAnsi="Cambria"/>
          <w:sz w:val="20"/>
          <w:szCs w:val="20"/>
          <w:bdr w:val="none" w:sz="0" w:space="0" w:color="auto"/>
        </w:rPr>
        <w:t>domestic</w:t>
      </w:r>
      <w:r w:rsidRPr="00CC39F5">
        <w:rPr>
          <w:rFonts w:ascii="Cambria" w:eastAsia="Times New Roman" w:hAnsi="Cambria"/>
          <w:sz w:val="20"/>
          <w:szCs w:val="20"/>
          <w:bdr w:val="none" w:sz="0" w:space="0" w:color="auto"/>
        </w:rPr>
        <w:t xml:space="preserve"> law, specifically the Law on Narcotics and Psychotropic Substances. It stated that </w:t>
      </w:r>
      <w:r w:rsidR="002C3F4A" w:rsidRPr="00CC39F5">
        <w:rPr>
          <w:rFonts w:ascii="Cambria" w:eastAsia="Times New Roman" w:hAnsi="Cambria"/>
          <w:sz w:val="20"/>
          <w:szCs w:val="20"/>
          <w:bdr w:val="none" w:sz="0" w:space="0" w:color="auto"/>
        </w:rPr>
        <w:t xml:space="preserve">when he was arrested, Mr. Montesinos was suspected of having been involved in crimes related to drug trafficking. The State added that an arrest </w:t>
      </w:r>
      <w:r w:rsidR="00E82677" w:rsidRPr="00CC39F5">
        <w:rPr>
          <w:rFonts w:ascii="Cambria" w:eastAsia="Times New Roman" w:hAnsi="Cambria"/>
          <w:sz w:val="20"/>
          <w:szCs w:val="20"/>
          <w:bdr w:val="none" w:sz="0" w:space="0" w:color="auto"/>
        </w:rPr>
        <w:t>warrant</w:t>
      </w:r>
      <w:r w:rsidR="002C3F4A" w:rsidRPr="00CC39F5">
        <w:rPr>
          <w:rFonts w:ascii="Cambria" w:eastAsia="Times New Roman" w:hAnsi="Cambria"/>
          <w:sz w:val="20"/>
          <w:szCs w:val="20"/>
          <w:bdr w:val="none" w:sz="0" w:space="0" w:color="auto"/>
        </w:rPr>
        <w:t xml:space="preserve"> </w:t>
      </w:r>
      <w:r w:rsidR="00E82677" w:rsidRPr="00CC39F5">
        <w:rPr>
          <w:rFonts w:ascii="Cambria" w:eastAsia="Times New Roman" w:hAnsi="Cambria"/>
          <w:sz w:val="20"/>
          <w:szCs w:val="20"/>
          <w:bdr w:val="none" w:sz="0" w:space="0" w:color="auto"/>
        </w:rPr>
        <w:t>had been</w:t>
      </w:r>
      <w:r w:rsidR="002C3F4A" w:rsidRPr="00CC39F5">
        <w:rPr>
          <w:rFonts w:ascii="Cambria" w:eastAsia="Times New Roman" w:hAnsi="Cambria"/>
          <w:sz w:val="20"/>
          <w:szCs w:val="20"/>
          <w:bdr w:val="none" w:sz="0" w:space="0" w:color="auto"/>
        </w:rPr>
        <w:t xml:space="preserve"> issued and that </w:t>
      </w:r>
      <w:r w:rsidR="007479CC" w:rsidRPr="00CC39F5">
        <w:rPr>
          <w:rFonts w:ascii="Cambria" w:eastAsia="Times New Roman" w:hAnsi="Cambria"/>
          <w:sz w:val="20"/>
          <w:szCs w:val="20"/>
          <w:bdr w:val="none" w:sz="0" w:space="0" w:color="auto"/>
        </w:rPr>
        <w:t xml:space="preserve">leave was granted for </w:t>
      </w:r>
      <w:r w:rsidR="002C3F4A" w:rsidRPr="00CC39F5">
        <w:rPr>
          <w:rFonts w:ascii="Cambria" w:eastAsia="Times New Roman" w:hAnsi="Cambria"/>
          <w:sz w:val="20"/>
          <w:szCs w:val="20"/>
          <w:bdr w:val="none" w:sz="0" w:space="0" w:color="auto"/>
        </w:rPr>
        <w:t xml:space="preserve">a </w:t>
      </w:r>
      <w:r w:rsidR="002C3F4A" w:rsidRPr="00CC39F5">
        <w:rPr>
          <w:rFonts w:ascii="Cambria" w:eastAsia="Times New Roman" w:hAnsi="Cambria"/>
          <w:i/>
          <w:sz w:val="20"/>
          <w:szCs w:val="20"/>
          <w:bdr w:val="none" w:sz="0" w:space="0" w:color="auto"/>
        </w:rPr>
        <w:t>habeas corpus</w:t>
      </w:r>
      <w:r w:rsidR="002C3F4A" w:rsidRPr="00CC39F5">
        <w:rPr>
          <w:rFonts w:ascii="Cambria" w:eastAsia="Times New Roman" w:hAnsi="Cambria"/>
          <w:sz w:val="20"/>
          <w:szCs w:val="20"/>
          <w:bdr w:val="none" w:sz="0" w:space="0" w:color="auto"/>
        </w:rPr>
        <w:t xml:space="preserve"> appeal to be lodged for purposes of challenging the arrest</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1A317C"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 xml:space="preserve">As to the alleged violation of the right to humane treatment, the State held that the petitioner had failed to effectively prove the acts of torture </w:t>
      </w:r>
      <w:r w:rsidR="00AA39D8" w:rsidRPr="00CC39F5">
        <w:rPr>
          <w:rFonts w:ascii="Cambria" w:eastAsia="Times New Roman" w:hAnsi="Cambria"/>
          <w:sz w:val="20"/>
          <w:szCs w:val="20"/>
          <w:bdr w:val="none" w:sz="0" w:space="0" w:color="auto"/>
        </w:rPr>
        <w:t xml:space="preserve">reportedly </w:t>
      </w:r>
      <w:r w:rsidR="005556AD" w:rsidRPr="00CC39F5">
        <w:rPr>
          <w:rFonts w:ascii="Cambria" w:eastAsia="Times New Roman" w:hAnsi="Cambria"/>
          <w:sz w:val="20"/>
          <w:szCs w:val="20"/>
          <w:bdr w:val="none" w:sz="0" w:space="0" w:color="auto"/>
        </w:rPr>
        <w:t>inflicted on</w:t>
      </w:r>
      <w:r w:rsidRPr="00CC39F5">
        <w:rPr>
          <w:rFonts w:ascii="Cambria" w:eastAsia="Times New Roman" w:hAnsi="Cambria"/>
          <w:sz w:val="20"/>
          <w:szCs w:val="20"/>
          <w:bdr w:val="none" w:sz="0" w:space="0" w:color="auto"/>
        </w:rPr>
        <w:t xml:space="preserve"> Mr. </w:t>
      </w:r>
      <w:r w:rsidR="006B32E1" w:rsidRPr="00CC39F5">
        <w:rPr>
          <w:rFonts w:ascii="Cambria" w:eastAsia="Times New Roman" w:hAnsi="Cambria"/>
          <w:sz w:val="20"/>
          <w:szCs w:val="20"/>
          <w:bdr w:val="none" w:sz="0" w:space="0" w:color="auto"/>
        </w:rPr>
        <w:t xml:space="preserve">Montesinos. Ecuador </w:t>
      </w:r>
      <w:r w:rsidR="008E1D9C" w:rsidRPr="00CC39F5">
        <w:rPr>
          <w:rFonts w:ascii="Cambria" w:eastAsia="Times New Roman" w:hAnsi="Cambria"/>
          <w:sz w:val="20"/>
          <w:szCs w:val="20"/>
          <w:bdr w:val="none" w:sz="0" w:space="0" w:color="auto"/>
        </w:rPr>
        <w:t xml:space="preserve">also </w:t>
      </w:r>
      <w:r w:rsidR="0003119E" w:rsidRPr="00CC39F5">
        <w:rPr>
          <w:rFonts w:ascii="Cambria" w:eastAsia="Times New Roman" w:hAnsi="Cambria"/>
          <w:sz w:val="20"/>
          <w:szCs w:val="20"/>
          <w:bdr w:val="none" w:sz="0" w:space="0" w:color="auto"/>
        </w:rPr>
        <w:t xml:space="preserve">indicated that the documents </w:t>
      </w:r>
      <w:r w:rsidR="00AA39D8" w:rsidRPr="00CC39F5">
        <w:rPr>
          <w:rFonts w:ascii="Cambria" w:eastAsia="Times New Roman" w:hAnsi="Cambria"/>
          <w:sz w:val="20"/>
          <w:szCs w:val="20"/>
          <w:bdr w:val="none" w:sz="0" w:space="0" w:color="auto"/>
        </w:rPr>
        <w:t>furnished</w:t>
      </w:r>
      <w:r w:rsidR="0003119E" w:rsidRPr="00CC39F5">
        <w:rPr>
          <w:rFonts w:ascii="Cambria" w:eastAsia="Times New Roman" w:hAnsi="Cambria"/>
          <w:sz w:val="20"/>
          <w:szCs w:val="20"/>
          <w:bdr w:val="none" w:sz="0" w:space="0" w:color="auto"/>
        </w:rPr>
        <w:t xml:space="preserve"> </w:t>
      </w:r>
      <w:r w:rsidR="008E1D9C" w:rsidRPr="00CC39F5">
        <w:rPr>
          <w:rFonts w:ascii="Cambria" w:eastAsia="Times New Roman" w:hAnsi="Cambria"/>
          <w:sz w:val="20"/>
          <w:szCs w:val="20"/>
          <w:bdr w:val="none" w:sz="0" w:space="0" w:color="auto"/>
        </w:rPr>
        <w:t>for these proceedings</w:t>
      </w:r>
      <w:r w:rsidR="0003119E" w:rsidRPr="00CC39F5">
        <w:rPr>
          <w:rFonts w:ascii="Cambria" w:eastAsia="Times New Roman" w:hAnsi="Cambria"/>
          <w:sz w:val="20"/>
          <w:szCs w:val="20"/>
          <w:bdr w:val="none" w:sz="0" w:space="0" w:color="auto"/>
        </w:rPr>
        <w:t xml:space="preserve"> do not include </w:t>
      </w:r>
      <w:r w:rsidR="0038582D" w:rsidRPr="00CC39F5">
        <w:rPr>
          <w:rFonts w:ascii="Cambria" w:eastAsia="Times New Roman" w:hAnsi="Cambria"/>
          <w:sz w:val="20"/>
          <w:szCs w:val="20"/>
          <w:bdr w:val="none" w:sz="0" w:space="0" w:color="auto"/>
        </w:rPr>
        <w:t>forensic medical exams that might demonstrate acts of torture, adding that Mr.</w:t>
      </w:r>
      <w:r w:rsidR="006B32E1" w:rsidRPr="00CC39F5">
        <w:rPr>
          <w:rFonts w:ascii="Cambria" w:hAnsi="Cambria"/>
          <w:sz w:val="20"/>
          <w:szCs w:val="20"/>
        </w:rPr>
        <w:t xml:space="preserve"> Montesinos </w:t>
      </w:r>
      <w:r w:rsidR="00AA39D8" w:rsidRPr="00CC39F5">
        <w:rPr>
          <w:rFonts w:ascii="Cambria" w:hAnsi="Cambria"/>
          <w:sz w:val="20"/>
          <w:szCs w:val="20"/>
        </w:rPr>
        <w:t>never</w:t>
      </w:r>
      <w:r w:rsidR="0038582D" w:rsidRPr="00CC39F5">
        <w:rPr>
          <w:rFonts w:ascii="Cambria" w:hAnsi="Cambria"/>
          <w:sz w:val="20"/>
          <w:szCs w:val="20"/>
        </w:rPr>
        <w:t xml:space="preserve"> file</w:t>
      </w:r>
      <w:r w:rsidR="00AA39D8" w:rsidRPr="00CC39F5">
        <w:rPr>
          <w:rFonts w:ascii="Cambria" w:hAnsi="Cambria"/>
          <w:sz w:val="20"/>
          <w:szCs w:val="20"/>
        </w:rPr>
        <w:t>d</w:t>
      </w:r>
      <w:r w:rsidR="0038582D" w:rsidRPr="00CC39F5">
        <w:rPr>
          <w:rFonts w:ascii="Cambria" w:hAnsi="Cambria"/>
          <w:sz w:val="20"/>
          <w:szCs w:val="20"/>
        </w:rPr>
        <w:t xml:space="preserve"> a complaint about alleged acts of torture </w:t>
      </w:r>
      <w:r w:rsidR="008E1D9C" w:rsidRPr="00CC39F5">
        <w:rPr>
          <w:rFonts w:ascii="Cambria" w:hAnsi="Cambria"/>
          <w:sz w:val="20"/>
          <w:szCs w:val="20"/>
        </w:rPr>
        <w:t>inflicted on</w:t>
      </w:r>
      <w:r w:rsidR="0038582D" w:rsidRPr="00CC39F5">
        <w:rPr>
          <w:rFonts w:ascii="Cambria" w:hAnsi="Cambria"/>
          <w:sz w:val="20"/>
          <w:szCs w:val="20"/>
        </w:rPr>
        <w:t xml:space="preserve"> him</w:t>
      </w:r>
      <w:r w:rsidR="006B32E1" w:rsidRPr="00CC39F5">
        <w:rPr>
          <w:rFonts w:ascii="Cambria" w:hAnsi="Cambria"/>
          <w:sz w:val="20"/>
          <w:szCs w:val="20"/>
        </w:rPr>
        <w:t xml:space="preserve">. </w:t>
      </w:r>
    </w:p>
    <w:p w:rsidR="006B32E1" w:rsidRPr="00CC39F5" w:rsidRDefault="006B32E1" w:rsidP="006B32E1">
      <w:pPr>
        <w:pStyle w:val="ColorfulList-Accent11"/>
        <w:rPr>
          <w:rFonts w:eastAsia="Times New Roman"/>
          <w:sz w:val="20"/>
          <w:szCs w:val="20"/>
          <w:bdr w:val="none" w:sz="0" w:space="0" w:color="auto"/>
        </w:rPr>
      </w:pPr>
    </w:p>
    <w:p w:rsidR="006B32E1" w:rsidRPr="00CC39F5" w:rsidRDefault="00952D1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With respect to the alleged</w:t>
      </w:r>
      <w:r w:rsidR="006B32E1" w:rsidRPr="00CC39F5">
        <w:rPr>
          <w:rFonts w:ascii="Cambria" w:eastAsia="Times New Roman" w:hAnsi="Cambria"/>
          <w:sz w:val="20"/>
          <w:szCs w:val="20"/>
          <w:bdr w:val="none" w:sz="0" w:space="0" w:color="auto"/>
        </w:rPr>
        <w:t xml:space="preserve"> </w:t>
      </w:r>
      <w:r w:rsidRPr="00CC39F5">
        <w:rPr>
          <w:rFonts w:ascii="Cambria" w:eastAsia="Times New Roman" w:hAnsi="Cambria"/>
          <w:sz w:val="20"/>
          <w:szCs w:val="20"/>
          <w:bdr w:val="none" w:sz="0" w:space="0" w:color="auto"/>
        </w:rPr>
        <w:t xml:space="preserve">violation of the rights to a fair trial and judicial protection, Ecuador held that the criminal cases brought against Mr. </w:t>
      </w:r>
      <w:r w:rsidR="006B32E1" w:rsidRPr="00CC39F5">
        <w:rPr>
          <w:rFonts w:ascii="Cambria" w:eastAsia="Times New Roman" w:hAnsi="Cambria"/>
          <w:sz w:val="20"/>
          <w:szCs w:val="20"/>
          <w:bdr w:val="none" w:sz="0" w:space="0" w:color="auto"/>
        </w:rPr>
        <w:t xml:space="preserve">Montesinos </w:t>
      </w:r>
      <w:r w:rsidRPr="00CC39F5">
        <w:rPr>
          <w:rFonts w:ascii="Cambria" w:eastAsia="Times New Roman" w:hAnsi="Cambria"/>
          <w:sz w:val="20"/>
          <w:szCs w:val="20"/>
          <w:bdr w:val="none" w:sz="0" w:space="0" w:color="auto"/>
        </w:rPr>
        <w:t>respected due process</w:t>
      </w:r>
      <w:r w:rsidR="006B32E1" w:rsidRPr="00CC39F5">
        <w:rPr>
          <w:rFonts w:ascii="Cambria" w:eastAsia="Times New Roman" w:hAnsi="Cambria"/>
          <w:sz w:val="20"/>
          <w:szCs w:val="20"/>
          <w:bdr w:val="none" w:sz="0" w:space="0" w:color="auto"/>
        </w:rPr>
        <w:t xml:space="preserve">. </w:t>
      </w:r>
      <w:r w:rsidRPr="00CC39F5">
        <w:rPr>
          <w:rFonts w:ascii="Cambria" w:eastAsia="Times New Roman" w:hAnsi="Cambria"/>
          <w:sz w:val="20"/>
          <w:szCs w:val="20"/>
          <w:bdr w:val="none" w:sz="0" w:space="0" w:color="auto"/>
        </w:rPr>
        <w:t xml:space="preserve">It indicated that this is evident in the fact that two of the three criminal prosecutions were dismissed based on the principle of </w:t>
      </w:r>
      <w:r w:rsidRPr="00CC39F5">
        <w:rPr>
          <w:rFonts w:ascii="Cambria" w:eastAsia="Times New Roman" w:hAnsi="Cambria"/>
          <w:sz w:val="20"/>
          <w:szCs w:val="20"/>
          <w:bdr w:val="none" w:sz="0" w:space="0" w:color="auto"/>
        </w:rPr>
        <w:lastRenderedPageBreak/>
        <w:t>presumption of innocence, adding that there were appeals available to Mr.</w:t>
      </w:r>
      <w:r w:rsidR="006B32E1" w:rsidRPr="00CC39F5">
        <w:rPr>
          <w:rFonts w:ascii="Cambria" w:hAnsi="Cambria"/>
          <w:sz w:val="20"/>
          <w:szCs w:val="20"/>
        </w:rPr>
        <w:t xml:space="preserve"> Montesinos </w:t>
      </w:r>
      <w:r w:rsidRPr="00CC39F5">
        <w:rPr>
          <w:rFonts w:ascii="Cambria" w:hAnsi="Cambria"/>
          <w:sz w:val="20"/>
          <w:szCs w:val="20"/>
        </w:rPr>
        <w:t>to challenge any alleged irregularity in the proceedings</w:t>
      </w:r>
      <w:r w:rsidR="006B32E1" w:rsidRPr="00CC39F5">
        <w:rPr>
          <w:rFonts w:ascii="Cambria" w:hAnsi="Cambria"/>
          <w:sz w:val="20"/>
          <w:szCs w:val="20"/>
        </w:rPr>
        <w:t>.</w:t>
      </w:r>
    </w:p>
    <w:p w:rsidR="006B32E1" w:rsidRPr="00CC39F5" w:rsidRDefault="006B32E1" w:rsidP="006B32E1">
      <w:pPr>
        <w:pStyle w:val="ColorfulList-Accent11"/>
        <w:rPr>
          <w:rFonts w:eastAsia="Times New Roman"/>
          <w:sz w:val="20"/>
          <w:szCs w:val="20"/>
          <w:bdr w:val="none" w:sz="0" w:space="0" w:color="auto"/>
        </w:rPr>
      </w:pPr>
    </w:p>
    <w:p w:rsidR="006B32E1" w:rsidRPr="00CC39F5" w:rsidRDefault="000C49D8"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 xml:space="preserve">The State also alleged that the petitioner </w:t>
      </w:r>
      <w:r w:rsidR="00D23F11" w:rsidRPr="00CC39F5">
        <w:rPr>
          <w:rFonts w:ascii="Cambria" w:eastAsia="Times New Roman" w:hAnsi="Cambria"/>
          <w:sz w:val="20"/>
          <w:szCs w:val="20"/>
          <w:bdr w:val="none" w:sz="0" w:space="0" w:color="auto"/>
        </w:rPr>
        <w:t>had not substantiated</w:t>
      </w:r>
      <w:r w:rsidRPr="00CC39F5">
        <w:rPr>
          <w:rFonts w:ascii="Cambria" w:eastAsia="Times New Roman" w:hAnsi="Cambria"/>
          <w:sz w:val="20"/>
          <w:szCs w:val="20"/>
          <w:bdr w:val="none" w:sz="0" w:space="0" w:color="auto"/>
        </w:rPr>
        <w:t xml:space="preserve"> his allegations of reported violations of freedom from </w:t>
      </w:r>
      <w:r w:rsidRPr="00CC39F5">
        <w:rPr>
          <w:rFonts w:ascii="Cambria" w:eastAsia="Times New Roman" w:hAnsi="Cambria"/>
          <w:i/>
          <w:sz w:val="20"/>
          <w:szCs w:val="20"/>
          <w:bdr w:val="none" w:sz="0" w:space="0" w:color="auto"/>
        </w:rPr>
        <w:t>ex post facto</w:t>
      </w:r>
      <w:r w:rsidRPr="00CC39F5">
        <w:rPr>
          <w:rFonts w:ascii="Cambria" w:eastAsia="Times New Roman" w:hAnsi="Cambria"/>
          <w:sz w:val="20"/>
          <w:szCs w:val="20"/>
          <w:bdr w:val="none" w:sz="0" w:space="0" w:color="auto"/>
        </w:rPr>
        <w:t xml:space="preserve"> laws, protection of honor and dignity, and </w:t>
      </w:r>
      <w:r w:rsidR="00027859" w:rsidRPr="00CC39F5">
        <w:rPr>
          <w:rFonts w:ascii="Cambria" w:eastAsia="Times New Roman" w:hAnsi="Cambria"/>
          <w:sz w:val="20"/>
          <w:szCs w:val="20"/>
          <w:bdr w:val="none" w:sz="0" w:space="0" w:color="auto"/>
        </w:rPr>
        <w:t xml:space="preserve">[equal] </w:t>
      </w:r>
      <w:r w:rsidRPr="00CC39F5">
        <w:rPr>
          <w:rFonts w:ascii="Cambria" w:eastAsia="Times New Roman" w:hAnsi="Cambria"/>
          <w:sz w:val="20"/>
          <w:szCs w:val="20"/>
          <w:bdr w:val="none" w:sz="0" w:space="0" w:color="auto"/>
        </w:rPr>
        <w:t>protection before the law</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6B32E1" w:rsidRPr="00CC39F5" w:rsidRDefault="00D86ABB" w:rsidP="006B32E1">
      <w:pPr>
        <w:pStyle w:val="Heading1"/>
      </w:pPr>
      <w:bookmarkStart w:id="10" w:name="_Toc495584787"/>
      <w:r w:rsidRPr="00CC39F5">
        <w:t>ANALYSIS OF ADMISSIBILITY</w:t>
      </w:r>
      <w:bookmarkEnd w:id="10"/>
    </w:p>
    <w:p w:rsidR="006B32E1" w:rsidRPr="00CC39F5" w:rsidRDefault="006B32E1" w:rsidP="006B32E1">
      <w:pPr>
        <w:pStyle w:val="Heading1"/>
        <w:numPr>
          <w:ilvl w:val="0"/>
          <w:numId w:val="0"/>
        </w:numPr>
        <w:ind w:left="720"/>
      </w:pPr>
    </w:p>
    <w:p w:rsidR="006B32E1" w:rsidRPr="00CC39F5" w:rsidRDefault="00D86ABB" w:rsidP="003D4DF4">
      <w:pPr>
        <w:pStyle w:val="Heading1"/>
        <w:numPr>
          <w:ilvl w:val="0"/>
          <w:numId w:val="62"/>
        </w:numPr>
        <w:rPr>
          <w:b w:val="0"/>
        </w:rPr>
      </w:pPr>
      <w:bookmarkStart w:id="11" w:name="_Toc495584788"/>
      <w:r w:rsidRPr="00CC39F5">
        <w:rPr>
          <w:rStyle w:val="Heading2Char"/>
          <w:rFonts w:eastAsia="MS Gothic"/>
          <w:b/>
        </w:rPr>
        <w:t>Competence</w:t>
      </w:r>
      <w:r w:rsidR="006B32E1" w:rsidRPr="00CC39F5">
        <w:rPr>
          <w:rStyle w:val="Heading2Char"/>
          <w:rFonts w:eastAsia="MS Gothic"/>
          <w:b/>
        </w:rPr>
        <w:t xml:space="preserve">, </w:t>
      </w:r>
      <w:r w:rsidRPr="00CC39F5">
        <w:rPr>
          <w:rStyle w:val="Heading2Char"/>
          <w:rFonts w:eastAsia="MS Gothic"/>
          <w:b/>
        </w:rPr>
        <w:t xml:space="preserve">international duplication of proceedings and </w:t>
      </w:r>
      <w:r w:rsidRPr="00CC39F5">
        <w:rPr>
          <w:rStyle w:val="Heading2Char"/>
          <w:rFonts w:eastAsia="MS Gothic"/>
          <w:b/>
          <w:i/>
        </w:rPr>
        <w:t>res judicata</w:t>
      </w:r>
      <w:bookmarkEnd w:id="11"/>
    </w:p>
    <w:p w:rsidR="006B32E1" w:rsidRPr="00CC39F5" w:rsidRDefault="006B32E1" w:rsidP="006B32E1">
      <w:pPr>
        <w:ind w:firstLine="720"/>
        <w:jc w:val="both"/>
        <w:rPr>
          <w:rFonts w:ascii="Cambria" w:hAnsi="Cambri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6B32E1" w:rsidRPr="00CC39F5" w:rsidTr="00430DA5">
        <w:trPr>
          <w:cantSplit/>
        </w:trPr>
        <w:tc>
          <w:tcPr>
            <w:tcW w:w="4680" w:type="dxa"/>
            <w:tcBorders>
              <w:top w:val="single" w:sz="4" w:space="0" w:color="auto"/>
              <w:bottom w:val="single" w:sz="6" w:space="0" w:color="auto"/>
            </w:tcBorders>
            <w:shd w:val="clear" w:color="auto" w:fill="386294"/>
            <w:vAlign w:val="center"/>
          </w:tcPr>
          <w:p w:rsidR="006B32E1" w:rsidRPr="00CC39F5" w:rsidRDefault="00D86ABB" w:rsidP="00430DA5">
            <w:pPr>
              <w:jc w:val="center"/>
              <w:rPr>
                <w:rFonts w:ascii="Cambria" w:eastAsia="Times New Roman" w:hAnsi="Cambria"/>
                <w:b/>
                <w:bCs/>
                <w:i/>
                <w:color w:val="FFFFFF"/>
                <w:sz w:val="20"/>
                <w:szCs w:val="20"/>
              </w:rPr>
            </w:pPr>
            <w:r w:rsidRPr="00CC39F5">
              <w:rPr>
                <w:rFonts w:ascii="Cambria" w:eastAsia="Times New Roman" w:hAnsi="Cambria"/>
                <w:b/>
                <w:bCs/>
                <w:color w:val="FFFFFF"/>
                <w:sz w:val="20"/>
                <w:szCs w:val="20"/>
              </w:rPr>
              <w:t>Competence</w:t>
            </w:r>
            <w:r w:rsidRPr="00CC39F5">
              <w:rPr>
                <w:rFonts w:ascii="Cambria" w:eastAsia="Times New Roman" w:hAnsi="Cambria"/>
                <w:b/>
                <w:bCs/>
                <w:i/>
                <w:color w:val="FFFFFF"/>
                <w:sz w:val="20"/>
                <w:szCs w:val="20"/>
              </w:rPr>
              <w:t xml:space="preserve"> r</w:t>
            </w:r>
            <w:r w:rsidR="006B32E1" w:rsidRPr="00CC39F5">
              <w:rPr>
                <w:rFonts w:ascii="Cambria" w:eastAsia="Times New Roman" w:hAnsi="Cambria"/>
                <w:b/>
                <w:bCs/>
                <w:i/>
                <w:color w:val="FFFFFF"/>
                <w:sz w:val="20"/>
                <w:szCs w:val="20"/>
              </w:rPr>
              <w:t>atione personae:</w:t>
            </w:r>
          </w:p>
        </w:tc>
        <w:tc>
          <w:tcPr>
            <w:tcW w:w="4680" w:type="dxa"/>
            <w:shd w:val="clear" w:color="auto" w:fill="auto"/>
            <w:vAlign w:val="center"/>
          </w:tcPr>
          <w:p w:rsidR="006B32E1" w:rsidRPr="00CC39F5" w:rsidRDefault="00D86ABB" w:rsidP="00430DA5">
            <w:pPr>
              <w:rPr>
                <w:rFonts w:ascii="Cambria" w:eastAsia="Times New Roman" w:hAnsi="Cambria"/>
                <w:bCs/>
                <w:sz w:val="20"/>
                <w:szCs w:val="20"/>
              </w:rPr>
            </w:pPr>
            <w:r w:rsidRPr="00CC39F5">
              <w:rPr>
                <w:rFonts w:ascii="Cambria" w:eastAsia="Times New Roman" w:hAnsi="Cambria"/>
                <w:bCs/>
                <w:sz w:val="20"/>
                <w:szCs w:val="20"/>
              </w:rPr>
              <w:t>Yes</w:t>
            </w:r>
          </w:p>
        </w:tc>
      </w:tr>
      <w:tr w:rsidR="006B32E1" w:rsidRPr="00CC39F5" w:rsidTr="00430DA5">
        <w:trPr>
          <w:cantSplit/>
        </w:trPr>
        <w:tc>
          <w:tcPr>
            <w:tcW w:w="4680" w:type="dxa"/>
            <w:tcBorders>
              <w:top w:val="single" w:sz="6" w:space="0" w:color="auto"/>
              <w:bottom w:val="single" w:sz="6" w:space="0" w:color="auto"/>
            </w:tcBorders>
            <w:shd w:val="clear" w:color="auto" w:fill="386294"/>
            <w:vAlign w:val="center"/>
          </w:tcPr>
          <w:p w:rsidR="006B32E1" w:rsidRPr="00CC39F5" w:rsidRDefault="00D86ABB" w:rsidP="00430DA5">
            <w:pPr>
              <w:jc w:val="center"/>
              <w:rPr>
                <w:rFonts w:ascii="Cambria" w:eastAsia="Times New Roman" w:hAnsi="Cambria"/>
                <w:b/>
                <w:bCs/>
                <w:color w:val="FFFFFF"/>
                <w:sz w:val="20"/>
                <w:szCs w:val="20"/>
              </w:rPr>
            </w:pPr>
            <w:r w:rsidRPr="00CC39F5">
              <w:rPr>
                <w:rFonts w:ascii="Cambria" w:eastAsia="Times New Roman" w:hAnsi="Cambria"/>
                <w:b/>
                <w:bCs/>
                <w:color w:val="FFFFFF"/>
                <w:sz w:val="20"/>
                <w:szCs w:val="20"/>
              </w:rPr>
              <w:t>Competence</w:t>
            </w:r>
            <w:r w:rsidRPr="00CC39F5">
              <w:rPr>
                <w:rFonts w:ascii="Cambria" w:eastAsia="Times New Roman" w:hAnsi="Cambria"/>
                <w:b/>
                <w:bCs/>
                <w:i/>
                <w:color w:val="FFFFFF"/>
                <w:sz w:val="20"/>
                <w:szCs w:val="20"/>
              </w:rPr>
              <w:t xml:space="preserve"> r</w:t>
            </w:r>
            <w:r w:rsidR="006B32E1" w:rsidRPr="00CC39F5">
              <w:rPr>
                <w:rFonts w:ascii="Cambria" w:eastAsia="Times New Roman" w:hAnsi="Cambria"/>
                <w:b/>
                <w:bCs/>
                <w:i/>
                <w:color w:val="FFFFFF"/>
                <w:sz w:val="20"/>
                <w:szCs w:val="20"/>
              </w:rPr>
              <w:t>atione loci</w:t>
            </w:r>
            <w:r w:rsidR="006B32E1" w:rsidRPr="00CC39F5">
              <w:rPr>
                <w:rFonts w:ascii="Cambria" w:eastAsia="Times New Roman" w:hAnsi="Cambria"/>
                <w:b/>
                <w:bCs/>
                <w:color w:val="FFFFFF"/>
                <w:sz w:val="20"/>
                <w:szCs w:val="20"/>
              </w:rPr>
              <w:t>:</w:t>
            </w:r>
          </w:p>
        </w:tc>
        <w:tc>
          <w:tcPr>
            <w:tcW w:w="4680" w:type="dxa"/>
            <w:shd w:val="clear" w:color="auto" w:fill="auto"/>
            <w:vAlign w:val="center"/>
          </w:tcPr>
          <w:p w:rsidR="006B32E1" w:rsidRPr="00CC39F5" w:rsidRDefault="00D86ABB" w:rsidP="00430DA5">
            <w:pPr>
              <w:rPr>
                <w:rFonts w:ascii="Cambria" w:eastAsia="Times New Roman" w:hAnsi="Cambria"/>
                <w:bCs/>
                <w:sz w:val="20"/>
                <w:szCs w:val="20"/>
              </w:rPr>
            </w:pPr>
            <w:r w:rsidRPr="00CC39F5">
              <w:rPr>
                <w:rFonts w:ascii="Cambria" w:eastAsia="Times New Roman" w:hAnsi="Cambria"/>
                <w:bCs/>
                <w:sz w:val="20"/>
                <w:szCs w:val="20"/>
              </w:rPr>
              <w:t>Yes</w:t>
            </w:r>
          </w:p>
        </w:tc>
      </w:tr>
      <w:tr w:rsidR="006B32E1" w:rsidRPr="00CC39F5" w:rsidTr="00430DA5">
        <w:trPr>
          <w:cantSplit/>
        </w:trPr>
        <w:tc>
          <w:tcPr>
            <w:tcW w:w="4680" w:type="dxa"/>
            <w:tcBorders>
              <w:top w:val="single" w:sz="6" w:space="0" w:color="auto"/>
              <w:bottom w:val="single" w:sz="6" w:space="0" w:color="auto"/>
            </w:tcBorders>
            <w:shd w:val="clear" w:color="auto" w:fill="386294"/>
            <w:vAlign w:val="center"/>
          </w:tcPr>
          <w:p w:rsidR="006B32E1" w:rsidRPr="00CC39F5" w:rsidRDefault="00D86ABB" w:rsidP="00430DA5">
            <w:pPr>
              <w:jc w:val="center"/>
              <w:rPr>
                <w:rFonts w:ascii="Cambria" w:eastAsia="Times New Roman" w:hAnsi="Cambria"/>
                <w:b/>
                <w:bCs/>
                <w:color w:val="FFFFFF"/>
                <w:sz w:val="20"/>
                <w:szCs w:val="20"/>
              </w:rPr>
            </w:pPr>
            <w:r w:rsidRPr="00CC39F5">
              <w:rPr>
                <w:rFonts w:ascii="Cambria" w:eastAsia="Times New Roman" w:hAnsi="Cambria"/>
                <w:b/>
                <w:bCs/>
                <w:color w:val="FFFFFF"/>
                <w:sz w:val="20"/>
                <w:szCs w:val="20"/>
              </w:rPr>
              <w:t>Competence</w:t>
            </w:r>
            <w:r w:rsidRPr="00CC39F5">
              <w:rPr>
                <w:rFonts w:ascii="Cambria" w:eastAsia="Times New Roman" w:hAnsi="Cambria"/>
                <w:b/>
                <w:bCs/>
                <w:i/>
                <w:color w:val="FFFFFF"/>
                <w:sz w:val="20"/>
                <w:szCs w:val="20"/>
              </w:rPr>
              <w:t xml:space="preserve"> r</w:t>
            </w:r>
            <w:r w:rsidR="006B32E1" w:rsidRPr="00CC39F5">
              <w:rPr>
                <w:rFonts w:ascii="Cambria" w:eastAsia="Times New Roman" w:hAnsi="Cambria"/>
                <w:b/>
                <w:bCs/>
                <w:i/>
                <w:color w:val="FFFFFF"/>
                <w:sz w:val="20"/>
                <w:szCs w:val="20"/>
              </w:rPr>
              <w:t>atione temporis</w:t>
            </w:r>
            <w:r w:rsidR="006B32E1" w:rsidRPr="00CC39F5">
              <w:rPr>
                <w:rFonts w:ascii="Cambria" w:eastAsia="Times New Roman" w:hAnsi="Cambria"/>
                <w:b/>
                <w:bCs/>
                <w:color w:val="FFFFFF"/>
                <w:sz w:val="20"/>
                <w:szCs w:val="20"/>
              </w:rPr>
              <w:t>:</w:t>
            </w:r>
          </w:p>
        </w:tc>
        <w:tc>
          <w:tcPr>
            <w:tcW w:w="4680" w:type="dxa"/>
            <w:shd w:val="clear" w:color="auto" w:fill="auto"/>
            <w:vAlign w:val="center"/>
          </w:tcPr>
          <w:p w:rsidR="006B32E1" w:rsidRPr="00CC39F5" w:rsidRDefault="00D86ABB" w:rsidP="00430DA5">
            <w:pPr>
              <w:rPr>
                <w:rFonts w:ascii="Cambria" w:eastAsia="Times New Roman" w:hAnsi="Cambria"/>
                <w:bCs/>
                <w:sz w:val="20"/>
                <w:szCs w:val="20"/>
              </w:rPr>
            </w:pPr>
            <w:r w:rsidRPr="00CC39F5">
              <w:rPr>
                <w:rFonts w:ascii="Cambria" w:eastAsia="Times New Roman" w:hAnsi="Cambria"/>
                <w:bCs/>
                <w:sz w:val="20"/>
                <w:szCs w:val="20"/>
              </w:rPr>
              <w:t>Yes</w:t>
            </w:r>
          </w:p>
        </w:tc>
      </w:tr>
      <w:tr w:rsidR="006B32E1" w:rsidRPr="00CC39F5" w:rsidTr="00430DA5">
        <w:trPr>
          <w:cantSplit/>
        </w:trPr>
        <w:tc>
          <w:tcPr>
            <w:tcW w:w="4680" w:type="dxa"/>
            <w:tcBorders>
              <w:top w:val="single" w:sz="6" w:space="0" w:color="auto"/>
              <w:bottom w:val="single" w:sz="6" w:space="0" w:color="auto"/>
            </w:tcBorders>
            <w:shd w:val="clear" w:color="auto" w:fill="386294"/>
            <w:vAlign w:val="center"/>
          </w:tcPr>
          <w:p w:rsidR="006B32E1" w:rsidRPr="00CC39F5" w:rsidRDefault="00D86ABB" w:rsidP="00430DA5">
            <w:pPr>
              <w:jc w:val="center"/>
              <w:rPr>
                <w:rFonts w:ascii="Cambria" w:eastAsia="Times New Roman" w:hAnsi="Cambria"/>
                <w:b/>
                <w:bCs/>
                <w:color w:val="FFFFFF"/>
                <w:sz w:val="20"/>
                <w:szCs w:val="20"/>
              </w:rPr>
            </w:pPr>
            <w:r w:rsidRPr="00CC39F5">
              <w:rPr>
                <w:rFonts w:ascii="Cambria" w:eastAsia="Times New Roman" w:hAnsi="Cambria"/>
                <w:b/>
                <w:bCs/>
                <w:color w:val="FFFFFF"/>
                <w:sz w:val="20"/>
                <w:szCs w:val="20"/>
              </w:rPr>
              <w:t>Competence</w:t>
            </w:r>
            <w:r w:rsidRPr="00CC39F5">
              <w:rPr>
                <w:rFonts w:ascii="Cambria" w:eastAsia="Times New Roman" w:hAnsi="Cambria"/>
                <w:b/>
                <w:bCs/>
                <w:i/>
                <w:color w:val="FFFFFF"/>
                <w:sz w:val="20"/>
                <w:szCs w:val="20"/>
              </w:rPr>
              <w:t xml:space="preserve"> r</w:t>
            </w:r>
            <w:r w:rsidR="006B32E1" w:rsidRPr="00CC39F5">
              <w:rPr>
                <w:rFonts w:ascii="Cambria" w:eastAsia="Times New Roman" w:hAnsi="Cambria"/>
                <w:b/>
                <w:bCs/>
                <w:i/>
                <w:color w:val="FFFFFF"/>
                <w:sz w:val="20"/>
                <w:szCs w:val="20"/>
              </w:rPr>
              <w:t>atione materiae</w:t>
            </w:r>
            <w:r w:rsidR="006B32E1" w:rsidRPr="00CC39F5">
              <w:rPr>
                <w:rFonts w:ascii="Cambria" w:eastAsia="Times New Roman" w:hAnsi="Cambria"/>
                <w:b/>
                <w:bCs/>
                <w:color w:val="FFFFFF"/>
                <w:sz w:val="20"/>
                <w:szCs w:val="20"/>
              </w:rPr>
              <w:t>:</w:t>
            </w:r>
          </w:p>
        </w:tc>
        <w:tc>
          <w:tcPr>
            <w:tcW w:w="4680" w:type="dxa"/>
            <w:shd w:val="clear" w:color="auto" w:fill="auto"/>
            <w:vAlign w:val="center"/>
          </w:tcPr>
          <w:p w:rsidR="006B32E1" w:rsidRPr="00CC39F5" w:rsidRDefault="00D86ABB" w:rsidP="00430DA5">
            <w:pPr>
              <w:jc w:val="both"/>
              <w:rPr>
                <w:rFonts w:ascii="Cambria" w:eastAsia="Times New Roman" w:hAnsi="Cambria"/>
                <w:bCs/>
                <w:sz w:val="20"/>
                <w:szCs w:val="20"/>
              </w:rPr>
            </w:pPr>
            <w:r w:rsidRPr="00CC39F5">
              <w:rPr>
                <w:rFonts w:ascii="Cambria" w:eastAsia="Times New Roman" w:hAnsi="Cambria"/>
                <w:bCs/>
                <w:sz w:val="20"/>
                <w:szCs w:val="20"/>
              </w:rPr>
              <w:t>Yes</w:t>
            </w:r>
          </w:p>
        </w:tc>
      </w:tr>
      <w:tr w:rsidR="006B32E1" w:rsidRPr="00CC39F5" w:rsidTr="00430DA5">
        <w:trPr>
          <w:cantSplit/>
        </w:trPr>
        <w:tc>
          <w:tcPr>
            <w:tcW w:w="4680" w:type="dxa"/>
            <w:tcBorders>
              <w:top w:val="single" w:sz="6" w:space="0" w:color="auto"/>
              <w:bottom w:val="single" w:sz="6" w:space="0" w:color="auto"/>
            </w:tcBorders>
            <w:shd w:val="clear" w:color="auto" w:fill="386294"/>
            <w:vAlign w:val="center"/>
          </w:tcPr>
          <w:p w:rsidR="006B32E1" w:rsidRPr="00CC39F5" w:rsidRDefault="00D86ABB" w:rsidP="00D86ABB">
            <w:pPr>
              <w:jc w:val="center"/>
              <w:rPr>
                <w:rFonts w:ascii="Cambria" w:eastAsia="Times New Roman" w:hAnsi="Cambria"/>
                <w:b/>
                <w:bCs/>
                <w:color w:val="FFFFFF"/>
                <w:sz w:val="20"/>
                <w:szCs w:val="20"/>
              </w:rPr>
            </w:pPr>
            <w:r w:rsidRPr="00CC39F5">
              <w:rPr>
                <w:rFonts w:ascii="Cambria" w:eastAsia="Times New Roman" w:hAnsi="Cambria"/>
                <w:b/>
                <w:bCs/>
                <w:color w:val="FFFFFF"/>
                <w:sz w:val="20"/>
                <w:szCs w:val="20"/>
              </w:rPr>
              <w:t xml:space="preserve">International duplication of proceedings and </w:t>
            </w:r>
            <w:r w:rsidRPr="00CC39F5">
              <w:rPr>
                <w:rFonts w:ascii="Cambria" w:eastAsia="Times New Roman" w:hAnsi="Cambria"/>
                <w:b/>
                <w:bCs/>
                <w:i/>
                <w:color w:val="FFFFFF"/>
                <w:sz w:val="20"/>
                <w:szCs w:val="20"/>
              </w:rPr>
              <w:t>res judicata</w:t>
            </w:r>
            <w:r w:rsidR="006B32E1" w:rsidRPr="00CC39F5">
              <w:rPr>
                <w:rFonts w:ascii="Cambria" w:eastAsia="Times New Roman" w:hAnsi="Cambria"/>
                <w:b/>
                <w:bCs/>
                <w:color w:val="FFFFFF"/>
                <w:sz w:val="20"/>
                <w:szCs w:val="20"/>
              </w:rPr>
              <w:t>:</w:t>
            </w:r>
          </w:p>
        </w:tc>
        <w:tc>
          <w:tcPr>
            <w:tcW w:w="4680" w:type="dxa"/>
            <w:shd w:val="clear" w:color="auto" w:fill="auto"/>
            <w:vAlign w:val="center"/>
          </w:tcPr>
          <w:p w:rsidR="006B32E1" w:rsidRPr="00CC39F5" w:rsidRDefault="00D86ABB" w:rsidP="00430DA5">
            <w:pPr>
              <w:jc w:val="both"/>
              <w:rPr>
                <w:rFonts w:ascii="Cambria" w:eastAsia="Times New Roman" w:hAnsi="Cambria"/>
                <w:bCs/>
                <w:sz w:val="20"/>
                <w:szCs w:val="20"/>
              </w:rPr>
            </w:pPr>
            <w:r w:rsidRPr="00CC39F5">
              <w:rPr>
                <w:rFonts w:ascii="Cambria" w:eastAsia="Times New Roman" w:hAnsi="Cambria"/>
                <w:bCs/>
                <w:sz w:val="20"/>
                <w:szCs w:val="20"/>
              </w:rPr>
              <w:t>No</w:t>
            </w:r>
          </w:p>
        </w:tc>
      </w:tr>
    </w:tbl>
    <w:p w:rsidR="006B32E1" w:rsidRPr="00CC39F5" w:rsidRDefault="006B32E1" w:rsidP="006B32E1">
      <w:pPr>
        <w:rPr>
          <w:rFonts w:ascii="Cambria" w:hAnsi="Cambria"/>
          <w:sz w:val="20"/>
          <w:szCs w:val="20"/>
        </w:rPr>
      </w:pPr>
    </w:p>
    <w:p w:rsidR="006B32E1" w:rsidRPr="00CC39F5" w:rsidRDefault="006B32E1" w:rsidP="006B32E1">
      <w:pPr>
        <w:pStyle w:val="Heading1"/>
        <w:numPr>
          <w:ilvl w:val="0"/>
          <w:numId w:val="0"/>
        </w:numPr>
        <w:ind w:left="720"/>
        <w:rPr>
          <w:b w:val="0"/>
        </w:rPr>
      </w:pPr>
      <w:bookmarkStart w:id="12" w:name="_Toc495584789"/>
      <w:r w:rsidRPr="00CC39F5">
        <w:t>B.</w:t>
      </w:r>
      <w:r w:rsidRPr="00CC39F5">
        <w:rPr>
          <w:b w:val="0"/>
        </w:rPr>
        <w:t xml:space="preserve"> </w:t>
      </w:r>
      <w:r w:rsidRPr="00CC39F5">
        <w:rPr>
          <w:b w:val="0"/>
        </w:rPr>
        <w:tab/>
      </w:r>
      <w:r w:rsidR="006B0ECC" w:rsidRPr="00CC39F5">
        <w:rPr>
          <w:rStyle w:val="Heading2Char"/>
          <w:rFonts w:eastAsia="MS Gothic"/>
          <w:b/>
        </w:rPr>
        <w:t>Exhaustion of domestic remedies and timeliness of the petition</w:t>
      </w:r>
      <w:bookmarkEnd w:id="12"/>
    </w:p>
    <w:p w:rsidR="006B32E1" w:rsidRPr="00CC39F5" w:rsidRDefault="006B32E1" w:rsidP="006B32E1">
      <w:pPr>
        <w:rPr>
          <w:rFonts w:ascii="Cambria" w:hAnsi="Cambria"/>
          <w:sz w:val="20"/>
          <w:szCs w:val="20"/>
        </w:rPr>
      </w:pPr>
    </w:p>
    <w:p w:rsidR="006B32E1" w:rsidRPr="00CC39F5" w:rsidRDefault="00471E0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With respect to the three criminal cases </w:t>
      </w:r>
      <w:r w:rsidR="0033038E" w:rsidRPr="00CC39F5">
        <w:rPr>
          <w:rFonts w:ascii="Cambria" w:hAnsi="Cambria"/>
          <w:sz w:val="20"/>
          <w:szCs w:val="20"/>
        </w:rPr>
        <w:t>brought</w:t>
      </w:r>
      <w:r w:rsidRPr="00CC39F5">
        <w:rPr>
          <w:rFonts w:ascii="Cambria" w:hAnsi="Cambria"/>
          <w:sz w:val="20"/>
          <w:szCs w:val="20"/>
        </w:rPr>
        <w:t xml:space="preserve"> against Mr.</w:t>
      </w:r>
      <w:r w:rsidR="006B32E1" w:rsidRPr="00CC39F5">
        <w:rPr>
          <w:rFonts w:ascii="Cambria" w:hAnsi="Cambria"/>
          <w:sz w:val="20"/>
          <w:szCs w:val="20"/>
        </w:rPr>
        <w:t xml:space="preserve"> Montesinos, </w:t>
      </w:r>
      <w:r w:rsidRPr="00CC39F5">
        <w:rPr>
          <w:rFonts w:ascii="Cambria" w:hAnsi="Cambria"/>
          <w:sz w:val="20"/>
          <w:szCs w:val="20"/>
        </w:rPr>
        <w:t>which the State</w:t>
      </w:r>
      <w:r w:rsidR="006B32E1" w:rsidRPr="00CC39F5">
        <w:rPr>
          <w:rFonts w:ascii="Cambria" w:hAnsi="Cambria"/>
          <w:sz w:val="20"/>
          <w:szCs w:val="20"/>
        </w:rPr>
        <w:t xml:space="preserve"> </w:t>
      </w:r>
      <w:r w:rsidR="00107E8C" w:rsidRPr="00CC39F5">
        <w:rPr>
          <w:rFonts w:ascii="Cambria" w:hAnsi="Cambria"/>
          <w:sz w:val="20"/>
          <w:szCs w:val="20"/>
        </w:rPr>
        <w:t>alleged</w:t>
      </w:r>
      <w:r w:rsidRPr="00CC39F5">
        <w:rPr>
          <w:rFonts w:ascii="Cambria" w:hAnsi="Cambria"/>
          <w:sz w:val="20"/>
          <w:szCs w:val="20"/>
        </w:rPr>
        <w:t xml:space="preserve"> were still open when the petition was filed, </w:t>
      </w:r>
      <w:r w:rsidR="006346D2" w:rsidRPr="00CC39F5">
        <w:rPr>
          <w:rFonts w:ascii="Cambria" w:hAnsi="Cambria"/>
          <w:sz w:val="20"/>
          <w:szCs w:val="20"/>
        </w:rPr>
        <w:t>the Commission</w:t>
      </w:r>
      <w:r w:rsidR="006B32E1" w:rsidRPr="00CC39F5">
        <w:rPr>
          <w:rFonts w:ascii="Cambria" w:hAnsi="Cambria"/>
          <w:sz w:val="20"/>
          <w:szCs w:val="20"/>
        </w:rPr>
        <w:t xml:space="preserve"> </w:t>
      </w:r>
      <w:r w:rsidRPr="00CC39F5">
        <w:rPr>
          <w:rFonts w:ascii="Cambria" w:hAnsi="Cambria"/>
          <w:sz w:val="20"/>
          <w:szCs w:val="20"/>
        </w:rPr>
        <w:t>reiterates</w:t>
      </w:r>
      <w:r w:rsidR="003259E5" w:rsidRPr="00CC39F5">
        <w:rPr>
          <w:rFonts w:ascii="Cambria" w:hAnsi="Cambria"/>
          <w:sz w:val="20"/>
          <w:szCs w:val="20"/>
        </w:rPr>
        <w:t xml:space="preserve"> that the situation that </w:t>
      </w:r>
      <w:r w:rsidR="005A4B2F" w:rsidRPr="00CC39F5">
        <w:rPr>
          <w:rFonts w:ascii="Cambria" w:hAnsi="Cambria"/>
          <w:sz w:val="20"/>
          <w:szCs w:val="20"/>
        </w:rPr>
        <w:t>must</w:t>
      </w:r>
      <w:r w:rsidR="003259E5" w:rsidRPr="00CC39F5">
        <w:rPr>
          <w:rFonts w:ascii="Cambria" w:hAnsi="Cambria"/>
          <w:sz w:val="20"/>
          <w:szCs w:val="20"/>
        </w:rPr>
        <w:t xml:space="preserve"> be taken into account to determin</w:t>
      </w:r>
      <w:r w:rsidR="00334530" w:rsidRPr="00CC39F5">
        <w:rPr>
          <w:rFonts w:ascii="Cambria" w:hAnsi="Cambria"/>
          <w:sz w:val="20"/>
          <w:szCs w:val="20"/>
        </w:rPr>
        <w:t xml:space="preserve">e whether or not domestic remedies have been exhausted is that </w:t>
      </w:r>
      <w:r w:rsidR="00514886" w:rsidRPr="00CC39F5">
        <w:rPr>
          <w:rFonts w:ascii="Cambria" w:hAnsi="Cambria"/>
          <w:sz w:val="20"/>
          <w:szCs w:val="20"/>
        </w:rPr>
        <w:t>which exists when deciding on admissibility.</w:t>
      </w:r>
      <w:r w:rsidR="006B32E1" w:rsidRPr="00CC39F5">
        <w:rPr>
          <w:rStyle w:val="FootnoteReference"/>
          <w:rFonts w:ascii="Cambria" w:hAnsi="Cambria"/>
          <w:sz w:val="20"/>
          <w:szCs w:val="20"/>
        </w:rPr>
        <w:footnoteReference w:id="2"/>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6346D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Commission</w:t>
      </w:r>
      <w:r w:rsidR="006B32E1" w:rsidRPr="00CC39F5">
        <w:rPr>
          <w:rFonts w:ascii="Cambria" w:hAnsi="Cambria"/>
          <w:sz w:val="20"/>
          <w:szCs w:val="20"/>
        </w:rPr>
        <w:t xml:space="preserve"> </w:t>
      </w:r>
      <w:r w:rsidR="00E9651F" w:rsidRPr="00CC39F5">
        <w:rPr>
          <w:rFonts w:ascii="Cambria" w:hAnsi="Cambria"/>
          <w:sz w:val="20"/>
          <w:szCs w:val="20"/>
        </w:rPr>
        <w:t xml:space="preserve">observes that two of the </w:t>
      </w:r>
      <w:r w:rsidR="002A452F" w:rsidRPr="00CC39F5">
        <w:rPr>
          <w:rFonts w:ascii="Cambria" w:hAnsi="Cambria"/>
          <w:sz w:val="20"/>
          <w:szCs w:val="20"/>
        </w:rPr>
        <w:t>cases</w:t>
      </w:r>
      <w:r w:rsidR="00E9651F" w:rsidRPr="00CC39F5">
        <w:rPr>
          <w:rFonts w:ascii="Cambria" w:hAnsi="Cambria"/>
          <w:sz w:val="20"/>
          <w:szCs w:val="20"/>
        </w:rPr>
        <w:t xml:space="preserve"> were closed after they were </w:t>
      </w:r>
      <w:r w:rsidR="00535D5A" w:rsidRPr="00CC39F5">
        <w:rPr>
          <w:rFonts w:ascii="Cambria" w:hAnsi="Cambria"/>
          <w:sz w:val="20"/>
          <w:szCs w:val="20"/>
        </w:rPr>
        <w:t>ultimately</w:t>
      </w:r>
      <w:r w:rsidR="00E9651F" w:rsidRPr="00CC39F5">
        <w:rPr>
          <w:rFonts w:ascii="Cambria" w:hAnsi="Cambria"/>
          <w:sz w:val="20"/>
          <w:szCs w:val="20"/>
        </w:rPr>
        <w:t xml:space="preserve"> dismissed in</w:t>
      </w:r>
      <w:r w:rsidR="006B32E1" w:rsidRPr="00CC39F5">
        <w:rPr>
          <w:rFonts w:ascii="Cambria" w:hAnsi="Cambria"/>
          <w:sz w:val="20"/>
          <w:szCs w:val="20"/>
        </w:rPr>
        <w:t xml:space="preserve"> 1998. </w:t>
      </w:r>
      <w:r w:rsidR="00893EBC" w:rsidRPr="00CC39F5">
        <w:rPr>
          <w:rFonts w:ascii="Cambria" w:hAnsi="Cambria"/>
          <w:sz w:val="20"/>
          <w:szCs w:val="20"/>
        </w:rPr>
        <w:t>As to the third case</w:t>
      </w:r>
      <w:r w:rsidR="006B32E1" w:rsidRPr="00CC39F5">
        <w:rPr>
          <w:rFonts w:ascii="Cambria" w:hAnsi="Cambria"/>
          <w:sz w:val="20"/>
          <w:szCs w:val="20"/>
        </w:rPr>
        <w:t xml:space="preserve">, </w:t>
      </w:r>
      <w:r w:rsidRPr="00CC39F5">
        <w:rPr>
          <w:rFonts w:ascii="Cambria" w:hAnsi="Cambria"/>
          <w:sz w:val="20"/>
          <w:szCs w:val="20"/>
        </w:rPr>
        <w:t>the Commission</w:t>
      </w:r>
      <w:r w:rsidR="006B32E1" w:rsidRPr="00CC39F5">
        <w:rPr>
          <w:rFonts w:ascii="Cambria" w:hAnsi="Cambria"/>
          <w:sz w:val="20"/>
          <w:szCs w:val="20"/>
        </w:rPr>
        <w:t xml:space="preserve"> </w:t>
      </w:r>
      <w:r w:rsidR="00893EBC" w:rsidRPr="00CC39F5">
        <w:rPr>
          <w:rFonts w:ascii="Cambria" w:hAnsi="Cambria"/>
          <w:sz w:val="20"/>
          <w:szCs w:val="20"/>
        </w:rPr>
        <w:t xml:space="preserve">takes note that in his March 2004 communication, the petitioner indicated that </w:t>
      </w:r>
      <w:r w:rsidR="00535D5A" w:rsidRPr="00CC39F5">
        <w:rPr>
          <w:rFonts w:ascii="Cambria" w:hAnsi="Cambria"/>
          <w:sz w:val="20"/>
          <w:szCs w:val="20"/>
        </w:rPr>
        <w:t>the alleged victim had been acquitted</w:t>
      </w:r>
      <w:r w:rsidR="00893EBC" w:rsidRPr="00CC39F5">
        <w:rPr>
          <w:rFonts w:ascii="Cambria" w:hAnsi="Cambria"/>
          <w:sz w:val="20"/>
          <w:szCs w:val="20"/>
        </w:rPr>
        <w:t xml:space="preserve"> and </w:t>
      </w:r>
      <w:r w:rsidR="00FB1339" w:rsidRPr="00CC39F5">
        <w:rPr>
          <w:rFonts w:ascii="Cambria" w:hAnsi="Cambria"/>
          <w:sz w:val="20"/>
          <w:szCs w:val="20"/>
        </w:rPr>
        <w:t xml:space="preserve">that </w:t>
      </w:r>
      <w:r w:rsidR="00893EBC" w:rsidRPr="00CC39F5">
        <w:rPr>
          <w:rFonts w:ascii="Cambria" w:hAnsi="Cambria"/>
          <w:sz w:val="20"/>
          <w:szCs w:val="20"/>
        </w:rPr>
        <w:t xml:space="preserve">the prosecuting authority </w:t>
      </w:r>
      <w:r w:rsidR="00535D5A" w:rsidRPr="00CC39F5">
        <w:rPr>
          <w:rFonts w:ascii="Cambria" w:hAnsi="Cambria"/>
          <w:sz w:val="20"/>
          <w:szCs w:val="20"/>
        </w:rPr>
        <w:t xml:space="preserve">had </w:t>
      </w:r>
      <w:r w:rsidR="00893EBC" w:rsidRPr="00CC39F5">
        <w:rPr>
          <w:rFonts w:ascii="Cambria" w:hAnsi="Cambria"/>
          <w:sz w:val="20"/>
          <w:szCs w:val="20"/>
        </w:rPr>
        <w:t>filed an appeal</w:t>
      </w:r>
      <w:r w:rsidR="006B32E1" w:rsidRPr="00CC39F5">
        <w:rPr>
          <w:rFonts w:ascii="Cambria" w:hAnsi="Cambria"/>
          <w:sz w:val="20"/>
          <w:szCs w:val="20"/>
        </w:rPr>
        <w:t xml:space="preserve">. </w:t>
      </w:r>
      <w:r w:rsidR="002530B6" w:rsidRPr="00CC39F5">
        <w:rPr>
          <w:rFonts w:ascii="Cambria" w:hAnsi="Cambria"/>
          <w:sz w:val="20"/>
          <w:szCs w:val="20"/>
        </w:rPr>
        <w:t>The IACHR</w:t>
      </w:r>
      <w:r w:rsidR="006B32E1" w:rsidRPr="00CC39F5">
        <w:rPr>
          <w:rFonts w:ascii="Cambria" w:hAnsi="Cambria"/>
          <w:sz w:val="20"/>
          <w:szCs w:val="20"/>
        </w:rPr>
        <w:t xml:space="preserve"> </w:t>
      </w:r>
      <w:r w:rsidR="003E646E" w:rsidRPr="00CC39F5">
        <w:rPr>
          <w:rFonts w:ascii="Cambria" w:hAnsi="Cambria"/>
          <w:sz w:val="20"/>
          <w:szCs w:val="20"/>
        </w:rPr>
        <w:t>lacks information about whether a decision was</w:t>
      </w:r>
      <w:r w:rsidR="00167F96" w:rsidRPr="00CC39F5">
        <w:rPr>
          <w:rFonts w:ascii="Cambria" w:hAnsi="Cambria"/>
          <w:sz w:val="20"/>
          <w:szCs w:val="20"/>
        </w:rPr>
        <w:t xml:space="preserve"> ever</w:t>
      </w:r>
      <w:r w:rsidR="003E646E" w:rsidRPr="00CC39F5">
        <w:rPr>
          <w:rFonts w:ascii="Cambria" w:hAnsi="Cambria"/>
          <w:sz w:val="20"/>
          <w:szCs w:val="20"/>
        </w:rPr>
        <w:t xml:space="preserve"> </w:t>
      </w:r>
      <w:r w:rsidR="00671475" w:rsidRPr="00CC39F5">
        <w:rPr>
          <w:rFonts w:ascii="Cambria" w:hAnsi="Cambria"/>
          <w:sz w:val="20"/>
          <w:szCs w:val="20"/>
        </w:rPr>
        <w:t>made regarding that appeal</w:t>
      </w:r>
      <w:r w:rsidR="006B32E1" w:rsidRPr="00CC39F5">
        <w:rPr>
          <w:rFonts w:ascii="Cambria" w:hAnsi="Cambria"/>
          <w:sz w:val="20"/>
          <w:szCs w:val="20"/>
        </w:rPr>
        <w:t xml:space="preserve">. </w:t>
      </w:r>
    </w:p>
    <w:p w:rsidR="006B32E1" w:rsidRPr="00CC39F5" w:rsidRDefault="006B32E1" w:rsidP="006B32E1">
      <w:pPr>
        <w:pStyle w:val="ColorfulList-Accent11"/>
        <w:rPr>
          <w:sz w:val="20"/>
          <w:szCs w:val="20"/>
        </w:rPr>
      </w:pPr>
    </w:p>
    <w:p w:rsidR="006B32E1" w:rsidRPr="00CC39F5" w:rsidRDefault="009C59C9"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information available indicates that domestic jurisdiction was definitively exhausted</w:t>
      </w:r>
      <w:r w:rsidR="004645BB" w:rsidRPr="00CC39F5">
        <w:rPr>
          <w:rFonts w:ascii="Cambria" w:hAnsi="Cambria"/>
          <w:sz w:val="20"/>
          <w:szCs w:val="20"/>
        </w:rPr>
        <w:t xml:space="preserve"> with re</w:t>
      </w:r>
      <w:r w:rsidR="00DC7464" w:rsidRPr="00CC39F5">
        <w:rPr>
          <w:rFonts w:ascii="Cambria" w:hAnsi="Cambria"/>
          <w:sz w:val="20"/>
          <w:szCs w:val="20"/>
        </w:rPr>
        <w:t>spect to two of the proceedings. I</w:t>
      </w:r>
      <w:r w:rsidRPr="00CC39F5">
        <w:rPr>
          <w:rFonts w:ascii="Cambria" w:hAnsi="Cambria"/>
          <w:sz w:val="20"/>
          <w:szCs w:val="20"/>
        </w:rPr>
        <w:t>n the case of the third,</w:t>
      </w:r>
      <w:r w:rsidR="00DC7464" w:rsidRPr="00CC39F5">
        <w:rPr>
          <w:rFonts w:ascii="Cambria" w:hAnsi="Cambria"/>
          <w:sz w:val="20"/>
          <w:szCs w:val="20"/>
        </w:rPr>
        <w:t xml:space="preserve"> however,</w:t>
      </w:r>
      <w:r w:rsidRPr="00CC39F5">
        <w:rPr>
          <w:rFonts w:ascii="Cambria" w:hAnsi="Cambria"/>
          <w:sz w:val="20"/>
          <w:szCs w:val="20"/>
        </w:rPr>
        <w:t xml:space="preserve"> </w:t>
      </w:r>
      <w:r w:rsidR="004645BB" w:rsidRPr="00CC39F5">
        <w:rPr>
          <w:rFonts w:ascii="Cambria" w:hAnsi="Cambria"/>
          <w:sz w:val="20"/>
          <w:szCs w:val="20"/>
        </w:rPr>
        <w:t>as</w:t>
      </w:r>
      <w:r w:rsidRPr="00CC39F5">
        <w:rPr>
          <w:rFonts w:ascii="Cambria" w:hAnsi="Cambria"/>
          <w:sz w:val="20"/>
          <w:szCs w:val="20"/>
        </w:rPr>
        <w:t xml:space="preserve"> </w:t>
      </w:r>
      <w:r w:rsidR="004645BB" w:rsidRPr="00CC39F5">
        <w:rPr>
          <w:rFonts w:ascii="Cambria" w:hAnsi="Cambria"/>
          <w:sz w:val="20"/>
          <w:szCs w:val="20"/>
        </w:rPr>
        <w:t xml:space="preserve">it ended in an acquittal, </w:t>
      </w:r>
      <w:r w:rsidRPr="00CC39F5">
        <w:rPr>
          <w:rFonts w:ascii="Cambria" w:hAnsi="Cambria"/>
          <w:sz w:val="20"/>
          <w:szCs w:val="20"/>
        </w:rPr>
        <w:t>the appeal of which remains pending</w:t>
      </w:r>
      <w:r w:rsidR="004645BB" w:rsidRPr="00CC39F5">
        <w:rPr>
          <w:rFonts w:ascii="Cambria" w:hAnsi="Cambria"/>
          <w:sz w:val="20"/>
          <w:szCs w:val="20"/>
        </w:rPr>
        <w:t xml:space="preserve">, </w:t>
      </w:r>
      <w:r w:rsidR="002530B6" w:rsidRPr="00CC39F5">
        <w:rPr>
          <w:rFonts w:ascii="Cambria" w:hAnsi="Cambria"/>
          <w:sz w:val="20"/>
          <w:szCs w:val="20"/>
        </w:rPr>
        <w:t>the IACHR</w:t>
      </w:r>
      <w:r w:rsidR="006B32E1" w:rsidRPr="00CC39F5">
        <w:rPr>
          <w:rFonts w:ascii="Cambria" w:hAnsi="Cambria"/>
          <w:sz w:val="20"/>
          <w:szCs w:val="20"/>
        </w:rPr>
        <w:t xml:space="preserve"> </w:t>
      </w:r>
      <w:r w:rsidR="00DC7464" w:rsidRPr="00CC39F5">
        <w:rPr>
          <w:rFonts w:ascii="Cambria" w:hAnsi="Cambria"/>
          <w:sz w:val="20"/>
          <w:szCs w:val="20"/>
        </w:rPr>
        <w:t>is of the understanding</w:t>
      </w:r>
      <w:r w:rsidR="004645BB" w:rsidRPr="00CC39F5">
        <w:rPr>
          <w:rFonts w:ascii="Cambria" w:hAnsi="Cambria"/>
          <w:sz w:val="20"/>
          <w:szCs w:val="20"/>
        </w:rPr>
        <w:t xml:space="preserve"> that Mr.</w:t>
      </w:r>
      <w:r w:rsidR="006B32E1" w:rsidRPr="00CC39F5">
        <w:rPr>
          <w:rFonts w:ascii="Cambria" w:hAnsi="Cambria"/>
          <w:sz w:val="20"/>
          <w:szCs w:val="20"/>
        </w:rPr>
        <w:t xml:space="preserve"> Montesinos</w:t>
      </w:r>
      <w:r w:rsidR="004645BB" w:rsidRPr="00CC39F5">
        <w:rPr>
          <w:rFonts w:ascii="Cambria" w:hAnsi="Cambria"/>
          <w:sz w:val="20"/>
          <w:szCs w:val="20"/>
        </w:rPr>
        <w:t xml:space="preserve"> is not required to </w:t>
      </w:r>
      <w:r w:rsidR="00D12B6F" w:rsidRPr="00CC39F5">
        <w:rPr>
          <w:rFonts w:ascii="Cambria" w:hAnsi="Cambria"/>
          <w:sz w:val="20"/>
          <w:szCs w:val="20"/>
        </w:rPr>
        <w:t>pursue</w:t>
      </w:r>
      <w:r w:rsidR="004645BB" w:rsidRPr="00CC39F5">
        <w:rPr>
          <w:rFonts w:ascii="Cambria" w:hAnsi="Cambria"/>
          <w:sz w:val="20"/>
          <w:szCs w:val="20"/>
        </w:rPr>
        <w:t xml:space="preserve"> any </w:t>
      </w:r>
      <w:r w:rsidR="00DC7464" w:rsidRPr="00CC39F5">
        <w:rPr>
          <w:rFonts w:ascii="Cambria" w:hAnsi="Cambria"/>
          <w:sz w:val="20"/>
          <w:szCs w:val="20"/>
        </w:rPr>
        <w:t>further</w:t>
      </w:r>
      <w:r w:rsidR="004645BB" w:rsidRPr="00CC39F5">
        <w:rPr>
          <w:rFonts w:ascii="Cambria" w:hAnsi="Cambria"/>
          <w:sz w:val="20"/>
          <w:szCs w:val="20"/>
        </w:rPr>
        <w:t xml:space="preserve"> </w:t>
      </w:r>
      <w:r w:rsidR="00D12B6F" w:rsidRPr="00CC39F5">
        <w:rPr>
          <w:rFonts w:ascii="Cambria" w:hAnsi="Cambria"/>
          <w:sz w:val="20"/>
          <w:szCs w:val="20"/>
        </w:rPr>
        <w:t>remedy</w:t>
      </w:r>
      <w:r w:rsidR="004645BB" w:rsidRPr="00CC39F5">
        <w:rPr>
          <w:rFonts w:ascii="Cambria" w:hAnsi="Cambria"/>
          <w:sz w:val="20"/>
          <w:szCs w:val="20"/>
        </w:rPr>
        <w:t xml:space="preserve"> whatsoever </w:t>
      </w:r>
      <w:r w:rsidR="00DD645A" w:rsidRPr="00CC39F5">
        <w:rPr>
          <w:rFonts w:ascii="Cambria" w:hAnsi="Cambria"/>
          <w:sz w:val="20"/>
          <w:szCs w:val="20"/>
        </w:rPr>
        <w:t>in connection with</w:t>
      </w:r>
      <w:r w:rsidR="004645BB" w:rsidRPr="00CC39F5">
        <w:rPr>
          <w:rFonts w:ascii="Cambria" w:hAnsi="Cambria"/>
          <w:sz w:val="20"/>
          <w:szCs w:val="20"/>
        </w:rPr>
        <w:t xml:space="preserve"> his exoneration.</w:t>
      </w:r>
      <w:r w:rsidR="006B32E1" w:rsidRPr="00CC39F5">
        <w:rPr>
          <w:rFonts w:ascii="Cambria" w:hAnsi="Cambria"/>
          <w:sz w:val="20"/>
          <w:szCs w:val="20"/>
        </w:rPr>
        <w:t xml:space="preserve"> </w:t>
      </w:r>
      <w:r w:rsidR="004645BB" w:rsidRPr="00CC39F5">
        <w:rPr>
          <w:rFonts w:ascii="Cambria" w:hAnsi="Cambria"/>
          <w:sz w:val="20"/>
          <w:szCs w:val="20"/>
        </w:rPr>
        <w:t>In light of the foregoing,</w:t>
      </w:r>
      <w:r w:rsidR="006B32E1" w:rsidRPr="00CC39F5">
        <w:rPr>
          <w:rFonts w:ascii="Cambria" w:hAnsi="Cambria"/>
          <w:sz w:val="20"/>
          <w:szCs w:val="20"/>
        </w:rPr>
        <w:t xml:space="preserve"> </w:t>
      </w:r>
      <w:r w:rsidR="002530B6" w:rsidRPr="00CC39F5">
        <w:rPr>
          <w:rFonts w:ascii="Cambria" w:hAnsi="Cambria"/>
          <w:sz w:val="20"/>
          <w:szCs w:val="20"/>
        </w:rPr>
        <w:t>the IACHR</w:t>
      </w:r>
      <w:r w:rsidR="006B32E1" w:rsidRPr="00CC39F5">
        <w:rPr>
          <w:rFonts w:ascii="Cambria" w:hAnsi="Cambria"/>
          <w:sz w:val="20"/>
          <w:szCs w:val="20"/>
        </w:rPr>
        <w:t xml:space="preserve"> </w:t>
      </w:r>
      <w:r w:rsidR="00DD645A" w:rsidRPr="00CC39F5">
        <w:rPr>
          <w:rFonts w:ascii="Cambria" w:hAnsi="Cambria"/>
          <w:sz w:val="20"/>
          <w:szCs w:val="20"/>
        </w:rPr>
        <w:t xml:space="preserve">considers that as far as the criminal </w:t>
      </w:r>
      <w:r w:rsidR="00DC7464" w:rsidRPr="00CC39F5">
        <w:rPr>
          <w:rFonts w:ascii="Cambria" w:hAnsi="Cambria"/>
          <w:sz w:val="20"/>
          <w:szCs w:val="20"/>
        </w:rPr>
        <w:t>cases</w:t>
      </w:r>
      <w:r w:rsidR="00DD645A" w:rsidRPr="00CC39F5">
        <w:rPr>
          <w:rFonts w:ascii="Cambria" w:hAnsi="Cambria"/>
          <w:sz w:val="20"/>
          <w:szCs w:val="20"/>
        </w:rPr>
        <w:t xml:space="preserve"> are concerned, the requirement to exhaust domestic remedies has been met. Moreover, bearing in mind that the remedies were exhausted after the petition was submitted,</w:t>
      </w:r>
      <w:r w:rsidR="006B32E1" w:rsidRPr="00CC39F5">
        <w:rPr>
          <w:rFonts w:ascii="Cambria" w:hAnsi="Cambria"/>
          <w:sz w:val="20"/>
          <w:szCs w:val="20"/>
        </w:rPr>
        <w:t xml:space="preserve"> </w:t>
      </w:r>
      <w:r w:rsidR="002530B6" w:rsidRPr="00CC39F5">
        <w:rPr>
          <w:rFonts w:ascii="Cambria" w:hAnsi="Cambria"/>
          <w:sz w:val="20"/>
          <w:szCs w:val="20"/>
        </w:rPr>
        <w:t>the IACHR</w:t>
      </w:r>
      <w:r w:rsidR="006B32E1" w:rsidRPr="00CC39F5">
        <w:rPr>
          <w:rFonts w:ascii="Cambria" w:hAnsi="Cambria"/>
          <w:sz w:val="20"/>
          <w:szCs w:val="20"/>
        </w:rPr>
        <w:t xml:space="preserve"> </w:t>
      </w:r>
      <w:r w:rsidR="00DD645A" w:rsidRPr="00CC39F5">
        <w:rPr>
          <w:rFonts w:ascii="Cambria" w:hAnsi="Cambria"/>
          <w:sz w:val="20"/>
          <w:szCs w:val="20"/>
        </w:rPr>
        <w:t xml:space="preserve">believes that </w:t>
      </w:r>
      <w:r w:rsidR="005A0CA1" w:rsidRPr="00CC39F5">
        <w:rPr>
          <w:rFonts w:ascii="Cambria" w:hAnsi="Cambria"/>
          <w:sz w:val="20"/>
          <w:szCs w:val="20"/>
        </w:rPr>
        <w:t>fulfillment of the</w:t>
      </w:r>
      <w:r w:rsidR="00DD645A" w:rsidRPr="00CC39F5">
        <w:rPr>
          <w:rFonts w:ascii="Cambria" w:hAnsi="Cambria"/>
          <w:sz w:val="20"/>
          <w:szCs w:val="20"/>
        </w:rPr>
        <w:t xml:space="preserve"> requirement to file the petition in a timely manner</w:t>
      </w:r>
      <w:r w:rsidR="006B32E1" w:rsidRPr="00CC39F5">
        <w:rPr>
          <w:rFonts w:ascii="Cambria" w:hAnsi="Cambria"/>
          <w:sz w:val="20"/>
          <w:szCs w:val="20"/>
        </w:rPr>
        <w:t xml:space="preserve"> </w:t>
      </w:r>
      <w:r w:rsidR="00DD645A" w:rsidRPr="00CC39F5">
        <w:rPr>
          <w:rFonts w:ascii="Cambria" w:hAnsi="Cambria"/>
          <w:sz w:val="20"/>
          <w:szCs w:val="20"/>
        </w:rPr>
        <w:t>is intrinsically linked to the exhaustion of domestic remedies and has thus been met</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D12B6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Regarding the allegations of torture</w:t>
      </w:r>
      <w:r w:rsidR="006B32E1" w:rsidRPr="00CC39F5">
        <w:rPr>
          <w:rFonts w:ascii="Cambria" w:hAnsi="Cambria"/>
          <w:sz w:val="20"/>
          <w:szCs w:val="20"/>
        </w:rPr>
        <w:t xml:space="preserve">, </w:t>
      </w:r>
      <w:r w:rsidR="002530B6" w:rsidRPr="00CC39F5">
        <w:rPr>
          <w:rFonts w:ascii="Cambria" w:hAnsi="Cambria"/>
          <w:sz w:val="20"/>
          <w:szCs w:val="20"/>
        </w:rPr>
        <w:t>the IACHR</w:t>
      </w:r>
      <w:r w:rsidR="006B32E1" w:rsidRPr="00CC39F5">
        <w:rPr>
          <w:rFonts w:ascii="Cambria" w:hAnsi="Cambria"/>
          <w:sz w:val="20"/>
          <w:szCs w:val="20"/>
        </w:rPr>
        <w:t xml:space="preserve"> </w:t>
      </w:r>
      <w:r w:rsidRPr="00CC39F5">
        <w:rPr>
          <w:rFonts w:ascii="Cambria" w:hAnsi="Cambria"/>
          <w:sz w:val="20"/>
          <w:szCs w:val="20"/>
        </w:rPr>
        <w:t>recalls that the appropriate and effective remedy</w:t>
      </w:r>
      <w:r w:rsidR="009D1EE7" w:rsidRPr="00CC39F5">
        <w:rPr>
          <w:rFonts w:ascii="Cambria" w:hAnsi="Cambria"/>
          <w:sz w:val="20"/>
          <w:szCs w:val="20"/>
        </w:rPr>
        <w:t xml:space="preserve"> is a</w:t>
      </w:r>
      <w:r w:rsidR="000C2201" w:rsidRPr="00CC39F5">
        <w:rPr>
          <w:rFonts w:ascii="Cambria" w:hAnsi="Cambria"/>
          <w:sz w:val="20"/>
          <w:szCs w:val="20"/>
        </w:rPr>
        <w:t xml:space="preserve"> </w:t>
      </w:r>
      <w:r w:rsidR="009D1EE7" w:rsidRPr="00CC39F5">
        <w:rPr>
          <w:rFonts w:ascii="Cambria" w:hAnsi="Cambria"/>
          <w:sz w:val="20"/>
          <w:szCs w:val="20"/>
        </w:rPr>
        <w:t xml:space="preserve">criminal </w:t>
      </w:r>
      <w:r w:rsidR="000C2201" w:rsidRPr="00CC39F5">
        <w:rPr>
          <w:rFonts w:ascii="Cambria" w:hAnsi="Cambria"/>
          <w:sz w:val="20"/>
          <w:szCs w:val="20"/>
        </w:rPr>
        <w:t xml:space="preserve">investigation and proceeding and that the State has the </w:t>
      </w:r>
      <w:r w:rsidR="000C2201" w:rsidRPr="00CC39F5">
        <w:rPr>
          <w:rFonts w:ascii="Cambria" w:hAnsi="Cambria"/>
          <w:i/>
          <w:sz w:val="20"/>
          <w:szCs w:val="20"/>
        </w:rPr>
        <w:t>ex officio</w:t>
      </w:r>
      <w:r w:rsidR="000C2201" w:rsidRPr="00CC39F5">
        <w:rPr>
          <w:rFonts w:ascii="Cambria" w:hAnsi="Cambria"/>
          <w:sz w:val="20"/>
          <w:szCs w:val="20"/>
        </w:rPr>
        <w:t xml:space="preserve"> duty to </w:t>
      </w:r>
      <w:r w:rsidR="00084A21" w:rsidRPr="00CC39F5">
        <w:rPr>
          <w:rFonts w:ascii="Cambria" w:hAnsi="Cambria"/>
          <w:sz w:val="20"/>
          <w:szCs w:val="20"/>
        </w:rPr>
        <w:t>foster</w:t>
      </w:r>
      <w:r w:rsidR="000C2201" w:rsidRPr="00CC39F5">
        <w:rPr>
          <w:rFonts w:ascii="Cambria" w:hAnsi="Cambria"/>
          <w:sz w:val="20"/>
          <w:szCs w:val="20"/>
        </w:rPr>
        <w:t xml:space="preserve"> and advance both.</w:t>
      </w:r>
      <w:r w:rsidR="006B32E1" w:rsidRPr="00CC39F5">
        <w:rPr>
          <w:rStyle w:val="FootnoteReference"/>
          <w:rFonts w:ascii="Cambria" w:hAnsi="Cambria"/>
          <w:sz w:val="20"/>
          <w:szCs w:val="20"/>
        </w:rPr>
        <w:footnoteReference w:id="3"/>
      </w:r>
      <w:r w:rsidR="00825AC0" w:rsidRPr="00CC39F5">
        <w:rPr>
          <w:rFonts w:ascii="Cambria" w:hAnsi="Cambria"/>
          <w:sz w:val="20"/>
          <w:szCs w:val="20"/>
        </w:rPr>
        <w:t xml:space="preserve"> </w:t>
      </w:r>
      <w:r w:rsidR="000B0498" w:rsidRPr="00CC39F5">
        <w:rPr>
          <w:rFonts w:ascii="Cambria" w:hAnsi="Cambria"/>
          <w:sz w:val="20"/>
          <w:szCs w:val="20"/>
        </w:rPr>
        <w:t>The documents furnished by the parties reveal that the alleged torture and abuse were reported in the</w:t>
      </w:r>
      <w:r w:rsidR="003C4A6E" w:rsidRPr="00CC39F5">
        <w:rPr>
          <w:rFonts w:ascii="Cambria" w:hAnsi="Cambria"/>
          <w:sz w:val="20"/>
          <w:szCs w:val="20"/>
        </w:rPr>
        <w:t xml:space="preserve"> </w:t>
      </w:r>
      <w:r w:rsidR="006B32E1" w:rsidRPr="00CC39F5">
        <w:rPr>
          <w:rFonts w:ascii="Cambria" w:hAnsi="Cambria"/>
          <w:i/>
          <w:sz w:val="20"/>
          <w:szCs w:val="20"/>
        </w:rPr>
        <w:t>habeas corpus</w:t>
      </w:r>
      <w:r w:rsidR="006B32E1" w:rsidRPr="00CC39F5">
        <w:rPr>
          <w:rFonts w:ascii="Cambria" w:hAnsi="Cambria"/>
          <w:sz w:val="20"/>
          <w:szCs w:val="20"/>
        </w:rPr>
        <w:t xml:space="preserve"> </w:t>
      </w:r>
      <w:r w:rsidR="005A0CA1" w:rsidRPr="00CC39F5">
        <w:rPr>
          <w:rFonts w:ascii="Cambria" w:hAnsi="Cambria"/>
          <w:sz w:val="20"/>
          <w:szCs w:val="20"/>
        </w:rPr>
        <w:t>appeal f</w:t>
      </w:r>
      <w:r w:rsidR="001C2B5B" w:rsidRPr="00CC39F5">
        <w:rPr>
          <w:rFonts w:ascii="Cambria" w:hAnsi="Cambria"/>
          <w:sz w:val="20"/>
          <w:szCs w:val="20"/>
        </w:rPr>
        <w:t>iled in September</w:t>
      </w:r>
      <w:r w:rsidR="006B32E1" w:rsidRPr="00CC39F5">
        <w:rPr>
          <w:rFonts w:ascii="Cambria" w:hAnsi="Cambria"/>
          <w:sz w:val="20"/>
          <w:szCs w:val="20"/>
        </w:rPr>
        <w:t xml:space="preserve"> 1996. </w:t>
      </w:r>
      <w:r w:rsidR="00E221FB" w:rsidRPr="00CC39F5">
        <w:rPr>
          <w:rFonts w:ascii="Cambria" w:hAnsi="Cambria"/>
          <w:sz w:val="20"/>
          <w:szCs w:val="20"/>
        </w:rPr>
        <w:t xml:space="preserve">Despite </w:t>
      </w:r>
      <w:r w:rsidR="005A0CA1" w:rsidRPr="00CC39F5">
        <w:rPr>
          <w:rFonts w:ascii="Cambria" w:hAnsi="Cambria"/>
          <w:sz w:val="20"/>
          <w:szCs w:val="20"/>
        </w:rPr>
        <w:t>this</w:t>
      </w:r>
      <w:r w:rsidR="006B32E1" w:rsidRPr="00CC39F5">
        <w:rPr>
          <w:rFonts w:ascii="Cambria" w:hAnsi="Cambria"/>
          <w:sz w:val="20"/>
          <w:szCs w:val="20"/>
        </w:rPr>
        <w:t xml:space="preserve">, </w:t>
      </w:r>
      <w:r w:rsidR="004069C9" w:rsidRPr="00CC39F5">
        <w:rPr>
          <w:rFonts w:ascii="Cambria" w:hAnsi="Cambria"/>
          <w:sz w:val="20"/>
          <w:szCs w:val="20"/>
        </w:rPr>
        <w:t xml:space="preserve">the case file does not indicate, nor has the State </w:t>
      </w:r>
      <w:r w:rsidR="005A0CA1" w:rsidRPr="00CC39F5">
        <w:rPr>
          <w:rFonts w:ascii="Cambria" w:hAnsi="Cambria"/>
          <w:sz w:val="20"/>
          <w:szCs w:val="20"/>
        </w:rPr>
        <w:t>claimed</w:t>
      </w:r>
      <w:r w:rsidR="004069C9" w:rsidRPr="00CC39F5">
        <w:rPr>
          <w:rFonts w:ascii="Cambria" w:hAnsi="Cambria"/>
          <w:sz w:val="20"/>
          <w:szCs w:val="20"/>
        </w:rPr>
        <w:t xml:space="preserve">, that any investigation </w:t>
      </w:r>
      <w:r w:rsidR="0033038E" w:rsidRPr="00CC39F5">
        <w:rPr>
          <w:rFonts w:ascii="Cambria" w:hAnsi="Cambria"/>
          <w:sz w:val="20"/>
          <w:szCs w:val="20"/>
        </w:rPr>
        <w:t>whatsoever</w:t>
      </w:r>
      <w:r w:rsidR="004069C9" w:rsidRPr="00CC39F5">
        <w:rPr>
          <w:rFonts w:ascii="Cambria" w:hAnsi="Cambria"/>
          <w:sz w:val="20"/>
          <w:szCs w:val="20"/>
        </w:rPr>
        <w:t xml:space="preserve"> was ever launched. </w:t>
      </w:r>
      <w:r w:rsidR="005A0CA1" w:rsidRPr="00CC39F5">
        <w:rPr>
          <w:rFonts w:ascii="Cambria" w:hAnsi="Cambria"/>
          <w:sz w:val="20"/>
          <w:szCs w:val="20"/>
        </w:rPr>
        <w:t>Consequently</w:t>
      </w:r>
      <w:r w:rsidR="004069C9" w:rsidRPr="00CC39F5">
        <w:rPr>
          <w:rFonts w:ascii="Cambria" w:hAnsi="Cambria"/>
          <w:sz w:val="20"/>
          <w:szCs w:val="20"/>
        </w:rPr>
        <w:t>, the</w:t>
      </w:r>
      <w:r w:rsidR="006B32E1" w:rsidRPr="00CC39F5">
        <w:rPr>
          <w:rFonts w:ascii="Cambria" w:hAnsi="Cambria"/>
          <w:sz w:val="20"/>
          <w:szCs w:val="20"/>
        </w:rPr>
        <w:t xml:space="preserve"> </w:t>
      </w:r>
      <w:r w:rsidR="002530B6" w:rsidRPr="00CC39F5">
        <w:rPr>
          <w:rFonts w:ascii="Cambria" w:hAnsi="Cambria"/>
          <w:sz w:val="20"/>
          <w:szCs w:val="20"/>
        </w:rPr>
        <w:t>IACHR</w:t>
      </w:r>
      <w:r w:rsidR="006B32E1" w:rsidRPr="00CC39F5">
        <w:rPr>
          <w:rFonts w:ascii="Cambria" w:hAnsi="Cambria"/>
          <w:sz w:val="20"/>
          <w:szCs w:val="20"/>
        </w:rPr>
        <w:t xml:space="preserve"> </w:t>
      </w:r>
      <w:r w:rsidR="004069C9" w:rsidRPr="00CC39F5">
        <w:rPr>
          <w:rFonts w:ascii="Cambria" w:hAnsi="Cambria"/>
          <w:sz w:val="20"/>
          <w:szCs w:val="20"/>
        </w:rPr>
        <w:t>has concluded that</w:t>
      </w:r>
      <w:r w:rsidR="006B32E1" w:rsidRPr="00CC39F5">
        <w:rPr>
          <w:rFonts w:ascii="Cambria" w:hAnsi="Cambria"/>
          <w:sz w:val="20"/>
          <w:szCs w:val="20"/>
        </w:rPr>
        <w:t xml:space="preserve"> </w:t>
      </w:r>
      <w:r w:rsidR="00F547ED" w:rsidRPr="00CC39F5">
        <w:rPr>
          <w:rFonts w:ascii="Cambria" w:hAnsi="Cambria"/>
          <w:sz w:val="20"/>
          <w:szCs w:val="20"/>
        </w:rPr>
        <w:t xml:space="preserve">Article 46(2)(c) of the Convention applies </w:t>
      </w:r>
      <w:r w:rsidR="00571982" w:rsidRPr="00CC39F5">
        <w:rPr>
          <w:rFonts w:ascii="Cambria" w:hAnsi="Cambria"/>
          <w:sz w:val="20"/>
          <w:szCs w:val="20"/>
        </w:rPr>
        <w:t>to this aspect</w:t>
      </w:r>
      <w:r w:rsidR="00F547ED" w:rsidRPr="00CC39F5">
        <w:rPr>
          <w:rFonts w:ascii="Cambria" w:hAnsi="Cambria"/>
          <w:sz w:val="20"/>
          <w:szCs w:val="20"/>
        </w:rPr>
        <w:t xml:space="preserve"> of the petition inasmuch as the State engaged in unwarranted delay by not offering the alleged victim the suitable remedy for his reports of torture.</w:t>
      </w:r>
      <w:r w:rsidR="006B32E1" w:rsidRPr="00CC39F5">
        <w:rPr>
          <w:rFonts w:ascii="Cambria" w:hAnsi="Cambria"/>
          <w:sz w:val="20"/>
          <w:szCs w:val="20"/>
        </w:rPr>
        <w:t xml:space="preserve"> </w:t>
      </w:r>
      <w:r w:rsidR="00B065AC" w:rsidRPr="00CC39F5">
        <w:rPr>
          <w:rFonts w:ascii="Cambria" w:hAnsi="Cambria"/>
          <w:sz w:val="20"/>
          <w:szCs w:val="20"/>
        </w:rPr>
        <w:t>With respect to this</w:t>
      </w:r>
      <w:r w:rsidR="00F547ED" w:rsidRPr="00CC39F5">
        <w:rPr>
          <w:rFonts w:ascii="Cambria" w:hAnsi="Cambria"/>
          <w:sz w:val="20"/>
          <w:szCs w:val="20"/>
        </w:rPr>
        <w:t xml:space="preserve"> </w:t>
      </w:r>
      <w:r w:rsidR="00B065AC" w:rsidRPr="00CC39F5">
        <w:rPr>
          <w:rFonts w:ascii="Cambria" w:hAnsi="Cambria"/>
          <w:sz w:val="20"/>
          <w:szCs w:val="20"/>
        </w:rPr>
        <w:t>matter</w:t>
      </w:r>
      <w:r w:rsidR="006B32E1" w:rsidRPr="00CC39F5">
        <w:rPr>
          <w:rFonts w:ascii="Cambria" w:hAnsi="Cambria"/>
          <w:sz w:val="20"/>
          <w:szCs w:val="20"/>
        </w:rPr>
        <w:t xml:space="preserve">, </w:t>
      </w:r>
      <w:r w:rsidR="002530B6" w:rsidRPr="00CC39F5">
        <w:rPr>
          <w:rFonts w:ascii="Cambria" w:hAnsi="Cambria"/>
          <w:sz w:val="20"/>
          <w:szCs w:val="20"/>
        </w:rPr>
        <w:t>the IACHR</w:t>
      </w:r>
      <w:r w:rsidR="006B32E1" w:rsidRPr="00CC39F5">
        <w:rPr>
          <w:rFonts w:ascii="Cambria" w:hAnsi="Cambria"/>
          <w:sz w:val="20"/>
          <w:szCs w:val="20"/>
        </w:rPr>
        <w:t xml:space="preserve"> </w:t>
      </w:r>
      <w:r w:rsidR="005955D3" w:rsidRPr="00CC39F5">
        <w:rPr>
          <w:rFonts w:ascii="Cambria" w:hAnsi="Cambria"/>
          <w:sz w:val="20"/>
          <w:szCs w:val="20"/>
        </w:rPr>
        <w:t>contends</w:t>
      </w:r>
      <w:r w:rsidR="00F547ED" w:rsidRPr="00CC39F5">
        <w:rPr>
          <w:rFonts w:ascii="Cambria" w:hAnsi="Cambria"/>
          <w:sz w:val="20"/>
          <w:szCs w:val="20"/>
        </w:rPr>
        <w:t xml:space="preserve"> that the petition was filed in a timely manner</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C438AD"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As to the allegations about</w:t>
      </w:r>
      <w:r w:rsidR="0032659E" w:rsidRPr="00CC39F5">
        <w:rPr>
          <w:rFonts w:ascii="Cambria" w:hAnsi="Cambria"/>
          <w:sz w:val="20"/>
          <w:szCs w:val="20"/>
        </w:rPr>
        <w:t xml:space="preserve"> </w:t>
      </w:r>
      <w:r w:rsidR="00BA5E57" w:rsidRPr="00CC39F5">
        <w:rPr>
          <w:rFonts w:ascii="Cambria" w:hAnsi="Cambria"/>
          <w:sz w:val="20"/>
          <w:szCs w:val="20"/>
        </w:rPr>
        <w:t>Mr. Montesinos’</w:t>
      </w:r>
      <w:r w:rsidR="0032659E" w:rsidRPr="00CC39F5">
        <w:rPr>
          <w:rFonts w:ascii="Cambria" w:hAnsi="Cambria"/>
          <w:sz w:val="20"/>
          <w:szCs w:val="20"/>
        </w:rPr>
        <w:t xml:space="preserve"> arrest and length of </w:t>
      </w:r>
      <w:r w:rsidR="00BA5E57" w:rsidRPr="00CC39F5">
        <w:rPr>
          <w:rFonts w:ascii="Cambria" w:hAnsi="Cambria"/>
          <w:sz w:val="20"/>
          <w:szCs w:val="20"/>
        </w:rPr>
        <w:t xml:space="preserve">his </w:t>
      </w:r>
      <w:r w:rsidRPr="00CC39F5">
        <w:rPr>
          <w:rFonts w:ascii="Cambria" w:hAnsi="Cambria"/>
          <w:sz w:val="20"/>
          <w:szCs w:val="20"/>
        </w:rPr>
        <w:t>pretrial detention</w:t>
      </w:r>
      <w:r w:rsidR="006B32E1" w:rsidRPr="00CC39F5">
        <w:rPr>
          <w:rFonts w:ascii="Cambria" w:hAnsi="Cambria"/>
          <w:sz w:val="20"/>
          <w:szCs w:val="20"/>
        </w:rPr>
        <w:t xml:space="preserve">, </w:t>
      </w:r>
      <w:r w:rsidR="006346D2" w:rsidRPr="00CC39F5">
        <w:rPr>
          <w:rFonts w:ascii="Cambria" w:hAnsi="Cambria"/>
          <w:sz w:val="20"/>
          <w:szCs w:val="20"/>
        </w:rPr>
        <w:t>the Commission</w:t>
      </w:r>
      <w:r w:rsidR="006B32E1" w:rsidRPr="00CC39F5">
        <w:rPr>
          <w:rFonts w:ascii="Cambria" w:hAnsi="Cambria"/>
          <w:sz w:val="20"/>
          <w:szCs w:val="20"/>
        </w:rPr>
        <w:t xml:space="preserve"> </w:t>
      </w:r>
      <w:r w:rsidR="0032659E" w:rsidRPr="00CC39F5">
        <w:rPr>
          <w:rFonts w:ascii="Cambria" w:hAnsi="Cambria"/>
          <w:sz w:val="20"/>
          <w:szCs w:val="20"/>
        </w:rPr>
        <w:t xml:space="preserve">recalls that at </w:t>
      </w:r>
      <w:r w:rsidR="00CE0D89" w:rsidRPr="00CC39F5">
        <w:rPr>
          <w:rFonts w:ascii="Cambria" w:hAnsi="Cambria"/>
          <w:sz w:val="20"/>
          <w:szCs w:val="20"/>
        </w:rPr>
        <w:t>that time</w:t>
      </w:r>
      <w:r w:rsidR="0032659E" w:rsidRPr="00CC39F5">
        <w:rPr>
          <w:rFonts w:ascii="Cambria" w:hAnsi="Cambria"/>
          <w:sz w:val="20"/>
          <w:szCs w:val="20"/>
        </w:rPr>
        <w:t xml:space="preserve">, a </w:t>
      </w:r>
      <w:r w:rsidR="0025502D" w:rsidRPr="00CC39F5">
        <w:rPr>
          <w:rFonts w:ascii="Cambria" w:hAnsi="Cambria"/>
          <w:i/>
          <w:sz w:val="20"/>
          <w:szCs w:val="20"/>
        </w:rPr>
        <w:t>ha</w:t>
      </w:r>
      <w:r w:rsidR="006B32E1" w:rsidRPr="00CC39F5">
        <w:rPr>
          <w:rFonts w:ascii="Cambria" w:hAnsi="Cambria"/>
          <w:i/>
          <w:sz w:val="20"/>
          <w:szCs w:val="20"/>
        </w:rPr>
        <w:t>beas corpus</w:t>
      </w:r>
      <w:r w:rsidR="006B32E1" w:rsidRPr="00CC39F5">
        <w:rPr>
          <w:rFonts w:ascii="Cambria" w:hAnsi="Cambria"/>
          <w:sz w:val="20"/>
          <w:szCs w:val="20"/>
        </w:rPr>
        <w:t xml:space="preserve"> </w:t>
      </w:r>
      <w:r w:rsidR="00CE0D89" w:rsidRPr="00CC39F5">
        <w:rPr>
          <w:rFonts w:ascii="Cambria" w:hAnsi="Cambria"/>
          <w:sz w:val="20"/>
          <w:szCs w:val="20"/>
        </w:rPr>
        <w:t>appeal h</w:t>
      </w:r>
      <w:r w:rsidR="00644959" w:rsidRPr="00CC39F5">
        <w:rPr>
          <w:rFonts w:ascii="Cambria" w:hAnsi="Cambria"/>
          <w:sz w:val="20"/>
          <w:szCs w:val="20"/>
        </w:rPr>
        <w:t xml:space="preserve">ad to be filed with an administrative authority, </w:t>
      </w:r>
      <w:r w:rsidR="00644959" w:rsidRPr="00CC39F5">
        <w:rPr>
          <w:rFonts w:ascii="Cambria" w:hAnsi="Cambria"/>
          <w:sz w:val="20"/>
          <w:szCs w:val="20"/>
        </w:rPr>
        <w:lastRenderedPageBreak/>
        <w:t>namely, the Office of the Mayor</w:t>
      </w:r>
      <w:r w:rsidR="006B32E1" w:rsidRPr="00CC39F5">
        <w:rPr>
          <w:rFonts w:ascii="Cambria" w:hAnsi="Cambria"/>
          <w:sz w:val="20"/>
          <w:szCs w:val="20"/>
        </w:rPr>
        <w:t xml:space="preserve">. </w:t>
      </w:r>
      <w:r w:rsidR="005955D3" w:rsidRPr="00CC39F5">
        <w:rPr>
          <w:rFonts w:ascii="Cambria" w:hAnsi="Cambria"/>
          <w:sz w:val="20"/>
          <w:szCs w:val="20"/>
        </w:rPr>
        <w:t>Both</w:t>
      </w:r>
      <w:r w:rsidR="006B32E1" w:rsidRPr="00CC39F5">
        <w:rPr>
          <w:rFonts w:ascii="Cambria" w:hAnsi="Cambria"/>
          <w:sz w:val="20"/>
          <w:szCs w:val="20"/>
        </w:rPr>
        <w:t xml:space="preserve"> </w:t>
      </w:r>
      <w:r w:rsidR="006346D2" w:rsidRPr="00CC39F5">
        <w:rPr>
          <w:rFonts w:ascii="Cambria" w:hAnsi="Cambria"/>
          <w:sz w:val="20"/>
          <w:szCs w:val="20"/>
        </w:rPr>
        <w:t>the Commission</w:t>
      </w:r>
      <w:r w:rsidR="006B32E1" w:rsidRPr="00CC39F5">
        <w:rPr>
          <w:rFonts w:ascii="Cambria" w:hAnsi="Cambria"/>
          <w:sz w:val="20"/>
          <w:szCs w:val="20"/>
          <w:vertAlign w:val="superscript"/>
        </w:rPr>
        <w:footnoteReference w:id="4"/>
      </w:r>
      <w:r w:rsidR="006B32E1" w:rsidRPr="00CC39F5">
        <w:rPr>
          <w:rFonts w:ascii="Cambria" w:hAnsi="Cambria"/>
          <w:sz w:val="20"/>
          <w:szCs w:val="20"/>
        </w:rPr>
        <w:t xml:space="preserve"> </w:t>
      </w:r>
      <w:r w:rsidR="005955D3" w:rsidRPr="00CC39F5">
        <w:rPr>
          <w:rFonts w:ascii="Cambria" w:hAnsi="Cambria"/>
          <w:sz w:val="20"/>
          <w:szCs w:val="20"/>
        </w:rPr>
        <w:t>and the Court have held that</w:t>
      </w:r>
      <w:r w:rsidR="006B32E1" w:rsidRPr="00CC39F5">
        <w:rPr>
          <w:rFonts w:ascii="Cambria" w:hAnsi="Cambria"/>
          <w:sz w:val="20"/>
          <w:szCs w:val="20"/>
        </w:rPr>
        <w:t xml:space="preserve"> </w:t>
      </w:r>
      <w:r w:rsidR="0032659E" w:rsidRPr="00CC39F5">
        <w:rPr>
          <w:rFonts w:ascii="Cambria" w:hAnsi="Cambria"/>
          <w:sz w:val="20"/>
          <w:szCs w:val="20"/>
        </w:rPr>
        <w:t>filing for</w:t>
      </w:r>
      <w:r w:rsidR="003361E0" w:rsidRPr="00CC39F5">
        <w:rPr>
          <w:rFonts w:ascii="Cambria" w:hAnsi="Cambria"/>
          <w:sz w:val="20"/>
          <w:szCs w:val="20"/>
        </w:rPr>
        <w:t xml:space="preserve"> </w:t>
      </w:r>
      <w:r w:rsidR="003361E0" w:rsidRPr="00CC39F5">
        <w:rPr>
          <w:rFonts w:ascii="Cambria" w:hAnsi="Cambria"/>
          <w:i/>
          <w:sz w:val="20"/>
          <w:szCs w:val="20"/>
        </w:rPr>
        <w:t>ha</w:t>
      </w:r>
      <w:r w:rsidR="006B32E1" w:rsidRPr="00CC39F5">
        <w:rPr>
          <w:rFonts w:ascii="Cambria" w:hAnsi="Cambria"/>
          <w:i/>
          <w:sz w:val="20"/>
          <w:szCs w:val="20"/>
        </w:rPr>
        <w:t>beas corpus</w:t>
      </w:r>
      <w:r w:rsidR="003361E0" w:rsidRPr="00CC39F5">
        <w:rPr>
          <w:rFonts w:ascii="Cambria" w:hAnsi="Cambria"/>
          <w:sz w:val="20"/>
          <w:szCs w:val="20"/>
        </w:rPr>
        <w:t xml:space="preserve"> with an administrative authority does not</w:t>
      </w:r>
      <w:r w:rsidR="0032659E" w:rsidRPr="00CC39F5">
        <w:rPr>
          <w:rFonts w:ascii="Cambria" w:hAnsi="Cambria"/>
          <w:sz w:val="20"/>
          <w:szCs w:val="20"/>
        </w:rPr>
        <w:t>, in principle,</w:t>
      </w:r>
      <w:r w:rsidR="003361E0" w:rsidRPr="00CC39F5">
        <w:rPr>
          <w:rFonts w:ascii="Cambria" w:hAnsi="Cambria"/>
          <w:sz w:val="20"/>
          <w:szCs w:val="20"/>
        </w:rPr>
        <w:t xml:space="preserve"> constitu</w:t>
      </w:r>
      <w:r w:rsidR="0032659E" w:rsidRPr="00CC39F5">
        <w:rPr>
          <w:rFonts w:ascii="Cambria" w:hAnsi="Cambria"/>
          <w:sz w:val="20"/>
          <w:szCs w:val="20"/>
        </w:rPr>
        <w:t>t</w:t>
      </w:r>
      <w:r w:rsidR="003361E0" w:rsidRPr="00CC39F5">
        <w:rPr>
          <w:rFonts w:ascii="Cambria" w:hAnsi="Cambria"/>
          <w:sz w:val="20"/>
          <w:szCs w:val="20"/>
        </w:rPr>
        <w:t>e</w:t>
      </w:r>
      <w:r w:rsidR="006B32E1" w:rsidRPr="00CC39F5">
        <w:rPr>
          <w:rFonts w:ascii="Cambria" w:hAnsi="Cambria"/>
          <w:sz w:val="20"/>
          <w:szCs w:val="20"/>
        </w:rPr>
        <w:t xml:space="preserve"> </w:t>
      </w:r>
      <w:r w:rsidR="0032659E" w:rsidRPr="00CC39F5">
        <w:rPr>
          <w:rFonts w:ascii="Cambria" w:hAnsi="Cambria"/>
          <w:sz w:val="20"/>
          <w:szCs w:val="20"/>
        </w:rPr>
        <w:t>an effective remedy under the standards of the American Convention</w:t>
      </w:r>
      <w:r w:rsidR="006B32E1" w:rsidRPr="00CC39F5">
        <w:rPr>
          <w:rStyle w:val="FootnoteReference"/>
          <w:rFonts w:ascii="Cambria" w:hAnsi="Cambria"/>
          <w:sz w:val="20"/>
          <w:szCs w:val="20"/>
        </w:rPr>
        <w:footnoteReference w:id="5"/>
      </w:r>
      <w:r w:rsidR="0032659E" w:rsidRPr="00CC39F5">
        <w:rPr>
          <w:rFonts w:ascii="Cambria" w:hAnsi="Cambria"/>
          <w:sz w:val="20"/>
          <w:szCs w:val="20"/>
        </w:rPr>
        <w:t xml:space="preserve"> and thus, </w:t>
      </w:r>
      <w:r w:rsidR="006346D2" w:rsidRPr="00CC39F5">
        <w:rPr>
          <w:rFonts w:ascii="Cambria" w:hAnsi="Cambria"/>
          <w:sz w:val="20"/>
          <w:szCs w:val="20"/>
        </w:rPr>
        <w:t>the Commission</w:t>
      </w:r>
      <w:r w:rsidR="006B32E1" w:rsidRPr="00CC39F5">
        <w:rPr>
          <w:rFonts w:ascii="Cambria" w:hAnsi="Cambria"/>
          <w:sz w:val="20"/>
          <w:szCs w:val="20"/>
        </w:rPr>
        <w:t xml:space="preserve"> </w:t>
      </w:r>
      <w:r w:rsidR="0032659E" w:rsidRPr="00CC39F5">
        <w:rPr>
          <w:rFonts w:ascii="Cambria" w:hAnsi="Cambria"/>
          <w:sz w:val="20"/>
          <w:szCs w:val="20"/>
        </w:rPr>
        <w:t>has deemed that it is not necessary to exhaust it.</w:t>
      </w:r>
      <w:r w:rsidR="006B32E1" w:rsidRPr="00CC39F5">
        <w:rPr>
          <w:rFonts w:ascii="Cambria" w:hAnsi="Cambria"/>
          <w:sz w:val="20"/>
          <w:szCs w:val="20"/>
          <w:vertAlign w:val="superscript"/>
        </w:rPr>
        <w:footnoteReference w:id="6"/>
      </w:r>
      <w:r w:rsidR="006B32E1" w:rsidRPr="00CC39F5">
        <w:rPr>
          <w:rFonts w:ascii="Cambria" w:hAnsi="Cambria"/>
          <w:sz w:val="20"/>
          <w:szCs w:val="20"/>
        </w:rPr>
        <w:t xml:space="preserve"> </w:t>
      </w:r>
      <w:r w:rsidR="00A95755" w:rsidRPr="00CC39F5">
        <w:rPr>
          <w:rFonts w:ascii="Cambria" w:hAnsi="Cambria"/>
          <w:sz w:val="20"/>
          <w:szCs w:val="20"/>
        </w:rPr>
        <w:t>On this point, the jurisprudence of the Inter-American Court has found that requiring those detained to file an appeal with the mayor and then to appeal [the mayor’s decisions]</w:t>
      </w:r>
      <w:r w:rsidR="00CE0D89" w:rsidRPr="00CC39F5">
        <w:rPr>
          <w:rFonts w:ascii="Cambria" w:hAnsi="Cambria"/>
          <w:sz w:val="20"/>
          <w:szCs w:val="20"/>
        </w:rPr>
        <w:t xml:space="preserve"> in order for their case to be h</w:t>
      </w:r>
      <w:r w:rsidR="00A95755" w:rsidRPr="00CC39F5">
        <w:rPr>
          <w:rFonts w:ascii="Cambria" w:hAnsi="Cambria"/>
          <w:sz w:val="20"/>
          <w:szCs w:val="20"/>
        </w:rPr>
        <w:t xml:space="preserve">eard by a judicial authority, places obstacles to a remedy that should, by its very nature, be </w:t>
      </w:r>
      <w:r w:rsidR="00CE0D89" w:rsidRPr="00CC39F5">
        <w:rPr>
          <w:rFonts w:ascii="Cambria" w:hAnsi="Cambria"/>
          <w:sz w:val="20"/>
          <w:szCs w:val="20"/>
        </w:rPr>
        <w:t>simple</w:t>
      </w:r>
      <w:r w:rsidR="00A95755" w:rsidRPr="00CC39F5">
        <w:rPr>
          <w:rFonts w:ascii="Cambria" w:hAnsi="Cambria"/>
          <w:sz w:val="20"/>
          <w:szCs w:val="20"/>
        </w:rPr>
        <w:t>.</w:t>
      </w:r>
      <w:r w:rsidR="006B32E1" w:rsidRPr="00CC39F5">
        <w:rPr>
          <w:rStyle w:val="FootnoteReference"/>
          <w:rFonts w:ascii="Cambria" w:hAnsi="Cambria"/>
          <w:sz w:val="20"/>
          <w:szCs w:val="20"/>
        </w:rPr>
        <w:footnoteReference w:id="7"/>
      </w:r>
      <w:r w:rsidR="006B32E1" w:rsidRPr="00CC39F5">
        <w:rPr>
          <w:rFonts w:ascii="Cambria" w:hAnsi="Cambria"/>
          <w:sz w:val="20"/>
          <w:szCs w:val="20"/>
        </w:rPr>
        <w:t xml:space="preserve"> </w:t>
      </w:r>
      <w:r w:rsidR="00D64F0C" w:rsidRPr="00CC39F5">
        <w:rPr>
          <w:rFonts w:ascii="Cambria" w:hAnsi="Cambria"/>
          <w:sz w:val="20"/>
          <w:szCs w:val="20"/>
        </w:rPr>
        <w:t xml:space="preserve">In the instant case, although not required to do so, the alleged victim filed two </w:t>
      </w:r>
      <w:r w:rsidR="00D64F0C" w:rsidRPr="00CC39F5">
        <w:rPr>
          <w:rFonts w:ascii="Cambria" w:hAnsi="Cambria"/>
          <w:i/>
          <w:sz w:val="20"/>
          <w:szCs w:val="20"/>
        </w:rPr>
        <w:t>ha</w:t>
      </w:r>
      <w:r w:rsidR="006B32E1" w:rsidRPr="00CC39F5">
        <w:rPr>
          <w:rFonts w:ascii="Cambria" w:hAnsi="Cambria"/>
          <w:i/>
          <w:sz w:val="20"/>
          <w:szCs w:val="20"/>
        </w:rPr>
        <w:t>beas corpus</w:t>
      </w:r>
      <w:r w:rsidR="006B32E1" w:rsidRPr="00CC39F5">
        <w:rPr>
          <w:rFonts w:ascii="Cambria" w:hAnsi="Cambria"/>
          <w:sz w:val="20"/>
          <w:szCs w:val="20"/>
        </w:rPr>
        <w:t xml:space="preserve"> </w:t>
      </w:r>
      <w:r w:rsidR="00256447" w:rsidRPr="00CC39F5">
        <w:rPr>
          <w:rFonts w:ascii="Cambria" w:hAnsi="Cambria"/>
          <w:sz w:val="20"/>
          <w:szCs w:val="20"/>
        </w:rPr>
        <w:t>appeals t</w:t>
      </w:r>
      <w:r w:rsidR="00D64F0C" w:rsidRPr="00CC39F5">
        <w:rPr>
          <w:rFonts w:ascii="Cambria" w:hAnsi="Cambria"/>
          <w:sz w:val="20"/>
          <w:szCs w:val="20"/>
        </w:rPr>
        <w:t xml:space="preserve">hat were </w:t>
      </w:r>
      <w:r w:rsidR="005F431A" w:rsidRPr="00CC39F5">
        <w:rPr>
          <w:rFonts w:ascii="Cambria" w:hAnsi="Cambria"/>
          <w:sz w:val="20"/>
          <w:szCs w:val="20"/>
        </w:rPr>
        <w:t xml:space="preserve">ultimately </w:t>
      </w:r>
      <w:r w:rsidR="00D64F0C" w:rsidRPr="00CC39F5">
        <w:rPr>
          <w:rFonts w:ascii="Cambria" w:hAnsi="Cambria"/>
          <w:sz w:val="20"/>
          <w:szCs w:val="20"/>
        </w:rPr>
        <w:t>decided in</w:t>
      </w:r>
      <w:r w:rsidR="005F431A" w:rsidRPr="00CC39F5">
        <w:rPr>
          <w:rFonts w:ascii="Cambria" w:hAnsi="Cambria"/>
          <w:sz w:val="20"/>
          <w:szCs w:val="20"/>
        </w:rPr>
        <w:t xml:space="preserve"> August</w:t>
      </w:r>
      <w:r w:rsidR="006B32E1" w:rsidRPr="00CC39F5">
        <w:rPr>
          <w:rFonts w:ascii="Cambria" w:hAnsi="Cambria"/>
          <w:sz w:val="20"/>
          <w:szCs w:val="20"/>
        </w:rPr>
        <w:t xml:space="preserve"> 1998, </w:t>
      </w:r>
      <w:r w:rsidR="005F431A" w:rsidRPr="00CC39F5">
        <w:rPr>
          <w:rFonts w:ascii="Cambria" w:hAnsi="Cambria"/>
          <w:sz w:val="20"/>
          <w:szCs w:val="20"/>
        </w:rPr>
        <w:t>in other words, subsequent to the submission of the petition. In such regard, taking that into account,</w:t>
      </w:r>
      <w:r w:rsidR="006B32E1" w:rsidRPr="00CC39F5">
        <w:rPr>
          <w:rFonts w:ascii="Cambria" w:hAnsi="Cambria"/>
          <w:sz w:val="20"/>
          <w:szCs w:val="20"/>
        </w:rPr>
        <w:t xml:space="preserve"> </w:t>
      </w:r>
      <w:r w:rsidR="002530B6" w:rsidRPr="00CC39F5">
        <w:rPr>
          <w:rFonts w:ascii="Cambria" w:hAnsi="Cambria"/>
          <w:sz w:val="20"/>
          <w:szCs w:val="20"/>
        </w:rPr>
        <w:t>the IACHR</w:t>
      </w:r>
      <w:r w:rsidR="006B32E1" w:rsidRPr="00CC39F5">
        <w:rPr>
          <w:rFonts w:ascii="Cambria" w:hAnsi="Cambria"/>
          <w:sz w:val="20"/>
          <w:szCs w:val="20"/>
        </w:rPr>
        <w:t xml:space="preserve"> </w:t>
      </w:r>
      <w:r w:rsidR="005F431A" w:rsidRPr="00CC39F5">
        <w:rPr>
          <w:rFonts w:ascii="Cambria" w:hAnsi="Cambria"/>
          <w:sz w:val="20"/>
          <w:szCs w:val="20"/>
        </w:rPr>
        <w:t xml:space="preserve">considers that fulfillment of the timely presentation requirement with respect to this </w:t>
      </w:r>
      <w:r w:rsidR="00F50ABF" w:rsidRPr="00CC39F5">
        <w:rPr>
          <w:rFonts w:ascii="Cambria" w:hAnsi="Cambria"/>
          <w:sz w:val="20"/>
          <w:szCs w:val="20"/>
        </w:rPr>
        <w:t>aspect</w:t>
      </w:r>
      <w:r w:rsidR="005F431A" w:rsidRPr="00CC39F5">
        <w:rPr>
          <w:rFonts w:ascii="Cambria" w:hAnsi="Cambria"/>
          <w:sz w:val="20"/>
          <w:szCs w:val="20"/>
        </w:rPr>
        <w:t xml:space="preserve"> of the petition is also intrinsically linked to the exhaustion of domestic remedies</w:t>
      </w:r>
      <w:r w:rsidR="006B32E1" w:rsidRPr="00CC39F5">
        <w:rPr>
          <w:rFonts w:ascii="Cambria" w:hAnsi="Cambria"/>
          <w:sz w:val="20"/>
          <w:szCs w:val="20"/>
        </w:rPr>
        <w:t>.</w:t>
      </w:r>
    </w:p>
    <w:p w:rsidR="006B32E1" w:rsidRPr="00CC39F5" w:rsidRDefault="006B32E1" w:rsidP="006B32E1">
      <w:pPr>
        <w:rPr>
          <w:rFonts w:ascii="Cambria" w:hAnsi="Cambria"/>
          <w:sz w:val="20"/>
          <w:szCs w:val="20"/>
        </w:rPr>
      </w:pPr>
    </w:p>
    <w:p w:rsidR="006B32E1" w:rsidRPr="00CC39F5" w:rsidRDefault="006B32E1" w:rsidP="006B32E1">
      <w:pPr>
        <w:pStyle w:val="Heading1"/>
        <w:numPr>
          <w:ilvl w:val="0"/>
          <w:numId w:val="0"/>
        </w:numPr>
        <w:ind w:left="720"/>
        <w:rPr>
          <w:b w:val="0"/>
        </w:rPr>
      </w:pPr>
      <w:bookmarkStart w:id="13" w:name="_Toc495584790"/>
      <w:r w:rsidRPr="00CC39F5">
        <w:t>C.</w:t>
      </w:r>
      <w:r w:rsidRPr="00CC39F5">
        <w:rPr>
          <w:b w:val="0"/>
        </w:rPr>
        <w:t xml:space="preserve"> </w:t>
      </w:r>
      <w:r w:rsidRPr="00CC39F5">
        <w:rPr>
          <w:b w:val="0"/>
        </w:rPr>
        <w:tab/>
      </w:r>
      <w:r w:rsidR="00F50ABF" w:rsidRPr="00CC39F5">
        <w:rPr>
          <w:rStyle w:val="Heading2Char"/>
          <w:rFonts w:eastAsia="MS Gothic"/>
          <w:b/>
        </w:rPr>
        <w:t>C</w:t>
      </w:r>
      <w:r w:rsidR="00853D5A" w:rsidRPr="00CC39F5">
        <w:rPr>
          <w:rStyle w:val="Heading2Char"/>
          <w:rFonts w:eastAsia="MS Gothic"/>
          <w:b/>
        </w:rPr>
        <w:t>haracterization of the facts alleged</w:t>
      </w:r>
      <w:bookmarkEnd w:id="13"/>
    </w:p>
    <w:p w:rsidR="006B32E1" w:rsidRPr="00CC39F5" w:rsidRDefault="006B32E1" w:rsidP="006B32E1">
      <w:pPr>
        <w:rPr>
          <w:rFonts w:ascii="Cambria" w:hAnsi="Cambria"/>
          <w:sz w:val="20"/>
          <w:szCs w:val="20"/>
        </w:rPr>
      </w:pPr>
    </w:p>
    <w:p w:rsidR="006B32E1" w:rsidRPr="00CC39F5" w:rsidRDefault="006346D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The Commission</w:t>
      </w:r>
      <w:r w:rsidR="006B32E1" w:rsidRPr="00CC39F5">
        <w:rPr>
          <w:rFonts w:ascii="Cambria" w:hAnsi="Cambria"/>
          <w:sz w:val="20"/>
          <w:szCs w:val="20"/>
        </w:rPr>
        <w:t xml:space="preserve"> </w:t>
      </w:r>
      <w:r w:rsidR="00790749" w:rsidRPr="00CC39F5">
        <w:rPr>
          <w:rFonts w:ascii="Cambria" w:hAnsi="Cambria"/>
          <w:sz w:val="20"/>
          <w:szCs w:val="20"/>
        </w:rPr>
        <w:t>believes that, if proven, the facts alleged by the petitioner</w:t>
      </w:r>
      <w:r w:rsidR="00A6298C" w:rsidRPr="00CC39F5">
        <w:rPr>
          <w:rFonts w:ascii="Cambria" w:hAnsi="Cambria"/>
          <w:sz w:val="20"/>
          <w:szCs w:val="20"/>
        </w:rPr>
        <w:t xml:space="preserve"> could </w:t>
      </w:r>
      <w:r w:rsidR="00FC44CE" w:rsidRPr="00CC39F5">
        <w:rPr>
          <w:rFonts w:ascii="Cambria" w:hAnsi="Cambria"/>
          <w:sz w:val="20"/>
          <w:szCs w:val="20"/>
        </w:rPr>
        <w:t>characterize</w:t>
      </w:r>
      <w:r w:rsidR="00A6298C" w:rsidRPr="00CC39F5">
        <w:rPr>
          <w:rFonts w:ascii="Cambria" w:hAnsi="Cambria"/>
          <w:sz w:val="20"/>
          <w:szCs w:val="20"/>
        </w:rPr>
        <w:t xml:space="preserve"> violations of the rights to humane treatment, personal liberty, a fair trial, and judicial protection set forth in</w:t>
      </w:r>
      <w:r w:rsidR="006B32E1" w:rsidRPr="00CC39F5">
        <w:rPr>
          <w:rFonts w:ascii="Cambria" w:hAnsi="Cambria"/>
          <w:sz w:val="20"/>
          <w:szCs w:val="20"/>
        </w:rPr>
        <w:t xml:space="preserve"> </w:t>
      </w:r>
      <w:r w:rsidRPr="00CC39F5">
        <w:rPr>
          <w:rFonts w:ascii="Cambria" w:hAnsi="Cambria"/>
          <w:sz w:val="20"/>
          <w:szCs w:val="20"/>
        </w:rPr>
        <w:t>Articles</w:t>
      </w:r>
      <w:r w:rsidR="00A6298C" w:rsidRPr="00CC39F5">
        <w:rPr>
          <w:rFonts w:ascii="Cambria" w:hAnsi="Cambria"/>
          <w:sz w:val="20"/>
          <w:szCs w:val="20"/>
        </w:rPr>
        <w:t> </w:t>
      </w:r>
      <w:r w:rsidR="006B32E1" w:rsidRPr="00CC39F5">
        <w:rPr>
          <w:rFonts w:ascii="Cambria" w:hAnsi="Cambria"/>
          <w:sz w:val="20"/>
          <w:szCs w:val="20"/>
        </w:rPr>
        <w:t>5, 7, 8, 24</w:t>
      </w:r>
      <w:r w:rsidR="00A6298C" w:rsidRPr="00CC39F5">
        <w:rPr>
          <w:rFonts w:ascii="Cambria" w:hAnsi="Cambria"/>
          <w:sz w:val="20"/>
          <w:szCs w:val="20"/>
        </w:rPr>
        <w:t>, and</w:t>
      </w:r>
      <w:r w:rsidR="006B32E1" w:rsidRPr="00CC39F5">
        <w:rPr>
          <w:rFonts w:ascii="Cambria" w:hAnsi="Cambria"/>
          <w:sz w:val="20"/>
          <w:szCs w:val="20"/>
        </w:rPr>
        <w:t xml:space="preserve"> 25</w:t>
      </w:r>
      <w:r w:rsidR="00FC44CE" w:rsidRPr="00CC39F5">
        <w:rPr>
          <w:rFonts w:ascii="Cambria" w:hAnsi="Cambria"/>
          <w:sz w:val="20"/>
          <w:szCs w:val="20"/>
        </w:rPr>
        <w:t xml:space="preserve"> of the American Convention,</w:t>
      </w:r>
      <w:r w:rsidR="006B32E1" w:rsidRPr="00CC39F5">
        <w:rPr>
          <w:rFonts w:ascii="Cambria" w:hAnsi="Cambria"/>
          <w:sz w:val="20"/>
          <w:szCs w:val="20"/>
        </w:rPr>
        <w:t xml:space="preserve"> </w:t>
      </w:r>
      <w:r w:rsidR="00A6298C" w:rsidRPr="00CC39F5">
        <w:rPr>
          <w:rFonts w:ascii="Cambria" w:hAnsi="Cambria"/>
          <w:sz w:val="20"/>
          <w:szCs w:val="20"/>
        </w:rPr>
        <w:t xml:space="preserve">in </w:t>
      </w:r>
      <w:r w:rsidR="00FC44CE" w:rsidRPr="00CC39F5">
        <w:rPr>
          <w:rFonts w:ascii="Cambria" w:hAnsi="Cambria"/>
          <w:sz w:val="20"/>
          <w:szCs w:val="20"/>
        </w:rPr>
        <w:t>accordance</w:t>
      </w:r>
      <w:r w:rsidR="00A6298C" w:rsidRPr="00CC39F5">
        <w:rPr>
          <w:rFonts w:ascii="Cambria" w:hAnsi="Cambria"/>
          <w:sz w:val="20"/>
          <w:szCs w:val="20"/>
        </w:rPr>
        <w:t xml:space="preserve"> with the obligations established under</w:t>
      </w:r>
      <w:r w:rsidR="006B32E1" w:rsidRPr="00CC39F5">
        <w:rPr>
          <w:rFonts w:ascii="Cambria" w:hAnsi="Cambria"/>
          <w:sz w:val="20"/>
          <w:szCs w:val="20"/>
        </w:rPr>
        <w:t xml:space="preserve"> </w:t>
      </w:r>
      <w:r w:rsidRPr="00CC39F5">
        <w:rPr>
          <w:rFonts w:ascii="Cambria" w:hAnsi="Cambria"/>
          <w:sz w:val="20"/>
          <w:szCs w:val="20"/>
        </w:rPr>
        <w:t>Articles</w:t>
      </w:r>
      <w:r w:rsidR="00A6298C" w:rsidRPr="00CC39F5">
        <w:rPr>
          <w:rFonts w:ascii="Cambria" w:hAnsi="Cambria"/>
          <w:sz w:val="20"/>
          <w:szCs w:val="20"/>
        </w:rPr>
        <w:t xml:space="preserve"> 1(</w:t>
      </w:r>
      <w:r w:rsidR="006B32E1" w:rsidRPr="00CC39F5">
        <w:rPr>
          <w:rFonts w:ascii="Cambria" w:hAnsi="Cambria"/>
          <w:sz w:val="20"/>
          <w:szCs w:val="20"/>
        </w:rPr>
        <w:t>1</w:t>
      </w:r>
      <w:r w:rsidR="00A6298C" w:rsidRPr="00CC39F5">
        <w:rPr>
          <w:rFonts w:ascii="Cambria" w:hAnsi="Cambria"/>
          <w:sz w:val="20"/>
          <w:szCs w:val="20"/>
        </w:rPr>
        <w:t>) and</w:t>
      </w:r>
      <w:r w:rsidR="006B32E1" w:rsidRPr="00CC39F5">
        <w:rPr>
          <w:rFonts w:ascii="Cambria" w:hAnsi="Cambria"/>
          <w:sz w:val="20"/>
          <w:szCs w:val="20"/>
        </w:rPr>
        <w:t xml:space="preserve"> 2 </w:t>
      </w:r>
      <w:r w:rsidR="00FC44CE" w:rsidRPr="00CC39F5">
        <w:rPr>
          <w:rFonts w:ascii="Cambria" w:hAnsi="Cambria"/>
          <w:sz w:val="20"/>
          <w:szCs w:val="20"/>
        </w:rPr>
        <w:t>thereof</w:t>
      </w:r>
      <w:r w:rsidR="000D6146" w:rsidRPr="00CC39F5">
        <w:rPr>
          <w:rFonts w:ascii="Cambria" w:hAnsi="Cambria"/>
          <w:sz w:val="20"/>
          <w:szCs w:val="20"/>
        </w:rPr>
        <w:t>. </w:t>
      </w:r>
      <w:r w:rsidR="00FC44CE" w:rsidRPr="00CC39F5">
        <w:rPr>
          <w:rFonts w:ascii="Cambria" w:hAnsi="Cambria"/>
          <w:sz w:val="20"/>
          <w:szCs w:val="20"/>
        </w:rPr>
        <w:t xml:space="preserve">The alleged facts could likewise constitute violations of </w:t>
      </w:r>
      <w:r w:rsidRPr="00CC39F5">
        <w:rPr>
          <w:rFonts w:ascii="Cambria" w:hAnsi="Cambria"/>
          <w:sz w:val="20"/>
          <w:szCs w:val="20"/>
        </w:rPr>
        <w:t>Articles</w:t>
      </w:r>
      <w:r w:rsidR="00FC44CE" w:rsidRPr="00CC39F5">
        <w:rPr>
          <w:rFonts w:ascii="Cambria" w:hAnsi="Cambria"/>
          <w:sz w:val="20"/>
          <w:szCs w:val="20"/>
        </w:rPr>
        <w:t> </w:t>
      </w:r>
      <w:r w:rsidR="006B32E1" w:rsidRPr="00CC39F5">
        <w:rPr>
          <w:rFonts w:ascii="Cambria" w:hAnsi="Cambria"/>
          <w:sz w:val="20"/>
          <w:szCs w:val="20"/>
        </w:rPr>
        <w:t>1, 6</w:t>
      </w:r>
      <w:r w:rsidR="00FC44CE" w:rsidRPr="00CC39F5">
        <w:rPr>
          <w:rFonts w:ascii="Cambria" w:hAnsi="Cambria"/>
          <w:sz w:val="20"/>
          <w:szCs w:val="20"/>
        </w:rPr>
        <w:t>, and</w:t>
      </w:r>
      <w:r w:rsidR="006B32E1" w:rsidRPr="00CC39F5">
        <w:rPr>
          <w:rFonts w:ascii="Cambria" w:hAnsi="Cambria"/>
          <w:sz w:val="20"/>
          <w:szCs w:val="20"/>
        </w:rPr>
        <w:t xml:space="preserve"> 8 </w:t>
      </w:r>
      <w:r w:rsidR="00FC44CE" w:rsidRPr="00CC39F5">
        <w:rPr>
          <w:rFonts w:ascii="Cambria" w:hAnsi="Cambria"/>
          <w:sz w:val="20"/>
          <w:szCs w:val="20"/>
        </w:rPr>
        <w:t xml:space="preserve">of the Inter-American Convention to Prevent and Punish Torture with respect to the alleged lack of investigation of the reports of torture </w:t>
      </w:r>
      <w:r w:rsidR="00357F67" w:rsidRPr="00CC39F5">
        <w:rPr>
          <w:rFonts w:ascii="Cambria" w:hAnsi="Cambria"/>
          <w:sz w:val="20"/>
          <w:szCs w:val="20"/>
        </w:rPr>
        <w:t>as of</w:t>
      </w:r>
      <w:r w:rsidR="00FC44CE" w:rsidRPr="00CC39F5">
        <w:rPr>
          <w:rFonts w:ascii="Cambria" w:hAnsi="Cambria"/>
          <w:sz w:val="20"/>
          <w:szCs w:val="20"/>
        </w:rPr>
        <w:t xml:space="preserve"> November 9, 1999</w:t>
      </w:r>
      <w:r w:rsidR="006B32E1" w:rsidRPr="00CC39F5">
        <w:rPr>
          <w:rFonts w:ascii="Cambria" w:hAnsi="Cambria"/>
          <w:sz w:val="20"/>
          <w:szCs w:val="20"/>
        </w:rPr>
        <w:t>.</w:t>
      </w:r>
    </w:p>
    <w:p w:rsidR="006B32E1" w:rsidRPr="00CC39F5" w:rsidRDefault="006B32E1" w:rsidP="006B32E1">
      <w:pPr>
        <w:rPr>
          <w:rFonts w:ascii="Cambria" w:hAnsi="Cambria"/>
          <w:sz w:val="20"/>
          <w:szCs w:val="20"/>
        </w:rPr>
      </w:pPr>
    </w:p>
    <w:p w:rsidR="006B32E1" w:rsidRPr="00CC39F5" w:rsidRDefault="00FC44CE" w:rsidP="006B32E1">
      <w:pPr>
        <w:pStyle w:val="Heading1"/>
      </w:pPr>
      <w:bookmarkStart w:id="14" w:name="_Toc495584791"/>
      <w:r w:rsidRPr="00CC39F5">
        <w:t>DETERMINATIONS OF FACT</w:t>
      </w:r>
      <w:bookmarkEnd w:id="14"/>
    </w:p>
    <w:p w:rsidR="006B32E1" w:rsidRPr="00CC39F5" w:rsidRDefault="006B32E1" w:rsidP="006B32E1">
      <w:pPr>
        <w:rPr>
          <w:rFonts w:ascii="Cambria" w:hAnsi="Cambria"/>
          <w:b/>
          <w:sz w:val="20"/>
          <w:szCs w:val="20"/>
        </w:rPr>
      </w:pPr>
    </w:p>
    <w:p w:rsidR="006B32E1" w:rsidRPr="00CC39F5" w:rsidRDefault="005807F0" w:rsidP="003D4DF4">
      <w:pPr>
        <w:pStyle w:val="ColorfulList-Accent11"/>
        <w:numPr>
          <w:ilvl w:val="0"/>
          <w:numId w:val="60"/>
        </w:numPr>
        <w:ind w:firstLine="0"/>
        <w:rPr>
          <w:b/>
          <w:sz w:val="20"/>
          <w:szCs w:val="20"/>
        </w:rPr>
      </w:pPr>
      <w:r w:rsidRPr="00CC39F5">
        <w:rPr>
          <w:b/>
          <w:sz w:val="20"/>
          <w:szCs w:val="20"/>
        </w:rPr>
        <w:t>T</w:t>
      </w:r>
      <w:r w:rsidR="00A64401" w:rsidRPr="00CC39F5">
        <w:rPr>
          <w:b/>
          <w:sz w:val="20"/>
          <w:szCs w:val="20"/>
        </w:rPr>
        <w:t>he</w:t>
      </w:r>
      <w:r w:rsidR="00971B4E" w:rsidRPr="00CC39F5">
        <w:rPr>
          <w:b/>
          <w:sz w:val="20"/>
          <w:szCs w:val="20"/>
        </w:rPr>
        <w:t xml:space="preserve"> a</w:t>
      </w:r>
      <w:r w:rsidR="00FC44CE" w:rsidRPr="00CC39F5">
        <w:rPr>
          <w:b/>
          <w:sz w:val="20"/>
          <w:szCs w:val="20"/>
        </w:rPr>
        <w:t>rrest of Mr.</w:t>
      </w:r>
      <w:r w:rsidR="006B32E1" w:rsidRPr="00CC39F5">
        <w:rPr>
          <w:b/>
          <w:sz w:val="20"/>
          <w:szCs w:val="20"/>
        </w:rPr>
        <w:t xml:space="preserve"> Montesinos </w:t>
      </w:r>
      <w:r w:rsidR="00971B4E" w:rsidRPr="00CC39F5">
        <w:rPr>
          <w:b/>
          <w:sz w:val="20"/>
          <w:szCs w:val="20"/>
        </w:rPr>
        <w:t xml:space="preserve">in the framework of the </w:t>
      </w:r>
      <w:r w:rsidR="00971B4E" w:rsidRPr="00CC39F5">
        <w:rPr>
          <w:b/>
          <w:i/>
          <w:sz w:val="20"/>
          <w:szCs w:val="20"/>
        </w:rPr>
        <w:t>Ciclón</w:t>
      </w:r>
      <w:r w:rsidR="00FC44CE" w:rsidRPr="00CC39F5">
        <w:rPr>
          <w:b/>
          <w:sz w:val="20"/>
          <w:szCs w:val="20"/>
        </w:rPr>
        <w:t xml:space="preserve"> police operation</w:t>
      </w:r>
    </w:p>
    <w:p w:rsidR="006B32E1" w:rsidRPr="00CC39F5" w:rsidRDefault="006B32E1" w:rsidP="006B32E1">
      <w:pPr>
        <w:jc w:val="both"/>
        <w:rPr>
          <w:rFonts w:ascii="Cambria" w:hAnsi="Cambria"/>
          <w:sz w:val="20"/>
          <w:szCs w:val="20"/>
        </w:rPr>
      </w:pPr>
    </w:p>
    <w:p w:rsidR="006B32E1" w:rsidRPr="00CC39F5" w:rsidRDefault="003C2717"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June 19,</w:t>
      </w:r>
      <w:r w:rsidR="006B32E1" w:rsidRPr="00CC39F5">
        <w:rPr>
          <w:rFonts w:ascii="Cambria" w:hAnsi="Cambria"/>
          <w:sz w:val="20"/>
          <w:szCs w:val="20"/>
        </w:rPr>
        <w:t xml:space="preserve"> 1992 </w:t>
      </w:r>
      <w:r w:rsidR="00D33A70" w:rsidRPr="00CC39F5">
        <w:rPr>
          <w:rFonts w:ascii="Cambria" w:hAnsi="Cambria"/>
          <w:sz w:val="20"/>
          <w:szCs w:val="20"/>
        </w:rPr>
        <w:t>the Counter Narcotics Intelligence Service of</w:t>
      </w:r>
      <w:r w:rsidR="006A3E62" w:rsidRPr="00CC39F5">
        <w:rPr>
          <w:rFonts w:ascii="Cambria" w:hAnsi="Cambria"/>
          <w:sz w:val="20"/>
          <w:szCs w:val="20"/>
        </w:rPr>
        <w:t xml:space="preserve"> the National Police </w:t>
      </w:r>
      <w:r w:rsidR="00855003" w:rsidRPr="00CC39F5">
        <w:rPr>
          <w:rFonts w:ascii="Cambria" w:hAnsi="Cambria"/>
          <w:sz w:val="20"/>
          <w:szCs w:val="20"/>
        </w:rPr>
        <w:t>launched</w:t>
      </w:r>
      <w:r w:rsidR="006A3E62" w:rsidRPr="00CC39F5">
        <w:rPr>
          <w:rFonts w:ascii="Cambria" w:hAnsi="Cambria"/>
          <w:sz w:val="20"/>
          <w:szCs w:val="20"/>
        </w:rPr>
        <w:t xml:space="preserve"> </w:t>
      </w:r>
      <w:r w:rsidR="00A733B4" w:rsidRPr="00CC39F5">
        <w:rPr>
          <w:rFonts w:ascii="Cambria" w:hAnsi="Cambria"/>
          <w:i/>
          <w:sz w:val="20"/>
          <w:szCs w:val="20"/>
        </w:rPr>
        <w:t>Operación Ciclón</w:t>
      </w:r>
      <w:r w:rsidR="00A733B4" w:rsidRPr="00CC39F5">
        <w:rPr>
          <w:rFonts w:ascii="Cambria" w:hAnsi="Cambria"/>
          <w:sz w:val="20"/>
          <w:szCs w:val="20"/>
        </w:rPr>
        <w:t xml:space="preserve"> [Operation Cyclone] </w:t>
      </w:r>
      <w:r w:rsidR="00D33A70" w:rsidRPr="00CC39F5">
        <w:rPr>
          <w:rFonts w:ascii="Cambria" w:hAnsi="Cambria"/>
          <w:sz w:val="20"/>
          <w:szCs w:val="20"/>
        </w:rPr>
        <w:t>in an effort to dismantle a large drug trafficking organization.</w:t>
      </w:r>
      <w:r w:rsidR="006B32E1" w:rsidRPr="00CC39F5">
        <w:rPr>
          <w:rStyle w:val="FootnoteReference"/>
          <w:rFonts w:ascii="Cambria" w:hAnsi="Cambria"/>
          <w:sz w:val="20"/>
          <w:szCs w:val="20"/>
        </w:rPr>
        <w:footnoteReference w:id="8"/>
      </w:r>
    </w:p>
    <w:p w:rsidR="006B32E1" w:rsidRPr="00CC39F5" w:rsidRDefault="006B32E1" w:rsidP="006B32E1">
      <w:pPr>
        <w:jc w:val="both"/>
        <w:rPr>
          <w:rFonts w:ascii="Cambria" w:hAnsi="Cambria"/>
          <w:sz w:val="20"/>
          <w:szCs w:val="20"/>
        </w:rPr>
      </w:pPr>
    </w:p>
    <w:p w:rsidR="006B32E1" w:rsidRPr="00CC39F5" w:rsidRDefault="006A3E6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According to a police report, </w:t>
      </w:r>
      <w:r w:rsidR="00855003" w:rsidRPr="00CC39F5">
        <w:rPr>
          <w:rFonts w:ascii="Cambria" w:hAnsi="Cambria"/>
          <w:i/>
          <w:sz w:val="20"/>
          <w:szCs w:val="20"/>
        </w:rPr>
        <w:t>Operación Ciclón</w:t>
      </w:r>
      <w:r w:rsidR="006B32E1" w:rsidRPr="00CC39F5">
        <w:rPr>
          <w:rFonts w:ascii="Cambria" w:hAnsi="Cambria"/>
          <w:sz w:val="20"/>
          <w:szCs w:val="20"/>
        </w:rPr>
        <w:t xml:space="preserve"> </w:t>
      </w:r>
      <w:r w:rsidRPr="00CC39F5">
        <w:rPr>
          <w:rFonts w:ascii="Cambria" w:hAnsi="Cambria"/>
          <w:sz w:val="20"/>
          <w:szCs w:val="20"/>
        </w:rPr>
        <w:t xml:space="preserve">entailed the arrest of several individuals and the search of </w:t>
      </w:r>
      <w:r w:rsidR="00366CD7" w:rsidRPr="00CC39F5">
        <w:rPr>
          <w:rFonts w:ascii="Cambria" w:hAnsi="Cambria"/>
          <w:sz w:val="20"/>
          <w:szCs w:val="20"/>
        </w:rPr>
        <w:t>residences</w:t>
      </w:r>
      <w:r w:rsidRPr="00CC39F5">
        <w:rPr>
          <w:rFonts w:ascii="Cambria" w:hAnsi="Cambria"/>
          <w:sz w:val="20"/>
          <w:szCs w:val="20"/>
        </w:rPr>
        <w:t xml:space="preserve"> tied to the drug trafficking organization being investigated.</w:t>
      </w:r>
      <w:r w:rsidR="006B32E1" w:rsidRPr="00CC39F5">
        <w:rPr>
          <w:rStyle w:val="FootnoteReference"/>
          <w:rFonts w:ascii="Cambria" w:hAnsi="Cambria"/>
          <w:sz w:val="20"/>
          <w:szCs w:val="20"/>
        </w:rPr>
        <w:footnoteReference w:id="9"/>
      </w:r>
      <w:r w:rsidRPr="00CC39F5">
        <w:rPr>
          <w:rFonts w:ascii="Cambria" w:hAnsi="Cambria"/>
          <w:sz w:val="20"/>
          <w:szCs w:val="20"/>
        </w:rPr>
        <w:t xml:space="preserve"> According to the report, weapons, ammunition, and explosives were seized at those homes.</w:t>
      </w:r>
      <w:r w:rsidR="006B32E1" w:rsidRPr="00CC39F5">
        <w:rPr>
          <w:rStyle w:val="FootnoteReference"/>
          <w:rFonts w:ascii="Cambria" w:hAnsi="Cambria"/>
          <w:sz w:val="20"/>
          <w:szCs w:val="20"/>
        </w:rPr>
        <w:footnoteReference w:id="10"/>
      </w:r>
      <w:r w:rsidR="006B32E1" w:rsidRPr="00CC39F5">
        <w:rPr>
          <w:rFonts w:ascii="Cambria" w:hAnsi="Cambria"/>
          <w:sz w:val="20"/>
          <w:szCs w:val="20"/>
        </w:rPr>
        <w:t xml:space="preserve"> </w:t>
      </w:r>
      <w:r w:rsidR="006346D2" w:rsidRPr="00CC39F5">
        <w:rPr>
          <w:rFonts w:ascii="Cambria" w:hAnsi="Cambria"/>
          <w:sz w:val="20"/>
          <w:szCs w:val="20"/>
        </w:rPr>
        <w:t>The Commission</w:t>
      </w:r>
      <w:r w:rsidR="006B32E1" w:rsidRPr="00CC39F5">
        <w:rPr>
          <w:rFonts w:ascii="Cambria" w:hAnsi="Cambria"/>
          <w:sz w:val="20"/>
          <w:szCs w:val="20"/>
        </w:rPr>
        <w:t xml:space="preserve"> </w:t>
      </w:r>
      <w:r w:rsidRPr="00CC39F5">
        <w:rPr>
          <w:rFonts w:ascii="Cambria" w:hAnsi="Cambria"/>
          <w:sz w:val="20"/>
          <w:szCs w:val="20"/>
        </w:rPr>
        <w:t>notes that the report indicates that one of the individuals arrested was Mr.</w:t>
      </w:r>
      <w:r w:rsidR="006B32E1" w:rsidRPr="00CC39F5">
        <w:rPr>
          <w:rFonts w:ascii="Cambria" w:hAnsi="Cambria"/>
          <w:sz w:val="20"/>
          <w:szCs w:val="20"/>
        </w:rPr>
        <w:t xml:space="preserve"> </w:t>
      </w:r>
      <w:r w:rsidRPr="00CC39F5">
        <w:rPr>
          <w:rFonts w:ascii="Cambria" w:hAnsi="Cambria"/>
          <w:sz w:val="20"/>
          <w:szCs w:val="20"/>
        </w:rPr>
        <w:t xml:space="preserve">Montesinos and that the search of his home led to the seizure of firearms </w:t>
      </w:r>
      <w:r w:rsidR="00366CD7" w:rsidRPr="00CC39F5">
        <w:rPr>
          <w:rFonts w:ascii="Cambria" w:hAnsi="Cambria"/>
          <w:sz w:val="20"/>
          <w:szCs w:val="20"/>
        </w:rPr>
        <w:t>such as</w:t>
      </w:r>
      <w:r w:rsidRPr="00CC39F5">
        <w:rPr>
          <w:rFonts w:ascii="Cambria" w:hAnsi="Cambria"/>
          <w:sz w:val="20"/>
          <w:szCs w:val="20"/>
        </w:rPr>
        <w:t xml:space="preserve"> pistols, revolvers, and shotguns.</w:t>
      </w:r>
      <w:r w:rsidR="006B32E1" w:rsidRPr="00CC39F5">
        <w:rPr>
          <w:rStyle w:val="FootnoteReference"/>
          <w:rFonts w:ascii="Cambria" w:hAnsi="Cambria"/>
          <w:sz w:val="20"/>
          <w:szCs w:val="20"/>
        </w:rPr>
        <w:footnoteReference w:id="11"/>
      </w:r>
      <w:r w:rsidR="00CA1BFD" w:rsidRPr="00CC39F5">
        <w:rPr>
          <w:rFonts w:ascii="Cambria" w:hAnsi="Cambria"/>
          <w:sz w:val="20"/>
          <w:szCs w:val="20"/>
        </w:rPr>
        <w:t xml:space="preserve"> The report also indicates that another one of the individuals </w:t>
      </w:r>
      <w:r w:rsidR="00366CD7" w:rsidRPr="00CC39F5">
        <w:rPr>
          <w:rFonts w:ascii="Cambria" w:hAnsi="Cambria"/>
          <w:sz w:val="20"/>
          <w:szCs w:val="20"/>
        </w:rPr>
        <w:t>arrested</w:t>
      </w:r>
      <w:r w:rsidR="00CA1BFD" w:rsidRPr="00CC39F5">
        <w:rPr>
          <w:rFonts w:ascii="Cambria" w:hAnsi="Cambria"/>
          <w:sz w:val="20"/>
          <w:szCs w:val="20"/>
        </w:rPr>
        <w:t xml:space="preserve"> was</w:t>
      </w:r>
      <w:r w:rsidR="006B32E1" w:rsidRPr="00CC39F5">
        <w:rPr>
          <w:rFonts w:ascii="Cambria" w:hAnsi="Cambria"/>
          <w:sz w:val="20"/>
          <w:szCs w:val="20"/>
        </w:rPr>
        <w:t xml:space="preserve"> Rafael Iván Suárez Rosero, </w:t>
      </w:r>
      <w:r w:rsidR="00CA1BFD" w:rsidRPr="00CC39F5">
        <w:rPr>
          <w:rFonts w:ascii="Cambria" w:hAnsi="Cambria"/>
          <w:sz w:val="20"/>
          <w:szCs w:val="20"/>
        </w:rPr>
        <w:t>whose case was taken up by</w:t>
      </w:r>
      <w:r w:rsidR="006B32E1" w:rsidRPr="00CC39F5">
        <w:rPr>
          <w:rFonts w:ascii="Cambria" w:hAnsi="Cambria"/>
          <w:sz w:val="20"/>
          <w:szCs w:val="20"/>
        </w:rPr>
        <w:t xml:space="preserve"> </w:t>
      </w:r>
      <w:r w:rsidR="006346D2" w:rsidRPr="00CC39F5">
        <w:rPr>
          <w:rFonts w:ascii="Cambria" w:hAnsi="Cambria"/>
          <w:sz w:val="20"/>
          <w:szCs w:val="20"/>
        </w:rPr>
        <w:t>the Commission</w:t>
      </w:r>
      <w:r w:rsidR="00CA1BFD" w:rsidRPr="00CC39F5">
        <w:rPr>
          <w:rFonts w:ascii="Cambria" w:hAnsi="Cambria"/>
          <w:sz w:val="20"/>
          <w:szCs w:val="20"/>
        </w:rPr>
        <w:t xml:space="preserve"> and later by the Inter-American Court of Human Rights.</w:t>
      </w:r>
      <w:r w:rsidR="006B32E1" w:rsidRPr="00CC39F5">
        <w:rPr>
          <w:rStyle w:val="FootnoteReference"/>
          <w:rFonts w:ascii="Cambria" w:hAnsi="Cambria"/>
          <w:sz w:val="20"/>
          <w:szCs w:val="20"/>
        </w:rPr>
        <w:footnoteReference w:id="12"/>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05026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As to the specific circumstances surrounding the arrest, the version contained in the police reports</w:t>
      </w:r>
      <w:r w:rsidR="00614ABB" w:rsidRPr="00CC39F5">
        <w:rPr>
          <w:rFonts w:ascii="Cambria" w:hAnsi="Cambria"/>
          <w:sz w:val="20"/>
          <w:szCs w:val="20"/>
        </w:rPr>
        <w:t xml:space="preserve"> indicates that on June</w:t>
      </w:r>
      <w:r w:rsidR="006B32E1" w:rsidRPr="00CC39F5">
        <w:rPr>
          <w:rFonts w:ascii="Cambria" w:hAnsi="Cambria"/>
          <w:sz w:val="20"/>
          <w:szCs w:val="20"/>
        </w:rPr>
        <w:t xml:space="preserve"> </w:t>
      </w:r>
      <w:r w:rsidR="00614ABB" w:rsidRPr="00CC39F5">
        <w:rPr>
          <w:rFonts w:ascii="Cambria" w:hAnsi="Cambria"/>
          <w:sz w:val="20"/>
          <w:szCs w:val="20"/>
        </w:rPr>
        <w:t xml:space="preserve">21, </w:t>
      </w:r>
      <w:r w:rsidR="006B32E1" w:rsidRPr="00CC39F5">
        <w:rPr>
          <w:rFonts w:ascii="Cambria" w:hAnsi="Cambria"/>
          <w:sz w:val="20"/>
          <w:szCs w:val="20"/>
        </w:rPr>
        <w:t xml:space="preserve">1992 </w:t>
      </w:r>
      <w:r w:rsidR="00614ABB" w:rsidRPr="00CC39F5">
        <w:rPr>
          <w:rFonts w:ascii="Cambria" w:hAnsi="Cambria"/>
          <w:sz w:val="20"/>
          <w:szCs w:val="20"/>
        </w:rPr>
        <w:t xml:space="preserve">police officers </w:t>
      </w:r>
      <w:r w:rsidR="00314A3D" w:rsidRPr="00CC39F5">
        <w:rPr>
          <w:rFonts w:ascii="Cambria" w:hAnsi="Cambria"/>
          <w:sz w:val="20"/>
          <w:szCs w:val="20"/>
        </w:rPr>
        <w:t>intercepted</w:t>
      </w:r>
      <w:r w:rsidR="00614ABB" w:rsidRPr="00CC39F5">
        <w:rPr>
          <w:rFonts w:ascii="Cambria" w:hAnsi="Cambria"/>
          <w:sz w:val="20"/>
          <w:szCs w:val="20"/>
        </w:rPr>
        <w:t xml:space="preserve"> the vehicle </w:t>
      </w:r>
      <w:r w:rsidR="00FF3EBC" w:rsidRPr="00CC39F5">
        <w:rPr>
          <w:rFonts w:ascii="Cambria" w:hAnsi="Cambria"/>
          <w:sz w:val="20"/>
          <w:szCs w:val="20"/>
        </w:rPr>
        <w:t xml:space="preserve">being </w:t>
      </w:r>
      <w:r w:rsidR="00614ABB" w:rsidRPr="00CC39F5">
        <w:rPr>
          <w:rFonts w:ascii="Cambria" w:hAnsi="Cambria"/>
          <w:sz w:val="20"/>
          <w:szCs w:val="20"/>
        </w:rPr>
        <w:t>driven by</w:t>
      </w:r>
      <w:r w:rsidR="006B32E1" w:rsidRPr="00CC39F5">
        <w:rPr>
          <w:rFonts w:ascii="Cambria" w:hAnsi="Cambria"/>
          <w:sz w:val="20"/>
          <w:szCs w:val="20"/>
        </w:rPr>
        <w:t xml:space="preserve"> </w:t>
      </w:r>
      <w:r w:rsidR="00614ABB" w:rsidRPr="00CC39F5">
        <w:rPr>
          <w:rFonts w:ascii="Cambria" w:hAnsi="Cambria"/>
          <w:sz w:val="20"/>
          <w:szCs w:val="20"/>
        </w:rPr>
        <w:t>M</w:t>
      </w:r>
      <w:r w:rsidR="00FF3EBC" w:rsidRPr="00CC39F5">
        <w:rPr>
          <w:rFonts w:ascii="Cambria" w:hAnsi="Cambria"/>
          <w:sz w:val="20"/>
          <w:szCs w:val="20"/>
        </w:rPr>
        <w:t xml:space="preserve">ario </w:t>
      </w:r>
      <w:r w:rsidR="00FF3EBC" w:rsidRPr="00CC39F5">
        <w:rPr>
          <w:rFonts w:ascii="Cambria" w:hAnsi="Cambria"/>
          <w:sz w:val="20"/>
          <w:szCs w:val="20"/>
        </w:rPr>
        <w:lastRenderedPageBreak/>
        <w:t xml:space="preserve">Montesinos Mejía and </w:t>
      </w:r>
      <w:r w:rsidR="005F0B77" w:rsidRPr="00CC39F5">
        <w:rPr>
          <w:rFonts w:ascii="Cambria" w:hAnsi="Cambria"/>
          <w:sz w:val="20"/>
          <w:szCs w:val="20"/>
        </w:rPr>
        <w:t>proceeded</w:t>
      </w:r>
      <w:r w:rsidR="00614ABB" w:rsidRPr="00CC39F5">
        <w:rPr>
          <w:rFonts w:ascii="Cambria" w:hAnsi="Cambria"/>
          <w:sz w:val="20"/>
          <w:szCs w:val="20"/>
        </w:rPr>
        <w:t xml:space="preserve"> to arrest him.</w:t>
      </w:r>
      <w:r w:rsidR="006B32E1" w:rsidRPr="00CC39F5">
        <w:rPr>
          <w:rStyle w:val="FootnoteReference"/>
          <w:rFonts w:ascii="Cambria" w:hAnsi="Cambria"/>
          <w:sz w:val="20"/>
          <w:szCs w:val="20"/>
        </w:rPr>
        <w:footnoteReference w:id="13"/>
      </w:r>
      <w:r w:rsidR="00614ABB" w:rsidRPr="00CC39F5">
        <w:rPr>
          <w:rFonts w:ascii="Cambria" w:hAnsi="Cambria"/>
          <w:sz w:val="20"/>
          <w:szCs w:val="20"/>
        </w:rPr>
        <w:t xml:space="preserve"> According to the report, Mr. </w:t>
      </w:r>
      <w:r w:rsidR="006B32E1" w:rsidRPr="00CC39F5">
        <w:rPr>
          <w:rFonts w:ascii="Cambria" w:hAnsi="Cambria"/>
          <w:sz w:val="20"/>
          <w:szCs w:val="20"/>
        </w:rPr>
        <w:t>Montesinos</w:t>
      </w:r>
      <w:r w:rsidR="00614ABB" w:rsidRPr="00CC39F5">
        <w:rPr>
          <w:rFonts w:ascii="Cambria" w:hAnsi="Cambria"/>
          <w:sz w:val="20"/>
          <w:szCs w:val="20"/>
        </w:rPr>
        <w:t xml:space="preserve"> was informed that t</w:t>
      </w:r>
      <w:r w:rsidR="000110A3" w:rsidRPr="00CC39F5">
        <w:rPr>
          <w:rFonts w:ascii="Cambria" w:hAnsi="Cambria"/>
          <w:sz w:val="20"/>
          <w:szCs w:val="20"/>
        </w:rPr>
        <w:t>hey had a warrant for his arrest as well as a warrant to search his home.</w:t>
      </w:r>
      <w:r w:rsidR="006B32E1" w:rsidRPr="00CC39F5">
        <w:rPr>
          <w:rStyle w:val="FootnoteReference"/>
          <w:rFonts w:ascii="Cambria" w:hAnsi="Cambria"/>
          <w:sz w:val="20"/>
          <w:szCs w:val="20"/>
        </w:rPr>
        <w:footnoteReference w:id="14"/>
      </w:r>
      <w:r w:rsidR="006B32E1" w:rsidRPr="00CC39F5">
        <w:rPr>
          <w:rFonts w:ascii="Cambria" w:hAnsi="Cambria"/>
          <w:sz w:val="20"/>
          <w:szCs w:val="20"/>
        </w:rPr>
        <w:t xml:space="preserve"> </w:t>
      </w:r>
      <w:r w:rsidR="000110A3" w:rsidRPr="00CC39F5">
        <w:rPr>
          <w:rFonts w:ascii="Cambria" w:hAnsi="Cambria"/>
          <w:sz w:val="20"/>
          <w:szCs w:val="20"/>
        </w:rPr>
        <w:t>The case file does not contain either the arrest warrant or the search warrant</w:t>
      </w:r>
      <w:r w:rsidR="006B32E1" w:rsidRPr="00CC39F5">
        <w:rPr>
          <w:rFonts w:ascii="Cambria" w:hAnsi="Cambria"/>
          <w:sz w:val="20"/>
          <w:szCs w:val="20"/>
        </w:rPr>
        <w:t>.</w:t>
      </w:r>
    </w:p>
    <w:p w:rsidR="006B32E1" w:rsidRPr="00CC39F5" w:rsidRDefault="006B32E1" w:rsidP="006B32E1">
      <w:pPr>
        <w:pStyle w:val="ColorfulList-Accent11"/>
        <w:ind w:left="0"/>
        <w:rPr>
          <w:sz w:val="20"/>
          <w:szCs w:val="20"/>
        </w:rPr>
      </w:pPr>
    </w:p>
    <w:p w:rsidR="006B32E1" w:rsidRPr="00CC39F5" w:rsidRDefault="00377B0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The </w:t>
      </w:r>
      <w:r w:rsidR="00FF3EBC" w:rsidRPr="00CC39F5">
        <w:rPr>
          <w:rFonts w:ascii="Cambria" w:hAnsi="Cambria"/>
          <w:i/>
          <w:sz w:val="20"/>
          <w:szCs w:val="20"/>
        </w:rPr>
        <w:t>Operación</w:t>
      </w:r>
      <w:r w:rsidRPr="00CC39F5">
        <w:rPr>
          <w:rFonts w:ascii="Cambria" w:hAnsi="Cambria"/>
          <w:i/>
          <w:sz w:val="20"/>
          <w:szCs w:val="20"/>
        </w:rPr>
        <w:t xml:space="preserve"> Ciclón</w:t>
      </w:r>
      <w:r w:rsidRPr="00CC39F5">
        <w:rPr>
          <w:rFonts w:ascii="Cambria" w:hAnsi="Cambria"/>
          <w:sz w:val="20"/>
          <w:szCs w:val="20"/>
        </w:rPr>
        <w:t xml:space="preserve"> </w:t>
      </w:r>
      <w:r w:rsidR="00FF3EBC" w:rsidRPr="00CC39F5">
        <w:rPr>
          <w:rFonts w:ascii="Cambria" w:hAnsi="Cambria"/>
          <w:sz w:val="20"/>
          <w:szCs w:val="20"/>
        </w:rPr>
        <w:t xml:space="preserve">police report </w:t>
      </w:r>
      <w:r w:rsidRPr="00CC39F5">
        <w:rPr>
          <w:rFonts w:ascii="Cambria" w:hAnsi="Cambria"/>
          <w:sz w:val="20"/>
          <w:szCs w:val="20"/>
        </w:rPr>
        <w:t>indicates that the alleged victim stated he had received the weapons from strangers sent by the wife of</w:t>
      </w:r>
      <w:r w:rsidR="006B32E1" w:rsidRPr="00CC39F5">
        <w:rPr>
          <w:rFonts w:ascii="Cambria" w:hAnsi="Cambria"/>
          <w:sz w:val="20"/>
          <w:szCs w:val="20"/>
        </w:rPr>
        <w:t xml:space="preserve"> Jorge Reyes Torres, </w:t>
      </w:r>
      <w:r w:rsidRPr="00CC39F5">
        <w:rPr>
          <w:rFonts w:ascii="Cambria" w:hAnsi="Cambria"/>
          <w:sz w:val="20"/>
          <w:szCs w:val="20"/>
        </w:rPr>
        <w:t xml:space="preserve">who asked him keep </w:t>
      </w:r>
      <w:r w:rsidR="004138BB" w:rsidRPr="00CC39F5">
        <w:rPr>
          <w:rFonts w:ascii="Cambria" w:hAnsi="Cambria"/>
          <w:sz w:val="20"/>
          <w:szCs w:val="20"/>
        </w:rPr>
        <w:t>them</w:t>
      </w:r>
      <w:r w:rsidR="006B32E1" w:rsidRPr="00CC39F5">
        <w:rPr>
          <w:rFonts w:ascii="Cambria" w:hAnsi="Cambria"/>
          <w:sz w:val="20"/>
          <w:szCs w:val="20"/>
        </w:rPr>
        <w:t xml:space="preserve"> </w:t>
      </w:r>
      <w:r w:rsidR="00742639" w:rsidRPr="00CC39F5">
        <w:rPr>
          <w:rFonts w:ascii="Cambria" w:hAnsi="Cambria"/>
          <w:sz w:val="20"/>
          <w:szCs w:val="20"/>
        </w:rPr>
        <w:t>as a favor</w:t>
      </w:r>
      <w:r w:rsidR="006B32E1" w:rsidRPr="00CC39F5">
        <w:rPr>
          <w:rFonts w:ascii="Cambria" w:hAnsi="Cambria"/>
          <w:sz w:val="20"/>
          <w:szCs w:val="20"/>
        </w:rPr>
        <w:t xml:space="preserve">. </w:t>
      </w:r>
      <w:r w:rsidR="004138BB" w:rsidRPr="00CC39F5">
        <w:rPr>
          <w:rFonts w:ascii="Cambria" w:hAnsi="Cambria"/>
          <w:sz w:val="20"/>
          <w:szCs w:val="20"/>
        </w:rPr>
        <w:t>The following conclusion was drawn</w:t>
      </w:r>
      <w:r w:rsidR="006B32E1" w:rsidRPr="00CC39F5">
        <w:rPr>
          <w:rFonts w:ascii="Cambria" w:hAnsi="Cambria"/>
          <w:sz w:val="20"/>
          <w:szCs w:val="20"/>
        </w:rPr>
        <w:t>:</w:t>
      </w:r>
    </w:p>
    <w:p w:rsidR="006B32E1" w:rsidRPr="00CC39F5" w:rsidRDefault="006B32E1" w:rsidP="006B32E1">
      <w:pPr>
        <w:pStyle w:val="ColorfulList-Accent11"/>
        <w:rPr>
          <w:sz w:val="20"/>
          <w:szCs w:val="20"/>
        </w:rPr>
      </w:pPr>
    </w:p>
    <w:p w:rsidR="006B32E1" w:rsidRPr="00CC39F5" w:rsidRDefault="00267C4E" w:rsidP="006B32E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CC39F5">
        <w:rPr>
          <w:rFonts w:ascii="Cambria" w:hAnsi="Cambria"/>
          <w:sz w:val="20"/>
          <w:szCs w:val="20"/>
        </w:rPr>
        <w:t>That the detainees</w:t>
      </w:r>
      <w:r w:rsidR="006B32E1" w:rsidRPr="00CC39F5">
        <w:rPr>
          <w:rFonts w:ascii="Cambria" w:hAnsi="Cambria"/>
          <w:sz w:val="20"/>
          <w:szCs w:val="20"/>
        </w:rPr>
        <w:t xml:space="preserve"> (…) </w:t>
      </w:r>
      <w:r w:rsidRPr="00CC39F5">
        <w:rPr>
          <w:rFonts w:ascii="Cambria" w:hAnsi="Cambria"/>
          <w:sz w:val="20"/>
          <w:szCs w:val="20"/>
        </w:rPr>
        <w:t>were in possession of illegal firearms and ammunition</w:t>
      </w:r>
      <w:r w:rsidR="00742639" w:rsidRPr="00CC39F5">
        <w:rPr>
          <w:rFonts w:ascii="Cambria" w:hAnsi="Cambria"/>
          <w:sz w:val="20"/>
          <w:szCs w:val="20"/>
        </w:rPr>
        <w:t xml:space="preserve"> (…)</w:t>
      </w:r>
      <w:r w:rsidR="006B32E1" w:rsidRPr="00CC39F5">
        <w:rPr>
          <w:rFonts w:ascii="Cambria" w:hAnsi="Cambria"/>
          <w:sz w:val="20"/>
          <w:szCs w:val="20"/>
        </w:rPr>
        <w:t xml:space="preserve"> </w:t>
      </w:r>
      <w:r w:rsidR="005F22F3" w:rsidRPr="00CC39F5">
        <w:rPr>
          <w:rFonts w:ascii="Cambria" w:hAnsi="Cambria"/>
          <w:sz w:val="20"/>
          <w:szCs w:val="20"/>
        </w:rPr>
        <w:t>Given that</w:t>
      </w:r>
      <w:r w:rsidR="006B32E1" w:rsidRPr="00CC39F5">
        <w:rPr>
          <w:rFonts w:ascii="Cambria" w:hAnsi="Cambria"/>
          <w:sz w:val="20"/>
          <w:szCs w:val="20"/>
        </w:rPr>
        <w:t xml:space="preserve"> </w:t>
      </w:r>
      <w:r w:rsidR="005F22F3" w:rsidRPr="00CC39F5">
        <w:rPr>
          <w:rFonts w:ascii="Cambria" w:hAnsi="Cambria"/>
          <w:sz w:val="20"/>
          <w:szCs w:val="20"/>
        </w:rPr>
        <w:t>Jorge Hugo Reyes Torres and the other detainee</w:t>
      </w:r>
      <w:r w:rsidR="00742639" w:rsidRPr="00CC39F5">
        <w:rPr>
          <w:rFonts w:ascii="Cambria" w:hAnsi="Cambria"/>
          <w:sz w:val="20"/>
          <w:szCs w:val="20"/>
        </w:rPr>
        <w:t xml:space="preserve">s (…) </w:t>
      </w:r>
      <w:r w:rsidR="005F22F3" w:rsidRPr="00CC39F5">
        <w:rPr>
          <w:rFonts w:ascii="Cambria" w:hAnsi="Cambria"/>
          <w:sz w:val="20"/>
          <w:szCs w:val="20"/>
        </w:rPr>
        <w:t>comprise an international drug trafficking organization</w:t>
      </w:r>
      <w:r w:rsidR="006B32E1" w:rsidRPr="00CC39F5">
        <w:rPr>
          <w:rFonts w:ascii="Cambria" w:hAnsi="Cambria"/>
          <w:sz w:val="20"/>
          <w:szCs w:val="20"/>
        </w:rPr>
        <w:t xml:space="preserve">, </w:t>
      </w:r>
      <w:r w:rsidR="005F22F3" w:rsidRPr="00CC39F5">
        <w:rPr>
          <w:rFonts w:ascii="Cambria" w:hAnsi="Cambria"/>
          <w:sz w:val="20"/>
          <w:szCs w:val="20"/>
        </w:rPr>
        <w:t>we concluded that the weapons were being used for</w:t>
      </w:r>
      <w:r w:rsidR="00742639" w:rsidRPr="00CC39F5">
        <w:rPr>
          <w:rFonts w:ascii="Cambria" w:hAnsi="Cambria"/>
          <w:sz w:val="20"/>
          <w:szCs w:val="20"/>
        </w:rPr>
        <w:t xml:space="preserve"> this organization’s</w:t>
      </w:r>
      <w:r w:rsidR="005F22F3" w:rsidRPr="00CC39F5">
        <w:rPr>
          <w:rFonts w:ascii="Cambria" w:hAnsi="Cambria"/>
          <w:sz w:val="20"/>
          <w:szCs w:val="20"/>
        </w:rPr>
        <w:t xml:space="preserve"> illegal</w:t>
      </w:r>
      <w:r w:rsidR="00742639" w:rsidRPr="00CC39F5">
        <w:rPr>
          <w:rFonts w:ascii="Cambria" w:hAnsi="Cambria"/>
          <w:sz w:val="20"/>
          <w:szCs w:val="20"/>
        </w:rPr>
        <w:t xml:space="preserve"> activities</w:t>
      </w:r>
      <w:r w:rsidR="005F22F3" w:rsidRPr="00CC39F5">
        <w:rPr>
          <w:rFonts w:ascii="Cambria" w:hAnsi="Cambria"/>
          <w:sz w:val="20"/>
          <w:szCs w:val="20"/>
        </w:rPr>
        <w:t>.</w:t>
      </w:r>
      <w:r w:rsidR="006B32E1" w:rsidRPr="00CC39F5">
        <w:rPr>
          <w:rStyle w:val="FootnoteReference"/>
          <w:rFonts w:ascii="Cambria" w:hAnsi="Cambria"/>
          <w:sz w:val="20"/>
          <w:szCs w:val="20"/>
        </w:rPr>
        <w:footnoteReference w:id="15"/>
      </w:r>
    </w:p>
    <w:p w:rsidR="006B32E1" w:rsidRPr="00CC39F5" w:rsidRDefault="006B32E1" w:rsidP="006B32E1">
      <w:pPr>
        <w:pStyle w:val="ColorfulList-Accent11"/>
        <w:ind w:left="0"/>
        <w:rPr>
          <w:sz w:val="20"/>
          <w:szCs w:val="20"/>
        </w:rPr>
      </w:pPr>
    </w:p>
    <w:p w:rsidR="006B32E1" w:rsidRPr="00CC39F5" w:rsidRDefault="001B71B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The petitioner’s version, however, indicates that the members of the police who arrested Mr. Montesinos were </w:t>
      </w:r>
      <w:r w:rsidR="000E03A7" w:rsidRPr="00CC39F5">
        <w:rPr>
          <w:rFonts w:ascii="Cambria" w:hAnsi="Cambria"/>
          <w:sz w:val="20"/>
          <w:szCs w:val="20"/>
        </w:rPr>
        <w:t>dressed</w:t>
      </w:r>
      <w:r w:rsidRPr="00CC39F5">
        <w:rPr>
          <w:rFonts w:ascii="Cambria" w:hAnsi="Cambria"/>
          <w:sz w:val="20"/>
          <w:szCs w:val="20"/>
        </w:rPr>
        <w:t xml:space="preserve"> </w:t>
      </w:r>
      <w:r w:rsidR="00C35442" w:rsidRPr="00CC39F5">
        <w:rPr>
          <w:rFonts w:ascii="Cambria" w:hAnsi="Cambria"/>
          <w:sz w:val="20"/>
          <w:szCs w:val="20"/>
        </w:rPr>
        <w:t xml:space="preserve">in </w:t>
      </w:r>
      <w:r w:rsidRPr="00CC39F5">
        <w:rPr>
          <w:rFonts w:ascii="Cambria" w:hAnsi="Cambria"/>
          <w:sz w:val="20"/>
          <w:szCs w:val="20"/>
        </w:rPr>
        <w:t xml:space="preserve">camouflage and </w:t>
      </w:r>
      <w:r w:rsidR="000E03A7" w:rsidRPr="00CC39F5">
        <w:rPr>
          <w:rFonts w:ascii="Cambria" w:hAnsi="Cambria"/>
          <w:sz w:val="20"/>
          <w:szCs w:val="20"/>
        </w:rPr>
        <w:t xml:space="preserve">wore </w:t>
      </w:r>
      <w:r w:rsidRPr="00CC39F5">
        <w:rPr>
          <w:rFonts w:ascii="Cambria" w:hAnsi="Cambria"/>
          <w:sz w:val="20"/>
          <w:szCs w:val="20"/>
        </w:rPr>
        <w:t>balaclavas</w:t>
      </w:r>
      <w:r w:rsidR="000E03A7" w:rsidRPr="00CC39F5">
        <w:rPr>
          <w:rFonts w:ascii="Cambria" w:hAnsi="Cambria"/>
          <w:sz w:val="20"/>
          <w:szCs w:val="20"/>
        </w:rPr>
        <w:t xml:space="preserve"> over their faces</w:t>
      </w:r>
      <w:r w:rsidR="006B32E1" w:rsidRPr="00CC39F5">
        <w:rPr>
          <w:rFonts w:ascii="Cambria" w:hAnsi="Cambria"/>
          <w:sz w:val="20"/>
          <w:szCs w:val="20"/>
        </w:rPr>
        <w:t xml:space="preserve">. </w:t>
      </w:r>
      <w:r w:rsidR="006842C1" w:rsidRPr="00CC39F5">
        <w:rPr>
          <w:rFonts w:ascii="Cambria" w:hAnsi="Cambria"/>
          <w:sz w:val="20"/>
          <w:szCs w:val="20"/>
        </w:rPr>
        <w:t xml:space="preserve">He </w:t>
      </w:r>
      <w:r w:rsidR="000E03A7" w:rsidRPr="00CC39F5">
        <w:rPr>
          <w:rFonts w:ascii="Cambria" w:hAnsi="Cambria"/>
          <w:sz w:val="20"/>
          <w:szCs w:val="20"/>
        </w:rPr>
        <w:t>stated</w:t>
      </w:r>
      <w:r w:rsidR="006842C1" w:rsidRPr="00CC39F5">
        <w:rPr>
          <w:rFonts w:ascii="Cambria" w:hAnsi="Cambria"/>
          <w:sz w:val="20"/>
          <w:szCs w:val="20"/>
        </w:rPr>
        <w:t xml:space="preserve"> that the police had their weapons </w:t>
      </w:r>
      <w:r w:rsidR="00F93732" w:rsidRPr="00CC39F5">
        <w:rPr>
          <w:rFonts w:ascii="Cambria" w:hAnsi="Cambria"/>
          <w:sz w:val="20"/>
          <w:szCs w:val="20"/>
        </w:rPr>
        <w:t>trained on</w:t>
      </w:r>
      <w:r w:rsidR="006842C1" w:rsidRPr="00CC39F5">
        <w:rPr>
          <w:rFonts w:ascii="Cambria" w:hAnsi="Cambria"/>
          <w:sz w:val="20"/>
          <w:szCs w:val="20"/>
        </w:rPr>
        <w:t xml:space="preserve"> Mr. Montesinos as they took him out of the car</w:t>
      </w:r>
      <w:r w:rsidR="00F93732" w:rsidRPr="00CC39F5">
        <w:rPr>
          <w:rFonts w:ascii="Cambria" w:hAnsi="Cambria"/>
          <w:sz w:val="20"/>
          <w:szCs w:val="20"/>
        </w:rPr>
        <w:t xml:space="preserve">, </w:t>
      </w:r>
      <w:r w:rsidR="000E03A7" w:rsidRPr="00CC39F5">
        <w:rPr>
          <w:rFonts w:ascii="Cambria" w:hAnsi="Cambria"/>
          <w:sz w:val="20"/>
          <w:szCs w:val="20"/>
        </w:rPr>
        <w:t xml:space="preserve">and further </w:t>
      </w:r>
      <w:r w:rsidR="00B678C0" w:rsidRPr="00CC39F5">
        <w:rPr>
          <w:rFonts w:ascii="Cambria" w:hAnsi="Cambria"/>
          <w:sz w:val="20"/>
          <w:szCs w:val="20"/>
        </w:rPr>
        <w:t>alleged</w:t>
      </w:r>
      <w:r w:rsidR="00F93732" w:rsidRPr="00CC39F5">
        <w:rPr>
          <w:rFonts w:ascii="Cambria" w:hAnsi="Cambria"/>
          <w:sz w:val="20"/>
          <w:szCs w:val="20"/>
        </w:rPr>
        <w:t xml:space="preserve"> that when Mr.</w:t>
      </w:r>
      <w:r w:rsidR="000E03A7" w:rsidRPr="00CC39F5">
        <w:rPr>
          <w:rFonts w:ascii="Cambria" w:hAnsi="Cambria"/>
          <w:sz w:val="20"/>
          <w:szCs w:val="20"/>
        </w:rPr>
        <w:t> </w:t>
      </w:r>
      <w:r w:rsidR="006B32E1" w:rsidRPr="00CC39F5">
        <w:rPr>
          <w:rFonts w:ascii="Cambria" w:hAnsi="Cambria"/>
          <w:sz w:val="20"/>
          <w:szCs w:val="20"/>
        </w:rPr>
        <w:t xml:space="preserve">Montesinos </w:t>
      </w:r>
      <w:r w:rsidR="00F93732" w:rsidRPr="00CC39F5">
        <w:rPr>
          <w:rFonts w:ascii="Cambria" w:hAnsi="Cambria"/>
          <w:sz w:val="20"/>
          <w:szCs w:val="20"/>
        </w:rPr>
        <w:t xml:space="preserve">asked why he was being arrested, </w:t>
      </w:r>
      <w:r w:rsidR="000E03A7" w:rsidRPr="00CC39F5">
        <w:rPr>
          <w:rFonts w:ascii="Cambria" w:hAnsi="Cambria"/>
          <w:sz w:val="20"/>
          <w:szCs w:val="20"/>
        </w:rPr>
        <w:t>the police</w:t>
      </w:r>
      <w:r w:rsidR="00F93732" w:rsidRPr="00CC39F5">
        <w:rPr>
          <w:rFonts w:ascii="Cambria" w:hAnsi="Cambria"/>
          <w:sz w:val="20"/>
          <w:szCs w:val="20"/>
        </w:rPr>
        <w:t xml:space="preserve"> responded that he was being arrested</w:t>
      </w:r>
      <w:r w:rsidR="006B32E1" w:rsidRPr="00CC39F5">
        <w:rPr>
          <w:rFonts w:ascii="Cambria" w:hAnsi="Cambria"/>
          <w:sz w:val="20"/>
          <w:szCs w:val="20"/>
        </w:rPr>
        <w:t xml:space="preserve"> “</w:t>
      </w:r>
      <w:r w:rsidR="00F93732" w:rsidRPr="00CC39F5">
        <w:rPr>
          <w:rFonts w:ascii="Cambria" w:hAnsi="Cambria"/>
          <w:sz w:val="20"/>
          <w:szCs w:val="20"/>
        </w:rPr>
        <w:t xml:space="preserve">because </w:t>
      </w:r>
      <w:r w:rsidR="00C575D0" w:rsidRPr="00CC39F5">
        <w:rPr>
          <w:rFonts w:ascii="Cambria" w:hAnsi="Cambria"/>
          <w:sz w:val="20"/>
          <w:szCs w:val="20"/>
        </w:rPr>
        <w:t>the police has the power to do so</w:t>
      </w:r>
      <w:r w:rsidR="00F93732" w:rsidRPr="00CC39F5">
        <w:rPr>
          <w:rFonts w:ascii="Cambria" w:hAnsi="Cambria"/>
          <w:sz w:val="20"/>
          <w:szCs w:val="20"/>
        </w:rPr>
        <w:t>.</w:t>
      </w:r>
      <w:r w:rsidR="006B32E1" w:rsidRPr="00CC39F5">
        <w:rPr>
          <w:rFonts w:ascii="Cambria" w:hAnsi="Cambria"/>
          <w:sz w:val="20"/>
          <w:szCs w:val="20"/>
        </w:rPr>
        <w:t>”</w:t>
      </w:r>
      <w:r w:rsidR="006B32E1" w:rsidRPr="00CC39F5">
        <w:rPr>
          <w:rStyle w:val="FootnoteReference"/>
          <w:rFonts w:ascii="Cambria" w:hAnsi="Cambria"/>
          <w:sz w:val="20"/>
          <w:szCs w:val="20"/>
        </w:rPr>
        <w:footnoteReference w:id="16"/>
      </w:r>
    </w:p>
    <w:p w:rsidR="006B32E1" w:rsidRPr="00CC39F5" w:rsidRDefault="006B32E1" w:rsidP="006B32E1">
      <w:pPr>
        <w:ind w:right="720"/>
        <w:jc w:val="both"/>
        <w:rPr>
          <w:rFonts w:ascii="Cambria" w:hAnsi="Cambria"/>
          <w:b/>
          <w:sz w:val="20"/>
          <w:szCs w:val="20"/>
        </w:rPr>
      </w:pPr>
    </w:p>
    <w:p w:rsidR="006B32E1" w:rsidRPr="00CC39F5" w:rsidRDefault="00896768"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CC39F5">
        <w:rPr>
          <w:rFonts w:ascii="Cambria" w:hAnsi="Cambria"/>
          <w:sz w:val="20"/>
          <w:szCs w:val="20"/>
        </w:rPr>
        <w:t xml:space="preserve">With respect to the search, the petitioner’s version indicates that </w:t>
      </w:r>
      <w:r w:rsidR="00606458" w:rsidRPr="00CC39F5">
        <w:rPr>
          <w:rFonts w:ascii="Cambria" w:hAnsi="Cambria"/>
          <w:sz w:val="20"/>
          <w:szCs w:val="20"/>
        </w:rPr>
        <w:t>when he</w:t>
      </w:r>
      <w:r w:rsidR="006B32E1" w:rsidRPr="00CC39F5">
        <w:rPr>
          <w:rFonts w:ascii="Cambria" w:hAnsi="Cambria"/>
          <w:sz w:val="20"/>
          <w:szCs w:val="20"/>
        </w:rPr>
        <w:t xml:space="preserve"> </w:t>
      </w:r>
      <w:r w:rsidR="00606458" w:rsidRPr="00CC39F5">
        <w:rPr>
          <w:rFonts w:ascii="Cambria" w:hAnsi="Cambria"/>
          <w:sz w:val="20"/>
          <w:szCs w:val="20"/>
        </w:rPr>
        <w:t>was taken to his home after his arrest, Mr. Montesinos remained in the police vehicle for two hours. The petitioner noted that police officers entered the home and, upon returning to the vehicle, told Mr. Montesinos that they had found weapon</w:t>
      </w:r>
      <w:r w:rsidR="00C575D0" w:rsidRPr="00CC39F5">
        <w:rPr>
          <w:rFonts w:ascii="Cambria" w:hAnsi="Cambria"/>
          <w:sz w:val="20"/>
          <w:szCs w:val="20"/>
        </w:rPr>
        <w:t xml:space="preserve">s and so he would have to sign </w:t>
      </w:r>
      <w:r w:rsidR="00854983" w:rsidRPr="00CC39F5">
        <w:rPr>
          <w:rFonts w:ascii="Cambria" w:hAnsi="Cambria"/>
          <w:sz w:val="20"/>
          <w:szCs w:val="20"/>
        </w:rPr>
        <w:t>a record thereof</w:t>
      </w:r>
      <w:r w:rsidR="006B32E1" w:rsidRPr="00CC39F5">
        <w:rPr>
          <w:rFonts w:ascii="Cambria" w:hAnsi="Cambria"/>
          <w:sz w:val="20"/>
          <w:szCs w:val="20"/>
        </w:rPr>
        <w:t xml:space="preserve">. </w:t>
      </w:r>
      <w:r w:rsidR="00606458" w:rsidRPr="00CC39F5">
        <w:rPr>
          <w:rFonts w:ascii="Cambria" w:hAnsi="Cambria"/>
          <w:sz w:val="20"/>
          <w:szCs w:val="20"/>
        </w:rPr>
        <w:t>He stated that when Mr. Montesin</w:t>
      </w:r>
      <w:r w:rsidR="00007743" w:rsidRPr="00CC39F5">
        <w:rPr>
          <w:rFonts w:ascii="Cambria" w:hAnsi="Cambria"/>
          <w:sz w:val="20"/>
          <w:szCs w:val="20"/>
        </w:rPr>
        <w:t>os refused, a hood was placed over</w:t>
      </w:r>
      <w:r w:rsidR="00606458" w:rsidRPr="00CC39F5">
        <w:rPr>
          <w:rFonts w:ascii="Cambria" w:hAnsi="Cambria"/>
          <w:sz w:val="20"/>
          <w:szCs w:val="20"/>
        </w:rPr>
        <w:t xml:space="preserve"> his head.</w:t>
      </w:r>
      <w:r w:rsidR="006B32E1" w:rsidRPr="00CC39F5">
        <w:rPr>
          <w:rStyle w:val="FootnoteReference"/>
          <w:rFonts w:ascii="Cambria" w:hAnsi="Cambria"/>
          <w:sz w:val="20"/>
          <w:szCs w:val="20"/>
        </w:rPr>
        <w:footnoteReference w:id="17"/>
      </w:r>
    </w:p>
    <w:p w:rsidR="006B32E1" w:rsidRPr="00CC39F5" w:rsidRDefault="006B32E1" w:rsidP="006B32E1">
      <w:pPr>
        <w:ind w:right="720"/>
        <w:jc w:val="both"/>
        <w:rPr>
          <w:rFonts w:ascii="Cambria" w:hAnsi="Cambria"/>
          <w:b/>
          <w:sz w:val="20"/>
          <w:szCs w:val="20"/>
        </w:rPr>
      </w:pPr>
    </w:p>
    <w:p w:rsidR="006B32E1" w:rsidRPr="00CC39F5" w:rsidRDefault="005807F0" w:rsidP="003D4DF4">
      <w:pPr>
        <w:pStyle w:val="ColorfulList-Accent11"/>
        <w:numPr>
          <w:ilvl w:val="0"/>
          <w:numId w:val="60"/>
        </w:numPr>
        <w:ind w:firstLine="0"/>
        <w:rPr>
          <w:b/>
          <w:sz w:val="20"/>
          <w:szCs w:val="20"/>
        </w:rPr>
      </w:pPr>
      <w:r w:rsidRPr="00CC39F5">
        <w:rPr>
          <w:b/>
          <w:sz w:val="20"/>
          <w:szCs w:val="20"/>
        </w:rPr>
        <w:t>W</w:t>
      </w:r>
      <w:r w:rsidR="0023784B" w:rsidRPr="00CC39F5">
        <w:rPr>
          <w:b/>
          <w:sz w:val="20"/>
          <w:szCs w:val="20"/>
        </w:rPr>
        <w:t xml:space="preserve">hat </w:t>
      </w:r>
      <w:r w:rsidR="006B213E" w:rsidRPr="00CC39F5">
        <w:rPr>
          <w:b/>
          <w:sz w:val="20"/>
          <w:szCs w:val="20"/>
        </w:rPr>
        <w:t>happened</w:t>
      </w:r>
      <w:r w:rsidR="0023784B" w:rsidRPr="00CC39F5">
        <w:rPr>
          <w:b/>
          <w:sz w:val="20"/>
          <w:szCs w:val="20"/>
        </w:rPr>
        <w:t xml:space="preserve"> to Mr.</w:t>
      </w:r>
      <w:r w:rsidR="006B32E1" w:rsidRPr="00CC39F5">
        <w:rPr>
          <w:b/>
          <w:sz w:val="20"/>
          <w:szCs w:val="20"/>
        </w:rPr>
        <w:t xml:space="preserve"> Montesinos </w:t>
      </w:r>
      <w:r w:rsidR="0023784B" w:rsidRPr="00CC39F5">
        <w:rPr>
          <w:b/>
          <w:sz w:val="20"/>
          <w:szCs w:val="20"/>
        </w:rPr>
        <w:t>after his arrest</w:t>
      </w:r>
    </w:p>
    <w:p w:rsidR="006B32E1" w:rsidRPr="00CC39F5" w:rsidRDefault="006B32E1" w:rsidP="006B32E1">
      <w:pPr>
        <w:jc w:val="both"/>
        <w:rPr>
          <w:rFonts w:ascii="Cambria" w:hAnsi="Cambria"/>
          <w:sz w:val="20"/>
          <w:szCs w:val="20"/>
        </w:rPr>
      </w:pPr>
    </w:p>
    <w:p w:rsidR="006B32E1" w:rsidRPr="00CC39F5" w:rsidRDefault="00630E4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case file includes a report from the Medical Department of the National Police</w:t>
      </w:r>
      <w:r w:rsidR="00A64401" w:rsidRPr="00CC39F5">
        <w:rPr>
          <w:rFonts w:ascii="Cambria" w:hAnsi="Cambria"/>
          <w:sz w:val="20"/>
          <w:szCs w:val="20"/>
        </w:rPr>
        <w:t xml:space="preserve"> indicating</w:t>
      </w:r>
      <w:r w:rsidR="006B32E1" w:rsidRPr="00CC39F5">
        <w:rPr>
          <w:rFonts w:ascii="Cambria" w:hAnsi="Cambria"/>
          <w:sz w:val="20"/>
          <w:szCs w:val="20"/>
        </w:rPr>
        <w:t xml:space="preserve"> </w:t>
      </w:r>
      <w:r w:rsidRPr="00CC39F5">
        <w:rPr>
          <w:rFonts w:ascii="Cambria" w:hAnsi="Cambria"/>
          <w:sz w:val="20"/>
          <w:szCs w:val="20"/>
        </w:rPr>
        <w:t xml:space="preserve">that Mr. </w:t>
      </w:r>
      <w:r w:rsidR="006B32E1" w:rsidRPr="00CC39F5">
        <w:rPr>
          <w:rFonts w:ascii="Cambria" w:hAnsi="Cambria"/>
          <w:sz w:val="20"/>
          <w:szCs w:val="20"/>
        </w:rPr>
        <w:t>Montesinos</w:t>
      </w:r>
      <w:r w:rsidR="00A64401" w:rsidRPr="00CC39F5">
        <w:rPr>
          <w:rFonts w:ascii="Cambria" w:hAnsi="Cambria"/>
          <w:sz w:val="20"/>
          <w:szCs w:val="20"/>
        </w:rPr>
        <w:t xml:space="preserve"> </w:t>
      </w:r>
      <w:r w:rsidRPr="00CC39F5">
        <w:rPr>
          <w:rFonts w:ascii="Cambria" w:hAnsi="Cambria"/>
          <w:sz w:val="20"/>
          <w:szCs w:val="20"/>
        </w:rPr>
        <w:t>was given a medical exam</w:t>
      </w:r>
      <w:r w:rsidR="00D87DBE" w:rsidRPr="00CC39F5">
        <w:rPr>
          <w:rFonts w:ascii="Cambria" w:hAnsi="Cambria"/>
          <w:sz w:val="20"/>
          <w:szCs w:val="20"/>
        </w:rPr>
        <w:t>ination</w:t>
      </w:r>
      <w:r w:rsidR="00A64401" w:rsidRPr="00CC39F5">
        <w:rPr>
          <w:rFonts w:ascii="Cambria" w:hAnsi="Cambria"/>
          <w:sz w:val="20"/>
          <w:szCs w:val="20"/>
        </w:rPr>
        <w:t xml:space="preserve"> the same day he was arrested</w:t>
      </w:r>
      <w:r w:rsidR="006B32E1" w:rsidRPr="00CC39F5">
        <w:rPr>
          <w:rFonts w:ascii="Cambria" w:hAnsi="Cambria"/>
          <w:sz w:val="20"/>
          <w:szCs w:val="20"/>
        </w:rPr>
        <w:t xml:space="preserve">. </w:t>
      </w:r>
      <w:r w:rsidRPr="00CC39F5">
        <w:rPr>
          <w:rFonts w:ascii="Cambria" w:hAnsi="Cambria"/>
          <w:sz w:val="20"/>
          <w:szCs w:val="20"/>
        </w:rPr>
        <w:t>The report stated that Mr.</w:t>
      </w:r>
      <w:r w:rsidR="006B32E1" w:rsidRPr="00CC39F5">
        <w:rPr>
          <w:rFonts w:ascii="Cambria" w:hAnsi="Cambria"/>
          <w:sz w:val="20"/>
          <w:szCs w:val="20"/>
        </w:rPr>
        <w:t xml:space="preserve"> Montesinos</w:t>
      </w:r>
      <w:r w:rsidRPr="00CC39F5">
        <w:rPr>
          <w:rFonts w:ascii="Cambria" w:hAnsi="Cambria"/>
          <w:sz w:val="20"/>
          <w:szCs w:val="20"/>
        </w:rPr>
        <w:t>’ diagnosis was</w:t>
      </w:r>
      <w:r w:rsidR="006B32E1" w:rsidRPr="00CC39F5">
        <w:rPr>
          <w:rFonts w:ascii="Cambria" w:hAnsi="Cambria"/>
          <w:sz w:val="20"/>
          <w:szCs w:val="20"/>
        </w:rPr>
        <w:t xml:space="preserve"> “</w:t>
      </w:r>
      <w:r w:rsidR="00C575D0" w:rsidRPr="00CC39F5">
        <w:rPr>
          <w:rFonts w:ascii="Cambria" w:hAnsi="Cambria"/>
          <w:sz w:val="20"/>
          <w:szCs w:val="20"/>
        </w:rPr>
        <w:t>without observations</w:t>
      </w:r>
      <w:r w:rsidRPr="00CC39F5">
        <w:rPr>
          <w:rFonts w:ascii="Cambria" w:hAnsi="Cambria"/>
          <w:sz w:val="20"/>
          <w:szCs w:val="20"/>
        </w:rPr>
        <w:t>.</w:t>
      </w:r>
      <w:r w:rsidR="006B32E1" w:rsidRPr="00CC39F5">
        <w:rPr>
          <w:rFonts w:ascii="Cambria" w:hAnsi="Cambria"/>
          <w:sz w:val="20"/>
          <w:szCs w:val="20"/>
        </w:rPr>
        <w:t>”</w:t>
      </w:r>
      <w:r w:rsidR="006B32E1" w:rsidRPr="00CC39F5">
        <w:rPr>
          <w:rStyle w:val="FootnoteReference"/>
          <w:rFonts w:ascii="Cambria" w:hAnsi="Cambria"/>
          <w:sz w:val="20"/>
          <w:szCs w:val="20"/>
        </w:rPr>
        <w:footnoteReference w:id="18"/>
      </w:r>
      <w:r w:rsidR="006B32E1" w:rsidRPr="00CC39F5">
        <w:rPr>
          <w:rFonts w:ascii="Cambria" w:hAnsi="Cambria"/>
          <w:sz w:val="20"/>
          <w:szCs w:val="20"/>
        </w:rPr>
        <w:t xml:space="preserve"> </w:t>
      </w:r>
      <w:r w:rsidRPr="00CC39F5">
        <w:rPr>
          <w:rFonts w:ascii="Cambria" w:hAnsi="Cambria"/>
          <w:sz w:val="20"/>
          <w:szCs w:val="20"/>
        </w:rPr>
        <w:t xml:space="preserve">The petitioner </w:t>
      </w:r>
      <w:r w:rsidR="00BC4C4D" w:rsidRPr="00CC39F5">
        <w:rPr>
          <w:rFonts w:ascii="Cambria" w:hAnsi="Cambria"/>
          <w:sz w:val="20"/>
          <w:szCs w:val="20"/>
        </w:rPr>
        <w:t>stated</w:t>
      </w:r>
      <w:r w:rsidRPr="00CC39F5">
        <w:rPr>
          <w:rFonts w:ascii="Cambria" w:hAnsi="Cambria"/>
          <w:sz w:val="20"/>
          <w:szCs w:val="20"/>
        </w:rPr>
        <w:t xml:space="preserve"> that Mr.</w:t>
      </w:r>
      <w:r w:rsidR="006B32E1" w:rsidRPr="00CC39F5">
        <w:rPr>
          <w:rFonts w:ascii="Cambria" w:hAnsi="Cambria"/>
          <w:sz w:val="20"/>
          <w:szCs w:val="20"/>
        </w:rPr>
        <w:t xml:space="preserve"> Montesinos </w:t>
      </w:r>
      <w:r w:rsidR="00D87DBE" w:rsidRPr="00CC39F5">
        <w:rPr>
          <w:rFonts w:ascii="Cambria" w:hAnsi="Cambria"/>
          <w:sz w:val="20"/>
          <w:szCs w:val="20"/>
        </w:rPr>
        <w:t>was never given a medical examination and was only asked some questions.</w:t>
      </w:r>
      <w:r w:rsidR="006B32E1" w:rsidRPr="00CC39F5">
        <w:rPr>
          <w:rStyle w:val="FootnoteReference"/>
          <w:rFonts w:ascii="Cambria" w:hAnsi="Cambria"/>
          <w:sz w:val="20"/>
          <w:szCs w:val="20"/>
        </w:rPr>
        <w:footnoteReference w:id="19"/>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2D7528"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petitioner described how</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was placed in a cell measuring approxim</w:t>
      </w:r>
      <w:r w:rsidR="00BC4C4D" w:rsidRPr="00CC39F5">
        <w:rPr>
          <w:rFonts w:ascii="Cambria" w:hAnsi="Cambria"/>
          <w:sz w:val="20"/>
          <w:szCs w:val="20"/>
        </w:rPr>
        <w:t>ately 11</w:t>
      </w:r>
      <w:r w:rsidR="00AA7F2D" w:rsidRPr="00CC39F5">
        <w:rPr>
          <w:rFonts w:ascii="Cambria" w:hAnsi="Cambria"/>
          <w:sz w:val="20"/>
          <w:szCs w:val="20"/>
        </w:rPr>
        <w:t> </w:t>
      </w:r>
      <w:r w:rsidR="00130B6C" w:rsidRPr="00CC39F5">
        <w:rPr>
          <w:rFonts w:ascii="Cambria" w:hAnsi="Cambria" w:cs="Arial"/>
          <w:color w:val="222222"/>
          <w:sz w:val="20"/>
          <w:szCs w:val="20"/>
          <w:shd w:val="clear" w:color="auto" w:fill="FFFFFF"/>
        </w:rPr>
        <w:t>m</w:t>
      </w:r>
      <w:r w:rsidR="00130B6C" w:rsidRPr="00CC39F5">
        <w:rPr>
          <w:rFonts w:ascii="Cambria" w:hAnsi="Cambria" w:cs="Arial"/>
          <w:color w:val="222222"/>
          <w:sz w:val="20"/>
          <w:szCs w:val="20"/>
          <w:shd w:val="clear" w:color="auto" w:fill="FFFFFF"/>
          <w:vertAlign w:val="superscript"/>
        </w:rPr>
        <w:t xml:space="preserve">2 </w:t>
      </w:r>
      <w:r w:rsidRPr="00CC39F5">
        <w:rPr>
          <w:rFonts w:ascii="Cambria" w:hAnsi="Cambria"/>
          <w:sz w:val="20"/>
          <w:szCs w:val="20"/>
        </w:rPr>
        <w:t>that was guarded by two plainclothes guards carrying machine guns. He stated that 13 other people were lying on the floor inside the same cell and that the next day</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00BC4C4D" w:rsidRPr="00CC39F5">
        <w:rPr>
          <w:rFonts w:ascii="Cambria" w:hAnsi="Cambria"/>
          <w:sz w:val="20"/>
          <w:szCs w:val="20"/>
        </w:rPr>
        <w:t xml:space="preserve">observed </w:t>
      </w:r>
      <w:r w:rsidR="001F0A63" w:rsidRPr="00CC39F5">
        <w:rPr>
          <w:rFonts w:ascii="Cambria" w:hAnsi="Cambria"/>
          <w:sz w:val="20"/>
          <w:szCs w:val="20"/>
        </w:rPr>
        <w:t xml:space="preserve">a number of those </w:t>
      </w:r>
      <w:r w:rsidR="00BC4C4D" w:rsidRPr="00CC39F5">
        <w:rPr>
          <w:rFonts w:ascii="Cambria" w:hAnsi="Cambria"/>
          <w:sz w:val="20"/>
          <w:szCs w:val="20"/>
        </w:rPr>
        <w:t>individuals</w:t>
      </w:r>
      <w:r w:rsidR="001F0A63" w:rsidRPr="00CC39F5">
        <w:rPr>
          <w:rFonts w:ascii="Cambria" w:hAnsi="Cambria"/>
          <w:sz w:val="20"/>
          <w:szCs w:val="20"/>
        </w:rPr>
        <w:t xml:space="preserve"> </w:t>
      </w:r>
      <w:r w:rsidR="006452FD" w:rsidRPr="00CC39F5">
        <w:rPr>
          <w:rFonts w:ascii="Cambria" w:hAnsi="Cambria"/>
          <w:sz w:val="20"/>
          <w:szCs w:val="20"/>
        </w:rPr>
        <w:t>being</w:t>
      </w:r>
      <w:r w:rsidR="001F0A63" w:rsidRPr="00CC39F5">
        <w:rPr>
          <w:rFonts w:ascii="Cambria" w:hAnsi="Cambria"/>
          <w:sz w:val="20"/>
          <w:szCs w:val="20"/>
        </w:rPr>
        <w:t xml:space="preserve"> taken from the cell to be interrog</w:t>
      </w:r>
      <w:r w:rsidR="00ED624F" w:rsidRPr="00CC39F5">
        <w:rPr>
          <w:rFonts w:ascii="Cambria" w:hAnsi="Cambria"/>
          <w:sz w:val="20"/>
          <w:szCs w:val="20"/>
        </w:rPr>
        <w:t xml:space="preserve">ated and that they returned “beaten and scared, talking about the use of electricity and gas during the interrogations.” He added that on June 23, 1992, </w:t>
      </w:r>
      <w:r w:rsidR="00D87DBE" w:rsidRPr="00CC39F5">
        <w:rPr>
          <w:rFonts w:ascii="Cambria" w:hAnsi="Cambria"/>
          <w:sz w:val="20"/>
          <w:szCs w:val="20"/>
        </w:rPr>
        <w:t>Mr.</w:t>
      </w:r>
      <w:r w:rsidR="00ED624F" w:rsidRPr="00CC39F5">
        <w:rPr>
          <w:rFonts w:ascii="Cambria" w:hAnsi="Cambria"/>
          <w:sz w:val="20"/>
          <w:szCs w:val="20"/>
        </w:rPr>
        <w:t> </w:t>
      </w:r>
      <w:r w:rsidR="006B32E1" w:rsidRPr="00CC39F5">
        <w:rPr>
          <w:rFonts w:ascii="Cambria" w:hAnsi="Cambria"/>
          <w:sz w:val="20"/>
          <w:szCs w:val="20"/>
        </w:rPr>
        <w:t xml:space="preserve">Montesinos </w:t>
      </w:r>
      <w:r w:rsidR="00190FDF" w:rsidRPr="00CC39F5">
        <w:rPr>
          <w:rFonts w:ascii="Cambria" w:hAnsi="Cambria"/>
          <w:sz w:val="20"/>
          <w:szCs w:val="20"/>
        </w:rPr>
        <w:t>indicated to the guards that he had been in custody for more than a day without knowing why he had been arrested, but received no response.</w:t>
      </w:r>
      <w:r w:rsidR="006B32E1" w:rsidRPr="00CC39F5">
        <w:rPr>
          <w:rStyle w:val="FootnoteReference"/>
          <w:rFonts w:ascii="Cambria" w:hAnsi="Cambria"/>
          <w:sz w:val="20"/>
          <w:szCs w:val="20"/>
        </w:rPr>
        <w:footnoteReference w:id="20"/>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DD5C53"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June 25,</w:t>
      </w:r>
      <w:r w:rsidR="006B32E1" w:rsidRPr="00CC39F5">
        <w:rPr>
          <w:rFonts w:ascii="Cambria" w:hAnsi="Cambria"/>
          <w:sz w:val="20"/>
          <w:szCs w:val="20"/>
        </w:rPr>
        <w:t xml:space="preserve"> 1992</w:t>
      </w:r>
      <w:r w:rsidR="00F93E8E" w:rsidRPr="00CC39F5">
        <w:rPr>
          <w:rFonts w:ascii="Cambria" w:hAnsi="Cambria"/>
          <w:sz w:val="20"/>
          <w:szCs w:val="20"/>
        </w:rPr>
        <w:t>, the alleged victim made a preliminary</w:t>
      </w:r>
      <w:r w:rsidR="008539A7" w:rsidRPr="00CC39F5">
        <w:rPr>
          <w:rFonts w:ascii="Cambria" w:hAnsi="Cambria"/>
          <w:sz w:val="20"/>
          <w:szCs w:val="20"/>
        </w:rPr>
        <w:t xml:space="preserve"> statement to three police officers and three prosecutors from the Public Prosecution Ministry.</w:t>
      </w:r>
      <w:r w:rsidR="006B32E1" w:rsidRPr="00CC39F5">
        <w:rPr>
          <w:rStyle w:val="FootnoteReference"/>
          <w:rFonts w:ascii="Cambria" w:hAnsi="Cambria"/>
          <w:sz w:val="20"/>
          <w:szCs w:val="20"/>
        </w:rPr>
        <w:footnoteReference w:id="21"/>
      </w:r>
      <w:r w:rsidR="006B32E1" w:rsidRPr="00CC39F5">
        <w:rPr>
          <w:rFonts w:ascii="Cambria" w:hAnsi="Cambria"/>
          <w:sz w:val="20"/>
          <w:szCs w:val="20"/>
        </w:rPr>
        <w:t xml:space="preserve"> </w:t>
      </w:r>
      <w:r w:rsidR="0052589E" w:rsidRPr="00CC39F5">
        <w:rPr>
          <w:rFonts w:ascii="Cambria" w:hAnsi="Cambria"/>
          <w:sz w:val="20"/>
          <w:szCs w:val="20"/>
        </w:rPr>
        <w:t xml:space="preserve">The petitioner alleged that </w:t>
      </w:r>
      <w:r w:rsidR="00D87DBE" w:rsidRPr="00CC39F5">
        <w:rPr>
          <w:rFonts w:ascii="Cambria" w:hAnsi="Cambria"/>
          <w:sz w:val="20"/>
          <w:szCs w:val="20"/>
        </w:rPr>
        <w:t>Mr.</w:t>
      </w:r>
      <w:r w:rsidR="006B32E1" w:rsidRPr="00CC39F5">
        <w:rPr>
          <w:rFonts w:ascii="Cambria" w:hAnsi="Cambria"/>
          <w:sz w:val="20"/>
          <w:szCs w:val="20"/>
        </w:rPr>
        <w:t xml:space="preserve"> Montesinos</w:t>
      </w:r>
      <w:r w:rsidR="00FE4DB1" w:rsidRPr="00CC39F5">
        <w:rPr>
          <w:rFonts w:ascii="Cambria" w:hAnsi="Cambria"/>
          <w:sz w:val="20"/>
          <w:szCs w:val="20"/>
        </w:rPr>
        <w:t xml:space="preserve"> did not have a defense </w:t>
      </w:r>
      <w:r w:rsidR="00FC0CB6" w:rsidRPr="00CC39F5">
        <w:rPr>
          <w:rFonts w:ascii="Cambria" w:hAnsi="Cambria"/>
          <w:sz w:val="20"/>
          <w:szCs w:val="20"/>
        </w:rPr>
        <w:t>attorney</w:t>
      </w:r>
      <w:r w:rsidR="00FE4DB1" w:rsidRPr="00CC39F5">
        <w:rPr>
          <w:rFonts w:ascii="Cambria" w:hAnsi="Cambria"/>
          <w:sz w:val="20"/>
          <w:szCs w:val="20"/>
        </w:rPr>
        <w:t xml:space="preserve"> present when he gave that statement</w:t>
      </w:r>
      <w:r w:rsidR="006B32E1" w:rsidRPr="00CC39F5">
        <w:rPr>
          <w:rFonts w:ascii="Cambria" w:hAnsi="Cambria"/>
          <w:sz w:val="20"/>
          <w:szCs w:val="20"/>
        </w:rPr>
        <w:t xml:space="preserve">. </w:t>
      </w:r>
      <w:r w:rsidR="00C72366" w:rsidRPr="00CC39F5">
        <w:rPr>
          <w:rFonts w:ascii="Cambria" w:hAnsi="Cambria"/>
          <w:sz w:val="20"/>
          <w:szCs w:val="20"/>
        </w:rPr>
        <w:t>The State did not contest that assertion.</w:t>
      </w:r>
      <w:r w:rsidR="006B32E1" w:rsidRPr="00CC39F5">
        <w:rPr>
          <w:rFonts w:ascii="Cambria" w:hAnsi="Cambria"/>
          <w:sz w:val="20"/>
          <w:szCs w:val="20"/>
        </w:rPr>
        <w:t xml:space="preserve"> </w:t>
      </w:r>
      <w:r w:rsidR="00E46AF6" w:rsidRPr="00CC39F5">
        <w:rPr>
          <w:rFonts w:ascii="Cambria" w:hAnsi="Cambria"/>
          <w:sz w:val="20"/>
          <w:szCs w:val="20"/>
        </w:rPr>
        <w:lastRenderedPageBreak/>
        <w:t xml:space="preserve">The statement does </w:t>
      </w:r>
      <w:r w:rsidR="0069504D" w:rsidRPr="00CC39F5">
        <w:rPr>
          <w:rFonts w:ascii="Cambria" w:hAnsi="Cambria"/>
          <w:sz w:val="20"/>
          <w:szCs w:val="20"/>
        </w:rPr>
        <w:t>not contain the signature of a</w:t>
      </w:r>
      <w:r w:rsidR="00E46AF6" w:rsidRPr="00CC39F5">
        <w:rPr>
          <w:rFonts w:ascii="Cambria" w:hAnsi="Cambria"/>
          <w:sz w:val="20"/>
          <w:szCs w:val="20"/>
        </w:rPr>
        <w:t xml:space="preserve"> defense </w:t>
      </w:r>
      <w:r w:rsidR="00F84A4F" w:rsidRPr="00CC39F5">
        <w:rPr>
          <w:rFonts w:ascii="Cambria" w:hAnsi="Cambria"/>
          <w:sz w:val="20"/>
          <w:szCs w:val="20"/>
        </w:rPr>
        <w:t>attorney</w:t>
      </w:r>
      <w:r w:rsidR="006B32E1" w:rsidRPr="00CC39F5">
        <w:rPr>
          <w:rFonts w:ascii="Cambria" w:hAnsi="Cambria"/>
          <w:sz w:val="20"/>
          <w:szCs w:val="20"/>
        </w:rPr>
        <w:t xml:space="preserve">. </w:t>
      </w:r>
      <w:r w:rsidR="00971632" w:rsidRPr="00CC39F5">
        <w:rPr>
          <w:rFonts w:ascii="Cambria" w:hAnsi="Cambria"/>
          <w:sz w:val="20"/>
          <w:szCs w:val="20"/>
        </w:rPr>
        <w:t>The official document on that</w:t>
      </w:r>
      <w:r w:rsidR="00F93E8E" w:rsidRPr="00CC39F5">
        <w:rPr>
          <w:rFonts w:ascii="Cambria" w:hAnsi="Cambria"/>
          <w:sz w:val="20"/>
          <w:szCs w:val="20"/>
        </w:rPr>
        <w:t xml:space="preserve"> preliminary</w:t>
      </w:r>
      <w:r w:rsidR="00971632" w:rsidRPr="00CC39F5">
        <w:rPr>
          <w:rFonts w:ascii="Cambria" w:hAnsi="Cambria"/>
          <w:sz w:val="20"/>
          <w:szCs w:val="20"/>
        </w:rPr>
        <w:t xml:space="preserve"> statement indicates that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00971632" w:rsidRPr="00CC39F5">
        <w:rPr>
          <w:rFonts w:ascii="Cambria" w:hAnsi="Cambria"/>
          <w:sz w:val="20"/>
          <w:szCs w:val="20"/>
        </w:rPr>
        <w:t>stated that he worked as the supervisor of a property called</w:t>
      </w:r>
      <w:r w:rsidR="006B32E1" w:rsidRPr="00CC39F5">
        <w:rPr>
          <w:rFonts w:ascii="Cambria" w:hAnsi="Cambria"/>
          <w:sz w:val="20"/>
          <w:szCs w:val="20"/>
        </w:rPr>
        <w:t xml:space="preserve"> </w:t>
      </w:r>
      <w:r w:rsidR="00FC4D8E" w:rsidRPr="00CC39F5">
        <w:rPr>
          <w:rFonts w:ascii="Cambria" w:hAnsi="Cambria"/>
          <w:i/>
          <w:sz w:val="20"/>
          <w:szCs w:val="20"/>
        </w:rPr>
        <w:t>El Prado</w:t>
      </w:r>
      <w:r w:rsidR="006C023A" w:rsidRPr="00CC39F5">
        <w:rPr>
          <w:rFonts w:ascii="Cambria" w:hAnsi="Cambria"/>
          <w:sz w:val="20"/>
          <w:szCs w:val="20"/>
        </w:rPr>
        <w:t xml:space="preserve"> and knew Mr.</w:t>
      </w:r>
      <w:r w:rsidR="006B32E1" w:rsidRPr="00CC39F5">
        <w:rPr>
          <w:rFonts w:ascii="Cambria" w:hAnsi="Cambria"/>
          <w:sz w:val="20"/>
          <w:szCs w:val="20"/>
        </w:rPr>
        <w:t xml:space="preserve"> Reyes Torres. </w:t>
      </w:r>
      <w:r w:rsidR="006C023A" w:rsidRPr="00CC39F5">
        <w:rPr>
          <w:rFonts w:ascii="Cambria" w:hAnsi="Cambria"/>
          <w:sz w:val="20"/>
          <w:szCs w:val="20"/>
        </w:rPr>
        <w:t>He claimed that a couple of weeks before his arrest, two individuals who identified themselves as acquaintances of the wife of</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Reyes Torres</w:t>
      </w:r>
      <w:r w:rsidR="00DD35EE" w:rsidRPr="00CC39F5">
        <w:rPr>
          <w:rFonts w:ascii="Cambria" w:hAnsi="Cambria"/>
          <w:sz w:val="20"/>
          <w:szCs w:val="20"/>
        </w:rPr>
        <w:t>,</w:t>
      </w:r>
      <w:r w:rsidR="006B32E1" w:rsidRPr="00CC39F5">
        <w:rPr>
          <w:rFonts w:ascii="Cambria" w:hAnsi="Cambria"/>
          <w:sz w:val="20"/>
          <w:szCs w:val="20"/>
        </w:rPr>
        <w:t xml:space="preserve"> </w:t>
      </w:r>
      <w:r w:rsidR="00DD35EE" w:rsidRPr="00CC39F5">
        <w:rPr>
          <w:rFonts w:ascii="Cambria" w:hAnsi="Cambria"/>
          <w:sz w:val="20"/>
          <w:szCs w:val="20"/>
        </w:rPr>
        <w:t>entered his home with several weapons and asked him to keep them for a few days.</w:t>
      </w:r>
      <w:r w:rsidR="006B32E1" w:rsidRPr="00CC39F5">
        <w:rPr>
          <w:rStyle w:val="FootnoteReference"/>
          <w:rFonts w:ascii="Cambria" w:hAnsi="Cambria"/>
          <w:sz w:val="20"/>
          <w:szCs w:val="20"/>
        </w:rPr>
        <w:footnoteReference w:id="22"/>
      </w:r>
    </w:p>
    <w:p w:rsidR="006B32E1" w:rsidRPr="00CC39F5" w:rsidRDefault="006B32E1" w:rsidP="006B32E1">
      <w:pPr>
        <w:pStyle w:val="ColorfulList-Accent11"/>
        <w:rPr>
          <w:sz w:val="20"/>
          <w:szCs w:val="20"/>
        </w:rPr>
      </w:pPr>
    </w:p>
    <w:p w:rsidR="006B32E1" w:rsidRPr="00CC39F5" w:rsidRDefault="00CC020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petitioner indicated that</w:t>
      </w:r>
      <w:r w:rsidR="006B32E1" w:rsidRPr="00CC39F5">
        <w:rPr>
          <w:rFonts w:ascii="Cambria" w:hAnsi="Cambria"/>
          <w:sz w:val="20"/>
          <w:szCs w:val="20"/>
        </w:rPr>
        <w:t xml:space="preserve">, </w:t>
      </w:r>
      <w:r w:rsidRPr="00CC39F5">
        <w:rPr>
          <w:rFonts w:ascii="Cambria" w:hAnsi="Cambria"/>
          <w:sz w:val="20"/>
          <w:szCs w:val="20"/>
        </w:rPr>
        <w:t xml:space="preserve">after giving </w:t>
      </w:r>
      <w:r w:rsidR="00D75A70" w:rsidRPr="00CC39F5">
        <w:rPr>
          <w:rFonts w:ascii="Cambria" w:hAnsi="Cambria"/>
          <w:sz w:val="20"/>
          <w:szCs w:val="20"/>
        </w:rPr>
        <w:t>his</w:t>
      </w:r>
      <w:r w:rsidRPr="00CC39F5">
        <w:rPr>
          <w:rFonts w:ascii="Cambria" w:hAnsi="Cambria"/>
          <w:sz w:val="20"/>
          <w:szCs w:val="20"/>
        </w:rPr>
        <w:t xml:space="preserve"> statement, </w:t>
      </w:r>
      <w:r w:rsidR="00FC4D8E" w:rsidRPr="00CC39F5">
        <w:rPr>
          <w:rFonts w:ascii="Cambria" w:hAnsi="Cambria"/>
          <w:sz w:val="20"/>
          <w:szCs w:val="20"/>
        </w:rPr>
        <w:t xml:space="preserve">Mr. Montesinos </w:t>
      </w:r>
      <w:r w:rsidRPr="00CC39F5">
        <w:rPr>
          <w:rFonts w:ascii="Cambria" w:hAnsi="Cambria"/>
          <w:sz w:val="20"/>
          <w:szCs w:val="20"/>
        </w:rPr>
        <w:t>realized that the document “contained some</w:t>
      </w:r>
      <w:r w:rsidR="006E2C99" w:rsidRPr="00CC39F5">
        <w:rPr>
          <w:rFonts w:ascii="Cambria" w:hAnsi="Cambria"/>
          <w:sz w:val="20"/>
          <w:szCs w:val="20"/>
        </w:rPr>
        <w:t xml:space="preserve"> changed and </w:t>
      </w:r>
      <w:r w:rsidR="00D75A70" w:rsidRPr="00CC39F5">
        <w:rPr>
          <w:rFonts w:ascii="Cambria" w:hAnsi="Cambria"/>
          <w:sz w:val="20"/>
          <w:szCs w:val="20"/>
        </w:rPr>
        <w:t>enhanced</w:t>
      </w:r>
      <w:r w:rsidRPr="00CC39F5">
        <w:rPr>
          <w:rFonts w:ascii="Cambria" w:hAnsi="Cambria"/>
          <w:sz w:val="20"/>
          <w:szCs w:val="20"/>
        </w:rPr>
        <w:t xml:space="preserve"> parts</w:t>
      </w:r>
      <w:r w:rsidR="006E2C99" w:rsidRPr="00CC39F5">
        <w:rPr>
          <w:rFonts w:ascii="Cambria" w:hAnsi="Cambria"/>
          <w:sz w:val="20"/>
          <w:szCs w:val="20"/>
        </w:rPr>
        <w:t xml:space="preserve">.” He claimed that </w:t>
      </w:r>
      <w:r w:rsidR="00D75A70" w:rsidRPr="00CC39F5">
        <w:rPr>
          <w:rFonts w:ascii="Cambria" w:hAnsi="Cambria"/>
          <w:sz w:val="20"/>
          <w:szCs w:val="20"/>
        </w:rPr>
        <w:t>the alleged victim was told</w:t>
      </w:r>
      <w:r w:rsidR="006E2C99" w:rsidRPr="00CC39F5">
        <w:rPr>
          <w:rFonts w:ascii="Cambria" w:hAnsi="Cambria"/>
          <w:sz w:val="20"/>
          <w:szCs w:val="20"/>
        </w:rPr>
        <w:t xml:space="preserve"> to sign the document and not to worry since “you are innocent.”</w:t>
      </w:r>
      <w:r w:rsidR="006B32E1" w:rsidRPr="00CC39F5">
        <w:rPr>
          <w:rStyle w:val="FootnoteReference"/>
          <w:rFonts w:ascii="Cambria" w:hAnsi="Cambria"/>
          <w:sz w:val="20"/>
          <w:szCs w:val="20"/>
        </w:rPr>
        <w:footnoteReference w:id="23"/>
      </w:r>
    </w:p>
    <w:p w:rsidR="006B32E1" w:rsidRPr="00CC39F5" w:rsidRDefault="006B32E1" w:rsidP="006B32E1">
      <w:pPr>
        <w:pStyle w:val="ColorfulList-Accent11"/>
        <w:rPr>
          <w:sz w:val="20"/>
          <w:szCs w:val="20"/>
        </w:rPr>
      </w:pPr>
    </w:p>
    <w:p w:rsidR="006B32E1" w:rsidRPr="00CC39F5" w:rsidRDefault="00A12C24"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July 12,</w:t>
      </w:r>
      <w:r w:rsidR="006B32E1" w:rsidRPr="00CC39F5">
        <w:rPr>
          <w:rFonts w:ascii="Cambria" w:hAnsi="Cambria"/>
          <w:sz w:val="20"/>
          <w:szCs w:val="20"/>
        </w:rPr>
        <w:t xml:space="preserve"> 1992</w:t>
      </w:r>
      <w:r w:rsidRPr="00CC39F5">
        <w:rPr>
          <w:rFonts w:ascii="Cambria" w:hAnsi="Cambria"/>
          <w:sz w:val="20"/>
          <w:szCs w:val="20"/>
        </w:rPr>
        <w: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gave a new statement to three prosecutor</w:t>
      </w:r>
      <w:r w:rsidR="00F84A4F" w:rsidRPr="00CC39F5">
        <w:rPr>
          <w:rFonts w:ascii="Cambria" w:hAnsi="Cambria"/>
          <w:sz w:val="20"/>
          <w:szCs w:val="20"/>
        </w:rPr>
        <w:t>s</w:t>
      </w:r>
      <w:r w:rsidRPr="00CC39F5">
        <w:rPr>
          <w:rFonts w:ascii="Cambria" w:hAnsi="Cambria"/>
          <w:sz w:val="20"/>
          <w:szCs w:val="20"/>
        </w:rPr>
        <w:t xml:space="preserve"> from the Public Prosecution Ministry and four police investigators.</w:t>
      </w:r>
      <w:r w:rsidR="006B32E1" w:rsidRPr="00CC39F5">
        <w:rPr>
          <w:rStyle w:val="FootnoteReference"/>
          <w:rFonts w:ascii="Cambria" w:hAnsi="Cambria"/>
          <w:sz w:val="20"/>
          <w:szCs w:val="20"/>
        </w:rPr>
        <w:footnoteReference w:id="24"/>
      </w:r>
      <w:r w:rsidRPr="00CC39F5">
        <w:rPr>
          <w:rFonts w:ascii="Cambria" w:hAnsi="Cambria"/>
          <w:sz w:val="20"/>
          <w:szCs w:val="20"/>
        </w:rPr>
        <w:t xml:space="preserve"> The petitioner alleged that Mr. Montesinos also </w:t>
      </w:r>
      <w:r w:rsidR="0069504D" w:rsidRPr="00CC39F5">
        <w:rPr>
          <w:rFonts w:ascii="Cambria" w:hAnsi="Cambria"/>
          <w:sz w:val="20"/>
          <w:szCs w:val="20"/>
        </w:rPr>
        <w:t>did not have</w:t>
      </w:r>
      <w:r w:rsidRPr="00CC39F5">
        <w:rPr>
          <w:rFonts w:ascii="Cambria" w:hAnsi="Cambria"/>
          <w:sz w:val="20"/>
          <w:szCs w:val="20"/>
        </w:rPr>
        <w:t xml:space="preserve"> a defense attorney</w:t>
      </w:r>
      <w:r w:rsidR="0069504D" w:rsidRPr="00CC39F5">
        <w:rPr>
          <w:rFonts w:ascii="Cambria" w:hAnsi="Cambria"/>
          <w:sz w:val="20"/>
          <w:szCs w:val="20"/>
        </w:rPr>
        <w:t xml:space="preserve"> present</w:t>
      </w:r>
      <w:r w:rsidRPr="00CC39F5">
        <w:rPr>
          <w:rFonts w:ascii="Cambria" w:hAnsi="Cambria"/>
          <w:sz w:val="20"/>
          <w:szCs w:val="20"/>
        </w:rPr>
        <w:t xml:space="preserve"> when giving that statement. The State did not contest that assertion. </w:t>
      </w:r>
      <w:r w:rsidR="0069504D" w:rsidRPr="00CC39F5">
        <w:rPr>
          <w:rFonts w:ascii="Cambria" w:hAnsi="Cambria"/>
          <w:sz w:val="20"/>
          <w:szCs w:val="20"/>
        </w:rPr>
        <w:t>The statement does not contain the signature of a defense attorney</w:t>
      </w:r>
      <w:r w:rsidRPr="00CC39F5">
        <w:rPr>
          <w:rFonts w:ascii="Cambria" w:hAnsi="Cambria"/>
          <w:sz w:val="20"/>
          <w:szCs w:val="20"/>
        </w:rPr>
        <w:t xml:space="preserve">. </w:t>
      </w:r>
      <w:r w:rsidR="00F74EC9" w:rsidRPr="00CC39F5">
        <w:rPr>
          <w:rFonts w:ascii="Cambria" w:hAnsi="Cambria"/>
          <w:sz w:val="20"/>
          <w:szCs w:val="20"/>
        </w:rPr>
        <w:t xml:space="preserve">The official document on that </w:t>
      </w:r>
      <w:r w:rsidR="00F84A4F" w:rsidRPr="00CC39F5">
        <w:rPr>
          <w:rFonts w:ascii="Cambria" w:hAnsi="Cambria"/>
          <w:sz w:val="20"/>
          <w:szCs w:val="20"/>
        </w:rPr>
        <w:t>preliminary</w:t>
      </w:r>
      <w:r w:rsidR="00F74EC9" w:rsidRPr="00CC39F5">
        <w:rPr>
          <w:rFonts w:ascii="Cambria" w:hAnsi="Cambria"/>
          <w:sz w:val="20"/>
          <w:szCs w:val="20"/>
        </w:rPr>
        <w:t xml:space="preserve"> statement indicates that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007A4F7E" w:rsidRPr="00CC39F5">
        <w:rPr>
          <w:rFonts w:ascii="Cambria" w:hAnsi="Cambria"/>
          <w:sz w:val="20"/>
          <w:szCs w:val="20"/>
        </w:rPr>
        <w:t>stated</w:t>
      </w:r>
      <w:r w:rsidR="00F74EC9" w:rsidRPr="00CC39F5">
        <w:rPr>
          <w:rFonts w:ascii="Cambria" w:hAnsi="Cambria"/>
          <w:sz w:val="20"/>
          <w:szCs w:val="20"/>
        </w:rPr>
        <w:t xml:space="preserve"> that </w:t>
      </w:r>
      <w:r w:rsidR="00083FBE" w:rsidRPr="00CC39F5">
        <w:rPr>
          <w:rFonts w:ascii="Cambria" w:hAnsi="Cambria"/>
          <w:sz w:val="20"/>
          <w:szCs w:val="20"/>
        </w:rPr>
        <w:t>when</w:t>
      </w:r>
      <w:r w:rsidR="006207A6" w:rsidRPr="00CC39F5">
        <w:rPr>
          <w:rFonts w:ascii="Cambria" w:hAnsi="Cambria"/>
          <w:sz w:val="20"/>
          <w:szCs w:val="20"/>
        </w:rPr>
        <w:t xml:space="preserve"> </w:t>
      </w:r>
      <w:r w:rsidR="00F74EC9" w:rsidRPr="00CC39F5">
        <w:rPr>
          <w:rFonts w:ascii="Cambria" w:hAnsi="Cambria"/>
          <w:sz w:val="20"/>
          <w:szCs w:val="20"/>
        </w:rPr>
        <w:t xml:space="preserve">he </w:t>
      </w:r>
      <w:r w:rsidR="00083FBE" w:rsidRPr="00CC39F5">
        <w:rPr>
          <w:rFonts w:ascii="Cambria" w:hAnsi="Cambria"/>
          <w:sz w:val="20"/>
          <w:szCs w:val="20"/>
        </w:rPr>
        <w:t>took</w:t>
      </w:r>
      <w:r w:rsidR="00F74EC9" w:rsidRPr="00CC39F5">
        <w:rPr>
          <w:rFonts w:ascii="Cambria" w:hAnsi="Cambria"/>
          <w:sz w:val="20"/>
          <w:szCs w:val="20"/>
        </w:rPr>
        <w:t xml:space="preserve"> </w:t>
      </w:r>
      <w:r w:rsidR="0021464D" w:rsidRPr="00CC39F5">
        <w:rPr>
          <w:rFonts w:ascii="Cambria" w:hAnsi="Cambria"/>
          <w:sz w:val="20"/>
          <w:szCs w:val="20"/>
        </w:rPr>
        <w:t>possession of</w:t>
      </w:r>
      <w:r w:rsidR="00F74EC9" w:rsidRPr="00CC39F5">
        <w:rPr>
          <w:rFonts w:ascii="Cambria" w:hAnsi="Cambria"/>
          <w:sz w:val="20"/>
          <w:szCs w:val="20"/>
        </w:rPr>
        <w:t xml:space="preserve"> </w:t>
      </w:r>
      <w:r w:rsidR="0028433B" w:rsidRPr="00CC39F5">
        <w:rPr>
          <w:rFonts w:ascii="Cambria" w:hAnsi="Cambria"/>
          <w:sz w:val="20"/>
          <w:szCs w:val="20"/>
        </w:rPr>
        <w:t xml:space="preserve">the </w:t>
      </w:r>
      <w:r w:rsidR="00F74EC9" w:rsidRPr="00CC39F5">
        <w:rPr>
          <w:rFonts w:ascii="Cambria" w:hAnsi="Cambria"/>
          <w:sz w:val="20"/>
          <w:szCs w:val="20"/>
        </w:rPr>
        <w:t>weapons from</w:t>
      </w:r>
      <w:r w:rsidR="006207A6" w:rsidRPr="00CC39F5">
        <w:rPr>
          <w:rFonts w:ascii="Cambria" w:hAnsi="Cambria"/>
          <w:sz w:val="20"/>
          <w:szCs w:val="20"/>
        </w:rPr>
        <w:t xml:space="preserve"> the</w:t>
      </w:r>
      <w:r w:rsidR="00F74EC9" w:rsidRPr="00CC39F5">
        <w:rPr>
          <w:rFonts w:ascii="Cambria" w:hAnsi="Cambria"/>
          <w:sz w:val="20"/>
          <w:szCs w:val="20"/>
        </w:rPr>
        <w:t xml:space="preserve"> unknown individuals</w:t>
      </w:r>
      <w:r w:rsidR="006207A6" w:rsidRPr="00CC39F5">
        <w:rPr>
          <w:rFonts w:ascii="Cambria" w:hAnsi="Cambria"/>
          <w:sz w:val="20"/>
          <w:szCs w:val="20"/>
        </w:rPr>
        <w:t>, he asked them to</w:t>
      </w:r>
      <w:r w:rsidR="00F74EC9" w:rsidRPr="00CC39F5">
        <w:rPr>
          <w:rFonts w:ascii="Cambria" w:hAnsi="Cambria"/>
          <w:sz w:val="20"/>
          <w:szCs w:val="20"/>
        </w:rPr>
        <w:t xml:space="preserve"> sign a</w:t>
      </w:r>
      <w:r w:rsidR="00854983" w:rsidRPr="00CC39F5">
        <w:rPr>
          <w:rFonts w:ascii="Cambria" w:hAnsi="Cambria"/>
          <w:sz w:val="20"/>
          <w:szCs w:val="20"/>
        </w:rPr>
        <w:t>n affidavit of liability</w:t>
      </w:r>
      <w:r w:rsidR="00FF6681" w:rsidRPr="00CC39F5">
        <w:rPr>
          <w:rFonts w:ascii="Cambria" w:hAnsi="Cambria"/>
          <w:sz w:val="20"/>
          <w:szCs w:val="20"/>
        </w:rPr>
        <w:t xml:space="preserve">, but that </w:t>
      </w:r>
      <w:r w:rsidR="0021464D" w:rsidRPr="00CC39F5">
        <w:rPr>
          <w:rFonts w:ascii="Cambria" w:hAnsi="Cambria"/>
          <w:sz w:val="20"/>
          <w:szCs w:val="20"/>
        </w:rPr>
        <w:t>they never did</w:t>
      </w:r>
      <w:r w:rsidR="006B32E1" w:rsidRPr="00CC39F5">
        <w:rPr>
          <w:rFonts w:ascii="Cambria" w:hAnsi="Cambria"/>
          <w:sz w:val="20"/>
          <w:szCs w:val="20"/>
        </w:rPr>
        <w:t>.</w:t>
      </w:r>
    </w:p>
    <w:p w:rsidR="006B32E1" w:rsidRPr="00CC39F5" w:rsidRDefault="006B32E1" w:rsidP="006B32E1">
      <w:pPr>
        <w:pStyle w:val="ColorfulList-Accent11"/>
        <w:rPr>
          <w:sz w:val="20"/>
          <w:szCs w:val="20"/>
        </w:rPr>
      </w:pPr>
    </w:p>
    <w:p w:rsidR="006B32E1" w:rsidRPr="00CC39F5" w:rsidRDefault="00F17E8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The petitioner indicated that </w:t>
      </w:r>
      <w:r w:rsidR="00083FBE" w:rsidRPr="00CC39F5">
        <w:rPr>
          <w:rFonts w:ascii="Cambria" w:hAnsi="Cambria"/>
          <w:sz w:val="20"/>
          <w:szCs w:val="20"/>
        </w:rPr>
        <w:t>the alleged victim’s</w:t>
      </w:r>
      <w:r w:rsidRPr="00CC39F5">
        <w:rPr>
          <w:rFonts w:ascii="Cambria" w:hAnsi="Cambria"/>
          <w:sz w:val="20"/>
          <w:szCs w:val="20"/>
        </w:rPr>
        <w:t xml:space="preserve"> statement was t</w:t>
      </w:r>
      <w:r w:rsidR="00083FBE" w:rsidRPr="00CC39F5">
        <w:rPr>
          <w:rFonts w:ascii="Cambria" w:hAnsi="Cambria"/>
          <w:sz w:val="20"/>
          <w:szCs w:val="20"/>
        </w:rPr>
        <w:t>aken between 2:00 and 4:00 </w:t>
      </w:r>
      <w:r w:rsidRPr="00CC39F5">
        <w:rPr>
          <w:rFonts w:ascii="Cambria" w:hAnsi="Cambria"/>
          <w:sz w:val="20"/>
          <w:szCs w:val="20"/>
        </w:rPr>
        <w:t xml:space="preserve">a.m. amid “constant threats and </w:t>
      </w:r>
      <w:r w:rsidR="008E7B9A" w:rsidRPr="00CC39F5">
        <w:rPr>
          <w:rFonts w:ascii="Cambria" w:hAnsi="Cambria"/>
          <w:sz w:val="20"/>
          <w:szCs w:val="20"/>
        </w:rPr>
        <w:t>intimidation</w:t>
      </w:r>
      <w:r w:rsidRPr="00CC39F5">
        <w:rPr>
          <w:rFonts w:ascii="Cambria" w:hAnsi="Cambria"/>
          <w:sz w:val="20"/>
          <w:szCs w:val="20"/>
        </w:rPr>
        <w:t>”</w:t>
      </w:r>
      <w:r w:rsidR="006B32E1" w:rsidRPr="00CC39F5">
        <w:rPr>
          <w:rFonts w:ascii="Cambria" w:hAnsi="Cambria"/>
          <w:sz w:val="20"/>
          <w:szCs w:val="20"/>
        </w:rPr>
        <w:t xml:space="preserve"> </w:t>
      </w:r>
      <w:r w:rsidRPr="00CC39F5">
        <w:rPr>
          <w:rFonts w:ascii="Cambria" w:hAnsi="Cambria"/>
          <w:sz w:val="20"/>
          <w:szCs w:val="20"/>
        </w:rPr>
        <w:t>and that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was forced to sign the document.</w:t>
      </w:r>
      <w:r w:rsidR="006B32E1" w:rsidRPr="00CC39F5">
        <w:rPr>
          <w:rStyle w:val="FootnoteReference"/>
          <w:rFonts w:ascii="Cambria" w:hAnsi="Cambria"/>
          <w:sz w:val="20"/>
          <w:szCs w:val="20"/>
        </w:rPr>
        <w:footnoteReference w:id="25"/>
      </w:r>
    </w:p>
    <w:p w:rsidR="006B32E1" w:rsidRPr="00CC39F5" w:rsidRDefault="006B32E1" w:rsidP="006B32E1">
      <w:pPr>
        <w:pStyle w:val="ColorfulList-Accent11"/>
        <w:rPr>
          <w:sz w:val="20"/>
          <w:szCs w:val="20"/>
        </w:rPr>
      </w:pPr>
    </w:p>
    <w:p w:rsidR="006B32E1" w:rsidRPr="00CC39F5" w:rsidRDefault="00EA2C1D"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petitioner stated that on July 23,</w:t>
      </w:r>
      <w:r w:rsidR="006B32E1" w:rsidRPr="00CC39F5">
        <w:rPr>
          <w:rFonts w:ascii="Cambria" w:hAnsi="Cambria"/>
          <w:sz w:val="20"/>
          <w:szCs w:val="20"/>
        </w:rPr>
        <w:t xml:space="preserve"> 1992, 25 </w:t>
      </w:r>
      <w:r w:rsidRPr="00CC39F5">
        <w:rPr>
          <w:rFonts w:ascii="Cambria" w:hAnsi="Cambria"/>
          <w:sz w:val="20"/>
          <w:szCs w:val="20"/>
        </w:rPr>
        <w:t>members of the National Police Response and Rescue Group beat Mr.</w:t>
      </w:r>
      <w:r w:rsidR="00020845" w:rsidRPr="00CC39F5">
        <w:rPr>
          <w:rFonts w:ascii="Cambria" w:hAnsi="Cambria"/>
          <w:sz w:val="20"/>
          <w:szCs w:val="20"/>
        </w:rPr>
        <w:t xml:space="preserve"> Montesinos and other detainees while they were out in the yard of the detention center known as</w:t>
      </w:r>
      <w:r w:rsidR="006B32E1" w:rsidRPr="00CC39F5">
        <w:rPr>
          <w:rFonts w:ascii="Cambria" w:hAnsi="Cambria"/>
          <w:sz w:val="20"/>
          <w:szCs w:val="20"/>
        </w:rPr>
        <w:t xml:space="preserve"> </w:t>
      </w:r>
      <w:r w:rsidR="006B32E1" w:rsidRPr="00CC39F5">
        <w:rPr>
          <w:rFonts w:ascii="Cambria" w:hAnsi="Cambria"/>
          <w:i/>
          <w:sz w:val="20"/>
          <w:szCs w:val="20"/>
        </w:rPr>
        <w:t>Regimiento Quito No. 2</w:t>
      </w:r>
      <w:r w:rsidR="006B32E1" w:rsidRPr="00CC39F5">
        <w:rPr>
          <w:rFonts w:ascii="Cambria" w:hAnsi="Cambria"/>
          <w:sz w:val="20"/>
          <w:szCs w:val="20"/>
        </w:rPr>
        <w:t xml:space="preserve">. </w:t>
      </w:r>
      <w:r w:rsidR="00D559E2" w:rsidRPr="00CC39F5">
        <w:rPr>
          <w:rFonts w:ascii="Cambria" w:hAnsi="Cambria"/>
          <w:sz w:val="20"/>
          <w:szCs w:val="20"/>
        </w:rPr>
        <w:t xml:space="preserve">He added that that same day, the alleged victim was transferred to </w:t>
      </w:r>
      <w:r w:rsidR="00083FBE" w:rsidRPr="00CC39F5">
        <w:rPr>
          <w:rFonts w:ascii="Cambria" w:hAnsi="Cambria"/>
          <w:sz w:val="20"/>
          <w:szCs w:val="20"/>
        </w:rPr>
        <w:t xml:space="preserve">the Men’s </w:t>
      </w:r>
      <w:r w:rsidR="00D559E2" w:rsidRPr="00CC39F5">
        <w:rPr>
          <w:rFonts w:ascii="Cambria" w:hAnsi="Cambria"/>
          <w:sz w:val="20"/>
          <w:szCs w:val="20"/>
        </w:rPr>
        <w:t>Social Rehabilitation Center</w:t>
      </w:r>
      <w:r w:rsidR="006B32E1" w:rsidRPr="00CC39F5">
        <w:rPr>
          <w:rFonts w:ascii="Cambria" w:hAnsi="Cambria"/>
          <w:sz w:val="20"/>
          <w:szCs w:val="20"/>
        </w:rPr>
        <w:t xml:space="preserve"> No. 1</w:t>
      </w:r>
      <w:r w:rsidR="00083FBE" w:rsidRPr="00CC39F5">
        <w:rPr>
          <w:rFonts w:ascii="Cambria" w:hAnsi="Cambria"/>
          <w:sz w:val="20"/>
          <w:szCs w:val="20"/>
        </w:rPr>
        <w:t xml:space="preserve"> in Quito</w:t>
      </w:r>
      <w:r w:rsidR="006B32E1" w:rsidRPr="00CC39F5">
        <w:rPr>
          <w:rFonts w:ascii="Cambria" w:hAnsi="Cambria"/>
          <w:sz w:val="20"/>
          <w:szCs w:val="20"/>
        </w:rPr>
        <w:t xml:space="preserve"> </w:t>
      </w:r>
      <w:r w:rsidR="00D559E2" w:rsidRPr="00CC39F5">
        <w:rPr>
          <w:rFonts w:ascii="Cambria" w:hAnsi="Cambria"/>
          <w:sz w:val="20"/>
          <w:szCs w:val="20"/>
        </w:rPr>
        <w:t xml:space="preserve">and that during the ride, his eyes and </w:t>
      </w:r>
      <w:r w:rsidR="003B1628" w:rsidRPr="00CC39F5">
        <w:rPr>
          <w:rFonts w:ascii="Cambria" w:hAnsi="Cambria"/>
          <w:sz w:val="20"/>
          <w:szCs w:val="20"/>
        </w:rPr>
        <w:t>mouth were taped, and his hands were bound behind his back</w:t>
      </w:r>
      <w:r w:rsidR="006B32E1" w:rsidRPr="00CC39F5">
        <w:rPr>
          <w:rFonts w:ascii="Cambria" w:hAnsi="Cambria"/>
          <w:sz w:val="20"/>
          <w:szCs w:val="20"/>
        </w:rPr>
        <w:t xml:space="preserve">. </w:t>
      </w:r>
      <w:r w:rsidR="00083FBE" w:rsidRPr="00CC39F5">
        <w:rPr>
          <w:rFonts w:ascii="Cambria" w:hAnsi="Cambria"/>
          <w:sz w:val="20"/>
          <w:szCs w:val="20"/>
        </w:rPr>
        <w:t>The petitioner</w:t>
      </w:r>
      <w:r w:rsidR="003B1628" w:rsidRPr="00CC39F5">
        <w:rPr>
          <w:rFonts w:ascii="Cambria" w:hAnsi="Cambria"/>
          <w:sz w:val="20"/>
          <w:szCs w:val="20"/>
        </w:rPr>
        <w:t xml:space="preserve"> indicated that once</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003B1628" w:rsidRPr="00CC39F5">
        <w:rPr>
          <w:rFonts w:ascii="Cambria" w:hAnsi="Cambria"/>
          <w:sz w:val="20"/>
          <w:szCs w:val="20"/>
        </w:rPr>
        <w:t>arrived at that prison</w:t>
      </w:r>
      <w:r w:rsidR="006B32E1" w:rsidRPr="00CC39F5">
        <w:rPr>
          <w:rFonts w:ascii="Cambria" w:hAnsi="Cambria"/>
          <w:sz w:val="20"/>
          <w:szCs w:val="20"/>
        </w:rPr>
        <w:t xml:space="preserve">, </w:t>
      </w:r>
      <w:r w:rsidR="003B1628" w:rsidRPr="00CC39F5">
        <w:rPr>
          <w:rFonts w:ascii="Cambria" w:hAnsi="Cambria"/>
          <w:sz w:val="20"/>
          <w:szCs w:val="20"/>
        </w:rPr>
        <w:t>he was held incommunicado and in solitary confinement for eight days in a cell without access to anyone</w:t>
      </w:r>
      <w:r w:rsidR="006B32E1" w:rsidRPr="00CC39F5">
        <w:rPr>
          <w:rFonts w:ascii="Cambria" w:hAnsi="Cambria"/>
          <w:sz w:val="20"/>
          <w:szCs w:val="20"/>
        </w:rPr>
        <w:t xml:space="preserve">. </w:t>
      </w:r>
      <w:r w:rsidR="003B1628" w:rsidRPr="00CC39F5">
        <w:rPr>
          <w:rFonts w:ascii="Cambria" w:hAnsi="Cambria"/>
          <w:sz w:val="20"/>
          <w:szCs w:val="20"/>
        </w:rPr>
        <w:t xml:space="preserve">He added that </w:t>
      </w:r>
      <w:r w:rsidR="00083FBE" w:rsidRPr="00CC39F5">
        <w:rPr>
          <w:rFonts w:ascii="Cambria" w:hAnsi="Cambria"/>
          <w:sz w:val="20"/>
          <w:szCs w:val="20"/>
        </w:rPr>
        <w:t>the alleged victim</w:t>
      </w:r>
      <w:r w:rsidR="003B1628" w:rsidRPr="00CC39F5">
        <w:rPr>
          <w:rFonts w:ascii="Cambria" w:hAnsi="Cambria"/>
          <w:sz w:val="20"/>
          <w:szCs w:val="20"/>
        </w:rPr>
        <w:t xml:space="preserve"> was given food under the door, without any utensils</w:t>
      </w:r>
      <w:r w:rsidR="00907EDD" w:rsidRPr="00CC39F5">
        <w:rPr>
          <w:rFonts w:ascii="Cambria" w:hAnsi="Cambria"/>
          <w:sz w:val="20"/>
          <w:szCs w:val="20"/>
        </w:rPr>
        <w:t xml:space="preserve"> or toiletries, and that they banged hard on his door.</w:t>
      </w:r>
      <w:r w:rsidR="006B32E1" w:rsidRPr="00CC39F5">
        <w:rPr>
          <w:rStyle w:val="FootnoteReference"/>
          <w:rFonts w:ascii="Cambria" w:hAnsi="Cambria"/>
          <w:sz w:val="20"/>
          <w:szCs w:val="20"/>
        </w:rPr>
        <w:footnoteReference w:id="26"/>
      </w:r>
    </w:p>
    <w:p w:rsidR="006B32E1" w:rsidRPr="00CC39F5" w:rsidRDefault="006B32E1" w:rsidP="006B32E1">
      <w:pPr>
        <w:jc w:val="both"/>
        <w:rPr>
          <w:rFonts w:ascii="Cambria" w:hAnsi="Cambria"/>
          <w:sz w:val="20"/>
          <w:szCs w:val="20"/>
        </w:rPr>
      </w:pPr>
    </w:p>
    <w:p w:rsidR="006B32E1" w:rsidRPr="00CC39F5" w:rsidRDefault="00427973"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The State did not provide any documentation </w:t>
      </w:r>
      <w:r w:rsidR="00083FBE" w:rsidRPr="00CC39F5">
        <w:rPr>
          <w:rFonts w:ascii="Cambria" w:hAnsi="Cambria"/>
          <w:sz w:val="20"/>
          <w:szCs w:val="20"/>
        </w:rPr>
        <w:t xml:space="preserve">to </w:t>
      </w:r>
      <w:r w:rsidR="00C35442" w:rsidRPr="00CC39F5">
        <w:rPr>
          <w:rFonts w:ascii="Cambria" w:hAnsi="Cambria"/>
          <w:sz w:val="20"/>
          <w:szCs w:val="20"/>
        </w:rPr>
        <w:t>disprove</w:t>
      </w:r>
      <w:r w:rsidRPr="00CC39F5">
        <w:rPr>
          <w:rFonts w:ascii="Cambria" w:hAnsi="Cambria"/>
          <w:sz w:val="20"/>
          <w:szCs w:val="20"/>
        </w:rPr>
        <w:t xml:space="preserve"> that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was held</w:t>
      </w:r>
      <w:r w:rsidR="006B32E1" w:rsidRPr="00CC39F5">
        <w:rPr>
          <w:rFonts w:ascii="Cambria" w:hAnsi="Cambria"/>
          <w:sz w:val="20"/>
          <w:szCs w:val="20"/>
        </w:rPr>
        <w:t xml:space="preserve"> incom</w:t>
      </w:r>
      <w:r w:rsidRPr="00CC39F5">
        <w:rPr>
          <w:rFonts w:ascii="Cambria" w:hAnsi="Cambria"/>
          <w:sz w:val="20"/>
          <w:szCs w:val="20"/>
        </w:rPr>
        <w:t>m</w:t>
      </w:r>
      <w:r w:rsidR="006B32E1" w:rsidRPr="00CC39F5">
        <w:rPr>
          <w:rFonts w:ascii="Cambria" w:hAnsi="Cambria"/>
          <w:sz w:val="20"/>
          <w:szCs w:val="20"/>
        </w:rPr>
        <w:t xml:space="preserve">unicado. </w:t>
      </w:r>
    </w:p>
    <w:p w:rsidR="006B32E1" w:rsidRPr="00CC39F5" w:rsidRDefault="006B32E1" w:rsidP="006B32E1">
      <w:pPr>
        <w:jc w:val="both"/>
        <w:rPr>
          <w:rFonts w:ascii="Cambria" w:hAnsi="Cambria"/>
          <w:sz w:val="20"/>
          <w:szCs w:val="20"/>
        </w:rPr>
      </w:pPr>
    </w:p>
    <w:p w:rsidR="006B32E1" w:rsidRPr="00CC39F5" w:rsidRDefault="002530B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IACHR</w:t>
      </w:r>
      <w:r w:rsidR="006B32E1" w:rsidRPr="00CC39F5">
        <w:rPr>
          <w:rFonts w:ascii="Cambria" w:hAnsi="Cambria"/>
          <w:sz w:val="20"/>
          <w:szCs w:val="20"/>
        </w:rPr>
        <w:t xml:space="preserve"> </w:t>
      </w:r>
      <w:r w:rsidR="001B1850" w:rsidRPr="00CC39F5">
        <w:rPr>
          <w:rFonts w:ascii="Cambria" w:hAnsi="Cambria"/>
          <w:sz w:val="20"/>
          <w:szCs w:val="20"/>
        </w:rPr>
        <w:t xml:space="preserve">takes note that there </w:t>
      </w:r>
      <w:r w:rsidR="00554330" w:rsidRPr="00CC39F5">
        <w:rPr>
          <w:rFonts w:ascii="Cambria" w:hAnsi="Cambria"/>
          <w:sz w:val="20"/>
          <w:szCs w:val="20"/>
        </w:rPr>
        <w:t>is</w:t>
      </w:r>
      <w:r w:rsidR="001B1850" w:rsidRPr="00CC39F5">
        <w:rPr>
          <w:rFonts w:ascii="Cambria" w:hAnsi="Cambria"/>
          <w:sz w:val="20"/>
          <w:szCs w:val="20"/>
        </w:rPr>
        <w:t xml:space="preserve"> a July 11, 1992 order for remand into custody</w:t>
      </w:r>
      <w:r w:rsidR="006B32E1" w:rsidRPr="00CC39F5">
        <w:rPr>
          <w:rFonts w:ascii="Cambria" w:hAnsi="Cambria"/>
          <w:sz w:val="20"/>
          <w:szCs w:val="20"/>
        </w:rPr>
        <w:t xml:space="preserve"> </w:t>
      </w:r>
      <w:r w:rsidR="001B1850" w:rsidRPr="00CC39F5">
        <w:rPr>
          <w:rFonts w:ascii="Cambria" w:hAnsi="Cambria"/>
          <w:sz w:val="20"/>
          <w:szCs w:val="20"/>
        </w:rPr>
        <w:t xml:space="preserve">issued by the </w:t>
      </w:r>
      <w:r w:rsidR="00554330" w:rsidRPr="00CC39F5">
        <w:rPr>
          <w:rFonts w:ascii="Cambria" w:hAnsi="Cambria"/>
          <w:sz w:val="20"/>
          <w:szCs w:val="20"/>
        </w:rPr>
        <w:t xml:space="preserve">Pichincha </w:t>
      </w:r>
      <w:r w:rsidR="001B1850" w:rsidRPr="00CC39F5">
        <w:rPr>
          <w:rFonts w:ascii="Cambria" w:hAnsi="Cambria"/>
          <w:sz w:val="20"/>
          <w:szCs w:val="20"/>
        </w:rPr>
        <w:t>Police Commissioner</w:t>
      </w:r>
      <w:r w:rsidR="0084224F" w:rsidRPr="00CC39F5">
        <w:rPr>
          <w:rFonts w:ascii="Cambria" w:hAnsi="Cambria"/>
          <w:sz w:val="20"/>
          <w:szCs w:val="20"/>
        </w:rPr>
        <w:t xml:space="preserve">, which ordered the Director of the </w:t>
      </w:r>
      <w:r w:rsidR="00554330" w:rsidRPr="00CC39F5">
        <w:rPr>
          <w:rFonts w:ascii="Cambria" w:hAnsi="Cambria"/>
          <w:sz w:val="20"/>
          <w:szCs w:val="20"/>
        </w:rPr>
        <w:t xml:space="preserve">Men’s Social </w:t>
      </w:r>
      <w:r w:rsidR="0084224F" w:rsidRPr="00CC39F5">
        <w:rPr>
          <w:rFonts w:ascii="Cambria" w:hAnsi="Cambria"/>
          <w:sz w:val="20"/>
          <w:szCs w:val="20"/>
        </w:rPr>
        <w:t xml:space="preserve">Rehabilitation </w:t>
      </w:r>
      <w:r w:rsidR="00FD5A0E" w:rsidRPr="00CC39F5">
        <w:rPr>
          <w:rFonts w:ascii="Cambria" w:hAnsi="Cambria"/>
          <w:sz w:val="20"/>
          <w:szCs w:val="20"/>
        </w:rPr>
        <w:t>Center in the city of Quito to keep</w:t>
      </w:r>
      <w:r w:rsidR="006B32E1" w:rsidRPr="00CC39F5">
        <w:rPr>
          <w:rFonts w:ascii="Cambria" w:hAnsi="Cambria"/>
          <w:sz w:val="20"/>
          <w:szCs w:val="20"/>
        </w:rPr>
        <w:t xml:space="preserve"> Mario Montesinos</w:t>
      </w:r>
      <w:r w:rsidR="00FD5A0E" w:rsidRPr="00CC39F5">
        <w:rPr>
          <w:rFonts w:ascii="Cambria" w:hAnsi="Cambria"/>
          <w:sz w:val="20"/>
          <w:szCs w:val="20"/>
        </w:rPr>
        <w:t>, among others, in custody.</w:t>
      </w:r>
      <w:r w:rsidR="006B32E1" w:rsidRPr="00CC39F5">
        <w:rPr>
          <w:rStyle w:val="FootnoteReference"/>
          <w:rFonts w:ascii="Cambria" w:hAnsi="Cambria"/>
          <w:sz w:val="20"/>
          <w:szCs w:val="20"/>
        </w:rPr>
        <w:footnoteReference w:id="27"/>
      </w:r>
      <w:r w:rsidR="00554330" w:rsidRPr="00CC39F5">
        <w:rPr>
          <w:rFonts w:ascii="Cambria" w:hAnsi="Cambria"/>
          <w:sz w:val="20"/>
          <w:szCs w:val="20"/>
        </w:rPr>
        <w:t xml:space="preserve"> </w:t>
      </w:r>
      <w:r w:rsidR="00A31538" w:rsidRPr="00CC39F5">
        <w:rPr>
          <w:rFonts w:ascii="Cambria" w:hAnsi="Cambria"/>
          <w:sz w:val="20"/>
          <w:szCs w:val="20"/>
        </w:rPr>
        <w:t>The order indicates that</w:t>
      </w:r>
      <w:r w:rsidR="006B32E1" w:rsidRPr="00CC39F5">
        <w:rPr>
          <w:rFonts w:ascii="Cambria" w:hAnsi="Cambria"/>
          <w:sz w:val="20"/>
          <w:szCs w:val="20"/>
        </w:rPr>
        <w:t xml:space="preserve"> </w:t>
      </w:r>
      <w:r w:rsidR="00D87DBE" w:rsidRPr="00CC39F5">
        <w:rPr>
          <w:rFonts w:ascii="Cambria" w:hAnsi="Cambria"/>
          <w:sz w:val="20"/>
          <w:szCs w:val="20"/>
        </w:rPr>
        <w:t>Mr.</w:t>
      </w:r>
      <w:r w:rsidR="00BE292B" w:rsidRPr="00CC39F5">
        <w:rPr>
          <w:rFonts w:ascii="Cambria" w:hAnsi="Cambria"/>
          <w:sz w:val="20"/>
          <w:szCs w:val="20"/>
        </w:rPr>
        <w:t> </w:t>
      </w:r>
      <w:r w:rsidR="006B32E1" w:rsidRPr="00CC39F5">
        <w:rPr>
          <w:rFonts w:ascii="Cambria" w:hAnsi="Cambria"/>
          <w:sz w:val="20"/>
          <w:szCs w:val="20"/>
        </w:rPr>
        <w:t xml:space="preserve">Montesinos </w:t>
      </w:r>
      <w:r w:rsidR="00A033E2" w:rsidRPr="00CC39F5">
        <w:rPr>
          <w:rFonts w:ascii="Cambria" w:hAnsi="Cambria"/>
          <w:sz w:val="20"/>
          <w:szCs w:val="20"/>
        </w:rPr>
        <w:t xml:space="preserve">was being prosecuted for the crime of conversion and transfer of </w:t>
      </w:r>
      <w:r w:rsidR="00BE292B" w:rsidRPr="00CC39F5">
        <w:rPr>
          <w:rFonts w:ascii="Cambria" w:hAnsi="Cambria"/>
          <w:sz w:val="20"/>
          <w:szCs w:val="20"/>
        </w:rPr>
        <w:t>assets</w:t>
      </w:r>
      <w:r w:rsidR="00A033E2" w:rsidRPr="00CC39F5">
        <w:rPr>
          <w:rFonts w:ascii="Cambria" w:hAnsi="Cambria"/>
          <w:sz w:val="20"/>
          <w:szCs w:val="20"/>
        </w:rPr>
        <w:t>.</w:t>
      </w:r>
      <w:r w:rsidR="006B32E1" w:rsidRPr="00CC39F5">
        <w:rPr>
          <w:rStyle w:val="FootnoteReference"/>
          <w:rFonts w:ascii="Cambria" w:hAnsi="Cambria"/>
          <w:sz w:val="20"/>
          <w:szCs w:val="20"/>
        </w:rPr>
        <w:footnoteReference w:id="28"/>
      </w:r>
      <w:r w:rsidR="006B32E1" w:rsidRPr="00CC39F5">
        <w:rPr>
          <w:rFonts w:ascii="Cambria" w:hAnsi="Cambria"/>
          <w:sz w:val="20"/>
          <w:szCs w:val="20"/>
        </w:rPr>
        <w:t xml:space="preserve"> </w:t>
      </w:r>
      <w:r w:rsidRPr="00CC39F5">
        <w:rPr>
          <w:rFonts w:ascii="Cambria" w:hAnsi="Cambria"/>
          <w:sz w:val="20"/>
          <w:szCs w:val="20"/>
        </w:rPr>
        <w:t>The IACHR</w:t>
      </w:r>
      <w:r w:rsidR="006B32E1" w:rsidRPr="00CC39F5">
        <w:rPr>
          <w:rFonts w:ascii="Cambria" w:hAnsi="Cambria"/>
          <w:sz w:val="20"/>
          <w:szCs w:val="20"/>
        </w:rPr>
        <w:t xml:space="preserve"> </w:t>
      </w:r>
      <w:r w:rsidR="00B92E44" w:rsidRPr="00CC39F5">
        <w:rPr>
          <w:rFonts w:ascii="Cambria" w:hAnsi="Cambria"/>
          <w:sz w:val="20"/>
          <w:szCs w:val="20"/>
        </w:rPr>
        <w:t>notes that the order does not indicate the reasons for which the alleged victim was placed in pretrial detention</w:t>
      </w:r>
      <w:r w:rsidR="006B32E1" w:rsidRPr="00CC39F5">
        <w:rPr>
          <w:rFonts w:ascii="Cambria" w:hAnsi="Cambria"/>
          <w:sz w:val="20"/>
          <w:szCs w:val="20"/>
        </w:rPr>
        <w:t>.</w:t>
      </w:r>
      <w:r w:rsidR="00337769" w:rsidRPr="00CC39F5">
        <w:rPr>
          <w:rFonts w:ascii="Cambria" w:hAnsi="Cambria"/>
          <w:sz w:val="20"/>
          <w:szCs w:val="20"/>
        </w:rPr>
        <w:t xml:space="preserve"> T</w:t>
      </w:r>
      <w:r w:rsidR="006346D2" w:rsidRPr="00CC39F5">
        <w:rPr>
          <w:rFonts w:ascii="Cambria" w:hAnsi="Cambria"/>
          <w:sz w:val="20"/>
          <w:szCs w:val="20"/>
        </w:rPr>
        <w:t>he Commission</w:t>
      </w:r>
      <w:r w:rsidR="00337769" w:rsidRPr="00CC39F5">
        <w:rPr>
          <w:rFonts w:ascii="Cambria" w:hAnsi="Cambria"/>
          <w:sz w:val="20"/>
          <w:szCs w:val="20"/>
        </w:rPr>
        <w:t xml:space="preserve"> also </w:t>
      </w:r>
      <w:r w:rsidR="00973CA8" w:rsidRPr="00CC39F5">
        <w:rPr>
          <w:rFonts w:ascii="Cambria" w:hAnsi="Cambria"/>
          <w:sz w:val="20"/>
          <w:szCs w:val="20"/>
        </w:rPr>
        <w:t>takes note</w:t>
      </w:r>
      <w:r w:rsidR="00337769" w:rsidRPr="00CC39F5">
        <w:rPr>
          <w:rFonts w:ascii="Cambria" w:hAnsi="Cambria"/>
          <w:sz w:val="20"/>
          <w:szCs w:val="20"/>
        </w:rPr>
        <w:t xml:space="preserve"> that the petitioner claimed that that order was</w:t>
      </w:r>
      <w:r w:rsidR="007A7209" w:rsidRPr="00CC39F5">
        <w:rPr>
          <w:rFonts w:ascii="Cambria" w:hAnsi="Cambria"/>
          <w:sz w:val="20"/>
          <w:szCs w:val="20"/>
        </w:rPr>
        <w:t xml:space="preserve"> really</w:t>
      </w:r>
      <w:r w:rsidR="00337769" w:rsidRPr="00CC39F5">
        <w:rPr>
          <w:rFonts w:ascii="Cambria" w:hAnsi="Cambria"/>
          <w:sz w:val="20"/>
          <w:szCs w:val="20"/>
        </w:rPr>
        <w:t xml:space="preserve"> issued on July 31, 1992</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337769"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lastRenderedPageBreak/>
        <w:t>On August 13,</w:t>
      </w:r>
      <w:r w:rsidR="006B32E1" w:rsidRPr="00CC39F5">
        <w:rPr>
          <w:rFonts w:ascii="Cambria" w:hAnsi="Cambria"/>
          <w:sz w:val="20"/>
          <w:szCs w:val="20"/>
        </w:rPr>
        <w:t xml:space="preserve"> 1992</w:t>
      </w:r>
      <w:r w:rsidRPr="00CC39F5">
        <w:rPr>
          <w:rFonts w:ascii="Cambria" w:hAnsi="Cambria"/>
          <w:sz w:val="20"/>
          <w:szCs w:val="20"/>
        </w:rPr>
        <w:t xml:space="preserve"> the </w:t>
      </w:r>
      <w:r w:rsidR="0045326F" w:rsidRPr="00CC39F5">
        <w:rPr>
          <w:rFonts w:ascii="Cambria" w:hAnsi="Cambria"/>
          <w:sz w:val="20"/>
          <w:szCs w:val="20"/>
        </w:rPr>
        <w:t>First Judge of the C</w:t>
      </w:r>
      <w:r w:rsidRPr="00CC39F5">
        <w:rPr>
          <w:rFonts w:ascii="Cambria" w:hAnsi="Cambria"/>
          <w:sz w:val="20"/>
          <w:szCs w:val="20"/>
        </w:rPr>
        <w:t xml:space="preserve">riminal Court issued </w:t>
      </w:r>
      <w:r w:rsidR="00973CA8" w:rsidRPr="00CC39F5">
        <w:rPr>
          <w:rFonts w:ascii="Cambria" w:hAnsi="Cambria"/>
          <w:sz w:val="20"/>
          <w:szCs w:val="20"/>
        </w:rPr>
        <w:t>a</w:t>
      </w:r>
      <w:r w:rsidR="006829EA" w:rsidRPr="00CC39F5">
        <w:rPr>
          <w:rFonts w:ascii="Cambria" w:hAnsi="Cambria"/>
          <w:sz w:val="20"/>
          <w:szCs w:val="20"/>
        </w:rPr>
        <w:t>n order for</w:t>
      </w:r>
      <w:r w:rsidR="00973CA8" w:rsidRPr="00CC39F5">
        <w:rPr>
          <w:rFonts w:ascii="Cambria" w:hAnsi="Cambria"/>
          <w:sz w:val="20"/>
          <w:szCs w:val="20"/>
        </w:rPr>
        <w:t xml:space="preserve"> remand</w:t>
      </w:r>
      <w:r w:rsidR="006829EA" w:rsidRPr="00CC39F5">
        <w:rPr>
          <w:rFonts w:ascii="Cambria" w:hAnsi="Cambria"/>
          <w:sz w:val="20"/>
          <w:szCs w:val="20"/>
        </w:rPr>
        <w:t xml:space="preserve"> into custody</w:t>
      </w:r>
      <w:r w:rsidR="00973CA8" w:rsidRPr="00CC39F5">
        <w:rPr>
          <w:rFonts w:ascii="Cambria" w:hAnsi="Cambria"/>
          <w:sz w:val="20"/>
          <w:szCs w:val="20"/>
        </w:rPr>
        <w:t>,</w:t>
      </w:r>
      <w:r w:rsidRPr="00CC39F5">
        <w:rPr>
          <w:rFonts w:ascii="Cambria" w:hAnsi="Cambria"/>
          <w:sz w:val="20"/>
          <w:szCs w:val="20"/>
        </w:rPr>
        <w:t xml:space="preserve"> </w:t>
      </w:r>
      <w:r w:rsidR="00E54C28" w:rsidRPr="00CC39F5">
        <w:rPr>
          <w:rFonts w:ascii="Cambria" w:hAnsi="Cambria"/>
          <w:sz w:val="20"/>
          <w:szCs w:val="20"/>
        </w:rPr>
        <w:t>imposing</w:t>
      </w:r>
      <w:r w:rsidR="00484FE0" w:rsidRPr="00CC39F5">
        <w:rPr>
          <w:rFonts w:ascii="Cambria" w:hAnsi="Cambria"/>
          <w:sz w:val="20"/>
          <w:szCs w:val="20"/>
        </w:rPr>
        <w:t xml:space="preserve"> pretrial detention </w:t>
      </w:r>
      <w:r w:rsidR="00E54C28" w:rsidRPr="00CC39F5">
        <w:rPr>
          <w:rFonts w:ascii="Cambria" w:hAnsi="Cambria"/>
          <w:sz w:val="20"/>
          <w:szCs w:val="20"/>
        </w:rPr>
        <w:t>on</w:t>
      </w:r>
      <w:r w:rsidRPr="00CC39F5">
        <w:rPr>
          <w:rFonts w:ascii="Cambria" w:hAnsi="Cambria"/>
          <w:sz w:val="20"/>
          <w:szCs w:val="20"/>
        </w:rPr>
        <w:t xml:space="preserve"> Mr. Montesinos</w:t>
      </w:r>
      <w:r w:rsidR="006B32E1" w:rsidRPr="00CC39F5">
        <w:rPr>
          <w:rFonts w:ascii="Cambria" w:hAnsi="Cambria"/>
          <w:sz w:val="20"/>
          <w:szCs w:val="20"/>
        </w:rPr>
        <w:t xml:space="preserve"> </w:t>
      </w:r>
      <w:r w:rsidR="00E54C28" w:rsidRPr="00CC39F5">
        <w:rPr>
          <w:rFonts w:ascii="Cambria" w:hAnsi="Cambria"/>
          <w:sz w:val="20"/>
          <w:szCs w:val="20"/>
        </w:rPr>
        <w:t>pursuant to</w:t>
      </w:r>
      <w:r w:rsidR="00484FE0" w:rsidRPr="00CC39F5">
        <w:rPr>
          <w:rFonts w:ascii="Cambria" w:hAnsi="Cambria"/>
          <w:sz w:val="20"/>
          <w:szCs w:val="20"/>
        </w:rPr>
        <w:t xml:space="preserve"> Article</w:t>
      </w:r>
      <w:r w:rsidR="006B32E1" w:rsidRPr="00CC39F5">
        <w:rPr>
          <w:rFonts w:ascii="Cambria" w:hAnsi="Cambria"/>
          <w:sz w:val="20"/>
          <w:szCs w:val="20"/>
        </w:rPr>
        <w:t xml:space="preserve"> 177 </w:t>
      </w:r>
      <w:r w:rsidR="00484FE0" w:rsidRPr="00CC39F5">
        <w:rPr>
          <w:rFonts w:ascii="Cambria" w:hAnsi="Cambria"/>
          <w:sz w:val="20"/>
          <w:szCs w:val="20"/>
        </w:rPr>
        <w:t>of the Code of Criminal Procedure.</w:t>
      </w:r>
      <w:r w:rsidR="006B32E1" w:rsidRPr="00CC39F5">
        <w:rPr>
          <w:rStyle w:val="FootnoteReference"/>
          <w:rFonts w:ascii="Cambria" w:hAnsi="Cambria"/>
          <w:sz w:val="20"/>
          <w:szCs w:val="20"/>
        </w:rPr>
        <w:footnoteReference w:id="29"/>
      </w:r>
    </w:p>
    <w:p w:rsidR="006B32E1" w:rsidRPr="00CC39F5" w:rsidRDefault="006B32E1" w:rsidP="006B32E1">
      <w:pPr>
        <w:pStyle w:val="ColorfulList-Accent11"/>
        <w:ind w:left="0"/>
        <w:rPr>
          <w:sz w:val="20"/>
          <w:szCs w:val="20"/>
        </w:rPr>
      </w:pPr>
    </w:p>
    <w:p w:rsidR="006B32E1" w:rsidRPr="00CC39F5" w:rsidRDefault="00484FE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November 17 and 30,</w:t>
      </w:r>
      <w:r w:rsidR="006B32E1" w:rsidRPr="00CC39F5">
        <w:rPr>
          <w:rFonts w:ascii="Cambria" w:hAnsi="Cambria"/>
          <w:sz w:val="20"/>
          <w:szCs w:val="20"/>
        </w:rPr>
        <w:t xml:space="preserve"> 1994</w:t>
      </w:r>
      <w:r w:rsidRPr="00CC39F5">
        <w:rPr>
          <w:rFonts w:ascii="Cambria" w:hAnsi="Cambria"/>
          <w:sz w:val="20"/>
          <w:szCs w:val="20"/>
        </w:rPr>
        <w:t xml:space="preserve"> Mr.</w:t>
      </w:r>
      <w:r w:rsidR="006B32E1" w:rsidRPr="00CC39F5">
        <w:rPr>
          <w:rFonts w:ascii="Cambria" w:hAnsi="Cambria"/>
          <w:sz w:val="20"/>
          <w:szCs w:val="20"/>
        </w:rPr>
        <w:t xml:space="preserve"> Montesinos</w:t>
      </w:r>
      <w:r w:rsidRPr="00CC39F5">
        <w:rPr>
          <w:rFonts w:ascii="Cambria" w:hAnsi="Cambria"/>
          <w:sz w:val="20"/>
          <w:szCs w:val="20"/>
        </w:rPr>
        <w:t>’ defense team asked the Superior Court of Justice of Quito</w:t>
      </w:r>
      <w:r w:rsidR="006B32E1" w:rsidRPr="00CC39F5">
        <w:rPr>
          <w:rFonts w:ascii="Cambria" w:hAnsi="Cambria"/>
          <w:sz w:val="20"/>
          <w:szCs w:val="20"/>
        </w:rPr>
        <w:t xml:space="preserve"> </w:t>
      </w:r>
      <w:r w:rsidR="00767C9D" w:rsidRPr="00CC39F5">
        <w:rPr>
          <w:rFonts w:ascii="Cambria" w:hAnsi="Cambria"/>
          <w:sz w:val="20"/>
          <w:szCs w:val="20"/>
        </w:rPr>
        <w:t>to revoke the pretrial detention.</w:t>
      </w:r>
      <w:r w:rsidR="006B32E1" w:rsidRPr="00CC39F5">
        <w:rPr>
          <w:rStyle w:val="FootnoteReference"/>
          <w:rFonts w:ascii="Cambria" w:hAnsi="Cambria"/>
          <w:sz w:val="20"/>
          <w:szCs w:val="20"/>
        </w:rPr>
        <w:footnoteReference w:id="30"/>
      </w:r>
      <w:r w:rsidR="006B32E1" w:rsidRPr="00CC39F5">
        <w:rPr>
          <w:rFonts w:ascii="Cambria" w:hAnsi="Cambria"/>
          <w:sz w:val="20"/>
          <w:szCs w:val="20"/>
        </w:rPr>
        <w:t xml:space="preserve"> </w:t>
      </w:r>
      <w:r w:rsidR="00996B41" w:rsidRPr="00CC39F5">
        <w:rPr>
          <w:rFonts w:ascii="Cambria" w:hAnsi="Cambria"/>
          <w:sz w:val="20"/>
          <w:szCs w:val="20"/>
        </w:rPr>
        <w:t>The petitioner claimed that those requests never received a response</w:t>
      </w:r>
      <w:r w:rsidR="006B32E1" w:rsidRPr="00CC39F5">
        <w:rPr>
          <w:rFonts w:ascii="Cambria" w:hAnsi="Cambria"/>
          <w:sz w:val="20"/>
          <w:szCs w:val="20"/>
        </w:rPr>
        <w:t xml:space="preserve">. </w:t>
      </w:r>
      <w:r w:rsidR="00996B41" w:rsidRPr="00CC39F5">
        <w:rPr>
          <w:rFonts w:ascii="Cambria" w:hAnsi="Cambria"/>
          <w:sz w:val="20"/>
          <w:szCs w:val="20"/>
        </w:rPr>
        <w:t>The State did not contest that information, nor did it furnish documentation to the contrary.</w:t>
      </w:r>
      <w:r w:rsidR="006B32E1" w:rsidRPr="00CC39F5">
        <w:rPr>
          <w:rStyle w:val="FootnoteReference"/>
          <w:rFonts w:ascii="Cambria" w:hAnsi="Cambria"/>
          <w:sz w:val="20"/>
          <w:szCs w:val="20"/>
        </w:rPr>
        <w:footnoteReference w:id="31"/>
      </w:r>
    </w:p>
    <w:p w:rsidR="006B32E1" w:rsidRPr="00CC39F5" w:rsidRDefault="006B32E1" w:rsidP="006B32E1">
      <w:pPr>
        <w:pStyle w:val="ColorfulList-Accent11"/>
        <w:rPr>
          <w:sz w:val="20"/>
          <w:szCs w:val="20"/>
        </w:rPr>
      </w:pPr>
    </w:p>
    <w:p w:rsidR="006B32E1" w:rsidRPr="00CC39F5" w:rsidRDefault="00996B41"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October 13,</w:t>
      </w:r>
      <w:r w:rsidR="006B32E1" w:rsidRPr="00CC39F5">
        <w:rPr>
          <w:rFonts w:ascii="Cambria" w:hAnsi="Cambria"/>
          <w:sz w:val="20"/>
          <w:szCs w:val="20"/>
        </w:rPr>
        <w:t xml:space="preserve"> 1995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sent a communication to the Supreme Court of Justice, challenging the length of his pretrial detention and the criminal prosecution against him.</w:t>
      </w:r>
      <w:r w:rsidR="006B32E1" w:rsidRPr="00CC39F5">
        <w:rPr>
          <w:rStyle w:val="FootnoteReference"/>
          <w:rFonts w:ascii="Cambria" w:hAnsi="Cambria"/>
          <w:sz w:val="20"/>
          <w:szCs w:val="20"/>
        </w:rPr>
        <w:footnoteReference w:id="32"/>
      </w:r>
      <w:r w:rsidRPr="00CC39F5">
        <w:rPr>
          <w:rFonts w:ascii="Cambria" w:hAnsi="Cambria"/>
          <w:sz w:val="20"/>
          <w:szCs w:val="20"/>
        </w:rPr>
        <w:t xml:space="preserve"> </w:t>
      </w:r>
      <w:r w:rsidR="000B3C89" w:rsidRPr="00CC39F5">
        <w:rPr>
          <w:rFonts w:ascii="Cambria" w:hAnsi="Cambria"/>
          <w:sz w:val="20"/>
          <w:szCs w:val="20"/>
        </w:rPr>
        <w:t xml:space="preserve">He also alleged deplorable conditions at </w:t>
      </w:r>
      <w:r w:rsidR="00973CA8" w:rsidRPr="00CC39F5">
        <w:rPr>
          <w:rFonts w:ascii="Cambria" w:hAnsi="Cambria"/>
          <w:sz w:val="20"/>
          <w:szCs w:val="20"/>
        </w:rPr>
        <w:t>“</w:t>
      </w:r>
      <w:r w:rsidR="000B3C89" w:rsidRPr="00CC39F5">
        <w:rPr>
          <w:rFonts w:ascii="Cambria" w:hAnsi="Cambria"/>
          <w:sz w:val="20"/>
          <w:szCs w:val="20"/>
        </w:rPr>
        <w:t>Social Rehabilitation Center No.</w:t>
      </w:r>
      <w:r w:rsidR="006B32E1" w:rsidRPr="00CC39F5">
        <w:rPr>
          <w:rFonts w:ascii="Cambria" w:hAnsi="Cambria"/>
          <w:sz w:val="20"/>
          <w:szCs w:val="20"/>
        </w:rPr>
        <w:t xml:space="preserve"> 1</w:t>
      </w:r>
      <w:r w:rsidR="00973CA8" w:rsidRPr="00CC39F5">
        <w:rPr>
          <w:rFonts w:ascii="Cambria" w:hAnsi="Cambria"/>
          <w:sz w:val="20"/>
          <w:szCs w:val="20"/>
        </w:rPr>
        <w:t xml:space="preserve"> in Quito</w:t>
      </w:r>
      <w:r w:rsidR="000B3C89" w:rsidRPr="00CC39F5">
        <w:rPr>
          <w:rFonts w:ascii="Cambria" w:hAnsi="Cambria"/>
          <w:sz w:val="20"/>
          <w:szCs w:val="20"/>
        </w:rPr>
        <w:t>.”</w:t>
      </w:r>
    </w:p>
    <w:p w:rsidR="006B32E1" w:rsidRPr="00CC39F5" w:rsidRDefault="006B32E1" w:rsidP="006B32E1">
      <w:pPr>
        <w:pStyle w:val="ColorfulList-Accent11"/>
        <w:rPr>
          <w:sz w:val="20"/>
          <w:szCs w:val="20"/>
        </w:rPr>
      </w:pPr>
    </w:p>
    <w:p w:rsidR="006B32E1" w:rsidRPr="00CC39F5" w:rsidRDefault="006346D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Commission</w:t>
      </w:r>
      <w:r w:rsidR="006B32E1" w:rsidRPr="00CC39F5">
        <w:rPr>
          <w:rFonts w:ascii="Cambria" w:hAnsi="Cambria"/>
          <w:sz w:val="20"/>
          <w:szCs w:val="20"/>
        </w:rPr>
        <w:t xml:space="preserve"> </w:t>
      </w:r>
      <w:r w:rsidR="00674DFE" w:rsidRPr="00CC39F5">
        <w:rPr>
          <w:rFonts w:ascii="Cambria" w:hAnsi="Cambria"/>
          <w:sz w:val="20"/>
          <w:szCs w:val="20"/>
        </w:rPr>
        <w:t>has no information about the date</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00674DFE" w:rsidRPr="00CC39F5">
        <w:rPr>
          <w:rFonts w:ascii="Cambria" w:hAnsi="Cambria"/>
          <w:sz w:val="20"/>
          <w:szCs w:val="20"/>
        </w:rPr>
        <w:t>was released</w:t>
      </w:r>
      <w:r w:rsidR="006B32E1" w:rsidRPr="00CC39F5">
        <w:rPr>
          <w:rFonts w:ascii="Cambria" w:hAnsi="Cambria"/>
          <w:sz w:val="20"/>
          <w:szCs w:val="20"/>
        </w:rPr>
        <w:t xml:space="preserve">.  </w:t>
      </w:r>
    </w:p>
    <w:p w:rsidR="006B32E1" w:rsidRPr="00CC39F5" w:rsidRDefault="006B32E1" w:rsidP="006B32E1">
      <w:pPr>
        <w:pStyle w:val="ColorfulList-Accent11"/>
        <w:rPr>
          <w:sz w:val="20"/>
          <w:szCs w:val="20"/>
        </w:rPr>
      </w:pPr>
    </w:p>
    <w:p w:rsidR="006B32E1" w:rsidRPr="00CC39F5" w:rsidRDefault="005807F0" w:rsidP="003D4DF4">
      <w:pPr>
        <w:pStyle w:val="ColorfulList-Accent11"/>
        <w:numPr>
          <w:ilvl w:val="0"/>
          <w:numId w:val="60"/>
        </w:numPr>
        <w:ind w:firstLine="0"/>
        <w:rPr>
          <w:b/>
          <w:sz w:val="20"/>
          <w:szCs w:val="20"/>
        </w:rPr>
      </w:pPr>
      <w:r w:rsidRPr="00CC39F5">
        <w:rPr>
          <w:b/>
          <w:sz w:val="20"/>
          <w:szCs w:val="20"/>
        </w:rPr>
        <w:t>T</w:t>
      </w:r>
      <w:r w:rsidR="008D6C8E" w:rsidRPr="00CC39F5">
        <w:rPr>
          <w:b/>
          <w:sz w:val="20"/>
          <w:szCs w:val="20"/>
        </w:rPr>
        <w:t>he</w:t>
      </w:r>
      <w:r w:rsidR="005E6F50" w:rsidRPr="00CC39F5">
        <w:rPr>
          <w:b/>
          <w:sz w:val="20"/>
          <w:szCs w:val="20"/>
        </w:rPr>
        <w:t xml:space="preserve"> criminal p</w:t>
      </w:r>
      <w:r w:rsidR="00075DF3" w:rsidRPr="00CC39F5">
        <w:rPr>
          <w:b/>
          <w:sz w:val="20"/>
          <w:szCs w:val="20"/>
        </w:rPr>
        <w:t>roceedings</w:t>
      </w:r>
    </w:p>
    <w:p w:rsidR="006B32E1" w:rsidRPr="00CC39F5" w:rsidRDefault="006B32E1" w:rsidP="006B32E1">
      <w:pPr>
        <w:pStyle w:val="ColorfulList-Accent11"/>
        <w:rPr>
          <w:sz w:val="20"/>
          <w:szCs w:val="20"/>
        </w:rPr>
      </w:pPr>
    </w:p>
    <w:p w:rsidR="006B32E1" w:rsidRPr="00CC39F5" w:rsidRDefault="00D9156C"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sz w:val="20"/>
          <w:szCs w:val="20"/>
        </w:rPr>
        <w:t>The case file reveals that three criminal cases were brought against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for the following offenses:</w:t>
      </w:r>
      <w:r w:rsidR="006B32E1" w:rsidRPr="00CC39F5">
        <w:rPr>
          <w:rFonts w:ascii="Cambria" w:hAnsi="Cambria"/>
          <w:sz w:val="20"/>
          <w:szCs w:val="20"/>
        </w:rPr>
        <w:t xml:space="preserve"> </w:t>
      </w:r>
      <w:r w:rsidR="006C101A" w:rsidRPr="00CC39F5">
        <w:rPr>
          <w:rFonts w:ascii="Cambria" w:hAnsi="Cambria"/>
          <w:sz w:val="20"/>
          <w:szCs w:val="20"/>
        </w:rPr>
        <w:t>(</w:t>
      </w:r>
      <w:r w:rsidR="00D016E8" w:rsidRPr="00CC39F5">
        <w:rPr>
          <w:rFonts w:ascii="Cambria" w:hAnsi="Cambria"/>
          <w:sz w:val="20"/>
          <w:szCs w:val="20"/>
        </w:rPr>
        <w:t>i) I</w:t>
      </w:r>
      <w:r w:rsidR="0084091E" w:rsidRPr="00CC39F5">
        <w:rPr>
          <w:rFonts w:ascii="Cambria" w:hAnsi="Cambria"/>
          <w:sz w:val="20"/>
          <w:szCs w:val="20"/>
        </w:rPr>
        <w:t>llicit</w:t>
      </w:r>
      <w:r w:rsidR="006C101A" w:rsidRPr="00CC39F5">
        <w:rPr>
          <w:rFonts w:ascii="Cambria" w:hAnsi="Cambria"/>
          <w:sz w:val="20"/>
          <w:szCs w:val="20"/>
        </w:rPr>
        <w:t xml:space="preserve"> enrichment</w:t>
      </w:r>
      <w:r w:rsidR="006B32E1" w:rsidRPr="00CC39F5">
        <w:rPr>
          <w:rFonts w:ascii="Cambria" w:hAnsi="Cambria"/>
          <w:sz w:val="20"/>
          <w:szCs w:val="20"/>
        </w:rPr>
        <w:t xml:space="preserve">; </w:t>
      </w:r>
      <w:r w:rsidR="006C101A" w:rsidRPr="00CC39F5">
        <w:rPr>
          <w:rFonts w:ascii="Cambria" w:hAnsi="Cambria"/>
          <w:sz w:val="20"/>
          <w:szCs w:val="20"/>
        </w:rPr>
        <w:t>(</w:t>
      </w:r>
      <w:r w:rsidR="00723976" w:rsidRPr="00CC39F5">
        <w:rPr>
          <w:rFonts w:ascii="Cambria" w:hAnsi="Cambria"/>
          <w:sz w:val="20"/>
          <w:szCs w:val="20"/>
        </w:rPr>
        <w:t>ii) </w:t>
      </w:r>
      <w:r w:rsidRPr="00CC39F5">
        <w:rPr>
          <w:rFonts w:ascii="Cambria" w:hAnsi="Cambria"/>
          <w:sz w:val="20"/>
          <w:szCs w:val="20"/>
        </w:rPr>
        <w:t xml:space="preserve">conversion and transfer of </w:t>
      </w:r>
      <w:r w:rsidR="00ED554E" w:rsidRPr="00CC39F5">
        <w:rPr>
          <w:rFonts w:ascii="Cambria" w:hAnsi="Cambria"/>
          <w:sz w:val="20"/>
          <w:szCs w:val="20"/>
        </w:rPr>
        <w:t>assets</w:t>
      </w:r>
      <w:r w:rsidR="00723976" w:rsidRPr="00CC39F5">
        <w:rPr>
          <w:rFonts w:ascii="Cambria" w:hAnsi="Cambria"/>
          <w:sz w:val="20"/>
          <w:szCs w:val="20"/>
        </w:rPr>
        <w:t>; and</w:t>
      </w:r>
      <w:r w:rsidR="006B32E1" w:rsidRPr="00CC39F5">
        <w:rPr>
          <w:rFonts w:ascii="Cambria" w:hAnsi="Cambria"/>
          <w:sz w:val="20"/>
          <w:szCs w:val="20"/>
        </w:rPr>
        <w:t xml:space="preserve"> </w:t>
      </w:r>
      <w:r w:rsidRPr="00CC39F5">
        <w:rPr>
          <w:rFonts w:ascii="Cambria" w:hAnsi="Cambria"/>
          <w:sz w:val="20"/>
          <w:szCs w:val="20"/>
        </w:rPr>
        <w:t>(</w:t>
      </w:r>
      <w:r w:rsidR="00723976" w:rsidRPr="00CC39F5">
        <w:rPr>
          <w:rFonts w:ascii="Cambria" w:hAnsi="Cambria"/>
          <w:sz w:val="20"/>
          <w:szCs w:val="20"/>
        </w:rPr>
        <w:t>iii) </w:t>
      </w:r>
      <w:r w:rsidR="008D6C8E" w:rsidRPr="00CC39F5">
        <w:rPr>
          <w:rFonts w:ascii="Cambria" w:hAnsi="Cambria"/>
          <w:sz w:val="20"/>
          <w:szCs w:val="20"/>
        </w:rPr>
        <w:t>engaging in front operations</w:t>
      </w:r>
      <w:r w:rsidR="00723976" w:rsidRPr="00CC39F5">
        <w:rPr>
          <w:rFonts w:ascii="Cambria" w:hAnsi="Cambria"/>
          <w:sz w:val="20"/>
          <w:szCs w:val="20"/>
        </w:rPr>
        <w:t>.</w:t>
      </w:r>
      <w:r w:rsidR="006B32E1" w:rsidRPr="00CC39F5">
        <w:rPr>
          <w:rStyle w:val="FootnoteReference"/>
          <w:rFonts w:ascii="Cambria" w:hAnsi="Cambria"/>
          <w:sz w:val="20"/>
          <w:szCs w:val="20"/>
        </w:rPr>
        <w:footnoteReference w:id="33"/>
      </w:r>
      <w:r w:rsidR="006B32E1" w:rsidRPr="00CC39F5">
        <w:rPr>
          <w:rFonts w:ascii="Cambria" w:hAnsi="Cambria"/>
          <w:sz w:val="20"/>
          <w:szCs w:val="20"/>
        </w:rPr>
        <w:t xml:space="preserve"> </w:t>
      </w:r>
      <w:r w:rsidR="00723976" w:rsidRPr="00CC39F5">
        <w:rPr>
          <w:rFonts w:ascii="Cambria" w:hAnsi="Cambria"/>
          <w:sz w:val="20"/>
          <w:szCs w:val="20"/>
        </w:rPr>
        <w:t xml:space="preserve">The </w:t>
      </w:r>
      <w:r w:rsidR="00664E11" w:rsidRPr="00CC39F5">
        <w:rPr>
          <w:rFonts w:ascii="Cambria" w:hAnsi="Cambria"/>
          <w:sz w:val="20"/>
          <w:szCs w:val="20"/>
        </w:rPr>
        <w:t>orders to initiate proceedings</w:t>
      </w:r>
      <w:r w:rsidR="00723976" w:rsidRPr="00CC39F5">
        <w:rPr>
          <w:rFonts w:ascii="Cambria" w:hAnsi="Cambria"/>
          <w:sz w:val="20"/>
          <w:szCs w:val="20"/>
        </w:rPr>
        <w:t xml:space="preserve"> </w:t>
      </w:r>
      <w:r w:rsidR="00E3491F" w:rsidRPr="00CC39F5">
        <w:rPr>
          <w:rFonts w:ascii="Cambria" w:hAnsi="Cambria"/>
          <w:sz w:val="20"/>
          <w:szCs w:val="20"/>
        </w:rPr>
        <w:t>for the first two charges</w:t>
      </w:r>
      <w:r w:rsidR="00723976" w:rsidRPr="00CC39F5">
        <w:rPr>
          <w:rFonts w:ascii="Cambria" w:hAnsi="Cambria"/>
          <w:sz w:val="20"/>
          <w:szCs w:val="20"/>
        </w:rPr>
        <w:t xml:space="preserve"> were issued on November 30,</w:t>
      </w:r>
      <w:r w:rsidR="006B32E1" w:rsidRPr="00CC39F5">
        <w:rPr>
          <w:rFonts w:ascii="Cambria" w:hAnsi="Cambria"/>
          <w:sz w:val="20"/>
          <w:szCs w:val="20"/>
        </w:rPr>
        <w:t xml:space="preserve"> 1992, </w:t>
      </w:r>
      <w:r w:rsidR="00E3491F" w:rsidRPr="00CC39F5">
        <w:rPr>
          <w:rFonts w:ascii="Cambria" w:hAnsi="Cambria"/>
          <w:sz w:val="20"/>
          <w:szCs w:val="20"/>
        </w:rPr>
        <w:t xml:space="preserve">while the </w:t>
      </w:r>
      <w:r w:rsidR="00664E11" w:rsidRPr="00CC39F5">
        <w:rPr>
          <w:rFonts w:ascii="Cambria" w:hAnsi="Cambria"/>
          <w:sz w:val="20"/>
          <w:szCs w:val="20"/>
        </w:rPr>
        <w:t>order</w:t>
      </w:r>
      <w:r w:rsidR="00E3491F" w:rsidRPr="00CC39F5">
        <w:rPr>
          <w:rFonts w:ascii="Cambria" w:hAnsi="Cambria"/>
          <w:sz w:val="20"/>
          <w:szCs w:val="20"/>
        </w:rPr>
        <w:t xml:space="preserve"> for the third charge was issued on November 18, 1992</w:t>
      </w:r>
      <w:r w:rsidR="006C101A" w:rsidRPr="00CC39F5">
        <w:rPr>
          <w:rFonts w:ascii="Cambria" w:hAnsi="Cambria"/>
          <w:sz w:val="20"/>
          <w:szCs w:val="20"/>
        </w:rPr>
        <w:t>.</w:t>
      </w:r>
      <w:r w:rsidR="006B32E1" w:rsidRPr="00CC39F5">
        <w:rPr>
          <w:rStyle w:val="FootnoteReference"/>
          <w:rFonts w:ascii="Cambria" w:hAnsi="Cambria"/>
          <w:sz w:val="20"/>
          <w:szCs w:val="20"/>
        </w:rPr>
        <w:footnoteReference w:id="34"/>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rPr>
      </w:pPr>
    </w:p>
    <w:p w:rsidR="006B32E1" w:rsidRPr="00CC39F5" w:rsidRDefault="002530B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The IACHR</w:t>
      </w:r>
      <w:r w:rsidR="006B32E1" w:rsidRPr="00CC39F5">
        <w:rPr>
          <w:rFonts w:ascii="Cambria" w:hAnsi="Cambria"/>
          <w:sz w:val="20"/>
          <w:szCs w:val="20"/>
        </w:rPr>
        <w:t xml:space="preserve"> </w:t>
      </w:r>
      <w:r w:rsidR="00F10D4D" w:rsidRPr="00CC39F5">
        <w:rPr>
          <w:rFonts w:ascii="Cambria" w:hAnsi="Cambria"/>
          <w:sz w:val="20"/>
          <w:szCs w:val="20"/>
        </w:rPr>
        <w:t xml:space="preserve">notes that </w:t>
      </w:r>
      <w:r w:rsidR="00D87FD8" w:rsidRPr="00CC39F5">
        <w:rPr>
          <w:rFonts w:ascii="Cambria" w:hAnsi="Cambria"/>
          <w:sz w:val="20"/>
          <w:szCs w:val="20"/>
        </w:rPr>
        <w:t>the grounds for these</w:t>
      </w:r>
      <w:r w:rsidR="00F10D4D" w:rsidRPr="00CC39F5">
        <w:rPr>
          <w:rFonts w:ascii="Cambria" w:hAnsi="Cambria"/>
          <w:sz w:val="20"/>
          <w:szCs w:val="20"/>
        </w:rPr>
        <w:t xml:space="preserve"> proceedings</w:t>
      </w:r>
      <w:r w:rsidR="00D87FD8" w:rsidRPr="00CC39F5">
        <w:rPr>
          <w:rFonts w:ascii="Cambria" w:hAnsi="Cambria"/>
          <w:sz w:val="20"/>
          <w:szCs w:val="20"/>
        </w:rPr>
        <w:t xml:space="preserve"> lay in the September 1990 Law on Narcotics and Psychotropic Substances</w:t>
      </w:r>
      <w:r w:rsidR="00754B71" w:rsidRPr="00CC39F5">
        <w:rPr>
          <w:rFonts w:ascii="Cambria" w:hAnsi="Cambria"/>
          <w:sz w:val="20"/>
          <w:szCs w:val="20"/>
        </w:rPr>
        <w:t xml:space="preserve"> and</w:t>
      </w:r>
      <w:r w:rsidR="006B32E1" w:rsidRPr="00CC39F5">
        <w:rPr>
          <w:rFonts w:ascii="Cambria" w:hAnsi="Cambria"/>
          <w:sz w:val="20"/>
          <w:szCs w:val="20"/>
        </w:rPr>
        <w:t xml:space="preserve"> </w:t>
      </w:r>
      <w:r w:rsidR="00D87FD8" w:rsidRPr="00CC39F5">
        <w:rPr>
          <w:rFonts w:ascii="Cambria" w:hAnsi="Cambria"/>
          <w:sz w:val="20"/>
          <w:szCs w:val="20"/>
        </w:rPr>
        <w:t>underscores the following provisions</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D87FD8" w:rsidP="006B32E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CC39F5">
        <w:rPr>
          <w:rFonts w:ascii="Cambria" w:hAnsi="Cambria"/>
          <w:sz w:val="20"/>
          <w:szCs w:val="20"/>
        </w:rPr>
        <w:t>Article</w:t>
      </w:r>
      <w:r w:rsidR="006B32E1" w:rsidRPr="00CC39F5">
        <w:rPr>
          <w:rFonts w:ascii="Cambria" w:hAnsi="Cambria"/>
          <w:sz w:val="20"/>
          <w:szCs w:val="20"/>
        </w:rPr>
        <w:t xml:space="preserve"> 116. </w:t>
      </w:r>
      <w:r w:rsidR="005B3B9A" w:rsidRPr="00CC39F5">
        <w:rPr>
          <w:rFonts w:ascii="Cambria" w:hAnsi="Cambria"/>
          <w:sz w:val="20"/>
          <w:szCs w:val="20"/>
        </w:rPr>
        <w:t>Probative</w:t>
      </w:r>
      <w:r w:rsidR="00E00325" w:rsidRPr="00CC39F5">
        <w:rPr>
          <w:rFonts w:ascii="Cambria" w:hAnsi="Cambria"/>
          <w:sz w:val="20"/>
          <w:szCs w:val="20"/>
        </w:rPr>
        <w:t xml:space="preserve"> value of pretrial actions</w:t>
      </w:r>
      <w:r w:rsidR="006B32E1" w:rsidRPr="00CC39F5">
        <w:rPr>
          <w:rFonts w:ascii="Cambria" w:hAnsi="Cambria"/>
          <w:sz w:val="20"/>
          <w:szCs w:val="20"/>
        </w:rPr>
        <w:t xml:space="preserve">. </w:t>
      </w:r>
      <w:r w:rsidR="00E00325" w:rsidRPr="00CC39F5">
        <w:rPr>
          <w:rFonts w:ascii="Cambria" w:hAnsi="Cambria"/>
          <w:sz w:val="20"/>
          <w:szCs w:val="20"/>
        </w:rPr>
        <w:t xml:space="preserve">The police report and the </w:t>
      </w:r>
      <w:r w:rsidR="00060AAB" w:rsidRPr="00CC39F5">
        <w:rPr>
          <w:rFonts w:ascii="Cambria" w:hAnsi="Cambria"/>
          <w:sz w:val="20"/>
          <w:szCs w:val="20"/>
        </w:rPr>
        <w:t>pretrial</w:t>
      </w:r>
      <w:r w:rsidR="00E00325" w:rsidRPr="00CC39F5">
        <w:rPr>
          <w:rFonts w:ascii="Cambria" w:hAnsi="Cambria"/>
          <w:sz w:val="20"/>
          <w:szCs w:val="20"/>
        </w:rPr>
        <w:t xml:space="preserve"> statement given by the accused in the presence of the public prosecutor shall constitute a serious assumption of guilt, provided that the </w:t>
      </w:r>
      <w:r w:rsidR="00E00325" w:rsidRPr="00CC39F5">
        <w:rPr>
          <w:rFonts w:ascii="Cambria" w:hAnsi="Cambria"/>
          <w:i/>
          <w:sz w:val="20"/>
          <w:szCs w:val="20"/>
        </w:rPr>
        <w:t>corpus delicti</w:t>
      </w:r>
      <w:r w:rsidR="00E00325" w:rsidRPr="00CC39F5">
        <w:rPr>
          <w:rFonts w:ascii="Cambria" w:hAnsi="Cambria"/>
          <w:sz w:val="20"/>
          <w:szCs w:val="20"/>
        </w:rPr>
        <w:t xml:space="preserve"> is proven</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D87FD8" w:rsidP="006B32E1">
      <w:pPr>
        <w:ind w:left="720" w:right="720"/>
        <w:jc w:val="both"/>
        <w:rPr>
          <w:rFonts w:ascii="Cambria" w:hAnsi="Cambria"/>
          <w:sz w:val="20"/>
          <w:szCs w:val="20"/>
        </w:rPr>
      </w:pPr>
      <w:r w:rsidRPr="00CC39F5">
        <w:rPr>
          <w:rFonts w:ascii="Cambria" w:hAnsi="Cambria"/>
          <w:sz w:val="20"/>
          <w:szCs w:val="20"/>
        </w:rPr>
        <w:t>Article</w:t>
      </w:r>
      <w:r w:rsidR="006B32E1" w:rsidRPr="00CC39F5">
        <w:rPr>
          <w:rFonts w:ascii="Cambria" w:hAnsi="Cambria"/>
          <w:sz w:val="20"/>
          <w:szCs w:val="20"/>
        </w:rPr>
        <w:t xml:space="preserve"> 121.- </w:t>
      </w:r>
      <w:r w:rsidR="005B3B9A" w:rsidRPr="00CC39F5">
        <w:rPr>
          <w:rFonts w:ascii="Cambria" w:hAnsi="Cambria"/>
          <w:sz w:val="20"/>
          <w:szCs w:val="20"/>
        </w:rPr>
        <w:t>Mandatory referral</w:t>
      </w:r>
      <w:r w:rsidR="006B32E1" w:rsidRPr="00CC39F5">
        <w:rPr>
          <w:rFonts w:ascii="Cambria" w:hAnsi="Cambria"/>
          <w:sz w:val="20"/>
          <w:szCs w:val="20"/>
        </w:rPr>
        <w:t xml:space="preserve">. </w:t>
      </w:r>
      <w:r w:rsidR="005B3B9A" w:rsidRPr="00CC39F5">
        <w:rPr>
          <w:rFonts w:ascii="Cambria" w:hAnsi="Cambria"/>
          <w:sz w:val="20"/>
          <w:szCs w:val="20"/>
        </w:rPr>
        <w:t>The order revoking pretrial detention, suspension, or cassation of arrest, detention, and seizure measures shall not have effect unless confirmed by a higher body, with a prior, mandatory, and favorable opinion</w:t>
      </w:r>
      <w:r w:rsidR="006B32E1" w:rsidRPr="00CC39F5">
        <w:rPr>
          <w:rStyle w:val="FootnoteReference"/>
          <w:rFonts w:ascii="Cambria" w:hAnsi="Cambria"/>
          <w:sz w:val="20"/>
          <w:szCs w:val="20"/>
        </w:rPr>
        <w:footnoteReference w:id="35"/>
      </w:r>
      <w:r w:rsidR="006B32E1" w:rsidRPr="00CC39F5">
        <w:rPr>
          <w:rFonts w:ascii="Cambria" w:hAnsi="Cambria"/>
          <w:sz w:val="20"/>
          <w:szCs w:val="20"/>
        </w:rPr>
        <w:t xml:space="preserve"> </w:t>
      </w:r>
      <w:r w:rsidR="005B3B9A" w:rsidRPr="00CC39F5">
        <w:rPr>
          <w:rFonts w:ascii="Cambria" w:hAnsi="Cambria"/>
          <w:sz w:val="20"/>
          <w:szCs w:val="20"/>
        </w:rPr>
        <w:t>from the respective Prosecutor, which body shall issue an opinion within 24 hours of receiving the proceeding</w:t>
      </w:r>
      <w:r w:rsidR="006B32E1" w:rsidRPr="00CC39F5">
        <w:rPr>
          <w:rFonts w:ascii="Cambria" w:hAnsi="Cambria"/>
          <w:sz w:val="20"/>
          <w:szCs w:val="20"/>
        </w:rPr>
        <w:t xml:space="preserve">. </w:t>
      </w:r>
    </w:p>
    <w:p w:rsidR="006B32E1" w:rsidRPr="00CC39F5" w:rsidRDefault="006B32E1" w:rsidP="006B32E1">
      <w:pPr>
        <w:ind w:left="720" w:right="720"/>
        <w:jc w:val="both"/>
        <w:rPr>
          <w:rFonts w:ascii="Cambria" w:hAnsi="Cambria"/>
          <w:sz w:val="20"/>
          <w:szCs w:val="20"/>
        </w:rPr>
      </w:pPr>
    </w:p>
    <w:p w:rsidR="006B32E1" w:rsidRPr="00CC39F5" w:rsidRDefault="00D87FD8" w:rsidP="006B32E1">
      <w:pPr>
        <w:ind w:left="720" w:right="720"/>
        <w:jc w:val="both"/>
        <w:rPr>
          <w:rFonts w:ascii="Cambria" w:hAnsi="Cambria"/>
          <w:sz w:val="20"/>
          <w:szCs w:val="20"/>
        </w:rPr>
      </w:pPr>
      <w:r w:rsidRPr="00CC39F5">
        <w:rPr>
          <w:rFonts w:ascii="Cambria" w:hAnsi="Cambria"/>
          <w:sz w:val="20"/>
          <w:szCs w:val="20"/>
        </w:rPr>
        <w:t>Article</w:t>
      </w:r>
      <w:r w:rsidR="006B32E1" w:rsidRPr="00CC39F5">
        <w:rPr>
          <w:rFonts w:ascii="Cambria" w:hAnsi="Cambria"/>
          <w:sz w:val="20"/>
          <w:szCs w:val="20"/>
        </w:rPr>
        <w:t xml:space="preserve"> 122.- </w:t>
      </w:r>
      <w:r w:rsidR="008E7E4B" w:rsidRPr="00CC39F5">
        <w:rPr>
          <w:rFonts w:ascii="Cambria" w:hAnsi="Cambria"/>
          <w:sz w:val="20"/>
          <w:szCs w:val="20"/>
        </w:rPr>
        <w:t>Judgment</w:t>
      </w:r>
      <w:r w:rsidR="006B32E1" w:rsidRPr="00CC39F5">
        <w:rPr>
          <w:rFonts w:ascii="Cambria" w:hAnsi="Cambria"/>
          <w:sz w:val="20"/>
          <w:szCs w:val="20"/>
        </w:rPr>
        <w:t xml:space="preserve">. </w:t>
      </w:r>
      <w:r w:rsidR="008E7E4B" w:rsidRPr="00CC39F5">
        <w:rPr>
          <w:rFonts w:ascii="Cambria" w:hAnsi="Cambria"/>
          <w:sz w:val="20"/>
          <w:szCs w:val="20"/>
        </w:rPr>
        <w:t xml:space="preserve">When issuing a </w:t>
      </w:r>
      <w:r w:rsidR="004E1628" w:rsidRPr="00CC39F5">
        <w:rPr>
          <w:rFonts w:ascii="Cambria" w:hAnsi="Cambria"/>
          <w:sz w:val="20"/>
          <w:szCs w:val="20"/>
        </w:rPr>
        <w:t>ruling</w:t>
      </w:r>
      <w:r w:rsidR="008E7E4B" w:rsidRPr="00CC39F5">
        <w:rPr>
          <w:rFonts w:ascii="Cambria" w:hAnsi="Cambria"/>
          <w:sz w:val="20"/>
          <w:szCs w:val="20"/>
        </w:rPr>
        <w:t>, the judge</w:t>
      </w:r>
      <w:r w:rsidR="006B32E1" w:rsidRPr="00CC39F5">
        <w:rPr>
          <w:rFonts w:ascii="Cambria" w:hAnsi="Cambria"/>
          <w:sz w:val="20"/>
          <w:szCs w:val="20"/>
        </w:rPr>
        <w:t xml:space="preserve">, </w:t>
      </w:r>
      <w:r w:rsidR="008E7E4B" w:rsidRPr="00CC39F5">
        <w:rPr>
          <w:rFonts w:ascii="Cambria" w:hAnsi="Cambria"/>
          <w:sz w:val="20"/>
          <w:szCs w:val="20"/>
        </w:rPr>
        <w:t>taking into account the facts and evidence, shall</w:t>
      </w:r>
      <w:r w:rsidR="0026641F" w:rsidRPr="00CC39F5">
        <w:rPr>
          <w:rFonts w:ascii="Cambria" w:hAnsi="Cambria"/>
          <w:sz w:val="20"/>
          <w:szCs w:val="20"/>
        </w:rPr>
        <w:t xml:space="preserve"> adhere to the </w:t>
      </w:r>
      <w:r w:rsidR="004E1628" w:rsidRPr="00CC39F5">
        <w:rPr>
          <w:rFonts w:ascii="Cambria" w:hAnsi="Cambria"/>
          <w:sz w:val="20"/>
          <w:szCs w:val="20"/>
        </w:rPr>
        <w:t>principles of reasoned judgment</w:t>
      </w:r>
      <w:r w:rsidR="006B32E1" w:rsidRPr="00CC39F5">
        <w:rPr>
          <w:rFonts w:ascii="Cambria" w:hAnsi="Cambria"/>
          <w:sz w:val="20"/>
          <w:szCs w:val="20"/>
        </w:rPr>
        <w:t xml:space="preserve"> (…) </w:t>
      </w:r>
      <w:r w:rsidR="008E7E4B" w:rsidRPr="00CC39F5">
        <w:rPr>
          <w:rFonts w:ascii="Cambria" w:hAnsi="Cambria"/>
          <w:sz w:val="20"/>
          <w:szCs w:val="20"/>
        </w:rPr>
        <w:t>whet</w:t>
      </w:r>
      <w:r w:rsidR="003A6634" w:rsidRPr="00CC39F5">
        <w:rPr>
          <w:rFonts w:ascii="Cambria" w:hAnsi="Cambria"/>
          <w:sz w:val="20"/>
          <w:szCs w:val="20"/>
        </w:rPr>
        <w:t>her a conviction or acquittal</w:t>
      </w:r>
      <w:r w:rsidR="008E7E4B" w:rsidRPr="00CC39F5">
        <w:rPr>
          <w:rFonts w:ascii="Cambria" w:hAnsi="Cambria"/>
          <w:sz w:val="20"/>
          <w:szCs w:val="20"/>
        </w:rPr>
        <w:t xml:space="preserve">, </w:t>
      </w:r>
      <w:r w:rsidR="004E1628" w:rsidRPr="00CC39F5">
        <w:rPr>
          <w:rFonts w:ascii="Cambria" w:hAnsi="Cambria"/>
          <w:sz w:val="20"/>
          <w:szCs w:val="20"/>
        </w:rPr>
        <w:t>the ruling must be referred</w:t>
      </w:r>
      <w:r w:rsidR="008E7E4B" w:rsidRPr="00CC39F5">
        <w:rPr>
          <w:rFonts w:ascii="Cambria" w:hAnsi="Cambria"/>
          <w:sz w:val="20"/>
          <w:szCs w:val="20"/>
        </w:rPr>
        <w:t xml:space="preserve"> to a higher body</w:t>
      </w:r>
      <w:r w:rsidR="004E1628" w:rsidRPr="00CC39F5">
        <w:rPr>
          <w:rFonts w:ascii="Cambria" w:hAnsi="Cambria"/>
          <w:sz w:val="20"/>
          <w:szCs w:val="20"/>
        </w:rPr>
        <w:t>.</w:t>
      </w:r>
      <w:r w:rsidR="006B32E1" w:rsidRPr="00CC39F5">
        <w:rPr>
          <w:rFonts w:ascii="Cambria" w:hAnsi="Cambria"/>
          <w:sz w:val="20"/>
          <w:szCs w:val="20"/>
        </w:rPr>
        <w:t xml:space="preserve"> </w:t>
      </w:r>
      <w:r w:rsidR="004E1628" w:rsidRPr="00CC39F5">
        <w:rPr>
          <w:rFonts w:ascii="Cambria" w:hAnsi="Cambria"/>
          <w:sz w:val="20"/>
          <w:szCs w:val="20"/>
        </w:rPr>
        <w:t xml:space="preserve">The accused shall not be released until this higher body issues its decision. </w:t>
      </w:r>
    </w:p>
    <w:p w:rsidR="006B32E1" w:rsidRPr="00CC39F5" w:rsidRDefault="006B32E1" w:rsidP="006B32E1">
      <w:pPr>
        <w:pStyle w:val="ColorfulList-Accent11"/>
        <w:ind w:left="0"/>
        <w:rPr>
          <w:sz w:val="20"/>
          <w:szCs w:val="20"/>
        </w:rPr>
      </w:pPr>
    </w:p>
    <w:p w:rsidR="006B32E1" w:rsidRPr="00CC39F5" w:rsidRDefault="00672CE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sz w:val="20"/>
          <w:szCs w:val="20"/>
        </w:rPr>
        <w:t>The</w:t>
      </w:r>
      <w:r w:rsidR="002530B6" w:rsidRPr="00CC39F5">
        <w:rPr>
          <w:rFonts w:ascii="Cambria" w:hAnsi="Cambria"/>
          <w:sz w:val="20"/>
          <w:szCs w:val="20"/>
        </w:rPr>
        <w:t xml:space="preserve"> IACHR</w:t>
      </w:r>
      <w:r w:rsidRPr="00CC39F5">
        <w:rPr>
          <w:rFonts w:ascii="Cambria" w:hAnsi="Cambria"/>
          <w:sz w:val="20"/>
          <w:szCs w:val="20"/>
        </w:rPr>
        <w:t xml:space="preserve"> </w:t>
      </w:r>
      <w:r w:rsidR="008A44DF" w:rsidRPr="00CC39F5">
        <w:rPr>
          <w:rFonts w:ascii="Cambria" w:hAnsi="Cambria"/>
          <w:sz w:val="20"/>
          <w:szCs w:val="20"/>
        </w:rPr>
        <w:t>further</w:t>
      </w:r>
      <w:r w:rsidRPr="00CC39F5">
        <w:rPr>
          <w:rFonts w:ascii="Cambria" w:hAnsi="Cambria"/>
          <w:sz w:val="20"/>
          <w:szCs w:val="20"/>
        </w:rPr>
        <w:t xml:space="preserve"> points out that it lacks full details about how each of the criminal proceedings unfolded</w:t>
      </w:r>
      <w:r w:rsidR="006B32E1" w:rsidRPr="00CC39F5">
        <w:rPr>
          <w:rFonts w:ascii="Cambria" w:hAnsi="Cambria"/>
          <w:sz w:val="20"/>
          <w:szCs w:val="20"/>
        </w:rPr>
        <w:t xml:space="preserve">. </w:t>
      </w:r>
      <w:r w:rsidRPr="00CC39F5">
        <w:rPr>
          <w:rFonts w:ascii="Cambria" w:hAnsi="Cambria"/>
          <w:sz w:val="20"/>
          <w:szCs w:val="20"/>
        </w:rPr>
        <w:t>The determinations made below are based on the information contained in the case file</w:t>
      </w:r>
      <w:r w:rsidR="006B32E1" w:rsidRPr="00CC39F5">
        <w:rPr>
          <w:rFonts w:ascii="Cambria" w:hAnsi="Cambria"/>
          <w:sz w:val="20"/>
          <w:szCs w:val="20"/>
        </w:rPr>
        <w:t xml:space="preserve">. </w:t>
      </w:r>
    </w:p>
    <w:p w:rsidR="006B32E1" w:rsidRPr="00CC39F5" w:rsidRDefault="00486D35" w:rsidP="003D4DF4">
      <w:pPr>
        <w:numPr>
          <w:ilvl w:val="0"/>
          <w:numId w:val="64"/>
        </w:numPr>
        <w:tabs>
          <w:tab w:val="left" w:pos="1440"/>
        </w:tabs>
        <w:ind w:left="1440" w:hanging="720"/>
        <w:jc w:val="both"/>
        <w:rPr>
          <w:rFonts w:ascii="Cambria" w:hAnsi="Cambria"/>
          <w:b/>
          <w:sz w:val="20"/>
          <w:szCs w:val="20"/>
        </w:rPr>
      </w:pPr>
      <w:r w:rsidRPr="00CC39F5">
        <w:rPr>
          <w:rFonts w:ascii="Cambria" w:hAnsi="Cambria"/>
          <w:b/>
          <w:sz w:val="20"/>
          <w:szCs w:val="20"/>
        </w:rPr>
        <w:lastRenderedPageBreak/>
        <w:t>Conversion and transfer of assets</w:t>
      </w:r>
      <w:r w:rsidR="006B32E1" w:rsidRPr="00CC39F5">
        <w:rPr>
          <w:rFonts w:ascii="Cambria" w:hAnsi="Cambria"/>
          <w:b/>
          <w:color w:val="000000"/>
          <w:sz w:val="20"/>
          <w:szCs w:val="20"/>
        </w:rPr>
        <w:t xml:space="preserve"> (</w:t>
      </w:r>
      <w:r w:rsidR="006C101A" w:rsidRPr="00CC39F5">
        <w:rPr>
          <w:rFonts w:ascii="Cambria" w:hAnsi="Cambria"/>
          <w:b/>
          <w:color w:val="000000"/>
          <w:sz w:val="20"/>
          <w:szCs w:val="20"/>
        </w:rPr>
        <w:t>Article</w:t>
      </w:r>
      <w:r w:rsidR="006B32E1" w:rsidRPr="00CC39F5">
        <w:rPr>
          <w:rFonts w:ascii="Cambria" w:hAnsi="Cambria"/>
          <w:b/>
          <w:color w:val="000000"/>
          <w:sz w:val="20"/>
          <w:szCs w:val="20"/>
        </w:rPr>
        <w:t xml:space="preserve"> 77 </w:t>
      </w:r>
      <w:r w:rsidR="006C101A" w:rsidRPr="00CC39F5">
        <w:rPr>
          <w:rFonts w:ascii="Cambria" w:hAnsi="Cambria"/>
          <w:b/>
          <w:color w:val="000000"/>
          <w:sz w:val="20"/>
          <w:szCs w:val="20"/>
        </w:rPr>
        <w:t>of the Law on Narcotics and Psychotropic Substances</w:t>
      </w:r>
      <w:r w:rsidR="006B32E1" w:rsidRPr="00CC39F5">
        <w:rPr>
          <w:rStyle w:val="FootnoteReference"/>
          <w:rFonts w:ascii="Cambria" w:hAnsi="Cambria"/>
          <w:b/>
          <w:color w:val="000000"/>
          <w:sz w:val="20"/>
          <w:szCs w:val="20"/>
        </w:rPr>
        <w:footnoteReference w:id="36"/>
      </w:r>
      <w:r w:rsidR="006B32E1" w:rsidRPr="00CC39F5">
        <w:rPr>
          <w:rFonts w:ascii="Cambria" w:hAnsi="Cambria"/>
          <w:b/>
          <w:color w:val="000000"/>
          <w:sz w:val="20"/>
          <w:szCs w:val="20"/>
        </w:rPr>
        <w:t>)</w:t>
      </w:r>
    </w:p>
    <w:p w:rsidR="006B32E1" w:rsidRPr="00CC39F5" w:rsidRDefault="006B32E1" w:rsidP="006B32E1">
      <w:pPr>
        <w:jc w:val="both"/>
        <w:rPr>
          <w:rFonts w:ascii="Cambria" w:hAnsi="Cambria"/>
          <w:color w:val="000000"/>
          <w:sz w:val="20"/>
          <w:szCs w:val="20"/>
        </w:rPr>
      </w:pPr>
    </w:p>
    <w:p w:rsidR="006B32E1" w:rsidRPr="00CC39F5" w:rsidRDefault="001F51A7"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color w:val="000000"/>
          <w:sz w:val="20"/>
          <w:szCs w:val="20"/>
        </w:rPr>
        <w:t>On September 30,</w:t>
      </w:r>
      <w:r w:rsidR="006B32E1" w:rsidRPr="00CC39F5">
        <w:rPr>
          <w:rFonts w:ascii="Cambria" w:hAnsi="Cambria"/>
          <w:color w:val="000000"/>
          <w:sz w:val="20"/>
          <w:szCs w:val="20"/>
        </w:rPr>
        <w:t xml:space="preserve"> 1996</w:t>
      </w:r>
      <w:r w:rsidRPr="00CC39F5">
        <w:rPr>
          <w:rFonts w:ascii="Cambria" w:hAnsi="Cambria"/>
          <w:color w:val="000000"/>
          <w:sz w:val="20"/>
          <w:szCs w:val="20"/>
        </w:rPr>
        <w:t>, the Superior Court of Justice of</w:t>
      </w:r>
      <w:r w:rsidR="006B32E1" w:rsidRPr="00CC39F5">
        <w:rPr>
          <w:rFonts w:ascii="Cambria" w:hAnsi="Cambria"/>
          <w:color w:val="000000"/>
          <w:sz w:val="20"/>
          <w:szCs w:val="20"/>
        </w:rPr>
        <w:t xml:space="preserve"> Quito </w:t>
      </w:r>
      <w:r w:rsidRPr="00CC39F5">
        <w:rPr>
          <w:rFonts w:ascii="Cambria" w:hAnsi="Cambria"/>
          <w:color w:val="000000"/>
          <w:sz w:val="20"/>
          <w:szCs w:val="20"/>
        </w:rPr>
        <w:t xml:space="preserve">ordered </w:t>
      </w:r>
      <w:r w:rsidR="008A44DF" w:rsidRPr="00CC39F5">
        <w:rPr>
          <w:rFonts w:ascii="Cambria" w:hAnsi="Cambria"/>
          <w:color w:val="000000"/>
          <w:sz w:val="20"/>
          <w:szCs w:val="20"/>
        </w:rPr>
        <w:t>the initiation of proceedings in</w:t>
      </w:r>
      <w:r w:rsidRPr="00CC39F5">
        <w:rPr>
          <w:rFonts w:ascii="Cambria" w:hAnsi="Cambria"/>
          <w:color w:val="000000"/>
          <w:sz w:val="20"/>
          <w:szCs w:val="20"/>
        </w:rPr>
        <w:t xml:space="preserve"> the case being </w:t>
      </w:r>
      <w:r w:rsidR="004E1628" w:rsidRPr="00CC39F5">
        <w:rPr>
          <w:rFonts w:ascii="Cambria" w:hAnsi="Cambria"/>
          <w:color w:val="000000"/>
          <w:sz w:val="20"/>
          <w:szCs w:val="20"/>
        </w:rPr>
        <w:t>brought</w:t>
      </w:r>
      <w:r w:rsidRPr="00CC39F5">
        <w:rPr>
          <w:rFonts w:ascii="Cambria" w:hAnsi="Cambria"/>
          <w:color w:val="000000"/>
          <w:sz w:val="20"/>
          <w:szCs w:val="20"/>
        </w:rPr>
        <w:t xml:space="preserve"> against, among others, the alleged victim for the crime of conversion and transfer of assets, </w:t>
      </w:r>
      <w:r w:rsidR="008A44DF" w:rsidRPr="00CC39F5">
        <w:rPr>
          <w:rFonts w:ascii="Cambria" w:hAnsi="Cambria"/>
          <w:color w:val="000000"/>
          <w:sz w:val="20"/>
          <w:szCs w:val="20"/>
        </w:rPr>
        <w:t>set forth</w:t>
      </w:r>
      <w:r w:rsidRPr="00CC39F5">
        <w:rPr>
          <w:rFonts w:ascii="Cambria" w:hAnsi="Cambria"/>
          <w:color w:val="000000"/>
          <w:sz w:val="20"/>
          <w:szCs w:val="20"/>
        </w:rPr>
        <w:t xml:space="preserve"> in Article</w:t>
      </w:r>
      <w:r w:rsidR="006B32E1" w:rsidRPr="00CC39F5">
        <w:rPr>
          <w:rFonts w:ascii="Cambria" w:hAnsi="Cambria"/>
          <w:color w:val="000000"/>
          <w:sz w:val="20"/>
          <w:szCs w:val="20"/>
        </w:rPr>
        <w:t xml:space="preserve"> 77 </w:t>
      </w:r>
      <w:r w:rsidRPr="00CC39F5">
        <w:rPr>
          <w:rFonts w:ascii="Cambria" w:hAnsi="Cambria"/>
          <w:color w:val="000000"/>
          <w:sz w:val="20"/>
          <w:szCs w:val="20"/>
        </w:rPr>
        <w:t>of the Law on Narcotics and Psychotropic Substances</w:t>
      </w:r>
      <w:r w:rsidR="006B32E1" w:rsidRPr="00CC39F5">
        <w:rPr>
          <w:rFonts w:ascii="Cambria" w:hAnsi="Cambria"/>
          <w:color w:val="000000"/>
          <w:sz w:val="20"/>
          <w:szCs w:val="20"/>
        </w:rPr>
        <w:t xml:space="preserve">. </w:t>
      </w:r>
      <w:r w:rsidRPr="00CC39F5">
        <w:rPr>
          <w:rFonts w:ascii="Cambria" w:hAnsi="Cambria"/>
          <w:color w:val="000000"/>
          <w:sz w:val="20"/>
          <w:szCs w:val="20"/>
        </w:rPr>
        <w:t xml:space="preserve">The </w:t>
      </w:r>
      <w:r w:rsidR="002157C9" w:rsidRPr="00CC39F5">
        <w:rPr>
          <w:rFonts w:ascii="Cambria" w:hAnsi="Cambria"/>
          <w:color w:val="000000"/>
          <w:sz w:val="20"/>
          <w:szCs w:val="20"/>
        </w:rPr>
        <w:t>Chief Judge</w:t>
      </w:r>
      <w:r w:rsidRPr="00CC39F5">
        <w:rPr>
          <w:rFonts w:ascii="Cambria" w:hAnsi="Cambria"/>
          <w:color w:val="000000"/>
          <w:sz w:val="20"/>
          <w:szCs w:val="20"/>
        </w:rPr>
        <w:t xml:space="preserve"> determined that evidence of the mater</w:t>
      </w:r>
      <w:r w:rsidR="00FC15CF" w:rsidRPr="00CC39F5">
        <w:rPr>
          <w:rFonts w:ascii="Cambria" w:hAnsi="Cambria"/>
          <w:color w:val="000000"/>
          <w:sz w:val="20"/>
          <w:szCs w:val="20"/>
        </w:rPr>
        <w:t>ial existence of the offense had</w:t>
      </w:r>
      <w:r w:rsidRPr="00CC39F5">
        <w:rPr>
          <w:rFonts w:ascii="Cambria" w:hAnsi="Cambria"/>
          <w:color w:val="000000"/>
          <w:sz w:val="20"/>
          <w:szCs w:val="20"/>
        </w:rPr>
        <w:t xml:space="preserve"> been demonstrated in accordance with the law </w:t>
      </w:r>
      <w:r w:rsidR="00612A2C" w:rsidRPr="00CC39F5">
        <w:rPr>
          <w:rFonts w:ascii="Cambria" w:hAnsi="Cambria"/>
          <w:color w:val="000000"/>
          <w:sz w:val="20"/>
          <w:szCs w:val="20"/>
        </w:rPr>
        <w:t>by means of</w:t>
      </w:r>
      <w:r w:rsidRPr="00CC39F5">
        <w:rPr>
          <w:rFonts w:ascii="Cambria" w:hAnsi="Cambria"/>
          <w:color w:val="000000"/>
          <w:sz w:val="20"/>
          <w:szCs w:val="20"/>
        </w:rPr>
        <w:t xml:space="preserve"> the </w:t>
      </w:r>
      <w:r w:rsidR="00E703F0" w:rsidRPr="00CC39F5">
        <w:rPr>
          <w:rFonts w:ascii="Cambria" w:hAnsi="Cambria"/>
          <w:color w:val="000000"/>
          <w:sz w:val="20"/>
          <w:szCs w:val="20"/>
        </w:rPr>
        <w:t xml:space="preserve">details of the property found in the </w:t>
      </w:r>
      <w:r w:rsidR="00612A2C" w:rsidRPr="00CC39F5">
        <w:rPr>
          <w:rFonts w:ascii="Cambria" w:hAnsi="Cambria"/>
          <w:color w:val="000000"/>
          <w:sz w:val="20"/>
          <w:szCs w:val="20"/>
        </w:rPr>
        <w:t>residences</w:t>
      </w:r>
      <w:r w:rsidR="00E703F0" w:rsidRPr="00CC39F5">
        <w:rPr>
          <w:rFonts w:ascii="Cambria" w:hAnsi="Cambria"/>
          <w:color w:val="000000"/>
          <w:sz w:val="20"/>
          <w:szCs w:val="20"/>
        </w:rPr>
        <w:t xml:space="preserve"> of different individuals, specified in the report entitled </w:t>
      </w:r>
      <w:r w:rsidR="008A44DF" w:rsidRPr="00CC39F5">
        <w:rPr>
          <w:rFonts w:ascii="Cambria" w:hAnsi="Cambria"/>
          <w:i/>
          <w:color w:val="000000"/>
          <w:sz w:val="20"/>
          <w:szCs w:val="20"/>
        </w:rPr>
        <w:t>Operación Ciclón</w:t>
      </w:r>
      <w:r w:rsidR="006B32E1" w:rsidRPr="00CC39F5">
        <w:rPr>
          <w:rFonts w:ascii="Cambria" w:hAnsi="Cambria"/>
          <w:color w:val="000000"/>
          <w:sz w:val="20"/>
          <w:szCs w:val="20"/>
        </w:rPr>
        <w:t xml:space="preserve">. </w:t>
      </w:r>
      <w:r w:rsidR="00E51AAD" w:rsidRPr="00CC39F5">
        <w:rPr>
          <w:rFonts w:ascii="Cambria" w:hAnsi="Cambria"/>
          <w:color w:val="000000"/>
          <w:sz w:val="20"/>
          <w:szCs w:val="20"/>
        </w:rPr>
        <w:t>With respect to</w:t>
      </w:r>
      <w:r w:rsidR="006B32E1" w:rsidRPr="00CC39F5">
        <w:rPr>
          <w:rFonts w:ascii="Cambria" w:hAnsi="Cambria"/>
          <w:color w:val="000000"/>
          <w:sz w:val="20"/>
          <w:szCs w:val="20"/>
        </w:rPr>
        <w:t xml:space="preserve"> </w:t>
      </w:r>
      <w:r w:rsidR="00D87DBE" w:rsidRPr="00CC39F5">
        <w:rPr>
          <w:rFonts w:ascii="Cambria" w:hAnsi="Cambria"/>
          <w:color w:val="000000"/>
          <w:sz w:val="20"/>
          <w:szCs w:val="20"/>
        </w:rPr>
        <w:t>Mr.</w:t>
      </w:r>
      <w:r w:rsidR="006B32E1" w:rsidRPr="00CC39F5">
        <w:rPr>
          <w:rFonts w:ascii="Cambria" w:hAnsi="Cambria"/>
          <w:color w:val="000000"/>
          <w:sz w:val="20"/>
          <w:szCs w:val="20"/>
        </w:rPr>
        <w:t xml:space="preserve"> Montesinos, </w:t>
      </w:r>
      <w:r w:rsidR="00076785" w:rsidRPr="00CC39F5">
        <w:rPr>
          <w:rFonts w:ascii="Cambria" w:hAnsi="Cambria"/>
          <w:color w:val="000000"/>
          <w:sz w:val="20"/>
          <w:szCs w:val="20"/>
        </w:rPr>
        <w:t>it was noted</w:t>
      </w:r>
      <w:r w:rsidR="00E51AAD" w:rsidRPr="00CC39F5">
        <w:rPr>
          <w:rFonts w:ascii="Cambria" w:hAnsi="Cambria"/>
          <w:color w:val="000000"/>
          <w:sz w:val="20"/>
          <w:szCs w:val="20"/>
        </w:rPr>
        <w:t xml:space="preserve"> that in the statement he gave to prosecutors in</w:t>
      </w:r>
      <w:r w:rsidR="006B32E1" w:rsidRPr="00CC39F5">
        <w:rPr>
          <w:rFonts w:ascii="Cambria" w:hAnsi="Cambria"/>
          <w:color w:val="000000"/>
          <w:sz w:val="20"/>
          <w:szCs w:val="20"/>
        </w:rPr>
        <w:t xml:space="preserve"> Pichincha</w:t>
      </w:r>
      <w:r w:rsidR="00E51AAD" w:rsidRPr="00CC39F5">
        <w:rPr>
          <w:rFonts w:ascii="Cambria" w:hAnsi="Cambria"/>
          <w:color w:val="000000"/>
          <w:sz w:val="20"/>
          <w:szCs w:val="20"/>
        </w:rPr>
        <w:t xml:space="preserve">, he acknowledged having weapons in his house at the </w:t>
      </w:r>
      <w:r w:rsidR="00076785" w:rsidRPr="00CC39F5">
        <w:rPr>
          <w:rFonts w:ascii="Cambria" w:hAnsi="Cambria"/>
          <w:color w:val="000000"/>
          <w:sz w:val="20"/>
          <w:szCs w:val="20"/>
        </w:rPr>
        <w:t>behest</w:t>
      </w:r>
      <w:r w:rsidR="00E51AAD" w:rsidRPr="00CC39F5">
        <w:rPr>
          <w:rFonts w:ascii="Cambria" w:hAnsi="Cambria"/>
          <w:color w:val="000000"/>
          <w:sz w:val="20"/>
          <w:szCs w:val="20"/>
        </w:rPr>
        <w:t xml:space="preserve"> of</w:t>
      </w:r>
      <w:r w:rsidR="006B32E1" w:rsidRPr="00CC39F5">
        <w:rPr>
          <w:rFonts w:ascii="Cambria" w:hAnsi="Cambria"/>
          <w:color w:val="000000"/>
          <w:sz w:val="20"/>
          <w:szCs w:val="20"/>
        </w:rPr>
        <w:t xml:space="preserve"> Jorge Reyes. </w:t>
      </w:r>
      <w:r w:rsidR="00A34C48" w:rsidRPr="00CC39F5">
        <w:rPr>
          <w:rFonts w:ascii="Cambria" w:hAnsi="Cambria"/>
          <w:color w:val="000000"/>
          <w:sz w:val="20"/>
          <w:szCs w:val="20"/>
        </w:rPr>
        <w:t>In addition, the pretrial detention of the defendants was upheld and an order was given to seize all of the property that had been used to commit the crime being prosecuted</w:t>
      </w:r>
      <w:r w:rsidR="006C101A" w:rsidRPr="00CC39F5">
        <w:rPr>
          <w:rFonts w:ascii="Cambria" w:hAnsi="Cambria"/>
          <w:color w:val="000000"/>
          <w:sz w:val="20"/>
          <w:szCs w:val="20"/>
        </w:rPr>
        <w:t>.</w:t>
      </w:r>
      <w:r w:rsidR="006B32E1" w:rsidRPr="00CC39F5">
        <w:rPr>
          <w:rStyle w:val="FootnoteReference"/>
          <w:rFonts w:ascii="Cambria" w:hAnsi="Cambria"/>
          <w:color w:val="000000"/>
          <w:sz w:val="20"/>
          <w:szCs w:val="20"/>
        </w:rPr>
        <w:footnoteReference w:id="37"/>
      </w:r>
    </w:p>
    <w:p w:rsidR="006B32E1" w:rsidRPr="00CC39F5" w:rsidRDefault="006B32E1" w:rsidP="006B32E1">
      <w:pPr>
        <w:pStyle w:val="ColorfulList-Accent11"/>
        <w:ind w:left="0"/>
        <w:rPr>
          <w:sz w:val="20"/>
          <w:szCs w:val="20"/>
        </w:rPr>
      </w:pPr>
    </w:p>
    <w:p w:rsidR="006B32E1" w:rsidRPr="00CC39F5" w:rsidRDefault="00677AEB"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color w:val="000000"/>
          <w:sz w:val="20"/>
          <w:szCs w:val="20"/>
        </w:rPr>
        <w:t>On April 29,</w:t>
      </w:r>
      <w:r w:rsidR="006B32E1" w:rsidRPr="00CC39F5">
        <w:rPr>
          <w:rFonts w:ascii="Cambria" w:hAnsi="Cambria"/>
          <w:color w:val="000000"/>
          <w:sz w:val="20"/>
          <w:szCs w:val="20"/>
        </w:rPr>
        <w:t xml:space="preserve"> 1998 </w:t>
      </w:r>
      <w:r w:rsidRPr="00CC39F5">
        <w:rPr>
          <w:rFonts w:ascii="Cambria" w:hAnsi="Cambria"/>
          <w:color w:val="000000"/>
          <w:sz w:val="20"/>
          <w:szCs w:val="20"/>
        </w:rPr>
        <w:t>the Superior Court of Justice of Quito</w:t>
      </w:r>
      <w:r w:rsidR="006B32E1" w:rsidRPr="00CC39F5">
        <w:rPr>
          <w:rFonts w:ascii="Cambria" w:hAnsi="Cambria"/>
          <w:color w:val="000000"/>
          <w:sz w:val="20"/>
          <w:szCs w:val="20"/>
        </w:rPr>
        <w:t xml:space="preserve"> </w:t>
      </w:r>
      <w:r w:rsidR="004D0FA0" w:rsidRPr="00CC39F5">
        <w:rPr>
          <w:rFonts w:ascii="Cambria" w:hAnsi="Cambria"/>
          <w:color w:val="000000"/>
          <w:sz w:val="20"/>
          <w:szCs w:val="20"/>
        </w:rPr>
        <w:t>dismissed the case on the grounds</w:t>
      </w:r>
      <w:r w:rsidR="006B32E1" w:rsidRPr="00CC39F5">
        <w:rPr>
          <w:rFonts w:ascii="Cambria" w:hAnsi="Cambria"/>
          <w:color w:val="000000"/>
          <w:sz w:val="20"/>
          <w:szCs w:val="20"/>
        </w:rPr>
        <w:t xml:space="preserve"> </w:t>
      </w:r>
      <w:r w:rsidR="004D0FA0" w:rsidRPr="00CC39F5">
        <w:rPr>
          <w:rFonts w:ascii="Cambria" w:hAnsi="Cambria"/>
          <w:color w:val="000000"/>
          <w:sz w:val="20"/>
          <w:szCs w:val="20"/>
        </w:rPr>
        <w:t xml:space="preserve">that the existence of an offense had not been </w:t>
      </w:r>
      <w:r w:rsidR="001E1FA3" w:rsidRPr="00CC39F5">
        <w:rPr>
          <w:rFonts w:ascii="Cambria" w:hAnsi="Cambria"/>
          <w:color w:val="000000"/>
          <w:sz w:val="20"/>
          <w:szCs w:val="20"/>
        </w:rPr>
        <w:t>adequately</w:t>
      </w:r>
      <w:r w:rsidR="004D0FA0" w:rsidRPr="00CC39F5">
        <w:rPr>
          <w:rFonts w:ascii="Cambria" w:hAnsi="Cambria"/>
          <w:color w:val="000000"/>
          <w:sz w:val="20"/>
          <w:szCs w:val="20"/>
        </w:rPr>
        <w:t xml:space="preserve"> proven</w:t>
      </w:r>
      <w:r w:rsidR="006C101A" w:rsidRPr="00CC39F5">
        <w:rPr>
          <w:rFonts w:ascii="Cambria" w:hAnsi="Cambria"/>
          <w:color w:val="000000"/>
          <w:sz w:val="20"/>
          <w:szCs w:val="20"/>
        </w:rPr>
        <w:t>.</w:t>
      </w:r>
      <w:r w:rsidR="006B32E1" w:rsidRPr="00CC39F5">
        <w:rPr>
          <w:rStyle w:val="FootnoteReference"/>
          <w:rFonts w:ascii="Cambria" w:hAnsi="Cambria"/>
          <w:color w:val="000000"/>
          <w:sz w:val="20"/>
          <w:szCs w:val="20"/>
        </w:rPr>
        <w:footnoteReference w:id="38"/>
      </w:r>
    </w:p>
    <w:p w:rsidR="006B32E1" w:rsidRPr="00CC39F5" w:rsidRDefault="006B32E1" w:rsidP="006B32E1">
      <w:pPr>
        <w:pStyle w:val="ColorfulList-Accent11"/>
        <w:ind w:left="0"/>
        <w:rPr>
          <w:sz w:val="20"/>
          <w:szCs w:val="20"/>
        </w:rPr>
      </w:pPr>
    </w:p>
    <w:p w:rsidR="006B32E1" w:rsidRPr="00CC39F5" w:rsidRDefault="00370E6E" w:rsidP="003D4DF4">
      <w:pPr>
        <w:numPr>
          <w:ilvl w:val="0"/>
          <w:numId w:val="64"/>
        </w:numPr>
        <w:tabs>
          <w:tab w:val="left" w:pos="1440"/>
        </w:tabs>
        <w:ind w:left="1440" w:hanging="720"/>
        <w:jc w:val="both"/>
        <w:rPr>
          <w:rFonts w:ascii="Cambria" w:hAnsi="Cambria"/>
          <w:b/>
          <w:color w:val="000000"/>
          <w:sz w:val="20"/>
          <w:szCs w:val="20"/>
        </w:rPr>
      </w:pPr>
      <w:r w:rsidRPr="00CC39F5">
        <w:rPr>
          <w:rFonts w:ascii="Cambria" w:hAnsi="Cambria"/>
          <w:b/>
          <w:color w:val="000000"/>
          <w:sz w:val="20"/>
          <w:szCs w:val="20"/>
        </w:rPr>
        <w:t>Illicit</w:t>
      </w:r>
      <w:r w:rsidR="002557B0" w:rsidRPr="00CC39F5">
        <w:rPr>
          <w:rFonts w:ascii="Cambria" w:hAnsi="Cambria"/>
          <w:b/>
          <w:color w:val="000000"/>
          <w:sz w:val="20"/>
          <w:szCs w:val="20"/>
        </w:rPr>
        <w:t xml:space="preserve"> enrichment </w:t>
      </w:r>
      <w:r w:rsidR="006B32E1" w:rsidRPr="00CC39F5">
        <w:rPr>
          <w:rFonts w:ascii="Cambria" w:hAnsi="Cambria"/>
          <w:b/>
          <w:color w:val="000000"/>
          <w:sz w:val="20"/>
          <w:szCs w:val="20"/>
        </w:rPr>
        <w:t>(</w:t>
      </w:r>
      <w:r w:rsidR="006C101A" w:rsidRPr="00CC39F5">
        <w:rPr>
          <w:rFonts w:ascii="Cambria" w:hAnsi="Cambria"/>
          <w:b/>
          <w:color w:val="000000"/>
          <w:sz w:val="20"/>
          <w:szCs w:val="20"/>
        </w:rPr>
        <w:t>Article</w:t>
      </w:r>
      <w:r w:rsidR="006B32E1" w:rsidRPr="00CC39F5">
        <w:rPr>
          <w:rFonts w:ascii="Cambria" w:hAnsi="Cambria"/>
          <w:b/>
          <w:color w:val="000000"/>
          <w:sz w:val="20"/>
          <w:szCs w:val="20"/>
        </w:rPr>
        <w:t xml:space="preserve"> 76 </w:t>
      </w:r>
      <w:r w:rsidR="002557B0" w:rsidRPr="00CC39F5">
        <w:rPr>
          <w:rFonts w:ascii="Cambria" w:hAnsi="Cambria"/>
          <w:b/>
          <w:color w:val="000000"/>
          <w:sz w:val="20"/>
          <w:szCs w:val="20"/>
        </w:rPr>
        <w:t>of the Law on Narcotics and Psychotropic Substances</w:t>
      </w:r>
      <w:r w:rsidR="006B32E1" w:rsidRPr="00CC39F5">
        <w:rPr>
          <w:rStyle w:val="FootnoteReference"/>
          <w:rFonts w:ascii="Cambria" w:hAnsi="Cambria"/>
          <w:b/>
          <w:color w:val="000000"/>
          <w:sz w:val="20"/>
          <w:szCs w:val="20"/>
        </w:rPr>
        <w:footnoteReference w:id="39"/>
      </w:r>
      <w:r w:rsidR="006B32E1" w:rsidRPr="00CC39F5">
        <w:rPr>
          <w:rFonts w:ascii="Cambria" w:hAnsi="Cambria"/>
          <w:b/>
          <w:color w:val="000000"/>
          <w:sz w:val="20"/>
          <w:szCs w:val="20"/>
        </w:rPr>
        <w:t>)</w:t>
      </w:r>
    </w:p>
    <w:p w:rsidR="006B32E1" w:rsidRPr="00CC39F5" w:rsidRDefault="006B32E1" w:rsidP="006B32E1">
      <w:pPr>
        <w:jc w:val="both"/>
        <w:rPr>
          <w:rFonts w:ascii="Cambria" w:hAnsi="Cambria"/>
          <w:color w:val="000000"/>
          <w:sz w:val="20"/>
          <w:szCs w:val="20"/>
        </w:rPr>
      </w:pPr>
    </w:p>
    <w:p w:rsidR="006B32E1" w:rsidRPr="00CC39F5" w:rsidRDefault="00547029"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color w:val="000000"/>
          <w:sz w:val="20"/>
          <w:szCs w:val="20"/>
        </w:rPr>
        <w:t>On November 22,</w:t>
      </w:r>
      <w:r w:rsidR="006B32E1" w:rsidRPr="00CC39F5">
        <w:rPr>
          <w:rFonts w:ascii="Cambria" w:hAnsi="Cambria"/>
          <w:color w:val="000000"/>
          <w:sz w:val="20"/>
          <w:szCs w:val="20"/>
        </w:rPr>
        <w:t xml:space="preserve"> 1996 </w:t>
      </w:r>
      <w:r w:rsidR="00083FAE" w:rsidRPr="00CC39F5">
        <w:rPr>
          <w:rFonts w:ascii="Cambria" w:hAnsi="Cambria"/>
          <w:color w:val="000000"/>
          <w:sz w:val="20"/>
          <w:szCs w:val="20"/>
        </w:rPr>
        <w:t xml:space="preserve">the </w:t>
      </w:r>
      <w:r w:rsidR="002157C9" w:rsidRPr="00CC39F5">
        <w:rPr>
          <w:rFonts w:ascii="Cambria" w:hAnsi="Cambria"/>
          <w:color w:val="000000"/>
          <w:sz w:val="20"/>
          <w:szCs w:val="20"/>
        </w:rPr>
        <w:t>Chief Judge</w:t>
      </w:r>
      <w:r w:rsidR="00083FAE" w:rsidRPr="00CC39F5">
        <w:rPr>
          <w:rFonts w:ascii="Cambria" w:hAnsi="Cambria"/>
          <w:color w:val="000000"/>
          <w:sz w:val="20"/>
          <w:szCs w:val="20"/>
        </w:rPr>
        <w:t xml:space="preserve"> of the Superior Court of </w:t>
      </w:r>
      <w:r w:rsidR="006B32E1" w:rsidRPr="00CC39F5">
        <w:rPr>
          <w:rFonts w:ascii="Cambria" w:hAnsi="Cambria"/>
          <w:color w:val="000000"/>
          <w:sz w:val="20"/>
          <w:szCs w:val="20"/>
        </w:rPr>
        <w:t xml:space="preserve">Quito </w:t>
      </w:r>
      <w:r w:rsidR="00FC15CF" w:rsidRPr="00CC39F5">
        <w:rPr>
          <w:rFonts w:ascii="Cambria" w:hAnsi="Cambria"/>
          <w:color w:val="000000"/>
          <w:sz w:val="20"/>
          <w:szCs w:val="20"/>
        </w:rPr>
        <w:t>ordered</w:t>
      </w:r>
      <w:r w:rsidR="006B32E1" w:rsidRPr="00CC39F5">
        <w:rPr>
          <w:rFonts w:ascii="Cambria" w:hAnsi="Cambria"/>
          <w:color w:val="000000"/>
          <w:sz w:val="20"/>
          <w:szCs w:val="20"/>
        </w:rPr>
        <w:t xml:space="preserve"> </w:t>
      </w:r>
      <w:r w:rsidR="00FC15CF" w:rsidRPr="00CC39F5">
        <w:rPr>
          <w:rFonts w:ascii="Cambria" w:hAnsi="Cambria"/>
          <w:color w:val="000000"/>
          <w:sz w:val="20"/>
          <w:szCs w:val="20"/>
        </w:rPr>
        <w:t xml:space="preserve">a trial in the case brought against the alleged victim for the crime of </w:t>
      </w:r>
      <w:r w:rsidR="0084091E" w:rsidRPr="00CC39F5">
        <w:rPr>
          <w:rFonts w:ascii="Cambria" w:hAnsi="Cambria"/>
          <w:color w:val="000000"/>
          <w:sz w:val="20"/>
          <w:szCs w:val="20"/>
        </w:rPr>
        <w:t>illicit</w:t>
      </w:r>
      <w:r w:rsidR="00FC15CF" w:rsidRPr="00CC39F5">
        <w:rPr>
          <w:rFonts w:ascii="Cambria" w:hAnsi="Cambria"/>
          <w:color w:val="000000"/>
          <w:sz w:val="20"/>
          <w:szCs w:val="20"/>
        </w:rPr>
        <w:t xml:space="preserve"> enrichment, </w:t>
      </w:r>
      <w:r w:rsidR="00D03B8A" w:rsidRPr="00CC39F5">
        <w:rPr>
          <w:rFonts w:ascii="Cambria" w:hAnsi="Cambria"/>
          <w:color w:val="000000"/>
          <w:sz w:val="20"/>
          <w:szCs w:val="20"/>
        </w:rPr>
        <w:t>set forth</w:t>
      </w:r>
      <w:r w:rsidR="00FC15CF" w:rsidRPr="00CC39F5">
        <w:rPr>
          <w:rFonts w:ascii="Cambria" w:hAnsi="Cambria"/>
          <w:color w:val="000000"/>
          <w:sz w:val="20"/>
          <w:szCs w:val="20"/>
        </w:rPr>
        <w:t xml:space="preserve"> in Article 76 of the Law on Narcotics and Psychotropic Substances.</w:t>
      </w:r>
      <w:r w:rsidR="006B32E1" w:rsidRPr="00CC39F5">
        <w:rPr>
          <w:rFonts w:ascii="Cambria" w:hAnsi="Cambria"/>
          <w:color w:val="000000"/>
          <w:sz w:val="20"/>
          <w:szCs w:val="20"/>
        </w:rPr>
        <w:t xml:space="preserve"> </w:t>
      </w:r>
      <w:r w:rsidR="00FC15CF" w:rsidRPr="00CC39F5">
        <w:rPr>
          <w:rFonts w:ascii="Cambria" w:hAnsi="Cambria"/>
          <w:color w:val="000000"/>
          <w:sz w:val="20"/>
          <w:szCs w:val="20"/>
        </w:rPr>
        <w:t xml:space="preserve">The </w:t>
      </w:r>
      <w:r w:rsidR="002157C9" w:rsidRPr="00CC39F5">
        <w:rPr>
          <w:rFonts w:ascii="Cambria" w:hAnsi="Cambria"/>
          <w:color w:val="000000"/>
          <w:sz w:val="20"/>
          <w:szCs w:val="20"/>
        </w:rPr>
        <w:t>Chief Judge</w:t>
      </w:r>
      <w:r w:rsidR="00FC15CF" w:rsidRPr="00CC39F5">
        <w:rPr>
          <w:rFonts w:ascii="Cambria" w:hAnsi="Cambria"/>
          <w:color w:val="000000"/>
          <w:sz w:val="20"/>
          <w:szCs w:val="20"/>
        </w:rPr>
        <w:t xml:space="preserve"> determined that “evidence of the material existence of the offense” had been demonstrated in accordance with the law and i</w:t>
      </w:r>
      <w:r w:rsidR="00D03B8A" w:rsidRPr="00CC39F5">
        <w:rPr>
          <w:rFonts w:ascii="Cambria" w:hAnsi="Cambria"/>
          <w:color w:val="000000"/>
          <w:sz w:val="20"/>
          <w:szCs w:val="20"/>
        </w:rPr>
        <w:t xml:space="preserve">ndicated that the </w:t>
      </w:r>
      <w:r w:rsidR="006B32E1" w:rsidRPr="00CC39F5">
        <w:rPr>
          <w:rFonts w:ascii="Cambria" w:hAnsi="Cambria"/>
          <w:color w:val="000000"/>
          <w:sz w:val="20"/>
          <w:szCs w:val="20"/>
        </w:rPr>
        <w:t>Pichincha</w:t>
      </w:r>
      <w:r w:rsidR="00D03B8A" w:rsidRPr="00CC39F5">
        <w:rPr>
          <w:rFonts w:ascii="Cambria" w:hAnsi="Cambria"/>
          <w:color w:val="000000"/>
          <w:sz w:val="20"/>
          <w:szCs w:val="20"/>
        </w:rPr>
        <w:t xml:space="preserve"> Prosecutor</w:t>
      </w:r>
      <w:r w:rsidR="00FC15CF" w:rsidRPr="00CC39F5">
        <w:rPr>
          <w:rFonts w:ascii="Cambria" w:hAnsi="Cambria"/>
          <w:color w:val="000000"/>
          <w:sz w:val="20"/>
          <w:szCs w:val="20"/>
        </w:rPr>
        <w:t xml:space="preserve"> had alleged that</w:t>
      </w:r>
      <w:r w:rsidR="006B32E1" w:rsidRPr="00CC39F5">
        <w:rPr>
          <w:rFonts w:ascii="Cambria" w:hAnsi="Cambria"/>
          <w:color w:val="000000"/>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rPr>
      </w:pPr>
    </w:p>
    <w:p w:rsidR="006B32E1" w:rsidRPr="00CC39F5" w:rsidRDefault="001742C3" w:rsidP="006B32E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olor w:val="000000"/>
          <w:sz w:val="20"/>
          <w:szCs w:val="20"/>
        </w:rPr>
      </w:pPr>
      <w:r w:rsidRPr="00CC39F5">
        <w:rPr>
          <w:rFonts w:ascii="Cambria" w:hAnsi="Cambria"/>
          <w:color w:val="000000"/>
          <w:sz w:val="20"/>
          <w:szCs w:val="20"/>
        </w:rPr>
        <w:t xml:space="preserve">[A]t its core, </w:t>
      </w:r>
      <w:r w:rsidR="00370E6E" w:rsidRPr="00CC39F5">
        <w:rPr>
          <w:rFonts w:ascii="Cambria" w:hAnsi="Cambria"/>
          <w:color w:val="000000"/>
          <w:sz w:val="20"/>
          <w:szCs w:val="20"/>
        </w:rPr>
        <w:t>illicit enrichment</w:t>
      </w:r>
      <w:r w:rsidRPr="00CC39F5">
        <w:rPr>
          <w:rFonts w:ascii="Cambria" w:hAnsi="Cambria"/>
          <w:color w:val="000000"/>
          <w:sz w:val="20"/>
          <w:szCs w:val="20"/>
        </w:rPr>
        <w:t xml:space="preserve"> encompasses all property and personal rights</w:t>
      </w:r>
      <w:r w:rsidR="006B32E1" w:rsidRPr="00CC39F5">
        <w:rPr>
          <w:rFonts w:ascii="Cambria" w:hAnsi="Cambria"/>
          <w:color w:val="000000"/>
          <w:sz w:val="20"/>
          <w:szCs w:val="20"/>
        </w:rPr>
        <w:t xml:space="preserve"> </w:t>
      </w:r>
      <w:r w:rsidRPr="00CC39F5">
        <w:rPr>
          <w:rFonts w:ascii="Cambria" w:hAnsi="Cambria"/>
          <w:color w:val="000000"/>
          <w:sz w:val="20"/>
          <w:szCs w:val="20"/>
        </w:rPr>
        <w:t xml:space="preserve">and the legal provision that governs this crime places the burden of proof on the defendants, who are required to demonstrate the legality of the means used to make the expenditures or increase their net worth or </w:t>
      </w:r>
      <w:r w:rsidR="00807EB7" w:rsidRPr="00CC39F5">
        <w:rPr>
          <w:rFonts w:ascii="Cambria" w:hAnsi="Cambria"/>
          <w:color w:val="000000"/>
          <w:sz w:val="20"/>
          <w:szCs w:val="20"/>
        </w:rPr>
        <w:t>that they derive from</w:t>
      </w:r>
      <w:r w:rsidRPr="00CC39F5">
        <w:rPr>
          <w:rFonts w:ascii="Cambria" w:hAnsi="Cambria"/>
          <w:color w:val="000000"/>
          <w:sz w:val="20"/>
          <w:szCs w:val="20"/>
        </w:rPr>
        <w:t xml:space="preserve"> sources not directly linked to the crimes </w:t>
      </w:r>
      <w:r w:rsidR="00536B83" w:rsidRPr="00CC39F5">
        <w:rPr>
          <w:rFonts w:ascii="Cambria" w:hAnsi="Cambria"/>
          <w:color w:val="000000"/>
          <w:sz w:val="20"/>
          <w:szCs w:val="20"/>
        </w:rPr>
        <w:t>established</w:t>
      </w:r>
      <w:r w:rsidRPr="00CC39F5">
        <w:rPr>
          <w:rFonts w:ascii="Cambria" w:hAnsi="Cambria"/>
          <w:color w:val="000000"/>
          <w:sz w:val="20"/>
          <w:szCs w:val="20"/>
        </w:rPr>
        <w:t xml:space="preserve"> under the Law on Narcotics and Psychotropic Substances</w:t>
      </w:r>
      <w:r w:rsidR="006C101A" w:rsidRPr="00CC39F5">
        <w:rPr>
          <w:rFonts w:ascii="Cambria" w:hAnsi="Cambria"/>
          <w:color w:val="000000"/>
          <w:sz w:val="20"/>
          <w:szCs w:val="20"/>
        </w:rPr>
        <w:t>.</w:t>
      </w:r>
      <w:r w:rsidR="006B32E1" w:rsidRPr="00CC39F5">
        <w:rPr>
          <w:rStyle w:val="FootnoteReference"/>
          <w:rFonts w:ascii="Cambria" w:hAnsi="Cambria"/>
          <w:color w:val="000000"/>
          <w:sz w:val="20"/>
          <w:szCs w:val="20"/>
        </w:rPr>
        <w:footnoteReference w:id="40"/>
      </w:r>
    </w:p>
    <w:p w:rsidR="006B32E1" w:rsidRPr="00CC39F5" w:rsidRDefault="006B32E1" w:rsidP="006B32E1">
      <w:pPr>
        <w:jc w:val="both"/>
        <w:rPr>
          <w:rFonts w:ascii="Cambria" w:hAnsi="Cambria"/>
          <w:color w:val="000000"/>
          <w:sz w:val="20"/>
          <w:szCs w:val="20"/>
        </w:rPr>
      </w:pPr>
    </w:p>
    <w:p w:rsidR="006B32E1" w:rsidRPr="00CC39F5" w:rsidRDefault="009E65E4"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color w:val="000000"/>
          <w:sz w:val="20"/>
          <w:szCs w:val="20"/>
        </w:rPr>
        <w:t xml:space="preserve">The </w:t>
      </w:r>
      <w:r w:rsidR="002157C9" w:rsidRPr="00CC39F5">
        <w:rPr>
          <w:rFonts w:ascii="Cambria" w:hAnsi="Cambria"/>
          <w:color w:val="000000"/>
          <w:sz w:val="20"/>
          <w:szCs w:val="20"/>
        </w:rPr>
        <w:t>Chief Judge</w:t>
      </w:r>
      <w:r w:rsidRPr="00CC39F5">
        <w:rPr>
          <w:rFonts w:ascii="Cambria" w:hAnsi="Cambria"/>
          <w:color w:val="000000"/>
          <w:sz w:val="20"/>
          <w:szCs w:val="20"/>
        </w:rPr>
        <w:t xml:space="preserve"> decided to uphold the pretrial detention </w:t>
      </w:r>
      <w:r w:rsidR="00A341AD" w:rsidRPr="00CC39F5">
        <w:rPr>
          <w:rFonts w:ascii="Cambria" w:hAnsi="Cambria"/>
          <w:color w:val="000000"/>
          <w:sz w:val="20"/>
          <w:szCs w:val="20"/>
        </w:rPr>
        <w:t>provided</w:t>
      </w:r>
      <w:r w:rsidR="002B4D6E" w:rsidRPr="00CC39F5">
        <w:rPr>
          <w:rFonts w:ascii="Cambria" w:hAnsi="Cambria"/>
          <w:color w:val="000000"/>
          <w:sz w:val="20"/>
          <w:szCs w:val="20"/>
        </w:rPr>
        <w:t xml:space="preserve"> for</w:t>
      </w:r>
      <w:r w:rsidRPr="00CC39F5">
        <w:rPr>
          <w:rFonts w:ascii="Cambria" w:hAnsi="Cambria"/>
          <w:color w:val="000000"/>
          <w:sz w:val="20"/>
          <w:szCs w:val="20"/>
        </w:rPr>
        <w:t xml:space="preserve"> in the </w:t>
      </w:r>
      <w:r w:rsidR="002B4D6E" w:rsidRPr="00CC39F5">
        <w:rPr>
          <w:rFonts w:ascii="Cambria" w:hAnsi="Cambria"/>
          <w:color w:val="000000"/>
          <w:sz w:val="20"/>
          <w:szCs w:val="20"/>
        </w:rPr>
        <w:t>order to initiate proceedings</w:t>
      </w:r>
      <w:r w:rsidRPr="00CC39F5">
        <w:rPr>
          <w:rFonts w:ascii="Cambria" w:hAnsi="Cambria"/>
          <w:color w:val="000000"/>
          <w:sz w:val="20"/>
          <w:szCs w:val="20"/>
        </w:rPr>
        <w:t xml:space="preserve"> and ordered the seizure of all the goods, currency, and other valuables that had been used in the commission of the crime being prosecuted or that resulted or derived therefrom</w:t>
      </w:r>
      <w:r w:rsidR="006C101A" w:rsidRPr="00CC39F5">
        <w:rPr>
          <w:rFonts w:ascii="Cambria" w:hAnsi="Cambria"/>
          <w:color w:val="000000"/>
          <w:sz w:val="20"/>
          <w:szCs w:val="20"/>
        </w:rPr>
        <w:t>.</w:t>
      </w:r>
      <w:r w:rsidR="006B32E1" w:rsidRPr="00CC39F5">
        <w:rPr>
          <w:rStyle w:val="FootnoteReference"/>
          <w:rFonts w:ascii="Cambria" w:hAnsi="Cambria"/>
          <w:color w:val="000000"/>
          <w:sz w:val="20"/>
          <w:szCs w:val="20"/>
        </w:rPr>
        <w:footnoteReference w:id="41"/>
      </w:r>
    </w:p>
    <w:p w:rsidR="006B32E1" w:rsidRPr="00CC39F5" w:rsidRDefault="006B32E1" w:rsidP="006B32E1">
      <w:pPr>
        <w:jc w:val="both"/>
        <w:rPr>
          <w:rFonts w:ascii="Cambria" w:hAnsi="Cambria"/>
          <w:color w:val="000000"/>
          <w:sz w:val="20"/>
          <w:szCs w:val="20"/>
        </w:rPr>
      </w:pPr>
    </w:p>
    <w:p w:rsidR="006B32E1" w:rsidRPr="00CC39F5" w:rsidRDefault="001E1FA3"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color w:val="000000"/>
          <w:sz w:val="20"/>
          <w:szCs w:val="20"/>
        </w:rPr>
        <w:t>On May 7,</w:t>
      </w:r>
      <w:r w:rsidR="006B32E1" w:rsidRPr="00CC39F5">
        <w:rPr>
          <w:rFonts w:ascii="Cambria" w:hAnsi="Cambria"/>
          <w:color w:val="000000"/>
          <w:sz w:val="20"/>
          <w:szCs w:val="20"/>
        </w:rPr>
        <w:t xml:space="preserve"> 1998 </w:t>
      </w:r>
      <w:r w:rsidRPr="00CC39F5">
        <w:rPr>
          <w:rFonts w:ascii="Cambria" w:hAnsi="Cambria"/>
          <w:color w:val="000000"/>
          <w:sz w:val="20"/>
          <w:szCs w:val="20"/>
        </w:rPr>
        <w:t>the Superior Court of Justice of</w:t>
      </w:r>
      <w:r w:rsidR="006B32E1" w:rsidRPr="00CC39F5">
        <w:rPr>
          <w:rFonts w:ascii="Cambria" w:hAnsi="Cambria"/>
          <w:color w:val="000000"/>
          <w:sz w:val="20"/>
          <w:szCs w:val="20"/>
        </w:rPr>
        <w:t xml:space="preserve"> Quito </w:t>
      </w:r>
      <w:r w:rsidRPr="00CC39F5">
        <w:rPr>
          <w:rFonts w:ascii="Cambria" w:hAnsi="Cambria"/>
          <w:color w:val="000000"/>
          <w:sz w:val="20"/>
          <w:szCs w:val="20"/>
        </w:rPr>
        <w:t>dismissed the case on the grounds that the existence of an offense had not been adequately proven</w:t>
      </w:r>
      <w:r w:rsidR="006C101A" w:rsidRPr="00CC39F5">
        <w:rPr>
          <w:rFonts w:ascii="Cambria" w:hAnsi="Cambria"/>
          <w:color w:val="000000"/>
          <w:sz w:val="20"/>
          <w:szCs w:val="20"/>
        </w:rPr>
        <w:t>.</w:t>
      </w:r>
      <w:r w:rsidR="006B32E1" w:rsidRPr="00CC39F5">
        <w:rPr>
          <w:rStyle w:val="FootnoteReference"/>
          <w:rFonts w:ascii="Cambria" w:hAnsi="Cambria"/>
          <w:color w:val="000000"/>
          <w:sz w:val="20"/>
          <w:szCs w:val="20"/>
        </w:rPr>
        <w:footnoteReference w:id="42"/>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p>
    <w:p w:rsidR="006B32E1" w:rsidRPr="00CC39F5" w:rsidRDefault="002372B8" w:rsidP="003D4DF4">
      <w:pPr>
        <w:numPr>
          <w:ilvl w:val="0"/>
          <w:numId w:val="64"/>
        </w:numPr>
        <w:tabs>
          <w:tab w:val="left" w:pos="1440"/>
        </w:tabs>
        <w:ind w:left="1440" w:hanging="720"/>
        <w:jc w:val="both"/>
        <w:rPr>
          <w:rFonts w:ascii="Cambria" w:hAnsi="Cambria"/>
          <w:b/>
          <w:color w:val="000000"/>
          <w:sz w:val="20"/>
          <w:szCs w:val="20"/>
        </w:rPr>
      </w:pPr>
      <w:r w:rsidRPr="00CC39F5">
        <w:rPr>
          <w:rFonts w:ascii="Cambria" w:hAnsi="Cambria"/>
          <w:b/>
          <w:color w:val="000000"/>
          <w:sz w:val="20"/>
          <w:szCs w:val="20"/>
        </w:rPr>
        <w:lastRenderedPageBreak/>
        <w:t>Front operations and straw men</w:t>
      </w:r>
      <w:r w:rsidR="006B32E1" w:rsidRPr="00CC39F5">
        <w:rPr>
          <w:rFonts w:ascii="Cambria" w:hAnsi="Cambria"/>
          <w:b/>
          <w:color w:val="000000"/>
          <w:sz w:val="20"/>
          <w:szCs w:val="20"/>
        </w:rPr>
        <w:t xml:space="preserve"> (</w:t>
      </w:r>
      <w:r w:rsidR="006C101A" w:rsidRPr="00CC39F5">
        <w:rPr>
          <w:rFonts w:ascii="Cambria" w:hAnsi="Cambria"/>
          <w:b/>
          <w:color w:val="000000"/>
          <w:sz w:val="20"/>
          <w:szCs w:val="20"/>
        </w:rPr>
        <w:t>Article</w:t>
      </w:r>
      <w:r w:rsidR="006B32E1" w:rsidRPr="00CC39F5">
        <w:rPr>
          <w:rFonts w:ascii="Cambria" w:hAnsi="Cambria"/>
          <w:b/>
          <w:color w:val="000000"/>
          <w:sz w:val="20"/>
          <w:szCs w:val="20"/>
        </w:rPr>
        <w:t xml:space="preserve"> 78 </w:t>
      </w:r>
      <w:r w:rsidR="006C101A" w:rsidRPr="00CC39F5">
        <w:rPr>
          <w:rFonts w:ascii="Cambria" w:hAnsi="Cambria"/>
          <w:b/>
          <w:color w:val="000000"/>
          <w:sz w:val="20"/>
          <w:szCs w:val="20"/>
        </w:rPr>
        <w:t>of the Law on Narcotics and Psychotropic Substances</w:t>
      </w:r>
      <w:r w:rsidR="006B32E1" w:rsidRPr="00CC39F5">
        <w:rPr>
          <w:rStyle w:val="FootnoteReference"/>
          <w:rFonts w:ascii="Cambria" w:hAnsi="Cambria"/>
          <w:b/>
          <w:color w:val="000000"/>
          <w:sz w:val="20"/>
          <w:szCs w:val="20"/>
        </w:rPr>
        <w:footnoteReference w:id="43"/>
      </w:r>
      <w:r w:rsidR="006B32E1" w:rsidRPr="00CC39F5">
        <w:rPr>
          <w:rFonts w:ascii="Cambria" w:hAnsi="Cambria"/>
          <w:b/>
          <w:color w:val="000000"/>
          <w:sz w:val="20"/>
          <w:szCs w:val="20"/>
        </w:rPr>
        <w:t>)</w:t>
      </w:r>
    </w:p>
    <w:p w:rsidR="006B32E1" w:rsidRPr="00CC39F5" w:rsidRDefault="006B32E1" w:rsidP="006B32E1">
      <w:pPr>
        <w:jc w:val="both"/>
        <w:rPr>
          <w:rFonts w:ascii="Cambria" w:hAnsi="Cambria"/>
          <w:color w:val="000000"/>
          <w:sz w:val="20"/>
          <w:szCs w:val="20"/>
        </w:rPr>
      </w:pPr>
    </w:p>
    <w:p w:rsidR="006B32E1" w:rsidRPr="00CC39F5" w:rsidRDefault="006A6C2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color w:val="000000"/>
          <w:sz w:val="20"/>
          <w:szCs w:val="20"/>
        </w:rPr>
        <w:t>The information available on this proceeding is minimal</w:t>
      </w:r>
      <w:r w:rsidR="006B32E1" w:rsidRPr="00CC39F5">
        <w:rPr>
          <w:rFonts w:ascii="Cambria" w:hAnsi="Cambria"/>
          <w:color w:val="000000"/>
          <w:sz w:val="20"/>
          <w:szCs w:val="20"/>
        </w:rPr>
        <w:t xml:space="preserve">. </w:t>
      </w:r>
      <w:r w:rsidRPr="00CC39F5">
        <w:rPr>
          <w:rFonts w:ascii="Cambria" w:hAnsi="Cambria"/>
          <w:color w:val="000000"/>
          <w:sz w:val="20"/>
          <w:szCs w:val="20"/>
        </w:rPr>
        <w:t xml:space="preserve">The information that does exist reveals that there was an </w:t>
      </w:r>
      <w:r w:rsidR="008A52CB" w:rsidRPr="00CC39F5">
        <w:rPr>
          <w:rFonts w:ascii="Cambria" w:hAnsi="Cambria"/>
          <w:color w:val="000000"/>
          <w:sz w:val="20"/>
          <w:szCs w:val="20"/>
        </w:rPr>
        <w:t xml:space="preserve">order to initiate proceedings </w:t>
      </w:r>
      <w:r w:rsidR="003018F4" w:rsidRPr="00CC39F5">
        <w:rPr>
          <w:rFonts w:ascii="Cambria" w:hAnsi="Cambria"/>
          <w:color w:val="000000"/>
          <w:sz w:val="20"/>
          <w:szCs w:val="20"/>
        </w:rPr>
        <w:t>charging</w:t>
      </w:r>
      <w:r w:rsidRPr="00CC39F5">
        <w:rPr>
          <w:rFonts w:ascii="Cambria" w:hAnsi="Cambria"/>
          <w:color w:val="000000"/>
          <w:sz w:val="20"/>
          <w:szCs w:val="20"/>
        </w:rPr>
        <w:t xml:space="preserve"> Mr.</w:t>
      </w:r>
      <w:r w:rsidR="006B32E1" w:rsidRPr="00CC39F5">
        <w:rPr>
          <w:rFonts w:ascii="Cambria" w:hAnsi="Cambria"/>
          <w:color w:val="000000"/>
          <w:sz w:val="20"/>
          <w:szCs w:val="20"/>
        </w:rPr>
        <w:t xml:space="preserve"> Montesinos </w:t>
      </w:r>
      <w:r w:rsidRPr="00CC39F5">
        <w:rPr>
          <w:rFonts w:ascii="Cambria" w:hAnsi="Cambria"/>
          <w:color w:val="000000"/>
          <w:sz w:val="20"/>
          <w:szCs w:val="20"/>
        </w:rPr>
        <w:t>with this crime</w:t>
      </w:r>
      <w:r w:rsidR="003D6EBA" w:rsidRPr="00CC39F5">
        <w:rPr>
          <w:rFonts w:ascii="Cambria" w:hAnsi="Cambria"/>
          <w:color w:val="000000"/>
          <w:sz w:val="20"/>
          <w:szCs w:val="20"/>
        </w:rPr>
        <w:t xml:space="preserve"> that also ordered</w:t>
      </w:r>
      <w:r w:rsidRPr="00CC39F5">
        <w:rPr>
          <w:rFonts w:ascii="Cambria" w:hAnsi="Cambria"/>
          <w:color w:val="000000"/>
          <w:sz w:val="20"/>
          <w:szCs w:val="20"/>
        </w:rPr>
        <w:t xml:space="preserve"> pretrial detention</w:t>
      </w:r>
      <w:r w:rsidR="006B32E1" w:rsidRPr="00CC39F5">
        <w:rPr>
          <w:rFonts w:ascii="Cambria" w:hAnsi="Cambria"/>
          <w:color w:val="000000"/>
          <w:sz w:val="20"/>
          <w:szCs w:val="20"/>
        </w:rPr>
        <w:t xml:space="preserve">. </w:t>
      </w:r>
      <w:r w:rsidR="0087428A" w:rsidRPr="00CC39F5">
        <w:rPr>
          <w:rFonts w:ascii="Cambria" w:hAnsi="Cambria"/>
          <w:color w:val="000000"/>
          <w:sz w:val="20"/>
          <w:szCs w:val="20"/>
        </w:rPr>
        <w:t>In an interlocutory order issued on November</w:t>
      </w:r>
      <w:r w:rsidR="006B32E1" w:rsidRPr="00CC39F5">
        <w:rPr>
          <w:rFonts w:ascii="Cambria" w:hAnsi="Cambria"/>
          <w:color w:val="000000"/>
          <w:sz w:val="20"/>
          <w:szCs w:val="20"/>
        </w:rPr>
        <w:t xml:space="preserve"> 5 </w:t>
      </w:r>
      <w:r w:rsidR="0087428A" w:rsidRPr="00CC39F5">
        <w:rPr>
          <w:rFonts w:ascii="Cambria" w:hAnsi="Cambria"/>
          <w:color w:val="000000"/>
          <w:sz w:val="20"/>
          <w:szCs w:val="20"/>
        </w:rPr>
        <w:t xml:space="preserve">of that year, the </w:t>
      </w:r>
      <w:r w:rsidR="00E70884" w:rsidRPr="00CC39F5">
        <w:rPr>
          <w:rFonts w:ascii="Cambria" w:hAnsi="Cambria"/>
          <w:color w:val="000000"/>
          <w:sz w:val="20"/>
          <w:szCs w:val="20"/>
        </w:rPr>
        <w:t>preliminary proceedings</w:t>
      </w:r>
      <w:r w:rsidR="0087428A" w:rsidRPr="00CC39F5">
        <w:rPr>
          <w:rFonts w:ascii="Cambria" w:hAnsi="Cambria"/>
          <w:color w:val="000000"/>
          <w:sz w:val="20"/>
          <w:szCs w:val="20"/>
        </w:rPr>
        <w:t xml:space="preserve"> w</w:t>
      </w:r>
      <w:r w:rsidR="00E70884" w:rsidRPr="00CC39F5">
        <w:rPr>
          <w:rFonts w:ascii="Cambria" w:hAnsi="Cambria"/>
          <w:color w:val="000000"/>
          <w:sz w:val="20"/>
          <w:szCs w:val="20"/>
        </w:rPr>
        <w:t>ere formally concluded</w:t>
      </w:r>
      <w:r w:rsidR="0087428A" w:rsidRPr="00CC39F5">
        <w:rPr>
          <w:rFonts w:ascii="Cambria" w:hAnsi="Cambria"/>
          <w:color w:val="000000"/>
          <w:sz w:val="20"/>
          <w:szCs w:val="20"/>
        </w:rPr>
        <w:t xml:space="preserve"> and the </w:t>
      </w:r>
      <w:r w:rsidR="006B32E1" w:rsidRPr="00CC39F5">
        <w:rPr>
          <w:rFonts w:ascii="Cambria" w:hAnsi="Cambria"/>
          <w:color w:val="000000"/>
          <w:sz w:val="20"/>
          <w:szCs w:val="20"/>
        </w:rPr>
        <w:t>Pichincha</w:t>
      </w:r>
      <w:r w:rsidR="00947C49" w:rsidRPr="00CC39F5">
        <w:rPr>
          <w:rFonts w:ascii="Cambria" w:hAnsi="Cambria"/>
          <w:color w:val="000000"/>
          <w:sz w:val="20"/>
          <w:szCs w:val="20"/>
        </w:rPr>
        <w:t xml:space="preserve"> Prosecutor</w:t>
      </w:r>
      <w:r w:rsidR="006B32E1" w:rsidRPr="00CC39F5">
        <w:rPr>
          <w:rFonts w:ascii="Cambria" w:hAnsi="Cambria"/>
          <w:color w:val="000000"/>
          <w:sz w:val="20"/>
          <w:szCs w:val="20"/>
        </w:rPr>
        <w:t xml:space="preserve"> </w:t>
      </w:r>
      <w:r w:rsidR="0087428A" w:rsidRPr="00CC39F5">
        <w:rPr>
          <w:rFonts w:ascii="Cambria" w:hAnsi="Cambria"/>
          <w:color w:val="000000"/>
          <w:sz w:val="20"/>
          <w:szCs w:val="20"/>
        </w:rPr>
        <w:t>was ordered to make a decision regarding who was required to issue an opinion within a period of six days</w:t>
      </w:r>
      <w:r w:rsidR="006C101A" w:rsidRPr="00CC39F5">
        <w:rPr>
          <w:rFonts w:ascii="Cambria" w:hAnsi="Cambria"/>
          <w:color w:val="000000"/>
          <w:sz w:val="20"/>
          <w:szCs w:val="20"/>
        </w:rPr>
        <w:t>.</w:t>
      </w:r>
      <w:r w:rsidR="006B32E1" w:rsidRPr="00CC39F5">
        <w:rPr>
          <w:rStyle w:val="FootnoteReference"/>
          <w:rFonts w:ascii="Cambria" w:hAnsi="Cambria"/>
          <w:color w:val="000000"/>
          <w:sz w:val="20"/>
          <w:szCs w:val="20"/>
        </w:rPr>
        <w:footnoteReference w:id="44"/>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rPr>
      </w:pPr>
    </w:p>
    <w:p w:rsidR="006B32E1" w:rsidRPr="00CC39F5" w:rsidRDefault="002530B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color w:val="000000"/>
          <w:sz w:val="20"/>
          <w:szCs w:val="20"/>
        </w:rPr>
        <w:t>The IACHR</w:t>
      </w:r>
      <w:r w:rsidR="006B32E1" w:rsidRPr="00CC39F5">
        <w:rPr>
          <w:rFonts w:ascii="Cambria" w:hAnsi="Cambria"/>
          <w:color w:val="000000"/>
          <w:sz w:val="20"/>
          <w:szCs w:val="20"/>
        </w:rPr>
        <w:t xml:space="preserve"> </w:t>
      </w:r>
      <w:r w:rsidR="00857435" w:rsidRPr="00CC39F5">
        <w:rPr>
          <w:rFonts w:ascii="Cambria" w:hAnsi="Cambria"/>
          <w:color w:val="000000"/>
          <w:sz w:val="20"/>
          <w:szCs w:val="20"/>
        </w:rPr>
        <w:t>notes that the petitioner indicated, in his March 2004 communication, that Mr. Montesinos had been a</w:t>
      </w:r>
      <w:r w:rsidR="00947C49" w:rsidRPr="00CC39F5">
        <w:rPr>
          <w:rFonts w:ascii="Cambria" w:hAnsi="Cambria"/>
          <w:color w:val="000000"/>
          <w:sz w:val="20"/>
          <w:szCs w:val="20"/>
        </w:rPr>
        <w:t>cquitted and that the prosecuting authority</w:t>
      </w:r>
      <w:r w:rsidR="00857435" w:rsidRPr="00CC39F5">
        <w:rPr>
          <w:rFonts w:ascii="Cambria" w:hAnsi="Cambria"/>
          <w:color w:val="000000"/>
          <w:sz w:val="20"/>
          <w:szCs w:val="20"/>
        </w:rPr>
        <w:t xml:space="preserve"> had filed an appeal challenging that decision. As indicated in the section on admissibility, the </w:t>
      </w:r>
      <w:r w:rsidRPr="00CC39F5">
        <w:rPr>
          <w:rFonts w:ascii="Cambria" w:hAnsi="Cambria"/>
          <w:sz w:val="20"/>
          <w:szCs w:val="20"/>
        </w:rPr>
        <w:t>IACHR</w:t>
      </w:r>
      <w:r w:rsidR="006B32E1" w:rsidRPr="00CC39F5">
        <w:rPr>
          <w:rFonts w:ascii="Cambria" w:hAnsi="Cambria"/>
          <w:sz w:val="20"/>
          <w:szCs w:val="20"/>
        </w:rPr>
        <w:t xml:space="preserve"> </w:t>
      </w:r>
      <w:r w:rsidR="00857435" w:rsidRPr="00CC39F5">
        <w:rPr>
          <w:rFonts w:ascii="Cambria" w:hAnsi="Cambria"/>
          <w:sz w:val="20"/>
          <w:szCs w:val="20"/>
        </w:rPr>
        <w:t>has no additional information</w:t>
      </w:r>
      <w:r w:rsidR="006B32E1" w:rsidRPr="00CC39F5">
        <w:rPr>
          <w:rFonts w:ascii="Cambria" w:hAnsi="Cambria"/>
          <w:sz w:val="20"/>
          <w:szCs w:val="20"/>
        </w:rPr>
        <w:t>.</w:t>
      </w:r>
    </w:p>
    <w:p w:rsidR="006B32E1" w:rsidRPr="00CC39F5" w:rsidRDefault="006B32E1" w:rsidP="006B32E1">
      <w:pPr>
        <w:pStyle w:val="ColorfulList-Accent11"/>
        <w:ind w:left="0"/>
        <w:rPr>
          <w:sz w:val="20"/>
          <w:szCs w:val="20"/>
        </w:rPr>
      </w:pPr>
    </w:p>
    <w:p w:rsidR="006B32E1" w:rsidRPr="00CC39F5" w:rsidRDefault="00857435" w:rsidP="003D4DF4">
      <w:pPr>
        <w:pStyle w:val="ColorfulList-Accent11"/>
        <w:numPr>
          <w:ilvl w:val="0"/>
          <w:numId w:val="60"/>
        </w:numPr>
        <w:ind w:firstLine="0"/>
        <w:rPr>
          <w:b/>
          <w:sz w:val="20"/>
          <w:szCs w:val="20"/>
        </w:rPr>
      </w:pPr>
      <w:r w:rsidRPr="00CC39F5">
        <w:rPr>
          <w:b/>
          <w:i/>
          <w:sz w:val="20"/>
          <w:szCs w:val="20"/>
        </w:rPr>
        <w:t>H</w:t>
      </w:r>
      <w:r w:rsidR="006C101A" w:rsidRPr="00CC39F5">
        <w:rPr>
          <w:b/>
          <w:i/>
          <w:sz w:val="20"/>
          <w:szCs w:val="20"/>
        </w:rPr>
        <w:t>a</w:t>
      </w:r>
      <w:r w:rsidR="003D5404" w:rsidRPr="00CC39F5">
        <w:rPr>
          <w:b/>
          <w:i/>
          <w:sz w:val="20"/>
          <w:szCs w:val="20"/>
        </w:rPr>
        <w:t>beas c</w:t>
      </w:r>
      <w:r w:rsidR="006B32E1" w:rsidRPr="00CC39F5">
        <w:rPr>
          <w:b/>
          <w:i/>
          <w:sz w:val="20"/>
          <w:szCs w:val="20"/>
        </w:rPr>
        <w:t>orpus</w:t>
      </w:r>
      <w:r w:rsidRPr="00CC39F5">
        <w:rPr>
          <w:b/>
          <w:i/>
          <w:sz w:val="20"/>
          <w:szCs w:val="20"/>
        </w:rPr>
        <w:t xml:space="preserve"> </w:t>
      </w:r>
      <w:r w:rsidR="003D5404" w:rsidRPr="00CC39F5">
        <w:rPr>
          <w:b/>
          <w:sz w:val="20"/>
          <w:szCs w:val="20"/>
        </w:rPr>
        <w:t>a</w:t>
      </w:r>
      <w:r w:rsidRPr="00CC39F5">
        <w:rPr>
          <w:b/>
          <w:sz w:val="20"/>
          <w:szCs w:val="20"/>
        </w:rPr>
        <w:t>ppeals</w:t>
      </w:r>
    </w:p>
    <w:p w:rsidR="006B32E1" w:rsidRPr="00CC39F5" w:rsidRDefault="006B32E1" w:rsidP="006B32E1">
      <w:pPr>
        <w:jc w:val="both"/>
        <w:rPr>
          <w:rFonts w:ascii="Cambria" w:hAnsi="Cambria"/>
          <w:sz w:val="20"/>
          <w:szCs w:val="20"/>
        </w:rPr>
      </w:pPr>
    </w:p>
    <w:p w:rsidR="006B32E1" w:rsidRPr="00CC39F5" w:rsidRDefault="008B132B"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September 10,</w:t>
      </w:r>
      <w:r w:rsidR="006B32E1" w:rsidRPr="00CC39F5">
        <w:rPr>
          <w:rFonts w:ascii="Cambria" w:hAnsi="Cambria"/>
          <w:sz w:val="20"/>
          <w:szCs w:val="20"/>
        </w:rPr>
        <w:t xml:space="preserve"> 1996 </w:t>
      </w:r>
      <w:r w:rsidR="001541E9" w:rsidRPr="00CC39F5">
        <w:rPr>
          <w:rFonts w:ascii="Cambria" w:hAnsi="Cambria"/>
          <w:sz w:val="20"/>
          <w:szCs w:val="20"/>
        </w:rPr>
        <w:t>the alleged victim filed a</w:t>
      </w:r>
      <w:r w:rsidR="006B32E1" w:rsidRPr="00CC39F5">
        <w:rPr>
          <w:rFonts w:ascii="Cambria" w:hAnsi="Cambria"/>
          <w:sz w:val="20"/>
          <w:szCs w:val="20"/>
        </w:rPr>
        <w:t xml:space="preserve"> </w:t>
      </w:r>
      <w:r w:rsidR="006B32E1" w:rsidRPr="00CC39F5">
        <w:rPr>
          <w:rFonts w:ascii="Cambria" w:hAnsi="Cambria"/>
          <w:i/>
          <w:sz w:val="20"/>
          <w:szCs w:val="20"/>
        </w:rPr>
        <w:t>habeas corpus</w:t>
      </w:r>
      <w:r w:rsidR="006B32E1" w:rsidRPr="00CC39F5">
        <w:rPr>
          <w:rFonts w:ascii="Cambria" w:hAnsi="Cambria"/>
          <w:sz w:val="20"/>
          <w:szCs w:val="20"/>
        </w:rPr>
        <w:t xml:space="preserve"> </w:t>
      </w:r>
      <w:r w:rsidR="001541E9" w:rsidRPr="00CC39F5">
        <w:rPr>
          <w:rFonts w:ascii="Cambria" w:hAnsi="Cambria"/>
          <w:sz w:val="20"/>
          <w:szCs w:val="20"/>
        </w:rPr>
        <w:t xml:space="preserve">appeal </w:t>
      </w:r>
      <w:r w:rsidRPr="00CC39F5">
        <w:rPr>
          <w:rFonts w:ascii="Cambria" w:hAnsi="Cambria"/>
          <w:sz w:val="20"/>
          <w:szCs w:val="20"/>
        </w:rPr>
        <w:t>with the Mayor of the Metropolitan District of</w:t>
      </w:r>
      <w:r w:rsidR="006B32E1" w:rsidRPr="00CC39F5">
        <w:rPr>
          <w:rFonts w:ascii="Cambria" w:hAnsi="Cambria"/>
          <w:sz w:val="20"/>
          <w:szCs w:val="20"/>
        </w:rPr>
        <w:t xml:space="preserve"> Quito, </w:t>
      </w:r>
      <w:r w:rsidRPr="00CC39F5">
        <w:rPr>
          <w:rFonts w:ascii="Cambria" w:hAnsi="Cambria"/>
          <w:sz w:val="20"/>
          <w:szCs w:val="20"/>
        </w:rPr>
        <w:t>alleging that his arrest had been illegal inasmuch as he was arrested without a warrant</w:t>
      </w:r>
      <w:r w:rsidR="006B32E1" w:rsidRPr="00CC39F5">
        <w:rPr>
          <w:rFonts w:ascii="Cambria" w:hAnsi="Cambria"/>
          <w:sz w:val="20"/>
          <w:szCs w:val="20"/>
        </w:rPr>
        <w:t xml:space="preserve">. </w:t>
      </w:r>
      <w:r w:rsidR="00DB651F" w:rsidRPr="00CC39F5">
        <w:rPr>
          <w:rFonts w:ascii="Cambria" w:hAnsi="Cambria"/>
          <w:sz w:val="20"/>
          <w:szCs w:val="20"/>
        </w:rPr>
        <w:t>He indicated that he had not been informed of the reasons for his arrest and that he had been beaten and forced to make a statement without his attorney present</w:t>
      </w:r>
      <w:r w:rsidR="006B32E1" w:rsidRPr="00CC39F5">
        <w:rPr>
          <w:rFonts w:ascii="Cambria" w:hAnsi="Cambria"/>
          <w:sz w:val="20"/>
          <w:szCs w:val="20"/>
        </w:rPr>
        <w:t xml:space="preserve">. </w:t>
      </w:r>
      <w:r w:rsidR="005807F0" w:rsidRPr="00CC39F5">
        <w:rPr>
          <w:rFonts w:ascii="Cambria" w:hAnsi="Cambria"/>
          <w:sz w:val="20"/>
          <w:szCs w:val="20"/>
        </w:rPr>
        <w:t>The alleged victim</w:t>
      </w:r>
      <w:r w:rsidR="00DB651F" w:rsidRPr="00CC39F5">
        <w:rPr>
          <w:rFonts w:ascii="Cambria" w:hAnsi="Cambria"/>
          <w:sz w:val="20"/>
          <w:szCs w:val="20"/>
        </w:rPr>
        <w:t xml:space="preserve"> added that he had been detained for more than 50 months, which is unreasonable</w:t>
      </w:r>
      <w:r w:rsidR="006C101A" w:rsidRPr="00CC39F5">
        <w:rPr>
          <w:rFonts w:ascii="Cambria" w:hAnsi="Cambria"/>
          <w:sz w:val="20"/>
          <w:szCs w:val="20"/>
        </w:rPr>
        <w:t>.</w:t>
      </w:r>
      <w:r w:rsidR="006B32E1" w:rsidRPr="00CC39F5">
        <w:rPr>
          <w:rStyle w:val="FootnoteReference"/>
          <w:rFonts w:ascii="Cambria" w:hAnsi="Cambria"/>
          <w:sz w:val="20"/>
          <w:szCs w:val="20"/>
        </w:rPr>
        <w:footnoteReference w:id="45"/>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1541E9"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The Mayor </w:t>
      </w:r>
      <w:r w:rsidR="00B0530B" w:rsidRPr="00CC39F5">
        <w:rPr>
          <w:rFonts w:ascii="Cambria" w:hAnsi="Cambria"/>
          <w:sz w:val="20"/>
          <w:szCs w:val="20"/>
        </w:rPr>
        <w:t>ruled</w:t>
      </w:r>
      <w:r w:rsidRPr="00CC39F5">
        <w:rPr>
          <w:rFonts w:ascii="Cambria" w:hAnsi="Cambria"/>
          <w:sz w:val="20"/>
          <w:szCs w:val="20"/>
        </w:rPr>
        <w:t xml:space="preserve"> the appeal</w:t>
      </w:r>
      <w:r w:rsidR="005807F0" w:rsidRPr="00CC39F5">
        <w:rPr>
          <w:rFonts w:ascii="Cambria" w:hAnsi="Cambria"/>
          <w:sz w:val="20"/>
          <w:szCs w:val="20"/>
        </w:rPr>
        <w:t xml:space="preserve"> inadmissible</w:t>
      </w:r>
      <w:r w:rsidRPr="00CC39F5">
        <w:rPr>
          <w:rFonts w:ascii="Cambria" w:hAnsi="Cambria"/>
          <w:sz w:val="20"/>
          <w:szCs w:val="20"/>
        </w:rPr>
        <w:t xml:space="preserve"> six days later, stating that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was being prosecuted in three criminal proceedings</w:t>
      </w:r>
      <w:r w:rsidR="006C101A" w:rsidRPr="00CC39F5">
        <w:rPr>
          <w:rFonts w:ascii="Cambria" w:hAnsi="Cambria"/>
          <w:sz w:val="20"/>
          <w:szCs w:val="20"/>
        </w:rPr>
        <w:t>.</w:t>
      </w:r>
      <w:r w:rsidR="006B32E1" w:rsidRPr="00CC39F5">
        <w:rPr>
          <w:rStyle w:val="FootnoteReference"/>
          <w:rFonts w:ascii="Cambria" w:hAnsi="Cambria"/>
          <w:sz w:val="20"/>
          <w:szCs w:val="20"/>
        </w:rPr>
        <w:footnoteReference w:id="46"/>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E1" w:rsidRPr="00CC39F5" w:rsidRDefault="00891BA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October 30,</w:t>
      </w:r>
      <w:r w:rsidR="006B32E1" w:rsidRPr="00CC39F5">
        <w:rPr>
          <w:rFonts w:ascii="Cambria" w:hAnsi="Cambria"/>
          <w:sz w:val="20"/>
          <w:szCs w:val="20"/>
        </w:rPr>
        <w:t xml:space="preserve"> 1996, </w:t>
      </w:r>
      <w:r w:rsidRPr="00CC39F5">
        <w:rPr>
          <w:rFonts w:ascii="Cambria" w:hAnsi="Cambria"/>
          <w:sz w:val="20"/>
          <w:szCs w:val="20"/>
        </w:rPr>
        <w:t>after receiving an appeal [of the above decision]</w:t>
      </w:r>
      <w:r w:rsidR="006B32E1" w:rsidRPr="00CC39F5">
        <w:rPr>
          <w:rFonts w:ascii="Cambria" w:hAnsi="Cambria"/>
          <w:sz w:val="20"/>
          <w:szCs w:val="20"/>
        </w:rPr>
        <w:t xml:space="preserve">, </w:t>
      </w:r>
      <w:r w:rsidR="00444AFF" w:rsidRPr="00CC39F5">
        <w:rPr>
          <w:rFonts w:ascii="Cambria" w:hAnsi="Cambria"/>
          <w:sz w:val="20"/>
          <w:szCs w:val="20"/>
        </w:rPr>
        <w:t xml:space="preserve">the Constitutional Rights Court </w:t>
      </w:r>
      <w:r w:rsidR="001B5BAC" w:rsidRPr="00CC39F5">
        <w:rPr>
          <w:rFonts w:ascii="Cambria" w:hAnsi="Cambria"/>
          <w:sz w:val="20"/>
          <w:szCs w:val="20"/>
        </w:rPr>
        <w:t>upheld</w:t>
      </w:r>
      <w:r w:rsidR="00444AFF" w:rsidRPr="00CC39F5">
        <w:rPr>
          <w:rFonts w:ascii="Cambria" w:hAnsi="Cambria"/>
          <w:sz w:val="20"/>
          <w:szCs w:val="20"/>
        </w:rPr>
        <w:t xml:space="preserve"> the </w:t>
      </w:r>
      <w:r w:rsidR="00444AFF" w:rsidRPr="00CC39F5">
        <w:rPr>
          <w:rFonts w:ascii="Cambria" w:hAnsi="Cambria"/>
          <w:i/>
          <w:sz w:val="20"/>
          <w:szCs w:val="20"/>
        </w:rPr>
        <w:t>ha</w:t>
      </w:r>
      <w:r w:rsidR="006B32E1" w:rsidRPr="00CC39F5">
        <w:rPr>
          <w:rFonts w:ascii="Cambria" w:hAnsi="Cambria"/>
          <w:i/>
          <w:sz w:val="20"/>
          <w:szCs w:val="20"/>
        </w:rPr>
        <w:t>beas corpus</w:t>
      </w:r>
      <w:r w:rsidR="005807F0" w:rsidRPr="00CC39F5">
        <w:rPr>
          <w:rFonts w:ascii="Cambria" w:hAnsi="Cambria"/>
          <w:sz w:val="20"/>
          <w:szCs w:val="20"/>
        </w:rPr>
        <w:t xml:space="preserve"> appeal. </w:t>
      </w:r>
      <w:r w:rsidR="00444AFF" w:rsidRPr="00CC39F5">
        <w:rPr>
          <w:rFonts w:ascii="Cambria" w:hAnsi="Cambria"/>
          <w:sz w:val="20"/>
          <w:szCs w:val="20"/>
        </w:rPr>
        <w:t>The Court considered that the “periods and timeframes</w:t>
      </w:r>
      <w:r w:rsidR="005807F0" w:rsidRPr="00CC39F5">
        <w:rPr>
          <w:rFonts w:ascii="Cambria" w:hAnsi="Cambria"/>
          <w:sz w:val="20"/>
          <w:szCs w:val="20"/>
        </w:rPr>
        <w:t xml:space="preserve"> that</w:t>
      </w:r>
      <w:r w:rsidR="00444AFF" w:rsidRPr="00CC39F5">
        <w:rPr>
          <w:rFonts w:ascii="Cambria" w:hAnsi="Cambria"/>
          <w:sz w:val="20"/>
          <w:szCs w:val="20"/>
        </w:rPr>
        <w:t xml:space="preserve"> procedural laws” stipulate for issuing judgments in the cases being prosecuted against Mr. Montesinos “had been overly and unwarrantedly exceeded” and ordered the Director of </w:t>
      </w:r>
      <w:r w:rsidR="007C1B88" w:rsidRPr="00CC39F5">
        <w:rPr>
          <w:rFonts w:ascii="Cambria" w:hAnsi="Cambria"/>
          <w:sz w:val="20"/>
          <w:szCs w:val="20"/>
        </w:rPr>
        <w:t>Men’s</w:t>
      </w:r>
      <w:r w:rsidR="00444AFF" w:rsidRPr="00CC39F5">
        <w:rPr>
          <w:rFonts w:ascii="Cambria" w:hAnsi="Cambria"/>
          <w:sz w:val="20"/>
          <w:szCs w:val="20"/>
        </w:rPr>
        <w:t xml:space="preserve"> S</w:t>
      </w:r>
      <w:r w:rsidR="007C1B88" w:rsidRPr="00CC39F5">
        <w:rPr>
          <w:rFonts w:ascii="Cambria" w:hAnsi="Cambria"/>
          <w:sz w:val="20"/>
          <w:szCs w:val="20"/>
        </w:rPr>
        <w:t>ocial Rehabilitation Center No. </w:t>
      </w:r>
      <w:r w:rsidR="006B32E1" w:rsidRPr="00CC39F5">
        <w:rPr>
          <w:rFonts w:ascii="Cambria" w:hAnsi="Cambria"/>
          <w:sz w:val="20"/>
          <w:szCs w:val="20"/>
        </w:rPr>
        <w:t>1</w:t>
      </w:r>
      <w:r w:rsidR="007C1B88" w:rsidRPr="00CC39F5">
        <w:rPr>
          <w:rFonts w:ascii="Cambria" w:hAnsi="Cambria"/>
          <w:sz w:val="20"/>
          <w:szCs w:val="20"/>
        </w:rPr>
        <w:t xml:space="preserve"> in Quito</w:t>
      </w:r>
      <w:r w:rsidR="006B32E1" w:rsidRPr="00CC39F5">
        <w:rPr>
          <w:rFonts w:ascii="Cambria" w:hAnsi="Cambria"/>
          <w:sz w:val="20"/>
          <w:szCs w:val="20"/>
        </w:rPr>
        <w:t xml:space="preserve"> </w:t>
      </w:r>
      <w:r w:rsidR="00444AFF" w:rsidRPr="00CC39F5">
        <w:rPr>
          <w:rFonts w:ascii="Cambria" w:hAnsi="Cambria"/>
          <w:sz w:val="20"/>
          <w:szCs w:val="20"/>
        </w:rPr>
        <w:t xml:space="preserve">to immediately release </w:t>
      </w:r>
      <w:r w:rsidR="00D87DBE" w:rsidRPr="00CC39F5">
        <w:rPr>
          <w:rFonts w:ascii="Cambria" w:hAnsi="Cambria"/>
          <w:sz w:val="20"/>
          <w:szCs w:val="20"/>
        </w:rPr>
        <w:t>Mr.</w:t>
      </w:r>
      <w:r w:rsidR="006B32E1" w:rsidRPr="00CC39F5">
        <w:rPr>
          <w:rFonts w:ascii="Cambria" w:hAnsi="Cambria"/>
          <w:sz w:val="20"/>
          <w:szCs w:val="20"/>
        </w:rPr>
        <w:t xml:space="preserve"> Montesinos</w:t>
      </w:r>
      <w:r w:rsidR="00444AFF" w:rsidRPr="00CC39F5">
        <w:rPr>
          <w:rFonts w:ascii="Cambria" w:hAnsi="Cambria"/>
          <w:sz w:val="20"/>
          <w:szCs w:val="20"/>
        </w:rPr>
        <w:t>.</w:t>
      </w:r>
      <w:r w:rsidR="006B32E1" w:rsidRPr="00CC39F5">
        <w:rPr>
          <w:rStyle w:val="FootnoteReference"/>
          <w:rFonts w:ascii="Cambria" w:hAnsi="Cambria"/>
          <w:sz w:val="20"/>
          <w:szCs w:val="20"/>
        </w:rPr>
        <w:footnoteReference w:id="47"/>
      </w:r>
      <w:r w:rsidR="006B32E1" w:rsidRPr="00CC39F5">
        <w:rPr>
          <w:rFonts w:ascii="Cambria" w:hAnsi="Cambria"/>
          <w:sz w:val="20"/>
          <w:szCs w:val="20"/>
        </w:rPr>
        <w:t xml:space="preserve"> </w:t>
      </w:r>
      <w:r w:rsidR="001261A5" w:rsidRPr="00CC39F5">
        <w:rPr>
          <w:rFonts w:ascii="Cambria" w:hAnsi="Cambria"/>
          <w:sz w:val="20"/>
          <w:szCs w:val="20"/>
        </w:rPr>
        <w:t>As to</w:t>
      </w:r>
      <w:r w:rsidR="00B0322A" w:rsidRPr="00CC39F5">
        <w:rPr>
          <w:rFonts w:ascii="Cambria" w:hAnsi="Cambria"/>
          <w:sz w:val="20"/>
          <w:szCs w:val="20"/>
        </w:rPr>
        <w:t xml:space="preserve"> the allegations of torture and cruel or inhuman treatment and </w:t>
      </w:r>
      <w:r w:rsidR="007C1B88" w:rsidRPr="00CC39F5">
        <w:rPr>
          <w:rFonts w:ascii="Cambria" w:hAnsi="Cambria"/>
          <w:sz w:val="20"/>
          <w:szCs w:val="20"/>
        </w:rPr>
        <w:t>the application</w:t>
      </w:r>
      <w:r w:rsidR="00B0322A" w:rsidRPr="00CC39F5">
        <w:rPr>
          <w:rFonts w:ascii="Cambria" w:hAnsi="Cambria"/>
          <w:sz w:val="20"/>
          <w:szCs w:val="20"/>
        </w:rPr>
        <w:t xml:space="preserve"> of the Law on Narcotics and Psychotropic Substances</w:t>
      </w:r>
      <w:r w:rsidR="006B32E1" w:rsidRPr="00CC39F5">
        <w:rPr>
          <w:rFonts w:ascii="Cambria" w:hAnsi="Cambria"/>
          <w:sz w:val="20"/>
          <w:szCs w:val="20"/>
        </w:rPr>
        <w:t xml:space="preserve">, </w:t>
      </w:r>
      <w:r w:rsidR="00B0322A" w:rsidRPr="00CC39F5">
        <w:rPr>
          <w:rFonts w:ascii="Cambria" w:hAnsi="Cambria"/>
          <w:sz w:val="20"/>
          <w:szCs w:val="20"/>
        </w:rPr>
        <w:t>the Court</w:t>
      </w:r>
      <w:r w:rsidR="001261A5" w:rsidRPr="00CC39F5">
        <w:rPr>
          <w:rFonts w:ascii="Cambria" w:hAnsi="Cambria"/>
          <w:sz w:val="20"/>
          <w:szCs w:val="20"/>
        </w:rPr>
        <w:t xml:space="preserve"> </w:t>
      </w:r>
      <w:r w:rsidR="007C1B88" w:rsidRPr="00CC39F5">
        <w:rPr>
          <w:rFonts w:ascii="Cambria" w:hAnsi="Cambria"/>
          <w:sz w:val="20"/>
          <w:szCs w:val="20"/>
        </w:rPr>
        <w:t>chose</w:t>
      </w:r>
      <w:r w:rsidR="001261A5" w:rsidRPr="00CC39F5">
        <w:rPr>
          <w:rFonts w:ascii="Cambria" w:hAnsi="Cambria"/>
          <w:sz w:val="20"/>
          <w:szCs w:val="20"/>
        </w:rPr>
        <w:t xml:space="preserve"> to refrain</w:t>
      </w:r>
      <w:r w:rsidR="006B32E1" w:rsidRPr="00CC39F5">
        <w:rPr>
          <w:rFonts w:ascii="Cambria" w:hAnsi="Cambria"/>
          <w:sz w:val="20"/>
          <w:szCs w:val="20"/>
        </w:rPr>
        <w:t xml:space="preserve"> </w:t>
      </w:r>
      <w:r w:rsidR="001261A5" w:rsidRPr="00CC39F5">
        <w:rPr>
          <w:rFonts w:ascii="Cambria" w:hAnsi="Cambria"/>
          <w:sz w:val="20"/>
          <w:szCs w:val="20"/>
        </w:rPr>
        <w:t xml:space="preserve">from taking a position because </w:t>
      </w:r>
      <w:r w:rsidR="00D87DBE" w:rsidRPr="00CC39F5">
        <w:rPr>
          <w:rFonts w:ascii="Cambria" w:hAnsi="Cambria"/>
          <w:sz w:val="20"/>
          <w:szCs w:val="20"/>
        </w:rPr>
        <w:t>Mr.</w:t>
      </w:r>
      <w:r w:rsidR="006B32E1" w:rsidRPr="00CC39F5">
        <w:rPr>
          <w:rFonts w:ascii="Cambria" w:hAnsi="Cambria"/>
          <w:sz w:val="20"/>
          <w:szCs w:val="20"/>
        </w:rPr>
        <w:t xml:space="preserve"> Montesinos </w:t>
      </w:r>
      <w:r w:rsidR="001261A5" w:rsidRPr="00CC39F5">
        <w:rPr>
          <w:rFonts w:ascii="Cambria" w:hAnsi="Cambria"/>
          <w:sz w:val="20"/>
          <w:szCs w:val="20"/>
        </w:rPr>
        <w:t>had not presented</w:t>
      </w:r>
      <w:r w:rsidR="006B32E1" w:rsidRPr="00CC39F5">
        <w:rPr>
          <w:rFonts w:ascii="Cambria" w:hAnsi="Cambria"/>
          <w:sz w:val="20"/>
          <w:szCs w:val="20"/>
        </w:rPr>
        <w:t xml:space="preserve"> “</w:t>
      </w:r>
      <w:r w:rsidR="001261A5" w:rsidRPr="00CC39F5">
        <w:rPr>
          <w:rFonts w:ascii="Cambria" w:hAnsi="Cambria"/>
          <w:sz w:val="20"/>
          <w:szCs w:val="20"/>
        </w:rPr>
        <w:t>evidence in this regard</w:t>
      </w:r>
      <w:r w:rsidR="006C101A" w:rsidRPr="00CC39F5">
        <w:rPr>
          <w:rFonts w:ascii="Cambria" w:hAnsi="Cambria"/>
          <w:sz w:val="20"/>
          <w:szCs w:val="20"/>
        </w:rPr>
        <w:t>.</w:t>
      </w:r>
      <w:r w:rsidR="006B32E1" w:rsidRPr="00CC39F5">
        <w:rPr>
          <w:rFonts w:ascii="Cambria" w:hAnsi="Cambria"/>
          <w:sz w:val="20"/>
          <w:szCs w:val="20"/>
        </w:rPr>
        <w:t>”</w:t>
      </w:r>
      <w:r w:rsidR="006B32E1" w:rsidRPr="00CC39F5">
        <w:rPr>
          <w:rStyle w:val="FootnoteReference"/>
          <w:rFonts w:ascii="Cambria" w:hAnsi="Cambria"/>
          <w:sz w:val="20"/>
          <w:szCs w:val="20"/>
        </w:rPr>
        <w:footnoteReference w:id="48"/>
      </w:r>
    </w:p>
    <w:p w:rsidR="006B32E1" w:rsidRPr="00CC39F5" w:rsidRDefault="006B32E1" w:rsidP="006B32E1">
      <w:pPr>
        <w:pStyle w:val="ColorfulList-Accent11"/>
        <w:ind w:left="0"/>
        <w:rPr>
          <w:sz w:val="20"/>
          <w:szCs w:val="20"/>
        </w:rPr>
      </w:pPr>
    </w:p>
    <w:p w:rsidR="006B32E1" w:rsidRPr="00CC39F5" w:rsidRDefault="00324A3C"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The case file contains a newspaper article that indicates that Mr. Montesinos </w:t>
      </w:r>
      <w:r w:rsidR="00F47AB8" w:rsidRPr="00CC39F5">
        <w:rPr>
          <w:rFonts w:ascii="Cambria" w:hAnsi="Cambria"/>
          <w:sz w:val="20"/>
          <w:szCs w:val="20"/>
        </w:rPr>
        <w:t>filed</w:t>
      </w:r>
      <w:r w:rsidRPr="00CC39F5">
        <w:rPr>
          <w:rFonts w:ascii="Cambria" w:hAnsi="Cambria"/>
          <w:sz w:val="20"/>
          <w:szCs w:val="20"/>
        </w:rPr>
        <w:t xml:space="preserve"> a complaint for contempt in mid-November</w:t>
      </w:r>
      <w:r w:rsidR="006B32E1" w:rsidRPr="00CC39F5">
        <w:rPr>
          <w:rFonts w:ascii="Cambria" w:hAnsi="Cambria"/>
          <w:sz w:val="20"/>
          <w:szCs w:val="20"/>
        </w:rPr>
        <w:t xml:space="preserve"> 1996 </w:t>
      </w:r>
      <w:r w:rsidR="00AE229D" w:rsidRPr="00CC39F5">
        <w:rPr>
          <w:rFonts w:ascii="Cambria" w:hAnsi="Cambria"/>
          <w:sz w:val="20"/>
          <w:szCs w:val="20"/>
        </w:rPr>
        <w:t>against the D</w:t>
      </w:r>
      <w:r w:rsidRPr="00CC39F5">
        <w:rPr>
          <w:rFonts w:ascii="Cambria" w:hAnsi="Cambria"/>
          <w:sz w:val="20"/>
          <w:szCs w:val="20"/>
        </w:rPr>
        <w:t>irector of the prison he wa</w:t>
      </w:r>
      <w:r w:rsidR="00AE229D" w:rsidRPr="00CC39F5">
        <w:rPr>
          <w:rFonts w:ascii="Cambria" w:hAnsi="Cambria"/>
          <w:sz w:val="20"/>
          <w:szCs w:val="20"/>
        </w:rPr>
        <w:t xml:space="preserve">s being held at because of </w:t>
      </w:r>
      <w:r w:rsidR="00FC77FE" w:rsidRPr="00CC39F5">
        <w:rPr>
          <w:rFonts w:ascii="Cambria" w:hAnsi="Cambria"/>
          <w:sz w:val="20"/>
          <w:szCs w:val="20"/>
        </w:rPr>
        <w:t>the</w:t>
      </w:r>
      <w:r w:rsidR="00AE229D" w:rsidRPr="00CC39F5">
        <w:rPr>
          <w:rFonts w:ascii="Cambria" w:hAnsi="Cambria"/>
          <w:sz w:val="20"/>
          <w:szCs w:val="20"/>
        </w:rPr>
        <w:t xml:space="preserve"> D</w:t>
      </w:r>
      <w:r w:rsidRPr="00CC39F5">
        <w:rPr>
          <w:rFonts w:ascii="Cambria" w:hAnsi="Cambria"/>
          <w:sz w:val="20"/>
          <w:szCs w:val="20"/>
        </w:rPr>
        <w:t>irector’s failure to comply with the October 1996 judgment ordering Mr. Montesinos’ release</w:t>
      </w:r>
      <w:r w:rsidR="006B32E1" w:rsidRPr="00CC39F5">
        <w:rPr>
          <w:rFonts w:ascii="Cambria" w:hAnsi="Cambria"/>
          <w:sz w:val="20"/>
          <w:szCs w:val="20"/>
        </w:rPr>
        <w:t xml:space="preserve">. </w:t>
      </w:r>
      <w:r w:rsidRPr="00CC39F5">
        <w:rPr>
          <w:rFonts w:ascii="Cambria" w:hAnsi="Cambria"/>
          <w:sz w:val="20"/>
          <w:szCs w:val="20"/>
        </w:rPr>
        <w:t xml:space="preserve">The article notes that the </w:t>
      </w:r>
      <w:r w:rsidR="002157C9" w:rsidRPr="00CC39F5">
        <w:rPr>
          <w:rFonts w:ascii="Cambria" w:hAnsi="Cambria"/>
          <w:sz w:val="20"/>
          <w:szCs w:val="20"/>
        </w:rPr>
        <w:t>Chief Judge</w:t>
      </w:r>
      <w:r w:rsidR="0085302D" w:rsidRPr="00CC39F5">
        <w:rPr>
          <w:rFonts w:ascii="Cambria" w:hAnsi="Cambria"/>
          <w:sz w:val="20"/>
          <w:szCs w:val="20"/>
        </w:rPr>
        <w:t xml:space="preserve"> of the Court warned the D</w:t>
      </w:r>
      <w:r w:rsidRPr="00CC39F5">
        <w:rPr>
          <w:rFonts w:ascii="Cambria" w:hAnsi="Cambria"/>
          <w:sz w:val="20"/>
          <w:szCs w:val="20"/>
        </w:rPr>
        <w:t xml:space="preserve">irector that he would be </w:t>
      </w:r>
      <w:r w:rsidR="009D07E0" w:rsidRPr="00CC39F5">
        <w:rPr>
          <w:rFonts w:ascii="Cambria" w:hAnsi="Cambria"/>
          <w:sz w:val="20"/>
          <w:szCs w:val="20"/>
        </w:rPr>
        <w:t>removed</w:t>
      </w:r>
      <w:r w:rsidRPr="00CC39F5">
        <w:rPr>
          <w:rFonts w:ascii="Cambria" w:hAnsi="Cambria"/>
          <w:sz w:val="20"/>
          <w:szCs w:val="20"/>
        </w:rPr>
        <w:t xml:space="preserve"> from his position if he failed to release Mr.</w:t>
      </w:r>
      <w:r w:rsidR="006B32E1" w:rsidRPr="00CC39F5">
        <w:rPr>
          <w:rFonts w:ascii="Cambria" w:hAnsi="Cambria"/>
          <w:sz w:val="20"/>
          <w:szCs w:val="20"/>
        </w:rPr>
        <w:t xml:space="preserve"> Montesinos</w:t>
      </w:r>
      <w:r w:rsidR="006C101A" w:rsidRPr="00CC39F5">
        <w:rPr>
          <w:rFonts w:ascii="Cambria" w:hAnsi="Cambria"/>
          <w:sz w:val="20"/>
          <w:szCs w:val="20"/>
        </w:rPr>
        <w:t>.</w:t>
      </w:r>
      <w:r w:rsidR="006B32E1" w:rsidRPr="00CC39F5">
        <w:rPr>
          <w:rStyle w:val="FootnoteReference"/>
          <w:rFonts w:ascii="Cambria" w:hAnsi="Cambria"/>
          <w:sz w:val="20"/>
          <w:szCs w:val="20"/>
        </w:rPr>
        <w:footnoteReference w:id="49"/>
      </w:r>
    </w:p>
    <w:p w:rsidR="006B32E1" w:rsidRPr="00CC39F5" w:rsidRDefault="006B32E1" w:rsidP="006B32E1">
      <w:pPr>
        <w:pStyle w:val="ColorfulList-Accent11"/>
        <w:rPr>
          <w:sz w:val="20"/>
          <w:szCs w:val="20"/>
        </w:rPr>
      </w:pPr>
    </w:p>
    <w:p w:rsidR="006B32E1" w:rsidRPr="00CC39F5" w:rsidRDefault="00E4085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April 14,</w:t>
      </w:r>
      <w:r w:rsidR="006B32E1" w:rsidRPr="00CC39F5">
        <w:rPr>
          <w:rFonts w:ascii="Cambria" w:hAnsi="Cambria"/>
          <w:sz w:val="20"/>
          <w:szCs w:val="20"/>
        </w:rPr>
        <w:t xml:space="preserve"> 1998 </w:t>
      </w:r>
      <w:r w:rsidRPr="00CC39F5">
        <w:rPr>
          <w:rFonts w:ascii="Cambria" w:hAnsi="Cambria"/>
          <w:sz w:val="20"/>
          <w:szCs w:val="20"/>
        </w:rPr>
        <w:t>the petitioner filed a second</w:t>
      </w:r>
      <w:r w:rsidR="006B32E1" w:rsidRPr="00CC39F5">
        <w:rPr>
          <w:rFonts w:ascii="Cambria" w:hAnsi="Cambria"/>
          <w:sz w:val="20"/>
          <w:szCs w:val="20"/>
        </w:rPr>
        <w:t xml:space="preserve"> </w:t>
      </w:r>
      <w:r w:rsidR="006B32E1" w:rsidRPr="00CC39F5">
        <w:rPr>
          <w:rFonts w:ascii="Cambria" w:hAnsi="Cambria"/>
          <w:i/>
          <w:sz w:val="20"/>
          <w:szCs w:val="20"/>
        </w:rPr>
        <w:t>habeas corpus</w:t>
      </w:r>
      <w:r w:rsidR="006B32E1" w:rsidRPr="00CC39F5">
        <w:rPr>
          <w:rFonts w:ascii="Cambria" w:hAnsi="Cambria"/>
          <w:sz w:val="20"/>
          <w:szCs w:val="20"/>
        </w:rPr>
        <w:t xml:space="preserve"> </w:t>
      </w:r>
      <w:r w:rsidRPr="00CC39F5">
        <w:rPr>
          <w:rFonts w:ascii="Cambria" w:hAnsi="Cambria"/>
          <w:sz w:val="20"/>
          <w:szCs w:val="20"/>
        </w:rPr>
        <w:t xml:space="preserve">appeal with the Mayor of the Metropolitan District of Quito on behalf of </w:t>
      </w:r>
      <w:r w:rsidR="00D87DBE" w:rsidRPr="00CC39F5">
        <w:rPr>
          <w:rFonts w:ascii="Cambria" w:hAnsi="Cambria"/>
          <w:sz w:val="20"/>
          <w:szCs w:val="20"/>
        </w:rPr>
        <w:t>Mr.</w:t>
      </w:r>
      <w:r w:rsidR="006B32E1" w:rsidRPr="00CC39F5">
        <w:rPr>
          <w:rFonts w:ascii="Cambria" w:hAnsi="Cambria"/>
          <w:sz w:val="20"/>
          <w:szCs w:val="20"/>
        </w:rPr>
        <w:t xml:space="preserve"> Montesinos</w:t>
      </w:r>
      <w:r w:rsidR="008316E2" w:rsidRPr="00CC39F5">
        <w:rPr>
          <w:rFonts w:ascii="Cambria" w:hAnsi="Cambria"/>
          <w:sz w:val="20"/>
          <w:szCs w:val="20"/>
        </w:rPr>
        <w:t>. He held that the alleged victim had been in pretrial detention for nearly six y</w:t>
      </w:r>
      <w:r w:rsidR="009033E5" w:rsidRPr="00CC39F5">
        <w:rPr>
          <w:rFonts w:ascii="Cambria" w:hAnsi="Cambria"/>
          <w:sz w:val="20"/>
          <w:szCs w:val="20"/>
        </w:rPr>
        <w:t>ears without any final decision,</w:t>
      </w:r>
      <w:r w:rsidR="008316E2" w:rsidRPr="00CC39F5">
        <w:rPr>
          <w:rFonts w:ascii="Cambria" w:hAnsi="Cambria"/>
          <w:sz w:val="20"/>
          <w:szCs w:val="20"/>
        </w:rPr>
        <w:t xml:space="preserve"> as of that time, in </w:t>
      </w:r>
      <w:r w:rsidR="00C76AA4" w:rsidRPr="00CC39F5">
        <w:rPr>
          <w:rFonts w:ascii="Cambria" w:hAnsi="Cambria"/>
          <w:sz w:val="20"/>
          <w:szCs w:val="20"/>
        </w:rPr>
        <w:t xml:space="preserve">the criminal prosecutions against </w:t>
      </w:r>
      <w:r w:rsidR="00C76AA4" w:rsidRPr="00CC39F5">
        <w:rPr>
          <w:rFonts w:ascii="Cambria" w:hAnsi="Cambria"/>
          <w:sz w:val="20"/>
          <w:szCs w:val="20"/>
        </w:rPr>
        <w:lastRenderedPageBreak/>
        <w:t>him. The petitioner added that the October 1</w:t>
      </w:r>
      <w:r w:rsidR="006B32E1" w:rsidRPr="00CC39F5">
        <w:rPr>
          <w:rFonts w:ascii="Cambria" w:hAnsi="Cambria"/>
          <w:sz w:val="20"/>
          <w:szCs w:val="20"/>
        </w:rPr>
        <w:t>996</w:t>
      </w:r>
      <w:r w:rsidR="00C76AA4" w:rsidRPr="00CC39F5">
        <w:rPr>
          <w:rFonts w:ascii="Cambria" w:hAnsi="Cambria"/>
          <w:sz w:val="20"/>
          <w:szCs w:val="20"/>
        </w:rPr>
        <w:t xml:space="preserve"> judgment of the Constitutional Rights Court had not been implemented.</w:t>
      </w:r>
      <w:r w:rsidR="006B32E1" w:rsidRPr="00CC39F5">
        <w:rPr>
          <w:rStyle w:val="FootnoteReference"/>
          <w:rFonts w:ascii="Cambria" w:hAnsi="Cambria"/>
          <w:sz w:val="20"/>
          <w:szCs w:val="20"/>
        </w:rPr>
        <w:footnoteReference w:id="50"/>
      </w:r>
    </w:p>
    <w:p w:rsidR="006B32E1" w:rsidRPr="00CC39F5" w:rsidRDefault="006B32E1" w:rsidP="006B32E1">
      <w:pPr>
        <w:pStyle w:val="ColorfulList-Accent11"/>
        <w:rPr>
          <w:sz w:val="20"/>
          <w:szCs w:val="20"/>
        </w:rPr>
      </w:pPr>
    </w:p>
    <w:p w:rsidR="006B32E1" w:rsidRPr="00CC39F5" w:rsidRDefault="004967CD"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April</w:t>
      </w:r>
      <w:r w:rsidR="006B32E1" w:rsidRPr="00CC39F5">
        <w:rPr>
          <w:rFonts w:ascii="Cambria" w:hAnsi="Cambria"/>
          <w:sz w:val="20"/>
          <w:szCs w:val="20"/>
        </w:rPr>
        <w:t xml:space="preserve"> 21</w:t>
      </w:r>
      <w:r w:rsidRPr="00CC39F5">
        <w:rPr>
          <w:rFonts w:ascii="Cambria" w:hAnsi="Cambria"/>
          <w:sz w:val="20"/>
          <w:szCs w:val="20"/>
        </w:rPr>
        <w:t xml:space="preserve">, 1998, the Mayor </w:t>
      </w:r>
      <w:r w:rsidR="00B0530B" w:rsidRPr="00CC39F5">
        <w:rPr>
          <w:rFonts w:ascii="Cambria" w:hAnsi="Cambria"/>
          <w:sz w:val="20"/>
          <w:szCs w:val="20"/>
        </w:rPr>
        <w:t>ruled</w:t>
      </w:r>
      <w:r w:rsidRPr="00CC39F5">
        <w:rPr>
          <w:rFonts w:ascii="Cambria" w:hAnsi="Cambria"/>
          <w:sz w:val="20"/>
          <w:szCs w:val="20"/>
        </w:rPr>
        <w:t xml:space="preserve"> the </w:t>
      </w:r>
      <w:r w:rsidRPr="00CC39F5">
        <w:rPr>
          <w:rFonts w:ascii="Cambria" w:hAnsi="Cambria"/>
          <w:i/>
          <w:sz w:val="20"/>
          <w:szCs w:val="20"/>
        </w:rPr>
        <w:t>ha</w:t>
      </w:r>
      <w:r w:rsidR="006B32E1" w:rsidRPr="00CC39F5">
        <w:rPr>
          <w:rFonts w:ascii="Cambria" w:hAnsi="Cambria"/>
          <w:i/>
          <w:sz w:val="20"/>
          <w:szCs w:val="20"/>
        </w:rPr>
        <w:t>beas corpus</w:t>
      </w:r>
      <w:r w:rsidRPr="00CC39F5">
        <w:rPr>
          <w:rFonts w:ascii="Cambria" w:hAnsi="Cambria"/>
          <w:sz w:val="20"/>
          <w:szCs w:val="20"/>
        </w:rPr>
        <w:t xml:space="preserve"> appeal</w:t>
      </w:r>
      <w:r w:rsidR="00B0530B" w:rsidRPr="00CC39F5">
        <w:rPr>
          <w:rFonts w:ascii="Cambria" w:hAnsi="Cambria"/>
          <w:sz w:val="20"/>
          <w:szCs w:val="20"/>
        </w:rPr>
        <w:t xml:space="preserve"> inadmissible</w:t>
      </w:r>
      <w:r w:rsidR="006B32E1" w:rsidRPr="00CC39F5">
        <w:rPr>
          <w:rFonts w:ascii="Cambria" w:hAnsi="Cambria"/>
          <w:sz w:val="20"/>
          <w:szCs w:val="20"/>
        </w:rPr>
        <w:t xml:space="preserve">, </w:t>
      </w:r>
      <w:r w:rsidRPr="00CC39F5">
        <w:rPr>
          <w:rFonts w:ascii="Cambria" w:hAnsi="Cambria"/>
          <w:sz w:val="20"/>
          <w:szCs w:val="20"/>
        </w:rPr>
        <w:t>indicating that the length of detention was reasonable and that the final decisions in the criminal prosecutions had to be awaited.</w:t>
      </w:r>
      <w:r w:rsidR="006B32E1" w:rsidRPr="00CC39F5">
        <w:rPr>
          <w:rStyle w:val="FootnoteReference"/>
          <w:rFonts w:ascii="Cambria" w:hAnsi="Cambria"/>
          <w:sz w:val="20"/>
          <w:szCs w:val="20"/>
        </w:rPr>
        <w:footnoteReference w:id="51"/>
      </w:r>
    </w:p>
    <w:p w:rsidR="006B32E1" w:rsidRPr="00CC39F5" w:rsidRDefault="006B32E1" w:rsidP="006B32E1">
      <w:pPr>
        <w:pStyle w:val="ColorfulList-Accent11"/>
        <w:rPr>
          <w:sz w:val="20"/>
          <w:szCs w:val="20"/>
        </w:rPr>
      </w:pPr>
    </w:p>
    <w:p w:rsidR="006B32E1" w:rsidRPr="00CC39F5" w:rsidRDefault="00DE02F8"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August 13,</w:t>
      </w:r>
      <w:r w:rsidR="006B32E1" w:rsidRPr="00CC39F5">
        <w:rPr>
          <w:rFonts w:ascii="Cambria" w:hAnsi="Cambria"/>
          <w:sz w:val="20"/>
          <w:szCs w:val="20"/>
        </w:rPr>
        <w:t xml:space="preserve"> 1998</w:t>
      </w:r>
      <w:r w:rsidRPr="00CC39F5">
        <w:rPr>
          <w:rFonts w:ascii="Cambria" w:hAnsi="Cambria"/>
          <w:sz w:val="20"/>
          <w:szCs w:val="20"/>
        </w:rPr>
        <w:t xml:space="preserve">, the Constitutional Court ruled on the appeal filed by Mr. Montesinos’ defense team and ordered his immediate release </w:t>
      </w:r>
      <w:r w:rsidR="00A31CBA" w:rsidRPr="00CC39F5">
        <w:rPr>
          <w:rFonts w:ascii="Cambria" w:hAnsi="Cambria"/>
          <w:sz w:val="20"/>
          <w:szCs w:val="20"/>
        </w:rPr>
        <w:t>without prejudice to the continuation of the</w:t>
      </w:r>
      <w:r w:rsidRPr="00CC39F5">
        <w:rPr>
          <w:rFonts w:ascii="Cambria" w:hAnsi="Cambria"/>
          <w:sz w:val="20"/>
          <w:szCs w:val="20"/>
        </w:rPr>
        <w:t xml:space="preserve"> criminal </w:t>
      </w:r>
      <w:r w:rsidR="00A31CBA" w:rsidRPr="00CC39F5">
        <w:rPr>
          <w:rFonts w:ascii="Cambria" w:hAnsi="Cambria"/>
          <w:sz w:val="20"/>
          <w:szCs w:val="20"/>
        </w:rPr>
        <w:t>proceedings</w:t>
      </w:r>
      <w:r w:rsidRPr="00CC39F5">
        <w:rPr>
          <w:rFonts w:ascii="Cambria" w:hAnsi="Cambria"/>
          <w:sz w:val="20"/>
          <w:szCs w:val="20"/>
        </w:rPr>
        <w:t xml:space="preserve"> against him.</w:t>
      </w:r>
      <w:r w:rsidR="006B32E1" w:rsidRPr="00CC39F5">
        <w:rPr>
          <w:rStyle w:val="FootnoteReference"/>
          <w:rFonts w:ascii="Cambria" w:hAnsi="Cambria"/>
          <w:sz w:val="20"/>
          <w:szCs w:val="20"/>
        </w:rPr>
        <w:footnoteReference w:id="52"/>
      </w:r>
      <w:r w:rsidR="006B32E1" w:rsidRPr="00CC39F5">
        <w:rPr>
          <w:rFonts w:ascii="Cambria" w:hAnsi="Cambria"/>
          <w:sz w:val="20"/>
          <w:szCs w:val="20"/>
        </w:rPr>
        <w:t xml:space="preserve"> </w:t>
      </w:r>
      <w:r w:rsidRPr="00CC39F5">
        <w:rPr>
          <w:rFonts w:ascii="Cambria" w:hAnsi="Cambria"/>
          <w:sz w:val="20"/>
          <w:szCs w:val="20"/>
        </w:rPr>
        <w:t>The Court believed that the time Mr. Montesinos had spent in pretrial detention had exceeded a reasonable timeframe, bearing in mind the punishment he might receive if found guilty.</w:t>
      </w:r>
      <w:r w:rsidR="006B32E1" w:rsidRPr="00CC39F5">
        <w:rPr>
          <w:rStyle w:val="FootnoteReference"/>
          <w:rFonts w:ascii="Cambria" w:hAnsi="Cambria"/>
          <w:sz w:val="20"/>
          <w:szCs w:val="20"/>
        </w:rPr>
        <w:footnoteReference w:id="53"/>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E1" w:rsidRPr="00CC39F5" w:rsidRDefault="0029245B" w:rsidP="003D4DF4">
      <w:pPr>
        <w:pStyle w:val="ColorfulList-Accent11"/>
        <w:numPr>
          <w:ilvl w:val="0"/>
          <w:numId w:val="60"/>
        </w:numPr>
        <w:ind w:firstLine="0"/>
        <w:rPr>
          <w:b/>
          <w:sz w:val="20"/>
          <w:szCs w:val="20"/>
        </w:rPr>
      </w:pPr>
      <w:r w:rsidRPr="00CC39F5">
        <w:rPr>
          <w:b/>
          <w:sz w:val="20"/>
          <w:szCs w:val="20"/>
        </w:rPr>
        <w:t xml:space="preserve">Challenge to the constitutionality of the </w:t>
      </w:r>
      <w:r w:rsidR="00E91905" w:rsidRPr="00CC39F5">
        <w:rPr>
          <w:b/>
          <w:i/>
          <w:sz w:val="20"/>
          <w:szCs w:val="20"/>
        </w:rPr>
        <w:t>Operación Ciclón</w:t>
      </w:r>
      <w:r w:rsidRPr="00CC39F5">
        <w:rPr>
          <w:b/>
          <w:sz w:val="20"/>
          <w:szCs w:val="20"/>
        </w:rPr>
        <w:t xml:space="preserve"> report</w:t>
      </w:r>
    </w:p>
    <w:p w:rsidR="006B32E1" w:rsidRPr="00CC39F5" w:rsidRDefault="006B32E1" w:rsidP="006B32E1">
      <w:pPr>
        <w:pStyle w:val="ColorfulList-Accent11"/>
        <w:rPr>
          <w:sz w:val="20"/>
          <w:szCs w:val="20"/>
        </w:rPr>
      </w:pPr>
    </w:p>
    <w:p w:rsidR="006B32E1" w:rsidRPr="00CC39F5" w:rsidRDefault="0029245B"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CC39F5">
        <w:rPr>
          <w:rFonts w:ascii="Cambria" w:hAnsi="Cambria"/>
          <w:sz w:val="20"/>
          <w:szCs w:val="20"/>
        </w:rPr>
        <w:t>In February</w:t>
      </w:r>
      <w:r w:rsidR="006B32E1" w:rsidRPr="00CC39F5">
        <w:rPr>
          <w:rFonts w:ascii="Cambria" w:hAnsi="Cambria"/>
          <w:sz w:val="20"/>
          <w:szCs w:val="20"/>
        </w:rPr>
        <w:t xml:space="preserve"> 1996 </w:t>
      </w:r>
      <w:r w:rsidR="00D87DBE"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 xml:space="preserve">filed a complaint with the </w:t>
      </w:r>
      <w:r w:rsidR="002157C9" w:rsidRPr="00CC39F5">
        <w:rPr>
          <w:rFonts w:ascii="Cambria" w:hAnsi="Cambria"/>
          <w:sz w:val="20"/>
          <w:szCs w:val="20"/>
        </w:rPr>
        <w:t>Chief Judge</w:t>
      </w:r>
      <w:r w:rsidRPr="00CC39F5">
        <w:rPr>
          <w:rFonts w:ascii="Cambria" w:hAnsi="Cambria"/>
          <w:sz w:val="20"/>
          <w:szCs w:val="20"/>
        </w:rPr>
        <w:t xml:space="preserve"> of the Constitutional Rights Court alleging that the </w:t>
      </w:r>
      <w:r w:rsidR="00E91905" w:rsidRPr="00CC39F5">
        <w:rPr>
          <w:rFonts w:ascii="Cambria" w:hAnsi="Cambria"/>
          <w:i/>
          <w:sz w:val="20"/>
          <w:szCs w:val="20"/>
        </w:rPr>
        <w:t>Operación Ciclón</w:t>
      </w:r>
      <w:r w:rsidR="006B32E1" w:rsidRPr="00CC39F5">
        <w:rPr>
          <w:rFonts w:ascii="Cambria" w:hAnsi="Cambria"/>
          <w:sz w:val="20"/>
          <w:szCs w:val="20"/>
        </w:rPr>
        <w:t xml:space="preserve"> </w:t>
      </w:r>
      <w:r w:rsidRPr="00CC39F5">
        <w:rPr>
          <w:rFonts w:ascii="Cambria" w:hAnsi="Cambria"/>
          <w:sz w:val="20"/>
          <w:szCs w:val="20"/>
        </w:rPr>
        <w:t>police report of July 17,</w:t>
      </w:r>
      <w:r w:rsidR="006B32E1" w:rsidRPr="00CC39F5">
        <w:rPr>
          <w:rFonts w:ascii="Cambria" w:hAnsi="Cambria"/>
          <w:sz w:val="20"/>
          <w:szCs w:val="20"/>
        </w:rPr>
        <w:t xml:space="preserve"> 1992</w:t>
      </w:r>
      <w:r w:rsidRPr="00CC39F5">
        <w:rPr>
          <w:rFonts w:ascii="Cambria" w:hAnsi="Cambria"/>
          <w:sz w:val="20"/>
          <w:szCs w:val="20"/>
        </w:rPr>
        <w:t xml:space="preserve"> was unconstitutional</w:t>
      </w:r>
      <w:r w:rsidR="006B32E1" w:rsidRPr="00CC39F5">
        <w:rPr>
          <w:rFonts w:ascii="Cambria" w:hAnsi="Cambria"/>
          <w:sz w:val="20"/>
          <w:szCs w:val="20"/>
        </w:rPr>
        <w:t xml:space="preserve">. </w:t>
      </w:r>
      <w:r w:rsidRPr="00CC39F5">
        <w:rPr>
          <w:rFonts w:ascii="Cambria" w:hAnsi="Cambria"/>
          <w:sz w:val="20"/>
          <w:szCs w:val="20"/>
        </w:rPr>
        <w:t xml:space="preserve">He indicated that as a result of its release, </w:t>
      </w:r>
      <w:r w:rsidR="005C0FD5" w:rsidRPr="00CC39F5">
        <w:rPr>
          <w:rFonts w:ascii="Cambria" w:hAnsi="Cambria"/>
          <w:sz w:val="20"/>
          <w:szCs w:val="20"/>
        </w:rPr>
        <w:t>several</w:t>
      </w:r>
      <w:r w:rsidRPr="00CC39F5">
        <w:rPr>
          <w:rFonts w:ascii="Cambria" w:hAnsi="Cambria"/>
          <w:sz w:val="20"/>
          <w:szCs w:val="20"/>
        </w:rPr>
        <w:t xml:space="preserve"> cases had been brought against him in violation of the principle set forth in Article</w:t>
      </w:r>
      <w:r w:rsidR="006B32E1" w:rsidRPr="00CC39F5">
        <w:rPr>
          <w:rFonts w:ascii="Cambria" w:hAnsi="Cambria"/>
          <w:sz w:val="20"/>
          <w:szCs w:val="20"/>
        </w:rPr>
        <w:t xml:space="preserve"> 160 </w:t>
      </w:r>
      <w:r w:rsidRPr="00CC39F5">
        <w:rPr>
          <w:rFonts w:ascii="Cambria" w:hAnsi="Cambria"/>
          <w:sz w:val="20"/>
          <w:szCs w:val="20"/>
        </w:rPr>
        <w:t xml:space="preserve">of the Code of Criminal Procedure that provides that an individual cannot be prosecuted or punished more than once for the same </w:t>
      </w:r>
      <w:r w:rsidR="00D7491C" w:rsidRPr="00CC39F5">
        <w:rPr>
          <w:rFonts w:ascii="Cambria" w:hAnsi="Cambria"/>
          <w:sz w:val="20"/>
          <w:szCs w:val="20"/>
        </w:rPr>
        <w:t>act</w:t>
      </w:r>
      <w:r w:rsidR="006B32E1" w:rsidRPr="00CC39F5">
        <w:rPr>
          <w:rFonts w:ascii="Cambria" w:hAnsi="Cambria"/>
          <w:sz w:val="20"/>
          <w:szCs w:val="20"/>
        </w:rPr>
        <w:t xml:space="preserve">. </w:t>
      </w:r>
      <w:r w:rsidR="00E91905" w:rsidRPr="00CC39F5">
        <w:rPr>
          <w:rFonts w:ascii="Cambria" w:hAnsi="Cambria"/>
          <w:sz w:val="20"/>
          <w:szCs w:val="20"/>
        </w:rPr>
        <w:t xml:space="preserve">Mr. Montesinos further alleged that the length of his pretrial detention had been unreasonable and that his right to property had been violated because his home </w:t>
      </w:r>
      <w:r w:rsidR="008D0802" w:rsidRPr="00CC39F5">
        <w:rPr>
          <w:rFonts w:ascii="Cambria" w:hAnsi="Cambria"/>
          <w:sz w:val="20"/>
          <w:szCs w:val="20"/>
        </w:rPr>
        <w:t xml:space="preserve">had been under </w:t>
      </w:r>
      <w:r w:rsidR="00E91905" w:rsidRPr="00CC39F5">
        <w:rPr>
          <w:rFonts w:ascii="Cambria" w:hAnsi="Cambria"/>
          <w:sz w:val="20"/>
          <w:szCs w:val="20"/>
        </w:rPr>
        <w:t xml:space="preserve">National Police </w:t>
      </w:r>
      <w:r w:rsidR="008D0802" w:rsidRPr="00CC39F5">
        <w:rPr>
          <w:rFonts w:ascii="Cambria" w:hAnsi="Cambria"/>
          <w:sz w:val="20"/>
          <w:szCs w:val="20"/>
        </w:rPr>
        <w:t xml:space="preserve">administration </w:t>
      </w:r>
      <w:r w:rsidR="00E91905" w:rsidRPr="00CC39F5">
        <w:rPr>
          <w:rFonts w:ascii="Cambria" w:hAnsi="Cambria"/>
          <w:sz w:val="20"/>
          <w:szCs w:val="20"/>
        </w:rPr>
        <w:t>for several years.</w:t>
      </w:r>
      <w:r w:rsidR="006B32E1" w:rsidRPr="00CC39F5">
        <w:rPr>
          <w:rStyle w:val="FootnoteReference"/>
          <w:rFonts w:ascii="Cambria" w:hAnsi="Cambria"/>
          <w:sz w:val="20"/>
          <w:szCs w:val="20"/>
        </w:rPr>
        <w:footnoteReference w:id="54"/>
      </w:r>
    </w:p>
    <w:p w:rsidR="006B32E1" w:rsidRPr="00CC39F5" w:rsidRDefault="006B32E1" w:rsidP="006B32E1">
      <w:pPr>
        <w:jc w:val="both"/>
        <w:rPr>
          <w:rFonts w:ascii="Cambria" w:hAnsi="Cambria"/>
          <w:sz w:val="20"/>
          <w:szCs w:val="20"/>
        </w:rPr>
      </w:pPr>
    </w:p>
    <w:p w:rsidR="006B32E1" w:rsidRPr="00CC39F5" w:rsidRDefault="00B0178D"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Mr.</w:t>
      </w:r>
      <w:r w:rsidR="006B32E1" w:rsidRPr="00CC39F5">
        <w:rPr>
          <w:rFonts w:ascii="Cambria" w:hAnsi="Cambria"/>
          <w:sz w:val="20"/>
          <w:szCs w:val="20"/>
        </w:rPr>
        <w:t xml:space="preserve"> Montesinos </w:t>
      </w:r>
      <w:r w:rsidRPr="00CC39F5">
        <w:rPr>
          <w:rFonts w:ascii="Cambria" w:hAnsi="Cambria"/>
          <w:sz w:val="20"/>
          <w:szCs w:val="20"/>
        </w:rPr>
        <w:t>also challenged the constitutionality of several articles of the Law on Narcotics and Psychotropic Substances. He claimed that</w:t>
      </w:r>
      <w:r w:rsidR="006B32E1" w:rsidRPr="00CC39F5">
        <w:rPr>
          <w:rFonts w:ascii="Cambria" w:hAnsi="Cambria"/>
          <w:sz w:val="20"/>
          <w:szCs w:val="20"/>
        </w:rPr>
        <w:t xml:space="preserve"> </w:t>
      </w:r>
      <w:r w:rsidRPr="00CC39F5">
        <w:rPr>
          <w:rFonts w:ascii="Cambria" w:hAnsi="Cambria"/>
          <w:sz w:val="20"/>
          <w:szCs w:val="20"/>
        </w:rPr>
        <w:t>Article</w:t>
      </w:r>
      <w:r w:rsidR="006B32E1" w:rsidRPr="00CC39F5">
        <w:rPr>
          <w:rFonts w:ascii="Cambria" w:hAnsi="Cambria"/>
          <w:sz w:val="20"/>
          <w:szCs w:val="20"/>
        </w:rPr>
        <w:t xml:space="preserve"> 115 </w:t>
      </w:r>
      <w:r w:rsidR="009A04BC" w:rsidRPr="00CC39F5">
        <w:rPr>
          <w:rFonts w:ascii="Cambria" w:hAnsi="Cambria"/>
          <w:sz w:val="20"/>
          <w:szCs w:val="20"/>
        </w:rPr>
        <w:t>provides</w:t>
      </w:r>
      <w:r w:rsidRPr="00CC39F5">
        <w:rPr>
          <w:rFonts w:ascii="Cambria" w:hAnsi="Cambria"/>
          <w:sz w:val="20"/>
          <w:szCs w:val="20"/>
        </w:rPr>
        <w:t xml:space="preserve"> for unequal treatment vis-à-vis defendants</w:t>
      </w:r>
      <w:r w:rsidR="006B32E1" w:rsidRPr="00CC39F5">
        <w:rPr>
          <w:rFonts w:ascii="Cambria" w:hAnsi="Cambria"/>
          <w:sz w:val="20"/>
          <w:szCs w:val="20"/>
        </w:rPr>
        <w:t xml:space="preserve"> </w:t>
      </w:r>
      <w:r w:rsidRPr="00CC39F5">
        <w:rPr>
          <w:rFonts w:ascii="Cambria" w:hAnsi="Cambria"/>
          <w:sz w:val="20"/>
          <w:szCs w:val="20"/>
        </w:rPr>
        <w:t xml:space="preserve">charged with other crimes </w:t>
      </w:r>
      <w:r w:rsidR="008B5D76" w:rsidRPr="00CC39F5">
        <w:rPr>
          <w:rFonts w:ascii="Cambria" w:hAnsi="Cambria"/>
          <w:sz w:val="20"/>
          <w:szCs w:val="20"/>
        </w:rPr>
        <w:t>in that it does not offer amnesties or pardons.</w:t>
      </w:r>
      <w:r w:rsidR="006B32E1" w:rsidRPr="00CC39F5">
        <w:rPr>
          <w:rFonts w:ascii="Cambria" w:hAnsi="Cambria"/>
          <w:sz w:val="20"/>
          <w:szCs w:val="20"/>
        </w:rPr>
        <w:t xml:space="preserve"> </w:t>
      </w:r>
      <w:r w:rsidR="008B5D76" w:rsidRPr="00CC39F5">
        <w:rPr>
          <w:rFonts w:ascii="Cambria" w:hAnsi="Cambria"/>
          <w:sz w:val="20"/>
          <w:szCs w:val="20"/>
        </w:rPr>
        <w:t>He noted that Article </w:t>
      </w:r>
      <w:r w:rsidR="006B32E1" w:rsidRPr="00CC39F5">
        <w:rPr>
          <w:rFonts w:ascii="Cambria" w:hAnsi="Cambria"/>
          <w:sz w:val="20"/>
          <w:szCs w:val="20"/>
        </w:rPr>
        <w:t xml:space="preserve">116 </w:t>
      </w:r>
      <w:r w:rsidR="001F6BB9" w:rsidRPr="00CC39F5">
        <w:rPr>
          <w:rFonts w:ascii="Cambria" w:hAnsi="Cambria"/>
          <w:sz w:val="20"/>
          <w:szCs w:val="20"/>
        </w:rPr>
        <w:t>establishes a presumption of guilt insofar as it stipulates that a police report and pretrial statement given by a defendant in the presence of a prosecutor constitute</w:t>
      </w:r>
      <w:r w:rsidR="006B32E1" w:rsidRPr="00CC39F5">
        <w:rPr>
          <w:rFonts w:ascii="Cambria" w:hAnsi="Cambria"/>
          <w:sz w:val="20"/>
          <w:szCs w:val="20"/>
        </w:rPr>
        <w:t xml:space="preserve"> </w:t>
      </w:r>
      <w:r w:rsidR="001F6BB9" w:rsidRPr="00CC39F5">
        <w:rPr>
          <w:rFonts w:ascii="Cambria" w:hAnsi="Cambria"/>
          <w:sz w:val="20"/>
          <w:szCs w:val="20"/>
        </w:rPr>
        <w:t xml:space="preserve">a serious </w:t>
      </w:r>
      <w:r w:rsidR="00C27029" w:rsidRPr="00CC39F5">
        <w:rPr>
          <w:rFonts w:ascii="Cambria" w:hAnsi="Cambria"/>
          <w:sz w:val="20"/>
          <w:szCs w:val="20"/>
        </w:rPr>
        <w:t>presumption</w:t>
      </w:r>
      <w:r w:rsidR="001F6BB9" w:rsidRPr="00CC39F5">
        <w:rPr>
          <w:rFonts w:ascii="Cambria" w:hAnsi="Cambria"/>
          <w:sz w:val="20"/>
          <w:szCs w:val="20"/>
        </w:rPr>
        <w:t xml:space="preserve"> of guilt.</w:t>
      </w:r>
      <w:r w:rsidR="006B32E1" w:rsidRPr="00CC39F5">
        <w:rPr>
          <w:rStyle w:val="FootnoteReference"/>
          <w:rFonts w:ascii="Cambria" w:hAnsi="Cambria"/>
          <w:sz w:val="20"/>
          <w:szCs w:val="20"/>
        </w:rPr>
        <w:footnoteReference w:id="55"/>
      </w:r>
      <w:r w:rsidR="006B32E1" w:rsidRPr="00CC39F5">
        <w:rPr>
          <w:rFonts w:ascii="Cambria" w:hAnsi="Cambria"/>
          <w:sz w:val="20"/>
          <w:szCs w:val="20"/>
        </w:rPr>
        <w:t xml:space="preserve"> </w:t>
      </w:r>
      <w:r w:rsidR="0012492C" w:rsidRPr="00CC39F5">
        <w:rPr>
          <w:rFonts w:ascii="Cambria" w:hAnsi="Cambria"/>
          <w:sz w:val="20"/>
          <w:szCs w:val="20"/>
        </w:rPr>
        <w:t>The alleged victim also claimed that Article</w:t>
      </w:r>
      <w:r w:rsidR="006B32E1" w:rsidRPr="00CC39F5">
        <w:rPr>
          <w:rFonts w:ascii="Cambria" w:hAnsi="Cambria"/>
          <w:sz w:val="20"/>
          <w:szCs w:val="20"/>
        </w:rPr>
        <w:t xml:space="preserve"> 121 </w:t>
      </w:r>
      <w:r w:rsidR="0012492C" w:rsidRPr="00CC39F5">
        <w:rPr>
          <w:rFonts w:ascii="Cambria" w:hAnsi="Cambria"/>
          <w:sz w:val="20"/>
          <w:szCs w:val="20"/>
        </w:rPr>
        <w:t xml:space="preserve">violates the right to equal treatment because it provides for discriminatory treatment </w:t>
      </w:r>
      <w:r w:rsidR="002A268A" w:rsidRPr="00CC39F5">
        <w:rPr>
          <w:rFonts w:ascii="Cambria" w:hAnsi="Cambria"/>
          <w:sz w:val="20"/>
          <w:szCs w:val="20"/>
        </w:rPr>
        <w:t>of defendants charged with drug-</w:t>
      </w:r>
      <w:r w:rsidR="0012492C" w:rsidRPr="00CC39F5">
        <w:rPr>
          <w:rFonts w:ascii="Cambria" w:hAnsi="Cambria"/>
          <w:sz w:val="20"/>
          <w:szCs w:val="20"/>
        </w:rPr>
        <w:t>trafficking crimes</w:t>
      </w:r>
      <w:r w:rsidR="003F580D" w:rsidRPr="00CC39F5">
        <w:rPr>
          <w:rFonts w:ascii="Cambria" w:hAnsi="Cambria"/>
          <w:sz w:val="20"/>
          <w:szCs w:val="20"/>
        </w:rPr>
        <w:t xml:space="preserve"> by establishing pretrial detention as a rule, not an exception</w:t>
      </w:r>
      <w:r w:rsidR="006B32E1" w:rsidRPr="00CC39F5">
        <w:rPr>
          <w:rFonts w:ascii="Cambria" w:hAnsi="Cambria"/>
          <w:sz w:val="20"/>
          <w:szCs w:val="20"/>
        </w:rPr>
        <w:t xml:space="preserve">. </w:t>
      </w:r>
      <w:r w:rsidR="00B26973" w:rsidRPr="00CC39F5">
        <w:rPr>
          <w:rFonts w:ascii="Cambria" w:hAnsi="Cambria"/>
          <w:sz w:val="20"/>
          <w:szCs w:val="20"/>
        </w:rPr>
        <w:t>He stated that Article</w:t>
      </w:r>
      <w:r w:rsidR="006B32E1" w:rsidRPr="00CC39F5">
        <w:rPr>
          <w:rFonts w:ascii="Cambria" w:hAnsi="Cambria"/>
          <w:sz w:val="20"/>
          <w:szCs w:val="20"/>
        </w:rPr>
        <w:t xml:space="preserve"> 122 </w:t>
      </w:r>
      <w:r w:rsidR="00E32305" w:rsidRPr="00CC39F5">
        <w:rPr>
          <w:rFonts w:ascii="Cambria" w:hAnsi="Cambria"/>
          <w:sz w:val="20"/>
          <w:szCs w:val="20"/>
        </w:rPr>
        <w:t>departs</w:t>
      </w:r>
      <w:r w:rsidR="0034378A" w:rsidRPr="00CC39F5">
        <w:rPr>
          <w:rFonts w:ascii="Cambria" w:hAnsi="Cambria"/>
          <w:sz w:val="20"/>
          <w:szCs w:val="20"/>
        </w:rPr>
        <w:t xml:space="preserve"> from </w:t>
      </w:r>
      <w:r w:rsidR="00E32305" w:rsidRPr="00CC39F5">
        <w:rPr>
          <w:rFonts w:ascii="Cambria" w:hAnsi="Cambria"/>
          <w:sz w:val="20"/>
          <w:szCs w:val="20"/>
        </w:rPr>
        <w:t>the Constitutional standard</w:t>
      </w:r>
      <w:r w:rsidR="0034378A" w:rsidRPr="00CC39F5">
        <w:rPr>
          <w:rFonts w:ascii="Cambria" w:hAnsi="Cambria"/>
          <w:sz w:val="20"/>
          <w:szCs w:val="20"/>
        </w:rPr>
        <w:t xml:space="preserve"> by req</w:t>
      </w:r>
      <w:r w:rsidR="002A268A" w:rsidRPr="00CC39F5">
        <w:rPr>
          <w:rFonts w:ascii="Cambria" w:hAnsi="Cambria"/>
          <w:sz w:val="20"/>
          <w:szCs w:val="20"/>
        </w:rPr>
        <w:t>uiring judgments issued in drug-</w:t>
      </w:r>
      <w:r w:rsidR="0034378A" w:rsidRPr="00CC39F5">
        <w:rPr>
          <w:rFonts w:ascii="Cambria" w:hAnsi="Cambria"/>
          <w:sz w:val="20"/>
          <w:szCs w:val="20"/>
        </w:rPr>
        <w:t xml:space="preserve">trafficking cases to be raised to a higher </w:t>
      </w:r>
      <w:r w:rsidR="00796206" w:rsidRPr="00CC39F5">
        <w:rPr>
          <w:rFonts w:ascii="Cambria" w:hAnsi="Cambria"/>
          <w:sz w:val="20"/>
          <w:szCs w:val="20"/>
        </w:rPr>
        <w:t>body</w:t>
      </w:r>
      <w:r w:rsidR="0034378A" w:rsidRPr="00CC39F5">
        <w:rPr>
          <w:rFonts w:ascii="Cambria" w:hAnsi="Cambria"/>
          <w:sz w:val="20"/>
          <w:szCs w:val="20"/>
        </w:rPr>
        <w:t>, even if they are acquittals</w:t>
      </w:r>
      <w:r w:rsidR="00682617" w:rsidRPr="00CC39F5">
        <w:rPr>
          <w:rFonts w:ascii="Cambria" w:hAnsi="Cambria"/>
          <w:sz w:val="20"/>
          <w:szCs w:val="20"/>
        </w:rPr>
        <w:t>.</w:t>
      </w:r>
      <w:r w:rsidR="006B32E1" w:rsidRPr="00CC39F5">
        <w:rPr>
          <w:rStyle w:val="FootnoteReference"/>
          <w:rFonts w:ascii="Cambria" w:hAnsi="Cambria"/>
          <w:sz w:val="20"/>
          <w:szCs w:val="20"/>
        </w:rPr>
        <w:footnoteReference w:id="56"/>
      </w:r>
    </w:p>
    <w:p w:rsidR="006B32E1" w:rsidRPr="00CC39F5" w:rsidRDefault="006B32E1" w:rsidP="006B32E1">
      <w:pPr>
        <w:pStyle w:val="ColorfulList-Accent11"/>
        <w:rPr>
          <w:sz w:val="20"/>
          <w:szCs w:val="20"/>
        </w:rPr>
      </w:pPr>
    </w:p>
    <w:p w:rsidR="006B32E1" w:rsidRPr="00CC39F5" w:rsidRDefault="006632FB"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On March 26,</w:t>
      </w:r>
      <w:r w:rsidR="006B32E1" w:rsidRPr="00CC39F5">
        <w:rPr>
          <w:rFonts w:ascii="Cambria" w:hAnsi="Cambria"/>
          <w:sz w:val="20"/>
          <w:szCs w:val="20"/>
        </w:rPr>
        <w:t xml:space="preserve"> 1996 </w:t>
      </w:r>
      <w:r w:rsidRPr="00CC39F5">
        <w:rPr>
          <w:rFonts w:ascii="Cambria" w:hAnsi="Cambria"/>
          <w:sz w:val="20"/>
          <w:szCs w:val="20"/>
        </w:rPr>
        <w:t>the Constitutional Rights Court decided against admitting the appeal filed by</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00AB1FC5" w:rsidRPr="00CC39F5">
        <w:rPr>
          <w:rFonts w:ascii="Cambria" w:hAnsi="Cambria"/>
          <w:sz w:val="20"/>
          <w:szCs w:val="20"/>
        </w:rPr>
        <w:t>The Court considered that the alleged victim had presented an</w:t>
      </w:r>
      <w:r w:rsidR="006B32E1" w:rsidRPr="00CC39F5">
        <w:rPr>
          <w:rFonts w:ascii="Cambria" w:hAnsi="Cambria"/>
          <w:sz w:val="20"/>
          <w:szCs w:val="20"/>
        </w:rPr>
        <w:t xml:space="preserve"> “</w:t>
      </w:r>
      <w:r w:rsidR="00AB1FC5" w:rsidRPr="00CC39F5">
        <w:rPr>
          <w:rFonts w:ascii="Cambria" w:hAnsi="Cambria"/>
          <w:sz w:val="20"/>
          <w:szCs w:val="20"/>
        </w:rPr>
        <w:t>improper joining of two cases</w:t>
      </w:r>
      <w:r w:rsidR="006B32E1" w:rsidRPr="00CC39F5">
        <w:rPr>
          <w:rFonts w:ascii="Cambria" w:hAnsi="Cambria"/>
          <w:sz w:val="20"/>
          <w:szCs w:val="20"/>
        </w:rPr>
        <w:t xml:space="preserve">” </w:t>
      </w:r>
      <w:r w:rsidR="00AB1FC5" w:rsidRPr="00CC39F5">
        <w:rPr>
          <w:rFonts w:ascii="Cambria" w:hAnsi="Cambria"/>
          <w:sz w:val="20"/>
          <w:szCs w:val="20"/>
        </w:rPr>
        <w:t>inasmuch as these cases</w:t>
      </w:r>
      <w:r w:rsidR="006B32E1" w:rsidRPr="00CC39F5">
        <w:rPr>
          <w:rFonts w:ascii="Cambria" w:hAnsi="Cambria"/>
          <w:sz w:val="20"/>
          <w:szCs w:val="20"/>
        </w:rPr>
        <w:t xml:space="preserve"> “</w:t>
      </w:r>
      <w:r w:rsidR="00AB1FC5" w:rsidRPr="00CC39F5">
        <w:rPr>
          <w:rFonts w:ascii="Cambria" w:hAnsi="Cambria"/>
          <w:sz w:val="20"/>
          <w:szCs w:val="20"/>
        </w:rPr>
        <w:t>require different evidence and produce different effects</w:t>
      </w:r>
      <w:r w:rsidR="00682617" w:rsidRPr="00CC39F5">
        <w:rPr>
          <w:rFonts w:ascii="Cambria" w:hAnsi="Cambria"/>
          <w:sz w:val="20"/>
          <w:szCs w:val="20"/>
        </w:rPr>
        <w:t>.</w:t>
      </w:r>
      <w:r w:rsidR="006B32E1" w:rsidRPr="00CC39F5">
        <w:rPr>
          <w:rFonts w:ascii="Cambria" w:hAnsi="Cambria"/>
          <w:sz w:val="20"/>
          <w:szCs w:val="20"/>
        </w:rPr>
        <w:t>”</w:t>
      </w:r>
      <w:r w:rsidR="006B32E1" w:rsidRPr="00CC39F5">
        <w:rPr>
          <w:rStyle w:val="FootnoteReference"/>
          <w:rFonts w:ascii="Cambria" w:hAnsi="Cambria"/>
          <w:sz w:val="20"/>
          <w:szCs w:val="20"/>
        </w:rPr>
        <w:footnoteReference w:id="57"/>
      </w:r>
    </w:p>
    <w:p w:rsidR="006B32E1" w:rsidRPr="00CC39F5" w:rsidRDefault="006B32E1" w:rsidP="006B32E1">
      <w:pPr>
        <w:pStyle w:val="ColorfulList-Accent11"/>
        <w:rPr>
          <w:sz w:val="20"/>
          <w:szCs w:val="20"/>
        </w:rPr>
      </w:pPr>
    </w:p>
    <w:p w:rsidR="006B32E1" w:rsidRPr="00CC39F5" w:rsidRDefault="00206A5B"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In light of this</w:t>
      </w:r>
      <w:r w:rsidR="00097555" w:rsidRPr="00CC39F5">
        <w:rPr>
          <w:rFonts w:ascii="Cambria" w:hAnsi="Cambria"/>
          <w:sz w:val="20"/>
          <w:szCs w:val="20"/>
        </w:rPr>
        <w:t>,</w:t>
      </w:r>
      <w:r w:rsidR="006B32E1" w:rsidRPr="00CC39F5">
        <w:rPr>
          <w:rFonts w:ascii="Cambria" w:hAnsi="Cambria"/>
          <w:sz w:val="20"/>
          <w:szCs w:val="20"/>
        </w:rPr>
        <w:t xml:space="preserve"> </w:t>
      </w:r>
      <w:r w:rsidR="00D87DBE" w:rsidRPr="00CC39F5">
        <w:rPr>
          <w:rFonts w:ascii="Cambria" w:hAnsi="Cambria"/>
          <w:sz w:val="20"/>
          <w:szCs w:val="20"/>
        </w:rPr>
        <w:t>Mr.</w:t>
      </w:r>
      <w:r w:rsidR="006B32E1" w:rsidRPr="00CC39F5">
        <w:rPr>
          <w:rFonts w:ascii="Cambria" w:hAnsi="Cambria"/>
          <w:sz w:val="20"/>
          <w:szCs w:val="20"/>
        </w:rPr>
        <w:t xml:space="preserve"> Montesinos </w:t>
      </w:r>
      <w:r w:rsidR="00097555" w:rsidRPr="00CC39F5">
        <w:rPr>
          <w:rFonts w:ascii="Cambria" w:hAnsi="Cambria"/>
          <w:sz w:val="20"/>
          <w:szCs w:val="20"/>
        </w:rPr>
        <w:t xml:space="preserve">filed a new complaint with the Court requesting that it declare his arbitrary arrest, pretrial detention, and the </w:t>
      </w:r>
      <w:r w:rsidR="00E10EF5" w:rsidRPr="00CC39F5">
        <w:rPr>
          <w:rFonts w:ascii="Cambria" w:hAnsi="Cambria"/>
          <w:sz w:val="20"/>
          <w:szCs w:val="20"/>
        </w:rPr>
        <w:t>holding</w:t>
      </w:r>
      <w:r w:rsidR="00097555" w:rsidRPr="00CC39F5">
        <w:rPr>
          <w:rFonts w:ascii="Cambria" w:hAnsi="Cambria"/>
          <w:sz w:val="20"/>
          <w:szCs w:val="20"/>
        </w:rPr>
        <w:t xml:space="preserve"> of his property unconstitutional</w:t>
      </w:r>
      <w:r w:rsidR="006B32E1" w:rsidRPr="00CC39F5">
        <w:rPr>
          <w:rFonts w:ascii="Cambria" w:hAnsi="Cambria"/>
          <w:sz w:val="20"/>
          <w:szCs w:val="20"/>
        </w:rPr>
        <w:t xml:space="preserve">. </w:t>
      </w:r>
      <w:r w:rsidR="009D5B01" w:rsidRPr="00CC39F5">
        <w:rPr>
          <w:rFonts w:ascii="Cambria" w:hAnsi="Cambria"/>
          <w:sz w:val="20"/>
          <w:szCs w:val="20"/>
        </w:rPr>
        <w:t>On April</w:t>
      </w:r>
      <w:r w:rsidR="006B32E1" w:rsidRPr="00CC39F5">
        <w:rPr>
          <w:rFonts w:ascii="Cambria" w:hAnsi="Cambria"/>
          <w:sz w:val="20"/>
          <w:szCs w:val="20"/>
        </w:rPr>
        <w:t xml:space="preserve"> 23 </w:t>
      </w:r>
      <w:r w:rsidR="009D5B01" w:rsidRPr="00CC39F5">
        <w:rPr>
          <w:rFonts w:ascii="Cambria" w:hAnsi="Cambria"/>
          <w:sz w:val="20"/>
          <w:szCs w:val="20"/>
        </w:rPr>
        <w:lastRenderedPageBreak/>
        <w:t xml:space="preserve">of that same year, the Constitutional Rights Court decided against admitting the complaint, indicating that a ruling to </w:t>
      </w:r>
      <w:r w:rsidR="00482E54" w:rsidRPr="00CC39F5">
        <w:rPr>
          <w:rFonts w:ascii="Cambria" w:hAnsi="Cambria"/>
          <w:sz w:val="20"/>
          <w:szCs w:val="20"/>
        </w:rPr>
        <w:t>reject</w:t>
      </w:r>
      <w:r w:rsidR="009D5B01" w:rsidRPr="00CC39F5">
        <w:rPr>
          <w:rFonts w:ascii="Cambria" w:hAnsi="Cambria"/>
          <w:sz w:val="20"/>
          <w:szCs w:val="20"/>
        </w:rPr>
        <w:t xml:space="preserve"> this same matter had already been made via its March 26 decision</w:t>
      </w:r>
      <w:r w:rsidR="00682617" w:rsidRPr="00CC39F5">
        <w:rPr>
          <w:rFonts w:ascii="Cambria" w:hAnsi="Cambria"/>
          <w:sz w:val="20"/>
          <w:szCs w:val="20"/>
        </w:rPr>
        <w:t>.</w:t>
      </w:r>
      <w:r w:rsidR="006B32E1" w:rsidRPr="00CC39F5">
        <w:rPr>
          <w:rStyle w:val="FootnoteReference"/>
          <w:rFonts w:ascii="Cambria" w:hAnsi="Cambria"/>
          <w:sz w:val="20"/>
          <w:szCs w:val="20"/>
        </w:rPr>
        <w:footnoteReference w:id="58"/>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rPr>
      </w:pPr>
    </w:p>
    <w:p w:rsidR="006B32E1" w:rsidRPr="00CC39F5" w:rsidRDefault="007306DD" w:rsidP="006B32E1">
      <w:pPr>
        <w:pStyle w:val="Heading1"/>
      </w:pPr>
      <w:bookmarkStart w:id="15" w:name="_Toc495584792"/>
      <w:r w:rsidRPr="00CC39F5">
        <w:t>LEGAL ANALYSIS</w:t>
      </w:r>
      <w:bookmarkEnd w:id="15"/>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rPr>
      </w:pPr>
    </w:p>
    <w:p w:rsidR="006B32E1" w:rsidRPr="00CC39F5" w:rsidRDefault="00EE6F28" w:rsidP="005074AD">
      <w:pPr>
        <w:pStyle w:val="Heading2"/>
        <w:numPr>
          <w:ilvl w:val="0"/>
          <w:numId w:val="63"/>
        </w:numPr>
        <w:ind w:left="1440" w:hanging="720"/>
      </w:pPr>
      <w:bookmarkStart w:id="16" w:name="_Toc495584793"/>
      <w:r w:rsidRPr="00CC39F5">
        <w:t>The r</w:t>
      </w:r>
      <w:r w:rsidR="007306DD" w:rsidRPr="00CC39F5">
        <w:t>ight to personal liberty and</w:t>
      </w:r>
      <w:r w:rsidR="006B32E1" w:rsidRPr="00CC39F5">
        <w:t xml:space="preserve"> </w:t>
      </w:r>
      <w:r w:rsidR="007306DD" w:rsidRPr="00CC39F5">
        <w:t>the right to equal protection before the law</w:t>
      </w:r>
      <w:r w:rsidR="006B32E1" w:rsidRPr="00CC39F5">
        <w:t xml:space="preserve"> (</w:t>
      </w:r>
      <w:r w:rsidR="006346D2" w:rsidRPr="00CC39F5">
        <w:t>Articles</w:t>
      </w:r>
      <w:r w:rsidR="006B32E1" w:rsidRPr="00CC39F5">
        <w:t xml:space="preserve"> 7</w:t>
      </w:r>
      <w:r w:rsidR="006B32E1" w:rsidRPr="00CC39F5">
        <w:rPr>
          <w:rStyle w:val="FootnoteReference"/>
        </w:rPr>
        <w:footnoteReference w:id="59"/>
      </w:r>
      <w:r w:rsidR="00F948CA" w:rsidRPr="00CC39F5">
        <w:t xml:space="preserve"> and</w:t>
      </w:r>
      <w:r w:rsidR="006B32E1" w:rsidRPr="00CC39F5">
        <w:t xml:space="preserve"> 24</w:t>
      </w:r>
      <w:r w:rsidR="006B32E1" w:rsidRPr="00CC39F5">
        <w:rPr>
          <w:rStyle w:val="FootnoteReference"/>
        </w:rPr>
        <w:footnoteReference w:id="60"/>
      </w:r>
      <w:r w:rsidR="006B32E1" w:rsidRPr="00CC39F5">
        <w:t xml:space="preserve"> </w:t>
      </w:r>
      <w:r w:rsidR="007306DD" w:rsidRPr="00CC39F5">
        <w:t>of the American Convention</w:t>
      </w:r>
      <w:r w:rsidRPr="00CC39F5">
        <w:t>,</w:t>
      </w:r>
      <w:r w:rsidR="007306DD" w:rsidRPr="00CC39F5">
        <w:t xml:space="preserve"> in connection with Articles</w:t>
      </w:r>
      <w:r w:rsidR="006B32E1" w:rsidRPr="00CC39F5">
        <w:t xml:space="preserve"> </w:t>
      </w:r>
      <w:r w:rsidR="007306DD" w:rsidRPr="00CC39F5">
        <w:t>1(</w:t>
      </w:r>
      <w:r w:rsidR="006B32E1" w:rsidRPr="00CC39F5">
        <w:t>1</w:t>
      </w:r>
      <w:r w:rsidR="007306DD" w:rsidRPr="00CC39F5">
        <w:t>) and</w:t>
      </w:r>
      <w:r w:rsidR="006B32E1" w:rsidRPr="00CC39F5">
        <w:t xml:space="preserve"> 2 </w:t>
      </w:r>
      <w:r w:rsidR="007306DD" w:rsidRPr="00CC39F5">
        <w:t>thereof</w:t>
      </w:r>
      <w:r w:rsidR="006B32E1" w:rsidRPr="00CC39F5">
        <w:t>)</w:t>
      </w:r>
      <w:bookmarkEnd w:id="16"/>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6B32E1" w:rsidP="006B32E1">
      <w:pPr>
        <w:pStyle w:val="Heading3"/>
        <w:spacing w:before="0"/>
        <w:ind w:firstLine="720"/>
        <w:rPr>
          <w:color w:val="auto"/>
          <w:sz w:val="20"/>
          <w:szCs w:val="20"/>
        </w:rPr>
      </w:pPr>
      <w:bookmarkStart w:id="17" w:name="_Toc392055261"/>
      <w:bookmarkStart w:id="18" w:name="_Toc495584794"/>
      <w:r w:rsidRPr="00CC39F5">
        <w:rPr>
          <w:color w:val="auto"/>
          <w:sz w:val="20"/>
          <w:szCs w:val="20"/>
        </w:rPr>
        <w:t>1.</w:t>
      </w:r>
      <w:r w:rsidRPr="00CC39F5">
        <w:rPr>
          <w:color w:val="auto"/>
          <w:sz w:val="20"/>
          <w:szCs w:val="20"/>
        </w:rPr>
        <w:tab/>
      </w:r>
      <w:r w:rsidR="00EA4905" w:rsidRPr="00CC39F5">
        <w:rPr>
          <w:color w:val="auto"/>
          <w:sz w:val="20"/>
          <w:szCs w:val="20"/>
        </w:rPr>
        <w:t>The right to not be deprived of liberty illegally</w:t>
      </w:r>
      <w:bookmarkEnd w:id="17"/>
      <w:bookmarkEnd w:id="18"/>
      <w:r w:rsidRPr="00CC39F5">
        <w:rPr>
          <w:color w:val="auto"/>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EA490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sz w:val="20"/>
          <w:szCs w:val="20"/>
        </w:rPr>
      </w:pPr>
      <w:r w:rsidRPr="00CC39F5">
        <w:rPr>
          <w:rFonts w:ascii="Cambria" w:hAnsi="Cambria" w:cs="Arial"/>
          <w:sz w:val="20"/>
          <w:szCs w:val="20"/>
        </w:rPr>
        <w:t>The Inter-American Court has indicated that Article</w:t>
      </w:r>
      <w:r w:rsidR="00F948CA" w:rsidRPr="00CC39F5">
        <w:rPr>
          <w:rFonts w:ascii="Cambria" w:hAnsi="Cambria" w:cs="Arial"/>
          <w:sz w:val="20"/>
          <w:szCs w:val="20"/>
        </w:rPr>
        <w:t xml:space="preserve"> 7(</w:t>
      </w:r>
      <w:r w:rsidR="006B32E1" w:rsidRPr="00CC39F5">
        <w:rPr>
          <w:rFonts w:ascii="Cambria" w:hAnsi="Cambria" w:cs="Arial"/>
          <w:sz w:val="20"/>
          <w:szCs w:val="20"/>
        </w:rPr>
        <w:t>2</w:t>
      </w:r>
      <w:r w:rsidR="00F948CA" w:rsidRPr="00CC39F5">
        <w:rPr>
          <w:rFonts w:ascii="Cambria" w:hAnsi="Cambria" w:cs="Arial"/>
          <w:sz w:val="20"/>
          <w:szCs w:val="20"/>
        </w:rPr>
        <w:t>)</w:t>
      </w:r>
      <w:r w:rsidR="006B32E1" w:rsidRPr="00CC39F5">
        <w:rPr>
          <w:rFonts w:ascii="Cambria" w:hAnsi="Cambria" w:cs="Arial"/>
          <w:sz w:val="20"/>
          <w:szCs w:val="20"/>
        </w:rPr>
        <w:t xml:space="preserve"> </w:t>
      </w:r>
      <w:r w:rsidRPr="00CC39F5">
        <w:rPr>
          <w:rFonts w:ascii="Cambria" w:hAnsi="Cambria" w:cs="Arial"/>
          <w:sz w:val="20"/>
          <w:szCs w:val="20"/>
        </w:rPr>
        <w:t xml:space="preserve">of the Convention </w:t>
      </w:r>
      <w:r w:rsidR="006B32E1" w:rsidRPr="00CC39F5">
        <w:rPr>
          <w:rFonts w:ascii="Cambria" w:hAnsi="Cambria" w:cs="Arial"/>
          <w:sz w:val="20"/>
          <w:szCs w:val="20"/>
        </w:rPr>
        <w:t>“</w:t>
      </w:r>
      <w:r w:rsidRPr="00CC39F5">
        <w:rPr>
          <w:rFonts w:ascii="Cambria" w:hAnsi="Cambria"/>
          <w:sz w:val="20"/>
          <w:szCs w:val="20"/>
        </w:rPr>
        <w:t>recognizes the main guarantee of the right to physical liberty: The legal exception, according to which the right to personal liberty can only be affected by a law.</w:t>
      </w:r>
      <w:r w:rsidR="006B32E1" w:rsidRPr="00CC39F5">
        <w:rPr>
          <w:rFonts w:ascii="Cambria" w:hAnsi="Cambria"/>
          <w:sz w:val="20"/>
          <w:szCs w:val="20"/>
        </w:rPr>
        <w:t>”</w:t>
      </w:r>
      <w:r w:rsidR="006B32E1" w:rsidRPr="00CC39F5">
        <w:rPr>
          <w:rStyle w:val="FootnoteReference"/>
          <w:rFonts w:ascii="Cambria" w:hAnsi="Cambria"/>
          <w:sz w:val="20"/>
          <w:szCs w:val="20"/>
        </w:rPr>
        <w:footnoteReference w:id="61"/>
      </w:r>
      <w:r w:rsidR="006B32E1" w:rsidRPr="00CC39F5">
        <w:rPr>
          <w:rFonts w:ascii="Cambria" w:hAnsi="Cambria"/>
          <w:b/>
          <w:sz w:val="20"/>
          <w:szCs w:val="20"/>
        </w:rPr>
        <w:t xml:space="preserve"> </w:t>
      </w:r>
      <w:r w:rsidR="00D314AA" w:rsidRPr="00CC39F5">
        <w:rPr>
          <w:rFonts w:ascii="Cambria" w:hAnsi="Cambria"/>
          <w:sz w:val="20"/>
          <w:szCs w:val="20"/>
        </w:rPr>
        <w:t xml:space="preserve">The legal exception required to </w:t>
      </w:r>
      <w:r w:rsidR="00E32305" w:rsidRPr="00CC39F5">
        <w:rPr>
          <w:rFonts w:ascii="Cambria" w:hAnsi="Cambria"/>
          <w:sz w:val="20"/>
          <w:szCs w:val="20"/>
        </w:rPr>
        <w:t>affect</w:t>
      </w:r>
      <w:r w:rsidR="00D314AA" w:rsidRPr="00CC39F5">
        <w:rPr>
          <w:rFonts w:ascii="Cambria" w:hAnsi="Cambria"/>
          <w:sz w:val="20"/>
          <w:szCs w:val="20"/>
        </w:rPr>
        <w:t xml:space="preserve"> the right to personal liberty pursuant to</w:t>
      </w:r>
      <w:r w:rsidR="00682617" w:rsidRPr="00CC39F5">
        <w:rPr>
          <w:rFonts w:ascii="Cambria" w:hAnsi="Cambria"/>
          <w:sz w:val="20"/>
          <w:szCs w:val="20"/>
        </w:rPr>
        <w:t xml:space="preserve"> Article 7(</w:t>
      </w:r>
      <w:r w:rsidR="006B32E1" w:rsidRPr="00CC39F5">
        <w:rPr>
          <w:rFonts w:ascii="Cambria" w:hAnsi="Cambria"/>
          <w:sz w:val="20"/>
          <w:szCs w:val="20"/>
        </w:rPr>
        <w:t>2</w:t>
      </w:r>
      <w:r w:rsidR="00682617" w:rsidRPr="00CC39F5">
        <w:rPr>
          <w:rFonts w:ascii="Cambria" w:hAnsi="Cambria"/>
          <w:sz w:val="20"/>
          <w:szCs w:val="20"/>
        </w:rPr>
        <w:t>)</w:t>
      </w:r>
      <w:r w:rsidR="006B32E1" w:rsidRPr="00CC39F5">
        <w:rPr>
          <w:rFonts w:ascii="Cambria" w:hAnsi="Cambria"/>
          <w:sz w:val="20"/>
          <w:szCs w:val="20"/>
        </w:rPr>
        <w:t xml:space="preserve"> </w:t>
      </w:r>
      <w:r w:rsidR="00D314AA" w:rsidRPr="00CC39F5">
        <w:rPr>
          <w:rFonts w:ascii="Cambria" w:hAnsi="Cambria"/>
          <w:sz w:val="20"/>
          <w:szCs w:val="20"/>
        </w:rPr>
        <w:t>of the Convention</w:t>
      </w:r>
      <w:r w:rsidR="006B32E1" w:rsidRPr="00CC39F5">
        <w:rPr>
          <w:rFonts w:ascii="Cambria" w:hAnsi="Cambria"/>
          <w:sz w:val="20"/>
          <w:szCs w:val="20"/>
        </w:rPr>
        <w:t xml:space="preserve"> </w:t>
      </w:r>
      <w:r w:rsidR="00E32305" w:rsidRPr="00CC39F5">
        <w:rPr>
          <w:rFonts w:ascii="Cambria" w:hAnsi="Cambria"/>
          <w:sz w:val="20"/>
          <w:szCs w:val="20"/>
        </w:rPr>
        <w:t>is that states must</w:t>
      </w:r>
      <w:r w:rsidR="005551EF" w:rsidRPr="00CC39F5">
        <w:rPr>
          <w:rFonts w:ascii="Cambria" w:hAnsi="Cambria"/>
          <w:sz w:val="20"/>
          <w:szCs w:val="20"/>
        </w:rPr>
        <w:t xml:space="preserve"> </w:t>
      </w:r>
      <w:r w:rsidR="00E32305" w:rsidRPr="00CC39F5">
        <w:rPr>
          <w:rFonts w:ascii="Cambria" w:hAnsi="Cambria"/>
          <w:sz w:val="20"/>
          <w:szCs w:val="20"/>
        </w:rPr>
        <w:t>issue a statutory description of the criminal offense</w:t>
      </w:r>
      <w:r w:rsidR="00D314AA" w:rsidRPr="00CC39F5">
        <w:rPr>
          <w:rFonts w:ascii="Cambria" w:hAnsi="Cambria"/>
          <w:sz w:val="20"/>
          <w:szCs w:val="20"/>
        </w:rPr>
        <w:t xml:space="preserve">, as </w:t>
      </w:r>
      <w:r w:rsidR="00E32305" w:rsidRPr="00CC39F5">
        <w:rPr>
          <w:rFonts w:ascii="Cambria" w:hAnsi="Cambria"/>
          <w:sz w:val="20"/>
          <w:szCs w:val="20"/>
        </w:rPr>
        <w:t>specifically</w:t>
      </w:r>
      <w:r w:rsidR="00D314AA" w:rsidRPr="00CC39F5">
        <w:rPr>
          <w:rFonts w:ascii="Cambria" w:hAnsi="Cambria"/>
          <w:sz w:val="20"/>
          <w:szCs w:val="20"/>
        </w:rPr>
        <w:t xml:space="preserve"> as possible</w:t>
      </w:r>
      <w:r w:rsidR="00E32305" w:rsidRPr="00CC39F5">
        <w:rPr>
          <w:rFonts w:ascii="Cambria" w:hAnsi="Cambria"/>
          <w:sz w:val="20"/>
          <w:szCs w:val="20"/>
        </w:rPr>
        <w:t>,</w:t>
      </w:r>
      <w:r w:rsidR="00D314AA" w:rsidRPr="00CC39F5">
        <w:rPr>
          <w:rFonts w:ascii="Cambria" w:hAnsi="Cambria"/>
          <w:sz w:val="20"/>
          <w:szCs w:val="20"/>
        </w:rPr>
        <w:t xml:space="preserve"> and</w:t>
      </w:r>
      <w:r w:rsidR="00E32305" w:rsidRPr="00CC39F5">
        <w:rPr>
          <w:rFonts w:ascii="Cambria" w:hAnsi="Cambria"/>
          <w:sz w:val="20"/>
          <w:szCs w:val="20"/>
        </w:rPr>
        <w:t xml:space="preserve"> establish “beforehand</w:t>
      </w:r>
      <w:r w:rsidR="00D314AA" w:rsidRPr="00CC39F5">
        <w:rPr>
          <w:rFonts w:ascii="Cambria" w:hAnsi="Cambria"/>
          <w:sz w:val="20"/>
          <w:szCs w:val="20"/>
        </w:rPr>
        <w:t xml:space="preserve">” the “grounds” and “conditions” </w:t>
      </w:r>
      <w:r w:rsidR="00D37672" w:rsidRPr="00CC39F5">
        <w:rPr>
          <w:rFonts w:ascii="Cambria" w:hAnsi="Cambria"/>
          <w:sz w:val="20"/>
          <w:szCs w:val="20"/>
        </w:rPr>
        <w:t>for</w:t>
      </w:r>
      <w:r w:rsidR="00D314AA" w:rsidRPr="00CC39F5">
        <w:rPr>
          <w:rFonts w:ascii="Cambria" w:hAnsi="Cambria"/>
          <w:sz w:val="20"/>
          <w:szCs w:val="20"/>
        </w:rPr>
        <w:t xml:space="preserve"> the deprivation of physical liberty</w:t>
      </w:r>
      <w:r w:rsidR="006B32E1" w:rsidRPr="00CC39F5">
        <w:rPr>
          <w:rFonts w:ascii="Cambria" w:hAnsi="Cambria"/>
          <w:sz w:val="20"/>
          <w:szCs w:val="20"/>
        </w:rPr>
        <w:t xml:space="preserve">. </w:t>
      </w:r>
      <w:r w:rsidR="00333FDF" w:rsidRPr="00CC39F5">
        <w:rPr>
          <w:rFonts w:ascii="Cambria" w:hAnsi="Cambria"/>
          <w:sz w:val="20"/>
          <w:szCs w:val="20"/>
        </w:rPr>
        <w:t xml:space="preserve">Thus, any requirement established under domestic law </w:t>
      </w:r>
      <w:r w:rsidR="00E32305" w:rsidRPr="00CC39F5">
        <w:rPr>
          <w:rFonts w:ascii="Cambria" w:hAnsi="Cambria"/>
          <w:sz w:val="20"/>
          <w:szCs w:val="20"/>
        </w:rPr>
        <w:t xml:space="preserve">that is not abided by when an individual is deprived of his or her liberty renders such deprivation illegal and a </w:t>
      </w:r>
      <w:r w:rsidR="00333FDF" w:rsidRPr="00CC39F5">
        <w:rPr>
          <w:rFonts w:ascii="Cambria" w:hAnsi="Cambria"/>
          <w:sz w:val="20"/>
          <w:szCs w:val="20"/>
        </w:rPr>
        <w:t>violation of the American Convention.</w:t>
      </w:r>
      <w:r w:rsidR="006B32E1" w:rsidRPr="00CC39F5">
        <w:rPr>
          <w:rStyle w:val="FootnoteReference"/>
          <w:rFonts w:ascii="Cambria" w:hAnsi="Cambria"/>
          <w:sz w:val="20"/>
          <w:szCs w:val="20"/>
        </w:rPr>
        <w:footnoteReference w:id="62"/>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333FD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The laws that govern arrests in</w:t>
      </w:r>
      <w:r w:rsidR="006B32E1" w:rsidRPr="00CC39F5">
        <w:rPr>
          <w:rFonts w:ascii="Cambria" w:hAnsi="Cambria"/>
          <w:sz w:val="20"/>
          <w:szCs w:val="20"/>
        </w:rPr>
        <w:t xml:space="preserve"> Ecuador </w:t>
      </w:r>
      <w:r w:rsidR="008C61C9" w:rsidRPr="00CC39F5">
        <w:rPr>
          <w:rFonts w:ascii="Cambria" w:hAnsi="Cambria"/>
          <w:sz w:val="20"/>
          <w:szCs w:val="20"/>
        </w:rPr>
        <w:t>in the context of the alleged commission of crimes related to drug trafficking have been referred to on a number of occasions by the organs of the inter-American system</w:t>
      </w:r>
      <w:r w:rsidR="006B32E1" w:rsidRPr="00CC39F5">
        <w:rPr>
          <w:rFonts w:ascii="Cambria" w:hAnsi="Cambria"/>
          <w:sz w:val="20"/>
          <w:szCs w:val="20"/>
        </w:rPr>
        <w:t xml:space="preserve">. </w:t>
      </w:r>
      <w:r w:rsidR="00BA5B4B" w:rsidRPr="00CC39F5">
        <w:rPr>
          <w:rFonts w:ascii="Cambria" w:hAnsi="Cambria"/>
          <w:sz w:val="20"/>
          <w:szCs w:val="20"/>
        </w:rPr>
        <w:t>In the</w:t>
      </w:r>
      <w:r w:rsidR="004862D7" w:rsidRPr="00CC39F5">
        <w:rPr>
          <w:rFonts w:ascii="Cambria" w:hAnsi="Cambria"/>
          <w:sz w:val="20"/>
          <w:szCs w:val="20"/>
        </w:rPr>
        <w:t xml:space="preserve"> case of the</w:t>
      </w:r>
      <w:r w:rsidR="006346D2" w:rsidRPr="00CC39F5">
        <w:rPr>
          <w:rFonts w:ascii="Cambria" w:hAnsi="Cambria"/>
          <w:sz w:val="20"/>
          <w:szCs w:val="20"/>
        </w:rPr>
        <w:t xml:space="preserve"> Commission</w:t>
      </w:r>
      <w:r w:rsidR="00BA5B4B" w:rsidRPr="00CC39F5">
        <w:rPr>
          <w:rFonts w:ascii="Cambria" w:hAnsi="Cambria"/>
          <w:sz w:val="20"/>
          <w:szCs w:val="20"/>
        </w:rPr>
        <w:t>, it</w:t>
      </w:r>
      <w:r w:rsidR="00E87DF9" w:rsidRPr="00CC39F5">
        <w:rPr>
          <w:rFonts w:ascii="Cambria" w:hAnsi="Cambria"/>
          <w:sz w:val="20"/>
          <w:szCs w:val="20"/>
        </w:rPr>
        <w:t xml:space="preserve">s </w:t>
      </w:r>
      <w:r w:rsidR="00BA5B4B" w:rsidRPr="00CC39F5">
        <w:rPr>
          <w:rFonts w:ascii="Cambria" w:hAnsi="Cambria"/>
          <w:i/>
          <w:sz w:val="20"/>
          <w:szCs w:val="20"/>
        </w:rPr>
        <w:t>Report on the Human Rights</w:t>
      </w:r>
      <w:r w:rsidR="006B32E1" w:rsidRPr="00CC39F5">
        <w:rPr>
          <w:rFonts w:ascii="Cambria" w:hAnsi="Cambria"/>
          <w:i/>
          <w:sz w:val="20"/>
          <w:szCs w:val="20"/>
        </w:rPr>
        <w:t xml:space="preserve"> </w:t>
      </w:r>
      <w:r w:rsidR="00BA5B4B" w:rsidRPr="00CC39F5">
        <w:rPr>
          <w:rFonts w:ascii="Cambria" w:hAnsi="Cambria"/>
          <w:i/>
          <w:sz w:val="20"/>
          <w:szCs w:val="20"/>
        </w:rPr>
        <w:t>Situation in Ecuador,</w:t>
      </w:r>
      <w:r w:rsidR="006B32E1" w:rsidRPr="00CC39F5">
        <w:rPr>
          <w:rStyle w:val="FootnoteReference"/>
          <w:rFonts w:ascii="Cambria" w:hAnsi="Cambria"/>
          <w:sz w:val="20"/>
          <w:szCs w:val="20"/>
        </w:rPr>
        <w:footnoteReference w:id="63"/>
      </w:r>
      <w:r w:rsidR="00BA5B4B" w:rsidRPr="00CC39F5">
        <w:rPr>
          <w:rFonts w:ascii="Cambria" w:hAnsi="Cambria"/>
          <w:i/>
          <w:sz w:val="20"/>
          <w:szCs w:val="20"/>
        </w:rPr>
        <w:t xml:space="preserve"> </w:t>
      </w:r>
      <w:r w:rsidR="00BA5B4B" w:rsidRPr="00CC39F5">
        <w:rPr>
          <w:rFonts w:ascii="Cambria" w:hAnsi="Cambria"/>
          <w:sz w:val="20"/>
          <w:szCs w:val="20"/>
        </w:rPr>
        <w:t>as well as its merits reports in the cases of</w:t>
      </w:r>
      <w:r w:rsidR="006B32E1" w:rsidRPr="00CC39F5">
        <w:rPr>
          <w:rFonts w:ascii="Cambria" w:hAnsi="Cambria"/>
          <w:sz w:val="20"/>
          <w:szCs w:val="20"/>
        </w:rPr>
        <w:t xml:space="preserve"> Dayra María Levoyer Jiménez</w:t>
      </w:r>
      <w:r w:rsidR="006B32E1" w:rsidRPr="00CC39F5">
        <w:rPr>
          <w:rStyle w:val="FootnoteReference"/>
          <w:rFonts w:ascii="Cambria" w:hAnsi="Cambria"/>
          <w:sz w:val="20"/>
          <w:szCs w:val="20"/>
        </w:rPr>
        <w:footnoteReference w:id="64"/>
      </w:r>
      <w:r w:rsidR="006B32E1" w:rsidRPr="00CC39F5">
        <w:rPr>
          <w:rFonts w:ascii="Cambria" w:hAnsi="Cambria"/>
          <w:i/>
          <w:sz w:val="20"/>
          <w:szCs w:val="20"/>
        </w:rPr>
        <w:t xml:space="preserve"> </w:t>
      </w:r>
      <w:r w:rsidR="00F01169" w:rsidRPr="00CC39F5">
        <w:rPr>
          <w:rFonts w:ascii="Cambria" w:hAnsi="Cambria"/>
          <w:sz w:val="20"/>
          <w:szCs w:val="20"/>
        </w:rPr>
        <w:t>and</w:t>
      </w:r>
      <w:r w:rsidR="006B32E1" w:rsidRPr="00CC39F5">
        <w:rPr>
          <w:rFonts w:ascii="Cambria" w:hAnsi="Cambria"/>
          <w:sz w:val="20"/>
          <w:szCs w:val="20"/>
        </w:rPr>
        <w:t xml:space="preserve"> Ruth Rosario</w:t>
      </w:r>
      <w:r w:rsidR="006B32E1" w:rsidRPr="00CC39F5">
        <w:rPr>
          <w:rFonts w:ascii="Cambria" w:hAnsi="Cambria"/>
          <w:i/>
          <w:sz w:val="20"/>
          <w:szCs w:val="20"/>
        </w:rPr>
        <w:t xml:space="preserve"> </w:t>
      </w:r>
      <w:r w:rsidR="006B32E1" w:rsidRPr="00CC39F5">
        <w:rPr>
          <w:rFonts w:ascii="Cambria" w:hAnsi="Cambria"/>
          <w:sz w:val="20"/>
          <w:szCs w:val="20"/>
        </w:rPr>
        <w:t>Garcés Valladares</w:t>
      </w:r>
      <w:r w:rsidR="006B32E1" w:rsidRPr="00CC39F5">
        <w:rPr>
          <w:rStyle w:val="FootnoteReference"/>
          <w:rFonts w:ascii="Cambria" w:hAnsi="Cambria"/>
          <w:sz w:val="20"/>
          <w:szCs w:val="20"/>
        </w:rPr>
        <w:footnoteReference w:id="65"/>
      </w:r>
      <w:r w:rsidR="00F01169" w:rsidRPr="00CC39F5">
        <w:rPr>
          <w:rFonts w:ascii="Cambria" w:hAnsi="Cambria"/>
          <w:i/>
          <w:sz w:val="20"/>
          <w:szCs w:val="20"/>
        </w:rPr>
        <w:t xml:space="preserve"> </w:t>
      </w:r>
      <w:r w:rsidR="00E87DF9" w:rsidRPr="00CC39F5">
        <w:rPr>
          <w:rFonts w:ascii="Cambria" w:hAnsi="Cambria"/>
          <w:sz w:val="20"/>
          <w:szCs w:val="20"/>
        </w:rPr>
        <w:t xml:space="preserve">bear mentioning. </w:t>
      </w:r>
      <w:r w:rsidR="00F01169" w:rsidRPr="00CC39F5">
        <w:rPr>
          <w:rFonts w:ascii="Cambria" w:hAnsi="Cambria"/>
          <w:sz w:val="20"/>
          <w:szCs w:val="20"/>
        </w:rPr>
        <w:t>Similarly, t</w:t>
      </w:r>
      <w:r w:rsidR="002530B6" w:rsidRPr="00CC39F5">
        <w:rPr>
          <w:rFonts w:ascii="Cambria" w:hAnsi="Cambria"/>
          <w:sz w:val="20"/>
          <w:szCs w:val="20"/>
        </w:rPr>
        <w:t>he IACHR</w:t>
      </w:r>
      <w:r w:rsidR="006B32E1" w:rsidRPr="00CC39F5">
        <w:rPr>
          <w:rFonts w:ascii="Cambria" w:hAnsi="Cambria"/>
          <w:sz w:val="20"/>
          <w:szCs w:val="20"/>
        </w:rPr>
        <w:t xml:space="preserve"> </w:t>
      </w:r>
      <w:r w:rsidR="00136032" w:rsidRPr="00CC39F5">
        <w:rPr>
          <w:rFonts w:ascii="Cambria" w:hAnsi="Cambria"/>
          <w:sz w:val="20"/>
          <w:szCs w:val="20"/>
        </w:rPr>
        <w:t xml:space="preserve">has </w:t>
      </w:r>
      <w:r w:rsidR="005A6BEB" w:rsidRPr="00CC39F5">
        <w:rPr>
          <w:rFonts w:ascii="Cambria" w:hAnsi="Cambria"/>
          <w:sz w:val="20"/>
          <w:szCs w:val="20"/>
        </w:rPr>
        <w:t>referred</w:t>
      </w:r>
      <w:r w:rsidR="00136032" w:rsidRPr="00CC39F5">
        <w:rPr>
          <w:rFonts w:ascii="Cambria" w:hAnsi="Cambria"/>
          <w:sz w:val="20"/>
          <w:szCs w:val="20"/>
        </w:rPr>
        <w:t xml:space="preserve"> several cases to the Court in which it has had the opportunity to examine Ecuadorian law in this area. Specifically, the Court rendered decisions in this regard in the cases of</w:t>
      </w:r>
      <w:r w:rsidR="006B32E1" w:rsidRPr="00CC39F5">
        <w:rPr>
          <w:rFonts w:ascii="Cambria" w:hAnsi="Cambria"/>
          <w:sz w:val="20"/>
          <w:szCs w:val="20"/>
        </w:rPr>
        <w:t xml:space="preserve"> </w:t>
      </w:r>
      <w:r w:rsidR="006B32E1" w:rsidRPr="00CC39F5">
        <w:rPr>
          <w:rFonts w:ascii="Cambria" w:hAnsi="Cambria"/>
          <w:i/>
          <w:sz w:val="20"/>
          <w:szCs w:val="20"/>
        </w:rPr>
        <w:t xml:space="preserve">Chaparro Álvarez </w:t>
      </w:r>
      <w:r w:rsidR="00807676" w:rsidRPr="00CC39F5">
        <w:rPr>
          <w:rFonts w:ascii="Cambria" w:hAnsi="Cambria"/>
          <w:i/>
          <w:sz w:val="20"/>
          <w:szCs w:val="20"/>
        </w:rPr>
        <w:t>and</w:t>
      </w:r>
      <w:r w:rsidR="006B32E1" w:rsidRPr="00CC39F5">
        <w:rPr>
          <w:rFonts w:ascii="Cambria" w:hAnsi="Cambria"/>
          <w:i/>
          <w:sz w:val="20"/>
          <w:szCs w:val="20"/>
        </w:rPr>
        <w:t xml:space="preserve"> Lapo Iñiguez; Acosta Calderón;</w:t>
      </w:r>
      <w:r w:rsidR="00136032" w:rsidRPr="00CC39F5">
        <w:rPr>
          <w:rFonts w:ascii="Cambria" w:hAnsi="Cambria"/>
          <w:i/>
          <w:sz w:val="20"/>
          <w:szCs w:val="20"/>
        </w:rPr>
        <w:t xml:space="preserve"> </w:t>
      </w:r>
      <w:r w:rsidR="00136032" w:rsidRPr="00CC39F5">
        <w:rPr>
          <w:rFonts w:ascii="Cambria" w:hAnsi="Cambria"/>
          <w:sz w:val="20"/>
          <w:szCs w:val="20"/>
        </w:rPr>
        <w:t>and</w:t>
      </w:r>
      <w:r w:rsidR="006B32E1" w:rsidRPr="00CC39F5">
        <w:rPr>
          <w:rFonts w:ascii="Cambria" w:hAnsi="Cambria"/>
          <w:i/>
          <w:sz w:val="20"/>
          <w:szCs w:val="20"/>
        </w:rPr>
        <w:t xml:space="preserve"> Tibi</w:t>
      </w:r>
      <w:r w:rsidR="00136032" w:rsidRPr="00CC39F5">
        <w:rPr>
          <w:rFonts w:ascii="Cambria" w:hAnsi="Cambria"/>
          <w:sz w:val="20"/>
          <w:szCs w:val="20"/>
        </w:rPr>
        <w:t xml:space="preserve"> </w:t>
      </w:r>
      <w:r w:rsidR="00136032" w:rsidRPr="00CC39F5">
        <w:rPr>
          <w:rFonts w:ascii="Cambria" w:hAnsi="Cambria"/>
          <w:i/>
          <w:sz w:val="20"/>
          <w:szCs w:val="20"/>
        </w:rPr>
        <w:t>and</w:t>
      </w:r>
      <w:r w:rsidR="006B32E1" w:rsidRPr="00CC39F5">
        <w:rPr>
          <w:rFonts w:ascii="Cambria" w:hAnsi="Cambria"/>
          <w:sz w:val="20"/>
          <w:szCs w:val="20"/>
        </w:rPr>
        <w:t xml:space="preserve"> </w:t>
      </w:r>
      <w:r w:rsidR="006B32E1" w:rsidRPr="00CC39F5">
        <w:rPr>
          <w:rFonts w:ascii="Cambria" w:hAnsi="Cambria"/>
          <w:i/>
          <w:sz w:val="20"/>
          <w:szCs w:val="20"/>
        </w:rPr>
        <w:t>Suáre</w:t>
      </w:r>
      <w:r w:rsidR="006B32E1" w:rsidRPr="00CC39F5">
        <w:rPr>
          <w:rFonts w:ascii="Cambria" w:hAnsi="Cambria"/>
          <w:sz w:val="20"/>
          <w:szCs w:val="20"/>
        </w:rPr>
        <w:t xml:space="preserve">z </w:t>
      </w:r>
      <w:r w:rsidR="006B32E1" w:rsidRPr="00CC39F5">
        <w:rPr>
          <w:rFonts w:ascii="Cambria" w:hAnsi="Cambria"/>
          <w:i/>
          <w:sz w:val="20"/>
          <w:szCs w:val="20"/>
        </w:rPr>
        <w:t xml:space="preserve">Rosero, </w:t>
      </w:r>
      <w:r w:rsidR="00136032" w:rsidRPr="00CC39F5">
        <w:rPr>
          <w:rFonts w:ascii="Cambria" w:hAnsi="Cambria"/>
          <w:sz w:val="20"/>
          <w:szCs w:val="20"/>
        </w:rPr>
        <w:t>all with respect to</w:t>
      </w:r>
      <w:r w:rsidR="006B32E1" w:rsidRPr="00CC39F5">
        <w:rPr>
          <w:rFonts w:ascii="Cambria" w:hAnsi="Cambria"/>
          <w:sz w:val="20"/>
          <w:szCs w:val="20"/>
        </w:rPr>
        <w:t xml:space="preserve"> Ecuador</w:t>
      </w:r>
      <w:r w:rsidR="00136032" w:rsidRPr="00CC39F5">
        <w:rPr>
          <w:rFonts w:ascii="Cambria" w:hAnsi="Cambria"/>
          <w:sz w:val="20"/>
          <w:szCs w:val="20"/>
        </w:rPr>
        <w:t>.</w:t>
      </w:r>
      <w:r w:rsidR="006B32E1" w:rsidRPr="00CC39F5">
        <w:rPr>
          <w:rStyle w:val="FootnoteReference"/>
          <w:rFonts w:ascii="Cambria" w:hAnsi="Cambria"/>
          <w:sz w:val="20"/>
          <w:szCs w:val="20"/>
        </w:rPr>
        <w:footnoteReference w:id="66"/>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6346D2"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The Commission</w:t>
      </w:r>
      <w:r w:rsidR="006B32E1" w:rsidRPr="00CC39F5">
        <w:rPr>
          <w:rFonts w:ascii="Cambria" w:hAnsi="Cambria"/>
          <w:sz w:val="20"/>
          <w:szCs w:val="20"/>
        </w:rPr>
        <w:t xml:space="preserve"> </w:t>
      </w:r>
      <w:r w:rsidR="00DE514D" w:rsidRPr="00CC39F5">
        <w:rPr>
          <w:rFonts w:ascii="Cambria" w:hAnsi="Cambria"/>
          <w:sz w:val="20"/>
          <w:szCs w:val="20"/>
        </w:rPr>
        <w:t>further observes that Article</w:t>
      </w:r>
      <w:r w:rsidR="006B32E1" w:rsidRPr="00CC39F5">
        <w:rPr>
          <w:rFonts w:ascii="Cambria" w:hAnsi="Cambria"/>
          <w:sz w:val="20"/>
          <w:szCs w:val="20"/>
        </w:rPr>
        <w:t xml:space="preserve"> 19 </w:t>
      </w:r>
      <w:r w:rsidR="00DE514D" w:rsidRPr="00CC39F5">
        <w:rPr>
          <w:rFonts w:ascii="Cambria" w:hAnsi="Cambria"/>
          <w:sz w:val="20"/>
          <w:szCs w:val="20"/>
        </w:rPr>
        <w:t>of the Constitution in effect at the time provided that</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6B32E1" w:rsidRPr="00CC39F5" w:rsidRDefault="00DE514D" w:rsidP="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cs="Tahoma"/>
          <w:sz w:val="20"/>
          <w:szCs w:val="20"/>
          <w:bdr w:val="none" w:sz="0" w:space="0" w:color="auto"/>
        </w:rPr>
      </w:pPr>
      <w:r w:rsidRPr="00CC39F5">
        <w:rPr>
          <w:rFonts w:ascii="Cambria" w:hAnsi="Cambria" w:cs="Verdana"/>
          <w:sz w:val="20"/>
          <w:szCs w:val="20"/>
          <w:bdr w:val="none" w:sz="0" w:space="0" w:color="auto"/>
        </w:rPr>
        <w:t>All persons enjoy the following rights: [...]16. Personal liberty and safety</w:t>
      </w:r>
      <w:r w:rsidR="006B32E1" w:rsidRPr="00CC39F5">
        <w:rPr>
          <w:rFonts w:ascii="Cambria" w:hAnsi="Cambria" w:cs="Verdana"/>
          <w:sz w:val="20"/>
          <w:szCs w:val="20"/>
          <w:bdr w:val="none" w:sz="0" w:space="0" w:color="auto"/>
        </w:rPr>
        <w:t xml:space="preserve">. </w:t>
      </w:r>
      <w:r w:rsidRPr="00CC39F5">
        <w:rPr>
          <w:rFonts w:ascii="Cambria" w:hAnsi="Cambria" w:cs="Verdana"/>
          <w:sz w:val="20"/>
          <w:szCs w:val="20"/>
          <w:bdr w:val="none" w:sz="0" w:space="0" w:color="auto"/>
        </w:rPr>
        <w:t>Consequently</w:t>
      </w:r>
      <w:r w:rsidR="007F619C" w:rsidRPr="00CC39F5">
        <w:rPr>
          <w:rFonts w:ascii="Cambria" w:hAnsi="Cambria" w:cs="Verdana"/>
          <w:sz w:val="20"/>
          <w:szCs w:val="20"/>
          <w:bdr w:val="none" w:sz="0" w:space="0" w:color="auto"/>
        </w:rPr>
        <w:t>: [...] </w:t>
      </w:r>
      <w:r w:rsidR="006B32E1" w:rsidRPr="00CC39F5">
        <w:rPr>
          <w:rFonts w:ascii="Cambria" w:hAnsi="Cambria" w:cs="Verdana"/>
          <w:sz w:val="20"/>
          <w:szCs w:val="20"/>
          <w:bdr w:val="none" w:sz="0" w:space="0" w:color="auto"/>
        </w:rPr>
        <w:t xml:space="preserve">h. </w:t>
      </w:r>
      <w:r w:rsidRPr="00CC39F5">
        <w:rPr>
          <w:rFonts w:ascii="Cambria" w:hAnsi="Cambria" w:cs="Verdana"/>
          <w:sz w:val="20"/>
          <w:szCs w:val="20"/>
          <w:bdr w:val="none" w:sz="0" w:space="0" w:color="auto"/>
        </w:rPr>
        <w:t xml:space="preserve">No one is deprived of his liberty without a written </w:t>
      </w:r>
      <w:r w:rsidR="007F619C" w:rsidRPr="00CC39F5">
        <w:rPr>
          <w:rFonts w:ascii="Cambria" w:hAnsi="Cambria" w:cs="Verdana"/>
          <w:sz w:val="20"/>
          <w:szCs w:val="20"/>
          <w:bdr w:val="none" w:sz="0" w:space="0" w:color="auto"/>
        </w:rPr>
        <w:t>order</w:t>
      </w:r>
      <w:r w:rsidRPr="00CC39F5">
        <w:rPr>
          <w:rFonts w:ascii="Cambria" w:hAnsi="Cambria" w:cs="Verdana"/>
          <w:sz w:val="20"/>
          <w:szCs w:val="20"/>
          <w:bdr w:val="none" w:sz="0" w:space="0" w:color="auto"/>
        </w:rPr>
        <w:t xml:space="preserve"> from a competent authority, in the cases, timelines, and with the formalities prescribed by law, except in cases of flagrant offenses.</w:t>
      </w:r>
      <w:r w:rsidR="006B32E1" w:rsidRPr="00CC39F5">
        <w:rPr>
          <w:rStyle w:val="FootnoteReference"/>
          <w:rFonts w:ascii="Cambria" w:hAnsi="Cambria" w:cs="Verdana"/>
          <w:sz w:val="20"/>
          <w:szCs w:val="20"/>
        </w:rPr>
        <w:footnoteReference w:id="67"/>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ind w:left="720" w:right="360"/>
        <w:jc w:val="both"/>
        <w:rPr>
          <w:rFonts w:ascii="Cambria" w:hAnsi="Cambria"/>
          <w:sz w:val="20"/>
          <w:szCs w:val="20"/>
        </w:rPr>
      </w:pPr>
    </w:p>
    <w:p w:rsidR="006B32E1" w:rsidRPr="00CC39F5" w:rsidRDefault="00397A67"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 xml:space="preserve">For its part, the </w:t>
      </w:r>
      <w:r w:rsidR="006F645C" w:rsidRPr="00CC39F5">
        <w:rPr>
          <w:rFonts w:ascii="Cambria" w:hAnsi="Cambria"/>
          <w:sz w:val="20"/>
          <w:szCs w:val="20"/>
        </w:rPr>
        <w:t xml:space="preserve">1983 </w:t>
      </w:r>
      <w:r w:rsidRPr="00CC39F5">
        <w:rPr>
          <w:rFonts w:ascii="Cambria" w:hAnsi="Cambria"/>
          <w:sz w:val="20"/>
          <w:szCs w:val="20"/>
        </w:rPr>
        <w:t>Code of Criminal Procedure set forth the following</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CC39F5">
        <w:rPr>
          <w:rFonts w:ascii="Cambria" w:hAnsi="Cambria"/>
          <w:sz w:val="20"/>
          <w:szCs w:val="20"/>
        </w:rPr>
        <w:t>Art</w:t>
      </w:r>
      <w:r w:rsidR="00397A67" w:rsidRPr="00CC39F5">
        <w:rPr>
          <w:rFonts w:ascii="Cambria" w:hAnsi="Cambria"/>
          <w:sz w:val="20"/>
          <w:szCs w:val="20"/>
        </w:rPr>
        <w:t>icle</w:t>
      </w:r>
      <w:r w:rsidRPr="00CC39F5">
        <w:rPr>
          <w:rFonts w:ascii="Cambria" w:hAnsi="Cambria"/>
          <w:sz w:val="20"/>
          <w:szCs w:val="20"/>
        </w:rPr>
        <w:t xml:space="preserve"> 172.- </w:t>
      </w:r>
      <w:r w:rsidR="00397A67" w:rsidRPr="00CC39F5">
        <w:rPr>
          <w:rFonts w:ascii="Cambria" w:hAnsi="Cambria"/>
          <w:sz w:val="20"/>
          <w:szCs w:val="20"/>
        </w:rPr>
        <w:t xml:space="preserve">For purposes of investigating the commission of a crime, before the respective criminal action </w:t>
      </w:r>
      <w:r w:rsidR="007D5A8C" w:rsidRPr="00CC39F5">
        <w:rPr>
          <w:rFonts w:ascii="Cambria" w:hAnsi="Cambria"/>
          <w:sz w:val="20"/>
          <w:szCs w:val="20"/>
        </w:rPr>
        <w:t>is</w:t>
      </w:r>
      <w:r w:rsidR="00397A67" w:rsidRPr="00CC39F5">
        <w:rPr>
          <w:rFonts w:ascii="Cambria" w:hAnsi="Cambria"/>
          <w:sz w:val="20"/>
          <w:szCs w:val="20"/>
        </w:rPr>
        <w:t xml:space="preserve"> initiated, the compete</w:t>
      </w:r>
      <w:r w:rsidR="00305441" w:rsidRPr="00CC39F5">
        <w:rPr>
          <w:rFonts w:ascii="Cambria" w:hAnsi="Cambria"/>
          <w:sz w:val="20"/>
          <w:szCs w:val="20"/>
        </w:rPr>
        <w:t xml:space="preserve">nt Judge shall order the arrest of </w:t>
      </w:r>
      <w:r w:rsidR="00DF4602" w:rsidRPr="00CC39F5">
        <w:rPr>
          <w:rFonts w:ascii="Cambria" w:hAnsi="Cambria"/>
          <w:sz w:val="20"/>
          <w:szCs w:val="20"/>
        </w:rPr>
        <w:t>a</w:t>
      </w:r>
      <w:r w:rsidR="00305441" w:rsidRPr="00CC39F5">
        <w:rPr>
          <w:rFonts w:ascii="Cambria" w:hAnsi="Cambria"/>
          <w:sz w:val="20"/>
          <w:szCs w:val="20"/>
        </w:rPr>
        <w:t xml:space="preserve"> person</w:t>
      </w:r>
      <w:r w:rsidR="00397A67" w:rsidRPr="00CC39F5">
        <w:rPr>
          <w:rFonts w:ascii="Cambria" w:hAnsi="Cambria"/>
          <w:sz w:val="20"/>
          <w:szCs w:val="20"/>
        </w:rPr>
        <w:t>, whether by personal knowledge or verbal or written reports from officers of the National Police or Judicial Police</w:t>
      </w:r>
      <w:r w:rsidR="00C72F55" w:rsidRPr="00CC39F5">
        <w:rPr>
          <w:rFonts w:ascii="Cambria" w:hAnsi="Cambria"/>
          <w:sz w:val="20"/>
          <w:szCs w:val="20"/>
        </w:rPr>
        <w:t xml:space="preserve"> or </w:t>
      </w:r>
      <w:r w:rsidR="00DF4602" w:rsidRPr="00CC39F5">
        <w:rPr>
          <w:rFonts w:ascii="Cambria" w:hAnsi="Cambria"/>
          <w:sz w:val="20"/>
          <w:szCs w:val="20"/>
        </w:rPr>
        <w:t>from</w:t>
      </w:r>
      <w:r w:rsidR="00C72F55" w:rsidRPr="00CC39F5">
        <w:rPr>
          <w:rFonts w:ascii="Cambria" w:hAnsi="Cambria"/>
          <w:sz w:val="20"/>
          <w:szCs w:val="20"/>
        </w:rPr>
        <w:t xml:space="preserve"> any other individual that substantiate the crime and the corresponding presumptions of responsibility</w:t>
      </w:r>
      <w:r w:rsidRPr="00CC39F5">
        <w:rPr>
          <w:rFonts w:ascii="Cambria" w:hAnsi="Cambria"/>
          <w:sz w:val="20"/>
          <w:szCs w:val="20"/>
        </w:rPr>
        <w:t>.</w:t>
      </w:r>
    </w:p>
    <w:p w:rsidR="006B32E1" w:rsidRPr="00CC39F5" w:rsidRDefault="00305441"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CC39F5">
        <w:rPr>
          <w:rFonts w:ascii="Cambria" w:hAnsi="Cambria"/>
          <w:sz w:val="20"/>
          <w:szCs w:val="20"/>
        </w:rPr>
        <w:t>Such arrests</w:t>
      </w:r>
      <w:r w:rsidR="006B32E1" w:rsidRPr="00CC39F5">
        <w:rPr>
          <w:rFonts w:ascii="Cambria" w:hAnsi="Cambria"/>
          <w:sz w:val="20"/>
          <w:szCs w:val="20"/>
        </w:rPr>
        <w:t xml:space="preserve"> </w:t>
      </w:r>
      <w:r w:rsidRPr="00CC39F5">
        <w:rPr>
          <w:rFonts w:ascii="Cambria" w:hAnsi="Cambria"/>
          <w:sz w:val="20"/>
          <w:szCs w:val="20"/>
        </w:rPr>
        <w:t>shall be ordered via warrants that must contain the following</w:t>
      </w:r>
      <w:r w:rsidR="006B32E1" w:rsidRPr="00CC39F5">
        <w:rPr>
          <w:rFonts w:ascii="Cambria" w:hAnsi="Cambria"/>
          <w:sz w:val="20"/>
          <w:szCs w:val="20"/>
        </w:rPr>
        <w:t>:</w:t>
      </w:r>
    </w:p>
    <w:p w:rsidR="006B32E1" w:rsidRPr="00CC39F5" w:rsidRDefault="00305441"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CC39F5">
        <w:rPr>
          <w:rFonts w:ascii="Cambria" w:hAnsi="Cambria"/>
          <w:sz w:val="20"/>
          <w:szCs w:val="20"/>
        </w:rPr>
        <w:t>1.- The grounds for the arrest</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CC39F5">
        <w:rPr>
          <w:rFonts w:ascii="Cambria" w:hAnsi="Cambria"/>
          <w:sz w:val="20"/>
          <w:szCs w:val="20"/>
        </w:rPr>
        <w:t xml:space="preserve">2.- </w:t>
      </w:r>
      <w:r w:rsidR="00305441" w:rsidRPr="00CC39F5">
        <w:rPr>
          <w:rFonts w:ascii="Cambria" w:hAnsi="Cambria"/>
          <w:sz w:val="20"/>
          <w:szCs w:val="20"/>
        </w:rPr>
        <w:t xml:space="preserve">The </w:t>
      </w:r>
      <w:r w:rsidR="00DF4602" w:rsidRPr="00CC39F5">
        <w:rPr>
          <w:rFonts w:ascii="Cambria" w:hAnsi="Cambria"/>
          <w:sz w:val="20"/>
          <w:szCs w:val="20"/>
        </w:rPr>
        <w:t>place</w:t>
      </w:r>
      <w:r w:rsidR="00305441" w:rsidRPr="00CC39F5">
        <w:rPr>
          <w:rFonts w:ascii="Cambria" w:hAnsi="Cambria"/>
          <w:sz w:val="20"/>
          <w:szCs w:val="20"/>
        </w:rPr>
        <w:t xml:space="preserve"> and date of issue; and</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CC39F5">
        <w:rPr>
          <w:rFonts w:ascii="Cambria" w:hAnsi="Cambria"/>
          <w:sz w:val="20"/>
          <w:szCs w:val="20"/>
        </w:rPr>
        <w:t xml:space="preserve">3.- </w:t>
      </w:r>
      <w:r w:rsidR="00305441" w:rsidRPr="00CC39F5">
        <w:rPr>
          <w:rFonts w:ascii="Cambria" w:hAnsi="Cambria"/>
          <w:sz w:val="20"/>
          <w:szCs w:val="20"/>
        </w:rPr>
        <w:t>The signature of the competent Judge</w:t>
      </w:r>
      <w:r w:rsidRPr="00CC39F5">
        <w:rPr>
          <w:rFonts w:ascii="Cambria" w:hAnsi="Cambria"/>
          <w:sz w:val="20"/>
          <w:szCs w:val="20"/>
        </w:rPr>
        <w:t>.</w:t>
      </w:r>
    </w:p>
    <w:p w:rsidR="006B32E1" w:rsidRPr="00CC39F5" w:rsidRDefault="00305441"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CC39F5">
        <w:rPr>
          <w:rFonts w:ascii="Cambria" w:hAnsi="Cambria"/>
          <w:sz w:val="20"/>
          <w:szCs w:val="20"/>
        </w:rPr>
        <w:t>In order to execute the arrest, the warrant shall be delivered to an officer of the National Police or Judicial Police</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p>
    <w:p w:rsidR="006B32E1" w:rsidRPr="00CC39F5" w:rsidRDefault="00CF42A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Article 174 of the aforementioned Code also provided that</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CF42AE" w:rsidP="006B32E1">
      <w:pPr>
        <w:pBdr>
          <w:top w:val="none" w:sz="0" w:space="0" w:color="auto"/>
          <w:left w:val="none" w:sz="0" w:space="0" w:color="auto"/>
          <w:bottom w:val="none" w:sz="0" w:space="0" w:color="auto"/>
          <w:right w:val="none" w:sz="0" w:space="0" w:color="auto"/>
          <w:bar w:val="none" w:sz="0" w:color="auto"/>
        </w:pBdr>
        <w:ind w:left="720" w:right="576"/>
        <w:jc w:val="both"/>
        <w:rPr>
          <w:rFonts w:ascii="Cambria" w:hAnsi="Cambria"/>
          <w:sz w:val="20"/>
          <w:szCs w:val="20"/>
        </w:rPr>
      </w:pPr>
      <w:r w:rsidRPr="00CC39F5">
        <w:rPr>
          <w:rFonts w:ascii="Cambria" w:hAnsi="Cambria"/>
          <w:sz w:val="20"/>
          <w:szCs w:val="20"/>
        </w:rPr>
        <w:t xml:space="preserve">[i]n the case of </w:t>
      </w:r>
      <w:r w:rsidRPr="00CC39F5">
        <w:rPr>
          <w:rFonts w:ascii="Cambria" w:hAnsi="Cambria"/>
          <w:i/>
          <w:sz w:val="20"/>
          <w:szCs w:val="20"/>
        </w:rPr>
        <w:t>flagrante delicto</w:t>
      </w:r>
      <w:r w:rsidRPr="00CC39F5">
        <w:rPr>
          <w:rFonts w:ascii="Cambria" w:hAnsi="Cambria"/>
          <w:sz w:val="20"/>
          <w:szCs w:val="20"/>
        </w:rPr>
        <w:t xml:space="preserve"> any person may apprehend the perpetrator and take him or her to the competent judge or to a national or judicial police officer</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CF42A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 xml:space="preserve">Additionally, the Commission notes that Article 54 of the Code of Criminal Procedure provides that one of the responsibilities of the Judicial Police is to “order and execute provisional detention of a person caught in </w:t>
      </w:r>
      <w:r w:rsidRPr="00CC39F5">
        <w:rPr>
          <w:rFonts w:ascii="Cambria" w:hAnsi="Cambria"/>
          <w:i/>
          <w:sz w:val="20"/>
          <w:szCs w:val="20"/>
        </w:rPr>
        <w:t>flagrante delicto</w:t>
      </w:r>
      <w:r w:rsidRPr="00CC39F5">
        <w:rPr>
          <w:rFonts w:ascii="Cambria" w:hAnsi="Cambria"/>
          <w:sz w:val="20"/>
          <w:szCs w:val="20"/>
        </w:rPr>
        <w:t xml:space="preserve"> or about whom there are serious presumptions of responsibility and bring them to the respective examining magistrate within 48 hours of the order.”</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7F2EE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 xml:space="preserve">The Inter-American Court has held that under the provisions of the Ecuadorean Constitution and Code of Criminal Procedure a court order was required for a detention to be legal in keeping with the American Convention, except where the person has been apprehended in </w:t>
      </w:r>
      <w:r w:rsidRPr="00CC39F5">
        <w:rPr>
          <w:rFonts w:ascii="Cambria" w:hAnsi="Cambria"/>
          <w:i/>
          <w:sz w:val="20"/>
          <w:szCs w:val="20"/>
        </w:rPr>
        <w:t>flagrante delicto</w:t>
      </w:r>
      <w:r w:rsidRPr="00CC39F5">
        <w:rPr>
          <w:rFonts w:ascii="Cambria" w:hAnsi="Cambria"/>
          <w:sz w:val="20"/>
          <w:szCs w:val="20"/>
        </w:rPr>
        <w:t>.</w:t>
      </w:r>
      <w:r w:rsidRPr="00CC39F5">
        <w:rPr>
          <w:rStyle w:val="FootnoteReference"/>
          <w:rFonts w:ascii="Cambria" w:hAnsi="Cambria"/>
          <w:sz w:val="20"/>
          <w:szCs w:val="20"/>
        </w:rPr>
        <w:footnoteReference w:id="68"/>
      </w:r>
      <w:r w:rsidR="006B32E1" w:rsidRPr="00CC39F5">
        <w:rPr>
          <w:rFonts w:ascii="Cambria" w:hAnsi="Cambria"/>
          <w:sz w:val="20"/>
          <w:szCs w:val="20"/>
        </w:rPr>
        <w:t xml:space="preserve"> </w:t>
      </w:r>
    </w:p>
    <w:p w:rsidR="006B32E1" w:rsidRPr="00CC39F5" w:rsidRDefault="006B32E1" w:rsidP="006B32E1">
      <w:pPr>
        <w:pStyle w:val="ColorfulList-Accent11"/>
        <w:rPr>
          <w:sz w:val="20"/>
          <w:szCs w:val="20"/>
        </w:rPr>
      </w:pPr>
    </w:p>
    <w:p w:rsidR="006B32E1" w:rsidRPr="00CC39F5" w:rsidRDefault="000B6914"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 xml:space="preserve">In this case, there is no dispute that Mr. Montesinos was arrested on June 21, 1992. The IACHR notes that there is nothing in the case file demonstrating that at the time of his arrest there was a specific warrant for Mr. Montesinos that had been issued by a competent authority in accordance with the requirements of Article 172 of the Code of Criminal Procedure. As for the possibility that he was caught in </w:t>
      </w:r>
      <w:r w:rsidRPr="00CC39F5">
        <w:rPr>
          <w:rFonts w:ascii="Cambria" w:hAnsi="Cambria"/>
          <w:i/>
          <w:sz w:val="20"/>
          <w:szCs w:val="20"/>
        </w:rPr>
        <w:t>flagrante delicto</w:t>
      </w:r>
      <w:r w:rsidRPr="00CC39F5">
        <w:rPr>
          <w:rFonts w:ascii="Cambria" w:hAnsi="Cambria"/>
          <w:sz w:val="20"/>
          <w:szCs w:val="20"/>
        </w:rPr>
        <w:t>, the State has not asserted these grounds nor are there elements suggesting that he was caught committing a crime when he was arrested in his car</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rPr>
      </w:pPr>
    </w:p>
    <w:p w:rsidR="006B32E1" w:rsidRPr="00CC39F5" w:rsidRDefault="000B6914"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That said, the Commission notes that Article 54 of the Code of Criminal Procedure “departs from the Constitutional standard” by establishing “a serious presumption of responsibility” as “additional grounds for an arrest without a warrant from the competent authority.”</w:t>
      </w:r>
      <w:r w:rsidRPr="00CC39F5">
        <w:rPr>
          <w:rFonts w:ascii="Cambria" w:hAnsi="Cambria"/>
          <w:sz w:val="20"/>
          <w:szCs w:val="20"/>
          <w:vertAlign w:val="superscript"/>
        </w:rPr>
        <w:footnoteReference w:id="69"/>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566887"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rPr>
        <w:t>Had these been the grounds for the arrest, the Commission recalls that the Court has held that the requirement for making an exception under the law that curtails the right to personal liberty in accordance with Article 7(2) of the Convention is to issue a statutory description of the criminal offense, as specifically as possible, and establish “beforehand” the “grounds” for which, and the “conditions” in which, a person may be physically deprived of their liberty. Thus, any requirement established under domestic law that is not abided by when an individual is deprived of his or her liberty renders such a deprivation illegal and a violation of the American Convention.</w:t>
      </w:r>
      <w:r w:rsidRPr="00CC39F5">
        <w:rPr>
          <w:rStyle w:val="FootnoteReference"/>
          <w:rFonts w:ascii="Cambria" w:hAnsi="Cambria"/>
          <w:sz w:val="20"/>
          <w:szCs w:val="20"/>
        </w:rPr>
        <w:footnoteReference w:id="70"/>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566887"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As stated in merit reports 66/01 and 40/14, the grounds of “serious presumption of responsibility” are not set forth in the Constitution.</w:t>
      </w:r>
      <w:r w:rsidRPr="00CC39F5">
        <w:rPr>
          <w:rStyle w:val="FootnoteReference"/>
          <w:rFonts w:ascii="Cambria" w:hAnsi="Cambria"/>
          <w:sz w:val="20"/>
          <w:szCs w:val="20"/>
        </w:rPr>
        <w:footnoteReference w:id="71"/>
      </w:r>
      <w:r w:rsidRPr="00CC39F5">
        <w:rPr>
          <w:rFonts w:ascii="Cambria" w:hAnsi="Cambria"/>
          <w:sz w:val="20"/>
        </w:rPr>
        <w:t xml:space="preserve"> Moreover, it opens the door to police officers making arrests based not on objective criteria, but rather on what he or she understands as a “serious presumption of responsibility” leaving “the definition to the discretion of the police officer making the arrest.</w:t>
      </w:r>
      <w:r w:rsidRPr="00CC39F5">
        <w:rPr>
          <w:rFonts w:ascii="Cambria" w:hAnsi="Cambria"/>
          <w:sz w:val="20"/>
          <w:szCs w:val="20"/>
        </w:rPr>
        <w:t>”</w:t>
      </w:r>
      <w:r w:rsidRPr="00CC39F5">
        <w:rPr>
          <w:rStyle w:val="FootnoteReference"/>
          <w:rFonts w:ascii="Cambria" w:hAnsi="Cambria"/>
          <w:sz w:val="20"/>
          <w:szCs w:val="20"/>
        </w:rPr>
        <w:footnoteReference w:id="72"/>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C55559"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rPr>
        <w:t>In said report, the Commission considered that this provision “contravenes the Convention” since “it leaves the decision as to the appropriateness of the arrest to the subjective judgment of the police officer carrying out the arrest.”</w:t>
      </w:r>
      <w:r w:rsidRPr="00CC39F5">
        <w:rPr>
          <w:rStyle w:val="FootnoteReference"/>
          <w:rFonts w:ascii="Cambria" w:hAnsi="Cambria"/>
          <w:sz w:val="20"/>
          <w:szCs w:val="20"/>
        </w:rPr>
        <w:footnoteReference w:id="73"/>
      </w:r>
      <w:r w:rsidR="006B32E1" w:rsidRPr="00CC39F5">
        <w:rPr>
          <w:rFonts w:ascii="Cambria" w:hAnsi="Cambria"/>
          <w:sz w:val="20"/>
          <w:szCs w:val="20"/>
        </w:rPr>
        <w:t xml:space="preserve"> </w:t>
      </w:r>
      <w:r w:rsidRPr="00CC39F5">
        <w:rPr>
          <w:rFonts w:ascii="Cambria" w:hAnsi="Cambria"/>
          <w:sz w:val="20"/>
        </w:rPr>
        <w:t>The Commission understood that the requirement for a statutory description of a crime in order to restrict personal liberty, “is not satisfied by a vague and general prescription such as ‘serious presumption of responsibility.</w:t>
      </w:r>
      <w:r w:rsidRPr="00CC39F5">
        <w:rPr>
          <w:rFonts w:ascii="Cambria" w:hAnsi="Cambria"/>
          <w:sz w:val="20"/>
          <w:szCs w:val="20"/>
        </w:rPr>
        <w:t>”</w:t>
      </w:r>
      <w:r w:rsidRPr="00CC39F5">
        <w:rPr>
          <w:rStyle w:val="FootnoteReference"/>
          <w:rFonts w:ascii="Cambria" w:hAnsi="Cambria"/>
          <w:sz w:val="20"/>
          <w:szCs w:val="20"/>
        </w:rPr>
        <w:footnoteReference w:id="74"/>
      </w:r>
      <w:r w:rsidRPr="00CC39F5">
        <w:rPr>
          <w:rFonts w:ascii="Cambria" w:hAnsi="Cambria"/>
          <w:sz w:val="20"/>
          <w:szCs w:val="20"/>
        </w:rPr>
        <w:t xml:space="preserve"> </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43041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 xml:space="preserve">Based on the foregoing, the Commission concludes that based on the available information, the arrest was carried out without an arrest warrant in keeping with domestic law or in a situation of </w:t>
      </w:r>
      <w:r w:rsidRPr="00CC39F5">
        <w:rPr>
          <w:rFonts w:ascii="Cambria" w:hAnsi="Cambria"/>
          <w:i/>
          <w:sz w:val="20"/>
          <w:szCs w:val="20"/>
        </w:rPr>
        <w:t>flagrante delicto</w:t>
      </w:r>
      <w:r w:rsidRPr="00CC39F5">
        <w:rPr>
          <w:rFonts w:ascii="Cambria" w:hAnsi="Cambria"/>
          <w:sz w:val="20"/>
          <w:szCs w:val="20"/>
        </w:rPr>
        <w:t>. Moreover, were the grounds for the arrest a serious presumption of responsibility, the Commission reiterates that said provision is in and of itself inconsistent with the principle of legality as it concerns personal liberty. Therefore, the Commission considers that the State of Ecuador violated Articles 7(1) ad 7(2) of the Convention with respect to the obligations set forth under Articles 1(1) and 2 thereof, to the detriment of Mario Montesinos Mejía.</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rPr>
      </w:pPr>
    </w:p>
    <w:p w:rsidR="006B32E1" w:rsidRPr="00CC39F5" w:rsidRDefault="006B32E1" w:rsidP="006B32E1">
      <w:pPr>
        <w:pStyle w:val="Heading3"/>
        <w:spacing w:before="0"/>
        <w:ind w:left="1440" w:hanging="720"/>
        <w:jc w:val="both"/>
        <w:rPr>
          <w:color w:val="auto"/>
          <w:sz w:val="20"/>
          <w:szCs w:val="20"/>
        </w:rPr>
      </w:pPr>
      <w:bookmarkStart w:id="19" w:name="_Toc495584795"/>
      <w:r w:rsidRPr="00CC39F5">
        <w:rPr>
          <w:color w:val="auto"/>
          <w:sz w:val="20"/>
          <w:szCs w:val="20"/>
        </w:rPr>
        <w:t>2.</w:t>
      </w:r>
      <w:r w:rsidRPr="00CC39F5">
        <w:rPr>
          <w:color w:val="auto"/>
          <w:sz w:val="20"/>
          <w:szCs w:val="20"/>
        </w:rPr>
        <w:tab/>
      </w:r>
      <w:r w:rsidR="00430415" w:rsidRPr="00CC39F5">
        <w:rPr>
          <w:color w:val="auto"/>
          <w:sz w:val="20"/>
          <w:szCs w:val="20"/>
        </w:rPr>
        <w:t>The right not to be arbitrarily deprived of liberty and considerations on the length of pretrial detention</w:t>
      </w:r>
      <w:bookmarkEnd w:id="19"/>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bookmarkStart w:id="20" w:name="_Toc338425821"/>
    </w:p>
    <w:p w:rsidR="00CC69D2" w:rsidRPr="00CC39F5" w:rsidRDefault="00430415" w:rsidP="00CC69D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The Inter-American Commission and Court have held that pretrial detention is limited by the principles of legality, presumption of innocence, necessity, and proportionality.</w:t>
      </w:r>
      <w:r w:rsidRPr="00CC39F5">
        <w:rPr>
          <w:rStyle w:val="FootnoteReference"/>
          <w:rFonts w:ascii="Cambria" w:hAnsi="Cambria"/>
          <w:sz w:val="20"/>
          <w:szCs w:val="20"/>
        </w:rPr>
        <w:footnoteReference w:id="75"/>
      </w:r>
      <w:r w:rsidRPr="00CC39F5">
        <w:rPr>
          <w:rFonts w:ascii="Cambria" w:hAnsi="Cambria"/>
          <w:sz w:val="20"/>
          <w:szCs w:val="20"/>
        </w:rPr>
        <w:t xml:space="preserve"> The Court has also stated that it is a precautionary, rather than a punitive,</w:t>
      </w:r>
      <w:r w:rsidRPr="00CC39F5">
        <w:rPr>
          <w:rStyle w:val="FootnoteReference"/>
          <w:rFonts w:ascii="Cambria" w:hAnsi="Cambria"/>
          <w:sz w:val="20"/>
          <w:szCs w:val="20"/>
        </w:rPr>
        <w:footnoteReference w:id="76"/>
      </w:r>
      <w:r w:rsidRPr="00CC39F5">
        <w:rPr>
          <w:rFonts w:ascii="Cambria" w:hAnsi="Cambria"/>
          <w:sz w:val="20"/>
          <w:szCs w:val="20"/>
        </w:rPr>
        <w:t xml:space="preserve"> measure, and that, as the most severe measure that can be imposed on an accused, it should only be used exceptionally. In the view of both organs of the inter-American system, the rule should be for the accused to be on release until a decision is reached on their criminal responsibility.</w:t>
      </w:r>
      <w:r w:rsidRPr="00CC39F5">
        <w:rPr>
          <w:rStyle w:val="FootnoteReference"/>
          <w:rFonts w:ascii="Cambria" w:hAnsi="Cambria"/>
          <w:sz w:val="20"/>
          <w:szCs w:val="20"/>
        </w:rPr>
        <w:footnoteReference w:id="77"/>
      </w:r>
    </w:p>
    <w:p w:rsidR="00CC69D2" w:rsidRPr="00CC39F5" w:rsidRDefault="00CC69D2" w:rsidP="00CC69D2">
      <w:pPr>
        <w:ind w:firstLine="720"/>
        <w:jc w:val="both"/>
        <w:rPr>
          <w:rFonts w:ascii="Cambria" w:hAnsi="Cambria"/>
          <w:sz w:val="20"/>
          <w:szCs w:val="20"/>
        </w:rPr>
      </w:pPr>
    </w:p>
    <w:p w:rsidR="00CC69D2" w:rsidRPr="00CC39F5" w:rsidRDefault="00722DB2" w:rsidP="00CC69D2">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r w:rsidRPr="00CC39F5">
        <w:rPr>
          <w:rFonts w:ascii="Cambria" w:hAnsi="Cambria"/>
          <w:sz w:val="20"/>
          <w:szCs w:val="20"/>
          <w:lang w:val="en-US"/>
        </w:rPr>
        <w:t>The Court and the Commission have underscored that the personal characteristics of the alleged perpetrator and the seriousness of the offense with which they are charged are not, in themselves, sufficient justification for pretrial detention.</w:t>
      </w:r>
      <w:r w:rsidRPr="00CC39F5">
        <w:rPr>
          <w:rStyle w:val="FootnoteReference"/>
          <w:rFonts w:ascii="Cambria" w:hAnsi="Cambria"/>
          <w:sz w:val="20"/>
          <w:szCs w:val="20"/>
          <w:lang w:val="en-US"/>
        </w:rPr>
        <w:footnoteReference w:id="78"/>
      </w:r>
      <w:r w:rsidRPr="00CC39F5">
        <w:rPr>
          <w:rFonts w:ascii="Cambria" w:hAnsi="Cambria"/>
          <w:sz w:val="20"/>
          <w:szCs w:val="20"/>
          <w:lang w:val="en-US"/>
        </w:rPr>
        <w:t xml:space="preserve"> With respect to the reasons that may justify pretrial detention, the organs of the system have interpreted Article 7(3) of the American Convention in the sense that circumstantial evidence of guilt are a necessary condition but not sufficient alone to impose such a measure. In the words of the Court:</w:t>
      </w:r>
      <w:r w:rsidR="00CC69D2" w:rsidRPr="00CC39F5">
        <w:rPr>
          <w:rFonts w:ascii="Cambria" w:hAnsi="Cambria"/>
          <w:sz w:val="20"/>
          <w:szCs w:val="20"/>
          <w:lang w:val="en-US"/>
        </w:rPr>
        <w:t xml:space="preserve"> </w:t>
      </w:r>
    </w:p>
    <w:p w:rsidR="00CC69D2" w:rsidRPr="00CC39F5" w:rsidRDefault="00CC69D2" w:rsidP="00CC69D2">
      <w:pPr>
        <w:ind w:left="720" w:right="720"/>
        <w:jc w:val="both"/>
        <w:rPr>
          <w:rFonts w:ascii="Cambria" w:hAnsi="Cambria"/>
          <w:sz w:val="20"/>
          <w:szCs w:val="20"/>
        </w:rPr>
      </w:pPr>
    </w:p>
    <w:p w:rsidR="00CC69D2" w:rsidRPr="00CC39F5" w:rsidRDefault="00722DB2" w:rsidP="00CC69D2">
      <w:pPr>
        <w:ind w:left="720" w:right="720"/>
        <w:jc w:val="both"/>
        <w:rPr>
          <w:rFonts w:ascii="Cambria" w:hAnsi="Cambria"/>
          <w:sz w:val="20"/>
          <w:szCs w:val="20"/>
        </w:rPr>
      </w:pPr>
      <w:r w:rsidRPr="00CC39F5">
        <w:rPr>
          <w:rFonts w:ascii="Cambria" w:hAnsi="Cambria"/>
          <w:sz w:val="20"/>
          <w:szCs w:val="20"/>
        </w:rPr>
        <w:t>(…) there must be sufficient evidence to allow reasonable supposition that the person committed to trial has taken part in the criminal offense under investigation.</w:t>
      </w:r>
      <w:r w:rsidRPr="00CC39F5">
        <w:rPr>
          <w:rStyle w:val="FootnoteReference"/>
          <w:rFonts w:ascii="Cambria" w:hAnsi="Cambria"/>
          <w:sz w:val="20"/>
          <w:szCs w:val="20"/>
        </w:rPr>
        <w:footnoteReference w:id="79"/>
      </w:r>
      <w:r w:rsidRPr="00CC39F5">
        <w:rPr>
          <w:rFonts w:ascii="Cambria" w:hAnsi="Cambria"/>
          <w:sz w:val="20"/>
          <w:szCs w:val="20"/>
        </w:rPr>
        <w:t xml:space="preserve"> Nevertheless, “even in these circumstances, the deprivation of liberty of the accused cannot be based on general preventive or special preventive purposes, which could be attributed to the punishment, but […] based on a legitimate purpose, which is: to ensure that the accused does not prevent the proceedings from being conducted or elude the system of justice.”</w:t>
      </w:r>
      <w:r w:rsidRPr="00CC39F5">
        <w:rPr>
          <w:rStyle w:val="FootnoteReference"/>
          <w:rFonts w:ascii="Cambria" w:hAnsi="Cambria"/>
          <w:sz w:val="20"/>
          <w:szCs w:val="20"/>
        </w:rPr>
        <w:footnoteReference w:id="80"/>
      </w:r>
    </w:p>
    <w:p w:rsidR="00CC69D2" w:rsidRPr="00CC39F5" w:rsidRDefault="00CC69D2" w:rsidP="00CC69D2">
      <w:pPr>
        <w:pStyle w:val="ColorfulList-Accent12"/>
        <w:rPr>
          <w:sz w:val="20"/>
          <w:szCs w:val="20"/>
        </w:rPr>
      </w:pPr>
    </w:p>
    <w:p w:rsidR="00CC69D2" w:rsidRPr="00CC39F5" w:rsidRDefault="00722DB2" w:rsidP="00CC69D2">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r w:rsidRPr="00CC39F5">
        <w:rPr>
          <w:rFonts w:ascii="Cambria" w:hAnsi="Cambria"/>
          <w:sz w:val="20"/>
          <w:szCs w:val="20"/>
          <w:lang w:val="en-US"/>
        </w:rPr>
        <w:t>Thus, any decision to restrict the right to personal liberty through the imposition of pretrial detention must be justified by sufficient grounds in each instance to determine if said detention meets the requirements for its application.</w:t>
      </w:r>
      <w:r w:rsidRPr="00CC39F5">
        <w:rPr>
          <w:rStyle w:val="FootnoteReference"/>
          <w:rFonts w:ascii="Cambria" w:hAnsi="Cambria"/>
          <w:sz w:val="20"/>
          <w:szCs w:val="20"/>
          <w:lang w:val="en-US"/>
        </w:rPr>
        <w:footnoteReference w:id="81"/>
      </w:r>
    </w:p>
    <w:p w:rsidR="00CC69D2" w:rsidRPr="00CC39F5" w:rsidRDefault="00CC69D2" w:rsidP="00CC69D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rsidR="00CC69D2" w:rsidRPr="00CC39F5" w:rsidRDefault="00722DB2" w:rsidP="00CC69D2">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n-US"/>
        </w:rPr>
      </w:pPr>
      <w:r w:rsidRPr="00CC39F5">
        <w:rPr>
          <w:rFonts w:ascii="Cambria" w:hAnsi="Cambria"/>
          <w:sz w:val="20"/>
          <w:szCs w:val="20"/>
          <w:lang w:val="en-US"/>
        </w:rPr>
        <w:t>At the same time, Article 7(5) of the American Convention imposes time limits on pretrial detention and, consequently, on the power of the State to protect the purposes pursued by the proceeding with this type of precautionary measure. As the Inter-American Court has held, “[w]hen the duration of pre-trial detention exceeds a reasonable time, the State can restrict the liberty of the accused by other measures that are less harmful than deprivation of liberty.”</w:t>
      </w:r>
      <w:r w:rsidRPr="00CC39F5">
        <w:rPr>
          <w:rStyle w:val="FootnoteReference"/>
          <w:rFonts w:ascii="Cambria" w:hAnsi="Cambria"/>
          <w:sz w:val="20"/>
          <w:szCs w:val="20"/>
          <w:lang w:val="en-US"/>
        </w:rPr>
        <w:footnoteReference w:id="82"/>
      </w:r>
      <w:r w:rsidRPr="00CC39F5">
        <w:rPr>
          <w:rFonts w:ascii="Cambria" w:hAnsi="Cambria"/>
          <w:sz w:val="20"/>
          <w:szCs w:val="20"/>
          <w:lang w:val="en-US"/>
        </w:rPr>
        <w:t xml:space="preserve"> The Court has indicated that even when there are reasons to keep someone in pretrial detention, the period of detention should not exceed what is reasonable.</w:t>
      </w:r>
      <w:r w:rsidRPr="00CC39F5">
        <w:rPr>
          <w:rStyle w:val="FootnoteReference"/>
          <w:rFonts w:ascii="Cambria" w:hAnsi="Cambria"/>
          <w:sz w:val="20"/>
          <w:szCs w:val="20"/>
          <w:lang w:val="en-US"/>
        </w:rPr>
        <w:footnoteReference w:id="83"/>
      </w:r>
    </w:p>
    <w:p w:rsidR="00CC69D2" w:rsidRPr="00CC39F5" w:rsidRDefault="00CC69D2" w:rsidP="00CC69D2">
      <w:pPr>
        <w:pStyle w:val="ColorfulList-Accent12"/>
        <w:rPr>
          <w:sz w:val="20"/>
          <w:szCs w:val="20"/>
        </w:rPr>
      </w:pPr>
    </w:p>
    <w:p w:rsidR="00CC69D2" w:rsidRPr="00CC39F5" w:rsidRDefault="00722DB2" w:rsidP="00CC69D2">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r w:rsidRPr="00CC39F5">
        <w:rPr>
          <w:rFonts w:ascii="Cambria" w:hAnsi="Cambria"/>
          <w:sz w:val="20"/>
          <w:szCs w:val="20"/>
          <w:lang w:val="en-US"/>
        </w:rPr>
        <w:t>As regards the need for periodic review of the grounds for pretrial detention and its duration, the Court has stated that:</w:t>
      </w:r>
      <w:r w:rsidR="00CC69D2" w:rsidRPr="00CC39F5">
        <w:rPr>
          <w:rFonts w:ascii="Cambria" w:hAnsi="Cambria"/>
          <w:sz w:val="20"/>
          <w:szCs w:val="20"/>
          <w:lang w:val="en-US"/>
        </w:rPr>
        <w:t xml:space="preserve"> </w:t>
      </w:r>
    </w:p>
    <w:p w:rsidR="00CC69D2" w:rsidRPr="00CC39F5" w:rsidRDefault="00CC69D2" w:rsidP="00CC69D2">
      <w:pPr>
        <w:pStyle w:val="ColorfulList-Accent12"/>
        <w:rPr>
          <w:sz w:val="20"/>
          <w:szCs w:val="20"/>
        </w:rPr>
      </w:pPr>
    </w:p>
    <w:p w:rsidR="00CC69D2" w:rsidRPr="00CC39F5" w:rsidRDefault="00722DB2" w:rsidP="00CC69D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CC39F5">
        <w:rPr>
          <w:rFonts w:ascii="Cambria" w:hAnsi="Cambria"/>
          <w:sz w:val="20"/>
          <w:szCs w:val="20"/>
        </w:rPr>
        <w:t>pretrial detention or imprisonment should be subject to periodic review, so that it is not prolonged when the reasons that supported it no longer exist .... Whenever it appears that pretrial detention does not meet those conditions, release should be ordered, without prejudice to the continuation of the proceedings.</w:t>
      </w:r>
      <w:r w:rsidRPr="00CC39F5">
        <w:rPr>
          <w:rStyle w:val="FootnoteReference"/>
          <w:rFonts w:ascii="Cambria" w:hAnsi="Cambria"/>
          <w:sz w:val="20"/>
          <w:szCs w:val="20"/>
        </w:rPr>
        <w:footnoteReference w:id="84"/>
      </w:r>
      <w:r w:rsidR="00CC69D2" w:rsidRPr="00CC39F5">
        <w:rPr>
          <w:rFonts w:ascii="Cambria" w:hAnsi="Cambria"/>
          <w:sz w:val="20"/>
          <w:szCs w:val="20"/>
        </w:rPr>
        <w:t xml:space="preserve"> </w:t>
      </w:r>
    </w:p>
    <w:p w:rsidR="00CC69D2" w:rsidRPr="00CC39F5" w:rsidRDefault="00CC69D2" w:rsidP="00CC69D2">
      <w:pPr>
        <w:pStyle w:val="ColorfulList-Accent12"/>
        <w:rPr>
          <w:sz w:val="20"/>
          <w:szCs w:val="20"/>
        </w:rPr>
      </w:pPr>
    </w:p>
    <w:p w:rsidR="00CC69D2" w:rsidRPr="00CC39F5" w:rsidRDefault="00722DB2" w:rsidP="00CC69D2">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r w:rsidRPr="00CC39F5">
        <w:rPr>
          <w:rFonts w:ascii="Cambria" w:hAnsi="Cambria"/>
          <w:sz w:val="20"/>
          <w:szCs w:val="20"/>
          <w:lang w:val="en-US"/>
        </w:rPr>
        <w:t xml:space="preserve">Besides its effects on the exercise of the right to personal liberty, both the Commission and the Court have stated that improper use of pretrial detention may undermine the principle of presumption of innocence contained in Article 8(2) of the American Convention. In that connection, the Commission has underscored the importance of the criterion of reasonableness, since to keep someone deprived of liberty </w:t>
      </w:r>
      <w:r w:rsidRPr="00CC39F5">
        <w:rPr>
          <w:rFonts w:ascii="Cambria" w:hAnsi="Cambria"/>
          <w:sz w:val="20"/>
          <w:szCs w:val="20"/>
          <w:lang w:val="en-US"/>
        </w:rPr>
        <w:lastRenderedPageBreak/>
        <w:t>beyond a time that is reasonable to accomplish the ends that justified their detention would be tantamount, in effect, to a premature punishment.</w:t>
      </w:r>
      <w:r w:rsidRPr="00CC39F5">
        <w:rPr>
          <w:rStyle w:val="FootnoteReference"/>
          <w:rFonts w:ascii="Cambria" w:hAnsi="Cambria"/>
          <w:sz w:val="20"/>
          <w:szCs w:val="20"/>
          <w:lang w:val="en-US"/>
        </w:rPr>
        <w:footnoteReference w:id="85"/>
      </w:r>
      <w:r w:rsidR="00CC69D2" w:rsidRPr="00CC39F5">
        <w:rPr>
          <w:rFonts w:ascii="Cambria" w:hAnsi="Cambria"/>
          <w:sz w:val="20"/>
          <w:szCs w:val="20"/>
          <w:lang w:val="en-US"/>
        </w:rPr>
        <w:t xml:space="preserve"> </w:t>
      </w:r>
    </w:p>
    <w:p w:rsidR="00CC69D2" w:rsidRPr="00CC39F5" w:rsidRDefault="00CC69D2" w:rsidP="00CC69D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C69D2" w:rsidRPr="00CC39F5" w:rsidRDefault="00CC69D2" w:rsidP="00CC69D2">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r w:rsidRPr="00CC39F5">
        <w:rPr>
          <w:rFonts w:ascii="Cambria" w:hAnsi="Cambria"/>
          <w:sz w:val="20"/>
          <w:szCs w:val="20"/>
          <w:lang w:val="en-US"/>
        </w:rPr>
        <w:t>The IACHR has said the following with respect to unreasonably long pre-trial detention:</w:t>
      </w:r>
    </w:p>
    <w:p w:rsidR="00CC69D2" w:rsidRPr="00CC39F5" w:rsidRDefault="00CC69D2" w:rsidP="00CC69D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C69D2" w:rsidRPr="00CC39F5" w:rsidRDefault="00722DB2" w:rsidP="00CC69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r w:rsidRPr="00CC39F5">
        <w:rPr>
          <w:rFonts w:ascii="Cambria" w:hAnsi="Cambria"/>
          <w:sz w:val="20"/>
          <w:szCs w:val="20"/>
        </w:rPr>
        <w:t>In addition, the risk of inverting the presumption of innocence increases with an unreasonably prolonged pretrial incarceration. The guarantee of presumption of innocence becomes increasingly empty and ultimately a mockery when pretrial imprisonment is prolonged unreasonably, since presumption notwithstanding, the severe penalty of deprivation of liberty, which is legally reserved for those who have been convicted, is being visited upon someone who is, until and if convicted by the courts, innocent.</w:t>
      </w:r>
      <w:r w:rsidRPr="00CC39F5">
        <w:rPr>
          <w:rStyle w:val="FootnoteReference"/>
          <w:rFonts w:ascii="Cambria" w:hAnsi="Cambria"/>
          <w:sz w:val="20"/>
          <w:szCs w:val="20"/>
        </w:rPr>
        <w:footnoteReference w:id="86"/>
      </w:r>
    </w:p>
    <w:p w:rsidR="00CC69D2" w:rsidRPr="00CC39F5" w:rsidRDefault="00CC69D2" w:rsidP="00CC69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p>
    <w:p w:rsidR="00CC69D2" w:rsidRPr="00CC39F5" w:rsidRDefault="00CC69D2" w:rsidP="00CC69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r w:rsidRPr="00CC39F5">
        <w:rPr>
          <w:rFonts w:ascii="Cambria" w:hAnsi="Cambria"/>
          <w:sz w:val="20"/>
          <w:szCs w:val="20"/>
        </w:rPr>
        <w:t>(…)</w:t>
      </w:r>
    </w:p>
    <w:p w:rsidR="00CC69D2" w:rsidRPr="00CC39F5" w:rsidRDefault="00CC69D2" w:rsidP="00CC69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p>
    <w:p w:rsidR="00CC69D2" w:rsidRPr="00CC39F5" w:rsidRDefault="00CC69D2" w:rsidP="00CC69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CC39F5">
        <w:rPr>
          <w:rFonts w:ascii="Cambria" w:hAnsi="Cambria"/>
          <w:sz w:val="20"/>
          <w:szCs w:val="20"/>
        </w:rPr>
        <w:t>If the State fails to issue a judgment establishing blame justifies further holding the accused in pre-trial incarceration, based on the suspicion of guilt, then it is essentially substituting pre-trial detention for the punishment.</w:t>
      </w:r>
      <w:r w:rsidRPr="00CC39F5">
        <w:rPr>
          <w:rStyle w:val="FootnoteReference"/>
          <w:rFonts w:ascii="Cambria" w:hAnsi="Cambria"/>
          <w:sz w:val="20"/>
          <w:szCs w:val="20"/>
        </w:rPr>
        <w:footnoteReference w:id="87"/>
      </w:r>
    </w:p>
    <w:p w:rsidR="00CC69D2" w:rsidRPr="00CC39F5" w:rsidRDefault="00CC69D2" w:rsidP="00CC69D2">
      <w:pPr>
        <w:pStyle w:val="ColorfulList-Accent12"/>
        <w:jc w:val="both"/>
        <w:rPr>
          <w:rFonts w:cs="Calibri"/>
          <w:sz w:val="20"/>
          <w:szCs w:val="20"/>
        </w:rPr>
      </w:pPr>
    </w:p>
    <w:p w:rsidR="00CC69D2" w:rsidRPr="00CC39F5" w:rsidRDefault="00191C0C" w:rsidP="00CC69D2">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lang w:val="en-US"/>
        </w:rPr>
      </w:pPr>
      <w:r w:rsidRPr="00CC39F5">
        <w:rPr>
          <w:rFonts w:ascii="Cambria" w:hAnsi="Cambria" w:cs="Calibri"/>
          <w:sz w:val="20"/>
          <w:szCs w:val="20"/>
          <w:lang w:val="en-US"/>
        </w:rPr>
        <w:t>Respect for the right to be presumed innocent also requires that the State demonstrate with clear and reasoned arguments in each specific case the existence of valid rules governing the applicability of pretrial detention.</w:t>
      </w:r>
      <w:r w:rsidRPr="00CC39F5">
        <w:rPr>
          <w:rStyle w:val="FootnoteReference"/>
          <w:rFonts w:ascii="Cambria" w:hAnsi="Cambria" w:cs="Calibri"/>
          <w:sz w:val="20"/>
          <w:szCs w:val="20"/>
          <w:lang w:val="en-US"/>
        </w:rPr>
        <w:footnoteReference w:id="88"/>
      </w:r>
      <w:r w:rsidRPr="00CC39F5">
        <w:rPr>
          <w:rFonts w:ascii="Cambria" w:hAnsi="Cambria" w:cs="Calibri"/>
          <w:sz w:val="20"/>
          <w:szCs w:val="20"/>
          <w:lang w:val="en-US"/>
        </w:rPr>
        <w:t xml:space="preserve"> Accordingly, the principle of presumption of innocence is also violated when pretrial detention is imposed arbitrarily, or when its application is essentially determined by such factors as the nature of the crime, the expected punishment, or the mere existence of reasonable indicia implicating the accused.</w:t>
      </w:r>
      <w:r w:rsidRPr="00CC39F5">
        <w:rPr>
          <w:rStyle w:val="FootnoteReference"/>
          <w:rFonts w:ascii="Cambria" w:hAnsi="Cambria" w:cs="Calibri"/>
          <w:sz w:val="20"/>
          <w:szCs w:val="20"/>
          <w:lang w:val="en-US"/>
        </w:rPr>
        <w:footnoteReference w:id="89"/>
      </w:r>
    </w:p>
    <w:p w:rsidR="006B32E1" w:rsidRPr="00CC39F5" w:rsidRDefault="006B32E1" w:rsidP="00CC69D2">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7F6C4C"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In this case, the Commission notes that the First Judge of the Criminal Court’s decision on the arrest warrant of August 13, 1992 held that all the requirements of Article 177 of the Criminal Code of Procedure had been fulfilled. Said Article stipulates that the judge may issue an order for pretrial detention “whenever she or he believed necessary” provided that the following legal elements exist: (a) indicia that suggest there has been a crime warranting a term of imprisonment; and (b) indicia that suggest the accused is the perpetrator or accomplice of the crime that is the subject of the proceedings. Furthermore, the same article required that “the court decision specify the indicia that are the grounds for the order to remand into custody.”</w:t>
      </w:r>
      <w:r w:rsidRPr="00CC39F5">
        <w:rPr>
          <w:rStyle w:val="FootnoteReference"/>
          <w:rFonts w:ascii="Cambria" w:hAnsi="Cambria"/>
          <w:sz w:val="20"/>
          <w:szCs w:val="20"/>
        </w:rPr>
        <w:footnoteReference w:id="90"/>
      </w:r>
      <w:r w:rsidRPr="00CC39F5">
        <w:rPr>
          <w:rFonts w:ascii="Cambria" w:hAnsi="Cambria"/>
          <w:sz w:val="20"/>
          <w:szCs w:val="20"/>
        </w:rPr>
        <w:t xml:space="preserve"> In other words, the legislation in force provided that circumstantial evidence suggesting responsibility was sufficient grounds for pretrial detention, without requiring verification of the procedural aims. In this sense, this provision and the decision issued based thereon are contrary to the American Convention</w:t>
      </w:r>
      <w:r w:rsidR="006B32E1" w:rsidRPr="00CC39F5">
        <w:rPr>
          <w:rFonts w:ascii="Cambria" w:hAnsi="Cambria"/>
          <w:sz w:val="20"/>
          <w:szCs w:val="20"/>
        </w:rPr>
        <w:t xml:space="preserve">. </w:t>
      </w:r>
    </w:p>
    <w:p w:rsidR="006B32E1" w:rsidRPr="00CC39F5" w:rsidRDefault="006B32E1" w:rsidP="006B32E1">
      <w:pPr>
        <w:pStyle w:val="ColorfulList-Accent11"/>
        <w:pBdr>
          <w:top w:val="none" w:sz="0" w:space="0" w:color="auto"/>
          <w:left w:val="none" w:sz="0" w:space="0" w:color="auto"/>
          <w:bottom w:val="none" w:sz="0" w:space="0" w:color="auto"/>
          <w:right w:val="none" w:sz="0" w:space="0" w:color="auto"/>
          <w:bar w:val="none" w:sz="0" w:color="auto"/>
        </w:pBdr>
        <w:rPr>
          <w:color w:val="auto"/>
          <w:sz w:val="20"/>
          <w:szCs w:val="20"/>
        </w:rPr>
      </w:pPr>
    </w:p>
    <w:p w:rsidR="006B32E1" w:rsidRPr="00CC39F5" w:rsidRDefault="00F22E2D"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 xml:space="preserve">The Commission further notes that Mr. Montesinos pretrial detention lasted at least six years, bearing in mind the date of his second </w:t>
      </w:r>
      <w:r w:rsidRPr="00CC39F5">
        <w:rPr>
          <w:rFonts w:ascii="Cambria" w:hAnsi="Cambria" w:cs="TimesNewRoman"/>
          <w:i/>
          <w:sz w:val="20"/>
          <w:szCs w:val="20"/>
          <w:lang w:eastAsia="es-ES_tradnl"/>
        </w:rPr>
        <w:t>habeas corpus</w:t>
      </w:r>
      <w:r w:rsidRPr="00CC39F5">
        <w:rPr>
          <w:rFonts w:ascii="Cambria" w:hAnsi="Cambria" w:cs="TimesNewRoman"/>
          <w:sz w:val="20"/>
          <w:szCs w:val="20"/>
          <w:lang w:eastAsia="es-ES_tradnl"/>
        </w:rPr>
        <w:t xml:space="preserve"> appeal in 1998. Given the arguments laid out, the </w:t>
      </w:r>
      <w:r w:rsidRPr="00CC39F5">
        <w:rPr>
          <w:rFonts w:ascii="Cambria" w:hAnsi="Cambria" w:cs="TimesNewRoman"/>
          <w:sz w:val="20"/>
          <w:szCs w:val="20"/>
          <w:lang w:eastAsia="es-ES_tradnl"/>
        </w:rPr>
        <w:lastRenderedPageBreak/>
        <w:t>IACHR concludes that his detention lasted an unreasonable amount of time without any justification as per the Convention</w:t>
      </w:r>
      <w:r w:rsidR="006B32E1" w:rsidRPr="00CC39F5">
        <w:rPr>
          <w:rFonts w:ascii="Cambria" w:hAnsi="Cambria" w:cs="TimesNewRoman"/>
          <w:sz w:val="20"/>
          <w:szCs w:val="20"/>
          <w:lang w:eastAsia="es-ES_tradnl"/>
        </w:rPr>
        <w:t xml:space="preserve">. </w:t>
      </w:r>
    </w:p>
    <w:p w:rsidR="006B32E1" w:rsidRPr="00CC39F5" w:rsidRDefault="006B32E1" w:rsidP="006B32E1">
      <w:pPr>
        <w:pStyle w:val="ColorfulList-Accent11"/>
        <w:rPr>
          <w:rFonts w:cs="TimesNewRoman"/>
          <w:sz w:val="20"/>
          <w:szCs w:val="20"/>
          <w:lang w:eastAsia="es-ES_tradnl"/>
        </w:rPr>
      </w:pPr>
    </w:p>
    <w:p w:rsidR="006B32E1" w:rsidRPr="00CC39F5" w:rsidRDefault="00767AF8" w:rsidP="00F3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Additionally, the IACHR notes that for over half the time Mr. Montesinos was in pretrial detention, Article 114 of the Criminal Code was in force. According to said Article, motions for release were inadmissible for drug trafficking-related crimes</w:t>
      </w:r>
      <w:r w:rsidR="00F334D7" w:rsidRPr="00CC39F5">
        <w:rPr>
          <w:rFonts w:ascii="Cambria" w:hAnsi="Cambria" w:cs="TimesNewRoman"/>
          <w:sz w:val="20"/>
          <w:szCs w:val="20"/>
          <w:lang w:eastAsia="es-ES_tradnl"/>
        </w:rPr>
        <w:t>, not on the basis of procedural ends but rather on the category of indictment</w:t>
      </w:r>
      <w:r w:rsidRPr="00CC39F5">
        <w:rPr>
          <w:rFonts w:ascii="Cambria" w:hAnsi="Cambria" w:cs="TimesNewRoman"/>
          <w:sz w:val="20"/>
          <w:szCs w:val="20"/>
          <w:lang w:eastAsia="es-ES_tradnl"/>
        </w:rPr>
        <w:t xml:space="preserve">. This provision regulates pretrial detention and admissibility of motions for release. Article 114 specifies that “individuals who are charged with crimes punishable under the Law on Narcotics and Psychotropic Substances are excluded from these provisions.” Moreover, this provision excluded some individuals from being released not on the basis of procedural aims, but rather on the category of the charge against them. The IACHR highlights that this provision was ruled unconstitutional on December 24, 1997. The Commission has ruled that laws establishing mandatory pretrial detention </w:t>
      </w:r>
      <w:r w:rsidR="00F334D7" w:rsidRPr="00CC39F5">
        <w:rPr>
          <w:rFonts w:ascii="Cambria" w:hAnsi="Cambria" w:cs="TimesNewRoman"/>
          <w:sz w:val="20"/>
          <w:szCs w:val="20"/>
          <w:lang w:eastAsia="es-ES_tradnl"/>
        </w:rPr>
        <w:t xml:space="preserve">or the ban on release </w:t>
      </w:r>
      <w:r w:rsidRPr="00CC39F5">
        <w:rPr>
          <w:rFonts w:ascii="Cambria" w:hAnsi="Cambria" w:cs="TimesNewRoman"/>
          <w:sz w:val="20"/>
          <w:szCs w:val="20"/>
          <w:lang w:eastAsia="es-ES_tradnl"/>
        </w:rPr>
        <w:t>for certain kinds of offenses, in addition to constituting a violation of the right to personal liberty, also constitute a violation of the principal of equal protection under the law.</w:t>
      </w:r>
      <w:r w:rsidRPr="00CC39F5">
        <w:rPr>
          <w:rStyle w:val="FootnoteReference"/>
          <w:rFonts w:ascii="Cambria" w:hAnsi="Cambria"/>
          <w:sz w:val="20"/>
          <w:szCs w:val="20"/>
        </w:rPr>
        <w:footnoteReference w:id="91"/>
      </w:r>
      <w:r w:rsidR="006B32E1" w:rsidRPr="00CC39F5">
        <w:rPr>
          <w:rFonts w:ascii="Cambria" w:hAnsi="Cambria"/>
          <w:sz w:val="20"/>
          <w:szCs w:val="20"/>
        </w:rPr>
        <w:t xml:space="preserve"> </w:t>
      </w:r>
    </w:p>
    <w:p w:rsidR="006B32E1" w:rsidRPr="00CC39F5" w:rsidRDefault="006B32E1" w:rsidP="006B32E1">
      <w:pPr>
        <w:pStyle w:val="ColorfulList-Accent11"/>
        <w:pBdr>
          <w:top w:val="none" w:sz="0" w:space="0" w:color="auto"/>
          <w:left w:val="none" w:sz="0" w:space="0" w:color="auto"/>
          <w:bottom w:val="none" w:sz="0" w:space="0" w:color="auto"/>
          <w:right w:val="none" w:sz="0" w:space="0" w:color="auto"/>
          <w:bar w:val="none" w:sz="0" w:color="auto"/>
        </w:pBdr>
        <w:rPr>
          <w:rFonts w:cs="TimesNewRoman"/>
          <w:color w:val="auto"/>
          <w:sz w:val="20"/>
          <w:szCs w:val="20"/>
          <w:lang w:eastAsia="es-ES_tradnl"/>
        </w:rPr>
      </w:pPr>
    </w:p>
    <w:p w:rsidR="006B32E1" w:rsidRPr="00CC39F5" w:rsidRDefault="006B32E1"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 xml:space="preserve"> </w:t>
      </w:r>
      <w:r w:rsidR="002908B5" w:rsidRPr="00CC39F5">
        <w:rPr>
          <w:rFonts w:ascii="Cambria" w:hAnsi="Cambria" w:cs="TimesNewRoman"/>
          <w:sz w:val="20"/>
          <w:szCs w:val="20"/>
          <w:lang w:eastAsia="es-ES_tradnl"/>
        </w:rPr>
        <w:t>In view of the explanations provided above in this section, the Commission concludes that Mr. Montesinos pretrial detention was arbitrary, lasted an unreasonable amount of time, had no procedural purpose, rather just a punitive one, and was discriminatory. Therefore, the State of Ecuador is responsible for violating Articles 7(3) 7(5), 8(2), and 24 of the American Convention in connection with to Articles 1(1) and 2 thereof.</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6B32E1" w:rsidP="006B32E1">
      <w:pPr>
        <w:pStyle w:val="Heading3"/>
        <w:spacing w:before="0"/>
        <w:ind w:left="1440" w:hanging="720"/>
        <w:jc w:val="both"/>
        <w:rPr>
          <w:color w:val="auto"/>
          <w:sz w:val="20"/>
          <w:szCs w:val="20"/>
        </w:rPr>
      </w:pPr>
      <w:bookmarkStart w:id="21" w:name="_Toc495584796"/>
      <w:r w:rsidRPr="00CC39F5">
        <w:rPr>
          <w:color w:val="auto"/>
          <w:sz w:val="20"/>
          <w:szCs w:val="20"/>
        </w:rPr>
        <w:t xml:space="preserve">3. </w:t>
      </w:r>
      <w:r w:rsidRPr="00CC39F5">
        <w:rPr>
          <w:color w:val="auto"/>
          <w:sz w:val="20"/>
          <w:szCs w:val="20"/>
        </w:rPr>
        <w:tab/>
      </w:r>
      <w:r w:rsidR="00A73CE0" w:rsidRPr="00CC39F5">
        <w:rPr>
          <w:color w:val="auto"/>
          <w:sz w:val="20"/>
          <w:szCs w:val="20"/>
        </w:rPr>
        <w:t>The right to judicial oversight of pretrial detention</w:t>
      </w:r>
      <w:bookmarkEnd w:id="21"/>
    </w:p>
    <w:p w:rsidR="006B32E1" w:rsidRPr="00CC39F5" w:rsidRDefault="006B32E1" w:rsidP="006B32E1">
      <w:pPr>
        <w:pStyle w:val="estilo3"/>
        <w:numPr>
          <w:ilvl w:val="0"/>
          <w:numId w:val="0"/>
        </w:numPr>
        <w:ind w:left="1440"/>
        <w:rPr>
          <w:rFonts w:ascii="Cambria" w:hAnsi="Cambria"/>
          <w:sz w:val="20"/>
          <w:lang w:val="en-US"/>
        </w:rPr>
      </w:pPr>
    </w:p>
    <w:p w:rsidR="006B32E1" w:rsidRPr="00CC39F5" w:rsidRDefault="00A73CE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Article 7(5) of the Convention provides that anyone subject to detention is entitled to have a judicial authority review such detention, without delay, as an appropriate oversight measure to prevent arbitrary and illegal arrests. Immediate judicial oversight is a measure that can prevent detentions of an arbitrary or illegal nature, considering that it is judges’ responsibility under the rule of law to guarantee the rights of detainees, authorize the adoption of precautionary or coercive measures, when these are absolutely necessary, and ensure, in general, that the accused is treated in a manner consistent with the presumption of innocence.</w:t>
      </w:r>
      <w:r w:rsidRPr="00CC39F5">
        <w:rPr>
          <w:rStyle w:val="FootnoteReference"/>
          <w:rFonts w:ascii="Cambria" w:hAnsi="Cambria"/>
          <w:sz w:val="20"/>
          <w:szCs w:val="20"/>
        </w:rPr>
        <w:footnoteReference w:id="92"/>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91682C"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 xml:space="preserve">With regard to this guarantee, in its </w:t>
      </w:r>
      <w:r w:rsidRPr="00CC39F5">
        <w:rPr>
          <w:rFonts w:ascii="Cambria" w:hAnsi="Cambria"/>
          <w:i/>
          <w:sz w:val="20"/>
          <w:szCs w:val="20"/>
        </w:rPr>
        <w:t>Report on the Human Rights of Persons Deprived of Liberty in the Americas</w:t>
      </w:r>
      <w:r w:rsidRPr="00CC39F5">
        <w:rPr>
          <w:rFonts w:ascii="Cambria" w:hAnsi="Cambria"/>
          <w:sz w:val="20"/>
          <w:szCs w:val="20"/>
        </w:rPr>
        <w:t>, the Commission has considered the following:</w:t>
      </w:r>
      <w:r w:rsidR="006B32E1" w:rsidRPr="00CC39F5">
        <w:rPr>
          <w:rFonts w:ascii="Cambria" w:hAnsi="Cambria"/>
          <w:sz w:val="20"/>
          <w:szCs w:val="20"/>
        </w:rPr>
        <w:t xml:space="preserve"> </w:t>
      </w:r>
    </w:p>
    <w:p w:rsidR="006B32E1" w:rsidRPr="00CC39F5" w:rsidRDefault="006B32E1" w:rsidP="006B32E1">
      <w:pPr>
        <w:pStyle w:val="MediumGrid1-Accent21"/>
        <w:rPr>
          <w:sz w:val="20"/>
          <w:szCs w:val="20"/>
        </w:rPr>
      </w:pPr>
    </w:p>
    <w:p w:rsidR="006B32E1" w:rsidRPr="00CC39F5" w:rsidRDefault="0091682C" w:rsidP="006B32E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rPr>
      </w:pPr>
      <w:r w:rsidRPr="00CC39F5">
        <w:rPr>
          <w:rFonts w:ascii="Cambria" w:hAnsi="Cambria"/>
          <w:sz w:val="20"/>
          <w:szCs w:val="20"/>
        </w:rPr>
        <w:t>[T]he single most important protection of the rights of a detainee is prompt appearance before a judicial authority responsible for overseeing the detention, and that the right to request a decision on the lawfulness of the detention is the fundamental guarantee of the constitutional and human rights of a detainee deprived of his liberty by agents of the State.</w:t>
      </w:r>
      <w:r w:rsidRPr="00CC39F5">
        <w:rPr>
          <w:rStyle w:val="FootnoteReference"/>
          <w:rFonts w:ascii="Cambria" w:hAnsi="Cambria"/>
          <w:sz w:val="20"/>
          <w:szCs w:val="20"/>
        </w:rPr>
        <w:footnoteReference w:id="93"/>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42463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Likewise, the Inter-American Court has held that “the terms of the guarantee set forth in Article 7(5) of the Convention are clear regarding the need for the detainee to be brought promptly before a Judge or competent judicial authority, in accordance with the principles of judicial control and procedural immediacy” in order to “protect the right to personal liberty and to protect other rights, such as the right to life and to humane treatment.” The Court has also specified that “the fact that a Judge is simply aware that a person is detained does not fulfill this guarantee, as the detainee must appear personally and give his statement before the Judge or competent authority.</w:t>
      </w:r>
      <w:r w:rsidRPr="00CC39F5">
        <w:rPr>
          <w:rStyle w:val="FootnoteReference"/>
          <w:rFonts w:ascii="Cambria" w:hAnsi="Cambria"/>
          <w:sz w:val="20"/>
          <w:szCs w:val="20"/>
        </w:rPr>
        <w:footnoteReference w:id="94"/>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1E192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lastRenderedPageBreak/>
        <w:t xml:space="preserve">In this case, the Commission notes that Mr. Montesinos was detained on June 21, 1992. As to the fact that it was a prosecutor who took the preliminary statements, the Commission recalls that, in keeping with the Court’s judgement in </w:t>
      </w:r>
      <w:r w:rsidRPr="00CC39F5">
        <w:rPr>
          <w:rFonts w:ascii="Cambria" w:hAnsi="Cambria"/>
          <w:i/>
          <w:sz w:val="20"/>
          <w:szCs w:val="20"/>
        </w:rPr>
        <w:t>Acosta Calderón v. Ecuador,</w:t>
      </w:r>
      <w:r w:rsidRPr="00CC39F5">
        <w:rPr>
          <w:rFonts w:ascii="Cambria" w:hAnsi="Cambria"/>
          <w:sz w:val="20"/>
          <w:szCs w:val="20"/>
        </w:rPr>
        <w:t xml:space="preserve"> prosecutors in these cases:</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1E192E" w:rsidP="006B32E1">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sz w:val="20"/>
          <w:szCs w:val="20"/>
        </w:rPr>
      </w:pPr>
      <w:r w:rsidRPr="00CC39F5">
        <w:rPr>
          <w:rFonts w:ascii="Cambria" w:hAnsi="Cambria"/>
          <w:sz w:val="20"/>
          <w:szCs w:val="20"/>
        </w:rPr>
        <w:t>(…) do not have the attributes to be considered an “officer authorized to carry out judicial functions,” in the sense of Article 7(5) of the Convention, since the Political Constitution of Ecuador itself, in force at that time, stated in its Article 98 which were the bodies that had the power to carry out judicial functions and it did not grant that competence to prosecutors.</w:t>
      </w:r>
      <w:r w:rsidRPr="00CC39F5">
        <w:rPr>
          <w:rStyle w:val="FootnoteReference"/>
          <w:rFonts w:ascii="Cambria" w:hAnsi="Cambria"/>
          <w:sz w:val="20"/>
          <w:szCs w:val="20"/>
        </w:rPr>
        <w:footnoteReference w:id="95"/>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C002CC"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The Commission has no information on the exact date that Mr. Montesinos appeared before a judge for the first time. The proven facts reveal that the first court ruling on Mr. Montesinos’ deprivation of liberty took place on August 13, 1992, a month and three weeks after his detention. Even from that ruling it is impossible to ascertain precisely when he actually appeared before the above-mentioned judge</w:t>
      </w:r>
      <w:r w:rsidR="006B32E1" w:rsidRPr="00CC39F5">
        <w:rPr>
          <w:rFonts w:ascii="Cambria" w:hAnsi="Cambria"/>
          <w:sz w:val="20"/>
          <w:szCs w:val="20"/>
        </w:rPr>
        <w:t xml:space="preserve">. </w:t>
      </w:r>
    </w:p>
    <w:p w:rsidR="00105FE3" w:rsidRPr="00CC39F5" w:rsidRDefault="00105FE3" w:rsidP="00105FE3">
      <w:p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ind w:left="720"/>
        <w:jc w:val="both"/>
        <w:rPr>
          <w:rFonts w:ascii="Cambria" w:hAnsi="Cambria"/>
          <w:sz w:val="20"/>
          <w:szCs w:val="20"/>
        </w:rPr>
      </w:pPr>
    </w:p>
    <w:p w:rsidR="006B32E1" w:rsidRPr="00CC39F5" w:rsidRDefault="000625B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 xml:space="preserve">This information gives weight to Mr. Montesinos’ description of being held incommunicado for eight days between July 23, 1992 and July 31, 1992. The Commission notes that there is a dispute about when the arrest warrant was issued by the Pinchincha Police Commissioner. Nevertheless, this warrant is not germane to the analysis of this particular Article of the Convention, given that it was not issued by a judicial authority, but rather by the police, who were </w:t>
      </w:r>
      <w:r w:rsidR="00105FE3" w:rsidRPr="00CC39F5">
        <w:rPr>
          <w:rFonts w:ascii="Cambria" w:hAnsi="Cambria"/>
          <w:sz w:val="20"/>
          <w:szCs w:val="20"/>
        </w:rPr>
        <w:t>denounced</w:t>
      </w:r>
      <w:r w:rsidRPr="00CC39F5">
        <w:rPr>
          <w:rFonts w:ascii="Cambria" w:hAnsi="Cambria"/>
          <w:sz w:val="20"/>
          <w:szCs w:val="20"/>
        </w:rPr>
        <w:t xml:space="preserve"> to have mistreated Mr. Montesinos during the time he was allegedly held incommunicado</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ind w:left="720"/>
        <w:jc w:val="both"/>
        <w:rPr>
          <w:rFonts w:ascii="Cambria" w:hAnsi="Cambria"/>
          <w:sz w:val="20"/>
          <w:szCs w:val="20"/>
        </w:rPr>
      </w:pPr>
    </w:p>
    <w:p w:rsidR="006B32E1" w:rsidRPr="00CC39F5" w:rsidRDefault="000625B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Given the above considerations, the Commission concludes that the State violated the guarantee set forth in Article 7(5) of the American Convention in relation to the obligations set forth in Article 1(1) thereof, to the detriment of Mr. Mario Montesinos Mejía</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6B32E1" w:rsidP="006B32E1">
      <w:pPr>
        <w:pStyle w:val="Style1"/>
        <w:numPr>
          <w:ilvl w:val="0"/>
          <w:numId w:val="0"/>
        </w:numPr>
        <w:ind w:firstLine="720"/>
        <w:rPr>
          <w:sz w:val="20"/>
          <w:szCs w:val="20"/>
          <w:lang w:val="en-US"/>
        </w:rPr>
      </w:pPr>
      <w:bookmarkStart w:id="22" w:name="_Toc392055264"/>
      <w:r w:rsidRPr="00CC39F5">
        <w:rPr>
          <w:sz w:val="20"/>
          <w:szCs w:val="20"/>
          <w:lang w:val="en-US"/>
        </w:rPr>
        <w:t xml:space="preserve">4. </w:t>
      </w:r>
      <w:r w:rsidRPr="00CC39F5">
        <w:rPr>
          <w:sz w:val="20"/>
          <w:szCs w:val="20"/>
          <w:lang w:val="en-US"/>
        </w:rPr>
        <w:tab/>
      </w:r>
      <w:bookmarkEnd w:id="22"/>
      <w:r w:rsidR="000625B5" w:rsidRPr="00CC39F5">
        <w:rPr>
          <w:sz w:val="20"/>
          <w:szCs w:val="20"/>
          <w:lang w:val="en-US"/>
        </w:rPr>
        <w:t>The right to a remedy to challenge detention</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ind w:left="720"/>
        <w:jc w:val="both"/>
        <w:rPr>
          <w:rFonts w:ascii="Cambria" w:hAnsi="Cambria"/>
          <w:sz w:val="20"/>
          <w:szCs w:val="20"/>
        </w:rPr>
      </w:pPr>
    </w:p>
    <w:p w:rsidR="006B32E1" w:rsidRPr="00CC39F5" w:rsidRDefault="000625B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The Inter-American Court has held that Article 7(6) of the Convention “has its own legal content, consisting of the protection of personal or physical freedom, by means of a judicial decree ordering the appropriate authorities to bring the detained person before a judge so that the legality of the detention may be determined and, if appropriate, order the release of the detainee.</w:t>
      </w:r>
      <w:r w:rsidRPr="00CC39F5">
        <w:rPr>
          <w:rFonts w:ascii="Cambria" w:hAnsi="Cambria" w:cs="Callibri"/>
          <w:sz w:val="20"/>
          <w:szCs w:val="20"/>
        </w:rPr>
        <w:t>”</w:t>
      </w:r>
      <w:r w:rsidRPr="00CC39F5">
        <w:rPr>
          <w:rStyle w:val="FootnoteReference"/>
          <w:rFonts w:ascii="Cambria" w:hAnsi="Cambria" w:cs="Callibri"/>
          <w:sz w:val="20"/>
          <w:szCs w:val="20"/>
        </w:rPr>
        <w:footnoteReference w:id="96"/>
      </w:r>
      <w:r w:rsidRPr="00CC39F5">
        <w:rPr>
          <w:rFonts w:ascii="Cambria" w:hAnsi="Cambria" w:cs="Callibri"/>
          <w:sz w:val="20"/>
          <w:szCs w:val="20"/>
        </w:rPr>
        <w:t xml:space="preserve"> The Court has likewise held that </w:t>
      </w:r>
      <w:r w:rsidRPr="00CC39F5">
        <w:rPr>
          <w:rFonts w:ascii="Cambria" w:hAnsi="Cambria"/>
          <w:sz w:val="20"/>
          <w:szCs w:val="20"/>
        </w:rPr>
        <w:t>the right enshrined in Article 7(6) of the American Convention is not exercised with the mere formal existence of the remedies it governs. Those remedies must be effective, since their purpose, under the terms of Article 7(6), is to obtain without delay a decision "on the lawfulness of [his] arrest or detention," and, should they be unlawful, to obtain, also without delay, an "order [for] his release</w:t>
      </w:r>
      <w:r w:rsidRPr="00CC39F5">
        <w:rPr>
          <w:rFonts w:ascii="Cambria" w:hAnsi="Cambria" w:cs="Callibri"/>
          <w:sz w:val="20"/>
          <w:szCs w:val="20"/>
        </w:rPr>
        <w:t>.</w:t>
      </w:r>
      <w:r w:rsidRPr="00CC39F5">
        <w:rPr>
          <w:rStyle w:val="FootnoteReference"/>
          <w:rFonts w:ascii="Cambria" w:hAnsi="Cambria" w:cs="Callibri"/>
          <w:sz w:val="20"/>
          <w:szCs w:val="20"/>
        </w:rPr>
        <w:footnoteReference w:id="97"/>
      </w:r>
      <w:r w:rsidRPr="00CC39F5">
        <w:rPr>
          <w:rFonts w:ascii="Cambria" w:hAnsi="Cambria" w:cs="Callibri"/>
          <w:sz w:val="20"/>
          <w:szCs w:val="20"/>
        </w:rPr>
        <w:t xml:space="preserve"> Along the same lines, the IACHR has held as a basic principle that access to judicial review of detention must be granted as it “</w:t>
      </w:r>
      <w:r w:rsidRPr="00CC39F5">
        <w:rPr>
          <w:rFonts w:ascii="Cambria" w:hAnsi="Cambria"/>
          <w:color w:val="000000"/>
          <w:sz w:val="20"/>
          <w:szCs w:val="20"/>
        </w:rPr>
        <w:t>provides effective assurances that the detainee is not exclusively at the mercy of the detaining authority.</w:t>
      </w:r>
      <w:r w:rsidRPr="00CC39F5">
        <w:rPr>
          <w:rFonts w:ascii="Cambria" w:hAnsi="Cambria" w:cs="Callibri"/>
          <w:sz w:val="20"/>
          <w:szCs w:val="20"/>
        </w:rPr>
        <w:t>”</w:t>
      </w:r>
      <w:r w:rsidRPr="00CC39F5">
        <w:rPr>
          <w:rStyle w:val="FootnoteReference"/>
          <w:rFonts w:ascii="Cambria" w:hAnsi="Cambria" w:cs="Callibri"/>
          <w:sz w:val="20"/>
          <w:szCs w:val="20"/>
        </w:rPr>
        <w:footnoteReference w:id="98"/>
      </w:r>
      <w:r w:rsidR="006B32E1" w:rsidRPr="00CC39F5">
        <w:rPr>
          <w:rFonts w:ascii="Cambria" w:hAnsi="Cambria" w:cs="Callibri"/>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ind w:left="720"/>
        <w:jc w:val="both"/>
        <w:rPr>
          <w:rFonts w:ascii="Cambria" w:hAnsi="Cambria"/>
          <w:sz w:val="20"/>
          <w:szCs w:val="20"/>
        </w:rPr>
      </w:pPr>
    </w:p>
    <w:p w:rsidR="006B32E1" w:rsidRPr="00CC39F5" w:rsidRDefault="000625B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 xml:space="preserve">In September 1996 Mr. Montesinos filed a </w:t>
      </w:r>
      <w:r w:rsidRPr="00CC39F5">
        <w:rPr>
          <w:rFonts w:ascii="Cambria" w:hAnsi="Cambria"/>
          <w:i/>
          <w:sz w:val="20"/>
          <w:szCs w:val="20"/>
        </w:rPr>
        <w:t>habeas corpus</w:t>
      </w:r>
      <w:r w:rsidRPr="00CC39F5">
        <w:rPr>
          <w:rFonts w:ascii="Cambria" w:hAnsi="Cambria"/>
          <w:sz w:val="20"/>
          <w:szCs w:val="20"/>
        </w:rPr>
        <w:t xml:space="preserve"> appeal with the Mayor of the Metropolitan District of Quito, which was ruled inadmissible. Both the Commission</w:t>
      </w:r>
      <w:r w:rsidRPr="00CC39F5">
        <w:rPr>
          <w:rFonts w:ascii="Cambria" w:hAnsi="Cambria"/>
          <w:sz w:val="20"/>
          <w:szCs w:val="20"/>
          <w:vertAlign w:val="superscript"/>
        </w:rPr>
        <w:footnoteReference w:id="99"/>
      </w:r>
      <w:r w:rsidRPr="00CC39F5">
        <w:rPr>
          <w:rFonts w:ascii="Cambria" w:hAnsi="Cambria"/>
          <w:sz w:val="20"/>
          <w:szCs w:val="20"/>
        </w:rPr>
        <w:t xml:space="preserve"> and the Court have held that a </w:t>
      </w:r>
      <w:r w:rsidRPr="00CC39F5">
        <w:rPr>
          <w:rFonts w:ascii="Cambria" w:hAnsi="Cambria"/>
          <w:i/>
          <w:sz w:val="20"/>
          <w:szCs w:val="20"/>
        </w:rPr>
        <w:t>habeas corpus</w:t>
      </w:r>
      <w:r w:rsidRPr="00CC39F5">
        <w:rPr>
          <w:rFonts w:ascii="Cambria" w:hAnsi="Cambria"/>
          <w:sz w:val="20"/>
          <w:szCs w:val="20"/>
        </w:rPr>
        <w:t xml:space="preserve"> appeal filed with an administrative authority does not constitute an effective remedy under the standards of the American Convention.</w:t>
      </w:r>
      <w:r w:rsidRPr="00CC39F5">
        <w:rPr>
          <w:rStyle w:val="FootnoteReference"/>
          <w:rFonts w:ascii="Cambria" w:hAnsi="Cambria"/>
          <w:sz w:val="20"/>
          <w:szCs w:val="20"/>
        </w:rPr>
        <w:footnoteReference w:id="100"/>
      </w:r>
      <w:r w:rsidRPr="00CC39F5">
        <w:rPr>
          <w:rFonts w:ascii="Cambria" w:hAnsi="Cambria"/>
          <w:sz w:val="20"/>
          <w:szCs w:val="20"/>
        </w:rPr>
        <w:t xml:space="preserve"> Although said remedy can be appealed before a judicial authority, the Court in this respect has held that making individuals who have been detained file a remedy </w:t>
      </w:r>
      <w:r w:rsidRPr="00CC39F5">
        <w:rPr>
          <w:rFonts w:ascii="Cambria" w:hAnsi="Cambria"/>
          <w:sz w:val="20"/>
          <w:szCs w:val="20"/>
        </w:rPr>
        <w:lastRenderedPageBreak/>
        <w:t>with the Mayor, to then have to resort to an appeal so a judicial authority can hear it creates barriers to a remedy that should be, by its very nature, simple.</w:t>
      </w:r>
      <w:r w:rsidRPr="00CC39F5">
        <w:rPr>
          <w:rStyle w:val="FootnoteReference"/>
          <w:rFonts w:ascii="Cambria" w:hAnsi="Cambria"/>
          <w:sz w:val="20"/>
          <w:szCs w:val="20"/>
        </w:rPr>
        <w:footnoteReference w:id="101"/>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0625B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 xml:space="preserve">In any case, the Mayor’s decision was appealed and the Constitutional Rights Court considered that Mr. Montesinos pretrial detention had “unjustifiably exceeded the timeframes and terms that the procedural laws” provided for. The IACHR notes that although this Court ordered Mr. Montesinos release, it was not enforced. This led to Mr. Montesinos filing a second </w:t>
      </w:r>
      <w:r w:rsidRPr="00CC39F5">
        <w:rPr>
          <w:rFonts w:ascii="Cambria" w:hAnsi="Cambria"/>
          <w:i/>
          <w:sz w:val="20"/>
          <w:szCs w:val="20"/>
        </w:rPr>
        <w:t>habeas corpus</w:t>
      </w:r>
      <w:r w:rsidRPr="00CC39F5">
        <w:rPr>
          <w:rFonts w:ascii="Cambria" w:hAnsi="Cambria"/>
          <w:sz w:val="20"/>
          <w:szCs w:val="20"/>
        </w:rPr>
        <w:t xml:space="preserve"> appeal a year and a half after the Court’s judgment was issued. In April 1998 the remedy was held inadmissible by the Mayor of the Metropolitan District of Quito and in August of that same year, the Constitutional Court ordered Mr. Montesinos’ immediate release</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E251C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 xml:space="preserve">In view of the foregoing, the IACHR concludes that the </w:t>
      </w:r>
      <w:r w:rsidRPr="00CC39F5">
        <w:rPr>
          <w:rFonts w:ascii="Cambria" w:hAnsi="Cambria"/>
          <w:i/>
          <w:sz w:val="20"/>
          <w:szCs w:val="20"/>
        </w:rPr>
        <w:t>habeas corpus</w:t>
      </w:r>
      <w:r w:rsidRPr="00CC39F5">
        <w:rPr>
          <w:rFonts w:ascii="Cambria" w:hAnsi="Cambria"/>
          <w:sz w:val="20"/>
          <w:szCs w:val="20"/>
        </w:rPr>
        <w:t xml:space="preserve"> appeal, as governed in Ecuador at the time of the events did not meet the requirements of Article 7(6) of the American Convention. Furthermore, in this specific case, although the Constitutional Rights Court ruled the remedy admissible, prison authorities did not comply with it for a long period of time and measures were not taken to enforce this ruling. As a result, in practice, Mr. Montesinos had no effective legal remedy to ensure oversight of his deprivation of liberty and therefore the State violated to his detriment Article 7(6) of the American Convention in connection with the obligations set forth under Articles 1(1) and 2 thereof. Furthermore, given the lack of compliance with the favorable ruling, the State also is responsible for the violation of Article 25(2)(c) of the American Convention</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BA4550" w:rsidP="005074AD">
      <w:pPr>
        <w:pStyle w:val="Heading2"/>
        <w:numPr>
          <w:ilvl w:val="0"/>
          <w:numId w:val="63"/>
        </w:numPr>
        <w:ind w:left="1440" w:hanging="720"/>
        <w:jc w:val="both"/>
      </w:pPr>
      <w:bookmarkStart w:id="23" w:name="_Toc495584797"/>
      <w:r w:rsidRPr="00CC39F5">
        <w:t>Right to humane treatment and rights to a fair trial and judicial protection (Articles 5,</w:t>
      </w:r>
      <w:r w:rsidRPr="00CC39F5">
        <w:rPr>
          <w:rStyle w:val="FootnoteReference"/>
        </w:rPr>
        <w:footnoteReference w:id="102"/>
      </w:r>
      <w:r w:rsidRPr="00CC39F5">
        <w:t xml:space="preserve"> 8,</w:t>
      </w:r>
      <w:r w:rsidRPr="00CC39F5">
        <w:rPr>
          <w:rStyle w:val="FootnoteReference"/>
          <w:rFonts w:eastAsia="MS Gothic"/>
        </w:rPr>
        <w:footnoteReference w:id="103"/>
      </w:r>
      <w:r w:rsidRPr="00CC39F5">
        <w:t xml:space="preserve"> and 25</w:t>
      </w:r>
      <w:r w:rsidRPr="00CC39F5">
        <w:rPr>
          <w:rStyle w:val="FootnoteReference"/>
          <w:rFonts w:eastAsia="MS Gothic"/>
        </w:rPr>
        <w:footnoteReference w:id="104"/>
      </w:r>
      <w:r w:rsidRPr="00CC39F5">
        <w:t xml:space="preserve"> of the American Convention in connection with Article 1(1) thereof and Articles 1,</w:t>
      </w:r>
      <w:r w:rsidRPr="00CC39F5">
        <w:rPr>
          <w:rStyle w:val="FootnoteReference"/>
          <w:rFonts w:eastAsia="MS Gothic" w:cs="Cambria"/>
          <w:u w:color="000000"/>
          <w:lang w:eastAsia="es-ES"/>
        </w:rPr>
        <w:footnoteReference w:id="105"/>
      </w:r>
      <w:r w:rsidRPr="00CC39F5">
        <w:t xml:space="preserve"> 6,</w:t>
      </w:r>
      <w:r w:rsidRPr="00CC39F5">
        <w:rPr>
          <w:rStyle w:val="FootnoteReference"/>
          <w:rFonts w:eastAsia="MS Gothic" w:cs="Cambria"/>
          <w:u w:color="000000"/>
          <w:lang w:eastAsia="es-ES"/>
        </w:rPr>
        <w:footnoteReference w:id="106"/>
      </w:r>
      <w:r w:rsidRPr="00CC39F5">
        <w:t>and 8</w:t>
      </w:r>
      <w:r w:rsidRPr="00CC39F5">
        <w:rPr>
          <w:rStyle w:val="FootnoteReference"/>
          <w:rFonts w:eastAsia="MS Gothic" w:cs="Cambria"/>
          <w:u w:color="000000"/>
          <w:lang w:eastAsia="es-ES"/>
        </w:rPr>
        <w:footnoteReference w:id="107"/>
      </w:r>
      <w:r w:rsidRPr="00CC39F5">
        <w:t xml:space="preserve"> of the Inter-American Convention to Prevent and Punish Torture)</w:t>
      </w:r>
      <w:bookmarkEnd w:id="23"/>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6B32E1" w:rsidRPr="00CC39F5" w:rsidRDefault="003D4E07"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The IACHR has emphasized that the American Convention prohibits the torture or cruel, inhuman, or degrading treatment or punishment of individuals under any circumstance. The Commission has stated that "</w:t>
      </w:r>
      <w:r w:rsidRPr="00CC39F5">
        <w:rPr>
          <w:rFonts w:ascii="Cambria" w:hAnsi="Cambria" w:cs="Helvetica"/>
          <w:sz w:val="20"/>
          <w:szCs w:val="20"/>
          <w:shd w:val="clear" w:color="auto" w:fill="FFFFFF"/>
        </w:rPr>
        <w:t xml:space="preserve">an essential aspect of the right to personal security is the absolute prohibition of torture, a </w:t>
      </w:r>
      <w:r w:rsidRPr="00CC39F5">
        <w:rPr>
          <w:rFonts w:ascii="Cambria" w:hAnsi="Cambria" w:cs="Helvetica"/>
          <w:sz w:val="20"/>
          <w:szCs w:val="20"/>
          <w:shd w:val="clear" w:color="auto" w:fill="FFFFFF"/>
        </w:rPr>
        <w:lastRenderedPageBreak/>
        <w:t xml:space="preserve">peremptory norm of international law creating obligations </w:t>
      </w:r>
      <w:r w:rsidRPr="00CC39F5">
        <w:rPr>
          <w:rFonts w:ascii="Cambria" w:hAnsi="Cambria" w:cs="Helvetica"/>
          <w:i/>
          <w:sz w:val="20"/>
          <w:szCs w:val="20"/>
          <w:shd w:val="clear" w:color="auto" w:fill="FFFFFF"/>
        </w:rPr>
        <w:t>erga omnes</w:t>
      </w:r>
      <w:r w:rsidRPr="00CC39F5">
        <w:rPr>
          <w:rFonts w:ascii="Cambria" w:hAnsi="Cambria" w:cs="Helvetica"/>
          <w:sz w:val="20"/>
          <w:szCs w:val="20"/>
          <w:shd w:val="clear" w:color="auto" w:fill="FFFFFF"/>
        </w:rPr>
        <w:t>.</w:t>
      </w:r>
      <w:r w:rsidRPr="00CC39F5">
        <w:rPr>
          <w:rFonts w:ascii="Cambria" w:hAnsi="Cambria"/>
          <w:sz w:val="20"/>
          <w:szCs w:val="20"/>
        </w:rPr>
        <w:t>"</w:t>
      </w:r>
      <w:r w:rsidRPr="00CC39F5">
        <w:rPr>
          <w:rStyle w:val="FootnoteReference"/>
          <w:rFonts w:ascii="Cambria" w:hAnsi="Cambria"/>
          <w:sz w:val="20"/>
          <w:szCs w:val="20"/>
        </w:rPr>
        <w:footnoteReference w:id="108"/>
      </w:r>
      <w:r w:rsidRPr="00CC39F5">
        <w:rPr>
          <w:rFonts w:ascii="Cambria" w:hAnsi="Cambria"/>
          <w:sz w:val="20"/>
          <w:szCs w:val="20"/>
        </w:rPr>
        <w:t xml:space="preserve"> </w:t>
      </w:r>
      <w:r w:rsidRPr="00CC39F5">
        <w:rPr>
          <w:rFonts w:ascii="Cambria" w:hAnsi="Cambria" w:cs="Arial"/>
          <w:sz w:val="20"/>
          <w:szCs w:val="20"/>
        </w:rPr>
        <w:t xml:space="preserve">For its part, the Court has repeatedly held that </w:t>
      </w:r>
      <w:r w:rsidRPr="00CC39F5">
        <w:rPr>
          <w:rFonts w:ascii="Cambria" w:hAnsi="Cambria"/>
          <w:sz w:val="20"/>
          <w:szCs w:val="20"/>
        </w:rPr>
        <w:t xml:space="preserve">"torture and cruel, inhuman or degrading punishment or treatment are strictly prohibited by international human rights law. The absolute prohibition of torture, both physical and mental, is currently part of the international </w:t>
      </w:r>
      <w:r w:rsidRPr="00CC39F5">
        <w:rPr>
          <w:rFonts w:ascii="Cambria" w:hAnsi="Cambria"/>
          <w:i/>
          <w:sz w:val="20"/>
          <w:szCs w:val="20"/>
        </w:rPr>
        <w:t>jus cogens</w:t>
      </w:r>
      <w:r w:rsidRPr="00CC39F5">
        <w:rPr>
          <w:rFonts w:ascii="Cambria" w:hAnsi="Cambria"/>
          <w:sz w:val="20"/>
          <w:szCs w:val="20"/>
        </w:rPr>
        <w:t>."</w:t>
      </w:r>
      <w:r w:rsidRPr="00CC39F5">
        <w:rPr>
          <w:rStyle w:val="FootnoteReference"/>
          <w:rFonts w:ascii="Cambria" w:hAnsi="Cambria"/>
          <w:sz w:val="20"/>
          <w:szCs w:val="20"/>
        </w:rPr>
        <w:footnoteReference w:id="109"/>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tabs>
          <w:tab w:val="left" w:pos="3697"/>
        </w:tabs>
        <w:ind w:left="851"/>
        <w:jc w:val="both"/>
        <w:rPr>
          <w:rFonts w:ascii="Cambria" w:hAnsi="Cambria"/>
          <w:sz w:val="20"/>
          <w:szCs w:val="20"/>
        </w:rPr>
      </w:pPr>
      <w:r w:rsidRPr="00CC39F5">
        <w:rPr>
          <w:rFonts w:ascii="Cambria" w:hAnsi="Cambria"/>
          <w:sz w:val="20"/>
          <w:szCs w:val="20"/>
        </w:rPr>
        <w:tab/>
      </w:r>
    </w:p>
    <w:p w:rsidR="006B32E1" w:rsidRPr="00CC39F5" w:rsidRDefault="0076576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r w:rsidRPr="00CC39F5">
        <w:rPr>
          <w:rFonts w:ascii="Cambria" w:hAnsi="Cambria"/>
          <w:sz w:val="20"/>
          <w:szCs w:val="20"/>
        </w:rPr>
        <w:t xml:space="preserve">In accordance with the inter-American system’s jurisprudence, for an act to constitute torture, the following three elements must exist: (i) An intentional act committed by an agent of the State or with his authorization or acquiescence; (ii) </w:t>
      </w:r>
      <w:r w:rsidRPr="00CC39F5">
        <w:rPr>
          <w:rFonts w:ascii="Cambria" w:hAnsi="Cambria"/>
          <w:color w:val="000000"/>
          <w:sz w:val="20"/>
          <w:szCs w:val="20"/>
          <w:shd w:val="clear" w:color="auto" w:fill="FFFFFF"/>
        </w:rPr>
        <w:t>which causes severe physical or mental suffering;</w:t>
      </w:r>
      <w:r w:rsidRPr="00CC39F5">
        <w:rPr>
          <w:rFonts w:ascii="Cambria" w:hAnsi="Cambria"/>
          <w:sz w:val="20"/>
          <w:szCs w:val="20"/>
        </w:rPr>
        <w:t xml:space="preserve"> (iii)</w:t>
      </w:r>
      <w:r w:rsidRPr="00CC39F5">
        <w:rPr>
          <w:rFonts w:ascii="Cambria" w:hAnsi="Cambria"/>
          <w:color w:val="000000"/>
          <w:sz w:val="20"/>
          <w:szCs w:val="20"/>
          <w:shd w:val="clear" w:color="auto" w:fill="FFFFFF"/>
        </w:rPr>
        <w:t xml:space="preserve"> for a specific purpose or aim.</w:t>
      </w:r>
      <w:r w:rsidRPr="00CC39F5">
        <w:rPr>
          <w:rStyle w:val="FootnoteReference"/>
          <w:rFonts w:ascii="Cambria" w:hAnsi="Cambria"/>
          <w:sz w:val="20"/>
          <w:szCs w:val="20"/>
        </w:rPr>
        <w:footnoteReference w:id="110"/>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rPr>
      </w:pPr>
    </w:p>
    <w:p w:rsidR="006B32E1" w:rsidRPr="00CC39F5" w:rsidRDefault="00AB375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29"/>
        </w:tabs>
        <w:suppressAutoHyphens/>
        <w:jc w:val="both"/>
        <w:rPr>
          <w:rFonts w:ascii="Cambria" w:hAnsi="Cambria"/>
          <w:sz w:val="20"/>
          <w:szCs w:val="20"/>
        </w:rPr>
      </w:pPr>
      <w:r w:rsidRPr="00CC39F5">
        <w:rPr>
          <w:rFonts w:ascii="Cambria" w:hAnsi="Cambria"/>
          <w:sz w:val="20"/>
          <w:szCs w:val="20"/>
        </w:rPr>
        <w:t>The Commission recalls that in many cases like the one at hand when there are allegations of torture, the individual generally has no way to prove the violence inflicted on them.</w:t>
      </w:r>
      <w:r w:rsidRPr="00CC39F5">
        <w:rPr>
          <w:rStyle w:val="FootnoteReference"/>
          <w:rFonts w:ascii="Cambria" w:hAnsi="Cambria"/>
          <w:sz w:val="20"/>
          <w:szCs w:val="20"/>
        </w:rPr>
        <w:footnoteReference w:id="111"/>
      </w:r>
      <w:r w:rsidRPr="00CC39F5">
        <w:rPr>
          <w:rFonts w:ascii="Cambria" w:hAnsi="Cambria"/>
          <w:sz w:val="20"/>
          <w:szCs w:val="20"/>
        </w:rPr>
        <w:t xml:space="preserve"> According to the petitioners, Mr. Montesinos was: (i) threatened while providing one of his statements; (ii) held in a cell measuring 11</w:t>
      </w:r>
      <w:r w:rsidRPr="00CC39F5">
        <w:rPr>
          <w:rFonts w:ascii="Cambria" w:hAnsi="Cambria" w:cs="Arial"/>
          <w:color w:val="222222"/>
          <w:sz w:val="20"/>
          <w:szCs w:val="20"/>
          <w:shd w:val="clear" w:color="auto" w:fill="FFFFFF"/>
        </w:rPr>
        <w:t>m</w:t>
      </w:r>
      <w:r w:rsidRPr="00CC39F5">
        <w:rPr>
          <w:rFonts w:ascii="Cambria" w:hAnsi="Cambria" w:cs="Arial"/>
          <w:color w:val="222222"/>
          <w:sz w:val="20"/>
          <w:szCs w:val="20"/>
          <w:shd w:val="clear" w:color="auto" w:fill="FFFFFF"/>
          <w:vertAlign w:val="superscript"/>
        </w:rPr>
        <w:t xml:space="preserve">2 </w:t>
      </w:r>
      <w:r w:rsidRPr="00CC39F5">
        <w:rPr>
          <w:rFonts w:ascii="Cambria" w:hAnsi="Cambria"/>
          <w:sz w:val="20"/>
          <w:szCs w:val="20"/>
        </w:rPr>
        <w:t>with 13 other individuals; (iii) beaten by police officers; (iv) held incommunicado</w:t>
      </w:r>
      <w:r w:rsidRPr="00CC39F5">
        <w:rPr>
          <w:rFonts w:ascii="Cambria" w:hAnsi="Cambria"/>
          <w:i/>
          <w:sz w:val="20"/>
          <w:szCs w:val="20"/>
        </w:rPr>
        <w:t xml:space="preserve"> </w:t>
      </w:r>
      <w:r w:rsidRPr="00CC39F5">
        <w:rPr>
          <w:rFonts w:ascii="Cambria" w:hAnsi="Cambria"/>
          <w:sz w:val="20"/>
          <w:szCs w:val="20"/>
        </w:rPr>
        <w:t>for eight days; and (v) held upon arrest in the prison conditions that were deplorable.</w:t>
      </w:r>
    </w:p>
    <w:p w:rsidR="006B32E1" w:rsidRPr="00CC39F5" w:rsidRDefault="006B32E1" w:rsidP="006B32E1">
      <w:pPr>
        <w:pStyle w:val="ColorfulList-Accent11"/>
        <w:rPr>
          <w:sz w:val="20"/>
          <w:szCs w:val="20"/>
        </w:rPr>
      </w:pPr>
    </w:p>
    <w:p w:rsidR="006B32E1" w:rsidRPr="00CC39F5" w:rsidRDefault="000E586E"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29"/>
        </w:tabs>
        <w:suppressAutoHyphens/>
        <w:jc w:val="both"/>
        <w:rPr>
          <w:rFonts w:ascii="Cambria" w:hAnsi="Cambria"/>
          <w:sz w:val="20"/>
          <w:szCs w:val="20"/>
        </w:rPr>
      </w:pPr>
      <w:r w:rsidRPr="00CC39F5">
        <w:rPr>
          <w:rFonts w:ascii="Cambria" w:hAnsi="Cambria"/>
          <w:sz w:val="20"/>
          <w:szCs w:val="20"/>
        </w:rPr>
        <w:t>As for official medical reports on Mr. Montesinos’ physical and mental health, there is only one document from the Medical Department of the National Police dated July 27, 1992, which states that Mr. Montesinos underwent a medical examination the day he was arrested and that the result was “without observations.” In said document no details are provided on how this examination was performed. Moreover, the Commission notes that the police performed this exam; the same police, who, according to Mr. Montesinos, were the authorities who mistreated him. The Commission has no information regarding other medical exams Mr. Montesinos’ underwent</w:t>
      </w:r>
      <w:r w:rsidR="006B32E1" w:rsidRPr="00CC39F5">
        <w:rPr>
          <w:rFonts w:ascii="Cambria" w:hAnsi="Cambria"/>
          <w:sz w:val="20"/>
          <w:szCs w:val="20"/>
        </w:rPr>
        <w:t xml:space="preserve">. </w:t>
      </w:r>
    </w:p>
    <w:p w:rsidR="006B32E1" w:rsidRPr="00CC39F5" w:rsidRDefault="006B32E1" w:rsidP="006B32E1">
      <w:pPr>
        <w:pStyle w:val="ColorfulList-Accent11"/>
        <w:rPr>
          <w:sz w:val="20"/>
          <w:szCs w:val="20"/>
        </w:rPr>
      </w:pPr>
    </w:p>
    <w:p w:rsidR="006B32E1" w:rsidRPr="00CC39F5" w:rsidRDefault="00B22183"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29"/>
        </w:tabs>
        <w:suppressAutoHyphens/>
        <w:jc w:val="both"/>
        <w:rPr>
          <w:rFonts w:ascii="Cambria" w:hAnsi="Cambria"/>
          <w:sz w:val="20"/>
          <w:szCs w:val="20"/>
        </w:rPr>
      </w:pPr>
      <w:r w:rsidRPr="00CC39F5">
        <w:rPr>
          <w:rFonts w:ascii="Cambria" w:hAnsi="Cambria"/>
          <w:sz w:val="20"/>
          <w:szCs w:val="20"/>
        </w:rPr>
        <w:t xml:space="preserve">The IACHR notes that in the case </w:t>
      </w:r>
      <w:r w:rsidRPr="00CC39F5">
        <w:rPr>
          <w:rFonts w:ascii="Cambria" w:hAnsi="Cambria"/>
          <w:i/>
          <w:sz w:val="20"/>
          <w:szCs w:val="20"/>
        </w:rPr>
        <w:t>Suárez Rosero v. Ecuador</w:t>
      </w:r>
      <w:r w:rsidRPr="00CC39F5">
        <w:rPr>
          <w:rFonts w:ascii="Cambria" w:hAnsi="Cambria"/>
          <w:sz w:val="20"/>
          <w:szCs w:val="20"/>
        </w:rPr>
        <w:t xml:space="preserve"> the Inter-American Court considered that the victim was subjected to cruel, inhuman, and degrading treatment given that he: (i) was held incommunicado; (ii) suffered due to the impossibility of having an attorney or seeing his family; (iii) was in a cell that measured 15</w:t>
      </w:r>
      <w:r w:rsidRPr="00CC39F5">
        <w:rPr>
          <w:rFonts w:ascii="Arial" w:hAnsi="Arial" w:cs="Arial"/>
          <w:color w:val="222222"/>
          <w:shd w:val="clear" w:color="auto" w:fill="FFFFFF"/>
        </w:rPr>
        <w:t> </w:t>
      </w:r>
      <w:r w:rsidRPr="00CC39F5">
        <w:rPr>
          <w:rFonts w:ascii="Cambria" w:hAnsi="Cambria" w:cs="Arial"/>
          <w:color w:val="222222"/>
          <w:sz w:val="20"/>
          <w:szCs w:val="20"/>
          <w:shd w:val="clear" w:color="auto" w:fill="FFFFFF"/>
        </w:rPr>
        <w:t>m</w:t>
      </w:r>
      <w:r w:rsidRPr="00CC39F5">
        <w:rPr>
          <w:rFonts w:ascii="Cambria" w:hAnsi="Cambria" w:cs="Arial"/>
          <w:color w:val="222222"/>
          <w:sz w:val="20"/>
          <w:szCs w:val="20"/>
          <w:shd w:val="clear" w:color="auto" w:fill="FFFFFF"/>
          <w:vertAlign w:val="superscript"/>
        </w:rPr>
        <w:t>2</w:t>
      </w:r>
      <w:r w:rsidRPr="00CC39F5">
        <w:rPr>
          <w:rFonts w:ascii="Cambria" w:hAnsi="Cambria"/>
          <w:sz w:val="20"/>
          <w:szCs w:val="20"/>
        </w:rPr>
        <w:t xml:space="preserve"> with 16 other individuals, without the necessary sanitary conditions; and (iv) was beaten and threatened during his detention</w:t>
      </w:r>
      <w:r w:rsidR="006B32E1" w:rsidRPr="00CC39F5">
        <w:rPr>
          <w:rFonts w:ascii="Cambria" w:hAnsi="Cambria"/>
          <w:sz w:val="20"/>
          <w:szCs w:val="20"/>
        </w:rPr>
        <w:t>.</w:t>
      </w:r>
    </w:p>
    <w:p w:rsidR="006B32E1" w:rsidRPr="00CC39F5" w:rsidRDefault="006B32E1" w:rsidP="006B32E1">
      <w:pPr>
        <w:pStyle w:val="ColorfulList-Accent11"/>
        <w:rPr>
          <w:sz w:val="20"/>
          <w:szCs w:val="20"/>
        </w:rPr>
      </w:pPr>
    </w:p>
    <w:p w:rsidR="006B32E1" w:rsidRPr="00CC39F5" w:rsidRDefault="008B0891"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 xml:space="preserve">The Commission further notes that Mr. Montesinos was detained together with Mr. Suárez Rosero in the framework of the same operation and that their allegations are similar, even as regards being held incommunicado. As analyzed in the prior section, Ecuador failed to prove that this did not happen by submitting documentation that by its nature is in the hands of the State. What is more, the State failed to open any investigation regarding Mr. Montesinos accusations, although his first </w:t>
      </w:r>
      <w:r w:rsidRPr="00CC39F5">
        <w:rPr>
          <w:rFonts w:ascii="Cambria" w:hAnsi="Cambria"/>
          <w:i/>
          <w:sz w:val="20"/>
          <w:szCs w:val="20"/>
        </w:rPr>
        <w:t>habeas corpus</w:t>
      </w:r>
      <w:r w:rsidRPr="00CC39F5">
        <w:rPr>
          <w:rFonts w:ascii="Cambria" w:hAnsi="Cambria"/>
          <w:sz w:val="20"/>
          <w:szCs w:val="20"/>
        </w:rPr>
        <w:t xml:space="preserve"> appeal alleged he was subjected to beatings and threats to force him to sign his statements</w:t>
      </w:r>
      <w:r w:rsidR="006B32E1" w:rsidRPr="00CC39F5">
        <w:rPr>
          <w:rFonts w:ascii="Cambria" w:hAnsi="Cambria"/>
          <w:sz w:val="20"/>
          <w:szCs w:val="20"/>
        </w:rPr>
        <w:t xml:space="preserve">. </w:t>
      </w:r>
    </w:p>
    <w:p w:rsidR="006B32E1" w:rsidRPr="00CC39F5" w:rsidRDefault="006B32E1" w:rsidP="006B32E1">
      <w:pPr>
        <w:pStyle w:val="ColorfulList-Accent11"/>
        <w:ind w:left="0"/>
        <w:rPr>
          <w:sz w:val="20"/>
          <w:szCs w:val="20"/>
        </w:rPr>
      </w:pPr>
    </w:p>
    <w:p w:rsidR="006B32E1" w:rsidRPr="00CC39F5" w:rsidRDefault="008E3DA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 xml:space="preserve">In keeping with the available information, and considering the State’s serious omissions in failing to perform a serious and thorough medical examination of Mr. Montesinos, even when he was transferred from one correctional center to another, as well as the absence of any investigation on reports of </w:t>
      </w:r>
      <w:r w:rsidR="00105FE3" w:rsidRPr="00CC39F5">
        <w:rPr>
          <w:rFonts w:ascii="Cambria" w:hAnsi="Cambria"/>
          <w:sz w:val="20"/>
          <w:szCs w:val="20"/>
        </w:rPr>
        <w:t>torture</w:t>
      </w:r>
      <w:r w:rsidRPr="00CC39F5">
        <w:rPr>
          <w:rFonts w:ascii="Cambria" w:hAnsi="Cambria"/>
          <w:sz w:val="20"/>
          <w:szCs w:val="20"/>
        </w:rPr>
        <w:t>, the Commission considers that the victim was subjected, at the very least, to cruel, inhuman, and degrading treatment during the initial stage of his detention</w:t>
      </w:r>
      <w:r w:rsidR="006B32E1" w:rsidRPr="00CC39F5">
        <w:rPr>
          <w:rFonts w:ascii="Cambria" w:hAnsi="Cambria"/>
          <w:sz w:val="20"/>
          <w:szCs w:val="20"/>
        </w:rPr>
        <w:t xml:space="preserve">. </w:t>
      </w:r>
    </w:p>
    <w:p w:rsidR="006B32E1" w:rsidRPr="00CC39F5" w:rsidRDefault="006B32E1" w:rsidP="006B32E1">
      <w:pPr>
        <w:pStyle w:val="ColorfulList-Accent11"/>
        <w:rPr>
          <w:bCs/>
          <w:sz w:val="20"/>
          <w:szCs w:val="20"/>
        </w:rPr>
      </w:pPr>
    </w:p>
    <w:p w:rsidR="006B32E1" w:rsidRPr="00CC39F5" w:rsidRDefault="00CD59B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bCs/>
          <w:sz w:val="20"/>
          <w:szCs w:val="20"/>
        </w:rPr>
        <w:lastRenderedPageBreak/>
        <w:t>Pursuant to the foregoing, the Commission considers that the State violated the right to humane treatment provided for in Article 5(1) and 5(2) of the American Convention in connection with Article 1(1) thereof, to the detriment of Mario Montesinos Mejía. Furthermore, the Commission concludes that due to the lack of any investigation whatsoever into the victim’s reports of mistreatment, the State also violated, to his detriment, Articles 8(1) and 25(1) of the American Convention in relation to Article 1(1) thereof. Additionally, bearing in mind that the Inter-American Convention to Prevent and Punish Torture entered into effect in Ecuador on December 9, 1999, the Commission notes that, in accordance with the Court’s jurisprudence, as from that date “compliance with the obligations contained in this treaty is binding.”</w:t>
      </w:r>
      <w:r w:rsidRPr="00CC39F5">
        <w:rPr>
          <w:rStyle w:val="FootnoteReference"/>
          <w:rFonts w:ascii="Cambria" w:hAnsi="Cambria"/>
          <w:sz w:val="20"/>
          <w:szCs w:val="20"/>
        </w:rPr>
        <w:footnoteReference w:id="112"/>
      </w:r>
      <w:r w:rsidRPr="00CC39F5">
        <w:rPr>
          <w:rFonts w:ascii="Cambria" w:hAnsi="Cambria"/>
          <w:sz w:val="20"/>
          <w:szCs w:val="20"/>
        </w:rPr>
        <w:t xml:space="preserve"> In this regard, the Commission deems that the absence of an investigation</w:t>
      </w:r>
      <w:r w:rsidR="00105FE3" w:rsidRPr="00CC39F5">
        <w:rPr>
          <w:rFonts w:ascii="Cambria" w:hAnsi="Cambria"/>
          <w:sz w:val="20"/>
          <w:szCs w:val="20"/>
        </w:rPr>
        <w:t xml:space="preserve"> of the torture allegations</w:t>
      </w:r>
      <w:r w:rsidRPr="00CC39F5">
        <w:rPr>
          <w:rFonts w:ascii="Cambria" w:hAnsi="Cambria"/>
          <w:sz w:val="20"/>
          <w:szCs w:val="20"/>
        </w:rPr>
        <w:t xml:space="preserve"> in this case also constituted a violation of the obligations provided for in Articles 1, 6, and 8 of the Inter-American Convention to Prevent and Punish Torture, as from its entry into force</w:t>
      </w:r>
      <w:r w:rsidR="006B32E1" w:rsidRPr="00CC39F5">
        <w:rPr>
          <w:rFonts w:ascii="Cambria" w:hAnsi="Cambria"/>
          <w:sz w:val="20"/>
          <w:szCs w:val="20"/>
        </w:rPr>
        <w:t>.</w:t>
      </w:r>
    </w:p>
    <w:p w:rsidR="006B32E1" w:rsidRPr="00CC39F5" w:rsidRDefault="006B32E1" w:rsidP="006B32E1">
      <w:pPr>
        <w:pStyle w:val="ColorfulList-Accent11"/>
        <w:ind w:left="0"/>
        <w:rPr>
          <w:sz w:val="20"/>
          <w:szCs w:val="20"/>
        </w:rPr>
      </w:pPr>
    </w:p>
    <w:p w:rsidR="006B32E1" w:rsidRPr="00CC39F5" w:rsidRDefault="00464675" w:rsidP="00105FE3">
      <w:pPr>
        <w:pStyle w:val="Heading2"/>
        <w:numPr>
          <w:ilvl w:val="0"/>
          <w:numId w:val="63"/>
        </w:numPr>
        <w:ind w:left="1440" w:hanging="720"/>
        <w:rPr>
          <w:szCs w:val="20"/>
        </w:rPr>
      </w:pPr>
      <w:bookmarkStart w:id="24" w:name="_Toc495584798"/>
      <w:r w:rsidRPr="00CC39F5">
        <w:rPr>
          <w:szCs w:val="20"/>
        </w:rPr>
        <w:t>Right to a fair trial (Article 8</w:t>
      </w:r>
      <w:r w:rsidRPr="00CC39F5">
        <w:rPr>
          <w:rStyle w:val="FootnoteReference"/>
          <w:b w:val="0"/>
          <w:szCs w:val="20"/>
        </w:rPr>
        <w:footnoteReference w:id="113"/>
      </w:r>
      <w:r w:rsidRPr="00CC39F5">
        <w:rPr>
          <w:szCs w:val="20"/>
        </w:rPr>
        <w:t xml:space="preserve"> of the Convention in connection with Article 1(1) thereof)</w:t>
      </w:r>
      <w:bookmarkEnd w:id="24"/>
    </w:p>
    <w:p w:rsidR="00105FE3" w:rsidRPr="00CC39F5" w:rsidRDefault="00105FE3" w:rsidP="00105FE3">
      <w:pPr>
        <w:rPr>
          <w:rFonts w:ascii="Cambria" w:hAnsi="Cambria"/>
          <w:sz w:val="20"/>
          <w:szCs w:val="20"/>
        </w:rPr>
      </w:pPr>
    </w:p>
    <w:p w:rsidR="006B32E1" w:rsidRPr="00CC39F5" w:rsidRDefault="00DE585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 xml:space="preserve">Bearing in mind the allegations of the parties and the facts proven, the Commission will rule on the following points regarding the proceedings undertaken against Mr. Montesinos: (i) The rule to exclude evidence obtained by coercion; (ii) the </w:t>
      </w:r>
      <w:r w:rsidR="00CC30F9" w:rsidRPr="00CC39F5">
        <w:rPr>
          <w:rFonts w:ascii="Cambria" w:hAnsi="Cambria"/>
          <w:sz w:val="20"/>
          <w:szCs w:val="20"/>
        </w:rPr>
        <w:t>right to a defense</w:t>
      </w:r>
      <w:r w:rsidRPr="00CC39F5">
        <w:rPr>
          <w:rFonts w:ascii="Cambria" w:hAnsi="Cambria"/>
          <w:sz w:val="20"/>
          <w:szCs w:val="20"/>
        </w:rPr>
        <w:t>; (iii) the principle of presumption of innocence; and (iv) reasonableness as to the length of criminal proceedings.</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08"/>
        <w:jc w:val="both"/>
        <w:rPr>
          <w:rFonts w:ascii="Cambria" w:hAnsi="Cambria"/>
          <w:b/>
          <w:sz w:val="20"/>
          <w:szCs w:val="20"/>
        </w:rPr>
      </w:pPr>
    </w:p>
    <w:p w:rsidR="006B32E1" w:rsidRPr="00CC39F5" w:rsidRDefault="006B32E1" w:rsidP="006B32E1">
      <w:pPr>
        <w:pStyle w:val="Style1"/>
        <w:numPr>
          <w:ilvl w:val="0"/>
          <w:numId w:val="0"/>
        </w:numPr>
        <w:ind w:left="1440" w:hanging="720"/>
        <w:rPr>
          <w:sz w:val="20"/>
          <w:szCs w:val="20"/>
          <w:lang w:val="en-US"/>
        </w:rPr>
      </w:pPr>
      <w:bookmarkStart w:id="25" w:name="_Toc392055269"/>
      <w:r w:rsidRPr="00CC39F5">
        <w:rPr>
          <w:sz w:val="20"/>
          <w:szCs w:val="20"/>
          <w:lang w:val="en-US"/>
        </w:rPr>
        <w:t>1.</w:t>
      </w:r>
      <w:r w:rsidRPr="00CC39F5">
        <w:rPr>
          <w:sz w:val="20"/>
          <w:szCs w:val="20"/>
          <w:lang w:val="en-US"/>
        </w:rPr>
        <w:tab/>
      </w:r>
      <w:bookmarkEnd w:id="25"/>
      <w:r w:rsidR="00DE5856" w:rsidRPr="00CC39F5">
        <w:rPr>
          <w:sz w:val="20"/>
          <w:szCs w:val="20"/>
          <w:lang w:val="en-US"/>
        </w:rPr>
        <w:t>Right to exclude evidence obtained by coercion</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DE585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The Inter-American Court has acknowledged that the rule to exclude evidence obtained through torture or cruel and inhuman treatment has been recognized by diverse treaties and international bodies for the protection of human rights,</w:t>
      </w:r>
      <w:r w:rsidRPr="00CC39F5">
        <w:rPr>
          <w:rStyle w:val="FootnoteReference"/>
          <w:rFonts w:ascii="Cambria" w:hAnsi="Cambria"/>
          <w:sz w:val="20"/>
          <w:szCs w:val="20"/>
        </w:rPr>
        <w:footnoteReference w:id="114"/>
      </w:r>
      <w:r w:rsidRPr="00CC39F5">
        <w:rPr>
          <w:rFonts w:ascii="Cambria" w:hAnsi="Cambria"/>
          <w:sz w:val="20"/>
          <w:szCs w:val="20"/>
        </w:rPr>
        <w:t xml:space="preserve"> as well as the fact that “this rule is absolute and irrevocable.”</w:t>
      </w:r>
      <w:r w:rsidRPr="00CC39F5">
        <w:rPr>
          <w:rStyle w:val="FootnoteReference"/>
          <w:rFonts w:ascii="Cambria" w:hAnsi="Cambria"/>
          <w:sz w:val="20"/>
          <w:szCs w:val="20"/>
        </w:rPr>
        <w:footnoteReference w:id="115"/>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DE5856"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For its part, the IACHR has held that</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DE5856" w:rsidP="006B32E1">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sz w:val="20"/>
          <w:szCs w:val="20"/>
        </w:rPr>
      </w:pPr>
      <w:r w:rsidRPr="00CC39F5">
        <w:rPr>
          <w:rFonts w:ascii="Cambria" w:hAnsi="Cambria"/>
          <w:sz w:val="20"/>
          <w:szCs w:val="20"/>
        </w:rPr>
        <w:t xml:space="preserve">(…) </w:t>
      </w:r>
      <w:r w:rsidRPr="00CC39F5">
        <w:rPr>
          <w:rFonts w:ascii="Cambria" w:hAnsi="Cambria"/>
          <w:color w:val="000000"/>
          <w:sz w:val="20"/>
          <w:szCs w:val="20"/>
        </w:rPr>
        <w:t>in the case of a statement or testimony in which there is a well-founded suspicion or presumption that it was obtained by some type of coercion, be it physical or psychological, the […] courts must determine whether such coercion did actually exist. In the event that a statement or testimony obtained in these circumstances is admitted and used during the trial as an element of evidence or proof, that state may incur international responsibility.</w:t>
      </w:r>
      <w:r w:rsidRPr="00CC39F5">
        <w:rPr>
          <w:rStyle w:val="FootnoteReference"/>
          <w:rFonts w:ascii="Cambria" w:hAnsi="Cambria" w:cs="Verdana"/>
          <w:sz w:val="20"/>
          <w:szCs w:val="20"/>
        </w:rPr>
        <w:footnoteReference w:id="116"/>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105FE3" w:rsidP="00105F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sz w:val="20"/>
          <w:szCs w:val="20"/>
        </w:rPr>
        <w:t>From the prohibition of using any form of coercion to obtain the confession of an accused established in article 8.3 of the Convention, it follows that</w:t>
      </w:r>
      <w:r w:rsidR="00DE5856" w:rsidRPr="00CC39F5">
        <w:rPr>
          <w:rFonts w:ascii="Cambria" w:hAnsi="Cambria"/>
          <w:sz w:val="20"/>
          <w:szCs w:val="20"/>
        </w:rPr>
        <w:t xml:space="preserve"> “annulment of procedural documents resulting from torture or cruel treatment is an effective measure to halt the consequences of a violation of judicial guarantees.”</w:t>
      </w:r>
      <w:r w:rsidR="00DE5856" w:rsidRPr="00CC39F5">
        <w:rPr>
          <w:rStyle w:val="FootnoteReference"/>
          <w:rFonts w:ascii="Cambria" w:hAnsi="Cambria"/>
          <w:sz w:val="20"/>
          <w:szCs w:val="20"/>
        </w:rPr>
        <w:footnoteReference w:id="117"/>
      </w:r>
      <w:r w:rsidR="00DE5856" w:rsidRPr="00CC39F5">
        <w:rPr>
          <w:rFonts w:ascii="Cambria" w:hAnsi="Cambria"/>
          <w:sz w:val="20"/>
          <w:szCs w:val="20"/>
        </w:rPr>
        <w:t xml:space="preserve"> Said measure not only includes confessions obtained through torture or cruel treatment, but also “extends to any form of duress” that can interfere with the “spontaneous expression of a person’s will,” which “necessarily implies the obligation to exclude that evidence from the judicial proceeding.”</w:t>
      </w:r>
      <w:r w:rsidR="00DE5856" w:rsidRPr="00CC39F5">
        <w:rPr>
          <w:rStyle w:val="FootnoteReference"/>
          <w:rFonts w:ascii="Cambria" w:hAnsi="Cambria"/>
          <w:sz w:val="20"/>
          <w:szCs w:val="20"/>
        </w:rPr>
        <w:t xml:space="preserve"> </w:t>
      </w:r>
      <w:r w:rsidR="00DE5856" w:rsidRPr="00CC39F5">
        <w:rPr>
          <w:rStyle w:val="FootnoteReference"/>
          <w:rFonts w:ascii="Cambria" w:hAnsi="Cambria"/>
          <w:sz w:val="20"/>
          <w:szCs w:val="20"/>
        </w:rPr>
        <w:footnoteReference w:id="118"/>
      </w:r>
      <w:r w:rsidR="00DE5856" w:rsidRPr="00CC39F5">
        <w:rPr>
          <w:rFonts w:ascii="Cambria" w:hAnsi="Cambria"/>
          <w:sz w:val="20"/>
          <w:szCs w:val="20"/>
        </w:rPr>
        <w:t xml:space="preserve"> This obligation, according to the Court, refers not only to evidence obtained directly by coercion, “but also to evidence derived from such action.”</w:t>
      </w:r>
      <w:r w:rsidR="00DE5856" w:rsidRPr="00CC39F5">
        <w:rPr>
          <w:rStyle w:val="FootnoteReference"/>
          <w:rFonts w:ascii="Cambria" w:hAnsi="Cambria"/>
          <w:sz w:val="20"/>
          <w:szCs w:val="20"/>
        </w:rPr>
        <w:footnoteReference w:id="119"/>
      </w:r>
      <w:r w:rsidR="00DE5856" w:rsidRPr="00CC39F5">
        <w:rPr>
          <w:rFonts w:ascii="Cambria" w:hAnsi="Cambria"/>
          <w:sz w:val="20"/>
          <w:szCs w:val="20"/>
        </w:rPr>
        <w:t xml:space="preserve"> The purpose of the exclusionary rule is precisely to discourage and prevent the use of principles that are unlawful and contrary to the Convention such as torture or other cruel treatment, and thus, compliance with such a rule is essential</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rPr>
      </w:pPr>
    </w:p>
    <w:p w:rsidR="006B32E1" w:rsidRPr="00CC39F5" w:rsidRDefault="00B8066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Taking the above into account, the Commission will analyze whether the preliminary statement made by Mr. Montesinos under duress—described in this report as constituting at the very least cruel, inhuman, and degrading treatment—was used during the proceedings or whether such statement was duly excluded</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503C34"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 xml:space="preserve">The Commission notes first of all that Mr. Montesinos’ preliminary statement made on June 25, 1992, in which he confessed to having weapons in his home left in his care him by someone accused of drug trafficking, was included in the </w:t>
      </w:r>
      <w:r w:rsidRPr="00CC39F5">
        <w:rPr>
          <w:rFonts w:ascii="Cambria" w:hAnsi="Cambria"/>
          <w:i/>
          <w:sz w:val="20"/>
          <w:szCs w:val="20"/>
        </w:rPr>
        <w:t>Operación Ciclón</w:t>
      </w:r>
      <w:r w:rsidRPr="00CC39F5">
        <w:rPr>
          <w:rFonts w:ascii="Cambria" w:hAnsi="Cambria"/>
          <w:sz w:val="20"/>
          <w:szCs w:val="20"/>
        </w:rPr>
        <w:t xml:space="preserve"> police report. In this report the official investigator establishes Mr. Montesinos’ involvement in an international drug trafficking gang based on the content of his preliminary statement. Based on what had been in established in this police report, three orders were issued to initiate proceedings for the crimes of: (i) Illicit enrichment; (ii) conversion and transfer of assets; and (iii) engaging in front operations</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6B32E1" w:rsidRPr="00CC39F5" w:rsidRDefault="00C0528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 xml:space="preserve">The Commission notes that the authorities who </w:t>
      </w:r>
      <w:r w:rsidR="00105FE3" w:rsidRPr="00CC39F5">
        <w:rPr>
          <w:rFonts w:ascii="Cambria" w:hAnsi="Cambria"/>
          <w:sz w:val="20"/>
          <w:szCs w:val="20"/>
        </w:rPr>
        <w:t xml:space="preserve">decided to continue the process </w:t>
      </w:r>
      <w:r w:rsidRPr="00CC39F5">
        <w:rPr>
          <w:rFonts w:ascii="Cambria" w:hAnsi="Cambria"/>
          <w:sz w:val="20"/>
          <w:szCs w:val="20"/>
        </w:rPr>
        <w:t>did so not only taking into account his preliminary statement that was made under duress and—as indicated below—without professional legal counsel, but rather giving it preeminent importance. The court file does not show that authorities who heard the case conducted any assessment of reported coercion or the subsequent need to exclude such confessions. The Commission considers that this decision is independent of the final outcome of the proceedings</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6B32E1" w:rsidRPr="00CC39F5" w:rsidRDefault="00C05280"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In light of the above, the Commission considers that the State not only violated the right to humane treatment as described previously, but also the right set forth under Article 8(3) of the American Convention in connection with Article 1(1) thereof, to the detriment of Mario Montesinos Mejía</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6B32E1" w:rsidP="006B32E1">
      <w:pPr>
        <w:pStyle w:val="Style1"/>
        <w:numPr>
          <w:ilvl w:val="0"/>
          <w:numId w:val="0"/>
        </w:numPr>
        <w:ind w:firstLine="720"/>
        <w:rPr>
          <w:sz w:val="20"/>
          <w:szCs w:val="20"/>
          <w:lang w:val="en-US"/>
        </w:rPr>
      </w:pPr>
      <w:bookmarkStart w:id="26" w:name="_Toc392055270"/>
      <w:r w:rsidRPr="00CC39F5">
        <w:rPr>
          <w:sz w:val="20"/>
          <w:szCs w:val="20"/>
          <w:lang w:val="en-US"/>
        </w:rPr>
        <w:t xml:space="preserve">2. </w:t>
      </w:r>
      <w:r w:rsidRPr="00CC39F5">
        <w:rPr>
          <w:sz w:val="20"/>
          <w:szCs w:val="20"/>
          <w:lang w:val="en-US"/>
        </w:rPr>
        <w:tab/>
      </w:r>
      <w:bookmarkEnd w:id="26"/>
      <w:r w:rsidR="00C05280" w:rsidRPr="00CC39F5">
        <w:rPr>
          <w:sz w:val="20"/>
          <w:szCs w:val="20"/>
          <w:lang w:val="en-US"/>
        </w:rPr>
        <w:t>Right to legal representation</w:t>
      </w:r>
      <w:r w:rsidRPr="00CC39F5">
        <w:rPr>
          <w:sz w:val="20"/>
          <w:szCs w:val="20"/>
          <w:lang w:val="en-US"/>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6B32E1"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 xml:space="preserve"> </w:t>
      </w:r>
      <w:r w:rsidR="005A0F57" w:rsidRPr="00CC39F5">
        <w:rPr>
          <w:rFonts w:ascii="Cambria" w:hAnsi="Cambria"/>
          <w:sz w:val="20"/>
          <w:szCs w:val="20"/>
        </w:rPr>
        <w:t>The Court has held this right</w:t>
      </w:r>
      <w:r w:rsidR="005A0F57" w:rsidRPr="00CC39F5">
        <w:t xml:space="preserve"> </w:t>
      </w:r>
      <w:r w:rsidR="005A0F57" w:rsidRPr="00CC39F5">
        <w:rPr>
          <w:rFonts w:ascii="Cambria" w:hAnsi="Cambria"/>
          <w:sz w:val="20"/>
          <w:szCs w:val="20"/>
        </w:rPr>
        <w:t>must be exercised from the moment a person is accused of perpetrating or participating in an unlawful action and only ends when the proceeding concludes.</w:t>
      </w:r>
      <w:r w:rsidR="005A0F57" w:rsidRPr="00CC39F5">
        <w:rPr>
          <w:rStyle w:val="FootnoteReference"/>
          <w:rFonts w:ascii="Cambria" w:hAnsi="Cambria"/>
          <w:sz w:val="20"/>
          <w:szCs w:val="20"/>
        </w:rPr>
        <w:footnoteReference w:id="120"/>
      </w:r>
      <w:r w:rsidR="005A0F57" w:rsidRPr="00CC39F5">
        <w:rPr>
          <w:rFonts w:ascii="Cambria" w:hAnsi="Cambria"/>
          <w:sz w:val="20"/>
          <w:szCs w:val="20"/>
        </w:rPr>
        <w:t xml:space="preserve"> In the case of </w:t>
      </w:r>
      <w:r w:rsidR="005A0F57" w:rsidRPr="00CC39F5">
        <w:rPr>
          <w:rFonts w:ascii="Cambria" w:hAnsi="Cambria" w:cs="ACaslonPro-Italic"/>
          <w:i/>
          <w:iCs/>
          <w:sz w:val="20"/>
          <w:szCs w:val="20"/>
        </w:rPr>
        <w:t>Chaparro Álvarez and Lapo Íñiguez v. Ecuador</w:t>
      </w:r>
      <w:r w:rsidR="005A0F57" w:rsidRPr="00CC39F5">
        <w:rPr>
          <w:rFonts w:ascii="Cambria" w:hAnsi="Cambria" w:cs="ACaslonPro-Regular"/>
          <w:sz w:val="20"/>
          <w:szCs w:val="20"/>
        </w:rPr>
        <w:t>, the Court considered that the State violated the victims’ right to legal representation given that the victims’ attorneys were unable to be present when a procedure that was key in the victims’ trial for drug trafficking took place.</w:t>
      </w:r>
      <w:r w:rsidR="005A0F57" w:rsidRPr="00CC39F5">
        <w:rPr>
          <w:rStyle w:val="FootnoteReference"/>
          <w:rFonts w:ascii="Cambria" w:hAnsi="Cambria" w:cs="ACaslonPro-Regular"/>
          <w:sz w:val="20"/>
          <w:szCs w:val="20"/>
        </w:rPr>
        <w:footnoteReference w:id="121"/>
      </w:r>
      <w:r w:rsidR="005A0F57" w:rsidRPr="00CC39F5">
        <w:rPr>
          <w:rFonts w:ascii="Cambria" w:hAnsi="Cambria" w:cs="ACaslonPro-Regular"/>
          <w:sz w:val="20"/>
          <w:szCs w:val="20"/>
        </w:rPr>
        <w:t xml:space="preserve"> </w:t>
      </w:r>
      <w:r w:rsidRPr="00CC39F5">
        <w:rPr>
          <w:rFonts w:ascii="Cambria" w:hAnsi="Cambria" w:cs="ACaslonPro-Regular"/>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295128"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lastRenderedPageBreak/>
        <w:t xml:space="preserve">In this case, the Commission deems that it has been established that Mr. Montesinos was detained on June 21, 1992. The case file does not reveal that Mr. Montesinos had the opportunity to have a defense attorney at the initial proceedings following his arrest, including during his preliminary statement made on June 25, 1992. As noted previously, this statement was obtained under duress and was used in the </w:t>
      </w:r>
      <w:r w:rsidRPr="00CC39F5">
        <w:rPr>
          <w:rFonts w:ascii="Cambria" w:hAnsi="Cambria"/>
          <w:i/>
          <w:sz w:val="20"/>
          <w:szCs w:val="20"/>
        </w:rPr>
        <w:t>Operación Ciclón</w:t>
      </w:r>
      <w:r w:rsidRPr="00CC39F5">
        <w:rPr>
          <w:rFonts w:ascii="Cambria" w:hAnsi="Cambria"/>
          <w:sz w:val="20"/>
          <w:szCs w:val="20"/>
        </w:rPr>
        <w:t xml:space="preserve"> police report, which was considered by the courts called upon to rule on Mr. Montesinos’ responsibility. The case file furthermore shows that Mr. Montesinos did not have the opportunity to have a defense attorney present during subsequent statements made to police and prosecutors. </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AC39D5"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rPr>
      </w:pPr>
      <w:r w:rsidRPr="00CC39F5">
        <w:rPr>
          <w:rFonts w:ascii="Cambria" w:hAnsi="Cambria"/>
          <w:sz w:val="20"/>
          <w:szCs w:val="20"/>
        </w:rPr>
        <w:t xml:space="preserve">Having proven that Mr. Montesinos did not have an defense attorney present during the preliminary statement or during subsequent statements when he was already a crime suspect, the Commission deems that the State of Ecuador violated his </w:t>
      </w:r>
      <w:r w:rsidR="00CC30F9" w:rsidRPr="00CC39F5">
        <w:rPr>
          <w:rFonts w:ascii="Cambria" w:hAnsi="Cambria"/>
          <w:sz w:val="20"/>
          <w:szCs w:val="20"/>
        </w:rPr>
        <w:t>right to a defense</w:t>
      </w:r>
      <w:r w:rsidRPr="00CC39F5">
        <w:rPr>
          <w:rFonts w:ascii="Cambria" w:hAnsi="Cambria"/>
          <w:sz w:val="20"/>
          <w:szCs w:val="20"/>
        </w:rPr>
        <w:t xml:space="preserve"> provided for under </w:t>
      </w:r>
      <w:r w:rsidRPr="00CC39F5">
        <w:rPr>
          <w:rFonts w:ascii="Cambria" w:hAnsi="Cambria" w:cs="Arial"/>
          <w:sz w:val="20"/>
          <w:szCs w:val="20"/>
        </w:rPr>
        <w:t>8(2)(d) of the American Convention, in connection with to Article 1(1) thereof.</w:t>
      </w:r>
    </w:p>
    <w:p w:rsidR="006B32E1" w:rsidRPr="00CC39F5" w:rsidRDefault="006B32E1" w:rsidP="006B32E1">
      <w:pPr>
        <w:rPr>
          <w:rFonts w:ascii="Cambria" w:hAnsi="Cambria"/>
          <w:sz w:val="20"/>
          <w:szCs w:val="20"/>
        </w:rPr>
      </w:pPr>
    </w:p>
    <w:p w:rsidR="006B32E1" w:rsidRPr="00CC39F5" w:rsidRDefault="006B32E1" w:rsidP="006B32E1">
      <w:pPr>
        <w:pStyle w:val="Style1"/>
        <w:numPr>
          <w:ilvl w:val="0"/>
          <w:numId w:val="0"/>
        </w:numPr>
        <w:ind w:left="1440" w:hanging="720"/>
        <w:rPr>
          <w:sz w:val="20"/>
          <w:szCs w:val="20"/>
          <w:lang w:val="en-US"/>
        </w:rPr>
      </w:pPr>
      <w:r w:rsidRPr="00CC39F5">
        <w:rPr>
          <w:sz w:val="20"/>
          <w:szCs w:val="20"/>
          <w:lang w:val="en-US"/>
        </w:rPr>
        <w:t xml:space="preserve">3. </w:t>
      </w:r>
      <w:r w:rsidRPr="00CC39F5">
        <w:rPr>
          <w:sz w:val="20"/>
          <w:szCs w:val="20"/>
          <w:lang w:val="en-US"/>
        </w:rPr>
        <w:tab/>
      </w:r>
      <w:r w:rsidR="00643E2B" w:rsidRPr="00CC39F5">
        <w:rPr>
          <w:sz w:val="20"/>
          <w:szCs w:val="20"/>
          <w:lang w:val="en-US"/>
        </w:rPr>
        <w:t>The principle of presumption of innocence</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TimesNewRoman"/>
          <w:sz w:val="20"/>
          <w:szCs w:val="20"/>
          <w:lang w:eastAsia="es-ES_tradnl"/>
        </w:rPr>
      </w:pPr>
    </w:p>
    <w:p w:rsidR="006B32E1" w:rsidRPr="00CC39F5" w:rsidRDefault="00643E2B"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sz w:val="20"/>
          <w:szCs w:val="20"/>
        </w:rPr>
        <w:t xml:space="preserve">The Inter-American Court has asserted that the principle of the presumption of innocence implies that the defendant does not have to prove that he has not committed the offense of which he is accused, because the </w:t>
      </w:r>
      <w:r w:rsidRPr="00CC39F5">
        <w:rPr>
          <w:rFonts w:ascii="Cambria" w:hAnsi="Cambria"/>
          <w:i/>
          <w:sz w:val="20"/>
          <w:szCs w:val="20"/>
        </w:rPr>
        <w:t>onus probandi</w:t>
      </w:r>
      <w:r w:rsidRPr="00CC39F5">
        <w:rPr>
          <w:rFonts w:ascii="Cambria" w:hAnsi="Cambria"/>
          <w:sz w:val="20"/>
          <w:szCs w:val="20"/>
        </w:rPr>
        <w:t xml:space="preserve"> rests with the prosecutor.</w:t>
      </w:r>
      <w:r w:rsidRPr="00CC39F5">
        <w:rPr>
          <w:rStyle w:val="FootnoteReference"/>
          <w:rFonts w:ascii="Cambria" w:hAnsi="Cambria"/>
          <w:sz w:val="20"/>
          <w:szCs w:val="20"/>
        </w:rPr>
        <w:footnoteReference w:id="122"/>
      </w:r>
      <w:r w:rsidRPr="00CC39F5">
        <w:rPr>
          <w:rFonts w:ascii="Cambria" w:hAnsi="Cambria"/>
          <w:sz w:val="20"/>
          <w:szCs w:val="20"/>
        </w:rPr>
        <w:t xml:space="preserve"> Thus, the convincing demonstration of guilt is an essential requirement for a criminal sanction, so that the burden of proof falls on the prosecutor and not on the accused.</w:t>
      </w:r>
      <w:r w:rsidRPr="00CC39F5">
        <w:rPr>
          <w:rStyle w:val="FootnoteReference"/>
          <w:rFonts w:ascii="Cambria" w:hAnsi="Cambria"/>
          <w:sz w:val="20"/>
          <w:szCs w:val="20"/>
        </w:rPr>
        <w:footnoteReference w:id="123"/>
      </w:r>
      <w:r w:rsidRPr="00CC39F5">
        <w:rPr>
          <w:rFonts w:ascii="Cambria" w:hAnsi="Cambria"/>
          <w:sz w:val="20"/>
          <w:szCs w:val="20"/>
        </w:rPr>
        <w:t xml:space="preserve"> In this regard, the Human Rights Committee has held that</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B32E1" w:rsidRPr="00CC39F5" w:rsidRDefault="00643E2B" w:rsidP="006B32E1">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cs="TimesNewRoman"/>
          <w:sz w:val="20"/>
          <w:szCs w:val="20"/>
          <w:lang w:eastAsia="es-ES_tradnl"/>
        </w:rPr>
      </w:pPr>
      <w:r w:rsidRPr="00CC39F5">
        <w:rPr>
          <w:rFonts w:ascii="Cambria" w:hAnsi="Cambria"/>
          <w:sz w:val="20"/>
          <w:szCs w:val="20"/>
        </w:rPr>
        <w:t>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 It is a duty for all public authorities to refrain from prejudging the outcome of a trial, e.g. by abstaining from making public statements affirming the guilt of the accused.</w:t>
      </w:r>
      <w:r w:rsidRPr="00CC39F5">
        <w:rPr>
          <w:rStyle w:val="FootnoteReference"/>
          <w:rFonts w:ascii="Cambria" w:hAnsi="Cambria"/>
          <w:sz w:val="20"/>
          <w:szCs w:val="20"/>
        </w:rPr>
        <w:footnoteReference w:id="124"/>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TimesNewRoman"/>
          <w:sz w:val="20"/>
          <w:szCs w:val="20"/>
          <w:lang w:eastAsia="es-ES_tradnl"/>
        </w:rPr>
      </w:pPr>
    </w:p>
    <w:p w:rsidR="006B32E1" w:rsidRPr="00CC39F5" w:rsidRDefault="0047646F"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sz w:val="20"/>
          <w:szCs w:val="20"/>
        </w:rPr>
        <w:t>For its part, the Inter-American Commission has stated:</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rsidR="006B32E1" w:rsidRPr="00CC39F5" w:rsidRDefault="00217872" w:rsidP="006B32E1">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b/>
          <w:sz w:val="20"/>
          <w:szCs w:val="20"/>
        </w:rPr>
      </w:pPr>
      <w:r w:rsidRPr="00CC39F5">
        <w:rPr>
          <w:rFonts w:ascii="Cambria" w:hAnsi="Cambria"/>
          <w:color w:val="000000"/>
          <w:sz w:val="20"/>
          <w:szCs w:val="20"/>
          <w:shd w:val="clear" w:color="auto" w:fill="FFFFFF"/>
        </w:rPr>
        <w:t xml:space="preserve">In this context, another elementary concept of criminal procedural law, the objective of which is to preserve the principle of innocence, is the burden of proof. In criminal proceedings, the </w:t>
      </w:r>
      <w:r w:rsidRPr="00CC39F5">
        <w:rPr>
          <w:rFonts w:ascii="Cambria" w:hAnsi="Cambria"/>
          <w:i/>
          <w:color w:val="000000"/>
          <w:sz w:val="20"/>
          <w:szCs w:val="20"/>
          <w:shd w:val="clear" w:color="auto" w:fill="FFFFFF"/>
        </w:rPr>
        <w:t xml:space="preserve">onus probandi </w:t>
      </w:r>
      <w:r w:rsidRPr="00CC39F5">
        <w:rPr>
          <w:rFonts w:ascii="Cambria" w:hAnsi="Cambria"/>
          <w:color w:val="000000"/>
          <w:sz w:val="20"/>
          <w:szCs w:val="20"/>
          <w:shd w:val="clear" w:color="auto" w:fill="FFFFFF"/>
        </w:rPr>
        <w:t>does not lie with the accused; on the contrary, it is the State that has to demonstrate the accused's guilt. Modern doctrine accordingly maintains that "the accused does not need to prove his innocence, which has already been constructed by the presumption protecting him, but rather the accuser has to fully construct his position, leading to certainty that a punishable act was committed</w:t>
      </w:r>
      <w:r w:rsidRPr="00CC39F5">
        <w:rPr>
          <w:rFonts w:ascii="Cambria" w:hAnsi="Cambria"/>
          <w:color w:val="000000"/>
          <w:sz w:val="16"/>
          <w:szCs w:val="16"/>
          <w:shd w:val="clear" w:color="auto" w:fill="FFFFFF"/>
        </w:rPr>
        <w:t>.</w:t>
      </w:r>
      <w:r w:rsidRPr="00CC39F5">
        <w:rPr>
          <w:rStyle w:val="FootnoteReference"/>
          <w:rFonts w:ascii="Cambria" w:hAnsi="Cambria"/>
          <w:sz w:val="16"/>
          <w:szCs w:val="16"/>
        </w:rPr>
        <w:footnoteReference w:id="125"/>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TimesNewRoman"/>
          <w:sz w:val="20"/>
          <w:szCs w:val="20"/>
          <w:lang w:eastAsia="es-ES_tradnl"/>
        </w:rPr>
      </w:pPr>
    </w:p>
    <w:p w:rsidR="00105FE3" w:rsidRPr="00CC39F5" w:rsidRDefault="00105FE3" w:rsidP="00105F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 xml:space="preserve">The Commission observes that, in the present case, the conduct of the authorities aimed at validating the </w:t>
      </w:r>
      <w:r w:rsidRPr="00CC39F5">
        <w:rPr>
          <w:rFonts w:ascii="Cambria" w:hAnsi="Cambria"/>
          <w:sz w:val="20"/>
          <w:szCs w:val="20"/>
        </w:rPr>
        <w:t>presumed</w:t>
      </w:r>
      <w:r w:rsidRPr="00CC39F5">
        <w:rPr>
          <w:rFonts w:ascii="Cambria" w:hAnsi="Cambria" w:cs="TimesNewRoman"/>
          <w:sz w:val="20"/>
          <w:szCs w:val="20"/>
          <w:lang w:eastAsia="es-ES_tradnl"/>
        </w:rPr>
        <w:t xml:space="preserve"> declaration - in respect of which there were allegations of coercive and non-technical defense - to establish Mr Montesinos' explains the way in which the principle of presumption of innocence was understood in the framework of the Ecuadorian criminal process that at the time regulated the investigation of crimes related to drugs. Specifically, article 116 of the Law on Narcotic Drugs and Psychotropic Substances stated that "[t]he informative part of the public force and the pre-procedural statement rendered by the accused in the presence of the fiscal agent shall constitute a serious presumption of guilt." The IACHR notes that the content of this norm meant that the accused person would have the burden of reversing that "serious presumption", which has been analyzed by the IACHR, declaring that it is </w:t>
      </w:r>
      <w:r w:rsidRPr="00CC39F5">
        <w:rPr>
          <w:rFonts w:ascii="Cambria" w:hAnsi="Cambria" w:cs="TimesNewRoman"/>
          <w:sz w:val="20"/>
          <w:szCs w:val="20"/>
          <w:lang w:eastAsia="es-ES_tradnl"/>
        </w:rPr>
        <w:lastRenderedPageBreak/>
        <w:t>incompatible with the American Convention and specifically with the principle of presumption of innocence</w:t>
      </w:r>
      <w:r w:rsidRPr="00CC39F5">
        <w:rPr>
          <w:rStyle w:val="FootnoteReference"/>
          <w:rFonts w:ascii="Cambria" w:hAnsi="Cambria" w:cs="TimesNewRoman"/>
          <w:sz w:val="20"/>
          <w:szCs w:val="20"/>
          <w:lang w:eastAsia="es-ES_tradnl"/>
        </w:rPr>
        <w:footnoteReference w:id="126"/>
      </w:r>
      <w:r w:rsidRPr="00CC39F5">
        <w:rPr>
          <w:rFonts w:ascii="Cambria" w:hAnsi="Cambria" w:cs="TimesNewRoman"/>
          <w:sz w:val="20"/>
          <w:szCs w:val="20"/>
          <w:lang w:eastAsia="es-ES_tradnl"/>
        </w:rPr>
        <w:t>.</w:t>
      </w:r>
    </w:p>
    <w:p w:rsidR="00105FE3" w:rsidRPr="00CC39F5" w:rsidRDefault="00105FE3"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TimesNewRoman"/>
          <w:sz w:val="20"/>
          <w:szCs w:val="20"/>
          <w:lang w:eastAsia="es-ES_tradnl"/>
        </w:rPr>
      </w:pPr>
    </w:p>
    <w:p w:rsidR="006B32E1" w:rsidRPr="00CC39F5" w:rsidRDefault="00477B77"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The Commission is aware that the Constitutional Court of Ecuador subsequently ruled that the Law was unconstitutional, acknowledging it was inconsistent with the presumption of innocence.</w:t>
      </w:r>
      <w:r w:rsidRPr="00CC39F5">
        <w:rPr>
          <w:rStyle w:val="FootnoteReference"/>
          <w:rFonts w:ascii="Cambria" w:hAnsi="Cambria" w:cs="TimesNewRoman"/>
          <w:sz w:val="20"/>
          <w:szCs w:val="20"/>
          <w:lang w:eastAsia="es-ES_tradnl"/>
        </w:rPr>
        <w:footnoteReference w:id="127"/>
      </w:r>
      <w:r w:rsidRPr="00CC39F5">
        <w:rPr>
          <w:rFonts w:ascii="Cambria" w:hAnsi="Cambria" w:cs="TimesNewRoman"/>
          <w:sz w:val="20"/>
          <w:szCs w:val="20"/>
          <w:lang w:eastAsia="es-ES_tradnl"/>
        </w:rPr>
        <w:t xml:space="preserve"> Nevertheless, this Law was applied in this case. In view of the foregoing, the IACHR concludes that the State is responsible for violating the principle of presumption of innocence provided for under Article 8(2) of the American Convention in relation to the obligations set forth in Articles 1(1) and 2 thereof, to the detriment of Mario Montesinos Mejía.</w:t>
      </w:r>
      <w:r w:rsidR="006B32E1" w:rsidRPr="00CC39F5">
        <w:rPr>
          <w:rFonts w:ascii="Cambria" w:hAnsi="Cambria" w:cs="TimesNewRoman"/>
          <w:sz w:val="20"/>
          <w:szCs w:val="20"/>
          <w:lang w:eastAsia="es-ES_tradnl"/>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TimesNewRoman"/>
          <w:sz w:val="20"/>
          <w:szCs w:val="20"/>
          <w:lang w:eastAsia="es-ES_tradnl"/>
        </w:rPr>
      </w:pPr>
    </w:p>
    <w:p w:rsidR="006B32E1" w:rsidRPr="00CC39F5" w:rsidRDefault="006B32E1" w:rsidP="006B32E1">
      <w:pPr>
        <w:pStyle w:val="Style1"/>
        <w:numPr>
          <w:ilvl w:val="0"/>
          <w:numId w:val="0"/>
        </w:numPr>
        <w:ind w:left="1440" w:hanging="720"/>
        <w:rPr>
          <w:sz w:val="20"/>
          <w:szCs w:val="20"/>
          <w:lang w:val="en-US"/>
        </w:rPr>
      </w:pPr>
      <w:bookmarkStart w:id="27" w:name="_Toc392055273"/>
      <w:r w:rsidRPr="00CC39F5">
        <w:rPr>
          <w:sz w:val="20"/>
          <w:szCs w:val="20"/>
          <w:lang w:val="en-US"/>
        </w:rPr>
        <w:t>5.</w:t>
      </w:r>
      <w:r w:rsidRPr="00CC39F5">
        <w:rPr>
          <w:sz w:val="20"/>
          <w:szCs w:val="20"/>
          <w:lang w:val="en-US"/>
        </w:rPr>
        <w:tab/>
      </w:r>
      <w:bookmarkEnd w:id="27"/>
      <w:r w:rsidR="0032000C" w:rsidRPr="00CC39F5">
        <w:rPr>
          <w:lang w:val="en-US"/>
        </w:rPr>
        <w:t>Reasonableness of [the duration] of criminal proceedings</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TimesNewRoman"/>
          <w:sz w:val="20"/>
          <w:szCs w:val="20"/>
          <w:lang w:eastAsia="es-ES_tradnl"/>
        </w:rPr>
      </w:pPr>
    </w:p>
    <w:p w:rsidR="006B32E1" w:rsidRPr="00CC39F5" w:rsidRDefault="0032000C"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The Court has held that “t</w:t>
      </w:r>
      <w:r w:rsidRPr="00CC39F5">
        <w:rPr>
          <w:rFonts w:ascii="Cambria" w:hAnsi="Cambria"/>
          <w:sz w:val="20"/>
          <w:szCs w:val="20"/>
        </w:rPr>
        <w:t>he reasonableness of time referred to in Article 8(1) of the Convention must be assessed in relation to the total time demanded by criminal proceedings against a specific defendant until a final and nonappealable judgment is rendered.” In criminal matters, this time period runs from the first procedural act addressed to a specific person allegedly responsible for a given offense.</w:t>
      </w:r>
      <w:r w:rsidRPr="00CC39F5">
        <w:rPr>
          <w:rFonts w:ascii="Cambria" w:hAnsi="Cambria" w:cs="TimesNewRoman"/>
          <w:sz w:val="20"/>
          <w:szCs w:val="20"/>
          <w:lang w:eastAsia="es-ES_tradnl"/>
        </w:rPr>
        <w:t>”</w:t>
      </w:r>
      <w:r w:rsidRPr="00CC39F5">
        <w:rPr>
          <w:rStyle w:val="FootnoteReference"/>
          <w:rFonts w:ascii="Cambria" w:hAnsi="Cambria" w:cs="TimesNewRoman"/>
          <w:sz w:val="20"/>
          <w:szCs w:val="20"/>
          <w:lang w:eastAsia="es-ES_tradnl"/>
        </w:rPr>
        <w:footnoteReference w:id="128"/>
      </w:r>
      <w:r w:rsidRPr="00CC39F5">
        <w:rPr>
          <w:rFonts w:ascii="Cambria" w:hAnsi="Cambria" w:cs="TimesNewRoman"/>
          <w:sz w:val="20"/>
          <w:szCs w:val="20"/>
          <w:lang w:eastAsia="es-ES_tradnl"/>
        </w:rPr>
        <w:t xml:space="preserve"> In considering whether the duration of criminal proceedings was reasonable, the Commission highlights that a case-by-case analysis must be conducted based on the particular circumstances thereof and that in accordance with the terms of Article 8(1) of the Convention, four elements must be considered: </w:t>
      </w:r>
      <w:r w:rsidRPr="00CC39F5">
        <w:rPr>
          <w:rFonts w:ascii="Cambria" w:hAnsi="Cambria"/>
          <w:sz w:val="20"/>
          <w:szCs w:val="20"/>
        </w:rPr>
        <w:t>(a) The complexity of the matter; (b) the procedural activity of the interested party, and (c) the conduct of the judicial authorities; and (d) the effects that the delay in the proceedings may have on the victim’s legal situation.</w:t>
      </w:r>
      <w:r w:rsidRPr="00CC39F5">
        <w:rPr>
          <w:rFonts w:ascii="Cambria" w:hAnsi="Cambria"/>
          <w:sz w:val="20"/>
          <w:szCs w:val="20"/>
          <w:vertAlign w:val="superscript"/>
        </w:rPr>
        <w:footnoteReference w:id="129"/>
      </w:r>
    </w:p>
    <w:p w:rsidR="006B32E1" w:rsidRPr="00CC39F5" w:rsidRDefault="006B32E1" w:rsidP="006B32E1">
      <w:pPr>
        <w:pStyle w:val="ColorfulList-Accent11"/>
        <w:ind w:left="0"/>
        <w:rPr>
          <w:rFonts w:cs="TimesNewRoman"/>
          <w:sz w:val="20"/>
          <w:szCs w:val="20"/>
          <w:lang w:eastAsia="es-ES_tradnl"/>
        </w:rPr>
      </w:pPr>
    </w:p>
    <w:p w:rsidR="006B32E1" w:rsidRPr="00CC39F5" w:rsidRDefault="009B2444" w:rsidP="00105F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C39F5">
        <w:rPr>
          <w:rFonts w:ascii="Cambria" w:hAnsi="Cambria" w:cs="TimesNewRoman"/>
          <w:sz w:val="20"/>
          <w:szCs w:val="20"/>
          <w:lang w:eastAsia="es-ES_tradnl"/>
        </w:rPr>
        <w:t>With respect to the three criminal proceedings, the Commission notes that two of them lasted approximately six years. With respect to the prosecution for engaging in front operations, the IACHR notes that it does not have information about the decision on the remedy of appeal of the judgment that acquitted Mr. Montesinos</w:t>
      </w:r>
      <w:r w:rsidR="00105FE3" w:rsidRPr="00CC39F5">
        <w:rPr>
          <w:rFonts w:ascii="Cambria" w:hAnsi="Cambria" w:cs="TimesNewRoman"/>
          <w:sz w:val="20"/>
          <w:szCs w:val="20"/>
          <w:lang w:eastAsia="es-ES_tradnl"/>
        </w:rPr>
        <w:t>, but, in any case, it would have lasted for more than six years</w:t>
      </w:r>
      <w:r w:rsidRPr="00CC39F5">
        <w:rPr>
          <w:rFonts w:ascii="Cambria" w:hAnsi="Cambria" w:cs="TimesNewRoman"/>
          <w:sz w:val="20"/>
          <w:szCs w:val="20"/>
          <w:lang w:eastAsia="es-ES_tradnl"/>
        </w:rPr>
        <w:t>. As for the matter’s complexity, the IACHR notes that the records of the case file that it has do not reveal that the investigations were particularly complex with respect to the charges against Mr. Montesinos, nor was this proven by the State.</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6B32E1" w:rsidRPr="00CC39F5" w:rsidRDefault="008F20DD"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 xml:space="preserve">The IACHR also notes that from the time the investigation began, evidence available to judicial authorities from the initial phase of the proceedings—essentially, Mr. Montesinos’ preliminary statement—were used as grounds to show his criminal liability. This evidence was described in the </w:t>
      </w:r>
      <w:r w:rsidRPr="00CC39F5">
        <w:rPr>
          <w:rFonts w:ascii="Cambria" w:hAnsi="Cambria" w:cs="TimesNewRoman"/>
          <w:i/>
          <w:sz w:val="20"/>
          <w:szCs w:val="20"/>
          <w:lang w:eastAsia="es-ES_tradnl"/>
        </w:rPr>
        <w:t>Operación Ciclón</w:t>
      </w:r>
      <w:r w:rsidRPr="00CC39F5">
        <w:rPr>
          <w:rFonts w:ascii="Cambria" w:hAnsi="Cambria" w:cs="TimesNewRoman"/>
          <w:sz w:val="20"/>
          <w:szCs w:val="20"/>
          <w:lang w:eastAsia="es-ES_tradnl"/>
        </w:rPr>
        <w:t xml:space="preserve"> police report that was published 30 days after Mr. Montesinos’ arrest. The Commission has no knowledge of subsequent procedures that were particularly complex and would have been considered in determining Mr. Montesinos’ criminal liability. Indeed, the States has not submitted pleadings or evidence in this regard</w:t>
      </w:r>
      <w:r w:rsidR="006B32E1" w:rsidRPr="00CC39F5">
        <w:rPr>
          <w:rFonts w:ascii="Cambria" w:hAnsi="Cambria" w:cs="TimesNewRoman"/>
          <w:sz w:val="20"/>
          <w:szCs w:val="20"/>
          <w:lang w:eastAsia="es-ES_tradnl"/>
        </w:rPr>
        <w:t xml:space="preserve">. </w:t>
      </w:r>
    </w:p>
    <w:p w:rsidR="006B32E1" w:rsidRPr="00CC39F5" w:rsidRDefault="006B32E1" w:rsidP="006B32E1">
      <w:pPr>
        <w:pStyle w:val="ColorfulList-Accent11"/>
        <w:ind w:left="0"/>
        <w:rPr>
          <w:sz w:val="20"/>
          <w:szCs w:val="20"/>
        </w:rPr>
      </w:pPr>
    </w:p>
    <w:p w:rsidR="006B32E1" w:rsidRPr="00CC39F5" w:rsidRDefault="001468E9"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t xml:space="preserve">As to the conduct of domestic authorities, the Commission notes that in this case the State did not explain or submit specific evidence showing that judicial authorities acted with the necessary diligence to ensure that Mr. </w:t>
      </w:r>
      <w:r w:rsidRPr="00CC39F5">
        <w:rPr>
          <w:rFonts w:ascii="Cambria" w:hAnsi="Cambria" w:cs="TimesNewRoman"/>
          <w:sz w:val="20"/>
          <w:szCs w:val="20"/>
          <w:lang w:eastAsia="es-ES_tradnl"/>
        </w:rPr>
        <w:t xml:space="preserve">Montesinos was provided with a decision on his criminal liability in a reasonable period of time. The IACHR considers that the decision of the Constitutional Rights Court regarding the </w:t>
      </w:r>
      <w:r w:rsidRPr="00CC39F5">
        <w:rPr>
          <w:rFonts w:ascii="Cambria" w:hAnsi="Cambria" w:cs="TimesNewRoman"/>
          <w:i/>
          <w:sz w:val="20"/>
          <w:szCs w:val="20"/>
          <w:lang w:eastAsia="es-ES_tradnl"/>
        </w:rPr>
        <w:t>habeas corpus</w:t>
      </w:r>
      <w:r w:rsidRPr="00CC39F5">
        <w:rPr>
          <w:rFonts w:ascii="Cambria" w:hAnsi="Cambria" w:cs="TimesNewRoman"/>
          <w:sz w:val="20"/>
          <w:szCs w:val="20"/>
          <w:lang w:eastAsia="es-ES_tradnl"/>
        </w:rPr>
        <w:t xml:space="preserve"> appeal constitutes circumstantial evidence of the unreasonable length of time. Despite this, the first two proceedings lasted two additional years. With regard to the third, as was stated previously, there is no information about its conclusion. As for Mr. </w:t>
      </w:r>
      <w:r w:rsidRPr="00CC39F5">
        <w:rPr>
          <w:rFonts w:ascii="Cambria" w:hAnsi="Cambria"/>
          <w:sz w:val="20"/>
          <w:szCs w:val="20"/>
        </w:rPr>
        <w:t>Montesinos, the Commission notes that there is nothing in the file indicating that he hindered proceedings or was accountable in any way for their delay</w:t>
      </w:r>
      <w:r w:rsidR="006B32E1" w:rsidRPr="00CC39F5">
        <w:rPr>
          <w:rFonts w:ascii="Cambria" w:hAnsi="Cambria"/>
          <w:sz w:val="20"/>
          <w:szCs w:val="20"/>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E1" w:rsidRPr="00CC39F5" w:rsidRDefault="00EA131A"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C39F5">
        <w:rPr>
          <w:rFonts w:ascii="Cambria" w:hAnsi="Cambria"/>
          <w:sz w:val="20"/>
          <w:szCs w:val="20"/>
        </w:rPr>
        <w:lastRenderedPageBreak/>
        <w:t>With respect to the fourth element, the IACHR deems that the ongoing nature of the proceedings in the circumstances of this case resulted in the Mr. Montesinos’ ongoing deprivation of liberty.  This was due to release being barred in these kinds of proceedings</w:t>
      </w:r>
      <w:r w:rsidR="006B32E1" w:rsidRPr="00CC39F5">
        <w:rPr>
          <w:rFonts w:ascii="Cambria" w:hAnsi="Cambri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ar w:val="none" w:sz="0" w:color="auto"/>
        </w:pBdr>
        <w:tabs>
          <w:tab w:val="num" w:pos="6042"/>
        </w:tabs>
        <w:suppressAutoHyphens/>
        <w:jc w:val="both"/>
        <w:rPr>
          <w:rFonts w:ascii="Cambria" w:hAnsi="Cambria" w:cs="TimesNewRoman"/>
          <w:sz w:val="20"/>
          <w:szCs w:val="20"/>
          <w:lang w:eastAsia="es-ES_tradnl"/>
        </w:rPr>
      </w:pPr>
    </w:p>
    <w:p w:rsidR="006B32E1" w:rsidRPr="00CC39F5" w:rsidRDefault="00EA131A"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TimesNewRoman"/>
          <w:sz w:val="20"/>
          <w:szCs w:val="20"/>
          <w:lang w:eastAsia="es-ES_tradnl"/>
        </w:rPr>
      </w:pPr>
      <w:r w:rsidRPr="00CC39F5">
        <w:rPr>
          <w:rFonts w:ascii="Cambria" w:hAnsi="Cambria" w:cs="TimesNewRoman"/>
          <w:sz w:val="20"/>
          <w:szCs w:val="20"/>
          <w:lang w:eastAsia="es-ES_tradnl"/>
        </w:rPr>
        <w:t xml:space="preserve">In conclusion, the IACHR considers that the duration of the three criminal proceedings constituted an excessive amount of time, which has not been justified by the State. As a result, the Commission deems that the State failed to comply with the guarantee of a reasonable amount of time, as set forth in Article </w:t>
      </w:r>
      <w:r w:rsidRPr="00CC39F5">
        <w:rPr>
          <w:rFonts w:ascii="Cambria" w:hAnsi="Cambria"/>
          <w:sz w:val="20"/>
          <w:szCs w:val="20"/>
        </w:rPr>
        <w:t>8(1) of the American Convention, in connection with Article 1(1) thereof, to the detriment of Mario Montesinos Mejía</w:t>
      </w:r>
      <w:r w:rsidR="006B32E1" w:rsidRPr="00CC39F5">
        <w:rPr>
          <w:rFonts w:ascii="Cambria" w:hAnsi="Cambria"/>
          <w:sz w:val="20"/>
          <w:szCs w:val="20"/>
        </w:rPr>
        <w:t>.</w:t>
      </w:r>
    </w:p>
    <w:p w:rsidR="006B32E1" w:rsidRPr="00CC39F5" w:rsidRDefault="006B32E1" w:rsidP="006B32E1">
      <w:pPr>
        <w:pStyle w:val="Heading2"/>
      </w:pPr>
    </w:p>
    <w:p w:rsidR="006B32E1" w:rsidRPr="00CC39F5" w:rsidRDefault="00EA131A" w:rsidP="006B32E1">
      <w:pPr>
        <w:pStyle w:val="Heading1"/>
      </w:pPr>
      <w:bookmarkStart w:id="28" w:name="_Toc495584799"/>
      <w:bookmarkEnd w:id="20"/>
      <w:r w:rsidRPr="00CC39F5">
        <w:t>CONCLUSIONS AND RECOMMENDATIONS</w:t>
      </w:r>
      <w:bookmarkEnd w:id="28"/>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6B32E1" w:rsidRPr="00CC39F5" w:rsidRDefault="00EA131A"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The Commission concludes that the State is responsible for the violation of the right to humane treatment, personal liberty, a fair trial,  and judicial protection, set forth in Articles 5(1), 5(2), 7(1), 7(2), 7(3), 7(4), 7(5), 7(6), 8(1), 8(2), 8(2)(d), 8(3), 24, 25(1), and 25(2)(c) of the American Convention on Human Rights, in connection with Articles 1(1) and 2 thereof, to the detriment of Mario Montesinos Mejía. The Commission further concludes that the State is responsible for the violation of Articles 1, 6, and 8 of the Inter-American Convention to Prevent and Punish Torture</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6B32E1" w:rsidRPr="00CC39F5" w:rsidRDefault="00EA131A" w:rsidP="003D4D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eastAsia="Times New Roman" w:hAnsi="Cambria"/>
          <w:sz w:val="20"/>
          <w:szCs w:val="20"/>
          <w:bdr w:val="none" w:sz="0" w:space="0" w:color="auto"/>
        </w:rPr>
      </w:pPr>
      <w:r w:rsidRPr="00CC39F5">
        <w:rPr>
          <w:rFonts w:ascii="Cambria" w:eastAsia="Times New Roman" w:hAnsi="Cambria"/>
          <w:sz w:val="20"/>
          <w:szCs w:val="20"/>
          <w:bdr w:val="none" w:sz="0" w:space="0" w:color="auto"/>
        </w:rPr>
        <w:t>Based on the factual and legal arguments provided above</w:t>
      </w:r>
      <w:r w:rsidR="006B32E1" w:rsidRPr="00CC39F5">
        <w:rPr>
          <w:rFonts w:ascii="Cambria" w:eastAsia="Times New Roman" w:hAnsi="Cambria"/>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EA131A" w:rsidRPr="00CC39F5" w:rsidRDefault="00EA131A" w:rsidP="00EA131A">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sz w:val="20"/>
          <w:szCs w:val="20"/>
          <w:bdr w:val="none" w:sz="0" w:space="0" w:color="auto"/>
        </w:rPr>
      </w:pPr>
      <w:r w:rsidRPr="00CC39F5">
        <w:rPr>
          <w:rFonts w:ascii="Cambria" w:eastAsia="Times New Roman" w:hAnsi="Cambria"/>
          <w:b/>
          <w:sz w:val="20"/>
          <w:szCs w:val="20"/>
          <w:bdr w:val="none" w:sz="0" w:space="0" w:color="auto"/>
        </w:rPr>
        <w:t xml:space="preserve">THE INTER-AMERICAN COMMISSION ON HUMAN RIGHTS </w:t>
      </w:r>
    </w:p>
    <w:p w:rsidR="006B32E1" w:rsidRPr="00CC39F5" w:rsidRDefault="00EA131A" w:rsidP="00EA13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20"/>
          <w:szCs w:val="20"/>
          <w:bdr w:val="none" w:sz="0" w:space="0" w:color="auto"/>
        </w:rPr>
      </w:pPr>
      <w:r w:rsidRPr="00CC39F5">
        <w:rPr>
          <w:rFonts w:ascii="Cambria" w:eastAsia="Times New Roman" w:hAnsi="Cambria"/>
          <w:b/>
          <w:sz w:val="20"/>
          <w:szCs w:val="20"/>
          <w:bdr w:val="none" w:sz="0" w:space="0" w:color="auto"/>
        </w:rPr>
        <w:t>RECOMMENDS TO THE STATE OF ECUADOR</w:t>
      </w:r>
      <w:r w:rsidR="006B32E1" w:rsidRPr="00CC39F5">
        <w:rPr>
          <w:rFonts w:ascii="Cambria" w:eastAsia="Times New Roman" w:hAnsi="Cambria"/>
          <w:b/>
          <w:sz w:val="20"/>
          <w:szCs w:val="20"/>
          <w:bdr w:val="none" w:sz="0" w:space="0" w:color="auto"/>
        </w:rPr>
        <w:t>:</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sz w:val="20"/>
          <w:szCs w:val="20"/>
        </w:rPr>
      </w:pPr>
      <w:r w:rsidRPr="00CC39F5">
        <w:rPr>
          <w:rFonts w:ascii="Cambria" w:eastAsia="Times New Roman" w:hAnsi="Cambria" w:cs="Tahoma"/>
          <w:sz w:val="20"/>
          <w:szCs w:val="20"/>
        </w:rPr>
        <w:t>1.</w:t>
      </w:r>
      <w:r w:rsidRPr="00CC39F5">
        <w:rPr>
          <w:rFonts w:ascii="Cambria" w:eastAsia="Times New Roman" w:hAnsi="Cambria" w:cs="Tahoma"/>
          <w:sz w:val="20"/>
          <w:szCs w:val="20"/>
        </w:rPr>
        <w:tab/>
      </w:r>
      <w:r w:rsidR="00EA131A" w:rsidRPr="00CC39F5">
        <w:rPr>
          <w:rFonts w:ascii="Cambria" w:eastAsia="Times New Roman" w:hAnsi="Cambria" w:cs="Tahoma"/>
          <w:sz w:val="20"/>
          <w:szCs w:val="20"/>
        </w:rPr>
        <w:t>Provide comprehensive reparations, both material and immaterial, for the violation of human rights declared herein. The State shall adopt measures for economic compensation and satisfaction</w:t>
      </w:r>
      <w:r w:rsidRPr="00CC39F5">
        <w:rPr>
          <w:rFonts w:ascii="Cambria" w:eastAsia="Times New Roman" w:hAnsi="Cambria" w:cs="Tahom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ahoma"/>
          <w:sz w:val="20"/>
          <w:szCs w:val="20"/>
        </w:rPr>
      </w:pP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sz w:val="20"/>
          <w:szCs w:val="20"/>
        </w:rPr>
      </w:pPr>
      <w:r w:rsidRPr="00CC39F5">
        <w:rPr>
          <w:rFonts w:ascii="Cambria" w:eastAsia="Times New Roman" w:hAnsi="Cambria" w:cs="Tahoma"/>
          <w:sz w:val="20"/>
          <w:szCs w:val="20"/>
        </w:rPr>
        <w:t>2.</w:t>
      </w:r>
      <w:r w:rsidRPr="00CC39F5">
        <w:rPr>
          <w:rFonts w:ascii="Cambria" w:eastAsia="Times New Roman" w:hAnsi="Cambria" w:cs="Tahoma"/>
          <w:sz w:val="20"/>
          <w:szCs w:val="20"/>
        </w:rPr>
        <w:tab/>
      </w:r>
      <w:r w:rsidR="00EA131A" w:rsidRPr="00CC39F5">
        <w:rPr>
          <w:rFonts w:ascii="Cambria" w:eastAsia="Times New Roman" w:hAnsi="Cambria" w:cs="Tahoma"/>
          <w:sz w:val="20"/>
          <w:szCs w:val="20"/>
        </w:rPr>
        <w:t>Provide physical and mental health care necessary for Mario Montesinos Mejía’s rehabilitation in an agreed upon manner, if he so wishes</w:t>
      </w:r>
      <w:r w:rsidRPr="00CC39F5">
        <w:rPr>
          <w:rFonts w:ascii="Cambria" w:eastAsia="Times New Roman" w:hAnsi="Cambria" w:cs="Tahoma"/>
          <w:sz w:val="20"/>
          <w:szCs w:val="20"/>
        </w:rPr>
        <w:t xml:space="preserve">. </w:t>
      </w:r>
    </w:p>
    <w:p w:rsidR="006B32E1" w:rsidRPr="00CC39F5" w:rsidRDefault="006B32E1" w:rsidP="006B32E1">
      <w:pPr>
        <w:rPr>
          <w:rFonts w:ascii="Cambria" w:hAnsi="Cambria"/>
          <w:sz w:val="20"/>
          <w:szCs w:val="20"/>
        </w:rPr>
      </w:pP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rPr>
      </w:pPr>
      <w:r w:rsidRPr="00CC39F5">
        <w:rPr>
          <w:rFonts w:ascii="Cambria" w:eastAsia="Times New Roman" w:hAnsi="Cambria" w:cs="Tahoma"/>
          <w:sz w:val="20"/>
          <w:szCs w:val="20"/>
        </w:rPr>
        <w:t>3.</w:t>
      </w:r>
      <w:r w:rsidRPr="00CC39F5">
        <w:rPr>
          <w:rFonts w:ascii="Cambria" w:eastAsia="Times New Roman" w:hAnsi="Cambria" w:cs="Tahoma"/>
          <w:sz w:val="20"/>
          <w:szCs w:val="20"/>
        </w:rPr>
        <w:tab/>
      </w:r>
      <w:r w:rsidR="004E5C6D" w:rsidRPr="00CC39F5">
        <w:rPr>
          <w:rFonts w:ascii="Cambria" w:eastAsia="Times New Roman" w:hAnsi="Cambria" w:cs="Tahoma"/>
          <w:sz w:val="20"/>
          <w:szCs w:val="20"/>
        </w:rPr>
        <w:t xml:space="preserve">Initiate an </w:t>
      </w:r>
      <w:r w:rsidR="004E5C6D" w:rsidRPr="00CC39F5">
        <w:rPr>
          <w:rFonts w:ascii="Cambria" w:eastAsia="Times New Roman" w:hAnsi="Cambria" w:cs="Tahoma"/>
          <w:i/>
          <w:sz w:val="20"/>
          <w:szCs w:val="20"/>
        </w:rPr>
        <w:t>ex officio</w:t>
      </w:r>
      <w:r w:rsidR="004E5C6D" w:rsidRPr="00CC39F5">
        <w:rPr>
          <w:rFonts w:ascii="Cambria" w:eastAsia="Times New Roman" w:hAnsi="Cambria" w:cs="Tahoma"/>
          <w:sz w:val="20"/>
          <w:szCs w:val="20"/>
        </w:rPr>
        <w:t xml:space="preserve"> criminal investigation that is diligent, effective, and done in a reasonable period of time in order to shed light on the acts of cruel, inhuman, and degrading treatment reported by Mr. Montesinos in order to identify all of those responsible and impose the appropriate penalties for the violations of human rights provided for in this report</w:t>
      </w:r>
      <w:r w:rsidRPr="00CC39F5">
        <w:rPr>
          <w:rFonts w:ascii="Cambria" w:eastAsia="Times New Roman" w:hAnsi="Cambria" w:cs="Tahoma"/>
          <w:sz w:val="20"/>
          <w:szCs w:val="20"/>
        </w:rPr>
        <w:t xml:space="preserve">. </w:t>
      </w:r>
    </w:p>
    <w:p w:rsidR="006B32E1" w:rsidRPr="00CC39F5"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sz w:val="20"/>
          <w:szCs w:val="20"/>
        </w:rPr>
      </w:pPr>
    </w:p>
    <w:p w:rsidR="006B32E1" w:rsidRPr="00673052"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sz w:val="20"/>
          <w:szCs w:val="20"/>
        </w:rPr>
      </w:pPr>
      <w:r w:rsidRPr="00CC39F5">
        <w:rPr>
          <w:rFonts w:ascii="Cambria" w:hAnsi="Cambria"/>
          <w:sz w:val="20"/>
          <w:szCs w:val="20"/>
        </w:rPr>
        <w:t>4.</w:t>
      </w:r>
      <w:r w:rsidRPr="00CC39F5">
        <w:rPr>
          <w:rFonts w:ascii="Cambria" w:hAnsi="Cambria"/>
          <w:sz w:val="20"/>
          <w:szCs w:val="20"/>
        </w:rPr>
        <w:tab/>
      </w:r>
      <w:r w:rsidR="004E5C6D" w:rsidRPr="00CC39F5">
        <w:rPr>
          <w:rFonts w:ascii="Cambria" w:hAnsi="Cambria"/>
          <w:sz w:val="20"/>
          <w:szCs w:val="20"/>
        </w:rPr>
        <w:t xml:space="preserve">Adopt the necessary measures to prevent similar acts from occurring in the future. Specifically, develop training programs for law enforcement personnel, judges, and prosecutors regarding the absolute prohibition on acts of torture and cruel, inhuman, or degrading treatment, as well as their obligations stemming from the exclusionary rule. Furthermore, ensure that competent authorities are properly trained about the obligation to initiate </w:t>
      </w:r>
      <w:r w:rsidR="004E5C6D" w:rsidRPr="00CC39F5">
        <w:rPr>
          <w:rFonts w:ascii="Cambria" w:hAnsi="Cambria"/>
          <w:i/>
          <w:sz w:val="20"/>
          <w:szCs w:val="20"/>
        </w:rPr>
        <w:t>ex officio</w:t>
      </w:r>
      <w:r w:rsidR="004E5C6D" w:rsidRPr="00CC39F5">
        <w:rPr>
          <w:rFonts w:ascii="Cambria" w:hAnsi="Cambria"/>
          <w:sz w:val="20"/>
          <w:szCs w:val="20"/>
        </w:rPr>
        <w:t>, criminal investigations when there are reports or well-found reasons to suspect acts of torture and cruel, inhuman, or degrading treatment. Additionally, strengthen accountability mechanisms and ensure their proper implementation by officials in charge of treating persons deprived of liberty</w:t>
      </w:r>
      <w:r w:rsidRPr="00CC39F5">
        <w:rPr>
          <w:rFonts w:ascii="Cambria" w:hAnsi="Cambria"/>
          <w:sz w:val="20"/>
          <w:szCs w:val="20"/>
        </w:rPr>
        <w:t>.</w:t>
      </w:r>
    </w:p>
    <w:p w:rsidR="006B32E1" w:rsidRPr="00673052"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sz w:val="20"/>
          <w:szCs w:val="20"/>
        </w:rPr>
      </w:pPr>
    </w:p>
    <w:p w:rsidR="006B32E1" w:rsidRPr="00673052" w:rsidRDefault="006B32E1" w:rsidP="006B32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C55560" w:rsidRPr="00673052" w:rsidRDefault="00C55560" w:rsidP="006B32E1">
      <w:pPr>
        <w:tabs>
          <w:tab w:val="center" w:pos="5400"/>
        </w:tabs>
        <w:suppressAutoHyphens/>
        <w:spacing w:line="276" w:lineRule="auto"/>
        <w:jc w:val="center"/>
        <w:rPr>
          <w:rFonts w:ascii="Cambria" w:hAnsi="Cambria"/>
          <w:sz w:val="20"/>
          <w:szCs w:val="20"/>
        </w:rPr>
      </w:pPr>
    </w:p>
    <w:sectPr w:rsidR="00C55560" w:rsidRPr="00673052" w:rsidSect="006B32E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5A" w:rsidRDefault="0049205A" w:rsidP="00036A8A">
      <w:r>
        <w:separator/>
      </w:r>
    </w:p>
  </w:endnote>
  <w:endnote w:type="continuationSeparator" w:id="0">
    <w:p w:rsidR="0049205A" w:rsidRDefault="0049205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Universa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TimesNewRoman">
    <w:panose1 w:val="00000000000000000000"/>
    <w:charset w:val="00"/>
    <w:family w:val="roman"/>
    <w:notTrueType/>
    <w:pitch w:val="default"/>
    <w:sig w:usb0="00000003" w:usb1="00000000" w:usb2="00000000" w:usb3="00000000" w:csb0="00000001" w:csb1="00000000"/>
  </w:font>
  <w:font w:name="Callibri">
    <w:altName w:val="Times New Roman"/>
    <w:panose1 w:val="00000000000000000000"/>
    <w:charset w:val="00"/>
    <w:family w:val="roman"/>
    <w:notTrueType/>
    <w:pitch w:val="default"/>
  </w:font>
  <w:font w:name="ACaslonPro-Italic">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6" w:rsidRPr="006311DA" w:rsidRDefault="00B04C4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92469">
      <w:rPr>
        <w:noProof/>
        <w:sz w:val="16"/>
      </w:rPr>
      <w:t>1</w:t>
    </w:r>
    <w:r w:rsidRPr="006311DA">
      <w:rPr>
        <w:noProof/>
        <w:sz w:val="16"/>
      </w:rPr>
      <w:fldChar w:fldCharType="end"/>
    </w:r>
  </w:p>
  <w:p w:rsidR="00B04C46" w:rsidRDefault="00B04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6" w:rsidRDefault="00B04C46">
    <w:pPr>
      <w:pStyle w:val="Footer"/>
      <w:jc w:val="center"/>
    </w:pPr>
  </w:p>
  <w:p w:rsidR="00B04C46" w:rsidRDefault="00B04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5A" w:rsidRPr="00CC69D2" w:rsidRDefault="0049205A" w:rsidP="00036A8A">
      <w:pPr>
        <w:rPr>
          <w:rFonts w:ascii="Cambria" w:hAnsi="Cambria"/>
          <w:sz w:val="16"/>
          <w:szCs w:val="16"/>
        </w:rPr>
      </w:pPr>
      <w:r w:rsidRPr="00CC69D2">
        <w:rPr>
          <w:rFonts w:ascii="Cambria" w:hAnsi="Cambria"/>
          <w:sz w:val="16"/>
          <w:szCs w:val="16"/>
        </w:rPr>
        <w:separator/>
      </w:r>
    </w:p>
  </w:footnote>
  <w:footnote w:type="continuationSeparator" w:id="0">
    <w:p w:rsidR="0049205A" w:rsidRPr="00CC69D2" w:rsidRDefault="0049205A" w:rsidP="00036A8A">
      <w:pPr>
        <w:rPr>
          <w:rFonts w:ascii="Cambria" w:hAnsi="Cambria"/>
          <w:sz w:val="16"/>
          <w:szCs w:val="16"/>
        </w:rPr>
      </w:pPr>
      <w:r w:rsidRPr="00CC69D2">
        <w:rPr>
          <w:rFonts w:ascii="Cambria" w:hAnsi="Cambria"/>
          <w:sz w:val="16"/>
          <w:szCs w:val="16"/>
        </w:rPr>
        <w:separator/>
      </w:r>
    </w:p>
    <w:p w:rsidR="0049205A" w:rsidRPr="00CC69D2" w:rsidRDefault="0049205A" w:rsidP="00036A8A">
      <w:pPr>
        <w:pStyle w:val="Footer"/>
        <w:rPr>
          <w:sz w:val="16"/>
          <w:szCs w:val="16"/>
        </w:rPr>
      </w:pPr>
      <w:r w:rsidRPr="00CC69D2">
        <w:rPr>
          <w:sz w:val="16"/>
          <w:szCs w:val="16"/>
        </w:rPr>
        <w:t>[… continuation]</w:t>
      </w:r>
    </w:p>
  </w:footnote>
  <w:footnote w:type="continuationNotice" w:id="1">
    <w:p w:rsidR="0049205A" w:rsidRPr="00CC69D2" w:rsidRDefault="0049205A" w:rsidP="005B222D">
      <w:pPr>
        <w:jc w:val="right"/>
        <w:rPr>
          <w:rFonts w:ascii="Cambria" w:hAnsi="Cambria"/>
          <w:sz w:val="16"/>
          <w:szCs w:val="16"/>
          <w:lang w:val="es-ES_tradnl"/>
        </w:rPr>
      </w:pPr>
      <w:r w:rsidRPr="00CC69D2">
        <w:rPr>
          <w:rFonts w:ascii="Cambria" w:hAnsi="Cambria"/>
          <w:sz w:val="16"/>
          <w:szCs w:val="16"/>
        </w:rPr>
        <w:t>[continues …]</w:t>
      </w:r>
    </w:p>
  </w:footnote>
  <w:footnote w:id="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w:t>
      </w:r>
      <w:hyperlink r:id="rId1" w:history="1">
        <w:r w:rsidRPr="00CA01AD">
          <w:rPr>
            <w:rStyle w:val="Hyperlink"/>
            <w:rFonts w:ascii="Cambria" w:hAnsi="Cambria"/>
            <w:sz w:val="16"/>
            <w:szCs w:val="16"/>
            <w:u w:val="none"/>
          </w:rPr>
          <w:t>Report No. 84/12</w:t>
        </w:r>
      </w:hyperlink>
      <w:r w:rsidRPr="00CA01AD">
        <w:rPr>
          <w:rFonts w:ascii="Cambria" w:hAnsi="Cambria"/>
          <w:sz w:val="16"/>
          <w:szCs w:val="16"/>
        </w:rPr>
        <w:t>, Petition 677-04, Admissibility, Luis Fernando García García et. al., Ecuador, November 8, 2012, paragraph 39.</w:t>
      </w:r>
    </w:p>
  </w:footnote>
  <w:footnote w:id="3">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Report No. 20/17, Petition 1500-08, Admissibility, Rodolfo Piñeyro, Argentina, March 12, 2017, paragraph 5.</w:t>
      </w:r>
    </w:p>
  </w:footnote>
  <w:footnote w:id="4">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Fonts w:ascii="Cambria" w:hAnsi="Cambria"/>
          <w:sz w:val="16"/>
          <w:szCs w:val="16"/>
          <w:vertAlign w:val="superscript"/>
        </w:rPr>
        <w:footnoteRef/>
      </w:r>
      <w:r w:rsidRPr="00CA01AD">
        <w:rPr>
          <w:rFonts w:ascii="Cambria" w:hAnsi="Cambria"/>
          <w:sz w:val="16"/>
          <w:szCs w:val="16"/>
          <w:vertAlign w:val="superscript"/>
        </w:rPr>
        <w:t xml:space="preserve"> </w:t>
      </w:r>
      <w:r w:rsidRPr="00CA01AD">
        <w:rPr>
          <w:rFonts w:ascii="Cambria" w:hAnsi="Cambria"/>
          <w:sz w:val="16"/>
          <w:szCs w:val="16"/>
        </w:rPr>
        <w:t xml:space="preserve">IACHR, Report No. 139/10, P-139-10, Admissibility, Luis Giraldo Ordóñez Peralta, Ecuador, November 1, 2010, paragraph 29; IACHR, Report No. 66/01, Case 11.992, Merits, Dayra María Levoyer Jiménez, Ecuador, June 14, 2001, paragraphs 78-81; IACHR, Report No. 91/13, P-910-07, Admissibility, Daria Olinda Puertocarrero Hurtado, Ecuador, November 4, 2013. </w:t>
      </w:r>
    </w:p>
  </w:footnote>
  <w:footnote w:id="5">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sz w:val="16"/>
          <w:szCs w:val="16"/>
        </w:rPr>
        <w:t>Case of Chaparro Álvarez and Lapo Íñiguez. v. Ecuador</w:t>
      </w:r>
      <w:r w:rsidRPr="00CA01AD">
        <w:rPr>
          <w:rFonts w:ascii="Cambria" w:hAnsi="Cambria"/>
          <w:sz w:val="16"/>
          <w:szCs w:val="16"/>
        </w:rPr>
        <w:t>. Preliminary Objections, Merits, Reparations, and Costs. Judgment of November 21, 2007. Series C No. 170, paragraph 128.</w:t>
      </w:r>
    </w:p>
  </w:footnote>
  <w:footnote w:id="6">
    <w:p w:rsidR="00B04C46" w:rsidRPr="00B92469"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lang w:val="es-UY"/>
        </w:rPr>
      </w:pPr>
      <w:r w:rsidRPr="00CA01AD">
        <w:rPr>
          <w:rFonts w:ascii="Cambria" w:hAnsi="Cambria"/>
          <w:sz w:val="16"/>
          <w:szCs w:val="16"/>
          <w:vertAlign w:val="superscript"/>
        </w:rPr>
        <w:footnoteRef/>
      </w:r>
      <w:r w:rsidRPr="00B92469">
        <w:rPr>
          <w:rFonts w:ascii="Cambria" w:hAnsi="Cambria"/>
          <w:sz w:val="16"/>
          <w:szCs w:val="16"/>
          <w:vertAlign w:val="superscript"/>
          <w:lang w:val="es-UY"/>
        </w:rPr>
        <w:t xml:space="preserve"> </w:t>
      </w:r>
      <w:r w:rsidRPr="00B92469">
        <w:rPr>
          <w:rFonts w:ascii="Cambria" w:hAnsi="Cambria"/>
          <w:sz w:val="16"/>
          <w:szCs w:val="16"/>
          <w:lang w:val="es-UY"/>
        </w:rPr>
        <w:t>IACHR, Report No. 91/13, P-910-07, Admissibility, Daria Olinda Puertocarrero Hurtado, Ecuador, November 4, 2013, paragraph 30.</w:t>
      </w:r>
    </w:p>
  </w:footnote>
  <w:footnote w:id="7">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sz w:val="16"/>
          <w:szCs w:val="16"/>
        </w:rPr>
        <w:t>Case of Chaparro Álvarez and Lapo Íñiguez. v. Ecuador</w:t>
      </w:r>
      <w:r w:rsidRPr="00CA01AD">
        <w:rPr>
          <w:rFonts w:ascii="Cambria" w:hAnsi="Cambria"/>
          <w:sz w:val="16"/>
          <w:szCs w:val="16"/>
        </w:rPr>
        <w:t>. Preliminary Objections, Merits, Reparations, and Costs. Judgment of November 21, 2007. Series C No. 170, paragraph 129.</w:t>
      </w:r>
    </w:p>
  </w:footnote>
  <w:footnote w:id="8">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Investigative Report No. 080-JPEIP-CP1-92 of July 17, 1992 in connection with Case No. P1-142-JPEIP-CP1-92 for the Provincial Head of Narcotics and Interpol of Pichincha regarding the so-called </w:t>
      </w:r>
      <w:r w:rsidRPr="00CA01AD">
        <w:rPr>
          <w:rFonts w:ascii="Cambria" w:hAnsi="Cambria"/>
          <w:i/>
          <w:sz w:val="16"/>
          <w:szCs w:val="16"/>
        </w:rPr>
        <w:t>Operación Ciclón</w:t>
      </w:r>
      <w:r w:rsidRPr="00CA01AD">
        <w:rPr>
          <w:rFonts w:ascii="Cambria" w:hAnsi="Cambria"/>
          <w:sz w:val="16"/>
          <w:szCs w:val="16"/>
        </w:rPr>
        <w:t xml:space="preserve">. </w:t>
      </w:r>
    </w:p>
  </w:footnote>
  <w:footnote w:id="9">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Investigative Report No. 080-JPEIP-CP1-92 of July 17, 1992 in connection with Case No. P1-142-JPEIP-CP1-92 for the Provincial Head of Narcotics and Interpol of Pichincha regarding the so-called </w:t>
      </w:r>
      <w:r w:rsidRPr="00CA01AD">
        <w:rPr>
          <w:rFonts w:ascii="Cambria" w:hAnsi="Cambria"/>
          <w:i/>
          <w:sz w:val="16"/>
          <w:szCs w:val="16"/>
        </w:rPr>
        <w:t>Operación Ciclón</w:t>
      </w:r>
      <w:r w:rsidRPr="00CA01AD">
        <w:rPr>
          <w:rFonts w:ascii="Cambria" w:hAnsi="Cambria"/>
          <w:sz w:val="16"/>
          <w:szCs w:val="16"/>
        </w:rPr>
        <w:t xml:space="preserve">. </w:t>
      </w:r>
    </w:p>
  </w:footnote>
  <w:footnote w:id="10">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Investigative Report No. 080-JPEIP-CP1-92 of July 17, 1992 in connection with Case No. P1-142-JPEIP-CP1-92 for the Provincial Head of Narcotics and Interpol of Pichincha regarding the so-called </w:t>
      </w:r>
      <w:r w:rsidRPr="00CA01AD">
        <w:rPr>
          <w:rFonts w:ascii="Cambria" w:hAnsi="Cambria"/>
          <w:i/>
          <w:sz w:val="16"/>
          <w:szCs w:val="16"/>
        </w:rPr>
        <w:t>Operación Ciclón</w:t>
      </w:r>
      <w:r w:rsidRPr="00CA01AD">
        <w:rPr>
          <w:rFonts w:ascii="Cambria" w:hAnsi="Cambria"/>
          <w:sz w:val="16"/>
          <w:szCs w:val="16"/>
        </w:rPr>
        <w:t xml:space="preserve">. </w:t>
      </w:r>
    </w:p>
  </w:footnote>
  <w:footnote w:id="11">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Investigative Report No. 080-JPEIP-CP1-92 of July 17, 1992 in connection with Case No. P1-142-JPEIP-CP1-92 for the Provincial Head of Narcotics and Interpol of Pichincha regarding the so-called </w:t>
      </w:r>
      <w:r w:rsidRPr="00CA01AD">
        <w:rPr>
          <w:rFonts w:ascii="Cambria" w:hAnsi="Cambria"/>
          <w:i/>
          <w:sz w:val="16"/>
          <w:szCs w:val="16"/>
        </w:rPr>
        <w:t>Operación Ciclón</w:t>
      </w:r>
      <w:r w:rsidRPr="00CA01AD">
        <w:rPr>
          <w:rFonts w:ascii="Cambria" w:hAnsi="Cambria"/>
          <w:sz w:val="16"/>
          <w:szCs w:val="16"/>
        </w:rPr>
        <w:t xml:space="preserve">.  </w:t>
      </w:r>
    </w:p>
  </w:footnote>
  <w:footnote w:id="1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See: </w:t>
      </w:r>
      <w:r w:rsidRPr="00CA01AD">
        <w:rPr>
          <w:rStyle w:val="Strong"/>
          <w:rFonts w:ascii="Cambria" w:hAnsi="Cambria"/>
          <w:sz w:val="16"/>
          <w:szCs w:val="16"/>
          <w:shd w:val="clear" w:color="auto" w:fill="FFFFFF"/>
        </w:rPr>
        <w:t xml:space="preserve">I/A Court H.R. </w:t>
      </w:r>
      <w:r w:rsidRPr="00CA01AD">
        <w:rPr>
          <w:rStyle w:val="Strong"/>
          <w:rFonts w:ascii="Cambria" w:hAnsi="Cambria"/>
          <w:i/>
          <w:sz w:val="16"/>
          <w:szCs w:val="16"/>
          <w:shd w:val="clear" w:color="auto" w:fill="FFFFFF"/>
        </w:rPr>
        <w:t>Case of Suárez Rosero v. Ecuador.</w:t>
      </w:r>
      <w:r w:rsidRPr="00CA01AD">
        <w:rPr>
          <w:rStyle w:val="Strong"/>
          <w:rFonts w:ascii="Cambria" w:hAnsi="Cambria"/>
          <w:sz w:val="16"/>
          <w:szCs w:val="16"/>
          <w:shd w:val="clear" w:color="auto" w:fill="FFFFFF"/>
        </w:rPr>
        <w:t xml:space="preserve"> Merits. Judgment of November 12, 1997. Series C No. 35.</w:t>
      </w:r>
    </w:p>
  </w:footnote>
  <w:footnote w:id="13">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Report submitted to the Chief of the Office of Criminal Investigation, issued by Police Lieutenant Hugo Durán Castro at 8:00 p.m. on June 21, 1992.</w:t>
      </w:r>
    </w:p>
  </w:footnote>
  <w:footnote w:id="14">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Report submitted to the Chief of the Office of Criminal Investigation, issued by Police Lieutenant Hugo Durán Castro at 8:00 p.m. on June 21, 1992.</w:t>
      </w:r>
    </w:p>
  </w:footnote>
  <w:footnote w:id="15">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Investigative Report No. 080-JPEIP-CP1-92 of July 17, 1992 in connection with Case No. P1-142-JPEIP-CP1-92 for the Provincial Head of Narcotics and Interpol of Pichincha regarding the so-called </w:t>
      </w:r>
      <w:r w:rsidRPr="00CA01AD">
        <w:rPr>
          <w:rFonts w:ascii="Cambria" w:hAnsi="Cambria"/>
          <w:i/>
          <w:sz w:val="16"/>
          <w:szCs w:val="16"/>
        </w:rPr>
        <w:t>Operación Ciclón</w:t>
      </w:r>
      <w:r w:rsidRPr="00CA01AD">
        <w:rPr>
          <w:rFonts w:ascii="Cambria" w:hAnsi="Cambria"/>
          <w:sz w:val="16"/>
          <w:szCs w:val="16"/>
        </w:rPr>
        <w:t xml:space="preserve">. </w:t>
      </w:r>
    </w:p>
  </w:footnote>
  <w:footnote w:id="16">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Communication from the petitioner from August 30, 1996.</w:t>
      </w:r>
    </w:p>
  </w:footnote>
  <w:footnote w:id="17">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Communication from the petitioner from August 30, 1996.</w:t>
      </w:r>
    </w:p>
  </w:footnote>
  <w:footnote w:id="18">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Police health evaluation of Mario Alfonso Montesinos Mejía; document issued on July 27, 1992.</w:t>
      </w:r>
    </w:p>
  </w:footnote>
  <w:footnote w:id="19">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182-96-CP, issued by the Constitutional Rights Court in the framework of Case No. 45/96-TC.</w:t>
      </w:r>
    </w:p>
  </w:footnote>
  <w:footnote w:id="20">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Communication from the petitioner from August 30, 1996.</w:t>
      </w:r>
    </w:p>
  </w:footnote>
  <w:footnote w:id="21">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Statement by Mr. Mario Alfonso Montesinos Mejía, taken by the National Investigations Bureau, Command/Sub-Command of Interpol-Pichincha. Part of Case P1-142-JPEIP-CP-1-92 and Report No. 080-JPEIP-CP-1-92. Given on June 25, 1992.</w:t>
      </w:r>
    </w:p>
  </w:footnote>
  <w:footnote w:id="2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Statement by Mr. Mario Alfonso Montesinos Mejía, taken by the National Investigations Bureau, Command/Sub-Command of Interpol-Pichincha. Part of Case P1-142-JPEIP-CP-1-92 and Report No. 080-JPEIP-CP-1-92. Given on June 25, 1992.</w:t>
      </w:r>
    </w:p>
  </w:footnote>
  <w:footnote w:id="23">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Communication from the petitioner from August 30, 1996.</w:t>
      </w:r>
    </w:p>
  </w:footnote>
  <w:footnote w:id="24">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Although the initial part of the statement makes clear that it was given on July 12, 1992, the transcript of the victim’s declaration stipulates that the statement was made on June 12, 1992. However, based on what the petitioner indicated in the petition and on the report submitted to the Chief of the Office of Criminal Investigation, the Commission concluded that document was signed on July 12, 1992 because the alleged victim was not in custody on June 12, 1992.</w:t>
      </w:r>
    </w:p>
  </w:footnote>
  <w:footnote w:id="25">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Communication from the petitioner from August 30, 1996.</w:t>
      </w:r>
    </w:p>
  </w:footnote>
  <w:footnote w:id="26">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Communication from the petitioner from August 30, 1996.</w:t>
      </w:r>
    </w:p>
  </w:footnote>
  <w:footnote w:id="27">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Constitutional Order to Remand into Custody No. 172- IGPP-04 issued in Quito on July 11, 1992 by Fernando Almeida Gallardo, Police Commissioner of Pichincha.</w:t>
      </w:r>
    </w:p>
  </w:footnote>
  <w:footnote w:id="28">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Constitutional Order to Remand into Custody No. 172- IGPP-04 issued in Quito on July 11, 1992 by Fernando Almeida Gallardo, Police Commissioner of Pichincha.</w:t>
      </w:r>
    </w:p>
  </w:footnote>
  <w:footnote w:id="29">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Constitutional Order to Remand into Custody No. 089-I92-EC issued in Quito on August 13, 1992 by Isabel Villavicencio, First Judge of the Criminal Court of Pichincha.</w:t>
      </w:r>
    </w:p>
  </w:footnote>
  <w:footnote w:id="30">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Petition in the framework of Proceeding 91-92 by defense attorney Dr. Rodrigo Bucheli Mera, addressed to the Chief Judge of the Superior Court of Justice of Quito, received on November 17, 1994. August 30, 1996 petition against the Government of the Republic of Ecuador for violations of the American Convention on Human Rights, filed by the petitioner, Dr. Alejandro Ponce-Villacis, in representation of the alleged victim, Mr. Mario Alfonso Montesinos Mejía; observations from the State from July 28, 2016.</w:t>
      </w:r>
    </w:p>
  </w:footnote>
  <w:footnote w:id="31">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August 30, 1996 petition against the Government of the Republic of Ecuador for violations of the American Convention on Human Rights, filed by the petitioner, Dr. Alejandro Ponce-Villacis, in representation of the alleged victim, Mr. Mario Alfonso Montesinos Mejía; observations from the State from July 28, 2016.</w:t>
      </w:r>
    </w:p>
  </w:footnote>
  <w:footnote w:id="3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Letter dated October 13, 1995, from Colonel Mario Montesinos to Carlos Solorzano Constantine, Chief Justice of the Supreme Court.</w:t>
      </w:r>
    </w:p>
  </w:footnote>
  <w:footnote w:id="33">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182-96-CP, issued by the Constitutional Rights Court in the framework of Case No. 45/96-TC.</w:t>
      </w:r>
    </w:p>
  </w:footnote>
  <w:footnote w:id="34">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182-96-CP, issued by the Constitutional Rights Court in the framework of Case No. 45/96-TC.</w:t>
      </w:r>
    </w:p>
  </w:footnote>
  <w:footnote w:id="35">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This was declared unconstitutional on the merits via Resolution No. 119-1-97 of the Constitutional Court (Official Record No. 222 of December 24, 1997).</w:t>
      </w:r>
    </w:p>
  </w:footnote>
  <w:footnote w:id="36">
    <w:p w:rsidR="00B04C46" w:rsidRPr="00CA01AD" w:rsidRDefault="00B04C46" w:rsidP="005074AD">
      <w:pP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77. Conversion or transfer of assets. Anyone who intentionally conceals the origin, contributes to the purchase or sale of assets, or converts or transfers them with the knowledge that these assets were obtained through the commission of offenses classified in this Law, shall be punished by imprisonment for up to four to eight years and fined 20 to 4,000 times the prevailing minimum wage.</w:t>
      </w:r>
    </w:p>
    <w:p w:rsidR="00B04C46" w:rsidRPr="00CA01AD" w:rsidRDefault="00B04C46" w:rsidP="005074AD">
      <w:pPr>
        <w:ind w:firstLine="720"/>
        <w:jc w:val="both"/>
        <w:rPr>
          <w:rFonts w:ascii="Cambria" w:hAnsi="Cambria"/>
          <w:sz w:val="16"/>
          <w:szCs w:val="16"/>
        </w:rPr>
      </w:pPr>
      <w:r w:rsidRPr="00CA01AD">
        <w:rPr>
          <w:rFonts w:ascii="Cambria" w:hAnsi="Cambria"/>
          <w:sz w:val="16"/>
          <w:szCs w:val="16"/>
        </w:rPr>
        <w:t xml:space="preserve">If this offense is committed via the creation of a group conspiring to prepare, facilitate, or ensure outcomes or impunity, the punishment shall be 8 to 12 years in prison and a fine of 40 to 6,000 times the prevailing minimum wage. </w:t>
      </w:r>
    </w:p>
  </w:footnote>
  <w:footnote w:id="37">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Opening of the trial. Criminal Trial for Conversion and Transfer of Assets No. 94-92. Order dated September 30, 1996; issued by the Chief Judge of the Superior Court of Justice, Dr. Fausto Argudo.</w:t>
      </w:r>
    </w:p>
  </w:footnote>
  <w:footnote w:id="38">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April 29, 1998 ruling by the Superior Court of Justice of Quito – Fourth Chamber of Associate Judges in the trial of Mario Montesinos for conversion or transfer of assets.</w:t>
      </w:r>
    </w:p>
  </w:footnote>
  <w:footnote w:id="39">
    <w:p w:rsidR="00B04C46" w:rsidRPr="00CA01AD" w:rsidRDefault="00B04C46" w:rsidP="005074AD">
      <w:pP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76. Illicit enrichment. Anyone who is presumed to be the producer or an illegal trafficker of narcotic drugs, psychotropic substances, or specific chemical precursors, or who is involved in other crimes covered by this law, and who directly, or through an intermediary, engages in spending or increases his net worth or that of a third party by an amount not in proportion to his income without substantiating that the increase occurred by legal means faces a prison term of 12 to 16 years.</w:t>
      </w:r>
    </w:p>
  </w:footnote>
  <w:footnote w:id="40">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Opening of the trial. Criminal Trial for Illicit Enrichment No. 94-92. Order dated November 22, 1996 at the beginning, and November 25, 1996 at the end; issued by the Chief Judge of the Superior Court of Justice, Dr. Nelson Almeida García.</w:t>
      </w:r>
    </w:p>
  </w:footnote>
  <w:footnote w:id="41">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Opening of the trial. Criminal Trial for Illicit Enrichment No. 94-92. Order dated November 22, 1996 at the beginning, and November 25, 1996 at the end; issued by the Chief Judge of the Superior Court of Justice, Dr. Nelson Almeida García.</w:t>
      </w:r>
    </w:p>
  </w:footnote>
  <w:footnote w:id="4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April 29, 1998 ruling by the Superior Court of Justice of Quito – Fourth Chamber of Associate Judges in the trial of Mario Montesinos for conversion or transfer of assets.</w:t>
      </w:r>
    </w:p>
  </w:footnote>
  <w:footnote w:id="43">
    <w:p w:rsidR="00B04C46" w:rsidRPr="00CA01AD" w:rsidRDefault="00B04C46" w:rsidP="005074AD">
      <w:pP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78. Punishment of front operations and straw men. Anyone who lends his name or the name of the company of which he is a part for the purpose of acquiring goods by using resources that are derived from offenses punishable under this law shall be punished by an ordinary maximum prison term of 8 to 12 years and a fine of 40 to 6,000 times the prevailing minimum wage.</w:t>
      </w:r>
    </w:p>
    <w:p w:rsidR="00B04C46" w:rsidRPr="00CA01AD" w:rsidRDefault="00B04C46" w:rsidP="005074AD">
      <w:pPr>
        <w:ind w:firstLine="720"/>
        <w:jc w:val="both"/>
        <w:rPr>
          <w:rFonts w:ascii="Cambria" w:hAnsi="Cambria"/>
          <w:sz w:val="16"/>
          <w:szCs w:val="16"/>
        </w:rPr>
      </w:pPr>
      <w:r w:rsidRPr="00CA01AD">
        <w:rPr>
          <w:rFonts w:ascii="Cambria" w:hAnsi="Cambria"/>
          <w:sz w:val="16"/>
          <w:szCs w:val="16"/>
        </w:rPr>
        <w:t xml:space="preserve">If such offense is committed via the organization of a group conspiring to prepare, facilitate, or ensure outcomes or impunity, the punishment shall be 8 to 12 years in prison and a fine of 40 to 6,000 times the prevailing minimum wage. </w:t>
      </w:r>
    </w:p>
  </w:footnote>
  <w:footnote w:id="44">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Official Letter No. 2078-CSJQ – 96 issued in Quito on November 25, 1996 by the Chief Judge of the Superior Court of Justice of Quito, Dr. Nelson Alemida García, in response to the IACHR request for more information on the case.</w:t>
      </w:r>
    </w:p>
  </w:footnote>
  <w:footnote w:id="45">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182-96-CP, issued by the Constitutional Rights Court in the framework of Case No. 45/96-TC.</w:t>
      </w:r>
    </w:p>
  </w:footnote>
  <w:footnote w:id="46">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182-96-CP, issued by the Constitutional Rights Court in the framework of Case No. 45/96-TC.</w:t>
      </w:r>
    </w:p>
  </w:footnote>
  <w:footnote w:id="47">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182-96-CP, issued by the Constitutional Rights Court in the framework of Case No. 45/96-TC.</w:t>
      </w:r>
    </w:p>
  </w:footnote>
  <w:footnote w:id="48">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182-96-CP, issued by the Constitutional Rights Court in the framework of Case No. 45/96-TC.</w:t>
      </w:r>
    </w:p>
  </w:footnote>
  <w:footnote w:id="49">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lang w:val="es-ES"/>
        </w:rPr>
        <w:t xml:space="preserve"> “</w:t>
      </w:r>
      <w:r w:rsidRPr="00CA01AD">
        <w:rPr>
          <w:rFonts w:ascii="Cambria" w:hAnsi="Cambria"/>
          <w:i/>
          <w:sz w:val="16"/>
          <w:szCs w:val="16"/>
          <w:lang w:val="es-ES"/>
        </w:rPr>
        <w:t>DDHH El TC pide la excarcelación. Montesinos: su libertad en debate.</w:t>
      </w:r>
      <w:r w:rsidRPr="00CA01AD">
        <w:rPr>
          <w:rFonts w:ascii="Cambria" w:hAnsi="Cambria"/>
          <w:sz w:val="16"/>
          <w:szCs w:val="16"/>
          <w:lang w:val="es-ES"/>
        </w:rPr>
        <w:t xml:space="preserve">” </w:t>
      </w:r>
      <w:r w:rsidRPr="00CA01AD">
        <w:rPr>
          <w:rFonts w:ascii="Cambria" w:hAnsi="Cambria"/>
          <w:sz w:val="16"/>
          <w:szCs w:val="16"/>
        </w:rPr>
        <w:t xml:space="preserve">Article published on November 23, 1996 in the newspaper </w:t>
      </w:r>
      <w:r w:rsidRPr="00CA01AD">
        <w:rPr>
          <w:rFonts w:ascii="Cambria" w:hAnsi="Cambria"/>
          <w:i/>
          <w:sz w:val="16"/>
          <w:szCs w:val="16"/>
        </w:rPr>
        <w:t>El Comercio</w:t>
      </w:r>
      <w:r w:rsidRPr="00CA01AD">
        <w:rPr>
          <w:rFonts w:ascii="Cambria" w:hAnsi="Cambria"/>
          <w:sz w:val="16"/>
          <w:szCs w:val="16"/>
        </w:rPr>
        <w:t>. Unnamed author.</w:t>
      </w:r>
    </w:p>
  </w:footnote>
  <w:footnote w:id="50">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i/>
          <w:sz w:val="16"/>
          <w:szCs w:val="16"/>
        </w:rPr>
        <w:t>Habeas corpus</w:t>
      </w:r>
      <w:r w:rsidRPr="00CA01AD">
        <w:rPr>
          <w:rFonts w:ascii="Cambria" w:hAnsi="Cambria"/>
          <w:sz w:val="16"/>
          <w:szCs w:val="16"/>
        </w:rPr>
        <w:t xml:space="preserve"> appeal filed by Mr. Alejandro Ponce Villacís on behalf of Mario Montesinos Mejía on April 14, 1998.</w:t>
      </w:r>
    </w:p>
  </w:footnote>
  <w:footnote w:id="51">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Constitutional Court ruling on the </w:t>
      </w:r>
      <w:r w:rsidRPr="00CA01AD">
        <w:rPr>
          <w:rFonts w:ascii="Cambria" w:hAnsi="Cambria"/>
          <w:i/>
          <w:sz w:val="16"/>
          <w:szCs w:val="16"/>
        </w:rPr>
        <w:t>habeas corpus</w:t>
      </w:r>
      <w:r w:rsidRPr="00CA01AD">
        <w:rPr>
          <w:rFonts w:ascii="Cambria" w:hAnsi="Cambria"/>
          <w:sz w:val="16"/>
          <w:szCs w:val="16"/>
        </w:rPr>
        <w:t xml:space="preserve"> appeal filed by Mr. Alejandro Ponce Villacís on behalf of Mario Montesinos Mejía on April 14, 1998 with the Mayor of the Metropolitan District of Quito.</w:t>
      </w:r>
    </w:p>
  </w:footnote>
  <w:footnote w:id="5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Constitutional Court ruling on the </w:t>
      </w:r>
      <w:r w:rsidRPr="00CA01AD">
        <w:rPr>
          <w:rFonts w:ascii="Cambria" w:hAnsi="Cambria"/>
          <w:i/>
          <w:sz w:val="16"/>
          <w:szCs w:val="16"/>
        </w:rPr>
        <w:t>habeas corpus</w:t>
      </w:r>
      <w:r w:rsidRPr="00CA01AD">
        <w:rPr>
          <w:rFonts w:ascii="Cambria" w:hAnsi="Cambria"/>
          <w:sz w:val="16"/>
          <w:szCs w:val="16"/>
        </w:rPr>
        <w:t xml:space="preserve"> appeal filed by Mr. Alejandro Ponce Villacís on behalf of Mario Montesinos Mejía on April 14, 1998 with the Mayor of the Metropolitan District of Quito.</w:t>
      </w:r>
    </w:p>
  </w:footnote>
  <w:footnote w:id="53">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Constitutional Court ruling on the </w:t>
      </w:r>
      <w:r w:rsidRPr="00CA01AD">
        <w:rPr>
          <w:rFonts w:ascii="Cambria" w:hAnsi="Cambria"/>
          <w:i/>
          <w:sz w:val="16"/>
          <w:szCs w:val="16"/>
        </w:rPr>
        <w:t>habeas corpus</w:t>
      </w:r>
      <w:r w:rsidRPr="00CA01AD">
        <w:rPr>
          <w:rFonts w:ascii="Cambria" w:hAnsi="Cambria"/>
          <w:sz w:val="16"/>
          <w:szCs w:val="16"/>
        </w:rPr>
        <w:t xml:space="preserve"> appeal filed by Mr. Alejandro Ponce Villacís on behalf of Mario Montesinos Mejía on April 14, 1998 with the Mayor of the Metropolitan District of Quito.</w:t>
      </w:r>
    </w:p>
  </w:footnote>
  <w:footnote w:id="54">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Challenge to constitutionality of February 1996, filed by Colonel Mario Montesinos Mejía with Dr. Ernesto López, Chief Judge of the Constitutional Rights Court.</w:t>
      </w:r>
    </w:p>
  </w:footnote>
  <w:footnote w:id="55">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Challenge to constitutionality of February 1996, filed by Colonel Mario Montesinos Mejía with Dr. Ernesto López, Chief Judge of the Constitutional Rights Court.</w:t>
      </w:r>
    </w:p>
  </w:footnote>
  <w:footnote w:id="56">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Challenge to constitutionality of February 1996, filed by Colonel Mario Montesinos Mejía with Dr. Ernesto López, Chief Judge of the Constitutional Rights Court.</w:t>
      </w:r>
    </w:p>
  </w:footnote>
  <w:footnote w:id="57">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No. 088-96-CA, adopted on March 26, 1996 by the Constitutional Rights Court, regarding the complaint filed by Mr. Mario Montesinos Mejía with the Chief Judge of the Superior Court of Justice of Quito.</w:t>
      </w:r>
    </w:p>
  </w:footnote>
  <w:footnote w:id="58">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Resolution No. 088-96-CA, adopted on March 26, 1996 by the Constitutional Rights Court, regarding the complaint filed by Mr. Mario Montesinos Mejía with the Chief Judge of the Superior Court of Justice of Quito.</w:t>
      </w:r>
    </w:p>
  </w:footnote>
  <w:footnote w:id="59">
    <w:p w:rsidR="00B04C46" w:rsidRPr="00CA01AD" w:rsidRDefault="00B04C46" w:rsidP="005074AD">
      <w:pPr>
        <w:pStyle w:val="NormalWeb"/>
        <w:spacing w:before="0" w:beforeAutospacing="0" w:after="0" w:afterAutospacing="0"/>
        <w:ind w:right="72" w:firstLine="720"/>
        <w:jc w:val="both"/>
        <w:rPr>
          <w:rFonts w:ascii="Cambria" w:hAnsi="Cambria" w:cs="Tahoma"/>
          <w:color w:val="000000"/>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cs="Tahoma"/>
          <w:color w:val="000000"/>
          <w:sz w:val="16"/>
          <w:szCs w:val="16"/>
        </w:rPr>
        <w:t> Article 7 of the American Convention. Right to Personal Liberty:</w:t>
      </w:r>
    </w:p>
    <w:p w:rsidR="00B04C46" w:rsidRPr="00CA01AD" w:rsidRDefault="00B04C46" w:rsidP="005074AD">
      <w:pPr>
        <w:pStyle w:val="NormalWeb"/>
        <w:spacing w:before="0" w:beforeAutospacing="0" w:after="0" w:afterAutospacing="0"/>
        <w:ind w:right="72" w:firstLine="720"/>
        <w:jc w:val="both"/>
        <w:rPr>
          <w:rFonts w:ascii="Cambria" w:hAnsi="Cambria" w:cs="Tahoma"/>
          <w:color w:val="000000"/>
          <w:sz w:val="16"/>
          <w:szCs w:val="16"/>
        </w:rPr>
      </w:pPr>
      <w:r w:rsidRPr="00CA01AD">
        <w:rPr>
          <w:rFonts w:ascii="Cambria" w:hAnsi="Cambria" w:cs="Tahoma"/>
          <w:color w:val="000000"/>
          <w:sz w:val="16"/>
          <w:szCs w:val="16"/>
        </w:rPr>
        <w:t>1. Every person has the right to personal liberty and security.</w:t>
      </w:r>
    </w:p>
    <w:p w:rsidR="00B04C46" w:rsidRPr="00CA01AD" w:rsidRDefault="00B04C46" w:rsidP="005074AD">
      <w:pPr>
        <w:pStyle w:val="NormalWeb"/>
        <w:spacing w:before="0" w:beforeAutospacing="0" w:after="0" w:afterAutospacing="0"/>
        <w:ind w:right="72" w:firstLine="720"/>
        <w:jc w:val="both"/>
        <w:rPr>
          <w:rFonts w:ascii="Cambria" w:hAnsi="Cambria" w:cs="Tahoma"/>
          <w:color w:val="000000"/>
          <w:sz w:val="16"/>
          <w:szCs w:val="16"/>
        </w:rPr>
      </w:pPr>
      <w:r w:rsidRPr="00CA01AD">
        <w:rPr>
          <w:rFonts w:ascii="Cambria" w:hAnsi="Cambria" w:cs="Tahoma"/>
          <w:color w:val="000000"/>
          <w:sz w:val="16"/>
          <w:szCs w:val="16"/>
        </w:rPr>
        <w:t>2. No one shall be deprived of his physical liberty except for the reasons and under the conditions established beforehand by the constitution of the State Party concerned or by a law established pursuant thereto.</w:t>
      </w:r>
    </w:p>
    <w:p w:rsidR="00B04C46" w:rsidRPr="00CA01AD" w:rsidRDefault="00B04C46" w:rsidP="005074AD">
      <w:pPr>
        <w:pStyle w:val="NormalWeb"/>
        <w:spacing w:before="0" w:beforeAutospacing="0" w:after="0" w:afterAutospacing="0"/>
        <w:ind w:right="72" w:firstLine="720"/>
        <w:jc w:val="both"/>
        <w:rPr>
          <w:rFonts w:ascii="Cambria" w:hAnsi="Cambria" w:cs="Tahoma"/>
          <w:color w:val="000000"/>
          <w:sz w:val="16"/>
          <w:szCs w:val="16"/>
        </w:rPr>
      </w:pPr>
      <w:r w:rsidRPr="00CA01AD">
        <w:rPr>
          <w:rFonts w:ascii="Cambria" w:hAnsi="Cambria" w:cs="Tahoma"/>
          <w:color w:val="000000"/>
          <w:sz w:val="16"/>
          <w:szCs w:val="16"/>
        </w:rPr>
        <w:t>3. No one shall be subject to arbitrary arrest or imprisonment.</w:t>
      </w:r>
    </w:p>
    <w:p w:rsidR="00B04C46" w:rsidRPr="00CA01AD" w:rsidRDefault="00B04C46" w:rsidP="005074AD">
      <w:pPr>
        <w:pStyle w:val="NormalWeb"/>
        <w:spacing w:before="0" w:beforeAutospacing="0" w:after="0" w:afterAutospacing="0"/>
        <w:ind w:right="72" w:firstLine="720"/>
        <w:jc w:val="both"/>
        <w:rPr>
          <w:rFonts w:ascii="Cambria" w:hAnsi="Cambria" w:cs="Tahoma"/>
          <w:color w:val="000000"/>
          <w:sz w:val="16"/>
          <w:szCs w:val="16"/>
        </w:rPr>
      </w:pPr>
      <w:r w:rsidRPr="00CA01AD">
        <w:rPr>
          <w:rFonts w:ascii="Cambria" w:hAnsi="Cambria" w:cs="Tahoma"/>
          <w:color w:val="000000"/>
          <w:sz w:val="16"/>
          <w:szCs w:val="16"/>
        </w:rPr>
        <w:t>4. Anyone who is detained shall be informed of the reasons for his detention and shall be promptly notified of the charge or charges against him.</w:t>
      </w:r>
    </w:p>
    <w:p w:rsidR="00B04C46" w:rsidRPr="00CA01AD" w:rsidRDefault="00B04C46" w:rsidP="005074AD">
      <w:pPr>
        <w:pStyle w:val="NormalWeb"/>
        <w:spacing w:before="0" w:beforeAutospacing="0" w:after="0" w:afterAutospacing="0"/>
        <w:ind w:right="72" w:firstLine="720"/>
        <w:jc w:val="both"/>
        <w:rPr>
          <w:rFonts w:ascii="Cambria" w:hAnsi="Cambria" w:cs="Tahoma"/>
          <w:color w:val="000000"/>
          <w:sz w:val="16"/>
          <w:szCs w:val="16"/>
        </w:rPr>
      </w:pPr>
      <w:r w:rsidRPr="00CA01AD">
        <w:rPr>
          <w:rFonts w:ascii="Cambria" w:hAnsi="Cambria" w:cs="Tahoma"/>
          <w:color w:val="000000"/>
          <w:sz w:val="16"/>
          <w:szCs w:val="16"/>
        </w:rPr>
        <w:t>5. 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p>
    <w:p w:rsidR="00B04C46" w:rsidRPr="00CA01AD" w:rsidRDefault="00B04C46" w:rsidP="005074AD">
      <w:pPr>
        <w:pStyle w:val="NormalWeb"/>
        <w:spacing w:before="0" w:beforeAutospacing="0" w:after="0" w:afterAutospacing="0"/>
        <w:ind w:right="72" w:firstLine="720"/>
        <w:jc w:val="both"/>
        <w:rPr>
          <w:rFonts w:ascii="Cambria" w:hAnsi="Cambria" w:cs="Tahoma"/>
          <w:color w:val="000000"/>
          <w:sz w:val="16"/>
          <w:szCs w:val="16"/>
        </w:rPr>
      </w:pPr>
      <w:r w:rsidRPr="00CA01AD">
        <w:rPr>
          <w:rFonts w:ascii="Cambria" w:hAnsi="Cambria" w:cs="Tahoma"/>
          <w:color w:val="000000"/>
          <w:sz w:val="16"/>
          <w:szCs w:val="16"/>
        </w:rPr>
        <w:t>6. Anyone who is deprived of his liberty shall be entitled to recourse to a competent court, in order that the court may decide without delay on the lawfulness of his arrest or detention and order his release if the arrest or detention is unlawful. 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w:t>
      </w:r>
    </w:p>
  </w:footnote>
  <w:footnote w:id="60">
    <w:p w:rsidR="00B04C46" w:rsidRPr="00CA01AD" w:rsidRDefault="00B04C46" w:rsidP="005074AD">
      <w:pP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spacing w:val="-3"/>
          <w:sz w:val="16"/>
          <w:szCs w:val="16"/>
        </w:rPr>
        <w:t>All persons are equal before the law. Consequently, they are entitled, without discrimination, to equal protection of the law.</w:t>
      </w:r>
    </w:p>
  </w:footnote>
  <w:footnote w:id="61">
    <w:p w:rsidR="00B04C46" w:rsidRPr="00CA01AD" w:rsidRDefault="00B04C46" w:rsidP="005074AD">
      <w:pPr>
        <w:pStyle w:val="FootnoteText"/>
        <w:tabs>
          <w:tab w:val="left" w:pos="720"/>
          <w:tab w:val="left" w:pos="1080"/>
        </w:tabs>
        <w:ind w:firstLine="720"/>
        <w:jc w:val="both"/>
        <w:rPr>
          <w:rFonts w:ascii="Cambria" w:hAnsi="Cambria"/>
          <w:color w:val="auto"/>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bCs/>
          <w:i/>
          <w:color w:val="auto"/>
          <w:sz w:val="16"/>
          <w:szCs w:val="16"/>
        </w:rPr>
        <w:t>Case of Chaparro Álvarez and Lapo Íñiguez. v. Ecuador</w:t>
      </w:r>
      <w:r w:rsidRPr="00CA01AD">
        <w:rPr>
          <w:rFonts w:ascii="Cambria" w:hAnsi="Cambria"/>
          <w:bCs/>
          <w:color w:val="auto"/>
          <w:sz w:val="16"/>
          <w:szCs w:val="16"/>
        </w:rPr>
        <w:t>.</w:t>
      </w:r>
      <w:r w:rsidRPr="00CA01AD">
        <w:rPr>
          <w:rFonts w:ascii="Cambria" w:hAnsi="Cambria"/>
          <w:b/>
          <w:bCs/>
          <w:color w:val="auto"/>
          <w:sz w:val="16"/>
          <w:szCs w:val="16"/>
        </w:rPr>
        <w:t xml:space="preserve"> </w:t>
      </w:r>
      <w:r w:rsidRPr="00CA01AD">
        <w:rPr>
          <w:rFonts w:ascii="Cambria" w:hAnsi="Cambria"/>
          <w:color w:val="auto"/>
          <w:sz w:val="16"/>
          <w:szCs w:val="16"/>
        </w:rPr>
        <w:t xml:space="preserve">Preliminary Objections, Merits, Reparations, and Costs. Judgment of November 21, 2007. Series C No. 170, paragraph 56. </w:t>
      </w:r>
      <w:r w:rsidRPr="00CA01AD">
        <w:rPr>
          <w:rFonts w:ascii="Cambria" w:hAnsi="Cambria"/>
          <w:sz w:val="16"/>
          <w:szCs w:val="16"/>
        </w:rPr>
        <w:t xml:space="preserve">See also: IACHR. </w:t>
      </w:r>
      <w:r w:rsidRPr="00CA01AD">
        <w:rPr>
          <w:rFonts w:ascii="Cambria" w:hAnsi="Cambria"/>
          <w:i/>
          <w:sz w:val="16"/>
          <w:szCs w:val="16"/>
        </w:rPr>
        <w:t>Report on Citizen Security and Human Rights</w:t>
      </w:r>
      <w:r w:rsidRPr="00CA01AD">
        <w:rPr>
          <w:rFonts w:ascii="Cambria" w:hAnsi="Cambria"/>
          <w:sz w:val="16"/>
          <w:szCs w:val="16"/>
        </w:rPr>
        <w:t>. December 31, 2009, paragraphs 144-146.</w:t>
      </w:r>
    </w:p>
  </w:footnote>
  <w:footnote w:id="62">
    <w:p w:rsidR="00B04C46" w:rsidRPr="00CA01AD" w:rsidRDefault="00B04C46" w:rsidP="005074AD">
      <w:pP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cs="Arial"/>
          <w:sz w:val="16"/>
          <w:szCs w:val="16"/>
          <w:shd w:val="clear" w:color="auto" w:fill="FFFFFF"/>
        </w:rPr>
        <w:t xml:space="preserve">I/A Court H.R. </w:t>
      </w:r>
      <w:r w:rsidRPr="00CA01AD">
        <w:rPr>
          <w:rFonts w:ascii="Cambria" w:hAnsi="Cambria" w:cs="Arial"/>
          <w:i/>
          <w:sz w:val="16"/>
          <w:szCs w:val="16"/>
          <w:shd w:val="clear" w:color="auto" w:fill="FFFFFF"/>
        </w:rPr>
        <w:t>Case of Chaparro Álvarez and Lapo Íñiguez. v. Ecuador</w:t>
      </w:r>
      <w:r w:rsidRPr="00CA01AD">
        <w:rPr>
          <w:rFonts w:ascii="Cambria" w:hAnsi="Cambria" w:cs="Arial"/>
          <w:sz w:val="16"/>
          <w:szCs w:val="16"/>
          <w:shd w:val="clear" w:color="auto" w:fill="FFFFFF"/>
        </w:rPr>
        <w:t>. Preliminary Objections, Merits, Reparations, and Costs. Judgment of November 21, 2007. Series C No. 170</w:t>
      </w:r>
      <w:r w:rsidRPr="00CA01AD">
        <w:rPr>
          <w:rFonts w:ascii="Cambria" w:hAnsi="Cambria"/>
          <w:sz w:val="16"/>
          <w:szCs w:val="16"/>
        </w:rPr>
        <w:t xml:space="preserve">, paragraph 55. See also: IACHR. </w:t>
      </w:r>
      <w:r w:rsidRPr="00CA01AD">
        <w:rPr>
          <w:rFonts w:ascii="Cambria" w:hAnsi="Cambria"/>
          <w:i/>
          <w:sz w:val="16"/>
          <w:szCs w:val="16"/>
        </w:rPr>
        <w:t>Report on Citizen Security and Human Rights</w:t>
      </w:r>
      <w:r w:rsidRPr="00CA01AD">
        <w:rPr>
          <w:rFonts w:ascii="Cambria" w:hAnsi="Cambria"/>
          <w:sz w:val="16"/>
          <w:szCs w:val="16"/>
        </w:rPr>
        <w:t>. December 31, 2009, paragraphs 144-146.</w:t>
      </w:r>
    </w:p>
  </w:footnote>
  <w:footnote w:id="63">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w:t>
      </w:r>
      <w:r w:rsidRPr="00CA01AD">
        <w:rPr>
          <w:rFonts w:ascii="Cambria" w:hAnsi="Cambria"/>
          <w:i/>
          <w:color w:val="auto"/>
          <w:sz w:val="16"/>
          <w:szCs w:val="16"/>
        </w:rPr>
        <w:t>Report on the Situation of Human Rights in Ecuador</w:t>
      </w:r>
      <w:r w:rsidRPr="00CA01AD">
        <w:rPr>
          <w:rFonts w:ascii="Cambria" w:hAnsi="Cambria"/>
          <w:color w:val="auto"/>
          <w:sz w:val="16"/>
          <w:szCs w:val="16"/>
        </w:rPr>
        <w:t>,</w:t>
      </w:r>
      <w:r w:rsidRPr="00CA01AD">
        <w:rPr>
          <w:rFonts w:ascii="Cambria" w:hAnsi="Cambria"/>
          <w:i/>
          <w:color w:val="auto"/>
          <w:sz w:val="16"/>
          <w:szCs w:val="16"/>
        </w:rPr>
        <w:t xml:space="preserve"> </w:t>
      </w:r>
      <w:r w:rsidRPr="00CA01AD">
        <w:rPr>
          <w:rFonts w:ascii="Cambria" w:hAnsi="Cambria"/>
          <w:color w:val="auto"/>
          <w:sz w:val="16"/>
          <w:szCs w:val="16"/>
        </w:rPr>
        <w:t xml:space="preserve">OEA/Ser.L/II.96, Doc. 10 rev.1 of April 24, 1997. See Chapter VII – The Right to Personal Liberty. Available at: </w:t>
      </w:r>
      <w:hyperlink r:id="rId2" w:history="1">
        <w:r w:rsidRPr="00CA01AD">
          <w:rPr>
            <w:rStyle w:val="Hyperlink"/>
            <w:rFonts w:ascii="Cambria" w:hAnsi="Cambria"/>
            <w:color w:val="auto"/>
            <w:sz w:val="16"/>
            <w:szCs w:val="16"/>
            <w:u w:val="none"/>
          </w:rPr>
          <w:t>http://www.IACHR.org/countryrep/Ecuador-sp/Capitulo%207.htm</w:t>
        </w:r>
      </w:hyperlink>
    </w:p>
  </w:footnote>
  <w:footnote w:id="64">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lang w:val="es-ES"/>
        </w:rPr>
      </w:pPr>
      <w:r w:rsidRPr="00CA01AD">
        <w:rPr>
          <w:rStyle w:val="FootnoteReference"/>
          <w:rFonts w:ascii="Cambria" w:hAnsi="Cambria"/>
          <w:color w:val="auto"/>
          <w:sz w:val="16"/>
          <w:szCs w:val="16"/>
        </w:rPr>
        <w:footnoteRef/>
      </w:r>
      <w:r w:rsidRPr="00CA01AD">
        <w:rPr>
          <w:rFonts w:ascii="Cambria" w:hAnsi="Cambria"/>
          <w:color w:val="auto"/>
          <w:sz w:val="16"/>
          <w:szCs w:val="16"/>
          <w:lang w:val="es-ES"/>
        </w:rPr>
        <w:t xml:space="preserve"> IACHR, Merits Report No. 66/01, Case 11.992, Dayra María Levoyer Jiménez, Ecuador, June 14, 2001. </w:t>
      </w:r>
    </w:p>
  </w:footnote>
  <w:footnote w:id="65">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lang w:val="es-ES"/>
        </w:rPr>
      </w:pPr>
      <w:r w:rsidRPr="00CA01AD">
        <w:rPr>
          <w:rStyle w:val="FootnoteReference"/>
          <w:rFonts w:ascii="Cambria" w:hAnsi="Cambria"/>
          <w:color w:val="auto"/>
          <w:sz w:val="16"/>
          <w:szCs w:val="16"/>
        </w:rPr>
        <w:footnoteRef/>
      </w:r>
      <w:r w:rsidRPr="00CA01AD">
        <w:rPr>
          <w:rFonts w:ascii="Cambria" w:hAnsi="Cambria"/>
          <w:color w:val="auto"/>
          <w:sz w:val="16"/>
          <w:szCs w:val="16"/>
          <w:lang w:val="es-ES"/>
        </w:rPr>
        <w:t xml:space="preserve"> IACHR, Merits Report No. 64/99, Case 11.778, Ruth del Rosario Garcés Valladares, Ecuador, April 13, 1999.  </w:t>
      </w:r>
    </w:p>
  </w:footnote>
  <w:footnote w:id="66">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sz w:val="16"/>
          <w:szCs w:val="16"/>
          <w:shd w:val="clear" w:color="auto" w:fill="FFFFFF"/>
        </w:rPr>
        <w:t xml:space="preserve">I/A Court H.R. </w:t>
      </w:r>
      <w:r w:rsidRPr="00CA01AD">
        <w:rPr>
          <w:rFonts w:ascii="Cambria" w:hAnsi="Cambria"/>
          <w:i/>
          <w:sz w:val="16"/>
          <w:szCs w:val="16"/>
          <w:shd w:val="clear" w:color="auto" w:fill="FFFFFF"/>
        </w:rPr>
        <w:t>Case of</w:t>
      </w:r>
      <w:r w:rsidRPr="00CA01AD">
        <w:rPr>
          <w:rFonts w:ascii="Cambria" w:hAnsi="Cambria"/>
          <w:sz w:val="16"/>
          <w:szCs w:val="16"/>
          <w:shd w:val="clear" w:color="auto" w:fill="FFFFFF"/>
        </w:rPr>
        <w:t xml:space="preserve"> </w:t>
      </w:r>
      <w:r w:rsidRPr="00CA01AD">
        <w:rPr>
          <w:rFonts w:ascii="Cambria" w:hAnsi="Cambria"/>
          <w:i/>
          <w:sz w:val="16"/>
          <w:szCs w:val="16"/>
          <w:shd w:val="clear" w:color="auto" w:fill="FFFFFF"/>
        </w:rPr>
        <w:t>Chaparro Álvarez and Lapo Íñiguez. v. Ecuador</w:t>
      </w:r>
      <w:r w:rsidRPr="00CA01AD">
        <w:rPr>
          <w:rFonts w:ascii="Cambria" w:hAnsi="Cambria"/>
          <w:sz w:val="16"/>
          <w:szCs w:val="16"/>
          <w:shd w:val="clear" w:color="auto" w:fill="FFFFFF"/>
        </w:rPr>
        <w:t>. Preliminary Objections, Merits, Reparations, and Costs. Judgment of November 21, 2007. Series C No. 170</w:t>
      </w:r>
      <w:r w:rsidRPr="00CA01AD">
        <w:rPr>
          <w:rFonts w:ascii="Cambria" w:hAnsi="Cambria"/>
          <w:sz w:val="16"/>
          <w:szCs w:val="16"/>
        </w:rPr>
        <w:t xml:space="preserve">; I/A Court H.R. </w:t>
      </w:r>
      <w:r w:rsidRPr="00CA01AD">
        <w:rPr>
          <w:rFonts w:ascii="Cambria" w:hAnsi="Cambria"/>
          <w:i/>
          <w:sz w:val="16"/>
          <w:szCs w:val="16"/>
        </w:rPr>
        <w:t>Case of Acosta Calderón v. Ecuador</w:t>
      </w:r>
      <w:r w:rsidRPr="00CA01AD">
        <w:rPr>
          <w:rFonts w:ascii="Cambria" w:hAnsi="Cambria"/>
          <w:sz w:val="16"/>
          <w:szCs w:val="16"/>
        </w:rPr>
        <w:t xml:space="preserve">. Merits, Reparations, and Costs. Judgment of June 24, 2005. Series C No. 129; and I/A Court H.R. </w:t>
      </w:r>
      <w:r w:rsidRPr="00CA01AD">
        <w:rPr>
          <w:rFonts w:ascii="Cambria" w:hAnsi="Cambria"/>
          <w:i/>
          <w:sz w:val="16"/>
          <w:szCs w:val="16"/>
        </w:rPr>
        <w:t>Case of Tibi v. Ecuador.</w:t>
      </w:r>
      <w:r w:rsidRPr="00CA01AD">
        <w:rPr>
          <w:rFonts w:ascii="Cambria" w:hAnsi="Cambria"/>
          <w:sz w:val="16"/>
          <w:szCs w:val="16"/>
        </w:rPr>
        <w:t xml:space="preserve"> Preliminary Objections, Merits, Reparations, and Costs. Judgment of September 7, 2004. Series C No. 114; I/A Court H.R. </w:t>
      </w:r>
      <w:r w:rsidRPr="00CA01AD">
        <w:rPr>
          <w:rFonts w:ascii="Cambria" w:hAnsi="Cambria"/>
          <w:i/>
          <w:sz w:val="16"/>
          <w:szCs w:val="16"/>
        </w:rPr>
        <w:t>Case of Suárez Rosero v. Ecuador</w:t>
      </w:r>
      <w:r w:rsidRPr="00CA01AD">
        <w:rPr>
          <w:rFonts w:ascii="Cambria" w:hAnsi="Cambria"/>
          <w:sz w:val="16"/>
          <w:szCs w:val="16"/>
        </w:rPr>
        <w:t>. Merits. Judgment of November 12, 1997. Series C No. 35.</w:t>
      </w:r>
    </w:p>
  </w:footnote>
  <w:footnote w:id="67">
    <w:p w:rsidR="00B04C46" w:rsidRPr="00CA01AD" w:rsidRDefault="00B04C46" w:rsidP="005074AD">
      <w:pPr>
        <w:pStyle w:val="FootnoteText"/>
        <w:ind w:firstLine="720"/>
        <w:jc w:val="both"/>
        <w:rPr>
          <w:rFonts w:ascii="Cambria" w:hAnsi="Cambria"/>
          <w:color w:val="auto"/>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w:t>
      </w:r>
      <w:r w:rsidRPr="00CA01AD">
        <w:rPr>
          <w:rFonts w:ascii="Cambria" w:hAnsi="Cambria" w:cs="Verdana"/>
          <w:color w:val="auto"/>
          <w:sz w:val="16"/>
          <w:szCs w:val="16"/>
          <w:bdr w:val="none" w:sz="0" w:space="0" w:color="auto"/>
        </w:rPr>
        <w:t>Constitution of the Republic of Ecuador adopted on January 15, 1978.</w:t>
      </w:r>
    </w:p>
  </w:footnote>
  <w:footnote w:id="68">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Case of Acosta Calderón v. Ecuador</w:t>
      </w:r>
      <w:r w:rsidRPr="00CA01AD">
        <w:rPr>
          <w:rFonts w:ascii="Cambria" w:hAnsi="Cambria"/>
          <w:color w:val="auto"/>
          <w:sz w:val="16"/>
          <w:szCs w:val="16"/>
        </w:rPr>
        <w:t xml:space="preserve">. Merits, Reparations, and Costs. Judgment of June 24, 2005. Series C No. 129, paragraph 61; and </w:t>
      </w:r>
      <w:r w:rsidRPr="00CA01AD">
        <w:rPr>
          <w:rFonts w:ascii="Cambria" w:hAnsi="Cambria"/>
          <w:i/>
          <w:color w:val="auto"/>
          <w:sz w:val="16"/>
          <w:szCs w:val="16"/>
        </w:rPr>
        <w:t>Case of Tibi v. Ecuador.</w:t>
      </w:r>
      <w:r w:rsidRPr="00CA01AD">
        <w:rPr>
          <w:rFonts w:ascii="Cambria" w:hAnsi="Cambria"/>
          <w:color w:val="auto"/>
          <w:sz w:val="16"/>
          <w:szCs w:val="16"/>
        </w:rPr>
        <w:t xml:space="preserve"> Preliminary Objections, Merits, Reparations, and Costs. Judgment of September 7, 2004. Series C No. 114, paragraph 103.</w:t>
      </w:r>
    </w:p>
  </w:footnote>
  <w:footnote w:id="69">
    <w:p w:rsidR="00B04C46" w:rsidRPr="00CA01AD" w:rsidRDefault="00B04C46" w:rsidP="005074AD">
      <w:pPr>
        <w:pStyle w:val="FootnoteText"/>
        <w:ind w:firstLine="720"/>
        <w:rPr>
          <w:rFonts w:ascii="Cambria" w:hAnsi="Cambria"/>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color w:val="auto"/>
          <w:sz w:val="16"/>
          <w:szCs w:val="16"/>
        </w:rPr>
        <w:t>IACHR, Merits Report No. 66/01, Case 11.992, Dayra María Levoyer Jiménez, Ecuador, June 14, 2001, paragraph 36.</w:t>
      </w:r>
    </w:p>
  </w:footnote>
  <w:footnote w:id="70">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cs="Arial"/>
          <w:sz w:val="16"/>
          <w:szCs w:val="16"/>
          <w:shd w:val="clear" w:color="auto" w:fill="FFFFFF"/>
        </w:rPr>
        <w:t xml:space="preserve">I/A Court H.R. </w:t>
      </w:r>
      <w:r w:rsidRPr="00CA01AD">
        <w:rPr>
          <w:rFonts w:ascii="Cambria" w:hAnsi="Cambria" w:cs="Arial"/>
          <w:i/>
          <w:sz w:val="16"/>
          <w:szCs w:val="16"/>
          <w:shd w:val="clear" w:color="auto" w:fill="FFFFFF"/>
        </w:rPr>
        <w:t>Case of Chaparro Álvarez and Lapo Íñiguez. v. Ecuador</w:t>
      </w:r>
      <w:r w:rsidRPr="00CA01AD">
        <w:rPr>
          <w:rFonts w:ascii="Cambria" w:hAnsi="Cambria" w:cs="Arial"/>
          <w:sz w:val="16"/>
          <w:szCs w:val="16"/>
          <w:shd w:val="clear" w:color="auto" w:fill="FFFFFF"/>
        </w:rPr>
        <w:t>. Preliminary Objections, Merits, Reparations, and Costs. Judgment of November 21, 2007. Series C No. 170</w:t>
      </w:r>
      <w:r w:rsidRPr="00CA01AD">
        <w:rPr>
          <w:rFonts w:ascii="Cambria" w:hAnsi="Cambria"/>
          <w:sz w:val="16"/>
          <w:szCs w:val="16"/>
        </w:rPr>
        <w:t>, paragraph 55.</w:t>
      </w:r>
    </w:p>
  </w:footnote>
  <w:footnote w:id="71">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Report No. 66/01, Case 11.992, Merits, Dayra María Levoyer Jiménez, Ecuador, June 14, 2001, paragraph 36; and Report No. 40/14, Case 11.438, Merits, Herrera Espinoza et al., Ecuador, July 17, 2014, paragraph 120.</w:t>
      </w:r>
    </w:p>
  </w:footnote>
  <w:footnote w:id="72">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Report No. 66/01, Case 11.992, Merits, Dayra María Levoyer Jiménez, Ecuador, June 14, 2001, paragraph 36; and Report No. 40/14, Case 11.438, Merits, Herrera Espinoza et al., Ecuador, July 17, 2014, paragraph 120.</w:t>
      </w:r>
    </w:p>
  </w:footnote>
  <w:footnote w:id="73">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Report No. 66/01, Case 11.992, Merits, Dayra María Levoyer Jiménez, Ecuador, June 14, 2001, paragraph 37; and Report No. 40/14, Case 11.438, Merits, Herrera Espinoza et al., Ecuador, July 17, 2014, paragraph 121.</w:t>
      </w:r>
    </w:p>
  </w:footnote>
  <w:footnote w:id="74">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Report No. 66/01, Case 11.992, Merits, Dayra María Levoyer Jiménez, Ecuador, June 14, 2001, paragraph 37; and Report No. 40/14, Case 11.438, Merits, Herrera Espinoza et al., Ecuador, July 17, 2014, paragraph 121.</w:t>
      </w:r>
    </w:p>
  </w:footnote>
  <w:footnote w:id="75">
    <w:p w:rsidR="00B04C46" w:rsidRPr="00CA01AD" w:rsidRDefault="00B04C46" w:rsidP="005074AD">
      <w:pPr>
        <w:ind w:firstLine="720"/>
        <w:jc w:val="both"/>
        <w:rPr>
          <w:rFonts w:ascii="Cambria" w:hAnsi="Cambria" w:cs="Times"/>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w:t>
      </w:r>
      <w:hyperlink r:id="rId3" w:history="1">
        <w:r w:rsidRPr="00CA01AD">
          <w:rPr>
            <w:rStyle w:val="Hyperlink"/>
            <w:rFonts w:ascii="Cambria" w:hAnsi="Cambria"/>
            <w:i/>
            <w:iCs/>
            <w:sz w:val="16"/>
            <w:szCs w:val="16"/>
            <w:u w:val="none"/>
          </w:rPr>
          <w:t>Report on the Use of Pretrial Detention in the Americas</w:t>
        </w:r>
      </w:hyperlink>
      <w:r w:rsidRPr="00CA01AD">
        <w:rPr>
          <w:rFonts w:ascii="Cambria" w:hAnsi="Cambria"/>
          <w:sz w:val="16"/>
          <w:szCs w:val="16"/>
        </w:rPr>
        <w:t xml:space="preserve">, OEA/Ser.L/V/II. December 30, 2013, paragraph 20; I/A Court H.R., </w:t>
      </w:r>
      <w:r w:rsidRPr="00CA01AD">
        <w:rPr>
          <w:rFonts w:ascii="Cambria" w:hAnsi="Cambria"/>
          <w:i/>
          <w:sz w:val="16"/>
          <w:szCs w:val="16"/>
        </w:rPr>
        <w:t>Case of López Álvarez v.</w:t>
      </w:r>
      <w:r w:rsidRPr="00CA01AD">
        <w:rPr>
          <w:rFonts w:ascii="Cambria" w:hAnsi="Cambria"/>
          <w:sz w:val="16"/>
          <w:szCs w:val="16"/>
        </w:rPr>
        <w:t xml:space="preserve"> </w:t>
      </w:r>
      <w:r w:rsidRPr="00CA01AD">
        <w:rPr>
          <w:rFonts w:ascii="Cambria" w:hAnsi="Cambria"/>
          <w:i/>
          <w:iCs/>
          <w:sz w:val="16"/>
          <w:szCs w:val="16"/>
        </w:rPr>
        <w:t>Honduras,</w:t>
      </w:r>
      <w:r w:rsidRPr="00CA01AD">
        <w:rPr>
          <w:rFonts w:ascii="Cambria" w:hAnsi="Cambria"/>
          <w:sz w:val="16"/>
          <w:szCs w:val="16"/>
        </w:rPr>
        <w:t xml:space="preserve"> Judgment of February 1, 2006, Series C No. 141, paragraph 67; </w:t>
      </w:r>
      <w:r w:rsidRPr="00CA01AD">
        <w:rPr>
          <w:rFonts w:ascii="Cambria" w:hAnsi="Cambria"/>
          <w:i/>
          <w:iCs/>
          <w:sz w:val="16"/>
          <w:szCs w:val="16"/>
        </w:rPr>
        <w:t>Case of García Asto and Ramírez Rojas v.</w:t>
      </w:r>
      <w:r w:rsidRPr="00CA01AD">
        <w:rPr>
          <w:rFonts w:ascii="Cambria" w:hAnsi="Cambria"/>
          <w:sz w:val="16"/>
          <w:szCs w:val="16"/>
        </w:rPr>
        <w:t xml:space="preserve"> </w:t>
      </w:r>
      <w:r w:rsidRPr="00CA01AD">
        <w:rPr>
          <w:rFonts w:ascii="Cambria" w:hAnsi="Cambria"/>
          <w:i/>
          <w:iCs/>
          <w:sz w:val="16"/>
          <w:szCs w:val="16"/>
        </w:rPr>
        <w:t>Peru</w:t>
      </w:r>
      <w:r w:rsidRPr="00CA01AD">
        <w:rPr>
          <w:rFonts w:ascii="Cambria" w:hAnsi="Cambria"/>
          <w:sz w:val="16"/>
          <w:szCs w:val="16"/>
        </w:rPr>
        <w:t xml:space="preserve">, Judgment of November 25, 2005, Series C No. 137, paragraph 106; </w:t>
      </w:r>
      <w:r w:rsidRPr="00CA01AD">
        <w:rPr>
          <w:rFonts w:ascii="Cambria" w:hAnsi="Cambria"/>
          <w:i/>
          <w:iCs/>
          <w:sz w:val="16"/>
          <w:szCs w:val="16"/>
        </w:rPr>
        <w:t>Case of Palamara Iribarne v.</w:t>
      </w:r>
      <w:r w:rsidRPr="00CA01AD">
        <w:rPr>
          <w:rFonts w:ascii="Cambria" w:hAnsi="Cambria"/>
          <w:sz w:val="16"/>
          <w:szCs w:val="16"/>
        </w:rPr>
        <w:t xml:space="preserve"> </w:t>
      </w:r>
      <w:r w:rsidRPr="00CA01AD">
        <w:rPr>
          <w:rFonts w:ascii="Cambria" w:hAnsi="Cambria"/>
          <w:i/>
          <w:iCs/>
          <w:sz w:val="16"/>
          <w:szCs w:val="16"/>
        </w:rPr>
        <w:t>Chile,</w:t>
      </w:r>
      <w:r w:rsidRPr="00CA01AD">
        <w:rPr>
          <w:rFonts w:ascii="Cambria" w:hAnsi="Cambria"/>
          <w:sz w:val="16"/>
          <w:szCs w:val="16"/>
        </w:rPr>
        <w:t xml:space="preserve"> Judgment of November 22, 2005, Series C No. 135, paragraph</w:t>
      </w:r>
      <w:r w:rsidRPr="00CA01AD">
        <w:rPr>
          <w:rFonts w:ascii="Cambria" w:hAnsi="Cambria"/>
          <w:color w:val="000000"/>
          <w:sz w:val="16"/>
          <w:szCs w:val="16"/>
        </w:rPr>
        <w:t xml:space="preserve"> 197; and</w:t>
      </w:r>
      <w:r w:rsidRPr="00CA01AD">
        <w:rPr>
          <w:rFonts w:ascii="Cambria" w:hAnsi="Cambria"/>
          <w:sz w:val="16"/>
          <w:szCs w:val="16"/>
        </w:rPr>
        <w:t xml:space="preserve"> </w:t>
      </w:r>
      <w:r w:rsidRPr="00CA01AD">
        <w:rPr>
          <w:rFonts w:ascii="Cambria" w:hAnsi="Cambria"/>
          <w:i/>
          <w:iCs/>
          <w:sz w:val="16"/>
          <w:szCs w:val="16"/>
        </w:rPr>
        <w:t>Case of Acosta Calderón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Judgment of June 24, 2005, Series C No. 129, paragraph</w:t>
      </w:r>
      <w:r w:rsidRPr="00CA01AD">
        <w:rPr>
          <w:rFonts w:ascii="Cambria" w:hAnsi="Cambria"/>
          <w:color w:val="000000"/>
          <w:sz w:val="16"/>
          <w:szCs w:val="16"/>
        </w:rPr>
        <w:t xml:space="preserve"> 74.</w:t>
      </w:r>
    </w:p>
  </w:footnote>
  <w:footnote w:id="76">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sz w:val="16"/>
          <w:szCs w:val="16"/>
        </w:rPr>
        <w:t>Case of Suárez Rosero v. Ecuador</w:t>
      </w:r>
      <w:r w:rsidRPr="00CA01AD">
        <w:rPr>
          <w:rFonts w:ascii="Cambria" w:hAnsi="Cambria"/>
          <w:sz w:val="16"/>
          <w:szCs w:val="16"/>
        </w:rPr>
        <w:t>. Merits. Judgment of November 12, 1997. Series C No. 35, paragraph 77.</w:t>
      </w:r>
    </w:p>
  </w:footnote>
  <w:footnote w:id="77">
    <w:p w:rsidR="00B04C46" w:rsidRPr="00CA01AD" w:rsidRDefault="00B04C46" w:rsidP="005074AD">
      <w:pP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w:t>
      </w:r>
      <w:hyperlink r:id="rId4" w:history="1">
        <w:r w:rsidRPr="00CA01AD">
          <w:rPr>
            <w:rStyle w:val="Hyperlink"/>
            <w:rFonts w:ascii="Cambria" w:hAnsi="Cambria"/>
            <w:i/>
            <w:iCs/>
            <w:sz w:val="16"/>
            <w:szCs w:val="16"/>
            <w:u w:val="none"/>
          </w:rPr>
          <w:t>Report on the Use of Pretrial Detention in the Americas</w:t>
        </w:r>
      </w:hyperlink>
      <w:r w:rsidRPr="00CA01AD">
        <w:rPr>
          <w:rFonts w:ascii="Cambria" w:hAnsi="Cambria"/>
          <w:sz w:val="16"/>
          <w:szCs w:val="16"/>
        </w:rPr>
        <w:t xml:space="preserve">, OEA/Ser.L/V/II. December 30, 2013, paragraph 21; I/A Court H.R., </w:t>
      </w:r>
      <w:r w:rsidRPr="00CA01AD">
        <w:rPr>
          <w:rFonts w:ascii="Cambria" w:hAnsi="Cambria"/>
          <w:i/>
          <w:iCs/>
          <w:sz w:val="16"/>
          <w:szCs w:val="16"/>
        </w:rPr>
        <w:t>Case of López Álvarez v.</w:t>
      </w:r>
      <w:r w:rsidRPr="00CA01AD">
        <w:rPr>
          <w:rFonts w:ascii="Cambria" w:hAnsi="Cambria"/>
          <w:sz w:val="16"/>
          <w:szCs w:val="16"/>
        </w:rPr>
        <w:t xml:space="preserve"> </w:t>
      </w:r>
      <w:r w:rsidRPr="00CA01AD">
        <w:rPr>
          <w:rFonts w:ascii="Cambria" w:hAnsi="Cambria"/>
          <w:i/>
          <w:iCs/>
          <w:sz w:val="16"/>
          <w:szCs w:val="16"/>
        </w:rPr>
        <w:t>Honduras,</w:t>
      </w:r>
      <w:r w:rsidRPr="00CA01AD">
        <w:rPr>
          <w:rFonts w:ascii="Cambria" w:hAnsi="Cambria"/>
          <w:sz w:val="16"/>
          <w:szCs w:val="16"/>
        </w:rPr>
        <w:t xml:space="preserve"> Judgment of February 1, 2006, Series C No. 141, paragraph 67; I/A Court H.R., </w:t>
      </w:r>
      <w:r w:rsidRPr="00CA01AD">
        <w:rPr>
          <w:rFonts w:ascii="Cambria" w:hAnsi="Cambria"/>
          <w:i/>
          <w:iCs/>
          <w:sz w:val="16"/>
          <w:szCs w:val="16"/>
        </w:rPr>
        <w:t>Case of Palamara Iribarne v.</w:t>
      </w:r>
      <w:r w:rsidRPr="00CA01AD">
        <w:rPr>
          <w:rFonts w:ascii="Cambria" w:hAnsi="Cambria"/>
          <w:sz w:val="16"/>
          <w:szCs w:val="16"/>
        </w:rPr>
        <w:t xml:space="preserve"> </w:t>
      </w:r>
      <w:r w:rsidRPr="00CA01AD">
        <w:rPr>
          <w:rFonts w:ascii="Cambria" w:hAnsi="Cambria"/>
          <w:i/>
          <w:iCs/>
          <w:sz w:val="16"/>
          <w:szCs w:val="16"/>
        </w:rPr>
        <w:t>Chile,</w:t>
      </w:r>
      <w:r w:rsidRPr="00CA01AD">
        <w:rPr>
          <w:rFonts w:ascii="Cambria" w:hAnsi="Cambria"/>
          <w:sz w:val="16"/>
          <w:szCs w:val="16"/>
        </w:rPr>
        <w:t xml:space="preserve"> Judgment of November 22, 2005, Series C No. 135, paragraph 196; and I/A Court H.R., </w:t>
      </w:r>
      <w:r w:rsidRPr="00CA01AD">
        <w:rPr>
          <w:rFonts w:ascii="Cambria" w:hAnsi="Cambria"/>
          <w:i/>
          <w:iCs/>
          <w:sz w:val="16"/>
          <w:szCs w:val="16"/>
        </w:rPr>
        <w:t>Case of Acosta Calderón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Judgment of June 24, 2005, Series C No. 129, paragraph 74.</w:t>
      </w:r>
    </w:p>
  </w:footnote>
  <w:footnote w:id="78">
    <w:p w:rsidR="00B04C46" w:rsidRPr="00CA01AD" w:rsidRDefault="00B04C46" w:rsidP="005074AD">
      <w:pP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w:t>
      </w:r>
      <w:hyperlink r:id="rId5" w:history="1">
        <w:r w:rsidRPr="00CA01AD">
          <w:rPr>
            <w:rStyle w:val="Hyperlink"/>
            <w:rFonts w:ascii="Cambria" w:hAnsi="Cambria"/>
            <w:i/>
            <w:iCs/>
            <w:sz w:val="16"/>
            <w:szCs w:val="16"/>
            <w:u w:val="none"/>
          </w:rPr>
          <w:t>Report on the Use of Pretrial Detention in the Americas</w:t>
        </w:r>
      </w:hyperlink>
      <w:r w:rsidRPr="00CA01AD">
        <w:rPr>
          <w:rFonts w:ascii="Cambria" w:hAnsi="Cambria"/>
          <w:sz w:val="16"/>
          <w:szCs w:val="16"/>
        </w:rPr>
        <w:t xml:space="preserve">, OEA/Ser.L/V/II. December 30, 2013, paragraph 21; I/A Court H.R., </w:t>
      </w:r>
      <w:r w:rsidRPr="00CA01AD">
        <w:rPr>
          <w:rFonts w:ascii="Cambria" w:hAnsi="Cambria"/>
          <w:i/>
          <w:iCs/>
          <w:sz w:val="16"/>
          <w:szCs w:val="16"/>
        </w:rPr>
        <w:t>Case of López Álvarez v.</w:t>
      </w:r>
      <w:r w:rsidRPr="00CA01AD">
        <w:rPr>
          <w:rFonts w:ascii="Cambria" w:hAnsi="Cambria"/>
          <w:sz w:val="16"/>
          <w:szCs w:val="16"/>
        </w:rPr>
        <w:t xml:space="preserve"> </w:t>
      </w:r>
      <w:r w:rsidRPr="00CA01AD">
        <w:rPr>
          <w:rFonts w:ascii="Cambria" w:hAnsi="Cambria"/>
          <w:i/>
          <w:iCs/>
          <w:sz w:val="16"/>
          <w:szCs w:val="16"/>
        </w:rPr>
        <w:t>Honduras,</w:t>
      </w:r>
      <w:r w:rsidRPr="00CA01AD">
        <w:rPr>
          <w:rFonts w:ascii="Cambria" w:hAnsi="Cambria"/>
          <w:sz w:val="16"/>
          <w:szCs w:val="16"/>
        </w:rPr>
        <w:t xml:space="preserve"> Judgment of February 1, 2006, Series C No. 141, paragraph 69; </w:t>
      </w:r>
      <w:r w:rsidRPr="00CA01AD">
        <w:rPr>
          <w:rFonts w:ascii="Cambria" w:hAnsi="Cambria"/>
          <w:i/>
          <w:iCs/>
          <w:sz w:val="16"/>
          <w:szCs w:val="16"/>
        </w:rPr>
        <w:t>Case of García Asto and Ramírez Rojas v.</w:t>
      </w:r>
      <w:r w:rsidRPr="00CA01AD">
        <w:rPr>
          <w:rFonts w:ascii="Cambria" w:hAnsi="Cambria"/>
          <w:sz w:val="16"/>
          <w:szCs w:val="16"/>
        </w:rPr>
        <w:t xml:space="preserve"> </w:t>
      </w:r>
      <w:r w:rsidRPr="00CA01AD">
        <w:rPr>
          <w:rFonts w:ascii="Cambria" w:hAnsi="Cambria"/>
          <w:i/>
          <w:iCs/>
          <w:sz w:val="16"/>
          <w:szCs w:val="16"/>
        </w:rPr>
        <w:t>Peru,</w:t>
      </w:r>
      <w:r w:rsidRPr="00CA01AD">
        <w:rPr>
          <w:rFonts w:ascii="Cambria" w:hAnsi="Cambria"/>
          <w:sz w:val="16"/>
          <w:szCs w:val="16"/>
        </w:rPr>
        <w:t xml:space="preserve"> Judgment of November 25, 2005, Series C No. 137, paragraph 106; </w:t>
      </w:r>
      <w:r w:rsidRPr="00CA01AD">
        <w:rPr>
          <w:rFonts w:ascii="Cambria" w:hAnsi="Cambria"/>
          <w:i/>
          <w:iCs/>
          <w:sz w:val="16"/>
          <w:szCs w:val="16"/>
        </w:rPr>
        <w:t>Case of Acosta Calderón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Judgment of June 24, 2005, Series C No. 129, paragraph</w:t>
      </w:r>
      <w:r w:rsidRPr="00CA01AD">
        <w:rPr>
          <w:rFonts w:ascii="Cambria" w:hAnsi="Cambria"/>
          <w:color w:val="000000"/>
          <w:sz w:val="16"/>
          <w:szCs w:val="16"/>
        </w:rPr>
        <w:t xml:space="preserve"> 75; </w:t>
      </w:r>
      <w:r w:rsidRPr="00CA01AD">
        <w:rPr>
          <w:rFonts w:ascii="Cambria" w:hAnsi="Cambria"/>
          <w:sz w:val="16"/>
          <w:szCs w:val="16"/>
        </w:rPr>
        <w:t xml:space="preserve">and </w:t>
      </w:r>
      <w:r w:rsidRPr="00CA01AD">
        <w:rPr>
          <w:rFonts w:ascii="Cambria" w:hAnsi="Cambria"/>
          <w:i/>
          <w:iCs/>
          <w:sz w:val="16"/>
          <w:szCs w:val="16"/>
        </w:rPr>
        <w:t>Case of Tibi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Judgment of September 7, 2004, Series C No. 114, paragraph</w:t>
      </w:r>
      <w:r w:rsidRPr="00CA01AD">
        <w:rPr>
          <w:rFonts w:ascii="Cambria" w:hAnsi="Cambria"/>
          <w:color w:val="000000"/>
          <w:sz w:val="16"/>
          <w:szCs w:val="16"/>
        </w:rPr>
        <w:t xml:space="preserve"> 180.</w:t>
      </w:r>
    </w:p>
  </w:footnote>
  <w:footnote w:id="79">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iCs/>
          <w:sz w:val="16"/>
          <w:szCs w:val="16"/>
        </w:rPr>
        <w:t>Case of Barreto Leiva v.</w:t>
      </w:r>
      <w:r w:rsidRPr="00CA01AD">
        <w:rPr>
          <w:rFonts w:ascii="Cambria" w:hAnsi="Cambria"/>
          <w:sz w:val="16"/>
          <w:szCs w:val="16"/>
        </w:rPr>
        <w:t xml:space="preserve"> </w:t>
      </w:r>
      <w:r w:rsidRPr="00CA01AD">
        <w:rPr>
          <w:rFonts w:ascii="Cambria" w:hAnsi="Cambria"/>
          <w:i/>
          <w:iCs/>
          <w:sz w:val="16"/>
          <w:szCs w:val="16"/>
        </w:rPr>
        <w:t>Venezuela,</w:t>
      </w:r>
      <w:r w:rsidRPr="00CA01AD">
        <w:rPr>
          <w:rFonts w:ascii="Cambria" w:hAnsi="Cambria"/>
          <w:sz w:val="16"/>
          <w:szCs w:val="16"/>
        </w:rPr>
        <w:t xml:space="preserve"> Merits, Reparations and Costs, Judgment of November 17, 2009, Series C No. 206. paragraph 111.</w:t>
      </w:r>
    </w:p>
  </w:footnote>
  <w:footnote w:id="80">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iCs/>
          <w:sz w:val="16"/>
          <w:szCs w:val="16"/>
        </w:rPr>
        <w:t>Case of Barreto Leiva v.</w:t>
      </w:r>
      <w:r w:rsidRPr="00CA01AD">
        <w:rPr>
          <w:rFonts w:ascii="Cambria" w:hAnsi="Cambria"/>
          <w:sz w:val="16"/>
          <w:szCs w:val="16"/>
        </w:rPr>
        <w:t xml:space="preserve"> </w:t>
      </w:r>
      <w:r w:rsidRPr="00CA01AD">
        <w:rPr>
          <w:rFonts w:ascii="Cambria" w:hAnsi="Cambria"/>
          <w:i/>
          <w:iCs/>
          <w:sz w:val="16"/>
          <w:szCs w:val="16"/>
        </w:rPr>
        <w:t>Venezuela,</w:t>
      </w:r>
      <w:r w:rsidRPr="00CA01AD">
        <w:rPr>
          <w:rFonts w:ascii="Cambria" w:hAnsi="Cambria"/>
          <w:sz w:val="16"/>
          <w:szCs w:val="16"/>
        </w:rPr>
        <w:t xml:space="preserve"> Merits, Reparations and Costs, Judgment of November 17, 2009, Series C No. 206. paragraph 111, citing </w:t>
      </w:r>
      <w:r w:rsidRPr="00CA01AD">
        <w:rPr>
          <w:rFonts w:ascii="Cambria" w:hAnsi="Cambria"/>
          <w:i/>
          <w:iCs/>
          <w:sz w:val="16"/>
          <w:szCs w:val="16"/>
        </w:rPr>
        <w:t>Case of Chaparro Álvarez and Lapo Íñiguez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Preliminary Objections, Merits, Reparations, and Costs, Judgment of November 21, 2007, Series C No. 170, paragraph 103; and </w:t>
      </w:r>
      <w:r w:rsidRPr="00CA01AD">
        <w:rPr>
          <w:rFonts w:ascii="Cambria" w:hAnsi="Cambria"/>
          <w:i/>
          <w:iCs/>
          <w:sz w:val="16"/>
          <w:szCs w:val="16"/>
        </w:rPr>
        <w:t>Case of Servellón García et al. v.</w:t>
      </w:r>
      <w:r w:rsidRPr="00CA01AD">
        <w:rPr>
          <w:rFonts w:ascii="Cambria" w:hAnsi="Cambria"/>
          <w:sz w:val="16"/>
          <w:szCs w:val="16"/>
        </w:rPr>
        <w:t xml:space="preserve"> </w:t>
      </w:r>
      <w:r w:rsidRPr="00CA01AD">
        <w:rPr>
          <w:rFonts w:ascii="Cambria" w:hAnsi="Cambria"/>
          <w:i/>
          <w:iCs/>
          <w:sz w:val="16"/>
          <w:szCs w:val="16"/>
        </w:rPr>
        <w:t>Honduras,</w:t>
      </w:r>
      <w:r w:rsidRPr="00CA01AD">
        <w:rPr>
          <w:rFonts w:ascii="Cambria" w:hAnsi="Cambria"/>
          <w:sz w:val="16"/>
          <w:szCs w:val="16"/>
        </w:rPr>
        <w:t xml:space="preserve"> Merits, Reparations and Costs, Judgment of September 21, 2006, Series C No. 152, paragraph 90.</w:t>
      </w:r>
    </w:p>
  </w:footnote>
  <w:footnote w:id="81">
    <w:p w:rsidR="00B04C46" w:rsidRPr="00CA01AD" w:rsidRDefault="00B04C46" w:rsidP="005074AD">
      <w:pPr>
        <w:ind w:firstLine="720"/>
        <w:jc w:val="both"/>
        <w:outlineLvl w:val="0"/>
        <w:rPr>
          <w:rFonts w:ascii="Cambria" w:hAnsi="Cambria"/>
          <w:b/>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w:t>
      </w:r>
      <w:r w:rsidRPr="00CA01AD">
        <w:rPr>
          <w:rFonts w:ascii="Cambria" w:hAnsi="Cambria"/>
          <w:i/>
          <w:iCs/>
          <w:sz w:val="16"/>
          <w:szCs w:val="16"/>
        </w:rPr>
        <w:t>Report on the Use of Preventive Custody in the Americas,</w:t>
      </w:r>
      <w:r w:rsidRPr="00CA01AD">
        <w:rPr>
          <w:rFonts w:ascii="Cambria" w:hAnsi="Cambria"/>
          <w:sz w:val="16"/>
          <w:szCs w:val="16"/>
        </w:rPr>
        <w:t xml:space="preserve"> OEA/Ser.L/V/II. Doc. 46/13. December 30, 2013 paragraph 21. </w:t>
      </w:r>
    </w:p>
  </w:footnote>
  <w:footnote w:id="8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iCs/>
          <w:sz w:val="16"/>
          <w:szCs w:val="16"/>
        </w:rPr>
        <w:t>Case of Barreto Leiva v. Venezuela,</w:t>
      </w:r>
      <w:r w:rsidRPr="00CA01AD">
        <w:rPr>
          <w:rFonts w:ascii="Cambria" w:hAnsi="Cambria"/>
          <w:sz w:val="16"/>
          <w:szCs w:val="16"/>
        </w:rPr>
        <w:t xml:space="preserve"> Merits, Reparations and Costs, Judgment of November 17, 2009, Series C No. 206, paragraph 120.</w:t>
      </w:r>
    </w:p>
  </w:footnote>
  <w:footnote w:id="83">
    <w:p w:rsidR="00B04C46" w:rsidRPr="00CA01AD" w:rsidRDefault="00B04C46" w:rsidP="005074AD">
      <w:pPr>
        <w:pStyle w:val="FootnoteText"/>
        <w:ind w:firstLine="720"/>
        <w:jc w:val="both"/>
        <w:rPr>
          <w:rFonts w:ascii="Cambria" w:hAnsi="Cambria"/>
          <w:b/>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Style w:val="Strong"/>
          <w:rFonts w:ascii="Cambria" w:hAnsi="Cambria"/>
          <w:b w:val="0"/>
          <w:sz w:val="16"/>
          <w:szCs w:val="16"/>
        </w:rPr>
        <w:t xml:space="preserve">I/A Court H.R., </w:t>
      </w:r>
      <w:r w:rsidRPr="00CA01AD">
        <w:rPr>
          <w:rStyle w:val="Strong"/>
          <w:rFonts w:ascii="Cambria" w:hAnsi="Cambria"/>
          <w:b w:val="0"/>
          <w:i/>
          <w:iCs/>
          <w:sz w:val="16"/>
          <w:szCs w:val="16"/>
        </w:rPr>
        <w:t>Case of Argüelles et al. v.</w:t>
      </w:r>
      <w:r w:rsidRPr="00CA01AD">
        <w:rPr>
          <w:rStyle w:val="Strong"/>
          <w:rFonts w:ascii="Cambria" w:hAnsi="Cambria"/>
          <w:b w:val="0"/>
          <w:sz w:val="16"/>
          <w:szCs w:val="16"/>
        </w:rPr>
        <w:t xml:space="preserve"> </w:t>
      </w:r>
      <w:r w:rsidRPr="00CA01AD">
        <w:rPr>
          <w:rStyle w:val="Strong"/>
          <w:rFonts w:ascii="Cambria" w:hAnsi="Cambria"/>
          <w:b w:val="0"/>
          <w:i/>
          <w:iCs/>
          <w:sz w:val="16"/>
          <w:szCs w:val="16"/>
        </w:rPr>
        <w:t>Argentina,</w:t>
      </w:r>
      <w:r w:rsidRPr="00CA01AD">
        <w:rPr>
          <w:rStyle w:val="Strong"/>
          <w:rFonts w:ascii="Cambria" w:hAnsi="Cambria"/>
          <w:b w:val="0"/>
          <w:sz w:val="16"/>
          <w:szCs w:val="16"/>
        </w:rPr>
        <w:t xml:space="preserve"> Preliminary Objections, Merits, Reparations, and Costs, Judgment of November 20, 2014. Series C No. 288, paragraph 122. </w:t>
      </w:r>
    </w:p>
  </w:footnote>
  <w:footnote w:id="84">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iCs/>
          <w:sz w:val="16"/>
          <w:szCs w:val="16"/>
        </w:rPr>
        <w:t>Case of Argüelles et al. v.</w:t>
      </w:r>
      <w:r w:rsidRPr="00CA01AD">
        <w:rPr>
          <w:rFonts w:ascii="Cambria" w:hAnsi="Cambria"/>
          <w:sz w:val="16"/>
          <w:szCs w:val="16"/>
        </w:rPr>
        <w:t xml:space="preserve"> </w:t>
      </w:r>
      <w:r w:rsidRPr="00CA01AD">
        <w:rPr>
          <w:rFonts w:ascii="Cambria" w:hAnsi="Cambria"/>
          <w:i/>
          <w:iCs/>
          <w:sz w:val="16"/>
          <w:szCs w:val="16"/>
        </w:rPr>
        <w:t>Argentina,</w:t>
      </w:r>
      <w:r w:rsidRPr="00CA01AD">
        <w:rPr>
          <w:rFonts w:ascii="Cambria" w:hAnsi="Cambria"/>
          <w:sz w:val="16"/>
          <w:szCs w:val="16"/>
        </w:rPr>
        <w:t xml:space="preserve"> Preliminary Objections, Merits, Reparations, and Costs, Judgment of November 20, 2014. Series C No. 288, paragraph 121.</w:t>
      </w:r>
    </w:p>
  </w:footnote>
  <w:footnote w:id="85">
    <w:p w:rsidR="00B04C46" w:rsidRPr="00CA01AD" w:rsidRDefault="00B04C46" w:rsidP="005074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Report No. 2/97, Case 11.205, Merits, Jorge Luis Bronstein et al., Argentina, March 11, 1997, paragraph 12; IACHR, Third Report on the Situation of Human Rights in Paraguay, OEA/Ser./L/VII.110. Doc. 52, adopted on March 9, 2001, Ch. IV, paragraph 34. See also: I/A Court H.R., </w:t>
      </w:r>
      <w:r w:rsidRPr="00CA01AD">
        <w:rPr>
          <w:rFonts w:ascii="Cambria" w:hAnsi="Cambria"/>
          <w:i/>
          <w:iCs/>
          <w:sz w:val="16"/>
          <w:szCs w:val="16"/>
        </w:rPr>
        <w:t>Case of López Álvarez v.</w:t>
      </w:r>
      <w:r w:rsidRPr="00CA01AD">
        <w:rPr>
          <w:rFonts w:ascii="Cambria" w:hAnsi="Cambria"/>
          <w:sz w:val="16"/>
          <w:szCs w:val="16"/>
        </w:rPr>
        <w:t xml:space="preserve"> </w:t>
      </w:r>
      <w:r w:rsidRPr="00CA01AD">
        <w:rPr>
          <w:rFonts w:ascii="Cambria" w:hAnsi="Cambria"/>
          <w:i/>
          <w:iCs/>
          <w:sz w:val="16"/>
          <w:szCs w:val="16"/>
        </w:rPr>
        <w:t>Honduras,</w:t>
      </w:r>
      <w:r w:rsidRPr="00CA01AD">
        <w:rPr>
          <w:rFonts w:ascii="Cambria" w:hAnsi="Cambria"/>
          <w:sz w:val="16"/>
          <w:szCs w:val="16"/>
        </w:rPr>
        <w:t xml:space="preserve"> Judgment of February 1, 2006. Series C No. 141, paragraph 69; I/A Court H.R., </w:t>
      </w:r>
      <w:r w:rsidRPr="00CA01AD">
        <w:rPr>
          <w:rFonts w:ascii="Cambria" w:hAnsi="Cambria"/>
          <w:i/>
          <w:iCs/>
          <w:sz w:val="16"/>
          <w:szCs w:val="16"/>
        </w:rPr>
        <w:t>Case of Acosta Calderón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Judgment of June 24, 2005, Series C No. 129, paragraph 111; I/A Court H.R., </w:t>
      </w:r>
      <w:r w:rsidRPr="00CA01AD">
        <w:rPr>
          <w:rFonts w:ascii="Cambria" w:hAnsi="Cambria"/>
          <w:i/>
          <w:iCs/>
          <w:sz w:val="16"/>
          <w:szCs w:val="16"/>
        </w:rPr>
        <w:t>Case of Tibi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Judgment of September 7, 2004, Series C No. 114, paragraph 180; I/A Court H.R., </w:t>
      </w:r>
      <w:r w:rsidRPr="00CA01AD">
        <w:rPr>
          <w:rFonts w:ascii="Cambria" w:hAnsi="Cambria"/>
          <w:i/>
          <w:iCs/>
          <w:sz w:val="16"/>
          <w:szCs w:val="16"/>
        </w:rPr>
        <w:t>Case of the “Juvenile Reeducation Institute” v.</w:t>
      </w:r>
      <w:r w:rsidRPr="00CA01AD">
        <w:rPr>
          <w:rFonts w:ascii="Cambria" w:hAnsi="Cambria"/>
          <w:sz w:val="16"/>
          <w:szCs w:val="16"/>
        </w:rPr>
        <w:t xml:space="preserve"> </w:t>
      </w:r>
      <w:r w:rsidRPr="00CA01AD">
        <w:rPr>
          <w:rFonts w:ascii="Cambria" w:hAnsi="Cambria"/>
          <w:i/>
          <w:iCs/>
          <w:sz w:val="16"/>
          <w:szCs w:val="16"/>
        </w:rPr>
        <w:t>Paraguay,</w:t>
      </w:r>
      <w:r w:rsidRPr="00CA01AD">
        <w:rPr>
          <w:rFonts w:ascii="Cambria" w:hAnsi="Cambria"/>
          <w:sz w:val="16"/>
          <w:szCs w:val="16"/>
        </w:rPr>
        <w:t xml:space="preserve"> Judgment of September 2, 2004, Series C No. 112, paragraph 229; I/A Court H.R., </w:t>
      </w:r>
      <w:r w:rsidRPr="00CA01AD">
        <w:rPr>
          <w:rFonts w:ascii="Cambria" w:hAnsi="Cambria"/>
          <w:i/>
          <w:iCs/>
          <w:sz w:val="16"/>
          <w:szCs w:val="16"/>
        </w:rPr>
        <w:t>Case of Suárez Rosero v.</w:t>
      </w:r>
      <w:r w:rsidRPr="00CA01AD">
        <w:rPr>
          <w:rFonts w:ascii="Cambria" w:hAnsi="Cambria"/>
          <w:sz w:val="16"/>
          <w:szCs w:val="16"/>
        </w:rPr>
        <w:t xml:space="preserve"> </w:t>
      </w:r>
      <w:r w:rsidRPr="00CA01AD">
        <w:rPr>
          <w:rFonts w:ascii="Cambria" w:hAnsi="Cambria"/>
          <w:i/>
          <w:iCs/>
          <w:sz w:val="16"/>
          <w:szCs w:val="16"/>
        </w:rPr>
        <w:t>Ecuador,</w:t>
      </w:r>
      <w:r w:rsidRPr="00CA01AD">
        <w:rPr>
          <w:rFonts w:ascii="Cambria" w:hAnsi="Cambria"/>
          <w:sz w:val="16"/>
          <w:szCs w:val="16"/>
        </w:rPr>
        <w:t xml:space="preserve"> Judgment of November 12, 1997, Series C No. 35, paragraph 77.</w:t>
      </w:r>
    </w:p>
  </w:footnote>
  <w:footnote w:id="86">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w:t>
      </w:r>
      <w:hyperlink r:id="rId6" w:history="1">
        <w:r w:rsidRPr="00CA01AD">
          <w:rPr>
            <w:rStyle w:val="Hyperlink"/>
            <w:rFonts w:ascii="Cambria" w:hAnsi="Cambria"/>
            <w:sz w:val="16"/>
            <w:szCs w:val="16"/>
          </w:rPr>
          <w:t>Report No.</w:t>
        </w:r>
        <w:r w:rsidRPr="00CA01AD">
          <w:rPr>
            <w:rStyle w:val="Hyperlink"/>
            <w:rFonts w:ascii="Cambria" w:hAnsi="Cambria"/>
            <w:sz w:val="16"/>
            <w:szCs w:val="16"/>
            <w:u w:val="none"/>
          </w:rPr>
          <w:t xml:space="preserve"> 12/96</w:t>
        </w:r>
      </w:hyperlink>
      <w:r w:rsidRPr="00CA01AD">
        <w:rPr>
          <w:rFonts w:ascii="Cambria" w:hAnsi="Cambria"/>
          <w:sz w:val="16"/>
          <w:szCs w:val="16"/>
        </w:rPr>
        <w:t xml:space="preserve">. Argentina. Case 11.245, March 1, 1996, paragraph 80. </w:t>
      </w:r>
    </w:p>
  </w:footnote>
  <w:footnote w:id="87">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w:t>
      </w:r>
      <w:hyperlink r:id="rId7" w:history="1">
        <w:r w:rsidRPr="00CA01AD">
          <w:rPr>
            <w:rStyle w:val="Hyperlink"/>
            <w:rFonts w:ascii="Cambria" w:hAnsi="Cambria"/>
            <w:sz w:val="16"/>
            <w:szCs w:val="16"/>
          </w:rPr>
          <w:t>Report No.</w:t>
        </w:r>
        <w:r w:rsidRPr="00CA01AD">
          <w:rPr>
            <w:rStyle w:val="Hyperlink"/>
            <w:rFonts w:ascii="Cambria" w:hAnsi="Cambria"/>
            <w:sz w:val="16"/>
            <w:szCs w:val="16"/>
            <w:u w:val="none"/>
          </w:rPr>
          <w:t xml:space="preserve"> 12/96</w:t>
        </w:r>
      </w:hyperlink>
      <w:r w:rsidRPr="00CA01AD">
        <w:rPr>
          <w:rFonts w:ascii="Cambria" w:hAnsi="Cambria"/>
          <w:sz w:val="16"/>
          <w:szCs w:val="16"/>
        </w:rPr>
        <w:t xml:space="preserve">. Argentina. Case 11.245, March 1, 1996, par. 114. </w:t>
      </w:r>
    </w:p>
  </w:footnote>
  <w:footnote w:id="88">
    <w:p w:rsidR="00B04C46" w:rsidRPr="00CA01AD" w:rsidRDefault="00B04C46" w:rsidP="005074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Calibri"/>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iCs/>
          <w:sz w:val="16"/>
          <w:szCs w:val="16"/>
        </w:rPr>
        <w:t>Case of Usón Ramírez v.</w:t>
      </w:r>
      <w:r w:rsidRPr="00CA01AD">
        <w:rPr>
          <w:rFonts w:ascii="Cambria" w:hAnsi="Cambria"/>
          <w:sz w:val="16"/>
          <w:szCs w:val="16"/>
        </w:rPr>
        <w:t xml:space="preserve"> </w:t>
      </w:r>
      <w:r w:rsidRPr="00CA01AD">
        <w:rPr>
          <w:rFonts w:ascii="Cambria" w:hAnsi="Cambria"/>
          <w:i/>
          <w:iCs/>
          <w:sz w:val="16"/>
          <w:szCs w:val="16"/>
        </w:rPr>
        <w:t>Venezuela,</w:t>
      </w:r>
      <w:r w:rsidRPr="00CA01AD">
        <w:rPr>
          <w:rFonts w:ascii="Cambria" w:hAnsi="Cambria"/>
          <w:sz w:val="16"/>
          <w:szCs w:val="16"/>
        </w:rPr>
        <w:t xml:space="preserve"> Preliminary Objections, Merits, Reparations and Costs, Judgment of November 20, 2009, Series C No. 207, paragraph 144.</w:t>
      </w:r>
    </w:p>
  </w:footnote>
  <w:footnote w:id="89">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sz w:val="16"/>
          <w:szCs w:val="16"/>
        </w:rPr>
        <w:t xml:space="preserve"> IACHR, </w:t>
      </w:r>
      <w:hyperlink r:id="rId8" w:history="1">
        <w:r w:rsidRPr="00CA01AD">
          <w:rPr>
            <w:rStyle w:val="Hyperlink"/>
            <w:rFonts w:ascii="Cambria" w:hAnsi="Cambria"/>
            <w:i/>
            <w:iCs/>
            <w:sz w:val="16"/>
            <w:szCs w:val="16"/>
            <w:u w:val="none"/>
          </w:rPr>
          <w:t>Report on the Use of Pretrial Detention in the Americas</w:t>
        </w:r>
      </w:hyperlink>
      <w:r w:rsidRPr="00CA01AD">
        <w:rPr>
          <w:rFonts w:ascii="Cambria" w:hAnsi="Cambria"/>
          <w:sz w:val="16"/>
          <w:szCs w:val="16"/>
        </w:rPr>
        <w:t>, OEA/Ser.L/V/II. December 30, 2013 paragraph 137.</w:t>
      </w:r>
    </w:p>
  </w:footnote>
  <w:footnote w:id="90">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Article 177 of the Ecuadorian Code of Criminal Procedure of 1983. (L. 134-PCL. RO 511: 10-jun-1983). I/A Court H.R. </w:t>
      </w:r>
      <w:r w:rsidRPr="00CA01AD">
        <w:rPr>
          <w:rFonts w:ascii="Cambria" w:hAnsi="Cambria"/>
          <w:i/>
          <w:color w:val="auto"/>
          <w:sz w:val="16"/>
          <w:szCs w:val="16"/>
        </w:rPr>
        <w:t>Case of Suárez Rosero v. Ecuador</w:t>
      </w:r>
      <w:r w:rsidRPr="00CA01AD">
        <w:rPr>
          <w:rFonts w:ascii="Cambria" w:hAnsi="Cambria"/>
          <w:color w:val="auto"/>
          <w:sz w:val="16"/>
          <w:szCs w:val="16"/>
        </w:rPr>
        <w:t xml:space="preserve">. Judgment of November 12, 1997. Series C No. 35, paragraph 146; and </w:t>
      </w:r>
      <w:r w:rsidRPr="00CA01AD">
        <w:rPr>
          <w:rFonts w:ascii="Cambria" w:hAnsi="Cambria"/>
          <w:bCs/>
          <w:i/>
          <w:color w:val="auto"/>
          <w:sz w:val="16"/>
          <w:szCs w:val="16"/>
        </w:rPr>
        <w:t>Case of Chaparro Álvarez and Lapo Íñiguez v. Ecuador.</w:t>
      </w:r>
      <w:r w:rsidRPr="00CA01AD">
        <w:rPr>
          <w:rFonts w:ascii="Cambria" w:hAnsi="Cambria"/>
          <w:bCs/>
          <w:color w:val="auto"/>
          <w:sz w:val="16"/>
          <w:szCs w:val="16"/>
        </w:rPr>
        <w:t xml:space="preserve"> </w:t>
      </w:r>
      <w:r w:rsidRPr="00CA01AD">
        <w:rPr>
          <w:rFonts w:ascii="Cambria" w:hAnsi="Cambria"/>
          <w:color w:val="auto"/>
          <w:sz w:val="16"/>
          <w:szCs w:val="16"/>
        </w:rPr>
        <w:t>Preliminary Objections, Merits, Reparations, and Costs. Judgment of November 21, 2007. Series C No. 170, paragraph 104.</w:t>
      </w:r>
    </w:p>
  </w:footnote>
  <w:footnote w:id="91">
    <w:p w:rsidR="00B04C46" w:rsidRPr="00CA01AD" w:rsidRDefault="00B04C46" w:rsidP="005074AD">
      <w:pPr>
        <w:pStyle w:val="FootnoteText"/>
        <w:ind w:firstLine="720"/>
        <w:jc w:val="both"/>
        <w:rPr>
          <w:rFonts w:ascii="Cambria" w:hAnsi="Cambria" w:cs="Arial"/>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Report No. 53/16. Case 12.056. Merits Report. Gabriel Oscar Jenkins. Argentina. December 6, 2016. Paragraph 149. </w:t>
      </w:r>
    </w:p>
  </w:footnote>
  <w:footnote w:id="92">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Case of Acosta Calderón v. Ecuador</w:t>
      </w:r>
      <w:r w:rsidRPr="00CA01AD">
        <w:rPr>
          <w:rFonts w:ascii="Cambria" w:hAnsi="Cambria"/>
          <w:color w:val="auto"/>
          <w:sz w:val="16"/>
          <w:szCs w:val="16"/>
        </w:rPr>
        <w:t xml:space="preserve">. Merits, Reparations, and Costs. Judgment of June 24, 2005. Series C No. 129, paragraph 61; and </w:t>
      </w:r>
      <w:r w:rsidRPr="00CA01AD">
        <w:rPr>
          <w:rFonts w:ascii="Cambria" w:hAnsi="Cambria"/>
          <w:i/>
          <w:iCs/>
          <w:color w:val="auto"/>
          <w:sz w:val="16"/>
          <w:szCs w:val="16"/>
        </w:rPr>
        <w:t>Case of Tibi v. Ecuador</w:t>
      </w:r>
      <w:r w:rsidRPr="00CA01AD">
        <w:rPr>
          <w:rFonts w:ascii="Cambria" w:hAnsi="Cambria"/>
          <w:color w:val="auto"/>
          <w:sz w:val="16"/>
          <w:szCs w:val="16"/>
        </w:rPr>
        <w:t>. Judgment of September 7, 2004. Series C No. 114, paragraph 76.</w:t>
      </w:r>
    </w:p>
  </w:footnote>
  <w:footnote w:id="93">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w:t>
      </w:r>
      <w:r w:rsidRPr="00CA01AD">
        <w:rPr>
          <w:rFonts w:ascii="Cambria" w:hAnsi="Cambria"/>
          <w:i/>
          <w:color w:val="auto"/>
          <w:sz w:val="16"/>
          <w:szCs w:val="16"/>
        </w:rPr>
        <w:t xml:space="preserve">Report on the Human Rights of Persons Deprived of Liberty in the Americas, </w:t>
      </w:r>
      <w:r w:rsidRPr="00CA01AD">
        <w:rPr>
          <w:rFonts w:ascii="Cambria" w:hAnsi="Cambria"/>
          <w:color w:val="auto"/>
          <w:sz w:val="16"/>
          <w:szCs w:val="16"/>
        </w:rPr>
        <w:t>December</w:t>
      </w:r>
      <w:r w:rsidRPr="00CA01AD">
        <w:rPr>
          <w:rFonts w:ascii="Cambria" w:hAnsi="Cambria"/>
          <w:i/>
          <w:color w:val="auto"/>
          <w:sz w:val="16"/>
          <w:szCs w:val="16"/>
        </w:rPr>
        <w:t xml:space="preserve"> </w:t>
      </w:r>
      <w:r w:rsidRPr="00CA01AD">
        <w:rPr>
          <w:rFonts w:ascii="Cambria" w:hAnsi="Cambria"/>
          <w:color w:val="auto"/>
          <w:sz w:val="16"/>
          <w:szCs w:val="16"/>
        </w:rPr>
        <w:t>31, 2011, paragraph 120.</w:t>
      </w:r>
    </w:p>
  </w:footnote>
  <w:footnote w:id="94">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Case of Acosta Calderón v. Ecuador</w:t>
      </w:r>
      <w:r w:rsidRPr="00CA01AD">
        <w:rPr>
          <w:rFonts w:ascii="Cambria" w:hAnsi="Cambria"/>
          <w:color w:val="auto"/>
          <w:sz w:val="16"/>
          <w:szCs w:val="16"/>
        </w:rPr>
        <w:t xml:space="preserve">. Merits, Reparations, and Costs. Judgment of June 24, 2005. Series C No. 129, paragraph 61; and </w:t>
      </w:r>
      <w:r w:rsidRPr="00CA01AD">
        <w:rPr>
          <w:rFonts w:ascii="Cambria" w:hAnsi="Cambria"/>
          <w:i/>
          <w:iCs/>
          <w:color w:val="auto"/>
          <w:sz w:val="16"/>
          <w:szCs w:val="16"/>
        </w:rPr>
        <w:t>Case of Tibi v. Ecuador</w:t>
      </w:r>
      <w:r w:rsidRPr="00CA01AD">
        <w:rPr>
          <w:rFonts w:ascii="Cambria" w:hAnsi="Cambria"/>
          <w:color w:val="auto"/>
          <w:sz w:val="16"/>
          <w:szCs w:val="16"/>
        </w:rPr>
        <w:t>. Judgment of September 7, 2004. Series C No. 114, paragraph 78.</w:t>
      </w:r>
    </w:p>
  </w:footnote>
  <w:footnote w:id="95">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Case of Acosta Calderón v. Ecuador</w:t>
      </w:r>
      <w:r w:rsidRPr="00CA01AD">
        <w:rPr>
          <w:rFonts w:ascii="Cambria" w:hAnsi="Cambria"/>
          <w:color w:val="auto"/>
          <w:sz w:val="16"/>
          <w:szCs w:val="16"/>
        </w:rPr>
        <w:t xml:space="preserve">. Merits, Reparations, and Costs. Judgment of June 24, 2005. Series C No. 129, paragraph 61; and </w:t>
      </w:r>
      <w:r w:rsidRPr="00CA01AD">
        <w:rPr>
          <w:rFonts w:ascii="Cambria" w:hAnsi="Cambria"/>
          <w:i/>
          <w:iCs/>
          <w:color w:val="auto"/>
          <w:sz w:val="16"/>
          <w:szCs w:val="16"/>
        </w:rPr>
        <w:t>Case of Tibi v. Ecuador</w:t>
      </w:r>
      <w:r w:rsidRPr="00CA01AD">
        <w:rPr>
          <w:rFonts w:ascii="Cambria" w:hAnsi="Cambria"/>
          <w:color w:val="auto"/>
          <w:sz w:val="16"/>
          <w:szCs w:val="16"/>
        </w:rPr>
        <w:t>. Judgment of September 7, 2004. Series C No. 114, paragraph 80.</w:t>
      </w:r>
    </w:p>
  </w:footnote>
  <w:footnote w:id="96">
    <w:p w:rsidR="00B04C46" w:rsidRPr="00CA01AD" w:rsidRDefault="00B04C46" w:rsidP="005074AD">
      <w:pPr>
        <w:pStyle w:val="FootnoteText"/>
        <w:ind w:firstLine="720"/>
        <w:jc w:val="both"/>
        <w:rPr>
          <w:rFonts w:ascii="Cambria" w:hAnsi="Cambria"/>
          <w:color w:val="auto"/>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bCs/>
          <w:i/>
          <w:color w:val="auto"/>
          <w:sz w:val="16"/>
          <w:szCs w:val="16"/>
        </w:rPr>
        <w:t>Case of Vélez Loor v. Panama</w:t>
      </w:r>
      <w:r w:rsidRPr="00CA01AD">
        <w:rPr>
          <w:rFonts w:ascii="Cambria" w:hAnsi="Cambria"/>
          <w:bCs/>
          <w:color w:val="auto"/>
          <w:sz w:val="16"/>
          <w:szCs w:val="16"/>
        </w:rPr>
        <w:t>.</w:t>
      </w:r>
      <w:r w:rsidRPr="00CA01AD">
        <w:rPr>
          <w:rFonts w:ascii="Cambria" w:hAnsi="Cambria"/>
          <w:b/>
          <w:bCs/>
          <w:color w:val="auto"/>
          <w:sz w:val="16"/>
          <w:szCs w:val="16"/>
        </w:rPr>
        <w:t xml:space="preserve"> </w:t>
      </w:r>
      <w:r w:rsidRPr="00CA01AD">
        <w:rPr>
          <w:rFonts w:ascii="Cambria" w:hAnsi="Cambria"/>
          <w:color w:val="auto"/>
          <w:sz w:val="16"/>
          <w:szCs w:val="16"/>
        </w:rPr>
        <w:t xml:space="preserve">Preliminary Objections, Merits, Reparations, and Costs. Judgment of November 23, 2010 Series C No. 218. Paragraph 124. </w:t>
      </w:r>
    </w:p>
  </w:footnote>
  <w:footnote w:id="97">
    <w:p w:rsidR="00B04C46" w:rsidRPr="00CA01AD" w:rsidRDefault="00B04C46" w:rsidP="005074AD">
      <w:pPr>
        <w:pStyle w:val="FootnoteText"/>
        <w:ind w:firstLine="720"/>
        <w:jc w:val="both"/>
        <w:rPr>
          <w:rFonts w:ascii="Cambria" w:hAnsi="Cambria"/>
          <w:color w:val="auto"/>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 </w:t>
      </w:r>
      <w:r w:rsidRPr="00CA01AD">
        <w:rPr>
          <w:rFonts w:ascii="Cambria" w:hAnsi="Cambria"/>
          <w:i/>
          <w:color w:val="auto"/>
          <w:sz w:val="16"/>
          <w:szCs w:val="16"/>
          <w:lang w:val="es-ES"/>
        </w:rPr>
        <w:t>Case of Suárez Rosero V. Ecuador</w:t>
      </w:r>
      <w:r w:rsidRPr="00CA01AD">
        <w:rPr>
          <w:rFonts w:ascii="Cambria" w:hAnsi="Cambria"/>
          <w:color w:val="auto"/>
          <w:sz w:val="16"/>
          <w:szCs w:val="16"/>
          <w:lang w:val="es-ES"/>
        </w:rPr>
        <w:t xml:space="preserve">. </w:t>
      </w:r>
      <w:r w:rsidRPr="00CA01AD">
        <w:rPr>
          <w:rFonts w:ascii="Cambria" w:hAnsi="Cambria"/>
          <w:color w:val="auto"/>
          <w:sz w:val="16"/>
          <w:szCs w:val="16"/>
        </w:rPr>
        <w:t>Judgment of November 12, 1997. Series C No. 35. Paragraph 63.</w:t>
      </w:r>
    </w:p>
  </w:footnote>
  <w:footnote w:id="98">
    <w:p w:rsidR="00B04C46" w:rsidRPr="00CA01AD" w:rsidRDefault="00B04C46" w:rsidP="005074AD">
      <w:pPr>
        <w:pStyle w:val="FootnoteText"/>
        <w:ind w:firstLine="720"/>
        <w:jc w:val="both"/>
        <w:rPr>
          <w:rFonts w:ascii="Cambria" w:hAnsi="Cambria"/>
          <w:color w:val="auto"/>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w:t>
      </w:r>
      <w:r w:rsidRPr="00CA01AD">
        <w:rPr>
          <w:rFonts w:ascii="Cambria" w:hAnsi="Cambria"/>
          <w:i/>
          <w:color w:val="auto"/>
          <w:sz w:val="16"/>
          <w:szCs w:val="16"/>
        </w:rPr>
        <w:t>Report No. 51/01. Case 9903. Rafael Ferrer-Mazorra et al. v. United States of America</w:t>
      </w:r>
      <w:r w:rsidRPr="00CA01AD">
        <w:rPr>
          <w:rFonts w:ascii="Cambria" w:hAnsi="Cambria"/>
          <w:color w:val="auto"/>
          <w:sz w:val="16"/>
          <w:szCs w:val="16"/>
        </w:rPr>
        <w:t xml:space="preserve">, April 4, 2001, paragraph 232. </w:t>
      </w:r>
    </w:p>
  </w:footnote>
  <w:footnote w:id="99">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Fonts w:ascii="Cambria" w:hAnsi="Cambria"/>
          <w:sz w:val="16"/>
          <w:szCs w:val="16"/>
          <w:vertAlign w:val="superscript"/>
        </w:rPr>
        <w:footnoteRef/>
      </w:r>
      <w:r w:rsidRPr="00CA01AD">
        <w:rPr>
          <w:rFonts w:ascii="Cambria" w:hAnsi="Cambria"/>
          <w:sz w:val="16"/>
          <w:szCs w:val="16"/>
          <w:vertAlign w:val="superscript"/>
        </w:rPr>
        <w:t xml:space="preserve"> </w:t>
      </w:r>
      <w:r w:rsidRPr="00CA01AD">
        <w:rPr>
          <w:rFonts w:ascii="Cambria" w:hAnsi="Cambria"/>
          <w:sz w:val="16"/>
          <w:szCs w:val="16"/>
        </w:rPr>
        <w:t xml:space="preserve">IACHR, Report No. 139/10, P-139-10, Admissibility, Luis Giraldo Ordóñez Peralta, Ecuador, November 1, 2010, paragraph 29; IACHR, Report No. 66/01, Case 11.992, Merits, Dayra María Levoyer Jiménez, Ecuador, June 14, 2001, paragraphs 78-81; IACHR, Report No. 91/13, P-910-07, Admissibility, Daria Olinda Puertocarrero Hurtado, Ecuador, November 4, 2013. </w:t>
      </w:r>
    </w:p>
  </w:footnote>
  <w:footnote w:id="100">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sz w:val="16"/>
          <w:szCs w:val="16"/>
        </w:rPr>
        <w:t>Case of Chaparro Álvarez and Lapo Íñiguez. v. Ecuador</w:t>
      </w:r>
      <w:r w:rsidRPr="00CA01AD">
        <w:rPr>
          <w:rFonts w:ascii="Cambria" w:hAnsi="Cambria"/>
          <w:sz w:val="16"/>
          <w:szCs w:val="16"/>
        </w:rPr>
        <w:t>. Preliminary Objections, Merits, Reparations, and Costs. Judgment of November 21, 2007. Series C No. 170, paragraph 128.</w:t>
      </w:r>
    </w:p>
  </w:footnote>
  <w:footnote w:id="101">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sz w:val="16"/>
          <w:szCs w:val="16"/>
        </w:rPr>
        <w:t>Case of Chaparro Álvarez and Lapo Íñiguez. v. Ecuador</w:t>
      </w:r>
      <w:r w:rsidRPr="00CA01AD">
        <w:rPr>
          <w:rFonts w:ascii="Cambria" w:hAnsi="Cambria"/>
          <w:sz w:val="16"/>
          <w:szCs w:val="16"/>
        </w:rPr>
        <w:t>. Preliminary Objections, Merits, Reparations, and Costs. Judgment of November 21, 2007. Series C No. 170, paragraph 129.</w:t>
      </w:r>
    </w:p>
  </w:footnote>
  <w:footnote w:id="102">
    <w:p w:rsidR="00B04C46" w:rsidRPr="00CA01AD" w:rsidRDefault="00B04C46" w:rsidP="005074AD">
      <w:pPr>
        <w:tabs>
          <w:tab w:val="left" w:pos="720"/>
        </w:tabs>
        <w:suppressAutoHyphens/>
        <w:ind w:firstLine="720"/>
        <w:jc w:val="both"/>
        <w:rPr>
          <w:rFonts w:ascii="Cambria" w:hAnsi="Cambria"/>
          <w:spacing w:val="-3"/>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5 of the American Convention sets forth in this regard that: </w:t>
      </w:r>
      <w:r w:rsidRPr="00CA01AD">
        <w:rPr>
          <w:rFonts w:ascii="Cambria" w:hAnsi="Cambria"/>
          <w:spacing w:val="-3"/>
          <w:sz w:val="16"/>
          <w:szCs w:val="16"/>
        </w:rPr>
        <w:t xml:space="preserve">1. </w:t>
      </w:r>
      <w:r w:rsidRPr="00CA01AD">
        <w:rPr>
          <w:rFonts w:ascii="Cambria" w:hAnsi="Cambria"/>
          <w:sz w:val="16"/>
          <w:szCs w:val="16"/>
        </w:rPr>
        <w:t>Every person has the right to have his physical, mental, and moral integrity respected.</w:t>
      </w:r>
    </w:p>
    <w:p w:rsidR="00B04C46" w:rsidRPr="00CA01AD" w:rsidRDefault="00B04C46" w:rsidP="005074AD">
      <w:pPr>
        <w:pStyle w:val="FootnoteText"/>
        <w:ind w:right="720" w:firstLine="720"/>
        <w:jc w:val="both"/>
        <w:rPr>
          <w:rFonts w:ascii="Cambria" w:hAnsi="Cambria"/>
          <w:sz w:val="16"/>
          <w:szCs w:val="16"/>
        </w:rPr>
      </w:pPr>
      <w:r w:rsidRPr="00CA01AD">
        <w:rPr>
          <w:rFonts w:ascii="Cambria" w:hAnsi="Cambria"/>
          <w:spacing w:val="-3"/>
          <w:sz w:val="16"/>
          <w:szCs w:val="16"/>
        </w:rPr>
        <w:t xml:space="preserve">2. </w:t>
      </w:r>
      <w:r w:rsidRPr="00CA01AD">
        <w:rPr>
          <w:rFonts w:ascii="Cambria" w:hAnsi="Cambria"/>
          <w:sz w:val="16"/>
          <w:szCs w:val="16"/>
        </w:rPr>
        <w:t>No one shall be subjected to torture or to cruel, inhuman, or degrading punishment or treatment. All persons deprived of their liberty shall be treated with respect for the inherent dignity of the human person.</w:t>
      </w:r>
    </w:p>
  </w:footnote>
  <w:footnote w:id="103">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8 of the American Convention: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CA01AD">
        <w:rPr>
          <w:rFonts w:ascii="Cambria" w:eastAsia="Times New Roman" w:hAnsi="Cambria" w:cs="Tahoma"/>
          <w:sz w:val="16"/>
          <w:szCs w:val="16"/>
        </w:rPr>
        <w:t xml:space="preserve"> </w:t>
      </w:r>
      <w:r w:rsidRPr="00CA01AD">
        <w:rPr>
          <w:rFonts w:ascii="Cambria" w:hAnsi="Cambria" w:cs="Tahoma"/>
          <w:sz w:val="16"/>
          <w:szCs w:val="16"/>
          <w:lang w:eastAsia="es-ES_tradnl"/>
        </w:rPr>
        <w:t xml:space="preserve"> 2. </w:t>
      </w:r>
      <w:r w:rsidRPr="00CA01AD">
        <w:rPr>
          <w:rFonts w:ascii="Cambria" w:hAnsi="Cambria"/>
          <w:sz w:val="16"/>
          <w:szCs w:val="16"/>
        </w:rPr>
        <w:t>Every person accused of a criminal offense has the right to be presumed innocent so long as his guilt has not been proven according to law</w:t>
      </w:r>
      <w:r w:rsidRPr="00CA01AD">
        <w:rPr>
          <w:rFonts w:ascii="Cambria" w:hAnsi="Cambria" w:cs="Tahoma"/>
          <w:sz w:val="16"/>
          <w:szCs w:val="16"/>
          <w:lang w:eastAsia="es-ES_tradnl"/>
        </w:rPr>
        <w:t>. […].</w:t>
      </w:r>
      <w:r w:rsidRPr="00CA01AD">
        <w:rPr>
          <w:rFonts w:ascii="Cambria" w:eastAsia="Times New Roman" w:hAnsi="Cambria" w:cs="Tahoma"/>
          <w:sz w:val="16"/>
          <w:szCs w:val="16"/>
        </w:rPr>
        <w:t xml:space="preserve">” </w:t>
      </w:r>
    </w:p>
  </w:footnote>
  <w:footnote w:id="104">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25(1) of the American Convention: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CA01AD">
        <w:rPr>
          <w:rFonts w:ascii="Cambria" w:eastAsia="Times New Roman" w:hAnsi="Cambria" w:cs="Tahoma"/>
          <w:sz w:val="16"/>
          <w:szCs w:val="16"/>
        </w:rPr>
        <w:t xml:space="preserve">” </w:t>
      </w:r>
    </w:p>
  </w:footnote>
  <w:footnote w:id="105">
    <w:p w:rsidR="00B04C46" w:rsidRPr="00CA01AD" w:rsidRDefault="00B04C46" w:rsidP="005074AD">
      <w:pPr>
        <w:pStyle w:val="NormalWeb"/>
        <w:spacing w:before="0" w:beforeAutospacing="0" w:after="0" w:afterAutospacing="0"/>
        <w:ind w:left="75" w:right="75" w:firstLine="645"/>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1 of the Inter-American Convention to Prevent and Punish Torture: “</w:t>
      </w:r>
      <w:r w:rsidRPr="00CA01AD">
        <w:rPr>
          <w:rFonts w:ascii="Cambria" w:hAnsi="Cambria" w:cs="Tahoma"/>
          <w:sz w:val="16"/>
          <w:szCs w:val="16"/>
        </w:rPr>
        <w:t>The States Parties undertake to prevent and punish torture in accordance with the terms of this Convention.</w:t>
      </w:r>
      <w:r w:rsidRPr="00CA01AD">
        <w:rPr>
          <w:rFonts w:ascii="Cambria" w:hAnsi="Cambria"/>
          <w:sz w:val="16"/>
          <w:szCs w:val="16"/>
        </w:rPr>
        <w:t xml:space="preserve">” </w:t>
      </w:r>
    </w:p>
  </w:footnote>
  <w:footnote w:id="106">
    <w:p w:rsidR="00B04C46" w:rsidRPr="00CA01AD" w:rsidRDefault="00B04C46" w:rsidP="005074AD">
      <w:pPr>
        <w:pStyle w:val="NormalWeb"/>
        <w:spacing w:before="0" w:beforeAutospacing="0" w:after="0" w:afterAutospacing="0"/>
        <w:ind w:left="75" w:right="75" w:firstLine="645"/>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6 of the Inter-American Convention to Prevent and Punish Torture: “</w:t>
      </w:r>
      <w:r w:rsidRPr="00CA01AD">
        <w:rPr>
          <w:rFonts w:ascii="Cambria" w:hAnsi="Cambria" w:cs="Tahoma"/>
          <w:sz w:val="16"/>
          <w:szCs w:val="16"/>
        </w:rPr>
        <w:t>In accordance with the terms of Article 1, the States Parties shall take effective measures to prevent and punish torture within their jurisdiction.//The States Parties shall ensure that all acts of torture and attempts to commit torture are offenses under their criminal law and shall make such acts punishable by severe penalties that take into account their serious nature.//The States Parties likewise shall take effective measures to prevent and punish other cruel, inhuman, or degrading treatment or punishment within their jurisdiction.</w:t>
      </w:r>
      <w:r w:rsidRPr="00CA01AD">
        <w:rPr>
          <w:rFonts w:ascii="Cambria" w:hAnsi="Cambria"/>
          <w:sz w:val="16"/>
          <w:szCs w:val="16"/>
        </w:rPr>
        <w:t xml:space="preserve">” </w:t>
      </w:r>
    </w:p>
  </w:footnote>
  <w:footnote w:id="107">
    <w:p w:rsidR="00B04C46" w:rsidRPr="00CA01AD" w:rsidRDefault="00B04C46" w:rsidP="005074AD">
      <w:pPr>
        <w:pStyle w:val="NormalWeb"/>
        <w:spacing w:before="0" w:beforeAutospacing="0" w:after="0" w:afterAutospacing="0"/>
        <w:ind w:left="75" w:right="75" w:firstLine="645"/>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8 of the Inter-American Convention to Prevent and Punish Torture: “</w:t>
      </w:r>
      <w:r w:rsidRPr="00CA01AD">
        <w:rPr>
          <w:rFonts w:ascii="Cambria" w:hAnsi="Cambria" w:cs="Tahoma"/>
          <w:sz w:val="16"/>
          <w:szCs w:val="16"/>
        </w:rPr>
        <w:t>The States Parties shall guarantee that any person making an accusation of having been subjected to torture within their jurisdiction shall have the right to an impartial examination of his case.//Likewise,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process.//After all the domestic legal procedures of the respective State and the corresponding appeals have been exhausted, the case may be submitted to the international fora whose competence has been recognized by that State.</w:t>
      </w:r>
      <w:r w:rsidRPr="00CA01AD">
        <w:rPr>
          <w:rFonts w:ascii="Cambria" w:hAnsi="Cambria"/>
          <w:sz w:val="16"/>
          <w:szCs w:val="16"/>
        </w:rPr>
        <w:t xml:space="preserve">” </w:t>
      </w:r>
    </w:p>
  </w:footnote>
  <w:footnote w:id="108">
    <w:p w:rsidR="00B04C46" w:rsidRPr="00CA01AD" w:rsidRDefault="00B04C46" w:rsidP="005074AD">
      <w:pPr>
        <w:pStyle w:val="FootnoteText"/>
        <w:keepNext/>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w:t>
      </w:r>
      <w:r w:rsidRPr="00CA01AD">
        <w:rPr>
          <w:rFonts w:ascii="Cambria" w:hAnsi="Cambria"/>
          <w:i/>
          <w:color w:val="auto"/>
          <w:sz w:val="16"/>
          <w:szCs w:val="16"/>
        </w:rPr>
        <w:t>Report on Terrorism and Human Rights</w:t>
      </w:r>
      <w:r w:rsidRPr="00CA01AD">
        <w:rPr>
          <w:rFonts w:ascii="Cambria" w:hAnsi="Cambria"/>
          <w:color w:val="auto"/>
          <w:sz w:val="16"/>
          <w:szCs w:val="16"/>
        </w:rPr>
        <w:t xml:space="preserve">, OEA/SER.L/V/II.116, Doc. 5 rev. 1, corr., October 22, 2002. Citing. IACHR, </w:t>
      </w:r>
      <w:r w:rsidRPr="00CA01AD">
        <w:rPr>
          <w:rFonts w:ascii="Cambria" w:hAnsi="Cambria" w:cs="Helvetica"/>
          <w:i/>
          <w:iCs/>
          <w:color w:val="3F3F3F"/>
          <w:sz w:val="16"/>
          <w:szCs w:val="16"/>
          <w:shd w:val="clear" w:color="auto" w:fill="FFFFFF"/>
        </w:rPr>
        <w:t>Report on the Situation of Human Rights of Asylum Seekers Within the Canadian Refugee Determination System</w:t>
      </w:r>
      <w:r w:rsidRPr="00CA01AD">
        <w:rPr>
          <w:rFonts w:ascii="Cambria" w:hAnsi="Cambria"/>
          <w:color w:val="auto"/>
          <w:sz w:val="16"/>
          <w:szCs w:val="16"/>
        </w:rPr>
        <w:t xml:space="preserve">, OEA/Ser.L/V/II.106, Doc. 40 rev., February 28, 2000, paragraph 118. </w:t>
      </w:r>
    </w:p>
  </w:footnote>
  <w:footnote w:id="109">
    <w:p w:rsidR="00B04C46" w:rsidRPr="00CA01AD" w:rsidRDefault="00B04C46" w:rsidP="005074AD">
      <w:pPr>
        <w:keepNext/>
        <w:tabs>
          <w:tab w:val="left" w:pos="900"/>
          <w:tab w:val="left" w:pos="1080"/>
        </w:tabs>
        <w:ind w:firstLine="720"/>
        <w:jc w:val="both"/>
        <w:rPr>
          <w:rFonts w:ascii="Cambria" w:hAnsi="Cambria"/>
          <w:sz w:val="16"/>
          <w:szCs w:val="16"/>
        </w:rPr>
      </w:pPr>
      <w:r w:rsidRPr="00CA01AD">
        <w:rPr>
          <w:rFonts w:ascii="Cambria" w:hAnsi="Cambria"/>
          <w:sz w:val="16"/>
          <w:szCs w:val="16"/>
        </w:rPr>
        <w:tab/>
      </w: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sz w:val="16"/>
          <w:szCs w:val="16"/>
        </w:rPr>
        <w:t>Case of Bueno Alves v. Argentina</w:t>
      </w:r>
      <w:r w:rsidRPr="00CA01AD">
        <w:rPr>
          <w:rFonts w:ascii="Cambria" w:hAnsi="Cambria"/>
          <w:sz w:val="16"/>
          <w:szCs w:val="16"/>
        </w:rPr>
        <w:t xml:space="preserve">. Merits, Reparations, and Costs. Judgment of May 11, 2007. Series C No. 164, paragraph 76; I/A Court H.R. </w:t>
      </w:r>
      <w:r w:rsidRPr="00CA01AD">
        <w:rPr>
          <w:rFonts w:ascii="Cambria" w:hAnsi="Cambria"/>
          <w:i/>
          <w:sz w:val="16"/>
          <w:szCs w:val="16"/>
        </w:rPr>
        <w:t>Case of the Miguel Castro-Castro Prison v. Peru</w:t>
      </w:r>
      <w:r w:rsidRPr="00CA01AD">
        <w:rPr>
          <w:rFonts w:ascii="Cambria" w:hAnsi="Cambria"/>
          <w:sz w:val="16"/>
          <w:szCs w:val="16"/>
        </w:rPr>
        <w:t xml:space="preserve">. Merits, Reparations, and Costs. Judgment of November 25, 2006. Series C No. 160, paragraph 271; and I/A Court H.R. </w:t>
      </w:r>
      <w:r w:rsidRPr="00CA01AD">
        <w:rPr>
          <w:rFonts w:ascii="Cambria" w:hAnsi="Cambria"/>
          <w:i/>
          <w:sz w:val="16"/>
          <w:szCs w:val="16"/>
        </w:rPr>
        <w:t>Case of Baldeón García v. Peru</w:t>
      </w:r>
      <w:r w:rsidRPr="00CA01AD">
        <w:rPr>
          <w:rFonts w:ascii="Cambria" w:hAnsi="Cambria"/>
          <w:sz w:val="16"/>
          <w:szCs w:val="16"/>
        </w:rPr>
        <w:t xml:space="preserve">. Merits, Reparations, and Costs. Judgment of April 6, 2006. Series C No. 147, paragraph 117. </w:t>
      </w:r>
    </w:p>
  </w:footnote>
  <w:footnote w:id="110">
    <w:p w:rsidR="00B04C46" w:rsidRPr="00CA01AD" w:rsidRDefault="00B04C46" w:rsidP="005074AD">
      <w:pPr>
        <w:pStyle w:val="FootnoteText"/>
        <w:keepNext/>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Report No. 5/96, Case 10.970, Merits, Raquel Martin Mejía, Peru, March 1, 1996, section 3; and I/A Court H.R. </w:t>
      </w:r>
      <w:r w:rsidRPr="00CA01AD">
        <w:rPr>
          <w:rFonts w:ascii="Cambria" w:hAnsi="Cambria"/>
          <w:i/>
          <w:color w:val="auto"/>
          <w:sz w:val="16"/>
          <w:szCs w:val="16"/>
        </w:rPr>
        <w:t>Case of Bueno Alves v. Argentina</w:t>
      </w:r>
      <w:r w:rsidRPr="00CA01AD">
        <w:rPr>
          <w:rFonts w:ascii="Cambria" w:hAnsi="Cambria"/>
          <w:color w:val="auto"/>
          <w:sz w:val="16"/>
          <w:szCs w:val="16"/>
        </w:rPr>
        <w:t xml:space="preserve">. Merits, Reparations, and Costs. Judgment of May 11, 2007. Series C No. 164, paragraph 79. </w:t>
      </w:r>
    </w:p>
  </w:footnote>
  <w:footnote w:id="111">
    <w:p w:rsidR="00B04C46" w:rsidRPr="00CA01AD" w:rsidRDefault="00B04C46" w:rsidP="005074AD">
      <w:pPr>
        <w:pStyle w:val="FootnoteText"/>
        <w:tabs>
          <w:tab w:val="left" w:pos="1260"/>
        </w:tabs>
        <w:ind w:firstLine="720"/>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IACHR, Report No. 82/13, Case 12.679, Merits, José Agapito Ruano Torres and Family. El Salvador, November 4, 2013, paragraph 162. I/A Court H.R. </w:t>
      </w:r>
      <w:r w:rsidRPr="00CA01AD">
        <w:rPr>
          <w:rFonts w:ascii="Cambria" w:hAnsi="Cambria"/>
          <w:i/>
          <w:sz w:val="16"/>
          <w:szCs w:val="16"/>
        </w:rPr>
        <w:t>Cabrera García and Montiel Flores v. Mexico</w:t>
      </w:r>
      <w:r w:rsidRPr="00CA01AD">
        <w:rPr>
          <w:rFonts w:ascii="Cambria" w:hAnsi="Cambria"/>
          <w:sz w:val="16"/>
          <w:szCs w:val="16"/>
        </w:rPr>
        <w:t xml:space="preserve">. Judgment of November 26, 2010. Series C No. 220, paragraph 128. </w:t>
      </w:r>
    </w:p>
  </w:footnote>
  <w:footnote w:id="112">
    <w:p w:rsidR="00B04C46" w:rsidRPr="00CA01AD" w:rsidRDefault="00B04C46" w:rsidP="005074AD">
      <w:pPr>
        <w:pStyle w:val="FootnoteText"/>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Case of Tibi v. Ecuador.</w:t>
      </w:r>
      <w:r w:rsidRPr="00CA01AD">
        <w:rPr>
          <w:rFonts w:ascii="Cambria" w:hAnsi="Cambria"/>
          <w:color w:val="auto"/>
          <w:sz w:val="16"/>
          <w:szCs w:val="16"/>
        </w:rPr>
        <w:t xml:space="preserve"> Preliminary Objections, Merits, Reparations, and Costs. Judgment of September 7, 2004. Series C No. 114, paragraph 159.</w:t>
      </w:r>
    </w:p>
  </w:footnote>
  <w:footnote w:id="113">
    <w:p w:rsidR="00B04C46" w:rsidRPr="00CA01AD" w:rsidRDefault="00B04C46" w:rsidP="005074AD">
      <w:pPr>
        <w:tabs>
          <w:tab w:val="left" w:pos="0"/>
        </w:tabs>
        <w:suppressAutoHyphens/>
        <w:ind w:firstLine="720"/>
        <w:jc w:val="both"/>
        <w:rPr>
          <w:rFonts w:ascii="Cambria" w:hAnsi="Cambria"/>
          <w:spacing w:val="-3"/>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Article 8 of the Convention provides in this regard that: </w:t>
      </w:r>
      <w:r w:rsidRPr="00CA01AD">
        <w:rPr>
          <w:rFonts w:ascii="Cambria" w:hAnsi="Cambria"/>
          <w:spacing w:val="-3"/>
          <w:sz w:val="16"/>
          <w:szCs w:val="16"/>
        </w:rPr>
        <w:t xml:space="preserve">1. </w:t>
      </w:r>
      <w:r w:rsidRPr="00CA01AD">
        <w:rPr>
          <w:rFonts w:ascii="Cambria" w:hAnsi="Cambria"/>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CA01AD">
        <w:rPr>
          <w:rFonts w:ascii="Cambria" w:hAnsi="Cambria"/>
          <w:spacing w:val="-3"/>
          <w:sz w:val="16"/>
          <w:szCs w:val="16"/>
        </w:rPr>
        <w:t xml:space="preserve">. 2. </w:t>
      </w:r>
      <w:r w:rsidRPr="00CA01AD">
        <w:rPr>
          <w:rFonts w:ascii="Cambria" w:hAnsi="Cambria"/>
          <w:sz w:val="16"/>
          <w:szCs w:val="16"/>
        </w:rPr>
        <w:t>Every person accused of a criminal offense has the right to be presumed innocent so long as his guilt has not been proven according to law. During the proceedings, every person is entitled, with full equality, to the following minimum guarantees:</w:t>
      </w:r>
      <w:r w:rsidRPr="00CA01AD">
        <w:rPr>
          <w:rFonts w:ascii="Cambria" w:hAnsi="Cambria"/>
          <w:spacing w:val="-3"/>
          <w:sz w:val="16"/>
          <w:szCs w:val="16"/>
        </w:rPr>
        <w:t xml:space="preserve"> (…) d. </w:t>
      </w:r>
      <w:r w:rsidRPr="00CA01AD">
        <w:rPr>
          <w:rFonts w:ascii="Cambria" w:hAnsi="Cambria"/>
          <w:sz w:val="16"/>
          <w:szCs w:val="16"/>
        </w:rPr>
        <w:t>the right of the accused to defend himself personally or to be assisted by legal counsel of his own choosing, and to communicate freely and privately with his counsel</w:t>
      </w:r>
      <w:r w:rsidRPr="00CA01AD">
        <w:rPr>
          <w:rFonts w:ascii="Cambria" w:hAnsi="Cambria"/>
          <w:spacing w:val="-3"/>
          <w:sz w:val="16"/>
          <w:szCs w:val="16"/>
        </w:rPr>
        <w:t xml:space="preserve">; (…) 3. </w:t>
      </w:r>
      <w:r w:rsidRPr="00CA01AD">
        <w:rPr>
          <w:rFonts w:ascii="Cambria" w:hAnsi="Cambria"/>
          <w:sz w:val="16"/>
          <w:szCs w:val="16"/>
        </w:rPr>
        <w:t>A confession of guilt by the accused shall be valid only if it is made without coercion of any kind</w:t>
      </w:r>
      <w:r w:rsidRPr="00CA01AD">
        <w:rPr>
          <w:rFonts w:ascii="Cambria" w:hAnsi="Cambria"/>
          <w:spacing w:val="-3"/>
          <w:sz w:val="16"/>
          <w:szCs w:val="16"/>
        </w:rPr>
        <w:t>.</w:t>
      </w:r>
    </w:p>
  </w:footnote>
  <w:footnote w:id="114">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In this regard, the Committee Against Torture has held that “</w:t>
      </w:r>
      <w:r w:rsidRPr="00CA01AD">
        <w:rPr>
          <w:rFonts w:ascii="Cambria" w:hAnsi="Cambria"/>
          <w:sz w:val="16"/>
          <w:szCs w:val="16"/>
        </w:rPr>
        <w:t>the obligations in articles 2 (whereby “no exceptional circumstances whatsoever…may be invoked as a justification of torture”), 15 (prohibiting confessions extorted by torture being admitted in evidence, except against the torturer), and 16 (prohibiting cruel, inhuman or degrading treatment or punishment) are three such provisions that “must be observed in all circumstances.”</w:t>
      </w:r>
      <w:r w:rsidRPr="00CA01AD">
        <w:rPr>
          <w:rFonts w:ascii="Cambria" w:hAnsi="Cambria"/>
          <w:color w:val="auto"/>
          <w:sz w:val="16"/>
          <w:szCs w:val="16"/>
        </w:rPr>
        <w:t xml:space="preserve"> See: United Nations. Committee Against Torture. General Comment No. 2, ‘Implementation of Article 2 by States Parties’ January 24, 2008 (CAT/C/GC/2), paragraph 6. For its part, the Human Rights Committee has stated the following: “</w:t>
      </w:r>
      <w:r w:rsidRPr="00CA01AD">
        <w:rPr>
          <w:rFonts w:ascii="Cambria" w:hAnsi="Cambria"/>
          <w:sz w:val="16"/>
          <w:szCs w:val="16"/>
        </w:rPr>
        <w:t>The guarantees of fair trial may never be made subject to measures of derogation that would circumvent the protection of nonderogable rights</w:t>
      </w:r>
      <w:r w:rsidRPr="00CA01AD">
        <w:rPr>
          <w:rFonts w:ascii="Cambria" w:hAnsi="Cambria"/>
          <w:color w:val="auto"/>
          <w:sz w:val="16"/>
          <w:szCs w:val="16"/>
        </w:rPr>
        <w:t xml:space="preserve">.  (…) </w:t>
      </w:r>
      <w:r w:rsidRPr="00CA01AD">
        <w:rPr>
          <w:rFonts w:ascii="Cambria" w:hAnsi="Cambria"/>
          <w:sz w:val="16"/>
          <w:szCs w:val="16"/>
        </w:rPr>
        <w:t>no statements or confessions or, in principle, other evidence obtained in violation of this provision may be invoked as evidence in any proceedings covered by article 14, including during a state of emergency, except if a statement or confession obtained in violation of article 7 is used as evidence that torture or other treatment prohibited by this provision occurred</w:t>
      </w:r>
      <w:r w:rsidRPr="00CA01AD">
        <w:rPr>
          <w:rFonts w:ascii="Cambria" w:hAnsi="Cambria"/>
          <w:color w:val="auto"/>
          <w:sz w:val="16"/>
          <w:szCs w:val="16"/>
        </w:rPr>
        <w:t>”. United Nations. Human Rights Committee. General Comment No. 32, ‘</w:t>
      </w:r>
      <w:r w:rsidRPr="00CA01AD">
        <w:rPr>
          <w:rFonts w:ascii="Cambria" w:hAnsi="Cambria"/>
          <w:sz w:val="16"/>
          <w:szCs w:val="16"/>
        </w:rPr>
        <w:t>Article 14: Right to equality before courts and tribunals and to a fair trial’</w:t>
      </w:r>
      <w:r w:rsidRPr="00CA01AD">
        <w:rPr>
          <w:rFonts w:ascii="Cambria" w:hAnsi="Cambria"/>
          <w:color w:val="auto"/>
          <w:sz w:val="16"/>
          <w:szCs w:val="16"/>
        </w:rPr>
        <w:t xml:space="preserve"> (HRI/GEN/1/Rev.9 (vol. I)), paragraph 6.</w:t>
      </w:r>
    </w:p>
  </w:footnote>
  <w:footnote w:id="115">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w:t>
      </w:r>
      <w:r w:rsidRPr="00CA01AD">
        <w:rPr>
          <w:rFonts w:ascii="Cambria" w:hAnsi="Cambria" w:cs="Arial"/>
          <w:color w:val="auto"/>
          <w:sz w:val="16"/>
          <w:szCs w:val="16"/>
          <w:shd w:val="clear" w:color="auto" w:fill="FFFFFF"/>
        </w:rPr>
        <w:t xml:space="preserve">I/A Court H.R. </w:t>
      </w:r>
      <w:r w:rsidRPr="00CA01AD">
        <w:rPr>
          <w:rFonts w:ascii="Cambria" w:hAnsi="Cambria" w:cs="Arial"/>
          <w:i/>
          <w:color w:val="auto"/>
          <w:sz w:val="16"/>
          <w:szCs w:val="16"/>
          <w:shd w:val="clear" w:color="auto" w:fill="FFFFFF"/>
        </w:rPr>
        <w:t>Case of Cabrera García and Montiel Flores v. Mexico</w:t>
      </w:r>
      <w:r w:rsidRPr="00CA01AD">
        <w:rPr>
          <w:rFonts w:ascii="Cambria" w:hAnsi="Cambria" w:cs="Arial"/>
          <w:color w:val="auto"/>
          <w:sz w:val="16"/>
          <w:szCs w:val="16"/>
          <w:shd w:val="clear" w:color="auto" w:fill="FFFFFF"/>
        </w:rPr>
        <w:t xml:space="preserve">. </w:t>
      </w:r>
      <w:r w:rsidRPr="00CA01AD">
        <w:rPr>
          <w:rFonts w:ascii="Cambria" w:hAnsi="Cambria"/>
          <w:color w:val="auto"/>
          <w:sz w:val="16"/>
          <w:szCs w:val="16"/>
        </w:rPr>
        <w:t xml:space="preserve">Preliminary Objections, Merits, Reparations, and Costs. Judgment of November 26, 2010 Series C No. 220, </w:t>
      </w:r>
      <w:r w:rsidRPr="00CA01AD">
        <w:rPr>
          <w:rFonts w:ascii="Cambria" w:hAnsi="Cambria" w:cs="Arial"/>
          <w:color w:val="auto"/>
          <w:sz w:val="16"/>
          <w:szCs w:val="16"/>
          <w:shd w:val="clear" w:color="auto" w:fill="FFFFFF"/>
        </w:rPr>
        <w:t xml:space="preserve">paragraph 165. </w:t>
      </w:r>
      <w:r w:rsidRPr="00CA01AD">
        <w:rPr>
          <w:rFonts w:ascii="Cambria" w:hAnsi="Cambria"/>
          <w:sz w:val="16"/>
          <w:szCs w:val="16"/>
        </w:rPr>
        <w:t>(Preliminary Objection, Merits, Reparations and Costs)</w:t>
      </w:r>
    </w:p>
  </w:footnote>
  <w:footnote w:id="116">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w:t>
      </w:r>
      <w:r w:rsidRPr="00CA01AD">
        <w:rPr>
          <w:rFonts w:ascii="Cambria" w:hAnsi="Cambria"/>
          <w:i/>
          <w:color w:val="auto"/>
          <w:sz w:val="16"/>
          <w:szCs w:val="16"/>
        </w:rPr>
        <w:t>Report on the Situation of Human Rights in Mexico</w:t>
      </w:r>
      <w:r w:rsidRPr="00CA01AD">
        <w:rPr>
          <w:rFonts w:ascii="Cambria" w:hAnsi="Cambria"/>
          <w:color w:val="auto"/>
          <w:sz w:val="16"/>
          <w:szCs w:val="16"/>
        </w:rPr>
        <w:t>, Chapter IV: The Right to Humane Treatment, OEA/Ser.L/V/II.100, Doc. 7. rev. 1, September 24, 1998, paragraph 320.</w:t>
      </w:r>
    </w:p>
  </w:footnote>
  <w:footnote w:id="117">
    <w:p w:rsidR="00B04C46" w:rsidRPr="00CA01AD" w:rsidRDefault="00B04C46" w:rsidP="005074A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sz w:val="16"/>
          <w:szCs w:val="16"/>
          <w:shd w:val="clear" w:color="auto" w:fill="FFFFFF"/>
        </w:rPr>
        <w:t xml:space="preserve">I/A Court H.R. </w:t>
      </w:r>
      <w:r w:rsidRPr="00CA01AD">
        <w:rPr>
          <w:rFonts w:ascii="Cambria" w:hAnsi="Cambria"/>
          <w:i/>
          <w:sz w:val="16"/>
          <w:szCs w:val="16"/>
          <w:shd w:val="clear" w:color="auto" w:fill="FFFFFF"/>
        </w:rPr>
        <w:t>Case of Cabrera García and Montiel Flores v. Mexico</w:t>
      </w:r>
      <w:r w:rsidRPr="00CA01AD">
        <w:rPr>
          <w:rFonts w:ascii="Cambria" w:hAnsi="Cambria"/>
          <w:sz w:val="16"/>
          <w:szCs w:val="16"/>
          <w:shd w:val="clear" w:color="auto" w:fill="FFFFFF"/>
        </w:rPr>
        <w:t xml:space="preserve">. </w:t>
      </w:r>
      <w:r w:rsidRPr="00CA01AD">
        <w:rPr>
          <w:rFonts w:ascii="Cambria" w:hAnsi="Cambria"/>
          <w:sz w:val="16"/>
          <w:szCs w:val="16"/>
        </w:rPr>
        <w:t>Preliminary Objections, Merits, Reparations, and Costs. Judgment of November 26, 2010 Series C No. 220</w:t>
      </w:r>
      <w:r w:rsidRPr="00CA01AD">
        <w:rPr>
          <w:rFonts w:ascii="Cambria" w:hAnsi="Cambria"/>
          <w:sz w:val="16"/>
          <w:szCs w:val="16"/>
          <w:shd w:val="clear" w:color="auto" w:fill="FFFFFF"/>
        </w:rPr>
        <w:t xml:space="preserve">, paragraph 166. </w:t>
      </w:r>
      <w:r w:rsidRPr="00CA01AD">
        <w:rPr>
          <w:rFonts w:ascii="Cambria" w:hAnsi="Cambria"/>
          <w:sz w:val="16"/>
          <w:szCs w:val="16"/>
        </w:rPr>
        <w:t xml:space="preserve">I/A Court H.R. </w:t>
      </w:r>
      <w:r w:rsidRPr="00CA01AD">
        <w:rPr>
          <w:rFonts w:ascii="Cambria" w:hAnsi="Cambria"/>
          <w:i/>
          <w:sz w:val="16"/>
          <w:szCs w:val="16"/>
        </w:rPr>
        <w:t>Case of García Cruz and Sánchez Silvestre v. Mexico</w:t>
      </w:r>
      <w:r w:rsidRPr="00CA01AD">
        <w:rPr>
          <w:rFonts w:ascii="Cambria" w:hAnsi="Cambria"/>
          <w:sz w:val="16"/>
          <w:szCs w:val="16"/>
        </w:rPr>
        <w:t>. Merits, Reparations, and Costs. Judgment of November 26, 2013. Series C No. 273, paragraph 58, see, in particular, footnote 73.</w:t>
      </w:r>
    </w:p>
  </w:footnote>
  <w:footnote w:id="118">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w:t>
      </w:r>
      <w:r w:rsidRPr="00CA01AD">
        <w:rPr>
          <w:rFonts w:ascii="Cambria" w:hAnsi="Cambria" w:cs="Arial"/>
          <w:color w:val="auto"/>
          <w:sz w:val="16"/>
          <w:szCs w:val="16"/>
          <w:shd w:val="clear" w:color="auto" w:fill="FFFFFF"/>
        </w:rPr>
        <w:t xml:space="preserve">I/A Court H.R. </w:t>
      </w:r>
      <w:r w:rsidRPr="00CA01AD">
        <w:rPr>
          <w:rFonts w:ascii="Cambria" w:hAnsi="Cambria" w:cs="Arial"/>
          <w:i/>
          <w:color w:val="auto"/>
          <w:sz w:val="16"/>
          <w:szCs w:val="16"/>
          <w:shd w:val="clear" w:color="auto" w:fill="FFFFFF"/>
        </w:rPr>
        <w:t>Case of Cabrera García and Montiel Flores</w:t>
      </w:r>
      <w:r w:rsidRPr="00CA01AD">
        <w:rPr>
          <w:rFonts w:ascii="Cambria" w:hAnsi="Cambria" w:cs="Arial"/>
          <w:color w:val="auto"/>
          <w:sz w:val="16"/>
          <w:szCs w:val="16"/>
          <w:shd w:val="clear" w:color="auto" w:fill="FFFFFF"/>
        </w:rPr>
        <w:t xml:space="preserve"> </w:t>
      </w:r>
      <w:r w:rsidRPr="00CA01AD">
        <w:rPr>
          <w:rFonts w:ascii="Cambria" w:hAnsi="Cambria" w:cs="Arial"/>
          <w:i/>
          <w:color w:val="auto"/>
          <w:sz w:val="16"/>
          <w:szCs w:val="16"/>
          <w:shd w:val="clear" w:color="auto" w:fill="FFFFFF"/>
        </w:rPr>
        <w:t>v. Mexico</w:t>
      </w:r>
      <w:r w:rsidRPr="00CA01AD">
        <w:rPr>
          <w:rFonts w:ascii="Cambria" w:hAnsi="Cambria" w:cs="Arial"/>
          <w:color w:val="auto"/>
          <w:sz w:val="16"/>
          <w:szCs w:val="16"/>
          <w:shd w:val="clear" w:color="auto" w:fill="FFFFFF"/>
        </w:rPr>
        <w:t xml:space="preserve">. </w:t>
      </w:r>
      <w:r w:rsidRPr="00CA01AD">
        <w:rPr>
          <w:rFonts w:ascii="Cambria" w:hAnsi="Cambria"/>
          <w:color w:val="auto"/>
          <w:sz w:val="16"/>
          <w:szCs w:val="16"/>
        </w:rPr>
        <w:t xml:space="preserve">Preliminary Objections, Merits, Reparations, and Costs. Judgment of November 26, 2010 Series C No. 220, </w:t>
      </w:r>
      <w:r w:rsidRPr="00CA01AD">
        <w:rPr>
          <w:rFonts w:ascii="Cambria" w:hAnsi="Cambria" w:cs="Arial"/>
          <w:color w:val="auto"/>
          <w:sz w:val="16"/>
          <w:szCs w:val="16"/>
          <w:shd w:val="clear" w:color="auto" w:fill="FFFFFF"/>
        </w:rPr>
        <w:t xml:space="preserve">paragraph 166. </w:t>
      </w:r>
    </w:p>
  </w:footnote>
  <w:footnote w:id="119">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w:t>
      </w:r>
      <w:r w:rsidRPr="00CA01AD">
        <w:rPr>
          <w:rFonts w:ascii="Cambria" w:hAnsi="Cambria" w:cs="Arial"/>
          <w:color w:val="auto"/>
          <w:sz w:val="16"/>
          <w:szCs w:val="16"/>
          <w:shd w:val="clear" w:color="auto" w:fill="FFFFFF"/>
        </w:rPr>
        <w:t xml:space="preserve">I/A Court H.R. </w:t>
      </w:r>
      <w:r w:rsidRPr="00CA01AD">
        <w:rPr>
          <w:rFonts w:ascii="Cambria" w:hAnsi="Cambria" w:cs="Arial"/>
          <w:i/>
          <w:color w:val="auto"/>
          <w:sz w:val="16"/>
          <w:szCs w:val="16"/>
          <w:shd w:val="clear" w:color="auto" w:fill="FFFFFF"/>
        </w:rPr>
        <w:t>Case of Cabrera García and Montiel Flores v. Mexico</w:t>
      </w:r>
      <w:r w:rsidRPr="00CA01AD">
        <w:rPr>
          <w:rFonts w:ascii="Cambria" w:hAnsi="Cambria" w:cs="Arial"/>
          <w:color w:val="auto"/>
          <w:sz w:val="16"/>
          <w:szCs w:val="16"/>
          <w:shd w:val="clear" w:color="auto" w:fill="FFFFFF"/>
        </w:rPr>
        <w:t xml:space="preserve">. </w:t>
      </w:r>
      <w:r w:rsidRPr="00CA01AD">
        <w:rPr>
          <w:rFonts w:ascii="Cambria" w:hAnsi="Cambria"/>
          <w:color w:val="auto"/>
          <w:sz w:val="16"/>
          <w:szCs w:val="16"/>
        </w:rPr>
        <w:t>Preliminary Objections, Merits, Reparations, and Costs. Judgment of November 26, 2010 Series C No. 220,</w:t>
      </w:r>
      <w:r w:rsidRPr="00CA01AD">
        <w:rPr>
          <w:rFonts w:ascii="Cambria" w:hAnsi="Cambria" w:cs="Arial"/>
          <w:color w:val="auto"/>
          <w:sz w:val="16"/>
          <w:szCs w:val="16"/>
          <w:shd w:val="clear" w:color="auto" w:fill="FFFFFF"/>
        </w:rPr>
        <w:t xml:space="preserve"> paragraph 167.</w:t>
      </w:r>
    </w:p>
  </w:footnote>
  <w:footnote w:id="120">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Case of Cabrera García and Montiel Flores v. Mexico</w:t>
      </w:r>
      <w:r w:rsidRPr="00CA01AD">
        <w:rPr>
          <w:rFonts w:ascii="Cambria" w:hAnsi="Cambria"/>
          <w:color w:val="auto"/>
          <w:sz w:val="16"/>
          <w:szCs w:val="16"/>
        </w:rPr>
        <w:t xml:space="preserve">. Preliminary Objections, Merits, Reparations, and Costs. Judgment of November 26, 2010 Series C No. 220, paragraph 154; and </w:t>
      </w:r>
      <w:r w:rsidRPr="00CA01AD">
        <w:rPr>
          <w:rFonts w:ascii="Cambria" w:hAnsi="Cambria"/>
          <w:i/>
          <w:color w:val="auto"/>
          <w:sz w:val="16"/>
          <w:szCs w:val="16"/>
        </w:rPr>
        <w:t>Case of Barreto Leiva v. Venezuela</w:t>
      </w:r>
      <w:r w:rsidRPr="00CA01AD">
        <w:rPr>
          <w:rFonts w:ascii="Cambria" w:hAnsi="Cambria"/>
          <w:color w:val="auto"/>
          <w:sz w:val="16"/>
          <w:szCs w:val="16"/>
        </w:rPr>
        <w:t xml:space="preserve">. Merits, Reparations, and Costs. Judgment of November 17, 2009. Series C No. 206, paragraph 29. </w:t>
      </w:r>
    </w:p>
  </w:footnote>
  <w:footnote w:id="121">
    <w:p w:rsidR="00B04C46" w:rsidRPr="00CA01AD" w:rsidRDefault="00B04C46" w:rsidP="005074AD">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I/A Court H.R. </w:t>
      </w:r>
      <w:r w:rsidRPr="00CA01AD">
        <w:rPr>
          <w:rFonts w:ascii="Cambria" w:hAnsi="Cambria"/>
          <w:i/>
          <w:sz w:val="16"/>
          <w:szCs w:val="16"/>
        </w:rPr>
        <w:t>Case of Chaparro Álvarez and Lapo Íñiguez. v. Ecuador</w:t>
      </w:r>
      <w:r w:rsidRPr="00CA01AD">
        <w:rPr>
          <w:rFonts w:ascii="Cambria" w:hAnsi="Cambria"/>
          <w:sz w:val="16"/>
          <w:szCs w:val="16"/>
        </w:rPr>
        <w:t>. Preliminary Objections, Merits, Reparations, and Costs. Judgment of November 21, 2007. Series C No. 170, paragraph 154.</w:t>
      </w:r>
    </w:p>
  </w:footnote>
  <w:footnote w:id="122">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 xml:space="preserve">Case of Ricardo Canese v. Paraguay. </w:t>
      </w:r>
      <w:r w:rsidRPr="00CA01AD">
        <w:rPr>
          <w:rFonts w:ascii="Cambria" w:hAnsi="Cambria"/>
          <w:color w:val="auto"/>
          <w:sz w:val="16"/>
          <w:szCs w:val="16"/>
        </w:rPr>
        <w:t>Judgment of August 31, 2004. Series C No. 111, paragraph 154.</w:t>
      </w:r>
    </w:p>
  </w:footnote>
  <w:footnote w:id="123">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Cabrera García and Montiel Flores v. Mexico</w:t>
      </w:r>
      <w:r w:rsidRPr="00CA01AD">
        <w:rPr>
          <w:rFonts w:ascii="Cambria" w:hAnsi="Cambria"/>
          <w:color w:val="auto"/>
          <w:sz w:val="16"/>
          <w:szCs w:val="16"/>
        </w:rPr>
        <w:t>. Judgment of November 26, 2010. Series C No. 220, paragraph 182.</w:t>
      </w:r>
    </w:p>
  </w:footnote>
  <w:footnote w:id="124">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Human Rights Committee. General Comment No. 32, ‘</w:t>
      </w:r>
      <w:r w:rsidRPr="00CA01AD">
        <w:rPr>
          <w:rFonts w:ascii="Cambria" w:hAnsi="Cambria"/>
          <w:sz w:val="16"/>
          <w:szCs w:val="16"/>
        </w:rPr>
        <w:t>Article 14: Right to equality before courts and tribunals and to a fair trial’</w:t>
      </w:r>
      <w:r w:rsidRPr="00CA01AD">
        <w:rPr>
          <w:rFonts w:ascii="Cambria" w:hAnsi="Cambria"/>
          <w:color w:val="auto"/>
          <w:sz w:val="16"/>
          <w:szCs w:val="16"/>
        </w:rPr>
        <w:t>. CCPR/C/GC/32. August 23, 2007, paragraph 30.</w:t>
      </w:r>
    </w:p>
  </w:footnote>
  <w:footnote w:id="125">
    <w:p w:rsidR="00B04C46" w:rsidRPr="00CA01AD" w:rsidRDefault="00B04C46"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IACHR, Report No. 5/96, Case 10.970, Fernando Mejía Egocheaga and Raquel Martín de Mejía, Peru, March 1, 1996.</w:t>
      </w:r>
    </w:p>
  </w:footnote>
  <w:footnote w:id="126">
    <w:p w:rsidR="00105FE3" w:rsidRPr="00CA01AD" w:rsidRDefault="00105FE3" w:rsidP="005074AD">
      <w:pPr>
        <w:pStyle w:val="FootnoteText"/>
        <w:ind w:firstLine="720"/>
        <w:jc w:val="both"/>
        <w:rPr>
          <w:rFonts w:ascii="Cambria" w:hAnsi="Cambria"/>
          <w:sz w:val="16"/>
          <w:szCs w:val="16"/>
        </w:rPr>
      </w:pPr>
      <w:r w:rsidRPr="00CA01AD">
        <w:rPr>
          <w:rStyle w:val="FootnoteReference"/>
          <w:rFonts w:ascii="Cambria" w:hAnsi="Cambria"/>
          <w:sz w:val="16"/>
          <w:szCs w:val="16"/>
        </w:rPr>
        <w:footnoteRef/>
      </w:r>
      <w:r w:rsidRPr="00CA01AD">
        <w:rPr>
          <w:rFonts w:ascii="Cambria" w:hAnsi="Cambria"/>
          <w:sz w:val="16"/>
          <w:szCs w:val="16"/>
        </w:rPr>
        <w:t xml:space="preserve"> </w:t>
      </w:r>
      <w:r w:rsidRPr="00CA01AD">
        <w:rPr>
          <w:rFonts w:ascii="Cambria" w:hAnsi="Cambria"/>
          <w:color w:val="auto"/>
          <w:sz w:val="16"/>
          <w:szCs w:val="16"/>
        </w:rPr>
        <w:t xml:space="preserve">Report No. 40/14, Case 11.438, Merits, Herrera Espinoza et al., Ecuador, July 17, 2014, paragraphs. 215 and 216. </w:t>
      </w:r>
    </w:p>
  </w:footnote>
  <w:footnote w:id="127">
    <w:p w:rsidR="00477B77" w:rsidRPr="00CA01AD" w:rsidRDefault="00477B77"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s="TimesNewRoman"/>
          <w:color w:val="auto"/>
          <w:sz w:val="16"/>
          <w:szCs w:val="16"/>
          <w:lang w:eastAsia="es-ES_tradnl"/>
        </w:rPr>
        <w:t xml:space="preserve"> Via Judgment of December 16, 1997. See in this respect, </w:t>
      </w:r>
      <w:r w:rsidRPr="00CA01AD">
        <w:rPr>
          <w:rFonts w:ascii="Cambria" w:hAnsi="Cambria"/>
          <w:color w:val="auto"/>
          <w:sz w:val="16"/>
          <w:szCs w:val="16"/>
        </w:rPr>
        <w:t xml:space="preserve">I/A Court H.R. </w:t>
      </w:r>
      <w:r w:rsidRPr="00CA01AD">
        <w:rPr>
          <w:rFonts w:ascii="Cambria" w:hAnsi="Cambria"/>
          <w:i/>
          <w:color w:val="auto"/>
          <w:sz w:val="16"/>
          <w:szCs w:val="16"/>
        </w:rPr>
        <w:t>Case of Acosta Calderón v. Ecuador</w:t>
      </w:r>
      <w:r w:rsidRPr="00CA01AD">
        <w:rPr>
          <w:rFonts w:ascii="Cambria" w:hAnsi="Cambria"/>
          <w:color w:val="auto"/>
          <w:sz w:val="16"/>
          <w:szCs w:val="16"/>
        </w:rPr>
        <w:t xml:space="preserve">. Merits, Reparations, and Costs. Judgment of June 24, 2005. Series C No. 129, paragraph 44( a).  </w:t>
      </w:r>
    </w:p>
  </w:footnote>
  <w:footnote w:id="128">
    <w:p w:rsidR="0032000C" w:rsidRPr="00CA01AD" w:rsidRDefault="0032000C"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I/A Court H.R. </w:t>
      </w:r>
      <w:r w:rsidRPr="00CA01AD">
        <w:rPr>
          <w:rFonts w:ascii="Cambria" w:hAnsi="Cambria"/>
          <w:i/>
          <w:color w:val="auto"/>
          <w:sz w:val="16"/>
          <w:szCs w:val="16"/>
        </w:rPr>
        <w:t xml:space="preserve">Case of Bayarri v. Argentina. </w:t>
      </w:r>
      <w:r w:rsidRPr="00CA01AD">
        <w:rPr>
          <w:rFonts w:ascii="Cambria" w:hAnsi="Cambria"/>
          <w:color w:val="auto"/>
          <w:sz w:val="16"/>
          <w:szCs w:val="16"/>
        </w:rPr>
        <w:t>Judgment of October 30, 2008. Series C No, 187,</w:t>
      </w:r>
      <w:r w:rsidRPr="00CA01AD">
        <w:rPr>
          <w:rFonts w:ascii="Cambria" w:hAnsi="Cambria"/>
          <w:i/>
          <w:color w:val="auto"/>
          <w:sz w:val="16"/>
          <w:szCs w:val="16"/>
        </w:rPr>
        <w:t xml:space="preserve"> </w:t>
      </w:r>
      <w:r w:rsidRPr="00CA01AD">
        <w:rPr>
          <w:rFonts w:ascii="Cambria" w:hAnsi="Cambria"/>
          <w:color w:val="auto"/>
          <w:sz w:val="16"/>
          <w:szCs w:val="16"/>
        </w:rPr>
        <w:t xml:space="preserve">paragraph 107; </w:t>
      </w:r>
      <w:r w:rsidRPr="00CA01AD">
        <w:rPr>
          <w:rFonts w:ascii="Cambria" w:hAnsi="Cambria"/>
          <w:i/>
          <w:color w:val="auto"/>
          <w:sz w:val="16"/>
          <w:szCs w:val="16"/>
        </w:rPr>
        <w:t>Case of Baldeón García v. Peru</w:t>
      </w:r>
      <w:r w:rsidRPr="00CA01AD">
        <w:rPr>
          <w:rFonts w:ascii="Cambria" w:hAnsi="Cambria"/>
          <w:color w:val="auto"/>
          <w:sz w:val="16"/>
          <w:szCs w:val="16"/>
        </w:rPr>
        <w:t xml:space="preserve">. Merits, Reparations, and Costs. Judgment of April 6, 2006. Series C No. 147, paragraph 150; and </w:t>
      </w:r>
      <w:r w:rsidRPr="00CA01AD">
        <w:rPr>
          <w:rFonts w:ascii="Cambria" w:hAnsi="Cambria"/>
          <w:i/>
          <w:color w:val="auto"/>
          <w:sz w:val="16"/>
          <w:szCs w:val="16"/>
        </w:rPr>
        <w:t>Case of Genie Lacayo v. Nicaragua</w:t>
      </w:r>
      <w:r w:rsidRPr="00CA01AD">
        <w:rPr>
          <w:rFonts w:ascii="Cambria" w:hAnsi="Cambria"/>
          <w:color w:val="auto"/>
          <w:sz w:val="16"/>
          <w:szCs w:val="16"/>
        </w:rPr>
        <w:t xml:space="preserve">, Judgment of January 29, 1997, paragraph 77.  </w:t>
      </w:r>
    </w:p>
  </w:footnote>
  <w:footnote w:id="129">
    <w:p w:rsidR="0032000C" w:rsidRPr="00CA01AD" w:rsidRDefault="0032000C" w:rsidP="005074A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rPr>
      </w:pPr>
      <w:r w:rsidRPr="00CA01AD">
        <w:rPr>
          <w:rStyle w:val="FootnoteReference"/>
          <w:rFonts w:ascii="Cambria" w:hAnsi="Cambria"/>
          <w:color w:val="auto"/>
          <w:sz w:val="16"/>
          <w:szCs w:val="16"/>
        </w:rPr>
        <w:footnoteRef/>
      </w:r>
      <w:r w:rsidRPr="00CA01AD">
        <w:rPr>
          <w:rFonts w:ascii="Cambria" w:hAnsi="Cambria"/>
          <w:color w:val="auto"/>
          <w:sz w:val="16"/>
          <w:szCs w:val="16"/>
        </w:rPr>
        <w:t xml:space="preserve"> </w:t>
      </w:r>
      <w:r w:rsidRPr="00CA01AD">
        <w:rPr>
          <w:rFonts w:ascii="Cambria" w:hAnsi="Cambria"/>
          <w:iCs/>
          <w:color w:val="auto"/>
          <w:sz w:val="16"/>
          <w:szCs w:val="16"/>
        </w:rPr>
        <w:t xml:space="preserve">I/A Court H.R. </w:t>
      </w:r>
      <w:r w:rsidRPr="00CA01AD">
        <w:rPr>
          <w:rFonts w:ascii="Cambria" w:hAnsi="Cambria"/>
          <w:i/>
          <w:iCs/>
          <w:color w:val="auto"/>
          <w:sz w:val="16"/>
          <w:szCs w:val="16"/>
        </w:rPr>
        <w:t xml:space="preserve">Case of Valle Jaramillo v. Colombia. </w:t>
      </w:r>
      <w:r w:rsidRPr="00CA01AD">
        <w:rPr>
          <w:rFonts w:ascii="Cambria" w:hAnsi="Cambria"/>
          <w:iCs/>
          <w:color w:val="auto"/>
          <w:sz w:val="16"/>
          <w:szCs w:val="16"/>
        </w:rPr>
        <w:t>Merits, Reparations, and Costs. Judgment of November 27, 2008. Series C No. 192, paragraph 155</w:t>
      </w:r>
      <w:r w:rsidRPr="00CA01AD">
        <w:rPr>
          <w:rFonts w:ascii="Cambria" w:hAnsi="Cambria"/>
          <w:color w:val="auto"/>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6" w:rsidRDefault="00B04C46" w:rsidP="00430DA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04C46" w:rsidRDefault="00B04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6" w:rsidRDefault="00B92469" w:rsidP="002C1641">
    <w:pPr>
      <w:pStyle w:val="Header"/>
      <w:tabs>
        <w:tab w:val="clear" w:pos="4320"/>
        <w:tab w:val="clear" w:pos="8640"/>
      </w:tabs>
      <w:jc w:val="center"/>
      <w:rPr>
        <w:sz w:val="22"/>
        <w:szCs w:val="22"/>
      </w:rPr>
    </w:pPr>
    <w:r>
      <w:rPr>
        <w:noProof/>
        <w:sz w:val="22"/>
        <w:szCs w:val="22"/>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7" type="#_x0000_t75" style="width:174.05pt;height:9.4pt;visibility:visible">
          <v:imagedata r:id="rId1" o:title="iachr-peq"/>
        </v:shape>
      </w:pict>
    </w:r>
  </w:p>
  <w:p w:rsidR="00B04C46" w:rsidRPr="00EC7D62" w:rsidRDefault="0049205A" w:rsidP="002C1641">
    <w:pPr>
      <w:pStyle w:val="Header"/>
      <w:tabs>
        <w:tab w:val="clear" w:pos="4320"/>
        <w:tab w:val="clear" w:pos="8640"/>
      </w:tabs>
      <w:jc w:val="center"/>
      <w:rPr>
        <w:sz w:val="22"/>
        <w:szCs w:val="22"/>
      </w:rPr>
    </w:pPr>
    <w:r>
      <w:rPr>
        <w:sz w:val="22"/>
        <w:szCs w:val="22"/>
      </w:rPr>
      <w:pict>
        <v:rect id="_x0000_i1028"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DAA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B1484"/>
    <w:multiLevelType w:val="hybridMultilevel"/>
    <w:tmpl w:val="64325DC0"/>
    <w:lvl w:ilvl="0" w:tplc="B8624038">
      <w:start w:val="2"/>
      <w:numFmt w:val="upperRoman"/>
      <w:lvlText w:val="%1."/>
      <w:lvlJc w:val="left"/>
      <w:pPr>
        <w:tabs>
          <w:tab w:val="num" w:pos="1440"/>
        </w:tabs>
        <w:ind w:left="1440" w:hanging="720"/>
      </w:pPr>
      <w:rPr>
        <w:rFonts w:cs="Times New Roman" w:hint="default"/>
      </w:rPr>
    </w:lvl>
    <w:lvl w:ilvl="1" w:tplc="F8EE8686">
      <w:start w:val="1"/>
      <w:numFmt w:val="decimal"/>
      <w:pStyle w:val="estilo3"/>
      <w:lvlText w:val="%2."/>
      <w:lvlJc w:val="left"/>
      <w:pPr>
        <w:tabs>
          <w:tab w:val="num" w:pos="1170"/>
        </w:tabs>
        <w:ind w:left="117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D2A39BA"/>
    <w:multiLevelType w:val="hybridMultilevel"/>
    <w:tmpl w:val="F3826D4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9050020"/>
    <w:multiLevelType w:val="hybridMultilevel"/>
    <w:tmpl w:val="16E6E34A"/>
    <w:lvl w:ilvl="0" w:tplc="10D4F5F8">
      <w:start w:val="1"/>
      <w:numFmt w:val="decimal"/>
      <w:lvlText w:val="%1."/>
      <w:lvlJc w:val="left"/>
      <w:pPr>
        <w:tabs>
          <w:tab w:val="num" w:pos="1429"/>
        </w:tabs>
        <w:ind w:firstLine="720"/>
      </w:pPr>
      <w:rPr>
        <w:rFonts w:ascii="Cambria" w:hAnsi="Cambria" w:cs="Times New Roman" w:hint="default"/>
        <w:b w:val="0"/>
        <w:i w:val="0"/>
        <w:color w:val="00000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0C58E6D2">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7795779"/>
    <w:multiLevelType w:val="singleLevel"/>
    <w:tmpl w:val="6132427E"/>
    <w:lvl w:ilvl="0">
      <w:start w:val="1"/>
      <w:numFmt w:val="decimal"/>
      <w:lvlText w:val="%1."/>
      <w:lvlJc w:val="left"/>
      <w:pPr>
        <w:tabs>
          <w:tab w:val="num" w:pos="720"/>
        </w:tabs>
        <w:ind w:left="0" w:firstLine="720"/>
      </w:pPr>
      <w:rPr>
        <w:rFonts w:ascii="Cambria" w:hAnsi="Cambria" w:hint="default"/>
        <w:b w:val="0"/>
        <w:color w:val="auto"/>
        <w:sz w:val="20"/>
        <w:szCs w:val="20"/>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F1A0BAD"/>
    <w:multiLevelType w:val="hybridMultilevel"/>
    <w:tmpl w:val="466C2726"/>
    <w:lvl w:ilvl="0" w:tplc="D542CB06">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179031F"/>
    <w:multiLevelType w:val="hybridMultilevel"/>
    <w:tmpl w:val="6AFA7FD0"/>
    <w:lvl w:ilvl="0" w:tplc="CDC478C6">
      <w:start w:val="1"/>
      <w:numFmt w:val="decimal"/>
      <w:pStyle w:val="Style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8A9065C"/>
    <w:multiLevelType w:val="hybridMultilevel"/>
    <w:tmpl w:val="A300B0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AAE6E5FE"/>
    <w:lvl w:ilvl="0" w:tplc="E9563CC8">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D7E2F96"/>
    <w:multiLevelType w:val="hybridMultilevel"/>
    <w:tmpl w:val="1368BEA8"/>
    <w:lvl w:ilvl="0" w:tplc="C9429230">
      <w:start w:val="1"/>
      <w:numFmt w:val="upperLetter"/>
      <w:lvlText w:val="%1."/>
      <w:lvlJc w:val="left"/>
      <w:pPr>
        <w:ind w:left="1440" w:hanging="720"/>
      </w:pPr>
      <w:rPr>
        <w:rFonts w:eastAsia="MS Gothic"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56"/>
  </w:num>
  <w:num w:numId="4">
    <w:abstractNumId w:val="23"/>
  </w:num>
  <w:num w:numId="5">
    <w:abstractNumId w:val="50"/>
  </w:num>
  <w:num w:numId="6">
    <w:abstractNumId w:val="29"/>
  </w:num>
  <w:num w:numId="7">
    <w:abstractNumId w:val="9"/>
  </w:num>
  <w:num w:numId="8">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9"/>
  </w:num>
  <w:num w:numId="1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5"/>
  </w:num>
  <w:num w:numId="14">
    <w:abstractNumId w:val="2"/>
  </w:num>
  <w:num w:numId="15">
    <w:abstractNumId w:val="40"/>
  </w:num>
  <w:num w:numId="16">
    <w:abstractNumId w:val="41"/>
  </w:num>
  <w:num w:numId="17">
    <w:abstractNumId w:val="47"/>
  </w:num>
  <w:num w:numId="18">
    <w:abstractNumId w:val="3"/>
  </w:num>
  <w:num w:numId="19">
    <w:abstractNumId w:val="4"/>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20"/>
  </w:num>
  <w:num w:numId="30">
    <w:abstractNumId w:val="21"/>
  </w:num>
  <w:num w:numId="31">
    <w:abstractNumId w:val="24"/>
  </w:num>
  <w:num w:numId="32">
    <w:abstractNumId w:val="25"/>
  </w:num>
  <w:num w:numId="33">
    <w:abstractNumId w:val="26"/>
  </w:num>
  <w:num w:numId="34">
    <w:abstractNumId w:val="28"/>
  </w:num>
  <w:num w:numId="35">
    <w:abstractNumId w:val="30"/>
  </w:num>
  <w:num w:numId="36">
    <w:abstractNumId w:val="32"/>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2"/>
  </w:num>
  <w:num w:numId="44">
    <w:abstractNumId w:val="43"/>
  </w:num>
  <w:num w:numId="45">
    <w:abstractNumId w:val="49"/>
  </w:num>
  <w:num w:numId="46">
    <w:abstractNumId w:val="51"/>
  </w:num>
  <w:num w:numId="47">
    <w:abstractNumId w:val="52"/>
  </w:num>
  <w:num w:numId="48">
    <w:abstractNumId w:val="54"/>
  </w:num>
  <w:num w:numId="49">
    <w:abstractNumId w:val="55"/>
  </w:num>
  <w:num w:numId="50">
    <w:abstractNumId w:val="57"/>
  </w:num>
  <w:num w:numId="51">
    <w:abstractNumId w:val="58"/>
  </w:num>
  <w:num w:numId="52">
    <w:abstractNumId w:val="59"/>
  </w:num>
  <w:num w:numId="53">
    <w:abstractNumId w:val="61"/>
  </w:num>
  <w:num w:numId="54">
    <w:abstractNumId w:val="62"/>
  </w:num>
  <w:num w:numId="55">
    <w:abstractNumId w:val="22"/>
  </w:num>
  <w:num w:numId="56">
    <w:abstractNumId w:val="44"/>
  </w:num>
  <w:num w:numId="57">
    <w:abstractNumId w:val="53"/>
  </w:num>
  <w:num w:numId="58">
    <w:abstractNumId w:val="48"/>
  </w:num>
  <w:num w:numId="59">
    <w:abstractNumId w:val="27"/>
  </w:num>
  <w:num w:numId="60">
    <w:abstractNumId w:val="46"/>
  </w:num>
  <w:num w:numId="61">
    <w:abstractNumId w:val="1"/>
  </w:num>
  <w:num w:numId="62">
    <w:abstractNumId w:val="60"/>
  </w:num>
  <w:num w:numId="63">
    <w:abstractNumId w:val="5"/>
  </w:num>
  <w:num w:numId="64">
    <w:abstractNumId w:val="31"/>
  </w:num>
  <w:num w:numId="65">
    <w:abstractNumId w:val="33"/>
  </w:num>
  <w:num w:numId="66">
    <w:abstractNumId w:val="8"/>
  </w:num>
  <w:num w:numId="67">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20C5"/>
    <w:rsid w:val="00002FC8"/>
    <w:rsid w:val="000070D7"/>
    <w:rsid w:val="00007743"/>
    <w:rsid w:val="000110A3"/>
    <w:rsid w:val="000111A8"/>
    <w:rsid w:val="0001788C"/>
    <w:rsid w:val="00020845"/>
    <w:rsid w:val="00027859"/>
    <w:rsid w:val="0003119E"/>
    <w:rsid w:val="00036A8A"/>
    <w:rsid w:val="00040C3A"/>
    <w:rsid w:val="000410A1"/>
    <w:rsid w:val="000411D7"/>
    <w:rsid w:val="00041C68"/>
    <w:rsid w:val="000467C3"/>
    <w:rsid w:val="00050260"/>
    <w:rsid w:val="00060AAB"/>
    <w:rsid w:val="000625B5"/>
    <w:rsid w:val="000639C0"/>
    <w:rsid w:val="00063F8C"/>
    <w:rsid w:val="00065738"/>
    <w:rsid w:val="00067AEF"/>
    <w:rsid w:val="0007092B"/>
    <w:rsid w:val="00070F3A"/>
    <w:rsid w:val="000716C5"/>
    <w:rsid w:val="00075DF3"/>
    <w:rsid w:val="00075E23"/>
    <w:rsid w:val="00076785"/>
    <w:rsid w:val="00083FAE"/>
    <w:rsid w:val="00083FBE"/>
    <w:rsid w:val="00084A21"/>
    <w:rsid w:val="0008671A"/>
    <w:rsid w:val="00092F32"/>
    <w:rsid w:val="0009344A"/>
    <w:rsid w:val="00097555"/>
    <w:rsid w:val="000A575F"/>
    <w:rsid w:val="000B0498"/>
    <w:rsid w:val="000B3C89"/>
    <w:rsid w:val="000B59EF"/>
    <w:rsid w:val="000B6914"/>
    <w:rsid w:val="000C2201"/>
    <w:rsid w:val="000C30B0"/>
    <w:rsid w:val="000C49D8"/>
    <w:rsid w:val="000D10DB"/>
    <w:rsid w:val="000D6146"/>
    <w:rsid w:val="000E03A7"/>
    <w:rsid w:val="000E3DE5"/>
    <w:rsid w:val="000E586E"/>
    <w:rsid w:val="00105FE3"/>
    <w:rsid w:val="00107E8C"/>
    <w:rsid w:val="00123435"/>
    <w:rsid w:val="0012492C"/>
    <w:rsid w:val="001261A5"/>
    <w:rsid w:val="00130B6C"/>
    <w:rsid w:val="0013104F"/>
    <w:rsid w:val="00136032"/>
    <w:rsid w:val="00137EBA"/>
    <w:rsid w:val="00145EDC"/>
    <w:rsid w:val="001468E9"/>
    <w:rsid w:val="001541E9"/>
    <w:rsid w:val="00160F59"/>
    <w:rsid w:val="00163229"/>
    <w:rsid w:val="00167A34"/>
    <w:rsid w:val="00167F96"/>
    <w:rsid w:val="001742C3"/>
    <w:rsid w:val="0018037F"/>
    <w:rsid w:val="00181AE4"/>
    <w:rsid w:val="001830CA"/>
    <w:rsid w:val="00190FDF"/>
    <w:rsid w:val="00191C0C"/>
    <w:rsid w:val="00193F71"/>
    <w:rsid w:val="001A317C"/>
    <w:rsid w:val="001A5F27"/>
    <w:rsid w:val="001A5F84"/>
    <w:rsid w:val="001A6AF6"/>
    <w:rsid w:val="001A7870"/>
    <w:rsid w:val="001B1850"/>
    <w:rsid w:val="001B5BAC"/>
    <w:rsid w:val="001B71B2"/>
    <w:rsid w:val="001C1B41"/>
    <w:rsid w:val="001C2B5B"/>
    <w:rsid w:val="001C2EC8"/>
    <w:rsid w:val="001C5B60"/>
    <w:rsid w:val="001D1597"/>
    <w:rsid w:val="001E192E"/>
    <w:rsid w:val="001E1FA3"/>
    <w:rsid w:val="001F0A63"/>
    <w:rsid w:val="001F51A7"/>
    <w:rsid w:val="001F6444"/>
    <w:rsid w:val="001F6BB9"/>
    <w:rsid w:val="00206A5B"/>
    <w:rsid w:val="00210E0E"/>
    <w:rsid w:val="002114E1"/>
    <w:rsid w:val="0021464D"/>
    <w:rsid w:val="002157C9"/>
    <w:rsid w:val="00217094"/>
    <w:rsid w:val="00217872"/>
    <w:rsid w:val="00233E63"/>
    <w:rsid w:val="002372B8"/>
    <w:rsid w:val="0023784B"/>
    <w:rsid w:val="0024213F"/>
    <w:rsid w:val="00247403"/>
    <w:rsid w:val="00247542"/>
    <w:rsid w:val="00252406"/>
    <w:rsid w:val="002530B6"/>
    <w:rsid w:val="00253677"/>
    <w:rsid w:val="00253A9B"/>
    <w:rsid w:val="0025502D"/>
    <w:rsid w:val="002557B0"/>
    <w:rsid w:val="00256447"/>
    <w:rsid w:val="00257893"/>
    <w:rsid w:val="002607C7"/>
    <w:rsid w:val="0026178A"/>
    <w:rsid w:val="00266092"/>
    <w:rsid w:val="0026641F"/>
    <w:rsid w:val="00266B61"/>
    <w:rsid w:val="0026712A"/>
    <w:rsid w:val="00267C4E"/>
    <w:rsid w:val="002704DB"/>
    <w:rsid w:val="0028433B"/>
    <w:rsid w:val="00286817"/>
    <w:rsid w:val="002908B5"/>
    <w:rsid w:val="0029245B"/>
    <w:rsid w:val="00295128"/>
    <w:rsid w:val="002A268A"/>
    <w:rsid w:val="002A452F"/>
    <w:rsid w:val="002A559A"/>
    <w:rsid w:val="002B4D6E"/>
    <w:rsid w:val="002C1641"/>
    <w:rsid w:val="002C3F4A"/>
    <w:rsid w:val="002D3583"/>
    <w:rsid w:val="002D535B"/>
    <w:rsid w:val="002D7528"/>
    <w:rsid w:val="002D7EA2"/>
    <w:rsid w:val="002E15DF"/>
    <w:rsid w:val="002E1834"/>
    <w:rsid w:val="002E187C"/>
    <w:rsid w:val="002E6E57"/>
    <w:rsid w:val="002F31EF"/>
    <w:rsid w:val="00301075"/>
    <w:rsid w:val="003018F4"/>
    <w:rsid w:val="00302733"/>
    <w:rsid w:val="00305441"/>
    <w:rsid w:val="00311A4F"/>
    <w:rsid w:val="00312486"/>
    <w:rsid w:val="00314078"/>
    <w:rsid w:val="00314A3D"/>
    <w:rsid w:val="003154AA"/>
    <w:rsid w:val="0032000C"/>
    <w:rsid w:val="00322450"/>
    <w:rsid w:val="003246B5"/>
    <w:rsid w:val="00324A3C"/>
    <w:rsid w:val="003259E5"/>
    <w:rsid w:val="0032659E"/>
    <w:rsid w:val="0033038E"/>
    <w:rsid w:val="0033169F"/>
    <w:rsid w:val="00333B09"/>
    <w:rsid w:val="00333FDF"/>
    <w:rsid w:val="00334530"/>
    <w:rsid w:val="003361E0"/>
    <w:rsid w:val="00337769"/>
    <w:rsid w:val="003414AC"/>
    <w:rsid w:val="0034378A"/>
    <w:rsid w:val="003517C6"/>
    <w:rsid w:val="00356185"/>
    <w:rsid w:val="00357F67"/>
    <w:rsid w:val="00360380"/>
    <w:rsid w:val="00366CD7"/>
    <w:rsid w:val="00370E6E"/>
    <w:rsid w:val="003724EE"/>
    <w:rsid w:val="00372683"/>
    <w:rsid w:val="00376600"/>
    <w:rsid w:val="00377B0F"/>
    <w:rsid w:val="003831A4"/>
    <w:rsid w:val="0038582D"/>
    <w:rsid w:val="00386CF0"/>
    <w:rsid w:val="0039050F"/>
    <w:rsid w:val="00393866"/>
    <w:rsid w:val="00397629"/>
    <w:rsid w:val="00397A67"/>
    <w:rsid w:val="003A6634"/>
    <w:rsid w:val="003B1628"/>
    <w:rsid w:val="003C0F02"/>
    <w:rsid w:val="003C2717"/>
    <w:rsid w:val="003C32BC"/>
    <w:rsid w:val="003C470B"/>
    <w:rsid w:val="003C4A6E"/>
    <w:rsid w:val="003D4DF4"/>
    <w:rsid w:val="003D4E07"/>
    <w:rsid w:val="003D5404"/>
    <w:rsid w:val="003D6EBA"/>
    <w:rsid w:val="003E2878"/>
    <w:rsid w:val="003E646E"/>
    <w:rsid w:val="003E7CED"/>
    <w:rsid w:val="003F1BBF"/>
    <w:rsid w:val="003F580D"/>
    <w:rsid w:val="004069C9"/>
    <w:rsid w:val="004138BB"/>
    <w:rsid w:val="004165C2"/>
    <w:rsid w:val="00424635"/>
    <w:rsid w:val="00427973"/>
    <w:rsid w:val="00430415"/>
    <w:rsid w:val="00430DA5"/>
    <w:rsid w:val="00444AFF"/>
    <w:rsid w:val="00450A4A"/>
    <w:rsid w:val="0045326F"/>
    <w:rsid w:val="004645BB"/>
    <w:rsid w:val="00464675"/>
    <w:rsid w:val="004666FB"/>
    <w:rsid w:val="00467B7E"/>
    <w:rsid w:val="00471E0E"/>
    <w:rsid w:val="0047646F"/>
    <w:rsid w:val="00477B77"/>
    <w:rsid w:val="00482E54"/>
    <w:rsid w:val="00484FE0"/>
    <w:rsid w:val="004862D7"/>
    <w:rsid w:val="004867AE"/>
    <w:rsid w:val="00486D35"/>
    <w:rsid w:val="0049205A"/>
    <w:rsid w:val="0049419D"/>
    <w:rsid w:val="004967CD"/>
    <w:rsid w:val="004A0C5F"/>
    <w:rsid w:val="004A6B42"/>
    <w:rsid w:val="004A7958"/>
    <w:rsid w:val="004B2055"/>
    <w:rsid w:val="004B2762"/>
    <w:rsid w:val="004B7EB6"/>
    <w:rsid w:val="004C4B62"/>
    <w:rsid w:val="004C6FC4"/>
    <w:rsid w:val="004D0FA0"/>
    <w:rsid w:val="004D6025"/>
    <w:rsid w:val="004D72BC"/>
    <w:rsid w:val="004E1628"/>
    <w:rsid w:val="004E5C6D"/>
    <w:rsid w:val="004E6DC2"/>
    <w:rsid w:val="00501399"/>
    <w:rsid w:val="00503C34"/>
    <w:rsid w:val="0050476E"/>
    <w:rsid w:val="005074AD"/>
    <w:rsid w:val="00507BC4"/>
    <w:rsid w:val="00510B3A"/>
    <w:rsid w:val="005128E4"/>
    <w:rsid w:val="005135E3"/>
    <w:rsid w:val="00514886"/>
    <w:rsid w:val="00515DED"/>
    <w:rsid w:val="0052158B"/>
    <w:rsid w:val="00525560"/>
    <w:rsid w:val="0052589E"/>
    <w:rsid w:val="005357A6"/>
    <w:rsid w:val="00535D5A"/>
    <w:rsid w:val="005368F3"/>
    <w:rsid w:val="00536B83"/>
    <w:rsid w:val="00543399"/>
    <w:rsid w:val="00543747"/>
    <w:rsid w:val="00544C49"/>
    <w:rsid w:val="00546267"/>
    <w:rsid w:val="00547029"/>
    <w:rsid w:val="00554330"/>
    <w:rsid w:val="005551EF"/>
    <w:rsid w:val="005556AD"/>
    <w:rsid w:val="005561B5"/>
    <w:rsid w:val="00566887"/>
    <w:rsid w:val="00571982"/>
    <w:rsid w:val="0057402A"/>
    <w:rsid w:val="00574ED9"/>
    <w:rsid w:val="005771D0"/>
    <w:rsid w:val="00577D89"/>
    <w:rsid w:val="0058025E"/>
    <w:rsid w:val="005807F0"/>
    <w:rsid w:val="0059167A"/>
    <w:rsid w:val="0059191A"/>
    <w:rsid w:val="005921FF"/>
    <w:rsid w:val="00593AB3"/>
    <w:rsid w:val="00594B56"/>
    <w:rsid w:val="005955D3"/>
    <w:rsid w:val="005961D6"/>
    <w:rsid w:val="005A0CA1"/>
    <w:rsid w:val="005A0F57"/>
    <w:rsid w:val="005A4B2F"/>
    <w:rsid w:val="005A6BEB"/>
    <w:rsid w:val="005A6D0E"/>
    <w:rsid w:val="005B0278"/>
    <w:rsid w:val="005B0FEC"/>
    <w:rsid w:val="005B222D"/>
    <w:rsid w:val="005B3B9A"/>
    <w:rsid w:val="005B52B0"/>
    <w:rsid w:val="005B6806"/>
    <w:rsid w:val="005C00F9"/>
    <w:rsid w:val="005C0FD5"/>
    <w:rsid w:val="005C4225"/>
    <w:rsid w:val="005E6ED1"/>
    <w:rsid w:val="005E6F50"/>
    <w:rsid w:val="005F0B77"/>
    <w:rsid w:val="005F0F33"/>
    <w:rsid w:val="005F22F3"/>
    <w:rsid w:val="005F431A"/>
    <w:rsid w:val="005F6913"/>
    <w:rsid w:val="00600DEB"/>
    <w:rsid w:val="00606458"/>
    <w:rsid w:val="00612A2C"/>
    <w:rsid w:val="00613027"/>
    <w:rsid w:val="00614ABB"/>
    <w:rsid w:val="00617598"/>
    <w:rsid w:val="0062015A"/>
    <w:rsid w:val="006207A6"/>
    <w:rsid w:val="00627C9F"/>
    <w:rsid w:val="00630E45"/>
    <w:rsid w:val="006311DA"/>
    <w:rsid w:val="006311E9"/>
    <w:rsid w:val="00631529"/>
    <w:rsid w:val="00632354"/>
    <w:rsid w:val="006346D2"/>
    <w:rsid w:val="00636362"/>
    <w:rsid w:val="00642810"/>
    <w:rsid w:val="00643576"/>
    <w:rsid w:val="00643E2B"/>
    <w:rsid w:val="00644678"/>
    <w:rsid w:val="00644959"/>
    <w:rsid w:val="006452FD"/>
    <w:rsid w:val="0064551C"/>
    <w:rsid w:val="00652333"/>
    <w:rsid w:val="006632FB"/>
    <w:rsid w:val="00664E11"/>
    <w:rsid w:val="00667B63"/>
    <w:rsid w:val="00671475"/>
    <w:rsid w:val="00672CEE"/>
    <w:rsid w:val="00673052"/>
    <w:rsid w:val="00674DFE"/>
    <w:rsid w:val="006750D1"/>
    <w:rsid w:val="00677AEB"/>
    <w:rsid w:val="0068009E"/>
    <w:rsid w:val="00682617"/>
    <w:rsid w:val="006829EA"/>
    <w:rsid w:val="006842C1"/>
    <w:rsid w:val="006930A1"/>
    <w:rsid w:val="0069504D"/>
    <w:rsid w:val="006A17D2"/>
    <w:rsid w:val="006A3E62"/>
    <w:rsid w:val="006A6C20"/>
    <w:rsid w:val="006A6D44"/>
    <w:rsid w:val="006A73E6"/>
    <w:rsid w:val="006B0ECC"/>
    <w:rsid w:val="006B213E"/>
    <w:rsid w:val="006B2D5C"/>
    <w:rsid w:val="006B32E1"/>
    <w:rsid w:val="006B3BFF"/>
    <w:rsid w:val="006B5824"/>
    <w:rsid w:val="006C023A"/>
    <w:rsid w:val="006C101A"/>
    <w:rsid w:val="006C4C1A"/>
    <w:rsid w:val="006C4EB1"/>
    <w:rsid w:val="006C5881"/>
    <w:rsid w:val="006D2F85"/>
    <w:rsid w:val="006E0166"/>
    <w:rsid w:val="006E2C99"/>
    <w:rsid w:val="006E5509"/>
    <w:rsid w:val="006E7B34"/>
    <w:rsid w:val="006F5B1D"/>
    <w:rsid w:val="006F645C"/>
    <w:rsid w:val="006F67AE"/>
    <w:rsid w:val="00701B24"/>
    <w:rsid w:val="00701D6D"/>
    <w:rsid w:val="00710382"/>
    <w:rsid w:val="00715CD6"/>
    <w:rsid w:val="00722DB2"/>
    <w:rsid w:val="00723976"/>
    <w:rsid w:val="00726AD5"/>
    <w:rsid w:val="007306DD"/>
    <w:rsid w:val="00737FF3"/>
    <w:rsid w:val="00742639"/>
    <w:rsid w:val="00745899"/>
    <w:rsid w:val="007467BB"/>
    <w:rsid w:val="00746CCE"/>
    <w:rsid w:val="007479CC"/>
    <w:rsid w:val="00747BEA"/>
    <w:rsid w:val="00754B71"/>
    <w:rsid w:val="0075734D"/>
    <w:rsid w:val="007605A5"/>
    <w:rsid w:val="007607C4"/>
    <w:rsid w:val="0076576E"/>
    <w:rsid w:val="0076643F"/>
    <w:rsid w:val="00767AF8"/>
    <w:rsid w:val="00767C9D"/>
    <w:rsid w:val="00772EB3"/>
    <w:rsid w:val="00790749"/>
    <w:rsid w:val="00790869"/>
    <w:rsid w:val="00796206"/>
    <w:rsid w:val="0079764F"/>
    <w:rsid w:val="007A0CB6"/>
    <w:rsid w:val="007A2F70"/>
    <w:rsid w:val="007A4F7E"/>
    <w:rsid w:val="007A56E9"/>
    <w:rsid w:val="007A7209"/>
    <w:rsid w:val="007C1B88"/>
    <w:rsid w:val="007C3334"/>
    <w:rsid w:val="007C52BB"/>
    <w:rsid w:val="007D2B98"/>
    <w:rsid w:val="007D5A8C"/>
    <w:rsid w:val="007E3B40"/>
    <w:rsid w:val="007F2EE5"/>
    <w:rsid w:val="007F3CF9"/>
    <w:rsid w:val="007F3EB3"/>
    <w:rsid w:val="007F619C"/>
    <w:rsid w:val="007F6C4C"/>
    <w:rsid w:val="00803F1C"/>
    <w:rsid w:val="00804B91"/>
    <w:rsid w:val="0080600E"/>
    <w:rsid w:val="00807676"/>
    <w:rsid w:val="00807EB7"/>
    <w:rsid w:val="00813C7D"/>
    <w:rsid w:val="00817612"/>
    <w:rsid w:val="00820E3C"/>
    <w:rsid w:val="008256B4"/>
    <w:rsid w:val="00825AC0"/>
    <w:rsid w:val="008316E2"/>
    <w:rsid w:val="00833FD7"/>
    <w:rsid w:val="00837C45"/>
    <w:rsid w:val="0084091E"/>
    <w:rsid w:val="0084224F"/>
    <w:rsid w:val="0085302D"/>
    <w:rsid w:val="00853419"/>
    <w:rsid w:val="008539A7"/>
    <w:rsid w:val="00853D5A"/>
    <w:rsid w:val="00854983"/>
    <w:rsid w:val="00855003"/>
    <w:rsid w:val="00856905"/>
    <w:rsid w:val="00857435"/>
    <w:rsid w:val="00860163"/>
    <w:rsid w:val="0086503A"/>
    <w:rsid w:val="00873711"/>
    <w:rsid w:val="0087428A"/>
    <w:rsid w:val="00877AD2"/>
    <w:rsid w:val="00891357"/>
    <w:rsid w:val="00891BA0"/>
    <w:rsid w:val="0089275D"/>
    <w:rsid w:val="00893EBC"/>
    <w:rsid w:val="00896768"/>
    <w:rsid w:val="00897E12"/>
    <w:rsid w:val="008A0C8B"/>
    <w:rsid w:val="008A44DF"/>
    <w:rsid w:val="008A52CB"/>
    <w:rsid w:val="008B0891"/>
    <w:rsid w:val="008B132B"/>
    <w:rsid w:val="008B2EB0"/>
    <w:rsid w:val="008B5D76"/>
    <w:rsid w:val="008C61C9"/>
    <w:rsid w:val="008D0802"/>
    <w:rsid w:val="008D173A"/>
    <w:rsid w:val="008D43BA"/>
    <w:rsid w:val="008D6C8E"/>
    <w:rsid w:val="008E1D9C"/>
    <w:rsid w:val="008E2AF0"/>
    <w:rsid w:val="008E3759"/>
    <w:rsid w:val="008E3DA0"/>
    <w:rsid w:val="008E7B9A"/>
    <w:rsid w:val="008E7E4B"/>
    <w:rsid w:val="008F20DD"/>
    <w:rsid w:val="008F65C2"/>
    <w:rsid w:val="009033E5"/>
    <w:rsid w:val="0090346F"/>
    <w:rsid w:val="009041DC"/>
    <w:rsid w:val="00907EDD"/>
    <w:rsid w:val="009104B4"/>
    <w:rsid w:val="00910E90"/>
    <w:rsid w:val="0091682C"/>
    <w:rsid w:val="00925FCD"/>
    <w:rsid w:val="00927006"/>
    <w:rsid w:val="0093441A"/>
    <w:rsid w:val="00942F9D"/>
    <w:rsid w:val="00947C49"/>
    <w:rsid w:val="00952D1F"/>
    <w:rsid w:val="00954BF7"/>
    <w:rsid w:val="00957201"/>
    <w:rsid w:val="0096706E"/>
    <w:rsid w:val="00971632"/>
    <w:rsid w:val="00971B4E"/>
    <w:rsid w:val="00973CA8"/>
    <w:rsid w:val="009761B6"/>
    <w:rsid w:val="00977953"/>
    <w:rsid w:val="00981FBA"/>
    <w:rsid w:val="00986980"/>
    <w:rsid w:val="009906A8"/>
    <w:rsid w:val="00991725"/>
    <w:rsid w:val="00996B41"/>
    <w:rsid w:val="009A04BC"/>
    <w:rsid w:val="009A447C"/>
    <w:rsid w:val="009B2444"/>
    <w:rsid w:val="009B381B"/>
    <w:rsid w:val="009B430A"/>
    <w:rsid w:val="009B468D"/>
    <w:rsid w:val="009B7678"/>
    <w:rsid w:val="009C59C9"/>
    <w:rsid w:val="009D07E0"/>
    <w:rsid w:val="009D1EE7"/>
    <w:rsid w:val="009D4957"/>
    <w:rsid w:val="009D5B01"/>
    <w:rsid w:val="009D60F6"/>
    <w:rsid w:val="009D7611"/>
    <w:rsid w:val="009D795E"/>
    <w:rsid w:val="009E14E5"/>
    <w:rsid w:val="009E4D1D"/>
    <w:rsid w:val="009E53DE"/>
    <w:rsid w:val="009E65E4"/>
    <w:rsid w:val="00A033E2"/>
    <w:rsid w:val="00A0579D"/>
    <w:rsid w:val="00A06254"/>
    <w:rsid w:val="00A06400"/>
    <w:rsid w:val="00A07977"/>
    <w:rsid w:val="00A12C24"/>
    <w:rsid w:val="00A31538"/>
    <w:rsid w:val="00A31CBA"/>
    <w:rsid w:val="00A341AD"/>
    <w:rsid w:val="00A34C48"/>
    <w:rsid w:val="00A43458"/>
    <w:rsid w:val="00A4634E"/>
    <w:rsid w:val="00A528D1"/>
    <w:rsid w:val="00A60E5E"/>
    <w:rsid w:val="00A6298C"/>
    <w:rsid w:val="00A64401"/>
    <w:rsid w:val="00A66BE5"/>
    <w:rsid w:val="00A67333"/>
    <w:rsid w:val="00A700F4"/>
    <w:rsid w:val="00A71AD9"/>
    <w:rsid w:val="00A730E1"/>
    <w:rsid w:val="00A733B4"/>
    <w:rsid w:val="00A73CE0"/>
    <w:rsid w:val="00A74D49"/>
    <w:rsid w:val="00A91C86"/>
    <w:rsid w:val="00A92F06"/>
    <w:rsid w:val="00A95755"/>
    <w:rsid w:val="00AA2E56"/>
    <w:rsid w:val="00AA39D8"/>
    <w:rsid w:val="00AA7954"/>
    <w:rsid w:val="00AA7F2D"/>
    <w:rsid w:val="00AB1FC5"/>
    <w:rsid w:val="00AB375F"/>
    <w:rsid w:val="00AC211D"/>
    <w:rsid w:val="00AC39D5"/>
    <w:rsid w:val="00AC7594"/>
    <w:rsid w:val="00AD37C1"/>
    <w:rsid w:val="00AD6EFA"/>
    <w:rsid w:val="00AE229D"/>
    <w:rsid w:val="00AE66EC"/>
    <w:rsid w:val="00AE6F91"/>
    <w:rsid w:val="00AE72F9"/>
    <w:rsid w:val="00AF5571"/>
    <w:rsid w:val="00B0178D"/>
    <w:rsid w:val="00B0322A"/>
    <w:rsid w:val="00B04C46"/>
    <w:rsid w:val="00B0530B"/>
    <w:rsid w:val="00B065AC"/>
    <w:rsid w:val="00B074F6"/>
    <w:rsid w:val="00B11688"/>
    <w:rsid w:val="00B14367"/>
    <w:rsid w:val="00B167E9"/>
    <w:rsid w:val="00B22183"/>
    <w:rsid w:val="00B26973"/>
    <w:rsid w:val="00B27AD5"/>
    <w:rsid w:val="00B314DB"/>
    <w:rsid w:val="00B31EBE"/>
    <w:rsid w:val="00B34AF3"/>
    <w:rsid w:val="00B3718B"/>
    <w:rsid w:val="00B4632A"/>
    <w:rsid w:val="00B5552F"/>
    <w:rsid w:val="00B678C0"/>
    <w:rsid w:val="00B71EFB"/>
    <w:rsid w:val="00B8066F"/>
    <w:rsid w:val="00B82207"/>
    <w:rsid w:val="00B87554"/>
    <w:rsid w:val="00B9169B"/>
    <w:rsid w:val="00B92469"/>
    <w:rsid w:val="00B92E44"/>
    <w:rsid w:val="00BA1387"/>
    <w:rsid w:val="00BA276C"/>
    <w:rsid w:val="00BA4550"/>
    <w:rsid w:val="00BA5B4B"/>
    <w:rsid w:val="00BA5E57"/>
    <w:rsid w:val="00BA709E"/>
    <w:rsid w:val="00BB0A2C"/>
    <w:rsid w:val="00BB306F"/>
    <w:rsid w:val="00BC4C4D"/>
    <w:rsid w:val="00BD232B"/>
    <w:rsid w:val="00BD4B89"/>
    <w:rsid w:val="00BE292B"/>
    <w:rsid w:val="00BF7F7C"/>
    <w:rsid w:val="00C002CC"/>
    <w:rsid w:val="00C05280"/>
    <w:rsid w:val="00C21762"/>
    <w:rsid w:val="00C24543"/>
    <w:rsid w:val="00C256A2"/>
    <w:rsid w:val="00C27029"/>
    <w:rsid w:val="00C30C62"/>
    <w:rsid w:val="00C33F4C"/>
    <w:rsid w:val="00C344F8"/>
    <w:rsid w:val="00C3492D"/>
    <w:rsid w:val="00C35442"/>
    <w:rsid w:val="00C37DB7"/>
    <w:rsid w:val="00C438AD"/>
    <w:rsid w:val="00C55559"/>
    <w:rsid w:val="00C55560"/>
    <w:rsid w:val="00C575D0"/>
    <w:rsid w:val="00C604D9"/>
    <w:rsid w:val="00C628DA"/>
    <w:rsid w:val="00C64B39"/>
    <w:rsid w:val="00C66B72"/>
    <w:rsid w:val="00C72267"/>
    <w:rsid w:val="00C72366"/>
    <w:rsid w:val="00C72F55"/>
    <w:rsid w:val="00C76AA4"/>
    <w:rsid w:val="00C84C19"/>
    <w:rsid w:val="00C87CBC"/>
    <w:rsid w:val="00C9567A"/>
    <w:rsid w:val="00C95F60"/>
    <w:rsid w:val="00C96E58"/>
    <w:rsid w:val="00CA01AD"/>
    <w:rsid w:val="00CA1BFD"/>
    <w:rsid w:val="00CA48FA"/>
    <w:rsid w:val="00CA4FC5"/>
    <w:rsid w:val="00CA7CE3"/>
    <w:rsid w:val="00CB2660"/>
    <w:rsid w:val="00CB326A"/>
    <w:rsid w:val="00CC0205"/>
    <w:rsid w:val="00CC04EE"/>
    <w:rsid w:val="00CC169F"/>
    <w:rsid w:val="00CC30F9"/>
    <w:rsid w:val="00CC39F5"/>
    <w:rsid w:val="00CC5E90"/>
    <w:rsid w:val="00CC6570"/>
    <w:rsid w:val="00CC69D2"/>
    <w:rsid w:val="00CD046C"/>
    <w:rsid w:val="00CD3A20"/>
    <w:rsid w:val="00CD59BF"/>
    <w:rsid w:val="00CE0D89"/>
    <w:rsid w:val="00CE5199"/>
    <w:rsid w:val="00CE66D5"/>
    <w:rsid w:val="00CF42AE"/>
    <w:rsid w:val="00CF54A4"/>
    <w:rsid w:val="00D016E8"/>
    <w:rsid w:val="00D023E2"/>
    <w:rsid w:val="00D03B8A"/>
    <w:rsid w:val="00D07118"/>
    <w:rsid w:val="00D12B6F"/>
    <w:rsid w:val="00D1530F"/>
    <w:rsid w:val="00D23F11"/>
    <w:rsid w:val="00D25C66"/>
    <w:rsid w:val="00D30A82"/>
    <w:rsid w:val="00D314AA"/>
    <w:rsid w:val="00D33A70"/>
    <w:rsid w:val="00D34786"/>
    <w:rsid w:val="00D37672"/>
    <w:rsid w:val="00D40213"/>
    <w:rsid w:val="00D40A1E"/>
    <w:rsid w:val="00D42817"/>
    <w:rsid w:val="00D50F23"/>
    <w:rsid w:val="00D559E2"/>
    <w:rsid w:val="00D64F0C"/>
    <w:rsid w:val="00D712D3"/>
    <w:rsid w:val="00D71422"/>
    <w:rsid w:val="00D7145E"/>
    <w:rsid w:val="00D716CF"/>
    <w:rsid w:val="00D720AC"/>
    <w:rsid w:val="00D73930"/>
    <w:rsid w:val="00D7491C"/>
    <w:rsid w:val="00D74AC5"/>
    <w:rsid w:val="00D7558D"/>
    <w:rsid w:val="00D75A70"/>
    <w:rsid w:val="00D81D92"/>
    <w:rsid w:val="00D86ABB"/>
    <w:rsid w:val="00D87808"/>
    <w:rsid w:val="00D87DBE"/>
    <w:rsid w:val="00D87FD8"/>
    <w:rsid w:val="00D9156C"/>
    <w:rsid w:val="00D93446"/>
    <w:rsid w:val="00D965B3"/>
    <w:rsid w:val="00DA40F2"/>
    <w:rsid w:val="00DA7B5F"/>
    <w:rsid w:val="00DB651F"/>
    <w:rsid w:val="00DC7464"/>
    <w:rsid w:val="00DD35EE"/>
    <w:rsid w:val="00DD5C53"/>
    <w:rsid w:val="00DD645A"/>
    <w:rsid w:val="00DE02F8"/>
    <w:rsid w:val="00DE1042"/>
    <w:rsid w:val="00DE4A7C"/>
    <w:rsid w:val="00DE4E65"/>
    <w:rsid w:val="00DE514D"/>
    <w:rsid w:val="00DE5856"/>
    <w:rsid w:val="00DF4602"/>
    <w:rsid w:val="00E00325"/>
    <w:rsid w:val="00E05FCC"/>
    <w:rsid w:val="00E10EF5"/>
    <w:rsid w:val="00E162FE"/>
    <w:rsid w:val="00E21EFB"/>
    <w:rsid w:val="00E221FB"/>
    <w:rsid w:val="00E251CE"/>
    <w:rsid w:val="00E32305"/>
    <w:rsid w:val="00E33041"/>
    <w:rsid w:val="00E34716"/>
    <w:rsid w:val="00E3491F"/>
    <w:rsid w:val="00E40852"/>
    <w:rsid w:val="00E43157"/>
    <w:rsid w:val="00E46AF6"/>
    <w:rsid w:val="00E507E3"/>
    <w:rsid w:val="00E511AD"/>
    <w:rsid w:val="00E51AAD"/>
    <w:rsid w:val="00E533FF"/>
    <w:rsid w:val="00E54C28"/>
    <w:rsid w:val="00E64164"/>
    <w:rsid w:val="00E703F0"/>
    <w:rsid w:val="00E70884"/>
    <w:rsid w:val="00E709B3"/>
    <w:rsid w:val="00E82677"/>
    <w:rsid w:val="00E832F9"/>
    <w:rsid w:val="00E8789F"/>
    <w:rsid w:val="00E87DF9"/>
    <w:rsid w:val="00E91905"/>
    <w:rsid w:val="00E9651F"/>
    <w:rsid w:val="00E97B71"/>
    <w:rsid w:val="00EA131A"/>
    <w:rsid w:val="00EA2C1D"/>
    <w:rsid w:val="00EA4905"/>
    <w:rsid w:val="00EB454D"/>
    <w:rsid w:val="00EC2E5D"/>
    <w:rsid w:val="00EC3D17"/>
    <w:rsid w:val="00EC6FD1"/>
    <w:rsid w:val="00ED554E"/>
    <w:rsid w:val="00ED624F"/>
    <w:rsid w:val="00EE3522"/>
    <w:rsid w:val="00EE4E90"/>
    <w:rsid w:val="00EE6F28"/>
    <w:rsid w:val="00EF3C81"/>
    <w:rsid w:val="00EF619B"/>
    <w:rsid w:val="00F00B55"/>
    <w:rsid w:val="00F01169"/>
    <w:rsid w:val="00F04082"/>
    <w:rsid w:val="00F07434"/>
    <w:rsid w:val="00F10D4D"/>
    <w:rsid w:val="00F1380F"/>
    <w:rsid w:val="00F14F0E"/>
    <w:rsid w:val="00F170BD"/>
    <w:rsid w:val="00F17E86"/>
    <w:rsid w:val="00F22E2D"/>
    <w:rsid w:val="00F24C29"/>
    <w:rsid w:val="00F253CC"/>
    <w:rsid w:val="00F334D7"/>
    <w:rsid w:val="00F346C8"/>
    <w:rsid w:val="00F44251"/>
    <w:rsid w:val="00F47AB8"/>
    <w:rsid w:val="00F50ABF"/>
    <w:rsid w:val="00F547ED"/>
    <w:rsid w:val="00F56BA5"/>
    <w:rsid w:val="00F644E6"/>
    <w:rsid w:val="00F67C41"/>
    <w:rsid w:val="00F67E82"/>
    <w:rsid w:val="00F74EC9"/>
    <w:rsid w:val="00F83210"/>
    <w:rsid w:val="00F84A4F"/>
    <w:rsid w:val="00F90087"/>
    <w:rsid w:val="00F93098"/>
    <w:rsid w:val="00F93732"/>
    <w:rsid w:val="00F93E8E"/>
    <w:rsid w:val="00F948CA"/>
    <w:rsid w:val="00F9653B"/>
    <w:rsid w:val="00FA344E"/>
    <w:rsid w:val="00FB1339"/>
    <w:rsid w:val="00FB62CF"/>
    <w:rsid w:val="00FC0CB6"/>
    <w:rsid w:val="00FC0FC7"/>
    <w:rsid w:val="00FC15CF"/>
    <w:rsid w:val="00FC3EB4"/>
    <w:rsid w:val="00FC44CE"/>
    <w:rsid w:val="00FC4D8E"/>
    <w:rsid w:val="00FC53BB"/>
    <w:rsid w:val="00FC6C58"/>
    <w:rsid w:val="00FC77FE"/>
    <w:rsid w:val="00FD1C2F"/>
    <w:rsid w:val="00FD5A0E"/>
    <w:rsid w:val="00FE378E"/>
    <w:rsid w:val="00FE4DB1"/>
    <w:rsid w:val="00FE6B45"/>
    <w:rsid w:val="00FF2031"/>
    <w:rsid w:val="00FF2076"/>
    <w:rsid w:val="00FF20AE"/>
    <w:rsid w:val="00FF3EBC"/>
    <w:rsid w:val="00FF5851"/>
    <w:rsid w:val="00FF6121"/>
    <w:rsid w:val="00FF668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qFormat/>
    <w:rsid w:val="006B32E1"/>
    <w:pPr>
      <w:keepNext/>
      <w:keepLines/>
      <w:numPr>
        <w:numId w:val="57"/>
      </w:numPr>
      <w:ind w:firstLine="0"/>
      <w:outlineLvl w:val="0"/>
    </w:pPr>
    <w:rPr>
      <w:rFonts w:ascii="Cambria" w:eastAsia="Times New Roman" w:hAnsi="Cambria"/>
      <w:b/>
      <w:bCs/>
      <w:sz w:val="20"/>
      <w:szCs w:val="20"/>
    </w:rPr>
  </w:style>
  <w:style w:type="paragraph" w:styleId="Heading2">
    <w:name w:val="heading 2"/>
    <w:basedOn w:val="Normal"/>
    <w:next w:val="Normal"/>
    <w:link w:val="Heading2Char"/>
    <w:qFormat/>
    <w:rsid w:val="006B32E1"/>
    <w:pPr>
      <w:keepNext/>
      <w:keepLines/>
      <w:spacing w:before="200"/>
      <w:ind w:firstLine="720"/>
      <w:outlineLvl w:val="1"/>
    </w:pPr>
    <w:rPr>
      <w:rFonts w:ascii="Cambria" w:eastAsia="Times New Roman" w:hAnsi="Cambria"/>
      <w:b/>
      <w:bCs/>
      <w:sz w:val="20"/>
      <w:szCs w:val="26"/>
    </w:rPr>
  </w:style>
  <w:style w:type="paragraph" w:styleId="Heading3">
    <w:name w:val="heading 3"/>
    <w:basedOn w:val="Normal"/>
    <w:next w:val="Normal"/>
    <w:link w:val="Heading3Char"/>
    <w:qFormat/>
    <w:rsid w:val="006B32E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6B32E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uiPriority w:val="99"/>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val="en-US" w:eastAsia="es-E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6B32E1"/>
    <w:rPr>
      <w:rFonts w:ascii="Cambria" w:eastAsia="Times New Roman" w:hAnsi="Cambria" w:cs="Times New Roman"/>
      <w:b/>
      <w:bCs/>
      <w:lang w:val="en-US" w:eastAsia="en-US"/>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link w:val="Heading2"/>
    <w:rsid w:val="006B32E1"/>
    <w:rPr>
      <w:rFonts w:ascii="Cambria" w:eastAsia="Times New Roman" w:hAnsi="Cambria" w:cs="Times New Roman"/>
      <w:b/>
      <w:bCs/>
      <w:szCs w:val="26"/>
      <w:lang w:val="en-US" w:eastAsia="en-US"/>
    </w:rPr>
  </w:style>
  <w:style w:type="character" w:customStyle="1" w:styleId="Heading3Char">
    <w:name w:val="Heading 3 Char"/>
    <w:link w:val="Heading3"/>
    <w:rsid w:val="006B32E1"/>
    <w:rPr>
      <w:rFonts w:ascii="Cambria" w:eastAsia="Times New Roman" w:hAnsi="Cambria" w:cs="Times New Roman"/>
      <w:b/>
      <w:bCs/>
      <w:color w:val="4F81BD"/>
      <w:sz w:val="24"/>
      <w:szCs w:val="24"/>
      <w:lang w:val="en-US" w:eastAsia="en-US"/>
    </w:rPr>
  </w:style>
  <w:style w:type="character" w:customStyle="1" w:styleId="Heading4Char">
    <w:name w:val="Heading 4 Char"/>
    <w:link w:val="Heading4"/>
    <w:rsid w:val="006B32E1"/>
    <w:rPr>
      <w:rFonts w:ascii="Arial" w:eastAsia="Times New Roman" w:hAnsi="Arial"/>
      <w:b/>
      <w:sz w:val="24"/>
      <w:bdr w:val="none" w:sz="0" w:space="0" w:color="auto"/>
      <w:lang w:val="en-US" w:eastAsia="en-US"/>
    </w:rPr>
  </w:style>
  <w:style w:type="character" w:customStyle="1" w:styleId="Heading5Char">
    <w:name w:val="Heading 5 Char"/>
    <w:link w:val="Heading5"/>
    <w:rsid w:val="006B32E1"/>
    <w:rPr>
      <w:rFonts w:eastAsia="Times New Roman"/>
      <w:sz w:val="22"/>
      <w:bdr w:val="none" w:sz="0" w:space="0" w:color="auto"/>
      <w:lang w:val="en-US" w:eastAsia="en-US"/>
    </w:rPr>
  </w:style>
  <w:style w:type="character" w:customStyle="1" w:styleId="Heading6Char">
    <w:name w:val="Heading 6 Char"/>
    <w:link w:val="Heading6"/>
    <w:rsid w:val="006B32E1"/>
    <w:rPr>
      <w:rFonts w:eastAsia="Times New Roman"/>
      <w:i/>
      <w:sz w:val="22"/>
      <w:bdr w:val="none" w:sz="0" w:space="0" w:color="auto"/>
      <w:lang w:val="en-US" w:eastAsia="en-US"/>
    </w:rPr>
  </w:style>
  <w:style w:type="character" w:customStyle="1" w:styleId="Heading7Char">
    <w:name w:val="Heading 7 Char"/>
    <w:link w:val="Heading7"/>
    <w:rsid w:val="006B32E1"/>
    <w:rPr>
      <w:rFonts w:ascii="Arial" w:eastAsia="Times New Roman" w:hAnsi="Arial"/>
      <w:bdr w:val="none" w:sz="0" w:space="0" w:color="auto"/>
      <w:lang w:val="en-US" w:eastAsia="en-US"/>
    </w:rPr>
  </w:style>
  <w:style w:type="character" w:customStyle="1" w:styleId="Heading8Char">
    <w:name w:val="Heading 8 Char"/>
    <w:link w:val="Heading8"/>
    <w:rsid w:val="006B32E1"/>
    <w:rPr>
      <w:rFonts w:ascii="Arial" w:eastAsia="Times New Roman" w:hAnsi="Arial"/>
      <w:i/>
      <w:bdr w:val="none" w:sz="0" w:space="0" w:color="auto"/>
      <w:lang w:val="en-US" w:eastAsia="en-US"/>
    </w:rPr>
  </w:style>
  <w:style w:type="character" w:customStyle="1" w:styleId="Heading9Char">
    <w:name w:val="Heading 9 Char"/>
    <w:link w:val="Heading9"/>
    <w:rsid w:val="006B32E1"/>
    <w:rPr>
      <w:rFonts w:ascii="Arial" w:eastAsia="Times New Roman" w:hAnsi="Arial"/>
      <w:b/>
      <w:i/>
      <w:sz w:val="18"/>
      <w:bdr w:val="none" w:sz="0" w:space="0" w:color="auto"/>
      <w:lang w:val="en-US" w:eastAsia="en-US"/>
    </w:rPr>
  </w:style>
  <w:style w:type="paragraph" w:customStyle="1" w:styleId="ColorfulList-Accent11">
    <w:name w:val="Colorful List - Accent 11"/>
    <w:uiPriority w:val="34"/>
    <w:qFormat/>
    <w:rsid w:val="006B32E1"/>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211">
    <w:name w:val="List 211"/>
    <w:basedOn w:val="Estiloimportado19"/>
    <w:rsid w:val="006B32E1"/>
    <w:pPr>
      <w:numPr>
        <w:numId w:val="39"/>
      </w:numPr>
    </w:pPr>
  </w:style>
  <w:style w:type="numbering" w:customStyle="1" w:styleId="List311">
    <w:name w:val="List 311"/>
    <w:basedOn w:val="Estiloimportado27"/>
    <w:rsid w:val="006B32E1"/>
    <w:pPr>
      <w:numPr>
        <w:numId w:val="24"/>
      </w:numPr>
    </w:pPr>
  </w:style>
  <w:style w:type="numbering" w:customStyle="1" w:styleId="List411">
    <w:name w:val="List 411"/>
    <w:basedOn w:val="Estiloimportado37"/>
    <w:rsid w:val="006B32E1"/>
    <w:pPr>
      <w:numPr>
        <w:numId w:val="44"/>
      </w:numPr>
    </w:pPr>
  </w:style>
  <w:style w:type="numbering" w:customStyle="1" w:styleId="List511">
    <w:name w:val="List 511"/>
    <w:basedOn w:val="Estiloimportado46"/>
    <w:rsid w:val="006B32E1"/>
    <w:pPr>
      <w:numPr>
        <w:numId w:val="30"/>
      </w:numPr>
    </w:pPr>
  </w:style>
  <w:style w:type="table" w:styleId="ColorfulList-Accent2">
    <w:name w:val="Colorful List Accent 2"/>
    <w:basedOn w:val="TableNormal"/>
    <w:uiPriority w:val="63"/>
    <w:rsid w:val="006B32E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1">
    <w:name w:val="No List1"/>
    <w:next w:val="NoList"/>
    <w:semiHidden/>
    <w:unhideWhenUsed/>
    <w:rsid w:val="006B32E1"/>
  </w:style>
  <w:style w:type="character" w:customStyle="1" w:styleId="BodyTextIndentChar">
    <w:name w:val="Body Text Indent Char"/>
    <w:link w:val="BodyTextIndent"/>
    <w:rsid w:val="006B32E1"/>
    <w:rPr>
      <w:rFonts w:eastAsia="Times New Roman"/>
      <w:color w:val="000000"/>
      <w:sz w:val="24"/>
      <w:szCs w:val="24"/>
      <w:u w:color="000000"/>
      <w:lang w:val="es-ES_tradnl"/>
    </w:rPr>
  </w:style>
  <w:style w:type="character" w:customStyle="1" w:styleId="Style">
    <w:name w:val="Style"/>
    <w:rsid w:val="006B32E1"/>
    <w:rPr>
      <w:rFonts w:ascii="Times New Roman" w:hAnsi="Times New Roman"/>
      <w:sz w:val="22"/>
      <w:vertAlign w:val="superscript"/>
    </w:rPr>
  </w:style>
  <w:style w:type="paragraph" w:customStyle="1" w:styleId="Style1">
    <w:name w:val="Style1"/>
    <w:basedOn w:val="FootnoteText"/>
    <w:link w:val="Style1Char"/>
    <w:autoRedefine/>
    <w:uiPriority w:val="99"/>
    <w:rsid w:val="006B32E1"/>
    <w:pPr>
      <w:numPr>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pPr>
    <w:rPr>
      <w:rFonts w:ascii="Cambria" w:eastAsia="Times New Roman" w:hAnsi="Cambria" w:cs="Times New Roman"/>
      <w:b/>
      <w:color w:val="auto"/>
      <w:sz w:val="22"/>
      <w:szCs w:val="22"/>
      <w:bdr w:val="none" w:sz="0" w:space="0" w:color="auto"/>
      <w:lang w:val="es-PY" w:eastAsia="en-US"/>
    </w:rPr>
  </w:style>
  <w:style w:type="paragraph" w:customStyle="1" w:styleId="Style10">
    <w:name w:val="Style 1"/>
    <w:basedOn w:val="Normal"/>
    <w:uiPriority w:val="99"/>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6B32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link w:val="DocumentMap"/>
    <w:semiHidden/>
    <w:rsid w:val="006B32E1"/>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uiPriority w:val="59"/>
    <w:rsid w:val="006B32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6B32E1"/>
    <w:rPr>
      <w:b/>
      <w:bCs/>
    </w:rPr>
  </w:style>
  <w:style w:type="character" w:customStyle="1" w:styleId="Heading1CharCharCharCharCharChar">
    <w:name w:val="Heading 1 Char Char Char Char Char Char"/>
    <w:rsid w:val="006B32E1"/>
    <w:rPr>
      <w:rFonts w:ascii="Univers" w:hAnsi="Univers" w:cs="Arial"/>
      <w:kern w:val="36"/>
      <w:sz w:val="22"/>
      <w:szCs w:val="22"/>
      <w:lang w:val="en-US" w:eastAsia="en-US" w:bidi="ar-SA"/>
    </w:rPr>
  </w:style>
  <w:style w:type="paragraph" w:styleId="BodyTextIndent2">
    <w:name w:val="Body Text Indent 2"/>
    <w:basedOn w:val="Normal"/>
    <w:link w:val="BodyTextIndent2Char"/>
    <w:rsid w:val="006B32E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link w:val="BodyTextIndent2"/>
    <w:rsid w:val="006B32E1"/>
    <w:rPr>
      <w:rFonts w:eastAsia="Times New Roman"/>
      <w:bdr w:val="none" w:sz="0" w:space="0" w:color="auto"/>
      <w:lang w:val="en-US" w:eastAsia="en-US"/>
    </w:rPr>
  </w:style>
  <w:style w:type="paragraph" w:customStyle="1" w:styleId="Default">
    <w:name w:val="Default"/>
    <w:link w:val="DefaultChar"/>
    <w:uiPriority w:val="99"/>
    <w:rsid w:val="006B32E1"/>
    <w:pPr>
      <w:autoSpaceDE w:val="0"/>
      <w:autoSpaceDN w:val="0"/>
      <w:adjustRightInd w:val="0"/>
    </w:pPr>
    <w:rPr>
      <w:rFonts w:eastAsia="Times New Roman"/>
      <w:color w:val="000000"/>
      <w:sz w:val="24"/>
      <w:szCs w:val="24"/>
      <w:lang w:val="en-US" w:eastAsia="en-US"/>
    </w:rPr>
  </w:style>
  <w:style w:type="character" w:customStyle="1" w:styleId="ju-005fpara--char">
    <w:name w:val="ju-005fpara--char"/>
    <w:basedOn w:val="DefaultParagraphFont"/>
    <w:rsid w:val="006B32E1"/>
  </w:style>
  <w:style w:type="paragraph" w:customStyle="1" w:styleId="Sinespaciado">
    <w:name w:val="Sin espaciado"/>
    <w:qFormat/>
    <w:rsid w:val="006B32E1"/>
    <w:rPr>
      <w:rFonts w:ascii="Calibri" w:eastAsia="Calibri" w:hAnsi="Calibri"/>
      <w:sz w:val="22"/>
      <w:szCs w:val="22"/>
      <w:lang w:val="es-ES" w:eastAsia="en-US"/>
    </w:rPr>
  </w:style>
  <w:style w:type="character" w:customStyle="1" w:styleId="normal--char">
    <w:name w:val="normal--char"/>
    <w:basedOn w:val="DefaultParagraphFont"/>
    <w:rsid w:val="006B32E1"/>
  </w:style>
  <w:style w:type="paragraph" w:styleId="Title">
    <w:name w:val="Title"/>
    <w:basedOn w:val="Normal"/>
    <w:link w:val="TitleChar"/>
    <w:qFormat/>
    <w:rsid w:val="006B32E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link w:val="Title"/>
    <w:rsid w:val="006B32E1"/>
    <w:rPr>
      <w:rFonts w:ascii="Univers" w:eastAsia="Times New Roman" w:hAnsi="Univers"/>
      <w:b/>
      <w:sz w:val="22"/>
      <w:bdr w:val="none" w:sz="0" w:space="0" w:color="auto"/>
      <w:lang w:eastAsia="en-US"/>
    </w:rPr>
  </w:style>
  <w:style w:type="character" w:customStyle="1" w:styleId="antetitulo1">
    <w:name w:val="antetitulo1"/>
    <w:rsid w:val="006B32E1"/>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6B32E1"/>
  </w:style>
  <w:style w:type="paragraph" w:customStyle="1" w:styleId="Blockquote">
    <w:name w:val="Blockquote"/>
    <w:basedOn w:val="Normal"/>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6B32E1"/>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6B32E1"/>
    <w:rPr>
      <w:rFonts w:cs="Times New Roman"/>
      <w:lang w:val="es-ES_tradnl" w:eastAsia="en-US" w:bidi="ar-SA"/>
    </w:rPr>
  </w:style>
  <w:style w:type="paragraph" w:customStyle="1" w:styleId="Car">
    <w:name w:val="Car"/>
    <w:basedOn w:val="Normal"/>
    <w:rsid w:val="006B32E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6B32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6B32E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link w:val="BodyText3"/>
    <w:rsid w:val="006B32E1"/>
    <w:rPr>
      <w:rFonts w:eastAsia="Times New Roman"/>
      <w:sz w:val="16"/>
      <w:szCs w:val="16"/>
      <w:bdr w:val="none" w:sz="0" w:space="0" w:color="auto"/>
      <w:lang w:val="en-US" w:eastAsia="en-US"/>
    </w:rPr>
  </w:style>
  <w:style w:type="paragraph" w:styleId="BodyTextIndent3">
    <w:name w:val="Body Text Indent 3"/>
    <w:basedOn w:val="Normal"/>
    <w:link w:val="BodyTextIndent3Char"/>
    <w:rsid w:val="006B32E1"/>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link w:val="BodyTextIndent3"/>
    <w:rsid w:val="006B32E1"/>
    <w:rPr>
      <w:rFonts w:eastAsia="Times New Roman"/>
      <w:sz w:val="16"/>
      <w:szCs w:val="16"/>
      <w:bdr w:val="none" w:sz="0" w:space="0" w:color="auto"/>
      <w:lang w:val="en-US" w:eastAsia="en-US"/>
    </w:rPr>
  </w:style>
  <w:style w:type="character" w:customStyle="1" w:styleId="FootnoteCharacters">
    <w:name w:val="Footnote Characters"/>
    <w:rsid w:val="006B32E1"/>
    <w:rPr>
      <w:vertAlign w:val="superscript"/>
    </w:rPr>
  </w:style>
  <w:style w:type="character" w:customStyle="1" w:styleId="WW-FootnoteCharacters">
    <w:name w:val="WW-Footnote Characters"/>
    <w:rsid w:val="006B32E1"/>
    <w:rPr>
      <w:rFonts w:ascii="Universal" w:hAnsi="Universal"/>
      <w:sz w:val="16"/>
      <w:vertAlign w:val="superscript"/>
    </w:rPr>
  </w:style>
  <w:style w:type="character" w:customStyle="1" w:styleId="textonavy1">
    <w:name w:val="texto_navy1"/>
    <w:rsid w:val="006B32E1"/>
    <w:rPr>
      <w:color w:val="000080"/>
    </w:rPr>
  </w:style>
  <w:style w:type="paragraph" w:customStyle="1" w:styleId="Style3">
    <w:name w:val="Style 3"/>
    <w:basedOn w:val="Normal"/>
    <w:uiPriority w:val="99"/>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6B3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6B32E1"/>
    <w:rPr>
      <w:i/>
      <w:iCs/>
    </w:rPr>
  </w:style>
  <w:style w:type="character" w:styleId="CommentReference">
    <w:name w:val="annotation reference"/>
    <w:uiPriority w:val="99"/>
    <w:semiHidden/>
    <w:rsid w:val="006B32E1"/>
    <w:rPr>
      <w:sz w:val="16"/>
      <w:szCs w:val="16"/>
    </w:rPr>
  </w:style>
  <w:style w:type="paragraph" w:styleId="CommentText">
    <w:name w:val="annotation text"/>
    <w:basedOn w:val="Normal"/>
    <w:link w:val="CommentTextChar"/>
    <w:uiPriority w:val="99"/>
    <w:semiHidden/>
    <w:rsid w:val="006B32E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link w:val="CommentText"/>
    <w:uiPriority w:val="99"/>
    <w:semiHidden/>
    <w:rsid w:val="006B32E1"/>
    <w:rPr>
      <w:rFonts w:eastAsia="Times New Roman"/>
      <w:bdr w:val="none" w:sz="0" w:space="0" w:color="auto"/>
      <w:lang w:val="en-US" w:eastAsia="en-US"/>
    </w:rPr>
  </w:style>
  <w:style w:type="character" w:customStyle="1" w:styleId="st1">
    <w:name w:val="st1"/>
    <w:basedOn w:val="DefaultParagraphFont"/>
    <w:rsid w:val="006B32E1"/>
  </w:style>
  <w:style w:type="paragraph" w:styleId="CommentSubject">
    <w:name w:val="annotation subject"/>
    <w:basedOn w:val="CommentText"/>
    <w:next w:val="CommentText"/>
    <w:link w:val="CommentSubjectChar"/>
    <w:uiPriority w:val="99"/>
    <w:semiHidden/>
    <w:unhideWhenUsed/>
    <w:rsid w:val="006B32E1"/>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6B32E1"/>
    <w:rPr>
      <w:rFonts w:ascii="Calibri" w:eastAsia="Calibri" w:hAnsi="Calibri"/>
      <w:b/>
      <w:bCs/>
      <w:bdr w:val="none" w:sz="0" w:space="0" w:color="auto"/>
      <w:lang w:val="en-US" w:eastAsia="en-US"/>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6B32E1"/>
    <w:rPr>
      <w:rFonts w:ascii="Calibri" w:eastAsia="Times New Roman" w:hAnsi="Calibri"/>
      <w:color w:val="000000"/>
      <w:u w:color="000000"/>
      <w:lang w:val="en-US"/>
    </w:rPr>
  </w:style>
  <w:style w:type="character" w:customStyle="1" w:styleId="Style1Char">
    <w:name w:val="Style1 Char"/>
    <w:link w:val="Style1"/>
    <w:uiPriority w:val="99"/>
    <w:locked/>
    <w:rsid w:val="006B32E1"/>
    <w:rPr>
      <w:rFonts w:ascii="Cambria" w:eastAsia="Times New Roman" w:hAnsi="Cambria"/>
      <w:b/>
      <w:sz w:val="22"/>
      <w:szCs w:val="22"/>
      <w:u w:color="000000"/>
      <w:bdr w:val="none" w:sz="0" w:space="0" w:color="auto"/>
      <w:lang w:val="es-PY" w:eastAsia="en-US"/>
    </w:rPr>
  </w:style>
  <w:style w:type="paragraph" w:customStyle="1" w:styleId="estilo3">
    <w:name w:val="estilo 3"/>
    <w:basedOn w:val="Normal"/>
    <w:link w:val="estilo3Char"/>
    <w:uiPriority w:val="99"/>
    <w:rsid w:val="006B32E1"/>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MS Mincho" w:hAnsi="Calibri"/>
      <w:b/>
      <w:sz w:val="22"/>
      <w:szCs w:val="20"/>
      <w:bdr w:val="none" w:sz="0" w:space="0" w:color="auto"/>
      <w:lang w:val="es-ES_tradnl"/>
    </w:rPr>
  </w:style>
  <w:style w:type="character" w:customStyle="1" w:styleId="estilo3Char">
    <w:name w:val="estilo 3 Char"/>
    <w:link w:val="estilo3"/>
    <w:uiPriority w:val="99"/>
    <w:locked/>
    <w:rsid w:val="006B32E1"/>
    <w:rPr>
      <w:rFonts w:ascii="Calibri" w:eastAsia="MS Mincho" w:hAnsi="Calibri"/>
      <w:b/>
      <w:sz w:val="22"/>
      <w:bdr w:val="none" w:sz="0" w:space="0" w:color="auto"/>
      <w:lang w:val="es-ES_tradnl" w:eastAsia="en-US"/>
    </w:rPr>
  </w:style>
  <w:style w:type="character" w:customStyle="1" w:styleId="BodyTextIndentChar1">
    <w:name w:val="Body Text Indent Char1"/>
    <w:locked/>
    <w:rsid w:val="006B32E1"/>
    <w:rPr>
      <w:rFonts w:eastAsia="Times New Roman"/>
      <w:color w:val="000000"/>
      <w:sz w:val="24"/>
      <w:szCs w:val="24"/>
      <w:u w:color="000000"/>
      <w:lang w:val="es-ES_tradnl"/>
    </w:rPr>
  </w:style>
  <w:style w:type="paragraph" w:customStyle="1" w:styleId="ColorfulList-Accent12">
    <w:name w:val="Colorful List - Accent 12"/>
    <w:aliases w:val="Párrafo de lista1,List Paragraph1,List Paragraph11"/>
    <w:link w:val="ColorfulList-Accent1Char"/>
    <w:uiPriority w:val="99"/>
    <w:qFormat/>
    <w:rsid w:val="006B32E1"/>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character" w:customStyle="1" w:styleId="ColorfulList-Accent1Char">
    <w:name w:val="Colorful List - Accent 1 Char"/>
    <w:aliases w:val="Párrafo de lista1 Char,List Paragraph1 Char,List Paragraph11 Char"/>
    <w:link w:val="ColorfulList-Accent12"/>
    <w:uiPriority w:val="99"/>
    <w:locked/>
    <w:rsid w:val="006B32E1"/>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6B32E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DefaultChar">
    <w:name w:val="Default Char"/>
    <w:link w:val="Default"/>
    <w:uiPriority w:val="99"/>
    <w:locked/>
    <w:rsid w:val="006B32E1"/>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6B32E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lang w:val="es-US" w:eastAsia="es-US"/>
    </w:rPr>
  </w:style>
  <w:style w:type="character" w:styleId="FollowedHyperlink">
    <w:name w:val="FollowedHyperlink"/>
    <w:uiPriority w:val="99"/>
    <w:semiHidden/>
    <w:unhideWhenUsed/>
    <w:rsid w:val="00C37DB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pPr>
      <w:numPr>
        <w:numId w:val="14"/>
      </w:numPr>
    </w:pPr>
  </w:style>
  <w:style w:type="numbering" w:customStyle="1" w:styleId="Cabeceraypie">
    <w:name w:val="List36"/>
    <w:pPr>
      <w:numPr>
        <w:numId w:val="18"/>
      </w:numPr>
    </w:pPr>
  </w:style>
  <w:style w:type="numbering" w:customStyle="1" w:styleId="Footer">
    <w:name w:val="List25"/>
    <w:pPr>
      <w:numPr>
        <w:numId w:val="19"/>
      </w:numPr>
    </w:pPr>
  </w:style>
  <w:style w:type="numbering" w:customStyle="1" w:styleId="Cuerpo">
    <w:name w:val="List1"/>
    <w:pPr>
      <w:numPr>
        <w:numId w:val="1"/>
      </w:numPr>
    </w:pPr>
  </w:style>
  <w:style w:type="numbering" w:customStyle="1" w:styleId="BodyTextIndent">
    <w:name w:val="List41"/>
    <w:pPr>
      <w:numPr>
        <w:numId w:val="2"/>
      </w:numPr>
    </w:pPr>
  </w:style>
  <w:style w:type="numbering" w:customStyle="1" w:styleId="MediumGrid1-Accent21">
    <w:name w:val="List11"/>
    <w:pPr>
      <w:numPr>
        <w:numId w:val="7"/>
      </w:numPr>
    </w:pPr>
  </w:style>
  <w:style w:type="numbering" w:customStyle="1" w:styleId="List0">
    <w:name w:val="List15"/>
    <w:pPr>
      <w:numPr>
        <w:numId w:val="20"/>
      </w:numPr>
    </w:pPr>
  </w:style>
  <w:style w:type="numbering" w:customStyle="1" w:styleId="Estiloimportado1">
    <w:name w:val="List14"/>
    <w:pPr>
      <w:numPr>
        <w:numId w:val="21"/>
      </w:numPr>
    </w:pPr>
  </w:style>
  <w:style w:type="numbering" w:customStyle="1" w:styleId="List1">
    <w:name w:val="List23"/>
    <w:pPr>
      <w:numPr>
        <w:numId w:val="22"/>
      </w:numPr>
    </w:pPr>
  </w:style>
  <w:style w:type="numbering" w:customStyle="1" w:styleId="Estiloimportado2">
    <w:name w:val="List19"/>
    <w:pPr>
      <w:numPr>
        <w:numId w:val="23"/>
      </w:numPr>
    </w:pPr>
  </w:style>
  <w:style w:type="numbering" w:customStyle="1" w:styleId="List210">
    <w:name w:val="List311"/>
    <w:pPr>
      <w:numPr>
        <w:numId w:val="24"/>
      </w:numPr>
    </w:pPr>
  </w:style>
  <w:style w:type="numbering" w:customStyle="1" w:styleId="Estiloimportado3">
    <w:name w:val="List40"/>
    <w:pPr>
      <w:numPr>
        <w:numId w:val="25"/>
      </w:numPr>
    </w:pPr>
  </w:style>
  <w:style w:type="numbering" w:customStyle="1" w:styleId="List31">
    <w:name w:val="List9"/>
    <w:pPr>
      <w:numPr>
        <w:numId w:val="26"/>
      </w:numPr>
    </w:pPr>
  </w:style>
  <w:style w:type="numbering" w:customStyle="1" w:styleId="Estiloimportado4">
    <w:name w:val="List43"/>
    <w:pPr>
      <w:numPr>
        <w:numId w:val="27"/>
      </w:numPr>
    </w:pPr>
  </w:style>
  <w:style w:type="numbering" w:customStyle="1" w:styleId="List41">
    <w:name w:val="List46"/>
    <w:pPr>
      <w:numPr>
        <w:numId w:val="28"/>
      </w:numPr>
    </w:pPr>
  </w:style>
  <w:style w:type="numbering" w:customStyle="1" w:styleId="Estiloimportado5">
    <w:name w:val="List35"/>
    <w:pPr>
      <w:numPr>
        <w:numId w:val="9"/>
      </w:numPr>
    </w:pPr>
  </w:style>
  <w:style w:type="numbering" w:customStyle="1" w:styleId="List510">
    <w:name w:val="List17"/>
    <w:pPr>
      <w:numPr>
        <w:numId w:val="29"/>
      </w:numPr>
    </w:pPr>
  </w:style>
  <w:style w:type="numbering" w:customStyle="1" w:styleId="Estiloimportado6">
    <w:name w:val="List511"/>
    <w:pPr>
      <w:numPr>
        <w:numId w:val="30"/>
      </w:numPr>
    </w:pPr>
  </w:style>
  <w:style w:type="numbering" w:customStyle="1" w:styleId="List6">
    <w:name w:val="List31"/>
    <w:pPr>
      <w:numPr>
        <w:numId w:val="55"/>
      </w:numPr>
    </w:pPr>
  </w:style>
  <w:style w:type="numbering" w:customStyle="1" w:styleId="Estiloimportado7">
    <w:name w:val="List7"/>
    <w:pPr>
      <w:numPr>
        <w:numId w:val="4"/>
      </w:numPr>
    </w:pPr>
  </w:style>
  <w:style w:type="numbering" w:customStyle="1" w:styleId="List7">
    <w:name w:val="List18"/>
    <w:pPr>
      <w:numPr>
        <w:numId w:val="31"/>
      </w:numPr>
    </w:pPr>
  </w:style>
  <w:style w:type="numbering" w:customStyle="1" w:styleId="Estiloimportado8">
    <w:name w:val="List22"/>
    <w:pPr>
      <w:numPr>
        <w:numId w:val="32"/>
      </w:numPr>
    </w:pPr>
  </w:style>
  <w:style w:type="numbering" w:customStyle="1" w:styleId="List8">
    <w:name w:val="List47"/>
    <w:pPr>
      <w:numPr>
        <w:numId w:val="33"/>
      </w:numPr>
    </w:pPr>
  </w:style>
  <w:style w:type="numbering" w:customStyle="1" w:styleId="Estiloimportado9">
    <w:name w:val="List28"/>
    <w:pPr>
      <w:numPr>
        <w:numId w:val="34"/>
      </w:numPr>
    </w:pPr>
  </w:style>
  <w:style w:type="numbering" w:customStyle="1" w:styleId="List9">
    <w:name w:val="List10"/>
    <w:pPr>
      <w:numPr>
        <w:numId w:val="6"/>
      </w:numPr>
    </w:pPr>
  </w:style>
  <w:style w:type="numbering" w:customStyle="1" w:styleId="Estiloimportado10">
    <w:name w:val="List0"/>
    <w:pPr>
      <w:numPr>
        <w:numId w:val="35"/>
      </w:numPr>
    </w:pPr>
  </w:style>
  <w:style w:type="numbering" w:customStyle="1" w:styleId="List10">
    <w:name w:val="List30"/>
    <w:pPr>
      <w:numPr>
        <w:numId w:val="36"/>
      </w:numPr>
    </w:pPr>
  </w:style>
  <w:style w:type="numbering" w:customStyle="1" w:styleId="Estiloimportado11">
    <w:name w:val="List51"/>
    <w:pPr>
      <w:numPr>
        <w:numId w:val="37"/>
      </w:numPr>
    </w:pPr>
  </w:style>
  <w:style w:type="numbering" w:customStyle="1" w:styleId="List11">
    <w:name w:val="List29"/>
    <w:pPr>
      <w:numPr>
        <w:numId w:val="38"/>
      </w:numPr>
    </w:pPr>
  </w:style>
  <w:style w:type="numbering" w:customStyle="1" w:styleId="Estiloimportado12">
    <w:name w:val="List211"/>
    <w:pPr>
      <w:numPr>
        <w:numId w:val="39"/>
      </w:numPr>
    </w:pPr>
  </w:style>
  <w:style w:type="numbering" w:customStyle="1" w:styleId="List12">
    <w:name w:val="List12"/>
    <w:pPr>
      <w:numPr>
        <w:numId w:val="40"/>
      </w:numPr>
    </w:pPr>
  </w:style>
  <w:style w:type="numbering" w:customStyle="1" w:styleId="Estiloimportado13">
    <w:name w:val="List50"/>
    <w:pPr>
      <w:numPr>
        <w:numId w:val="41"/>
      </w:numPr>
    </w:pPr>
  </w:style>
  <w:style w:type="numbering" w:customStyle="1" w:styleId="List13">
    <w:name w:val="List21"/>
    <w:pPr>
      <w:numPr>
        <w:numId w:val="42"/>
      </w:numPr>
    </w:pPr>
  </w:style>
  <w:style w:type="numbering" w:customStyle="1" w:styleId="Estiloimportado14">
    <w:name w:val="List34"/>
    <w:pPr>
      <w:numPr>
        <w:numId w:val="15"/>
      </w:numPr>
    </w:pPr>
  </w:style>
  <w:style w:type="numbering" w:customStyle="1" w:styleId="List14">
    <w:name w:val="List42"/>
    <w:pPr>
      <w:numPr>
        <w:numId w:val="16"/>
      </w:numPr>
    </w:pPr>
  </w:style>
  <w:style w:type="numbering" w:customStyle="1" w:styleId="Estiloimportado15">
    <w:name w:val="List49"/>
    <w:pPr>
      <w:numPr>
        <w:numId w:val="43"/>
      </w:numPr>
    </w:pPr>
  </w:style>
  <w:style w:type="numbering" w:customStyle="1" w:styleId="List15">
    <w:name w:val="List411"/>
    <w:pPr>
      <w:numPr>
        <w:numId w:val="44"/>
      </w:numPr>
    </w:pPr>
  </w:style>
  <w:style w:type="numbering" w:customStyle="1" w:styleId="Estiloimportado16">
    <w:name w:val="List210"/>
    <w:pPr>
      <w:numPr>
        <w:numId w:val="56"/>
      </w:numPr>
    </w:pPr>
  </w:style>
  <w:style w:type="numbering" w:customStyle="1" w:styleId="List16">
    <w:name w:val="List52"/>
    <w:pPr>
      <w:numPr>
        <w:numId w:val="13"/>
      </w:numPr>
    </w:pPr>
  </w:style>
  <w:style w:type="numbering" w:customStyle="1" w:styleId="List17">
    <w:name w:val="List24"/>
    <w:pPr>
      <w:numPr>
        <w:numId w:val="17"/>
      </w:numPr>
    </w:pPr>
  </w:style>
  <w:style w:type="numbering" w:customStyle="1" w:styleId="Estiloimportado17">
    <w:name w:val="List510"/>
    <w:pPr>
      <w:numPr>
        <w:numId w:val="58"/>
      </w:numPr>
    </w:pPr>
  </w:style>
  <w:style w:type="numbering" w:customStyle="1" w:styleId="List18">
    <w:name w:val="List27"/>
    <w:pPr>
      <w:numPr>
        <w:numId w:val="45"/>
      </w:numPr>
    </w:pPr>
  </w:style>
  <w:style w:type="numbering" w:customStyle="1" w:styleId="Estiloimportado18">
    <w:name w:val="List8"/>
    <w:pPr>
      <w:numPr>
        <w:numId w:val="5"/>
      </w:numPr>
    </w:pPr>
  </w:style>
  <w:style w:type="numbering" w:customStyle="1" w:styleId="List19">
    <w:name w:val="List13"/>
    <w:pPr>
      <w:numPr>
        <w:numId w:val="46"/>
      </w:numPr>
    </w:pPr>
  </w:style>
  <w:style w:type="numbering" w:customStyle="1" w:styleId="List20">
    <w:name w:val="List20"/>
    <w:pPr>
      <w:numPr>
        <w:numId w:val="47"/>
      </w:numPr>
    </w:pPr>
  </w:style>
  <w:style w:type="numbering" w:customStyle="1" w:styleId="List21">
    <w:name w:val="List410"/>
    <w:pPr>
      <w:numPr>
        <w:numId w:val="48"/>
      </w:numPr>
    </w:pPr>
  </w:style>
  <w:style w:type="numbering" w:customStyle="1" w:styleId="Estiloimportado19">
    <w:name w:val="List310"/>
    <w:pPr>
      <w:numPr>
        <w:numId w:val="49"/>
      </w:numPr>
    </w:pPr>
  </w:style>
  <w:style w:type="numbering" w:customStyle="1" w:styleId="List22">
    <w:name w:val="List6"/>
    <w:pPr>
      <w:numPr>
        <w:numId w:val="3"/>
      </w:numPr>
    </w:pPr>
  </w:style>
  <w:style w:type="numbering" w:customStyle="1" w:styleId="List23">
    <w:name w:val="List39"/>
    <w:pPr>
      <w:numPr>
        <w:numId w:val="50"/>
      </w:numPr>
    </w:pPr>
  </w:style>
  <w:style w:type="numbering" w:customStyle="1" w:styleId="List24">
    <w:name w:val="List37"/>
    <w:pPr>
      <w:numPr>
        <w:numId w:val="51"/>
      </w:numPr>
    </w:pPr>
  </w:style>
  <w:style w:type="numbering" w:customStyle="1" w:styleId="Estiloimportado20">
    <w:name w:val="List32"/>
    <w:pPr>
      <w:numPr>
        <w:numId w:val="52"/>
      </w:numPr>
    </w:pPr>
  </w:style>
  <w:style w:type="numbering" w:customStyle="1" w:styleId="List25">
    <w:name w:val="List26"/>
    <w:pPr>
      <w:numPr>
        <w:numId w:val="53"/>
      </w:numPr>
    </w:pPr>
  </w:style>
  <w:style w:type="numbering" w:customStyle="1" w:styleId="Estiloimportado21">
    <w:name w:val="List48"/>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pl/informes/pdfs/Informe-PP-2013-es.pdf" TargetMode="External"/><Relationship Id="rId3" Type="http://schemas.openxmlformats.org/officeDocument/2006/relationships/hyperlink" Target="http://www.oas.org/es/cidh/ppl/informes/pdfs/Informe-PP-2013-es.pdf" TargetMode="External"/><Relationship Id="rId7" Type="http://schemas.openxmlformats.org/officeDocument/2006/relationships/hyperlink" Target="http://www.cidh.oas.org/annualrep/95span/cap.III.argentina11.245.htm" TargetMode="External"/><Relationship Id="rId2" Type="http://schemas.openxmlformats.org/officeDocument/2006/relationships/hyperlink" Target="http://www.cidh.org/countryrep/Ecuador-sp/Capitulo%207.htm" TargetMode="External"/><Relationship Id="rId1" Type="http://schemas.openxmlformats.org/officeDocument/2006/relationships/hyperlink" Target="http://www.oas.org/es/cidh/decisiones/2012/ECAD677-04ES.doc" TargetMode="External"/><Relationship Id="rId6" Type="http://schemas.openxmlformats.org/officeDocument/2006/relationships/hyperlink" Target="http://www.cidh.oas.org/annualrep/95span/cap.III.argentina11.245.htm" TargetMode="External"/><Relationship Id="rId5" Type="http://schemas.openxmlformats.org/officeDocument/2006/relationships/hyperlink" Target="http://www.oas.org/es/cidh/ppl/informes/pdfs/Informe-PP-2013-es.pdf" TargetMode="External"/><Relationship Id="rId4" Type="http://schemas.openxmlformats.org/officeDocument/2006/relationships/hyperlink" Target="http://www.oas.org/es/cidh/ppl/informes/pdfs/Informe-PP-2013-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EEBE-F10B-498D-9384-712835E6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11610</Words>
  <Characters>63856</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75316</CharactersWithSpaces>
  <SharedDoc>false</SharedDoc>
  <HLinks>
    <vt:vector size="156" baseType="variant">
      <vt:variant>
        <vt:i4>1441854</vt:i4>
      </vt:variant>
      <vt:variant>
        <vt:i4>104</vt:i4>
      </vt:variant>
      <vt:variant>
        <vt:i4>0</vt:i4>
      </vt:variant>
      <vt:variant>
        <vt:i4>5</vt:i4>
      </vt:variant>
      <vt:variant>
        <vt:lpwstr/>
      </vt:variant>
      <vt:variant>
        <vt:lpwstr>_Toc495584799</vt:lpwstr>
      </vt:variant>
      <vt:variant>
        <vt:i4>1441854</vt:i4>
      </vt:variant>
      <vt:variant>
        <vt:i4>98</vt:i4>
      </vt:variant>
      <vt:variant>
        <vt:i4>0</vt:i4>
      </vt:variant>
      <vt:variant>
        <vt:i4>5</vt:i4>
      </vt:variant>
      <vt:variant>
        <vt:lpwstr/>
      </vt:variant>
      <vt:variant>
        <vt:lpwstr>_Toc495584798</vt:lpwstr>
      </vt:variant>
      <vt:variant>
        <vt:i4>1441854</vt:i4>
      </vt:variant>
      <vt:variant>
        <vt:i4>92</vt:i4>
      </vt:variant>
      <vt:variant>
        <vt:i4>0</vt:i4>
      </vt:variant>
      <vt:variant>
        <vt:i4>5</vt:i4>
      </vt:variant>
      <vt:variant>
        <vt:lpwstr/>
      </vt:variant>
      <vt:variant>
        <vt:lpwstr>_Toc495584797</vt:lpwstr>
      </vt:variant>
      <vt:variant>
        <vt:i4>1441854</vt:i4>
      </vt:variant>
      <vt:variant>
        <vt:i4>86</vt:i4>
      </vt:variant>
      <vt:variant>
        <vt:i4>0</vt:i4>
      </vt:variant>
      <vt:variant>
        <vt:i4>5</vt:i4>
      </vt:variant>
      <vt:variant>
        <vt:lpwstr/>
      </vt:variant>
      <vt:variant>
        <vt:lpwstr>_Toc495584796</vt:lpwstr>
      </vt:variant>
      <vt:variant>
        <vt:i4>1441854</vt:i4>
      </vt:variant>
      <vt:variant>
        <vt:i4>80</vt:i4>
      </vt:variant>
      <vt:variant>
        <vt:i4>0</vt:i4>
      </vt:variant>
      <vt:variant>
        <vt:i4>5</vt:i4>
      </vt:variant>
      <vt:variant>
        <vt:lpwstr/>
      </vt:variant>
      <vt:variant>
        <vt:lpwstr>_Toc495584795</vt:lpwstr>
      </vt:variant>
      <vt:variant>
        <vt:i4>1441854</vt:i4>
      </vt:variant>
      <vt:variant>
        <vt:i4>74</vt:i4>
      </vt:variant>
      <vt:variant>
        <vt:i4>0</vt:i4>
      </vt:variant>
      <vt:variant>
        <vt:i4>5</vt:i4>
      </vt:variant>
      <vt:variant>
        <vt:lpwstr/>
      </vt:variant>
      <vt:variant>
        <vt:lpwstr>_Toc495584794</vt:lpwstr>
      </vt:variant>
      <vt:variant>
        <vt:i4>1441854</vt:i4>
      </vt:variant>
      <vt:variant>
        <vt:i4>68</vt:i4>
      </vt:variant>
      <vt:variant>
        <vt:i4>0</vt:i4>
      </vt:variant>
      <vt:variant>
        <vt:i4>5</vt:i4>
      </vt:variant>
      <vt:variant>
        <vt:lpwstr/>
      </vt:variant>
      <vt:variant>
        <vt:lpwstr>_Toc495584793</vt:lpwstr>
      </vt:variant>
      <vt:variant>
        <vt:i4>1441854</vt:i4>
      </vt:variant>
      <vt:variant>
        <vt:i4>62</vt:i4>
      </vt:variant>
      <vt:variant>
        <vt:i4>0</vt:i4>
      </vt:variant>
      <vt:variant>
        <vt:i4>5</vt:i4>
      </vt:variant>
      <vt:variant>
        <vt:lpwstr/>
      </vt:variant>
      <vt:variant>
        <vt:lpwstr>_Toc495584792</vt:lpwstr>
      </vt:variant>
      <vt:variant>
        <vt:i4>1441854</vt:i4>
      </vt:variant>
      <vt:variant>
        <vt:i4>56</vt:i4>
      </vt:variant>
      <vt:variant>
        <vt:i4>0</vt:i4>
      </vt:variant>
      <vt:variant>
        <vt:i4>5</vt:i4>
      </vt:variant>
      <vt:variant>
        <vt:lpwstr/>
      </vt:variant>
      <vt:variant>
        <vt:lpwstr>_Toc495584791</vt:lpwstr>
      </vt:variant>
      <vt:variant>
        <vt:i4>1441854</vt:i4>
      </vt:variant>
      <vt:variant>
        <vt:i4>50</vt:i4>
      </vt:variant>
      <vt:variant>
        <vt:i4>0</vt:i4>
      </vt:variant>
      <vt:variant>
        <vt:i4>5</vt:i4>
      </vt:variant>
      <vt:variant>
        <vt:lpwstr/>
      </vt:variant>
      <vt:variant>
        <vt:lpwstr>_Toc495584790</vt:lpwstr>
      </vt:variant>
      <vt:variant>
        <vt:i4>1507390</vt:i4>
      </vt:variant>
      <vt:variant>
        <vt:i4>44</vt:i4>
      </vt:variant>
      <vt:variant>
        <vt:i4>0</vt:i4>
      </vt:variant>
      <vt:variant>
        <vt:i4>5</vt:i4>
      </vt:variant>
      <vt:variant>
        <vt:lpwstr/>
      </vt:variant>
      <vt:variant>
        <vt:lpwstr>_Toc495584789</vt:lpwstr>
      </vt:variant>
      <vt:variant>
        <vt:i4>1507390</vt:i4>
      </vt:variant>
      <vt:variant>
        <vt:i4>38</vt:i4>
      </vt:variant>
      <vt:variant>
        <vt:i4>0</vt:i4>
      </vt:variant>
      <vt:variant>
        <vt:i4>5</vt:i4>
      </vt:variant>
      <vt:variant>
        <vt:lpwstr/>
      </vt:variant>
      <vt:variant>
        <vt:lpwstr>_Toc495584788</vt:lpwstr>
      </vt:variant>
      <vt:variant>
        <vt:i4>1507390</vt:i4>
      </vt:variant>
      <vt:variant>
        <vt:i4>32</vt:i4>
      </vt:variant>
      <vt:variant>
        <vt:i4>0</vt:i4>
      </vt:variant>
      <vt:variant>
        <vt:i4>5</vt:i4>
      </vt:variant>
      <vt:variant>
        <vt:lpwstr/>
      </vt:variant>
      <vt:variant>
        <vt:lpwstr>_Toc495584787</vt:lpwstr>
      </vt:variant>
      <vt:variant>
        <vt:i4>1507390</vt:i4>
      </vt:variant>
      <vt:variant>
        <vt:i4>26</vt:i4>
      </vt:variant>
      <vt:variant>
        <vt:i4>0</vt:i4>
      </vt:variant>
      <vt:variant>
        <vt:i4>5</vt:i4>
      </vt:variant>
      <vt:variant>
        <vt:lpwstr/>
      </vt:variant>
      <vt:variant>
        <vt:lpwstr>_Toc495584786</vt:lpwstr>
      </vt:variant>
      <vt:variant>
        <vt:i4>1507390</vt:i4>
      </vt:variant>
      <vt:variant>
        <vt:i4>20</vt:i4>
      </vt:variant>
      <vt:variant>
        <vt:i4>0</vt:i4>
      </vt:variant>
      <vt:variant>
        <vt:i4>5</vt:i4>
      </vt:variant>
      <vt:variant>
        <vt:lpwstr/>
      </vt:variant>
      <vt:variant>
        <vt:lpwstr>_Toc495584785</vt:lpwstr>
      </vt:variant>
      <vt:variant>
        <vt:i4>1507390</vt:i4>
      </vt:variant>
      <vt:variant>
        <vt:i4>14</vt:i4>
      </vt:variant>
      <vt:variant>
        <vt:i4>0</vt:i4>
      </vt:variant>
      <vt:variant>
        <vt:i4>5</vt:i4>
      </vt:variant>
      <vt:variant>
        <vt:lpwstr/>
      </vt:variant>
      <vt:variant>
        <vt:lpwstr>_Toc495584784</vt:lpwstr>
      </vt:variant>
      <vt:variant>
        <vt:i4>1507390</vt:i4>
      </vt:variant>
      <vt:variant>
        <vt:i4>8</vt:i4>
      </vt:variant>
      <vt:variant>
        <vt:i4>0</vt:i4>
      </vt:variant>
      <vt:variant>
        <vt:i4>5</vt:i4>
      </vt:variant>
      <vt:variant>
        <vt:lpwstr/>
      </vt:variant>
      <vt:variant>
        <vt:lpwstr>_Toc495584783</vt:lpwstr>
      </vt:variant>
      <vt:variant>
        <vt:i4>1507390</vt:i4>
      </vt:variant>
      <vt:variant>
        <vt:i4>2</vt:i4>
      </vt:variant>
      <vt:variant>
        <vt:i4>0</vt:i4>
      </vt:variant>
      <vt:variant>
        <vt:i4>5</vt:i4>
      </vt:variant>
      <vt:variant>
        <vt:lpwstr/>
      </vt:variant>
      <vt:variant>
        <vt:lpwstr>_Toc495584782</vt:lpwstr>
      </vt:variant>
      <vt:variant>
        <vt:i4>2162812</vt:i4>
      </vt:variant>
      <vt:variant>
        <vt:i4>21</vt:i4>
      </vt:variant>
      <vt:variant>
        <vt:i4>0</vt:i4>
      </vt:variant>
      <vt:variant>
        <vt:i4>5</vt:i4>
      </vt:variant>
      <vt:variant>
        <vt:lpwstr>http://www.oas.org/es/cidh/ppl/informes/pdfs/Informe-PP-2013-es.pdf</vt:lpwstr>
      </vt:variant>
      <vt:variant>
        <vt:lpwstr/>
      </vt:variant>
      <vt:variant>
        <vt:i4>4587609</vt:i4>
      </vt:variant>
      <vt:variant>
        <vt:i4>18</vt:i4>
      </vt:variant>
      <vt:variant>
        <vt:i4>0</vt:i4>
      </vt:variant>
      <vt:variant>
        <vt:i4>5</vt:i4>
      </vt:variant>
      <vt:variant>
        <vt:lpwstr>http://www.cidh.oas.org/annualrep/95span/cap.III.argentina11.245.htm</vt:lpwstr>
      </vt:variant>
      <vt:variant>
        <vt:lpwstr/>
      </vt:variant>
      <vt:variant>
        <vt:i4>4587609</vt:i4>
      </vt:variant>
      <vt:variant>
        <vt:i4>15</vt:i4>
      </vt:variant>
      <vt:variant>
        <vt:i4>0</vt:i4>
      </vt:variant>
      <vt:variant>
        <vt:i4>5</vt:i4>
      </vt:variant>
      <vt:variant>
        <vt:lpwstr>http://www.cidh.oas.org/annualrep/95span/cap.III.argentina11.245.htm</vt:lpwstr>
      </vt:variant>
      <vt:variant>
        <vt:lpwstr/>
      </vt:variant>
      <vt:variant>
        <vt:i4>2162812</vt:i4>
      </vt:variant>
      <vt:variant>
        <vt:i4>12</vt:i4>
      </vt:variant>
      <vt:variant>
        <vt:i4>0</vt:i4>
      </vt:variant>
      <vt:variant>
        <vt:i4>5</vt:i4>
      </vt:variant>
      <vt:variant>
        <vt:lpwstr>http://www.oas.org/es/cidh/ppl/informes/pdfs/Informe-PP-2013-es.pdf</vt:lpwstr>
      </vt:variant>
      <vt:variant>
        <vt:lpwstr/>
      </vt:variant>
      <vt:variant>
        <vt:i4>2162812</vt:i4>
      </vt:variant>
      <vt:variant>
        <vt:i4>9</vt:i4>
      </vt:variant>
      <vt:variant>
        <vt:i4>0</vt:i4>
      </vt:variant>
      <vt:variant>
        <vt:i4>5</vt:i4>
      </vt:variant>
      <vt:variant>
        <vt:lpwstr>http://www.oas.org/es/cidh/ppl/informes/pdfs/Informe-PP-2013-es.pdf</vt:lpwstr>
      </vt:variant>
      <vt:variant>
        <vt:lpwstr/>
      </vt:variant>
      <vt:variant>
        <vt:i4>2162812</vt:i4>
      </vt:variant>
      <vt:variant>
        <vt:i4>6</vt:i4>
      </vt:variant>
      <vt:variant>
        <vt:i4>0</vt:i4>
      </vt:variant>
      <vt:variant>
        <vt:i4>5</vt:i4>
      </vt:variant>
      <vt:variant>
        <vt:lpwstr>http://www.oas.org/es/cidh/ppl/informes/pdfs/Informe-PP-2013-es.pdf</vt:lpwstr>
      </vt:variant>
      <vt:variant>
        <vt:lpwstr/>
      </vt:variant>
      <vt:variant>
        <vt:i4>5505097</vt:i4>
      </vt:variant>
      <vt:variant>
        <vt:i4>3</vt:i4>
      </vt:variant>
      <vt:variant>
        <vt:i4>0</vt:i4>
      </vt:variant>
      <vt:variant>
        <vt:i4>5</vt:i4>
      </vt:variant>
      <vt:variant>
        <vt:lpwstr>http://www.cidh.org/countryrep/Ecuador-sp/Capitulo 7.htm</vt:lpwstr>
      </vt:variant>
      <vt:variant>
        <vt:lpwstr/>
      </vt:variant>
      <vt:variant>
        <vt:i4>3539059</vt:i4>
      </vt:variant>
      <vt:variant>
        <vt:i4>0</vt:i4>
      </vt:variant>
      <vt:variant>
        <vt:i4>0</vt:i4>
      </vt:variant>
      <vt:variant>
        <vt:i4>5</vt:i4>
      </vt:variant>
      <vt:variant>
        <vt:lpwstr>http://www.oas.org/es/cidh/decisiones/2012/ECAD677-04ES.doc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Fontana, Maria Eva</cp:lastModifiedBy>
  <cp:revision>6</cp:revision>
  <cp:lastPrinted>2018-05-15T14:35:00Z</cp:lastPrinted>
  <dcterms:created xsi:type="dcterms:W3CDTF">2017-10-12T19:29:00Z</dcterms:created>
  <dcterms:modified xsi:type="dcterms:W3CDTF">2018-05-15T14:35:00Z</dcterms:modified>
</cp:coreProperties>
</file>