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AB6D2" w14:textId="77777777" w:rsidR="00040C3A" w:rsidRPr="00DE2580" w:rsidRDefault="00EF4F97" w:rsidP="001E4D7D">
      <w:pPr>
        <w:jc w:val="both"/>
        <w:rPr>
          <w:rFonts w:asciiTheme="majorHAnsi" w:hAnsiTheme="majorHAnsi" w:cs="Univers"/>
          <w:b/>
          <w:bCs/>
          <w:sz w:val="22"/>
          <w:szCs w:val="22"/>
          <w:lang w:val="es-ES_tradnl"/>
        </w:rPr>
      </w:pPr>
      <w:r w:rsidRPr="00DE2580">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67987C87" wp14:editId="5FEE3350">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C2B8DD7"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" fillcolor="#67ae3c" stroked="f" strokeweight="2pt"/>
            </w:pict>
          </mc:Fallback>
        </mc:AlternateContent>
      </w:r>
      <w:r w:rsidRPr="00DE2580">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0336FF5" wp14:editId="605AF96C">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3DAEF3" w14:textId="77777777" w:rsidR="009703EC" w:rsidRDefault="009703EC">
                            <w:r>
                              <w:rPr>
                                <w:noProof/>
                              </w:rPr>
                              <w:drawing>
                                <wp:inline distT="0" distB="0" distL="0" distR="0" wp14:anchorId="6CF58355" wp14:editId="21BC53E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36FF5"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" filled="f" stroked="f" strokeweight=".5pt">
                <v:textbox>
                  <w:txbxContent>
                    <w:p w14:paraId="653DAEF3" w14:textId="77777777" w:rsidR="009703EC" w:rsidRDefault="009703EC">
                      <w:r>
                        <w:rPr>
                          <w:noProof/>
                        </w:rPr>
                        <w:drawing>
                          <wp:inline distT="0" distB="0" distL="0" distR="0" wp14:anchorId="6CF58355" wp14:editId="21BC53E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7214888D" w14:textId="77777777" w:rsidR="00040C3A" w:rsidRPr="00DE2580" w:rsidRDefault="00040C3A" w:rsidP="00040C3A">
      <w:pPr>
        <w:tabs>
          <w:tab w:val="center" w:pos="5400"/>
        </w:tabs>
        <w:suppressAutoHyphens/>
        <w:jc w:val="both"/>
        <w:rPr>
          <w:rFonts w:asciiTheme="majorHAnsi" w:hAnsiTheme="majorHAnsi"/>
          <w:sz w:val="22"/>
          <w:szCs w:val="22"/>
          <w:lang w:val="es-ES"/>
        </w:rPr>
      </w:pPr>
    </w:p>
    <w:p w14:paraId="18C78994" w14:textId="77777777" w:rsidR="00040C3A" w:rsidRPr="00DE2580" w:rsidRDefault="00040C3A" w:rsidP="00040C3A">
      <w:pPr>
        <w:tabs>
          <w:tab w:val="center" w:pos="5400"/>
        </w:tabs>
        <w:suppressAutoHyphens/>
        <w:jc w:val="both"/>
        <w:rPr>
          <w:rFonts w:asciiTheme="majorHAnsi" w:hAnsiTheme="majorHAnsi"/>
          <w:sz w:val="22"/>
          <w:szCs w:val="22"/>
          <w:lang w:val="es-ES"/>
        </w:rPr>
      </w:pPr>
    </w:p>
    <w:p w14:paraId="39F5AC16" w14:textId="77777777" w:rsidR="005128E4" w:rsidRPr="00DE2580" w:rsidRDefault="005128E4" w:rsidP="00040C3A">
      <w:pPr>
        <w:tabs>
          <w:tab w:val="center" w:pos="5400"/>
        </w:tabs>
        <w:suppressAutoHyphens/>
        <w:rPr>
          <w:rFonts w:asciiTheme="majorHAnsi" w:hAnsiTheme="majorHAnsi"/>
          <w:sz w:val="22"/>
          <w:szCs w:val="22"/>
          <w:lang w:val="es-ES_tradnl"/>
        </w:rPr>
      </w:pPr>
    </w:p>
    <w:p w14:paraId="20D7A01C" w14:textId="77777777" w:rsidR="005128E4" w:rsidRPr="00DE2580" w:rsidRDefault="005128E4" w:rsidP="00040C3A">
      <w:pPr>
        <w:tabs>
          <w:tab w:val="center" w:pos="5400"/>
        </w:tabs>
        <w:suppressAutoHyphens/>
        <w:rPr>
          <w:rFonts w:asciiTheme="majorHAnsi" w:hAnsiTheme="majorHAnsi"/>
          <w:sz w:val="22"/>
          <w:szCs w:val="22"/>
          <w:lang w:val="es-ES_tradnl"/>
        </w:rPr>
      </w:pPr>
    </w:p>
    <w:p w14:paraId="0B261D07" w14:textId="77777777" w:rsidR="005128E4" w:rsidRPr="00DE2580" w:rsidRDefault="005128E4" w:rsidP="00040C3A">
      <w:pPr>
        <w:tabs>
          <w:tab w:val="center" w:pos="5400"/>
        </w:tabs>
        <w:suppressAutoHyphens/>
        <w:rPr>
          <w:rFonts w:asciiTheme="majorHAnsi" w:hAnsiTheme="majorHAnsi"/>
          <w:sz w:val="22"/>
          <w:szCs w:val="22"/>
          <w:lang w:val="es-ES_tradnl"/>
        </w:rPr>
      </w:pPr>
    </w:p>
    <w:p w14:paraId="50345AA0" w14:textId="77777777" w:rsidR="00040C3A" w:rsidRPr="00DE2580" w:rsidRDefault="00040C3A" w:rsidP="005128E4">
      <w:pPr>
        <w:tabs>
          <w:tab w:val="center" w:pos="5400"/>
        </w:tabs>
        <w:suppressAutoHyphens/>
        <w:jc w:val="center"/>
        <w:rPr>
          <w:rFonts w:asciiTheme="majorHAnsi" w:hAnsiTheme="majorHAnsi"/>
          <w:sz w:val="22"/>
          <w:szCs w:val="22"/>
          <w:lang w:val="es-ES_tradnl"/>
        </w:rPr>
      </w:pPr>
    </w:p>
    <w:p w14:paraId="0385981A" w14:textId="77777777" w:rsidR="00040C3A" w:rsidRPr="00DE2580" w:rsidRDefault="00EF4F97" w:rsidP="005128E4">
      <w:pPr>
        <w:tabs>
          <w:tab w:val="center" w:pos="5400"/>
        </w:tabs>
        <w:suppressAutoHyphens/>
        <w:jc w:val="center"/>
        <w:rPr>
          <w:rFonts w:asciiTheme="majorHAnsi" w:hAnsiTheme="majorHAnsi"/>
          <w:sz w:val="22"/>
          <w:szCs w:val="22"/>
          <w:lang w:val="es-ES_tradnl"/>
        </w:rPr>
      </w:pPr>
      <w:r w:rsidRPr="00DE2580">
        <w:rPr>
          <w:rFonts w:asciiTheme="majorHAnsi" w:hAnsiTheme="majorHAnsi"/>
          <w:noProof/>
          <w:sz w:val="22"/>
          <w:szCs w:val="22"/>
        </w:rPr>
        <mc:AlternateContent>
          <mc:Choice Requires="wps">
            <w:drawing>
              <wp:anchor distT="0" distB="0" distL="114300" distR="114300" simplePos="0" relativeHeight="251657216" behindDoc="0" locked="0" layoutInCell="1" allowOverlap="1" wp14:anchorId="1D1F81E6" wp14:editId="5CC709FA">
                <wp:simplePos x="0" y="0"/>
                <wp:positionH relativeFrom="column">
                  <wp:posOffset>1078230</wp:posOffset>
                </wp:positionH>
                <wp:positionV relativeFrom="paragraph">
                  <wp:posOffset>88900</wp:posOffset>
                </wp:positionV>
                <wp:extent cx="4333875" cy="36779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3677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FDF68B" w14:textId="77777777" w:rsidR="009703EC" w:rsidRDefault="009703EC" w:rsidP="004B7EB6">
                            <w:pPr>
                              <w:spacing w:line="276" w:lineRule="auto"/>
                              <w:rPr>
                                <w:rFonts w:asciiTheme="majorHAnsi" w:hAnsiTheme="majorHAnsi" w:cs="Arial"/>
                                <w:b/>
                                <w:bCs/>
                                <w:color w:val="0D0D0D" w:themeColor="text1" w:themeTint="F2"/>
                                <w:sz w:val="36"/>
                                <w:szCs w:val="40"/>
                              </w:rPr>
                            </w:pPr>
                          </w:p>
                          <w:p w14:paraId="1AE80C43" w14:textId="77777777" w:rsidR="009703EC" w:rsidRDefault="009703EC" w:rsidP="004B7EB6">
                            <w:pPr>
                              <w:spacing w:line="276" w:lineRule="auto"/>
                              <w:rPr>
                                <w:rFonts w:asciiTheme="majorHAnsi" w:hAnsiTheme="majorHAnsi" w:cs="Arial"/>
                                <w:b/>
                                <w:bCs/>
                                <w:color w:val="0D0D0D" w:themeColor="text1" w:themeTint="F2"/>
                                <w:sz w:val="36"/>
                                <w:szCs w:val="40"/>
                              </w:rPr>
                            </w:pPr>
                          </w:p>
                          <w:p w14:paraId="532B310B" w14:textId="77777777" w:rsidR="009703EC" w:rsidRDefault="009703EC" w:rsidP="004B7EB6">
                            <w:pPr>
                              <w:spacing w:line="276" w:lineRule="auto"/>
                              <w:rPr>
                                <w:rFonts w:asciiTheme="majorHAnsi" w:hAnsiTheme="majorHAnsi" w:cs="Arial"/>
                                <w:b/>
                                <w:bCs/>
                                <w:color w:val="0D0D0D" w:themeColor="text1" w:themeTint="F2"/>
                                <w:sz w:val="36"/>
                                <w:szCs w:val="40"/>
                              </w:rPr>
                            </w:pPr>
                          </w:p>
                          <w:p w14:paraId="3B055082" w14:textId="77777777" w:rsidR="009703EC" w:rsidRDefault="009703EC" w:rsidP="004B7EB6">
                            <w:pPr>
                              <w:spacing w:line="276" w:lineRule="auto"/>
                              <w:rPr>
                                <w:rFonts w:asciiTheme="majorHAnsi" w:hAnsiTheme="majorHAnsi" w:cs="Arial"/>
                                <w:b/>
                                <w:bCs/>
                                <w:color w:val="0D0D0D" w:themeColor="text1" w:themeTint="F2"/>
                                <w:sz w:val="36"/>
                                <w:szCs w:val="40"/>
                              </w:rPr>
                            </w:pPr>
                          </w:p>
                          <w:p w14:paraId="55EE5913" w14:textId="38AAA97E" w:rsidR="009703EC" w:rsidRPr="004B7EB6" w:rsidRDefault="009703EC"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625290">
                              <w:rPr>
                                <w:rFonts w:asciiTheme="majorHAnsi" w:hAnsiTheme="majorHAnsi" w:cs="Arial"/>
                                <w:b/>
                                <w:bCs/>
                                <w:color w:val="0D0D0D" w:themeColor="text1" w:themeTint="F2"/>
                                <w:sz w:val="36"/>
                                <w:szCs w:val="40"/>
                              </w:rPr>
                              <w:t>264</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w:t>
                            </w:r>
                            <w:r w:rsidR="00203798">
                              <w:rPr>
                                <w:rFonts w:asciiTheme="majorHAnsi" w:hAnsiTheme="majorHAnsi" w:cs="Arial"/>
                                <w:b/>
                                <w:bCs/>
                                <w:color w:val="0D0D0D" w:themeColor="text1" w:themeTint="F2"/>
                                <w:sz w:val="36"/>
                                <w:szCs w:val="40"/>
                              </w:rPr>
                              <w:t>3</w:t>
                            </w:r>
                          </w:p>
                          <w:p w14:paraId="33DC238A" w14:textId="77777777" w:rsidR="009703EC" w:rsidRPr="004B7EB6" w:rsidRDefault="009703EC"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12</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446</w:t>
                            </w:r>
                          </w:p>
                          <w:p w14:paraId="1F4C45B8" w14:textId="25DD7145" w:rsidR="009703EC" w:rsidRPr="004B7EB6" w:rsidRDefault="009703EC" w:rsidP="00F45EBF">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Pr>
                                <w:rFonts w:asciiTheme="majorHAnsi" w:hAnsiTheme="majorHAnsi" w:cs="Arial"/>
                                <w:color w:val="0D0D0D" w:themeColor="text1" w:themeTint="F2"/>
                                <w:szCs w:val="22"/>
                              </w:rPr>
                              <w:t xml:space="preserve">THE </w:t>
                            </w:r>
                            <w:r w:rsidRPr="004B7EB6">
                              <w:rPr>
                                <w:rFonts w:asciiTheme="majorHAnsi" w:hAnsiTheme="majorHAnsi" w:cs="Arial"/>
                                <w:color w:val="0D0D0D" w:themeColor="text1" w:themeTint="F2"/>
                                <w:szCs w:val="22"/>
                              </w:rPr>
                              <w:t>MERITS</w:t>
                            </w:r>
                            <w:r>
                              <w:rPr>
                                <w:rFonts w:asciiTheme="majorHAnsi" w:hAnsiTheme="majorHAnsi" w:cs="Arial"/>
                                <w:color w:val="0D0D0D" w:themeColor="text1" w:themeTint="F2"/>
                                <w:szCs w:val="22"/>
                              </w:rPr>
                              <w:t xml:space="preserve"> </w:t>
                            </w:r>
                            <w:r w:rsidRPr="00625290">
                              <w:rPr>
                                <w:rFonts w:asciiTheme="majorHAnsi" w:hAnsiTheme="majorHAnsi" w:cs="Arial"/>
                                <w:color w:val="0D0D0D" w:themeColor="text1" w:themeTint="F2"/>
                                <w:szCs w:val="22"/>
                              </w:rPr>
                              <w:t>(</w:t>
                            </w:r>
                            <w:r w:rsidR="00CB7ECA" w:rsidRPr="00625290">
                              <w:rPr>
                                <w:rFonts w:asciiTheme="majorHAnsi" w:hAnsiTheme="majorHAnsi" w:cs="Arial"/>
                                <w:color w:val="0D0D0D" w:themeColor="text1" w:themeTint="F2"/>
                                <w:szCs w:val="22"/>
                              </w:rPr>
                              <w:t>PUBLICATION</w:t>
                            </w:r>
                            <w:r w:rsidRPr="00625290">
                              <w:rPr>
                                <w:rFonts w:asciiTheme="majorHAnsi" w:hAnsiTheme="majorHAnsi" w:cs="Arial"/>
                                <w:color w:val="0D0D0D" w:themeColor="text1" w:themeTint="F2"/>
                                <w:szCs w:val="22"/>
                              </w:rPr>
                              <w:t>)</w:t>
                            </w:r>
                            <w:r w:rsidRPr="004B7EB6">
                              <w:rPr>
                                <w:rFonts w:asciiTheme="majorHAnsi" w:hAnsiTheme="majorHAnsi" w:cs="Arial"/>
                                <w:color w:val="0D0D0D" w:themeColor="text1" w:themeTint="F2"/>
                                <w:szCs w:val="22"/>
                              </w:rPr>
                              <w:t xml:space="preserve"> </w:t>
                            </w:r>
                          </w:p>
                          <w:p w14:paraId="4C1B5C7D" w14:textId="77777777" w:rsidR="009703EC" w:rsidRPr="004B7EB6" w:rsidRDefault="009703EC" w:rsidP="004B7EB6">
                            <w:pPr>
                              <w:spacing w:line="276" w:lineRule="auto"/>
                              <w:rPr>
                                <w:rFonts w:asciiTheme="majorHAnsi" w:hAnsiTheme="majorHAnsi" w:cs="Arial"/>
                                <w:color w:val="0D0D0D" w:themeColor="text1" w:themeTint="F2"/>
                                <w:szCs w:val="22"/>
                              </w:rPr>
                            </w:pPr>
                          </w:p>
                          <w:p w14:paraId="50B80D89" w14:textId="77777777" w:rsidR="009703EC" w:rsidRDefault="009703EC" w:rsidP="00191F07">
                            <w:pPr>
                              <w:pStyle w:val="Body"/>
                              <w:suppressAutoHyphens/>
                              <w:rPr>
                                <w:rFonts w:ascii="Cambria" w:eastAsia="Cambria" w:hAnsi="Cambria" w:cs="Cambria"/>
                              </w:rPr>
                            </w:pPr>
                            <w:r>
                              <w:rPr>
                                <w:rFonts w:ascii="Cambria" w:eastAsia="Cambria" w:hAnsi="Cambria" w:cs="Cambria"/>
                              </w:rPr>
                              <w:t>TRACY LEE HOUSEL</w:t>
                            </w:r>
                          </w:p>
                          <w:p w14:paraId="3FEC30B6" w14:textId="77777777" w:rsidR="009703EC" w:rsidRDefault="009703EC"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UNITED STATES OF AMERICA</w:t>
                            </w:r>
                          </w:p>
                          <w:p w14:paraId="63159E31" w14:textId="77777777" w:rsidR="009703EC" w:rsidRPr="00E57833" w:rsidRDefault="009703EC" w:rsidP="004B7EB6">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F81E6" id="Text Box 5" o:spid="_x0000_s1027" type="#_x0000_t202" style="position:absolute;left:0;text-align:left;margin-left:84.9pt;margin-top:7pt;width:341.25pt;height:28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" filled="f" stroked="f" strokeweight=".5pt">
                <v:textbox>
                  <w:txbxContent>
                    <w:p w14:paraId="25FDF68B" w14:textId="77777777" w:rsidR="009703EC" w:rsidRDefault="009703EC" w:rsidP="004B7EB6">
                      <w:pPr>
                        <w:spacing w:line="276" w:lineRule="auto"/>
                        <w:rPr>
                          <w:rFonts w:asciiTheme="majorHAnsi" w:hAnsiTheme="majorHAnsi" w:cs="Arial"/>
                          <w:b/>
                          <w:bCs/>
                          <w:color w:val="0D0D0D" w:themeColor="text1" w:themeTint="F2"/>
                          <w:sz w:val="36"/>
                          <w:szCs w:val="40"/>
                        </w:rPr>
                      </w:pPr>
                    </w:p>
                    <w:p w14:paraId="1AE80C43" w14:textId="77777777" w:rsidR="009703EC" w:rsidRDefault="009703EC" w:rsidP="004B7EB6">
                      <w:pPr>
                        <w:spacing w:line="276" w:lineRule="auto"/>
                        <w:rPr>
                          <w:rFonts w:asciiTheme="majorHAnsi" w:hAnsiTheme="majorHAnsi" w:cs="Arial"/>
                          <w:b/>
                          <w:bCs/>
                          <w:color w:val="0D0D0D" w:themeColor="text1" w:themeTint="F2"/>
                          <w:sz w:val="36"/>
                          <w:szCs w:val="40"/>
                        </w:rPr>
                      </w:pPr>
                    </w:p>
                    <w:p w14:paraId="532B310B" w14:textId="77777777" w:rsidR="009703EC" w:rsidRDefault="009703EC" w:rsidP="004B7EB6">
                      <w:pPr>
                        <w:spacing w:line="276" w:lineRule="auto"/>
                        <w:rPr>
                          <w:rFonts w:asciiTheme="majorHAnsi" w:hAnsiTheme="majorHAnsi" w:cs="Arial"/>
                          <w:b/>
                          <w:bCs/>
                          <w:color w:val="0D0D0D" w:themeColor="text1" w:themeTint="F2"/>
                          <w:sz w:val="36"/>
                          <w:szCs w:val="40"/>
                        </w:rPr>
                      </w:pPr>
                    </w:p>
                    <w:p w14:paraId="3B055082" w14:textId="77777777" w:rsidR="009703EC" w:rsidRDefault="009703EC" w:rsidP="004B7EB6">
                      <w:pPr>
                        <w:spacing w:line="276" w:lineRule="auto"/>
                        <w:rPr>
                          <w:rFonts w:asciiTheme="majorHAnsi" w:hAnsiTheme="majorHAnsi" w:cs="Arial"/>
                          <w:b/>
                          <w:bCs/>
                          <w:color w:val="0D0D0D" w:themeColor="text1" w:themeTint="F2"/>
                          <w:sz w:val="36"/>
                          <w:szCs w:val="40"/>
                        </w:rPr>
                      </w:pPr>
                    </w:p>
                    <w:p w14:paraId="55EE5913" w14:textId="38AAA97E" w:rsidR="009703EC" w:rsidRPr="004B7EB6" w:rsidRDefault="009703EC"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625290">
                        <w:rPr>
                          <w:rFonts w:asciiTheme="majorHAnsi" w:hAnsiTheme="majorHAnsi" w:cs="Arial"/>
                          <w:b/>
                          <w:bCs/>
                          <w:color w:val="0D0D0D" w:themeColor="text1" w:themeTint="F2"/>
                          <w:sz w:val="36"/>
                          <w:szCs w:val="40"/>
                        </w:rPr>
                        <w:t>264</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w:t>
                      </w:r>
                      <w:r w:rsidR="00203798">
                        <w:rPr>
                          <w:rFonts w:asciiTheme="majorHAnsi" w:hAnsiTheme="majorHAnsi" w:cs="Arial"/>
                          <w:b/>
                          <w:bCs/>
                          <w:color w:val="0D0D0D" w:themeColor="text1" w:themeTint="F2"/>
                          <w:sz w:val="36"/>
                          <w:szCs w:val="40"/>
                        </w:rPr>
                        <w:t>3</w:t>
                      </w:r>
                    </w:p>
                    <w:p w14:paraId="33DC238A" w14:textId="77777777" w:rsidR="009703EC" w:rsidRPr="004B7EB6" w:rsidRDefault="009703EC"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12</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446</w:t>
                      </w:r>
                    </w:p>
                    <w:p w14:paraId="1F4C45B8" w14:textId="25DD7145" w:rsidR="009703EC" w:rsidRPr="004B7EB6" w:rsidRDefault="009703EC" w:rsidP="00F45EBF">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Pr>
                          <w:rFonts w:asciiTheme="majorHAnsi" w:hAnsiTheme="majorHAnsi" w:cs="Arial"/>
                          <w:color w:val="0D0D0D" w:themeColor="text1" w:themeTint="F2"/>
                          <w:szCs w:val="22"/>
                        </w:rPr>
                        <w:t xml:space="preserve">THE </w:t>
                      </w:r>
                      <w:r w:rsidRPr="004B7EB6">
                        <w:rPr>
                          <w:rFonts w:asciiTheme="majorHAnsi" w:hAnsiTheme="majorHAnsi" w:cs="Arial"/>
                          <w:color w:val="0D0D0D" w:themeColor="text1" w:themeTint="F2"/>
                          <w:szCs w:val="22"/>
                        </w:rPr>
                        <w:t>MERITS</w:t>
                      </w:r>
                      <w:r>
                        <w:rPr>
                          <w:rFonts w:asciiTheme="majorHAnsi" w:hAnsiTheme="majorHAnsi" w:cs="Arial"/>
                          <w:color w:val="0D0D0D" w:themeColor="text1" w:themeTint="F2"/>
                          <w:szCs w:val="22"/>
                        </w:rPr>
                        <w:t xml:space="preserve"> </w:t>
                      </w:r>
                      <w:r w:rsidRPr="00625290">
                        <w:rPr>
                          <w:rFonts w:asciiTheme="majorHAnsi" w:hAnsiTheme="majorHAnsi" w:cs="Arial"/>
                          <w:color w:val="0D0D0D" w:themeColor="text1" w:themeTint="F2"/>
                          <w:szCs w:val="22"/>
                        </w:rPr>
                        <w:t>(</w:t>
                      </w:r>
                      <w:r w:rsidR="00CB7ECA" w:rsidRPr="00625290">
                        <w:rPr>
                          <w:rFonts w:asciiTheme="majorHAnsi" w:hAnsiTheme="majorHAnsi" w:cs="Arial"/>
                          <w:color w:val="0D0D0D" w:themeColor="text1" w:themeTint="F2"/>
                          <w:szCs w:val="22"/>
                        </w:rPr>
                        <w:t>PUBLICATION</w:t>
                      </w:r>
                      <w:r w:rsidRPr="00625290">
                        <w:rPr>
                          <w:rFonts w:asciiTheme="majorHAnsi" w:hAnsiTheme="majorHAnsi" w:cs="Arial"/>
                          <w:color w:val="0D0D0D" w:themeColor="text1" w:themeTint="F2"/>
                          <w:szCs w:val="22"/>
                        </w:rPr>
                        <w:t>)</w:t>
                      </w:r>
                      <w:r w:rsidRPr="004B7EB6">
                        <w:rPr>
                          <w:rFonts w:asciiTheme="majorHAnsi" w:hAnsiTheme="majorHAnsi" w:cs="Arial"/>
                          <w:color w:val="0D0D0D" w:themeColor="text1" w:themeTint="F2"/>
                          <w:szCs w:val="22"/>
                        </w:rPr>
                        <w:t xml:space="preserve"> </w:t>
                      </w:r>
                    </w:p>
                    <w:p w14:paraId="4C1B5C7D" w14:textId="77777777" w:rsidR="009703EC" w:rsidRPr="004B7EB6" w:rsidRDefault="009703EC" w:rsidP="004B7EB6">
                      <w:pPr>
                        <w:spacing w:line="276" w:lineRule="auto"/>
                        <w:rPr>
                          <w:rFonts w:asciiTheme="majorHAnsi" w:hAnsiTheme="majorHAnsi" w:cs="Arial"/>
                          <w:color w:val="0D0D0D" w:themeColor="text1" w:themeTint="F2"/>
                          <w:szCs w:val="22"/>
                        </w:rPr>
                      </w:pPr>
                    </w:p>
                    <w:p w14:paraId="50B80D89" w14:textId="77777777" w:rsidR="009703EC" w:rsidRDefault="009703EC" w:rsidP="00191F07">
                      <w:pPr>
                        <w:pStyle w:val="Body"/>
                        <w:suppressAutoHyphens/>
                        <w:rPr>
                          <w:rFonts w:ascii="Cambria" w:eastAsia="Cambria" w:hAnsi="Cambria" w:cs="Cambria"/>
                        </w:rPr>
                      </w:pPr>
                      <w:r>
                        <w:rPr>
                          <w:rFonts w:ascii="Cambria" w:eastAsia="Cambria" w:hAnsi="Cambria" w:cs="Cambria"/>
                        </w:rPr>
                        <w:t>TRACY LEE HOUSEL</w:t>
                      </w:r>
                    </w:p>
                    <w:p w14:paraId="3FEC30B6" w14:textId="77777777" w:rsidR="009703EC" w:rsidRDefault="009703EC"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UNITED STATES OF AMERICA</w:t>
                      </w:r>
                    </w:p>
                    <w:p w14:paraId="63159E31" w14:textId="77777777" w:rsidR="009703EC" w:rsidRPr="00E57833" w:rsidRDefault="009703EC" w:rsidP="004B7EB6">
                      <w:pPr>
                        <w:spacing w:line="276" w:lineRule="auto"/>
                        <w:rPr>
                          <w:rFonts w:asciiTheme="majorHAnsi" w:hAnsiTheme="majorHAnsi"/>
                          <w:color w:val="0D0D0D" w:themeColor="text1" w:themeTint="F2"/>
                        </w:rPr>
                      </w:pPr>
                    </w:p>
                  </w:txbxContent>
                </v:textbox>
              </v:shape>
            </w:pict>
          </mc:Fallback>
        </mc:AlternateContent>
      </w:r>
    </w:p>
    <w:p w14:paraId="3728C71B" w14:textId="77777777" w:rsidR="005B52B0" w:rsidRPr="00DE2580" w:rsidRDefault="005B52B0" w:rsidP="005128E4">
      <w:pPr>
        <w:tabs>
          <w:tab w:val="center" w:pos="5400"/>
        </w:tabs>
        <w:suppressAutoHyphens/>
        <w:jc w:val="center"/>
        <w:rPr>
          <w:rFonts w:asciiTheme="majorHAnsi" w:hAnsiTheme="majorHAnsi"/>
          <w:sz w:val="22"/>
          <w:szCs w:val="22"/>
          <w:lang w:val="es-ES_tradnl"/>
        </w:rPr>
      </w:pPr>
    </w:p>
    <w:p w14:paraId="326B3059" w14:textId="77777777" w:rsidR="005B52B0" w:rsidRPr="00DE2580" w:rsidRDefault="005B52B0" w:rsidP="005128E4">
      <w:pPr>
        <w:tabs>
          <w:tab w:val="center" w:pos="5400"/>
        </w:tabs>
        <w:suppressAutoHyphens/>
        <w:jc w:val="center"/>
        <w:rPr>
          <w:rFonts w:asciiTheme="majorHAnsi" w:hAnsiTheme="majorHAnsi"/>
          <w:sz w:val="22"/>
          <w:szCs w:val="22"/>
          <w:lang w:val="es-ES_tradnl"/>
        </w:rPr>
      </w:pPr>
    </w:p>
    <w:p w14:paraId="552AA27E" w14:textId="77777777" w:rsidR="005B52B0" w:rsidRPr="00DE2580" w:rsidRDefault="005B52B0" w:rsidP="005128E4">
      <w:pPr>
        <w:tabs>
          <w:tab w:val="center" w:pos="5400"/>
        </w:tabs>
        <w:suppressAutoHyphens/>
        <w:jc w:val="center"/>
        <w:rPr>
          <w:rFonts w:asciiTheme="majorHAnsi" w:hAnsiTheme="majorHAnsi"/>
          <w:sz w:val="22"/>
          <w:szCs w:val="22"/>
          <w:lang w:val="es-ES_tradnl"/>
        </w:rPr>
      </w:pPr>
    </w:p>
    <w:p w14:paraId="5FA8A5A5" w14:textId="77777777" w:rsidR="00040C3A" w:rsidRPr="00DE2580" w:rsidRDefault="00040C3A" w:rsidP="00040C3A">
      <w:pPr>
        <w:tabs>
          <w:tab w:val="center" w:pos="5400"/>
        </w:tabs>
        <w:suppressAutoHyphens/>
        <w:jc w:val="center"/>
        <w:rPr>
          <w:rFonts w:asciiTheme="majorHAnsi" w:hAnsiTheme="majorHAnsi"/>
          <w:sz w:val="22"/>
          <w:szCs w:val="22"/>
          <w:lang w:val="es-ES_tradnl"/>
        </w:rPr>
      </w:pPr>
    </w:p>
    <w:p w14:paraId="63E79E08" w14:textId="77777777" w:rsidR="00040C3A" w:rsidRPr="00DE2580" w:rsidRDefault="00040C3A" w:rsidP="00040C3A">
      <w:pPr>
        <w:tabs>
          <w:tab w:val="center" w:pos="5400"/>
        </w:tabs>
        <w:suppressAutoHyphens/>
        <w:jc w:val="center"/>
        <w:rPr>
          <w:rFonts w:asciiTheme="majorHAnsi" w:hAnsiTheme="majorHAnsi"/>
          <w:sz w:val="22"/>
          <w:szCs w:val="22"/>
          <w:lang w:val="es-ES_tradnl"/>
        </w:rPr>
      </w:pPr>
    </w:p>
    <w:p w14:paraId="47A672BF" w14:textId="77777777" w:rsidR="00040C3A" w:rsidRPr="00DE2580" w:rsidRDefault="00040C3A" w:rsidP="00040C3A">
      <w:pPr>
        <w:tabs>
          <w:tab w:val="center" w:pos="5400"/>
        </w:tabs>
        <w:suppressAutoHyphens/>
        <w:jc w:val="center"/>
        <w:rPr>
          <w:rFonts w:asciiTheme="majorHAnsi" w:hAnsiTheme="majorHAnsi"/>
          <w:sz w:val="22"/>
          <w:szCs w:val="22"/>
          <w:lang w:val="es-ES_tradnl"/>
        </w:rPr>
      </w:pPr>
    </w:p>
    <w:p w14:paraId="578CDB0F" w14:textId="77777777" w:rsidR="00040C3A" w:rsidRPr="00DE2580" w:rsidRDefault="00040C3A" w:rsidP="00040C3A">
      <w:pPr>
        <w:tabs>
          <w:tab w:val="center" w:pos="5400"/>
        </w:tabs>
        <w:suppressAutoHyphens/>
        <w:jc w:val="center"/>
        <w:rPr>
          <w:rFonts w:asciiTheme="majorHAnsi" w:hAnsiTheme="majorHAnsi"/>
          <w:sz w:val="22"/>
          <w:szCs w:val="22"/>
          <w:lang w:val="es-ES_tradnl"/>
        </w:rPr>
      </w:pPr>
    </w:p>
    <w:p w14:paraId="51BCA7D7" w14:textId="77777777" w:rsidR="00040C3A" w:rsidRPr="00DE2580" w:rsidRDefault="00EF4F97" w:rsidP="00040C3A">
      <w:pPr>
        <w:tabs>
          <w:tab w:val="center" w:pos="5400"/>
        </w:tabs>
        <w:suppressAutoHyphens/>
        <w:jc w:val="center"/>
        <w:rPr>
          <w:rFonts w:asciiTheme="majorHAnsi" w:hAnsiTheme="majorHAnsi"/>
          <w:sz w:val="22"/>
          <w:szCs w:val="22"/>
          <w:lang w:val="es-ES_tradnl"/>
        </w:rPr>
      </w:pPr>
      <w:r w:rsidRPr="00DE2580">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AD6A937" wp14:editId="7826844F">
                <wp:simplePos x="0" y="0"/>
                <wp:positionH relativeFrom="column">
                  <wp:posOffset>-370205</wp:posOffset>
                </wp:positionH>
                <wp:positionV relativeFrom="paragraph">
                  <wp:posOffset>43180</wp:posOffset>
                </wp:positionV>
                <wp:extent cx="1334135" cy="835025"/>
                <wp:effectExtent l="0" t="0"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835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180C77" w14:textId="692220F5" w:rsidR="009703EC" w:rsidRPr="00790F77" w:rsidRDefault="009703EC" w:rsidP="002C1641">
                            <w:pPr>
                              <w:jc w:val="right"/>
                              <w:rPr>
                                <w:rFonts w:asciiTheme="minorHAnsi" w:hAnsiTheme="minorHAnsi"/>
                                <w:color w:val="FFFFFF" w:themeColor="background1"/>
                                <w:sz w:val="22"/>
                              </w:rPr>
                            </w:pPr>
                            <w:r w:rsidRPr="00790F77">
                              <w:rPr>
                                <w:rFonts w:asciiTheme="minorHAnsi" w:hAnsiTheme="minorHAnsi"/>
                                <w:color w:val="FFFFFF" w:themeColor="background1"/>
                                <w:sz w:val="22"/>
                              </w:rPr>
                              <w:t>OEA/Ser.L/V/II</w:t>
                            </w:r>
                          </w:p>
                          <w:p w14:paraId="33A2F9E9" w14:textId="137426E3" w:rsidR="009703EC" w:rsidRPr="00790F77" w:rsidRDefault="009703EC" w:rsidP="002C1641">
                            <w:pPr>
                              <w:jc w:val="right"/>
                              <w:rPr>
                                <w:rFonts w:asciiTheme="minorHAnsi" w:hAnsiTheme="minorHAnsi"/>
                                <w:color w:val="FFFFFF" w:themeColor="background1"/>
                                <w:sz w:val="22"/>
                              </w:rPr>
                            </w:pPr>
                            <w:r w:rsidRPr="00790F77">
                              <w:rPr>
                                <w:rFonts w:asciiTheme="minorHAnsi" w:hAnsiTheme="minorHAnsi"/>
                                <w:color w:val="FFFFFF" w:themeColor="background1"/>
                                <w:sz w:val="22"/>
                              </w:rPr>
                              <w:t xml:space="preserve">Doc. </w:t>
                            </w:r>
                            <w:r w:rsidR="00625290" w:rsidRPr="00790F77">
                              <w:rPr>
                                <w:rFonts w:asciiTheme="minorHAnsi" w:hAnsiTheme="minorHAnsi"/>
                                <w:color w:val="FFFFFF" w:themeColor="background1"/>
                                <w:sz w:val="22"/>
                              </w:rPr>
                              <w:t>283</w:t>
                            </w:r>
                          </w:p>
                          <w:p w14:paraId="0E5A40D4" w14:textId="256196CE" w:rsidR="009703EC" w:rsidRPr="004B7EB6" w:rsidRDefault="00625290" w:rsidP="002C1641">
                            <w:pPr>
                              <w:jc w:val="right"/>
                              <w:rPr>
                                <w:rFonts w:asciiTheme="minorHAnsi" w:hAnsiTheme="minorHAnsi"/>
                                <w:color w:val="FFFFFF" w:themeColor="background1"/>
                                <w:sz w:val="22"/>
                              </w:rPr>
                            </w:pPr>
                            <w:r>
                              <w:rPr>
                                <w:rFonts w:asciiTheme="minorHAnsi" w:hAnsiTheme="minorHAnsi"/>
                                <w:color w:val="FFFFFF" w:themeColor="background1"/>
                                <w:sz w:val="22"/>
                              </w:rPr>
                              <w:t>May 12,</w:t>
                            </w:r>
                            <w:r w:rsidR="009703EC">
                              <w:rPr>
                                <w:rFonts w:asciiTheme="minorHAnsi" w:hAnsiTheme="minorHAnsi"/>
                                <w:color w:val="FFFFFF" w:themeColor="background1"/>
                                <w:sz w:val="22"/>
                              </w:rPr>
                              <w:t xml:space="preserve"> 202</w:t>
                            </w:r>
                            <w:r w:rsidR="00E82C7F">
                              <w:rPr>
                                <w:rFonts w:asciiTheme="minorHAnsi" w:hAnsiTheme="minorHAnsi"/>
                                <w:color w:val="FFFFFF" w:themeColor="background1"/>
                                <w:sz w:val="22"/>
                              </w:rPr>
                              <w:t>2</w:t>
                            </w:r>
                          </w:p>
                          <w:p w14:paraId="3775CF0C" w14:textId="77777777" w:rsidR="009703EC" w:rsidRPr="004B7EB6" w:rsidRDefault="009703EC"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6A937" id="Text Box 8" o:spid="_x0000_s1028" type="#_x0000_t202" style="position:absolute;left:0;text-align:left;margin-left:-29.15pt;margin-top:3.4pt;width:105.05pt;height:6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" filled="f" stroked="f" strokeweight=".5pt">
                <v:textbox>
                  <w:txbxContent>
                    <w:p w14:paraId="16180C77" w14:textId="692220F5" w:rsidR="009703EC" w:rsidRPr="00790F77" w:rsidRDefault="009703EC" w:rsidP="002C1641">
                      <w:pPr>
                        <w:jc w:val="right"/>
                        <w:rPr>
                          <w:rFonts w:asciiTheme="minorHAnsi" w:hAnsiTheme="minorHAnsi"/>
                          <w:color w:val="FFFFFF" w:themeColor="background1"/>
                          <w:sz w:val="22"/>
                        </w:rPr>
                      </w:pPr>
                      <w:r w:rsidRPr="00790F77">
                        <w:rPr>
                          <w:rFonts w:asciiTheme="minorHAnsi" w:hAnsiTheme="minorHAnsi"/>
                          <w:color w:val="FFFFFF" w:themeColor="background1"/>
                          <w:sz w:val="22"/>
                        </w:rPr>
                        <w:t>OEA/Ser.L/V/II</w:t>
                      </w:r>
                    </w:p>
                    <w:p w14:paraId="33A2F9E9" w14:textId="137426E3" w:rsidR="009703EC" w:rsidRPr="00790F77" w:rsidRDefault="009703EC" w:rsidP="002C1641">
                      <w:pPr>
                        <w:jc w:val="right"/>
                        <w:rPr>
                          <w:rFonts w:asciiTheme="minorHAnsi" w:hAnsiTheme="minorHAnsi"/>
                          <w:color w:val="FFFFFF" w:themeColor="background1"/>
                          <w:sz w:val="22"/>
                        </w:rPr>
                      </w:pPr>
                      <w:r w:rsidRPr="00790F77">
                        <w:rPr>
                          <w:rFonts w:asciiTheme="minorHAnsi" w:hAnsiTheme="minorHAnsi"/>
                          <w:color w:val="FFFFFF" w:themeColor="background1"/>
                          <w:sz w:val="22"/>
                        </w:rPr>
                        <w:t xml:space="preserve">Doc. </w:t>
                      </w:r>
                      <w:r w:rsidR="00625290" w:rsidRPr="00790F77">
                        <w:rPr>
                          <w:rFonts w:asciiTheme="minorHAnsi" w:hAnsiTheme="minorHAnsi"/>
                          <w:color w:val="FFFFFF" w:themeColor="background1"/>
                          <w:sz w:val="22"/>
                        </w:rPr>
                        <w:t>283</w:t>
                      </w:r>
                    </w:p>
                    <w:p w14:paraId="0E5A40D4" w14:textId="256196CE" w:rsidR="009703EC" w:rsidRPr="004B7EB6" w:rsidRDefault="00625290" w:rsidP="002C1641">
                      <w:pPr>
                        <w:jc w:val="right"/>
                        <w:rPr>
                          <w:rFonts w:asciiTheme="minorHAnsi" w:hAnsiTheme="minorHAnsi"/>
                          <w:color w:val="FFFFFF" w:themeColor="background1"/>
                          <w:sz w:val="22"/>
                        </w:rPr>
                      </w:pPr>
                      <w:r>
                        <w:rPr>
                          <w:rFonts w:asciiTheme="minorHAnsi" w:hAnsiTheme="minorHAnsi"/>
                          <w:color w:val="FFFFFF" w:themeColor="background1"/>
                          <w:sz w:val="22"/>
                        </w:rPr>
                        <w:t>May 12,</w:t>
                      </w:r>
                      <w:r w:rsidR="009703EC">
                        <w:rPr>
                          <w:rFonts w:asciiTheme="minorHAnsi" w:hAnsiTheme="minorHAnsi"/>
                          <w:color w:val="FFFFFF" w:themeColor="background1"/>
                          <w:sz w:val="22"/>
                        </w:rPr>
                        <w:t xml:space="preserve"> 202</w:t>
                      </w:r>
                      <w:r w:rsidR="00E82C7F">
                        <w:rPr>
                          <w:rFonts w:asciiTheme="minorHAnsi" w:hAnsiTheme="minorHAnsi"/>
                          <w:color w:val="FFFFFF" w:themeColor="background1"/>
                          <w:sz w:val="22"/>
                        </w:rPr>
                        <w:t>2</w:t>
                      </w:r>
                    </w:p>
                    <w:p w14:paraId="3775CF0C" w14:textId="77777777" w:rsidR="009703EC" w:rsidRPr="004B7EB6" w:rsidRDefault="009703EC"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 English</w:t>
                      </w:r>
                    </w:p>
                  </w:txbxContent>
                </v:textbox>
              </v:shape>
            </w:pict>
          </mc:Fallback>
        </mc:AlternateContent>
      </w:r>
    </w:p>
    <w:p w14:paraId="4D7FB155" w14:textId="77777777" w:rsidR="00040C3A" w:rsidRPr="00DE2580" w:rsidRDefault="00040C3A" w:rsidP="00040C3A">
      <w:pPr>
        <w:tabs>
          <w:tab w:val="center" w:pos="5400"/>
        </w:tabs>
        <w:suppressAutoHyphens/>
        <w:jc w:val="center"/>
        <w:rPr>
          <w:rFonts w:asciiTheme="majorHAnsi" w:hAnsiTheme="majorHAnsi" w:cs="Arial"/>
          <w:sz w:val="22"/>
          <w:szCs w:val="22"/>
          <w:lang w:val="es-ES_tradnl"/>
        </w:rPr>
      </w:pPr>
    </w:p>
    <w:p w14:paraId="36C2D5A2" w14:textId="77777777" w:rsidR="00040C3A" w:rsidRPr="00DE2580" w:rsidRDefault="00040C3A" w:rsidP="00040C3A">
      <w:pPr>
        <w:tabs>
          <w:tab w:val="center" w:pos="5400"/>
        </w:tabs>
        <w:suppressAutoHyphens/>
        <w:jc w:val="center"/>
        <w:rPr>
          <w:rFonts w:asciiTheme="majorHAnsi" w:hAnsiTheme="majorHAnsi"/>
          <w:sz w:val="22"/>
          <w:szCs w:val="22"/>
          <w:lang w:val="es-ES_tradnl"/>
        </w:rPr>
      </w:pPr>
    </w:p>
    <w:p w14:paraId="6B8A73D4" w14:textId="77777777" w:rsidR="00040C3A" w:rsidRPr="00DE2580" w:rsidRDefault="00040C3A" w:rsidP="00040C3A">
      <w:pPr>
        <w:tabs>
          <w:tab w:val="center" w:pos="5400"/>
        </w:tabs>
        <w:suppressAutoHyphens/>
        <w:jc w:val="center"/>
        <w:rPr>
          <w:rFonts w:asciiTheme="majorHAnsi" w:hAnsiTheme="majorHAnsi"/>
          <w:sz w:val="22"/>
          <w:szCs w:val="22"/>
          <w:lang w:val="es-ES_tradnl"/>
        </w:rPr>
      </w:pPr>
    </w:p>
    <w:p w14:paraId="398A6CE6" w14:textId="77777777" w:rsidR="00040C3A" w:rsidRPr="00DE2580" w:rsidRDefault="00040C3A" w:rsidP="00040C3A">
      <w:pPr>
        <w:tabs>
          <w:tab w:val="center" w:pos="5400"/>
        </w:tabs>
        <w:suppressAutoHyphens/>
        <w:jc w:val="center"/>
        <w:rPr>
          <w:rFonts w:asciiTheme="majorHAnsi" w:hAnsiTheme="majorHAnsi"/>
          <w:sz w:val="22"/>
          <w:szCs w:val="22"/>
          <w:lang w:val="es-ES_tradnl"/>
        </w:rPr>
      </w:pPr>
    </w:p>
    <w:p w14:paraId="0E808827" w14:textId="77777777" w:rsidR="00040C3A" w:rsidRPr="00DE2580" w:rsidRDefault="00040C3A" w:rsidP="00040C3A">
      <w:pPr>
        <w:tabs>
          <w:tab w:val="center" w:pos="5400"/>
        </w:tabs>
        <w:suppressAutoHyphens/>
        <w:jc w:val="center"/>
        <w:rPr>
          <w:rFonts w:asciiTheme="majorHAnsi" w:hAnsiTheme="majorHAnsi"/>
          <w:sz w:val="22"/>
          <w:szCs w:val="22"/>
          <w:lang w:val="es-ES_tradnl"/>
        </w:rPr>
      </w:pPr>
    </w:p>
    <w:p w14:paraId="73F3F66A" w14:textId="77777777" w:rsidR="005128E4" w:rsidRPr="00DE2580" w:rsidRDefault="005128E4" w:rsidP="00040C3A">
      <w:pPr>
        <w:tabs>
          <w:tab w:val="center" w:pos="5400"/>
        </w:tabs>
        <w:suppressAutoHyphens/>
        <w:jc w:val="center"/>
        <w:rPr>
          <w:rFonts w:asciiTheme="majorHAnsi" w:hAnsiTheme="majorHAnsi"/>
          <w:sz w:val="22"/>
          <w:szCs w:val="22"/>
          <w:lang w:val="es-ES_tradnl"/>
        </w:rPr>
      </w:pPr>
    </w:p>
    <w:p w14:paraId="71412DD3" w14:textId="77777777" w:rsidR="00040C3A" w:rsidRPr="00DE2580" w:rsidRDefault="00040C3A" w:rsidP="00040C3A">
      <w:pPr>
        <w:tabs>
          <w:tab w:val="center" w:pos="5400"/>
        </w:tabs>
        <w:suppressAutoHyphens/>
        <w:jc w:val="center"/>
        <w:rPr>
          <w:rFonts w:asciiTheme="majorHAnsi" w:hAnsiTheme="majorHAnsi"/>
          <w:sz w:val="22"/>
          <w:szCs w:val="22"/>
          <w:lang w:val="es-ES_tradnl"/>
        </w:rPr>
      </w:pPr>
    </w:p>
    <w:p w14:paraId="6C87F874" w14:textId="77777777" w:rsidR="005128E4" w:rsidRPr="00DE2580" w:rsidRDefault="005128E4" w:rsidP="00040C3A">
      <w:pPr>
        <w:tabs>
          <w:tab w:val="center" w:pos="5400"/>
        </w:tabs>
        <w:suppressAutoHyphens/>
        <w:jc w:val="center"/>
        <w:rPr>
          <w:rFonts w:asciiTheme="majorHAnsi" w:hAnsiTheme="majorHAnsi"/>
          <w:sz w:val="22"/>
          <w:szCs w:val="22"/>
          <w:lang w:val="es-ES_tradnl"/>
        </w:rPr>
      </w:pPr>
    </w:p>
    <w:p w14:paraId="37535D46" w14:textId="77777777" w:rsidR="005128E4" w:rsidRPr="00DE2580" w:rsidRDefault="005128E4" w:rsidP="00040C3A">
      <w:pPr>
        <w:tabs>
          <w:tab w:val="center" w:pos="5400"/>
        </w:tabs>
        <w:suppressAutoHyphens/>
        <w:jc w:val="center"/>
        <w:rPr>
          <w:rFonts w:asciiTheme="majorHAnsi" w:hAnsiTheme="majorHAnsi"/>
          <w:sz w:val="22"/>
          <w:szCs w:val="22"/>
          <w:lang w:val="es-ES_tradnl"/>
        </w:rPr>
      </w:pPr>
    </w:p>
    <w:p w14:paraId="142E05E6" w14:textId="77777777" w:rsidR="005128E4" w:rsidRPr="00DE2580" w:rsidRDefault="005128E4" w:rsidP="00040C3A">
      <w:pPr>
        <w:tabs>
          <w:tab w:val="center" w:pos="5400"/>
        </w:tabs>
        <w:suppressAutoHyphens/>
        <w:jc w:val="center"/>
        <w:rPr>
          <w:rFonts w:asciiTheme="majorHAnsi" w:hAnsiTheme="majorHAnsi"/>
          <w:sz w:val="22"/>
          <w:szCs w:val="22"/>
          <w:lang w:val="es-ES_tradnl"/>
        </w:rPr>
      </w:pPr>
    </w:p>
    <w:p w14:paraId="44A4F643" w14:textId="77777777" w:rsidR="00040C3A" w:rsidRPr="00DE2580" w:rsidRDefault="00040C3A" w:rsidP="00040C3A">
      <w:pPr>
        <w:tabs>
          <w:tab w:val="center" w:pos="5400"/>
        </w:tabs>
        <w:suppressAutoHyphens/>
        <w:jc w:val="center"/>
        <w:rPr>
          <w:rFonts w:asciiTheme="majorHAnsi" w:hAnsiTheme="majorHAnsi"/>
          <w:sz w:val="22"/>
          <w:szCs w:val="22"/>
          <w:lang w:val="es-ES_tradnl"/>
        </w:rPr>
      </w:pPr>
    </w:p>
    <w:p w14:paraId="07883A8A" w14:textId="77777777" w:rsidR="00040C3A" w:rsidRPr="00DE2580" w:rsidRDefault="00040C3A" w:rsidP="00040C3A">
      <w:pPr>
        <w:tabs>
          <w:tab w:val="center" w:pos="5400"/>
        </w:tabs>
        <w:suppressAutoHyphens/>
        <w:jc w:val="center"/>
        <w:rPr>
          <w:rFonts w:asciiTheme="majorHAnsi" w:hAnsiTheme="majorHAnsi"/>
          <w:sz w:val="22"/>
          <w:szCs w:val="22"/>
          <w:lang w:val="es-ES_tradnl"/>
        </w:rPr>
      </w:pPr>
    </w:p>
    <w:p w14:paraId="103A7D94" w14:textId="77777777" w:rsidR="002C1641" w:rsidRPr="00DE2580" w:rsidRDefault="002C1641" w:rsidP="00040C3A">
      <w:pPr>
        <w:tabs>
          <w:tab w:val="center" w:pos="5400"/>
        </w:tabs>
        <w:suppressAutoHyphens/>
        <w:jc w:val="center"/>
        <w:rPr>
          <w:rFonts w:asciiTheme="majorHAnsi" w:hAnsiTheme="majorHAnsi"/>
          <w:sz w:val="18"/>
          <w:szCs w:val="22"/>
          <w:lang w:val="es-ES_tradnl"/>
        </w:rPr>
      </w:pPr>
    </w:p>
    <w:p w14:paraId="2EF04825" w14:textId="77777777" w:rsidR="002C1641" w:rsidRPr="00DE2580" w:rsidRDefault="002C1641" w:rsidP="00040C3A">
      <w:pPr>
        <w:tabs>
          <w:tab w:val="center" w:pos="5400"/>
        </w:tabs>
        <w:suppressAutoHyphens/>
        <w:jc w:val="center"/>
        <w:rPr>
          <w:rFonts w:asciiTheme="majorHAnsi" w:hAnsiTheme="majorHAnsi"/>
          <w:sz w:val="18"/>
          <w:szCs w:val="22"/>
          <w:lang w:val="es-ES_tradnl"/>
        </w:rPr>
      </w:pPr>
    </w:p>
    <w:p w14:paraId="530C81D1" w14:textId="77777777" w:rsidR="002C1641" w:rsidRPr="00DE2580" w:rsidRDefault="002C1641" w:rsidP="00040C3A">
      <w:pPr>
        <w:tabs>
          <w:tab w:val="center" w:pos="5400"/>
        </w:tabs>
        <w:suppressAutoHyphens/>
        <w:jc w:val="center"/>
        <w:rPr>
          <w:rFonts w:asciiTheme="majorHAnsi" w:hAnsiTheme="majorHAnsi"/>
          <w:sz w:val="18"/>
          <w:szCs w:val="22"/>
          <w:lang w:val="es-ES_tradnl"/>
        </w:rPr>
      </w:pPr>
    </w:p>
    <w:p w14:paraId="21DD089E" w14:textId="77777777" w:rsidR="002C1641" w:rsidRPr="00DE2580" w:rsidRDefault="002C1641" w:rsidP="00040C3A">
      <w:pPr>
        <w:tabs>
          <w:tab w:val="center" w:pos="5400"/>
        </w:tabs>
        <w:suppressAutoHyphens/>
        <w:jc w:val="center"/>
        <w:rPr>
          <w:rFonts w:asciiTheme="majorHAnsi" w:hAnsiTheme="majorHAnsi"/>
          <w:sz w:val="18"/>
          <w:szCs w:val="22"/>
          <w:lang w:val="es-ES_tradnl"/>
        </w:rPr>
      </w:pPr>
    </w:p>
    <w:p w14:paraId="37A05922" w14:textId="77777777" w:rsidR="002C1641" w:rsidRPr="00DE2580" w:rsidRDefault="002C1641" w:rsidP="00040C3A">
      <w:pPr>
        <w:tabs>
          <w:tab w:val="center" w:pos="5400"/>
        </w:tabs>
        <w:suppressAutoHyphens/>
        <w:jc w:val="center"/>
        <w:rPr>
          <w:rFonts w:asciiTheme="majorHAnsi" w:hAnsiTheme="majorHAnsi"/>
          <w:sz w:val="18"/>
          <w:szCs w:val="22"/>
          <w:lang w:val="es-ES_tradnl"/>
        </w:rPr>
      </w:pPr>
    </w:p>
    <w:p w14:paraId="1D884EFC" w14:textId="77777777" w:rsidR="002C1641" w:rsidRPr="00DE2580" w:rsidRDefault="002C1641" w:rsidP="00040C3A">
      <w:pPr>
        <w:tabs>
          <w:tab w:val="center" w:pos="5400"/>
        </w:tabs>
        <w:suppressAutoHyphens/>
        <w:jc w:val="center"/>
        <w:rPr>
          <w:rFonts w:asciiTheme="majorHAnsi" w:hAnsiTheme="majorHAnsi"/>
          <w:sz w:val="18"/>
          <w:szCs w:val="22"/>
          <w:lang w:val="es-ES_tradnl"/>
        </w:rPr>
      </w:pPr>
    </w:p>
    <w:p w14:paraId="114AE707" w14:textId="77777777" w:rsidR="002C1641" w:rsidRPr="00DE2580" w:rsidRDefault="002C1641" w:rsidP="00040C3A">
      <w:pPr>
        <w:tabs>
          <w:tab w:val="center" w:pos="5400"/>
        </w:tabs>
        <w:suppressAutoHyphens/>
        <w:jc w:val="center"/>
        <w:rPr>
          <w:rFonts w:asciiTheme="majorHAnsi" w:hAnsiTheme="majorHAnsi"/>
          <w:sz w:val="18"/>
          <w:szCs w:val="22"/>
          <w:lang w:val="es-ES_tradnl"/>
        </w:rPr>
      </w:pPr>
    </w:p>
    <w:p w14:paraId="018DA3FB" w14:textId="77777777" w:rsidR="002C1641" w:rsidRPr="00DE2580" w:rsidRDefault="002C1641" w:rsidP="00040C3A">
      <w:pPr>
        <w:tabs>
          <w:tab w:val="center" w:pos="5400"/>
        </w:tabs>
        <w:suppressAutoHyphens/>
        <w:jc w:val="center"/>
        <w:rPr>
          <w:rFonts w:asciiTheme="majorHAnsi" w:hAnsiTheme="majorHAnsi"/>
          <w:sz w:val="18"/>
          <w:szCs w:val="22"/>
          <w:lang w:val="es-ES_tradnl"/>
        </w:rPr>
      </w:pPr>
    </w:p>
    <w:p w14:paraId="31D87CA5" w14:textId="77777777" w:rsidR="002C1641" w:rsidRPr="00DE2580" w:rsidRDefault="002C1641" w:rsidP="00040C3A">
      <w:pPr>
        <w:tabs>
          <w:tab w:val="center" w:pos="5400"/>
        </w:tabs>
        <w:suppressAutoHyphens/>
        <w:jc w:val="center"/>
        <w:rPr>
          <w:rFonts w:asciiTheme="majorHAnsi" w:hAnsiTheme="majorHAnsi"/>
          <w:sz w:val="18"/>
          <w:szCs w:val="22"/>
          <w:lang w:val="es-ES_tradnl"/>
        </w:rPr>
      </w:pPr>
    </w:p>
    <w:p w14:paraId="5932A314" w14:textId="77777777" w:rsidR="002C1641" w:rsidRPr="00DE2580" w:rsidRDefault="002C1641" w:rsidP="00040C3A">
      <w:pPr>
        <w:tabs>
          <w:tab w:val="center" w:pos="5400"/>
        </w:tabs>
        <w:suppressAutoHyphens/>
        <w:jc w:val="center"/>
        <w:rPr>
          <w:rFonts w:asciiTheme="majorHAnsi" w:hAnsiTheme="majorHAnsi"/>
          <w:sz w:val="18"/>
          <w:szCs w:val="22"/>
          <w:lang w:val="es-ES_tradnl"/>
        </w:rPr>
      </w:pPr>
    </w:p>
    <w:p w14:paraId="06A71325" w14:textId="77777777" w:rsidR="002C1641" w:rsidRPr="00DE2580" w:rsidRDefault="002C1641" w:rsidP="00040C3A">
      <w:pPr>
        <w:tabs>
          <w:tab w:val="center" w:pos="5400"/>
        </w:tabs>
        <w:suppressAutoHyphens/>
        <w:jc w:val="center"/>
        <w:rPr>
          <w:rFonts w:asciiTheme="majorHAnsi" w:hAnsiTheme="majorHAnsi"/>
          <w:sz w:val="18"/>
          <w:szCs w:val="22"/>
          <w:lang w:val="es-ES_tradnl"/>
        </w:rPr>
      </w:pPr>
    </w:p>
    <w:p w14:paraId="52961834" w14:textId="77777777" w:rsidR="002C1641" w:rsidRPr="00DE2580" w:rsidRDefault="002C1641" w:rsidP="00040C3A">
      <w:pPr>
        <w:tabs>
          <w:tab w:val="center" w:pos="5400"/>
        </w:tabs>
        <w:suppressAutoHyphens/>
        <w:jc w:val="center"/>
        <w:rPr>
          <w:rFonts w:asciiTheme="majorHAnsi" w:hAnsiTheme="majorHAnsi"/>
          <w:sz w:val="18"/>
          <w:szCs w:val="22"/>
          <w:lang w:val="es-ES_tradnl"/>
        </w:rPr>
      </w:pPr>
    </w:p>
    <w:p w14:paraId="632B71B5" w14:textId="77777777" w:rsidR="002C1641" w:rsidRPr="00DE2580" w:rsidRDefault="00EF4F97" w:rsidP="00040C3A">
      <w:pPr>
        <w:tabs>
          <w:tab w:val="center" w:pos="5400"/>
        </w:tabs>
        <w:suppressAutoHyphens/>
        <w:jc w:val="center"/>
        <w:rPr>
          <w:rFonts w:asciiTheme="majorHAnsi" w:hAnsiTheme="majorHAnsi"/>
          <w:sz w:val="18"/>
          <w:szCs w:val="22"/>
          <w:lang w:val="es-ES_tradnl"/>
        </w:rPr>
      </w:pPr>
      <w:r w:rsidRPr="00DE2580">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8AEC906" wp14:editId="6462F4F9">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43EEE5" w14:textId="20A0091C" w:rsidR="009703EC" w:rsidRDefault="009703EC" w:rsidP="004165C2">
                            <w:pPr>
                              <w:tabs>
                                <w:tab w:val="center" w:pos="5400"/>
                              </w:tabs>
                              <w:suppressAutoHyphens/>
                              <w:spacing w:before="60"/>
                              <w:rPr>
                                <w:rFonts w:asciiTheme="majorHAnsi" w:hAnsiTheme="majorHAnsi" w:cs="Univers"/>
                                <w:color w:val="0D0D0D" w:themeColor="text1" w:themeTint="F2"/>
                                <w:sz w:val="18"/>
                                <w:szCs w:val="20"/>
                              </w:rPr>
                            </w:pPr>
                          </w:p>
                          <w:p w14:paraId="3C309318" w14:textId="62335AF6" w:rsidR="009703EC" w:rsidRDefault="009703EC" w:rsidP="008648E9">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 xml:space="preserve">Approved </w:t>
                            </w:r>
                            <w:r>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on </w:t>
                            </w:r>
                            <w:r w:rsidR="00625290">
                              <w:rPr>
                                <w:rFonts w:asciiTheme="majorHAnsi" w:hAnsiTheme="majorHAnsi"/>
                                <w:color w:val="0D0D0D" w:themeColor="text1" w:themeTint="F2"/>
                                <w:sz w:val="18"/>
                                <w:szCs w:val="20"/>
                              </w:rPr>
                              <w:t>May 12</w:t>
                            </w:r>
                            <w:r>
                              <w:rPr>
                                <w:rFonts w:asciiTheme="majorHAnsi" w:hAnsiTheme="majorHAnsi"/>
                                <w:color w:val="0D0D0D" w:themeColor="text1" w:themeTint="F2"/>
                                <w:sz w:val="18"/>
                                <w:szCs w:val="20"/>
                              </w:rPr>
                              <w:t>, 202</w:t>
                            </w:r>
                            <w:r w:rsidR="003D13BB">
                              <w:rPr>
                                <w:rFonts w:asciiTheme="majorHAnsi" w:hAnsiTheme="majorHAnsi"/>
                                <w:color w:val="0D0D0D" w:themeColor="text1" w:themeTint="F2"/>
                                <w:sz w:val="18"/>
                                <w:szCs w:val="20"/>
                              </w:rPr>
                              <w:t>3.</w:t>
                            </w:r>
                          </w:p>
                          <w:p w14:paraId="2E87D9A2" w14:textId="77777777" w:rsidR="009703EC" w:rsidRDefault="009703EC" w:rsidP="008648E9">
                            <w:pPr>
                              <w:tabs>
                                <w:tab w:val="center" w:pos="5400"/>
                              </w:tabs>
                              <w:suppressAutoHyphens/>
                              <w:spacing w:before="60"/>
                              <w:rPr>
                                <w:rFonts w:asciiTheme="majorHAnsi" w:hAnsiTheme="majorHAnsi" w:cs="Univers"/>
                                <w:color w:val="0D0D0D" w:themeColor="text1" w:themeTint="F2"/>
                                <w:sz w:val="18"/>
                                <w:szCs w:val="20"/>
                              </w:rPr>
                            </w:pPr>
                          </w:p>
                          <w:p w14:paraId="2CB4F47E" w14:textId="77777777" w:rsidR="009703EC" w:rsidRPr="003C32BC" w:rsidRDefault="009703EC" w:rsidP="008648E9">
                            <w:pPr>
                              <w:tabs>
                                <w:tab w:val="center" w:pos="5400"/>
                              </w:tabs>
                              <w:suppressAutoHyphens/>
                              <w:spacing w:before="60"/>
                              <w:rPr>
                                <w:rFonts w:asciiTheme="majorHAnsi" w:hAnsiTheme="majorHAnsi"/>
                                <w:color w:val="0D0D0D" w:themeColor="text1" w:themeTint="F2"/>
                                <w:sz w:val="18"/>
                                <w:szCs w:val="22"/>
                              </w:rPr>
                            </w:pPr>
                          </w:p>
                          <w:p w14:paraId="35145B0B" w14:textId="77777777" w:rsidR="009703EC" w:rsidRPr="003C32BC" w:rsidRDefault="009703EC"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EC906"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" filled="f" stroked="f" strokeweight=".5pt">
                <v:textbox>
                  <w:txbxContent>
                    <w:p w14:paraId="0F43EEE5" w14:textId="20A0091C" w:rsidR="009703EC" w:rsidRDefault="009703EC" w:rsidP="004165C2">
                      <w:pPr>
                        <w:tabs>
                          <w:tab w:val="center" w:pos="5400"/>
                        </w:tabs>
                        <w:suppressAutoHyphens/>
                        <w:spacing w:before="60"/>
                        <w:rPr>
                          <w:rFonts w:asciiTheme="majorHAnsi" w:hAnsiTheme="majorHAnsi" w:cs="Univers"/>
                          <w:color w:val="0D0D0D" w:themeColor="text1" w:themeTint="F2"/>
                          <w:sz w:val="18"/>
                          <w:szCs w:val="20"/>
                        </w:rPr>
                      </w:pPr>
                    </w:p>
                    <w:p w14:paraId="3C309318" w14:textId="62335AF6" w:rsidR="009703EC" w:rsidRDefault="009703EC" w:rsidP="008648E9">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 xml:space="preserve">Approved </w:t>
                      </w:r>
                      <w:r>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on </w:t>
                      </w:r>
                      <w:r w:rsidR="00625290">
                        <w:rPr>
                          <w:rFonts w:asciiTheme="majorHAnsi" w:hAnsiTheme="majorHAnsi"/>
                          <w:color w:val="0D0D0D" w:themeColor="text1" w:themeTint="F2"/>
                          <w:sz w:val="18"/>
                          <w:szCs w:val="20"/>
                        </w:rPr>
                        <w:t>May 12</w:t>
                      </w:r>
                      <w:r>
                        <w:rPr>
                          <w:rFonts w:asciiTheme="majorHAnsi" w:hAnsiTheme="majorHAnsi"/>
                          <w:color w:val="0D0D0D" w:themeColor="text1" w:themeTint="F2"/>
                          <w:sz w:val="18"/>
                          <w:szCs w:val="20"/>
                        </w:rPr>
                        <w:t>, 202</w:t>
                      </w:r>
                      <w:r w:rsidR="003D13BB">
                        <w:rPr>
                          <w:rFonts w:asciiTheme="majorHAnsi" w:hAnsiTheme="majorHAnsi"/>
                          <w:color w:val="0D0D0D" w:themeColor="text1" w:themeTint="F2"/>
                          <w:sz w:val="18"/>
                          <w:szCs w:val="20"/>
                        </w:rPr>
                        <w:t>3.</w:t>
                      </w:r>
                    </w:p>
                    <w:p w14:paraId="2E87D9A2" w14:textId="77777777" w:rsidR="009703EC" w:rsidRDefault="009703EC" w:rsidP="008648E9">
                      <w:pPr>
                        <w:tabs>
                          <w:tab w:val="center" w:pos="5400"/>
                        </w:tabs>
                        <w:suppressAutoHyphens/>
                        <w:spacing w:before="60"/>
                        <w:rPr>
                          <w:rFonts w:asciiTheme="majorHAnsi" w:hAnsiTheme="majorHAnsi" w:cs="Univers"/>
                          <w:color w:val="0D0D0D" w:themeColor="text1" w:themeTint="F2"/>
                          <w:sz w:val="18"/>
                          <w:szCs w:val="20"/>
                        </w:rPr>
                      </w:pPr>
                    </w:p>
                    <w:p w14:paraId="2CB4F47E" w14:textId="77777777" w:rsidR="009703EC" w:rsidRPr="003C32BC" w:rsidRDefault="009703EC" w:rsidP="008648E9">
                      <w:pPr>
                        <w:tabs>
                          <w:tab w:val="center" w:pos="5400"/>
                        </w:tabs>
                        <w:suppressAutoHyphens/>
                        <w:spacing w:before="60"/>
                        <w:rPr>
                          <w:rFonts w:asciiTheme="majorHAnsi" w:hAnsiTheme="majorHAnsi"/>
                          <w:color w:val="0D0D0D" w:themeColor="text1" w:themeTint="F2"/>
                          <w:sz w:val="18"/>
                          <w:szCs w:val="22"/>
                        </w:rPr>
                      </w:pPr>
                    </w:p>
                    <w:p w14:paraId="35145B0B" w14:textId="77777777" w:rsidR="009703EC" w:rsidRPr="003C32BC" w:rsidRDefault="009703EC"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14B61F66" w14:textId="77777777" w:rsidR="002C1641" w:rsidRPr="00DE2580" w:rsidRDefault="002C1641" w:rsidP="00040C3A">
      <w:pPr>
        <w:tabs>
          <w:tab w:val="center" w:pos="5400"/>
        </w:tabs>
        <w:suppressAutoHyphens/>
        <w:jc w:val="center"/>
        <w:rPr>
          <w:rFonts w:asciiTheme="majorHAnsi" w:hAnsiTheme="majorHAnsi"/>
          <w:sz w:val="18"/>
          <w:szCs w:val="22"/>
          <w:lang w:val="es-ES_tradnl"/>
        </w:rPr>
      </w:pPr>
    </w:p>
    <w:p w14:paraId="29DF3C16" w14:textId="77777777" w:rsidR="002C1641" w:rsidRPr="00DE2580" w:rsidRDefault="002C1641" w:rsidP="00040C3A">
      <w:pPr>
        <w:tabs>
          <w:tab w:val="center" w:pos="5400"/>
        </w:tabs>
        <w:suppressAutoHyphens/>
        <w:jc w:val="center"/>
        <w:rPr>
          <w:rFonts w:asciiTheme="majorHAnsi" w:hAnsiTheme="majorHAnsi"/>
          <w:sz w:val="18"/>
          <w:szCs w:val="22"/>
          <w:lang w:val="es-ES_tradnl"/>
        </w:rPr>
      </w:pPr>
    </w:p>
    <w:p w14:paraId="7410DC06" w14:textId="77777777" w:rsidR="002C1641" w:rsidRPr="00DE2580" w:rsidRDefault="002C1641" w:rsidP="00040C3A">
      <w:pPr>
        <w:tabs>
          <w:tab w:val="center" w:pos="5400"/>
        </w:tabs>
        <w:suppressAutoHyphens/>
        <w:jc w:val="center"/>
        <w:rPr>
          <w:rFonts w:asciiTheme="majorHAnsi" w:hAnsiTheme="majorHAnsi"/>
          <w:sz w:val="18"/>
          <w:szCs w:val="22"/>
          <w:lang w:val="es-ES_tradnl"/>
        </w:rPr>
      </w:pPr>
    </w:p>
    <w:p w14:paraId="45D5CFAF" w14:textId="77777777" w:rsidR="002C1641" w:rsidRPr="00DE2580" w:rsidRDefault="002C1641" w:rsidP="00040C3A">
      <w:pPr>
        <w:tabs>
          <w:tab w:val="center" w:pos="5400"/>
        </w:tabs>
        <w:suppressAutoHyphens/>
        <w:jc w:val="center"/>
        <w:rPr>
          <w:rFonts w:asciiTheme="majorHAnsi" w:hAnsiTheme="majorHAnsi"/>
          <w:sz w:val="18"/>
          <w:szCs w:val="22"/>
          <w:lang w:val="es-ES_tradnl"/>
        </w:rPr>
      </w:pPr>
    </w:p>
    <w:p w14:paraId="368D5001" w14:textId="77777777" w:rsidR="002C1641" w:rsidRPr="00DE2580" w:rsidRDefault="00EF4F97" w:rsidP="00040C3A">
      <w:pPr>
        <w:tabs>
          <w:tab w:val="center" w:pos="5400"/>
        </w:tabs>
        <w:suppressAutoHyphens/>
        <w:jc w:val="center"/>
        <w:rPr>
          <w:rFonts w:asciiTheme="majorHAnsi" w:hAnsiTheme="majorHAnsi"/>
          <w:sz w:val="18"/>
          <w:szCs w:val="22"/>
          <w:lang w:val="es-ES_tradnl"/>
        </w:rPr>
      </w:pPr>
      <w:r w:rsidRPr="00DE2580">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435CCFCB" wp14:editId="5A9C88B2">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C64CD0" w14:textId="2D134DAB" w:rsidR="009703EC" w:rsidRPr="003C32BC" w:rsidRDefault="009703EC" w:rsidP="00F45EBF">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625290">
                              <w:rPr>
                                <w:rFonts w:asciiTheme="majorHAnsi" w:hAnsiTheme="majorHAnsi"/>
                                <w:color w:val="595959" w:themeColor="text1" w:themeTint="A6"/>
                                <w:sz w:val="18"/>
                              </w:rPr>
                              <w:t>264</w:t>
                            </w:r>
                            <w:r w:rsidRPr="00083E3C">
                              <w:rPr>
                                <w:rFonts w:asciiTheme="majorHAnsi" w:hAnsiTheme="majorHAnsi"/>
                                <w:color w:val="595959" w:themeColor="text1" w:themeTint="A6"/>
                                <w:sz w:val="18"/>
                              </w:rPr>
                              <w:t>/</w:t>
                            </w:r>
                            <w:r>
                              <w:rPr>
                                <w:rFonts w:asciiTheme="majorHAnsi" w:hAnsiTheme="majorHAnsi"/>
                                <w:color w:val="595959" w:themeColor="text1" w:themeTint="A6"/>
                                <w:sz w:val="18"/>
                              </w:rPr>
                              <w:t>2</w:t>
                            </w:r>
                            <w:r w:rsidR="00203798">
                              <w:rPr>
                                <w:rFonts w:asciiTheme="majorHAnsi" w:hAnsiTheme="majorHAnsi"/>
                                <w:color w:val="595959" w:themeColor="text1" w:themeTint="A6"/>
                                <w:sz w:val="18"/>
                              </w:rPr>
                              <w:t>3</w:t>
                            </w:r>
                            <w:r w:rsidRPr="00083E3C">
                              <w:rPr>
                                <w:rFonts w:asciiTheme="majorHAnsi" w:hAnsiTheme="majorHAnsi"/>
                                <w:color w:val="595959" w:themeColor="text1" w:themeTint="A6"/>
                                <w:sz w:val="18"/>
                              </w:rPr>
                              <w:t xml:space="preserve">. </w:t>
                            </w:r>
                            <w:r>
                              <w:rPr>
                                <w:rFonts w:asciiTheme="majorHAnsi" w:hAnsiTheme="majorHAnsi"/>
                                <w:color w:val="595959" w:themeColor="text1" w:themeTint="A6"/>
                                <w:sz w:val="18"/>
                              </w:rPr>
                              <w:t>Case 12.446</w:t>
                            </w:r>
                            <w:r w:rsidRPr="00E11D68">
                              <w:rPr>
                                <w:rFonts w:asciiTheme="majorHAnsi" w:hAnsiTheme="majorHAnsi"/>
                                <w:color w:val="595959" w:themeColor="text1" w:themeTint="A6"/>
                                <w:sz w:val="18"/>
                              </w:rPr>
                              <w:t>. Merits</w:t>
                            </w:r>
                            <w:r>
                              <w:rPr>
                                <w:rFonts w:asciiTheme="majorHAnsi" w:hAnsiTheme="majorHAnsi"/>
                                <w:color w:val="595959" w:themeColor="text1" w:themeTint="A6"/>
                                <w:sz w:val="18"/>
                              </w:rPr>
                              <w:t xml:space="preserve"> </w:t>
                            </w:r>
                            <w:r w:rsidRPr="00625290">
                              <w:rPr>
                                <w:rFonts w:asciiTheme="majorHAnsi" w:hAnsiTheme="majorHAnsi"/>
                                <w:color w:val="595959" w:themeColor="text1" w:themeTint="A6"/>
                                <w:sz w:val="18"/>
                              </w:rPr>
                              <w:t>(</w:t>
                            </w:r>
                            <w:r w:rsidR="00CB7ECA" w:rsidRPr="00625290">
                              <w:rPr>
                                <w:rFonts w:asciiTheme="majorHAnsi" w:hAnsiTheme="majorHAnsi"/>
                                <w:color w:val="595959" w:themeColor="text1" w:themeTint="A6"/>
                                <w:sz w:val="18"/>
                              </w:rPr>
                              <w:t>Publication</w:t>
                            </w:r>
                            <w:r w:rsidRPr="00625290">
                              <w:rPr>
                                <w:rFonts w:asciiTheme="majorHAnsi" w:hAnsiTheme="majorHAnsi"/>
                                <w:color w:val="595959" w:themeColor="text1" w:themeTint="A6"/>
                                <w:sz w:val="18"/>
                              </w:rPr>
                              <w:t>)</w:t>
                            </w:r>
                            <w:r w:rsidRPr="00E11D68">
                              <w:rPr>
                                <w:rFonts w:asciiTheme="majorHAnsi" w:hAnsiTheme="majorHAnsi"/>
                                <w:color w:val="595959" w:themeColor="text1" w:themeTint="A6"/>
                                <w:sz w:val="18"/>
                              </w:rPr>
                              <w:t xml:space="preserve">. </w:t>
                            </w:r>
                            <w:r>
                              <w:rPr>
                                <w:rFonts w:asciiTheme="majorHAnsi" w:hAnsiTheme="majorHAnsi"/>
                                <w:color w:val="595959" w:themeColor="text1" w:themeTint="A6"/>
                                <w:sz w:val="18"/>
                              </w:rPr>
                              <w:t>Tracy Lee Housel</w:t>
                            </w:r>
                            <w:r w:rsidRPr="00E11D68">
                              <w:rPr>
                                <w:rFonts w:asciiTheme="majorHAnsi" w:hAnsiTheme="majorHAnsi"/>
                                <w:color w:val="595959" w:themeColor="text1" w:themeTint="A6"/>
                                <w:sz w:val="18"/>
                              </w:rPr>
                              <w:t xml:space="preserve">. </w:t>
                            </w:r>
                            <w:r>
                              <w:rPr>
                                <w:rFonts w:asciiTheme="majorHAnsi" w:hAnsiTheme="majorHAnsi"/>
                                <w:color w:val="595959" w:themeColor="text1" w:themeTint="A6"/>
                                <w:sz w:val="18"/>
                              </w:rPr>
                              <w:t>United States of America.</w:t>
                            </w:r>
                            <w:r w:rsidRPr="007607C4">
                              <w:rPr>
                                <w:rFonts w:asciiTheme="majorHAnsi" w:hAnsiTheme="majorHAnsi"/>
                                <w:color w:val="595959" w:themeColor="text1" w:themeTint="A6"/>
                                <w:sz w:val="18"/>
                              </w:rPr>
                              <w:t xml:space="preserve"> </w:t>
                            </w:r>
                            <w:r w:rsidR="00625290">
                              <w:rPr>
                                <w:rFonts w:asciiTheme="majorHAnsi" w:hAnsiTheme="majorHAnsi"/>
                                <w:color w:val="595959" w:themeColor="text1" w:themeTint="A6"/>
                                <w:sz w:val="18"/>
                              </w:rPr>
                              <w:t>May 12</w:t>
                            </w:r>
                            <w:r>
                              <w:rPr>
                                <w:rFonts w:asciiTheme="majorHAnsi" w:hAnsiTheme="majorHAnsi"/>
                                <w:color w:val="595959" w:themeColor="text1" w:themeTint="A6"/>
                                <w:sz w:val="18"/>
                              </w:rPr>
                              <w:t>, 202</w:t>
                            </w:r>
                            <w:r w:rsidR="00203798">
                              <w:rPr>
                                <w:rFonts w:asciiTheme="majorHAnsi" w:hAnsiTheme="majorHAnsi"/>
                                <w:color w:val="595959" w:themeColor="text1" w:themeTint="A6"/>
                                <w:sz w:val="18"/>
                              </w:rPr>
                              <w:t>3</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CCFCB"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" filled="f" stroked="f" strokeweight=".5pt">
                <v:textbox>
                  <w:txbxContent>
                    <w:p w14:paraId="2DC64CD0" w14:textId="2D134DAB" w:rsidR="009703EC" w:rsidRPr="003C32BC" w:rsidRDefault="009703EC" w:rsidP="00F45EBF">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625290">
                        <w:rPr>
                          <w:rFonts w:asciiTheme="majorHAnsi" w:hAnsiTheme="majorHAnsi"/>
                          <w:color w:val="595959" w:themeColor="text1" w:themeTint="A6"/>
                          <w:sz w:val="18"/>
                        </w:rPr>
                        <w:t>264</w:t>
                      </w:r>
                      <w:r w:rsidRPr="00083E3C">
                        <w:rPr>
                          <w:rFonts w:asciiTheme="majorHAnsi" w:hAnsiTheme="majorHAnsi"/>
                          <w:color w:val="595959" w:themeColor="text1" w:themeTint="A6"/>
                          <w:sz w:val="18"/>
                        </w:rPr>
                        <w:t>/</w:t>
                      </w:r>
                      <w:r>
                        <w:rPr>
                          <w:rFonts w:asciiTheme="majorHAnsi" w:hAnsiTheme="majorHAnsi"/>
                          <w:color w:val="595959" w:themeColor="text1" w:themeTint="A6"/>
                          <w:sz w:val="18"/>
                        </w:rPr>
                        <w:t>2</w:t>
                      </w:r>
                      <w:r w:rsidR="00203798">
                        <w:rPr>
                          <w:rFonts w:asciiTheme="majorHAnsi" w:hAnsiTheme="majorHAnsi"/>
                          <w:color w:val="595959" w:themeColor="text1" w:themeTint="A6"/>
                          <w:sz w:val="18"/>
                        </w:rPr>
                        <w:t>3</w:t>
                      </w:r>
                      <w:r w:rsidRPr="00083E3C">
                        <w:rPr>
                          <w:rFonts w:asciiTheme="majorHAnsi" w:hAnsiTheme="majorHAnsi"/>
                          <w:color w:val="595959" w:themeColor="text1" w:themeTint="A6"/>
                          <w:sz w:val="18"/>
                        </w:rPr>
                        <w:t xml:space="preserve">. </w:t>
                      </w:r>
                      <w:r>
                        <w:rPr>
                          <w:rFonts w:asciiTheme="majorHAnsi" w:hAnsiTheme="majorHAnsi"/>
                          <w:color w:val="595959" w:themeColor="text1" w:themeTint="A6"/>
                          <w:sz w:val="18"/>
                        </w:rPr>
                        <w:t>Case 12.446</w:t>
                      </w:r>
                      <w:r w:rsidRPr="00E11D68">
                        <w:rPr>
                          <w:rFonts w:asciiTheme="majorHAnsi" w:hAnsiTheme="majorHAnsi"/>
                          <w:color w:val="595959" w:themeColor="text1" w:themeTint="A6"/>
                          <w:sz w:val="18"/>
                        </w:rPr>
                        <w:t>. Merits</w:t>
                      </w:r>
                      <w:r>
                        <w:rPr>
                          <w:rFonts w:asciiTheme="majorHAnsi" w:hAnsiTheme="majorHAnsi"/>
                          <w:color w:val="595959" w:themeColor="text1" w:themeTint="A6"/>
                          <w:sz w:val="18"/>
                        </w:rPr>
                        <w:t xml:space="preserve"> </w:t>
                      </w:r>
                      <w:r w:rsidRPr="00625290">
                        <w:rPr>
                          <w:rFonts w:asciiTheme="majorHAnsi" w:hAnsiTheme="majorHAnsi"/>
                          <w:color w:val="595959" w:themeColor="text1" w:themeTint="A6"/>
                          <w:sz w:val="18"/>
                        </w:rPr>
                        <w:t>(</w:t>
                      </w:r>
                      <w:r w:rsidR="00CB7ECA" w:rsidRPr="00625290">
                        <w:rPr>
                          <w:rFonts w:asciiTheme="majorHAnsi" w:hAnsiTheme="majorHAnsi"/>
                          <w:color w:val="595959" w:themeColor="text1" w:themeTint="A6"/>
                          <w:sz w:val="18"/>
                        </w:rPr>
                        <w:t>Publication</w:t>
                      </w:r>
                      <w:r w:rsidRPr="00625290">
                        <w:rPr>
                          <w:rFonts w:asciiTheme="majorHAnsi" w:hAnsiTheme="majorHAnsi"/>
                          <w:color w:val="595959" w:themeColor="text1" w:themeTint="A6"/>
                          <w:sz w:val="18"/>
                        </w:rPr>
                        <w:t>)</w:t>
                      </w:r>
                      <w:r w:rsidRPr="00E11D68">
                        <w:rPr>
                          <w:rFonts w:asciiTheme="majorHAnsi" w:hAnsiTheme="majorHAnsi"/>
                          <w:color w:val="595959" w:themeColor="text1" w:themeTint="A6"/>
                          <w:sz w:val="18"/>
                        </w:rPr>
                        <w:t xml:space="preserve">. </w:t>
                      </w:r>
                      <w:r>
                        <w:rPr>
                          <w:rFonts w:asciiTheme="majorHAnsi" w:hAnsiTheme="majorHAnsi"/>
                          <w:color w:val="595959" w:themeColor="text1" w:themeTint="A6"/>
                          <w:sz w:val="18"/>
                        </w:rPr>
                        <w:t>Tracy Lee Housel</w:t>
                      </w:r>
                      <w:r w:rsidRPr="00E11D68">
                        <w:rPr>
                          <w:rFonts w:asciiTheme="majorHAnsi" w:hAnsiTheme="majorHAnsi"/>
                          <w:color w:val="595959" w:themeColor="text1" w:themeTint="A6"/>
                          <w:sz w:val="18"/>
                        </w:rPr>
                        <w:t xml:space="preserve">. </w:t>
                      </w:r>
                      <w:r>
                        <w:rPr>
                          <w:rFonts w:asciiTheme="majorHAnsi" w:hAnsiTheme="majorHAnsi"/>
                          <w:color w:val="595959" w:themeColor="text1" w:themeTint="A6"/>
                          <w:sz w:val="18"/>
                        </w:rPr>
                        <w:t>United States of America.</w:t>
                      </w:r>
                      <w:r w:rsidRPr="007607C4">
                        <w:rPr>
                          <w:rFonts w:asciiTheme="majorHAnsi" w:hAnsiTheme="majorHAnsi"/>
                          <w:color w:val="595959" w:themeColor="text1" w:themeTint="A6"/>
                          <w:sz w:val="18"/>
                        </w:rPr>
                        <w:t xml:space="preserve"> </w:t>
                      </w:r>
                      <w:r w:rsidR="00625290">
                        <w:rPr>
                          <w:rFonts w:asciiTheme="majorHAnsi" w:hAnsiTheme="majorHAnsi"/>
                          <w:color w:val="595959" w:themeColor="text1" w:themeTint="A6"/>
                          <w:sz w:val="18"/>
                        </w:rPr>
                        <w:t>May 12</w:t>
                      </w:r>
                      <w:r>
                        <w:rPr>
                          <w:rFonts w:asciiTheme="majorHAnsi" w:hAnsiTheme="majorHAnsi"/>
                          <w:color w:val="595959" w:themeColor="text1" w:themeTint="A6"/>
                          <w:sz w:val="18"/>
                        </w:rPr>
                        <w:t>, 202</w:t>
                      </w:r>
                      <w:r w:rsidR="00203798">
                        <w:rPr>
                          <w:rFonts w:asciiTheme="majorHAnsi" w:hAnsiTheme="majorHAnsi"/>
                          <w:color w:val="595959" w:themeColor="text1" w:themeTint="A6"/>
                          <w:sz w:val="18"/>
                        </w:rPr>
                        <w:t>3</w:t>
                      </w:r>
                      <w:r w:rsidRPr="007607C4">
                        <w:rPr>
                          <w:rFonts w:asciiTheme="majorHAnsi" w:hAnsiTheme="majorHAnsi"/>
                          <w:color w:val="595959" w:themeColor="text1" w:themeTint="A6"/>
                          <w:sz w:val="18"/>
                        </w:rPr>
                        <w:t>.</w:t>
                      </w:r>
                    </w:p>
                  </w:txbxContent>
                </v:textbox>
              </v:shape>
            </w:pict>
          </mc:Fallback>
        </mc:AlternateContent>
      </w:r>
    </w:p>
    <w:p w14:paraId="664311A0" w14:textId="77777777" w:rsidR="002C1641" w:rsidRPr="00DE2580" w:rsidRDefault="002C1641" w:rsidP="00040C3A">
      <w:pPr>
        <w:tabs>
          <w:tab w:val="center" w:pos="5400"/>
        </w:tabs>
        <w:suppressAutoHyphens/>
        <w:jc w:val="center"/>
        <w:rPr>
          <w:rFonts w:asciiTheme="majorHAnsi" w:hAnsiTheme="majorHAnsi"/>
          <w:sz w:val="18"/>
          <w:szCs w:val="22"/>
          <w:lang w:val="es-ES_tradnl"/>
        </w:rPr>
      </w:pPr>
    </w:p>
    <w:p w14:paraId="36080A1B" w14:textId="77777777" w:rsidR="002C1641" w:rsidRPr="00DE2580" w:rsidRDefault="002C1641" w:rsidP="00040C3A">
      <w:pPr>
        <w:tabs>
          <w:tab w:val="center" w:pos="5400"/>
        </w:tabs>
        <w:suppressAutoHyphens/>
        <w:jc w:val="center"/>
        <w:rPr>
          <w:rFonts w:asciiTheme="majorHAnsi" w:hAnsiTheme="majorHAnsi"/>
          <w:sz w:val="18"/>
          <w:szCs w:val="22"/>
          <w:lang w:val="es-ES_tradnl"/>
        </w:rPr>
      </w:pPr>
    </w:p>
    <w:p w14:paraId="6D78859F" w14:textId="77777777" w:rsidR="003C32BC" w:rsidRPr="00DE2580" w:rsidRDefault="003C32BC" w:rsidP="003C32BC">
      <w:pPr>
        <w:tabs>
          <w:tab w:val="center" w:pos="5400"/>
        </w:tabs>
        <w:suppressAutoHyphens/>
        <w:jc w:val="center"/>
        <w:rPr>
          <w:rFonts w:asciiTheme="majorHAnsi" w:hAnsiTheme="majorHAnsi"/>
          <w:sz w:val="18"/>
          <w:szCs w:val="22"/>
        </w:rPr>
      </w:pPr>
    </w:p>
    <w:p w14:paraId="43AB2078" w14:textId="77777777" w:rsidR="003C32BC" w:rsidRPr="00DE2580" w:rsidRDefault="00EF4F97" w:rsidP="003C32BC">
      <w:pPr>
        <w:tabs>
          <w:tab w:val="center" w:pos="5400"/>
        </w:tabs>
        <w:suppressAutoHyphens/>
        <w:jc w:val="center"/>
        <w:rPr>
          <w:rFonts w:asciiTheme="majorHAnsi" w:hAnsiTheme="majorHAnsi"/>
          <w:sz w:val="18"/>
          <w:szCs w:val="22"/>
        </w:rPr>
      </w:pPr>
      <w:r w:rsidRPr="00DE258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234E85C" wp14:editId="02C2E725">
                <wp:simplePos x="0" y="0"/>
                <wp:positionH relativeFrom="column">
                  <wp:posOffset>-299085</wp:posOffset>
                </wp:positionH>
                <wp:positionV relativeFrom="paragraph">
                  <wp:posOffset>859155</wp:posOffset>
                </wp:positionV>
                <wp:extent cx="1181100" cy="3327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3B375E" w14:textId="77777777" w:rsidR="009703EC" w:rsidRPr="004B7EB6" w:rsidRDefault="009703EC"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4E85C"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" filled="f" stroked="f" strokeweight=".5pt">
                <v:textbox>
                  <w:txbxContent>
                    <w:p w14:paraId="0E3B375E" w14:textId="77777777" w:rsidR="009703EC" w:rsidRPr="004B7EB6" w:rsidRDefault="009703EC"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DE2580">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A2A2221" wp14:editId="0D6BFB80">
                <wp:simplePos x="0" y="0"/>
                <wp:positionH relativeFrom="column">
                  <wp:posOffset>1208405</wp:posOffset>
                </wp:positionH>
                <wp:positionV relativeFrom="paragraph">
                  <wp:posOffset>722630</wp:posOffset>
                </wp:positionV>
                <wp:extent cx="2085975" cy="4857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1F2527" w14:textId="77777777" w:rsidR="009703EC" w:rsidRDefault="009703EC">
                            <w:r>
                              <w:rPr>
                                <w:noProof/>
                              </w:rPr>
                              <w:drawing>
                                <wp:inline distT="0" distB="0" distL="0" distR="0" wp14:anchorId="50ECBBA2" wp14:editId="24E71E74">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A2221"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" fillcolor="white [3201]" stroked="f" strokeweight=".5pt">
                <v:textbox>
                  <w:txbxContent>
                    <w:p w14:paraId="5D1F2527" w14:textId="77777777" w:rsidR="009703EC" w:rsidRDefault="009703EC">
                      <w:r>
                        <w:rPr>
                          <w:noProof/>
                        </w:rPr>
                        <w:drawing>
                          <wp:inline distT="0" distB="0" distL="0" distR="0" wp14:anchorId="50ECBBA2" wp14:editId="24E71E74">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1709713D" w14:textId="77777777" w:rsidR="007607C4" w:rsidRPr="00DE2580" w:rsidRDefault="007607C4" w:rsidP="003C32BC">
      <w:pPr>
        <w:tabs>
          <w:tab w:val="center" w:pos="5400"/>
        </w:tabs>
        <w:suppressAutoHyphens/>
        <w:jc w:val="center"/>
        <w:rPr>
          <w:rFonts w:asciiTheme="majorHAnsi" w:hAnsiTheme="majorHAnsi"/>
          <w:sz w:val="18"/>
          <w:szCs w:val="22"/>
        </w:rPr>
        <w:sectPr w:rsidR="007607C4" w:rsidRPr="00DE2580">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4B1BCE95" w14:textId="104A3BD9" w:rsidR="00625290" w:rsidRPr="00790F77" w:rsidRDefault="00625290" w:rsidP="00625290">
      <w:pPr>
        <w:tabs>
          <w:tab w:val="center" w:pos="5400"/>
        </w:tabs>
        <w:suppressAutoHyphens/>
        <w:jc w:val="center"/>
        <w:rPr>
          <w:rFonts w:ascii="Cambria" w:hAnsi="Cambria"/>
          <w:b/>
          <w:sz w:val="20"/>
          <w:szCs w:val="20"/>
        </w:rPr>
      </w:pPr>
      <w:r w:rsidRPr="00790F77">
        <w:rPr>
          <w:rFonts w:ascii="Cambria" w:hAnsi="Cambria"/>
          <w:b/>
          <w:sz w:val="20"/>
          <w:szCs w:val="20"/>
        </w:rPr>
        <w:lastRenderedPageBreak/>
        <w:t>REPORT No. 264/23</w:t>
      </w:r>
    </w:p>
    <w:p w14:paraId="04D116B4" w14:textId="2E0D1EB5" w:rsidR="00625290" w:rsidRPr="00790F77" w:rsidRDefault="00625290" w:rsidP="00625290">
      <w:pPr>
        <w:tabs>
          <w:tab w:val="center" w:pos="5400"/>
        </w:tabs>
        <w:suppressAutoHyphens/>
        <w:jc w:val="center"/>
        <w:rPr>
          <w:rFonts w:ascii="Cambria" w:hAnsi="Cambria"/>
          <w:b/>
          <w:sz w:val="20"/>
          <w:szCs w:val="20"/>
        </w:rPr>
      </w:pPr>
      <w:r w:rsidRPr="00790F77">
        <w:rPr>
          <w:rFonts w:ascii="Cambria" w:hAnsi="Cambria"/>
          <w:b/>
          <w:sz w:val="20"/>
          <w:szCs w:val="20"/>
        </w:rPr>
        <w:t>CASE 12.446</w:t>
      </w:r>
    </w:p>
    <w:p w14:paraId="6460B26F" w14:textId="189583D5" w:rsidR="00625290" w:rsidRPr="00790F77" w:rsidRDefault="00625290" w:rsidP="00625290">
      <w:pPr>
        <w:tabs>
          <w:tab w:val="center" w:pos="5400"/>
        </w:tabs>
        <w:suppressAutoHyphens/>
        <w:jc w:val="center"/>
        <w:rPr>
          <w:rFonts w:ascii="Cambria" w:hAnsi="Cambria"/>
          <w:b/>
          <w:bCs/>
          <w:sz w:val="20"/>
          <w:szCs w:val="20"/>
        </w:rPr>
      </w:pPr>
      <w:r w:rsidRPr="00790F77">
        <w:rPr>
          <w:rFonts w:ascii="Cambria" w:hAnsi="Cambria"/>
          <w:b/>
          <w:bCs/>
          <w:sz w:val="20"/>
          <w:szCs w:val="20"/>
        </w:rPr>
        <w:t>MERITS REPORT (PUBLICATION)</w:t>
      </w:r>
    </w:p>
    <w:p w14:paraId="6CAA2B42" w14:textId="78C835AB" w:rsidR="00625290" w:rsidRPr="00790F77" w:rsidRDefault="00625290" w:rsidP="00625290">
      <w:pPr>
        <w:tabs>
          <w:tab w:val="center" w:pos="5400"/>
        </w:tabs>
        <w:suppressAutoHyphens/>
        <w:jc w:val="center"/>
        <w:rPr>
          <w:rFonts w:ascii="Cambria" w:hAnsi="Cambria"/>
          <w:b/>
          <w:bCs/>
          <w:sz w:val="20"/>
          <w:szCs w:val="20"/>
        </w:rPr>
      </w:pPr>
      <w:r w:rsidRPr="00790F77">
        <w:rPr>
          <w:rFonts w:ascii="Cambria" w:hAnsi="Cambria"/>
          <w:b/>
          <w:bCs/>
          <w:sz w:val="20"/>
          <w:szCs w:val="20"/>
        </w:rPr>
        <w:t>TRADY LEE HOUSEL</w:t>
      </w:r>
    </w:p>
    <w:p w14:paraId="574A6222" w14:textId="77777777" w:rsidR="00625290" w:rsidRPr="00790F77" w:rsidRDefault="00625290" w:rsidP="00625290">
      <w:pPr>
        <w:tabs>
          <w:tab w:val="center" w:pos="5400"/>
        </w:tabs>
        <w:suppressAutoHyphens/>
        <w:jc w:val="center"/>
        <w:rPr>
          <w:rFonts w:ascii="Cambria" w:hAnsi="Cambria"/>
          <w:b/>
          <w:bCs/>
          <w:sz w:val="20"/>
          <w:szCs w:val="20"/>
        </w:rPr>
      </w:pPr>
      <w:r w:rsidRPr="00790F77">
        <w:rPr>
          <w:rFonts w:ascii="Cambria" w:hAnsi="Cambria"/>
          <w:b/>
          <w:bCs/>
          <w:sz w:val="20"/>
          <w:szCs w:val="20"/>
        </w:rPr>
        <w:t>UNITED STATES</w:t>
      </w:r>
      <w:r>
        <w:rPr>
          <w:rStyle w:val="FootnoteReference"/>
          <w:rFonts w:ascii="Cambria" w:hAnsi="Cambria"/>
          <w:b/>
          <w:bCs/>
          <w:sz w:val="20"/>
          <w:szCs w:val="20"/>
          <w:lang w:val="es-ES_tradnl"/>
        </w:rPr>
        <w:footnoteReference w:id="2"/>
      </w:r>
    </w:p>
    <w:p w14:paraId="5BA3A690" w14:textId="77777777" w:rsidR="00625290" w:rsidRPr="00790F77" w:rsidRDefault="00625290" w:rsidP="00625290">
      <w:pPr>
        <w:tabs>
          <w:tab w:val="center" w:pos="5400"/>
        </w:tabs>
        <w:suppressAutoHyphens/>
        <w:jc w:val="center"/>
        <w:rPr>
          <w:rFonts w:ascii="Cambria" w:hAnsi="Cambria"/>
          <w:b/>
          <w:bCs/>
          <w:sz w:val="20"/>
          <w:szCs w:val="20"/>
        </w:rPr>
      </w:pPr>
      <w:r w:rsidRPr="00790F77">
        <w:rPr>
          <w:rFonts w:ascii="Cambria" w:hAnsi="Cambria"/>
          <w:b/>
          <w:bCs/>
          <w:sz w:val="20"/>
          <w:szCs w:val="20"/>
        </w:rPr>
        <w:t>MAY 12, 2023</w:t>
      </w:r>
    </w:p>
    <w:p w14:paraId="450EEFA1" w14:textId="77777777" w:rsidR="00517E72" w:rsidRPr="00790F77" w:rsidRDefault="00517E72" w:rsidP="00625290">
      <w:pPr>
        <w:tabs>
          <w:tab w:val="center" w:pos="5400"/>
        </w:tabs>
        <w:suppressAutoHyphens/>
        <w:jc w:val="center"/>
        <w:rPr>
          <w:rFonts w:ascii="Cambria" w:hAnsi="Cambria"/>
          <w:b/>
          <w:bCs/>
          <w:sz w:val="20"/>
          <w:szCs w:val="20"/>
        </w:rPr>
      </w:pPr>
    </w:p>
    <w:p w14:paraId="0BD3DDF8" w14:textId="77777777" w:rsidR="00517E72" w:rsidRPr="00DE2580" w:rsidRDefault="00517E72" w:rsidP="00517E72">
      <w:pPr>
        <w:tabs>
          <w:tab w:val="center" w:pos="5400"/>
        </w:tabs>
        <w:suppressAutoHyphens/>
        <w:spacing w:line="276" w:lineRule="auto"/>
        <w:jc w:val="center"/>
        <w:rPr>
          <w:rFonts w:asciiTheme="majorHAnsi" w:hAnsiTheme="majorHAnsi"/>
          <w:b/>
          <w:sz w:val="18"/>
          <w:szCs w:val="18"/>
        </w:rPr>
      </w:pPr>
      <w:r w:rsidRPr="00DE2580">
        <w:rPr>
          <w:rFonts w:asciiTheme="majorHAnsi" w:hAnsiTheme="majorHAnsi"/>
          <w:b/>
          <w:sz w:val="18"/>
          <w:szCs w:val="18"/>
        </w:rPr>
        <w:t>INDEX</w:t>
      </w:r>
    </w:p>
    <w:p w14:paraId="0391CF8C" w14:textId="77777777" w:rsidR="00517E72" w:rsidRPr="00790F77" w:rsidRDefault="00517E72" w:rsidP="00625290">
      <w:pPr>
        <w:tabs>
          <w:tab w:val="center" w:pos="5400"/>
        </w:tabs>
        <w:suppressAutoHyphens/>
        <w:jc w:val="center"/>
        <w:rPr>
          <w:rFonts w:ascii="Cambria" w:hAnsi="Cambria"/>
          <w:b/>
          <w:bCs/>
          <w:sz w:val="20"/>
          <w:szCs w:val="20"/>
        </w:rPr>
      </w:pPr>
    </w:p>
    <w:p w14:paraId="115E8A27" w14:textId="77777777" w:rsidR="007607C4" w:rsidRPr="007C2818" w:rsidRDefault="007607C4" w:rsidP="00145EDC">
      <w:pPr>
        <w:tabs>
          <w:tab w:val="center" w:pos="5400"/>
        </w:tabs>
        <w:suppressAutoHyphens/>
        <w:spacing w:line="276" w:lineRule="auto"/>
        <w:rPr>
          <w:rFonts w:asciiTheme="majorHAnsi" w:hAnsiTheme="majorHAnsi"/>
          <w:sz w:val="20"/>
          <w:szCs w:val="20"/>
        </w:rPr>
      </w:pPr>
    </w:p>
    <w:p w14:paraId="72E6B369" w14:textId="77777777" w:rsidR="007607C4" w:rsidRPr="00517E72" w:rsidRDefault="007607C4" w:rsidP="00145EDC">
      <w:pPr>
        <w:tabs>
          <w:tab w:val="center" w:pos="5400"/>
        </w:tabs>
        <w:suppressAutoHyphens/>
        <w:spacing w:line="276" w:lineRule="auto"/>
        <w:rPr>
          <w:rFonts w:asciiTheme="majorHAnsi" w:hAnsiTheme="majorHAnsi"/>
          <w:sz w:val="20"/>
          <w:szCs w:val="20"/>
        </w:rPr>
      </w:pPr>
    </w:p>
    <w:p w14:paraId="6C097E7D" w14:textId="6A9670F6" w:rsidR="00517E72" w:rsidRPr="00790F77" w:rsidRDefault="00EB291F">
      <w:pPr>
        <w:pStyle w:val="TOC1"/>
        <w:rPr>
          <w:rFonts w:eastAsiaTheme="minorEastAsia" w:cstheme="minorBidi"/>
          <w:kern w:val="2"/>
          <w:bdr w:val="none" w:sz="0" w:space="0" w:color="auto"/>
          <w:lang w:val="en-US" w:eastAsia="zh-CN"/>
          <w14:ligatures w14:val="standardContextual"/>
        </w:rPr>
      </w:pPr>
      <w:r w:rsidRPr="00517E72">
        <w:fldChar w:fldCharType="begin"/>
      </w:r>
      <w:r w:rsidR="00E200F9" w:rsidRPr="00517E72">
        <w:rPr>
          <w:lang w:val="en-US"/>
        </w:rPr>
        <w:instrText xml:space="preserve"> TOC \o "1-3" </w:instrText>
      </w:r>
      <w:r w:rsidRPr="00517E72">
        <w:fldChar w:fldCharType="separate"/>
      </w:r>
      <w:r w:rsidR="00517E72" w:rsidRPr="00790F77">
        <w:rPr>
          <w:lang w:val="en-US"/>
        </w:rPr>
        <w:t>I.</w:t>
      </w:r>
      <w:r w:rsidR="00517E72" w:rsidRPr="00790F77">
        <w:rPr>
          <w:rFonts w:eastAsiaTheme="minorEastAsia" w:cstheme="minorBidi"/>
          <w:kern w:val="2"/>
          <w:bdr w:val="none" w:sz="0" w:space="0" w:color="auto"/>
          <w:lang w:val="en-US" w:eastAsia="zh-CN"/>
          <w14:ligatures w14:val="standardContextual"/>
        </w:rPr>
        <w:tab/>
      </w:r>
      <w:r w:rsidR="00517E72" w:rsidRPr="00790F77">
        <w:rPr>
          <w:lang w:val="en-US"/>
        </w:rPr>
        <w:t>INTRODUCTION</w:t>
      </w:r>
      <w:r w:rsidR="00517E72" w:rsidRPr="00790F77">
        <w:rPr>
          <w:lang w:val="en-US"/>
        </w:rPr>
        <w:tab/>
      </w:r>
      <w:r w:rsidR="00517E72" w:rsidRPr="00517E72">
        <w:fldChar w:fldCharType="begin"/>
      </w:r>
      <w:r w:rsidR="00517E72" w:rsidRPr="00790F77">
        <w:rPr>
          <w:lang w:val="en-US"/>
        </w:rPr>
        <w:instrText xml:space="preserve"> PAGEREF _Toc150529019 \h </w:instrText>
      </w:r>
      <w:r w:rsidR="00517E72" w:rsidRPr="00517E72">
        <w:fldChar w:fldCharType="separate"/>
      </w:r>
      <w:r w:rsidR="00F07690">
        <w:rPr>
          <w:lang w:val="en-US"/>
        </w:rPr>
        <w:t>2</w:t>
      </w:r>
      <w:r w:rsidR="00517E72" w:rsidRPr="00517E72">
        <w:fldChar w:fldCharType="end"/>
      </w:r>
    </w:p>
    <w:p w14:paraId="4346777F" w14:textId="337D0FFB" w:rsidR="00517E72" w:rsidRPr="00790F77" w:rsidRDefault="00517E72">
      <w:pPr>
        <w:pStyle w:val="TOC1"/>
        <w:rPr>
          <w:rFonts w:eastAsiaTheme="minorEastAsia" w:cstheme="minorBidi"/>
          <w:kern w:val="2"/>
          <w:bdr w:val="none" w:sz="0" w:space="0" w:color="auto"/>
          <w:lang w:val="en-US" w:eastAsia="zh-CN"/>
          <w14:ligatures w14:val="standardContextual"/>
        </w:rPr>
      </w:pPr>
      <w:r w:rsidRPr="00790F77">
        <w:rPr>
          <w:lang w:val="en-US"/>
        </w:rPr>
        <w:t>II.</w:t>
      </w:r>
      <w:r w:rsidRPr="00790F77">
        <w:rPr>
          <w:rFonts w:eastAsiaTheme="minorEastAsia" w:cstheme="minorBidi"/>
          <w:kern w:val="2"/>
          <w:bdr w:val="none" w:sz="0" w:space="0" w:color="auto"/>
          <w:lang w:val="en-US" w:eastAsia="zh-CN"/>
          <w14:ligatures w14:val="standardContextual"/>
        </w:rPr>
        <w:tab/>
      </w:r>
      <w:r w:rsidRPr="00790F77">
        <w:rPr>
          <w:lang w:val="en-US"/>
        </w:rPr>
        <w:t>POSITIONS OF THE PARTIES</w:t>
      </w:r>
      <w:r w:rsidRPr="00790F77">
        <w:rPr>
          <w:lang w:val="en-US"/>
        </w:rPr>
        <w:tab/>
      </w:r>
      <w:r w:rsidRPr="00517E72">
        <w:fldChar w:fldCharType="begin"/>
      </w:r>
      <w:r w:rsidRPr="00790F77">
        <w:rPr>
          <w:lang w:val="en-US"/>
        </w:rPr>
        <w:instrText xml:space="preserve"> PAGEREF _Toc150529020 \h </w:instrText>
      </w:r>
      <w:r w:rsidRPr="00517E72">
        <w:fldChar w:fldCharType="separate"/>
      </w:r>
      <w:r w:rsidR="00F07690">
        <w:rPr>
          <w:lang w:val="en-US"/>
        </w:rPr>
        <w:t>2</w:t>
      </w:r>
      <w:r w:rsidRPr="00517E72">
        <w:fldChar w:fldCharType="end"/>
      </w:r>
    </w:p>
    <w:p w14:paraId="0163272C" w14:textId="69A1B8C2" w:rsidR="00517E72" w:rsidRPr="00790F77" w:rsidRDefault="00517E72">
      <w:pPr>
        <w:pStyle w:val="TOC1"/>
        <w:rPr>
          <w:rFonts w:eastAsiaTheme="minorEastAsia" w:cstheme="minorBidi"/>
          <w:kern w:val="2"/>
          <w:bdr w:val="none" w:sz="0" w:space="0" w:color="auto"/>
          <w:lang w:val="en-US" w:eastAsia="zh-CN"/>
          <w14:ligatures w14:val="standardContextual"/>
        </w:rPr>
      </w:pPr>
      <w:r w:rsidRPr="00790F77">
        <w:rPr>
          <w:lang w:val="en-US"/>
        </w:rPr>
        <w:t>A.</w:t>
      </w:r>
      <w:r w:rsidRPr="00790F77">
        <w:rPr>
          <w:rFonts w:eastAsiaTheme="minorEastAsia" w:cstheme="minorBidi"/>
          <w:kern w:val="2"/>
          <w:bdr w:val="none" w:sz="0" w:space="0" w:color="auto"/>
          <w:lang w:val="en-US" w:eastAsia="zh-CN"/>
          <w14:ligatures w14:val="standardContextual"/>
        </w:rPr>
        <w:tab/>
      </w:r>
      <w:r w:rsidRPr="00790F77">
        <w:rPr>
          <w:lang w:val="en-US"/>
        </w:rPr>
        <w:t>Petitioners</w:t>
      </w:r>
      <w:r w:rsidRPr="00790F77">
        <w:rPr>
          <w:lang w:val="en-US"/>
        </w:rPr>
        <w:tab/>
      </w:r>
      <w:r w:rsidRPr="00517E72">
        <w:fldChar w:fldCharType="begin"/>
      </w:r>
      <w:r w:rsidRPr="00790F77">
        <w:rPr>
          <w:lang w:val="en-US"/>
        </w:rPr>
        <w:instrText xml:space="preserve"> PAGEREF _Toc150529021 \h </w:instrText>
      </w:r>
      <w:r w:rsidRPr="00517E72">
        <w:fldChar w:fldCharType="separate"/>
      </w:r>
      <w:r w:rsidR="00F07690">
        <w:rPr>
          <w:lang w:val="en-US"/>
        </w:rPr>
        <w:t>2</w:t>
      </w:r>
      <w:r w:rsidRPr="00517E72">
        <w:fldChar w:fldCharType="end"/>
      </w:r>
    </w:p>
    <w:p w14:paraId="53E262E7" w14:textId="52FB9D41" w:rsidR="00517E72" w:rsidRPr="00790F77" w:rsidRDefault="00517E72">
      <w:pPr>
        <w:pStyle w:val="TOC1"/>
        <w:rPr>
          <w:rFonts w:eastAsiaTheme="minorEastAsia" w:cstheme="minorBidi"/>
          <w:kern w:val="2"/>
          <w:bdr w:val="none" w:sz="0" w:space="0" w:color="auto"/>
          <w:lang w:val="en-US" w:eastAsia="zh-CN"/>
          <w14:ligatures w14:val="standardContextual"/>
        </w:rPr>
      </w:pPr>
      <w:r w:rsidRPr="00790F77">
        <w:rPr>
          <w:lang w:val="en-US"/>
        </w:rPr>
        <w:t>B.</w:t>
      </w:r>
      <w:r w:rsidRPr="00790F77">
        <w:rPr>
          <w:rFonts w:eastAsiaTheme="minorEastAsia" w:cstheme="minorBidi"/>
          <w:kern w:val="2"/>
          <w:bdr w:val="none" w:sz="0" w:space="0" w:color="auto"/>
          <w:lang w:val="en-US" w:eastAsia="zh-CN"/>
          <w14:ligatures w14:val="standardContextual"/>
        </w:rPr>
        <w:tab/>
      </w:r>
      <w:r w:rsidRPr="00790F77">
        <w:rPr>
          <w:lang w:val="en-US"/>
        </w:rPr>
        <w:t>State</w:t>
      </w:r>
      <w:r w:rsidRPr="00790F77">
        <w:rPr>
          <w:lang w:val="en-US"/>
        </w:rPr>
        <w:tab/>
      </w:r>
      <w:r w:rsidRPr="00517E72">
        <w:fldChar w:fldCharType="begin"/>
      </w:r>
      <w:r w:rsidRPr="00790F77">
        <w:rPr>
          <w:lang w:val="en-US"/>
        </w:rPr>
        <w:instrText xml:space="preserve"> PAGEREF _Toc150529022 \h </w:instrText>
      </w:r>
      <w:r w:rsidRPr="00517E72">
        <w:fldChar w:fldCharType="separate"/>
      </w:r>
      <w:r w:rsidR="00F07690">
        <w:rPr>
          <w:lang w:val="en-US"/>
        </w:rPr>
        <w:t>3</w:t>
      </w:r>
      <w:r w:rsidRPr="00517E72">
        <w:fldChar w:fldCharType="end"/>
      </w:r>
    </w:p>
    <w:p w14:paraId="2EF9204C" w14:textId="5D816DCA" w:rsidR="00517E72" w:rsidRPr="00790F77" w:rsidRDefault="00517E72">
      <w:pPr>
        <w:pStyle w:val="TOC1"/>
        <w:rPr>
          <w:rFonts w:eastAsiaTheme="minorEastAsia" w:cstheme="minorBidi"/>
          <w:kern w:val="2"/>
          <w:bdr w:val="none" w:sz="0" w:space="0" w:color="auto"/>
          <w:lang w:val="en-US" w:eastAsia="zh-CN"/>
          <w14:ligatures w14:val="standardContextual"/>
        </w:rPr>
      </w:pPr>
      <w:r w:rsidRPr="00790F77">
        <w:rPr>
          <w:lang w:val="en-US"/>
        </w:rPr>
        <w:t>III.</w:t>
      </w:r>
      <w:r w:rsidRPr="00790F77">
        <w:rPr>
          <w:rFonts w:eastAsiaTheme="minorEastAsia" w:cstheme="minorBidi"/>
          <w:kern w:val="2"/>
          <w:bdr w:val="none" w:sz="0" w:space="0" w:color="auto"/>
          <w:lang w:val="en-US" w:eastAsia="zh-CN"/>
          <w14:ligatures w14:val="standardContextual"/>
        </w:rPr>
        <w:tab/>
      </w:r>
      <w:r w:rsidRPr="00790F77">
        <w:rPr>
          <w:lang w:val="en-US"/>
        </w:rPr>
        <w:t>FINDINGS OF FACT</w:t>
      </w:r>
      <w:r w:rsidRPr="00790F77">
        <w:rPr>
          <w:lang w:val="en-US"/>
        </w:rPr>
        <w:tab/>
      </w:r>
      <w:r w:rsidRPr="00517E72">
        <w:fldChar w:fldCharType="begin"/>
      </w:r>
      <w:r w:rsidRPr="00790F77">
        <w:rPr>
          <w:lang w:val="en-US"/>
        </w:rPr>
        <w:instrText xml:space="preserve"> PAGEREF _Toc150529023 \h </w:instrText>
      </w:r>
      <w:r w:rsidRPr="00517E72">
        <w:fldChar w:fldCharType="separate"/>
      </w:r>
      <w:r w:rsidR="00F07690">
        <w:rPr>
          <w:lang w:val="en-US"/>
        </w:rPr>
        <w:t>4</w:t>
      </w:r>
      <w:r w:rsidRPr="00517E72">
        <w:fldChar w:fldCharType="end"/>
      </w:r>
    </w:p>
    <w:p w14:paraId="2658C386" w14:textId="2DC7197B" w:rsidR="00517E72" w:rsidRPr="00790F77" w:rsidRDefault="00517E72">
      <w:pPr>
        <w:pStyle w:val="TOC2"/>
        <w:rPr>
          <w:rFonts w:asciiTheme="majorHAnsi" w:eastAsiaTheme="minorEastAsia" w:hAnsiTheme="majorHAnsi" w:cstheme="minorBidi"/>
          <w:noProof/>
          <w:kern w:val="2"/>
          <w:sz w:val="20"/>
          <w:szCs w:val="20"/>
          <w:bdr w:val="none" w:sz="0" w:space="0" w:color="auto"/>
          <w:lang w:eastAsia="zh-CN"/>
          <w14:ligatures w14:val="standardContextual"/>
        </w:rPr>
      </w:pPr>
      <w:r w:rsidRPr="00517E72">
        <w:rPr>
          <w:rFonts w:asciiTheme="majorHAnsi" w:hAnsiTheme="majorHAnsi"/>
          <w:noProof/>
          <w:sz w:val="20"/>
          <w:szCs w:val="20"/>
        </w:rPr>
        <w:t xml:space="preserve">A. </w:t>
      </w:r>
      <w:r w:rsidRPr="00790F77">
        <w:rPr>
          <w:rFonts w:asciiTheme="majorHAnsi" w:eastAsiaTheme="minorEastAsia" w:hAnsiTheme="majorHAnsi" w:cstheme="minorBidi"/>
          <w:noProof/>
          <w:kern w:val="2"/>
          <w:sz w:val="20"/>
          <w:szCs w:val="20"/>
          <w:bdr w:val="none" w:sz="0" w:space="0" w:color="auto"/>
          <w:lang w:eastAsia="zh-CN"/>
          <w14:ligatures w14:val="standardContextual"/>
        </w:rPr>
        <w:tab/>
      </w:r>
      <w:r w:rsidRPr="00517E72">
        <w:rPr>
          <w:rFonts w:asciiTheme="majorHAnsi" w:hAnsiTheme="majorHAnsi"/>
          <w:noProof/>
          <w:sz w:val="20"/>
          <w:szCs w:val="20"/>
        </w:rPr>
        <w:t>Factual background, trial and death sentence</w:t>
      </w:r>
      <w:r w:rsidRPr="00517E72">
        <w:rPr>
          <w:rFonts w:asciiTheme="majorHAnsi" w:hAnsiTheme="majorHAnsi"/>
          <w:noProof/>
          <w:sz w:val="20"/>
          <w:szCs w:val="20"/>
        </w:rPr>
        <w:tab/>
      </w:r>
      <w:r w:rsidRPr="00517E72">
        <w:rPr>
          <w:rFonts w:asciiTheme="majorHAnsi" w:hAnsiTheme="majorHAnsi"/>
          <w:noProof/>
          <w:sz w:val="20"/>
          <w:szCs w:val="20"/>
        </w:rPr>
        <w:fldChar w:fldCharType="begin"/>
      </w:r>
      <w:r w:rsidRPr="00517E72">
        <w:rPr>
          <w:rFonts w:asciiTheme="majorHAnsi" w:hAnsiTheme="majorHAnsi"/>
          <w:noProof/>
          <w:sz w:val="20"/>
          <w:szCs w:val="20"/>
        </w:rPr>
        <w:instrText xml:space="preserve"> PAGEREF _Toc150529024 \h </w:instrText>
      </w:r>
      <w:r w:rsidRPr="00517E72">
        <w:rPr>
          <w:rFonts w:asciiTheme="majorHAnsi" w:hAnsiTheme="majorHAnsi"/>
          <w:noProof/>
          <w:sz w:val="20"/>
          <w:szCs w:val="20"/>
        </w:rPr>
      </w:r>
      <w:r w:rsidRPr="00517E72">
        <w:rPr>
          <w:rFonts w:asciiTheme="majorHAnsi" w:hAnsiTheme="majorHAnsi"/>
          <w:noProof/>
          <w:sz w:val="20"/>
          <w:szCs w:val="20"/>
        </w:rPr>
        <w:fldChar w:fldCharType="separate"/>
      </w:r>
      <w:r w:rsidR="00F07690">
        <w:rPr>
          <w:rFonts w:asciiTheme="majorHAnsi" w:hAnsiTheme="majorHAnsi"/>
          <w:noProof/>
          <w:sz w:val="20"/>
          <w:szCs w:val="20"/>
        </w:rPr>
        <w:t>4</w:t>
      </w:r>
      <w:r w:rsidRPr="00517E72">
        <w:rPr>
          <w:rFonts w:asciiTheme="majorHAnsi" w:hAnsiTheme="majorHAnsi"/>
          <w:noProof/>
          <w:sz w:val="20"/>
          <w:szCs w:val="20"/>
        </w:rPr>
        <w:fldChar w:fldCharType="end"/>
      </w:r>
    </w:p>
    <w:p w14:paraId="3651C332" w14:textId="2DEA86E4" w:rsidR="00517E72" w:rsidRPr="00790F77" w:rsidRDefault="00517E72">
      <w:pPr>
        <w:pStyle w:val="TOC2"/>
        <w:rPr>
          <w:rFonts w:asciiTheme="majorHAnsi" w:eastAsiaTheme="minorEastAsia" w:hAnsiTheme="majorHAnsi" w:cstheme="minorBidi"/>
          <w:noProof/>
          <w:kern w:val="2"/>
          <w:sz w:val="20"/>
          <w:szCs w:val="20"/>
          <w:bdr w:val="none" w:sz="0" w:space="0" w:color="auto"/>
          <w:lang w:eastAsia="zh-CN"/>
          <w14:ligatures w14:val="standardContextual"/>
        </w:rPr>
      </w:pPr>
      <w:r w:rsidRPr="00517E72">
        <w:rPr>
          <w:rFonts w:asciiTheme="majorHAnsi" w:hAnsiTheme="majorHAnsi"/>
          <w:noProof/>
          <w:sz w:val="20"/>
          <w:szCs w:val="20"/>
        </w:rPr>
        <w:t>B.</w:t>
      </w:r>
      <w:r w:rsidRPr="00790F77">
        <w:rPr>
          <w:rFonts w:asciiTheme="majorHAnsi" w:eastAsiaTheme="minorEastAsia" w:hAnsiTheme="majorHAnsi" w:cstheme="minorBidi"/>
          <w:noProof/>
          <w:kern w:val="2"/>
          <w:sz w:val="20"/>
          <w:szCs w:val="20"/>
          <w:bdr w:val="none" w:sz="0" w:space="0" w:color="auto"/>
          <w:lang w:eastAsia="zh-CN"/>
          <w14:ligatures w14:val="standardContextual"/>
        </w:rPr>
        <w:tab/>
      </w:r>
      <w:r w:rsidRPr="00517E72">
        <w:rPr>
          <w:rFonts w:asciiTheme="majorHAnsi" w:hAnsiTheme="majorHAnsi"/>
          <w:noProof/>
          <w:sz w:val="20"/>
          <w:szCs w:val="20"/>
        </w:rPr>
        <w:t>Post-conviction proceedings</w:t>
      </w:r>
      <w:r w:rsidRPr="00517E72">
        <w:rPr>
          <w:rFonts w:asciiTheme="majorHAnsi" w:hAnsiTheme="majorHAnsi"/>
          <w:noProof/>
          <w:sz w:val="20"/>
          <w:szCs w:val="20"/>
        </w:rPr>
        <w:tab/>
      </w:r>
      <w:r w:rsidRPr="00517E72">
        <w:rPr>
          <w:rFonts w:asciiTheme="majorHAnsi" w:hAnsiTheme="majorHAnsi"/>
          <w:noProof/>
          <w:sz w:val="20"/>
          <w:szCs w:val="20"/>
        </w:rPr>
        <w:fldChar w:fldCharType="begin"/>
      </w:r>
      <w:r w:rsidRPr="00517E72">
        <w:rPr>
          <w:rFonts w:asciiTheme="majorHAnsi" w:hAnsiTheme="majorHAnsi"/>
          <w:noProof/>
          <w:sz w:val="20"/>
          <w:szCs w:val="20"/>
        </w:rPr>
        <w:instrText xml:space="preserve"> PAGEREF _Toc150529025 \h </w:instrText>
      </w:r>
      <w:r w:rsidRPr="00517E72">
        <w:rPr>
          <w:rFonts w:asciiTheme="majorHAnsi" w:hAnsiTheme="majorHAnsi"/>
          <w:noProof/>
          <w:sz w:val="20"/>
          <w:szCs w:val="20"/>
        </w:rPr>
      </w:r>
      <w:r w:rsidRPr="00517E72">
        <w:rPr>
          <w:rFonts w:asciiTheme="majorHAnsi" w:hAnsiTheme="majorHAnsi"/>
          <w:noProof/>
          <w:sz w:val="20"/>
          <w:szCs w:val="20"/>
        </w:rPr>
        <w:fldChar w:fldCharType="separate"/>
      </w:r>
      <w:r w:rsidR="00F07690">
        <w:rPr>
          <w:rFonts w:asciiTheme="majorHAnsi" w:hAnsiTheme="majorHAnsi"/>
          <w:noProof/>
          <w:sz w:val="20"/>
          <w:szCs w:val="20"/>
        </w:rPr>
        <w:t>4</w:t>
      </w:r>
      <w:r w:rsidRPr="00517E72">
        <w:rPr>
          <w:rFonts w:asciiTheme="majorHAnsi" w:hAnsiTheme="majorHAnsi"/>
          <w:noProof/>
          <w:sz w:val="20"/>
          <w:szCs w:val="20"/>
        </w:rPr>
        <w:fldChar w:fldCharType="end"/>
      </w:r>
    </w:p>
    <w:p w14:paraId="79BA34FF" w14:textId="1F3DBA51" w:rsidR="00517E72" w:rsidRPr="00790F77" w:rsidRDefault="00517E72">
      <w:pPr>
        <w:pStyle w:val="TOC2"/>
        <w:rPr>
          <w:rFonts w:asciiTheme="majorHAnsi" w:eastAsiaTheme="minorEastAsia" w:hAnsiTheme="majorHAnsi" w:cstheme="minorBidi"/>
          <w:noProof/>
          <w:kern w:val="2"/>
          <w:sz w:val="20"/>
          <w:szCs w:val="20"/>
          <w:bdr w:val="none" w:sz="0" w:space="0" w:color="auto"/>
          <w:lang w:eastAsia="zh-CN"/>
          <w14:ligatures w14:val="standardContextual"/>
        </w:rPr>
      </w:pPr>
      <w:r w:rsidRPr="00517E72">
        <w:rPr>
          <w:rFonts w:asciiTheme="majorHAnsi" w:hAnsiTheme="majorHAnsi"/>
          <w:noProof/>
          <w:sz w:val="20"/>
          <w:szCs w:val="20"/>
        </w:rPr>
        <w:t>C.</w:t>
      </w:r>
      <w:r w:rsidRPr="00790F77">
        <w:rPr>
          <w:rFonts w:asciiTheme="majorHAnsi" w:eastAsiaTheme="minorEastAsia" w:hAnsiTheme="majorHAnsi" w:cstheme="minorBidi"/>
          <w:noProof/>
          <w:kern w:val="2"/>
          <w:sz w:val="20"/>
          <w:szCs w:val="20"/>
          <w:bdr w:val="none" w:sz="0" w:space="0" w:color="auto"/>
          <w:lang w:eastAsia="zh-CN"/>
          <w14:ligatures w14:val="standardContextual"/>
        </w:rPr>
        <w:tab/>
      </w:r>
      <w:r w:rsidRPr="00517E72">
        <w:rPr>
          <w:rFonts w:asciiTheme="majorHAnsi" w:hAnsiTheme="majorHAnsi"/>
          <w:noProof/>
          <w:sz w:val="20"/>
          <w:szCs w:val="20"/>
        </w:rPr>
        <w:t>Pre-trial confinement conditions</w:t>
      </w:r>
      <w:r w:rsidRPr="00517E72">
        <w:rPr>
          <w:rFonts w:asciiTheme="majorHAnsi" w:hAnsiTheme="majorHAnsi"/>
          <w:noProof/>
          <w:sz w:val="20"/>
          <w:szCs w:val="20"/>
        </w:rPr>
        <w:tab/>
      </w:r>
      <w:r w:rsidRPr="00517E72">
        <w:rPr>
          <w:rFonts w:asciiTheme="majorHAnsi" w:hAnsiTheme="majorHAnsi"/>
          <w:noProof/>
          <w:sz w:val="20"/>
          <w:szCs w:val="20"/>
        </w:rPr>
        <w:fldChar w:fldCharType="begin"/>
      </w:r>
      <w:r w:rsidRPr="00517E72">
        <w:rPr>
          <w:rFonts w:asciiTheme="majorHAnsi" w:hAnsiTheme="majorHAnsi"/>
          <w:noProof/>
          <w:sz w:val="20"/>
          <w:szCs w:val="20"/>
        </w:rPr>
        <w:instrText xml:space="preserve"> PAGEREF _Toc150529026 \h </w:instrText>
      </w:r>
      <w:r w:rsidRPr="00517E72">
        <w:rPr>
          <w:rFonts w:asciiTheme="majorHAnsi" w:hAnsiTheme="majorHAnsi"/>
          <w:noProof/>
          <w:sz w:val="20"/>
          <w:szCs w:val="20"/>
        </w:rPr>
      </w:r>
      <w:r w:rsidRPr="00517E72">
        <w:rPr>
          <w:rFonts w:asciiTheme="majorHAnsi" w:hAnsiTheme="majorHAnsi"/>
          <w:noProof/>
          <w:sz w:val="20"/>
          <w:szCs w:val="20"/>
        </w:rPr>
        <w:fldChar w:fldCharType="separate"/>
      </w:r>
      <w:r w:rsidR="00F07690">
        <w:rPr>
          <w:rFonts w:asciiTheme="majorHAnsi" w:hAnsiTheme="majorHAnsi"/>
          <w:noProof/>
          <w:sz w:val="20"/>
          <w:szCs w:val="20"/>
        </w:rPr>
        <w:t>6</w:t>
      </w:r>
      <w:r w:rsidRPr="00517E72">
        <w:rPr>
          <w:rFonts w:asciiTheme="majorHAnsi" w:hAnsiTheme="majorHAnsi"/>
          <w:noProof/>
          <w:sz w:val="20"/>
          <w:szCs w:val="20"/>
        </w:rPr>
        <w:fldChar w:fldCharType="end"/>
      </w:r>
    </w:p>
    <w:p w14:paraId="779000B0" w14:textId="04B66117" w:rsidR="00517E72" w:rsidRPr="00790F77" w:rsidRDefault="00517E72">
      <w:pPr>
        <w:pStyle w:val="TOC1"/>
        <w:rPr>
          <w:rFonts w:eastAsiaTheme="minorEastAsia" w:cstheme="minorBidi"/>
          <w:kern w:val="2"/>
          <w:bdr w:val="none" w:sz="0" w:space="0" w:color="auto"/>
          <w:lang w:val="en-US" w:eastAsia="zh-CN"/>
          <w14:ligatures w14:val="standardContextual"/>
        </w:rPr>
      </w:pPr>
      <w:r w:rsidRPr="00790F77">
        <w:rPr>
          <w:lang w:val="en-US"/>
        </w:rPr>
        <w:t>IV.</w:t>
      </w:r>
      <w:r w:rsidRPr="00790F77">
        <w:rPr>
          <w:rFonts w:eastAsiaTheme="minorEastAsia" w:cstheme="minorBidi"/>
          <w:kern w:val="2"/>
          <w:bdr w:val="none" w:sz="0" w:space="0" w:color="auto"/>
          <w:lang w:val="en-US" w:eastAsia="zh-CN"/>
          <w14:ligatures w14:val="standardContextual"/>
        </w:rPr>
        <w:tab/>
      </w:r>
      <w:r w:rsidRPr="00790F77">
        <w:rPr>
          <w:lang w:val="en-US"/>
        </w:rPr>
        <w:t>ANALYSIS OF LAW</w:t>
      </w:r>
      <w:r w:rsidRPr="00790F77">
        <w:rPr>
          <w:lang w:val="en-US"/>
        </w:rPr>
        <w:tab/>
      </w:r>
      <w:r w:rsidRPr="00517E72">
        <w:fldChar w:fldCharType="begin"/>
      </w:r>
      <w:r w:rsidRPr="00790F77">
        <w:rPr>
          <w:lang w:val="en-US"/>
        </w:rPr>
        <w:instrText xml:space="preserve"> PAGEREF _Toc150529027 \h </w:instrText>
      </w:r>
      <w:r w:rsidRPr="00517E72">
        <w:fldChar w:fldCharType="separate"/>
      </w:r>
      <w:r w:rsidR="00F07690">
        <w:rPr>
          <w:lang w:val="en-US"/>
        </w:rPr>
        <w:t>7</w:t>
      </w:r>
      <w:r w:rsidRPr="00517E72">
        <w:fldChar w:fldCharType="end"/>
      </w:r>
    </w:p>
    <w:p w14:paraId="6A77490F" w14:textId="0F0C4366" w:rsidR="00517E72" w:rsidRPr="00790F77" w:rsidRDefault="00517E72">
      <w:pPr>
        <w:pStyle w:val="TOC2"/>
        <w:rPr>
          <w:rFonts w:asciiTheme="majorHAnsi" w:eastAsiaTheme="minorEastAsia" w:hAnsiTheme="majorHAnsi" w:cstheme="minorBidi"/>
          <w:noProof/>
          <w:kern w:val="2"/>
          <w:sz w:val="20"/>
          <w:szCs w:val="20"/>
          <w:bdr w:val="none" w:sz="0" w:space="0" w:color="auto"/>
          <w:lang w:eastAsia="zh-CN"/>
          <w14:ligatures w14:val="standardContextual"/>
        </w:rPr>
      </w:pPr>
      <w:r w:rsidRPr="00790F77">
        <w:rPr>
          <w:rFonts w:asciiTheme="majorHAnsi" w:hAnsiTheme="majorHAnsi"/>
          <w:noProof/>
          <w:sz w:val="20"/>
          <w:szCs w:val="20"/>
        </w:rPr>
        <w:t>A.</w:t>
      </w:r>
      <w:r w:rsidRPr="00790F77">
        <w:rPr>
          <w:rFonts w:asciiTheme="majorHAnsi" w:eastAsiaTheme="minorEastAsia" w:hAnsiTheme="majorHAnsi" w:cstheme="minorBidi"/>
          <w:noProof/>
          <w:kern w:val="2"/>
          <w:sz w:val="20"/>
          <w:szCs w:val="20"/>
          <w:bdr w:val="none" w:sz="0" w:space="0" w:color="auto"/>
          <w:lang w:eastAsia="zh-CN"/>
          <w14:ligatures w14:val="standardContextual"/>
        </w:rPr>
        <w:tab/>
      </w:r>
      <w:r w:rsidRPr="00790F77">
        <w:rPr>
          <w:rFonts w:asciiTheme="majorHAnsi" w:hAnsiTheme="majorHAnsi"/>
          <w:noProof/>
          <w:sz w:val="20"/>
          <w:szCs w:val="20"/>
        </w:rPr>
        <w:t>Preliminary considerations</w:t>
      </w:r>
      <w:r w:rsidRPr="00517E72">
        <w:rPr>
          <w:rFonts w:asciiTheme="majorHAnsi" w:hAnsiTheme="majorHAnsi"/>
          <w:noProof/>
          <w:sz w:val="20"/>
          <w:szCs w:val="20"/>
        </w:rPr>
        <w:tab/>
      </w:r>
      <w:r w:rsidRPr="00517E72">
        <w:rPr>
          <w:rFonts w:asciiTheme="majorHAnsi" w:hAnsiTheme="majorHAnsi"/>
          <w:noProof/>
          <w:sz w:val="20"/>
          <w:szCs w:val="20"/>
        </w:rPr>
        <w:fldChar w:fldCharType="begin"/>
      </w:r>
      <w:r w:rsidRPr="00517E72">
        <w:rPr>
          <w:rFonts w:asciiTheme="majorHAnsi" w:hAnsiTheme="majorHAnsi"/>
          <w:noProof/>
          <w:sz w:val="20"/>
          <w:szCs w:val="20"/>
        </w:rPr>
        <w:instrText xml:space="preserve"> PAGEREF _Toc150529028 \h </w:instrText>
      </w:r>
      <w:r w:rsidRPr="00517E72">
        <w:rPr>
          <w:rFonts w:asciiTheme="majorHAnsi" w:hAnsiTheme="majorHAnsi"/>
          <w:noProof/>
          <w:sz w:val="20"/>
          <w:szCs w:val="20"/>
        </w:rPr>
      </w:r>
      <w:r w:rsidRPr="00517E72">
        <w:rPr>
          <w:rFonts w:asciiTheme="majorHAnsi" w:hAnsiTheme="majorHAnsi"/>
          <w:noProof/>
          <w:sz w:val="20"/>
          <w:szCs w:val="20"/>
        </w:rPr>
        <w:fldChar w:fldCharType="separate"/>
      </w:r>
      <w:r w:rsidR="00F07690">
        <w:rPr>
          <w:rFonts w:asciiTheme="majorHAnsi" w:hAnsiTheme="majorHAnsi"/>
          <w:noProof/>
          <w:sz w:val="20"/>
          <w:szCs w:val="20"/>
        </w:rPr>
        <w:t>7</w:t>
      </w:r>
      <w:r w:rsidRPr="00517E72">
        <w:rPr>
          <w:rFonts w:asciiTheme="majorHAnsi" w:hAnsiTheme="majorHAnsi"/>
          <w:noProof/>
          <w:sz w:val="20"/>
          <w:szCs w:val="20"/>
        </w:rPr>
        <w:fldChar w:fldCharType="end"/>
      </w:r>
    </w:p>
    <w:p w14:paraId="7D3ABEA7" w14:textId="74D73094" w:rsidR="00517E72" w:rsidRPr="00790F77" w:rsidRDefault="00517E72">
      <w:pPr>
        <w:pStyle w:val="TOC2"/>
        <w:rPr>
          <w:rFonts w:asciiTheme="majorHAnsi" w:eastAsiaTheme="minorEastAsia" w:hAnsiTheme="majorHAnsi" w:cstheme="minorBidi"/>
          <w:noProof/>
          <w:kern w:val="2"/>
          <w:sz w:val="20"/>
          <w:szCs w:val="20"/>
          <w:bdr w:val="none" w:sz="0" w:space="0" w:color="auto"/>
          <w:lang w:eastAsia="zh-CN"/>
          <w14:ligatures w14:val="standardContextual"/>
        </w:rPr>
      </w:pPr>
      <w:r w:rsidRPr="00517E72">
        <w:rPr>
          <w:rFonts w:asciiTheme="majorHAnsi" w:hAnsiTheme="majorHAnsi"/>
          <w:noProof/>
          <w:sz w:val="20"/>
          <w:szCs w:val="20"/>
        </w:rPr>
        <w:t>B.</w:t>
      </w:r>
      <w:r w:rsidRPr="00790F77">
        <w:rPr>
          <w:rFonts w:asciiTheme="majorHAnsi" w:eastAsiaTheme="minorEastAsia" w:hAnsiTheme="majorHAnsi" w:cstheme="minorBidi"/>
          <w:noProof/>
          <w:kern w:val="2"/>
          <w:sz w:val="20"/>
          <w:szCs w:val="20"/>
          <w:bdr w:val="none" w:sz="0" w:space="0" w:color="auto"/>
          <w:lang w:eastAsia="zh-CN"/>
          <w14:ligatures w14:val="standardContextual"/>
        </w:rPr>
        <w:tab/>
      </w:r>
      <w:r w:rsidRPr="00517E72">
        <w:rPr>
          <w:rFonts w:asciiTheme="majorHAnsi" w:hAnsiTheme="majorHAnsi"/>
          <w:noProof/>
          <w:sz w:val="20"/>
          <w:szCs w:val="20"/>
        </w:rPr>
        <w:t>Right to a fair trial and to due process of law</w:t>
      </w:r>
      <w:r w:rsidRPr="00517E72">
        <w:rPr>
          <w:rFonts w:asciiTheme="majorHAnsi" w:hAnsiTheme="majorHAnsi"/>
          <w:noProof/>
          <w:sz w:val="20"/>
          <w:szCs w:val="20"/>
        </w:rPr>
        <w:tab/>
      </w:r>
      <w:r w:rsidRPr="00517E72">
        <w:rPr>
          <w:rFonts w:asciiTheme="majorHAnsi" w:hAnsiTheme="majorHAnsi"/>
          <w:noProof/>
          <w:sz w:val="20"/>
          <w:szCs w:val="20"/>
        </w:rPr>
        <w:fldChar w:fldCharType="begin"/>
      </w:r>
      <w:r w:rsidRPr="00517E72">
        <w:rPr>
          <w:rFonts w:asciiTheme="majorHAnsi" w:hAnsiTheme="majorHAnsi"/>
          <w:noProof/>
          <w:sz w:val="20"/>
          <w:szCs w:val="20"/>
        </w:rPr>
        <w:instrText xml:space="preserve"> PAGEREF _Toc150529029 \h </w:instrText>
      </w:r>
      <w:r w:rsidRPr="00517E72">
        <w:rPr>
          <w:rFonts w:asciiTheme="majorHAnsi" w:hAnsiTheme="majorHAnsi"/>
          <w:noProof/>
          <w:sz w:val="20"/>
          <w:szCs w:val="20"/>
        </w:rPr>
      </w:r>
      <w:r w:rsidRPr="00517E72">
        <w:rPr>
          <w:rFonts w:asciiTheme="majorHAnsi" w:hAnsiTheme="majorHAnsi"/>
          <w:noProof/>
          <w:sz w:val="20"/>
          <w:szCs w:val="20"/>
        </w:rPr>
        <w:fldChar w:fldCharType="separate"/>
      </w:r>
      <w:r w:rsidR="00F07690">
        <w:rPr>
          <w:rFonts w:asciiTheme="majorHAnsi" w:hAnsiTheme="majorHAnsi"/>
          <w:noProof/>
          <w:sz w:val="20"/>
          <w:szCs w:val="20"/>
        </w:rPr>
        <w:t>8</w:t>
      </w:r>
      <w:r w:rsidRPr="00517E72">
        <w:rPr>
          <w:rFonts w:asciiTheme="majorHAnsi" w:hAnsiTheme="majorHAnsi"/>
          <w:noProof/>
          <w:sz w:val="20"/>
          <w:szCs w:val="20"/>
        </w:rPr>
        <w:fldChar w:fldCharType="end"/>
      </w:r>
    </w:p>
    <w:p w14:paraId="51B116AF" w14:textId="19349A0D" w:rsidR="00517E72" w:rsidRPr="00790F77" w:rsidRDefault="00517E72">
      <w:pPr>
        <w:pStyle w:val="TOC2"/>
        <w:rPr>
          <w:rFonts w:asciiTheme="majorHAnsi" w:eastAsiaTheme="minorEastAsia" w:hAnsiTheme="majorHAnsi" w:cstheme="minorBidi"/>
          <w:noProof/>
          <w:kern w:val="2"/>
          <w:sz w:val="20"/>
          <w:szCs w:val="20"/>
          <w:bdr w:val="none" w:sz="0" w:space="0" w:color="auto"/>
          <w:lang w:eastAsia="zh-CN"/>
          <w14:ligatures w14:val="standardContextual"/>
        </w:rPr>
      </w:pPr>
      <w:r w:rsidRPr="00517E72">
        <w:rPr>
          <w:rFonts w:asciiTheme="majorHAnsi" w:hAnsiTheme="majorHAnsi"/>
          <w:noProof/>
          <w:sz w:val="20"/>
          <w:szCs w:val="20"/>
        </w:rPr>
        <w:t>1.</w:t>
      </w:r>
      <w:r w:rsidRPr="00790F77">
        <w:rPr>
          <w:rFonts w:asciiTheme="majorHAnsi" w:eastAsiaTheme="minorEastAsia" w:hAnsiTheme="majorHAnsi" w:cstheme="minorBidi"/>
          <w:noProof/>
          <w:kern w:val="2"/>
          <w:sz w:val="20"/>
          <w:szCs w:val="20"/>
          <w:bdr w:val="none" w:sz="0" w:space="0" w:color="auto"/>
          <w:lang w:eastAsia="zh-CN"/>
          <w14:ligatures w14:val="standardContextual"/>
        </w:rPr>
        <w:tab/>
      </w:r>
      <w:r w:rsidRPr="00517E72">
        <w:rPr>
          <w:rFonts w:asciiTheme="majorHAnsi" w:hAnsiTheme="majorHAnsi"/>
          <w:noProof/>
          <w:sz w:val="20"/>
          <w:szCs w:val="20"/>
        </w:rPr>
        <w:t>Ineffective assistance of court appointed counsel</w:t>
      </w:r>
      <w:r w:rsidRPr="00517E72">
        <w:rPr>
          <w:rFonts w:asciiTheme="majorHAnsi" w:hAnsiTheme="majorHAnsi"/>
          <w:noProof/>
          <w:sz w:val="20"/>
          <w:szCs w:val="20"/>
        </w:rPr>
        <w:tab/>
      </w:r>
      <w:r w:rsidRPr="00517E72">
        <w:rPr>
          <w:rFonts w:asciiTheme="majorHAnsi" w:hAnsiTheme="majorHAnsi"/>
          <w:noProof/>
          <w:sz w:val="20"/>
          <w:szCs w:val="20"/>
        </w:rPr>
        <w:fldChar w:fldCharType="begin"/>
      </w:r>
      <w:r w:rsidRPr="00517E72">
        <w:rPr>
          <w:rFonts w:asciiTheme="majorHAnsi" w:hAnsiTheme="majorHAnsi"/>
          <w:noProof/>
          <w:sz w:val="20"/>
          <w:szCs w:val="20"/>
        </w:rPr>
        <w:instrText xml:space="preserve"> PAGEREF _Toc150529030 \h </w:instrText>
      </w:r>
      <w:r w:rsidRPr="00517E72">
        <w:rPr>
          <w:rFonts w:asciiTheme="majorHAnsi" w:hAnsiTheme="majorHAnsi"/>
          <w:noProof/>
          <w:sz w:val="20"/>
          <w:szCs w:val="20"/>
        </w:rPr>
      </w:r>
      <w:r w:rsidRPr="00517E72">
        <w:rPr>
          <w:rFonts w:asciiTheme="majorHAnsi" w:hAnsiTheme="majorHAnsi"/>
          <w:noProof/>
          <w:sz w:val="20"/>
          <w:szCs w:val="20"/>
        </w:rPr>
        <w:fldChar w:fldCharType="separate"/>
      </w:r>
      <w:r w:rsidR="00F07690">
        <w:rPr>
          <w:rFonts w:asciiTheme="majorHAnsi" w:hAnsiTheme="majorHAnsi"/>
          <w:noProof/>
          <w:sz w:val="20"/>
          <w:szCs w:val="20"/>
        </w:rPr>
        <w:t>8</w:t>
      </w:r>
      <w:r w:rsidRPr="00517E72">
        <w:rPr>
          <w:rFonts w:asciiTheme="majorHAnsi" w:hAnsiTheme="majorHAnsi"/>
          <w:noProof/>
          <w:sz w:val="20"/>
          <w:szCs w:val="20"/>
        </w:rPr>
        <w:fldChar w:fldCharType="end"/>
      </w:r>
    </w:p>
    <w:p w14:paraId="11C027E5" w14:textId="2692F9F4" w:rsidR="00517E72" w:rsidRPr="00790F77" w:rsidRDefault="00517E72">
      <w:pPr>
        <w:pStyle w:val="TOC2"/>
        <w:rPr>
          <w:rFonts w:asciiTheme="majorHAnsi" w:eastAsiaTheme="minorEastAsia" w:hAnsiTheme="majorHAnsi" w:cstheme="minorBidi"/>
          <w:noProof/>
          <w:kern w:val="2"/>
          <w:sz w:val="20"/>
          <w:szCs w:val="20"/>
          <w:bdr w:val="none" w:sz="0" w:space="0" w:color="auto"/>
          <w:lang w:eastAsia="zh-CN"/>
          <w14:ligatures w14:val="standardContextual"/>
        </w:rPr>
      </w:pPr>
      <w:r w:rsidRPr="00517E72">
        <w:rPr>
          <w:rFonts w:asciiTheme="majorHAnsi" w:hAnsiTheme="majorHAnsi"/>
          <w:noProof/>
          <w:sz w:val="20"/>
          <w:szCs w:val="20"/>
        </w:rPr>
        <w:t>2.</w:t>
      </w:r>
      <w:r w:rsidRPr="00790F77">
        <w:rPr>
          <w:rFonts w:asciiTheme="majorHAnsi" w:eastAsiaTheme="minorEastAsia" w:hAnsiTheme="majorHAnsi" w:cstheme="minorBidi"/>
          <w:noProof/>
          <w:kern w:val="2"/>
          <w:sz w:val="20"/>
          <w:szCs w:val="20"/>
          <w:bdr w:val="none" w:sz="0" w:space="0" w:color="auto"/>
          <w:lang w:eastAsia="zh-CN"/>
          <w14:ligatures w14:val="standardContextual"/>
        </w:rPr>
        <w:tab/>
      </w:r>
      <w:r w:rsidRPr="00517E72">
        <w:rPr>
          <w:rFonts w:asciiTheme="majorHAnsi" w:hAnsiTheme="majorHAnsi"/>
          <w:noProof/>
          <w:sz w:val="20"/>
          <w:szCs w:val="20"/>
        </w:rPr>
        <w:t>Use of unadjudicated offences</w:t>
      </w:r>
      <w:r w:rsidRPr="00517E72">
        <w:rPr>
          <w:rFonts w:asciiTheme="majorHAnsi" w:hAnsiTheme="majorHAnsi"/>
          <w:noProof/>
          <w:sz w:val="20"/>
          <w:szCs w:val="20"/>
        </w:rPr>
        <w:tab/>
      </w:r>
      <w:r w:rsidRPr="00517E72">
        <w:rPr>
          <w:rFonts w:asciiTheme="majorHAnsi" w:hAnsiTheme="majorHAnsi"/>
          <w:noProof/>
          <w:sz w:val="20"/>
          <w:szCs w:val="20"/>
        </w:rPr>
        <w:fldChar w:fldCharType="begin"/>
      </w:r>
      <w:r w:rsidRPr="00517E72">
        <w:rPr>
          <w:rFonts w:asciiTheme="majorHAnsi" w:hAnsiTheme="majorHAnsi"/>
          <w:noProof/>
          <w:sz w:val="20"/>
          <w:szCs w:val="20"/>
        </w:rPr>
        <w:instrText xml:space="preserve"> PAGEREF _Toc150529031 \h </w:instrText>
      </w:r>
      <w:r w:rsidRPr="00517E72">
        <w:rPr>
          <w:rFonts w:asciiTheme="majorHAnsi" w:hAnsiTheme="majorHAnsi"/>
          <w:noProof/>
          <w:sz w:val="20"/>
          <w:szCs w:val="20"/>
        </w:rPr>
      </w:r>
      <w:r w:rsidRPr="00517E72">
        <w:rPr>
          <w:rFonts w:asciiTheme="majorHAnsi" w:hAnsiTheme="majorHAnsi"/>
          <w:noProof/>
          <w:sz w:val="20"/>
          <w:szCs w:val="20"/>
        </w:rPr>
        <w:fldChar w:fldCharType="separate"/>
      </w:r>
      <w:r w:rsidR="00F07690">
        <w:rPr>
          <w:rFonts w:asciiTheme="majorHAnsi" w:hAnsiTheme="majorHAnsi"/>
          <w:noProof/>
          <w:sz w:val="20"/>
          <w:szCs w:val="20"/>
        </w:rPr>
        <w:t>10</w:t>
      </w:r>
      <w:r w:rsidRPr="00517E72">
        <w:rPr>
          <w:rFonts w:asciiTheme="majorHAnsi" w:hAnsiTheme="majorHAnsi"/>
          <w:noProof/>
          <w:sz w:val="20"/>
          <w:szCs w:val="20"/>
        </w:rPr>
        <w:fldChar w:fldCharType="end"/>
      </w:r>
    </w:p>
    <w:p w14:paraId="13C73A63" w14:textId="61AD9E83" w:rsidR="00517E72" w:rsidRPr="00790F77" w:rsidRDefault="00517E72">
      <w:pPr>
        <w:pStyle w:val="TOC2"/>
        <w:rPr>
          <w:rFonts w:asciiTheme="majorHAnsi" w:eastAsiaTheme="minorEastAsia" w:hAnsiTheme="majorHAnsi" w:cstheme="minorBidi"/>
          <w:noProof/>
          <w:kern w:val="2"/>
          <w:sz w:val="20"/>
          <w:szCs w:val="20"/>
          <w:bdr w:val="none" w:sz="0" w:space="0" w:color="auto"/>
          <w:lang w:eastAsia="zh-CN"/>
          <w14:ligatures w14:val="standardContextual"/>
        </w:rPr>
      </w:pPr>
      <w:r w:rsidRPr="00517E72">
        <w:rPr>
          <w:rFonts w:asciiTheme="majorHAnsi" w:hAnsiTheme="majorHAnsi"/>
          <w:noProof/>
          <w:sz w:val="20"/>
          <w:szCs w:val="20"/>
        </w:rPr>
        <w:t>C.</w:t>
      </w:r>
      <w:r w:rsidRPr="00790F77">
        <w:rPr>
          <w:rFonts w:asciiTheme="majorHAnsi" w:eastAsiaTheme="minorEastAsia" w:hAnsiTheme="majorHAnsi" w:cstheme="minorBidi"/>
          <w:noProof/>
          <w:kern w:val="2"/>
          <w:sz w:val="20"/>
          <w:szCs w:val="20"/>
          <w:bdr w:val="none" w:sz="0" w:space="0" w:color="auto"/>
          <w:lang w:eastAsia="zh-CN"/>
          <w14:ligatures w14:val="standardContextual"/>
        </w:rPr>
        <w:tab/>
      </w:r>
      <w:r w:rsidRPr="00517E72">
        <w:rPr>
          <w:rFonts w:asciiTheme="majorHAnsi" w:hAnsiTheme="majorHAnsi"/>
          <w:noProof/>
          <w:sz w:val="20"/>
          <w:szCs w:val="20"/>
        </w:rPr>
        <w:t>The deprivation of liberty on death row and the right of protection against cruel, infamous or unusual punishment</w:t>
      </w:r>
      <w:r w:rsidRPr="00517E72">
        <w:rPr>
          <w:rFonts w:asciiTheme="majorHAnsi" w:hAnsiTheme="majorHAnsi"/>
          <w:noProof/>
          <w:sz w:val="20"/>
          <w:szCs w:val="20"/>
        </w:rPr>
        <w:tab/>
      </w:r>
      <w:r w:rsidRPr="00517E72">
        <w:rPr>
          <w:rFonts w:asciiTheme="majorHAnsi" w:hAnsiTheme="majorHAnsi"/>
          <w:noProof/>
          <w:sz w:val="20"/>
          <w:szCs w:val="20"/>
        </w:rPr>
        <w:fldChar w:fldCharType="begin"/>
      </w:r>
      <w:r w:rsidRPr="00517E72">
        <w:rPr>
          <w:rFonts w:asciiTheme="majorHAnsi" w:hAnsiTheme="majorHAnsi"/>
          <w:noProof/>
          <w:sz w:val="20"/>
          <w:szCs w:val="20"/>
        </w:rPr>
        <w:instrText xml:space="preserve"> PAGEREF _Toc150529032 \h </w:instrText>
      </w:r>
      <w:r w:rsidRPr="00517E72">
        <w:rPr>
          <w:rFonts w:asciiTheme="majorHAnsi" w:hAnsiTheme="majorHAnsi"/>
          <w:noProof/>
          <w:sz w:val="20"/>
          <w:szCs w:val="20"/>
        </w:rPr>
      </w:r>
      <w:r w:rsidRPr="00517E72">
        <w:rPr>
          <w:rFonts w:asciiTheme="majorHAnsi" w:hAnsiTheme="majorHAnsi"/>
          <w:noProof/>
          <w:sz w:val="20"/>
          <w:szCs w:val="20"/>
        </w:rPr>
        <w:fldChar w:fldCharType="separate"/>
      </w:r>
      <w:r w:rsidR="00F07690">
        <w:rPr>
          <w:rFonts w:asciiTheme="majorHAnsi" w:hAnsiTheme="majorHAnsi"/>
          <w:noProof/>
          <w:sz w:val="20"/>
          <w:szCs w:val="20"/>
        </w:rPr>
        <w:t>10</w:t>
      </w:r>
      <w:r w:rsidRPr="00517E72">
        <w:rPr>
          <w:rFonts w:asciiTheme="majorHAnsi" w:hAnsiTheme="majorHAnsi"/>
          <w:noProof/>
          <w:sz w:val="20"/>
          <w:szCs w:val="20"/>
        </w:rPr>
        <w:fldChar w:fldCharType="end"/>
      </w:r>
    </w:p>
    <w:p w14:paraId="5D17924C" w14:textId="0C47E66D" w:rsidR="00517E72" w:rsidRPr="00790F77" w:rsidRDefault="00517E72">
      <w:pPr>
        <w:pStyle w:val="TOC2"/>
        <w:rPr>
          <w:rFonts w:asciiTheme="majorHAnsi" w:eastAsiaTheme="minorEastAsia" w:hAnsiTheme="majorHAnsi" w:cstheme="minorBidi"/>
          <w:noProof/>
          <w:kern w:val="2"/>
          <w:sz w:val="20"/>
          <w:szCs w:val="20"/>
          <w:bdr w:val="none" w:sz="0" w:space="0" w:color="auto"/>
          <w:lang w:eastAsia="zh-CN"/>
          <w14:ligatures w14:val="standardContextual"/>
        </w:rPr>
      </w:pPr>
      <w:r w:rsidRPr="00517E72">
        <w:rPr>
          <w:rFonts w:asciiTheme="majorHAnsi" w:hAnsiTheme="majorHAnsi"/>
          <w:noProof/>
          <w:sz w:val="20"/>
          <w:szCs w:val="20"/>
        </w:rPr>
        <w:t>1.</w:t>
      </w:r>
      <w:r w:rsidRPr="00790F77">
        <w:rPr>
          <w:rFonts w:asciiTheme="majorHAnsi" w:eastAsiaTheme="minorEastAsia" w:hAnsiTheme="majorHAnsi" w:cstheme="minorBidi"/>
          <w:noProof/>
          <w:kern w:val="2"/>
          <w:sz w:val="20"/>
          <w:szCs w:val="20"/>
          <w:bdr w:val="none" w:sz="0" w:space="0" w:color="auto"/>
          <w:lang w:eastAsia="zh-CN"/>
          <w14:ligatures w14:val="standardContextual"/>
        </w:rPr>
        <w:tab/>
      </w:r>
      <w:r w:rsidRPr="00517E72">
        <w:rPr>
          <w:rFonts w:asciiTheme="majorHAnsi" w:hAnsiTheme="majorHAnsi"/>
          <w:noProof/>
          <w:sz w:val="20"/>
          <w:szCs w:val="20"/>
        </w:rPr>
        <w:t>Pre-trial confinement conditions and prolonged solitary confinement</w:t>
      </w:r>
      <w:r w:rsidRPr="00517E72">
        <w:rPr>
          <w:rFonts w:asciiTheme="majorHAnsi" w:hAnsiTheme="majorHAnsi"/>
          <w:noProof/>
          <w:sz w:val="20"/>
          <w:szCs w:val="20"/>
        </w:rPr>
        <w:tab/>
      </w:r>
      <w:r w:rsidRPr="00517E72">
        <w:rPr>
          <w:rFonts w:asciiTheme="majorHAnsi" w:hAnsiTheme="majorHAnsi"/>
          <w:noProof/>
          <w:sz w:val="20"/>
          <w:szCs w:val="20"/>
        </w:rPr>
        <w:fldChar w:fldCharType="begin"/>
      </w:r>
      <w:r w:rsidRPr="00517E72">
        <w:rPr>
          <w:rFonts w:asciiTheme="majorHAnsi" w:hAnsiTheme="majorHAnsi"/>
          <w:noProof/>
          <w:sz w:val="20"/>
          <w:szCs w:val="20"/>
        </w:rPr>
        <w:instrText xml:space="preserve"> PAGEREF _Toc150529033 \h </w:instrText>
      </w:r>
      <w:r w:rsidRPr="00517E72">
        <w:rPr>
          <w:rFonts w:asciiTheme="majorHAnsi" w:hAnsiTheme="majorHAnsi"/>
          <w:noProof/>
          <w:sz w:val="20"/>
          <w:szCs w:val="20"/>
        </w:rPr>
      </w:r>
      <w:r w:rsidRPr="00517E72">
        <w:rPr>
          <w:rFonts w:asciiTheme="majorHAnsi" w:hAnsiTheme="majorHAnsi"/>
          <w:noProof/>
          <w:sz w:val="20"/>
          <w:szCs w:val="20"/>
        </w:rPr>
        <w:fldChar w:fldCharType="separate"/>
      </w:r>
      <w:r w:rsidR="00F07690">
        <w:rPr>
          <w:rFonts w:asciiTheme="majorHAnsi" w:hAnsiTheme="majorHAnsi"/>
          <w:noProof/>
          <w:sz w:val="20"/>
          <w:szCs w:val="20"/>
        </w:rPr>
        <w:t>10</w:t>
      </w:r>
      <w:r w:rsidRPr="00517E72">
        <w:rPr>
          <w:rFonts w:asciiTheme="majorHAnsi" w:hAnsiTheme="majorHAnsi"/>
          <w:noProof/>
          <w:sz w:val="20"/>
          <w:szCs w:val="20"/>
        </w:rPr>
        <w:fldChar w:fldCharType="end"/>
      </w:r>
    </w:p>
    <w:p w14:paraId="6C545F7F" w14:textId="16AF4B87" w:rsidR="00517E72" w:rsidRPr="00790F77" w:rsidRDefault="00517E72">
      <w:pPr>
        <w:pStyle w:val="TOC2"/>
        <w:rPr>
          <w:rFonts w:asciiTheme="majorHAnsi" w:eastAsiaTheme="minorEastAsia" w:hAnsiTheme="majorHAnsi" w:cstheme="minorBidi"/>
          <w:noProof/>
          <w:kern w:val="2"/>
          <w:sz w:val="20"/>
          <w:szCs w:val="20"/>
          <w:bdr w:val="none" w:sz="0" w:space="0" w:color="auto"/>
          <w:lang w:eastAsia="zh-CN"/>
          <w14:ligatures w14:val="standardContextual"/>
        </w:rPr>
      </w:pPr>
      <w:r w:rsidRPr="00790F77">
        <w:rPr>
          <w:rFonts w:asciiTheme="majorHAnsi" w:hAnsiTheme="majorHAnsi"/>
          <w:noProof/>
          <w:sz w:val="20"/>
          <w:szCs w:val="20"/>
        </w:rPr>
        <w:t>2.</w:t>
      </w:r>
      <w:r w:rsidRPr="00790F77">
        <w:rPr>
          <w:rFonts w:asciiTheme="majorHAnsi" w:eastAsiaTheme="minorEastAsia" w:hAnsiTheme="majorHAnsi" w:cstheme="minorBidi"/>
          <w:noProof/>
          <w:kern w:val="2"/>
          <w:sz w:val="20"/>
          <w:szCs w:val="20"/>
          <w:bdr w:val="none" w:sz="0" w:space="0" w:color="auto"/>
          <w:lang w:eastAsia="zh-CN"/>
          <w14:ligatures w14:val="standardContextual"/>
        </w:rPr>
        <w:tab/>
      </w:r>
      <w:r w:rsidRPr="00790F77">
        <w:rPr>
          <w:rFonts w:asciiTheme="majorHAnsi" w:hAnsiTheme="majorHAnsi"/>
          <w:noProof/>
          <w:sz w:val="20"/>
          <w:szCs w:val="20"/>
        </w:rPr>
        <w:t>Death row confinement conditions</w:t>
      </w:r>
      <w:r w:rsidRPr="00517E72">
        <w:rPr>
          <w:rFonts w:asciiTheme="majorHAnsi" w:hAnsiTheme="majorHAnsi"/>
          <w:noProof/>
          <w:sz w:val="20"/>
          <w:szCs w:val="20"/>
        </w:rPr>
        <w:tab/>
      </w:r>
      <w:r w:rsidRPr="00517E72">
        <w:rPr>
          <w:rFonts w:asciiTheme="majorHAnsi" w:hAnsiTheme="majorHAnsi"/>
          <w:noProof/>
          <w:sz w:val="20"/>
          <w:szCs w:val="20"/>
        </w:rPr>
        <w:fldChar w:fldCharType="begin"/>
      </w:r>
      <w:r w:rsidRPr="00517E72">
        <w:rPr>
          <w:rFonts w:asciiTheme="majorHAnsi" w:hAnsiTheme="majorHAnsi"/>
          <w:noProof/>
          <w:sz w:val="20"/>
          <w:szCs w:val="20"/>
        </w:rPr>
        <w:instrText xml:space="preserve"> PAGEREF _Toc150529034 \h </w:instrText>
      </w:r>
      <w:r w:rsidRPr="00517E72">
        <w:rPr>
          <w:rFonts w:asciiTheme="majorHAnsi" w:hAnsiTheme="majorHAnsi"/>
          <w:noProof/>
          <w:sz w:val="20"/>
          <w:szCs w:val="20"/>
        </w:rPr>
      </w:r>
      <w:r w:rsidRPr="00517E72">
        <w:rPr>
          <w:rFonts w:asciiTheme="majorHAnsi" w:hAnsiTheme="majorHAnsi"/>
          <w:noProof/>
          <w:sz w:val="20"/>
          <w:szCs w:val="20"/>
        </w:rPr>
        <w:fldChar w:fldCharType="separate"/>
      </w:r>
      <w:r w:rsidR="00F07690">
        <w:rPr>
          <w:rFonts w:asciiTheme="majorHAnsi" w:hAnsiTheme="majorHAnsi"/>
          <w:noProof/>
          <w:sz w:val="20"/>
          <w:szCs w:val="20"/>
        </w:rPr>
        <w:t>13</w:t>
      </w:r>
      <w:r w:rsidRPr="00517E72">
        <w:rPr>
          <w:rFonts w:asciiTheme="majorHAnsi" w:hAnsiTheme="majorHAnsi"/>
          <w:noProof/>
          <w:sz w:val="20"/>
          <w:szCs w:val="20"/>
        </w:rPr>
        <w:fldChar w:fldCharType="end"/>
      </w:r>
    </w:p>
    <w:p w14:paraId="7BE08EEF" w14:textId="08049DA6" w:rsidR="00517E72" w:rsidRPr="00790F77" w:rsidRDefault="00517E72">
      <w:pPr>
        <w:pStyle w:val="TOC2"/>
        <w:rPr>
          <w:rFonts w:asciiTheme="majorHAnsi" w:eastAsiaTheme="minorEastAsia" w:hAnsiTheme="majorHAnsi" w:cstheme="minorBidi"/>
          <w:noProof/>
          <w:kern w:val="2"/>
          <w:sz w:val="20"/>
          <w:szCs w:val="20"/>
          <w:bdr w:val="none" w:sz="0" w:space="0" w:color="auto"/>
          <w:lang w:eastAsia="zh-CN"/>
          <w14:ligatures w14:val="standardContextual"/>
        </w:rPr>
      </w:pPr>
      <w:r w:rsidRPr="00517E72">
        <w:rPr>
          <w:rFonts w:asciiTheme="majorHAnsi" w:hAnsiTheme="majorHAnsi"/>
          <w:noProof/>
          <w:sz w:val="20"/>
          <w:szCs w:val="20"/>
        </w:rPr>
        <w:t>D.</w:t>
      </w:r>
      <w:r w:rsidRPr="00790F77">
        <w:rPr>
          <w:rFonts w:asciiTheme="majorHAnsi" w:eastAsiaTheme="minorEastAsia" w:hAnsiTheme="majorHAnsi" w:cstheme="minorBidi"/>
          <w:noProof/>
          <w:kern w:val="2"/>
          <w:sz w:val="20"/>
          <w:szCs w:val="20"/>
          <w:bdr w:val="none" w:sz="0" w:space="0" w:color="auto"/>
          <w:lang w:eastAsia="zh-CN"/>
          <w14:ligatures w14:val="standardContextual"/>
        </w:rPr>
        <w:tab/>
      </w:r>
      <w:r w:rsidRPr="00517E72">
        <w:rPr>
          <w:rFonts w:asciiTheme="majorHAnsi" w:hAnsiTheme="majorHAnsi"/>
          <w:noProof/>
          <w:sz w:val="20"/>
          <w:szCs w:val="20"/>
        </w:rPr>
        <w:t xml:space="preserve">Right to petition </w:t>
      </w:r>
      <w:r w:rsidRPr="00517E72">
        <w:rPr>
          <w:rFonts w:asciiTheme="majorHAnsi" w:hAnsiTheme="majorHAnsi"/>
          <w:noProof/>
          <w:sz w:val="20"/>
          <w:szCs w:val="20"/>
        </w:rPr>
        <w:tab/>
      </w:r>
      <w:r w:rsidRPr="00517E72">
        <w:rPr>
          <w:rFonts w:asciiTheme="majorHAnsi" w:hAnsiTheme="majorHAnsi"/>
          <w:noProof/>
          <w:sz w:val="20"/>
          <w:szCs w:val="20"/>
        </w:rPr>
        <w:fldChar w:fldCharType="begin"/>
      </w:r>
      <w:r w:rsidRPr="00517E72">
        <w:rPr>
          <w:rFonts w:asciiTheme="majorHAnsi" w:hAnsiTheme="majorHAnsi"/>
          <w:noProof/>
          <w:sz w:val="20"/>
          <w:szCs w:val="20"/>
        </w:rPr>
        <w:instrText xml:space="preserve"> PAGEREF _Toc150529035 \h </w:instrText>
      </w:r>
      <w:r w:rsidRPr="00517E72">
        <w:rPr>
          <w:rFonts w:asciiTheme="majorHAnsi" w:hAnsiTheme="majorHAnsi"/>
          <w:noProof/>
          <w:sz w:val="20"/>
          <w:szCs w:val="20"/>
        </w:rPr>
      </w:r>
      <w:r w:rsidRPr="00517E72">
        <w:rPr>
          <w:rFonts w:asciiTheme="majorHAnsi" w:hAnsiTheme="majorHAnsi"/>
          <w:noProof/>
          <w:sz w:val="20"/>
          <w:szCs w:val="20"/>
        </w:rPr>
        <w:fldChar w:fldCharType="separate"/>
      </w:r>
      <w:r w:rsidR="00F07690">
        <w:rPr>
          <w:rFonts w:asciiTheme="majorHAnsi" w:hAnsiTheme="majorHAnsi"/>
          <w:noProof/>
          <w:sz w:val="20"/>
          <w:szCs w:val="20"/>
        </w:rPr>
        <w:t>14</w:t>
      </w:r>
      <w:r w:rsidRPr="00517E72">
        <w:rPr>
          <w:rFonts w:asciiTheme="majorHAnsi" w:hAnsiTheme="majorHAnsi"/>
          <w:noProof/>
          <w:sz w:val="20"/>
          <w:szCs w:val="20"/>
        </w:rPr>
        <w:fldChar w:fldCharType="end"/>
      </w:r>
    </w:p>
    <w:p w14:paraId="70D85424" w14:textId="6156BFE6" w:rsidR="00517E72" w:rsidRPr="00790F77" w:rsidRDefault="00517E72">
      <w:pPr>
        <w:pStyle w:val="TOC2"/>
        <w:rPr>
          <w:rFonts w:asciiTheme="majorHAnsi" w:eastAsiaTheme="minorEastAsia" w:hAnsiTheme="majorHAnsi" w:cstheme="minorBidi"/>
          <w:noProof/>
          <w:kern w:val="2"/>
          <w:sz w:val="20"/>
          <w:szCs w:val="20"/>
          <w:bdr w:val="none" w:sz="0" w:space="0" w:color="auto"/>
          <w:lang w:eastAsia="zh-CN"/>
          <w14:ligatures w14:val="standardContextual"/>
        </w:rPr>
      </w:pPr>
      <w:r w:rsidRPr="00517E72">
        <w:rPr>
          <w:rFonts w:asciiTheme="majorHAnsi" w:hAnsiTheme="majorHAnsi"/>
          <w:noProof/>
          <w:sz w:val="20"/>
          <w:szCs w:val="20"/>
        </w:rPr>
        <w:t>E.</w:t>
      </w:r>
      <w:r w:rsidRPr="00790F77">
        <w:rPr>
          <w:rFonts w:asciiTheme="majorHAnsi" w:eastAsiaTheme="minorEastAsia" w:hAnsiTheme="majorHAnsi" w:cstheme="minorBidi"/>
          <w:noProof/>
          <w:kern w:val="2"/>
          <w:sz w:val="20"/>
          <w:szCs w:val="20"/>
          <w:bdr w:val="none" w:sz="0" w:space="0" w:color="auto"/>
          <w:lang w:eastAsia="zh-CN"/>
          <w14:ligatures w14:val="standardContextual"/>
        </w:rPr>
        <w:tab/>
      </w:r>
      <w:r w:rsidRPr="00517E72">
        <w:rPr>
          <w:rFonts w:asciiTheme="majorHAnsi" w:hAnsiTheme="majorHAnsi"/>
          <w:noProof/>
          <w:sz w:val="20"/>
          <w:szCs w:val="20"/>
        </w:rPr>
        <w:t>Right to life</w:t>
      </w:r>
      <w:r w:rsidRPr="00517E72">
        <w:rPr>
          <w:rFonts w:asciiTheme="majorHAnsi" w:hAnsiTheme="majorHAnsi"/>
          <w:noProof/>
          <w:sz w:val="20"/>
          <w:szCs w:val="20"/>
        </w:rPr>
        <w:tab/>
      </w:r>
      <w:r w:rsidRPr="00517E72">
        <w:rPr>
          <w:rFonts w:asciiTheme="majorHAnsi" w:hAnsiTheme="majorHAnsi"/>
          <w:noProof/>
          <w:sz w:val="20"/>
          <w:szCs w:val="20"/>
        </w:rPr>
        <w:fldChar w:fldCharType="begin"/>
      </w:r>
      <w:r w:rsidRPr="00517E72">
        <w:rPr>
          <w:rFonts w:asciiTheme="majorHAnsi" w:hAnsiTheme="majorHAnsi"/>
          <w:noProof/>
          <w:sz w:val="20"/>
          <w:szCs w:val="20"/>
        </w:rPr>
        <w:instrText xml:space="preserve"> PAGEREF _Toc150529036 \h </w:instrText>
      </w:r>
      <w:r w:rsidRPr="00517E72">
        <w:rPr>
          <w:rFonts w:asciiTheme="majorHAnsi" w:hAnsiTheme="majorHAnsi"/>
          <w:noProof/>
          <w:sz w:val="20"/>
          <w:szCs w:val="20"/>
        </w:rPr>
      </w:r>
      <w:r w:rsidRPr="00517E72">
        <w:rPr>
          <w:rFonts w:asciiTheme="majorHAnsi" w:hAnsiTheme="majorHAnsi"/>
          <w:noProof/>
          <w:sz w:val="20"/>
          <w:szCs w:val="20"/>
        </w:rPr>
        <w:fldChar w:fldCharType="separate"/>
      </w:r>
      <w:r w:rsidR="00F07690">
        <w:rPr>
          <w:rFonts w:asciiTheme="majorHAnsi" w:hAnsiTheme="majorHAnsi"/>
          <w:noProof/>
          <w:sz w:val="20"/>
          <w:szCs w:val="20"/>
        </w:rPr>
        <w:t>15</w:t>
      </w:r>
      <w:r w:rsidRPr="00517E72">
        <w:rPr>
          <w:rFonts w:asciiTheme="majorHAnsi" w:hAnsiTheme="majorHAnsi"/>
          <w:noProof/>
          <w:sz w:val="20"/>
          <w:szCs w:val="20"/>
        </w:rPr>
        <w:fldChar w:fldCharType="end"/>
      </w:r>
    </w:p>
    <w:p w14:paraId="3620E9E1" w14:textId="7A155C80" w:rsidR="00517E72" w:rsidRPr="00790F77" w:rsidRDefault="00517E72">
      <w:pPr>
        <w:pStyle w:val="TOC1"/>
        <w:rPr>
          <w:rFonts w:eastAsiaTheme="minorEastAsia" w:cstheme="minorBidi"/>
          <w:kern w:val="2"/>
          <w:bdr w:val="none" w:sz="0" w:space="0" w:color="auto"/>
          <w:lang w:val="en-US" w:eastAsia="zh-CN"/>
          <w14:ligatures w14:val="standardContextual"/>
        </w:rPr>
      </w:pPr>
      <w:r w:rsidRPr="00790F77">
        <w:rPr>
          <w:lang w:val="en-US"/>
        </w:rPr>
        <w:t>V.</w:t>
      </w:r>
      <w:r w:rsidRPr="00790F77">
        <w:rPr>
          <w:rFonts w:eastAsiaTheme="minorEastAsia" w:cstheme="minorBidi"/>
          <w:kern w:val="2"/>
          <w:bdr w:val="none" w:sz="0" w:space="0" w:color="auto"/>
          <w:lang w:val="en-US" w:eastAsia="zh-CN"/>
          <w14:ligatures w14:val="standardContextual"/>
        </w:rPr>
        <w:tab/>
      </w:r>
      <w:r w:rsidRPr="00790F77">
        <w:rPr>
          <w:lang w:val="en-US"/>
        </w:rPr>
        <w:t>REPORT No. 161/19 AND INFORMATION ABOUT COMPLIANCE</w:t>
      </w:r>
      <w:r w:rsidRPr="00790F77">
        <w:rPr>
          <w:lang w:val="en-US"/>
        </w:rPr>
        <w:tab/>
      </w:r>
      <w:r w:rsidRPr="00517E72">
        <w:fldChar w:fldCharType="begin"/>
      </w:r>
      <w:r w:rsidRPr="00790F77">
        <w:rPr>
          <w:lang w:val="en-US"/>
        </w:rPr>
        <w:instrText xml:space="preserve"> PAGEREF _Toc150529037 \h </w:instrText>
      </w:r>
      <w:r w:rsidRPr="00517E72">
        <w:fldChar w:fldCharType="separate"/>
      </w:r>
      <w:r w:rsidR="00F07690">
        <w:rPr>
          <w:lang w:val="en-US"/>
        </w:rPr>
        <w:t>15</w:t>
      </w:r>
      <w:r w:rsidRPr="00517E72">
        <w:fldChar w:fldCharType="end"/>
      </w:r>
    </w:p>
    <w:p w14:paraId="27B93FDF" w14:textId="7D10A328" w:rsidR="00517E72" w:rsidRPr="00790F77" w:rsidRDefault="00517E72">
      <w:pPr>
        <w:pStyle w:val="TOC1"/>
        <w:rPr>
          <w:rFonts w:eastAsiaTheme="minorEastAsia" w:cstheme="minorBidi"/>
          <w:kern w:val="2"/>
          <w:bdr w:val="none" w:sz="0" w:space="0" w:color="auto"/>
          <w:lang w:val="en-US" w:eastAsia="zh-CN"/>
          <w14:ligatures w14:val="standardContextual"/>
        </w:rPr>
      </w:pPr>
      <w:r w:rsidRPr="00790F77">
        <w:rPr>
          <w:lang w:val="en-US"/>
        </w:rPr>
        <w:t>VI.</w:t>
      </w:r>
      <w:r w:rsidRPr="00790F77">
        <w:rPr>
          <w:rFonts w:eastAsiaTheme="minorEastAsia" w:cstheme="minorBidi"/>
          <w:kern w:val="2"/>
          <w:bdr w:val="none" w:sz="0" w:space="0" w:color="auto"/>
          <w:lang w:val="en-US" w:eastAsia="zh-CN"/>
          <w14:ligatures w14:val="standardContextual"/>
        </w:rPr>
        <w:tab/>
      </w:r>
      <w:r w:rsidRPr="00790F77">
        <w:rPr>
          <w:lang w:val="en-US"/>
        </w:rPr>
        <w:t>ACTIONS SUBSEQUENT TO REPORT No. 335/21</w:t>
      </w:r>
      <w:r w:rsidRPr="00790F77">
        <w:rPr>
          <w:lang w:val="en-US"/>
        </w:rPr>
        <w:tab/>
      </w:r>
      <w:r w:rsidRPr="00517E72">
        <w:fldChar w:fldCharType="begin"/>
      </w:r>
      <w:r w:rsidRPr="00790F77">
        <w:rPr>
          <w:lang w:val="en-US"/>
        </w:rPr>
        <w:instrText xml:space="preserve"> PAGEREF _Toc150529038 \h </w:instrText>
      </w:r>
      <w:r w:rsidRPr="00517E72">
        <w:fldChar w:fldCharType="separate"/>
      </w:r>
      <w:r w:rsidR="00F07690">
        <w:rPr>
          <w:lang w:val="en-US"/>
        </w:rPr>
        <w:t>16</w:t>
      </w:r>
      <w:r w:rsidRPr="00517E72">
        <w:fldChar w:fldCharType="end"/>
      </w:r>
    </w:p>
    <w:p w14:paraId="08D40D68" w14:textId="58BD2F64" w:rsidR="00517E72" w:rsidRPr="00790F77" w:rsidRDefault="00517E72">
      <w:pPr>
        <w:pStyle w:val="TOC1"/>
        <w:rPr>
          <w:rFonts w:eastAsiaTheme="minorEastAsia" w:cstheme="minorBidi"/>
          <w:kern w:val="2"/>
          <w:bdr w:val="none" w:sz="0" w:space="0" w:color="auto"/>
          <w:lang w:val="en-US" w:eastAsia="zh-CN"/>
          <w14:ligatures w14:val="standardContextual"/>
        </w:rPr>
      </w:pPr>
      <w:r w:rsidRPr="00790F77">
        <w:rPr>
          <w:lang w:val="en-US"/>
        </w:rPr>
        <w:t>VII.</w:t>
      </w:r>
      <w:r w:rsidRPr="00790F77">
        <w:rPr>
          <w:rFonts w:eastAsiaTheme="minorEastAsia" w:cstheme="minorBidi"/>
          <w:kern w:val="2"/>
          <w:bdr w:val="none" w:sz="0" w:space="0" w:color="auto"/>
          <w:lang w:val="en-US" w:eastAsia="zh-CN"/>
          <w14:ligatures w14:val="standardContextual"/>
        </w:rPr>
        <w:tab/>
      </w:r>
      <w:r w:rsidRPr="00790F77">
        <w:rPr>
          <w:lang w:val="en-US"/>
        </w:rPr>
        <w:t>FINAL CONCLUSIONS AND RECOMMENDATIONS</w:t>
      </w:r>
      <w:r w:rsidRPr="00790F77">
        <w:rPr>
          <w:lang w:val="en-US"/>
        </w:rPr>
        <w:tab/>
      </w:r>
      <w:r w:rsidRPr="00517E72">
        <w:fldChar w:fldCharType="begin"/>
      </w:r>
      <w:r w:rsidRPr="00790F77">
        <w:rPr>
          <w:lang w:val="en-US"/>
        </w:rPr>
        <w:instrText xml:space="preserve"> PAGEREF _Toc150529039 \h </w:instrText>
      </w:r>
      <w:r w:rsidRPr="00517E72">
        <w:fldChar w:fldCharType="separate"/>
      </w:r>
      <w:r w:rsidR="00F07690">
        <w:rPr>
          <w:lang w:val="en-US"/>
        </w:rPr>
        <w:t>16</w:t>
      </w:r>
      <w:r w:rsidRPr="00517E72">
        <w:fldChar w:fldCharType="end"/>
      </w:r>
    </w:p>
    <w:p w14:paraId="4A12F585" w14:textId="02D17587" w:rsidR="00517E72" w:rsidRPr="00517E72" w:rsidRDefault="00517E72">
      <w:pPr>
        <w:pStyle w:val="TOC1"/>
        <w:rPr>
          <w:rFonts w:eastAsiaTheme="minorEastAsia" w:cstheme="minorBidi"/>
          <w:kern w:val="2"/>
          <w:bdr w:val="none" w:sz="0" w:space="0" w:color="auto"/>
          <w:lang w:val="es-US" w:eastAsia="zh-CN"/>
          <w14:ligatures w14:val="standardContextual"/>
        </w:rPr>
      </w:pPr>
      <w:r w:rsidRPr="00517E72">
        <w:t>VIII.</w:t>
      </w:r>
      <w:r w:rsidRPr="00517E72">
        <w:rPr>
          <w:rFonts w:eastAsiaTheme="minorEastAsia" w:cstheme="minorBidi"/>
          <w:kern w:val="2"/>
          <w:bdr w:val="none" w:sz="0" w:space="0" w:color="auto"/>
          <w:lang w:val="es-US" w:eastAsia="zh-CN"/>
          <w14:ligatures w14:val="standardContextual"/>
        </w:rPr>
        <w:tab/>
      </w:r>
      <w:r w:rsidRPr="00517E72">
        <w:t>PUBLICATION</w:t>
      </w:r>
      <w:r w:rsidRPr="00517E72">
        <w:tab/>
      </w:r>
      <w:r w:rsidRPr="00517E72">
        <w:fldChar w:fldCharType="begin"/>
      </w:r>
      <w:r w:rsidRPr="00517E72">
        <w:instrText xml:space="preserve"> PAGEREF _Toc150529040 \h </w:instrText>
      </w:r>
      <w:r w:rsidRPr="00517E72">
        <w:fldChar w:fldCharType="separate"/>
      </w:r>
      <w:r w:rsidR="00F07690">
        <w:t>16</w:t>
      </w:r>
      <w:r w:rsidRPr="00517E72">
        <w:fldChar w:fldCharType="end"/>
      </w:r>
    </w:p>
    <w:p w14:paraId="604BBBAF" w14:textId="5461C5A2" w:rsidR="007607C4" w:rsidRPr="00572A15" w:rsidRDefault="00EB291F" w:rsidP="00145EDC">
      <w:pPr>
        <w:tabs>
          <w:tab w:val="center" w:pos="5400"/>
        </w:tabs>
        <w:suppressAutoHyphens/>
        <w:spacing w:line="276" w:lineRule="auto"/>
        <w:rPr>
          <w:rFonts w:asciiTheme="majorHAnsi" w:hAnsiTheme="majorHAnsi"/>
          <w:sz w:val="20"/>
          <w:szCs w:val="20"/>
        </w:rPr>
      </w:pPr>
      <w:r w:rsidRPr="00517E72">
        <w:rPr>
          <w:rFonts w:asciiTheme="majorHAnsi" w:hAnsiTheme="majorHAnsi"/>
          <w:noProof/>
          <w:sz w:val="20"/>
          <w:szCs w:val="20"/>
          <w:lang w:val="es-ES_tradnl"/>
        </w:rPr>
        <w:fldChar w:fldCharType="end"/>
      </w:r>
    </w:p>
    <w:p w14:paraId="546C2089" w14:textId="77777777" w:rsidR="007607C4" w:rsidRPr="00DE2580" w:rsidRDefault="000572DC" w:rsidP="000572DC">
      <w:pPr>
        <w:tabs>
          <w:tab w:val="left" w:pos="7986"/>
        </w:tabs>
        <w:suppressAutoHyphens/>
        <w:spacing w:line="276" w:lineRule="auto"/>
        <w:rPr>
          <w:rFonts w:asciiTheme="majorHAnsi" w:hAnsiTheme="majorHAnsi"/>
          <w:sz w:val="20"/>
          <w:szCs w:val="18"/>
        </w:rPr>
      </w:pPr>
      <w:r w:rsidRPr="00DE2580">
        <w:rPr>
          <w:rFonts w:asciiTheme="majorHAnsi" w:hAnsiTheme="majorHAnsi"/>
          <w:sz w:val="20"/>
          <w:szCs w:val="18"/>
        </w:rPr>
        <w:tab/>
      </w:r>
    </w:p>
    <w:p w14:paraId="5328FA31" w14:textId="77777777" w:rsidR="007607C4" w:rsidRPr="00DE2580" w:rsidRDefault="007607C4" w:rsidP="00145EDC">
      <w:pPr>
        <w:tabs>
          <w:tab w:val="center" w:pos="5400"/>
        </w:tabs>
        <w:suppressAutoHyphens/>
        <w:spacing w:line="276" w:lineRule="auto"/>
        <w:rPr>
          <w:rFonts w:asciiTheme="majorHAnsi" w:hAnsiTheme="majorHAnsi"/>
          <w:sz w:val="20"/>
          <w:szCs w:val="18"/>
        </w:rPr>
      </w:pPr>
    </w:p>
    <w:p w14:paraId="6612FC25" w14:textId="77777777" w:rsidR="007607C4" w:rsidRPr="00DE2580" w:rsidRDefault="007607C4" w:rsidP="00145EDC">
      <w:pPr>
        <w:tabs>
          <w:tab w:val="center" w:pos="5400"/>
        </w:tabs>
        <w:suppressAutoHyphens/>
        <w:spacing w:line="276" w:lineRule="auto"/>
        <w:rPr>
          <w:rFonts w:asciiTheme="majorHAnsi" w:hAnsiTheme="majorHAnsi"/>
          <w:sz w:val="20"/>
          <w:szCs w:val="20"/>
        </w:rPr>
      </w:pPr>
    </w:p>
    <w:p w14:paraId="01600930" w14:textId="77777777" w:rsidR="007607C4" w:rsidRPr="00DE2580" w:rsidRDefault="007607C4" w:rsidP="00145EDC">
      <w:pPr>
        <w:tabs>
          <w:tab w:val="center" w:pos="5400"/>
        </w:tabs>
        <w:suppressAutoHyphens/>
        <w:spacing w:line="276" w:lineRule="auto"/>
        <w:rPr>
          <w:rFonts w:asciiTheme="majorHAnsi" w:hAnsiTheme="majorHAnsi"/>
          <w:sz w:val="20"/>
          <w:szCs w:val="20"/>
        </w:rPr>
      </w:pPr>
    </w:p>
    <w:p w14:paraId="5C4D1F92" w14:textId="77777777" w:rsidR="007607C4" w:rsidRPr="00DE2580" w:rsidRDefault="007607C4" w:rsidP="00145EDC">
      <w:pPr>
        <w:tabs>
          <w:tab w:val="center" w:pos="5400"/>
        </w:tabs>
        <w:suppressAutoHyphens/>
        <w:spacing w:line="276" w:lineRule="auto"/>
        <w:rPr>
          <w:rFonts w:asciiTheme="majorHAnsi" w:hAnsiTheme="majorHAnsi"/>
          <w:sz w:val="20"/>
          <w:szCs w:val="20"/>
        </w:rPr>
      </w:pPr>
    </w:p>
    <w:p w14:paraId="15C11988" w14:textId="77777777" w:rsidR="007607C4" w:rsidRPr="00DE2580" w:rsidRDefault="007607C4" w:rsidP="00145EDC">
      <w:pPr>
        <w:tabs>
          <w:tab w:val="center" w:pos="5400"/>
        </w:tabs>
        <w:suppressAutoHyphens/>
        <w:spacing w:line="276" w:lineRule="auto"/>
        <w:rPr>
          <w:rFonts w:asciiTheme="majorHAnsi" w:hAnsiTheme="majorHAnsi"/>
          <w:sz w:val="20"/>
          <w:szCs w:val="20"/>
        </w:rPr>
      </w:pPr>
    </w:p>
    <w:p w14:paraId="2BFD2E28" w14:textId="77777777" w:rsidR="007607C4" w:rsidRPr="00DE2580" w:rsidRDefault="00A84A45" w:rsidP="00452DAB">
      <w:pPr>
        <w:rPr>
          <w:rFonts w:asciiTheme="majorHAnsi" w:hAnsiTheme="majorHAnsi"/>
          <w:b/>
          <w:sz w:val="18"/>
          <w:szCs w:val="20"/>
        </w:rPr>
      </w:pPr>
      <w:r w:rsidRPr="00DE2580">
        <w:rPr>
          <w:rFonts w:asciiTheme="majorHAnsi" w:hAnsiTheme="majorHAnsi"/>
          <w:b/>
          <w:sz w:val="18"/>
          <w:szCs w:val="20"/>
        </w:rPr>
        <w:br w:type="page"/>
      </w:r>
    </w:p>
    <w:p w14:paraId="2AE06D67" w14:textId="77777777" w:rsidR="001C4006" w:rsidRPr="00DE2580" w:rsidRDefault="00830E88" w:rsidP="00EF2C67">
      <w:pPr>
        <w:pStyle w:val="Heading1"/>
        <w:tabs>
          <w:tab w:val="left" w:pos="360"/>
        </w:tabs>
        <w:spacing w:before="0"/>
        <w:ind w:hanging="720"/>
        <w:rPr>
          <w:color w:val="auto"/>
          <w:sz w:val="20"/>
          <w:szCs w:val="20"/>
        </w:rPr>
      </w:pPr>
      <w:bookmarkStart w:id="0" w:name="_Toc150529019"/>
      <w:r w:rsidRPr="00DE2580">
        <w:rPr>
          <w:color w:val="auto"/>
          <w:sz w:val="20"/>
          <w:szCs w:val="20"/>
        </w:rPr>
        <w:lastRenderedPageBreak/>
        <w:t>INTRODUCTION</w:t>
      </w:r>
      <w:bookmarkEnd w:id="0"/>
      <w:r w:rsidR="001C4006" w:rsidRPr="00DE2580">
        <w:rPr>
          <w:color w:val="auto"/>
          <w:sz w:val="20"/>
          <w:szCs w:val="20"/>
        </w:rPr>
        <w:t xml:space="preserve"> </w:t>
      </w:r>
    </w:p>
    <w:p w14:paraId="7ED1DD15" w14:textId="77777777" w:rsidR="001C4006" w:rsidRPr="00DE2580" w:rsidRDefault="001C4006" w:rsidP="00BB5A59">
      <w:pPr>
        <w:suppressAutoHyphens/>
        <w:ind w:left="1440" w:hanging="720"/>
        <w:rPr>
          <w:rFonts w:asciiTheme="majorHAnsi" w:hAnsiTheme="majorHAnsi"/>
          <w:b/>
          <w:sz w:val="20"/>
          <w:szCs w:val="20"/>
        </w:rPr>
      </w:pPr>
    </w:p>
    <w:p w14:paraId="541B7892" w14:textId="77777777" w:rsidR="00F0764A" w:rsidRPr="00DE2580" w:rsidRDefault="003538F7" w:rsidP="00EF2C6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color w:val="000000" w:themeColor="text1"/>
          <w:sz w:val="20"/>
          <w:szCs w:val="20"/>
        </w:rPr>
      </w:pPr>
      <w:r w:rsidRPr="00DE2580">
        <w:rPr>
          <w:rFonts w:asciiTheme="majorHAnsi" w:eastAsia="Times New Roman" w:hAnsiTheme="majorHAnsi"/>
          <w:sz w:val="20"/>
          <w:szCs w:val="20"/>
          <w:lang w:val="en-GB"/>
        </w:rPr>
        <w:t>On February 25, 2002, the Inter-American Commission on Human Rights (hereinafter the “Commission”) received a petition</w:t>
      </w:r>
      <w:r w:rsidR="00BA19D1" w:rsidRPr="00DE2580">
        <w:rPr>
          <w:rStyle w:val="FootnoteReference"/>
          <w:rFonts w:asciiTheme="majorHAnsi" w:hAnsiTheme="majorHAnsi"/>
          <w:color w:val="000000" w:themeColor="text1"/>
          <w:sz w:val="20"/>
          <w:szCs w:val="20"/>
        </w:rPr>
        <w:footnoteReference w:id="3"/>
      </w:r>
      <w:r w:rsidR="00BA19D1" w:rsidRPr="00DE2580">
        <w:rPr>
          <w:rFonts w:asciiTheme="majorHAnsi" w:eastAsia="Times New Roman" w:hAnsiTheme="majorHAnsi"/>
          <w:sz w:val="20"/>
          <w:szCs w:val="20"/>
          <w:lang w:val="en-GB"/>
        </w:rPr>
        <w:t xml:space="preserve"> </w:t>
      </w:r>
      <w:r w:rsidRPr="00DE2580">
        <w:rPr>
          <w:rFonts w:asciiTheme="majorHAnsi" w:eastAsia="Times New Roman" w:hAnsiTheme="majorHAnsi"/>
          <w:sz w:val="20"/>
          <w:szCs w:val="20"/>
          <w:lang w:val="en-GB"/>
        </w:rPr>
        <w:t xml:space="preserve"> from Adrian Fulford and Hugh Southey, Barristers with Tooks Court, London, Yasmin Waljee, Solicitor with Lovells, London, and Robert McGlasson and Elizabeth Wells with the Federal Defender Program, Atlanta, Georgia (hereinafter “the Petitioners”) against the Government of the United States of America (hereinafter the “State” or “United States”).  The petition was presented on behalf of Mr. Tracy Lee Housel</w:t>
      </w:r>
      <w:r w:rsidR="00437266" w:rsidRPr="00DE2580">
        <w:rPr>
          <w:rFonts w:asciiTheme="majorHAnsi" w:eastAsia="Times New Roman" w:hAnsiTheme="majorHAnsi"/>
          <w:sz w:val="20"/>
          <w:szCs w:val="20"/>
          <w:lang w:val="en-GB"/>
        </w:rPr>
        <w:t xml:space="preserve"> (hereinafter “Mr. Housel” or “Housel”)</w:t>
      </w:r>
      <w:r w:rsidRPr="00DE2580">
        <w:rPr>
          <w:rFonts w:asciiTheme="majorHAnsi" w:eastAsia="Times New Roman" w:hAnsiTheme="majorHAnsi"/>
          <w:sz w:val="20"/>
          <w:szCs w:val="20"/>
          <w:lang w:val="en-GB"/>
        </w:rPr>
        <w:t>, a citizen of the United States and the United Kingdom who was sentenced</w:t>
      </w:r>
      <w:r w:rsidR="00530412" w:rsidRPr="00DE2580">
        <w:rPr>
          <w:rFonts w:asciiTheme="majorHAnsi" w:eastAsia="Times New Roman" w:hAnsiTheme="majorHAnsi"/>
          <w:sz w:val="20"/>
          <w:szCs w:val="20"/>
          <w:lang w:val="en-GB"/>
        </w:rPr>
        <w:t xml:space="preserve"> to death on February 7, 1986</w:t>
      </w:r>
      <w:r w:rsidR="00BA19D1" w:rsidRPr="00DE2580">
        <w:rPr>
          <w:rFonts w:asciiTheme="majorHAnsi" w:eastAsia="Times New Roman" w:hAnsiTheme="majorHAnsi"/>
          <w:sz w:val="20"/>
          <w:szCs w:val="20"/>
          <w:lang w:val="en-GB"/>
        </w:rPr>
        <w:t xml:space="preserve"> </w:t>
      </w:r>
      <w:r w:rsidR="00530412" w:rsidRPr="00DE2580">
        <w:rPr>
          <w:rFonts w:asciiTheme="majorHAnsi" w:eastAsia="Times New Roman" w:hAnsiTheme="majorHAnsi"/>
          <w:sz w:val="20"/>
          <w:szCs w:val="20"/>
          <w:lang w:val="en-GB"/>
        </w:rPr>
        <w:t xml:space="preserve">and </w:t>
      </w:r>
      <w:r w:rsidRPr="00DE2580">
        <w:rPr>
          <w:rFonts w:asciiTheme="majorHAnsi" w:eastAsia="Times New Roman" w:hAnsiTheme="majorHAnsi"/>
          <w:sz w:val="20"/>
          <w:szCs w:val="20"/>
          <w:lang w:val="en-GB"/>
        </w:rPr>
        <w:t>subseque</w:t>
      </w:r>
      <w:r w:rsidR="00530412" w:rsidRPr="00DE2580">
        <w:rPr>
          <w:rFonts w:asciiTheme="majorHAnsi" w:eastAsia="Times New Roman" w:hAnsiTheme="majorHAnsi"/>
          <w:sz w:val="20"/>
          <w:szCs w:val="20"/>
          <w:lang w:val="en-GB"/>
        </w:rPr>
        <w:t>ntly executed on March 12, 2002</w:t>
      </w:r>
      <w:r w:rsidR="00EF2C67" w:rsidRPr="00DE2580">
        <w:rPr>
          <w:rFonts w:asciiTheme="majorHAnsi" w:eastAsia="Times New Roman" w:hAnsiTheme="majorHAnsi"/>
          <w:sz w:val="20"/>
          <w:szCs w:val="20"/>
          <w:lang w:val="en-GB"/>
        </w:rPr>
        <w:t>, in the state of Georgia</w:t>
      </w:r>
      <w:r w:rsidRPr="00DE2580">
        <w:rPr>
          <w:rFonts w:asciiTheme="majorHAnsi" w:eastAsia="Times New Roman" w:hAnsiTheme="majorHAnsi"/>
          <w:sz w:val="20"/>
          <w:szCs w:val="20"/>
          <w:lang w:val="en-GB"/>
        </w:rPr>
        <w:t>.</w:t>
      </w:r>
    </w:p>
    <w:p w14:paraId="3CED6250" w14:textId="77777777" w:rsidR="003538F7" w:rsidRPr="00DE2580" w:rsidRDefault="003538F7" w:rsidP="00487254">
      <w:pPr>
        <w:rPr>
          <w:sz w:val="20"/>
          <w:szCs w:val="20"/>
        </w:rPr>
      </w:pPr>
    </w:p>
    <w:p w14:paraId="79E178C4" w14:textId="77777777" w:rsidR="001C4006" w:rsidRPr="00DE2580" w:rsidRDefault="00EA425E" w:rsidP="00EF2C6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color w:val="000000" w:themeColor="text1"/>
          <w:sz w:val="20"/>
          <w:szCs w:val="20"/>
        </w:rPr>
      </w:pPr>
      <w:r w:rsidRPr="00DE2580">
        <w:rPr>
          <w:rFonts w:asciiTheme="majorHAnsi" w:hAnsiTheme="majorHAnsi"/>
          <w:color w:val="000000" w:themeColor="text1"/>
          <w:sz w:val="20"/>
          <w:szCs w:val="20"/>
        </w:rPr>
        <w:t xml:space="preserve">The Commission approved its admissibility report </w:t>
      </w:r>
      <w:r w:rsidR="00203307" w:rsidRPr="00DE2580">
        <w:rPr>
          <w:rFonts w:ascii="Cambria" w:eastAsia="Cambria" w:hAnsi="Cambria" w:cs="Cambria"/>
          <w:sz w:val="20"/>
          <w:szCs w:val="20"/>
        </w:rPr>
        <w:t xml:space="preserve">No. </w:t>
      </w:r>
      <w:r w:rsidR="00530412" w:rsidRPr="00DE2580">
        <w:rPr>
          <w:rFonts w:ascii="Cambria" w:eastAsia="Cambria" w:hAnsi="Cambria" w:cs="Cambria"/>
          <w:sz w:val="20"/>
          <w:szCs w:val="20"/>
        </w:rPr>
        <w:t>16</w:t>
      </w:r>
      <w:r w:rsidRPr="00DE2580">
        <w:rPr>
          <w:rFonts w:ascii="Cambria" w:eastAsia="Cambria" w:hAnsi="Cambria" w:cs="Cambria"/>
          <w:sz w:val="20"/>
          <w:szCs w:val="20"/>
        </w:rPr>
        <w:t>/0</w:t>
      </w:r>
      <w:r w:rsidR="003371DA" w:rsidRPr="00DE2580">
        <w:rPr>
          <w:rFonts w:ascii="Cambria" w:eastAsia="Cambria" w:hAnsi="Cambria" w:cs="Cambria"/>
          <w:sz w:val="20"/>
          <w:szCs w:val="20"/>
        </w:rPr>
        <w:t>4</w:t>
      </w:r>
      <w:r w:rsidRPr="00DE2580">
        <w:rPr>
          <w:rFonts w:ascii="Cambria" w:eastAsia="Cambria" w:hAnsi="Cambria" w:cs="Cambria"/>
          <w:sz w:val="20"/>
          <w:szCs w:val="20"/>
        </w:rPr>
        <w:t xml:space="preserve"> on </w:t>
      </w:r>
      <w:r w:rsidR="00530412" w:rsidRPr="00DE2580">
        <w:rPr>
          <w:rFonts w:ascii="Cambria" w:eastAsia="Cambria" w:hAnsi="Cambria" w:cs="Cambria"/>
          <w:sz w:val="20"/>
          <w:szCs w:val="20"/>
        </w:rPr>
        <w:t>February 27</w:t>
      </w:r>
      <w:r w:rsidR="003371DA" w:rsidRPr="00DE2580">
        <w:rPr>
          <w:rFonts w:ascii="Cambria" w:eastAsia="Cambria" w:hAnsi="Cambria" w:cs="Cambria"/>
          <w:sz w:val="20"/>
          <w:szCs w:val="20"/>
        </w:rPr>
        <w:t>, 2004</w:t>
      </w:r>
      <w:r w:rsidR="005028FE" w:rsidRPr="00DE2580">
        <w:rPr>
          <w:rStyle w:val="FootnoteReference"/>
          <w:rFonts w:ascii="Cambria" w:eastAsia="Cambria" w:hAnsi="Cambria"/>
          <w:sz w:val="20"/>
          <w:szCs w:val="20"/>
        </w:rPr>
        <w:footnoteReference w:id="4"/>
      </w:r>
      <w:r w:rsidR="007E5C9F" w:rsidRPr="00DE2580">
        <w:rPr>
          <w:rFonts w:ascii="Cambria" w:eastAsia="Cambria" w:hAnsi="Cambria" w:cs="Cambria"/>
          <w:sz w:val="20"/>
          <w:szCs w:val="20"/>
        </w:rPr>
        <w:t xml:space="preserve"> and </w:t>
      </w:r>
      <w:r w:rsidR="00EB2848" w:rsidRPr="00DE2580">
        <w:rPr>
          <w:rFonts w:ascii="Cambria" w:eastAsia="Cambria" w:hAnsi="Cambria" w:cs="Cambria"/>
          <w:sz w:val="20"/>
          <w:szCs w:val="20"/>
        </w:rPr>
        <w:t xml:space="preserve">on </w:t>
      </w:r>
      <w:r w:rsidR="00011094" w:rsidRPr="00DE2580">
        <w:rPr>
          <w:rFonts w:ascii="Cambria" w:eastAsia="Cambria" w:hAnsi="Cambria" w:cs="Cambria"/>
          <w:sz w:val="20"/>
          <w:szCs w:val="20"/>
        </w:rPr>
        <w:t>May 10</w:t>
      </w:r>
      <w:r w:rsidR="00EB2848" w:rsidRPr="00DE2580">
        <w:rPr>
          <w:rFonts w:ascii="Cambria" w:eastAsia="Cambria" w:hAnsi="Cambria" w:cs="Cambria"/>
          <w:sz w:val="20"/>
          <w:szCs w:val="20"/>
        </w:rPr>
        <w:t xml:space="preserve">, 2004 </w:t>
      </w:r>
      <w:r w:rsidR="001C4006" w:rsidRPr="00DE2580">
        <w:rPr>
          <w:rFonts w:asciiTheme="majorHAnsi" w:hAnsiTheme="majorHAnsi"/>
          <w:color w:val="000000" w:themeColor="text1"/>
          <w:sz w:val="20"/>
          <w:szCs w:val="20"/>
        </w:rPr>
        <w:t>notified</w:t>
      </w:r>
      <w:r w:rsidR="003371DA" w:rsidRPr="00DE2580">
        <w:rPr>
          <w:rFonts w:asciiTheme="majorHAnsi" w:hAnsiTheme="majorHAnsi"/>
          <w:color w:val="000000" w:themeColor="text1"/>
          <w:sz w:val="20"/>
          <w:szCs w:val="20"/>
        </w:rPr>
        <w:t xml:space="preserve"> </w:t>
      </w:r>
      <w:r w:rsidR="001C4006" w:rsidRPr="00DE2580">
        <w:rPr>
          <w:rFonts w:asciiTheme="majorHAnsi" w:hAnsiTheme="majorHAnsi"/>
          <w:color w:val="000000" w:themeColor="text1"/>
          <w:sz w:val="20"/>
          <w:szCs w:val="20"/>
        </w:rPr>
        <w:t>th</w:t>
      </w:r>
      <w:r w:rsidR="00DA7151" w:rsidRPr="00DE2580">
        <w:rPr>
          <w:rFonts w:asciiTheme="majorHAnsi" w:hAnsiTheme="majorHAnsi"/>
          <w:color w:val="000000" w:themeColor="text1"/>
          <w:sz w:val="20"/>
          <w:szCs w:val="20"/>
        </w:rPr>
        <w:t>e</w:t>
      </w:r>
      <w:r w:rsidR="001C4006" w:rsidRPr="00DE2580">
        <w:rPr>
          <w:rFonts w:asciiTheme="majorHAnsi" w:hAnsiTheme="majorHAnsi"/>
          <w:color w:val="000000" w:themeColor="text1"/>
          <w:sz w:val="20"/>
          <w:szCs w:val="20"/>
        </w:rPr>
        <w:t xml:space="preserve"> report to the parties</w:t>
      </w:r>
      <w:r w:rsidR="007E5C9F" w:rsidRPr="00DE2580">
        <w:rPr>
          <w:rFonts w:asciiTheme="majorHAnsi" w:hAnsiTheme="majorHAnsi"/>
          <w:color w:val="000000" w:themeColor="text1"/>
          <w:sz w:val="20"/>
          <w:szCs w:val="20"/>
        </w:rPr>
        <w:t>, placing</w:t>
      </w:r>
      <w:r w:rsidR="001C4006" w:rsidRPr="00DE2580">
        <w:rPr>
          <w:rFonts w:asciiTheme="majorHAnsi" w:hAnsiTheme="majorHAnsi"/>
          <w:color w:val="000000" w:themeColor="text1"/>
          <w:sz w:val="20"/>
          <w:szCs w:val="20"/>
        </w:rPr>
        <w:t xml:space="preserve"> itself at the</w:t>
      </w:r>
      <w:r w:rsidR="007E5C9F" w:rsidRPr="00DE2580">
        <w:rPr>
          <w:rFonts w:asciiTheme="majorHAnsi" w:hAnsiTheme="majorHAnsi"/>
          <w:color w:val="000000" w:themeColor="text1"/>
          <w:sz w:val="20"/>
          <w:szCs w:val="20"/>
        </w:rPr>
        <w:t>ir</w:t>
      </w:r>
      <w:r w:rsidR="001C4006" w:rsidRPr="00DE2580">
        <w:rPr>
          <w:rFonts w:asciiTheme="majorHAnsi" w:hAnsiTheme="majorHAnsi"/>
          <w:color w:val="000000" w:themeColor="text1"/>
          <w:sz w:val="20"/>
          <w:szCs w:val="20"/>
        </w:rPr>
        <w:t xml:space="preserve"> disposition to reach a friendly settlement. The parties </w:t>
      </w:r>
      <w:r w:rsidR="00092817" w:rsidRPr="00DE2580">
        <w:rPr>
          <w:rFonts w:asciiTheme="majorHAnsi" w:hAnsiTheme="majorHAnsi"/>
          <w:color w:val="000000" w:themeColor="text1"/>
          <w:sz w:val="20"/>
          <w:szCs w:val="20"/>
        </w:rPr>
        <w:t xml:space="preserve">were allocated </w:t>
      </w:r>
      <w:r w:rsidR="001C4006" w:rsidRPr="00DE2580">
        <w:rPr>
          <w:rFonts w:asciiTheme="majorHAnsi" w:hAnsiTheme="majorHAnsi"/>
          <w:color w:val="000000" w:themeColor="text1"/>
          <w:sz w:val="20"/>
          <w:szCs w:val="20"/>
        </w:rPr>
        <w:t>the time periods provided for in the IACHR’s Rules of Procedure to present additional observations on the merits</w:t>
      </w:r>
      <w:r w:rsidR="00092817" w:rsidRPr="00DE2580">
        <w:rPr>
          <w:rFonts w:asciiTheme="majorHAnsi" w:hAnsiTheme="majorHAnsi"/>
          <w:color w:val="000000" w:themeColor="text1"/>
          <w:sz w:val="20"/>
          <w:szCs w:val="20"/>
        </w:rPr>
        <w:t xml:space="preserve"> of the case</w:t>
      </w:r>
      <w:r w:rsidR="001C4006" w:rsidRPr="00DE2580">
        <w:rPr>
          <w:rFonts w:asciiTheme="majorHAnsi" w:hAnsiTheme="majorHAnsi"/>
          <w:color w:val="000000" w:themeColor="text1"/>
          <w:sz w:val="20"/>
          <w:szCs w:val="20"/>
        </w:rPr>
        <w:t xml:space="preserve">. All </w:t>
      </w:r>
      <w:r w:rsidR="00092817" w:rsidRPr="00DE2580">
        <w:rPr>
          <w:rFonts w:asciiTheme="majorHAnsi" w:hAnsiTheme="majorHAnsi"/>
          <w:color w:val="000000" w:themeColor="text1"/>
          <w:sz w:val="20"/>
          <w:szCs w:val="20"/>
        </w:rPr>
        <w:t xml:space="preserve">of </w:t>
      </w:r>
      <w:r w:rsidR="001C4006" w:rsidRPr="00DE2580">
        <w:rPr>
          <w:rFonts w:asciiTheme="majorHAnsi" w:hAnsiTheme="majorHAnsi"/>
          <w:color w:val="000000" w:themeColor="text1"/>
          <w:sz w:val="20"/>
          <w:szCs w:val="20"/>
        </w:rPr>
        <w:t xml:space="preserve">the information received by the </w:t>
      </w:r>
      <w:r w:rsidR="00DA7151" w:rsidRPr="00DE2580">
        <w:rPr>
          <w:rFonts w:asciiTheme="majorHAnsi" w:hAnsiTheme="majorHAnsi"/>
          <w:color w:val="000000" w:themeColor="text1"/>
          <w:sz w:val="20"/>
          <w:szCs w:val="20"/>
        </w:rPr>
        <w:t>IACHR</w:t>
      </w:r>
      <w:r w:rsidR="001C4006" w:rsidRPr="00DE2580">
        <w:rPr>
          <w:rFonts w:asciiTheme="majorHAnsi" w:hAnsiTheme="majorHAnsi"/>
          <w:color w:val="000000" w:themeColor="text1"/>
          <w:sz w:val="20"/>
          <w:szCs w:val="20"/>
        </w:rPr>
        <w:t xml:space="preserve"> was duly transmitted to the parties. </w:t>
      </w:r>
    </w:p>
    <w:p w14:paraId="59E2F202" w14:textId="77777777" w:rsidR="001C4006" w:rsidRPr="00DE2580" w:rsidRDefault="001C4006" w:rsidP="002C3D6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rPr>
          <w:rFonts w:asciiTheme="majorHAnsi" w:hAnsiTheme="majorHAnsi"/>
          <w:color w:val="000000" w:themeColor="text1"/>
          <w:sz w:val="20"/>
          <w:szCs w:val="20"/>
        </w:rPr>
      </w:pPr>
    </w:p>
    <w:p w14:paraId="0D713B1A" w14:textId="77777777" w:rsidR="00317386" w:rsidRPr="00DE2580" w:rsidRDefault="001C4006" w:rsidP="00317386">
      <w:pPr>
        <w:pStyle w:val="Heading1"/>
        <w:tabs>
          <w:tab w:val="left" w:pos="360"/>
        </w:tabs>
        <w:spacing w:before="0"/>
        <w:ind w:hanging="720"/>
        <w:rPr>
          <w:color w:val="auto"/>
          <w:sz w:val="20"/>
          <w:szCs w:val="20"/>
        </w:rPr>
      </w:pPr>
      <w:bookmarkStart w:id="1" w:name="_Toc150529020"/>
      <w:r w:rsidRPr="00DE2580">
        <w:rPr>
          <w:color w:val="auto"/>
          <w:sz w:val="20"/>
          <w:szCs w:val="20"/>
        </w:rPr>
        <w:t>POSITIONS OF THE PARTIES</w:t>
      </w:r>
      <w:bookmarkEnd w:id="1"/>
    </w:p>
    <w:p w14:paraId="11BC603B" w14:textId="77777777" w:rsidR="00317386" w:rsidRPr="00DE2580" w:rsidRDefault="00317386" w:rsidP="00317386">
      <w:pPr>
        <w:pStyle w:val="Heading1"/>
        <w:numPr>
          <w:ilvl w:val="0"/>
          <w:numId w:val="0"/>
        </w:numPr>
        <w:tabs>
          <w:tab w:val="left" w:pos="360"/>
        </w:tabs>
        <w:spacing w:before="0"/>
        <w:rPr>
          <w:color w:val="auto"/>
          <w:sz w:val="20"/>
          <w:szCs w:val="20"/>
        </w:rPr>
      </w:pPr>
    </w:p>
    <w:p w14:paraId="393BD733" w14:textId="77777777" w:rsidR="00317386" w:rsidRPr="00DE2580" w:rsidRDefault="00317386" w:rsidP="00C65357">
      <w:pPr>
        <w:pStyle w:val="Heading1"/>
        <w:numPr>
          <w:ilvl w:val="0"/>
          <w:numId w:val="66"/>
        </w:numPr>
        <w:tabs>
          <w:tab w:val="left" w:pos="360"/>
        </w:tabs>
        <w:spacing w:before="0"/>
        <w:ind w:left="360"/>
        <w:rPr>
          <w:color w:val="auto"/>
          <w:sz w:val="20"/>
          <w:szCs w:val="20"/>
        </w:rPr>
      </w:pPr>
      <w:bookmarkStart w:id="2" w:name="_Toc22734000"/>
      <w:bookmarkStart w:id="3" w:name="_Toc150529021"/>
      <w:r w:rsidRPr="00DE2580">
        <w:rPr>
          <w:color w:val="auto"/>
          <w:sz w:val="20"/>
          <w:szCs w:val="20"/>
        </w:rPr>
        <w:t>Petitioners</w:t>
      </w:r>
      <w:bookmarkEnd w:id="2"/>
      <w:bookmarkEnd w:id="3"/>
    </w:p>
    <w:p w14:paraId="37D6353E" w14:textId="77777777" w:rsidR="00317386" w:rsidRPr="00DE2580" w:rsidRDefault="00317386" w:rsidP="00317386">
      <w:pPr>
        <w:suppressAutoHyphens/>
        <w:rPr>
          <w:rFonts w:asciiTheme="majorHAnsi" w:hAnsiTheme="majorHAnsi"/>
          <w:sz w:val="20"/>
          <w:szCs w:val="20"/>
        </w:rPr>
      </w:pPr>
    </w:p>
    <w:p w14:paraId="59463A2C" w14:textId="77777777" w:rsidR="00815FD5" w:rsidRPr="00DE2580" w:rsidRDefault="001E163E" w:rsidP="00EF2C6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rPr>
      </w:pPr>
      <w:r w:rsidRPr="00DE2580">
        <w:rPr>
          <w:rFonts w:asciiTheme="majorHAnsi" w:eastAsia="Times New Roman" w:hAnsiTheme="majorHAnsi"/>
          <w:sz w:val="20"/>
          <w:szCs w:val="20"/>
        </w:rPr>
        <w:t xml:space="preserve">The </w:t>
      </w:r>
      <w:r w:rsidR="00EF2C67" w:rsidRPr="00DE2580">
        <w:rPr>
          <w:rFonts w:asciiTheme="majorHAnsi" w:eastAsia="Times New Roman" w:hAnsiTheme="majorHAnsi"/>
          <w:sz w:val="20"/>
          <w:szCs w:val="20"/>
        </w:rPr>
        <w:t>P</w:t>
      </w:r>
      <w:r w:rsidRPr="00DE2580">
        <w:rPr>
          <w:rFonts w:asciiTheme="majorHAnsi" w:eastAsia="Times New Roman" w:hAnsiTheme="majorHAnsi"/>
          <w:sz w:val="20"/>
          <w:szCs w:val="20"/>
        </w:rPr>
        <w:t>etitioners allege</w:t>
      </w:r>
      <w:r w:rsidR="00C7147D" w:rsidRPr="00DE2580">
        <w:rPr>
          <w:rFonts w:asciiTheme="majorHAnsi" w:eastAsia="Times New Roman" w:hAnsiTheme="majorHAnsi"/>
          <w:sz w:val="20"/>
          <w:szCs w:val="20"/>
          <w:lang w:val="en-GB"/>
        </w:rPr>
        <w:t xml:space="preserve"> that the State is responsible for violations of Mr. Housel’s rights under Articles I, XI, XVIII, XXV, and XXVI of the American Declaration of the Rights and Duties of Man (hereinafter the “American Declaration” or the “Declaration”) based upon deficiencies in the criminal proceedings against him.  In particular, the Petitioners allege violations of Articles XI, XXV, and XXVI of the Declaration relating to Mr. Housel’s treatment during his pre-trial detention, Article XVIII relating to </w:t>
      </w:r>
      <w:r w:rsidR="00EF2C67" w:rsidRPr="00DE2580">
        <w:rPr>
          <w:rFonts w:asciiTheme="majorHAnsi" w:eastAsia="Times New Roman" w:hAnsiTheme="majorHAnsi"/>
          <w:sz w:val="20"/>
          <w:szCs w:val="20"/>
          <w:lang w:val="en-GB"/>
        </w:rPr>
        <w:t xml:space="preserve">the </w:t>
      </w:r>
      <w:r w:rsidR="00C7147D" w:rsidRPr="00DE2580">
        <w:rPr>
          <w:rFonts w:asciiTheme="majorHAnsi" w:eastAsia="Times New Roman" w:hAnsiTheme="majorHAnsi"/>
          <w:sz w:val="20"/>
          <w:szCs w:val="20"/>
          <w:lang w:val="en-GB"/>
        </w:rPr>
        <w:t xml:space="preserve">quality of Mr. Housel’s legal representation, Articles XVIII and XXVI relating to </w:t>
      </w:r>
      <w:r w:rsidR="00EF2C67" w:rsidRPr="00DE2580">
        <w:rPr>
          <w:rFonts w:asciiTheme="majorHAnsi" w:eastAsia="Times New Roman" w:hAnsiTheme="majorHAnsi"/>
          <w:sz w:val="20"/>
          <w:szCs w:val="20"/>
          <w:lang w:val="en-GB"/>
        </w:rPr>
        <w:t xml:space="preserve">the </w:t>
      </w:r>
      <w:r w:rsidR="00C7147D" w:rsidRPr="00DE2580">
        <w:rPr>
          <w:rFonts w:asciiTheme="majorHAnsi" w:eastAsia="Times New Roman" w:hAnsiTheme="majorHAnsi"/>
          <w:sz w:val="20"/>
          <w:szCs w:val="20"/>
          <w:lang w:val="en-GB"/>
        </w:rPr>
        <w:t>use of unadjudicated offences during the sentencing phase of Mr. Housel’s trial, and Articles I, XVIII and XXVI relating to the length of time for which Mr. Housel was incarcerated on death row</w:t>
      </w:r>
      <w:r w:rsidR="00815FD5" w:rsidRPr="00DE2580">
        <w:rPr>
          <w:rFonts w:ascii="Verdana" w:eastAsia="Times New Roman" w:hAnsi="Verdana"/>
          <w:sz w:val="20"/>
          <w:szCs w:val="20"/>
          <w:lang w:val="en-GB"/>
        </w:rPr>
        <w:t xml:space="preserve">. </w:t>
      </w:r>
    </w:p>
    <w:p w14:paraId="76328997" w14:textId="77777777" w:rsidR="00815FD5" w:rsidRPr="00DE2580" w:rsidRDefault="00815FD5" w:rsidP="00815FD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eastAsia="Times New Roman" w:hAnsiTheme="majorHAnsi"/>
          <w:sz w:val="20"/>
          <w:szCs w:val="20"/>
        </w:rPr>
      </w:pPr>
    </w:p>
    <w:p w14:paraId="0BD55D5F" w14:textId="77777777" w:rsidR="00815FD5" w:rsidRPr="00DE2580" w:rsidRDefault="008950E0" w:rsidP="00EF2C6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rPr>
      </w:pPr>
      <w:r w:rsidRPr="00DE2580">
        <w:rPr>
          <w:rFonts w:asciiTheme="majorHAnsi" w:eastAsia="Times New Roman" w:hAnsiTheme="majorHAnsi"/>
          <w:sz w:val="20"/>
          <w:szCs w:val="20"/>
          <w:lang w:val="en-GB"/>
        </w:rPr>
        <w:t>Relying in part upon affidavits signed by employees at the institutions in which Mr. Housel was incarcerated, the Petitioners contend that Mr. Housel suffered significant physical and mental abuse at the hands of State agents during his pre-trial detention.  The Petitioners also contend that the effect of this treatment was exacerbated by the fact that Mr. Housel had suffered from severe mental health problems, for which he did not receive treatment.</w:t>
      </w:r>
      <w:r w:rsidR="00815FD5" w:rsidRPr="00DE2580">
        <w:rPr>
          <w:rFonts w:asciiTheme="majorHAnsi" w:eastAsia="Times New Roman" w:hAnsiTheme="majorHAnsi"/>
          <w:sz w:val="20"/>
          <w:szCs w:val="20"/>
          <w:lang w:val="en-GB"/>
        </w:rPr>
        <w:t xml:space="preserve"> </w:t>
      </w:r>
    </w:p>
    <w:p w14:paraId="136BAE33" w14:textId="77777777" w:rsidR="00815FD5" w:rsidRPr="00DE2580" w:rsidRDefault="00815FD5" w:rsidP="00815FD5">
      <w:pPr>
        <w:pStyle w:val="ListParagraph"/>
        <w:rPr>
          <w:rFonts w:asciiTheme="majorHAnsi" w:eastAsia="Times New Roman" w:hAnsiTheme="majorHAnsi"/>
          <w:sz w:val="20"/>
          <w:szCs w:val="20"/>
          <w:lang w:val="en-GB"/>
        </w:rPr>
      </w:pPr>
    </w:p>
    <w:p w14:paraId="2506A635" w14:textId="75B71DD4" w:rsidR="00815FD5" w:rsidRPr="00DE2580" w:rsidRDefault="000B4DBB" w:rsidP="00EF2C6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rPr>
      </w:pPr>
      <w:r w:rsidRPr="00DE2580">
        <w:rPr>
          <w:rFonts w:asciiTheme="majorHAnsi" w:eastAsia="Times New Roman" w:hAnsiTheme="majorHAnsi"/>
          <w:sz w:val="20"/>
          <w:szCs w:val="20"/>
          <w:lang w:val="en-GB"/>
        </w:rPr>
        <w:t xml:space="preserve">In addition, the Petitioners contend that during the sentencing phase of Mr. Housel’s trial, the trial judge </w:t>
      </w:r>
      <w:r w:rsidR="00B77B2B" w:rsidRPr="00DE2580">
        <w:rPr>
          <w:rFonts w:asciiTheme="majorHAnsi" w:eastAsia="Times New Roman" w:hAnsiTheme="majorHAnsi"/>
          <w:sz w:val="20"/>
          <w:szCs w:val="20"/>
          <w:lang w:val="en-GB"/>
        </w:rPr>
        <w:t>permitted the admittance of</w:t>
      </w:r>
      <w:r w:rsidRPr="00DE2580">
        <w:rPr>
          <w:rFonts w:asciiTheme="majorHAnsi" w:eastAsia="Times New Roman" w:hAnsiTheme="majorHAnsi"/>
          <w:sz w:val="20"/>
          <w:szCs w:val="20"/>
          <w:lang w:val="en-GB"/>
        </w:rPr>
        <w:t xml:space="preserve"> evidence of </w:t>
      </w:r>
      <w:r w:rsidR="00B77B2B" w:rsidRPr="00DE2580">
        <w:rPr>
          <w:rFonts w:asciiTheme="majorHAnsi" w:eastAsia="Times New Roman" w:hAnsiTheme="majorHAnsi"/>
          <w:sz w:val="20"/>
          <w:szCs w:val="20"/>
          <w:lang w:val="en-GB"/>
        </w:rPr>
        <w:t>unadjudicated</w:t>
      </w:r>
      <w:r w:rsidRPr="00DE2580">
        <w:rPr>
          <w:rFonts w:asciiTheme="majorHAnsi" w:eastAsia="Times New Roman" w:hAnsiTheme="majorHAnsi"/>
          <w:sz w:val="20"/>
          <w:szCs w:val="20"/>
          <w:lang w:val="en-GB"/>
        </w:rPr>
        <w:t xml:space="preserve"> offences that Mr. Housel was alleged to have committed in other states, but for which he had never been tried, contrary to Mr. Housel’s right to a fair trial.  The Petitioners claim in this </w:t>
      </w:r>
      <w:r w:rsidR="00120585" w:rsidRPr="00DE2580">
        <w:rPr>
          <w:rFonts w:asciiTheme="majorHAnsi" w:eastAsia="Times New Roman" w:hAnsiTheme="majorHAnsi"/>
          <w:sz w:val="20"/>
          <w:szCs w:val="20"/>
          <w:lang w:val="en-GB"/>
        </w:rPr>
        <w:t>regard</w:t>
      </w:r>
      <w:r w:rsidRPr="00DE2580">
        <w:rPr>
          <w:rFonts w:asciiTheme="majorHAnsi" w:eastAsia="Times New Roman" w:hAnsiTheme="majorHAnsi"/>
          <w:sz w:val="20"/>
          <w:szCs w:val="20"/>
          <w:lang w:val="en-GB"/>
        </w:rPr>
        <w:t xml:space="preserve"> that there was a real risk</w:t>
      </w:r>
      <w:r w:rsidR="00120585" w:rsidRPr="00DE2580">
        <w:rPr>
          <w:rFonts w:asciiTheme="majorHAnsi" w:eastAsia="Times New Roman" w:hAnsiTheme="majorHAnsi"/>
          <w:sz w:val="20"/>
          <w:szCs w:val="20"/>
          <w:lang w:val="en-GB"/>
        </w:rPr>
        <w:t>,</w:t>
      </w:r>
      <w:r w:rsidRPr="00DE2580">
        <w:rPr>
          <w:rFonts w:asciiTheme="majorHAnsi" w:eastAsia="Times New Roman" w:hAnsiTheme="majorHAnsi"/>
          <w:sz w:val="20"/>
          <w:szCs w:val="20"/>
          <w:lang w:val="en-GB"/>
        </w:rPr>
        <w:t xml:space="preserve"> that exculpatory evidence held by the prosecuting authorities</w:t>
      </w:r>
      <w:r w:rsidR="00120585" w:rsidRPr="00DE2580">
        <w:rPr>
          <w:rFonts w:asciiTheme="majorHAnsi" w:eastAsia="Times New Roman" w:hAnsiTheme="majorHAnsi"/>
          <w:sz w:val="20"/>
          <w:szCs w:val="20"/>
          <w:lang w:val="en-GB"/>
        </w:rPr>
        <w:t>,</w:t>
      </w:r>
      <w:r w:rsidRPr="00DE2580">
        <w:rPr>
          <w:rFonts w:asciiTheme="majorHAnsi" w:eastAsia="Times New Roman" w:hAnsiTheme="majorHAnsi"/>
          <w:sz w:val="20"/>
          <w:szCs w:val="20"/>
          <w:lang w:val="en-GB"/>
        </w:rPr>
        <w:t xml:space="preserve"> </w:t>
      </w:r>
      <w:r w:rsidR="00815FD5" w:rsidRPr="00DE2580">
        <w:rPr>
          <w:rFonts w:asciiTheme="majorHAnsi" w:eastAsia="Times New Roman" w:hAnsiTheme="majorHAnsi"/>
          <w:sz w:val="20"/>
          <w:szCs w:val="20"/>
          <w:lang w:val="en-GB"/>
        </w:rPr>
        <w:t xml:space="preserve">was not disclosed. </w:t>
      </w:r>
    </w:p>
    <w:p w14:paraId="0B230444" w14:textId="77777777" w:rsidR="00815FD5" w:rsidRPr="00DE2580" w:rsidRDefault="00815FD5" w:rsidP="00815FD5">
      <w:pPr>
        <w:pStyle w:val="ListParagraph"/>
        <w:rPr>
          <w:rFonts w:asciiTheme="majorHAnsi" w:eastAsia="Times New Roman" w:hAnsiTheme="majorHAnsi"/>
          <w:sz w:val="20"/>
          <w:szCs w:val="20"/>
          <w:lang w:val="en-GB"/>
        </w:rPr>
      </w:pPr>
    </w:p>
    <w:p w14:paraId="59676358" w14:textId="0F0C2B53" w:rsidR="00815FD5" w:rsidRPr="00DE2580" w:rsidRDefault="007A496C" w:rsidP="00EF2C6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rPr>
      </w:pPr>
      <w:r w:rsidRPr="00DE2580">
        <w:rPr>
          <w:rFonts w:asciiTheme="majorHAnsi" w:eastAsia="Times New Roman" w:hAnsiTheme="majorHAnsi"/>
          <w:sz w:val="20"/>
          <w:szCs w:val="20"/>
          <w:lang w:val="en-GB"/>
        </w:rPr>
        <w:t xml:space="preserve">Moreover, the Petitioners contend that Mr. Housel’s legal representation was inadequate in the course of the legal proceedings against him.  They assert in particular that Mr. Housel’s trial counsel failed to undertake sufficient investigations to uncover significant mitigating evidence concerning Mr. Housel’s mental condition and upbringing and present it during his sentencing.   </w:t>
      </w:r>
    </w:p>
    <w:p w14:paraId="6E5AFB1C" w14:textId="77777777" w:rsidR="00815FD5" w:rsidRPr="00DE2580" w:rsidRDefault="00815FD5" w:rsidP="00815FD5">
      <w:pPr>
        <w:pStyle w:val="ListParagraph"/>
        <w:rPr>
          <w:rFonts w:asciiTheme="majorHAnsi" w:eastAsia="Times New Roman" w:hAnsiTheme="majorHAnsi"/>
          <w:sz w:val="20"/>
          <w:szCs w:val="20"/>
          <w:lang w:val="en-GB"/>
        </w:rPr>
      </w:pPr>
    </w:p>
    <w:p w14:paraId="336060B3" w14:textId="77777777" w:rsidR="00815FD5" w:rsidRPr="00DE2580" w:rsidRDefault="008950E0" w:rsidP="00EF2C6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rPr>
      </w:pPr>
      <w:r w:rsidRPr="00DE2580">
        <w:rPr>
          <w:rFonts w:asciiTheme="majorHAnsi" w:eastAsia="Times New Roman" w:hAnsiTheme="majorHAnsi"/>
          <w:sz w:val="20"/>
          <w:szCs w:val="20"/>
          <w:lang w:val="en-GB"/>
        </w:rPr>
        <w:t xml:space="preserve">Further, the Petitioners claim that the abuse suffered by Mr. Housel, together with the 16-year period that he spent on death row, from February 7, 1986 to March 12, 2002, violated his right to preservation of his health and well-being, his right to humane treatment while in custody, and his right not to receive cruel, infamous or unusual punishment, protected by the American Declaration.  The Petitioners assert that the State is obliged to organise its legal system so that death row inmates have a proper opportunity to challenge their conviction, </w:t>
      </w:r>
      <w:r w:rsidRPr="00DE2580">
        <w:rPr>
          <w:rFonts w:asciiTheme="majorHAnsi" w:eastAsia="Times New Roman" w:hAnsiTheme="majorHAnsi"/>
          <w:sz w:val="20"/>
          <w:szCs w:val="20"/>
          <w:lang w:val="en-GB"/>
        </w:rPr>
        <w:lastRenderedPageBreak/>
        <w:t>but also in a manner whereby these challenges are considered promptly to ensure that death row inmates are not allowed to remain on death row for excessive periods.</w:t>
      </w:r>
      <w:r w:rsidR="00975E26" w:rsidRPr="00DE2580">
        <w:rPr>
          <w:rFonts w:asciiTheme="majorHAnsi" w:eastAsia="Times New Roman" w:hAnsiTheme="majorHAnsi"/>
          <w:sz w:val="20"/>
          <w:szCs w:val="20"/>
          <w:lang w:val="en-GB"/>
        </w:rPr>
        <w:t xml:space="preserve"> </w:t>
      </w:r>
    </w:p>
    <w:p w14:paraId="136A92DD" w14:textId="77777777" w:rsidR="00815FD5" w:rsidRPr="00DE2580" w:rsidRDefault="00815FD5" w:rsidP="00815FD5">
      <w:pPr>
        <w:pStyle w:val="ListParagraph"/>
        <w:rPr>
          <w:rFonts w:asciiTheme="majorHAnsi" w:eastAsia="Times New Roman" w:hAnsiTheme="majorHAnsi"/>
          <w:sz w:val="20"/>
          <w:szCs w:val="20"/>
          <w:lang w:val="en-GB"/>
        </w:rPr>
      </w:pPr>
    </w:p>
    <w:p w14:paraId="7A90E7F9" w14:textId="77777777" w:rsidR="008950E0" w:rsidRPr="00DE2580" w:rsidRDefault="008950E0" w:rsidP="00EF2C6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rPr>
      </w:pPr>
      <w:r w:rsidRPr="00DE2580">
        <w:rPr>
          <w:rFonts w:asciiTheme="majorHAnsi" w:eastAsia="Times New Roman" w:hAnsiTheme="majorHAnsi"/>
          <w:sz w:val="20"/>
          <w:szCs w:val="20"/>
          <w:lang w:val="en-GB"/>
        </w:rPr>
        <w:t>Finally, the Petitioners submit that the State’s failure to comply with the Commission’s request for precautionary measures constit</w:t>
      </w:r>
      <w:r w:rsidR="00EF2C67" w:rsidRPr="00DE2580">
        <w:rPr>
          <w:rFonts w:asciiTheme="majorHAnsi" w:eastAsia="Times New Roman" w:hAnsiTheme="majorHAnsi"/>
          <w:sz w:val="20"/>
          <w:szCs w:val="20"/>
          <w:lang w:val="en-GB"/>
        </w:rPr>
        <w:t xml:space="preserve">utes a further violation of </w:t>
      </w:r>
      <w:r w:rsidRPr="00DE2580">
        <w:rPr>
          <w:rFonts w:asciiTheme="majorHAnsi" w:eastAsia="Times New Roman" w:hAnsiTheme="majorHAnsi"/>
          <w:sz w:val="20"/>
          <w:szCs w:val="20"/>
          <w:lang w:val="en-GB"/>
        </w:rPr>
        <w:t>Mr. Housel’s rights, including his right to pursue a petition before the Commission, and that he suffered irreparable harm when he was executed by the State before the Commission had completed its consideration of his petition.</w:t>
      </w:r>
      <w:r w:rsidRPr="00DE2580">
        <w:rPr>
          <w:rFonts w:ascii="Verdana" w:eastAsia="Times New Roman" w:hAnsi="Verdana"/>
          <w:sz w:val="20"/>
          <w:szCs w:val="20"/>
          <w:lang w:val="en-GB"/>
        </w:rPr>
        <w:t>  </w:t>
      </w:r>
    </w:p>
    <w:p w14:paraId="2420246F" w14:textId="77777777" w:rsidR="00C96035" w:rsidRPr="00DE2580" w:rsidRDefault="00C96035" w:rsidP="006D27EC">
      <w:pPr>
        <w:suppressAutoHyphens/>
        <w:rPr>
          <w:rFonts w:asciiTheme="majorHAnsi" w:hAnsiTheme="majorHAnsi"/>
          <w:sz w:val="20"/>
          <w:szCs w:val="20"/>
        </w:rPr>
      </w:pPr>
    </w:p>
    <w:p w14:paraId="00227C3D" w14:textId="77777777" w:rsidR="001C4006" w:rsidRPr="00DE2580" w:rsidRDefault="001C4006" w:rsidP="00C65357">
      <w:pPr>
        <w:pStyle w:val="Heading1"/>
        <w:numPr>
          <w:ilvl w:val="0"/>
          <w:numId w:val="66"/>
        </w:numPr>
        <w:tabs>
          <w:tab w:val="left" w:pos="360"/>
        </w:tabs>
        <w:spacing w:before="0"/>
        <w:ind w:left="360"/>
        <w:rPr>
          <w:color w:val="auto"/>
          <w:sz w:val="20"/>
          <w:szCs w:val="20"/>
        </w:rPr>
      </w:pPr>
      <w:bookmarkStart w:id="4" w:name="_Toc150529022"/>
      <w:r w:rsidRPr="00DE2580">
        <w:rPr>
          <w:color w:val="auto"/>
          <w:sz w:val="20"/>
          <w:szCs w:val="20"/>
        </w:rPr>
        <w:t>S</w:t>
      </w:r>
      <w:r w:rsidR="00262ECA" w:rsidRPr="00DE2580">
        <w:rPr>
          <w:color w:val="auto"/>
          <w:sz w:val="20"/>
          <w:szCs w:val="20"/>
        </w:rPr>
        <w:t>tate</w:t>
      </w:r>
      <w:bookmarkEnd w:id="4"/>
    </w:p>
    <w:p w14:paraId="4604CF55" w14:textId="77777777" w:rsidR="000E2A4D" w:rsidRPr="00DE2580" w:rsidRDefault="000E2A4D" w:rsidP="000E2A4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5760622F" w14:textId="595BD09E" w:rsidR="004840CE" w:rsidRPr="00DE2580" w:rsidRDefault="004840CE" w:rsidP="004840C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rPr>
      </w:pPr>
      <w:r w:rsidRPr="00DE2580">
        <w:rPr>
          <w:rFonts w:asciiTheme="majorHAnsi" w:eastAsia="Times New Roman" w:hAnsiTheme="majorHAnsi"/>
          <w:sz w:val="20"/>
          <w:szCs w:val="20"/>
        </w:rPr>
        <w:t>In its response to the Petitioner’s observations on the merits, the State referred the Commission to its submission filed during the admissibility stage</w:t>
      </w:r>
      <w:r w:rsidR="009E566A" w:rsidRPr="00DE2580">
        <w:rPr>
          <w:rStyle w:val="FootnoteReference"/>
          <w:rFonts w:asciiTheme="majorHAnsi" w:eastAsia="Times New Roman" w:hAnsiTheme="majorHAnsi"/>
          <w:sz w:val="20"/>
          <w:szCs w:val="20"/>
        </w:rPr>
        <w:footnoteReference w:id="5"/>
      </w:r>
      <w:r w:rsidRPr="00DE2580">
        <w:rPr>
          <w:rFonts w:asciiTheme="majorHAnsi" w:eastAsia="Times New Roman" w:hAnsiTheme="majorHAnsi"/>
          <w:sz w:val="20"/>
          <w:szCs w:val="20"/>
        </w:rPr>
        <w:t>. This section is thus based on arguments made during the admissibility stage that are related to the merits.</w:t>
      </w:r>
    </w:p>
    <w:p w14:paraId="4247CBC0" w14:textId="77777777" w:rsidR="004840CE" w:rsidRPr="00DE2580" w:rsidRDefault="004840CE" w:rsidP="004840C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eastAsia="Times New Roman" w:hAnsiTheme="majorHAnsi"/>
          <w:sz w:val="20"/>
          <w:szCs w:val="20"/>
        </w:rPr>
      </w:pPr>
    </w:p>
    <w:p w14:paraId="4192B8F0" w14:textId="77777777" w:rsidR="00815FD5" w:rsidRPr="00DE2580" w:rsidRDefault="004A5407" w:rsidP="00EF2C6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rPr>
      </w:pPr>
      <w:r w:rsidRPr="00DE2580">
        <w:rPr>
          <w:rFonts w:asciiTheme="majorHAnsi" w:eastAsia="Times New Roman" w:hAnsiTheme="majorHAnsi"/>
          <w:sz w:val="20"/>
          <w:szCs w:val="20"/>
        </w:rPr>
        <w:t>The</w:t>
      </w:r>
      <w:r w:rsidR="0030148A" w:rsidRPr="00DE2580">
        <w:rPr>
          <w:rFonts w:asciiTheme="majorHAnsi" w:eastAsia="Times New Roman" w:hAnsiTheme="majorHAnsi"/>
          <w:sz w:val="20"/>
          <w:szCs w:val="20"/>
        </w:rPr>
        <w:t xml:space="preserve"> State has argued </w:t>
      </w:r>
      <w:r w:rsidR="00C7147D" w:rsidRPr="00DE2580">
        <w:rPr>
          <w:rFonts w:asciiTheme="majorHAnsi" w:eastAsia="Times New Roman" w:hAnsiTheme="majorHAnsi"/>
          <w:sz w:val="20"/>
          <w:szCs w:val="20"/>
          <w:lang w:val="en-GB"/>
        </w:rPr>
        <w:t>that the claims raised by the Petitioners are without merit, and the petition fails to state facts which constitute a violation of principles under the American Declaration.</w:t>
      </w:r>
    </w:p>
    <w:p w14:paraId="34CD94DF" w14:textId="77777777" w:rsidR="00815FD5" w:rsidRPr="00DE2580" w:rsidRDefault="00815FD5" w:rsidP="00815FD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eastAsia="Times New Roman" w:hAnsiTheme="majorHAnsi"/>
          <w:sz w:val="20"/>
          <w:szCs w:val="20"/>
        </w:rPr>
      </w:pPr>
    </w:p>
    <w:p w14:paraId="4DD50601" w14:textId="77777777" w:rsidR="00815FD5" w:rsidRPr="00DE2580" w:rsidRDefault="008A0FD2" w:rsidP="00EF2C6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rPr>
      </w:pPr>
      <w:r w:rsidRPr="00DE2580">
        <w:rPr>
          <w:rFonts w:asciiTheme="majorHAnsi" w:eastAsia="Times New Roman" w:hAnsiTheme="majorHAnsi"/>
          <w:sz w:val="20"/>
          <w:szCs w:val="20"/>
          <w:lang w:val="en-GB"/>
        </w:rPr>
        <w:t xml:space="preserve">In particular, the State asserts that there is no </w:t>
      </w:r>
      <w:r w:rsidR="00910C14" w:rsidRPr="00DE2580">
        <w:rPr>
          <w:rFonts w:asciiTheme="majorHAnsi" w:eastAsia="Times New Roman" w:hAnsiTheme="majorHAnsi"/>
          <w:sz w:val="20"/>
          <w:szCs w:val="20"/>
          <w:lang w:val="en-GB"/>
        </w:rPr>
        <w:t xml:space="preserve">credible </w:t>
      </w:r>
      <w:r w:rsidRPr="00DE2580">
        <w:rPr>
          <w:rFonts w:asciiTheme="majorHAnsi" w:eastAsia="Times New Roman" w:hAnsiTheme="majorHAnsi"/>
          <w:sz w:val="20"/>
          <w:szCs w:val="20"/>
          <w:lang w:val="en-GB"/>
        </w:rPr>
        <w:t xml:space="preserve">evidence to substantiate the Petitioners’ claim that Mr. Housel suffered significant physical and mental abuse before or after his trial.  The State argues in this respect that the evidence submitted by the Petitioners, which included affidavits from other inmates, lacked proper foundation and amounted to suspect testimony given the fact that Mr. Housel was kept in solitary confinement during the majority of his pre-trial incarceration.  </w:t>
      </w:r>
      <w:r w:rsidR="00910C14" w:rsidRPr="00DE2580">
        <w:rPr>
          <w:rFonts w:asciiTheme="majorHAnsi" w:eastAsia="Times New Roman" w:hAnsiTheme="majorHAnsi"/>
          <w:sz w:val="20"/>
          <w:szCs w:val="20"/>
          <w:lang w:val="en-GB"/>
        </w:rPr>
        <w:t xml:space="preserve">As regards the allegations of the length of time detained on death row </w:t>
      </w:r>
      <w:r w:rsidR="00552BE8" w:rsidRPr="00DE2580">
        <w:rPr>
          <w:rFonts w:asciiTheme="majorHAnsi" w:eastAsia="Times New Roman" w:hAnsiTheme="majorHAnsi"/>
          <w:sz w:val="20"/>
          <w:szCs w:val="20"/>
          <w:lang w:val="en-GB"/>
        </w:rPr>
        <w:t>constituting</w:t>
      </w:r>
      <w:r w:rsidR="00910C14" w:rsidRPr="00DE2580">
        <w:rPr>
          <w:rFonts w:asciiTheme="majorHAnsi" w:eastAsia="Times New Roman" w:hAnsiTheme="majorHAnsi"/>
          <w:sz w:val="20"/>
          <w:szCs w:val="20"/>
          <w:lang w:val="en-GB"/>
        </w:rPr>
        <w:t xml:space="preserve"> inhumane treatment, the State submits that the Supreme Court has not accepted this argument as a valid claim under the Eight Amendment. </w:t>
      </w:r>
      <w:r w:rsidR="00582378" w:rsidRPr="00DE2580">
        <w:rPr>
          <w:rFonts w:asciiTheme="majorHAnsi" w:eastAsia="Times New Roman" w:hAnsiTheme="majorHAnsi"/>
          <w:sz w:val="20"/>
          <w:szCs w:val="20"/>
          <w:lang w:val="en-GB"/>
        </w:rPr>
        <w:t xml:space="preserve">The State goes further to say that the lengthy process illustrates that </w:t>
      </w:r>
      <w:r w:rsidR="00EF2C67" w:rsidRPr="00DE2580">
        <w:rPr>
          <w:rFonts w:asciiTheme="majorHAnsi" w:eastAsia="Times New Roman" w:hAnsiTheme="majorHAnsi"/>
          <w:sz w:val="20"/>
          <w:szCs w:val="20"/>
          <w:lang w:val="en-GB"/>
        </w:rPr>
        <w:t xml:space="preserve">Mr. </w:t>
      </w:r>
      <w:r w:rsidR="00582378" w:rsidRPr="00DE2580">
        <w:rPr>
          <w:rFonts w:asciiTheme="majorHAnsi" w:eastAsia="Times New Roman" w:hAnsiTheme="majorHAnsi"/>
          <w:sz w:val="20"/>
          <w:szCs w:val="20"/>
          <w:lang w:val="en-GB"/>
        </w:rPr>
        <w:t xml:space="preserve">Housel was provided ample opportunity to litigate any claims to challenge his conviction and sentence. </w:t>
      </w:r>
    </w:p>
    <w:p w14:paraId="005429C9" w14:textId="77777777" w:rsidR="00815FD5" w:rsidRPr="00DE2580" w:rsidRDefault="00815FD5" w:rsidP="00815FD5">
      <w:pPr>
        <w:pStyle w:val="ListParagraph"/>
        <w:rPr>
          <w:rFonts w:asciiTheme="majorHAnsi" w:eastAsia="Times New Roman" w:hAnsiTheme="majorHAnsi"/>
          <w:sz w:val="20"/>
          <w:szCs w:val="20"/>
          <w:lang w:val="en-GB"/>
        </w:rPr>
      </w:pPr>
    </w:p>
    <w:p w14:paraId="37D3BA32" w14:textId="77777777" w:rsidR="00815FD5" w:rsidRPr="00DE2580" w:rsidRDefault="00FB0896" w:rsidP="00EF2C6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rPr>
      </w:pPr>
      <w:r w:rsidRPr="00DE2580">
        <w:rPr>
          <w:rFonts w:asciiTheme="majorHAnsi" w:eastAsia="Times New Roman" w:hAnsiTheme="majorHAnsi"/>
          <w:sz w:val="20"/>
          <w:szCs w:val="20"/>
          <w:lang w:val="en-GB"/>
        </w:rPr>
        <w:t xml:space="preserve">The State similarly </w:t>
      </w:r>
      <w:r w:rsidR="008A0FD2" w:rsidRPr="00DE2580">
        <w:rPr>
          <w:rFonts w:asciiTheme="majorHAnsi" w:eastAsia="Times New Roman" w:hAnsiTheme="majorHAnsi"/>
          <w:sz w:val="20"/>
          <w:szCs w:val="20"/>
          <w:lang w:val="en-GB"/>
        </w:rPr>
        <w:t xml:space="preserve">counts as unmeritorious the Petitioners’ allegations regarding Mr. Housel’s mental condition.  It points out, </w:t>
      </w:r>
      <w:r w:rsidR="008A0FD2" w:rsidRPr="00DE2580">
        <w:rPr>
          <w:rFonts w:asciiTheme="majorHAnsi" w:eastAsia="Times New Roman" w:hAnsiTheme="majorHAnsi"/>
          <w:i/>
          <w:iCs/>
          <w:sz w:val="20"/>
          <w:szCs w:val="20"/>
          <w:lang w:val="en-GB"/>
        </w:rPr>
        <w:t>inter alia</w:t>
      </w:r>
      <w:r w:rsidR="008A0FD2" w:rsidRPr="00DE2580">
        <w:rPr>
          <w:rFonts w:asciiTheme="majorHAnsi" w:eastAsia="Times New Roman" w:hAnsiTheme="majorHAnsi"/>
          <w:sz w:val="20"/>
          <w:szCs w:val="20"/>
          <w:lang w:val="en-GB"/>
        </w:rPr>
        <w:t>, that the federal habeas corpus court found that “Housel never purported to make any showing that his sanity was likely to be a significant issue at trial</w:t>
      </w:r>
      <w:r w:rsidR="006C19AC" w:rsidRPr="00DE2580">
        <w:rPr>
          <w:rFonts w:asciiTheme="majorHAnsi" w:eastAsia="Times New Roman" w:hAnsiTheme="majorHAnsi"/>
          <w:sz w:val="20"/>
          <w:szCs w:val="20"/>
          <w:lang w:val="en-GB"/>
        </w:rPr>
        <w:t>,</w:t>
      </w:r>
      <w:r w:rsidR="008A0FD2" w:rsidRPr="00DE2580">
        <w:rPr>
          <w:rFonts w:asciiTheme="majorHAnsi" w:eastAsia="Times New Roman" w:hAnsiTheme="majorHAnsi"/>
          <w:sz w:val="20"/>
          <w:szCs w:val="20"/>
          <w:lang w:val="en-GB"/>
        </w:rPr>
        <w:t>”</w:t>
      </w:r>
      <w:bookmarkStart w:id="5" w:name="_ftnref3"/>
      <w:bookmarkEnd w:id="5"/>
      <w:r w:rsidR="008A0FD2" w:rsidRPr="00DE2580">
        <w:rPr>
          <w:rFonts w:asciiTheme="majorHAnsi" w:eastAsia="Times New Roman" w:hAnsiTheme="majorHAnsi"/>
          <w:sz w:val="20"/>
          <w:szCs w:val="20"/>
          <w:lang w:val="en-GB"/>
        </w:rPr>
        <w:t xml:space="preserve"> and refers to a pre-trial report and psychological assessments which the State claims illustrated that Mr. Housel was “competent and suffered from no major mental illness.”</w:t>
      </w:r>
      <w:bookmarkStart w:id="6" w:name="_ftnref4"/>
      <w:bookmarkEnd w:id="6"/>
      <w:r w:rsidR="006C19AC" w:rsidRPr="00DE2580">
        <w:rPr>
          <w:rStyle w:val="FootnoteReference"/>
          <w:rFonts w:asciiTheme="majorHAnsi" w:eastAsia="Times New Roman" w:hAnsiTheme="majorHAnsi"/>
          <w:sz w:val="20"/>
          <w:szCs w:val="20"/>
          <w:lang w:val="en-GB"/>
        </w:rPr>
        <w:footnoteReference w:id="6"/>
      </w:r>
      <w:r w:rsidR="00925C35" w:rsidRPr="00DE2580">
        <w:rPr>
          <w:rFonts w:asciiTheme="majorHAnsi" w:eastAsia="Times New Roman" w:hAnsiTheme="majorHAnsi"/>
          <w:sz w:val="20"/>
          <w:szCs w:val="20"/>
          <w:lang w:val="en-GB"/>
        </w:rPr>
        <w:t xml:space="preserve"> Further, the State submits that no evidence was presented to support the allegation of “severe health problems that required treatment”</w:t>
      </w:r>
      <w:r w:rsidR="00925C35" w:rsidRPr="00DE2580">
        <w:rPr>
          <w:rStyle w:val="FootnoteReference"/>
          <w:rFonts w:asciiTheme="majorHAnsi" w:eastAsia="Times New Roman" w:hAnsiTheme="majorHAnsi"/>
          <w:sz w:val="20"/>
          <w:szCs w:val="20"/>
          <w:lang w:val="en-GB"/>
        </w:rPr>
        <w:footnoteReference w:id="7"/>
      </w:r>
      <w:r w:rsidR="00177010" w:rsidRPr="00DE2580">
        <w:rPr>
          <w:rFonts w:asciiTheme="majorHAnsi" w:eastAsia="Times New Roman" w:hAnsiTheme="majorHAnsi"/>
          <w:sz w:val="20"/>
          <w:szCs w:val="20"/>
          <w:lang w:val="en-GB"/>
        </w:rPr>
        <w:t xml:space="preserve"> and that</w:t>
      </w:r>
      <w:r w:rsidR="00EF2C67" w:rsidRPr="00DE2580">
        <w:rPr>
          <w:rFonts w:asciiTheme="majorHAnsi" w:eastAsia="Times New Roman" w:hAnsiTheme="majorHAnsi"/>
          <w:sz w:val="20"/>
          <w:szCs w:val="20"/>
          <w:lang w:val="en-GB"/>
        </w:rPr>
        <w:t xml:space="preserve"> Mr.</w:t>
      </w:r>
      <w:r w:rsidR="00177010" w:rsidRPr="00DE2580">
        <w:rPr>
          <w:rFonts w:asciiTheme="majorHAnsi" w:eastAsia="Times New Roman" w:hAnsiTheme="majorHAnsi"/>
          <w:sz w:val="20"/>
          <w:szCs w:val="20"/>
          <w:lang w:val="en-GB"/>
        </w:rPr>
        <w:t xml:space="preserve"> Housel was examined by the Director of Forensic Services at Georgia Mental Health Institute who determined </w:t>
      </w:r>
      <w:r w:rsidR="00EF2C67" w:rsidRPr="00DE2580">
        <w:rPr>
          <w:rFonts w:asciiTheme="majorHAnsi" w:eastAsia="Times New Roman" w:hAnsiTheme="majorHAnsi"/>
          <w:sz w:val="20"/>
          <w:szCs w:val="20"/>
          <w:lang w:val="en-GB"/>
        </w:rPr>
        <w:t>that he</w:t>
      </w:r>
      <w:r w:rsidR="00177010" w:rsidRPr="00DE2580">
        <w:rPr>
          <w:rFonts w:asciiTheme="majorHAnsi" w:eastAsia="Times New Roman" w:hAnsiTheme="majorHAnsi"/>
          <w:sz w:val="20"/>
          <w:szCs w:val="20"/>
          <w:lang w:val="en-GB"/>
        </w:rPr>
        <w:t xml:space="preserve"> was “fully oriented” and neither displays nor describes symptoms of a major mood disorder”</w:t>
      </w:r>
      <w:r w:rsidR="002132CB" w:rsidRPr="00DE2580">
        <w:rPr>
          <w:rFonts w:asciiTheme="majorHAnsi" w:eastAsia="Times New Roman" w:hAnsiTheme="majorHAnsi"/>
          <w:sz w:val="20"/>
          <w:szCs w:val="20"/>
          <w:lang w:val="en-GB"/>
        </w:rPr>
        <w:t xml:space="preserve"> (Federal District Court’s Order of March 31, 1998, page 22).</w:t>
      </w:r>
      <w:r w:rsidR="006C19AC" w:rsidRPr="00DE2580">
        <w:rPr>
          <w:rStyle w:val="FootnoteReference"/>
          <w:rFonts w:asciiTheme="majorHAnsi" w:eastAsia="Times New Roman" w:hAnsiTheme="majorHAnsi"/>
          <w:sz w:val="20"/>
          <w:szCs w:val="20"/>
          <w:lang w:val="en-GB"/>
        </w:rPr>
        <w:footnoteReference w:id="8"/>
      </w:r>
      <w:r w:rsidR="006C19AC" w:rsidRPr="00DE2580">
        <w:rPr>
          <w:rFonts w:asciiTheme="majorHAnsi" w:eastAsia="Times New Roman" w:hAnsiTheme="majorHAnsi"/>
          <w:sz w:val="20"/>
          <w:szCs w:val="20"/>
          <w:lang w:val="en-GB"/>
        </w:rPr>
        <w:t xml:space="preserve">  </w:t>
      </w:r>
      <w:r w:rsidR="00272DAF" w:rsidRPr="00DE2580">
        <w:rPr>
          <w:rFonts w:asciiTheme="majorHAnsi" w:eastAsia="Times New Roman" w:hAnsiTheme="majorHAnsi"/>
          <w:sz w:val="20"/>
          <w:szCs w:val="20"/>
          <w:lang w:val="en-GB"/>
        </w:rPr>
        <w:t xml:space="preserve">Further, that </w:t>
      </w:r>
      <w:r w:rsidR="00EF2C67" w:rsidRPr="00DE2580">
        <w:rPr>
          <w:rFonts w:asciiTheme="majorHAnsi" w:eastAsia="Times New Roman" w:hAnsiTheme="majorHAnsi"/>
          <w:sz w:val="20"/>
          <w:szCs w:val="20"/>
          <w:lang w:val="en-GB"/>
        </w:rPr>
        <w:t xml:space="preserve">Mr. </w:t>
      </w:r>
      <w:r w:rsidR="00272DAF" w:rsidRPr="00DE2580">
        <w:rPr>
          <w:rFonts w:asciiTheme="majorHAnsi" w:eastAsia="Times New Roman" w:hAnsiTheme="majorHAnsi"/>
          <w:sz w:val="20"/>
          <w:szCs w:val="20"/>
          <w:lang w:val="en-GB"/>
        </w:rPr>
        <w:t xml:space="preserve">Housel had no symptoms of a major mental illness, but had anti-social personality disorder and that his history of head injuries did not indicate any continuing effects. </w:t>
      </w:r>
    </w:p>
    <w:p w14:paraId="509AD027" w14:textId="77777777" w:rsidR="00815FD5" w:rsidRPr="00DE2580" w:rsidRDefault="00815FD5" w:rsidP="00815FD5">
      <w:pPr>
        <w:pStyle w:val="ListParagraph"/>
        <w:rPr>
          <w:rFonts w:asciiTheme="majorHAnsi" w:eastAsia="Times New Roman" w:hAnsiTheme="majorHAnsi"/>
          <w:sz w:val="20"/>
          <w:szCs w:val="20"/>
          <w:lang w:val="en-GB"/>
        </w:rPr>
      </w:pPr>
    </w:p>
    <w:p w14:paraId="5E30550A" w14:textId="77777777" w:rsidR="00815FD5" w:rsidRPr="00DE2580" w:rsidRDefault="008A0FD2" w:rsidP="00EF2C6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rPr>
      </w:pPr>
      <w:r w:rsidRPr="00DE2580">
        <w:rPr>
          <w:rFonts w:asciiTheme="majorHAnsi" w:eastAsia="Times New Roman" w:hAnsiTheme="majorHAnsi"/>
          <w:sz w:val="20"/>
          <w:szCs w:val="20"/>
          <w:lang w:val="en-GB"/>
        </w:rPr>
        <w:t xml:space="preserve">The State also contends that the Petitioners’ arguments concerning the use of evidence of unadjudicated offences during the sentencing phase of Mr. Housel’s trial were rejected by the Supreme Court of Georgia and by the federal habeas corpus court, and were found by the Eleventh Circuit Court to be barred from review under the non-retroactivity doctrine, with the U.S. Supreme Court denying certiorari on this issue on February 25, 2002.  </w:t>
      </w:r>
      <w:r w:rsidR="009E7D87" w:rsidRPr="00DE2580">
        <w:rPr>
          <w:rFonts w:asciiTheme="majorHAnsi" w:eastAsia="Times New Roman" w:hAnsiTheme="majorHAnsi"/>
          <w:sz w:val="20"/>
          <w:szCs w:val="20"/>
          <w:lang w:val="en-GB"/>
        </w:rPr>
        <w:t xml:space="preserve">The State claims that the petition failed to state which evidence in particular would have been inadmissible and under which legal standards such evidence would have been excluded. </w:t>
      </w:r>
      <w:r w:rsidRPr="00DE2580">
        <w:rPr>
          <w:rFonts w:asciiTheme="majorHAnsi" w:eastAsia="Times New Roman" w:hAnsiTheme="majorHAnsi"/>
          <w:sz w:val="20"/>
          <w:szCs w:val="20"/>
          <w:lang w:val="en-GB"/>
        </w:rPr>
        <w:t xml:space="preserve">Further, the State maintains that if the state of Georgia had been in possession of exculpatory evidence about the unadjudicated offences it would have turned over that evidence to Mr. Housel. </w:t>
      </w:r>
    </w:p>
    <w:p w14:paraId="7F3B378C" w14:textId="77777777" w:rsidR="00815FD5" w:rsidRPr="00DE2580" w:rsidRDefault="00815FD5" w:rsidP="00815FD5">
      <w:pPr>
        <w:pStyle w:val="ListParagraph"/>
        <w:rPr>
          <w:rFonts w:asciiTheme="majorHAnsi" w:eastAsia="Times New Roman" w:hAnsiTheme="majorHAnsi"/>
          <w:sz w:val="20"/>
          <w:szCs w:val="20"/>
          <w:lang w:val="en-GB"/>
        </w:rPr>
      </w:pPr>
    </w:p>
    <w:p w14:paraId="1DCEEAAD" w14:textId="77777777" w:rsidR="008A0FD2" w:rsidRPr="00DE2580" w:rsidRDefault="008A0FD2" w:rsidP="00EF2C6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rPr>
      </w:pPr>
      <w:r w:rsidRPr="00DE2580">
        <w:rPr>
          <w:rFonts w:asciiTheme="majorHAnsi" w:eastAsia="Times New Roman" w:hAnsiTheme="majorHAnsi"/>
          <w:sz w:val="20"/>
          <w:szCs w:val="20"/>
          <w:lang w:val="en-GB"/>
        </w:rPr>
        <w:t>Finally, the State maintains that the Petitioners’ allegation that Mr. Housel’s legal representation was inadequate was expressly rejected by both the state and federal habeas corpus courts, following evidentiary hearings in which Mr. Housel’s trial attorney testified. </w:t>
      </w:r>
      <w:r w:rsidRPr="00DE2580">
        <w:rPr>
          <w:rFonts w:asciiTheme="majorHAnsi" w:eastAsia="Times New Roman" w:hAnsiTheme="majorHAnsi"/>
          <w:sz w:val="20"/>
          <w:szCs w:val="20"/>
          <w:lang w:val="en-029"/>
        </w:rPr>
        <w:t> </w:t>
      </w:r>
      <w:r w:rsidR="009E7D87" w:rsidRPr="00DE2580">
        <w:rPr>
          <w:rFonts w:asciiTheme="majorHAnsi" w:eastAsia="Times New Roman" w:hAnsiTheme="majorHAnsi"/>
          <w:sz w:val="20"/>
          <w:szCs w:val="20"/>
          <w:lang w:val="en-029"/>
        </w:rPr>
        <w:t xml:space="preserve">The State relies on the Eleventh Circuit Court’s </w:t>
      </w:r>
      <w:r w:rsidR="009E7D87" w:rsidRPr="00DE2580">
        <w:rPr>
          <w:rFonts w:asciiTheme="majorHAnsi" w:eastAsia="Times New Roman" w:hAnsiTheme="majorHAnsi"/>
          <w:sz w:val="20"/>
          <w:szCs w:val="20"/>
          <w:lang w:val="en-029"/>
        </w:rPr>
        <w:lastRenderedPageBreak/>
        <w:t>conclusion tha</w:t>
      </w:r>
      <w:r w:rsidR="00EF2C67" w:rsidRPr="00DE2580">
        <w:rPr>
          <w:rFonts w:asciiTheme="majorHAnsi" w:eastAsia="Times New Roman" w:hAnsiTheme="majorHAnsi"/>
          <w:sz w:val="20"/>
          <w:szCs w:val="20"/>
          <w:lang w:val="en-029"/>
        </w:rPr>
        <w:t>t Mr. Housel’s failure to show his c</w:t>
      </w:r>
      <w:r w:rsidR="009E7D87" w:rsidRPr="00DE2580">
        <w:rPr>
          <w:rFonts w:asciiTheme="majorHAnsi" w:eastAsia="Times New Roman" w:hAnsiTheme="majorHAnsi"/>
          <w:sz w:val="20"/>
          <w:szCs w:val="20"/>
          <w:lang w:val="en-029"/>
        </w:rPr>
        <w:t xml:space="preserve">ounsel’s performance was deficient was the reason the District Court denied the relief on said claim. </w:t>
      </w:r>
    </w:p>
    <w:p w14:paraId="260DA938" w14:textId="77777777" w:rsidR="008A0FD2" w:rsidRPr="00DE2580" w:rsidRDefault="008A0FD2" w:rsidP="00273645">
      <w:pPr>
        <w:jc w:val="both"/>
        <w:rPr>
          <w:rFonts w:asciiTheme="majorHAnsi" w:eastAsia="Times New Roman" w:hAnsiTheme="majorHAnsi"/>
          <w:sz w:val="20"/>
          <w:szCs w:val="20"/>
        </w:rPr>
      </w:pPr>
    </w:p>
    <w:p w14:paraId="75218FEC" w14:textId="77777777" w:rsidR="001C4006" w:rsidRPr="00DE2580" w:rsidRDefault="001C4006" w:rsidP="00EF2C67">
      <w:pPr>
        <w:pStyle w:val="Heading1"/>
        <w:tabs>
          <w:tab w:val="left" w:pos="360"/>
        </w:tabs>
        <w:spacing w:before="0"/>
        <w:ind w:hanging="720"/>
        <w:rPr>
          <w:color w:val="auto"/>
          <w:sz w:val="20"/>
          <w:szCs w:val="20"/>
        </w:rPr>
      </w:pPr>
      <w:bookmarkStart w:id="7" w:name="_Toc150529023"/>
      <w:r w:rsidRPr="00DE2580">
        <w:rPr>
          <w:color w:val="auto"/>
          <w:sz w:val="20"/>
          <w:szCs w:val="20"/>
        </w:rPr>
        <w:t>FINDINGS OF FACT</w:t>
      </w:r>
      <w:bookmarkEnd w:id="7"/>
    </w:p>
    <w:p w14:paraId="239B54FC" w14:textId="77777777" w:rsidR="00E576F7" w:rsidRPr="00DE2580" w:rsidRDefault="00E576F7" w:rsidP="00E576F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191811F4" w14:textId="77777777" w:rsidR="00E576F7" w:rsidRPr="00DE2580" w:rsidRDefault="00E576F7" w:rsidP="00E576F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DE2580">
        <w:rPr>
          <w:rFonts w:ascii="Cambria" w:hAnsi="Cambria"/>
          <w:sz w:val="20"/>
          <w:szCs w:val="20"/>
        </w:rPr>
        <w:t>In application of Article 43(1) of its Rules of Procedure, the IACHR will examine the arguments and evidence provided by the Petitioners and the State. Likewise, the Commission will take into account publicly available information that may be relevant to the analysis and decision of the instant case.</w:t>
      </w:r>
    </w:p>
    <w:p w14:paraId="4B757F47" w14:textId="77777777" w:rsidR="00707116" w:rsidRPr="00DE2580" w:rsidRDefault="00707116" w:rsidP="0070711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sz w:val="20"/>
          <w:szCs w:val="20"/>
        </w:rPr>
      </w:pPr>
    </w:p>
    <w:p w14:paraId="7C278868" w14:textId="77777777" w:rsidR="00317386" w:rsidRPr="00DE2580" w:rsidRDefault="00317386" w:rsidP="00317386">
      <w:pPr>
        <w:pStyle w:val="Heading2"/>
        <w:tabs>
          <w:tab w:val="left" w:pos="360"/>
        </w:tabs>
        <w:spacing w:before="0"/>
        <w:jc w:val="both"/>
        <w:rPr>
          <w:color w:val="auto"/>
          <w:sz w:val="20"/>
          <w:szCs w:val="20"/>
        </w:rPr>
      </w:pPr>
      <w:bookmarkStart w:id="8" w:name="_Toc22734003"/>
      <w:bookmarkStart w:id="9" w:name="_Toc150529024"/>
      <w:r w:rsidRPr="00DE2580">
        <w:rPr>
          <w:color w:val="auto"/>
          <w:sz w:val="20"/>
          <w:szCs w:val="20"/>
        </w:rPr>
        <w:t xml:space="preserve">A. </w:t>
      </w:r>
      <w:r w:rsidRPr="00DE2580">
        <w:rPr>
          <w:color w:val="auto"/>
          <w:sz w:val="20"/>
          <w:szCs w:val="20"/>
        </w:rPr>
        <w:tab/>
        <w:t>Factual background, trial and death sentence</w:t>
      </w:r>
      <w:bookmarkEnd w:id="8"/>
      <w:bookmarkEnd w:id="9"/>
    </w:p>
    <w:p w14:paraId="2EEBB0C4" w14:textId="77777777" w:rsidR="00815FD5" w:rsidRPr="00DE2580" w:rsidRDefault="00815FD5" w:rsidP="00815FD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b/>
          <w:sz w:val="20"/>
          <w:szCs w:val="20"/>
        </w:rPr>
      </w:pPr>
    </w:p>
    <w:p w14:paraId="22E917A9" w14:textId="77777777" w:rsidR="00CB004A" w:rsidRPr="00DE2580" w:rsidRDefault="003538F7" w:rsidP="00EF2C6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DE2580">
        <w:rPr>
          <w:rFonts w:asciiTheme="majorHAnsi" w:eastAsia="Times New Roman" w:hAnsiTheme="majorHAnsi"/>
          <w:sz w:val="20"/>
          <w:szCs w:val="20"/>
          <w:lang w:val="en-GB"/>
        </w:rPr>
        <w:t>Mr. Tracy Lee Housel, a citizen of the United States and the United Kingdom</w:t>
      </w:r>
      <w:r w:rsidR="00016852" w:rsidRPr="00DE2580">
        <w:rPr>
          <w:rFonts w:asciiTheme="majorHAnsi" w:eastAsia="Times New Roman" w:hAnsiTheme="majorHAnsi"/>
          <w:sz w:val="20"/>
          <w:szCs w:val="20"/>
          <w:lang w:val="en-GB"/>
        </w:rPr>
        <w:t>,</w:t>
      </w:r>
      <w:r w:rsidRPr="00DE2580">
        <w:rPr>
          <w:rFonts w:asciiTheme="majorHAnsi" w:eastAsia="Times New Roman" w:hAnsiTheme="majorHAnsi"/>
          <w:sz w:val="20"/>
          <w:szCs w:val="20"/>
          <w:lang w:val="en-GB"/>
        </w:rPr>
        <w:t xml:space="preserve"> </w:t>
      </w:r>
      <w:r w:rsidR="00016852" w:rsidRPr="00DE2580">
        <w:rPr>
          <w:rFonts w:asciiTheme="majorHAnsi" w:eastAsia="Times New Roman" w:hAnsiTheme="majorHAnsi"/>
          <w:sz w:val="20"/>
          <w:szCs w:val="20"/>
          <w:lang w:val="en-GB"/>
        </w:rPr>
        <w:t>was</w:t>
      </w:r>
      <w:r w:rsidRPr="00DE2580">
        <w:rPr>
          <w:rFonts w:asciiTheme="majorHAnsi" w:eastAsia="Times New Roman" w:hAnsiTheme="majorHAnsi"/>
          <w:sz w:val="20"/>
          <w:szCs w:val="20"/>
          <w:lang w:val="en-GB"/>
        </w:rPr>
        <w:t xml:space="preserve"> tried and convicted of the </w:t>
      </w:r>
      <w:r w:rsidR="00016852" w:rsidRPr="00DE2580">
        <w:rPr>
          <w:rFonts w:asciiTheme="majorHAnsi" w:eastAsia="Times New Roman" w:hAnsiTheme="majorHAnsi"/>
          <w:sz w:val="20"/>
          <w:szCs w:val="20"/>
          <w:lang w:val="en-GB"/>
        </w:rPr>
        <w:t>offenses of</w:t>
      </w:r>
      <w:r w:rsidRPr="00DE2580">
        <w:rPr>
          <w:rFonts w:asciiTheme="majorHAnsi" w:eastAsia="Times New Roman" w:hAnsiTheme="majorHAnsi"/>
          <w:sz w:val="20"/>
          <w:szCs w:val="20"/>
          <w:lang w:val="en-GB"/>
        </w:rPr>
        <w:t xml:space="preserve"> murder and motor </w:t>
      </w:r>
      <w:r w:rsidR="00016852" w:rsidRPr="00DE2580">
        <w:rPr>
          <w:rFonts w:asciiTheme="majorHAnsi" w:eastAsia="Times New Roman" w:hAnsiTheme="majorHAnsi"/>
          <w:sz w:val="20"/>
          <w:szCs w:val="20"/>
          <w:lang w:val="en-GB"/>
        </w:rPr>
        <w:t>vehicle</w:t>
      </w:r>
      <w:r w:rsidRPr="00DE2580">
        <w:rPr>
          <w:rFonts w:asciiTheme="majorHAnsi" w:eastAsia="Times New Roman" w:hAnsiTheme="majorHAnsi"/>
          <w:sz w:val="20"/>
          <w:szCs w:val="20"/>
          <w:lang w:val="en-GB"/>
        </w:rPr>
        <w:t xml:space="preserve"> theft in the </w:t>
      </w:r>
      <w:r w:rsidR="00016852" w:rsidRPr="00DE2580">
        <w:rPr>
          <w:rFonts w:asciiTheme="majorHAnsi" w:eastAsia="Times New Roman" w:hAnsiTheme="majorHAnsi"/>
          <w:sz w:val="20"/>
          <w:szCs w:val="20"/>
          <w:lang w:val="en-GB"/>
        </w:rPr>
        <w:t xml:space="preserve">Superior Court of Gwinnett County in the </w:t>
      </w:r>
      <w:r w:rsidRPr="00DE2580">
        <w:rPr>
          <w:rFonts w:asciiTheme="majorHAnsi" w:eastAsia="Times New Roman" w:hAnsiTheme="majorHAnsi"/>
          <w:sz w:val="20"/>
          <w:szCs w:val="20"/>
          <w:lang w:val="en-GB"/>
        </w:rPr>
        <w:t xml:space="preserve">state of Georgia and sentenced to death on February 7, 1986.  </w:t>
      </w:r>
    </w:p>
    <w:p w14:paraId="633D7AAB" w14:textId="77777777" w:rsidR="00CB004A" w:rsidRPr="00DE2580" w:rsidRDefault="00CB004A" w:rsidP="00CB004A">
      <w:pPr>
        <w:pStyle w:val="ListParagraph"/>
        <w:rPr>
          <w:rFonts w:asciiTheme="majorHAnsi" w:eastAsia="Times New Roman" w:hAnsiTheme="majorHAnsi"/>
          <w:sz w:val="20"/>
          <w:szCs w:val="20"/>
          <w:lang w:val="en-GB"/>
        </w:rPr>
      </w:pPr>
    </w:p>
    <w:p w14:paraId="4897EEE0" w14:textId="13AD27FB" w:rsidR="00622843" w:rsidRPr="00DE2580" w:rsidRDefault="007D0FFC" w:rsidP="00CB004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rPr>
      </w:pPr>
      <w:r w:rsidRPr="00DE2580">
        <w:rPr>
          <w:rFonts w:asciiTheme="majorHAnsi" w:eastAsia="Times New Roman" w:hAnsiTheme="majorHAnsi"/>
          <w:sz w:val="20"/>
          <w:szCs w:val="20"/>
          <w:lang w:val="en-GB"/>
        </w:rPr>
        <w:t xml:space="preserve">At trial, </w:t>
      </w:r>
      <w:r w:rsidR="00622843" w:rsidRPr="00DE2580">
        <w:rPr>
          <w:rFonts w:asciiTheme="majorHAnsi" w:eastAsia="Times New Roman" w:hAnsiTheme="majorHAnsi"/>
          <w:sz w:val="20"/>
          <w:szCs w:val="20"/>
          <w:lang w:val="en-GB"/>
        </w:rPr>
        <w:t xml:space="preserve">Mr. </w:t>
      </w:r>
      <w:r w:rsidR="00DD2DF2" w:rsidRPr="00DE2580">
        <w:rPr>
          <w:rFonts w:asciiTheme="majorHAnsi" w:hAnsiTheme="majorHAnsi"/>
          <w:sz w:val="20"/>
          <w:szCs w:val="20"/>
        </w:rPr>
        <w:t>Housel account</w:t>
      </w:r>
      <w:r w:rsidRPr="00DE2580">
        <w:rPr>
          <w:rFonts w:asciiTheme="majorHAnsi" w:hAnsiTheme="majorHAnsi"/>
          <w:sz w:val="20"/>
          <w:szCs w:val="20"/>
        </w:rPr>
        <w:t>ed</w:t>
      </w:r>
      <w:r w:rsidR="00DD2DF2" w:rsidRPr="00DE2580">
        <w:rPr>
          <w:rFonts w:asciiTheme="majorHAnsi" w:hAnsiTheme="majorHAnsi"/>
          <w:sz w:val="20"/>
          <w:szCs w:val="20"/>
        </w:rPr>
        <w:t xml:space="preserve"> meeting the victim</w:t>
      </w:r>
      <w:r w:rsidR="00815FD5" w:rsidRPr="00DE2580">
        <w:rPr>
          <w:rFonts w:asciiTheme="majorHAnsi" w:hAnsiTheme="majorHAnsi"/>
          <w:sz w:val="20"/>
          <w:szCs w:val="20"/>
        </w:rPr>
        <w:t>, Jean Drew,</w:t>
      </w:r>
      <w:r w:rsidRPr="00DE2580">
        <w:rPr>
          <w:rFonts w:asciiTheme="majorHAnsi" w:hAnsiTheme="majorHAnsi"/>
          <w:sz w:val="20"/>
          <w:szCs w:val="20"/>
        </w:rPr>
        <w:t xml:space="preserve"> at a truck stop. He claimed to thereafter have</w:t>
      </w:r>
      <w:r w:rsidR="00DD2DF2" w:rsidRPr="00DE2580">
        <w:rPr>
          <w:rFonts w:asciiTheme="majorHAnsi" w:hAnsiTheme="majorHAnsi"/>
          <w:sz w:val="20"/>
          <w:szCs w:val="20"/>
        </w:rPr>
        <w:t xml:space="preserve"> sex with her and after an argument over </w:t>
      </w:r>
      <w:r w:rsidRPr="00DE2580">
        <w:rPr>
          <w:rFonts w:asciiTheme="majorHAnsi" w:hAnsiTheme="majorHAnsi"/>
          <w:sz w:val="20"/>
          <w:szCs w:val="20"/>
        </w:rPr>
        <w:t xml:space="preserve">him </w:t>
      </w:r>
      <w:r w:rsidR="00DD2DF2" w:rsidRPr="00DE2580">
        <w:rPr>
          <w:rFonts w:asciiTheme="majorHAnsi" w:hAnsiTheme="majorHAnsi"/>
          <w:sz w:val="20"/>
          <w:szCs w:val="20"/>
        </w:rPr>
        <w:t>spit</w:t>
      </w:r>
      <w:r w:rsidRPr="00DE2580">
        <w:rPr>
          <w:rFonts w:asciiTheme="majorHAnsi" w:hAnsiTheme="majorHAnsi"/>
          <w:sz w:val="20"/>
          <w:szCs w:val="20"/>
        </w:rPr>
        <w:t>ting</w:t>
      </w:r>
      <w:r w:rsidR="00DD2DF2" w:rsidRPr="00DE2580">
        <w:rPr>
          <w:rFonts w:asciiTheme="majorHAnsi" w:hAnsiTheme="majorHAnsi"/>
          <w:sz w:val="20"/>
          <w:szCs w:val="20"/>
        </w:rPr>
        <w:t xml:space="preserve"> onto her car window, lost his temper and began str</w:t>
      </w:r>
      <w:r w:rsidRPr="00DE2580">
        <w:rPr>
          <w:rFonts w:asciiTheme="majorHAnsi" w:hAnsiTheme="majorHAnsi"/>
          <w:sz w:val="20"/>
          <w:szCs w:val="20"/>
        </w:rPr>
        <w:t>iking the victim with his fists. He claimed to have</w:t>
      </w:r>
      <w:r w:rsidR="00DD2DF2" w:rsidRPr="00DE2580">
        <w:rPr>
          <w:rFonts w:asciiTheme="majorHAnsi" w:hAnsiTheme="majorHAnsi"/>
          <w:sz w:val="20"/>
          <w:szCs w:val="20"/>
        </w:rPr>
        <w:t xml:space="preserve"> choked and strangled the victim, then picked up a stick and beat her face to a “bloody pulp</w:t>
      </w:r>
      <w:r w:rsidR="00317386" w:rsidRPr="00DE2580">
        <w:rPr>
          <w:rFonts w:asciiTheme="majorHAnsi" w:hAnsiTheme="majorHAnsi"/>
          <w:sz w:val="20"/>
          <w:szCs w:val="20"/>
        </w:rPr>
        <w:t>.</w:t>
      </w:r>
      <w:r w:rsidR="00DD2DF2" w:rsidRPr="00DE2580">
        <w:rPr>
          <w:rFonts w:asciiTheme="majorHAnsi" w:hAnsiTheme="majorHAnsi"/>
          <w:sz w:val="20"/>
          <w:szCs w:val="20"/>
        </w:rPr>
        <w:t>”</w:t>
      </w:r>
      <w:r w:rsidR="00815FD5" w:rsidRPr="00DE2580">
        <w:rPr>
          <w:rStyle w:val="FootnoteReference"/>
          <w:rFonts w:asciiTheme="majorHAnsi" w:hAnsiTheme="majorHAnsi"/>
          <w:sz w:val="20"/>
          <w:szCs w:val="20"/>
        </w:rPr>
        <w:footnoteReference w:id="9"/>
      </w:r>
      <w:r w:rsidR="00DD2DF2" w:rsidRPr="00DE2580">
        <w:rPr>
          <w:rFonts w:asciiTheme="majorHAnsi" w:hAnsiTheme="majorHAnsi"/>
          <w:sz w:val="20"/>
          <w:szCs w:val="20"/>
        </w:rPr>
        <w:t xml:space="preserve"> </w:t>
      </w:r>
      <w:r w:rsidR="00FC2C34" w:rsidRPr="00DE2580">
        <w:rPr>
          <w:rFonts w:asciiTheme="majorHAnsi" w:eastAsia="Times New Roman" w:hAnsiTheme="majorHAnsi"/>
          <w:sz w:val="20"/>
          <w:szCs w:val="20"/>
          <w:lang w:val="en-GB"/>
        </w:rPr>
        <w:t xml:space="preserve">The petition provides that on June 4, 1985, Mr. Housel was indicted by a grand jury in the State of Georgia on charges of murder, rape, motor vehicle theft and financial transaction card theft. On February 4, 1986, following jury selection for his </w:t>
      </w:r>
      <w:r w:rsidR="007C2060" w:rsidRPr="00DE2580">
        <w:rPr>
          <w:rFonts w:asciiTheme="majorHAnsi" w:eastAsia="Times New Roman" w:hAnsiTheme="majorHAnsi"/>
          <w:sz w:val="20"/>
          <w:szCs w:val="20"/>
          <w:lang w:val="en-GB"/>
        </w:rPr>
        <w:t xml:space="preserve">sentencing </w:t>
      </w:r>
      <w:r w:rsidR="00FC2C34" w:rsidRPr="00DE2580">
        <w:rPr>
          <w:rFonts w:asciiTheme="majorHAnsi" w:eastAsia="Times New Roman" w:hAnsiTheme="majorHAnsi"/>
          <w:sz w:val="20"/>
          <w:szCs w:val="20"/>
          <w:lang w:val="en-GB"/>
        </w:rPr>
        <w:t>trial, Mr. Housel entered a plea agreement with the prosecution and, in exchange for dismissal of the rape charge, pled guilty to capital murder and automobile theft.  The plea agreement did not include any undertaking to recommend leniency at sentencing.  Following the plea hearing, a sentencing hearing was held before the jury.  </w:t>
      </w:r>
    </w:p>
    <w:p w14:paraId="07B3F1C7" w14:textId="77777777" w:rsidR="00622843" w:rsidRPr="00DE2580" w:rsidRDefault="00622843" w:rsidP="00622843">
      <w:pPr>
        <w:pStyle w:val="ListParagraph"/>
        <w:rPr>
          <w:rFonts w:asciiTheme="majorHAnsi" w:eastAsia="Times New Roman" w:hAnsiTheme="majorHAnsi"/>
          <w:sz w:val="20"/>
          <w:szCs w:val="20"/>
        </w:rPr>
      </w:pPr>
    </w:p>
    <w:p w14:paraId="1D4F1013" w14:textId="77777777" w:rsidR="00726B51" w:rsidRPr="00DE2580" w:rsidRDefault="00622843" w:rsidP="006228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pPr>
      <w:r w:rsidRPr="00DE2580">
        <w:rPr>
          <w:rFonts w:asciiTheme="majorHAnsi" w:hAnsiTheme="majorHAnsi"/>
          <w:sz w:val="20"/>
          <w:szCs w:val="20"/>
        </w:rPr>
        <w:t>At Mr. Housel’s sentencing hearing, the prosecution introduced evidence indicating that Mr. Housel had cudgeled a man to death in Texas, in a dispute over cocaine, after anally sodomizing him; on another occasion repeatedly stabbed a man, pushed him down a roadside embankment, and left him for dead in single digit weather; and in a different incident, forced a woman to perform oral sex on him in New Jersey</w:t>
      </w:r>
      <w:r w:rsidR="00726B51" w:rsidRPr="00DE2580">
        <w:rPr>
          <w:rFonts w:asciiTheme="majorHAnsi" w:hAnsiTheme="majorHAnsi"/>
          <w:sz w:val="20"/>
          <w:szCs w:val="20"/>
        </w:rPr>
        <w:t>. R</w:t>
      </w:r>
      <w:r w:rsidRPr="00DE2580">
        <w:rPr>
          <w:rFonts w:asciiTheme="majorHAnsi" w:hAnsiTheme="majorHAnsi"/>
          <w:sz w:val="20"/>
          <w:szCs w:val="20"/>
        </w:rPr>
        <w:t xml:space="preserve">egarding the offense for which </w:t>
      </w:r>
      <w:r w:rsidR="00726B51" w:rsidRPr="00DE2580">
        <w:rPr>
          <w:rFonts w:asciiTheme="majorHAnsi" w:hAnsiTheme="majorHAnsi"/>
          <w:sz w:val="20"/>
          <w:szCs w:val="20"/>
        </w:rPr>
        <w:t xml:space="preserve">Mr. </w:t>
      </w:r>
      <w:r w:rsidRPr="00DE2580">
        <w:rPr>
          <w:rFonts w:asciiTheme="majorHAnsi" w:hAnsiTheme="majorHAnsi"/>
          <w:sz w:val="20"/>
          <w:szCs w:val="20"/>
        </w:rPr>
        <w:t xml:space="preserve">Housel was on trial, </w:t>
      </w:r>
      <w:r w:rsidR="00726B51" w:rsidRPr="00DE2580">
        <w:rPr>
          <w:rFonts w:asciiTheme="majorHAnsi" w:hAnsiTheme="majorHAnsi"/>
          <w:sz w:val="20"/>
          <w:szCs w:val="20"/>
        </w:rPr>
        <w:t xml:space="preserve">the prosecution introduced evidence </w:t>
      </w:r>
      <w:r w:rsidRPr="00DE2580">
        <w:rPr>
          <w:rFonts w:asciiTheme="majorHAnsi" w:hAnsiTheme="majorHAnsi"/>
          <w:sz w:val="20"/>
          <w:szCs w:val="20"/>
        </w:rPr>
        <w:t xml:space="preserve">that he </w:t>
      </w:r>
      <w:r w:rsidR="00726B51" w:rsidRPr="00DE2580">
        <w:rPr>
          <w:rFonts w:asciiTheme="majorHAnsi" w:hAnsiTheme="majorHAnsi"/>
          <w:sz w:val="20"/>
          <w:szCs w:val="20"/>
        </w:rPr>
        <w:t>had beaten</w:t>
      </w:r>
      <w:r w:rsidRPr="00DE2580">
        <w:rPr>
          <w:rFonts w:asciiTheme="majorHAnsi" w:hAnsiTheme="majorHAnsi"/>
          <w:sz w:val="20"/>
          <w:szCs w:val="20"/>
        </w:rPr>
        <w:t xml:space="preserve"> and strangled </w:t>
      </w:r>
      <w:r w:rsidR="00726B51" w:rsidRPr="00DE2580">
        <w:rPr>
          <w:rFonts w:asciiTheme="majorHAnsi" w:hAnsiTheme="majorHAnsi"/>
          <w:sz w:val="20"/>
          <w:szCs w:val="20"/>
        </w:rPr>
        <w:t xml:space="preserve">Jean </w:t>
      </w:r>
      <w:r w:rsidRPr="00DE2580">
        <w:rPr>
          <w:rFonts w:asciiTheme="majorHAnsi" w:hAnsiTheme="majorHAnsi"/>
          <w:sz w:val="20"/>
          <w:szCs w:val="20"/>
        </w:rPr>
        <w:t>Drew to death, abandoning her mangled and unrecognizable body in a vacant lot.</w:t>
      </w:r>
      <w:r w:rsidR="00306184" w:rsidRPr="00DE2580">
        <w:rPr>
          <w:rStyle w:val="FootnoteReference"/>
          <w:rFonts w:asciiTheme="majorHAnsi" w:hAnsiTheme="majorHAnsi"/>
          <w:sz w:val="20"/>
          <w:szCs w:val="20"/>
        </w:rPr>
        <w:footnoteReference w:id="10"/>
      </w:r>
      <w:r w:rsidRPr="00DE2580">
        <w:rPr>
          <w:rFonts w:asciiTheme="majorHAnsi" w:hAnsiTheme="majorHAnsi"/>
          <w:sz w:val="20"/>
          <w:szCs w:val="20"/>
        </w:rPr>
        <w:t xml:space="preserve"> </w:t>
      </w:r>
    </w:p>
    <w:p w14:paraId="7D2865E4" w14:textId="77777777" w:rsidR="00726B51" w:rsidRPr="00DE2580" w:rsidRDefault="00726B51" w:rsidP="00726B51">
      <w:pPr>
        <w:pStyle w:val="ListParagraph"/>
        <w:rPr>
          <w:rFonts w:asciiTheme="majorHAnsi" w:hAnsiTheme="majorHAnsi"/>
          <w:sz w:val="20"/>
          <w:szCs w:val="20"/>
        </w:rPr>
      </w:pPr>
    </w:p>
    <w:p w14:paraId="11D9D67D" w14:textId="77777777" w:rsidR="00622843" w:rsidRPr="00DE2580" w:rsidRDefault="00726B51" w:rsidP="006228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pPr>
      <w:r w:rsidRPr="00DE2580">
        <w:rPr>
          <w:rFonts w:asciiTheme="majorHAnsi" w:hAnsiTheme="majorHAnsi"/>
          <w:sz w:val="20"/>
          <w:szCs w:val="20"/>
        </w:rPr>
        <w:t xml:space="preserve">Mr. </w:t>
      </w:r>
      <w:r w:rsidR="00622843" w:rsidRPr="00DE2580">
        <w:rPr>
          <w:rFonts w:asciiTheme="majorHAnsi" w:hAnsiTheme="majorHAnsi"/>
          <w:sz w:val="20"/>
          <w:szCs w:val="20"/>
        </w:rPr>
        <w:t>Housel responded and confessed to all the crimes except the sexual assault in New Jersey which he testified was consensual. The trial judge permitted the jury to consider all the evidence of the “other offenses</w:t>
      </w:r>
      <w:r w:rsidRPr="00DE2580">
        <w:rPr>
          <w:rFonts w:asciiTheme="majorHAnsi" w:hAnsiTheme="majorHAnsi"/>
          <w:sz w:val="20"/>
          <w:szCs w:val="20"/>
        </w:rPr>
        <w:t>.</w:t>
      </w:r>
      <w:r w:rsidR="00622843" w:rsidRPr="00DE2580">
        <w:rPr>
          <w:rFonts w:asciiTheme="majorHAnsi" w:hAnsiTheme="majorHAnsi"/>
          <w:sz w:val="20"/>
          <w:szCs w:val="20"/>
        </w:rPr>
        <w:t>” The jury found beyond reasonable doubt the statutory aggravating circumstance that the murder was “horrible or inhuman and [sic] involved depravity of mind and aggravated battery, torture</w:t>
      </w:r>
      <w:r w:rsidR="00EC267A" w:rsidRPr="00DE2580">
        <w:rPr>
          <w:rFonts w:asciiTheme="majorHAnsi" w:hAnsiTheme="majorHAnsi"/>
          <w:sz w:val="20"/>
          <w:szCs w:val="20"/>
        </w:rPr>
        <w:t>.</w:t>
      </w:r>
      <w:r w:rsidR="00622843" w:rsidRPr="00DE2580">
        <w:rPr>
          <w:rFonts w:asciiTheme="majorHAnsi" w:hAnsiTheme="majorHAnsi"/>
          <w:sz w:val="20"/>
          <w:szCs w:val="20"/>
        </w:rPr>
        <w:t>”</w:t>
      </w:r>
      <w:r w:rsidR="00622843" w:rsidRPr="00DE2580">
        <w:rPr>
          <w:rStyle w:val="FootnoteReference"/>
          <w:rFonts w:asciiTheme="majorHAnsi" w:hAnsiTheme="majorHAnsi"/>
          <w:sz w:val="20"/>
          <w:szCs w:val="20"/>
        </w:rPr>
        <w:footnoteReference w:id="11"/>
      </w:r>
      <w:r w:rsidR="00622843" w:rsidRPr="00DE2580">
        <w:rPr>
          <w:rFonts w:asciiTheme="majorHAnsi" w:hAnsiTheme="majorHAnsi"/>
          <w:sz w:val="20"/>
          <w:szCs w:val="20"/>
        </w:rPr>
        <w:t xml:space="preserve"> </w:t>
      </w:r>
    </w:p>
    <w:p w14:paraId="6D063A39" w14:textId="77777777" w:rsidR="00622843" w:rsidRPr="00DE2580" w:rsidRDefault="00622843" w:rsidP="00622843">
      <w:pPr>
        <w:pStyle w:val="ListParagraph"/>
        <w:rPr>
          <w:rFonts w:asciiTheme="majorHAnsi" w:eastAsia="Times New Roman" w:hAnsiTheme="majorHAnsi"/>
          <w:sz w:val="20"/>
          <w:szCs w:val="20"/>
        </w:rPr>
      </w:pPr>
    </w:p>
    <w:p w14:paraId="22F47B1E" w14:textId="77777777" w:rsidR="00E576F7" w:rsidRPr="00DE2580" w:rsidRDefault="00FC2C34" w:rsidP="00CB004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rPr>
      </w:pPr>
      <w:r w:rsidRPr="00DE2580">
        <w:rPr>
          <w:rFonts w:asciiTheme="majorHAnsi" w:eastAsia="Times New Roman" w:hAnsiTheme="majorHAnsi"/>
          <w:sz w:val="20"/>
          <w:szCs w:val="20"/>
          <w:lang w:val="en-GB"/>
        </w:rPr>
        <w:t xml:space="preserve">On February 7, 1986, the jury returned a verdict and recommended imposition of the death penalty, whereupon the trial court sentenced Mr. Housel to death by electrocution. </w:t>
      </w:r>
    </w:p>
    <w:p w14:paraId="182402A5" w14:textId="77777777" w:rsidR="00E576F7" w:rsidRPr="00DE2580" w:rsidRDefault="00E576F7" w:rsidP="00E576F7">
      <w:pPr>
        <w:pStyle w:val="ListParagraph"/>
        <w:rPr>
          <w:rFonts w:asciiTheme="majorHAnsi" w:eastAsia="Times New Roman" w:hAnsiTheme="majorHAnsi"/>
          <w:sz w:val="20"/>
          <w:szCs w:val="20"/>
          <w:lang w:val="en-GB"/>
        </w:rPr>
      </w:pPr>
    </w:p>
    <w:p w14:paraId="38863820" w14:textId="5539F23E" w:rsidR="00CB004A" w:rsidRPr="00DE2580" w:rsidRDefault="00E576F7" w:rsidP="00CB004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rPr>
      </w:pPr>
      <w:r w:rsidRPr="00DE2580">
        <w:rPr>
          <w:rFonts w:asciiTheme="majorHAnsi" w:eastAsia="Times New Roman" w:hAnsiTheme="majorHAnsi"/>
          <w:sz w:val="20"/>
          <w:szCs w:val="20"/>
          <w:lang w:val="en-GB"/>
        </w:rPr>
        <w:t>The information in the petition indicates that Mr. Housel pursued a direct appeal from his</w:t>
      </w:r>
      <w:r w:rsidR="00DA1878" w:rsidRPr="00DE2580">
        <w:rPr>
          <w:rFonts w:asciiTheme="majorHAnsi" w:eastAsia="Times New Roman" w:hAnsiTheme="majorHAnsi"/>
          <w:sz w:val="20"/>
          <w:szCs w:val="20"/>
          <w:lang w:val="en-GB"/>
        </w:rPr>
        <w:t xml:space="preserve"> conviction and</w:t>
      </w:r>
      <w:r w:rsidRPr="00DE2580">
        <w:rPr>
          <w:rFonts w:asciiTheme="majorHAnsi" w:eastAsia="Times New Roman" w:hAnsiTheme="majorHAnsi"/>
          <w:sz w:val="20"/>
          <w:szCs w:val="20"/>
          <w:lang w:val="en-GB"/>
        </w:rPr>
        <w:t xml:space="preserve"> sentence to the Georgia Supreme Court, which affirmed his sentence on May 19, 1987, and that the U.S. Supreme Court Supreme Court denied a petition for a writ of certiorari in respect of that decision on June 30, 1988. </w:t>
      </w:r>
    </w:p>
    <w:p w14:paraId="102408B5" w14:textId="77777777" w:rsidR="00E576F7" w:rsidRPr="00DE2580" w:rsidRDefault="00E576F7" w:rsidP="00E576F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eastAsia="Times New Roman" w:hAnsiTheme="majorHAnsi"/>
          <w:sz w:val="20"/>
          <w:szCs w:val="20"/>
        </w:rPr>
      </w:pPr>
    </w:p>
    <w:p w14:paraId="516EBC81" w14:textId="121B70AC" w:rsidR="00E576F7" w:rsidRPr="00DE2580" w:rsidRDefault="00317386" w:rsidP="00317386">
      <w:pPr>
        <w:pStyle w:val="Heading2"/>
        <w:tabs>
          <w:tab w:val="left" w:pos="360"/>
        </w:tabs>
        <w:spacing w:before="0"/>
        <w:jc w:val="both"/>
        <w:rPr>
          <w:color w:val="auto"/>
          <w:sz w:val="20"/>
          <w:szCs w:val="20"/>
        </w:rPr>
      </w:pPr>
      <w:bookmarkStart w:id="10" w:name="_Toc22590057"/>
      <w:bookmarkStart w:id="11" w:name="_Toc150529025"/>
      <w:r w:rsidRPr="00DE2580">
        <w:rPr>
          <w:bCs w:val="0"/>
          <w:color w:val="auto"/>
          <w:sz w:val="20"/>
          <w:szCs w:val="20"/>
        </w:rPr>
        <w:t>B.</w:t>
      </w:r>
      <w:r w:rsidRPr="00DE2580">
        <w:rPr>
          <w:color w:val="auto"/>
          <w:sz w:val="20"/>
          <w:szCs w:val="20"/>
        </w:rPr>
        <w:tab/>
      </w:r>
      <w:r w:rsidR="00E576F7" w:rsidRPr="00DE2580">
        <w:rPr>
          <w:color w:val="auto"/>
          <w:sz w:val="20"/>
          <w:szCs w:val="20"/>
        </w:rPr>
        <w:t>Post-conviction proceedings</w:t>
      </w:r>
      <w:bookmarkEnd w:id="10"/>
      <w:bookmarkEnd w:id="11"/>
    </w:p>
    <w:p w14:paraId="204275E9" w14:textId="77777777" w:rsidR="00E576F7" w:rsidRPr="00DE2580" w:rsidRDefault="00E576F7" w:rsidP="00CB004A">
      <w:pPr>
        <w:pStyle w:val="ListParagraph"/>
        <w:rPr>
          <w:rFonts w:asciiTheme="majorHAnsi" w:eastAsia="Times New Roman" w:hAnsiTheme="majorHAnsi"/>
          <w:sz w:val="20"/>
          <w:szCs w:val="20"/>
        </w:rPr>
      </w:pPr>
    </w:p>
    <w:p w14:paraId="30B22557" w14:textId="2B68F54E" w:rsidR="00E576F7" w:rsidRPr="00DE2580" w:rsidRDefault="00A13E1D" w:rsidP="00E576F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DE2580">
        <w:rPr>
          <w:rFonts w:asciiTheme="majorHAnsi" w:eastAsia="Times New Roman" w:hAnsiTheme="majorHAnsi"/>
          <w:sz w:val="20"/>
          <w:szCs w:val="20"/>
        </w:rPr>
        <w:t>T</w:t>
      </w:r>
      <w:r w:rsidRPr="00DE2580">
        <w:rPr>
          <w:rFonts w:asciiTheme="majorHAnsi" w:eastAsia="Times New Roman" w:hAnsiTheme="majorHAnsi"/>
          <w:sz w:val="20"/>
          <w:szCs w:val="20"/>
          <w:lang w:val="en-GB"/>
        </w:rPr>
        <w:t xml:space="preserve">he petition states that Mr. Housel pursued post-conviction proceedings before state and federal courts.  In particular, </w:t>
      </w:r>
      <w:r w:rsidR="00A83527" w:rsidRPr="00DE2580">
        <w:rPr>
          <w:rFonts w:asciiTheme="majorHAnsi" w:eastAsia="Times New Roman" w:hAnsiTheme="majorHAnsi"/>
          <w:sz w:val="20"/>
          <w:szCs w:val="20"/>
          <w:lang w:val="en-GB"/>
        </w:rPr>
        <w:t>t</w:t>
      </w:r>
      <w:r w:rsidRPr="00DE2580">
        <w:rPr>
          <w:rFonts w:asciiTheme="majorHAnsi" w:eastAsia="Times New Roman" w:hAnsiTheme="majorHAnsi"/>
          <w:sz w:val="20"/>
          <w:szCs w:val="20"/>
          <w:lang w:val="en-GB"/>
        </w:rPr>
        <w:t xml:space="preserve">he petition indicates that on December 16, 1988, Mr. Housel filed a petition for a writ of habeas </w:t>
      </w:r>
      <w:r w:rsidRPr="00DE2580">
        <w:rPr>
          <w:rFonts w:asciiTheme="majorHAnsi" w:eastAsia="Times New Roman" w:hAnsiTheme="majorHAnsi"/>
          <w:sz w:val="20"/>
          <w:szCs w:val="20"/>
          <w:lang w:val="en-GB"/>
        </w:rPr>
        <w:lastRenderedPageBreak/>
        <w:t>corpus in the Superior Court of Butts County, Georgia, and filed an amended petition on August 16, 1990. </w:t>
      </w:r>
      <w:r w:rsidR="00DA1878" w:rsidRPr="00DE2580">
        <w:rPr>
          <w:rFonts w:asciiTheme="majorHAnsi" w:eastAsia="Times New Roman" w:hAnsiTheme="majorHAnsi"/>
          <w:sz w:val="20"/>
          <w:szCs w:val="20"/>
          <w:lang w:val="en-GB"/>
        </w:rPr>
        <w:t xml:space="preserve">Mr. Housel claimed that his court-appointed </w:t>
      </w:r>
      <w:r w:rsidR="000A33F6" w:rsidRPr="00DE2580">
        <w:rPr>
          <w:rFonts w:asciiTheme="majorHAnsi" w:eastAsia="Times New Roman" w:hAnsiTheme="majorHAnsi"/>
          <w:sz w:val="20"/>
          <w:szCs w:val="20"/>
          <w:lang w:val="en-GB"/>
        </w:rPr>
        <w:t>counsel did not pursue constitutionally adequate investigation into his mental health, drug abuse history and abusive upbringing.</w:t>
      </w:r>
      <w:r w:rsidR="00DA1878" w:rsidRPr="00DE2580">
        <w:rPr>
          <w:rStyle w:val="FootnoteReference"/>
          <w:rFonts w:asciiTheme="majorHAnsi" w:eastAsia="Times New Roman" w:hAnsiTheme="majorHAnsi"/>
          <w:sz w:val="20"/>
          <w:szCs w:val="20"/>
          <w:lang w:val="en-GB"/>
        </w:rPr>
        <w:footnoteReference w:id="12"/>
      </w:r>
      <w:r w:rsidRPr="00DE2580">
        <w:rPr>
          <w:rFonts w:asciiTheme="majorHAnsi" w:eastAsia="Times New Roman" w:hAnsiTheme="majorHAnsi"/>
          <w:sz w:val="20"/>
          <w:szCs w:val="20"/>
          <w:lang w:val="en-GB"/>
        </w:rPr>
        <w:t xml:space="preserve"> On December 21, 1990, the State court entered an order denying relief on all claims on the merits.  On March 1, 1991 the Georgia Supreme Court denied a Certificate of Probable Cause, without opinion, and the U.S. Supreme Court denied certiorari in respect of that decision on November 15, 1991. </w:t>
      </w:r>
    </w:p>
    <w:p w14:paraId="3D4F4F33" w14:textId="77777777" w:rsidR="00E576F7" w:rsidRPr="00DE2580" w:rsidRDefault="00E576F7" w:rsidP="00E576F7">
      <w:pPr>
        <w:pStyle w:val="ListParagraph"/>
        <w:rPr>
          <w:rFonts w:asciiTheme="majorHAnsi" w:eastAsia="Times New Roman" w:hAnsiTheme="majorHAnsi"/>
          <w:sz w:val="20"/>
          <w:szCs w:val="20"/>
          <w:lang w:val="en-GB"/>
        </w:rPr>
      </w:pPr>
    </w:p>
    <w:p w14:paraId="726ED92C" w14:textId="78916809" w:rsidR="00AF04C9" w:rsidRPr="00DE2580" w:rsidRDefault="00A13E1D" w:rsidP="003374B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DE2580">
        <w:rPr>
          <w:rFonts w:asciiTheme="majorHAnsi" w:eastAsia="Times New Roman" w:hAnsiTheme="majorHAnsi"/>
          <w:sz w:val="20"/>
          <w:szCs w:val="20"/>
          <w:lang w:val="en-GB"/>
        </w:rPr>
        <w:t>Mr. Housel then pursued habeas corpus relief before the federal courts</w:t>
      </w:r>
      <w:r w:rsidR="00AF04C9" w:rsidRPr="00DE2580">
        <w:rPr>
          <w:rFonts w:asciiTheme="majorHAnsi" w:eastAsia="Times New Roman" w:hAnsiTheme="majorHAnsi"/>
          <w:sz w:val="20"/>
          <w:szCs w:val="20"/>
          <w:lang w:val="en-GB"/>
        </w:rPr>
        <w:t xml:space="preserve">. In this federal habeas corpus petition Mr. Housel presented the affidavits of </w:t>
      </w:r>
      <w:r w:rsidR="00AF04C9" w:rsidRPr="00DE2580">
        <w:rPr>
          <w:rFonts w:asciiTheme="majorHAnsi" w:hAnsiTheme="majorHAnsi"/>
          <w:sz w:val="20"/>
          <w:szCs w:val="20"/>
        </w:rPr>
        <w:t>James Merikangas (“Mr. Merikangas”), a psychiatrist and neurologist, and Brad Fisher (“Mr. Fisher”), a licensed clinical psychologist.</w:t>
      </w:r>
    </w:p>
    <w:p w14:paraId="7D461D84" w14:textId="77777777" w:rsidR="00AF04C9" w:rsidRPr="00DE2580" w:rsidRDefault="00AF04C9" w:rsidP="00AF04C9">
      <w:pPr>
        <w:pStyle w:val="ListParagraph"/>
        <w:rPr>
          <w:rFonts w:asciiTheme="majorHAnsi" w:hAnsiTheme="majorHAnsi"/>
          <w:sz w:val="20"/>
          <w:szCs w:val="20"/>
        </w:rPr>
      </w:pPr>
    </w:p>
    <w:p w14:paraId="05E74CBD" w14:textId="1A574353" w:rsidR="00AF04C9" w:rsidRPr="00DE2580" w:rsidRDefault="00AF04C9" w:rsidP="00AF04C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DE2580">
        <w:rPr>
          <w:rFonts w:asciiTheme="majorHAnsi" w:hAnsiTheme="majorHAnsi"/>
          <w:sz w:val="20"/>
          <w:szCs w:val="20"/>
        </w:rPr>
        <w:t>Mr. Merikangas examined Mr. Housel’s psychiatric condition at the time of the offenses and concluded that he had peripheral neuropathy probably from alcohol abuse. He concluded that Mr. Housel had been depressed since childhood and that his abuse of alcohol and drugs had been a reaction both to congenital brain damage that left him with attention deficit hyperactivity disorder and to his severe depression. Mr. Merikangas also concluded that Mr. Housel had a reduced capacity to control his impulses as a direct consequence of his disordered and damaged brain.</w:t>
      </w:r>
      <w:r w:rsidRPr="00DE2580">
        <w:rPr>
          <w:rStyle w:val="FootnoteReference"/>
          <w:rFonts w:asciiTheme="majorHAnsi" w:hAnsiTheme="majorHAnsi"/>
          <w:sz w:val="20"/>
          <w:szCs w:val="20"/>
        </w:rPr>
        <w:footnoteReference w:id="13"/>
      </w:r>
      <w:r w:rsidRPr="00DE2580">
        <w:rPr>
          <w:rFonts w:asciiTheme="majorHAnsi" w:hAnsiTheme="majorHAnsi"/>
          <w:sz w:val="20"/>
          <w:szCs w:val="20"/>
        </w:rPr>
        <w:t xml:space="preserve"> </w:t>
      </w:r>
    </w:p>
    <w:p w14:paraId="1577A4D6" w14:textId="77777777" w:rsidR="00AF04C9" w:rsidRPr="00DE2580" w:rsidRDefault="00AF04C9" w:rsidP="00AF04C9">
      <w:pPr>
        <w:pStyle w:val="ListParagraph"/>
        <w:rPr>
          <w:rFonts w:asciiTheme="majorHAnsi" w:hAnsiTheme="majorHAnsi"/>
          <w:sz w:val="20"/>
          <w:szCs w:val="20"/>
        </w:rPr>
      </w:pPr>
    </w:p>
    <w:p w14:paraId="345A0A33" w14:textId="20BE7B3B" w:rsidR="00AF04C9" w:rsidRPr="00DE2580" w:rsidRDefault="00AF04C9" w:rsidP="00AF04C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DE2580">
        <w:rPr>
          <w:rFonts w:asciiTheme="majorHAnsi" w:hAnsiTheme="majorHAnsi"/>
          <w:sz w:val="20"/>
          <w:szCs w:val="20"/>
        </w:rPr>
        <w:t>Mr. Fisher conducted an evaluation of Mr. Housel on September 11, 1990, administering neuropsychological tests recommended by Mr. Merikangas.  Mr. Fisher concluded that Mr. Housel suffered from significant neurological impairment, that his neurological deficits were present from childhood and were exacerbated by several instances of brain trauma throughout development. He stated that Mr. Housel suffered from neurological deficits at a significant level, and expressed that there was an appearance that overall neurological functioning could be nearly normal in many areas in the absence of use of alcohol and/or controlled substances. Mr. Fisher noted that the evaluation conducted pre-trial was inadequate, as the evaluation did not address sanity, brain damage, intoxication, but only competence, and as examiner did not follow procedure normally which includes diagnostic testing, review of full and complete medical and school histories, and other investigation in addition to a mental status examination.</w:t>
      </w:r>
      <w:r w:rsidRPr="00DE2580">
        <w:rPr>
          <w:rStyle w:val="FootnoteReference"/>
          <w:rFonts w:asciiTheme="majorHAnsi" w:hAnsiTheme="majorHAnsi"/>
          <w:sz w:val="20"/>
          <w:szCs w:val="20"/>
        </w:rPr>
        <w:footnoteReference w:id="14"/>
      </w:r>
      <w:r w:rsidRPr="00DE2580">
        <w:rPr>
          <w:rFonts w:asciiTheme="majorHAnsi" w:hAnsiTheme="majorHAnsi"/>
          <w:sz w:val="20"/>
          <w:szCs w:val="20"/>
        </w:rPr>
        <w:t xml:space="preserve"> </w:t>
      </w:r>
    </w:p>
    <w:p w14:paraId="6F1C8653" w14:textId="77777777" w:rsidR="00AF04C9" w:rsidRPr="00DE2580" w:rsidRDefault="00AF04C9" w:rsidP="00AF04C9">
      <w:pPr>
        <w:pStyle w:val="ListParagraph"/>
        <w:rPr>
          <w:rFonts w:asciiTheme="majorHAnsi" w:eastAsia="Times New Roman" w:hAnsiTheme="majorHAnsi"/>
          <w:sz w:val="20"/>
          <w:szCs w:val="20"/>
          <w:lang w:val="en-GB"/>
        </w:rPr>
      </w:pPr>
    </w:p>
    <w:p w14:paraId="269E3424" w14:textId="07B2E04C" w:rsidR="003374B9" w:rsidRPr="00DE2580" w:rsidRDefault="00AF04C9" w:rsidP="003374B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DE2580">
        <w:rPr>
          <w:rFonts w:asciiTheme="majorHAnsi" w:eastAsia="Times New Roman" w:hAnsiTheme="majorHAnsi"/>
          <w:sz w:val="20"/>
          <w:szCs w:val="20"/>
          <w:lang w:val="en-GB"/>
        </w:rPr>
        <w:t>T</w:t>
      </w:r>
      <w:r w:rsidR="00A13E1D" w:rsidRPr="00DE2580">
        <w:rPr>
          <w:rFonts w:asciiTheme="majorHAnsi" w:eastAsia="Times New Roman" w:hAnsiTheme="majorHAnsi"/>
          <w:sz w:val="20"/>
          <w:szCs w:val="20"/>
          <w:lang w:val="en-GB"/>
        </w:rPr>
        <w:t>he U.S. Court of Appeals for the Eleventh Circuit denied relief on January 18, 2001</w:t>
      </w:r>
      <w:r w:rsidRPr="00DE2580">
        <w:rPr>
          <w:rFonts w:asciiTheme="majorHAnsi" w:eastAsia="Times New Roman" w:hAnsiTheme="majorHAnsi"/>
          <w:sz w:val="20"/>
          <w:szCs w:val="20"/>
          <w:lang w:val="en-GB"/>
        </w:rPr>
        <w:t>,</w:t>
      </w:r>
      <w:r w:rsidR="00A13E1D" w:rsidRPr="00DE2580">
        <w:rPr>
          <w:rFonts w:asciiTheme="majorHAnsi" w:eastAsia="Times New Roman" w:hAnsiTheme="majorHAnsi"/>
          <w:sz w:val="20"/>
          <w:szCs w:val="20"/>
          <w:lang w:val="en-GB"/>
        </w:rPr>
        <w:t xml:space="preserve"> as well as a request for rehearing on April 6, 2001.  </w:t>
      </w:r>
      <w:r w:rsidR="003374B9" w:rsidRPr="00DE2580">
        <w:rPr>
          <w:rFonts w:asciiTheme="majorHAnsi" w:hAnsiTheme="majorHAnsi"/>
          <w:sz w:val="20"/>
          <w:szCs w:val="20"/>
        </w:rPr>
        <w:t>On the matter of ineffective assistance by State appointed Counsel, the United States Court of Appeal ruled that counsel was not unconstitutionally ineffective in:</w:t>
      </w:r>
      <w:r w:rsidR="003374B9" w:rsidRPr="00DE2580">
        <w:rPr>
          <w:rStyle w:val="FootnoteReference"/>
          <w:rFonts w:asciiTheme="majorHAnsi" w:hAnsiTheme="majorHAnsi"/>
          <w:sz w:val="20"/>
          <w:szCs w:val="20"/>
        </w:rPr>
        <w:footnoteReference w:id="15"/>
      </w:r>
    </w:p>
    <w:p w14:paraId="1E43100A" w14:textId="77777777" w:rsidR="003374B9" w:rsidRPr="00DE2580" w:rsidRDefault="003374B9" w:rsidP="003374B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0DCB03A3" w14:textId="77777777" w:rsidR="003374B9" w:rsidRPr="00DE2580" w:rsidRDefault="003374B9" w:rsidP="00C65357">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360"/>
        <w:jc w:val="both"/>
        <w:rPr>
          <w:rFonts w:asciiTheme="majorHAnsi" w:hAnsiTheme="majorHAnsi"/>
          <w:sz w:val="18"/>
          <w:szCs w:val="18"/>
        </w:rPr>
      </w:pPr>
      <w:r w:rsidRPr="00DE2580">
        <w:rPr>
          <w:rFonts w:asciiTheme="majorHAnsi" w:hAnsiTheme="majorHAnsi"/>
          <w:sz w:val="18"/>
          <w:szCs w:val="18"/>
        </w:rPr>
        <w:t>failing to present at sentencing phase testimony of witnesses to Defendant’s difficult childhood and adolescence; where counsel asked defendant to prepare a life history to help with the investigation, counsel could reasonably rely on defendant’s representations to him;</w:t>
      </w:r>
    </w:p>
    <w:p w14:paraId="405739F0" w14:textId="77777777" w:rsidR="003374B9" w:rsidRPr="00DE2580" w:rsidRDefault="003374B9" w:rsidP="00C65357">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360"/>
        <w:jc w:val="both"/>
        <w:rPr>
          <w:rFonts w:asciiTheme="majorHAnsi" w:hAnsiTheme="majorHAnsi"/>
          <w:sz w:val="18"/>
          <w:szCs w:val="18"/>
        </w:rPr>
      </w:pPr>
      <w:r w:rsidRPr="00DE2580">
        <w:rPr>
          <w:rFonts w:asciiTheme="majorHAnsi" w:hAnsiTheme="majorHAnsi"/>
          <w:sz w:val="18"/>
          <w:szCs w:val="18"/>
        </w:rPr>
        <w:t>failing to present evidence of defendant’s brain damage and hypoglycemia, as counsel knew enough after two psychological evaluations failed to offer any encouragement to proceed further; and</w:t>
      </w:r>
    </w:p>
    <w:p w14:paraId="6D568F17" w14:textId="77777777" w:rsidR="003374B9" w:rsidRPr="00DE2580" w:rsidRDefault="003374B9" w:rsidP="00C65357">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360"/>
        <w:jc w:val="both"/>
        <w:rPr>
          <w:rFonts w:asciiTheme="majorHAnsi" w:hAnsiTheme="majorHAnsi"/>
          <w:sz w:val="18"/>
          <w:szCs w:val="18"/>
        </w:rPr>
      </w:pPr>
      <w:r w:rsidRPr="00DE2580">
        <w:rPr>
          <w:rFonts w:asciiTheme="majorHAnsi" w:hAnsiTheme="majorHAnsi"/>
          <w:sz w:val="18"/>
          <w:szCs w:val="18"/>
        </w:rPr>
        <w:t>in failing to present defendant’s intoxication on the night of the offence as lawyer could decide such evidence could hurt as much as help the defense, as defendant’s post murder behavior was not inconsistent with uncontrollable intoxication and in consideration of the jury’s possible disapproval of drunkenness.</w:t>
      </w:r>
    </w:p>
    <w:p w14:paraId="2CBC5C91" w14:textId="77777777" w:rsidR="003374B9" w:rsidRPr="00DE2580" w:rsidRDefault="003374B9" w:rsidP="003374B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51380037" w14:textId="413E0169" w:rsidR="003374B9" w:rsidRPr="00DE2580" w:rsidRDefault="00FD3999" w:rsidP="00FD39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DE2580">
        <w:rPr>
          <w:rFonts w:asciiTheme="majorHAnsi" w:hAnsiTheme="majorHAnsi"/>
          <w:sz w:val="20"/>
          <w:szCs w:val="20"/>
        </w:rPr>
        <w:t>The c</w:t>
      </w:r>
      <w:r w:rsidR="003374B9" w:rsidRPr="00DE2580">
        <w:rPr>
          <w:rFonts w:asciiTheme="majorHAnsi" w:hAnsiTheme="majorHAnsi"/>
          <w:sz w:val="20"/>
          <w:szCs w:val="20"/>
        </w:rPr>
        <w:t xml:space="preserve">ourt further expressed that if counsel </w:t>
      </w:r>
      <w:r w:rsidRPr="00DE2580">
        <w:rPr>
          <w:rFonts w:asciiTheme="majorHAnsi" w:hAnsiTheme="majorHAnsi"/>
          <w:sz w:val="20"/>
          <w:szCs w:val="20"/>
        </w:rPr>
        <w:t xml:space="preserve">had </w:t>
      </w:r>
      <w:r w:rsidR="003374B9" w:rsidRPr="00DE2580">
        <w:rPr>
          <w:rFonts w:asciiTheme="majorHAnsi" w:hAnsiTheme="majorHAnsi"/>
          <w:sz w:val="20"/>
          <w:szCs w:val="20"/>
        </w:rPr>
        <w:t>ma</w:t>
      </w:r>
      <w:r w:rsidRPr="00DE2580">
        <w:rPr>
          <w:rFonts w:asciiTheme="majorHAnsi" w:hAnsiTheme="majorHAnsi"/>
          <w:sz w:val="20"/>
          <w:szCs w:val="20"/>
        </w:rPr>
        <w:t>de</w:t>
      </w:r>
      <w:r w:rsidR="003374B9" w:rsidRPr="00DE2580">
        <w:rPr>
          <w:rFonts w:asciiTheme="majorHAnsi" w:hAnsiTheme="majorHAnsi"/>
          <w:sz w:val="20"/>
          <w:szCs w:val="20"/>
        </w:rPr>
        <w:t xml:space="preserve"> a strategic decision not to pursue a particular defense after a thorough investigation of the relevant facts and law, such a decision </w:t>
      </w:r>
      <w:r w:rsidRPr="00DE2580">
        <w:rPr>
          <w:rFonts w:asciiTheme="majorHAnsi" w:hAnsiTheme="majorHAnsi"/>
          <w:sz w:val="20"/>
          <w:szCs w:val="20"/>
        </w:rPr>
        <w:t>wa</w:t>
      </w:r>
      <w:r w:rsidR="003374B9" w:rsidRPr="00DE2580">
        <w:rPr>
          <w:rFonts w:asciiTheme="majorHAnsi" w:hAnsiTheme="majorHAnsi"/>
          <w:sz w:val="20"/>
          <w:szCs w:val="20"/>
        </w:rPr>
        <w:t>s “virtually unchallengeable”, making reference to Strickland, 466 U.S. at 691. Accord Middleton v Dugger, 849 F. 2d 491, 493 911</w:t>
      </w:r>
      <w:r w:rsidR="003374B9" w:rsidRPr="00DE2580">
        <w:rPr>
          <w:rFonts w:asciiTheme="majorHAnsi" w:hAnsiTheme="majorHAnsi"/>
          <w:sz w:val="20"/>
          <w:szCs w:val="20"/>
          <w:vertAlign w:val="superscript"/>
        </w:rPr>
        <w:t>th</w:t>
      </w:r>
      <w:r w:rsidR="003374B9" w:rsidRPr="00DE2580">
        <w:rPr>
          <w:rFonts w:asciiTheme="majorHAnsi" w:hAnsiTheme="majorHAnsi"/>
          <w:sz w:val="20"/>
          <w:szCs w:val="20"/>
        </w:rPr>
        <w:t xml:space="preserve"> circuit. 1988) (tactical decisions afforded “strong presumption of correctness”)</w:t>
      </w:r>
      <w:r w:rsidR="00D02B96" w:rsidRPr="00DE2580">
        <w:rPr>
          <w:rFonts w:asciiTheme="majorHAnsi" w:hAnsiTheme="majorHAnsi"/>
          <w:sz w:val="20"/>
          <w:szCs w:val="20"/>
        </w:rPr>
        <w:t>.</w:t>
      </w:r>
      <w:r w:rsidR="003374B9" w:rsidRPr="00DE2580">
        <w:rPr>
          <w:rStyle w:val="FootnoteReference"/>
          <w:rFonts w:asciiTheme="majorHAnsi" w:hAnsiTheme="majorHAnsi"/>
          <w:sz w:val="20"/>
          <w:szCs w:val="20"/>
        </w:rPr>
        <w:footnoteReference w:id="16"/>
      </w:r>
    </w:p>
    <w:p w14:paraId="6C6D1A24" w14:textId="77777777" w:rsidR="000A056E" w:rsidRPr="00DE2580" w:rsidRDefault="000A056E" w:rsidP="000A056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3090C0F4" w14:textId="469F6BEE" w:rsidR="000A056E" w:rsidRPr="00DE2580" w:rsidRDefault="000A056E" w:rsidP="000A056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pPr>
      <w:r w:rsidRPr="00DE2580">
        <w:rPr>
          <w:rFonts w:asciiTheme="majorHAnsi" w:hAnsiTheme="majorHAnsi"/>
          <w:sz w:val="20"/>
          <w:szCs w:val="20"/>
        </w:rPr>
        <w:t xml:space="preserve">With respect to general admissibility at capital sentencing of evidence about unadjudicated crimes, the court held that admitting such evidence does not violate the Constitution as long as the evidence is reliable – </w:t>
      </w:r>
      <w:r w:rsidR="0034654D" w:rsidRPr="00DE2580">
        <w:rPr>
          <w:rFonts w:asciiTheme="majorHAnsi" w:hAnsiTheme="majorHAnsi"/>
          <w:sz w:val="20"/>
          <w:szCs w:val="20"/>
        </w:rPr>
        <w:t>making reference to</w:t>
      </w:r>
      <w:r w:rsidRPr="00DE2580">
        <w:rPr>
          <w:rFonts w:asciiTheme="majorHAnsi" w:hAnsiTheme="majorHAnsi"/>
          <w:sz w:val="20"/>
          <w:szCs w:val="20"/>
        </w:rPr>
        <w:t xml:space="preserve"> </w:t>
      </w:r>
      <w:r w:rsidR="0034654D" w:rsidRPr="00DE2580">
        <w:rPr>
          <w:rFonts w:asciiTheme="majorHAnsi" w:hAnsiTheme="majorHAnsi"/>
          <w:sz w:val="20"/>
          <w:szCs w:val="20"/>
        </w:rPr>
        <w:t xml:space="preserve">the evidence available for </w:t>
      </w:r>
      <w:r w:rsidRPr="00DE2580">
        <w:rPr>
          <w:rFonts w:asciiTheme="majorHAnsi" w:hAnsiTheme="majorHAnsi"/>
          <w:sz w:val="20"/>
          <w:szCs w:val="20"/>
        </w:rPr>
        <w:t xml:space="preserve">two of three crimes </w:t>
      </w:r>
      <w:r w:rsidR="0034654D" w:rsidRPr="00DE2580">
        <w:rPr>
          <w:rFonts w:asciiTheme="majorHAnsi" w:hAnsiTheme="majorHAnsi"/>
          <w:sz w:val="20"/>
          <w:szCs w:val="20"/>
        </w:rPr>
        <w:t xml:space="preserve">which </w:t>
      </w:r>
      <w:r w:rsidRPr="00DE2580">
        <w:rPr>
          <w:rFonts w:asciiTheme="majorHAnsi" w:hAnsiTheme="majorHAnsi"/>
          <w:sz w:val="20"/>
          <w:szCs w:val="20"/>
        </w:rPr>
        <w:t xml:space="preserve">involved Mr. Housel’s confessions </w:t>
      </w:r>
      <w:r w:rsidR="0034654D" w:rsidRPr="00DE2580">
        <w:rPr>
          <w:rFonts w:asciiTheme="majorHAnsi" w:hAnsiTheme="majorHAnsi"/>
          <w:sz w:val="20"/>
          <w:szCs w:val="20"/>
        </w:rPr>
        <w:t>along with</w:t>
      </w:r>
      <w:r w:rsidRPr="00DE2580">
        <w:rPr>
          <w:rFonts w:asciiTheme="majorHAnsi" w:hAnsiTheme="majorHAnsi"/>
          <w:sz w:val="20"/>
          <w:szCs w:val="20"/>
        </w:rPr>
        <w:t xml:space="preserve"> corroborating evidence, and</w:t>
      </w:r>
      <w:r w:rsidR="0034654D" w:rsidRPr="00DE2580">
        <w:rPr>
          <w:rFonts w:asciiTheme="majorHAnsi" w:hAnsiTheme="majorHAnsi"/>
          <w:sz w:val="20"/>
          <w:szCs w:val="20"/>
        </w:rPr>
        <w:t xml:space="preserve"> </w:t>
      </w:r>
      <w:r w:rsidR="00B75961" w:rsidRPr="00DE2580">
        <w:rPr>
          <w:rFonts w:asciiTheme="majorHAnsi" w:hAnsiTheme="majorHAnsi"/>
          <w:sz w:val="20"/>
          <w:szCs w:val="20"/>
        </w:rPr>
        <w:t xml:space="preserve">for </w:t>
      </w:r>
      <w:r w:rsidR="0034654D" w:rsidRPr="00DE2580">
        <w:rPr>
          <w:rFonts w:asciiTheme="majorHAnsi" w:hAnsiTheme="majorHAnsi"/>
          <w:sz w:val="20"/>
          <w:szCs w:val="20"/>
        </w:rPr>
        <w:t>the</w:t>
      </w:r>
      <w:r w:rsidRPr="00DE2580">
        <w:rPr>
          <w:rFonts w:asciiTheme="majorHAnsi" w:hAnsiTheme="majorHAnsi"/>
          <w:sz w:val="20"/>
          <w:szCs w:val="20"/>
        </w:rPr>
        <w:t xml:space="preserve"> third </w:t>
      </w:r>
      <w:r w:rsidR="0034654D" w:rsidRPr="00DE2580">
        <w:rPr>
          <w:rFonts w:asciiTheme="majorHAnsi" w:hAnsiTheme="majorHAnsi"/>
          <w:sz w:val="20"/>
          <w:szCs w:val="20"/>
        </w:rPr>
        <w:t xml:space="preserve">which </w:t>
      </w:r>
      <w:r w:rsidRPr="00DE2580">
        <w:rPr>
          <w:rFonts w:asciiTheme="majorHAnsi" w:hAnsiTheme="majorHAnsi"/>
          <w:sz w:val="20"/>
          <w:szCs w:val="20"/>
        </w:rPr>
        <w:t xml:space="preserve">involved </w:t>
      </w:r>
      <w:r w:rsidR="0034654D" w:rsidRPr="00DE2580">
        <w:rPr>
          <w:rFonts w:asciiTheme="majorHAnsi" w:hAnsiTheme="majorHAnsi"/>
          <w:sz w:val="20"/>
          <w:szCs w:val="20"/>
        </w:rPr>
        <w:t xml:space="preserve">a </w:t>
      </w:r>
      <w:r w:rsidRPr="00DE2580">
        <w:rPr>
          <w:rFonts w:asciiTheme="majorHAnsi" w:hAnsiTheme="majorHAnsi"/>
          <w:sz w:val="20"/>
          <w:szCs w:val="20"/>
        </w:rPr>
        <w:t>victim’s testimony</w:t>
      </w:r>
      <w:r w:rsidRPr="00DE2580">
        <w:rPr>
          <w:rStyle w:val="FootnoteReference"/>
          <w:rFonts w:asciiTheme="majorHAnsi" w:hAnsiTheme="majorHAnsi"/>
          <w:sz w:val="20"/>
          <w:szCs w:val="20"/>
        </w:rPr>
        <w:footnoteReference w:id="17"/>
      </w:r>
      <w:r w:rsidR="00B75961" w:rsidRPr="00DE2580">
        <w:rPr>
          <w:rFonts w:asciiTheme="majorHAnsi" w:hAnsiTheme="majorHAnsi"/>
          <w:sz w:val="20"/>
          <w:szCs w:val="20"/>
        </w:rPr>
        <w:t xml:space="preserve"> as the reliable factors</w:t>
      </w:r>
      <w:r w:rsidRPr="00DE2580">
        <w:rPr>
          <w:rFonts w:asciiTheme="majorHAnsi" w:hAnsiTheme="majorHAnsi"/>
          <w:sz w:val="20"/>
          <w:szCs w:val="20"/>
        </w:rPr>
        <w:t xml:space="preserve">. </w:t>
      </w:r>
    </w:p>
    <w:p w14:paraId="3C471D71" w14:textId="77777777" w:rsidR="00FE36B0" w:rsidRPr="00DE2580" w:rsidRDefault="00FE36B0" w:rsidP="003374B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6A824207" w14:textId="4876A1C5" w:rsidR="000C35E0" w:rsidRPr="00DE2580" w:rsidRDefault="00FD3999" w:rsidP="00FD39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DE2580">
        <w:rPr>
          <w:rFonts w:asciiTheme="majorHAnsi" w:hAnsiTheme="majorHAnsi"/>
          <w:sz w:val="20"/>
          <w:szCs w:val="20"/>
        </w:rPr>
        <w:t xml:space="preserve">Mr. </w:t>
      </w:r>
      <w:r w:rsidR="003374B9" w:rsidRPr="00DE2580">
        <w:rPr>
          <w:rFonts w:asciiTheme="majorHAnsi" w:hAnsiTheme="majorHAnsi"/>
          <w:sz w:val="20"/>
          <w:szCs w:val="20"/>
        </w:rPr>
        <w:t>Housel’s trial attorney, Walt M. Britt (“</w:t>
      </w:r>
      <w:r w:rsidRPr="00DE2580">
        <w:rPr>
          <w:rFonts w:asciiTheme="majorHAnsi" w:hAnsiTheme="majorHAnsi"/>
          <w:sz w:val="20"/>
          <w:szCs w:val="20"/>
        </w:rPr>
        <w:t xml:space="preserve">Mr. </w:t>
      </w:r>
      <w:r w:rsidR="003374B9" w:rsidRPr="00DE2580">
        <w:rPr>
          <w:rFonts w:asciiTheme="majorHAnsi" w:hAnsiTheme="majorHAnsi"/>
          <w:sz w:val="20"/>
          <w:szCs w:val="20"/>
        </w:rPr>
        <w:t>Britt”)</w:t>
      </w:r>
      <w:r w:rsidR="004743E0" w:rsidRPr="00DE2580">
        <w:rPr>
          <w:rFonts w:asciiTheme="majorHAnsi" w:hAnsiTheme="majorHAnsi"/>
          <w:sz w:val="20"/>
          <w:szCs w:val="20"/>
        </w:rPr>
        <w:t xml:space="preserve">, signed an affidavit </w:t>
      </w:r>
      <w:r w:rsidR="000C35E0" w:rsidRPr="00DE2580">
        <w:rPr>
          <w:rFonts w:asciiTheme="majorHAnsi" w:hAnsiTheme="majorHAnsi"/>
          <w:sz w:val="20"/>
          <w:szCs w:val="20"/>
        </w:rPr>
        <w:t>indicat</w:t>
      </w:r>
      <w:r w:rsidR="004743E0" w:rsidRPr="00DE2580">
        <w:rPr>
          <w:rFonts w:asciiTheme="majorHAnsi" w:hAnsiTheme="majorHAnsi"/>
          <w:sz w:val="20"/>
          <w:szCs w:val="20"/>
        </w:rPr>
        <w:t>ing</w:t>
      </w:r>
      <w:r w:rsidR="000C35E0" w:rsidRPr="00DE2580">
        <w:rPr>
          <w:rFonts w:asciiTheme="majorHAnsi" w:hAnsiTheme="majorHAnsi"/>
          <w:sz w:val="20"/>
          <w:szCs w:val="20"/>
        </w:rPr>
        <w:t xml:space="preserve"> the following:</w:t>
      </w:r>
      <w:r w:rsidR="004743E0" w:rsidRPr="00DE2580">
        <w:rPr>
          <w:rStyle w:val="FootnoteReference"/>
          <w:rFonts w:asciiTheme="majorHAnsi" w:hAnsiTheme="majorHAnsi"/>
          <w:sz w:val="20"/>
          <w:szCs w:val="20"/>
        </w:rPr>
        <w:footnoteReference w:id="18"/>
      </w:r>
    </w:p>
    <w:p w14:paraId="0B81FC4A" w14:textId="77777777" w:rsidR="000C35E0" w:rsidRPr="00DE2580" w:rsidRDefault="000C35E0" w:rsidP="000C35E0">
      <w:pPr>
        <w:pStyle w:val="ListParagraph"/>
        <w:rPr>
          <w:rFonts w:asciiTheme="majorHAnsi" w:hAnsiTheme="majorHAnsi"/>
          <w:sz w:val="20"/>
          <w:szCs w:val="20"/>
        </w:rPr>
      </w:pPr>
    </w:p>
    <w:p w14:paraId="553AD798" w14:textId="602E44F7" w:rsidR="004743E0" w:rsidRPr="00DE2580" w:rsidRDefault="000C35E0" w:rsidP="004743E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360" w:right="360"/>
        <w:jc w:val="both"/>
        <w:rPr>
          <w:rFonts w:asciiTheme="majorHAnsi" w:hAnsiTheme="majorHAnsi"/>
          <w:sz w:val="18"/>
          <w:szCs w:val="18"/>
        </w:rPr>
      </w:pPr>
      <w:r w:rsidRPr="00DE2580">
        <w:rPr>
          <w:rFonts w:asciiTheme="majorHAnsi" w:hAnsiTheme="majorHAnsi"/>
          <w:sz w:val="18"/>
          <w:szCs w:val="18"/>
        </w:rPr>
        <w:t xml:space="preserve">I did not consult with any doctor, nor did I seek funds to hire a private medical or </w:t>
      </w:r>
      <w:r w:rsidR="004743E0" w:rsidRPr="00DE2580">
        <w:rPr>
          <w:rFonts w:asciiTheme="majorHAnsi" w:hAnsiTheme="majorHAnsi"/>
          <w:sz w:val="18"/>
          <w:szCs w:val="18"/>
        </w:rPr>
        <w:t>psychological</w:t>
      </w:r>
      <w:r w:rsidRPr="00DE2580">
        <w:rPr>
          <w:rFonts w:asciiTheme="majorHAnsi" w:hAnsiTheme="majorHAnsi"/>
          <w:sz w:val="18"/>
          <w:szCs w:val="18"/>
        </w:rPr>
        <w:t xml:space="preserve"> expert, to investigate either the symptoms that Mr. Housel reported to me, or any other medical or psychological conditions which might have been factor in explaining Mr. Housel’s conduct in this case.</w:t>
      </w:r>
      <w:r w:rsidR="004743E0" w:rsidRPr="00DE2580">
        <w:rPr>
          <w:rFonts w:asciiTheme="majorHAnsi" w:hAnsiTheme="majorHAnsi"/>
          <w:sz w:val="18"/>
          <w:szCs w:val="18"/>
        </w:rPr>
        <w:t xml:space="preserve">  My failure to seek such funds or hire an expert was not in any way a part of my tactics or strategy in the case. […]</w:t>
      </w:r>
    </w:p>
    <w:p w14:paraId="44D5D561" w14:textId="77777777" w:rsidR="004743E0" w:rsidRPr="00DE2580" w:rsidRDefault="004743E0" w:rsidP="004743E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360" w:right="360"/>
        <w:jc w:val="both"/>
        <w:rPr>
          <w:rFonts w:asciiTheme="majorHAnsi" w:hAnsiTheme="majorHAnsi"/>
          <w:sz w:val="18"/>
          <w:szCs w:val="18"/>
        </w:rPr>
      </w:pPr>
    </w:p>
    <w:p w14:paraId="5ABD1AB8" w14:textId="0F5C1A94" w:rsidR="004743E0" w:rsidRPr="00DE2580" w:rsidRDefault="004743E0" w:rsidP="004743E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360" w:right="360"/>
        <w:jc w:val="both"/>
        <w:rPr>
          <w:rFonts w:asciiTheme="majorHAnsi" w:hAnsiTheme="majorHAnsi"/>
          <w:sz w:val="18"/>
          <w:szCs w:val="18"/>
        </w:rPr>
      </w:pPr>
      <w:r w:rsidRPr="00DE2580">
        <w:rPr>
          <w:rFonts w:asciiTheme="majorHAnsi" w:hAnsiTheme="majorHAnsi"/>
          <w:sz w:val="18"/>
          <w:szCs w:val="18"/>
        </w:rPr>
        <w:t xml:space="preserve">That I should have sought funds for expert assistance is made clear by the reports of Drs. Buris Boshell, James Merikangas, and Brad Fisher, which are appendices to the petitioner’s federal petition of writ of habeas corpus. I have recently reviewed the contents on these reports. They contain evidence about Mr. Housel and his mental and medical condition which I should have developed at the time of trial and which I would have presented on his behalf to the jury. Had I developed this information, I believe I would have conducted the case quite differently. </w:t>
      </w:r>
    </w:p>
    <w:p w14:paraId="005CC782" w14:textId="77777777" w:rsidR="000C35E0" w:rsidRPr="00DE2580" w:rsidRDefault="000C35E0" w:rsidP="000C35E0">
      <w:pPr>
        <w:pStyle w:val="ListParagraph"/>
        <w:rPr>
          <w:rFonts w:asciiTheme="majorHAnsi" w:hAnsiTheme="majorHAnsi"/>
          <w:sz w:val="20"/>
          <w:szCs w:val="20"/>
        </w:rPr>
      </w:pPr>
    </w:p>
    <w:p w14:paraId="113B2004" w14:textId="25E72A68" w:rsidR="00A13E1D" w:rsidRPr="00DE2580" w:rsidRDefault="00A13E1D" w:rsidP="00E576F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DE2580">
        <w:rPr>
          <w:rFonts w:asciiTheme="majorHAnsi" w:eastAsia="Times New Roman" w:hAnsiTheme="majorHAnsi"/>
          <w:sz w:val="20"/>
          <w:szCs w:val="20"/>
          <w:lang w:val="en-GB"/>
        </w:rPr>
        <w:t>On February 25, 2002, the U.S. Supreme Court refused Mr. Housel’s final petition for a writ of certiorari.</w:t>
      </w:r>
      <w:r w:rsidR="00385C97" w:rsidRPr="00DE2580">
        <w:rPr>
          <w:rFonts w:asciiTheme="majorHAnsi" w:eastAsia="Times New Roman" w:hAnsiTheme="majorHAnsi"/>
          <w:sz w:val="20"/>
          <w:szCs w:val="20"/>
          <w:lang w:val="en-GB"/>
        </w:rPr>
        <w:t xml:space="preserve"> Mr. Housel </w:t>
      </w:r>
      <w:r w:rsidR="00742B43" w:rsidRPr="00DE2580">
        <w:rPr>
          <w:rFonts w:asciiTheme="majorHAnsi" w:eastAsia="Times New Roman" w:hAnsiTheme="majorHAnsi"/>
          <w:sz w:val="20"/>
          <w:szCs w:val="20"/>
          <w:lang w:val="en-GB"/>
        </w:rPr>
        <w:t>was executed on March 12, 2002</w:t>
      </w:r>
      <w:r w:rsidR="00F8403F" w:rsidRPr="00DE2580">
        <w:rPr>
          <w:rFonts w:asciiTheme="majorHAnsi" w:eastAsia="Times New Roman" w:hAnsiTheme="majorHAnsi"/>
          <w:sz w:val="20"/>
          <w:szCs w:val="20"/>
          <w:lang w:val="en-GB"/>
        </w:rPr>
        <w:t>.</w:t>
      </w:r>
      <w:r w:rsidR="003521EC" w:rsidRPr="00DE2580">
        <w:rPr>
          <w:rStyle w:val="FootnoteReference"/>
          <w:rFonts w:asciiTheme="majorHAnsi" w:eastAsia="Times New Roman" w:hAnsiTheme="majorHAnsi"/>
          <w:sz w:val="20"/>
          <w:szCs w:val="20"/>
          <w:lang w:val="en-GB"/>
        </w:rPr>
        <w:footnoteReference w:id="19"/>
      </w:r>
    </w:p>
    <w:p w14:paraId="2447F938" w14:textId="77777777" w:rsidR="00A13E1D" w:rsidRPr="00DE2580" w:rsidRDefault="00A13E1D" w:rsidP="003D706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7830A2EC" w14:textId="3838B3B6" w:rsidR="00394D87" w:rsidRPr="00DE2580" w:rsidRDefault="00394D87" w:rsidP="00C65357">
      <w:pPr>
        <w:pStyle w:val="Heading2"/>
        <w:numPr>
          <w:ilvl w:val="0"/>
          <w:numId w:val="66"/>
        </w:numPr>
        <w:tabs>
          <w:tab w:val="left" w:pos="360"/>
        </w:tabs>
        <w:spacing w:before="0"/>
        <w:ind w:left="360"/>
        <w:jc w:val="both"/>
        <w:rPr>
          <w:bCs w:val="0"/>
          <w:color w:val="auto"/>
          <w:sz w:val="20"/>
          <w:szCs w:val="20"/>
        </w:rPr>
      </w:pPr>
      <w:bookmarkStart w:id="12" w:name="_Toc150529026"/>
      <w:r w:rsidRPr="00DE2580">
        <w:rPr>
          <w:bCs w:val="0"/>
          <w:color w:val="auto"/>
          <w:sz w:val="20"/>
          <w:szCs w:val="20"/>
        </w:rPr>
        <w:t>P</w:t>
      </w:r>
      <w:r w:rsidR="00530C37" w:rsidRPr="00DE2580">
        <w:rPr>
          <w:bCs w:val="0"/>
          <w:color w:val="auto"/>
          <w:sz w:val="20"/>
          <w:szCs w:val="20"/>
        </w:rPr>
        <w:t xml:space="preserve">re-trial </w:t>
      </w:r>
      <w:r w:rsidR="00023402" w:rsidRPr="00DE2580">
        <w:rPr>
          <w:bCs w:val="0"/>
          <w:color w:val="auto"/>
          <w:sz w:val="20"/>
          <w:szCs w:val="20"/>
        </w:rPr>
        <w:t>confinement</w:t>
      </w:r>
      <w:r w:rsidRPr="00DE2580">
        <w:rPr>
          <w:bCs w:val="0"/>
          <w:color w:val="auto"/>
          <w:sz w:val="20"/>
          <w:szCs w:val="20"/>
        </w:rPr>
        <w:t xml:space="preserve"> conditions</w:t>
      </w:r>
      <w:bookmarkEnd w:id="12"/>
    </w:p>
    <w:p w14:paraId="7CE71FCE" w14:textId="77777777" w:rsidR="00394D87" w:rsidRPr="00DE2580" w:rsidRDefault="00394D87" w:rsidP="003D706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49BC2D94" w14:textId="19432F05" w:rsidR="00530C37" w:rsidRPr="00DE2580" w:rsidRDefault="00530C37" w:rsidP="00742B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DE2580">
        <w:rPr>
          <w:rFonts w:asciiTheme="majorHAnsi" w:eastAsia="Times New Roman" w:hAnsiTheme="majorHAnsi"/>
          <w:sz w:val="20"/>
          <w:szCs w:val="20"/>
          <w:lang w:val="en-GB"/>
        </w:rPr>
        <w:t>According to the information on the record, Mr. Housel spent pre-trial detention</w:t>
      </w:r>
      <w:r w:rsidR="00DC3E4E" w:rsidRPr="00DE2580">
        <w:rPr>
          <w:rFonts w:asciiTheme="majorHAnsi" w:eastAsia="Times New Roman" w:hAnsiTheme="majorHAnsi"/>
          <w:sz w:val="20"/>
          <w:szCs w:val="20"/>
          <w:lang w:val="en-GB"/>
        </w:rPr>
        <w:t xml:space="preserve"> </w:t>
      </w:r>
      <w:r w:rsidR="00AA10C4" w:rsidRPr="00DE2580">
        <w:rPr>
          <w:rFonts w:asciiTheme="majorHAnsi" w:eastAsia="Times New Roman" w:hAnsiTheme="majorHAnsi"/>
          <w:sz w:val="20"/>
          <w:szCs w:val="20"/>
          <w:lang w:val="en-GB"/>
        </w:rPr>
        <w:t xml:space="preserve">at </w:t>
      </w:r>
      <w:r w:rsidRPr="00DE2580">
        <w:rPr>
          <w:rFonts w:asciiTheme="majorHAnsi" w:eastAsia="Times New Roman" w:hAnsiTheme="majorHAnsi"/>
          <w:sz w:val="20"/>
          <w:szCs w:val="20"/>
          <w:lang w:val="en-GB"/>
        </w:rPr>
        <w:t>Gwinnet County Jail</w:t>
      </w:r>
      <w:r w:rsidR="00AA10C4" w:rsidRPr="00DE2580">
        <w:rPr>
          <w:rFonts w:asciiTheme="majorHAnsi" w:eastAsia="Times New Roman" w:hAnsiTheme="majorHAnsi"/>
          <w:sz w:val="20"/>
          <w:szCs w:val="20"/>
          <w:lang w:val="en-GB"/>
        </w:rPr>
        <w:t xml:space="preserve">, which was in 1985 the subject of a federal lawsuit on living conditions. As a response, and to </w:t>
      </w:r>
      <w:r w:rsidRPr="00DE2580">
        <w:rPr>
          <w:rFonts w:asciiTheme="majorHAnsi" w:eastAsia="Times New Roman" w:hAnsiTheme="majorHAnsi"/>
          <w:sz w:val="20"/>
          <w:szCs w:val="20"/>
          <w:lang w:val="en-GB"/>
        </w:rPr>
        <w:t>reduce the jail’s overcrowding</w:t>
      </w:r>
      <w:r w:rsidR="00AA10C4" w:rsidRPr="00DE2580">
        <w:rPr>
          <w:rFonts w:asciiTheme="majorHAnsi" w:eastAsia="Times New Roman" w:hAnsiTheme="majorHAnsi"/>
          <w:sz w:val="20"/>
          <w:szCs w:val="20"/>
          <w:lang w:val="en-GB"/>
        </w:rPr>
        <w:t>,</w:t>
      </w:r>
      <w:r w:rsidRPr="00DE2580">
        <w:rPr>
          <w:rFonts w:asciiTheme="majorHAnsi" w:eastAsia="Times New Roman" w:hAnsiTheme="majorHAnsi"/>
          <w:sz w:val="20"/>
          <w:szCs w:val="20"/>
          <w:lang w:val="en-GB"/>
        </w:rPr>
        <w:t xml:space="preserve"> in 1989 modular housing units were added to the Correctional Institute to house pre-trial detainees until a new jail opened in 1991</w:t>
      </w:r>
      <w:r w:rsidR="00AA10C4" w:rsidRPr="00DE2580">
        <w:rPr>
          <w:rFonts w:asciiTheme="majorHAnsi" w:eastAsia="Times New Roman" w:hAnsiTheme="majorHAnsi"/>
          <w:sz w:val="20"/>
          <w:szCs w:val="20"/>
          <w:lang w:val="en-GB"/>
        </w:rPr>
        <w:t>.</w:t>
      </w:r>
      <w:r w:rsidRPr="00DE2580">
        <w:rPr>
          <w:rStyle w:val="FootnoteReference"/>
          <w:rFonts w:asciiTheme="majorHAnsi" w:eastAsia="Times New Roman" w:hAnsiTheme="majorHAnsi"/>
          <w:sz w:val="20"/>
          <w:szCs w:val="20"/>
          <w:lang w:val="en-GB"/>
        </w:rPr>
        <w:footnoteReference w:id="20"/>
      </w:r>
      <w:r w:rsidRPr="00DE2580">
        <w:rPr>
          <w:rFonts w:asciiTheme="majorHAnsi" w:eastAsia="Times New Roman" w:hAnsiTheme="majorHAnsi"/>
          <w:sz w:val="20"/>
          <w:szCs w:val="20"/>
          <w:lang w:val="en-GB"/>
        </w:rPr>
        <w:t xml:space="preserve"> </w:t>
      </w:r>
      <w:r w:rsidR="00CA2934" w:rsidRPr="00DE2580">
        <w:rPr>
          <w:rFonts w:asciiTheme="majorHAnsi" w:eastAsia="Times New Roman" w:hAnsiTheme="majorHAnsi"/>
          <w:sz w:val="20"/>
          <w:szCs w:val="20"/>
          <w:lang w:val="en-GB"/>
        </w:rPr>
        <w:t xml:space="preserve"> </w:t>
      </w:r>
    </w:p>
    <w:p w14:paraId="532D5776" w14:textId="77777777" w:rsidR="00530C37" w:rsidRPr="00DE2580" w:rsidRDefault="00530C37" w:rsidP="00530C37">
      <w:pPr>
        <w:pStyle w:val="ListParagraph"/>
        <w:rPr>
          <w:rFonts w:asciiTheme="majorHAnsi" w:eastAsia="Times New Roman" w:hAnsiTheme="majorHAnsi"/>
          <w:sz w:val="20"/>
        </w:rPr>
      </w:pPr>
    </w:p>
    <w:p w14:paraId="0D813BC3" w14:textId="544347BA" w:rsidR="00530C37" w:rsidRPr="00DE2580" w:rsidRDefault="00AA10C4" w:rsidP="00C33F1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DE2580">
        <w:rPr>
          <w:rFonts w:asciiTheme="majorHAnsi" w:eastAsia="Times New Roman" w:hAnsiTheme="majorHAnsi"/>
          <w:sz w:val="20"/>
        </w:rPr>
        <w:t xml:space="preserve">Mr. </w:t>
      </w:r>
      <w:r w:rsidR="00530C37" w:rsidRPr="00DE2580">
        <w:rPr>
          <w:rFonts w:asciiTheme="majorHAnsi" w:eastAsia="Times New Roman" w:hAnsiTheme="majorHAnsi"/>
          <w:sz w:val="20"/>
        </w:rPr>
        <w:t>Housel’s detention was similarly described within several affidavits</w:t>
      </w:r>
      <w:r w:rsidR="00304509" w:rsidRPr="00DE2580">
        <w:rPr>
          <w:rFonts w:asciiTheme="majorHAnsi" w:eastAsia="Times New Roman" w:hAnsiTheme="majorHAnsi"/>
          <w:sz w:val="20"/>
        </w:rPr>
        <w:t xml:space="preserve"> presented by</w:t>
      </w:r>
      <w:r w:rsidR="00530C37" w:rsidRPr="00DE2580">
        <w:rPr>
          <w:rFonts w:asciiTheme="majorHAnsi" w:eastAsia="Times New Roman" w:hAnsiTheme="majorHAnsi"/>
          <w:sz w:val="20"/>
        </w:rPr>
        <w:t xml:space="preserve"> two past employees of Gwinnett County Jail, as well as four inmates detained during </w:t>
      </w:r>
      <w:r w:rsidR="00C33F19" w:rsidRPr="00DE2580">
        <w:rPr>
          <w:rFonts w:asciiTheme="majorHAnsi" w:eastAsia="Times New Roman" w:hAnsiTheme="majorHAnsi"/>
          <w:sz w:val="20"/>
        </w:rPr>
        <w:t xml:space="preserve">Mr. </w:t>
      </w:r>
      <w:r w:rsidR="00530C37" w:rsidRPr="00DE2580">
        <w:rPr>
          <w:rFonts w:asciiTheme="majorHAnsi" w:eastAsia="Times New Roman" w:hAnsiTheme="majorHAnsi"/>
          <w:sz w:val="20"/>
        </w:rPr>
        <w:t>Housel’s detention at Gwinnett County Jail</w:t>
      </w:r>
      <w:r w:rsidR="00C33F19" w:rsidRPr="00DE2580">
        <w:rPr>
          <w:rFonts w:asciiTheme="majorHAnsi" w:eastAsia="Times New Roman" w:hAnsiTheme="majorHAnsi"/>
          <w:sz w:val="20"/>
        </w:rPr>
        <w:t>.</w:t>
      </w:r>
      <w:r w:rsidR="00530C37" w:rsidRPr="00DE2580">
        <w:rPr>
          <w:rStyle w:val="FootnoteReference"/>
          <w:rFonts w:asciiTheme="majorHAnsi" w:hAnsiTheme="majorHAnsi"/>
          <w:sz w:val="20"/>
          <w:szCs w:val="20"/>
        </w:rPr>
        <w:footnoteReference w:id="21"/>
      </w:r>
      <w:r w:rsidR="00C33F19" w:rsidRPr="00DE2580">
        <w:rPr>
          <w:rFonts w:asciiTheme="majorHAnsi" w:hAnsiTheme="majorHAnsi"/>
          <w:sz w:val="20"/>
          <w:szCs w:val="20"/>
        </w:rPr>
        <w:t xml:space="preserve"> Mr. </w:t>
      </w:r>
      <w:r w:rsidR="00530C37" w:rsidRPr="00DE2580">
        <w:rPr>
          <w:rFonts w:asciiTheme="majorHAnsi" w:eastAsia="Times New Roman" w:hAnsiTheme="majorHAnsi"/>
          <w:sz w:val="20"/>
        </w:rPr>
        <w:t xml:space="preserve">Housel’s detention </w:t>
      </w:r>
      <w:r w:rsidR="00C33F19" w:rsidRPr="00DE2580">
        <w:rPr>
          <w:rFonts w:asciiTheme="majorHAnsi" w:eastAsia="Times New Roman" w:hAnsiTheme="majorHAnsi"/>
          <w:sz w:val="20"/>
        </w:rPr>
        <w:t xml:space="preserve">was described </w:t>
      </w:r>
      <w:r w:rsidR="00530C37" w:rsidRPr="00DE2580">
        <w:rPr>
          <w:rFonts w:asciiTheme="majorHAnsi" w:eastAsia="Times New Roman" w:hAnsiTheme="majorHAnsi"/>
          <w:sz w:val="20"/>
        </w:rPr>
        <w:t xml:space="preserve">as “rigid solitary confinement” immediately upon booking, in conditions that were </w:t>
      </w:r>
      <w:r w:rsidR="00530C37" w:rsidRPr="00DE2580">
        <w:rPr>
          <w:rFonts w:asciiTheme="majorHAnsi" w:hAnsiTheme="majorHAnsi"/>
          <w:sz w:val="20"/>
          <w:szCs w:val="20"/>
        </w:rPr>
        <w:t>“cruel and were intended to forcibly break him</w:t>
      </w:r>
      <w:r w:rsidR="000A77EF" w:rsidRPr="00DE2580">
        <w:rPr>
          <w:rFonts w:asciiTheme="majorHAnsi" w:hAnsiTheme="majorHAnsi"/>
          <w:sz w:val="20"/>
          <w:szCs w:val="20"/>
        </w:rPr>
        <w:t>.</w:t>
      </w:r>
      <w:r w:rsidR="00530C37" w:rsidRPr="00DE2580">
        <w:rPr>
          <w:rFonts w:asciiTheme="majorHAnsi" w:hAnsiTheme="majorHAnsi"/>
          <w:sz w:val="20"/>
          <w:szCs w:val="20"/>
        </w:rPr>
        <w:t>”</w:t>
      </w:r>
      <w:r w:rsidR="000A77EF" w:rsidRPr="00DE2580">
        <w:rPr>
          <w:rFonts w:asciiTheme="majorHAnsi" w:hAnsiTheme="majorHAnsi"/>
          <w:sz w:val="20"/>
          <w:szCs w:val="20"/>
        </w:rPr>
        <w:t xml:space="preserve">  T</w:t>
      </w:r>
      <w:r w:rsidR="00530C37" w:rsidRPr="00DE2580">
        <w:rPr>
          <w:rFonts w:asciiTheme="majorHAnsi" w:hAnsiTheme="majorHAnsi"/>
          <w:sz w:val="20"/>
          <w:szCs w:val="20"/>
        </w:rPr>
        <w:t>here were three or four inmates in C House</w:t>
      </w:r>
      <w:r w:rsidR="000A77EF" w:rsidRPr="00DE2580">
        <w:rPr>
          <w:rFonts w:asciiTheme="majorHAnsi" w:hAnsiTheme="majorHAnsi"/>
          <w:sz w:val="20"/>
          <w:szCs w:val="20"/>
        </w:rPr>
        <w:t xml:space="preserve">, where Mr. </w:t>
      </w:r>
      <w:r w:rsidR="00530C37" w:rsidRPr="00DE2580">
        <w:rPr>
          <w:rFonts w:asciiTheme="majorHAnsi" w:hAnsiTheme="majorHAnsi"/>
          <w:sz w:val="20"/>
          <w:szCs w:val="20"/>
        </w:rPr>
        <w:t>Housel w</w:t>
      </w:r>
      <w:r w:rsidR="000A77EF" w:rsidRPr="00DE2580">
        <w:rPr>
          <w:rFonts w:asciiTheme="majorHAnsi" w:hAnsiTheme="majorHAnsi"/>
          <w:sz w:val="20"/>
          <w:szCs w:val="20"/>
        </w:rPr>
        <w:t>as</w:t>
      </w:r>
      <w:r w:rsidR="00530C37" w:rsidRPr="00DE2580">
        <w:rPr>
          <w:rFonts w:asciiTheme="majorHAnsi" w:hAnsiTheme="majorHAnsi"/>
          <w:sz w:val="20"/>
          <w:szCs w:val="20"/>
        </w:rPr>
        <w:t xml:space="preserve"> detained</w:t>
      </w:r>
      <w:r w:rsidR="000A77EF" w:rsidRPr="00DE2580">
        <w:rPr>
          <w:rFonts w:asciiTheme="majorHAnsi" w:hAnsiTheme="majorHAnsi"/>
          <w:sz w:val="20"/>
          <w:szCs w:val="20"/>
        </w:rPr>
        <w:t>,</w:t>
      </w:r>
      <w:r w:rsidR="00530C37" w:rsidRPr="00DE2580">
        <w:rPr>
          <w:rFonts w:asciiTheme="majorHAnsi" w:hAnsiTheme="majorHAnsi"/>
          <w:sz w:val="20"/>
          <w:szCs w:val="20"/>
        </w:rPr>
        <w:t xml:space="preserve"> called “the hole</w:t>
      </w:r>
      <w:r w:rsidR="000A77EF" w:rsidRPr="00DE2580">
        <w:rPr>
          <w:rFonts w:asciiTheme="majorHAnsi" w:hAnsiTheme="majorHAnsi"/>
          <w:sz w:val="20"/>
          <w:szCs w:val="20"/>
        </w:rPr>
        <w:t>.</w:t>
      </w:r>
      <w:r w:rsidR="00530C37" w:rsidRPr="00DE2580">
        <w:rPr>
          <w:rFonts w:asciiTheme="majorHAnsi" w:hAnsiTheme="majorHAnsi"/>
          <w:sz w:val="20"/>
          <w:szCs w:val="20"/>
        </w:rPr>
        <w:t>”</w:t>
      </w:r>
      <w:r w:rsidR="000A77EF" w:rsidRPr="00DE2580">
        <w:rPr>
          <w:rFonts w:asciiTheme="majorHAnsi" w:hAnsiTheme="majorHAnsi"/>
          <w:sz w:val="20"/>
          <w:szCs w:val="20"/>
        </w:rPr>
        <w:t xml:space="preserve">  The</w:t>
      </w:r>
      <w:r w:rsidR="00530C37" w:rsidRPr="00DE2580">
        <w:rPr>
          <w:rFonts w:asciiTheme="majorHAnsi" w:hAnsiTheme="majorHAnsi"/>
          <w:sz w:val="20"/>
          <w:szCs w:val="20"/>
        </w:rPr>
        <w:t xml:space="preserve"> cellblock </w:t>
      </w:r>
      <w:r w:rsidR="000A77EF" w:rsidRPr="00DE2580">
        <w:rPr>
          <w:rFonts w:asciiTheme="majorHAnsi" w:hAnsiTheme="majorHAnsi"/>
          <w:sz w:val="20"/>
          <w:szCs w:val="20"/>
        </w:rPr>
        <w:t xml:space="preserve">was described </w:t>
      </w:r>
      <w:r w:rsidR="00530C37" w:rsidRPr="00DE2580">
        <w:rPr>
          <w:rFonts w:asciiTheme="majorHAnsi" w:hAnsiTheme="majorHAnsi"/>
          <w:sz w:val="20"/>
          <w:szCs w:val="20"/>
        </w:rPr>
        <w:t>as being “like a dungeon</w:t>
      </w:r>
      <w:r w:rsidR="0084248C" w:rsidRPr="00DE2580">
        <w:rPr>
          <w:rFonts w:asciiTheme="majorHAnsi" w:hAnsiTheme="majorHAnsi"/>
          <w:sz w:val="20"/>
          <w:szCs w:val="20"/>
        </w:rPr>
        <w:t>,</w:t>
      </w:r>
      <w:r w:rsidR="00530C37" w:rsidRPr="00DE2580">
        <w:rPr>
          <w:rFonts w:asciiTheme="majorHAnsi" w:hAnsiTheme="majorHAnsi"/>
          <w:sz w:val="20"/>
          <w:szCs w:val="20"/>
        </w:rPr>
        <w:t xml:space="preserve">” </w:t>
      </w:r>
      <w:r w:rsidR="00525A81" w:rsidRPr="00DE2580">
        <w:rPr>
          <w:rFonts w:asciiTheme="majorHAnsi" w:hAnsiTheme="majorHAnsi"/>
          <w:sz w:val="20"/>
          <w:szCs w:val="20"/>
        </w:rPr>
        <w:t>with</w:t>
      </w:r>
      <w:r w:rsidR="00530C37" w:rsidRPr="00DE2580">
        <w:rPr>
          <w:rFonts w:asciiTheme="majorHAnsi" w:hAnsiTheme="majorHAnsi"/>
          <w:sz w:val="20"/>
          <w:szCs w:val="20"/>
        </w:rPr>
        <w:t xml:space="preserve"> no shower</w:t>
      </w:r>
      <w:r w:rsidR="0084248C" w:rsidRPr="00DE2580">
        <w:rPr>
          <w:rFonts w:asciiTheme="majorHAnsi" w:hAnsiTheme="majorHAnsi"/>
          <w:sz w:val="20"/>
          <w:szCs w:val="20"/>
        </w:rPr>
        <w:t xml:space="preserve">, </w:t>
      </w:r>
      <w:r w:rsidR="00530C37" w:rsidRPr="00DE2580">
        <w:rPr>
          <w:rFonts w:asciiTheme="majorHAnsi" w:hAnsiTheme="majorHAnsi"/>
          <w:sz w:val="20"/>
          <w:szCs w:val="20"/>
        </w:rPr>
        <w:t xml:space="preserve">overpopulated, </w:t>
      </w:r>
      <w:r w:rsidR="0084248C" w:rsidRPr="00DE2580">
        <w:rPr>
          <w:rFonts w:asciiTheme="majorHAnsi" w:hAnsiTheme="majorHAnsi"/>
          <w:sz w:val="20"/>
          <w:szCs w:val="20"/>
        </w:rPr>
        <w:t xml:space="preserve">and </w:t>
      </w:r>
      <w:r w:rsidR="00530C37" w:rsidRPr="00DE2580">
        <w:rPr>
          <w:rFonts w:asciiTheme="majorHAnsi" w:hAnsiTheme="majorHAnsi"/>
          <w:sz w:val="20"/>
          <w:szCs w:val="20"/>
        </w:rPr>
        <w:t>inmates sle</w:t>
      </w:r>
      <w:r w:rsidR="0084248C" w:rsidRPr="00DE2580">
        <w:rPr>
          <w:rFonts w:asciiTheme="majorHAnsi" w:hAnsiTheme="majorHAnsi"/>
          <w:sz w:val="20"/>
          <w:szCs w:val="20"/>
        </w:rPr>
        <w:t>eping</w:t>
      </w:r>
      <w:r w:rsidR="00530C37" w:rsidRPr="00DE2580">
        <w:rPr>
          <w:rFonts w:asciiTheme="majorHAnsi" w:hAnsiTheme="majorHAnsi"/>
          <w:sz w:val="20"/>
          <w:szCs w:val="20"/>
        </w:rPr>
        <w:t xml:space="preserve"> on the floor on occasion</w:t>
      </w:r>
      <w:r w:rsidR="0084248C" w:rsidRPr="00DE2580">
        <w:rPr>
          <w:rFonts w:asciiTheme="majorHAnsi" w:hAnsiTheme="majorHAnsi"/>
          <w:sz w:val="20"/>
          <w:szCs w:val="20"/>
        </w:rPr>
        <w:t>s</w:t>
      </w:r>
      <w:r w:rsidR="00530C37" w:rsidRPr="00DE2580">
        <w:rPr>
          <w:rFonts w:asciiTheme="majorHAnsi" w:hAnsiTheme="majorHAnsi"/>
          <w:sz w:val="20"/>
          <w:szCs w:val="20"/>
        </w:rPr>
        <w:t xml:space="preserve">. </w:t>
      </w:r>
    </w:p>
    <w:p w14:paraId="31DE5EEA" w14:textId="77777777" w:rsidR="00530C37" w:rsidRPr="00DE2580" w:rsidRDefault="00530C37" w:rsidP="00530C37">
      <w:pPr>
        <w:pStyle w:val="ListParagraph"/>
        <w:rPr>
          <w:rFonts w:asciiTheme="majorHAnsi" w:hAnsiTheme="majorHAnsi"/>
          <w:sz w:val="20"/>
          <w:szCs w:val="20"/>
        </w:rPr>
      </w:pPr>
    </w:p>
    <w:p w14:paraId="3AEBFDE4" w14:textId="77777777" w:rsidR="00530C37" w:rsidRPr="00DE2580" w:rsidRDefault="0084248C" w:rsidP="0084248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DE2580">
        <w:rPr>
          <w:rFonts w:asciiTheme="majorHAnsi" w:hAnsiTheme="majorHAnsi"/>
          <w:sz w:val="20"/>
          <w:szCs w:val="20"/>
        </w:rPr>
        <w:t>According to these affidavits, Mr.</w:t>
      </w:r>
      <w:r w:rsidR="00530C37" w:rsidRPr="00DE2580">
        <w:rPr>
          <w:rFonts w:asciiTheme="majorHAnsi" w:hAnsiTheme="majorHAnsi"/>
          <w:sz w:val="20"/>
          <w:szCs w:val="20"/>
        </w:rPr>
        <w:t xml:space="preserve"> Housel was detained for at least his first eight weeks at the jail in a very small cell with no sunlight; during which he was not allowed to shower, to exercise o</w:t>
      </w:r>
      <w:r w:rsidR="00F44CE7" w:rsidRPr="00DE2580">
        <w:rPr>
          <w:rFonts w:asciiTheme="majorHAnsi" w:hAnsiTheme="majorHAnsi"/>
          <w:sz w:val="20"/>
          <w:szCs w:val="20"/>
        </w:rPr>
        <w:t>r to breathe fresh, outdoor air. H</w:t>
      </w:r>
      <w:r w:rsidR="00530C37" w:rsidRPr="00DE2580">
        <w:rPr>
          <w:rFonts w:asciiTheme="majorHAnsi" w:hAnsiTheme="majorHAnsi"/>
          <w:sz w:val="20"/>
          <w:szCs w:val="20"/>
        </w:rPr>
        <w:t>e was</w:t>
      </w:r>
      <w:r w:rsidR="00F44CE7" w:rsidRPr="00DE2580">
        <w:rPr>
          <w:rFonts w:asciiTheme="majorHAnsi" w:hAnsiTheme="majorHAnsi"/>
          <w:sz w:val="20"/>
          <w:szCs w:val="20"/>
        </w:rPr>
        <w:t xml:space="preserve"> allegedly</w:t>
      </w:r>
      <w:r w:rsidR="00530C37" w:rsidRPr="00DE2580">
        <w:rPr>
          <w:rFonts w:asciiTheme="majorHAnsi" w:hAnsiTheme="majorHAnsi"/>
          <w:sz w:val="20"/>
          <w:szCs w:val="20"/>
        </w:rPr>
        <w:t xml:space="preserve"> not allowed to fraternize or even communicate with other inmates, </w:t>
      </w:r>
      <w:r w:rsidR="00297C9F" w:rsidRPr="00DE2580">
        <w:rPr>
          <w:rFonts w:asciiTheme="majorHAnsi" w:hAnsiTheme="majorHAnsi"/>
          <w:sz w:val="20"/>
          <w:szCs w:val="20"/>
        </w:rPr>
        <w:t xml:space="preserve">use the phone, or have contact with the outside, </w:t>
      </w:r>
      <w:r w:rsidR="00530C37" w:rsidRPr="00DE2580">
        <w:rPr>
          <w:rFonts w:asciiTheme="majorHAnsi" w:hAnsiTheme="majorHAnsi"/>
          <w:sz w:val="20"/>
          <w:szCs w:val="20"/>
        </w:rPr>
        <w:t xml:space="preserve">to attend religious services or to leave the cell for any reason. </w:t>
      </w:r>
      <w:r w:rsidR="00297C9F" w:rsidRPr="00DE2580">
        <w:rPr>
          <w:rFonts w:asciiTheme="majorHAnsi" w:hAnsiTheme="majorHAnsi"/>
          <w:sz w:val="20"/>
          <w:szCs w:val="20"/>
        </w:rPr>
        <w:t xml:space="preserve">In one occasion in which </w:t>
      </w:r>
      <w:r w:rsidR="00297C9F" w:rsidRPr="00DE2580">
        <w:rPr>
          <w:rFonts w:asciiTheme="majorHAnsi" w:hAnsiTheme="majorHAnsi"/>
          <w:sz w:val="20"/>
          <w:szCs w:val="20"/>
        </w:rPr>
        <w:lastRenderedPageBreak/>
        <w:t>Mr. H</w:t>
      </w:r>
      <w:r w:rsidR="00530C37" w:rsidRPr="00DE2580">
        <w:rPr>
          <w:rFonts w:asciiTheme="majorHAnsi" w:hAnsiTheme="majorHAnsi"/>
          <w:sz w:val="20"/>
          <w:szCs w:val="20"/>
        </w:rPr>
        <w:t xml:space="preserve">ousel was allowed to go to church </w:t>
      </w:r>
      <w:r w:rsidR="00297C9F" w:rsidRPr="00DE2580">
        <w:rPr>
          <w:rFonts w:asciiTheme="majorHAnsi" w:hAnsiTheme="majorHAnsi"/>
          <w:sz w:val="20"/>
          <w:szCs w:val="20"/>
        </w:rPr>
        <w:t>he was allegedly</w:t>
      </w:r>
      <w:r w:rsidR="00530C37" w:rsidRPr="00DE2580">
        <w:rPr>
          <w:rFonts w:asciiTheme="majorHAnsi" w:hAnsiTheme="majorHAnsi"/>
          <w:sz w:val="20"/>
          <w:szCs w:val="20"/>
        </w:rPr>
        <w:t xml:space="preserve"> placed in “leg irons and waist chains</w:t>
      </w:r>
      <w:r w:rsidR="00297C9F" w:rsidRPr="00DE2580">
        <w:rPr>
          <w:rFonts w:asciiTheme="majorHAnsi" w:hAnsiTheme="majorHAnsi"/>
          <w:sz w:val="20"/>
          <w:szCs w:val="20"/>
        </w:rPr>
        <w:t>.</w:t>
      </w:r>
      <w:r w:rsidR="00530C37" w:rsidRPr="00DE2580">
        <w:rPr>
          <w:rFonts w:asciiTheme="majorHAnsi" w:hAnsiTheme="majorHAnsi"/>
          <w:sz w:val="20"/>
          <w:szCs w:val="20"/>
        </w:rPr>
        <w:t>”</w:t>
      </w:r>
      <w:r w:rsidR="00297C9F" w:rsidRPr="00DE2580">
        <w:rPr>
          <w:rFonts w:asciiTheme="majorHAnsi" w:hAnsiTheme="majorHAnsi"/>
          <w:sz w:val="20"/>
          <w:szCs w:val="20"/>
        </w:rPr>
        <w:t xml:space="preserve"> The food, which was slipped under the door, was sometimes impossible to eat. Mr. Housel was </w:t>
      </w:r>
      <w:r w:rsidR="0058161C" w:rsidRPr="00DE2580">
        <w:rPr>
          <w:rFonts w:asciiTheme="majorHAnsi" w:hAnsiTheme="majorHAnsi"/>
          <w:sz w:val="20"/>
          <w:szCs w:val="20"/>
        </w:rPr>
        <w:t xml:space="preserve">once </w:t>
      </w:r>
      <w:r w:rsidR="00C81378" w:rsidRPr="00DE2580">
        <w:rPr>
          <w:rFonts w:asciiTheme="majorHAnsi" w:hAnsiTheme="majorHAnsi"/>
          <w:sz w:val="20"/>
          <w:szCs w:val="20"/>
        </w:rPr>
        <w:t xml:space="preserve">allegedly </w:t>
      </w:r>
      <w:r w:rsidR="0058161C" w:rsidRPr="00DE2580">
        <w:rPr>
          <w:rFonts w:asciiTheme="majorHAnsi" w:hAnsiTheme="majorHAnsi"/>
          <w:sz w:val="20"/>
          <w:szCs w:val="20"/>
        </w:rPr>
        <w:t xml:space="preserve">hit with a </w:t>
      </w:r>
      <w:r w:rsidR="00142223" w:rsidRPr="00DE2580">
        <w:rPr>
          <w:rFonts w:asciiTheme="majorHAnsi" w:hAnsiTheme="majorHAnsi"/>
          <w:sz w:val="20"/>
          <w:szCs w:val="20"/>
        </w:rPr>
        <w:t>Taser by a guard</w:t>
      </w:r>
      <w:r w:rsidR="0058161C" w:rsidRPr="00DE2580">
        <w:rPr>
          <w:rFonts w:asciiTheme="majorHAnsi" w:hAnsiTheme="majorHAnsi"/>
          <w:sz w:val="20"/>
          <w:szCs w:val="20"/>
        </w:rPr>
        <w:t xml:space="preserve">. </w:t>
      </w:r>
    </w:p>
    <w:p w14:paraId="0A77E73A" w14:textId="77777777" w:rsidR="00530C37" w:rsidRPr="00DE2580" w:rsidRDefault="00530C37" w:rsidP="00530C3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34EE55EA" w14:textId="77777777" w:rsidR="00530C37" w:rsidRPr="00DE2580" w:rsidRDefault="006361A8" w:rsidP="006361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DE2580">
        <w:rPr>
          <w:rFonts w:asciiTheme="majorHAnsi" w:hAnsiTheme="majorHAnsi"/>
          <w:sz w:val="20"/>
          <w:szCs w:val="20"/>
        </w:rPr>
        <w:t xml:space="preserve">Mr. Housel’s inmates indicated that they </w:t>
      </w:r>
      <w:r w:rsidR="00530C37" w:rsidRPr="00DE2580">
        <w:rPr>
          <w:rFonts w:asciiTheme="majorHAnsi" w:hAnsiTheme="majorHAnsi"/>
          <w:sz w:val="20"/>
          <w:szCs w:val="20"/>
        </w:rPr>
        <w:t xml:space="preserve">frequently </w:t>
      </w:r>
      <w:r w:rsidRPr="00DE2580">
        <w:rPr>
          <w:rFonts w:asciiTheme="majorHAnsi" w:hAnsiTheme="majorHAnsi"/>
          <w:sz w:val="20"/>
          <w:szCs w:val="20"/>
        </w:rPr>
        <w:t>heard Mr.</w:t>
      </w:r>
      <w:r w:rsidR="00530C37" w:rsidRPr="00DE2580">
        <w:rPr>
          <w:rFonts w:asciiTheme="majorHAnsi" w:hAnsiTheme="majorHAnsi"/>
          <w:sz w:val="20"/>
          <w:szCs w:val="20"/>
        </w:rPr>
        <w:t xml:space="preserve"> Housel screaming, which was described as “unsolicited and irrational</w:t>
      </w:r>
      <w:r w:rsidRPr="00DE2580">
        <w:rPr>
          <w:rFonts w:asciiTheme="majorHAnsi" w:hAnsiTheme="majorHAnsi"/>
          <w:sz w:val="20"/>
          <w:szCs w:val="20"/>
        </w:rPr>
        <w:t>,</w:t>
      </w:r>
      <w:r w:rsidR="00530C37" w:rsidRPr="00DE2580">
        <w:rPr>
          <w:rFonts w:asciiTheme="majorHAnsi" w:hAnsiTheme="majorHAnsi"/>
          <w:sz w:val="20"/>
          <w:szCs w:val="20"/>
        </w:rPr>
        <w:t xml:space="preserve">” kicking his cell door, and making hysterical noises. </w:t>
      </w:r>
      <w:r w:rsidR="005733B9" w:rsidRPr="00DE2580">
        <w:rPr>
          <w:rFonts w:asciiTheme="majorHAnsi" w:hAnsiTheme="majorHAnsi"/>
          <w:sz w:val="20"/>
          <w:szCs w:val="20"/>
        </w:rPr>
        <w:t>They stated that no</w:t>
      </w:r>
      <w:r w:rsidR="00530C37" w:rsidRPr="00DE2580">
        <w:rPr>
          <w:rFonts w:asciiTheme="majorHAnsi" w:hAnsiTheme="majorHAnsi"/>
          <w:sz w:val="20"/>
          <w:szCs w:val="20"/>
        </w:rPr>
        <w:t xml:space="preserve"> medical personnel </w:t>
      </w:r>
      <w:r w:rsidR="005733B9" w:rsidRPr="00DE2580">
        <w:rPr>
          <w:rFonts w:asciiTheme="majorHAnsi" w:hAnsiTheme="majorHAnsi"/>
          <w:sz w:val="20"/>
          <w:szCs w:val="20"/>
        </w:rPr>
        <w:t xml:space="preserve">ever </w:t>
      </w:r>
      <w:r w:rsidR="00530C37" w:rsidRPr="00DE2580">
        <w:rPr>
          <w:rFonts w:asciiTheme="majorHAnsi" w:hAnsiTheme="majorHAnsi"/>
          <w:sz w:val="20"/>
          <w:szCs w:val="20"/>
        </w:rPr>
        <w:t>examine</w:t>
      </w:r>
      <w:r w:rsidR="005733B9" w:rsidRPr="00DE2580">
        <w:rPr>
          <w:rFonts w:asciiTheme="majorHAnsi" w:hAnsiTheme="majorHAnsi"/>
          <w:sz w:val="20"/>
          <w:szCs w:val="20"/>
        </w:rPr>
        <w:t>d Mr.</w:t>
      </w:r>
      <w:r w:rsidR="00530C37" w:rsidRPr="00DE2580">
        <w:rPr>
          <w:rFonts w:asciiTheme="majorHAnsi" w:hAnsiTheme="majorHAnsi"/>
          <w:sz w:val="20"/>
          <w:szCs w:val="20"/>
        </w:rPr>
        <w:t xml:space="preserve"> Housel to determine why his behavior was “out of control</w:t>
      </w:r>
      <w:r w:rsidR="005733B9" w:rsidRPr="00DE2580">
        <w:rPr>
          <w:rFonts w:asciiTheme="majorHAnsi" w:hAnsiTheme="majorHAnsi"/>
          <w:sz w:val="20"/>
          <w:szCs w:val="20"/>
        </w:rPr>
        <w:t>.</w:t>
      </w:r>
      <w:r w:rsidR="00530C37" w:rsidRPr="00DE2580">
        <w:rPr>
          <w:rFonts w:asciiTheme="majorHAnsi" w:hAnsiTheme="majorHAnsi"/>
          <w:sz w:val="20"/>
          <w:szCs w:val="20"/>
        </w:rPr>
        <w:t xml:space="preserve">” </w:t>
      </w:r>
      <w:r w:rsidR="005733B9" w:rsidRPr="00DE2580">
        <w:rPr>
          <w:rFonts w:asciiTheme="majorHAnsi" w:hAnsiTheme="majorHAnsi"/>
          <w:sz w:val="20"/>
          <w:szCs w:val="20"/>
        </w:rPr>
        <w:t>They recalled</w:t>
      </w:r>
      <w:r w:rsidR="00530C37" w:rsidRPr="00DE2580">
        <w:rPr>
          <w:rFonts w:asciiTheme="majorHAnsi" w:hAnsiTheme="majorHAnsi"/>
          <w:sz w:val="20"/>
          <w:szCs w:val="20"/>
        </w:rPr>
        <w:t xml:space="preserve"> periods where </w:t>
      </w:r>
      <w:r w:rsidR="005733B9" w:rsidRPr="00DE2580">
        <w:rPr>
          <w:rFonts w:asciiTheme="majorHAnsi" w:hAnsiTheme="majorHAnsi"/>
          <w:sz w:val="20"/>
          <w:szCs w:val="20"/>
        </w:rPr>
        <w:t xml:space="preserve">Mr. </w:t>
      </w:r>
      <w:r w:rsidR="00530C37" w:rsidRPr="00DE2580">
        <w:rPr>
          <w:rFonts w:asciiTheme="majorHAnsi" w:hAnsiTheme="majorHAnsi"/>
          <w:sz w:val="20"/>
          <w:szCs w:val="20"/>
        </w:rPr>
        <w:t>Housel would cry and yell, scream and bang on the bars.</w:t>
      </w:r>
    </w:p>
    <w:p w14:paraId="3662D48A" w14:textId="77777777" w:rsidR="00530C37" w:rsidRPr="00DE2580" w:rsidRDefault="00530C37" w:rsidP="00530C37">
      <w:pPr>
        <w:pStyle w:val="ListParagraph"/>
        <w:rPr>
          <w:rFonts w:asciiTheme="majorHAnsi" w:hAnsiTheme="majorHAnsi"/>
          <w:sz w:val="20"/>
          <w:szCs w:val="20"/>
        </w:rPr>
      </w:pPr>
    </w:p>
    <w:p w14:paraId="08808681" w14:textId="77777777" w:rsidR="00385C97" w:rsidRPr="00DE2580" w:rsidRDefault="00CA2934" w:rsidP="00385C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DE2580">
        <w:rPr>
          <w:rFonts w:asciiTheme="majorHAnsi" w:hAnsiTheme="majorHAnsi"/>
          <w:sz w:val="20"/>
          <w:szCs w:val="20"/>
        </w:rPr>
        <w:t xml:space="preserve">One of the inmates </w:t>
      </w:r>
      <w:r w:rsidR="00530C37" w:rsidRPr="00DE2580">
        <w:rPr>
          <w:rFonts w:asciiTheme="majorHAnsi" w:hAnsiTheme="majorHAnsi"/>
          <w:sz w:val="20"/>
          <w:szCs w:val="20"/>
        </w:rPr>
        <w:t>attest</w:t>
      </w:r>
      <w:r w:rsidRPr="00DE2580">
        <w:rPr>
          <w:rFonts w:asciiTheme="majorHAnsi" w:hAnsiTheme="majorHAnsi"/>
          <w:sz w:val="20"/>
          <w:szCs w:val="20"/>
        </w:rPr>
        <w:t>ed</w:t>
      </w:r>
      <w:r w:rsidR="00530C37" w:rsidRPr="00DE2580">
        <w:rPr>
          <w:rFonts w:asciiTheme="majorHAnsi" w:hAnsiTheme="majorHAnsi"/>
          <w:sz w:val="20"/>
          <w:szCs w:val="20"/>
        </w:rPr>
        <w:t xml:space="preserve"> that </w:t>
      </w:r>
      <w:r w:rsidRPr="00DE2580">
        <w:rPr>
          <w:rFonts w:asciiTheme="majorHAnsi" w:hAnsiTheme="majorHAnsi"/>
          <w:sz w:val="20"/>
          <w:szCs w:val="20"/>
        </w:rPr>
        <w:t xml:space="preserve">Mr. </w:t>
      </w:r>
      <w:r w:rsidR="00530C37" w:rsidRPr="00DE2580">
        <w:rPr>
          <w:rFonts w:asciiTheme="majorHAnsi" w:hAnsiTheme="majorHAnsi"/>
          <w:sz w:val="20"/>
          <w:szCs w:val="20"/>
        </w:rPr>
        <w:t xml:space="preserve">Housel’s attorney was not present for any of the police interrogations of which he had knowledge of. </w:t>
      </w:r>
      <w:r w:rsidRPr="00DE2580">
        <w:rPr>
          <w:rFonts w:asciiTheme="majorHAnsi" w:hAnsiTheme="majorHAnsi"/>
          <w:sz w:val="20"/>
          <w:szCs w:val="20"/>
        </w:rPr>
        <w:t xml:space="preserve">Another inmate </w:t>
      </w:r>
      <w:r w:rsidR="00530C37" w:rsidRPr="00DE2580">
        <w:rPr>
          <w:rFonts w:asciiTheme="majorHAnsi" w:hAnsiTheme="majorHAnsi"/>
          <w:sz w:val="20"/>
          <w:szCs w:val="20"/>
        </w:rPr>
        <w:t xml:space="preserve">similarly declared that </w:t>
      </w:r>
      <w:r w:rsidRPr="00DE2580">
        <w:rPr>
          <w:rFonts w:asciiTheme="majorHAnsi" w:hAnsiTheme="majorHAnsi"/>
          <w:sz w:val="20"/>
          <w:szCs w:val="20"/>
        </w:rPr>
        <w:t xml:space="preserve">Mr. </w:t>
      </w:r>
      <w:r w:rsidR="00530C37" w:rsidRPr="00DE2580">
        <w:rPr>
          <w:rFonts w:asciiTheme="majorHAnsi" w:hAnsiTheme="majorHAnsi"/>
          <w:sz w:val="20"/>
          <w:szCs w:val="20"/>
        </w:rPr>
        <w:t xml:space="preserve">Housel’s attorney never came to see him during the time </w:t>
      </w:r>
      <w:r w:rsidRPr="00DE2580">
        <w:rPr>
          <w:rFonts w:asciiTheme="majorHAnsi" w:hAnsiTheme="majorHAnsi"/>
          <w:sz w:val="20"/>
          <w:szCs w:val="20"/>
        </w:rPr>
        <w:t>he</w:t>
      </w:r>
      <w:r w:rsidR="00530C37" w:rsidRPr="00DE2580">
        <w:rPr>
          <w:rFonts w:asciiTheme="majorHAnsi" w:hAnsiTheme="majorHAnsi"/>
          <w:sz w:val="20"/>
          <w:szCs w:val="20"/>
        </w:rPr>
        <w:t xml:space="preserve"> was housed with </w:t>
      </w:r>
      <w:r w:rsidRPr="00DE2580">
        <w:rPr>
          <w:rFonts w:asciiTheme="majorHAnsi" w:hAnsiTheme="majorHAnsi"/>
          <w:sz w:val="20"/>
          <w:szCs w:val="20"/>
        </w:rPr>
        <w:t xml:space="preserve">Mr. </w:t>
      </w:r>
      <w:r w:rsidR="00530C37" w:rsidRPr="00DE2580">
        <w:rPr>
          <w:rFonts w:asciiTheme="majorHAnsi" w:hAnsiTheme="majorHAnsi"/>
          <w:sz w:val="20"/>
          <w:szCs w:val="20"/>
        </w:rPr>
        <w:t>Housel.</w:t>
      </w:r>
    </w:p>
    <w:p w14:paraId="45B4CA92" w14:textId="77777777" w:rsidR="00385C97" w:rsidRPr="00DE2580" w:rsidRDefault="00385C97" w:rsidP="00385C97">
      <w:pPr>
        <w:pStyle w:val="ListParagraph"/>
        <w:rPr>
          <w:rFonts w:asciiTheme="majorHAnsi" w:eastAsia="Times New Roman" w:hAnsiTheme="majorHAnsi"/>
          <w:sz w:val="20"/>
          <w:szCs w:val="20"/>
          <w:lang w:val="en-GB"/>
        </w:rPr>
      </w:pPr>
    </w:p>
    <w:p w14:paraId="43CC165C" w14:textId="3D9B3667" w:rsidR="00530C37" w:rsidRPr="00DE2580" w:rsidRDefault="00385C97" w:rsidP="00385C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DE2580">
        <w:rPr>
          <w:rFonts w:asciiTheme="majorHAnsi" w:eastAsia="Times New Roman" w:hAnsiTheme="majorHAnsi"/>
          <w:sz w:val="20"/>
          <w:szCs w:val="20"/>
          <w:lang w:val="en-GB"/>
        </w:rPr>
        <w:t>Mr.</w:t>
      </w:r>
      <w:r w:rsidRPr="00DE2580">
        <w:rPr>
          <w:rFonts w:asciiTheme="majorHAnsi" w:hAnsiTheme="majorHAnsi"/>
          <w:sz w:val="20"/>
          <w:szCs w:val="20"/>
        </w:rPr>
        <w:t xml:space="preserve"> Housel was transferred to Douglas County Jail for approximately 20 days beginning in late June, 1985, and upon his return, he was placed in solitary confinement with “ameliorated” conditions due to a consent orde</w:t>
      </w:r>
      <w:r w:rsidR="00751245" w:rsidRPr="00DE2580">
        <w:rPr>
          <w:rFonts w:asciiTheme="majorHAnsi" w:hAnsiTheme="majorHAnsi"/>
          <w:sz w:val="20"/>
          <w:szCs w:val="20"/>
        </w:rPr>
        <w:t>r signed by the superior court j</w:t>
      </w:r>
      <w:r w:rsidRPr="00DE2580">
        <w:rPr>
          <w:rFonts w:asciiTheme="majorHAnsi" w:hAnsiTheme="majorHAnsi"/>
          <w:sz w:val="20"/>
          <w:szCs w:val="20"/>
        </w:rPr>
        <w:t>udge.</w:t>
      </w:r>
      <w:r w:rsidRPr="00DE2580">
        <w:rPr>
          <w:rStyle w:val="FootnoteReference"/>
          <w:rFonts w:asciiTheme="majorHAnsi" w:hAnsiTheme="majorHAnsi"/>
          <w:sz w:val="20"/>
          <w:szCs w:val="20"/>
        </w:rPr>
        <w:footnoteReference w:id="22"/>
      </w:r>
    </w:p>
    <w:p w14:paraId="0782A0AA" w14:textId="77777777" w:rsidR="00385C97" w:rsidRPr="00DE2580" w:rsidRDefault="00385C97" w:rsidP="00385C9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395A5A0C" w14:textId="77777777" w:rsidR="001C4006" w:rsidRPr="00DE2580" w:rsidRDefault="001C4006" w:rsidP="00E576F7">
      <w:pPr>
        <w:pStyle w:val="Heading1"/>
        <w:tabs>
          <w:tab w:val="left" w:pos="360"/>
        </w:tabs>
        <w:spacing w:before="0"/>
        <w:ind w:left="0" w:firstLine="0"/>
        <w:rPr>
          <w:color w:val="auto"/>
          <w:sz w:val="20"/>
          <w:szCs w:val="20"/>
          <w:lang w:val="es-ES"/>
        </w:rPr>
      </w:pPr>
      <w:bookmarkStart w:id="13" w:name="_Toc150529027"/>
      <w:r w:rsidRPr="00DE2580">
        <w:rPr>
          <w:color w:val="auto"/>
          <w:sz w:val="20"/>
          <w:szCs w:val="20"/>
          <w:lang w:val="es-ES"/>
        </w:rPr>
        <w:t>ANALYSIS OF LAW</w:t>
      </w:r>
      <w:bookmarkEnd w:id="13"/>
    </w:p>
    <w:p w14:paraId="5A3D525A" w14:textId="77777777" w:rsidR="00C7147D" w:rsidRPr="00DE2580" w:rsidRDefault="00C7147D" w:rsidP="00EE5D7E">
      <w:pPr>
        <w:suppressAutoHyphens/>
        <w:rPr>
          <w:rFonts w:asciiTheme="majorHAnsi" w:hAnsiTheme="majorHAnsi"/>
          <w:b/>
          <w:sz w:val="20"/>
          <w:szCs w:val="20"/>
          <w:lang w:val="es-ES"/>
        </w:rPr>
      </w:pPr>
    </w:p>
    <w:p w14:paraId="7D8D3848" w14:textId="77777777" w:rsidR="007D2FEE" w:rsidRPr="00DE2580" w:rsidRDefault="007D2FEE" w:rsidP="00C65357">
      <w:pPr>
        <w:pStyle w:val="Heading2"/>
        <w:numPr>
          <w:ilvl w:val="0"/>
          <w:numId w:val="63"/>
        </w:numPr>
        <w:spacing w:before="0"/>
        <w:ind w:left="360"/>
        <w:rPr>
          <w:color w:val="auto"/>
          <w:sz w:val="20"/>
          <w:szCs w:val="20"/>
          <w:lang w:val="es-ES"/>
        </w:rPr>
      </w:pPr>
      <w:bookmarkStart w:id="14" w:name="_Toc412815742"/>
      <w:bookmarkStart w:id="15" w:name="_Toc150529028"/>
      <w:r w:rsidRPr="00DE2580">
        <w:rPr>
          <w:color w:val="auto"/>
          <w:sz w:val="20"/>
          <w:szCs w:val="20"/>
          <w:lang w:val="es-ES"/>
        </w:rPr>
        <w:t xml:space="preserve">Preliminary </w:t>
      </w:r>
      <w:bookmarkEnd w:id="14"/>
      <w:r w:rsidRPr="00DE2580">
        <w:rPr>
          <w:color w:val="auto"/>
          <w:sz w:val="20"/>
          <w:szCs w:val="20"/>
          <w:lang w:val="es-ES"/>
        </w:rPr>
        <w:t>considerations</w:t>
      </w:r>
      <w:bookmarkEnd w:id="15"/>
    </w:p>
    <w:p w14:paraId="2DB53072" w14:textId="77777777" w:rsidR="00A169DC" w:rsidRPr="00DE2580" w:rsidRDefault="00A169DC" w:rsidP="00A169D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ES"/>
        </w:rPr>
      </w:pPr>
    </w:p>
    <w:p w14:paraId="1B105CDC" w14:textId="77777777" w:rsidR="00A169DC" w:rsidRPr="00DE2580" w:rsidRDefault="00653AC7" w:rsidP="00E576F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DE2580">
        <w:rPr>
          <w:rFonts w:asciiTheme="majorHAnsi" w:eastAsia="Cambria" w:hAnsiTheme="majorHAnsi" w:cs="Cambria"/>
          <w:sz w:val="20"/>
          <w:szCs w:val="20"/>
        </w:rPr>
        <w:t xml:space="preserve">Before embarking on its analysis of the merits in the case of </w:t>
      </w:r>
      <w:r w:rsidR="00437266" w:rsidRPr="00DE2580">
        <w:rPr>
          <w:rFonts w:asciiTheme="majorHAnsi" w:eastAsia="Cambria" w:hAnsiTheme="majorHAnsi" w:cs="Cambria"/>
          <w:sz w:val="20"/>
          <w:szCs w:val="20"/>
        </w:rPr>
        <w:t>Housel</w:t>
      </w:r>
      <w:r w:rsidRPr="00DE2580">
        <w:rPr>
          <w:rFonts w:asciiTheme="majorHAnsi" w:eastAsia="Cambria" w:hAnsiTheme="majorHAnsi" w:cs="Cambria"/>
          <w:sz w:val="20"/>
          <w:szCs w:val="20"/>
        </w:rPr>
        <w:t xml:space="preserve">, the Inter-American Commission considers it relevant to reiterate its previous rulings regarding the heightened scrutiny to be used in cases involving the death penalty.  The right to life has received broad recognition as the supreme human right and as a </w:t>
      </w:r>
      <w:r w:rsidRPr="00DE2580">
        <w:rPr>
          <w:rFonts w:asciiTheme="majorHAnsi" w:eastAsia="Cambria" w:hAnsiTheme="majorHAnsi" w:cs="Cambria"/>
          <w:i/>
          <w:iCs/>
          <w:sz w:val="20"/>
          <w:szCs w:val="20"/>
          <w:lang w:val="it-IT"/>
        </w:rPr>
        <w:t>sine qua non</w:t>
      </w:r>
      <w:r w:rsidRPr="00DE2580">
        <w:rPr>
          <w:rFonts w:asciiTheme="majorHAnsi" w:eastAsia="Cambria" w:hAnsiTheme="majorHAnsi" w:cs="Cambria"/>
          <w:sz w:val="20"/>
          <w:szCs w:val="20"/>
        </w:rPr>
        <w:t xml:space="preserve"> for the enjoyment of all other rights. </w:t>
      </w:r>
    </w:p>
    <w:p w14:paraId="5DC7166C" w14:textId="77777777" w:rsidR="00144208" w:rsidRPr="00DE2580" w:rsidRDefault="00144208" w:rsidP="00144208">
      <w:pPr>
        <w:pStyle w:val="ListParagraph"/>
        <w:rPr>
          <w:rFonts w:asciiTheme="majorHAnsi" w:hAnsiTheme="majorHAnsi"/>
          <w:sz w:val="20"/>
          <w:szCs w:val="20"/>
        </w:rPr>
      </w:pPr>
    </w:p>
    <w:p w14:paraId="39B41769" w14:textId="0C8691E8" w:rsidR="00144208" w:rsidRPr="00DE2580" w:rsidRDefault="00144208" w:rsidP="00E576F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DE2580">
        <w:rPr>
          <w:rFonts w:asciiTheme="majorHAnsi" w:hAnsiTheme="majorHAnsi"/>
          <w:sz w:val="20"/>
          <w:szCs w:val="20"/>
        </w:rPr>
        <w:t>That gives rise to the particular importance of the IACHR’s obligation to ensure that any deprivation of life may arise from the enforcement of the death penalty strictly abides by the requirements set forth in the applicable instruments of the Inter-American Human Rights System, including the American Declaration.</w:t>
      </w:r>
      <w:r w:rsidRPr="00DE2580">
        <w:rPr>
          <w:rStyle w:val="FootnoteReference"/>
          <w:rFonts w:asciiTheme="majorHAnsi" w:eastAsia="Cambria" w:hAnsiTheme="majorHAnsi" w:cs="Cambria"/>
          <w:sz w:val="20"/>
          <w:szCs w:val="20"/>
        </w:rPr>
        <w:footnoteReference w:id="23"/>
      </w:r>
      <w:r w:rsidRPr="00DE2580">
        <w:rPr>
          <w:rFonts w:asciiTheme="majorHAnsi" w:hAnsiTheme="majorHAnsi"/>
          <w:sz w:val="20"/>
          <w:szCs w:val="20"/>
        </w:rPr>
        <w:t xml:space="preserve"> That “heightened scrutiny test is consistent with the restrictive approach adopted by other international</w:t>
      </w:r>
      <w:r w:rsidR="00282807" w:rsidRPr="00DE2580">
        <w:rPr>
          <w:rFonts w:asciiTheme="majorHAnsi" w:hAnsiTheme="majorHAnsi"/>
          <w:sz w:val="20"/>
          <w:szCs w:val="20"/>
        </w:rPr>
        <w:t xml:space="preserve"> </w:t>
      </w:r>
      <w:r w:rsidRPr="00DE2580">
        <w:rPr>
          <w:rFonts w:asciiTheme="majorHAnsi" w:hAnsiTheme="majorHAnsi"/>
          <w:sz w:val="20"/>
          <w:szCs w:val="20"/>
        </w:rPr>
        <w:t>human rights bodies in cases involving the imposition of the death penalty,</w:t>
      </w:r>
      <w:r w:rsidRPr="00DE2580">
        <w:rPr>
          <w:rStyle w:val="FootnoteReference"/>
          <w:rFonts w:asciiTheme="majorHAnsi" w:eastAsia="Cambria" w:hAnsiTheme="majorHAnsi" w:cs="Cambria"/>
          <w:sz w:val="20"/>
          <w:szCs w:val="20"/>
        </w:rPr>
        <w:t xml:space="preserve"> </w:t>
      </w:r>
      <w:r w:rsidRPr="00DE2580">
        <w:rPr>
          <w:rStyle w:val="FootnoteReference"/>
          <w:rFonts w:asciiTheme="majorHAnsi" w:eastAsia="Cambria" w:hAnsiTheme="majorHAnsi" w:cs="Cambria"/>
          <w:sz w:val="20"/>
          <w:szCs w:val="20"/>
        </w:rPr>
        <w:footnoteReference w:id="24"/>
      </w:r>
      <w:r w:rsidRPr="00DE2580">
        <w:rPr>
          <w:rFonts w:asciiTheme="majorHAnsi" w:eastAsia="Cambria" w:hAnsiTheme="majorHAnsi" w:cs="Cambria"/>
          <w:sz w:val="20"/>
          <w:szCs w:val="20"/>
        </w:rPr>
        <w:t xml:space="preserve"> and it has been set out and applied by the Inter-American Commission in previous capital cases brought before it.</w:t>
      </w:r>
      <w:r w:rsidRPr="00DE2580">
        <w:rPr>
          <w:rStyle w:val="FootnoteReference"/>
          <w:rFonts w:asciiTheme="majorHAnsi" w:eastAsia="Cambria" w:hAnsiTheme="majorHAnsi" w:cs="Cambria"/>
          <w:sz w:val="20"/>
          <w:szCs w:val="20"/>
        </w:rPr>
        <w:t xml:space="preserve"> </w:t>
      </w:r>
      <w:r w:rsidRPr="00DE2580">
        <w:rPr>
          <w:rStyle w:val="FootnoteReference"/>
          <w:rFonts w:asciiTheme="majorHAnsi" w:eastAsia="Cambria" w:hAnsiTheme="majorHAnsi" w:cs="Cambria"/>
          <w:sz w:val="20"/>
          <w:szCs w:val="20"/>
        </w:rPr>
        <w:footnoteReference w:id="25"/>
      </w:r>
      <w:r w:rsidRPr="00DE2580">
        <w:rPr>
          <w:rFonts w:asciiTheme="majorHAnsi" w:eastAsia="Cambria" w:hAnsiTheme="majorHAnsi" w:cs="Cambria"/>
          <w:sz w:val="20"/>
          <w:szCs w:val="20"/>
        </w:rPr>
        <w:t xml:space="preserve"> </w:t>
      </w:r>
      <w:r w:rsidRPr="00DE2580">
        <w:rPr>
          <w:rFonts w:asciiTheme="majorHAnsi" w:hAnsiTheme="majorHAnsi"/>
          <w:sz w:val="20"/>
          <w:szCs w:val="20"/>
        </w:rPr>
        <w:t xml:space="preserve"> </w:t>
      </w:r>
    </w:p>
    <w:p w14:paraId="4CF2D961" w14:textId="77777777" w:rsidR="00A169DC" w:rsidRPr="00DE2580" w:rsidRDefault="00A169DC" w:rsidP="00A169DC">
      <w:pPr>
        <w:pStyle w:val="ListParagraph"/>
        <w:rPr>
          <w:rFonts w:asciiTheme="majorHAnsi" w:hAnsiTheme="majorHAnsi"/>
          <w:sz w:val="20"/>
          <w:szCs w:val="20"/>
        </w:rPr>
      </w:pPr>
    </w:p>
    <w:p w14:paraId="1B8A4DF5" w14:textId="77777777" w:rsidR="000157B5" w:rsidRPr="00DE2580" w:rsidRDefault="00653AC7" w:rsidP="001B353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DE2580">
        <w:rPr>
          <w:rFonts w:asciiTheme="majorHAnsi" w:eastAsia="Cambria" w:hAnsiTheme="majorHAnsi" w:cs="Cambria"/>
          <w:sz w:val="20"/>
          <w:szCs w:val="20"/>
        </w:rPr>
        <w:t>As the Inter-American Commission has explained, this standard of review is the necessary consequence of the specific penalty at issue and the right to a fair trial and all attendant due process guarantees</w:t>
      </w:r>
      <w:r w:rsidRPr="00DE2580">
        <w:rPr>
          <w:rStyle w:val="FootnoteReference"/>
          <w:rFonts w:asciiTheme="majorHAnsi" w:eastAsia="Cambria" w:hAnsiTheme="majorHAnsi" w:cs="Cambria"/>
          <w:sz w:val="20"/>
          <w:szCs w:val="20"/>
        </w:rPr>
        <w:footnoteReference w:id="26"/>
      </w:r>
      <w:r w:rsidRPr="00DE2580">
        <w:rPr>
          <w:rFonts w:asciiTheme="majorHAnsi" w:eastAsia="Cambria" w:hAnsiTheme="majorHAnsi" w:cs="Cambria"/>
          <w:sz w:val="20"/>
          <w:szCs w:val="20"/>
        </w:rPr>
        <w:t>:</w:t>
      </w:r>
    </w:p>
    <w:p w14:paraId="23DD832D" w14:textId="77777777" w:rsidR="000157B5" w:rsidRPr="00DE2580" w:rsidRDefault="000157B5" w:rsidP="000157B5">
      <w:pPr>
        <w:pStyle w:val="ListParagraph"/>
        <w:rPr>
          <w:rFonts w:asciiTheme="majorHAnsi" w:hAnsiTheme="majorHAnsi"/>
          <w:sz w:val="20"/>
          <w:szCs w:val="20"/>
        </w:rPr>
      </w:pPr>
    </w:p>
    <w:p w14:paraId="03FE20A8" w14:textId="77777777" w:rsidR="000157B5" w:rsidRPr="00DE2580" w:rsidRDefault="00653AC7" w:rsidP="001B353E">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rPr>
      </w:pPr>
      <w:r w:rsidRPr="00DE2580">
        <w:rPr>
          <w:rFonts w:asciiTheme="majorHAnsi" w:eastAsia="Cambria" w:hAnsiTheme="majorHAnsi" w:cs="Cambria"/>
          <w:sz w:val="18"/>
          <w:szCs w:val="18"/>
        </w:rPr>
        <w:lastRenderedPageBreak/>
        <w:t>due in part to its irrevocable and irreversible nature, the death penalty is a form of punishment that differs in substance as well as in degree in comparison with other means of punishment, and therefore warrants a particularly stringent need for reliability in determining whether a person is responsible for a crime that carries a penalty of death.</w:t>
      </w:r>
      <w:r w:rsidRPr="00DE2580">
        <w:rPr>
          <w:rFonts w:asciiTheme="majorHAnsi" w:hAnsiTheme="majorHAnsi"/>
          <w:sz w:val="18"/>
          <w:szCs w:val="18"/>
          <w:vertAlign w:val="superscript"/>
        </w:rPr>
        <w:footnoteReference w:id="27"/>
      </w:r>
    </w:p>
    <w:p w14:paraId="47376F33" w14:textId="77777777" w:rsidR="00A169DC" w:rsidRPr="00DE2580" w:rsidRDefault="00A169DC" w:rsidP="00A169DC">
      <w:pPr>
        <w:rPr>
          <w:rFonts w:asciiTheme="majorHAnsi" w:hAnsiTheme="majorHAnsi"/>
          <w:sz w:val="20"/>
          <w:szCs w:val="20"/>
        </w:rPr>
      </w:pPr>
    </w:p>
    <w:p w14:paraId="34B1CAC6" w14:textId="77777777" w:rsidR="00653AC7" w:rsidRPr="00DE2580" w:rsidRDefault="00653AC7" w:rsidP="001B353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DE2580">
        <w:rPr>
          <w:rFonts w:asciiTheme="majorHAnsi" w:eastAsia="Cambria" w:hAnsiTheme="majorHAnsi" w:cs="Cambria"/>
          <w:sz w:val="20"/>
          <w:szCs w:val="20"/>
        </w:rPr>
        <w:t xml:space="preserve">The Inter-American Commission will therefore review the petitioner’s allegations in the present case with a heightened level of scrutiny, to ensure in particular that the rights to life, </w:t>
      </w:r>
      <w:r w:rsidR="005425FB" w:rsidRPr="00DE2580">
        <w:rPr>
          <w:rFonts w:asciiTheme="majorHAnsi" w:eastAsia="Cambria" w:hAnsiTheme="majorHAnsi" w:cs="Cambria"/>
          <w:sz w:val="20"/>
          <w:szCs w:val="20"/>
        </w:rPr>
        <w:t xml:space="preserve">the prohibition of </w:t>
      </w:r>
      <w:r w:rsidR="005425FB" w:rsidRPr="00DE2580">
        <w:rPr>
          <w:rFonts w:asciiTheme="majorHAnsi" w:hAnsiTheme="majorHAnsi"/>
          <w:sz w:val="20"/>
        </w:rPr>
        <w:t>cruel, infamous or unusual punishment</w:t>
      </w:r>
      <w:r w:rsidR="004A29AF" w:rsidRPr="00DE2580">
        <w:rPr>
          <w:rFonts w:asciiTheme="majorHAnsi" w:hAnsiTheme="majorHAnsi"/>
          <w:sz w:val="20"/>
        </w:rPr>
        <w:t>,</w:t>
      </w:r>
      <w:r w:rsidR="005425FB" w:rsidRPr="00DE2580">
        <w:rPr>
          <w:rFonts w:asciiTheme="majorHAnsi" w:eastAsia="Cambria" w:hAnsiTheme="majorHAnsi" w:cs="Cambria"/>
          <w:sz w:val="20"/>
          <w:szCs w:val="20"/>
        </w:rPr>
        <w:t xml:space="preserve"> </w:t>
      </w:r>
      <w:r w:rsidR="007B6B8A" w:rsidRPr="00DE2580">
        <w:rPr>
          <w:rFonts w:asciiTheme="majorHAnsi" w:eastAsia="Cambria" w:hAnsiTheme="majorHAnsi" w:cs="Cambria"/>
          <w:sz w:val="20"/>
          <w:szCs w:val="20"/>
        </w:rPr>
        <w:t xml:space="preserve">right to </w:t>
      </w:r>
      <w:r w:rsidRPr="00DE2580">
        <w:rPr>
          <w:rFonts w:asciiTheme="majorHAnsi" w:eastAsia="Cambria" w:hAnsiTheme="majorHAnsi" w:cs="Cambria"/>
          <w:sz w:val="20"/>
          <w:szCs w:val="20"/>
        </w:rPr>
        <w:t>due process, and to a fair trial as prescribed under the American Declaration have been respected by the State.  With regard to the legal status of the American Declaration, the IACHR reiterates that:</w:t>
      </w:r>
    </w:p>
    <w:p w14:paraId="23BCE034" w14:textId="77777777" w:rsidR="00653AC7" w:rsidRPr="00DE2580" w:rsidRDefault="00653AC7" w:rsidP="00653AC7">
      <w:pPr>
        <w:pStyle w:val="Body"/>
        <w:tabs>
          <w:tab w:val="left" w:pos="630"/>
          <w:tab w:val="left" w:pos="810"/>
        </w:tabs>
        <w:jc w:val="both"/>
        <w:rPr>
          <w:rFonts w:asciiTheme="majorHAnsi" w:eastAsia="Cambria" w:hAnsiTheme="majorHAnsi" w:cs="Cambria"/>
          <w:sz w:val="20"/>
          <w:szCs w:val="20"/>
        </w:rPr>
      </w:pPr>
    </w:p>
    <w:p w14:paraId="1FF1EF4D" w14:textId="77777777" w:rsidR="00DE5D25" w:rsidRPr="00DE2580" w:rsidRDefault="00653AC7" w:rsidP="001B353E">
      <w:pPr>
        <w:pStyle w:val="Body"/>
        <w:tabs>
          <w:tab w:val="left" w:pos="630"/>
          <w:tab w:val="left" w:pos="810"/>
          <w:tab w:val="left" w:pos="9000"/>
        </w:tabs>
        <w:ind w:left="360" w:right="360"/>
        <w:jc w:val="both"/>
        <w:rPr>
          <w:rFonts w:asciiTheme="majorHAnsi" w:eastAsia="Cambria" w:hAnsiTheme="majorHAnsi" w:cs="Cambria"/>
          <w:sz w:val="18"/>
          <w:szCs w:val="18"/>
        </w:rPr>
      </w:pPr>
      <w:r w:rsidRPr="00DE2580">
        <w:rPr>
          <w:rFonts w:asciiTheme="majorHAnsi" w:eastAsia="Cambria" w:hAnsiTheme="majorHAnsi" w:cs="Cambria"/>
          <w:sz w:val="18"/>
          <w:szCs w:val="18"/>
        </w:rPr>
        <w:t>“[t]he American Declaration is, for the Member States not parties to the American Convention, the source of international obligations related to the OAS Charter. The Charter of the Organization gave the IACHR the principal function of promoting the observance and protection of human rights in the Member States. Article 106 of the OAS Charter does not, however, list or define those rights. The General Assembly of the OAS at its Ninth Regular Period of Sessions, held in La Paz, Bolivia, in October, 1979, agreed that those rights are those enunciated and defined in the American Declaration. Therefore, the American Declaration crystallizes the fundamental principles recognized by the American States. The OAS General Assembly has also repeatedly recognized that the American Declaration is a source of international obligations for the member states of the OAS.</w:t>
      </w:r>
      <w:r w:rsidRPr="00DE2580">
        <w:rPr>
          <w:rFonts w:asciiTheme="majorHAnsi" w:eastAsia="Cambria" w:hAnsiTheme="majorHAnsi" w:cs="Cambria"/>
          <w:sz w:val="18"/>
          <w:szCs w:val="18"/>
          <w:vertAlign w:val="superscript"/>
        </w:rPr>
        <w:footnoteReference w:id="28"/>
      </w:r>
    </w:p>
    <w:p w14:paraId="1F763098" w14:textId="77777777" w:rsidR="00E24EEF" w:rsidRPr="00DE2580" w:rsidRDefault="00E24EEF" w:rsidP="00E24EEF">
      <w:pPr>
        <w:suppressAutoHyphens/>
        <w:rPr>
          <w:rFonts w:asciiTheme="majorHAnsi" w:hAnsiTheme="majorHAnsi"/>
          <w:b/>
          <w:sz w:val="20"/>
          <w:szCs w:val="20"/>
        </w:rPr>
      </w:pPr>
    </w:p>
    <w:p w14:paraId="143305F9" w14:textId="77777777" w:rsidR="003362C3" w:rsidRPr="00DE2580" w:rsidRDefault="00E24EEF" w:rsidP="00C65357">
      <w:pPr>
        <w:pStyle w:val="Heading2"/>
        <w:numPr>
          <w:ilvl w:val="0"/>
          <w:numId w:val="63"/>
        </w:numPr>
        <w:spacing w:before="0"/>
        <w:ind w:left="360"/>
        <w:rPr>
          <w:rFonts w:eastAsia="Arial Unicode MS"/>
          <w:color w:val="auto"/>
          <w:sz w:val="20"/>
          <w:szCs w:val="20"/>
        </w:rPr>
      </w:pPr>
      <w:bookmarkStart w:id="16" w:name="_Toc150529029"/>
      <w:r w:rsidRPr="00DE2580">
        <w:rPr>
          <w:color w:val="auto"/>
          <w:sz w:val="20"/>
          <w:szCs w:val="20"/>
        </w:rPr>
        <w:t>Right</w:t>
      </w:r>
      <w:r w:rsidRPr="00DE2580">
        <w:rPr>
          <w:rFonts w:eastAsia="Arial Unicode MS"/>
          <w:color w:val="auto"/>
          <w:sz w:val="20"/>
          <w:szCs w:val="20"/>
        </w:rPr>
        <w:t xml:space="preserve"> to a fair trial</w:t>
      </w:r>
      <w:r w:rsidRPr="00DE2580">
        <w:rPr>
          <w:rStyle w:val="FootnoteReference"/>
          <w:rFonts w:eastAsia="Arial Unicode MS"/>
          <w:color w:val="auto"/>
          <w:sz w:val="20"/>
          <w:szCs w:val="20"/>
        </w:rPr>
        <w:footnoteReference w:id="29"/>
      </w:r>
      <w:r w:rsidRPr="00DE2580">
        <w:rPr>
          <w:rFonts w:eastAsia="Arial Unicode MS"/>
          <w:color w:val="auto"/>
          <w:sz w:val="20"/>
          <w:szCs w:val="20"/>
        </w:rPr>
        <w:t xml:space="preserve"> and to due process of law</w:t>
      </w:r>
      <w:r w:rsidRPr="00DE2580">
        <w:rPr>
          <w:rStyle w:val="FootnoteReference"/>
          <w:rFonts w:eastAsia="Arial Unicode MS"/>
          <w:color w:val="auto"/>
          <w:sz w:val="20"/>
          <w:szCs w:val="20"/>
        </w:rPr>
        <w:footnoteReference w:id="30"/>
      </w:r>
      <w:bookmarkEnd w:id="16"/>
      <w:r w:rsidRPr="00DE2580">
        <w:rPr>
          <w:rFonts w:eastAsia="Arial Unicode MS"/>
          <w:color w:val="auto"/>
          <w:sz w:val="20"/>
          <w:szCs w:val="20"/>
        </w:rPr>
        <w:t xml:space="preserve">  </w:t>
      </w:r>
      <w:r w:rsidR="009B7A99" w:rsidRPr="00DE2580">
        <w:t xml:space="preserve"> </w:t>
      </w:r>
    </w:p>
    <w:p w14:paraId="0478D144" w14:textId="77777777" w:rsidR="00FF4C3A" w:rsidRPr="00DE2580" w:rsidRDefault="00BD356C" w:rsidP="00DA6106">
      <w:pPr>
        <w:pStyle w:val="Heading2"/>
        <w:numPr>
          <w:ilvl w:val="1"/>
          <w:numId w:val="53"/>
        </w:numPr>
        <w:ind w:left="360"/>
        <w:rPr>
          <w:rFonts w:eastAsia="Arial Unicode MS"/>
          <w:color w:val="auto"/>
          <w:sz w:val="20"/>
          <w:szCs w:val="20"/>
        </w:rPr>
      </w:pPr>
      <w:bookmarkStart w:id="17" w:name="_Toc150529030"/>
      <w:r w:rsidRPr="00DE2580">
        <w:rPr>
          <w:rFonts w:eastAsia="Arial Unicode MS"/>
          <w:color w:val="auto"/>
          <w:sz w:val="20"/>
          <w:szCs w:val="20"/>
        </w:rPr>
        <w:t>Ineffective assistance of court appointed counsel</w:t>
      </w:r>
      <w:bookmarkEnd w:id="17"/>
    </w:p>
    <w:p w14:paraId="2A00CCD6" w14:textId="77777777" w:rsidR="00DF76CC" w:rsidRPr="00DE2580" w:rsidRDefault="00DF76CC" w:rsidP="00DF76C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7BBEEAE1" w14:textId="77777777" w:rsidR="00DA6106" w:rsidRPr="00DE2580" w:rsidRDefault="00DA6106" w:rsidP="00DA610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sz w:val="20"/>
        </w:rPr>
      </w:pPr>
      <w:r w:rsidRPr="00DE2580">
        <w:rPr>
          <w:sz w:val="20"/>
        </w:rPr>
        <w:t>Adequate legal representation is a fundamental component of the right to a fair trial. The IACHR has found that “[t]he right to due process and to a fair trial includes the right to adequate means for the preparation of a defense, assisted by adequate legal counsel.”</w:t>
      </w:r>
      <w:r w:rsidRPr="00DE2580">
        <w:rPr>
          <w:rStyle w:val="FootnoteReference"/>
          <w:sz w:val="20"/>
        </w:rPr>
        <w:footnoteReference w:id="31"/>
      </w:r>
      <w:r w:rsidRPr="00DE2580">
        <w:rPr>
          <w:sz w:val="20"/>
        </w:rPr>
        <w:t xml:space="preserve"> According to the Commission, “[t]he State cannot be held responsible for all deficiencies in the conduct of State-funded defense counsel. National authorities are, however, required […] to intervene if a failure by legal aid counsel to provide effective representation is manifest or sufficiently brought to their attention. Rigorous compliance with the defendant’s right to competent counsel is compelled by the possibility of the application of the death penalty.”</w:t>
      </w:r>
      <w:r w:rsidRPr="00DE2580">
        <w:rPr>
          <w:rStyle w:val="FootnoteReference"/>
          <w:sz w:val="20"/>
        </w:rPr>
        <w:footnoteReference w:id="32"/>
      </w:r>
    </w:p>
    <w:p w14:paraId="6645C255" w14:textId="77777777" w:rsidR="00DA6106" w:rsidRPr="00DE2580" w:rsidRDefault="00DA6106" w:rsidP="00DA610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jc w:val="both"/>
        <w:rPr>
          <w:sz w:val="20"/>
        </w:rPr>
      </w:pPr>
    </w:p>
    <w:p w14:paraId="1D3D15D1" w14:textId="77777777" w:rsidR="00DA6106" w:rsidRPr="00DE2580" w:rsidRDefault="00DA6106" w:rsidP="00DA610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pPr>
      <w:r w:rsidRPr="00DE2580">
        <w:rPr>
          <w:sz w:val="20"/>
        </w:rPr>
        <w:t>The appointment of an attorney by the state does not, in and of itself, ensure effective assistance of counsel.  At the same time, while the State is responsible for ensuring that such assistance is effective, it is not responsible for what may be understood as decisions of strategy or for every possible shortcoming. Rather, the Commission must evaluate whether the assistance of counsel was effective in the overall context of the process and taking into account the specific interests at stake.</w:t>
      </w:r>
      <w:r w:rsidRPr="00DE2580">
        <w:rPr>
          <w:rStyle w:val="FootnoteReference"/>
          <w:sz w:val="20"/>
        </w:rPr>
        <w:footnoteReference w:id="33"/>
      </w:r>
      <w:r w:rsidRPr="00DE2580">
        <w:rPr>
          <w:rStyle w:val="FootnoteReference"/>
        </w:rPr>
        <w:t xml:space="preserve"> </w:t>
      </w:r>
    </w:p>
    <w:p w14:paraId="4B7AABB9" w14:textId="77777777" w:rsidR="00DA6106" w:rsidRPr="00DE2580" w:rsidRDefault="00DA6106" w:rsidP="00DA610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jc w:val="both"/>
        <w:rPr>
          <w:sz w:val="20"/>
        </w:rPr>
      </w:pPr>
    </w:p>
    <w:p w14:paraId="3C1AA5E9" w14:textId="77777777" w:rsidR="00DA6106" w:rsidRPr="00DE2580" w:rsidRDefault="00DA6106" w:rsidP="00DA610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sz w:val="20"/>
        </w:rPr>
      </w:pPr>
      <w:r w:rsidRPr="00DE2580">
        <w:rPr>
          <w:sz w:val="20"/>
        </w:rPr>
        <w:t>The Commission has established that “the fundamental due process requirements for capital trials include the obligation to afford a defendant a full and fair opportunity to present mitigating evidence for consideration in determining whether the death penalty is the appropriate punishment in the circumstances of his or her case.”</w:t>
      </w:r>
      <w:r w:rsidRPr="00DE2580">
        <w:rPr>
          <w:rStyle w:val="FootnoteReference"/>
          <w:sz w:val="20"/>
        </w:rPr>
        <w:footnoteReference w:id="34"/>
      </w:r>
      <w:r w:rsidRPr="00DE2580">
        <w:rPr>
          <w:rStyle w:val="FootnoteReference"/>
        </w:rPr>
        <w:t xml:space="preserve"> </w:t>
      </w:r>
      <w:r w:rsidRPr="00DE2580">
        <w:rPr>
          <w:sz w:val="20"/>
        </w:rPr>
        <w:t xml:space="preserve">The Commission has also indicated that due process protections, under the Declaration: </w:t>
      </w:r>
    </w:p>
    <w:p w14:paraId="655B9CFB" w14:textId="77777777" w:rsidR="00DA6106" w:rsidRPr="00DE2580" w:rsidRDefault="00DA6106" w:rsidP="00DA610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jc w:val="both"/>
        <w:rPr>
          <w:sz w:val="20"/>
        </w:rPr>
      </w:pPr>
    </w:p>
    <w:p w14:paraId="06A23203" w14:textId="77777777" w:rsidR="00DA6106" w:rsidRPr="00DE2580" w:rsidRDefault="00DA6106" w:rsidP="00DA610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360" w:right="360"/>
        <w:jc w:val="both"/>
        <w:rPr>
          <w:sz w:val="18"/>
          <w:szCs w:val="18"/>
        </w:rPr>
      </w:pPr>
      <w:r w:rsidRPr="00DE2580">
        <w:rPr>
          <w:sz w:val="18"/>
          <w:szCs w:val="18"/>
        </w:rPr>
        <w:lastRenderedPageBreak/>
        <w:t>guarantee an opportunity to make submissions and present evidence as to whether a death sentence may not be a permissible or appropriate punishment in the circumstances of the defendant’s case, in light of such considerations as the offender’s character and record, subjective factors that might have motivated his or her conduct, the design and manner of execution of the particular offense, and the possibility of reform and social readaptation of the offender.</w:t>
      </w:r>
      <w:r w:rsidRPr="00DE2580">
        <w:rPr>
          <w:rStyle w:val="FootnoteReference"/>
          <w:sz w:val="18"/>
          <w:szCs w:val="18"/>
        </w:rPr>
        <w:footnoteReference w:id="35"/>
      </w:r>
    </w:p>
    <w:p w14:paraId="176554FD" w14:textId="77777777" w:rsidR="00DA6106" w:rsidRPr="00DE2580" w:rsidRDefault="00DA6106" w:rsidP="00DA610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jc w:val="both"/>
        <w:rPr>
          <w:sz w:val="20"/>
        </w:rPr>
      </w:pPr>
    </w:p>
    <w:p w14:paraId="257A34B8" w14:textId="77777777" w:rsidR="00DA6106" w:rsidRPr="00DE2580" w:rsidRDefault="00DA6106" w:rsidP="00DA610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sz w:val="20"/>
        </w:rPr>
      </w:pPr>
      <w:r w:rsidRPr="00DE2580">
        <w:rPr>
          <w:sz w:val="20"/>
        </w:rPr>
        <w:t>It may be noted that the fundamental nature of this guarantee has been reflected in practice guidelines for lawyers. The American Bar Association has prepared and adopted guidelines and related commentaries that emphasize the importance of investigating and presenting mitigating evidence in death penalty cases.</w:t>
      </w:r>
      <w:r w:rsidRPr="00DE2580">
        <w:rPr>
          <w:rStyle w:val="FootnoteReference"/>
          <w:sz w:val="20"/>
        </w:rPr>
        <w:footnoteReference w:id="36"/>
      </w:r>
      <w:r w:rsidRPr="00DE2580">
        <w:rPr>
          <w:rStyle w:val="FootnoteReference"/>
        </w:rPr>
        <w:t xml:space="preserve"> </w:t>
      </w:r>
      <w:r w:rsidRPr="00DE2580">
        <w:rPr>
          <w:sz w:val="20"/>
        </w:rPr>
        <w:t>According to these guidelines, the duty of counsel in the United States to investigate and present mitigating evidence is now well-established and “[b]ecause the sentencer in a capital case must consider in mitigation, anything in the life of the defendant which might militate against the appropriateness of the death penalty for the defendant,” penalty phase preparation requires extensive and generally unparalleled investigation into personal and family history.</w:t>
      </w:r>
      <w:r w:rsidRPr="00DE2580">
        <w:rPr>
          <w:rStyle w:val="FootnoteReference"/>
          <w:sz w:val="20"/>
        </w:rPr>
        <w:footnoteReference w:id="37"/>
      </w:r>
      <w:r w:rsidRPr="00DE2580">
        <w:rPr>
          <w:rStyle w:val="FootnoteReference"/>
        </w:rPr>
        <w:t xml:space="preserve"> </w:t>
      </w:r>
      <w:r w:rsidRPr="00DE2580">
        <w:rPr>
          <w:sz w:val="20"/>
        </w:rPr>
        <w:t>The Guidelines also emphasize that the “mitigation investigation should begin as quickly as possible, because it may affect the investigation of first phase defenses (e.g., by suggesting additional areas for questioning police officers or other witnesses), decisions about the need for expert evaluations (including competency, mental retardation, or insanity), motion practice, and plea negotiations.”</w:t>
      </w:r>
      <w:r w:rsidRPr="00DE2580">
        <w:rPr>
          <w:rStyle w:val="FootnoteReference"/>
          <w:sz w:val="20"/>
        </w:rPr>
        <w:footnoteReference w:id="38"/>
      </w:r>
      <w:r w:rsidRPr="00DE2580">
        <w:rPr>
          <w:rStyle w:val="FootnoteReference"/>
        </w:rPr>
        <w:t xml:space="preserve"> </w:t>
      </w:r>
    </w:p>
    <w:p w14:paraId="5C454345" w14:textId="77777777" w:rsidR="00DA6106" w:rsidRPr="00DE2580" w:rsidRDefault="00DA6106" w:rsidP="00DA610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68329265" w14:textId="0D9CA8A2" w:rsidR="002B54C1" w:rsidRPr="00DE2580" w:rsidRDefault="00342F3E" w:rsidP="002B54C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DE2580">
        <w:rPr>
          <w:rFonts w:asciiTheme="majorHAnsi" w:eastAsia="Cambria" w:hAnsiTheme="majorHAnsi" w:cs="Cambria"/>
          <w:sz w:val="20"/>
          <w:szCs w:val="20"/>
        </w:rPr>
        <w:t>In the instant case, t</w:t>
      </w:r>
      <w:r w:rsidR="002B54C1" w:rsidRPr="00DE2580">
        <w:rPr>
          <w:rFonts w:asciiTheme="majorHAnsi" w:eastAsia="Cambria" w:hAnsiTheme="majorHAnsi" w:cs="Cambria"/>
          <w:sz w:val="20"/>
          <w:szCs w:val="20"/>
        </w:rPr>
        <w:t xml:space="preserve">he Commission must evaluate whether the assistance of counsel was effective; taking into account the specific interests at stake.  In the present case, the interests at stake included the </w:t>
      </w:r>
      <w:r w:rsidRPr="00DE2580">
        <w:rPr>
          <w:rFonts w:asciiTheme="majorHAnsi" w:eastAsia="Cambria" w:hAnsiTheme="majorHAnsi" w:cs="Cambria"/>
          <w:sz w:val="20"/>
          <w:szCs w:val="20"/>
        </w:rPr>
        <w:t>application of the death penalty</w:t>
      </w:r>
      <w:r w:rsidR="002B54C1" w:rsidRPr="00DE2580">
        <w:rPr>
          <w:rFonts w:asciiTheme="majorHAnsi" w:eastAsia="Cambria" w:hAnsiTheme="majorHAnsi" w:cs="Cambria"/>
          <w:sz w:val="20"/>
          <w:szCs w:val="20"/>
        </w:rPr>
        <w:t xml:space="preserve">, and the assistance of counsel must be evaluated in that context. </w:t>
      </w:r>
    </w:p>
    <w:p w14:paraId="609BBE7B" w14:textId="77777777" w:rsidR="007713BA" w:rsidRPr="00DE2580" w:rsidRDefault="007713BA" w:rsidP="007713B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2678F29D" w14:textId="77777777" w:rsidR="007713BA" w:rsidRPr="00DE2580" w:rsidRDefault="007713BA" w:rsidP="007713B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DE2580">
        <w:rPr>
          <w:rFonts w:asciiTheme="majorHAnsi" w:hAnsiTheme="majorHAnsi"/>
          <w:sz w:val="20"/>
          <w:szCs w:val="20"/>
        </w:rPr>
        <w:t>The Petitioners contend that trial counsel failed to undertake sufficient investigation to uncover significant mitigating evidence concerning Mr. Housel’s mental condition and upbringing and present it during his sentencing. The State, for its part, argues that Petitioner’s allegation of inadequate legal representation was expressly rejected by both the state and federal habeas corpus courts.</w:t>
      </w:r>
    </w:p>
    <w:p w14:paraId="09003E71" w14:textId="77777777" w:rsidR="007713BA" w:rsidRPr="00DE2580" w:rsidRDefault="007713BA" w:rsidP="007713BA">
      <w:pPr>
        <w:pStyle w:val="ListParagraph"/>
        <w:rPr>
          <w:rFonts w:asciiTheme="majorHAnsi" w:hAnsiTheme="majorHAnsi"/>
          <w:sz w:val="20"/>
          <w:szCs w:val="20"/>
        </w:rPr>
      </w:pPr>
    </w:p>
    <w:p w14:paraId="69681A83" w14:textId="6384D0BC" w:rsidR="007713BA" w:rsidRPr="00DE2580" w:rsidRDefault="007713BA" w:rsidP="007713B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DE2580">
        <w:rPr>
          <w:rFonts w:asciiTheme="majorHAnsi" w:hAnsiTheme="majorHAnsi"/>
          <w:sz w:val="20"/>
          <w:szCs w:val="20"/>
        </w:rPr>
        <w:t xml:space="preserve">The Commission notes that the information on the record shows that an examination conducted by a psychiatrist and neurologist concluded that Mr. Housel had a reduced capacity to control his impulses as a direct consequence of a disordered and damaged brain. Also, an evaluation conducted by a clinical psychologist concluded that Mr. Housel suffered from neurological deficits at a significant level and that there was an appearance that overall neurological functioning could be nearly normal in the absence of use of alcohol and/or controlled substances. Mr. Housel’s trial attorney admitted he did not consult with any doctor; and did not seek funds to hire an expert to investigate either the symptoms Mr. Housel reported to counsel or any other medical or psychological conditions which might have been factors in explaining his conduct. He further indicated that this failure was not part of tactics or case strategy. </w:t>
      </w:r>
    </w:p>
    <w:p w14:paraId="59CE0CE6" w14:textId="77777777" w:rsidR="007713BA" w:rsidRPr="00DE2580" w:rsidRDefault="007713BA" w:rsidP="007713BA">
      <w:pPr>
        <w:pStyle w:val="ListParagraph"/>
        <w:rPr>
          <w:rFonts w:asciiTheme="majorHAnsi" w:eastAsia="Arial Unicode MS" w:hAnsiTheme="majorHAnsi" w:cs="Times New Roman"/>
          <w:color w:val="auto"/>
          <w:sz w:val="20"/>
          <w:szCs w:val="20"/>
          <w:lang w:eastAsia="en-US"/>
        </w:rPr>
      </w:pPr>
    </w:p>
    <w:p w14:paraId="50D1B051" w14:textId="2AC229B5" w:rsidR="007713BA" w:rsidRPr="00DE2580" w:rsidRDefault="007713BA" w:rsidP="007713B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DE2580">
        <w:rPr>
          <w:rFonts w:asciiTheme="majorHAnsi" w:hAnsiTheme="majorHAnsi"/>
          <w:sz w:val="20"/>
          <w:szCs w:val="20"/>
        </w:rPr>
        <w:t>As previously established, the fundamental due process requirements for capital trials include the obligation to afford a defendant a full and fair opportunity to present mitigating evidence for consideration in determining whether the death penalty is the appropriate punishment in the circumstances of the specific case. In the instant case, failure to request expert evidence resulted in an omission of possibly similar findings of actual mental health problems that were discovered by psychological and mental expert</w:t>
      </w:r>
      <w:r w:rsidR="00772CBF" w:rsidRPr="00DE2580">
        <w:rPr>
          <w:rFonts w:asciiTheme="majorHAnsi" w:hAnsiTheme="majorHAnsi"/>
          <w:sz w:val="20"/>
          <w:szCs w:val="20"/>
        </w:rPr>
        <w:t>s</w:t>
      </w:r>
      <w:r w:rsidRPr="00DE2580">
        <w:rPr>
          <w:rFonts w:asciiTheme="majorHAnsi" w:hAnsiTheme="majorHAnsi"/>
          <w:sz w:val="20"/>
          <w:szCs w:val="20"/>
        </w:rPr>
        <w:t xml:space="preserve"> during post-conviction. As indicated, trial counsel admitted that it would have been helpful to have presented the evidence submitted in the federal petition about how intoxication at the time of the crime exacerbated the effects of Mr. Housel’s existing medical condition and affected the ability to control his impulses. He further expressed that this failure was not part of tactics or case strategy.</w:t>
      </w:r>
    </w:p>
    <w:p w14:paraId="1765E853" w14:textId="77777777" w:rsidR="007713BA" w:rsidRPr="00DE2580" w:rsidRDefault="007713BA" w:rsidP="007713BA">
      <w:pPr>
        <w:pStyle w:val="ListParagraph"/>
        <w:rPr>
          <w:rFonts w:asciiTheme="majorHAnsi" w:hAnsiTheme="majorHAnsi"/>
          <w:sz w:val="20"/>
          <w:szCs w:val="20"/>
        </w:rPr>
      </w:pPr>
    </w:p>
    <w:p w14:paraId="3B8E63E9" w14:textId="77777777" w:rsidR="007713BA" w:rsidRPr="00DE2580" w:rsidRDefault="007713BA" w:rsidP="007713BA">
      <w:pPr>
        <w:pStyle w:val="NormalWeb"/>
        <w:numPr>
          <w:ilvl w:val="0"/>
          <w:numId w:val="55"/>
        </w:numPr>
        <w:shd w:val="clear" w:color="auto" w:fill="FFFFFF"/>
        <w:tabs>
          <w:tab w:val="left" w:pos="360"/>
        </w:tabs>
        <w:spacing w:before="0" w:beforeAutospacing="0" w:after="0" w:afterAutospacing="0"/>
        <w:ind w:left="0" w:firstLine="0"/>
        <w:jc w:val="both"/>
        <w:rPr>
          <w:rFonts w:ascii="Cambria" w:hAnsi="Cambria"/>
          <w:sz w:val="20"/>
          <w:szCs w:val="20"/>
        </w:rPr>
      </w:pPr>
      <w:r w:rsidRPr="00DE2580">
        <w:rPr>
          <w:rFonts w:ascii="Cambria" w:hAnsi="Cambria"/>
          <w:sz w:val="20"/>
          <w:szCs w:val="20"/>
        </w:rPr>
        <w:lastRenderedPageBreak/>
        <w:t xml:space="preserve">Considering that </w:t>
      </w:r>
      <w:r w:rsidRPr="00DE2580">
        <w:rPr>
          <w:rFonts w:ascii="Cambria" w:hAnsi="Cambria" w:cs="Arial"/>
          <w:sz w:val="20"/>
          <w:szCs w:val="20"/>
        </w:rPr>
        <w:t xml:space="preserve">the fundamental due process and fair trial requirements for capital trials include the obligation to afford adequate legal representation, and that failure to </w:t>
      </w:r>
      <w:r w:rsidRPr="00DE2580">
        <w:rPr>
          <w:rFonts w:asciiTheme="majorHAnsi" w:hAnsiTheme="majorHAnsi"/>
          <w:sz w:val="20"/>
          <w:szCs w:val="20"/>
        </w:rPr>
        <w:t>present mitigating evidence</w:t>
      </w:r>
      <w:r w:rsidRPr="00DE2580">
        <w:rPr>
          <w:rFonts w:ascii="Cambria" w:hAnsi="Cambria" w:cs="Arial"/>
          <w:sz w:val="20"/>
          <w:szCs w:val="20"/>
        </w:rPr>
        <w:t xml:space="preserve"> constitute inadequate representation, the Inter-American Commission concludes that the United States violated Mr. Robinson’s right to due process and to a fair trial under Articles XVIII and XXVI of the American Declaration.</w:t>
      </w:r>
    </w:p>
    <w:p w14:paraId="77388E18" w14:textId="62C6473F" w:rsidR="003E5342" w:rsidRPr="00DE2580" w:rsidRDefault="00DA6106" w:rsidP="00622843">
      <w:pPr>
        <w:pStyle w:val="Heading2"/>
        <w:numPr>
          <w:ilvl w:val="1"/>
          <w:numId w:val="53"/>
        </w:numPr>
        <w:ind w:left="360"/>
        <w:rPr>
          <w:rFonts w:eastAsia="Arial Unicode MS"/>
          <w:color w:val="auto"/>
          <w:sz w:val="20"/>
          <w:szCs w:val="20"/>
        </w:rPr>
      </w:pPr>
      <w:bookmarkStart w:id="18" w:name="_Toc150529031"/>
      <w:r w:rsidRPr="00DE2580">
        <w:rPr>
          <w:rFonts w:eastAsia="Arial Unicode MS"/>
          <w:color w:val="auto"/>
          <w:sz w:val="20"/>
          <w:szCs w:val="20"/>
        </w:rPr>
        <w:t>Use of unadjudicated o</w:t>
      </w:r>
      <w:r w:rsidR="003E5342" w:rsidRPr="00DE2580">
        <w:rPr>
          <w:rFonts w:eastAsia="Arial Unicode MS"/>
          <w:color w:val="auto"/>
          <w:sz w:val="20"/>
          <w:szCs w:val="20"/>
        </w:rPr>
        <w:t>ffence</w:t>
      </w:r>
      <w:r w:rsidRPr="00DE2580">
        <w:rPr>
          <w:rFonts w:eastAsia="Arial Unicode MS"/>
          <w:color w:val="auto"/>
          <w:sz w:val="20"/>
          <w:szCs w:val="20"/>
        </w:rPr>
        <w:t>s</w:t>
      </w:r>
      <w:bookmarkEnd w:id="18"/>
      <w:r w:rsidRPr="00DE2580">
        <w:rPr>
          <w:rFonts w:eastAsia="Arial Unicode MS"/>
          <w:color w:val="auto"/>
          <w:sz w:val="20"/>
          <w:szCs w:val="20"/>
        </w:rPr>
        <w:t xml:space="preserve"> </w:t>
      </w:r>
    </w:p>
    <w:p w14:paraId="4FB02BB3" w14:textId="77777777" w:rsidR="00475527" w:rsidRPr="00DE2580" w:rsidRDefault="00475527" w:rsidP="00475527">
      <w:pPr>
        <w:rPr>
          <w:rFonts w:asciiTheme="majorHAnsi" w:hAnsiTheme="majorHAnsi"/>
          <w:sz w:val="20"/>
          <w:szCs w:val="22"/>
        </w:rPr>
      </w:pPr>
    </w:p>
    <w:p w14:paraId="282FE725" w14:textId="77777777" w:rsidR="00405388" w:rsidRPr="00DE2580" w:rsidRDefault="00405388" w:rsidP="004053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bCs/>
          <w:color w:val="auto"/>
          <w:sz w:val="20"/>
          <w:szCs w:val="20"/>
        </w:rPr>
      </w:pPr>
      <w:r w:rsidRPr="00DE2580">
        <w:rPr>
          <w:rFonts w:asciiTheme="majorHAnsi" w:hAnsiTheme="majorHAnsi"/>
          <w:bCs/>
          <w:color w:val="auto"/>
          <w:sz w:val="20"/>
          <w:szCs w:val="20"/>
        </w:rPr>
        <w:t>In the case of Juan Raul Garza, who was sentenced to the death penalty, the IACHR found that the State’s conduct in introducing evidence of unadjudicated crimes during the capital sentencing hearing was contrary to Mr. Garza’s right to a fair trial, as well as his right to due process of law under Articles XVIII and XXVI of the American Declaration.</w:t>
      </w:r>
      <w:r w:rsidRPr="00DE2580">
        <w:rPr>
          <w:rStyle w:val="FootnoteReference"/>
          <w:rFonts w:asciiTheme="majorHAnsi" w:hAnsiTheme="majorHAnsi"/>
          <w:sz w:val="20"/>
          <w:szCs w:val="20"/>
        </w:rPr>
        <w:footnoteReference w:id="39"/>
      </w:r>
      <w:r w:rsidRPr="00DE2580">
        <w:rPr>
          <w:rFonts w:asciiTheme="majorHAnsi" w:hAnsiTheme="majorHAnsi"/>
          <w:bCs/>
          <w:color w:val="auto"/>
          <w:sz w:val="20"/>
          <w:szCs w:val="20"/>
        </w:rPr>
        <w:t xml:space="preserve"> This was the first case in which the Commission considered the compatibility with the American Declaration of the use of evidence of unadjudicated offenses during the punishment phase of capital proceedings.</w:t>
      </w:r>
    </w:p>
    <w:p w14:paraId="50C32E56" w14:textId="77777777" w:rsidR="00405388" w:rsidRPr="00DE2580" w:rsidRDefault="00405388" w:rsidP="0040538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jc w:val="both"/>
        <w:rPr>
          <w:rFonts w:asciiTheme="majorHAnsi" w:hAnsiTheme="majorHAnsi"/>
          <w:bCs/>
          <w:color w:val="auto"/>
          <w:sz w:val="20"/>
          <w:szCs w:val="20"/>
        </w:rPr>
      </w:pPr>
    </w:p>
    <w:p w14:paraId="6AD58669" w14:textId="77777777" w:rsidR="00405388" w:rsidRPr="00DE2580" w:rsidRDefault="00405388" w:rsidP="004053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rFonts w:asciiTheme="majorHAnsi" w:hAnsiTheme="majorHAnsi"/>
          <w:bCs/>
          <w:color w:val="auto"/>
          <w:sz w:val="20"/>
          <w:szCs w:val="20"/>
        </w:rPr>
      </w:pPr>
      <w:r w:rsidRPr="00DE2580">
        <w:rPr>
          <w:rFonts w:asciiTheme="majorHAnsi" w:hAnsiTheme="majorHAnsi"/>
          <w:bCs/>
          <w:color w:val="auto"/>
          <w:sz w:val="20"/>
          <w:szCs w:val="20"/>
        </w:rPr>
        <w:t>The IACHR established that “a significant and substantive distinction exists between the introduction of evidence of mitigating and aggravating factors concerning the circumstances of an offender or his or her offense” and the introduction of evidence designed to demonstrate dangerousness based on culpability for prior offenses that were never adjudicated.</w:t>
      </w:r>
      <w:r w:rsidRPr="00DE2580">
        <w:rPr>
          <w:rStyle w:val="FootnoteReference"/>
          <w:rFonts w:asciiTheme="majorHAnsi" w:hAnsiTheme="majorHAnsi"/>
          <w:sz w:val="20"/>
          <w:szCs w:val="20"/>
        </w:rPr>
        <w:footnoteReference w:id="40"/>
      </w:r>
      <w:r w:rsidRPr="00DE2580">
        <w:rPr>
          <w:rStyle w:val="FootnoteReference"/>
          <w:rFonts w:asciiTheme="majorHAnsi" w:hAnsiTheme="majorHAnsi"/>
        </w:rPr>
        <w:t xml:space="preserve"> </w:t>
      </w:r>
      <w:r w:rsidRPr="00DE2580">
        <w:rPr>
          <w:rFonts w:asciiTheme="majorHAnsi" w:hAnsiTheme="majorHAnsi"/>
          <w:bCs/>
          <w:color w:val="auto"/>
          <w:sz w:val="20"/>
          <w:szCs w:val="20"/>
        </w:rPr>
        <w:t>The Commission recommended the United States to prohibit the introduction of evidence of unadjudicated crimes during the sentencing phase of capital trials. In the cases of Javier Suarez Medina, Humberto Leal Garcia, and Bernardo Aban Tercero, the IACHR reached the same conclusion.</w:t>
      </w:r>
      <w:r w:rsidRPr="00DE2580">
        <w:rPr>
          <w:rStyle w:val="FootnoteReference"/>
          <w:rFonts w:asciiTheme="majorHAnsi" w:hAnsiTheme="majorHAnsi"/>
          <w:sz w:val="20"/>
          <w:szCs w:val="20"/>
        </w:rPr>
        <w:footnoteReference w:id="41"/>
      </w:r>
    </w:p>
    <w:p w14:paraId="1C925CF0" w14:textId="77777777" w:rsidR="00405388" w:rsidRPr="00DE2580" w:rsidRDefault="00405388" w:rsidP="0040538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rPr>
      </w:pPr>
    </w:p>
    <w:p w14:paraId="36042127" w14:textId="77777777" w:rsidR="00405388" w:rsidRPr="00DE2580" w:rsidRDefault="00405388" w:rsidP="0040538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pPr>
      <w:r w:rsidRPr="00DE2580">
        <w:rPr>
          <w:rFonts w:asciiTheme="majorHAnsi" w:hAnsiTheme="majorHAnsi"/>
          <w:sz w:val="20"/>
          <w:szCs w:val="20"/>
        </w:rPr>
        <w:t>In the instant case, Petitioners claim that the trial judge permitted the admittance of evidence of unadjudicated offenses during the sentencing phase. The State alleged that this claim was rejected by the Supreme Court of Georgia and in federal habeas corpus.</w:t>
      </w:r>
    </w:p>
    <w:p w14:paraId="5778B753" w14:textId="77777777" w:rsidR="00405388" w:rsidRPr="00DE2580" w:rsidRDefault="00405388" w:rsidP="00405388">
      <w:pPr>
        <w:pStyle w:val="ListParagraph"/>
        <w:rPr>
          <w:rFonts w:asciiTheme="majorHAnsi" w:eastAsia="Arial Unicode MS" w:hAnsiTheme="majorHAnsi" w:cs="Times New Roman"/>
          <w:color w:val="auto"/>
          <w:sz w:val="20"/>
          <w:szCs w:val="20"/>
          <w:lang w:eastAsia="en-US"/>
        </w:rPr>
      </w:pPr>
    </w:p>
    <w:p w14:paraId="4D1DC30B" w14:textId="77777777" w:rsidR="00405388" w:rsidRPr="00DE2580" w:rsidRDefault="00405388" w:rsidP="0040538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DE2580">
        <w:rPr>
          <w:rFonts w:asciiTheme="majorHAnsi" w:hAnsiTheme="majorHAnsi"/>
          <w:sz w:val="20"/>
          <w:szCs w:val="20"/>
        </w:rPr>
        <w:t xml:space="preserve">According to the information available, at the sentencing hearing the prosecution introduced evidence of three unadjudicated offenses that Mr. Housel was alleged to have committed. Mr. Housel confessed to two of the three offenses. The U.S. Court of Appeal in post-conviction held that the admittance of such evidence was constitutional as long as it was reliable and pointed to Mr. Housel’s confession. </w:t>
      </w:r>
    </w:p>
    <w:p w14:paraId="09D05950" w14:textId="77777777" w:rsidR="00405388" w:rsidRPr="00DE2580" w:rsidRDefault="00405388" w:rsidP="00405388">
      <w:pPr>
        <w:pStyle w:val="ListParagraph"/>
        <w:rPr>
          <w:rFonts w:asciiTheme="majorHAnsi" w:hAnsiTheme="majorHAnsi"/>
          <w:sz w:val="20"/>
          <w:szCs w:val="20"/>
        </w:rPr>
      </w:pPr>
    </w:p>
    <w:p w14:paraId="18FEFD26" w14:textId="77777777" w:rsidR="00405388" w:rsidRPr="00DE2580" w:rsidRDefault="00405388" w:rsidP="0040538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720"/>
          <w:tab w:val="left" w:pos="1440"/>
        </w:tabs>
        <w:autoSpaceDE w:val="0"/>
        <w:autoSpaceDN w:val="0"/>
        <w:adjustRightInd w:val="0"/>
        <w:ind w:left="0" w:firstLine="0"/>
        <w:jc w:val="both"/>
        <w:rPr>
          <w:rFonts w:ascii="Cambria" w:hAnsi="Cambria"/>
          <w:bCs/>
          <w:sz w:val="20"/>
          <w:szCs w:val="20"/>
        </w:rPr>
      </w:pPr>
      <w:r w:rsidRPr="00DE2580">
        <w:rPr>
          <w:rFonts w:asciiTheme="majorHAnsi" w:hAnsiTheme="majorHAnsi"/>
          <w:sz w:val="20"/>
          <w:szCs w:val="20"/>
        </w:rPr>
        <w:t xml:space="preserve">The Commission notes that, according to the above-mentioned jurisprudence, the introduction of </w:t>
      </w:r>
      <w:r w:rsidRPr="00DE2580">
        <w:rPr>
          <w:rFonts w:asciiTheme="majorHAnsi" w:hAnsiTheme="majorHAnsi"/>
          <w:bCs/>
          <w:sz w:val="20"/>
          <w:szCs w:val="20"/>
        </w:rPr>
        <w:t>evidence of unadjudicated crimes during a capital sentencing hearing is contrary to the rights to a fair trial and to due process of law. This, regardless of the reliability or credibility of such evidence, given that the violation is due to the fact that t</w:t>
      </w:r>
      <w:r w:rsidRPr="00DE2580">
        <w:rPr>
          <w:rFonts w:asciiTheme="majorHAnsi" w:hAnsiTheme="majorHAnsi"/>
          <w:sz w:val="20"/>
          <w:szCs w:val="20"/>
        </w:rPr>
        <w:t>he intent and consequence of using evidence of unadjudicated crimes is to determine the defendant’s guilt and punishment for the other unadjudicated crimes but through a sentencing hearing rather than a proper and fair trial process.</w:t>
      </w:r>
      <w:r w:rsidRPr="00DE2580">
        <w:rPr>
          <w:rStyle w:val="FootnoteReference"/>
          <w:rFonts w:asciiTheme="majorHAnsi" w:hAnsiTheme="majorHAnsi"/>
          <w:sz w:val="20"/>
          <w:szCs w:val="20"/>
        </w:rPr>
        <w:footnoteReference w:id="42"/>
      </w:r>
      <w:r w:rsidRPr="00DE2580">
        <w:rPr>
          <w:rFonts w:asciiTheme="majorHAnsi" w:hAnsiTheme="majorHAnsi"/>
          <w:sz w:val="20"/>
          <w:szCs w:val="20"/>
        </w:rPr>
        <w:t>  Therefore, the IACHR concludes that the United States violated Mr. Robinson’s rights set forth in Articles XVIII and XXVI of the American Declaration.</w:t>
      </w:r>
    </w:p>
    <w:p w14:paraId="7B78DE63" w14:textId="77777777" w:rsidR="00E76AE8" w:rsidRPr="00DE2580" w:rsidRDefault="00E76AE8" w:rsidP="009011A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jc w:val="both"/>
        <w:rPr>
          <w:rFonts w:asciiTheme="majorHAnsi" w:hAnsiTheme="majorHAnsi"/>
          <w:sz w:val="20"/>
          <w:szCs w:val="20"/>
        </w:rPr>
      </w:pPr>
    </w:p>
    <w:p w14:paraId="66F87D37" w14:textId="77777777" w:rsidR="00E76AE8" w:rsidRPr="00DE2580" w:rsidRDefault="00E76AE8" w:rsidP="00C65357">
      <w:pPr>
        <w:pStyle w:val="Heading2"/>
        <w:numPr>
          <w:ilvl w:val="0"/>
          <w:numId w:val="63"/>
        </w:numPr>
        <w:spacing w:before="0"/>
        <w:ind w:left="360"/>
        <w:jc w:val="both"/>
        <w:rPr>
          <w:sz w:val="20"/>
          <w:szCs w:val="20"/>
        </w:rPr>
      </w:pPr>
      <w:bookmarkStart w:id="19" w:name="_Toc150529032"/>
      <w:r w:rsidRPr="00DE2580">
        <w:rPr>
          <w:rFonts w:eastAsia="Arial Unicode MS"/>
          <w:color w:val="auto"/>
          <w:sz w:val="20"/>
          <w:szCs w:val="20"/>
        </w:rPr>
        <w:t xml:space="preserve">The </w:t>
      </w:r>
      <w:r w:rsidRPr="00DE2580">
        <w:rPr>
          <w:color w:val="auto"/>
          <w:sz w:val="20"/>
          <w:szCs w:val="20"/>
        </w:rPr>
        <w:t>deprivation</w:t>
      </w:r>
      <w:r w:rsidRPr="00DE2580">
        <w:rPr>
          <w:rFonts w:eastAsia="Arial Unicode MS"/>
          <w:color w:val="auto"/>
          <w:sz w:val="20"/>
          <w:szCs w:val="20"/>
        </w:rPr>
        <w:t xml:space="preserve"> of liberty on death row and the right of protection against cruel, infamous or unusual punishment</w:t>
      </w:r>
      <w:r w:rsidRPr="00DE2580">
        <w:rPr>
          <w:rStyle w:val="FootnoteReference"/>
          <w:rFonts w:ascii="Cambria" w:eastAsia="Arial Unicode MS" w:hAnsi="Cambria"/>
          <w:bCs w:val="0"/>
          <w:color w:val="auto"/>
          <w:sz w:val="20"/>
          <w:szCs w:val="20"/>
        </w:rPr>
        <w:footnoteReference w:id="43"/>
      </w:r>
      <w:bookmarkEnd w:id="19"/>
    </w:p>
    <w:p w14:paraId="168EE9A9" w14:textId="0557F673" w:rsidR="004F4AEF" w:rsidRPr="00DE2580" w:rsidRDefault="00A04BB7" w:rsidP="00C65357">
      <w:pPr>
        <w:pStyle w:val="Heading2"/>
        <w:numPr>
          <w:ilvl w:val="0"/>
          <w:numId w:val="65"/>
        </w:numPr>
        <w:ind w:left="360"/>
        <w:rPr>
          <w:rFonts w:eastAsia="Arial Unicode MS"/>
          <w:color w:val="auto"/>
          <w:sz w:val="20"/>
          <w:szCs w:val="20"/>
        </w:rPr>
      </w:pPr>
      <w:bookmarkStart w:id="20" w:name="_Toc150529033"/>
      <w:r w:rsidRPr="00DE2580">
        <w:rPr>
          <w:rFonts w:eastAsia="Arial Unicode MS"/>
          <w:color w:val="auto"/>
          <w:sz w:val="20"/>
          <w:szCs w:val="20"/>
        </w:rPr>
        <w:t xml:space="preserve">Pre-trial </w:t>
      </w:r>
      <w:r w:rsidR="004F4AEF" w:rsidRPr="00DE2580">
        <w:rPr>
          <w:rFonts w:eastAsia="Arial Unicode MS"/>
          <w:color w:val="auto"/>
          <w:sz w:val="20"/>
          <w:szCs w:val="20"/>
        </w:rPr>
        <w:t>confinement conditions and prolonged</w:t>
      </w:r>
      <w:r w:rsidR="000A1840" w:rsidRPr="00DE2580">
        <w:rPr>
          <w:rFonts w:eastAsia="Arial Unicode MS"/>
          <w:color w:val="auto"/>
          <w:sz w:val="20"/>
          <w:szCs w:val="20"/>
        </w:rPr>
        <w:t xml:space="preserve"> solitary confinement</w:t>
      </w:r>
      <w:bookmarkEnd w:id="20"/>
    </w:p>
    <w:p w14:paraId="001DFA61" w14:textId="77777777" w:rsidR="004F4AEF" w:rsidRPr="00DE2580" w:rsidRDefault="004F4AEF" w:rsidP="004F4AE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191B0474" w14:textId="77777777" w:rsidR="004F4AEF" w:rsidRPr="00DE2580" w:rsidRDefault="004F4AEF" w:rsidP="004F4AEF">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sz w:val="20"/>
          <w:szCs w:val="20"/>
          <w:bdr w:val="none" w:sz="0" w:space="0" w:color="auto" w:frame="1"/>
        </w:rPr>
      </w:pPr>
      <w:r w:rsidRPr="00DE2580">
        <w:rPr>
          <w:rFonts w:ascii="Cambria" w:hAnsi="Cambria"/>
          <w:sz w:val="20"/>
        </w:rPr>
        <w:lastRenderedPageBreak/>
        <w:t>The Inter-American Commission has determined that deprivation of liberty under certain conditions on death row, including solitary confinement for four years, constituted inhuman treatment.</w:t>
      </w:r>
      <w:r w:rsidRPr="00DE2580">
        <w:rPr>
          <w:rFonts w:ascii="Cambria" w:hAnsi="Cambria"/>
          <w:sz w:val="20"/>
          <w:vertAlign w:val="superscript"/>
        </w:rPr>
        <w:footnoteReference w:id="44"/>
      </w:r>
      <w:r w:rsidRPr="00DE2580">
        <w:rPr>
          <w:rFonts w:ascii="Cambria" w:hAnsi="Cambria"/>
          <w:sz w:val="20"/>
        </w:rPr>
        <w:t xml:space="preserve"> </w:t>
      </w:r>
      <w:r w:rsidRPr="00DE2580">
        <w:rPr>
          <w:rFonts w:asciiTheme="majorHAnsi" w:hAnsiTheme="majorHAnsi"/>
          <w:sz w:val="20"/>
          <w:szCs w:val="20"/>
          <w:bdr w:val="none" w:sz="0" w:space="0" w:color="auto" w:frame="1"/>
        </w:rPr>
        <w:t>According to international human rights standards, persons deprived of liberty on death row should not be subjected to solitary confinement as a regular condition of imprisonment, but only in exceptional circumstances and solely as a disciplinary punishment in those instances and under the same conditions in which these measures apply to the rest of the inmates.</w:t>
      </w:r>
      <w:r w:rsidRPr="00DE2580">
        <w:rPr>
          <w:rStyle w:val="FootnoteReference"/>
          <w:rFonts w:asciiTheme="majorHAnsi" w:hAnsiTheme="majorHAnsi"/>
          <w:bCs/>
          <w:sz w:val="20"/>
          <w:szCs w:val="20"/>
        </w:rPr>
        <w:footnoteReference w:id="45"/>
      </w:r>
    </w:p>
    <w:p w14:paraId="3C8685DF" w14:textId="77777777" w:rsidR="004F4AEF" w:rsidRPr="00DE2580" w:rsidRDefault="004F4AEF" w:rsidP="004F4AEF">
      <w:pPr>
        <w:pStyle w:val="NormalWeb"/>
        <w:shd w:val="clear" w:color="auto" w:fill="FFFFFF"/>
        <w:tabs>
          <w:tab w:val="left" w:pos="360"/>
        </w:tabs>
        <w:spacing w:before="0" w:beforeAutospacing="0" w:after="0" w:afterAutospacing="0"/>
        <w:jc w:val="both"/>
        <w:rPr>
          <w:rFonts w:asciiTheme="majorHAnsi" w:hAnsiTheme="majorHAnsi"/>
          <w:sz w:val="20"/>
          <w:szCs w:val="20"/>
          <w:bdr w:val="none" w:sz="0" w:space="0" w:color="auto" w:frame="1"/>
        </w:rPr>
      </w:pPr>
    </w:p>
    <w:p w14:paraId="0FCA98E8" w14:textId="77777777" w:rsidR="004F4AEF" w:rsidRPr="00DE2580" w:rsidRDefault="004F4AEF" w:rsidP="004F4AEF">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sz w:val="20"/>
          <w:szCs w:val="20"/>
          <w:bdr w:val="none" w:sz="0" w:space="0" w:color="auto" w:frame="1"/>
        </w:rPr>
      </w:pPr>
      <w:r w:rsidRPr="00DE2580">
        <w:rPr>
          <w:rFonts w:ascii="Cambria" w:hAnsi="Cambria"/>
          <w:sz w:val="20"/>
          <w:szCs w:val="20"/>
        </w:rPr>
        <w:t>The IACHR has established that solitary confinement should only be used on an exceptional basis, for the shortest amount of time possible and only as a measure of last resort.</w:t>
      </w:r>
      <w:r w:rsidRPr="00DE2580">
        <w:rPr>
          <w:rStyle w:val="FootnoteReference"/>
          <w:rFonts w:asciiTheme="majorHAnsi" w:hAnsiTheme="majorHAnsi"/>
          <w:bCs/>
          <w:sz w:val="20"/>
          <w:szCs w:val="20"/>
        </w:rPr>
        <w:footnoteReference w:id="46"/>
      </w:r>
      <w:r w:rsidRPr="00DE2580">
        <w:rPr>
          <w:rStyle w:val="FootnoteReference"/>
          <w:rFonts w:asciiTheme="majorHAnsi" w:hAnsiTheme="majorHAnsi"/>
          <w:bCs/>
        </w:rPr>
        <w:t xml:space="preserve"> </w:t>
      </w:r>
      <w:r w:rsidRPr="00DE2580">
        <w:rPr>
          <w:rFonts w:ascii="Cambria" w:hAnsi="Cambria"/>
          <w:sz w:val="20"/>
          <w:szCs w:val="20"/>
        </w:rPr>
        <w:t>The Principles and Best Practices on the Protection of Persons Deprived of Liberty in the Americas underscore the exceptional nature of the practice of solitary confinement:</w:t>
      </w:r>
      <w:r w:rsidRPr="00DE2580">
        <w:rPr>
          <w:rFonts w:asciiTheme="majorHAnsi" w:hAnsiTheme="majorHAnsi"/>
          <w:sz w:val="20"/>
          <w:szCs w:val="20"/>
          <w:vertAlign w:val="superscript"/>
        </w:rPr>
        <w:footnoteReference w:id="47"/>
      </w:r>
      <w:r w:rsidRPr="00DE2580">
        <w:rPr>
          <w:rFonts w:ascii="Cambria" w:hAnsi="Cambria"/>
          <w:sz w:val="20"/>
          <w:szCs w:val="20"/>
        </w:rPr>
        <w:t xml:space="preserve"> </w:t>
      </w:r>
    </w:p>
    <w:p w14:paraId="6A58C09D" w14:textId="77777777" w:rsidR="004F4AEF" w:rsidRPr="00DE2580" w:rsidRDefault="004F4AEF" w:rsidP="004F4AEF">
      <w:pPr>
        <w:pBdr>
          <w:top w:val="none" w:sz="0" w:space="0" w:color="auto"/>
          <w:left w:val="none" w:sz="0" w:space="0" w:color="auto"/>
          <w:bottom w:val="none" w:sz="0" w:space="0" w:color="auto"/>
          <w:right w:val="none" w:sz="0" w:space="0" w:color="auto"/>
          <w:between w:val="none" w:sz="0" w:space="0" w:color="auto"/>
          <w:bar w:val="none" w:sz="0" w:color="auto"/>
        </w:pBdr>
        <w:jc w:val="both"/>
        <w:outlineLvl w:val="2"/>
        <w:rPr>
          <w:rFonts w:ascii="Cambria" w:eastAsia="Times New Roman" w:hAnsi="Cambria" w:cs="TimesNewRoman"/>
          <w:bCs/>
          <w:sz w:val="20"/>
          <w:szCs w:val="20"/>
          <w:bdr w:val="none" w:sz="0" w:space="0" w:color="auto"/>
        </w:rPr>
      </w:pPr>
    </w:p>
    <w:p w14:paraId="69E23A0C" w14:textId="77777777" w:rsidR="004F4AEF" w:rsidRPr="00DE2580" w:rsidRDefault="004F4AEF" w:rsidP="004F4AE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000"/>
        </w:tabs>
        <w:ind w:left="360" w:right="360"/>
        <w:jc w:val="both"/>
        <w:rPr>
          <w:rFonts w:asciiTheme="majorHAnsi" w:eastAsia="Times New Roman" w:hAnsiTheme="majorHAnsi" w:cs="TimesNewRoman"/>
          <w:b/>
          <w:sz w:val="18"/>
          <w:szCs w:val="18"/>
          <w:bdr w:val="none" w:sz="0" w:space="0" w:color="auto"/>
        </w:rPr>
      </w:pPr>
      <w:r w:rsidRPr="00DE2580">
        <w:rPr>
          <w:rFonts w:asciiTheme="majorHAnsi" w:eastAsia="Times New Roman" w:hAnsiTheme="majorHAnsi" w:cs="Tahoma"/>
          <w:sz w:val="18"/>
          <w:szCs w:val="18"/>
          <w:bdr w:val="none" w:sz="0" w:space="0" w:color="auto"/>
        </w:rPr>
        <w:t>Solitary confinement shall only be permitted as a disposition of last resort and for a strictly limited time, when it is evident that it is necessary to ensure legitimate interests relating to the institution’s internal security, and to protect fundamental rights, such as the right to life and integrity of persons deprived of liberty or the personnel.</w:t>
      </w:r>
    </w:p>
    <w:p w14:paraId="26D9D798" w14:textId="77777777" w:rsidR="004F4AEF" w:rsidRPr="00DE2580" w:rsidRDefault="004F4AEF" w:rsidP="004F4AEF">
      <w:pPr>
        <w:pBdr>
          <w:top w:val="none" w:sz="0" w:space="0" w:color="auto"/>
          <w:left w:val="none" w:sz="0" w:space="0" w:color="auto"/>
          <w:bottom w:val="none" w:sz="0" w:space="0" w:color="auto"/>
          <w:right w:val="none" w:sz="0" w:space="0" w:color="auto"/>
          <w:between w:val="none" w:sz="0" w:space="0" w:color="auto"/>
          <w:bar w:val="none" w:sz="0" w:color="auto"/>
        </w:pBdr>
        <w:jc w:val="both"/>
        <w:outlineLvl w:val="2"/>
        <w:rPr>
          <w:rFonts w:ascii="Cambria" w:eastAsia="Times New Roman" w:hAnsi="Cambria" w:cs="Arial"/>
          <w:bCs/>
          <w:sz w:val="20"/>
          <w:szCs w:val="20"/>
          <w:bdr w:val="none" w:sz="0" w:space="0" w:color="auto"/>
        </w:rPr>
      </w:pPr>
    </w:p>
    <w:p w14:paraId="0E30B804" w14:textId="77777777" w:rsidR="004F4AEF" w:rsidRPr="00DE2580" w:rsidRDefault="004F4AEF" w:rsidP="004F4AEF">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sz w:val="20"/>
          <w:szCs w:val="20"/>
          <w:bdr w:val="none" w:sz="0" w:space="0" w:color="auto" w:frame="1"/>
        </w:rPr>
      </w:pPr>
      <w:r w:rsidRPr="00DE2580">
        <w:rPr>
          <w:rFonts w:asciiTheme="majorHAnsi" w:hAnsiTheme="majorHAnsi"/>
          <w:sz w:val="20"/>
          <w:szCs w:val="20"/>
          <w:bdr w:val="none" w:sz="0" w:space="0" w:color="auto" w:frame="1"/>
        </w:rPr>
        <w:t>In assessing whether solitary confinement falls within the ambit of Article 3 (Prohibition of torture) in a particular case, the European Court of Human Rights will consider “the stringency of the measure, its duration, the objective pursued and its effects on the person concerned.”</w:t>
      </w:r>
      <w:r w:rsidRPr="00DE2580">
        <w:rPr>
          <w:rStyle w:val="FootnoteReference"/>
          <w:rFonts w:asciiTheme="majorHAnsi" w:hAnsiTheme="majorHAnsi"/>
          <w:bCs/>
          <w:sz w:val="20"/>
          <w:szCs w:val="20"/>
        </w:rPr>
        <w:footnoteReference w:id="48"/>
      </w:r>
      <w:r w:rsidRPr="00DE2580">
        <w:rPr>
          <w:rStyle w:val="FootnoteReference"/>
          <w:bCs/>
        </w:rPr>
        <w:t xml:space="preserve"> </w:t>
      </w:r>
      <w:r w:rsidRPr="00DE2580">
        <w:rPr>
          <w:rFonts w:asciiTheme="majorHAnsi" w:hAnsiTheme="majorHAnsi"/>
          <w:sz w:val="20"/>
          <w:szCs w:val="20"/>
          <w:bdr w:val="none" w:sz="0" w:space="0" w:color="auto" w:frame="1"/>
        </w:rPr>
        <w:t>At the same time, it has found that “where conditions of detention comply with the Convention and the detainee has contact with the outside world, through visits and contact with prison staff, the prohibition of contact with other prisoners will not breach Article 3 provided that the regime is proportional to the aim to be achieved, and the period of solitary detention is not excessive.”</w:t>
      </w:r>
      <w:r w:rsidRPr="00DE2580">
        <w:rPr>
          <w:rStyle w:val="FootnoteReference"/>
          <w:rFonts w:asciiTheme="majorHAnsi" w:hAnsiTheme="majorHAnsi"/>
          <w:bCs/>
          <w:sz w:val="20"/>
          <w:szCs w:val="20"/>
        </w:rPr>
        <w:footnoteReference w:id="49"/>
      </w:r>
      <w:r w:rsidRPr="00DE2580">
        <w:rPr>
          <w:rFonts w:asciiTheme="majorHAnsi" w:hAnsiTheme="majorHAnsi"/>
          <w:sz w:val="20"/>
          <w:szCs w:val="20"/>
          <w:bdr w:val="none" w:sz="0" w:space="0" w:color="auto" w:frame="1"/>
        </w:rPr>
        <w:t xml:space="preserve"> </w:t>
      </w:r>
      <w:r w:rsidRPr="00DE2580">
        <w:rPr>
          <w:rFonts w:ascii="Cambria" w:hAnsi="Cambria"/>
          <w:bCs/>
          <w:sz w:val="20"/>
          <w:szCs w:val="20"/>
        </w:rPr>
        <w:t xml:space="preserve">Similarly, the </w:t>
      </w:r>
      <w:r w:rsidRPr="00DE2580">
        <w:rPr>
          <w:rFonts w:ascii="Cambria" w:hAnsi="Cambria"/>
          <w:sz w:val="20"/>
          <w:szCs w:val="20"/>
        </w:rPr>
        <w:t>United Nations Human Rights Committee has concluded that solitary confinement is justifiable only in case of urgent need, in exceptional circumstances and for limited periods of time.</w:t>
      </w:r>
      <w:r w:rsidRPr="00DE2580">
        <w:rPr>
          <w:rStyle w:val="FootnoteReference"/>
          <w:rFonts w:asciiTheme="majorHAnsi" w:hAnsiTheme="majorHAnsi"/>
          <w:bCs/>
          <w:sz w:val="20"/>
          <w:szCs w:val="20"/>
        </w:rPr>
        <w:footnoteReference w:id="50"/>
      </w:r>
    </w:p>
    <w:p w14:paraId="7E10241A" w14:textId="77777777" w:rsidR="004F4AEF" w:rsidRPr="00DE2580" w:rsidRDefault="004F4AEF" w:rsidP="004F4AEF">
      <w:pPr>
        <w:pStyle w:val="NormalWeb"/>
        <w:shd w:val="clear" w:color="auto" w:fill="FFFFFF"/>
        <w:tabs>
          <w:tab w:val="left" w:pos="360"/>
        </w:tabs>
        <w:spacing w:before="0" w:beforeAutospacing="0" w:after="0" w:afterAutospacing="0"/>
        <w:jc w:val="both"/>
        <w:rPr>
          <w:rFonts w:asciiTheme="majorHAnsi" w:hAnsiTheme="majorHAnsi"/>
          <w:sz w:val="20"/>
          <w:szCs w:val="20"/>
          <w:bdr w:val="none" w:sz="0" w:space="0" w:color="auto" w:frame="1"/>
        </w:rPr>
      </w:pPr>
    </w:p>
    <w:p w14:paraId="4C45F18E" w14:textId="77777777" w:rsidR="004F4AEF" w:rsidRPr="00DE2580" w:rsidRDefault="004F4AEF" w:rsidP="004F4AEF">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sz w:val="20"/>
          <w:szCs w:val="20"/>
          <w:bdr w:val="none" w:sz="0" w:space="0" w:color="auto" w:frame="1"/>
        </w:rPr>
      </w:pPr>
      <w:r w:rsidRPr="00DE2580">
        <w:rPr>
          <w:rFonts w:ascii="Cambria" w:hAnsi="Cambria"/>
          <w:sz w:val="20"/>
          <w:szCs w:val="20"/>
        </w:rPr>
        <w:t>On October 18, 2011, the U.N. Special Rapporteur on torture and other cruel, inhuman or degrading treatment or punishment called for the prohibition of indefinite solitary confinement and prolonged solitary confinement, which he defined as for any period in excess of 15 days.</w:t>
      </w:r>
      <w:r w:rsidRPr="00DE2580">
        <w:rPr>
          <w:rStyle w:val="FootnoteReference"/>
          <w:rFonts w:asciiTheme="majorHAnsi" w:hAnsiTheme="majorHAnsi"/>
          <w:bCs/>
          <w:sz w:val="20"/>
          <w:szCs w:val="20"/>
        </w:rPr>
        <w:footnoteReference w:id="51"/>
      </w:r>
      <w:r w:rsidRPr="00DE2580">
        <w:rPr>
          <w:rStyle w:val="FootnoteReference"/>
          <w:rFonts w:asciiTheme="majorHAnsi" w:hAnsiTheme="majorHAnsi"/>
          <w:bCs/>
        </w:rPr>
        <w:t xml:space="preserve">  </w:t>
      </w:r>
      <w:r w:rsidRPr="00DE2580">
        <w:rPr>
          <w:rFonts w:ascii="Cambria" w:hAnsi="Cambria"/>
          <w:sz w:val="20"/>
          <w:szCs w:val="20"/>
        </w:rPr>
        <w:t xml:space="preserve">The Special Rapporteur concluded that 15 days </w:t>
      </w:r>
      <w:r w:rsidRPr="00DE2580">
        <w:rPr>
          <w:rFonts w:ascii="Cambria" w:hAnsi="Cambria" w:cs="TimesNewRoman"/>
          <w:sz w:val="20"/>
          <w:szCs w:val="20"/>
        </w:rPr>
        <w:t>“is the limit between ‘solitary confinement’ and ‘prolonged solitary confinement’ because at that point, according to the literature surveyed, some of the harmful psychological effects of isolation can become irreversible.” The U.N. Special Rapporteur also observed that “even a few days of solitary confinement will shift an individual’s brain activity towards an abnormal pattern characteristic of stupor and delirium.”</w:t>
      </w:r>
      <w:r w:rsidRPr="00DE2580">
        <w:rPr>
          <w:rStyle w:val="FootnoteReference"/>
          <w:rFonts w:asciiTheme="majorHAnsi" w:hAnsiTheme="majorHAnsi"/>
          <w:bCs/>
          <w:sz w:val="20"/>
          <w:szCs w:val="20"/>
        </w:rPr>
        <w:footnoteReference w:id="52"/>
      </w:r>
      <w:r w:rsidRPr="00DE2580">
        <w:rPr>
          <w:rStyle w:val="FootnoteReference"/>
          <w:rFonts w:asciiTheme="majorHAnsi" w:hAnsiTheme="majorHAnsi"/>
          <w:bCs/>
        </w:rPr>
        <w:t xml:space="preserve"> </w:t>
      </w:r>
      <w:r w:rsidRPr="00DE2580">
        <w:rPr>
          <w:rFonts w:ascii="Cambria" w:hAnsi="Cambria" w:cs="TimesNewRoman"/>
          <w:sz w:val="20"/>
          <w:szCs w:val="20"/>
        </w:rPr>
        <w:t>Also, the Rapporteur has stated that, consistent with human rights standards, “no prisoner, including those serving life sentence and prisoners on death row, shall be held in solitary confinement merely because of the gravity of the crime.”</w:t>
      </w:r>
      <w:r w:rsidRPr="00DE2580">
        <w:rPr>
          <w:rStyle w:val="FootnoteReference"/>
          <w:rFonts w:asciiTheme="majorHAnsi" w:hAnsiTheme="majorHAnsi"/>
          <w:bCs/>
          <w:sz w:val="20"/>
          <w:szCs w:val="20"/>
        </w:rPr>
        <w:footnoteReference w:id="53"/>
      </w:r>
    </w:p>
    <w:p w14:paraId="3250B505" w14:textId="77777777" w:rsidR="004F4AEF" w:rsidRPr="00DE2580" w:rsidRDefault="004F4AEF" w:rsidP="004F4AEF">
      <w:pPr>
        <w:pStyle w:val="ListParagraph"/>
        <w:rPr>
          <w:sz w:val="20"/>
          <w:szCs w:val="20"/>
        </w:rPr>
      </w:pPr>
    </w:p>
    <w:p w14:paraId="5D3D51E3" w14:textId="77777777" w:rsidR="004F4AEF" w:rsidRPr="00DE2580" w:rsidRDefault="004F4AEF" w:rsidP="004F4AEF">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sz w:val="20"/>
          <w:szCs w:val="20"/>
          <w:bdr w:val="none" w:sz="0" w:space="0" w:color="auto" w:frame="1"/>
        </w:rPr>
      </w:pPr>
      <w:r w:rsidRPr="00DE2580">
        <w:rPr>
          <w:rFonts w:ascii="Cambria" w:hAnsi="Cambria"/>
          <w:sz w:val="20"/>
          <w:szCs w:val="20"/>
        </w:rPr>
        <w:t xml:space="preserve">With regard to the cell size, the U.N. Special Rapporteur indicates that, while there is no universal instrument that specifies a minimum acceptable size, domestic and regional jurisdictions have sometimes ruled on the matter. According to the European Court of Human Rights in Ramírez Sanchez v. France, a cell measuring 6.84 square meters (73.6 square feet) is “large enough” for single occupancy.  However, the Special Rapporteur </w:t>
      </w:r>
      <w:r w:rsidRPr="00DE2580">
        <w:rPr>
          <w:rFonts w:ascii="Cambria" w:hAnsi="Cambria"/>
          <w:sz w:val="20"/>
          <w:szCs w:val="20"/>
        </w:rPr>
        <w:lastRenderedPageBreak/>
        <w:t>disagrees, “especially if the single cell should also contain, at a minimum, toilet and washing facilities, bedding and a desk”.</w:t>
      </w:r>
      <w:r w:rsidRPr="00DE2580">
        <w:rPr>
          <w:rStyle w:val="FootnoteReference"/>
          <w:rFonts w:asciiTheme="majorHAnsi" w:hAnsiTheme="majorHAnsi"/>
          <w:bCs/>
          <w:sz w:val="20"/>
          <w:szCs w:val="20"/>
        </w:rPr>
        <w:footnoteReference w:id="54"/>
      </w:r>
    </w:p>
    <w:p w14:paraId="147B5FD6" w14:textId="77777777" w:rsidR="004F4AEF" w:rsidRPr="00DE2580" w:rsidRDefault="004F4AEF" w:rsidP="004F4AEF">
      <w:pPr>
        <w:pStyle w:val="ListParagraph"/>
        <w:rPr>
          <w:sz w:val="20"/>
          <w:szCs w:val="20"/>
        </w:rPr>
      </w:pPr>
    </w:p>
    <w:p w14:paraId="5C185D92" w14:textId="77777777" w:rsidR="004F4AEF" w:rsidRPr="00DE2580" w:rsidRDefault="004F4AEF" w:rsidP="004F4AEF">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sz w:val="20"/>
          <w:szCs w:val="20"/>
          <w:bdr w:val="none" w:sz="0" w:space="0" w:color="auto" w:frame="1"/>
        </w:rPr>
      </w:pPr>
      <w:r w:rsidRPr="00DE2580">
        <w:rPr>
          <w:rFonts w:ascii="Cambria" w:hAnsi="Cambria"/>
          <w:sz w:val="20"/>
          <w:szCs w:val="20"/>
        </w:rPr>
        <w:t>Solitary confinement can have serious psychological effects, ranging from depression to paranoia and psychosis, as well as physiological effects such as cardiovascular problems and profound fatigue.</w:t>
      </w:r>
      <w:r w:rsidRPr="00DE2580">
        <w:rPr>
          <w:rStyle w:val="FootnoteReference"/>
          <w:rFonts w:asciiTheme="majorHAnsi" w:hAnsiTheme="majorHAnsi"/>
          <w:bCs/>
          <w:sz w:val="20"/>
          <w:szCs w:val="20"/>
        </w:rPr>
        <w:footnoteReference w:id="55"/>
      </w:r>
      <w:r w:rsidRPr="00DE2580">
        <w:rPr>
          <w:rStyle w:val="FootnoteReference"/>
          <w:rFonts w:asciiTheme="majorHAnsi" w:hAnsiTheme="majorHAnsi"/>
          <w:bCs/>
        </w:rPr>
        <w:t xml:space="preserve"> </w:t>
      </w:r>
      <w:r w:rsidRPr="00DE2580">
        <w:rPr>
          <w:rFonts w:ascii="Cambria" w:hAnsi="Cambria"/>
          <w:sz w:val="20"/>
          <w:szCs w:val="20"/>
        </w:rPr>
        <w:t>The European Court has held that protracted sensory isolation, coupled with social isolation, can destroy the personality and constitutes a form of inhuman treatment.</w:t>
      </w:r>
      <w:r w:rsidRPr="00DE2580">
        <w:rPr>
          <w:rStyle w:val="FootnoteReference"/>
          <w:rFonts w:asciiTheme="majorHAnsi" w:hAnsiTheme="majorHAnsi"/>
          <w:bCs/>
          <w:sz w:val="20"/>
          <w:szCs w:val="20"/>
        </w:rPr>
        <w:footnoteReference w:id="56"/>
      </w:r>
      <w:r w:rsidRPr="00DE2580">
        <w:rPr>
          <w:rFonts w:ascii="Cambria" w:hAnsi="Cambria"/>
          <w:sz w:val="20"/>
          <w:szCs w:val="20"/>
        </w:rPr>
        <w:t xml:space="preserve"> The United Nations Human Rights Committee has expressed its concern over the practice in some maximum security prisons in the United States “to hold detainees in prolonged cellular confinement, and to allow them out-of-cell recreation for only five hours per week, in general conditions of strict regimentation in a depersonalized environment.”</w:t>
      </w:r>
      <w:r w:rsidRPr="00DE2580">
        <w:rPr>
          <w:rStyle w:val="FootnoteReference"/>
          <w:rFonts w:asciiTheme="majorHAnsi" w:hAnsiTheme="majorHAnsi"/>
          <w:sz w:val="20"/>
          <w:szCs w:val="20"/>
        </w:rPr>
        <w:footnoteReference w:id="57"/>
      </w:r>
      <w:r w:rsidRPr="00DE2580">
        <w:rPr>
          <w:rStyle w:val="FootnoteReference"/>
          <w:rFonts w:asciiTheme="majorHAnsi" w:hAnsiTheme="majorHAnsi"/>
        </w:rPr>
        <w:t xml:space="preserve"> </w:t>
      </w:r>
      <w:r w:rsidRPr="00DE2580">
        <w:rPr>
          <w:rFonts w:ascii="Cambria" w:hAnsi="Cambria"/>
          <w:sz w:val="20"/>
          <w:szCs w:val="20"/>
        </w:rPr>
        <w:t>For its part, in a death penalty case in which the victims were held in solitary confinement for protracted periods, the Inter-American Commission established that the State failed to ensure respect for the inherent dignity of the human person, regardless of the circumstance, and the right not to be subjected to cruel, inhuman or degrading treatment or punishment.</w:t>
      </w:r>
      <w:r w:rsidRPr="00DE2580">
        <w:rPr>
          <w:rStyle w:val="FootnoteReference"/>
          <w:rFonts w:asciiTheme="majorHAnsi" w:hAnsiTheme="majorHAnsi"/>
          <w:sz w:val="20"/>
          <w:szCs w:val="20"/>
        </w:rPr>
        <w:footnoteReference w:id="58"/>
      </w:r>
    </w:p>
    <w:p w14:paraId="2DCA9929" w14:textId="77777777" w:rsidR="004F4AEF" w:rsidRPr="00DE2580" w:rsidRDefault="004F4AEF" w:rsidP="004F4AEF">
      <w:pPr>
        <w:pStyle w:val="NormalWeb"/>
        <w:shd w:val="clear" w:color="auto" w:fill="FFFFFF"/>
        <w:tabs>
          <w:tab w:val="left" w:pos="360"/>
        </w:tabs>
        <w:spacing w:before="0" w:beforeAutospacing="0" w:after="0" w:afterAutospacing="0"/>
        <w:jc w:val="both"/>
        <w:rPr>
          <w:rFonts w:asciiTheme="majorHAnsi" w:hAnsiTheme="majorHAnsi"/>
          <w:sz w:val="20"/>
          <w:szCs w:val="20"/>
          <w:bdr w:val="none" w:sz="0" w:space="0" w:color="auto" w:frame="1"/>
        </w:rPr>
      </w:pPr>
    </w:p>
    <w:p w14:paraId="50627BAE" w14:textId="77777777" w:rsidR="004F4AEF" w:rsidRPr="00DE2580" w:rsidRDefault="004F4AEF" w:rsidP="004F4AEF">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sz w:val="20"/>
          <w:szCs w:val="20"/>
          <w:bdr w:val="none" w:sz="0" w:space="0" w:color="auto" w:frame="1"/>
        </w:rPr>
      </w:pPr>
      <w:r w:rsidRPr="00DE2580">
        <w:rPr>
          <w:rFonts w:ascii="Cambria" w:hAnsi="Cambria"/>
          <w:sz w:val="20"/>
          <w:szCs w:val="20"/>
        </w:rPr>
        <w:t>The Inter-American Commission reaffirms that all persons deprived of liberty must receive humane treatment, commensurate with respect for their inherent dignity.  This means that the conditions of imprisonment of persons sentenced to death must meet the same international norms and standards that apply in general to persons deprived of liberty.  In this regard, the duties of the State to respect and ensure the right to humane treatment of all persons under its jurisdiction apply regardless of the nature of the conduct for which the person in question has been deprived of his liberty.</w:t>
      </w:r>
      <w:r w:rsidRPr="00DE2580">
        <w:rPr>
          <w:rStyle w:val="FootnoteReference"/>
          <w:rFonts w:asciiTheme="majorHAnsi" w:hAnsiTheme="majorHAnsi"/>
          <w:sz w:val="20"/>
          <w:szCs w:val="20"/>
        </w:rPr>
        <w:footnoteReference w:id="59"/>
      </w:r>
    </w:p>
    <w:p w14:paraId="6D2FAE7B" w14:textId="77777777" w:rsidR="004F4AEF" w:rsidRPr="00DE2580" w:rsidRDefault="004F4AEF" w:rsidP="004F4AEF">
      <w:pPr>
        <w:pStyle w:val="ListParagraph"/>
        <w:rPr>
          <w:rFonts w:asciiTheme="majorHAnsi" w:hAnsiTheme="majorHAnsi"/>
          <w:sz w:val="20"/>
          <w:szCs w:val="20"/>
          <w:bdr w:val="none" w:sz="0" w:space="0" w:color="auto" w:frame="1"/>
        </w:rPr>
      </w:pPr>
    </w:p>
    <w:p w14:paraId="59459094" w14:textId="77777777" w:rsidR="004F4AEF" w:rsidRPr="00DE2580" w:rsidRDefault="004F4AEF" w:rsidP="004F4AEF">
      <w:pPr>
        <w:pStyle w:val="NormalWeb"/>
        <w:numPr>
          <w:ilvl w:val="0"/>
          <w:numId w:val="55"/>
        </w:numPr>
        <w:shd w:val="clear" w:color="auto" w:fill="FFFFFF"/>
        <w:tabs>
          <w:tab w:val="left" w:pos="0"/>
          <w:tab w:val="left" w:pos="360"/>
          <w:tab w:val="left" w:pos="630"/>
          <w:tab w:val="left" w:pos="720"/>
          <w:tab w:val="left" w:pos="1440"/>
        </w:tabs>
        <w:suppressAutoHyphens/>
        <w:spacing w:before="0" w:beforeAutospacing="0" w:after="0" w:afterAutospacing="0"/>
        <w:ind w:left="0" w:firstLine="0"/>
        <w:jc w:val="both"/>
        <w:rPr>
          <w:rFonts w:asciiTheme="majorHAnsi" w:hAnsiTheme="majorHAnsi"/>
          <w:sz w:val="20"/>
          <w:szCs w:val="20"/>
        </w:rPr>
      </w:pPr>
      <w:r w:rsidRPr="00DE2580">
        <w:rPr>
          <w:rFonts w:asciiTheme="majorHAnsi" w:hAnsiTheme="majorHAnsi"/>
          <w:sz w:val="20"/>
          <w:szCs w:val="20"/>
          <w:bdr w:val="none" w:sz="0" w:space="0" w:color="auto" w:frame="1"/>
        </w:rPr>
        <w:t xml:space="preserve">According to several affidavits signed by inmates and employees working at the institutions in which Mr. Housel was incarcerated, during pre-trial detention </w:t>
      </w:r>
      <w:r w:rsidRPr="00DE2580">
        <w:rPr>
          <w:rFonts w:asciiTheme="majorHAnsi" w:hAnsiTheme="majorHAnsi"/>
          <w:sz w:val="20"/>
        </w:rPr>
        <w:t>Mr. Housel’s was incarcerated in “rigid solitary confinement” in a cellblock</w:t>
      </w:r>
      <w:r w:rsidRPr="00DE2580">
        <w:rPr>
          <w:rFonts w:asciiTheme="majorHAnsi" w:hAnsiTheme="majorHAnsi"/>
          <w:sz w:val="20"/>
          <w:szCs w:val="20"/>
        </w:rPr>
        <w:t xml:space="preserve"> called “the hole.” This information indicates that he was detained for at least the first eight weeks in a very small cell with no sunlight; during which he was not allowed to have contact with the outside, to shower, to exercise or to breathe fresh, outdoor air. Mr. Housel’s inmates indicated that they frequently heard Mr. Housel screaming, kicking his cell door, and making hysterical noises. However, according to the inmates, no medical personnel ever examined him. </w:t>
      </w:r>
    </w:p>
    <w:p w14:paraId="5CC86D2F" w14:textId="77777777" w:rsidR="004F4AEF" w:rsidRPr="00DE2580" w:rsidRDefault="004F4AEF" w:rsidP="004F4AEF">
      <w:pPr>
        <w:pStyle w:val="ListParagraph"/>
        <w:rPr>
          <w:rFonts w:asciiTheme="majorHAnsi" w:hAnsiTheme="majorHAnsi"/>
          <w:sz w:val="20"/>
          <w:szCs w:val="20"/>
        </w:rPr>
      </w:pPr>
    </w:p>
    <w:p w14:paraId="101181BD" w14:textId="77777777" w:rsidR="004F4AEF" w:rsidRPr="00DE2580" w:rsidRDefault="004F4AEF" w:rsidP="004F4AEF">
      <w:pPr>
        <w:pStyle w:val="NormalWeb"/>
        <w:numPr>
          <w:ilvl w:val="0"/>
          <w:numId w:val="55"/>
        </w:numPr>
        <w:shd w:val="clear" w:color="auto" w:fill="FFFFFF"/>
        <w:tabs>
          <w:tab w:val="left" w:pos="0"/>
          <w:tab w:val="left" w:pos="360"/>
          <w:tab w:val="left" w:pos="630"/>
          <w:tab w:val="left" w:pos="720"/>
          <w:tab w:val="left" w:pos="1440"/>
        </w:tabs>
        <w:suppressAutoHyphens/>
        <w:spacing w:before="0" w:beforeAutospacing="0" w:after="0" w:afterAutospacing="0"/>
        <w:ind w:left="0" w:firstLine="0"/>
        <w:jc w:val="both"/>
        <w:rPr>
          <w:rFonts w:asciiTheme="majorHAnsi" w:hAnsiTheme="majorHAnsi"/>
          <w:sz w:val="20"/>
          <w:szCs w:val="20"/>
        </w:rPr>
      </w:pPr>
      <w:r w:rsidRPr="00DE2580">
        <w:rPr>
          <w:rFonts w:asciiTheme="majorHAnsi" w:hAnsiTheme="majorHAnsi"/>
          <w:sz w:val="20"/>
          <w:szCs w:val="20"/>
        </w:rPr>
        <w:t xml:space="preserve">The Commission notes that, according to the State, domestic courts considered that these affidavits lacked proper foundation and amounted to suspect testimony. The IACHR notes in this regard that the affidavits were signed not only by inmates but also by employees working at the jail. Further, that the jail in which Mr. Housel spent pre-trial detention was the subject of a federal lawsuit on living conditions. The Commission also notes that, in its response to the petition, the State admits that Mr. Housel was kept in solitary confinement during the majority of his pre-trial incarceration. The record before the Commission also shows that in </w:t>
      </w:r>
      <w:r w:rsidRPr="00DE2580">
        <w:rPr>
          <w:rFonts w:asciiTheme="majorHAnsi" w:hAnsiTheme="majorHAnsi"/>
          <w:sz w:val="20"/>
          <w:szCs w:val="20"/>
          <w:lang w:val="en-GB"/>
        </w:rPr>
        <w:t xml:space="preserve">late </w:t>
      </w:r>
      <w:r w:rsidRPr="00DE2580">
        <w:rPr>
          <w:rFonts w:asciiTheme="majorHAnsi" w:hAnsiTheme="majorHAnsi"/>
          <w:sz w:val="20"/>
          <w:szCs w:val="20"/>
        </w:rPr>
        <w:t xml:space="preserve">June, 1985, </w:t>
      </w:r>
      <w:r w:rsidRPr="00DE2580">
        <w:rPr>
          <w:rFonts w:asciiTheme="majorHAnsi" w:hAnsiTheme="majorHAnsi"/>
          <w:sz w:val="20"/>
          <w:szCs w:val="20"/>
          <w:lang w:val="en-GB"/>
        </w:rPr>
        <w:t>Mr.</w:t>
      </w:r>
      <w:r w:rsidRPr="00DE2580">
        <w:rPr>
          <w:rFonts w:asciiTheme="majorHAnsi" w:hAnsiTheme="majorHAnsi"/>
          <w:sz w:val="20"/>
          <w:szCs w:val="20"/>
        </w:rPr>
        <w:t xml:space="preserve"> Housel was transferred to Douglas County Jail for approximately 20 days and upon his return, he was placed in solitary confinement with “ameliorated” conditions due to a consent order. </w:t>
      </w:r>
    </w:p>
    <w:p w14:paraId="0AAAE516" w14:textId="77777777" w:rsidR="004F4AEF" w:rsidRPr="00DE2580" w:rsidRDefault="004F4AEF" w:rsidP="004F4AEF">
      <w:pPr>
        <w:pStyle w:val="ListParagraph"/>
        <w:rPr>
          <w:rFonts w:asciiTheme="majorHAnsi" w:hAnsiTheme="majorHAnsi"/>
          <w:sz w:val="20"/>
          <w:szCs w:val="20"/>
        </w:rPr>
      </w:pPr>
    </w:p>
    <w:p w14:paraId="2D4D0DFA" w14:textId="2655BB6E" w:rsidR="004F4AEF" w:rsidRPr="00DE2580" w:rsidRDefault="004F4AEF" w:rsidP="004F4AEF">
      <w:pPr>
        <w:pStyle w:val="NormalWeb"/>
        <w:numPr>
          <w:ilvl w:val="0"/>
          <w:numId w:val="55"/>
        </w:numPr>
        <w:shd w:val="clear" w:color="auto" w:fill="FFFFFF"/>
        <w:tabs>
          <w:tab w:val="left" w:pos="0"/>
          <w:tab w:val="left" w:pos="360"/>
          <w:tab w:val="left" w:pos="630"/>
          <w:tab w:val="left" w:pos="1440"/>
        </w:tabs>
        <w:suppressAutoHyphens/>
        <w:spacing w:before="0" w:beforeAutospacing="0" w:after="0" w:afterAutospacing="0"/>
        <w:ind w:left="0" w:firstLine="0"/>
        <w:jc w:val="both"/>
        <w:rPr>
          <w:rFonts w:asciiTheme="majorHAnsi" w:hAnsiTheme="majorHAnsi"/>
          <w:sz w:val="20"/>
          <w:szCs w:val="20"/>
        </w:rPr>
      </w:pPr>
      <w:r w:rsidRPr="00DE2580">
        <w:rPr>
          <w:rFonts w:ascii="Cambria" w:hAnsi="Cambria"/>
          <w:sz w:val="20"/>
          <w:szCs w:val="20"/>
        </w:rPr>
        <w:t xml:space="preserve">Therefore, based on the information available, the IACHR considers that the conditions in which Mr. Housel was incarcerated during pre-trial detention, the lack of adequate medical care, as well as the prolonged solitary confinement to which he was subjected, constituted inhumane treatment, a cruel, infamous and unusual punishment, and an infringement to his right to health, in violation of Articles XI, XXV and XXVI of the American Declaration. </w:t>
      </w:r>
    </w:p>
    <w:p w14:paraId="6420D5F2" w14:textId="77777777" w:rsidR="00A04BB7" w:rsidRPr="00DE2580" w:rsidRDefault="00402332" w:rsidP="00C65357">
      <w:pPr>
        <w:pStyle w:val="Heading2"/>
        <w:numPr>
          <w:ilvl w:val="0"/>
          <w:numId w:val="65"/>
        </w:numPr>
        <w:ind w:left="360"/>
        <w:rPr>
          <w:rFonts w:eastAsia="Arial Unicode MS"/>
          <w:b w:val="0"/>
          <w:color w:val="auto"/>
          <w:sz w:val="20"/>
          <w:szCs w:val="20"/>
          <w:lang w:val="es-ES"/>
        </w:rPr>
      </w:pPr>
      <w:bookmarkStart w:id="21" w:name="_Toc150529034"/>
      <w:r w:rsidRPr="00DE2580">
        <w:rPr>
          <w:rFonts w:eastAsia="Arial Unicode MS"/>
          <w:color w:val="auto"/>
          <w:sz w:val="20"/>
          <w:szCs w:val="20"/>
          <w:lang w:val="es-ES"/>
        </w:rPr>
        <w:lastRenderedPageBreak/>
        <w:t>Death row confinement conditions</w:t>
      </w:r>
      <w:bookmarkEnd w:id="21"/>
      <w:r w:rsidR="0095229E" w:rsidRPr="00DE2580">
        <w:rPr>
          <w:rFonts w:eastAsia="Arial Unicode MS"/>
          <w:color w:val="auto"/>
          <w:sz w:val="20"/>
          <w:szCs w:val="20"/>
          <w:lang w:val="es-ES"/>
        </w:rPr>
        <w:t xml:space="preserve"> </w:t>
      </w:r>
    </w:p>
    <w:p w14:paraId="5ABC9CF3" w14:textId="77777777" w:rsidR="00A04BB7" w:rsidRPr="00DE2580" w:rsidRDefault="00A04BB7" w:rsidP="004B2F7D">
      <w:pPr>
        <w:rPr>
          <w:rFonts w:asciiTheme="majorHAnsi" w:hAnsiTheme="majorHAnsi"/>
          <w:sz w:val="20"/>
          <w:szCs w:val="20"/>
          <w:lang w:val="es-ES"/>
        </w:rPr>
      </w:pPr>
    </w:p>
    <w:p w14:paraId="10DDEFAC" w14:textId="77777777" w:rsidR="00E76AE8" w:rsidRPr="00DE2580" w:rsidRDefault="00E76AE8" w:rsidP="009011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DE2580">
        <w:rPr>
          <w:rFonts w:ascii="Cambria" w:hAnsi="Cambria" w:cs="Arial"/>
          <w:sz w:val="20"/>
          <w:szCs w:val="20"/>
        </w:rPr>
        <w:t>T</w:t>
      </w:r>
      <w:r w:rsidRPr="00DE2580">
        <w:rPr>
          <w:rFonts w:ascii="Cambria" w:hAnsi="Cambria"/>
          <w:sz w:val="20"/>
        </w:rPr>
        <w:t xml:space="preserve">he Commission takes note  of the concept of the </w:t>
      </w:r>
      <w:r w:rsidRPr="00DE2580">
        <w:rPr>
          <w:rFonts w:ascii="Cambria" w:hAnsi="Cambria"/>
          <w:i/>
          <w:sz w:val="20"/>
        </w:rPr>
        <w:t>death row phenomenon</w:t>
      </w:r>
      <w:r w:rsidRPr="00DE2580">
        <w:rPr>
          <w:rFonts w:ascii="Cambria" w:hAnsi="Cambria"/>
          <w:sz w:val="20"/>
        </w:rPr>
        <w:t xml:space="preserve"> of the United Nations Special Rapporteur on torture and other cruel, inhuman or degrading treatment or punishment that: </w:t>
      </w:r>
    </w:p>
    <w:p w14:paraId="2D404159" w14:textId="77777777" w:rsidR="00E76AE8" w:rsidRPr="00DE2580" w:rsidRDefault="00E76AE8" w:rsidP="00E76AE8">
      <w:pPr>
        <w:pStyle w:val="ListParagraph"/>
        <w:rPr>
          <w:sz w:val="20"/>
          <w:szCs w:val="20"/>
        </w:rPr>
      </w:pPr>
    </w:p>
    <w:p w14:paraId="1517BF16" w14:textId="77777777" w:rsidR="00E76AE8" w:rsidRPr="00DE2580" w:rsidRDefault="00E76AE8" w:rsidP="009011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9000"/>
        </w:tabs>
        <w:suppressAutoHyphens/>
        <w:ind w:left="360" w:right="360"/>
        <w:jc w:val="both"/>
        <w:rPr>
          <w:rFonts w:ascii="Cambria" w:hAnsi="Cambria"/>
          <w:sz w:val="18"/>
          <w:szCs w:val="18"/>
        </w:rPr>
      </w:pPr>
      <w:r w:rsidRPr="00DE2580">
        <w:rPr>
          <w:rFonts w:ascii="Cambria" w:hAnsi="Cambria"/>
          <w:sz w:val="18"/>
          <w:szCs w:val="18"/>
        </w:rPr>
        <w:t>(…) it consists of a combination of circumstances that produce severe mental trauma and physical deterioration in prisoners under sentence of death.</w:t>
      </w:r>
      <w:r w:rsidRPr="00DE2580">
        <w:rPr>
          <w:rFonts w:ascii="Cambria" w:hAnsi="Cambria"/>
          <w:sz w:val="18"/>
          <w:szCs w:val="18"/>
          <w:vertAlign w:val="superscript"/>
        </w:rPr>
        <w:footnoteReference w:id="60"/>
      </w:r>
      <w:r w:rsidRPr="00DE2580">
        <w:rPr>
          <w:rFonts w:ascii="Cambria" w:hAnsi="Cambria"/>
          <w:sz w:val="18"/>
          <w:szCs w:val="18"/>
        </w:rPr>
        <w:t xml:space="preserve"> Those circumstances include the lengthy and anxiety-ridden wait for uncertain outcomes, isolation, drastically reduced human contact and even the physical conditions in which some inmates are held. Death row conditions are often worse than those for the rest of the prison population, and prisoners on death row are denied many basic human necessities.</w:t>
      </w:r>
      <w:r w:rsidRPr="00DE2580">
        <w:rPr>
          <w:rFonts w:ascii="Cambria" w:hAnsi="Cambria"/>
          <w:sz w:val="18"/>
          <w:szCs w:val="18"/>
          <w:vertAlign w:val="superscript"/>
        </w:rPr>
        <w:footnoteReference w:id="61"/>
      </w:r>
    </w:p>
    <w:p w14:paraId="4B0A7AF8" w14:textId="77777777" w:rsidR="00E76AE8" w:rsidRPr="00DE2580" w:rsidRDefault="00E76AE8" w:rsidP="00E76A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ind w:right="720"/>
        <w:jc w:val="both"/>
        <w:rPr>
          <w:rFonts w:ascii="Cambria" w:hAnsi="Cambria"/>
          <w:bCs/>
          <w:sz w:val="20"/>
          <w:szCs w:val="20"/>
        </w:rPr>
      </w:pPr>
    </w:p>
    <w:p w14:paraId="6C1C5CF9" w14:textId="77777777" w:rsidR="00E76AE8" w:rsidRPr="00DE2580" w:rsidRDefault="00E76AE8" w:rsidP="009011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Style w:val="sb8d990e2"/>
        </w:rPr>
      </w:pPr>
      <w:r w:rsidRPr="00DE2580">
        <w:rPr>
          <w:rFonts w:ascii="Cambria" w:hAnsi="Cambria"/>
          <w:sz w:val="20"/>
        </w:rPr>
        <w:t xml:space="preserve">In the case of </w:t>
      </w:r>
      <w:r w:rsidRPr="00DE2580">
        <w:rPr>
          <w:rFonts w:ascii="Cambria" w:hAnsi="Cambria"/>
          <w:i/>
          <w:sz w:val="20"/>
        </w:rPr>
        <w:t xml:space="preserve">Soering vs.  The United Kingdom, </w:t>
      </w:r>
      <w:r w:rsidRPr="00DE2580">
        <w:rPr>
          <w:rFonts w:ascii="Cambria" w:hAnsi="Cambria"/>
          <w:sz w:val="20"/>
        </w:rPr>
        <w:t xml:space="preserve">the European Court of Human Rights, in its interpretation of the norm banning cruel, inhuman, and unusual punishment and in reference to </w:t>
      </w:r>
      <w:r w:rsidRPr="00DE2580">
        <w:rPr>
          <w:rStyle w:val="sb8d990e2"/>
          <w:rFonts w:ascii="Cambria" w:hAnsi="Cambria"/>
          <w:sz w:val="20"/>
        </w:rPr>
        <w:t xml:space="preserve">the death penalty, pointed out that: </w:t>
      </w:r>
    </w:p>
    <w:p w14:paraId="1727B758" w14:textId="77777777" w:rsidR="00E76AE8" w:rsidRPr="00DE2580" w:rsidRDefault="00E76AE8" w:rsidP="00E76A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ind w:left="1500"/>
        <w:jc w:val="both"/>
        <w:rPr>
          <w:rStyle w:val="sb8d990e2"/>
          <w:rFonts w:asciiTheme="majorHAnsi" w:hAnsiTheme="majorHAnsi"/>
          <w:sz w:val="20"/>
          <w:szCs w:val="20"/>
        </w:rPr>
      </w:pPr>
    </w:p>
    <w:p w14:paraId="69B15A3F" w14:textId="77777777" w:rsidR="00E76AE8" w:rsidRPr="00DE2580" w:rsidRDefault="00E76AE8" w:rsidP="009011A8">
      <w:pPr>
        <w:pStyle w:val="ListParagraph"/>
        <w:tabs>
          <w:tab w:val="left" w:pos="9000"/>
        </w:tabs>
        <w:ind w:left="360" w:right="360"/>
        <w:jc w:val="both"/>
        <w:rPr>
          <w:rStyle w:val="sb8d990e2"/>
          <w:rFonts w:ascii="Times New Roman" w:eastAsia="Arial Unicode MS" w:hAnsi="Times New Roman" w:cs="Times New Roman"/>
          <w:color w:val="auto"/>
          <w:sz w:val="18"/>
          <w:szCs w:val="18"/>
          <w:lang w:eastAsia="en-US"/>
        </w:rPr>
      </w:pPr>
      <w:r w:rsidRPr="00DE2580">
        <w:rPr>
          <w:rStyle w:val="sb8d990e2"/>
          <w:sz w:val="18"/>
          <w:szCs w:val="18"/>
        </w:rPr>
        <w:t>The manner in which it is imposed or executed, the personal circumstances of the condemned person and a disproportionality to the gravity of the crime committed, as well as the conditions of detention awaiting execution, are examples of factors capable of bringing the treatment or punishment received by the condemned person within the proscription under Article 3.</w:t>
      </w:r>
      <w:r w:rsidRPr="00DE2580">
        <w:rPr>
          <w:rStyle w:val="FootnoteReference"/>
          <w:sz w:val="18"/>
          <w:szCs w:val="18"/>
        </w:rPr>
        <w:t xml:space="preserve"> </w:t>
      </w:r>
      <w:r w:rsidRPr="00DE2580">
        <w:rPr>
          <w:rStyle w:val="FootnoteReference"/>
          <w:sz w:val="18"/>
          <w:szCs w:val="18"/>
        </w:rPr>
        <w:footnoteReference w:id="62"/>
      </w:r>
      <w:r w:rsidRPr="00DE2580">
        <w:rPr>
          <w:rStyle w:val="sb8d990e2"/>
          <w:sz w:val="18"/>
          <w:szCs w:val="18"/>
        </w:rPr>
        <w:t xml:space="preserve"> </w:t>
      </w:r>
    </w:p>
    <w:p w14:paraId="53E01454" w14:textId="77777777" w:rsidR="00E76AE8" w:rsidRPr="00DE2580" w:rsidRDefault="00E76AE8" w:rsidP="00E76AE8">
      <w:pPr>
        <w:pBdr>
          <w:top w:val="none" w:sz="0" w:space="0" w:color="auto"/>
          <w:left w:val="none" w:sz="0" w:space="0" w:color="auto"/>
          <w:bottom w:val="none" w:sz="0" w:space="0" w:color="auto"/>
          <w:right w:val="none" w:sz="0" w:space="0" w:color="auto"/>
          <w:between w:val="none" w:sz="0" w:space="0" w:color="auto"/>
          <w:bar w:val="none" w:sz="0" w:color="auto"/>
        </w:pBdr>
        <w:jc w:val="both"/>
        <w:rPr>
          <w:rStyle w:val="sb8d990e2"/>
          <w:rFonts w:ascii="Cambria" w:eastAsia="Cambria" w:hAnsi="Cambria" w:cs="Cambria"/>
          <w:color w:val="000000"/>
          <w:sz w:val="20"/>
          <w:szCs w:val="20"/>
          <w:u w:color="000000"/>
          <w:lang w:eastAsia="es-ES"/>
        </w:rPr>
      </w:pPr>
    </w:p>
    <w:p w14:paraId="5678B481" w14:textId="77777777" w:rsidR="00E76AE8" w:rsidRPr="00DE2580" w:rsidRDefault="00E76AE8" w:rsidP="009011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DE2580">
        <w:rPr>
          <w:rFonts w:ascii="Cambria" w:eastAsia="Cambria" w:hAnsi="Cambria" w:cs="Cambria"/>
          <w:bCs/>
          <w:sz w:val="20"/>
          <w:szCs w:val="20"/>
        </w:rPr>
        <w:t>The European Court found that  the  "death  row  phenomenon"  is  a  cruel,  inhuman  and  degrading  treatment, and is characterized by a prolonged period of detention while  awaiting execution, during which prisoners sentenced to death suffer  severe  mental  anxiety,  extreme psychological tension and trauma.</w:t>
      </w:r>
      <w:r w:rsidRPr="00DE2580">
        <w:rPr>
          <w:rStyle w:val="FootnoteReference"/>
          <w:rFonts w:ascii="Cambria" w:eastAsia="Cambria" w:hAnsi="Cambria" w:cs="Cambria"/>
          <w:bCs/>
          <w:sz w:val="20"/>
          <w:szCs w:val="20"/>
        </w:rPr>
        <w:footnoteReference w:id="63"/>
      </w:r>
    </w:p>
    <w:p w14:paraId="6FB19878" w14:textId="77777777" w:rsidR="00E76AE8" w:rsidRPr="00DE2580" w:rsidRDefault="00E76AE8" w:rsidP="00E76AE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0B332B1C" w14:textId="77777777" w:rsidR="00E76AE8" w:rsidRPr="00DE2580" w:rsidRDefault="00E76AE8" w:rsidP="009011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DE2580">
        <w:rPr>
          <w:rStyle w:val="sb8d990e2"/>
          <w:rFonts w:ascii="Cambria" w:hAnsi="Cambria"/>
          <w:sz w:val="20"/>
        </w:rPr>
        <w:t xml:space="preserve">The European Court was referring to an average of six to eight years on death row from imposition of the penalty </w:t>
      </w:r>
      <w:r w:rsidRPr="00DE2580">
        <w:rPr>
          <w:rFonts w:ascii="Cambria" w:hAnsi="Cambria"/>
          <w:sz w:val="20"/>
        </w:rPr>
        <w:t>to</w:t>
      </w:r>
      <w:r w:rsidRPr="00DE2580">
        <w:rPr>
          <w:rStyle w:val="sb8d990e2"/>
          <w:rFonts w:ascii="Cambria" w:hAnsi="Cambria"/>
          <w:sz w:val="20"/>
        </w:rPr>
        <w:t xml:space="preserve"> execution and it mentioned how proceedings and appeals subsequent to the imposition of the death penalty themselves have a bearing on the aforementioned wait time on death row. The court referenced the lapse of time </w:t>
      </w:r>
      <w:r w:rsidRPr="00DE2580">
        <w:rPr>
          <w:rFonts w:ascii="Cambria" w:hAnsi="Cambria"/>
          <w:sz w:val="20"/>
        </w:rPr>
        <w:t>between sentence and execution is inevitable however, the consequence is that the condemned prisoner has to endure for many years the conditions on death row and the anguish and mounting tension of living in the ever-present shadow of death.</w:t>
      </w:r>
      <w:r w:rsidRPr="00DE2580">
        <w:rPr>
          <w:rFonts w:ascii="Cambria" w:hAnsi="Cambria"/>
          <w:sz w:val="20"/>
          <w:vertAlign w:val="superscript"/>
        </w:rPr>
        <w:t xml:space="preserve"> </w:t>
      </w:r>
      <w:r w:rsidRPr="00DE2580">
        <w:rPr>
          <w:rFonts w:asciiTheme="majorHAnsi" w:hAnsiTheme="majorHAnsi"/>
          <w:sz w:val="20"/>
          <w:szCs w:val="16"/>
          <w:vertAlign w:val="superscript"/>
        </w:rPr>
        <w:footnoteReference w:id="64"/>
      </w:r>
    </w:p>
    <w:p w14:paraId="450979DC" w14:textId="77777777" w:rsidR="00E76AE8" w:rsidRPr="00DE2580" w:rsidRDefault="00E76AE8" w:rsidP="00E76AE8">
      <w:pPr>
        <w:pStyle w:val="ListParagraph"/>
        <w:rPr>
          <w:sz w:val="20"/>
        </w:rPr>
      </w:pPr>
    </w:p>
    <w:p w14:paraId="1794B89A" w14:textId="77777777" w:rsidR="00E76AE8" w:rsidRPr="00DE2580" w:rsidRDefault="00E76AE8" w:rsidP="009011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DE2580">
        <w:rPr>
          <w:rFonts w:ascii="Cambria" w:hAnsi="Cambria"/>
          <w:sz w:val="20"/>
        </w:rPr>
        <w:t>The court further recognized that some element of delay between imposition and execution of the sentence and the experience of severe stress in conditions necessary for strict incarceration are inevitable and considered elements like, the very long period of time spent on death row in such extreme conditions, with the ever present and mounting anguish of awaiting execution of the death penalty, which brought the delay into the realm of exposed real risk of treatment going beyond the threshold set by Article 3.</w:t>
      </w:r>
      <w:r w:rsidRPr="00DE2580">
        <w:rPr>
          <w:rFonts w:ascii="Cambria" w:hAnsi="Cambria"/>
          <w:sz w:val="20"/>
          <w:vertAlign w:val="superscript"/>
        </w:rPr>
        <w:footnoteReference w:id="65"/>
      </w:r>
    </w:p>
    <w:p w14:paraId="3F7AB0F4" w14:textId="77777777" w:rsidR="00E76AE8" w:rsidRPr="00DE2580" w:rsidRDefault="00E76AE8" w:rsidP="00E76AE8">
      <w:pPr>
        <w:pStyle w:val="ListParagraph"/>
        <w:rPr>
          <w:sz w:val="20"/>
        </w:rPr>
      </w:pPr>
    </w:p>
    <w:p w14:paraId="60E365A4" w14:textId="77777777" w:rsidR="00E76AE8" w:rsidRPr="00DE2580" w:rsidRDefault="00E76AE8" w:rsidP="009011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DE2580">
        <w:rPr>
          <w:rFonts w:ascii="Cambria" w:hAnsi="Cambria"/>
          <w:sz w:val="20"/>
        </w:rPr>
        <w:t xml:space="preserve">Furthermore, in a comparative law context, the Commission notes that the Privy Council of the British House of Lords considered in 1993 on the issue of the </w:t>
      </w:r>
      <w:r w:rsidRPr="00DE2580">
        <w:rPr>
          <w:rFonts w:ascii="Cambria" w:hAnsi="Cambria"/>
          <w:i/>
          <w:sz w:val="20"/>
        </w:rPr>
        <w:t xml:space="preserve">death row phenomenon </w:t>
      </w:r>
      <w:r w:rsidRPr="00DE2580">
        <w:rPr>
          <w:rFonts w:ascii="Cambria" w:hAnsi="Cambria"/>
          <w:sz w:val="20"/>
        </w:rPr>
        <w:t xml:space="preserve">in the </w:t>
      </w:r>
      <w:r w:rsidRPr="00DE2580">
        <w:rPr>
          <w:rFonts w:ascii="Cambria" w:hAnsi="Cambria"/>
          <w:i/>
          <w:sz w:val="20"/>
        </w:rPr>
        <w:t>Pratt and Morgan v. Jamaica</w:t>
      </w:r>
      <w:r w:rsidRPr="00DE2580">
        <w:rPr>
          <w:rFonts w:ascii="Cambria" w:hAnsi="Cambria"/>
          <w:sz w:val="20"/>
        </w:rPr>
        <w:t xml:space="preserve"> case, that:</w:t>
      </w:r>
    </w:p>
    <w:p w14:paraId="0EBF3F17" w14:textId="77777777" w:rsidR="00E76AE8" w:rsidRPr="00DE2580" w:rsidRDefault="00E76AE8" w:rsidP="00E76A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jc w:val="both"/>
        <w:rPr>
          <w:rFonts w:ascii="Cambria" w:hAnsi="Cambria"/>
          <w:sz w:val="20"/>
        </w:rPr>
      </w:pPr>
    </w:p>
    <w:p w14:paraId="59E40828" w14:textId="77777777" w:rsidR="00E76AE8" w:rsidRPr="00DE2580" w:rsidRDefault="00E76AE8" w:rsidP="009011A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ight="360"/>
        <w:jc w:val="both"/>
        <w:rPr>
          <w:rFonts w:ascii="Cambria" w:eastAsia="Calibri" w:hAnsi="Cambria" w:cs="Tahoma"/>
          <w:sz w:val="18"/>
          <w:szCs w:val="18"/>
          <w:bdr w:val="none" w:sz="0" w:space="0" w:color="auto"/>
        </w:rPr>
      </w:pPr>
      <w:r w:rsidRPr="00DE2580">
        <w:rPr>
          <w:rFonts w:ascii="Cambria" w:eastAsia="Calibri" w:hAnsi="Cambria"/>
          <w:sz w:val="18"/>
          <w:szCs w:val="18"/>
          <w:bdr w:val="none" w:sz="0" w:space="0" w:color="auto"/>
        </w:rPr>
        <w:t xml:space="preserve">In their Lordships' view a State that wishes to retain capital punishment must accept the responsibility of ensuring that execution follows as swiftly as practicable after sentence, allowing a reasonable time for appeal and consideration of reprieve. It is part of the human condition that a condemned man will take every opportunity to save his life through use of the appellate procedure. If the appellate procedure enables the prisoner to prolong the appellate hearings over a period of years, the fault is to be attributed to the appellate system that permits such </w:t>
      </w:r>
      <w:r w:rsidRPr="00DE2580">
        <w:rPr>
          <w:rFonts w:ascii="Cambria" w:eastAsia="Calibri" w:hAnsi="Cambria"/>
          <w:sz w:val="18"/>
          <w:szCs w:val="18"/>
          <w:bdr w:val="none" w:sz="0" w:space="0" w:color="auto"/>
        </w:rPr>
        <w:lastRenderedPageBreak/>
        <w:t>delay and not to the prisoner who takes advantage of it. Appellate procedures that echo down the years are not compatible with capital punishment. The death row phenomenon must not become established as a part of our jurisprudence.</w:t>
      </w:r>
    </w:p>
    <w:p w14:paraId="1C19C638" w14:textId="77777777" w:rsidR="00E76AE8" w:rsidRPr="00DE2580" w:rsidRDefault="00E76AE8" w:rsidP="009011A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ight="360"/>
        <w:jc w:val="both"/>
        <w:rPr>
          <w:rFonts w:ascii="Cambria" w:eastAsia="Calibri" w:hAnsi="Cambria" w:cs="Arial"/>
          <w:sz w:val="18"/>
          <w:szCs w:val="18"/>
          <w:bdr w:val="none" w:sz="0" w:space="0" w:color="auto"/>
        </w:rPr>
      </w:pPr>
    </w:p>
    <w:p w14:paraId="23D60419" w14:textId="77777777" w:rsidR="00E76AE8" w:rsidRPr="00DE2580" w:rsidRDefault="00E76AE8" w:rsidP="009011A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ight="360"/>
        <w:jc w:val="both"/>
        <w:rPr>
          <w:rFonts w:ascii="Cambria" w:eastAsia="Calibri" w:hAnsi="Cambria" w:cs="Tahoma"/>
          <w:sz w:val="18"/>
          <w:szCs w:val="18"/>
          <w:bdr w:val="none" w:sz="0" w:space="0" w:color="auto"/>
        </w:rPr>
      </w:pPr>
      <w:r w:rsidRPr="00DE2580">
        <w:rPr>
          <w:rFonts w:ascii="Cambria" w:eastAsia="Calibri" w:hAnsi="Cambria"/>
          <w:sz w:val="18"/>
          <w:szCs w:val="18"/>
          <w:bdr w:val="none" w:sz="0" w:space="0" w:color="auto"/>
        </w:rPr>
        <w:t>(…)</w:t>
      </w:r>
    </w:p>
    <w:p w14:paraId="6467FDEF" w14:textId="77777777" w:rsidR="00E76AE8" w:rsidRPr="00DE2580" w:rsidRDefault="00E76AE8" w:rsidP="009011A8">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Cambria" w:eastAsia="Calibri" w:hAnsi="Cambria"/>
          <w:sz w:val="18"/>
          <w:szCs w:val="18"/>
          <w:bdr w:val="none" w:sz="0" w:space="0" w:color="auto"/>
        </w:rPr>
      </w:pPr>
      <w:r w:rsidRPr="00DE2580">
        <w:rPr>
          <w:rFonts w:ascii="Cambria" w:eastAsia="Calibri" w:hAnsi="Cambria"/>
          <w:sz w:val="18"/>
          <w:szCs w:val="18"/>
          <w:bdr w:val="none" w:sz="0" w:space="0" w:color="auto"/>
        </w:rPr>
        <w:t>These considerations lead their Lordships to the conclusion that in any case in which execution is to take place more than five years after sentence there will be strong grounds for believing that the delay is such as to constitute "inhuman or degrading punishment or other treatment".</w:t>
      </w:r>
      <w:r w:rsidRPr="00DE2580">
        <w:rPr>
          <w:rFonts w:ascii="Cambria" w:eastAsia="Calibri" w:hAnsi="Cambria"/>
          <w:sz w:val="18"/>
          <w:szCs w:val="18"/>
          <w:bdr w:val="none" w:sz="0" w:space="0" w:color="auto"/>
          <w:vertAlign w:val="superscript"/>
        </w:rPr>
        <w:footnoteReference w:id="66"/>
      </w:r>
    </w:p>
    <w:p w14:paraId="0485A546" w14:textId="77777777" w:rsidR="00E76AE8" w:rsidRPr="00DE2580" w:rsidRDefault="00E76AE8" w:rsidP="00E76AE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Calibri" w:hAnsi="Cambria"/>
          <w:sz w:val="20"/>
          <w:szCs w:val="22"/>
          <w:bdr w:val="none" w:sz="0" w:space="0" w:color="auto"/>
        </w:rPr>
      </w:pPr>
    </w:p>
    <w:p w14:paraId="1622340A" w14:textId="77777777" w:rsidR="00E76AE8" w:rsidRPr="00DE2580" w:rsidRDefault="00E76AE8" w:rsidP="009011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DE2580">
        <w:rPr>
          <w:rFonts w:ascii="Cambria" w:hAnsi="Cambria"/>
          <w:sz w:val="20"/>
        </w:rPr>
        <w:t>In the same vein, the Supreme Court of Uganda considered in 2009 that "to execute a person after a delay of three years in conditions that were not acceptable by Ugandan standards would amount to cruel, inhuman punishment.”</w:t>
      </w:r>
      <w:r w:rsidRPr="00DE2580">
        <w:rPr>
          <w:rStyle w:val="FootnoteReference"/>
          <w:rFonts w:ascii="Cambria" w:hAnsi="Cambria"/>
          <w:sz w:val="20"/>
        </w:rPr>
        <w:footnoteReference w:id="67"/>
      </w:r>
      <w:r w:rsidRPr="00DE2580">
        <w:rPr>
          <w:rFonts w:ascii="Cambria" w:hAnsi="Cambria"/>
          <w:sz w:val="20"/>
        </w:rPr>
        <w:t xml:space="preserve"> For its part, the Supreme Court of Zimbabwe has pointed out since 1993 that "having regard to judicial and academic consensus concerning the death row phenomenon, the prolonged delays and the harsh conditions of incarceration, a sufficient degree of seriousness had been attained to entitle the applicant to invoke the protection concerning the prohibition of torture and inhuman or degrading punishment.." That Supreme Court maintained that "52 and 72 months, respectively, on death row constituted a violation of the prohibition of torture and would render an actual execution unconstitutional."</w:t>
      </w:r>
      <w:r w:rsidRPr="00DE2580">
        <w:rPr>
          <w:rStyle w:val="FootnoteReference"/>
          <w:rFonts w:ascii="Cambria" w:hAnsi="Cambria"/>
          <w:sz w:val="20"/>
        </w:rPr>
        <w:footnoteReference w:id="68"/>
      </w:r>
      <w:r w:rsidRPr="00DE2580">
        <w:rPr>
          <w:rFonts w:ascii="Cambria" w:eastAsia="Calibri" w:hAnsi="Cambria"/>
          <w:bCs/>
          <w:sz w:val="20"/>
          <w:szCs w:val="20"/>
          <w:bdr w:val="none" w:sz="0" w:space="0" w:color="auto"/>
        </w:rPr>
        <w:t xml:space="preserve"> </w:t>
      </w:r>
    </w:p>
    <w:p w14:paraId="393333A8" w14:textId="77777777" w:rsidR="00E76AE8" w:rsidRPr="00DE2580" w:rsidRDefault="00E76AE8" w:rsidP="00E76AE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7C518D91" w14:textId="60CBDCE3" w:rsidR="00AC32D7" w:rsidRPr="00DE2580" w:rsidRDefault="00AC32D7" w:rsidP="00AC32D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DE2580">
        <w:rPr>
          <w:rFonts w:ascii="Cambria" w:hAnsi="Cambria" w:cs="Arial"/>
          <w:sz w:val="20"/>
          <w:szCs w:val="20"/>
        </w:rPr>
        <w:t xml:space="preserve">It is noted that at the time the petition was lodged, Mr. Housel was sentenced to death on February 7, 1986 and was thereafter executed on </w:t>
      </w:r>
      <w:r w:rsidRPr="00DE2580">
        <w:rPr>
          <w:rFonts w:asciiTheme="majorHAnsi" w:eastAsia="Times New Roman" w:hAnsiTheme="majorHAnsi"/>
          <w:sz w:val="20"/>
          <w:szCs w:val="20"/>
          <w:lang w:val="en-GB"/>
        </w:rPr>
        <w:t>March 12, 2002</w:t>
      </w:r>
      <w:r w:rsidRPr="00DE2580">
        <w:rPr>
          <w:rFonts w:ascii="Cambria" w:hAnsi="Cambria" w:cs="Arial"/>
          <w:sz w:val="20"/>
          <w:szCs w:val="20"/>
        </w:rPr>
        <w:t xml:space="preserve">. Housel was therefore on death row for nearly sixteen (16) years. The long term of his deprivation of liberty on death </w:t>
      </w:r>
      <w:r w:rsidR="00807C0F">
        <w:rPr>
          <w:rFonts w:ascii="Cambria" w:hAnsi="Cambria" w:cs="Arial"/>
          <w:sz w:val="20"/>
          <w:szCs w:val="20"/>
        </w:rPr>
        <w:t>row is referred to within both i</w:t>
      </w:r>
      <w:r w:rsidRPr="00DE2580">
        <w:rPr>
          <w:rFonts w:ascii="Cambria" w:hAnsi="Cambria" w:cs="Arial"/>
          <w:sz w:val="20"/>
          <w:szCs w:val="20"/>
        </w:rPr>
        <w:t>nternational human rights and comparative law as the “death row phenomenon</w:t>
      </w:r>
      <w:r w:rsidR="00807C0F">
        <w:rPr>
          <w:rFonts w:ascii="Cambria" w:hAnsi="Cambria" w:cs="Arial"/>
          <w:sz w:val="20"/>
          <w:szCs w:val="20"/>
        </w:rPr>
        <w:t>,</w:t>
      </w:r>
      <w:r w:rsidRPr="00DE2580">
        <w:rPr>
          <w:rFonts w:ascii="Cambria" w:hAnsi="Cambria" w:cs="Arial"/>
          <w:sz w:val="20"/>
          <w:szCs w:val="20"/>
        </w:rPr>
        <w:t>” and infringes on a person’s freedom from cruel, inhuman or degrading punishment. Such treatment violates the prohibition of cruel, inhuman or degrading punishment in Constitutions and in multiple international treaties, including the American Declaration (Articles XXV and XXVI).</w:t>
      </w:r>
      <w:r w:rsidRPr="00DE2580">
        <w:rPr>
          <w:rStyle w:val="FootnoteReference"/>
          <w:rFonts w:ascii="Cambria" w:hAnsi="Cambria"/>
          <w:sz w:val="20"/>
          <w:szCs w:val="20"/>
        </w:rPr>
        <w:footnoteReference w:id="69"/>
      </w:r>
    </w:p>
    <w:p w14:paraId="5FB0F633" w14:textId="77777777" w:rsidR="000160EE" w:rsidRPr="00DE2580" w:rsidRDefault="003C78CF" w:rsidP="00C65357">
      <w:pPr>
        <w:pStyle w:val="Heading2"/>
        <w:numPr>
          <w:ilvl w:val="0"/>
          <w:numId w:val="63"/>
        </w:numPr>
        <w:ind w:left="360"/>
        <w:rPr>
          <w:rFonts w:eastAsia="Arial Unicode MS"/>
          <w:color w:val="auto"/>
          <w:sz w:val="20"/>
          <w:szCs w:val="20"/>
        </w:rPr>
      </w:pPr>
      <w:bookmarkStart w:id="22" w:name="_Toc150529035"/>
      <w:r w:rsidRPr="00DE2580">
        <w:rPr>
          <w:rFonts w:eastAsia="Arial Unicode MS"/>
          <w:color w:val="auto"/>
          <w:sz w:val="20"/>
          <w:szCs w:val="20"/>
        </w:rPr>
        <w:t>Right to p</w:t>
      </w:r>
      <w:r w:rsidR="000160EE" w:rsidRPr="00DE2580">
        <w:rPr>
          <w:rFonts w:eastAsia="Arial Unicode MS"/>
          <w:color w:val="auto"/>
          <w:sz w:val="20"/>
          <w:szCs w:val="20"/>
        </w:rPr>
        <w:t xml:space="preserve">etition </w:t>
      </w:r>
      <w:r w:rsidR="000160EE" w:rsidRPr="00DE2580">
        <w:rPr>
          <w:rStyle w:val="FootnoteReference"/>
          <w:rFonts w:eastAsia="Arial Unicode MS"/>
          <w:color w:val="auto"/>
          <w:sz w:val="20"/>
          <w:szCs w:val="20"/>
        </w:rPr>
        <w:footnoteReference w:id="70"/>
      </w:r>
      <w:bookmarkEnd w:id="22"/>
      <w:r w:rsidR="000160EE" w:rsidRPr="00DE2580">
        <w:rPr>
          <w:rFonts w:eastAsia="Arial Unicode MS"/>
          <w:color w:val="auto"/>
          <w:sz w:val="20"/>
          <w:szCs w:val="20"/>
        </w:rPr>
        <w:t xml:space="preserve">   </w:t>
      </w:r>
    </w:p>
    <w:p w14:paraId="22E1EC8E" w14:textId="77777777" w:rsidR="00A97B11" w:rsidRPr="00DE2580" w:rsidRDefault="00A97B11" w:rsidP="00A97B1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503CB7E3" w14:textId="77777777" w:rsidR="00A169DC" w:rsidRPr="00DE2580" w:rsidRDefault="008A6E6B" w:rsidP="009011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DE2580">
        <w:rPr>
          <w:rFonts w:asciiTheme="majorHAnsi" w:eastAsia="Times" w:hAnsiTheme="majorHAnsi" w:cs="Times"/>
          <w:sz w:val="20"/>
          <w:szCs w:val="20"/>
        </w:rPr>
        <w:t>The</w:t>
      </w:r>
      <w:r w:rsidRPr="00DE2580">
        <w:rPr>
          <w:rFonts w:asciiTheme="majorHAnsi" w:eastAsia="Cambria" w:hAnsiTheme="majorHAnsi" w:cs="Cambria"/>
          <w:sz w:val="20"/>
          <w:szCs w:val="20"/>
        </w:rPr>
        <w:t xml:space="preserve"> State’s denial of a stay of execution in the face of a precautionary measure by the Commission in order to evaluate any human rights breaches and its </w:t>
      </w:r>
      <w:r w:rsidRPr="00DE2580">
        <w:rPr>
          <w:rFonts w:asciiTheme="majorHAnsi" w:eastAsia="Times" w:hAnsiTheme="majorHAnsi" w:cs="Times"/>
          <w:sz w:val="20"/>
          <w:szCs w:val="20"/>
        </w:rPr>
        <w:t xml:space="preserve">failure to preserve a condemned prisoner’s life pending the completion of the proceedings, including implementation of the Commission’s final recommendations, undermines the efficacy of the Commission’s process, deprives condemned persons of their right to petition, and results in serious and irreparable harm to those individuals. </w:t>
      </w:r>
      <w:r w:rsidR="000160EE" w:rsidRPr="00DE2580">
        <w:rPr>
          <w:rFonts w:asciiTheme="majorHAnsi" w:hAnsiTheme="majorHAnsi"/>
          <w:sz w:val="20"/>
          <w:szCs w:val="20"/>
        </w:rPr>
        <w:t xml:space="preserve">An execution under those circumstances obstructs the Commission’s or Court’s ability to effectively investigate and issue determinations on capital cases. </w:t>
      </w:r>
    </w:p>
    <w:p w14:paraId="44675110" w14:textId="77777777" w:rsidR="00A169DC" w:rsidRPr="00DE2580" w:rsidRDefault="00A169DC" w:rsidP="00A169DC">
      <w:pPr>
        <w:pStyle w:val="ListParagraph"/>
        <w:rPr>
          <w:rFonts w:asciiTheme="majorHAnsi" w:eastAsia="Times" w:hAnsiTheme="majorHAnsi" w:cs="Times"/>
          <w:sz w:val="20"/>
          <w:szCs w:val="20"/>
        </w:rPr>
      </w:pPr>
    </w:p>
    <w:p w14:paraId="4A9DA53C" w14:textId="77777777" w:rsidR="00A169DC" w:rsidRPr="00DE2580" w:rsidRDefault="00992A7F" w:rsidP="009011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DE2580">
        <w:rPr>
          <w:rFonts w:asciiTheme="majorHAnsi" w:eastAsia="Times" w:hAnsiTheme="majorHAnsi" w:cs="Times"/>
          <w:sz w:val="20"/>
          <w:szCs w:val="20"/>
        </w:rPr>
        <w:t xml:space="preserve">Both the Commission and the Inter-American Court have indicated that the execution of a person under precautionary or provisional measures respectively, constitutes an aggravated violation of the rights to life. The Commission has consistently and emphatically condemned the practice by certain States of executing persons sentenced to death in violation of precautionary measures issued by it, including in instances where the Commission had before it a pending petition presenting allegations of due process or other violations in the prosecution that produced the sentence. </w:t>
      </w:r>
    </w:p>
    <w:p w14:paraId="1CD8C125" w14:textId="166F192D" w:rsidR="00A169DC" w:rsidRDefault="00A169DC" w:rsidP="00A169DC">
      <w:pPr>
        <w:pStyle w:val="ListParagraph"/>
        <w:rPr>
          <w:rFonts w:asciiTheme="majorHAnsi" w:hAnsiTheme="majorHAnsi"/>
          <w:sz w:val="20"/>
          <w:szCs w:val="20"/>
        </w:rPr>
      </w:pPr>
    </w:p>
    <w:p w14:paraId="3F259FB3" w14:textId="2E1EB90B" w:rsidR="00790F77" w:rsidRDefault="00790F77" w:rsidP="00A169DC">
      <w:pPr>
        <w:pStyle w:val="ListParagraph"/>
        <w:rPr>
          <w:rFonts w:asciiTheme="majorHAnsi" w:hAnsiTheme="majorHAnsi"/>
          <w:sz w:val="20"/>
          <w:szCs w:val="20"/>
        </w:rPr>
      </w:pPr>
    </w:p>
    <w:p w14:paraId="6BAD9477" w14:textId="7D257F48" w:rsidR="00790F77" w:rsidRDefault="00790F77" w:rsidP="00A169DC">
      <w:pPr>
        <w:pStyle w:val="ListParagraph"/>
        <w:rPr>
          <w:rFonts w:asciiTheme="majorHAnsi" w:hAnsiTheme="majorHAnsi"/>
          <w:sz w:val="20"/>
          <w:szCs w:val="20"/>
        </w:rPr>
      </w:pPr>
    </w:p>
    <w:p w14:paraId="2290D648" w14:textId="29795C01" w:rsidR="00790F77" w:rsidRDefault="00790F77" w:rsidP="00A169DC">
      <w:pPr>
        <w:pStyle w:val="ListParagraph"/>
        <w:rPr>
          <w:rFonts w:asciiTheme="majorHAnsi" w:hAnsiTheme="majorHAnsi"/>
          <w:sz w:val="20"/>
          <w:szCs w:val="20"/>
        </w:rPr>
      </w:pPr>
    </w:p>
    <w:p w14:paraId="2FCB4FA8" w14:textId="25BBA9D6" w:rsidR="00790F77" w:rsidRDefault="00790F77" w:rsidP="00A169DC">
      <w:pPr>
        <w:pStyle w:val="ListParagraph"/>
        <w:rPr>
          <w:rFonts w:asciiTheme="majorHAnsi" w:hAnsiTheme="majorHAnsi"/>
          <w:sz w:val="20"/>
          <w:szCs w:val="20"/>
        </w:rPr>
      </w:pPr>
    </w:p>
    <w:p w14:paraId="2B6F4D5C" w14:textId="77777777" w:rsidR="00790F77" w:rsidRPr="00DE2580" w:rsidRDefault="00790F77" w:rsidP="00A169DC">
      <w:pPr>
        <w:pStyle w:val="ListParagraph"/>
        <w:rPr>
          <w:rFonts w:asciiTheme="majorHAnsi" w:hAnsiTheme="majorHAnsi"/>
          <w:sz w:val="20"/>
          <w:szCs w:val="20"/>
        </w:rPr>
      </w:pPr>
    </w:p>
    <w:p w14:paraId="427673D2" w14:textId="77777777" w:rsidR="00A213FD" w:rsidRPr="00DE2580" w:rsidRDefault="00992A7F" w:rsidP="009011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DE2580">
        <w:rPr>
          <w:rFonts w:asciiTheme="majorHAnsi" w:eastAsia="Cambria" w:hAnsiTheme="majorHAnsi" w:cs="Cambria"/>
          <w:sz w:val="20"/>
          <w:szCs w:val="20"/>
        </w:rPr>
        <w:t xml:space="preserve">The execution of the death sentence against Mr. </w:t>
      </w:r>
      <w:r w:rsidR="000B68C7" w:rsidRPr="00DE2580">
        <w:rPr>
          <w:rFonts w:asciiTheme="majorHAnsi" w:eastAsia="Cambria" w:hAnsiTheme="majorHAnsi" w:cs="Cambria"/>
          <w:sz w:val="20"/>
          <w:szCs w:val="20"/>
        </w:rPr>
        <w:t>Housel</w:t>
      </w:r>
      <w:r w:rsidRPr="00DE2580">
        <w:rPr>
          <w:rFonts w:asciiTheme="majorHAnsi" w:eastAsia="Cambria" w:hAnsiTheme="majorHAnsi" w:cs="Cambria"/>
          <w:sz w:val="20"/>
          <w:szCs w:val="20"/>
        </w:rPr>
        <w:t xml:space="preserve"> represents a failure on the part of the State to implement the precautionary measure</w:t>
      </w:r>
      <w:r w:rsidR="00493254" w:rsidRPr="00DE2580">
        <w:rPr>
          <w:rFonts w:asciiTheme="majorHAnsi" w:eastAsia="Cambria" w:hAnsiTheme="majorHAnsi" w:cs="Cambria"/>
          <w:sz w:val="20"/>
          <w:szCs w:val="20"/>
        </w:rPr>
        <w:t xml:space="preserve"> </w:t>
      </w:r>
      <w:r w:rsidR="005F238A" w:rsidRPr="00DE2580">
        <w:rPr>
          <w:rFonts w:asciiTheme="majorHAnsi" w:eastAsia="Cambria" w:hAnsiTheme="majorHAnsi" w:cs="Cambria"/>
          <w:sz w:val="20"/>
          <w:szCs w:val="20"/>
        </w:rPr>
        <w:t xml:space="preserve">and a violation of </w:t>
      </w:r>
      <w:r w:rsidR="005F238A" w:rsidRPr="00DE2580">
        <w:rPr>
          <w:rFonts w:asciiTheme="majorHAnsi" w:hAnsiTheme="majorHAnsi"/>
          <w:sz w:val="20"/>
          <w:szCs w:val="20"/>
        </w:rPr>
        <w:t xml:space="preserve">the rights of Mr. </w:t>
      </w:r>
      <w:r w:rsidR="000B68C7" w:rsidRPr="00DE2580">
        <w:rPr>
          <w:rFonts w:asciiTheme="majorHAnsi" w:hAnsiTheme="majorHAnsi"/>
          <w:sz w:val="20"/>
          <w:szCs w:val="20"/>
        </w:rPr>
        <w:t>Housel</w:t>
      </w:r>
      <w:r w:rsidR="005F238A" w:rsidRPr="00DE2580">
        <w:rPr>
          <w:rFonts w:asciiTheme="majorHAnsi" w:hAnsiTheme="majorHAnsi"/>
          <w:sz w:val="20"/>
          <w:szCs w:val="20"/>
        </w:rPr>
        <w:t xml:space="preserve"> established in Articles XXIV of the American Declaration</w:t>
      </w:r>
      <w:r w:rsidRPr="00DE2580">
        <w:rPr>
          <w:rFonts w:asciiTheme="majorHAnsi" w:eastAsia="Cambria" w:hAnsiTheme="majorHAnsi" w:cs="Cambria"/>
          <w:sz w:val="20"/>
          <w:szCs w:val="20"/>
        </w:rPr>
        <w:t xml:space="preserve">. By permitting </w:t>
      </w:r>
      <w:r w:rsidR="000B68C7" w:rsidRPr="00DE2580">
        <w:rPr>
          <w:rFonts w:asciiTheme="majorHAnsi" w:eastAsia="Cambria" w:hAnsiTheme="majorHAnsi" w:cs="Cambria"/>
          <w:sz w:val="20"/>
          <w:szCs w:val="20"/>
        </w:rPr>
        <w:t>Housel</w:t>
      </w:r>
      <w:r w:rsidRPr="00DE2580">
        <w:rPr>
          <w:rFonts w:asciiTheme="majorHAnsi" w:eastAsia="Cambria" w:hAnsiTheme="majorHAnsi" w:cs="Cambria"/>
          <w:sz w:val="20"/>
          <w:szCs w:val="20"/>
        </w:rPr>
        <w:t>’s execution to proceed in these circumstances, the Commission considers that the United States failed to act in accordance with its fundamental human rights obligations as a member of the Organization of American States. The Commission calls upon the United States to take all steps necessary to comply in any future matter with the Commission’s request for precautionary measures.</w:t>
      </w:r>
    </w:p>
    <w:p w14:paraId="55460EC9" w14:textId="77777777" w:rsidR="00FE5165" w:rsidRPr="00DE2580" w:rsidRDefault="00AB352F" w:rsidP="00C65357">
      <w:pPr>
        <w:pStyle w:val="Heading2"/>
        <w:numPr>
          <w:ilvl w:val="0"/>
          <w:numId w:val="63"/>
        </w:numPr>
        <w:ind w:left="360"/>
        <w:rPr>
          <w:rFonts w:eastAsia="Arial Unicode MS"/>
          <w:color w:val="auto"/>
          <w:sz w:val="20"/>
          <w:szCs w:val="20"/>
        </w:rPr>
      </w:pPr>
      <w:bookmarkStart w:id="23" w:name="_Toc150529036"/>
      <w:r w:rsidRPr="00DE2580">
        <w:rPr>
          <w:rFonts w:eastAsia="Arial Unicode MS"/>
          <w:color w:val="auto"/>
          <w:sz w:val="20"/>
          <w:szCs w:val="20"/>
        </w:rPr>
        <w:t>Right to</w:t>
      </w:r>
      <w:r w:rsidR="003C78CF" w:rsidRPr="00DE2580">
        <w:rPr>
          <w:rFonts w:eastAsia="Arial Unicode MS"/>
          <w:color w:val="auto"/>
          <w:sz w:val="20"/>
          <w:szCs w:val="20"/>
        </w:rPr>
        <w:t xml:space="preserve"> l</w:t>
      </w:r>
      <w:r w:rsidRPr="00DE2580">
        <w:rPr>
          <w:rFonts w:eastAsia="Arial Unicode MS"/>
          <w:color w:val="auto"/>
          <w:sz w:val="20"/>
          <w:szCs w:val="20"/>
        </w:rPr>
        <w:t>ife</w:t>
      </w:r>
      <w:r w:rsidRPr="00DE2580">
        <w:rPr>
          <w:rStyle w:val="FootnoteReference"/>
          <w:rFonts w:eastAsia="Arial Unicode MS"/>
          <w:color w:val="auto"/>
          <w:sz w:val="20"/>
          <w:szCs w:val="20"/>
        </w:rPr>
        <w:footnoteReference w:id="71"/>
      </w:r>
      <w:bookmarkEnd w:id="23"/>
      <w:r w:rsidRPr="00DE2580">
        <w:rPr>
          <w:rFonts w:eastAsia="Arial Unicode MS"/>
          <w:color w:val="auto"/>
          <w:sz w:val="20"/>
          <w:szCs w:val="20"/>
        </w:rPr>
        <w:t xml:space="preserve">  </w:t>
      </w:r>
    </w:p>
    <w:p w14:paraId="7BB22A81" w14:textId="77777777" w:rsidR="00AB352F" w:rsidRPr="00DE2580" w:rsidRDefault="00AB352F" w:rsidP="00AB352F"/>
    <w:p w14:paraId="7D158FDE" w14:textId="77777777" w:rsidR="00DB710E" w:rsidRPr="00DE2580" w:rsidRDefault="00805784" w:rsidP="009011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DE2580">
        <w:rPr>
          <w:rFonts w:asciiTheme="majorHAnsi" w:eastAsia="Calibri" w:hAnsiTheme="majorHAnsi" w:cs="Calibri"/>
          <w:sz w:val="20"/>
          <w:szCs w:val="20"/>
        </w:rPr>
        <w:t>As not</w:t>
      </w:r>
      <w:r w:rsidR="00417E33" w:rsidRPr="00DE2580">
        <w:rPr>
          <w:rFonts w:asciiTheme="majorHAnsi" w:eastAsia="Calibri" w:hAnsiTheme="majorHAnsi" w:cs="Calibri"/>
          <w:sz w:val="20"/>
          <w:szCs w:val="20"/>
        </w:rPr>
        <w:t xml:space="preserve">ed in </w:t>
      </w:r>
      <w:r w:rsidR="003B6609" w:rsidRPr="00DE2580">
        <w:rPr>
          <w:rFonts w:asciiTheme="majorHAnsi" w:eastAsia="Calibri" w:hAnsiTheme="majorHAnsi" w:cs="Calibri"/>
          <w:sz w:val="20"/>
          <w:szCs w:val="20"/>
        </w:rPr>
        <w:t>this report</w:t>
      </w:r>
      <w:r w:rsidRPr="00DE2580">
        <w:rPr>
          <w:rFonts w:asciiTheme="majorHAnsi" w:eastAsia="Calibri" w:hAnsiTheme="majorHAnsi" w:cs="Calibri"/>
          <w:sz w:val="20"/>
          <w:szCs w:val="20"/>
        </w:rPr>
        <w:t xml:space="preserve">, the right to life is </w:t>
      </w:r>
      <w:r w:rsidR="0050128F" w:rsidRPr="00DE2580">
        <w:rPr>
          <w:rFonts w:asciiTheme="majorHAnsi" w:eastAsia="Calibri" w:hAnsiTheme="majorHAnsi" w:cs="Calibri"/>
          <w:sz w:val="20"/>
          <w:szCs w:val="20"/>
        </w:rPr>
        <w:t>widely recognized</w:t>
      </w:r>
      <w:r w:rsidRPr="00DE2580">
        <w:rPr>
          <w:rFonts w:asciiTheme="majorHAnsi" w:eastAsia="Calibri" w:hAnsiTheme="majorHAnsi" w:cs="Calibri"/>
          <w:sz w:val="20"/>
          <w:szCs w:val="20"/>
        </w:rPr>
        <w:t xml:space="preserve"> as the supreme right of the human being. The Inter</w:t>
      </w:r>
      <w:r w:rsidRPr="00DE2580">
        <w:rPr>
          <w:rFonts w:asciiTheme="majorHAnsi" w:eastAsia="Calibri" w:hAnsiTheme="majorHAnsi" w:cs="Monaco"/>
          <w:sz w:val="20"/>
          <w:szCs w:val="20"/>
        </w:rPr>
        <w:t>‐</w:t>
      </w:r>
      <w:r w:rsidRPr="00DE2580">
        <w:rPr>
          <w:rFonts w:asciiTheme="majorHAnsi" w:eastAsia="Calibri" w:hAnsiTheme="majorHAnsi" w:cs="Calibri"/>
          <w:sz w:val="20"/>
          <w:szCs w:val="20"/>
        </w:rPr>
        <w:t>American Court has similarly confirmed that “[b]ecause execution of the death penalty is irreversible, the strictest and most rigorous enforcement of judicial guarantees is required of the State so that those guarantees are not violated and a human life not arbitrarily taken as a result.”</w:t>
      </w:r>
      <w:r w:rsidRPr="00DE2580">
        <w:rPr>
          <w:rFonts w:asciiTheme="majorHAnsi" w:hAnsiTheme="majorHAnsi"/>
          <w:sz w:val="20"/>
          <w:szCs w:val="16"/>
          <w:vertAlign w:val="superscript"/>
        </w:rPr>
        <w:footnoteReference w:id="72"/>
      </w:r>
    </w:p>
    <w:p w14:paraId="3F3D4557" w14:textId="77777777" w:rsidR="0017635E" w:rsidRPr="00DE2580" w:rsidRDefault="0017635E" w:rsidP="00D07CE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337B486C" w14:textId="137ADA0A" w:rsidR="00627E51" w:rsidRDefault="00201715" w:rsidP="00595D9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DE2580">
        <w:rPr>
          <w:rFonts w:asciiTheme="majorHAnsi" w:hAnsiTheme="majorHAnsi"/>
          <w:sz w:val="20"/>
          <w:szCs w:val="20"/>
        </w:rPr>
        <w:t xml:space="preserve">This right was violated upon Mr. </w:t>
      </w:r>
      <w:r w:rsidR="000B68C7" w:rsidRPr="00DE2580">
        <w:rPr>
          <w:rFonts w:asciiTheme="majorHAnsi" w:hAnsiTheme="majorHAnsi"/>
          <w:sz w:val="20"/>
          <w:szCs w:val="20"/>
        </w:rPr>
        <w:t>Housel</w:t>
      </w:r>
      <w:r w:rsidRPr="00DE2580">
        <w:rPr>
          <w:rFonts w:asciiTheme="majorHAnsi" w:hAnsiTheme="majorHAnsi"/>
          <w:sz w:val="20"/>
          <w:szCs w:val="20"/>
        </w:rPr>
        <w:t>’s execution following post-conviction proceedings that d</w:t>
      </w:r>
      <w:r w:rsidR="00273176" w:rsidRPr="00DE2580">
        <w:rPr>
          <w:rFonts w:asciiTheme="majorHAnsi" w:hAnsiTheme="majorHAnsi"/>
          <w:sz w:val="20"/>
          <w:szCs w:val="20"/>
        </w:rPr>
        <w:t>id not comply with a fair trial</w:t>
      </w:r>
      <w:r w:rsidR="00C21389" w:rsidRPr="00DE2580">
        <w:rPr>
          <w:rFonts w:asciiTheme="majorHAnsi" w:hAnsiTheme="majorHAnsi"/>
          <w:sz w:val="20"/>
          <w:szCs w:val="20"/>
        </w:rPr>
        <w:t xml:space="preserve">. </w:t>
      </w:r>
      <w:r w:rsidR="00745830" w:rsidRPr="00DE2580">
        <w:rPr>
          <w:rFonts w:asciiTheme="majorHAnsi" w:hAnsiTheme="majorHAnsi"/>
          <w:sz w:val="20"/>
          <w:szCs w:val="20"/>
        </w:rPr>
        <w:t xml:space="preserve">Further, this right was violated upon Mr. </w:t>
      </w:r>
      <w:r w:rsidR="000B68C7" w:rsidRPr="00DE2580">
        <w:rPr>
          <w:rFonts w:asciiTheme="majorHAnsi" w:hAnsiTheme="majorHAnsi"/>
          <w:sz w:val="20"/>
          <w:szCs w:val="20"/>
        </w:rPr>
        <w:t>Housel</w:t>
      </w:r>
      <w:r w:rsidR="00745830" w:rsidRPr="00DE2580">
        <w:rPr>
          <w:rFonts w:asciiTheme="majorHAnsi" w:hAnsiTheme="majorHAnsi"/>
          <w:sz w:val="20"/>
          <w:szCs w:val="20"/>
        </w:rPr>
        <w:t xml:space="preserve">’s execution </w:t>
      </w:r>
      <w:r w:rsidRPr="00DE2580">
        <w:rPr>
          <w:rFonts w:asciiTheme="majorHAnsi" w:hAnsiTheme="majorHAnsi"/>
          <w:sz w:val="20"/>
          <w:szCs w:val="20"/>
        </w:rPr>
        <w:t xml:space="preserve">in light of </w:t>
      </w:r>
      <w:r w:rsidR="00745830" w:rsidRPr="00DE2580">
        <w:rPr>
          <w:rFonts w:asciiTheme="majorHAnsi" w:hAnsiTheme="majorHAnsi"/>
          <w:sz w:val="20"/>
          <w:szCs w:val="20"/>
        </w:rPr>
        <w:t>his</w:t>
      </w:r>
      <w:r w:rsidRPr="00DE2580">
        <w:rPr>
          <w:rFonts w:asciiTheme="majorHAnsi" w:hAnsiTheme="majorHAnsi"/>
          <w:sz w:val="20"/>
          <w:szCs w:val="20"/>
        </w:rPr>
        <w:t xml:space="preserve"> exposure to death row syndrome, having been detained for longer than the acceptable term on death row in conditions that have been described as cruel and inhumane. </w:t>
      </w:r>
    </w:p>
    <w:p w14:paraId="712DB6E5" w14:textId="77777777" w:rsidR="00595D9A" w:rsidRDefault="00595D9A" w:rsidP="00595D9A">
      <w:pPr>
        <w:pStyle w:val="ListParagraph"/>
        <w:rPr>
          <w:rFonts w:asciiTheme="majorHAnsi" w:hAnsiTheme="majorHAnsi"/>
          <w:sz w:val="20"/>
          <w:szCs w:val="20"/>
        </w:rPr>
      </w:pPr>
    </w:p>
    <w:p w14:paraId="06635A39" w14:textId="3AF6924A" w:rsidR="00595D9A" w:rsidRPr="0055764A" w:rsidRDefault="00595D9A" w:rsidP="00595D9A">
      <w:pPr>
        <w:pStyle w:val="Heading1"/>
        <w:tabs>
          <w:tab w:val="left" w:pos="360"/>
        </w:tabs>
        <w:spacing w:before="0"/>
        <w:ind w:hanging="720"/>
        <w:rPr>
          <w:color w:val="auto"/>
          <w:sz w:val="20"/>
          <w:szCs w:val="20"/>
        </w:rPr>
      </w:pPr>
      <w:bookmarkStart w:id="24" w:name="_Toc45105400"/>
      <w:bookmarkStart w:id="25" w:name="_Toc47714178"/>
      <w:bookmarkStart w:id="26" w:name="_Toc150529037"/>
      <w:r w:rsidRPr="0055764A">
        <w:rPr>
          <w:color w:val="auto"/>
          <w:sz w:val="20"/>
          <w:szCs w:val="20"/>
        </w:rPr>
        <w:t xml:space="preserve">REPORT No. </w:t>
      </w:r>
      <w:r w:rsidR="00FC38CC" w:rsidRPr="0055764A">
        <w:rPr>
          <w:color w:val="auto"/>
          <w:sz w:val="20"/>
          <w:szCs w:val="20"/>
        </w:rPr>
        <w:t>161</w:t>
      </w:r>
      <w:r w:rsidRPr="0055764A">
        <w:rPr>
          <w:color w:val="auto"/>
          <w:sz w:val="20"/>
          <w:szCs w:val="20"/>
        </w:rPr>
        <w:t>/</w:t>
      </w:r>
      <w:r w:rsidR="00FC38CC" w:rsidRPr="0055764A">
        <w:rPr>
          <w:color w:val="auto"/>
          <w:sz w:val="20"/>
          <w:szCs w:val="20"/>
        </w:rPr>
        <w:t>19</w:t>
      </w:r>
      <w:r w:rsidRPr="0055764A">
        <w:rPr>
          <w:color w:val="auto"/>
          <w:sz w:val="20"/>
          <w:szCs w:val="20"/>
        </w:rPr>
        <w:t xml:space="preserve"> AND INFORMATION ABOUT COMPLIANCE</w:t>
      </w:r>
      <w:bookmarkEnd w:id="24"/>
      <w:bookmarkEnd w:id="25"/>
      <w:bookmarkEnd w:id="26"/>
    </w:p>
    <w:p w14:paraId="2C8902B1" w14:textId="77777777" w:rsidR="00595D9A" w:rsidRPr="0055764A" w:rsidRDefault="00595D9A" w:rsidP="00595D9A">
      <w:pPr>
        <w:rPr>
          <w:rFonts w:asciiTheme="majorHAnsi" w:hAnsiTheme="majorHAnsi"/>
          <w:sz w:val="20"/>
          <w:szCs w:val="20"/>
        </w:rPr>
      </w:pPr>
    </w:p>
    <w:p w14:paraId="1F390CCE" w14:textId="0C1E4AA2" w:rsidR="00595D9A" w:rsidRPr="0055764A" w:rsidRDefault="00595D9A" w:rsidP="00595D9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540"/>
        </w:tabs>
        <w:autoSpaceDE w:val="0"/>
        <w:autoSpaceDN w:val="0"/>
        <w:adjustRightInd w:val="0"/>
        <w:ind w:left="0" w:firstLine="0"/>
        <w:jc w:val="both"/>
        <w:rPr>
          <w:rFonts w:asciiTheme="majorHAnsi" w:hAnsiTheme="majorHAnsi"/>
          <w:sz w:val="20"/>
          <w:szCs w:val="20"/>
        </w:rPr>
      </w:pPr>
      <w:r w:rsidRPr="0055764A">
        <w:rPr>
          <w:rFonts w:asciiTheme="majorHAnsi" w:hAnsiTheme="majorHAnsi"/>
          <w:sz w:val="20"/>
          <w:szCs w:val="20"/>
        </w:rPr>
        <w:t xml:space="preserve">On </w:t>
      </w:r>
      <w:r w:rsidR="00FC38CC" w:rsidRPr="0055764A">
        <w:rPr>
          <w:rFonts w:asciiTheme="majorHAnsi" w:hAnsiTheme="majorHAnsi"/>
          <w:sz w:val="20"/>
          <w:szCs w:val="20"/>
        </w:rPr>
        <w:t>November 9</w:t>
      </w:r>
      <w:r w:rsidRPr="0055764A">
        <w:rPr>
          <w:rFonts w:asciiTheme="majorHAnsi" w:hAnsiTheme="majorHAnsi"/>
          <w:sz w:val="20"/>
          <w:szCs w:val="20"/>
        </w:rPr>
        <w:t>, 20</w:t>
      </w:r>
      <w:r w:rsidR="00FC38CC" w:rsidRPr="0055764A">
        <w:rPr>
          <w:rFonts w:asciiTheme="majorHAnsi" w:hAnsiTheme="majorHAnsi"/>
          <w:sz w:val="20"/>
          <w:szCs w:val="20"/>
        </w:rPr>
        <w:t>19</w:t>
      </w:r>
      <w:r w:rsidRPr="0055764A">
        <w:rPr>
          <w:rFonts w:asciiTheme="majorHAnsi" w:hAnsiTheme="majorHAnsi"/>
          <w:sz w:val="20"/>
          <w:szCs w:val="20"/>
        </w:rPr>
        <w:t xml:space="preserve">, the Commission approved Report No. </w:t>
      </w:r>
      <w:r w:rsidR="00FC38CC" w:rsidRPr="0055764A">
        <w:rPr>
          <w:rFonts w:asciiTheme="majorHAnsi" w:hAnsiTheme="majorHAnsi"/>
          <w:sz w:val="20"/>
          <w:szCs w:val="20"/>
        </w:rPr>
        <w:t>161</w:t>
      </w:r>
      <w:r w:rsidRPr="0055764A">
        <w:rPr>
          <w:rFonts w:asciiTheme="majorHAnsi" w:hAnsiTheme="majorHAnsi"/>
          <w:sz w:val="20"/>
          <w:szCs w:val="20"/>
        </w:rPr>
        <w:t>/</w:t>
      </w:r>
      <w:r w:rsidR="00FC38CC" w:rsidRPr="0055764A">
        <w:rPr>
          <w:rFonts w:asciiTheme="majorHAnsi" w:hAnsiTheme="majorHAnsi"/>
          <w:sz w:val="20"/>
          <w:szCs w:val="20"/>
        </w:rPr>
        <w:t>19</w:t>
      </w:r>
      <w:r w:rsidRPr="0055764A">
        <w:rPr>
          <w:rFonts w:asciiTheme="majorHAnsi" w:hAnsiTheme="majorHAnsi"/>
          <w:sz w:val="20"/>
          <w:szCs w:val="20"/>
        </w:rPr>
        <w:t xml:space="preserve"> on the merits of the instant case, which encompasses paragraphs 1 to 77 supra, and issued the following recommendations to the State: </w:t>
      </w:r>
    </w:p>
    <w:p w14:paraId="6AACFFC5" w14:textId="77777777" w:rsidR="00595D9A" w:rsidRPr="0055764A" w:rsidRDefault="00595D9A" w:rsidP="00595D9A"/>
    <w:p w14:paraId="31832EB4" w14:textId="77777777" w:rsidR="00595D9A" w:rsidRPr="0055764A" w:rsidRDefault="00595D9A" w:rsidP="00595D9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rPr>
      </w:pPr>
      <w:r w:rsidRPr="0055764A">
        <w:rPr>
          <w:rFonts w:asciiTheme="majorHAnsi" w:hAnsiTheme="majorHAnsi"/>
          <w:sz w:val="20"/>
          <w:szCs w:val="20"/>
        </w:rPr>
        <w:t>Provide reparations to the family of Tracy Lee Housel as a consequence of the violations established in this report.</w:t>
      </w:r>
    </w:p>
    <w:p w14:paraId="10A37141" w14:textId="77777777" w:rsidR="00595D9A" w:rsidRPr="0055764A" w:rsidRDefault="00595D9A" w:rsidP="00595D9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hanging="360"/>
        <w:jc w:val="both"/>
        <w:rPr>
          <w:rFonts w:asciiTheme="majorHAnsi" w:eastAsia="Times New Roman" w:hAnsiTheme="majorHAnsi" w:cs="Tahoma"/>
          <w:sz w:val="20"/>
          <w:szCs w:val="20"/>
          <w:bdr w:val="none" w:sz="0" w:space="0" w:color="auto"/>
        </w:rPr>
      </w:pPr>
    </w:p>
    <w:p w14:paraId="693C977D" w14:textId="77777777" w:rsidR="00595D9A" w:rsidRPr="0055764A" w:rsidRDefault="00595D9A" w:rsidP="00595D9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720"/>
        <w:jc w:val="both"/>
        <w:rPr>
          <w:rFonts w:asciiTheme="majorHAnsi" w:eastAsia="Times New Roman" w:hAnsiTheme="majorHAnsi" w:cs="Tahoma"/>
          <w:sz w:val="20"/>
          <w:szCs w:val="20"/>
          <w:bdr w:val="none" w:sz="0" w:space="0" w:color="auto"/>
        </w:rPr>
      </w:pPr>
      <w:r w:rsidRPr="0055764A">
        <w:rPr>
          <w:rFonts w:asciiTheme="majorHAnsi" w:hAnsiTheme="majorHAnsi"/>
          <w:sz w:val="20"/>
          <w:szCs w:val="20"/>
        </w:rPr>
        <w:t>Review its laws, procedures, and practices at the federal and state level to ensure compliance with the provisions of the American Declaration, specifically to ensure that persons accused of capital crimes are tried and, if convicted, sentenced in accordance with the rights established in the American Declaration,</w:t>
      </w:r>
      <w:r w:rsidRPr="0055764A">
        <w:rPr>
          <w:rStyle w:val="FootnoteReference"/>
          <w:rFonts w:asciiTheme="majorHAnsi" w:hAnsiTheme="majorHAnsi"/>
          <w:sz w:val="20"/>
          <w:szCs w:val="20"/>
        </w:rPr>
        <w:footnoteReference w:id="73"/>
      </w:r>
      <w:r w:rsidRPr="0055764A">
        <w:rPr>
          <w:rFonts w:asciiTheme="majorHAnsi" w:hAnsiTheme="majorHAnsi"/>
          <w:sz w:val="20"/>
          <w:szCs w:val="20"/>
        </w:rPr>
        <w:t xml:space="preserve"> including Articles I, XI, XVIII, XXV and XXVI thereof, and, in particular that: </w:t>
      </w:r>
    </w:p>
    <w:p w14:paraId="548C7E2F" w14:textId="77777777" w:rsidR="00595D9A" w:rsidRPr="0055764A" w:rsidRDefault="00595D9A" w:rsidP="00595D9A">
      <w:pPr>
        <w:pStyle w:val="ListParagraph"/>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1440"/>
        <w:jc w:val="both"/>
        <w:rPr>
          <w:rFonts w:eastAsia="Times New Roman" w:cs="Tahoma"/>
          <w:sz w:val="20"/>
          <w:szCs w:val="20"/>
          <w:bdr w:val="none" w:sz="0" w:space="0" w:color="auto" w:frame="1"/>
        </w:rPr>
      </w:pPr>
      <w:r w:rsidRPr="0055764A">
        <w:rPr>
          <w:sz w:val="20"/>
          <w:szCs w:val="20"/>
          <w:bdr w:val="none" w:sz="0" w:space="0" w:color="auto" w:frame="1"/>
        </w:rPr>
        <w:t xml:space="preserve">trial court-appointed counsel provide adequate legal representation in death penalty cases, including </w:t>
      </w:r>
      <w:r w:rsidRPr="0055764A">
        <w:rPr>
          <w:sz w:val="20"/>
        </w:rPr>
        <w:t>the presentation of mitigating evidence</w:t>
      </w:r>
      <w:r w:rsidRPr="0055764A">
        <w:rPr>
          <w:sz w:val="20"/>
          <w:szCs w:val="20"/>
          <w:bdr w:val="none" w:sz="0" w:space="0" w:color="auto" w:frame="1"/>
        </w:rPr>
        <w:t>; and</w:t>
      </w:r>
    </w:p>
    <w:p w14:paraId="2CD1C0DE" w14:textId="77777777" w:rsidR="00595D9A" w:rsidRPr="0055764A" w:rsidRDefault="00595D9A" w:rsidP="00595D9A">
      <w:pPr>
        <w:pStyle w:val="ListParagraph"/>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1440"/>
        <w:jc w:val="both"/>
        <w:rPr>
          <w:rFonts w:eastAsia="Times New Roman" w:cs="Tahoma"/>
          <w:sz w:val="20"/>
          <w:szCs w:val="20"/>
          <w:bdr w:val="none" w:sz="0" w:space="0" w:color="auto" w:frame="1"/>
        </w:rPr>
      </w:pPr>
      <w:r w:rsidRPr="0055764A">
        <w:rPr>
          <w:rFonts w:asciiTheme="majorHAnsi" w:hAnsiTheme="majorHAnsi"/>
          <w:bCs/>
          <w:color w:val="auto"/>
          <w:sz w:val="20"/>
          <w:szCs w:val="20"/>
        </w:rPr>
        <w:t>evidence of unadjudicated offenses are not introduced during capital sentencing.</w:t>
      </w:r>
    </w:p>
    <w:p w14:paraId="05E0DECB" w14:textId="77777777" w:rsidR="00595D9A" w:rsidRPr="0055764A" w:rsidRDefault="00595D9A" w:rsidP="00595D9A">
      <w:pPr>
        <w:pStyle w:val="ListParagraph"/>
        <w:ind w:hanging="360"/>
        <w:rPr>
          <w:rFonts w:asciiTheme="majorHAnsi" w:eastAsia="Times New Roman" w:hAnsiTheme="majorHAnsi" w:cs="Tahoma"/>
          <w:sz w:val="20"/>
          <w:szCs w:val="20"/>
          <w:bdr w:val="none" w:sz="0" w:space="0" w:color="auto"/>
        </w:rPr>
      </w:pPr>
    </w:p>
    <w:p w14:paraId="1ECFB291" w14:textId="77777777" w:rsidR="00595D9A" w:rsidRPr="0055764A" w:rsidRDefault="00595D9A" w:rsidP="00595D9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cs="Tahoma"/>
          <w:sz w:val="20"/>
          <w:szCs w:val="20"/>
          <w:bdr w:val="none" w:sz="0" w:space="0" w:color="auto"/>
        </w:rPr>
      </w:pPr>
      <w:r w:rsidRPr="0055764A">
        <w:rPr>
          <w:rFonts w:eastAsia="Times New Roman" w:cs="Tahoma"/>
          <w:sz w:val="20"/>
          <w:szCs w:val="20"/>
          <w:bdr w:val="none" w:sz="0" w:space="0" w:color="auto" w:frame="1"/>
        </w:rPr>
        <w:t>Ensure that solitary confinement is only used in exceptional circumstances, for the shortest period possible.</w:t>
      </w:r>
    </w:p>
    <w:p w14:paraId="21022D95" w14:textId="77777777" w:rsidR="00595D9A" w:rsidRPr="0055764A" w:rsidRDefault="00595D9A" w:rsidP="00595D9A">
      <w:pPr>
        <w:pStyle w:val="ListParagraph"/>
        <w:ind w:hanging="360"/>
        <w:rPr>
          <w:rFonts w:asciiTheme="majorHAnsi" w:hAnsiTheme="majorHAnsi" w:cs="Calibri"/>
          <w:sz w:val="20"/>
          <w:szCs w:val="20"/>
        </w:rPr>
      </w:pPr>
    </w:p>
    <w:p w14:paraId="6B9B7CDA" w14:textId="77777777" w:rsidR="00595D9A" w:rsidRPr="0055764A" w:rsidRDefault="00595D9A" w:rsidP="00595D9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cs="Tahoma"/>
          <w:sz w:val="20"/>
          <w:szCs w:val="20"/>
          <w:bdr w:val="none" w:sz="0" w:space="0" w:color="auto"/>
        </w:rPr>
      </w:pPr>
      <w:r w:rsidRPr="0055764A">
        <w:rPr>
          <w:rFonts w:asciiTheme="majorHAnsi" w:hAnsiTheme="majorHAnsi" w:cs="Calibri"/>
          <w:sz w:val="20"/>
          <w:szCs w:val="20"/>
        </w:rPr>
        <w:t>Ensure compliance with the precautionary measures granted by the IACHR for persons facing the death penalty.</w:t>
      </w:r>
    </w:p>
    <w:p w14:paraId="47119B39" w14:textId="77777777" w:rsidR="00595D9A" w:rsidRPr="0055764A" w:rsidRDefault="00595D9A" w:rsidP="00595D9A">
      <w:pPr>
        <w:pBdr>
          <w:top w:val="none" w:sz="0" w:space="0" w:color="auto"/>
          <w:left w:val="none" w:sz="0" w:space="0" w:color="auto"/>
          <w:bottom w:val="none" w:sz="0" w:space="0" w:color="auto"/>
          <w:right w:val="none" w:sz="0" w:space="0" w:color="auto"/>
          <w:between w:val="none" w:sz="0" w:space="0" w:color="auto"/>
          <w:bar w:val="none" w:sz="0" w:color="auto"/>
        </w:pBdr>
        <w:ind w:left="720" w:hanging="360"/>
        <w:jc w:val="both"/>
        <w:rPr>
          <w:rFonts w:eastAsia="Times New Roman" w:cs="Tahoma"/>
          <w:sz w:val="20"/>
          <w:szCs w:val="20"/>
          <w:bdr w:val="none" w:sz="0" w:space="0" w:color="auto"/>
        </w:rPr>
      </w:pPr>
    </w:p>
    <w:p w14:paraId="097CC66E" w14:textId="77777777" w:rsidR="00595D9A" w:rsidRPr="0055764A" w:rsidRDefault="00595D9A" w:rsidP="00595D9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cs="Tahoma"/>
          <w:sz w:val="20"/>
          <w:szCs w:val="20"/>
          <w:bdr w:val="none" w:sz="0" w:space="0" w:color="auto"/>
        </w:rPr>
      </w:pPr>
      <w:r w:rsidRPr="0055764A">
        <w:rPr>
          <w:rFonts w:asciiTheme="majorHAnsi" w:hAnsiTheme="majorHAnsi"/>
          <w:sz w:val="20"/>
        </w:rPr>
        <w:t>Given the violations of the American Declaration the IACHR has established in the present</w:t>
      </w:r>
      <w:r w:rsidRPr="0055764A">
        <w:rPr>
          <w:sz w:val="20"/>
        </w:rPr>
        <w:t xml:space="preserve"> case and in others involving application of the death penalty, the Inter-American Commission also recommends to the United States that it adopt a moratorium on executions of persons sentenced to death.</w:t>
      </w:r>
      <w:r w:rsidRPr="0055764A">
        <w:rPr>
          <w:rStyle w:val="FootnoteReference"/>
          <w:sz w:val="20"/>
        </w:rPr>
        <w:footnoteReference w:id="74"/>
      </w:r>
    </w:p>
    <w:p w14:paraId="1C17BC3D" w14:textId="77777777" w:rsidR="00595D9A" w:rsidRPr="0055764A" w:rsidRDefault="00595D9A" w:rsidP="00595D9A">
      <w:pPr>
        <w:rPr>
          <w:sz w:val="20"/>
          <w:szCs w:val="20"/>
        </w:rPr>
      </w:pPr>
    </w:p>
    <w:p w14:paraId="05E9B0BB" w14:textId="0F5A1637" w:rsidR="00595D9A" w:rsidRPr="0055764A" w:rsidRDefault="00595D9A" w:rsidP="00595D9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 w:val="left" w:pos="1440"/>
        </w:tabs>
        <w:ind w:left="0" w:firstLine="0"/>
        <w:jc w:val="both"/>
        <w:rPr>
          <w:sz w:val="20"/>
          <w:szCs w:val="20"/>
        </w:rPr>
      </w:pPr>
      <w:r w:rsidRPr="0055764A">
        <w:rPr>
          <w:sz w:val="20"/>
          <w:szCs w:val="20"/>
        </w:rPr>
        <w:lastRenderedPageBreak/>
        <w:t xml:space="preserve">On </w:t>
      </w:r>
      <w:r w:rsidR="00FC38CC" w:rsidRPr="0055764A">
        <w:rPr>
          <w:rFonts w:ascii="Cambria" w:eastAsia="Cambria" w:hAnsi="Cambria" w:cs="Cambria"/>
          <w:color w:val="000000"/>
          <w:sz w:val="20"/>
          <w:szCs w:val="20"/>
          <w:u w:color="000000"/>
          <w:lang w:eastAsia="es-ES"/>
        </w:rPr>
        <w:t>December</w:t>
      </w:r>
      <w:r w:rsidRPr="0055764A">
        <w:rPr>
          <w:sz w:val="20"/>
          <w:szCs w:val="20"/>
        </w:rPr>
        <w:t xml:space="preserve"> </w:t>
      </w:r>
      <w:r w:rsidR="00FC38CC" w:rsidRPr="0055764A">
        <w:rPr>
          <w:sz w:val="20"/>
          <w:szCs w:val="20"/>
        </w:rPr>
        <w:t>5</w:t>
      </w:r>
      <w:r w:rsidRPr="0055764A">
        <w:rPr>
          <w:sz w:val="20"/>
          <w:szCs w:val="20"/>
        </w:rPr>
        <w:t>, 20</w:t>
      </w:r>
      <w:r w:rsidR="00FC38CC" w:rsidRPr="0055764A">
        <w:rPr>
          <w:sz w:val="20"/>
          <w:szCs w:val="20"/>
        </w:rPr>
        <w:t>19</w:t>
      </w:r>
      <w:r w:rsidRPr="0055764A">
        <w:rPr>
          <w:sz w:val="20"/>
          <w:szCs w:val="20"/>
        </w:rPr>
        <w:t xml:space="preserve"> the IACHR transmitted the report to the State with a time period of </w:t>
      </w:r>
      <w:r w:rsidR="00FC38CC" w:rsidRPr="0055764A">
        <w:rPr>
          <w:sz w:val="20"/>
          <w:szCs w:val="20"/>
        </w:rPr>
        <w:t>two</w:t>
      </w:r>
      <w:r w:rsidRPr="0055764A">
        <w:rPr>
          <w:sz w:val="20"/>
          <w:szCs w:val="20"/>
        </w:rPr>
        <w:t xml:space="preserve"> </w:t>
      </w:r>
      <w:r w:rsidR="00FC38CC" w:rsidRPr="0055764A">
        <w:rPr>
          <w:sz w:val="20"/>
          <w:szCs w:val="20"/>
        </w:rPr>
        <w:t xml:space="preserve">months </w:t>
      </w:r>
      <w:r w:rsidRPr="0055764A">
        <w:rPr>
          <w:sz w:val="20"/>
          <w:szCs w:val="20"/>
        </w:rPr>
        <w:t xml:space="preserve">to inform the Commission on the measures taken to comply with its recommendations. To date, the Commission has not received any response from the United States regarding report No. </w:t>
      </w:r>
      <w:r w:rsidR="00FC38CC" w:rsidRPr="0055764A">
        <w:rPr>
          <w:sz w:val="20"/>
          <w:szCs w:val="20"/>
        </w:rPr>
        <w:t>161</w:t>
      </w:r>
      <w:r w:rsidRPr="0055764A">
        <w:rPr>
          <w:sz w:val="20"/>
          <w:szCs w:val="20"/>
        </w:rPr>
        <w:t>/</w:t>
      </w:r>
      <w:r w:rsidR="00FC38CC" w:rsidRPr="0055764A">
        <w:rPr>
          <w:sz w:val="20"/>
          <w:szCs w:val="20"/>
        </w:rPr>
        <w:t>19</w:t>
      </w:r>
      <w:r w:rsidRPr="0055764A">
        <w:rPr>
          <w:sz w:val="20"/>
          <w:szCs w:val="20"/>
        </w:rPr>
        <w:t>.</w:t>
      </w:r>
    </w:p>
    <w:p w14:paraId="302F9D2B" w14:textId="4D33B91F" w:rsidR="0055764A" w:rsidRDefault="0055764A" w:rsidP="0055764A">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jc w:val="both"/>
        <w:rPr>
          <w:rFonts w:asciiTheme="majorHAnsi" w:hAnsiTheme="majorHAnsi"/>
          <w:color w:val="000000" w:themeColor="text1"/>
          <w:sz w:val="20"/>
          <w:szCs w:val="20"/>
        </w:rPr>
      </w:pPr>
    </w:p>
    <w:p w14:paraId="2DAD4195" w14:textId="5EE6CBC0" w:rsidR="0055764A" w:rsidRPr="00517E72" w:rsidRDefault="0055764A" w:rsidP="0055764A">
      <w:pPr>
        <w:pStyle w:val="Heading1"/>
        <w:spacing w:before="0"/>
        <w:ind w:hanging="720"/>
        <w:rPr>
          <w:color w:val="auto"/>
          <w:sz w:val="20"/>
          <w:szCs w:val="20"/>
        </w:rPr>
      </w:pPr>
      <w:bookmarkStart w:id="27" w:name="_Toc26550943"/>
      <w:bookmarkStart w:id="28" w:name="_Toc87522016"/>
      <w:bookmarkStart w:id="29" w:name="_Toc90115136"/>
      <w:bookmarkStart w:id="30" w:name="_Toc90283315"/>
      <w:bookmarkStart w:id="31" w:name="_Toc90284149"/>
      <w:bookmarkStart w:id="32" w:name="_Toc90289383"/>
      <w:bookmarkStart w:id="33" w:name="_Toc90291522"/>
      <w:bookmarkStart w:id="34" w:name="_Toc90297887"/>
      <w:bookmarkStart w:id="35" w:name="_Toc90300529"/>
      <w:bookmarkStart w:id="36" w:name="_Toc150529038"/>
      <w:r w:rsidRPr="00517E72">
        <w:rPr>
          <w:color w:val="auto"/>
          <w:sz w:val="20"/>
          <w:szCs w:val="20"/>
        </w:rPr>
        <w:t>ACTIONS SUBSEQUENT TO REPORT No. 335/</w:t>
      </w:r>
      <w:bookmarkEnd w:id="27"/>
      <w:r w:rsidRPr="00517E72">
        <w:rPr>
          <w:color w:val="auto"/>
          <w:sz w:val="20"/>
          <w:szCs w:val="20"/>
        </w:rPr>
        <w:t>2</w:t>
      </w:r>
      <w:bookmarkEnd w:id="28"/>
      <w:r w:rsidRPr="00517E72">
        <w:rPr>
          <w:color w:val="auto"/>
          <w:sz w:val="20"/>
          <w:szCs w:val="20"/>
        </w:rPr>
        <w:t>1</w:t>
      </w:r>
      <w:bookmarkEnd w:id="29"/>
      <w:bookmarkEnd w:id="30"/>
      <w:bookmarkEnd w:id="31"/>
      <w:bookmarkEnd w:id="32"/>
      <w:bookmarkEnd w:id="33"/>
      <w:bookmarkEnd w:id="34"/>
      <w:bookmarkEnd w:id="35"/>
      <w:bookmarkEnd w:id="36"/>
    </w:p>
    <w:p w14:paraId="6AB9B0A1" w14:textId="77777777" w:rsidR="0055764A" w:rsidRPr="000B0BA6" w:rsidRDefault="0055764A" w:rsidP="0055764A">
      <w:pPr>
        <w:rPr>
          <w:sz w:val="20"/>
          <w:szCs w:val="20"/>
          <w:highlight w:val="yellow"/>
        </w:rPr>
      </w:pPr>
    </w:p>
    <w:p w14:paraId="70B9FB39" w14:textId="23EFB521" w:rsidR="0055764A" w:rsidRPr="00517E72" w:rsidRDefault="0055764A" w:rsidP="0055764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 w:val="num" w:pos="720"/>
          <w:tab w:val="left" w:pos="1440"/>
        </w:tabs>
        <w:ind w:left="0" w:firstLine="0"/>
        <w:jc w:val="both"/>
        <w:rPr>
          <w:sz w:val="20"/>
          <w:szCs w:val="20"/>
        </w:rPr>
      </w:pPr>
      <w:r w:rsidRPr="00517E72">
        <w:rPr>
          <w:sz w:val="20"/>
          <w:szCs w:val="20"/>
        </w:rPr>
        <w:t>On</w:t>
      </w:r>
      <w:r w:rsidRPr="00517E72">
        <w:rPr>
          <w:rFonts w:ascii="Cambria" w:hAnsi="Cambria"/>
          <w:sz w:val="20"/>
          <w:szCs w:val="20"/>
        </w:rPr>
        <w:t xml:space="preserve"> November 22, 2021, the Commission approved Final Merits Report No. 335/21, which encompasses paragraphs 1 to 79 </w:t>
      </w:r>
      <w:r w:rsidRPr="00517E72">
        <w:rPr>
          <w:rFonts w:ascii="Cambria" w:hAnsi="Cambria"/>
          <w:i/>
          <w:sz w:val="20"/>
          <w:szCs w:val="20"/>
        </w:rPr>
        <w:t>supra</w:t>
      </w:r>
      <w:r w:rsidRPr="00517E72">
        <w:rPr>
          <w:rFonts w:ascii="Cambria" w:hAnsi="Cambria"/>
          <w:sz w:val="20"/>
          <w:szCs w:val="20"/>
        </w:rPr>
        <w:t>, and issued its final conclusions and recommendations to the State. On December 7, 2021, the Commission transmitted the report to the State and the petitioners with a time period of three weeks to inform the Inter-American Commission on the measures taken to comply with its recommendations. To date, the IACHR has not received any response from the United States or the petitioners regarding Report No. 335/21.</w:t>
      </w:r>
    </w:p>
    <w:p w14:paraId="27C7F256" w14:textId="77777777" w:rsidR="00B329C9" w:rsidRPr="00DE2580" w:rsidRDefault="00B329C9" w:rsidP="006C379B">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eastAsia="Times New Roman"/>
          <w:bCs/>
          <w:sz w:val="20"/>
          <w:szCs w:val="20"/>
          <w:bdr w:val="none" w:sz="0" w:space="0" w:color="auto"/>
        </w:rPr>
      </w:pPr>
    </w:p>
    <w:p w14:paraId="669E713F" w14:textId="56CF64FD" w:rsidR="001C4006" w:rsidRPr="0055764A" w:rsidRDefault="009F6EFC" w:rsidP="009011A8">
      <w:pPr>
        <w:pStyle w:val="Heading1"/>
        <w:tabs>
          <w:tab w:val="left" w:pos="360"/>
        </w:tabs>
        <w:spacing w:before="0"/>
        <w:ind w:hanging="720"/>
        <w:rPr>
          <w:color w:val="auto"/>
          <w:sz w:val="20"/>
          <w:szCs w:val="20"/>
        </w:rPr>
      </w:pPr>
      <w:bookmarkStart w:id="37" w:name="_Toc150529039"/>
      <w:r w:rsidRPr="0055764A">
        <w:rPr>
          <w:color w:val="auto"/>
          <w:sz w:val="20"/>
          <w:szCs w:val="20"/>
        </w:rPr>
        <w:t xml:space="preserve">FINAL </w:t>
      </w:r>
      <w:r w:rsidR="001C4006" w:rsidRPr="0055764A">
        <w:rPr>
          <w:color w:val="auto"/>
          <w:sz w:val="20"/>
          <w:szCs w:val="20"/>
        </w:rPr>
        <w:t>CONCLUSIONS AND RECOMMENDATIONS</w:t>
      </w:r>
      <w:bookmarkEnd w:id="37"/>
    </w:p>
    <w:p w14:paraId="676B5C4B" w14:textId="77777777" w:rsidR="00576D19" w:rsidRPr="0055764A" w:rsidRDefault="00576D19" w:rsidP="00576D19">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s>
        <w:jc w:val="both"/>
        <w:rPr>
          <w:rFonts w:asciiTheme="majorHAnsi" w:hAnsiTheme="majorHAnsi"/>
          <w:b/>
          <w:sz w:val="20"/>
          <w:szCs w:val="20"/>
        </w:rPr>
      </w:pPr>
    </w:p>
    <w:p w14:paraId="1CC0A45B" w14:textId="5D86D86C" w:rsidR="0064712F" w:rsidRPr="0055764A" w:rsidRDefault="00F1763D" w:rsidP="009011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55764A">
        <w:rPr>
          <w:rFonts w:asciiTheme="majorHAnsi" w:hAnsiTheme="majorHAnsi"/>
          <w:color w:val="000000" w:themeColor="text1"/>
          <w:sz w:val="20"/>
          <w:szCs w:val="20"/>
        </w:rPr>
        <w:t>On the basis of determinations of fact and law, the Inter-American Commission conclude</w:t>
      </w:r>
      <w:r w:rsidR="00D80440" w:rsidRPr="0055764A">
        <w:rPr>
          <w:rFonts w:asciiTheme="majorHAnsi" w:hAnsiTheme="majorHAnsi"/>
          <w:color w:val="000000" w:themeColor="text1"/>
          <w:sz w:val="20"/>
          <w:szCs w:val="20"/>
        </w:rPr>
        <w:t>s</w:t>
      </w:r>
      <w:r w:rsidRPr="0055764A">
        <w:rPr>
          <w:rFonts w:asciiTheme="majorHAnsi" w:hAnsiTheme="majorHAnsi"/>
          <w:color w:val="000000" w:themeColor="text1"/>
          <w:sz w:val="20"/>
          <w:szCs w:val="20"/>
        </w:rPr>
        <w:t xml:space="preserve"> that the State is responsible for the violation of Articles </w:t>
      </w:r>
      <w:r w:rsidR="00B871DF" w:rsidRPr="0055764A">
        <w:rPr>
          <w:rFonts w:asciiTheme="majorHAnsi" w:hAnsiTheme="majorHAnsi"/>
          <w:color w:val="000000" w:themeColor="text1"/>
          <w:sz w:val="20"/>
          <w:szCs w:val="20"/>
        </w:rPr>
        <w:t>I (life)</w:t>
      </w:r>
      <w:r w:rsidR="000550C0" w:rsidRPr="0055764A">
        <w:rPr>
          <w:rFonts w:asciiTheme="majorHAnsi" w:hAnsiTheme="majorHAnsi"/>
          <w:color w:val="000000" w:themeColor="text1"/>
          <w:sz w:val="20"/>
          <w:szCs w:val="20"/>
        </w:rPr>
        <w:t xml:space="preserve">, </w:t>
      </w:r>
      <w:r w:rsidR="00E42D2B" w:rsidRPr="0055764A">
        <w:rPr>
          <w:rFonts w:asciiTheme="majorHAnsi" w:hAnsiTheme="majorHAnsi"/>
          <w:color w:val="000000" w:themeColor="text1"/>
          <w:sz w:val="20"/>
          <w:szCs w:val="20"/>
        </w:rPr>
        <w:t xml:space="preserve">XI (health), </w:t>
      </w:r>
      <w:r w:rsidR="00865D73" w:rsidRPr="0055764A">
        <w:rPr>
          <w:rFonts w:asciiTheme="majorHAnsi" w:hAnsiTheme="majorHAnsi"/>
          <w:color w:val="000000" w:themeColor="text1"/>
          <w:sz w:val="20"/>
          <w:szCs w:val="20"/>
        </w:rPr>
        <w:t xml:space="preserve">XVIII (fair trial), </w:t>
      </w:r>
      <w:r w:rsidR="008A4398" w:rsidRPr="0055764A">
        <w:rPr>
          <w:rFonts w:asciiTheme="majorHAnsi" w:hAnsiTheme="majorHAnsi"/>
          <w:color w:val="000000" w:themeColor="text1"/>
          <w:sz w:val="20"/>
          <w:szCs w:val="20"/>
        </w:rPr>
        <w:t>XXIV (petition)</w:t>
      </w:r>
      <w:r w:rsidR="00C7262E" w:rsidRPr="0055764A">
        <w:rPr>
          <w:rFonts w:asciiTheme="majorHAnsi" w:hAnsiTheme="majorHAnsi"/>
          <w:color w:val="000000" w:themeColor="text1"/>
          <w:sz w:val="20"/>
          <w:szCs w:val="20"/>
        </w:rPr>
        <w:t>, XXV (protection from arbitrary arrest)</w:t>
      </w:r>
      <w:r w:rsidR="008A4398" w:rsidRPr="0055764A">
        <w:rPr>
          <w:rFonts w:asciiTheme="majorHAnsi" w:hAnsiTheme="majorHAnsi"/>
          <w:color w:val="000000" w:themeColor="text1"/>
          <w:sz w:val="20"/>
          <w:szCs w:val="20"/>
        </w:rPr>
        <w:t xml:space="preserve"> and </w:t>
      </w:r>
      <w:r w:rsidR="000550C0" w:rsidRPr="0055764A">
        <w:rPr>
          <w:rFonts w:asciiTheme="majorHAnsi" w:hAnsiTheme="majorHAnsi"/>
          <w:color w:val="000000" w:themeColor="text1"/>
          <w:sz w:val="20"/>
          <w:szCs w:val="20"/>
        </w:rPr>
        <w:t>XXV</w:t>
      </w:r>
      <w:r w:rsidR="00865D73" w:rsidRPr="0055764A">
        <w:rPr>
          <w:rFonts w:asciiTheme="majorHAnsi" w:hAnsiTheme="majorHAnsi"/>
          <w:color w:val="000000" w:themeColor="text1"/>
          <w:sz w:val="20"/>
          <w:szCs w:val="20"/>
        </w:rPr>
        <w:t>I</w:t>
      </w:r>
      <w:r w:rsidR="000550C0" w:rsidRPr="0055764A">
        <w:rPr>
          <w:rFonts w:asciiTheme="majorHAnsi" w:hAnsiTheme="majorHAnsi"/>
          <w:color w:val="000000" w:themeColor="text1"/>
          <w:sz w:val="20"/>
          <w:szCs w:val="20"/>
        </w:rPr>
        <w:t xml:space="preserve"> (</w:t>
      </w:r>
      <w:r w:rsidR="00865D73" w:rsidRPr="0055764A">
        <w:rPr>
          <w:rFonts w:asciiTheme="majorHAnsi" w:hAnsiTheme="majorHAnsi"/>
          <w:color w:val="000000" w:themeColor="text1"/>
          <w:sz w:val="20"/>
          <w:szCs w:val="20"/>
        </w:rPr>
        <w:t>due process of law</w:t>
      </w:r>
      <w:r w:rsidR="00985A4B" w:rsidRPr="0055764A">
        <w:rPr>
          <w:rFonts w:asciiTheme="majorHAnsi" w:hAnsiTheme="majorHAnsi"/>
          <w:color w:val="000000" w:themeColor="text1"/>
          <w:sz w:val="20"/>
          <w:szCs w:val="20"/>
        </w:rPr>
        <w:t>)</w:t>
      </w:r>
      <w:r w:rsidR="008A4398" w:rsidRPr="0055764A">
        <w:rPr>
          <w:rFonts w:asciiTheme="majorHAnsi" w:hAnsiTheme="majorHAnsi"/>
          <w:color w:val="000000" w:themeColor="text1"/>
          <w:sz w:val="20"/>
          <w:szCs w:val="20"/>
        </w:rPr>
        <w:t xml:space="preserve"> </w:t>
      </w:r>
      <w:r w:rsidRPr="0055764A">
        <w:rPr>
          <w:rFonts w:asciiTheme="majorHAnsi" w:hAnsiTheme="majorHAnsi"/>
          <w:color w:val="000000" w:themeColor="text1"/>
          <w:sz w:val="20"/>
          <w:szCs w:val="20"/>
        </w:rPr>
        <w:t xml:space="preserve">of the American Declaration. </w:t>
      </w:r>
    </w:p>
    <w:p w14:paraId="256DFB3F" w14:textId="77777777" w:rsidR="00BA7984" w:rsidRPr="0055764A" w:rsidRDefault="00BA7984" w:rsidP="00085F65">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Cambria" w:hAnsi="Cambria"/>
          <w:sz w:val="20"/>
          <w:szCs w:val="20"/>
        </w:rPr>
      </w:pPr>
    </w:p>
    <w:p w14:paraId="074C5E9B" w14:textId="39456553" w:rsidR="001C4006" w:rsidRPr="00DE2580" w:rsidRDefault="001C4006" w:rsidP="001965CC">
      <w:pPr>
        <w:jc w:val="both"/>
        <w:rPr>
          <w:rFonts w:ascii="Cambria" w:hAnsi="Cambria"/>
          <w:b/>
          <w:sz w:val="20"/>
          <w:szCs w:val="20"/>
        </w:rPr>
      </w:pPr>
      <w:r w:rsidRPr="0055764A">
        <w:rPr>
          <w:rFonts w:ascii="Cambria" w:hAnsi="Cambria"/>
          <w:b/>
          <w:sz w:val="20"/>
          <w:szCs w:val="20"/>
        </w:rPr>
        <w:t>THE INTER-AMERICAN COMMISSION ON HUMAN RIGHTS RE</w:t>
      </w:r>
      <w:r w:rsidR="00FC38CC" w:rsidRPr="0055764A">
        <w:rPr>
          <w:rFonts w:ascii="Cambria" w:hAnsi="Cambria"/>
          <w:b/>
          <w:sz w:val="20"/>
          <w:szCs w:val="20"/>
        </w:rPr>
        <w:t>ITERATES</w:t>
      </w:r>
      <w:r w:rsidRPr="0055764A">
        <w:rPr>
          <w:rFonts w:ascii="Cambria" w:hAnsi="Cambria"/>
          <w:b/>
          <w:sz w:val="20"/>
          <w:szCs w:val="20"/>
        </w:rPr>
        <w:t xml:space="preserve"> THAT THE </w:t>
      </w:r>
      <w:r w:rsidR="002E432F" w:rsidRPr="0055764A">
        <w:rPr>
          <w:rFonts w:ascii="Cambria" w:hAnsi="Cambria"/>
          <w:b/>
          <w:sz w:val="20"/>
          <w:szCs w:val="20"/>
        </w:rPr>
        <w:t xml:space="preserve">UNITED </w:t>
      </w:r>
      <w:r w:rsidRPr="0055764A">
        <w:rPr>
          <w:rFonts w:ascii="Cambria" w:hAnsi="Cambria"/>
          <w:b/>
          <w:sz w:val="20"/>
          <w:szCs w:val="20"/>
        </w:rPr>
        <w:t>STATE</w:t>
      </w:r>
      <w:r w:rsidR="002E432F" w:rsidRPr="0055764A">
        <w:rPr>
          <w:rFonts w:ascii="Cambria" w:hAnsi="Cambria"/>
          <w:b/>
          <w:sz w:val="20"/>
          <w:szCs w:val="20"/>
        </w:rPr>
        <w:t>S</w:t>
      </w:r>
      <w:r w:rsidRPr="0055764A">
        <w:rPr>
          <w:rFonts w:ascii="Cambria" w:hAnsi="Cambria"/>
          <w:b/>
          <w:sz w:val="20"/>
          <w:szCs w:val="20"/>
        </w:rPr>
        <w:t xml:space="preserve"> OF</w:t>
      </w:r>
      <w:r w:rsidR="002E432F" w:rsidRPr="0055764A">
        <w:rPr>
          <w:rFonts w:ascii="Cambria" w:hAnsi="Cambria"/>
          <w:b/>
          <w:sz w:val="20"/>
          <w:szCs w:val="20"/>
        </w:rPr>
        <w:t xml:space="preserve"> AMERICA</w:t>
      </w:r>
      <w:r w:rsidRPr="0055764A">
        <w:rPr>
          <w:rFonts w:ascii="Cambria" w:hAnsi="Cambria"/>
          <w:b/>
          <w:sz w:val="20"/>
          <w:szCs w:val="20"/>
        </w:rPr>
        <w:t>,</w:t>
      </w:r>
    </w:p>
    <w:p w14:paraId="1C2982D6" w14:textId="77777777" w:rsidR="00676345" w:rsidRPr="00DE2580" w:rsidRDefault="00676345" w:rsidP="00E42D2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Tahoma"/>
          <w:sz w:val="20"/>
          <w:szCs w:val="20"/>
          <w:bdr w:val="none" w:sz="0" w:space="0" w:color="auto"/>
        </w:rPr>
      </w:pPr>
    </w:p>
    <w:p w14:paraId="791405CA" w14:textId="312CA96B" w:rsidR="00E42D2B" w:rsidRPr="000F00BB" w:rsidRDefault="00E42D2B" w:rsidP="000F00BB">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rPr>
      </w:pPr>
      <w:r w:rsidRPr="000F00BB">
        <w:rPr>
          <w:rFonts w:asciiTheme="majorHAnsi" w:hAnsiTheme="majorHAnsi"/>
          <w:sz w:val="20"/>
          <w:szCs w:val="20"/>
        </w:rPr>
        <w:t>Provide reparations to the family of Tracy Lee Housel as a consequence of the violations established in this report.</w:t>
      </w:r>
    </w:p>
    <w:p w14:paraId="102F16BD" w14:textId="77777777" w:rsidR="00E42D2B" w:rsidRPr="00DE2580" w:rsidRDefault="00E42D2B" w:rsidP="00B329C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hanging="360"/>
        <w:jc w:val="both"/>
        <w:rPr>
          <w:rFonts w:asciiTheme="majorHAnsi" w:eastAsia="Times New Roman" w:hAnsiTheme="majorHAnsi" w:cs="Tahoma"/>
          <w:sz w:val="20"/>
          <w:szCs w:val="20"/>
          <w:bdr w:val="none" w:sz="0" w:space="0" w:color="auto"/>
        </w:rPr>
      </w:pPr>
    </w:p>
    <w:p w14:paraId="798809FA" w14:textId="2DB2B892" w:rsidR="00E42D2B" w:rsidRPr="000F00BB" w:rsidRDefault="00E42D2B" w:rsidP="000F00BB">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cs="Tahoma"/>
          <w:sz w:val="20"/>
          <w:szCs w:val="20"/>
          <w:bdr w:val="none" w:sz="0" w:space="0" w:color="auto"/>
        </w:rPr>
      </w:pPr>
      <w:r w:rsidRPr="000F00BB">
        <w:rPr>
          <w:rFonts w:asciiTheme="majorHAnsi" w:hAnsiTheme="majorHAnsi"/>
          <w:sz w:val="20"/>
          <w:szCs w:val="20"/>
        </w:rPr>
        <w:t>Review its laws, procedures, and practices at the federal and state level to ensure compliance with the provisions of the American Declaration, specifically to ensure that persons accused of capital crimes are tried and, if convicted, sentenced in accordance with the rights established in the American Declaration,</w:t>
      </w:r>
      <w:r w:rsidR="00D10133" w:rsidRPr="00DE2580">
        <w:rPr>
          <w:rStyle w:val="FootnoteReference"/>
          <w:rFonts w:asciiTheme="majorHAnsi" w:hAnsiTheme="majorHAnsi"/>
          <w:sz w:val="20"/>
          <w:szCs w:val="20"/>
        </w:rPr>
        <w:footnoteReference w:id="75"/>
      </w:r>
      <w:r w:rsidRPr="000F00BB">
        <w:rPr>
          <w:rFonts w:asciiTheme="majorHAnsi" w:hAnsiTheme="majorHAnsi"/>
          <w:sz w:val="20"/>
          <w:szCs w:val="20"/>
        </w:rPr>
        <w:t xml:space="preserve"> including Articles I, XI, XVIII, XXV and XXVI thereof</w:t>
      </w:r>
      <w:bookmarkStart w:id="38" w:name="_ftn34"/>
      <w:bookmarkEnd w:id="38"/>
      <w:r w:rsidR="00D10133" w:rsidRPr="000F00BB">
        <w:rPr>
          <w:rFonts w:asciiTheme="majorHAnsi" w:hAnsiTheme="majorHAnsi"/>
          <w:sz w:val="20"/>
          <w:szCs w:val="20"/>
        </w:rPr>
        <w:t>, and, in particular that:</w:t>
      </w:r>
      <w:r w:rsidRPr="000F00BB">
        <w:rPr>
          <w:rFonts w:asciiTheme="majorHAnsi" w:hAnsiTheme="majorHAnsi"/>
          <w:sz w:val="20"/>
          <w:szCs w:val="20"/>
        </w:rPr>
        <w:t xml:space="preserve"> </w:t>
      </w:r>
    </w:p>
    <w:p w14:paraId="6B591028" w14:textId="77777777" w:rsidR="00D10133" w:rsidRPr="00DE2580" w:rsidRDefault="00D10133" w:rsidP="00D10133">
      <w:pPr>
        <w:pStyle w:val="ListParagraph"/>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1440"/>
        <w:jc w:val="both"/>
        <w:rPr>
          <w:rFonts w:eastAsia="Times New Roman" w:cs="Tahoma"/>
          <w:sz w:val="20"/>
          <w:szCs w:val="20"/>
          <w:bdr w:val="none" w:sz="0" w:space="0" w:color="auto" w:frame="1"/>
        </w:rPr>
      </w:pPr>
      <w:r w:rsidRPr="00DE2580">
        <w:rPr>
          <w:sz w:val="20"/>
          <w:szCs w:val="20"/>
          <w:bdr w:val="none" w:sz="0" w:space="0" w:color="auto" w:frame="1"/>
        </w:rPr>
        <w:t xml:space="preserve">trial court-appointed counsel provide adequate legal representation in death penalty cases, including </w:t>
      </w:r>
      <w:r w:rsidRPr="00DE2580">
        <w:rPr>
          <w:sz w:val="20"/>
        </w:rPr>
        <w:t>the presentation of mitigating evidence</w:t>
      </w:r>
      <w:r w:rsidRPr="00DE2580">
        <w:rPr>
          <w:sz w:val="20"/>
          <w:szCs w:val="20"/>
          <w:bdr w:val="none" w:sz="0" w:space="0" w:color="auto" w:frame="1"/>
        </w:rPr>
        <w:t>; and</w:t>
      </w:r>
    </w:p>
    <w:p w14:paraId="52CDC0DF" w14:textId="77777777" w:rsidR="00D10133" w:rsidRPr="00DE2580" w:rsidRDefault="00D10133" w:rsidP="00D10133">
      <w:pPr>
        <w:pStyle w:val="ListParagraph"/>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1440"/>
        <w:jc w:val="both"/>
        <w:rPr>
          <w:rFonts w:eastAsia="Times New Roman" w:cs="Tahoma"/>
          <w:sz w:val="20"/>
          <w:szCs w:val="20"/>
          <w:bdr w:val="none" w:sz="0" w:space="0" w:color="auto" w:frame="1"/>
        </w:rPr>
      </w:pPr>
      <w:r w:rsidRPr="00DE2580">
        <w:rPr>
          <w:rFonts w:asciiTheme="majorHAnsi" w:hAnsiTheme="majorHAnsi"/>
          <w:bCs/>
          <w:color w:val="auto"/>
          <w:sz w:val="20"/>
          <w:szCs w:val="20"/>
        </w:rPr>
        <w:t>evidence of unadjudicated offenses are not introduced during capital sentencing.</w:t>
      </w:r>
    </w:p>
    <w:p w14:paraId="072A182E" w14:textId="77777777" w:rsidR="00E42D2B" w:rsidRPr="00DE2580" w:rsidRDefault="00E42D2B" w:rsidP="00B329C9">
      <w:pPr>
        <w:pStyle w:val="ListParagraph"/>
        <w:ind w:hanging="360"/>
        <w:rPr>
          <w:rFonts w:asciiTheme="majorHAnsi" w:eastAsia="Times New Roman" w:hAnsiTheme="majorHAnsi" w:cs="Tahoma"/>
          <w:sz w:val="20"/>
          <w:szCs w:val="20"/>
          <w:bdr w:val="none" w:sz="0" w:space="0" w:color="auto"/>
        </w:rPr>
      </w:pPr>
    </w:p>
    <w:p w14:paraId="1B45BBFE" w14:textId="4F629504" w:rsidR="00E42D2B" w:rsidRPr="00DE2580" w:rsidRDefault="00E42D2B" w:rsidP="000F00BB">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cs="Tahoma"/>
          <w:sz w:val="20"/>
          <w:szCs w:val="20"/>
          <w:bdr w:val="none" w:sz="0" w:space="0" w:color="auto"/>
        </w:rPr>
      </w:pPr>
      <w:r w:rsidRPr="000F00BB">
        <w:rPr>
          <w:rFonts w:asciiTheme="majorHAnsi" w:hAnsiTheme="majorHAnsi"/>
          <w:sz w:val="20"/>
          <w:szCs w:val="20"/>
        </w:rPr>
        <w:t>Ensure</w:t>
      </w:r>
      <w:r w:rsidRPr="00DE2580">
        <w:rPr>
          <w:rFonts w:eastAsia="Times New Roman" w:cs="Tahoma"/>
          <w:sz w:val="20"/>
          <w:szCs w:val="20"/>
          <w:bdr w:val="none" w:sz="0" w:space="0" w:color="auto" w:frame="1"/>
        </w:rPr>
        <w:t xml:space="preserve"> that solitary confinement is only used in exceptional circumstances, for the shortest period possible.</w:t>
      </w:r>
    </w:p>
    <w:p w14:paraId="345DE919" w14:textId="77777777" w:rsidR="00E42D2B" w:rsidRPr="00DE2580" w:rsidRDefault="00E42D2B" w:rsidP="00B329C9">
      <w:pPr>
        <w:pStyle w:val="ListParagraph"/>
        <w:ind w:hanging="360"/>
        <w:rPr>
          <w:rFonts w:asciiTheme="majorHAnsi" w:hAnsiTheme="majorHAnsi" w:cs="Calibri"/>
          <w:sz w:val="20"/>
          <w:szCs w:val="20"/>
        </w:rPr>
      </w:pPr>
    </w:p>
    <w:p w14:paraId="11C4293E" w14:textId="77777777" w:rsidR="00E42D2B" w:rsidRPr="00DE2580" w:rsidRDefault="00E42D2B" w:rsidP="000F00BB">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cs="Tahoma"/>
          <w:sz w:val="20"/>
          <w:szCs w:val="20"/>
          <w:bdr w:val="none" w:sz="0" w:space="0" w:color="auto"/>
        </w:rPr>
      </w:pPr>
      <w:r w:rsidRPr="000F00BB">
        <w:rPr>
          <w:rFonts w:asciiTheme="majorHAnsi" w:hAnsiTheme="majorHAnsi"/>
          <w:sz w:val="20"/>
          <w:szCs w:val="20"/>
        </w:rPr>
        <w:t>Ensure</w:t>
      </w:r>
      <w:r w:rsidRPr="00DE2580">
        <w:rPr>
          <w:rFonts w:asciiTheme="majorHAnsi" w:hAnsiTheme="majorHAnsi" w:cs="Calibri"/>
          <w:sz w:val="20"/>
          <w:szCs w:val="20"/>
        </w:rPr>
        <w:t xml:space="preserve"> compliance with the precautionary measures granted by the IACHR for persons facing the death penalty.</w:t>
      </w:r>
    </w:p>
    <w:p w14:paraId="2D6EFC1A" w14:textId="77777777" w:rsidR="00E42D2B" w:rsidRPr="00DE2580" w:rsidRDefault="00E42D2B" w:rsidP="00B329C9">
      <w:pPr>
        <w:pBdr>
          <w:top w:val="none" w:sz="0" w:space="0" w:color="auto"/>
          <w:left w:val="none" w:sz="0" w:space="0" w:color="auto"/>
          <w:bottom w:val="none" w:sz="0" w:space="0" w:color="auto"/>
          <w:right w:val="none" w:sz="0" w:space="0" w:color="auto"/>
          <w:between w:val="none" w:sz="0" w:space="0" w:color="auto"/>
          <w:bar w:val="none" w:sz="0" w:color="auto"/>
        </w:pBdr>
        <w:ind w:left="720" w:hanging="360"/>
        <w:jc w:val="both"/>
        <w:rPr>
          <w:rFonts w:eastAsia="Times New Roman" w:cs="Tahoma"/>
          <w:sz w:val="20"/>
          <w:szCs w:val="20"/>
          <w:bdr w:val="none" w:sz="0" w:space="0" w:color="auto"/>
        </w:rPr>
      </w:pPr>
    </w:p>
    <w:p w14:paraId="15CA3D5A" w14:textId="77777777" w:rsidR="00E42D2B" w:rsidRPr="00DE2580" w:rsidRDefault="00E42D2B" w:rsidP="000F00BB">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cs="Tahoma"/>
          <w:sz w:val="20"/>
          <w:szCs w:val="20"/>
          <w:bdr w:val="none" w:sz="0" w:space="0" w:color="auto"/>
        </w:rPr>
      </w:pPr>
      <w:r w:rsidRPr="000F00BB">
        <w:rPr>
          <w:rFonts w:asciiTheme="majorHAnsi" w:hAnsiTheme="majorHAnsi"/>
          <w:sz w:val="20"/>
          <w:szCs w:val="20"/>
        </w:rPr>
        <w:t>Given</w:t>
      </w:r>
      <w:r w:rsidRPr="00DE2580">
        <w:rPr>
          <w:rFonts w:asciiTheme="majorHAnsi" w:hAnsiTheme="majorHAnsi"/>
          <w:sz w:val="20"/>
        </w:rPr>
        <w:t xml:space="preserve"> the violations of the American Declaration the IACHR has established in the present</w:t>
      </w:r>
      <w:r w:rsidRPr="00DE2580">
        <w:rPr>
          <w:sz w:val="20"/>
        </w:rPr>
        <w:t xml:space="preserve"> case and in others involving application of the death penalty, the Inter-American Commission also recommends to the United States that it adopt a moratorium on executions of persons sentenced to death.</w:t>
      </w:r>
      <w:r w:rsidRPr="00DE2580">
        <w:rPr>
          <w:rStyle w:val="FootnoteReference"/>
          <w:sz w:val="20"/>
        </w:rPr>
        <w:footnoteReference w:id="76"/>
      </w:r>
    </w:p>
    <w:p w14:paraId="5BA52532" w14:textId="77777777" w:rsidR="0055764A" w:rsidRDefault="0055764A" w:rsidP="0055764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rPr>
      </w:pPr>
    </w:p>
    <w:p w14:paraId="6990DAD5" w14:textId="77777777" w:rsidR="0055764A" w:rsidRPr="00625290" w:rsidRDefault="0055764A" w:rsidP="0055764A">
      <w:pPr>
        <w:pStyle w:val="Heading1"/>
        <w:spacing w:before="0"/>
        <w:ind w:hanging="720"/>
        <w:rPr>
          <w:color w:val="auto"/>
          <w:sz w:val="20"/>
          <w:szCs w:val="20"/>
        </w:rPr>
      </w:pPr>
      <w:bookmarkStart w:id="39" w:name="_Toc26550945"/>
      <w:bookmarkStart w:id="40" w:name="_Toc87522018"/>
      <w:bookmarkStart w:id="41" w:name="_Toc90115138"/>
      <w:bookmarkStart w:id="42" w:name="_Toc90283317"/>
      <w:bookmarkStart w:id="43" w:name="_Toc90284151"/>
      <w:bookmarkStart w:id="44" w:name="_Toc90289385"/>
      <w:bookmarkStart w:id="45" w:name="_Toc90291524"/>
      <w:bookmarkStart w:id="46" w:name="_Toc90297889"/>
      <w:bookmarkStart w:id="47" w:name="_Toc90300531"/>
      <w:bookmarkStart w:id="48" w:name="_Toc150529040"/>
      <w:r w:rsidRPr="00625290">
        <w:rPr>
          <w:color w:val="auto"/>
          <w:sz w:val="20"/>
          <w:szCs w:val="20"/>
        </w:rPr>
        <w:t>PUBLICATION</w:t>
      </w:r>
      <w:bookmarkEnd w:id="39"/>
      <w:bookmarkEnd w:id="40"/>
      <w:bookmarkEnd w:id="41"/>
      <w:bookmarkEnd w:id="42"/>
      <w:bookmarkEnd w:id="43"/>
      <w:bookmarkEnd w:id="44"/>
      <w:bookmarkEnd w:id="45"/>
      <w:bookmarkEnd w:id="46"/>
      <w:bookmarkEnd w:id="47"/>
      <w:bookmarkEnd w:id="48"/>
    </w:p>
    <w:p w14:paraId="75281E41" w14:textId="77777777" w:rsidR="0055764A" w:rsidRPr="00625290" w:rsidRDefault="0055764A" w:rsidP="0055764A">
      <w:pPr>
        <w:rPr>
          <w:rFonts w:asciiTheme="majorHAnsi" w:hAnsiTheme="majorHAnsi"/>
          <w:sz w:val="20"/>
          <w:szCs w:val="20"/>
        </w:rPr>
      </w:pPr>
    </w:p>
    <w:p w14:paraId="1F1D8DA4" w14:textId="77777777" w:rsidR="0055764A" w:rsidRPr="00625290" w:rsidRDefault="0055764A" w:rsidP="0055764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720"/>
          <w:tab w:val="left" w:pos="1440"/>
        </w:tabs>
        <w:ind w:left="0" w:firstLine="0"/>
        <w:jc w:val="both"/>
        <w:rPr>
          <w:rFonts w:ascii="Cambria" w:eastAsia="Times New Roman" w:hAnsi="Cambria"/>
          <w:sz w:val="20"/>
          <w:szCs w:val="20"/>
        </w:rPr>
      </w:pPr>
      <w:r w:rsidRPr="00625290">
        <w:rPr>
          <w:rFonts w:asciiTheme="majorHAnsi" w:hAnsiTheme="majorHAnsi"/>
          <w:color w:val="000000" w:themeColor="text1"/>
          <w:sz w:val="20"/>
          <w:szCs w:val="20"/>
        </w:rPr>
        <w:t>In</w:t>
      </w:r>
      <w:r w:rsidRPr="00625290">
        <w:rPr>
          <w:rFonts w:ascii="Cambria" w:eastAsia="Times New Roman" w:hAnsi="Cambria"/>
          <w:sz w:val="20"/>
          <w:szCs w:val="20"/>
        </w:rPr>
        <w:t xml:space="preserve"> light of the above and in accordance with Article 47.3 of its Rules of Procedure, the IACHR decides to make this report public, and to include it in its Annual Report to the General Assembly of the Organization of American States. The Inter-American Commission, according to the norms contained in the instruments which govern its mandate, will continue evaluating the measures adopted by the United States with respect to the above recommendations until it determines there has been full compliance. </w:t>
      </w:r>
    </w:p>
    <w:p w14:paraId="44485C01" w14:textId="21100991" w:rsidR="00625290" w:rsidRDefault="00625290" w:rsidP="0062529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Cambria" w:eastAsia="Times New Roman" w:hAnsi="Cambria"/>
          <w:sz w:val="20"/>
          <w:szCs w:val="20"/>
        </w:rPr>
      </w:pPr>
    </w:p>
    <w:p w14:paraId="7F4BBDCA" w14:textId="77777777" w:rsidR="00790F77" w:rsidRPr="00625290" w:rsidRDefault="00790F77" w:rsidP="0062529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Cambria" w:eastAsia="Times New Roman" w:hAnsi="Cambria"/>
          <w:sz w:val="20"/>
          <w:szCs w:val="20"/>
        </w:rPr>
      </w:pPr>
    </w:p>
    <w:p w14:paraId="01B9F21A" w14:textId="3667F521" w:rsidR="00625290" w:rsidRPr="00625290" w:rsidRDefault="00790F77" w:rsidP="00790F7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eastAsia="Times New Roman"/>
          <w:sz w:val="20"/>
          <w:szCs w:val="20"/>
          <w:highlight w:val="yellow"/>
        </w:rPr>
      </w:pPr>
      <w:r>
        <w:rPr>
          <w:rFonts w:eastAsia="Times New Roman"/>
          <w:sz w:val="20"/>
          <w:szCs w:val="20"/>
        </w:rPr>
        <w:tab/>
      </w:r>
      <w:r>
        <w:rPr>
          <w:rFonts w:eastAsia="Times New Roman"/>
          <w:sz w:val="20"/>
          <w:szCs w:val="20"/>
        </w:rPr>
        <w:tab/>
      </w:r>
      <w:r w:rsidR="00625290" w:rsidRPr="00625290">
        <w:rPr>
          <w:rFonts w:eastAsia="Times New Roman"/>
          <w:sz w:val="20"/>
          <w:szCs w:val="20"/>
        </w:rPr>
        <w:t>Approved by the Inter-American Commission on Human Rights on the 12th day of the month of May 2023. (Signed): Margarette May Macaulay, Chair; Esmeralda Arosemena de Troitiño, First Vice-Chair; Joel Hernández García and Julissa Mantilla Falcón, members of the Commission.</w:t>
      </w:r>
    </w:p>
    <w:p w14:paraId="4AFAEBA7" w14:textId="621AEAFC" w:rsidR="009F6EFC" w:rsidRDefault="009F6EFC" w:rsidP="009F6EFC">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rPr>
      </w:pPr>
      <w:bookmarkStart w:id="49" w:name="_Hlk150856264"/>
    </w:p>
    <w:p w14:paraId="45576E0A" w14:textId="79588845" w:rsidR="008A4F24" w:rsidRDefault="008A4F24" w:rsidP="00E47C44">
      <w:pPr>
        <w:tabs>
          <w:tab w:val="left" w:pos="720"/>
        </w:tabs>
        <w:jc w:val="both"/>
        <w:rPr>
          <w:rFonts w:ascii="Cambria" w:hAnsi="Cambria" w:cstheme="minorHAnsi"/>
          <w:sz w:val="20"/>
          <w:szCs w:val="20"/>
          <w:lang w:val="pt-BR"/>
        </w:rPr>
      </w:pPr>
      <w:r>
        <w:rPr>
          <w:rFonts w:ascii="Cambria" w:hAnsi="Cambria"/>
          <w:sz w:val="20"/>
        </w:rPr>
        <w:tab/>
      </w:r>
    </w:p>
    <w:bookmarkEnd w:id="49"/>
    <w:p w14:paraId="2230AA2A" w14:textId="3FFCD929" w:rsidR="008C253E" w:rsidRDefault="008C253E" w:rsidP="008A4F24">
      <w:pPr>
        <w:jc w:val="center"/>
        <w:rPr>
          <w:rFonts w:ascii="Cambria" w:hAnsi="Cambria" w:cstheme="minorHAnsi"/>
          <w:sz w:val="20"/>
          <w:szCs w:val="20"/>
          <w:lang w:val="pt-BR"/>
        </w:rPr>
      </w:pPr>
    </w:p>
    <w:sectPr w:rsidR="008C253E" w:rsidSect="006311DA">
      <w:footerReference w:type="first" r:id="rId1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BC84A" w14:textId="77777777" w:rsidR="00EE39CD" w:rsidRDefault="00EE39CD" w:rsidP="00036A8A">
      <w:r>
        <w:separator/>
      </w:r>
    </w:p>
  </w:endnote>
  <w:endnote w:type="continuationSeparator" w:id="0">
    <w:p w14:paraId="3F024AD4" w14:textId="77777777" w:rsidR="00EE39CD" w:rsidRDefault="00EE39CD"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alibri-Italic">
    <w:charset w:val="00"/>
    <w:family w:val="auto"/>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7" w:csb1="00000000"/>
  </w:font>
  <w:font w:name="Monaco">
    <w:charset w:val="4D"/>
    <w:family w:val="auto"/>
    <w:pitch w:val="variable"/>
    <w:sig w:usb0="A00002FF" w:usb1="500039F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44408D97" w14:textId="77777777" w:rsidR="009703EC" w:rsidRPr="006311DA" w:rsidRDefault="009703EC">
        <w:pPr>
          <w:pStyle w:val="Footer"/>
          <w:jc w:val="center"/>
          <w:rPr>
            <w:sz w:val="16"/>
          </w:rPr>
        </w:pPr>
        <w:r>
          <w:rPr>
            <w:noProof/>
            <w:sz w:val="16"/>
          </w:rPr>
          <w:fldChar w:fldCharType="begin"/>
        </w:r>
        <w:r>
          <w:rPr>
            <w:noProof/>
            <w:sz w:val="16"/>
          </w:rPr>
          <w:instrText xml:space="preserve"> PAGE   \* MERGEFORMAT </w:instrText>
        </w:r>
        <w:r>
          <w:rPr>
            <w:noProof/>
            <w:sz w:val="16"/>
          </w:rPr>
          <w:fldChar w:fldCharType="separate"/>
        </w:r>
        <w:r>
          <w:rPr>
            <w:noProof/>
            <w:sz w:val="16"/>
          </w:rPr>
          <w:t>1</w:t>
        </w:r>
        <w:r>
          <w:rPr>
            <w:noProof/>
            <w:sz w:val="16"/>
          </w:rPr>
          <w:fldChar w:fldCharType="end"/>
        </w:r>
      </w:p>
    </w:sdtContent>
  </w:sdt>
  <w:p w14:paraId="7B84A4DB" w14:textId="77777777" w:rsidR="009703EC" w:rsidRDefault="00970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82749" w14:textId="77777777" w:rsidR="009703EC" w:rsidRDefault="009703EC">
    <w:pPr>
      <w:pStyle w:val="Footer"/>
      <w:jc w:val="center"/>
    </w:pPr>
  </w:p>
  <w:p w14:paraId="52D7C5EE" w14:textId="77777777" w:rsidR="009703EC" w:rsidRDefault="009703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01114953" w14:textId="77777777" w:rsidR="009703EC" w:rsidRDefault="009703EC">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0F36960D" w14:textId="77777777" w:rsidR="009703EC" w:rsidRDefault="00970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13523" w14:textId="77777777" w:rsidR="00EE39CD" w:rsidRPr="00036A8A" w:rsidRDefault="00EE39CD"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9BF4030" w14:textId="77777777" w:rsidR="00EE39CD" w:rsidRPr="00036A8A" w:rsidRDefault="00EE39CD" w:rsidP="00036A8A">
      <w:pPr>
        <w:rPr>
          <w:rFonts w:asciiTheme="majorHAnsi" w:hAnsiTheme="majorHAnsi"/>
          <w:sz w:val="16"/>
          <w:szCs w:val="16"/>
        </w:rPr>
      </w:pPr>
      <w:r w:rsidRPr="00036A8A">
        <w:rPr>
          <w:rFonts w:asciiTheme="majorHAnsi" w:hAnsiTheme="majorHAnsi"/>
          <w:sz w:val="16"/>
          <w:szCs w:val="16"/>
        </w:rPr>
        <w:separator/>
      </w:r>
    </w:p>
    <w:p w14:paraId="390E74A3" w14:textId="77777777" w:rsidR="00EE39CD" w:rsidRPr="00036A8A" w:rsidRDefault="00EE39CD"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04714624" w14:textId="77777777" w:rsidR="00EE39CD" w:rsidRPr="0093441A" w:rsidRDefault="00EE39CD"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3039D7F4" w14:textId="77777777" w:rsidR="00625290" w:rsidRPr="00790F77" w:rsidRDefault="00625290" w:rsidP="00625290">
      <w:pPr>
        <w:pStyle w:val="FootnoteText"/>
        <w:jc w:val="both"/>
        <w:rPr>
          <w:rFonts w:asciiTheme="majorHAnsi" w:hAnsiTheme="majorHAnsi"/>
          <w:sz w:val="16"/>
          <w:szCs w:val="16"/>
        </w:rPr>
      </w:pPr>
      <w:r w:rsidRPr="00427056">
        <w:rPr>
          <w:rStyle w:val="FootnoteReference"/>
          <w:rFonts w:asciiTheme="majorHAnsi" w:hAnsiTheme="majorHAnsi"/>
          <w:sz w:val="16"/>
          <w:szCs w:val="16"/>
        </w:rPr>
        <w:footnoteRef/>
      </w:r>
      <w:r w:rsidRPr="00427056">
        <w:rPr>
          <w:rFonts w:asciiTheme="majorHAnsi" w:hAnsiTheme="majorHAnsi"/>
          <w:sz w:val="16"/>
          <w:szCs w:val="16"/>
        </w:rPr>
        <w:t xml:space="preserve"> Pursuant to Article 17.3 of the Commission's Rules of Procedure, Commissioner Carlos Bernal Pulido, resident in the United States, did not participate in the discussion or decision of this report.</w:t>
      </w:r>
    </w:p>
  </w:footnote>
  <w:footnote w:id="3">
    <w:p w14:paraId="77CE74E7" w14:textId="77777777" w:rsidR="009703EC" w:rsidRPr="004E6889" w:rsidRDefault="009703EC" w:rsidP="00EF2C67">
      <w:pPr>
        <w:pStyle w:val="FootnoteText"/>
        <w:jc w:val="both"/>
        <w:rPr>
          <w:rFonts w:asciiTheme="majorHAnsi" w:hAnsiTheme="majorHAnsi"/>
          <w:sz w:val="16"/>
          <w:szCs w:val="16"/>
        </w:rPr>
      </w:pPr>
      <w:r w:rsidRPr="000A4954">
        <w:rPr>
          <w:rStyle w:val="FootnoteReference"/>
          <w:rFonts w:asciiTheme="majorHAnsi" w:hAnsiTheme="majorHAnsi"/>
          <w:sz w:val="16"/>
          <w:szCs w:val="16"/>
        </w:rPr>
        <w:footnoteRef/>
      </w:r>
      <w:r w:rsidRPr="000A4954">
        <w:rPr>
          <w:rFonts w:asciiTheme="majorHAnsi" w:hAnsiTheme="majorHAnsi"/>
          <w:sz w:val="16"/>
          <w:szCs w:val="16"/>
        </w:rPr>
        <w:t xml:space="preserve"> On February 27, 2002, the IACHR granted precautionary measures on behalf of Tracy Lee Housel pursuant to Article 25(1) of its Rules of Procedure and requested the United States to take the measures necessary to preserve his life and physical integrity so as not to hinder the processing of his case before the Inter-American system.</w:t>
      </w:r>
    </w:p>
  </w:footnote>
  <w:footnote w:id="4">
    <w:p w14:paraId="4667B682" w14:textId="77777777" w:rsidR="009703EC" w:rsidRPr="00FB10AF" w:rsidRDefault="009703EC" w:rsidP="004E6889">
      <w:pPr>
        <w:pStyle w:val="FootnoteText"/>
        <w:rPr>
          <w:rFonts w:asciiTheme="majorHAnsi" w:hAnsiTheme="majorHAnsi"/>
          <w:sz w:val="16"/>
          <w:szCs w:val="16"/>
        </w:rPr>
      </w:pPr>
      <w:r w:rsidRPr="004E6889">
        <w:rPr>
          <w:rStyle w:val="FootnoteReference"/>
          <w:rFonts w:asciiTheme="majorHAnsi" w:hAnsiTheme="majorHAnsi"/>
          <w:sz w:val="16"/>
        </w:rPr>
        <w:footnoteRef/>
      </w:r>
      <w:r w:rsidRPr="004E6889">
        <w:rPr>
          <w:rFonts w:asciiTheme="majorHAnsi" w:hAnsiTheme="majorHAnsi"/>
          <w:sz w:val="16"/>
        </w:rPr>
        <w:t xml:space="preserve"> </w:t>
      </w:r>
      <w:r w:rsidRPr="004E6889">
        <w:rPr>
          <w:rFonts w:asciiTheme="majorHAnsi" w:hAnsiTheme="majorHAnsi"/>
          <w:sz w:val="16"/>
          <w:szCs w:val="16"/>
        </w:rPr>
        <w:t>IACHR. Report No. 16/04. Petition P129-02. Admissibility. Tracy Lee Housel. United States. February 27, 2004.</w:t>
      </w:r>
    </w:p>
  </w:footnote>
  <w:footnote w:id="5">
    <w:p w14:paraId="325F306A" w14:textId="49960B06" w:rsidR="009703EC" w:rsidRPr="009E566A" w:rsidRDefault="009703EC">
      <w:pPr>
        <w:pStyle w:val="FootnoteText"/>
        <w:rPr>
          <w:rFonts w:asciiTheme="majorHAnsi" w:hAnsiTheme="majorHAnsi"/>
          <w:sz w:val="16"/>
          <w:szCs w:val="16"/>
        </w:rPr>
      </w:pPr>
      <w:r w:rsidRPr="009E566A">
        <w:rPr>
          <w:rStyle w:val="FootnoteReference"/>
          <w:rFonts w:asciiTheme="majorHAnsi" w:hAnsiTheme="majorHAnsi"/>
          <w:sz w:val="16"/>
          <w:szCs w:val="16"/>
        </w:rPr>
        <w:footnoteRef/>
      </w:r>
      <w:r w:rsidRPr="009E566A">
        <w:rPr>
          <w:rFonts w:asciiTheme="majorHAnsi" w:hAnsiTheme="majorHAnsi"/>
          <w:sz w:val="16"/>
          <w:szCs w:val="16"/>
        </w:rPr>
        <w:t xml:space="preserve"> State’s response to the petition submitted on </w:t>
      </w:r>
      <w:r>
        <w:rPr>
          <w:rFonts w:asciiTheme="majorHAnsi" w:hAnsiTheme="majorHAnsi"/>
          <w:sz w:val="16"/>
          <w:szCs w:val="16"/>
        </w:rPr>
        <w:t>February</w:t>
      </w:r>
      <w:r w:rsidRPr="009E566A">
        <w:rPr>
          <w:rFonts w:asciiTheme="majorHAnsi" w:hAnsiTheme="majorHAnsi"/>
          <w:sz w:val="16"/>
          <w:szCs w:val="16"/>
        </w:rPr>
        <w:t xml:space="preserve"> </w:t>
      </w:r>
      <w:r>
        <w:rPr>
          <w:rFonts w:asciiTheme="majorHAnsi" w:hAnsiTheme="majorHAnsi"/>
          <w:sz w:val="16"/>
          <w:szCs w:val="16"/>
        </w:rPr>
        <w:t>28, 2005</w:t>
      </w:r>
      <w:r w:rsidRPr="009E566A">
        <w:rPr>
          <w:rFonts w:asciiTheme="majorHAnsi" w:hAnsiTheme="majorHAnsi"/>
          <w:sz w:val="16"/>
          <w:szCs w:val="16"/>
        </w:rPr>
        <w:t>.</w:t>
      </w:r>
    </w:p>
  </w:footnote>
  <w:footnote w:id="6">
    <w:p w14:paraId="13D164FB" w14:textId="77777777" w:rsidR="009703EC" w:rsidRPr="00943789" w:rsidRDefault="009703EC" w:rsidP="006C19AC">
      <w:pPr>
        <w:pStyle w:val="FootnoteText"/>
      </w:pPr>
      <w:r w:rsidRPr="00943789">
        <w:rPr>
          <w:rStyle w:val="FootnoteReference"/>
          <w:rFonts w:asciiTheme="majorHAnsi" w:hAnsiTheme="majorHAnsi"/>
          <w:sz w:val="16"/>
          <w:szCs w:val="16"/>
        </w:rPr>
        <w:footnoteRef/>
      </w:r>
      <w:r w:rsidRPr="00943789">
        <w:t xml:space="preserve"> </w:t>
      </w:r>
      <w:r w:rsidRPr="00943789">
        <w:rPr>
          <w:rFonts w:asciiTheme="majorHAnsi" w:hAnsiTheme="majorHAnsi"/>
          <w:sz w:val="16"/>
          <w:szCs w:val="16"/>
        </w:rPr>
        <w:t>State’s response to the petition submitted on March 8, 2002.</w:t>
      </w:r>
    </w:p>
  </w:footnote>
  <w:footnote w:id="7">
    <w:p w14:paraId="631BBD29" w14:textId="77777777" w:rsidR="009703EC" w:rsidRPr="00943789" w:rsidRDefault="009703EC" w:rsidP="004E6889">
      <w:pPr>
        <w:pStyle w:val="FootnoteText"/>
        <w:rPr>
          <w:rFonts w:asciiTheme="majorHAnsi" w:hAnsiTheme="majorHAnsi"/>
          <w:sz w:val="16"/>
          <w:szCs w:val="16"/>
        </w:rPr>
      </w:pPr>
      <w:r w:rsidRPr="00943789">
        <w:rPr>
          <w:rStyle w:val="FootnoteReference"/>
          <w:rFonts w:asciiTheme="majorHAnsi" w:hAnsiTheme="majorHAnsi"/>
          <w:sz w:val="16"/>
          <w:szCs w:val="16"/>
        </w:rPr>
        <w:footnoteRef/>
      </w:r>
      <w:r w:rsidRPr="00943789">
        <w:rPr>
          <w:rFonts w:asciiTheme="majorHAnsi" w:hAnsiTheme="majorHAnsi"/>
          <w:sz w:val="16"/>
          <w:szCs w:val="16"/>
        </w:rPr>
        <w:t xml:space="preserve"> State’s response to the petition submitted on March 8, 2002.</w:t>
      </w:r>
    </w:p>
  </w:footnote>
  <w:footnote w:id="8">
    <w:p w14:paraId="3A34AEC7" w14:textId="77777777" w:rsidR="009703EC" w:rsidRDefault="009703EC" w:rsidP="006C19AC">
      <w:pPr>
        <w:pStyle w:val="FootnoteText"/>
      </w:pPr>
      <w:r w:rsidRPr="00943789">
        <w:rPr>
          <w:rStyle w:val="FootnoteReference"/>
          <w:rFonts w:asciiTheme="majorHAnsi" w:hAnsiTheme="majorHAnsi"/>
          <w:sz w:val="16"/>
          <w:szCs w:val="16"/>
        </w:rPr>
        <w:footnoteRef/>
      </w:r>
      <w:r w:rsidRPr="00943789">
        <w:rPr>
          <w:rFonts w:asciiTheme="majorHAnsi" w:hAnsiTheme="majorHAnsi"/>
          <w:sz w:val="16"/>
          <w:szCs w:val="16"/>
        </w:rPr>
        <w:t xml:space="preserve"> State’s response to the petition submitted on March 8, 2002.</w:t>
      </w:r>
    </w:p>
  </w:footnote>
  <w:footnote w:id="9">
    <w:p w14:paraId="1221DCD1" w14:textId="5ED9385B" w:rsidR="009703EC" w:rsidRPr="00815FD5" w:rsidRDefault="009703EC" w:rsidP="00FD3999">
      <w:pPr>
        <w:pStyle w:val="FootnoteText"/>
        <w:jc w:val="both"/>
        <w:rPr>
          <w:rFonts w:asciiTheme="majorHAnsi" w:hAnsiTheme="majorHAnsi"/>
          <w:sz w:val="16"/>
          <w:szCs w:val="16"/>
        </w:rPr>
      </w:pPr>
      <w:r w:rsidRPr="00815FD5">
        <w:rPr>
          <w:rStyle w:val="FootnoteReference"/>
          <w:rFonts w:asciiTheme="majorHAnsi" w:hAnsiTheme="majorHAnsi"/>
          <w:sz w:val="16"/>
          <w:szCs w:val="16"/>
        </w:rPr>
        <w:footnoteRef/>
      </w:r>
      <w:r w:rsidRPr="00815FD5">
        <w:rPr>
          <w:rFonts w:asciiTheme="majorHAnsi" w:hAnsiTheme="majorHAnsi"/>
          <w:sz w:val="16"/>
          <w:szCs w:val="16"/>
        </w:rPr>
        <w:t xml:space="preserve"> Tracy Lee Housel v Albert G. Thomas, Warden, Georgia Diagnostic and Classification Center , Civil Action No. 1:94-CV-1444-ODE, United States District Court, Northern District of Georgia, Atlanta Division</w:t>
      </w:r>
      <w:r>
        <w:rPr>
          <w:rFonts w:asciiTheme="majorHAnsi" w:hAnsiTheme="majorHAnsi"/>
          <w:sz w:val="16"/>
          <w:szCs w:val="16"/>
        </w:rPr>
        <w:t xml:space="preserve">. </w:t>
      </w:r>
      <w:r w:rsidRPr="0056759E">
        <w:rPr>
          <w:rFonts w:asciiTheme="majorHAnsi" w:hAnsiTheme="majorHAnsi"/>
          <w:sz w:val="16"/>
          <w:szCs w:val="16"/>
        </w:rPr>
        <w:t xml:space="preserve">Exhibit </w:t>
      </w:r>
      <w:r>
        <w:rPr>
          <w:rFonts w:asciiTheme="majorHAnsi" w:hAnsiTheme="majorHAnsi"/>
          <w:sz w:val="16"/>
          <w:szCs w:val="16"/>
        </w:rPr>
        <w:t>26</w:t>
      </w:r>
      <w:r w:rsidRPr="0056759E">
        <w:rPr>
          <w:rFonts w:asciiTheme="majorHAnsi" w:hAnsiTheme="majorHAnsi"/>
          <w:sz w:val="16"/>
          <w:szCs w:val="16"/>
        </w:rPr>
        <w:t xml:space="preserve"> submitted with petitioners’ original petition on </w:t>
      </w:r>
      <w:r>
        <w:rPr>
          <w:rFonts w:asciiTheme="majorHAnsi" w:hAnsiTheme="majorHAnsi"/>
          <w:sz w:val="16"/>
          <w:szCs w:val="16"/>
        </w:rPr>
        <w:t>February 25, 2002</w:t>
      </w:r>
      <w:r w:rsidRPr="0056759E">
        <w:rPr>
          <w:rFonts w:asciiTheme="majorHAnsi" w:hAnsiTheme="majorHAnsi"/>
          <w:sz w:val="16"/>
          <w:szCs w:val="16"/>
        </w:rPr>
        <w:t>.</w:t>
      </w:r>
    </w:p>
  </w:footnote>
  <w:footnote w:id="10">
    <w:p w14:paraId="3820ED35" w14:textId="03FB2C20" w:rsidR="009703EC" w:rsidRPr="00306184" w:rsidRDefault="009703EC" w:rsidP="00306184">
      <w:pPr>
        <w:pStyle w:val="FootnoteText"/>
        <w:jc w:val="both"/>
      </w:pPr>
      <w:r w:rsidRPr="00306184">
        <w:rPr>
          <w:rStyle w:val="FootnoteReference"/>
          <w:rFonts w:asciiTheme="majorHAnsi" w:hAnsiTheme="majorHAnsi"/>
          <w:sz w:val="16"/>
          <w:szCs w:val="16"/>
        </w:rPr>
        <w:footnoteRef/>
      </w:r>
      <w:r w:rsidRPr="00306184">
        <w:rPr>
          <w:rStyle w:val="FootnoteReference"/>
          <w:rFonts w:asciiTheme="majorHAnsi" w:hAnsiTheme="majorHAnsi"/>
          <w:sz w:val="16"/>
          <w:szCs w:val="16"/>
        </w:rPr>
        <w:t xml:space="preserve"> </w:t>
      </w:r>
      <w:r w:rsidRPr="00C12FE4">
        <w:rPr>
          <w:rFonts w:asciiTheme="majorHAnsi" w:hAnsiTheme="majorHAnsi"/>
          <w:sz w:val="16"/>
          <w:szCs w:val="16"/>
        </w:rPr>
        <w:t>Tracy Lee Housel v Frederick J Head, no. 98-8830, United States Court of Appeals, Ele</w:t>
      </w:r>
      <w:r>
        <w:rPr>
          <w:rFonts w:asciiTheme="majorHAnsi" w:hAnsiTheme="majorHAnsi"/>
          <w:sz w:val="16"/>
          <w:szCs w:val="16"/>
        </w:rPr>
        <w:t xml:space="preserve">venth Circuit, January 18, 2001. </w:t>
      </w:r>
      <w:r w:rsidRPr="0056759E">
        <w:rPr>
          <w:rFonts w:asciiTheme="majorHAnsi" w:hAnsiTheme="majorHAnsi"/>
          <w:sz w:val="16"/>
          <w:szCs w:val="16"/>
        </w:rPr>
        <w:t xml:space="preserve">Exhibit </w:t>
      </w:r>
      <w:r>
        <w:rPr>
          <w:rFonts w:asciiTheme="majorHAnsi" w:hAnsiTheme="majorHAnsi"/>
          <w:sz w:val="16"/>
          <w:szCs w:val="16"/>
        </w:rPr>
        <w:t>25</w:t>
      </w:r>
      <w:r w:rsidRPr="0056759E">
        <w:rPr>
          <w:rFonts w:asciiTheme="majorHAnsi" w:hAnsiTheme="majorHAnsi"/>
          <w:sz w:val="16"/>
          <w:szCs w:val="16"/>
        </w:rPr>
        <w:t xml:space="preserve">, submitted with petitioners’ original petition on </w:t>
      </w:r>
      <w:r>
        <w:rPr>
          <w:rFonts w:asciiTheme="majorHAnsi" w:hAnsiTheme="majorHAnsi"/>
          <w:sz w:val="16"/>
          <w:szCs w:val="16"/>
        </w:rPr>
        <w:t>February 25, 2002</w:t>
      </w:r>
      <w:r w:rsidRPr="0056759E">
        <w:rPr>
          <w:rFonts w:asciiTheme="majorHAnsi" w:hAnsiTheme="majorHAnsi"/>
          <w:sz w:val="16"/>
          <w:szCs w:val="16"/>
        </w:rPr>
        <w:t>.</w:t>
      </w:r>
    </w:p>
  </w:footnote>
  <w:footnote w:id="11">
    <w:p w14:paraId="6238D555" w14:textId="6A064800" w:rsidR="009703EC" w:rsidRPr="00411932" w:rsidRDefault="009703EC" w:rsidP="0062284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16"/>
          <w:szCs w:val="16"/>
        </w:rPr>
      </w:pPr>
      <w:r w:rsidRPr="00C12FE4">
        <w:rPr>
          <w:rStyle w:val="FootnoteReference"/>
          <w:rFonts w:asciiTheme="majorHAnsi" w:hAnsiTheme="majorHAnsi"/>
          <w:sz w:val="16"/>
          <w:szCs w:val="16"/>
        </w:rPr>
        <w:footnoteRef/>
      </w:r>
      <w:r w:rsidRPr="00C12FE4">
        <w:rPr>
          <w:rFonts w:asciiTheme="majorHAnsi" w:hAnsiTheme="majorHAnsi"/>
          <w:sz w:val="16"/>
          <w:szCs w:val="16"/>
        </w:rPr>
        <w:t xml:space="preserve"> Tracy Lee Housel v Frederick J Head, no. 98-8830, United States Court of Appeals, Ele</w:t>
      </w:r>
      <w:r>
        <w:rPr>
          <w:rFonts w:asciiTheme="majorHAnsi" w:hAnsiTheme="majorHAnsi"/>
          <w:sz w:val="16"/>
          <w:szCs w:val="16"/>
        </w:rPr>
        <w:t xml:space="preserve">venth Circuit, January 18, 2001. </w:t>
      </w:r>
      <w:r w:rsidRPr="0056759E">
        <w:rPr>
          <w:rFonts w:asciiTheme="majorHAnsi" w:hAnsiTheme="majorHAnsi"/>
          <w:sz w:val="16"/>
          <w:szCs w:val="16"/>
        </w:rPr>
        <w:t xml:space="preserve">Exhibit </w:t>
      </w:r>
      <w:r>
        <w:rPr>
          <w:rFonts w:asciiTheme="majorHAnsi" w:hAnsiTheme="majorHAnsi"/>
          <w:sz w:val="16"/>
          <w:szCs w:val="16"/>
        </w:rPr>
        <w:t>25</w:t>
      </w:r>
      <w:r w:rsidRPr="0056759E">
        <w:rPr>
          <w:rFonts w:asciiTheme="majorHAnsi" w:hAnsiTheme="majorHAnsi"/>
          <w:sz w:val="16"/>
          <w:szCs w:val="16"/>
        </w:rPr>
        <w:t xml:space="preserve">, submitted with petitioners’ original petition on </w:t>
      </w:r>
      <w:r>
        <w:rPr>
          <w:rFonts w:asciiTheme="majorHAnsi" w:hAnsiTheme="majorHAnsi"/>
          <w:sz w:val="16"/>
          <w:szCs w:val="16"/>
        </w:rPr>
        <w:t>February 25, 2002</w:t>
      </w:r>
      <w:r w:rsidRPr="0056759E">
        <w:rPr>
          <w:rFonts w:asciiTheme="majorHAnsi" w:hAnsiTheme="majorHAnsi"/>
          <w:sz w:val="16"/>
          <w:szCs w:val="16"/>
        </w:rPr>
        <w:t>.</w:t>
      </w:r>
    </w:p>
  </w:footnote>
  <w:footnote w:id="12">
    <w:p w14:paraId="74977511" w14:textId="5F240FC7" w:rsidR="009703EC" w:rsidRDefault="009703EC" w:rsidP="00AF04C9">
      <w:pPr>
        <w:pStyle w:val="FootnoteText"/>
        <w:jc w:val="both"/>
      </w:pPr>
      <w:r w:rsidRPr="00AF04C9">
        <w:rPr>
          <w:rStyle w:val="FootnoteReference"/>
          <w:rFonts w:asciiTheme="majorHAnsi" w:hAnsiTheme="majorHAnsi"/>
          <w:sz w:val="16"/>
          <w:szCs w:val="16"/>
        </w:rPr>
        <w:footnoteRef/>
      </w:r>
      <w:r w:rsidRPr="00AF04C9">
        <w:rPr>
          <w:rStyle w:val="FootnoteReference"/>
          <w:rFonts w:asciiTheme="majorHAnsi" w:hAnsiTheme="majorHAnsi"/>
          <w:sz w:val="16"/>
          <w:szCs w:val="16"/>
        </w:rPr>
        <w:t xml:space="preserve"> </w:t>
      </w:r>
      <w:r w:rsidRPr="00AB069C">
        <w:rPr>
          <w:rFonts w:asciiTheme="majorHAnsi" w:hAnsiTheme="majorHAnsi"/>
          <w:sz w:val="16"/>
          <w:szCs w:val="16"/>
        </w:rPr>
        <w:t xml:space="preserve">Tracy Lee Housel v Frederick J Head, no. 98-8830, United States Court of Appeals, Eleventh Circuit, January 18, 2001. </w:t>
      </w:r>
      <w:r w:rsidRPr="0056759E">
        <w:rPr>
          <w:rFonts w:asciiTheme="majorHAnsi" w:hAnsiTheme="majorHAnsi"/>
          <w:sz w:val="16"/>
          <w:szCs w:val="16"/>
        </w:rPr>
        <w:t xml:space="preserve">Exhibit </w:t>
      </w:r>
      <w:r>
        <w:rPr>
          <w:rFonts w:asciiTheme="majorHAnsi" w:hAnsiTheme="majorHAnsi"/>
          <w:sz w:val="16"/>
          <w:szCs w:val="16"/>
        </w:rPr>
        <w:t>25</w:t>
      </w:r>
      <w:r w:rsidRPr="0056759E">
        <w:rPr>
          <w:rFonts w:asciiTheme="majorHAnsi" w:hAnsiTheme="majorHAnsi"/>
          <w:sz w:val="16"/>
          <w:szCs w:val="16"/>
        </w:rPr>
        <w:t xml:space="preserve">, submitted with petitioners’ original petition on </w:t>
      </w:r>
      <w:r>
        <w:rPr>
          <w:rFonts w:asciiTheme="majorHAnsi" w:hAnsiTheme="majorHAnsi"/>
          <w:sz w:val="16"/>
          <w:szCs w:val="16"/>
        </w:rPr>
        <w:t>February 25, 2002</w:t>
      </w:r>
      <w:r w:rsidRPr="0056759E">
        <w:rPr>
          <w:rFonts w:asciiTheme="majorHAnsi" w:hAnsiTheme="majorHAnsi"/>
          <w:sz w:val="16"/>
          <w:szCs w:val="16"/>
        </w:rPr>
        <w:t>.</w:t>
      </w:r>
    </w:p>
  </w:footnote>
  <w:footnote w:id="13">
    <w:p w14:paraId="2C7A956B" w14:textId="77777777" w:rsidR="009703EC" w:rsidRDefault="009703EC" w:rsidP="00AF04C9">
      <w:pPr>
        <w:pStyle w:val="FootnoteText"/>
        <w:jc w:val="both"/>
      </w:pPr>
      <w:r w:rsidRPr="002D5B26">
        <w:rPr>
          <w:rStyle w:val="FootnoteReference"/>
          <w:rFonts w:asciiTheme="majorHAnsi" w:hAnsiTheme="majorHAnsi"/>
          <w:sz w:val="16"/>
          <w:szCs w:val="16"/>
        </w:rPr>
        <w:footnoteRef/>
      </w:r>
      <w:r w:rsidRPr="002D5B26">
        <w:rPr>
          <w:rFonts w:asciiTheme="majorHAnsi" w:hAnsiTheme="majorHAnsi"/>
          <w:sz w:val="16"/>
          <w:szCs w:val="16"/>
        </w:rPr>
        <w:t xml:space="preserve"> Affidavit of Dr. James Merikangas, sworn under notary public August 1990</w:t>
      </w:r>
      <w:r>
        <w:rPr>
          <w:rFonts w:asciiTheme="majorHAnsi" w:hAnsiTheme="majorHAnsi"/>
          <w:sz w:val="16"/>
          <w:szCs w:val="16"/>
        </w:rPr>
        <w:t xml:space="preserve">. </w:t>
      </w:r>
      <w:r w:rsidRPr="0056759E">
        <w:rPr>
          <w:rFonts w:asciiTheme="majorHAnsi" w:hAnsiTheme="majorHAnsi"/>
          <w:sz w:val="16"/>
          <w:szCs w:val="16"/>
        </w:rPr>
        <w:t xml:space="preserve">Exhibit </w:t>
      </w:r>
      <w:r>
        <w:rPr>
          <w:rFonts w:asciiTheme="majorHAnsi" w:hAnsiTheme="majorHAnsi"/>
          <w:sz w:val="16"/>
          <w:szCs w:val="16"/>
        </w:rPr>
        <w:t>27</w:t>
      </w:r>
      <w:r w:rsidRPr="0056759E">
        <w:rPr>
          <w:rFonts w:asciiTheme="majorHAnsi" w:hAnsiTheme="majorHAnsi"/>
          <w:sz w:val="16"/>
          <w:szCs w:val="16"/>
        </w:rPr>
        <w:t xml:space="preserve">, submitted with petitioners’ original petition on </w:t>
      </w:r>
      <w:r>
        <w:rPr>
          <w:rFonts w:asciiTheme="majorHAnsi" w:hAnsiTheme="majorHAnsi"/>
          <w:sz w:val="16"/>
          <w:szCs w:val="16"/>
        </w:rPr>
        <w:t>February 25, 2002</w:t>
      </w:r>
      <w:r w:rsidRPr="0056759E">
        <w:rPr>
          <w:rFonts w:asciiTheme="majorHAnsi" w:hAnsiTheme="majorHAnsi"/>
          <w:sz w:val="16"/>
          <w:szCs w:val="16"/>
        </w:rPr>
        <w:t>.</w:t>
      </w:r>
    </w:p>
  </w:footnote>
  <w:footnote w:id="14">
    <w:p w14:paraId="75C30595" w14:textId="77777777" w:rsidR="009703EC" w:rsidRPr="002D5B26" w:rsidRDefault="009703EC" w:rsidP="00AF04C9">
      <w:pPr>
        <w:pStyle w:val="FootnoteText"/>
        <w:jc w:val="both"/>
        <w:rPr>
          <w:rFonts w:asciiTheme="majorHAnsi" w:hAnsiTheme="majorHAnsi"/>
          <w:sz w:val="16"/>
          <w:szCs w:val="16"/>
        </w:rPr>
      </w:pPr>
      <w:r w:rsidRPr="002D5B26">
        <w:rPr>
          <w:rStyle w:val="FootnoteReference"/>
          <w:rFonts w:asciiTheme="majorHAnsi" w:hAnsiTheme="majorHAnsi"/>
          <w:sz w:val="16"/>
          <w:szCs w:val="16"/>
        </w:rPr>
        <w:footnoteRef/>
      </w:r>
      <w:r w:rsidRPr="002D5B26">
        <w:rPr>
          <w:rFonts w:asciiTheme="majorHAnsi" w:hAnsiTheme="majorHAnsi"/>
          <w:sz w:val="16"/>
          <w:szCs w:val="16"/>
        </w:rPr>
        <w:t xml:space="preserve"> Affidavit of Brad Fisher, Ph. D, sworn under notary public, September 1990</w:t>
      </w:r>
      <w:r>
        <w:rPr>
          <w:rFonts w:asciiTheme="majorHAnsi" w:hAnsiTheme="majorHAnsi"/>
          <w:sz w:val="16"/>
          <w:szCs w:val="16"/>
        </w:rPr>
        <w:t xml:space="preserve">. </w:t>
      </w:r>
      <w:r w:rsidRPr="0056759E">
        <w:rPr>
          <w:rFonts w:asciiTheme="majorHAnsi" w:hAnsiTheme="majorHAnsi"/>
          <w:sz w:val="16"/>
          <w:szCs w:val="16"/>
        </w:rPr>
        <w:t xml:space="preserve">Exhibit </w:t>
      </w:r>
      <w:r>
        <w:rPr>
          <w:rFonts w:asciiTheme="majorHAnsi" w:hAnsiTheme="majorHAnsi"/>
          <w:sz w:val="16"/>
          <w:szCs w:val="16"/>
        </w:rPr>
        <w:t>28</w:t>
      </w:r>
      <w:r w:rsidRPr="0056759E">
        <w:rPr>
          <w:rFonts w:asciiTheme="majorHAnsi" w:hAnsiTheme="majorHAnsi"/>
          <w:sz w:val="16"/>
          <w:szCs w:val="16"/>
        </w:rPr>
        <w:t xml:space="preserve">, submitted with petitioners’ original petition on </w:t>
      </w:r>
      <w:r>
        <w:rPr>
          <w:rFonts w:asciiTheme="majorHAnsi" w:hAnsiTheme="majorHAnsi"/>
          <w:sz w:val="16"/>
          <w:szCs w:val="16"/>
        </w:rPr>
        <w:t>February 25, 2002</w:t>
      </w:r>
      <w:r w:rsidRPr="0056759E">
        <w:rPr>
          <w:rFonts w:asciiTheme="majorHAnsi" w:hAnsiTheme="majorHAnsi"/>
          <w:sz w:val="16"/>
          <w:szCs w:val="16"/>
        </w:rPr>
        <w:t>.</w:t>
      </w:r>
    </w:p>
  </w:footnote>
  <w:footnote w:id="15">
    <w:p w14:paraId="395CF7DE" w14:textId="6F4B5F85" w:rsidR="009703EC" w:rsidRPr="003374B9" w:rsidRDefault="009703EC" w:rsidP="003374B9">
      <w:pPr>
        <w:pStyle w:val="FootnoteText"/>
        <w:jc w:val="both"/>
      </w:pPr>
      <w:r w:rsidRPr="00AB069C">
        <w:rPr>
          <w:rStyle w:val="FootnoteReference"/>
          <w:rFonts w:asciiTheme="majorHAnsi" w:hAnsiTheme="majorHAnsi"/>
          <w:sz w:val="16"/>
          <w:szCs w:val="16"/>
        </w:rPr>
        <w:footnoteRef/>
      </w:r>
      <w:r w:rsidRPr="00AB069C">
        <w:rPr>
          <w:rFonts w:asciiTheme="majorHAnsi" w:hAnsiTheme="majorHAnsi"/>
          <w:sz w:val="16"/>
          <w:szCs w:val="16"/>
        </w:rPr>
        <w:t xml:space="preserve"> Tracy Lee Housel v Frederick J Head, no. 98-8830, United States Court of Appeals, Eleventh Circuit, January 18, 2001. </w:t>
      </w:r>
      <w:r w:rsidRPr="0056759E">
        <w:rPr>
          <w:rFonts w:asciiTheme="majorHAnsi" w:hAnsiTheme="majorHAnsi"/>
          <w:sz w:val="16"/>
          <w:szCs w:val="16"/>
        </w:rPr>
        <w:t xml:space="preserve">Exhibit </w:t>
      </w:r>
      <w:r>
        <w:rPr>
          <w:rFonts w:asciiTheme="majorHAnsi" w:hAnsiTheme="majorHAnsi"/>
          <w:sz w:val="16"/>
          <w:szCs w:val="16"/>
        </w:rPr>
        <w:t>25</w:t>
      </w:r>
      <w:r w:rsidRPr="0056759E">
        <w:rPr>
          <w:rFonts w:asciiTheme="majorHAnsi" w:hAnsiTheme="majorHAnsi"/>
          <w:sz w:val="16"/>
          <w:szCs w:val="16"/>
        </w:rPr>
        <w:t xml:space="preserve">, submitted with petitioners’ original petition on </w:t>
      </w:r>
      <w:r>
        <w:rPr>
          <w:rFonts w:asciiTheme="majorHAnsi" w:hAnsiTheme="majorHAnsi"/>
          <w:sz w:val="16"/>
          <w:szCs w:val="16"/>
        </w:rPr>
        <w:t>February 25, 2002</w:t>
      </w:r>
      <w:r w:rsidRPr="0056759E">
        <w:rPr>
          <w:rFonts w:asciiTheme="majorHAnsi" w:hAnsiTheme="majorHAnsi"/>
          <w:sz w:val="16"/>
          <w:szCs w:val="16"/>
        </w:rPr>
        <w:t>.</w:t>
      </w:r>
    </w:p>
  </w:footnote>
  <w:footnote w:id="16">
    <w:p w14:paraId="3E9DDF42" w14:textId="5F609C9B" w:rsidR="009703EC" w:rsidRPr="00BE6FA8" w:rsidRDefault="009703EC" w:rsidP="00FD3999">
      <w:pPr>
        <w:pStyle w:val="FootnoteText"/>
        <w:jc w:val="both"/>
        <w:rPr>
          <w:rFonts w:asciiTheme="majorHAnsi" w:hAnsiTheme="majorHAnsi"/>
          <w:sz w:val="16"/>
          <w:szCs w:val="16"/>
        </w:rPr>
      </w:pPr>
      <w:r w:rsidRPr="00BE6FA8">
        <w:rPr>
          <w:rStyle w:val="FootnoteReference"/>
          <w:rFonts w:asciiTheme="majorHAnsi" w:hAnsiTheme="majorHAnsi"/>
          <w:sz w:val="16"/>
          <w:szCs w:val="16"/>
        </w:rPr>
        <w:footnoteRef/>
      </w:r>
      <w:r w:rsidRPr="00BE6FA8">
        <w:rPr>
          <w:rFonts w:asciiTheme="majorHAnsi" w:hAnsiTheme="majorHAnsi"/>
          <w:sz w:val="16"/>
          <w:szCs w:val="16"/>
        </w:rPr>
        <w:t xml:space="preserve"> Tracy Lee Housel v Albert G. Thomas, Warden, Georgia Diagnostic and Classification Center , Civil Action No. 1:94-CV-1444-ODE, United States District Court, Northern District of Georgia, Atlanta Division. Habeas Corpus</w:t>
      </w:r>
      <w:r>
        <w:rPr>
          <w:rFonts w:asciiTheme="majorHAnsi" w:hAnsiTheme="majorHAnsi"/>
          <w:sz w:val="16"/>
          <w:szCs w:val="16"/>
        </w:rPr>
        <w:t xml:space="preserve">. </w:t>
      </w:r>
      <w:r w:rsidRPr="0056759E">
        <w:rPr>
          <w:rFonts w:asciiTheme="majorHAnsi" w:hAnsiTheme="majorHAnsi"/>
          <w:sz w:val="16"/>
          <w:szCs w:val="16"/>
        </w:rPr>
        <w:t xml:space="preserve">Exhibit </w:t>
      </w:r>
      <w:r>
        <w:rPr>
          <w:rFonts w:asciiTheme="majorHAnsi" w:hAnsiTheme="majorHAnsi"/>
          <w:sz w:val="16"/>
          <w:szCs w:val="16"/>
        </w:rPr>
        <w:t>26</w:t>
      </w:r>
      <w:r w:rsidRPr="0056759E">
        <w:rPr>
          <w:rFonts w:asciiTheme="majorHAnsi" w:hAnsiTheme="majorHAnsi"/>
          <w:sz w:val="16"/>
          <w:szCs w:val="16"/>
        </w:rPr>
        <w:t xml:space="preserve">, submitted with petitioners’ original petition on </w:t>
      </w:r>
      <w:r>
        <w:rPr>
          <w:rFonts w:asciiTheme="majorHAnsi" w:hAnsiTheme="majorHAnsi"/>
          <w:sz w:val="16"/>
          <w:szCs w:val="16"/>
        </w:rPr>
        <w:t>February 25, 2002</w:t>
      </w:r>
      <w:r w:rsidRPr="0056759E">
        <w:rPr>
          <w:rFonts w:asciiTheme="majorHAnsi" w:hAnsiTheme="majorHAnsi"/>
          <w:sz w:val="16"/>
          <w:szCs w:val="16"/>
        </w:rPr>
        <w:t>.</w:t>
      </w:r>
    </w:p>
  </w:footnote>
  <w:footnote w:id="17">
    <w:p w14:paraId="498AB820" w14:textId="4273C4C9" w:rsidR="009703EC" w:rsidRPr="00411932" w:rsidRDefault="009703EC" w:rsidP="000A056E">
      <w:pPr>
        <w:pStyle w:val="FootnoteText"/>
        <w:jc w:val="both"/>
        <w:rPr>
          <w:rFonts w:asciiTheme="majorHAnsi" w:hAnsiTheme="majorHAnsi"/>
          <w:sz w:val="16"/>
          <w:szCs w:val="16"/>
        </w:rPr>
      </w:pPr>
      <w:r w:rsidRPr="00411932">
        <w:rPr>
          <w:rStyle w:val="FootnoteReference"/>
          <w:rFonts w:asciiTheme="majorHAnsi" w:hAnsiTheme="majorHAnsi"/>
          <w:sz w:val="16"/>
          <w:szCs w:val="16"/>
        </w:rPr>
        <w:footnoteRef/>
      </w:r>
      <w:r w:rsidRPr="00411932">
        <w:rPr>
          <w:rFonts w:asciiTheme="majorHAnsi" w:hAnsiTheme="majorHAnsi"/>
          <w:sz w:val="16"/>
          <w:szCs w:val="16"/>
        </w:rPr>
        <w:t xml:space="preserve"> Tracy Lee Housel v Albert G. Thomas, Warden, Georgia Diagnostic and Classification Center , Civil Action No. 1:94-CV-1444-ODE, United States District Court, Northern District of Georgia, Atlanta Division</w:t>
      </w:r>
      <w:r>
        <w:rPr>
          <w:rFonts w:asciiTheme="majorHAnsi" w:hAnsiTheme="majorHAnsi"/>
          <w:sz w:val="16"/>
          <w:szCs w:val="16"/>
        </w:rPr>
        <w:t xml:space="preserve">. </w:t>
      </w:r>
      <w:r w:rsidRPr="0056759E">
        <w:rPr>
          <w:rFonts w:asciiTheme="majorHAnsi" w:hAnsiTheme="majorHAnsi"/>
          <w:sz w:val="16"/>
          <w:szCs w:val="16"/>
        </w:rPr>
        <w:t xml:space="preserve">Exhibit </w:t>
      </w:r>
      <w:r>
        <w:rPr>
          <w:rFonts w:asciiTheme="majorHAnsi" w:hAnsiTheme="majorHAnsi"/>
          <w:sz w:val="16"/>
          <w:szCs w:val="16"/>
        </w:rPr>
        <w:t>26</w:t>
      </w:r>
      <w:r w:rsidRPr="0056759E">
        <w:rPr>
          <w:rFonts w:asciiTheme="majorHAnsi" w:hAnsiTheme="majorHAnsi"/>
          <w:sz w:val="16"/>
          <w:szCs w:val="16"/>
        </w:rPr>
        <w:t xml:space="preserve">, submitted with petitioners’ original petition on </w:t>
      </w:r>
      <w:r>
        <w:rPr>
          <w:rFonts w:asciiTheme="majorHAnsi" w:hAnsiTheme="majorHAnsi"/>
          <w:sz w:val="16"/>
          <w:szCs w:val="16"/>
        </w:rPr>
        <w:t>February 25, 2002</w:t>
      </w:r>
      <w:r w:rsidRPr="0056759E">
        <w:rPr>
          <w:rFonts w:asciiTheme="majorHAnsi" w:hAnsiTheme="majorHAnsi"/>
          <w:sz w:val="16"/>
          <w:szCs w:val="16"/>
        </w:rPr>
        <w:t>.</w:t>
      </w:r>
    </w:p>
  </w:footnote>
  <w:footnote w:id="18">
    <w:p w14:paraId="7CCEA71D" w14:textId="77777777" w:rsidR="009703EC" w:rsidRPr="003E49F8" w:rsidRDefault="009703EC" w:rsidP="004743E0">
      <w:pPr>
        <w:pStyle w:val="FootnoteText"/>
        <w:jc w:val="both"/>
        <w:rPr>
          <w:rFonts w:asciiTheme="majorHAnsi" w:hAnsiTheme="majorHAnsi"/>
          <w:sz w:val="16"/>
          <w:szCs w:val="16"/>
        </w:rPr>
      </w:pPr>
      <w:r w:rsidRPr="003E49F8">
        <w:rPr>
          <w:rStyle w:val="FootnoteReference"/>
          <w:rFonts w:asciiTheme="majorHAnsi" w:hAnsiTheme="majorHAnsi"/>
          <w:sz w:val="16"/>
          <w:szCs w:val="16"/>
        </w:rPr>
        <w:footnoteRef/>
      </w:r>
      <w:r w:rsidRPr="003E49F8">
        <w:rPr>
          <w:rFonts w:asciiTheme="majorHAnsi" w:hAnsiTheme="majorHAnsi"/>
          <w:sz w:val="16"/>
          <w:szCs w:val="16"/>
        </w:rPr>
        <w:t xml:space="preserve"> Affidavit of Walt M. Britt, sworn under notary public June 13, 1996. </w:t>
      </w:r>
      <w:r w:rsidRPr="0056759E">
        <w:rPr>
          <w:rFonts w:asciiTheme="majorHAnsi" w:hAnsiTheme="majorHAnsi"/>
          <w:sz w:val="16"/>
          <w:szCs w:val="16"/>
        </w:rPr>
        <w:t xml:space="preserve">Exhibit </w:t>
      </w:r>
      <w:r>
        <w:rPr>
          <w:rFonts w:asciiTheme="majorHAnsi" w:hAnsiTheme="majorHAnsi"/>
          <w:sz w:val="16"/>
          <w:szCs w:val="16"/>
        </w:rPr>
        <w:t>29</w:t>
      </w:r>
      <w:r w:rsidRPr="0056759E">
        <w:rPr>
          <w:rFonts w:asciiTheme="majorHAnsi" w:hAnsiTheme="majorHAnsi"/>
          <w:sz w:val="16"/>
          <w:szCs w:val="16"/>
        </w:rPr>
        <w:t xml:space="preserve">, submitted with petitioners’ original petition on </w:t>
      </w:r>
      <w:r>
        <w:rPr>
          <w:rFonts w:asciiTheme="majorHAnsi" w:hAnsiTheme="majorHAnsi"/>
          <w:sz w:val="16"/>
          <w:szCs w:val="16"/>
        </w:rPr>
        <w:t>February 25, 2002</w:t>
      </w:r>
      <w:r w:rsidRPr="0056759E">
        <w:rPr>
          <w:rFonts w:asciiTheme="majorHAnsi" w:hAnsiTheme="majorHAnsi"/>
          <w:sz w:val="16"/>
          <w:szCs w:val="16"/>
        </w:rPr>
        <w:t>.</w:t>
      </w:r>
    </w:p>
  </w:footnote>
  <w:footnote w:id="19">
    <w:p w14:paraId="097162E9" w14:textId="21FA4B60" w:rsidR="009703EC" w:rsidRPr="003521EC" w:rsidRDefault="009703EC">
      <w:pPr>
        <w:pStyle w:val="FootnoteText"/>
        <w:rPr>
          <w:rFonts w:asciiTheme="majorHAnsi" w:hAnsiTheme="majorHAnsi"/>
          <w:sz w:val="16"/>
          <w:szCs w:val="16"/>
        </w:rPr>
      </w:pPr>
      <w:r w:rsidRPr="003521EC">
        <w:rPr>
          <w:rStyle w:val="FootnoteReference"/>
          <w:rFonts w:asciiTheme="majorHAnsi" w:hAnsiTheme="majorHAnsi"/>
          <w:sz w:val="16"/>
          <w:szCs w:val="16"/>
        </w:rPr>
        <w:footnoteRef/>
      </w:r>
      <w:r w:rsidRPr="003521EC">
        <w:rPr>
          <w:rFonts w:asciiTheme="majorHAnsi" w:hAnsiTheme="majorHAnsi"/>
          <w:sz w:val="16"/>
          <w:szCs w:val="16"/>
        </w:rPr>
        <w:t xml:space="preserve"> </w:t>
      </w:r>
      <w:r>
        <w:rPr>
          <w:rFonts w:asciiTheme="majorHAnsi" w:hAnsiTheme="majorHAnsi"/>
          <w:sz w:val="16"/>
          <w:szCs w:val="16"/>
        </w:rPr>
        <w:t>Petitioners’ observations to the State submitted on May 10, 2002</w:t>
      </w:r>
    </w:p>
  </w:footnote>
  <w:footnote w:id="20">
    <w:p w14:paraId="24058CC5" w14:textId="297129D6" w:rsidR="009703EC" w:rsidRDefault="009703EC" w:rsidP="00530C37">
      <w:pPr>
        <w:pStyle w:val="FootnoteText"/>
        <w:jc w:val="both"/>
        <w:rPr>
          <w:rFonts w:asciiTheme="majorHAnsi" w:hAnsiTheme="majorHAnsi"/>
          <w:sz w:val="16"/>
          <w:szCs w:val="16"/>
        </w:rPr>
      </w:pPr>
      <w:r w:rsidRPr="00EF4F97">
        <w:rPr>
          <w:rStyle w:val="FootnoteReference"/>
          <w:rFonts w:asciiTheme="majorHAnsi" w:hAnsiTheme="majorHAnsi"/>
          <w:sz w:val="16"/>
          <w:szCs w:val="16"/>
        </w:rPr>
        <w:footnoteRef/>
      </w:r>
      <w:r w:rsidRPr="00EF4F97">
        <w:rPr>
          <w:rFonts w:asciiTheme="majorHAnsi" w:hAnsiTheme="majorHAnsi"/>
          <w:sz w:val="16"/>
          <w:szCs w:val="16"/>
        </w:rPr>
        <w:t xml:space="preserve"> Department of Corrections</w:t>
      </w:r>
      <w:r>
        <w:rPr>
          <w:rFonts w:asciiTheme="majorHAnsi" w:hAnsiTheme="majorHAnsi"/>
          <w:sz w:val="16"/>
          <w:szCs w:val="16"/>
        </w:rPr>
        <w:t xml:space="preserve">, </w:t>
      </w:r>
      <w:r w:rsidRPr="00EF4F97">
        <w:rPr>
          <w:rFonts w:asciiTheme="majorHAnsi" w:hAnsiTheme="majorHAnsi"/>
          <w:sz w:val="16"/>
          <w:szCs w:val="16"/>
        </w:rPr>
        <w:t>Gwinnett County Jail</w:t>
      </w:r>
      <w:r>
        <w:rPr>
          <w:rFonts w:asciiTheme="majorHAnsi" w:hAnsiTheme="majorHAnsi"/>
          <w:sz w:val="16"/>
          <w:szCs w:val="16"/>
        </w:rPr>
        <w:t xml:space="preserve">, Annual Report of 2009 and 2010. </w:t>
      </w:r>
      <w:r w:rsidRPr="00EB1AC2">
        <w:rPr>
          <w:rFonts w:asciiTheme="majorHAnsi" w:hAnsiTheme="majorHAnsi"/>
          <w:sz w:val="16"/>
          <w:szCs w:val="16"/>
        </w:rPr>
        <w:t>https://www.gwinnettcounty.com/static/departments/corrections/pdf/2009_corrections_annual_report.pdf</w:t>
      </w:r>
    </w:p>
    <w:p w14:paraId="2921A159" w14:textId="03F61845" w:rsidR="009703EC" w:rsidRPr="00EF4F97" w:rsidRDefault="009703EC" w:rsidP="00530C37">
      <w:pPr>
        <w:pStyle w:val="FootnoteText"/>
        <w:jc w:val="both"/>
        <w:rPr>
          <w:rFonts w:asciiTheme="majorHAnsi" w:hAnsiTheme="majorHAnsi"/>
          <w:sz w:val="16"/>
          <w:szCs w:val="16"/>
        </w:rPr>
      </w:pPr>
      <w:r w:rsidRPr="00EB1AC2">
        <w:rPr>
          <w:rFonts w:asciiTheme="majorHAnsi" w:hAnsiTheme="majorHAnsi"/>
          <w:sz w:val="16"/>
          <w:szCs w:val="16"/>
        </w:rPr>
        <w:t>https://www.gwinnettcounty.com/static/departments/corrections/pdf/2010%20Corrections%20Annual%20Report_FINAL.pdf</w:t>
      </w:r>
    </w:p>
  </w:footnote>
  <w:footnote w:id="21">
    <w:p w14:paraId="0A379ABE" w14:textId="1006C9B9" w:rsidR="009703EC" w:rsidRDefault="009703EC" w:rsidP="00530C37">
      <w:pPr>
        <w:pStyle w:val="FootnoteText"/>
        <w:jc w:val="both"/>
      </w:pPr>
      <w:r w:rsidRPr="006C5268">
        <w:rPr>
          <w:rStyle w:val="FootnoteReference"/>
          <w:rFonts w:asciiTheme="majorHAnsi" w:hAnsiTheme="majorHAnsi"/>
          <w:sz w:val="16"/>
          <w:szCs w:val="16"/>
        </w:rPr>
        <w:footnoteRef/>
      </w:r>
      <w:r>
        <w:t xml:space="preserve"> </w:t>
      </w:r>
      <w:r w:rsidRPr="00800A07">
        <w:rPr>
          <w:rFonts w:asciiTheme="majorHAnsi" w:hAnsiTheme="majorHAnsi"/>
          <w:sz w:val="16"/>
          <w:szCs w:val="16"/>
        </w:rPr>
        <w:t>Affidavit</w:t>
      </w:r>
      <w:r>
        <w:rPr>
          <w:rFonts w:asciiTheme="majorHAnsi" w:hAnsiTheme="majorHAnsi"/>
          <w:sz w:val="16"/>
          <w:szCs w:val="16"/>
        </w:rPr>
        <w:t>s</w:t>
      </w:r>
      <w:r w:rsidRPr="00800A07">
        <w:rPr>
          <w:rFonts w:asciiTheme="majorHAnsi" w:hAnsiTheme="majorHAnsi"/>
          <w:sz w:val="16"/>
          <w:szCs w:val="16"/>
        </w:rPr>
        <w:t xml:space="preserve"> of</w:t>
      </w:r>
      <w:r>
        <w:rPr>
          <w:rFonts w:asciiTheme="majorHAnsi" w:hAnsiTheme="majorHAnsi"/>
          <w:sz w:val="16"/>
          <w:szCs w:val="16"/>
        </w:rPr>
        <w:t>:</w:t>
      </w:r>
      <w:r w:rsidRPr="00800A07">
        <w:rPr>
          <w:rFonts w:asciiTheme="majorHAnsi" w:hAnsiTheme="majorHAnsi"/>
          <w:sz w:val="16"/>
          <w:szCs w:val="16"/>
        </w:rPr>
        <w:t xml:space="preserve"> Dee Williams, </w:t>
      </w:r>
      <w:r>
        <w:rPr>
          <w:rFonts w:asciiTheme="majorHAnsi" w:hAnsiTheme="majorHAnsi"/>
          <w:sz w:val="16"/>
          <w:szCs w:val="16"/>
        </w:rPr>
        <w:t>sworn before</w:t>
      </w:r>
      <w:r w:rsidRPr="00800A07">
        <w:rPr>
          <w:rFonts w:asciiTheme="majorHAnsi" w:hAnsiTheme="majorHAnsi"/>
          <w:sz w:val="16"/>
          <w:szCs w:val="16"/>
        </w:rPr>
        <w:t xml:space="preserve"> notary seal, August 8, 1990</w:t>
      </w:r>
      <w:r>
        <w:rPr>
          <w:rFonts w:asciiTheme="majorHAnsi" w:hAnsiTheme="majorHAnsi"/>
          <w:sz w:val="16"/>
          <w:szCs w:val="16"/>
        </w:rPr>
        <w:t xml:space="preserve">, State of California (worked within Booking Department of Gwinnett County Jail of the Gwinnett County Sheriff’s Department for approximately 10 months from 1985 to 1986); </w:t>
      </w:r>
      <w:r w:rsidRPr="00800A07">
        <w:rPr>
          <w:rFonts w:asciiTheme="majorHAnsi" w:hAnsiTheme="majorHAnsi"/>
          <w:sz w:val="16"/>
          <w:szCs w:val="16"/>
        </w:rPr>
        <w:t>Charles Seabolt</w:t>
      </w:r>
      <w:r>
        <w:rPr>
          <w:rFonts w:asciiTheme="majorHAnsi" w:hAnsiTheme="majorHAnsi"/>
          <w:sz w:val="16"/>
          <w:szCs w:val="16"/>
        </w:rPr>
        <w:t>, s</w:t>
      </w:r>
      <w:r w:rsidRPr="00800A07">
        <w:rPr>
          <w:rFonts w:asciiTheme="majorHAnsi" w:hAnsiTheme="majorHAnsi"/>
          <w:sz w:val="16"/>
          <w:szCs w:val="16"/>
        </w:rPr>
        <w:t>worn before notary public January 25, 1995, State of Georgia</w:t>
      </w:r>
      <w:r>
        <w:rPr>
          <w:rFonts w:asciiTheme="majorHAnsi" w:hAnsiTheme="majorHAnsi"/>
          <w:sz w:val="16"/>
          <w:szCs w:val="16"/>
        </w:rPr>
        <w:t xml:space="preserve"> (housed at Gwinnett County Jail in the same cell block as Mr. Housel); </w:t>
      </w:r>
      <w:r w:rsidRPr="00AF3895">
        <w:rPr>
          <w:rFonts w:asciiTheme="majorHAnsi" w:hAnsiTheme="majorHAnsi"/>
          <w:sz w:val="16"/>
          <w:szCs w:val="16"/>
        </w:rPr>
        <w:t>Ceils Smith, sworn before notary public January 27, 1995</w:t>
      </w:r>
      <w:r>
        <w:rPr>
          <w:rFonts w:asciiTheme="majorHAnsi" w:hAnsiTheme="majorHAnsi"/>
          <w:sz w:val="16"/>
          <w:szCs w:val="16"/>
        </w:rPr>
        <w:t xml:space="preserve"> (confined at Gwinnett County Jail in 1985 in C House);</w:t>
      </w:r>
      <w:r w:rsidRPr="006C5268">
        <w:rPr>
          <w:rFonts w:asciiTheme="majorHAnsi" w:hAnsiTheme="majorHAnsi"/>
          <w:sz w:val="16"/>
          <w:szCs w:val="16"/>
        </w:rPr>
        <w:t xml:space="preserve"> James Ard, sworn before notary public January 23, 1995</w:t>
      </w:r>
      <w:r>
        <w:rPr>
          <w:rFonts w:asciiTheme="majorHAnsi" w:hAnsiTheme="majorHAnsi"/>
          <w:sz w:val="16"/>
          <w:szCs w:val="16"/>
        </w:rPr>
        <w:t xml:space="preserve"> (detained at Gwinnett County Jail in 1985 and 1986); </w:t>
      </w:r>
      <w:r w:rsidRPr="006C5268">
        <w:rPr>
          <w:rFonts w:asciiTheme="majorHAnsi" w:hAnsiTheme="majorHAnsi"/>
          <w:sz w:val="16"/>
          <w:szCs w:val="16"/>
        </w:rPr>
        <w:t>Samuel Jackson Bell</w:t>
      </w:r>
      <w:r>
        <w:rPr>
          <w:rFonts w:asciiTheme="majorHAnsi" w:hAnsiTheme="majorHAnsi"/>
          <w:sz w:val="16"/>
          <w:szCs w:val="16"/>
        </w:rPr>
        <w:t>,</w:t>
      </w:r>
      <w:r w:rsidRPr="006C5268">
        <w:rPr>
          <w:rFonts w:asciiTheme="majorHAnsi" w:hAnsiTheme="majorHAnsi"/>
          <w:sz w:val="16"/>
          <w:szCs w:val="16"/>
        </w:rPr>
        <w:t xml:space="preserve"> sworn before notary public January 24, 1995</w:t>
      </w:r>
      <w:r>
        <w:rPr>
          <w:rFonts w:asciiTheme="majorHAnsi" w:hAnsiTheme="majorHAnsi"/>
          <w:sz w:val="16"/>
          <w:szCs w:val="16"/>
        </w:rPr>
        <w:t xml:space="preserve"> (inmate at Gwinnett County Jail, D Block in April 1985); and d</w:t>
      </w:r>
      <w:r w:rsidRPr="00C24E63">
        <w:rPr>
          <w:rFonts w:asciiTheme="majorHAnsi" w:hAnsiTheme="majorHAnsi"/>
          <w:sz w:val="16"/>
          <w:szCs w:val="16"/>
        </w:rPr>
        <w:t>eclaration of Kathy Rape Waddell, September 9, 1997</w:t>
      </w:r>
      <w:r>
        <w:rPr>
          <w:rFonts w:asciiTheme="majorHAnsi" w:hAnsiTheme="majorHAnsi"/>
          <w:sz w:val="16"/>
          <w:szCs w:val="16"/>
        </w:rPr>
        <w:t xml:space="preserve">. (worked with the Gwinnett County Jail as a Correctional Officer in 1985 and 1986). </w:t>
      </w:r>
      <w:r w:rsidRPr="0056759E">
        <w:rPr>
          <w:rFonts w:asciiTheme="majorHAnsi" w:hAnsiTheme="majorHAnsi"/>
          <w:sz w:val="16"/>
          <w:szCs w:val="16"/>
        </w:rPr>
        <w:t xml:space="preserve">Exhibit </w:t>
      </w:r>
      <w:r>
        <w:rPr>
          <w:rFonts w:asciiTheme="majorHAnsi" w:hAnsiTheme="majorHAnsi"/>
          <w:sz w:val="16"/>
          <w:szCs w:val="16"/>
        </w:rPr>
        <w:t>21, 22 and 23</w:t>
      </w:r>
      <w:r w:rsidRPr="0056759E">
        <w:rPr>
          <w:rFonts w:asciiTheme="majorHAnsi" w:hAnsiTheme="majorHAnsi"/>
          <w:sz w:val="16"/>
          <w:szCs w:val="16"/>
        </w:rPr>
        <w:t xml:space="preserve"> submitted with petitioners’ original petition on </w:t>
      </w:r>
      <w:r>
        <w:rPr>
          <w:rFonts w:asciiTheme="majorHAnsi" w:hAnsiTheme="majorHAnsi"/>
          <w:sz w:val="16"/>
          <w:szCs w:val="16"/>
        </w:rPr>
        <w:t>February 25, 2002</w:t>
      </w:r>
      <w:r w:rsidRPr="0056759E">
        <w:rPr>
          <w:rFonts w:asciiTheme="majorHAnsi" w:hAnsiTheme="majorHAnsi"/>
          <w:sz w:val="16"/>
          <w:szCs w:val="16"/>
        </w:rPr>
        <w:t>.</w:t>
      </w:r>
    </w:p>
  </w:footnote>
  <w:footnote w:id="22">
    <w:p w14:paraId="12382279" w14:textId="592D2AED" w:rsidR="009703EC" w:rsidRDefault="009703EC" w:rsidP="00385C97">
      <w:pPr>
        <w:pStyle w:val="FootnoteText"/>
        <w:jc w:val="both"/>
      </w:pPr>
      <w:r w:rsidRPr="00385C97">
        <w:rPr>
          <w:rFonts w:asciiTheme="majorHAnsi" w:eastAsia="Cambria" w:hAnsiTheme="majorHAnsi" w:cs="Cambria"/>
          <w:sz w:val="16"/>
          <w:vertAlign w:val="superscript"/>
        </w:rPr>
        <w:footnoteRef/>
      </w:r>
      <w:r w:rsidRPr="00385C97">
        <w:rPr>
          <w:rFonts w:asciiTheme="majorHAnsi" w:eastAsia="Cambria" w:hAnsiTheme="majorHAnsi" w:cs="Cambria"/>
          <w:sz w:val="16"/>
          <w:vertAlign w:val="superscript"/>
        </w:rPr>
        <w:t xml:space="preserve"> </w:t>
      </w:r>
      <w:r w:rsidRPr="00800A07">
        <w:rPr>
          <w:rFonts w:asciiTheme="majorHAnsi" w:hAnsiTheme="majorHAnsi"/>
          <w:sz w:val="16"/>
          <w:szCs w:val="16"/>
        </w:rPr>
        <w:t xml:space="preserve">Affidavit of Dee Williams, </w:t>
      </w:r>
      <w:r>
        <w:rPr>
          <w:rFonts w:asciiTheme="majorHAnsi" w:hAnsiTheme="majorHAnsi"/>
          <w:sz w:val="16"/>
          <w:szCs w:val="16"/>
        </w:rPr>
        <w:t>sworn before</w:t>
      </w:r>
      <w:r w:rsidRPr="00800A07">
        <w:rPr>
          <w:rFonts w:asciiTheme="majorHAnsi" w:hAnsiTheme="majorHAnsi"/>
          <w:sz w:val="16"/>
          <w:szCs w:val="16"/>
        </w:rPr>
        <w:t xml:space="preserve"> notary seal, August 8, 1990</w:t>
      </w:r>
      <w:r>
        <w:rPr>
          <w:rFonts w:asciiTheme="majorHAnsi" w:hAnsiTheme="majorHAnsi"/>
          <w:sz w:val="16"/>
          <w:szCs w:val="16"/>
        </w:rPr>
        <w:t xml:space="preserve">, State of California. </w:t>
      </w:r>
      <w:r w:rsidRPr="0056759E">
        <w:rPr>
          <w:rFonts w:asciiTheme="majorHAnsi" w:hAnsiTheme="majorHAnsi"/>
          <w:sz w:val="16"/>
          <w:szCs w:val="16"/>
        </w:rPr>
        <w:t xml:space="preserve">Exhibit </w:t>
      </w:r>
      <w:r>
        <w:rPr>
          <w:rFonts w:asciiTheme="majorHAnsi" w:hAnsiTheme="majorHAnsi"/>
          <w:sz w:val="16"/>
          <w:szCs w:val="16"/>
        </w:rPr>
        <w:t>21</w:t>
      </w:r>
      <w:r w:rsidRPr="0056759E">
        <w:rPr>
          <w:rFonts w:asciiTheme="majorHAnsi" w:hAnsiTheme="majorHAnsi"/>
          <w:sz w:val="16"/>
          <w:szCs w:val="16"/>
        </w:rPr>
        <w:t xml:space="preserve">, submitted with petitioners’ original petition on </w:t>
      </w:r>
      <w:r>
        <w:rPr>
          <w:rFonts w:asciiTheme="majorHAnsi" w:hAnsiTheme="majorHAnsi"/>
          <w:sz w:val="16"/>
          <w:szCs w:val="16"/>
        </w:rPr>
        <w:t>February 25, 2002</w:t>
      </w:r>
      <w:r w:rsidRPr="0056759E">
        <w:rPr>
          <w:rFonts w:asciiTheme="majorHAnsi" w:hAnsiTheme="majorHAnsi"/>
          <w:sz w:val="16"/>
          <w:szCs w:val="16"/>
        </w:rPr>
        <w:t>.</w:t>
      </w:r>
    </w:p>
  </w:footnote>
  <w:footnote w:id="23">
    <w:p w14:paraId="0E8F3F52" w14:textId="77777777" w:rsidR="009703EC" w:rsidRPr="009F1B62" w:rsidRDefault="009703EC" w:rsidP="004E6889">
      <w:pPr>
        <w:pStyle w:val="FootnoteText"/>
        <w:jc w:val="both"/>
        <w:rPr>
          <w:rFonts w:asciiTheme="majorHAnsi" w:hAnsiTheme="majorHAnsi"/>
          <w:sz w:val="16"/>
        </w:rPr>
      </w:pPr>
      <w:r w:rsidRPr="009F1B62">
        <w:rPr>
          <w:rFonts w:asciiTheme="majorHAnsi" w:eastAsia="Cambria" w:hAnsiTheme="majorHAnsi" w:cs="Cambria"/>
          <w:sz w:val="16"/>
          <w:vertAlign w:val="superscript"/>
        </w:rPr>
        <w:footnoteRef/>
      </w:r>
      <w:r w:rsidRPr="009F1B62">
        <w:rPr>
          <w:rFonts w:asciiTheme="majorHAnsi" w:eastAsia="Cambria" w:hAnsiTheme="majorHAnsi" w:cs="Cambria"/>
          <w:sz w:val="16"/>
          <w:szCs w:val="16"/>
        </w:rPr>
        <w:t xml:space="preserve"> See, in this respect, IACHR, The death penalty in the Inter-American System of Human Rights: From restrictions to abolition, OEA/Ser.L/V/II.Doc. 68, December 31, 2011.</w:t>
      </w:r>
    </w:p>
  </w:footnote>
  <w:footnote w:id="24">
    <w:p w14:paraId="287CEB95" w14:textId="77777777" w:rsidR="009703EC" w:rsidRPr="009F1B62" w:rsidRDefault="009703EC" w:rsidP="004E6889">
      <w:pPr>
        <w:pStyle w:val="FootnoteText"/>
        <w:jc w:val="both"/>
        <w:rPr>
          <w:rFonts w:asciiTheme="majorHAnsi" w:hAnsiTheme="majorHAnsi"/>
          <w:sz w:val="16"/>
        </w:rPr>
      </w:pPr>
      <w:r w:rsidRPr="009F1B62">
        <w:rPr>
          <w:rFonts w:asciiTheme="majorHAnsi" w:eastAsia="Cambria" w:hAnsiTheme="majorHAnsi" w:cs="Cambria"/>
          <w:sz w:val="16"/>
          <w:vertAlign w:val="superscript"/>
        </w:rPr>
        <w:footnoteRef/>
      </w:r>
      <w:r w:rsidRPr="009F1B62">
        <w:rPr>
          <w:rFonts w:asciiTheme="majorHAnsi" w:eastAsia="Cambria" w:hAnsiTheme="majorHAnsi" w:cs="Cambria"/>
          <w:sz w:val="16"/>
          <w:szCs w:val="16"/>
        </w:rPr>
        <w:t xml:space="preserve"> See, for example: I/A Court H. R., Advisory Opinion OC-16/99 (October 1, 1999), </w:t>
      </w:r>
      <w:r w:rsidRPr="009F1B62">
        <w:rPr>
          <w:rFonts w:asciiTheme="majorHAnsi" w:eastAsia="Cambria" w:hAnsiTheme="majorHAnsi" w:cs="Cambria"/>
          <w:i/>
          <w:iCs/>
          <w:sz w:val="16"/>
          <w:szCs w:val="16"/>
        </w:rPr>
        <w:t>The Right to Information on Consular Assistance in the Framework of the Guarantees of the Due Process of Law</w:t>
      </w:r>
      <w:r w:rsidRPr="009F1B62">
        <w:rPr>
          <w:rFonts w:asciiTheme="majorHAnsi" w:eastAsia="Cambria" w:hAnsiTheme="majorHAnsi" w:cs="Cambria"/>
          <w:sz w:val="16"/>
          <w:szCs w:val="16"/>
        </w:rPr>
        <w:t xml:space="preserve">, para. 136 (finding that “because execution of the death penalty is irreversible, the strictest and most rigorous enforcement of judicial guarantees is required of the State so that those guarantees are not violated and a human life is not arbitrarily taken as a result”); United Nations Human Rights Committee, </w:t>
      </w:r>
      <w:r w:rsidRPr="009F1B62">
        <w:rPr>
          <w:rFonts w:asciiTheme="majorHAnsi" w:eastAsia="Cambria" w:hAnsiTheme="majorHAnsi" w:cs="Cambria"/>
          <w:i/>
          <w:iCs/>
          <w:sz w:val="16"/>
          <w:szCs w:val="16"/>
        </w:rPr>
        <w:t>Baboheram-Adhin et al. v. Suriname</w:t>
      </w:r>
      <w:r w:rsidRPr="009F1B62">
        <w:rPr>
          <w:rFonts w:asciiTheme="majorHAnsi" w:eastAsia="Cambria" w:hAnsiTheme="majorHAnsi" w:cs="Cambria"/>
          <w:sz w:val="16"/>
          <w:szCs w:val="16"/>
        </w:rPr>
        <w:t>,</w:t>
      </w:r>
      <w:r w:rsidRPr="009F1B62">
        <w:rPr>
          <w:rFonts w:asciiTheme="majorHAnsi" w:eastAsia="Cambria" w:hAnsiTheme="majorHAnsi" w:cs="Cambria"/>
          <w:i/>
          <w:iCs/>
          <w:sz w:val="16"/>
          <w:szCs w:val="16"/>
        </w:rPr>
        <w:t xml:space="preserve"> </w:t>
      </w:r>
      <w:r w:rsidRPr="009F1B62">
        <w:rPr>
          <w:rFonts w:asciiTheme="majorHAnsi" w:eastAsia="Cambria" w:hAnsiTheme="majorHAnsi" w:cs="Cambria"/>
          <w:sz w:val="16"/>
          <w:szCs w:val="16"/>
        </w:rPr>
        <w:t xml:space="preserve">Communications Nos. 148-154/1983, adopted on April 4, 1985, para. 14.3 (observing that “the law must strictly control and limit the circumstances in which a person may be deprived of his life by the authorities of a State”); </w:t>
      </w:r>
      <w:r w:rsidRPr="009F1B62">
        <w:rPr>
          <w:rFonts w:asciiTheme="majorHAnsi" w:eastAsia="Cambria" w:hAnsiTheme="majorHAnsi" w:cs="Cambria"/>
          <w:i/>
          <w:iCs/>
          <w:sz w:val="16"/>
          <w:szCs w:val="16"/>
        </w:rPr>
        <w:t>Report of the United Nations Special Rapporteur on Extrajudicial Executions</w:t>
      </w:r>
      <w:r w:rsidRPr="009F1B62">
        <w:rPr>
          <w:rFonts w:asciiTheme="majorHAnsi" w:eastAsia="Cambria" w:hAnsiTheme="majorHAnsi" w:cs="Cambria"/>
          <w:sz w:val="16"/>
          <w:szCs w:val="16"/>
        </w:rPr>
        <w:t>, Bacre Waly Ndiaye, submitted pursuant to Commission on Human Rights Resolution 1994/82, Question of the Violation of Human Rights and Fundamental Freedoms in any part of the World, with particular reference to Colonial and Other Dependent Countries and Territories, UN Doc.E/CN.4/1995/61 (December 14, 1994) (“the Ndiaye Report”), para. 378 (emphasizing that in capital cases, it is the application of the standards of fair trial to each and every case that needs to be ensured and, in case of indications to the contrary, verified, in accordance with the obligation under international law to conduct exhaustive and impartial investigations into all allegations of violation of the right to life).</w:t>
      </w:r>
    </w:p>
  </w:footnote>
  <w:footnote w:id="25">
    <w:p w14:paraId="5B666ED8" w14:textId="77777777" w:rsidR="009703EC" w:rsidRPr="009F1B62" w:rsidRDefault="009703EC" w:rsidP="004E6889">
      <w:pPr>
        <w:pStyle w:val="FootnoteText"/>
        <w:jc w:val="both"/>
        <w:rPr>
          <w:rFonts w:asciiTheme="majorHAnsi" w:hAnsiTheme="majorHAnsi"/>
          <w:sz w:val="16"/>
        </w:rPr>
      </w:pPr>
      <w:r w:rsidRPr="009F1B62">
        <w:rPr>
          <w:rFonts w:asciiTheme="majorHAnsi" w:eastAsia="Cambria" w:hAnsiTheme="majorHAnsi" w:cs="Cambria"/>
          <w:sz w:val="16"/>
          <w:vertAlign w:val="superscript"/>
        </w:rPr>
        <w:footnoteRef/>
      </w:r>
      <w:r w:rsidRPr="009F1B62">
        <w:rPr>
          <w:rFonts w:asciiTheme="majorHAnsi" w:eastAsia="Cambria" w:hAnsiTheme="majorHAnsi" w:cs="Cambria"/>
          <w:sz w:val="16"/>
          <w:szCs w:val="16"/>
        </w:rPr>
        <w:t xml:space="preserve"> IACHR, Report No. 11/15, Case 12.833, Merits (Publication), Felix Rocha Diaz, United States, March 23, 2015, para. 54; Report No. 44/14, Case 12.873, Merits (Publication), Edgar Tamayo Arias, United States, July 17, 2014, para. 127;</w:t>
      </w:r>
      <w:r w:rsidRPr="009F1B62">
        <w:rPr>
          <w:rFonts w:asciiTheme="majorHAnsi" w:eastAsia="Cambria" w:hAnsiTheme="majorHAnsi" w:cs="Cambria"/>
          <w:i/>
          <w:iCs/>
          <w:sz w:val="16"/>
          <w:szCs w:val="16"/>
        </w:rPr>
        <w:t xml:space="preserve"> </w:t>
      </w:r>
      <w:r w:rsidRPr="009F1B62">
        <w:rPr>
          <w:rFonts w:asciiTheme="majorHAnsi" w:eastAsia="Cambria" w:hAnsiTheme="majorHAnsi" w:cs="Cambria"/>
          <w:sz w:val="16"/>
          <w:szCs w:val="16"/>
        </w:rPr>
        <w:t>Report No. 57/96, Andrews, United States, IACHR Annual Report 1997, para. 170-171.</w:t>
      </w:r>
    </w:p>
  </w:footnote>
  <w:footnote w:id="26">
    <w:p w14:paraId="03B74BC2" w14:textId="77777777" w:rsidR="009703EC" w:rsidRPr="00493649" w:rsidRDefault="009703EC" w:rsidP="004E6889">
      <w:pPr>
        <w:pStyle w:val="Body"/>
        <w:jc w:val="both"/>
        <w:rPr>
          <w:rFonts w:asciiTheme="majorHAnsi" w:hAnsiTheme="majorHAnsi"/>
          <w:sz w:val="16"/>
        </w:rPr>
      </w:pPr>
      <w:r w:rsidRPr="009F1B62">
        <w:rPr>
          <w:rFonts w:asciiTheme="majorHAnsi" w:eastAsia="Cambria" w:hAnsiTheme="majorHAnsi" w:cs="Cambria"/>
          <w:sz w:val="16"/>
          <w:szCs w:val="20"/>
          <w:vertAlign w:val="superscript"/>
        </w:rPr>
        <w:footnoteRef/>
      </w:r>
      <w:r w:rsidRPr="009F1B62">
        <w:rPr>
          <w:rFonts w:asciiTheme="majorHAnsi" w:eastAsia="Cambria" w:hAnsiTheme="majorHAnsi" w:cs="Cambria"/>
          <w:sz w:val="16"/>
          <w:szCs w:val="16"/>
        </w:rPr>
        <w:t xml:space="preserve"> IACHR, The death penalty in the Inter-American System of Human Rights: From restrictions to abolition, OEA/Ser.L/V/II.Doc. 68, </w:t>
      </w:r>
      <w:r w:rsidRPr="00493649">
        <w:rPr>
          <w:rFonts w:asciiTheme="majorHAnsi" w:eastAsia="Cambria" w:hAnsiTheme="majorHAnsi" w:cs="Cambria"/>
          <w:sz w:val="16"/>
          <w:szCs w:val="16"/>
        </w:rPr>
        <w:t>December 31, 2011, para. 41.</w:t>
      </w:r>
    </w:p>
  </w:footnote>
  <w:footnote w:id="27">
    <w:p w14:paraId="29E20B8C" w14:textId="77777777" w:rsidR="009703EC" w:rsidRPr="009F1B62" w:rsidRDefault="009703EC" w:rsidP="004E6889">
      <w:pPr>
        <w:pStyle w:val="Body"/>
        <w:jc w:val="both"/>
        <w:rPr>
          <w:rFonts w:asciiTheme="majorHAnsi" w:hAnsiTheme="majorHAnsi"/>
          <w:sz w:val="16"/>
        </w:rPr>
      </w:pPr>
      <w:r w:rsidRPr="00493649">
        <w:rPr>
          <w:rFonts w:asciiTheme="majorHAnsi" w:eastAsia="Cambria" w:hAnsiTheme="majorHAnsi" w:cs="Cambria"/>
          <w:sz w:val="16"/>
          <w:szCs w:val="20"/>
          <w:vertAlign w:val="superscript"/>
        </w:rPr>
        <w:footnoteRef/>
      </w:r>
      <w:r w:rsidRPr="00493649">
        <w:rPr>
          <w:rFonts w:asciiTheme="majorHAnsi" w:eastAsia="Cambria" w:hAnsiTheme="majorHAnsi" w:cs="Cambria"/>
          <w:sz w:val="16"/>
          <w:szCs w:val="16"/>
        </w:rPr>
        <w:t xml:space="preserve"> IACHR, Report No. 78/07, Case 12.265, Merits (Publication), Chad Roger Goodman, The Bahamas, October 15, 2007, para. 34.</w:t>
      </w:r>
    </w:p>
  </w:footnote>
  <w:footnote w:id="28">
    <w:p w14:paraId="5FE1CAEE" w14:textId="77777777" w:rsidR="009703EC" w:rsidRPr="009F1B62" w:rsidRDefault="009703EC" w:rsidP="004E6889">
      <w:pPr>
        <w:pStyle w:val="FootnoteText"/>
        <w:jc w:val="both"/>
        <w:rPr>
          <w:rFonts w:asciiTheme="majorHAnsi" w:hAnsiTheme="majorHAnsi"/>
          <w:sz w:val="16"/>
        </w:rPr>
      </w:pPr>
      <w:r w:rsidRPr="009F1B62">
        <w:rPr>
          <w:rFonts w:asciiTheme="majorHAnsi" w:eastAsia="Cambria" w:hAnsiTheme="majorHAnsi" w:cs="Cambria"/>
          <w:sz w:val="16"/>
          <w:vertAlign w:val="superscript"/>
        </w:rPr>
        <w:footnoteRef/>
      </w:r>
      <w:r w:rsidRPr="009F1B62">
        <w:rPr>
          <w:rFonts w:asciiTheme="majorHAnsi" w:eastAsia="Cambria" w:hAnsiTheme="majorHAnsi" w:cs="Cambria"/>
          <w:sz w:val="16"/>
          <w:szCs w:val="16"/>
        </w:rPr>
        <w:t xml:space="preserve"> IACHR, Report No. 44/14, Case 12,873, Report on Merits (Publication), Edgar Tamayo Arias, United States, July 17, 2014, para. 214.</w:t>
      </w:r>
    </w:p>
  </w:footnote>
  <w:footnote w:id="29">
    <w:p w14:paraId="7432FAD4" w14:textId="77777777" w:rsidR="009703EC" w:rsidRPr="009F1B62" w:rsidRDefault="009703EC" w:rsidP="004E6889">
      <w:pPr>
        <w:jc w:val="both"/>
        <w:rPr>
          <w:rFonts w:asciiTheme="majorHAnsi" w:hAnsiTheme="majorHAnsi"/>
          <w:sz w:val="16"/>
        </w:rPr>
      </w:pPr>
      <w:r w:rsidRPr="009F1B62">
        <w:rPr>
          <w:rStyle w:val="FootnoteReference"/>
          <w:rFonts w:asciiTheme="majorHAnsi" w:hAnsiTheme="majorHAnsi"/>
          <w:sz w:val="16"/>
          <w:szCs w:val="16"/>
        </w:rPr>
        <w:footnoteRef/>
      </w:r>
      <w:r w:rsidRPr="009F1B62">
        <w:rPr>
          <w:rFonts w:asciiTheme="majorHAnsi" w:hAnsiTheme="majorHAnsi"/>
          <w:sz w:val="16"/>
          <w:szCs w:val="16"/>
        </w:rPr>
        <w:t xml:space="preserve"> Article XVIII of the American Declaration provides: “Every person may resort to the courts to ensure respect for his legal rights. There should likewise be available to him a simple, brief procedure whereby the courts will protect him from acts of authority that, to his prejudice, violate any fundamental constitutional rights.”</w:t>
      </w:r>
    </w:p>
  </w:footnote>
  <w:footnote w:id="30">
    <w:p w14:paraId="62CD8635" w14:textId="77777777" w:rsidR="009703EC" w:rsidRPr="009F1B62" w:rsidRDefault="009703EC" w:rsidP="004E6889">
      <w:pPr>
        <w:keepNext/>
        <w:jc w:val="both"/>
        <w:rPr>
          <w:rFonts w:asciiTheme="majorHAnsi" w:hAnsiTheme="majorHAnsi"/>
          <w:sz w:val="16"/>
          <w:szCs w:val="16"/>
        </w:rPr>
      </w:pPr>
      <w:r w:rsidRPr="009F1B62">
        <w:rPr>
          <w:rStyle w:val="FootnoteReference"/>
          <w:rFonts w:asciiTheme="majorHAnsi" w:hAnsiTheme="majorHAnsi"/>
          <w:sz w:val="16"/>
          <w:szCs w:val="16"/>
        </w:rPr>
        <w:footnoteRef/>
      </w:r>
      <w:r w:rsidRPr="009F1B62">
        <w:rPr>
          <w:rStyle w:val="FootnoteReference"/>
          <w:rFonts w:asciiTheme="majorHAnsi" w:hAnsiTheme="majorHAnsi"/>
          <w:sz w:val="16"/>
          <w:szCs w:val="16"/>
        </w:rPr>
        <w:t xml:space="preserve"> </w:t>
      </w:r>
      <w:r w:rsidRPr="009F1B62">
        <w:rPr>
          <w:rFonts w:asciiTheme="majorHAnsi" w:hAnsiTheme="majorHAnsi"/>
          <w:sz w:val="16"/>
          <w:szCs w:val="16"/>
        </w:rPr>
        <w:t>Article XXVI of the American Declaration provides: “Every accused person is presumed to be innocent until proved guilty.</w:t>
      </w:r>
    </w:p>
    <w:p w14:paraId="01A28E60" w14:textId="77777777" w:rsidR="009703EC" w:rsidRPr="009F1B62" w:rsidRDefault="009703EC" w:rsidP="004E6889">
      <w:pPr>
        <w:pStyle w:val="FootnoteText"/>
        <w:jc w:val="both"/>
        <w:rPr>
          <w:rFonts w:asciiTheme="majorHAnsi" w:hAnsiTheme="majorHAnsi"/>
          <w:sz w:val="16"/>
        </w:rPr>
      </w:pPr>
      <w:r w:rsidRPr="009F1B62">
        <w:rPr>
          <w:rFonts w:asciiTheme="majorHAnsi" w:hAnsiTheme="majorHAnsi"/>
          <w:sz w:val="16"/>
          <w:szCs w:val="16"/>
        </w:rPr>
        <w:t>Every person accused of an offense has the right to be given an impartial and public hearing, and to be tried by courts previously established in accordance with pre-existing laws, and not to receive cruel, infamous or unusual punishment.”</w:t>
      </w:r>
    </w:p>
  </w:footnote>
  <w:footnote w:id="31">
    <w:p w14:paraId="543CBAA9" w14:textId="77777777" w:rsidR="009703EC" w:rsidRPr="008C5978" w:rsidRDefault="009703EC" w:rsidP="00DA6106">
      <w:pPr>
        <w:pStyle w:val="FootnoteText"/>
        <w:jc w:val="both"/>
        <w:rPr>
          <w:rFonts w:asciiTheme="majorHAnsi" w:hAnsiTheme="majorHAnsi"/>
          <w:color w:val="auto"/>
          <w:sz w:val="16"/>
          <w:szCs w:val="16"/>
        </w:rPr>
      </w:pPr>
      <w:r w:rsidRPr="008C5978">
        <w:rPr>
          <w:rStyle w:val="FootnoteReference"/>
          <w:rFonts w:asciiTheme="majorHAnsi" w:hAnsiTheme="majorHAnsi"/>
          <w:color w:val="auto"/>
          <w:sz w:val="16"/>
          <w:szCs w:val="16"/>
        </w:rPr>
        <w:footnoteRef/>
      </w:r>
      <w:r w:rsidRPr="008C5978">
        <w:rPr>
          <w:rFonts w:asciiTheme="majorHAnsi" w:hAnsiTheme="majorHAnsi"/>
          <w:color w:val="auto"/>
          <w:sz w:val="16"/>
          <w:szCs w:val="16"/>
        </w:rPr>
        <w:t xml:space="preserve"> IACHR, The death penalty in the Inter-American System of Human Rights: From restrictions to abolition, OEA/Ser.L/V/II.Doc. 68, December 31, 2011, p. 123.</w:t>
      </w:r>
    </w:p>
  </w:footnote>
  <w:footnote w:id="32">
    <w:p w14:paraId="38D1D1AB" w14:textId="77777777" w:rsidR="009703EC" w:rsidRPr="008C5978" w:rsidRDefault="009703EC" w:rsidP="00DA6106">
      <w:pPr>
        <w:pStyle w:val="FootnoteText"/>
        <w:jc w:val="both"/>
        <w:rPr>
          <w:rFonts w:asciiTheme="majorHAnsi" w:hAnsiTheme="majorHAnsi"/>
          <w:color w:val="auto"/>
          <w:sz w:val="16"/>
          <w:szCs w:val="16"/>
        </w:rPr>
      </w:pPr>
      <w:r w:rsidRPr="008C5978">
        <w:rPr>
          <w:rStyle w:val="FootnoteReference"/>
          <w:rFonts w:asciiTheme="majorHAnsi" w:hAnsiTheme="majorHAnsi"/>
          <w:color w:val="auto"/>
          <w:sz w:val="16"/>
          <w:szCs w:val="16"/>
        </w:rPr>
        <w:footnoteRef/>
      </w:r>
      <w:r w:rsidRPr="008C5978">
        <w:rPr>
          <w:rFonts w:asciiTheme="majorHAnsi" w:hAnsiTheme="majorHAnsi"/>
          <w:color w:val="auto"/>
          <w:sz w:val="16"/>
          <w:szCs w:val="16"/>
        </w:rPr>
        <w:t xml:space="preserve"> IACHR, The death penalty in the Inter-American System of Human Rights: From restrictions to abolition, OEA/Ser.L/V/II.Doc. 68, December 31, 2011, p. 123.</w:t>
      </w:r>
    </w:p>
  </w:footnote>
  <w:footnote w:id="33">
    <w:p w14:paraId="64655E1E" w14:textId="77777777" w:rsidR="009703EC" w:rsidRPr="008C5978" w:rsidRDefault="009703EC" w:rsidP="00DA6106">
      <w:pPr>
        <w:pStyle w:val="FootnoteText"/>
      </w:pPr>
      <w:r w:rsidRPr="008C5978">
        <w:rPr>
          <w:rStyle w:val="FootnoteReference"/>
          <w:rFonts w:asciiTheme="majorHAnsi" w:hAnsiTheme="majorHAnsi"/>
          <w:color w:val="auto"/>
          <w:sz w:val="16"/>
          <w:szCs w:val="16"/>
        </w:rPr>
        <w:footnoteRef/>
      </w:r>
      <w:r w:rsidRPr="008C5978">
        <w:rPr>
          <w:rStyle w:val="FootnoteReference"/>
          <w:rFonts w:asciiTheme="majorHAnsi" w:hAnsiTheme="majorHAnsi"/>
          <w:color w:val="auto"/>
          <w:sz w:val="16"/>
          <w:szCs w:val="16"/>
        </w:rPr>
        <w:t xml:space="preserve"> </w:t>
      </w:r>
      <w:r w:rsidRPr="008C5978">
        <w:rPr>
          <w:rFonts w:ascii="Cambria" w:hAnsi="Cambria" w:cs="Arial"/>
          <w:sz w:val="16"/>
          <w:szCs w:val="16"/>
        </w:rPr>
        <w:t xml:space="preserve">IACHR, </w:t>
      </w:r>
      <w:r w:rsidRPr="008C5978">
        <w:rPr>
          <w:rFonts w:ascii="Cambria" w:hAnsi="Cambria" w:cs="Arial"/>
          <w:bCs/>
          <w:sz w:val="16"/>
          <w:szCs w:val="16"/>
        </w:rPr>
        <w:t>Report No. 79/15</w:t>
      </w:r>
      <w:r w:rsidRPr="008C5978">
        <w:rPr>
          <w:rFonts w:ascii="Cambria" w:hAnsi="Cambria" w:cs="Arial"/>
          <w:sz w:val="16"/>
          <w:szCs w:val="16"/>
        </w:rPr>
        <w:t>, Case 12.994. Merits (Publication). Bernardo Aban Tercero. United States. October 28, 2015, para. 111.</w:t>
      </w:r>
    </w:p>
  </w:footnote>
  <w:footnote w:id="34">
    <w:p w14:paraId="1FD88C4D" w14:textId="77777777" w:rsidR="009703EC" w:rsidRPr="008C5978" w:rsidRDefault="009703EC" w:rsidP="00DA6106">
      <w:pPr>
        <w:pStyle w:val="FootnoteText"/>
        <w:pBdr>
          <w:top w:val="none" w:sz="0" w:space="0" w:color="auto"/>
          <w:left w:val="none" w:sz="0" w:space="0" w:color="auto"/>
          <w:bottom w:val="none" w:sz="0" w:space="0" w:color="auto"/>
          <w:right w:val="none" w:sz="0" w:space="0" w:color="auto"/>
          <w:bar w:val="none" w:sz="0" w:color="auto"/>
        </w:pBdr>
        <w:tabs>
          <w:tab w:val="left" w:pos="180"/>
          <w:tab w:val="left" w:pos="360"/>
        </w:tabs>
        <w:jc w:val="both"/>
        <w:rPr>
          <w:rFonts w:asciiTheme="majorHAnsi" w:hAnsiTheme="majorHAnsi"/>
          <w:color w:val="auto"/>
          <w:sz w:val="16"/>
          <w:szCs w:val="16"/>
        </w:rPr>
      </w:pPr>
      <w:r w:rsidRPr="008C5978">
        <w:rPr>
          <w:rStyle w:val="FootnoteReference"/>
          <w:rFonts w:asciiTheme="majorHAnsi" w:hAnsiTheme="majorHAnsi"/>
          <w:color w:val="auto"/>
          <w:sz w:val="16"/>
          <w:szCs w:val="16"/>
        </w:rPr>
        <w:footnoteRef/>
      </w:r>
      <w:r w:rsidRPr="008C5978">
        <w:rPr>
          <w:rFonts w:asciiTheme="majorHAnsi" w:hAnsiTheme="majorHAnsi"/>
          <w:color w:val="auto"/>
          <w:sz w:val="16"/>
          <w:szCs w:val="16"/>
        </w:rPr>
        <w:t xml:space="preserve"> IACHR, Report No. 90/09, Case 12.644, Admissibility and Merits (Publication), Medellín, Ramírez Cárdenas and Leal García, United States, August 7, 2009, para. 134.</w:t>
      </w:r>
    </w:p>
  </w:footnote>
  <w:footnote w:id="35">
    <w:p w14:paraId="518B32EC" w14:textId="77777777" w:rsidR="009703EC" w:rsidRPr="008C5978" w:rsidRDefault="009703EC" w:rsidP="00DA6106">
      <w:pPr>
        <w:pStyle w:val="FootnoteText"/>
        <w:pBdr>
          <w:top w:val="none" w:sz="0" w:space="0" w:color="auto"/>
          <w:left w:val="none" w:sz="0" w:space="0" w:color="auto"/>
          <w:bottom w:val="none" w:sz="0" w:space="0" w:color="auto"/>
          <w:right w:val="none" w:sz="0" w:space="0" w:color="auto"/>
          <w:bar w:val="none" w:sz="0" w:color="auto"/>
        </w:pBdr>
        <w:tabs>
          <w:tab w:val="left" w:pos="180"/>
          <w:tab w:val="left" w:pos="360"/>
        </w:tabs>
        <w:jc w:val="both"/>
        <w:rPr>
          <w:rFonts w:asciiTheme="majorHAnsi" w:hAnsiTheme="majorHAnsi"/>
          <w:color w:val="auto"/>
          <w:sz w:val="16"/>
          <w:szCs w:val="16"/>
        </w:rPr>
      </w:pPr>
      <w:r w:rsidRPr="008C5978">
        <w:rPr>
          <w:rStyle w:val="FootnoteReference"/>
          <w:rFonts w:asciiTheme="majorHAnsi" w:hAnsiTheme="majorHAnsi"/>
          <w:color w:val="auto"/>
          <w:sz w:val="16"/>
          <w:szCs w:val="16"/>
        </w:rPr>
        <w:footnoteRef/>
      </w:r>
      <w:r w:rsidRPr="008C5978">
        <w:rPr>
          <w:rFonts w:asciiTheme="majorHAnsi" w:hAnsiTheme="majorHAnsi"/>
          <w:color w:val="auto"/>
          <w:sz w:val="16"/>
          <w:szCs w:val="16"/>
        </w:rPr>
        <w:t xml:space="preserve"> IACHR, Report No. 90/09, Case 12.644, Admissibility and Merits (Publication), Medellín, Ramírez Cárdenas and Leal García, United States, August 7, 2009, para. 134. </w:t>
      </w:r>
    </w:p>
  </w:footnote>
  <w:footnote w:id="36">
    <w:p w14:paraId="642D767A" w14:textId="77777777" w:rsidR="009703EC" w:rsidRPr="008C5978" w:rsidRDefault="009703EC" w:rsidP="00DA6106">
      <w:pPr>
        <w:pStyle w:val="FootnoteText"/>
        <w:jc w:val="both"/>
        <w:rPr>
          <w:rFonts w:asciiTheme="majorHAnsi" w:hAnsiTheme="majorHAnsi" w:cs="Arial"/>
          <w:color w:val="auto"/>
          <w:sz w:val="16"/>
          <w:szCs w:val="16"/>
        </w:rPr>
      </w:pPr>
      <w:r w:rsidRPr="008C5978">
        <w:rPr>
          <w:rStyle w:val="FootnoteReference"/>
          <w:rFonts w:asciiTheme="majorHAnsi" w:hAnsiTheme="majorHAnsi" w:cs="Arial"/>
          <w:color w:val="auto"/>
          <w:sz w:val="16"/>
          <w:szCs w:val="16"/>
        </w:rPr>
        <w:footnoteRef/>
      </w:r>
      <w:r w:rsidRPr="008C5978">
        <w:rPr>
          <w:rFonts w:asciiTheme="majorHAnsi" w:hAnsiTheme="majorHAnsi" w:cs="Arial"/>
          <w:color w:val="auto"/>
          <w:sz w:val="16"/>
          <w:szCs w:val="16"/>
        </w:rPr>
        <w:t xml:space="preserve"> American Bar Association, </w:t>
      </w:r>
      <w:r w:rsidRPr="008C5978">
        <w:rPr>
          <w:rFonts w:asciiTheme="majorHAnsi" w:hAnsiTheme="majorHAnsi" w:cs="Arial"/>
          <w:i/>
          <w:iCs/>
          <w:color w:val="auto"/>
          <w:sz w:val="16"/>
          <w:szCs w:val="16"/>
        </w:rPr>
        <w:t>Guidelines for the Appointment and Performance of Defense Counsel in Death Penalty Cases</w:t>
      </w:r>
      <w:r w:rsidRPr="008C5978">
        <w:rPr>
          <w:rFonts w:asciiTheme="majorHAnsi" w:hAnsiTheme="majorHAnsi" w:cs="Arial"/>
          <w:color w:val="auto"/>
          <w:sz w:val="16"/>
          <w:szCs w:val="16"/>
        </w:rPr>
        <w:t xml:space="preserve"> (Revised editions) (February 2003), Guideline 10.7 – Investigation. Available at: </w:t>
      </w:r>
      <w:hyperlink r:id="rId1" w:history="1">
        <w:r w:rsidRPr="008C5978">
          <w:rPr>
            <w:rStyle w:val="Hyperlink"/>
            <w:rFonts w:asciiTheme="majorHAnsi" w:hAnsiTheme="majorHAnsi" w:cs="Arial"/>
            <w:color w:val="auto"/>
            <w:sz w:val="16"/>
            <w:szCs w:val="16"/>
          </w:rPr>
          <w:t>http://www.abanet.org/legalservices/downloads/ sclaid/deathpenaltyguidelines.pdf</w:t>
        </w:r>
      </w:hyperlink>
      <w:r w:rsidRPr="008C5978">
        <w:rPr>
          <w:rFonts w:asciiTheme="majorHAnsi" w:hAnsiTheme="majorHAnsi" w:cs="Arial"/>
          <w:color w:val="auto"/>
          <w:sz w:val="16"/>
          <w:szCs w:val="16"/>
        </w:rPr>
        <w:t xml:space="preserve">. </w:t>
      </w:r>
    </w:p>
  </w:footnote>
  <w:footnote w:id="37">
    <w:p w14:paraId="3F2711FE" w14:textId="77777777" w:rsidR="009703EC" w:rsidRPr="008C5978" w:rsidRDefault="009703EC" w:rsidP="00DA6106">
      <w:pPr>
        <w:pStyle w:val="FootnoteText"/>
        <w:jc w:val="both"/>
        <w:rPr>
          <w:rFonts w:asciiTheme="majorHAnsi" w:hAnsiTheme="majorHAnsi" w:cs="Arial"/>
          <w:color w:val="auto"/>
          <w:sz w:val="16"/>
          <w:szCs w:val="16"/>
        </w:rPr>
      </w:pPr>
      <w:r w:rsidRPr="008C5978">
        <w:rPr>
          <w:rStyle w:val="FootnoteReference"/>
          <w:rFonts w:asciiTheme="majorHAnsi" w:hAnsiTheme="majorHAnsi" w:cs="Arial"/>
          <w:color w:val="auto"/>
          <w:sz w:val="16"/>
          <w:szCs w:val="16"/>
        </w:rPr>
        <w:footnoteRef/>
      </w:r>
      <w:r w:rsidRPr="008C5978">
        <w:rPr>
          <w:rFonts w:asciiTheme="majorHAnsi" w:hAnsiTheme="majorHAnsi" w:cs="Arial"/>
          <w:color w:val="auto"/>
          <w:sz w:val="16"/>
          <w:szCs w:val="16"/>
        </w:rPr>
        <w:t xml:space="preserve"> American Bar Association, </w:t>
      </w:r>
      <w:r w:rsidRPr="008C5978">
        <w:rPr>
          <w:rFonts w:asciiTheme="majorHAnsi" w:hAnsiTheme="majorHAnsi" w:cs="Arial"/>
          <w:i/>
          <w:iCs/>
          <w:color w:val="auto"/>
          <w:sz w:val="16"/>
          <w:szCs w:val="16"/>
        </w:rPr>
        <w:t>Guidelines for the Appointment and Performance of Defense Counsel in Death Penalty Cases</w:t>
      </w:r>
      <w:r w:rsidRPr="008C5978">
        <w:rPr>
          <w:rFonts w:asciiTheme="majorHAnsi" w:hAnsiTheme="majorHAnsi" w:cs="Arial"/>
          <w:color w:val="auto"/>
          <w:sz w:val="16"/>
          <w:szCs w:val="16"/>
        </w:rPr>
        <w:t xml:space="preserve"> (Revised editions) (February 2003), Guideline 10.7 – Investigation, at 82.</w:t>
      </w:r>
    </w:p>
  </w:footnote>
  <w:footnote w:id="38">
    <w:p w14:paraId="58EA17C9" w14:textId="77777777" w:rsidR="009703EC" w:rsidRPr="00D70778" w:rsidRDefault="009703EC" w:rsidP="00DA6106">
      <w:pPr>
        <w:pStyle w:val="FootnoteText"/>
        <w:jc w:val="both"/>
        <w:rPr>
          <w:rFonts w:asciiTheme="majorHAnsi" w:hAnsiTheme="majorHAnsi" w:cs="Arial"/>
          <w:color w:val="auto"/>
          <w:sz w:val="16"/>
          <w:szCs w:val="16"/>
        </w:rPr>
      </w:pPr>
      <w:r w:rsidRPr="00D70778">
        <w:rPr>
          <w:rStyle w:val="FootnoteReference"/>
          <w:rFonts w:asciiTheme="majorHAnsi" w:hAnsiTheme="majorHAnsi" w:cs="Arial"/>
          <w:color w:val="auto"/>
          <w:sz w:val="16"/>
          <w:szCs w:val="16"/>
        </w:rPr>
        <w:footnoteRef/>
      </w:r>
      <w:r w:rsidRPr="00D70778">
        <w:rPr>
          <w:rFonts w:asciiTheme="majorHAnsi" w:hAnsiTheme="majorHAnsi" w:cs="Arial"/>
          <w:color w:val="auto"/>
          <w:sz w:val="16"/>
          <w:szCs w:val="16"/>
        </w:rPr>
        <w:t xml:space="preserve"> American Bar Association, </w:t>
      </w:r>
      <w:r w:rsidRPr="00D70778">
        <w:rPr>
          <w:rFonts w:asciiTheme="majorHAnsi" w:hAnsiTheme="majorHAnsi" w:cs="Arial"/>
          <w:i/>
          <w:iCs/>
          <w:color w:val="auto"/>
          <w:sz w:val="16"/>
          <w:szCs w:val="16"/>
        </w:rPr>
        <w:t>Guidelines for the Appointment and Performance of Defense Counsel in Death Penalty Cases</w:t>
      </w:r>
      <w:r w:rsidRPr="00D70778">
        <w:rPr>
          <w:rFonts w:asciiTheme="majorHAnsi" w:hAnsiTheme="majorHAnsi" w:cs="Arial"/>
          <w:color w:val="auto"/>
          <w:sz w:val="16"/>
          <w:szCs w:val="16"/>
        </w:rPr>
        <w:t xml:space="preserve"> (Revised editions) (February 2003), Guideline 10.7 – Investigation, at 83.</w:t>
      </w:r>
    </w:p>
  </w:footnote>
  <w:footnote w:id="39">
    <w:p w14:paraId="6A94283D" w14:textId="77777777" w:rsidR="009703EC" w:rsidRDefault="009703EC" w:rsidP="00405388">
      <w:pPr>
        <w:pStyle w:val="FootnoteText"/>
      </w:pPr>
      <w:r w:rsidRPr="001A1BFC">
        <w:rPr>
          <w:rStyle w:val="FootnoteReference"/>
          <w:rFonts w:asciiTheme="majorHAnsi" w:hAnsiTheme="majorHAnsi"/>
          <w:sz w:val="16"/>
          <w:szCs w:val="16"/>
        </w:rPr>
        <w:footnoteRef/>
      </w:r>
      <w:r>
        <w:rPr>
          <w:rStyle w:val="FootnoteReference"/>
          <w:rFonts w:asciiTheme="majorHAnsi" w:hAnsiTheme="majorHAnsi"/>
          <w:sz w:val="16"/>
          <w:szCs w:val="16"/>
        </w:rPr>
        <w:t xml:space="preserve"> </w:t>
      </w:r>
      <w:r w:rsidRPr="001A1BFC">
        <w:rPr>
          <w:rFonts w:asciiTheme="majorHAnsi" w:hAnsiTheme="majorHAnsi"/>
          <w:sz w:val="16"/>
          <w:szCs w:val="16"/>
        </w:rPr>
        <w:t>IACHR. Report No. 52/01. Case 12.243. Juan Raul Garza. United States. April 4, 2001, para. 110.</w:t>
      </w:r>
    </w:p>
  </w:footnote>
  <w:footnote w:id="40">
    <w:p w14:paraId="50D8A16C" w14:textId="77777777" w:rsidR="009703EC" w:rsidRDefault="009703EC" w:rsidP="00405388">
      <w:pPr>
        <w:pStyle w:val="FootnoteText"/>
      </w:pPr>
      <w:r w:rsidRPr="00025656">
        <w:rPr>
          <w:rStyle w:val="FootnoteReference"/>
          <w:rFonts w:asciiTheme="majorHAnsi" w:hAnsiTheme="majorHAnsi"/>
          <w:sz w:val="16"/>
          <w:szCs w:val="16"/>
        </w:rPr>
        <w:footnoteRef/>
      </w:r>
      <w:r w:rsidRPr="00025656">
        <w:rPr>
          <w:rStyle w:val="FootnoteReference"/>
          <w:rFonts w:asciiTheme="majorHAnsi" w:hAnsiTheme="majorHAnsi"/>
          <w:sz w:val="16"/>
          <w:szCs w:val="16"/>
        </w:rPr>
        <w:t xml:space="preserve"> </w:t>
      </w:r>
      <w:r w:rsidRPr="001A1BFC">
        <w:rPr>
          <w:rFonts w:asciiTheme="majorHAnsi" w:hAnsiTheme="majorHAnsi"/>
          <w:sz w:val="16"/>
          <w:szCs w:val="16"/>
        </w:rPr>
        <w:t>IACHR. Report No. 52/01. Case 12.243. Juan Raul Garza. United States. April 4, 2001, para. 1</w:t>
      </w:r>
      <w:r>
        <w:rPr>
          <w:rFonts w:asciiTheme="majorHAnsi" w:hAnsiTheme="majorHAnsi"/>
          <w:sz w:val="16"/>
          <w:szCs w:val="16"/>
        </w:rPr>
        <w:t>03-112</w:t>
      </w:r>
      <w:r w:rsidRPr="001A1BFC">
        <w:rPr>
          <w:rFonts w:asciiTheme="majorHAnsi" w:hAnsiTheme="majorHAnsi"/>
          <w:sz w:val="16"/>
          <w:szCs w:val="16"/>
        </w:rPr>
        <w:t>.</w:t>
      </w:r>
    </w:p>
  </w:footnote>
  <w:footnote w:id="41">
    <w:p w14:paraId="21B59057" w14:textId="77777777" w:rsidR="009703EC" w:rsidRDefault="009703EC" w:rsidP="00405388">
      <w:pPr>
        <w:pStyle w:val="FootnoteText"/>
        <w:jc w:val="both"/>
      </w:pPr>
      <w:r w:rsidRPr="00E46CD5">
        <w:rPr>
          <w:rStyle w:val="FootnoteReference"/>
          <w:rFonts w:asciiTheme="majorHAnsi" w:hAnsiTheme="majorHAnsi"/>
          <w:sz w:val="16"/>
          <w:szCs w:val="16"/>
        </w:rPr>
        <w:footnoteRef/>
      </w:r>
      <w:r w:rsidRPr="00E46CD5">
        <w:rPr>
          <w:rStyle w:val="FootnoteReference"/>
          <w:rFonts w:asciiTheme="majorHAnsi" w:hAnsiTheme="majorHAnsi"/>
          <w:sz w:val="16"/>
          <w:szCs w:val="16"/>
        </w:rPr>
        <w:t xml:space="preserve"> </w:t>
      </w:r>
      <w:r w:rsidRPr="001A1BFC">
        <w:rPr>
          <w:rFonts w:asciiTheme="majorHAnsi" w:hAnsiTheme="majorHAnsi"/>
          <w:sz w:val="16"/>
          <w:szCs w:val="16"/>
        </w:rPr>
        <w:t xml:space="preserve">IACHR. Report No. </w:t>
      </w:r>
      <w:r>
        <w:rPr>
          <w:rFonts w:asciiTheme="majorHAnsi" w:hAnsiTheme="majorHAnsi"/>
          <w:sz w:val="16"/>
          <w:szCs w:val="16"/>
        </w:rPr>
        <w:t>91/05</w:t>
      </w:r>
      <w:r w:rsidRPr="001A1BFC">
        <w:rPr>
          <w:rFonts w:asciiTheme="majorHAnsi" w:hAnsiTheme="majorHAnsi"/>
          <w:sz w:val="16"/>
          <w:szCs w:val="16"/>
        </w:rPr>
        <w:t>. Case 12.</w:t>
      </w:r>
      <w:r>
        <w:rPr>
          <w:rFonts w:asciiTheme="majorHAnsi" w:hAnsiTheme="majorHAnsi"/>
          <w:sz w:val="16"/>
          <w:szCs w:val="16"/>
        </w:rPr>
        <w:t>421</w:t>
      </w:r>
      <w:r w:rsidRPr="001A1BFC">
        <w:rPr>
          <w:rFonts w:asciiTheme="majorHAnsi" w:hAnsiTheme="majorHAnsi"/>
          <w:sz w:val="16"/>
          <w:szCs w:val="16"/>
        </w:rPr>
        <w:t xml:space="preserve">. </w:t>
      </w:r>
      <w:r>
        <w:rPr>
          <w:rFonts w:asciiTheme="majorHAnsi" w:hAnsiTheme="majorHAnsi"/>
          <w:sz w:val="16"/>
          <w:szCs w:val="16"/>
        </w:rPr>
        <w:t>Javier Suarez Medina</w:t>
      </w:r>
      <w:r w:rsidRPr="001A1BFC">
        <w:rPr>
          <w:rFonts w:asciiTheme="majorHAnsi" w:hAnsiTheme="majorHAnsi"/>
          <w:sz w:val="16"/>
          <w:szCs w:val="16"/>
        </w:rPr>
        <w:t xml:space="preserve">. United States. </w:t>
      </w:r>
      <w:r>
        <w:rPr>
          <w:rFonts w:asciiTheme="majorHAnsi" w:hAnsiTheme="majorHAnsi"/>
          <w:sz w:val="16"/>
          <w:szCs w:val="16"/>
        </w:rPr>
        <w:t>October 24, 2005;</w:t>
      </w:r>
      <w:r w:rsidRPr="00C2173A">
        <w:rPr>
          <w:rFonts w:asciiTheme="majorHAnsi" w:hAnsiTheme="majorHAnsi"/>
          <w:sz w:val="16"/>
          <w:szCs w:val="16"/>
        </w:rPr>
        <w:t xml:space="preserve"> IACHR</w:t>
      </w:r>
      <w:r>
        <w:rPr>
          <w:rFonts w:asciiTheme="majorHAnsi" w:hAnsiTheme="majorHAnsi"/>
          <w:sz w:val="16"/>
          <w:szCs w:val="16"/>
        </w:rPr>
        <w:t>.</w:t>
      </w:r>
      <w:r w:rsidRPr="00C2173A">
        <w:rPr>
          <w:rFonts w:asciiTheme="majorHAnsi" w:hAnsiTheme="majorHAnsi"/>
          <w:sz w:val="16"/>
          <w:szCs w:val="16"/>
        </w:rPr>
        <w:t xml:space="preserve"> Report No. 90/09</w:t>
      </w:r>
      <w:r>
        <w:rPr>
          <w:rFonts w:asciiTheme="majorHAnsi" w:hAnsiTheme="majorHAnsi"/>
          <w:sz w:val="16"/>
          <w:szCs w:val="16"/>
        </w:rPr>
        <w:t>.</w:t>
      </w:r>
      <w:r w:rsidRPr="00C2173A">
        <w:rPr>
          <w:rFonts w:asciiTheme="majorHAnsi" w:hAnsiTheme="majorHAnsi"/>
          <w:sz w:val="16"/>
          <w:szCs w:val="16"/>
        </w:rPr>
        <w:t xml:space="preserve"> Case 12.644</w:t>
      </w:r>
      <w:r>
        <w:rPr>
          <w:rFonts w:asciiTheme="majorHAnsi" w:hAnsiTheme="majorHAnsi"/>
          <w:sz w:val="16"/>
          <w:szCs w:val="16"/>
        </w:rPr>
        <w:t>.</w:t>
      </w:r>
      <w:r w:rsidRPr="00C2173A">
        <w:rPr>
          <w:rFonts w:asciiTheme="majorHAnsi" w:hAnsiTheme="majorHAnsi"/>
          <w:sz w:val="16"/>
          <w:szCs w:val="16"/>
        </w:rPr>
        <w:t xml:space="preserve"> Admissibility and Merits (Publication), Medellín, Ramírez Cardenas and Leal García, United States, August 7, 2009</w:t>
      </w:r>
      <w:r>
        <w:rPr>
          <w:rFonts w:asciiTheme="majorHAnsi" w:hAnsiTheme="majorHAnsi"/>
          <w:sz w:val="16"/>
          <w:szCs w:val="16"/>
        </w:rPr>
        <w:t>; and IACHR. Report No. 79/15. Case 12.994. Bernardo Aban Tercero. United States. October 28, 2015.</w:t>
      </w:r>
    </w:p>
  </w:footnote>
  <w:footnote w:id="42">
    <w:p w14:paraId="4D6F26DB" w14:textId="77777777" w:rsidR="009703EC" w:rsidRPr="00277CC3" w:rsidRDefault="009703EC" w:rsidP="00405388">
      <w:pPr>
        <w:pStyle w:val="FootnoteText"/>
        <w:jc w:val="both"/>
        <w:rPr>
          <w:rFonts w:asciiTheme="majorHAnsi" w:hAnsiTheme="majorHAnsi"/>
          <w:sz w:val="16"/>
          <w:szCs w:val="16"/>
        </w:rPr>
      </w:pPr>
      <w:r w:rsidRPr="00277CC3">
        <w:rPr>
          <w:rStyle w:val="FootnoteReference"/>
          <w:rFonts w:asciiTheme="majorHAnsi" w:hAnsiTheme="majorHAnsi"/>
          <w:sz w:val="16"/>
          <w:szCs w:val="16"/>
        </w:rPr>
        <w:footnoteRef/>
      </w:r>
      <w:r w:rsidRPr="00277CC3">
        <w:rPr>
          <w:rFonts w:asciiTheme="majorHAnsi" w:hAnsiTheme="majorHAnsi"/>
          <w:sz w:val="16"/>
          <w:szCs w:val="16"/>
        </w:rPr>
        <w:t xml:space="preserve"> IACHR, </w:t>
      </w:r>
      <w:r>
        <w:rPr>
          <w:rFonts w:asciiTheme="majorHAnsi" w:hAnsiTheme="majorHAnsi"/>
          <w:sz w:val="16"/>
          <w:szCs w:val="16"/>
        </w:rPr>
        <w:t xml:space="preserve">The </w:t>
      </w:r>
      <w:r w:rsidRPr="00277CC3">
        <w:rPr>
          <w:rFonts w:asciiTheme="majorHAnsi" w:hAnsiTheme="majorHAnsi"/>
          <w:sz w:val="16"/>
          <w:szCs w:val="16"/>
        </w:rPr>
        <w:t xml:space="preserve">Death Penalty </w:t>
      </w:r>
      <w:r>
        <w:rPr>
          <w:rFonts w:asciiTheme="majorHAnsi" w:hAnsiTheme="majorHAnsi"/>
          <w:sz w:val="16"/>
          <w:szCs w:val="16"/>
        </w:rPr>
        <w:t>in the Inter-American Human Rights System: From Restrictions to Abolition, December 31, 2011</w:t>
      </w:r>
      <w:r w:rsidRPr="00277CC3">
        <w:rPr>
          <w:rFonts w:asciiTheme="majorHAnsi" w:hAnsiTheme="majorHAnsi"/>
          <w:sz w:val="16"/>
          <w:szCs w:val="16"/>
        </w:rPr>
        <w:t>, page 118</w:t>
      </w:r>
    </w:p>
  </w:footnote>
  <w:footnote w:id="43">
    <w:p w14:paraId="21E0E5FD" w14:textId="77777777" w:rsidR="009703EC" w:rsidRPr="00AD7A33" w:rsidRDefault="009703EC" w:rsidP="004E6889">
      <w:pPr>
        <w:pStyle w:val="FootnoteText"/>
        <w:jc w:val="both"/>
        <w:rPr>
          <w:rFonts w:asciiTheme="majorHAnsi" w:hAnsiTheme="majorHAnsi"/>
          <w:color w:val="auto"/>
          <w:sz w:val="16"/>
          <w:szCs w:val="16"/>
        </w:rPr>
      </w:pPr>
      <w:r w:rsidRPr="00AD7A33">
        <w:rPr>
          <w:rStyle w:val="FootnoteReference"/>
          <w:rFonts w:asciiTheme="majorHAnsi" w:hAnsiTheme="majorHAnsi"/>
          <w:color w:val="auto"/>
          <w:sz w:val="16"/>
          <w:szCs w:val="16"/>
        </w:rPr>
        <w:footnoteRef/>
      </w:r>
      <w:r w:rsidRPr="00AD7A33">
        <w:rPr>
          <w:rFonts w:asciiTheme="majorHAnsi" w:hAnsiTheme="majorHAnsi"/>
          <w:color w:val="auto"/>
          <w:sz w:val="16"/>
          <w:szCs w:val="16"/>
        </w:rPr>
        <w:t xml:space="preserve"> Article XXV of the American Declaration provides: “[…] Every individual who has been deprived of his liberty has the right […] to humane treatment during the time he is in custody.” </w:t>
      </w:r>
    </w:p>
    <w:p w14:paraId="4BE3D7AD" w14:textId="77777777" w:rsidR="009703EC" w:rsidRPr="00AD7A33" w:rsidRDefault="009703EC" w:rsidP="004E6889">
      <w:pPr>
        <w:pStyle w:val="FootnoteText"/>
        <w:jc w:val="both"/>
        <w:rPr>
          <w:rFonts w:asciiTheme="majorHAnsi" w:hAnsiTheme="majorHAnsi"/>
          <w:color w:val="auto"/>
          <w:sz w:val="16"/>
          <w:szCs w:val="16"/>
        </w:rPr>
      </w:pPr>
      <w:r w:rsidRPr="00AD7A33">
        <w:rPr>
          <w:rFonts w:asciiTheme="majorHAnsi" w:hAnsiTheme="majorHAnsi"/>
          <w:color w:val="auto"/>
          <w:sz w:val="16"/>
          <w:szCs w:val="16"/>
        </w:rPr>
        <w:t>Article XXVI of the American Declaration provides: “[…] Every person accused of an offense has the right […] not to receive cruel, infamous or unusual punishment.”</w:t>
      </w:r>
    </w:p>
  </w:footnote>
  <w:footnote w:id="44">
    <w:p w14:paraId="38F57B83" w14:textId="77777777" w:rsidR="009703EC" w:rsidRPr="00013850" w:rsidRDefault="009703EC" w:rsidP="004F4AEF">
      <w:pPr>
        <w:pStyle w:val="FootnoteText"/>
        <w:tabs>
          <w:tab w:val="right" w:pos="540"/>
          <w:tab w:val="left" w:pos="900"/>
        </w:tabs>
        <w:jc w:val="both"/>
        <w:rPr>
          <w:rFonts w:asciiTheme="majorHAnsi" w:hAnsiTheme="majorHAnsi"/>
          <w:sz w:val="16"/>
          <w:szCs w:val="16"/>
        </w:rPr>
      </w:pPr>
      <w:r w:rsidRPr="00013850">
        <w:rPr>
          <w:rStyle w:val="FootnoteReference"/>
          <w:rFonts w:asciiTheme="majorHAnsi" w:hAnsiTheme="majorHAnsi"/>
          <w:sz w:val="16"/>
          <w:szCs w:val="16"/>
        </w:rPr>
        <w:footnoteRef/>
      </w:r>
      <w:r w:rsidRPr="00013850">
        <w:rPr>
          <w:rStyle w:val="FootnoteReference"/>
          <w:rFonts w:asciiTheme="majorHAnsi" w:hAnsiTheme="majorHAnsi"/>
          <w:sz w:val="16"/>
          <w:szCs w:val="16"/>
        </w:rPr>
        <w:t xml:space="preserve"> </w:t>
      </w:r>
      <w:r>
        <w:rPr>
          <w:rFonts w:asciiTheme="majorHAnsi" w:hAnsiTheme="majorHAnsi"/>
          <w:sz w:val="16"/>
          <w:szCs w:val="16"/>
        </w:rPr>
        <w:t xml:space="preserve">CIDH, Report No. 58/02. Merits. Case 12.275. Denton Aitken. </w:t>
      </w:r>
      <w:r w:rsidRPr="00906FB8">
        <w:rPr>
          <w:rFonts w:asciiTheme="majorHAnsi" w:hAnsiTheme="majorHAnsi"/>
          <w:sz w:val="16"/>
          <w:szCs w:val="16"/>
        </w:rPr>
        <w:t xml:space="preserve">Jamaica. </w:t>
      </w:r>
      <w:r w:rsidRPr="00013850">
        <w:rPr>
          <w:rFonts w:asciiTheme="majorHAnsi" w:hAnsiTheme="majorHAnsi"/>
          <w:sz w:val="16"/>
          <w:szCs w:val="16"/>
        </w:rPr>
        <w:t xml:space="preserve">October 21, 2000, paragraphs 133 and 134 </w:t>
      </w:r>
    </w:p>
  </w:footnote>
  <w:footnote w:id="45">
    <w:p w14:paraId="3C90288E" w14:textId="77777777" w:rsidR="009703EC" w:rsidRPr="00612350" w:rsidRDefault="009703EC" w:rsidP="004F4AEF">
      <w:pPr>
        <w:pStyle w:val="FootnoteText"/>
        <w:jc w:val="both"/>
        <w:rPr>
          <w:rFonts w:ascii="Cambria" w:hAnsi="Cambria"/>
          <w:sz w:val="16"/>
          <w:szCs w:val="16"/>
        </w:rPr>
      </w:pPr>
      <w:r w:rsidRPr="00612350">
        <w:rPr>
          <w:rStyle w:val="FootnoteReference"/>
          <w:rFonts w:ascii="Cambria" w:hAnsi="Cambria"/>
          <w:sz w:val="16"/>
          <w:szCs w:val="16"/>
        </w:rPr>
        <w:footnoteRef/>
      </w:r>
      <w:r w:rsidRPr="00612350">
        <w:rPr>
          <w:rFonts w:ascii="Cambria" w:hAnsi="Cambria"/>
          <w:sz w:val="16"/>
          <w:szCs w:val="16"/>
        </w:rPr>
        <w:t xml:space="preserve"> IACHR, </w:t>
      </w:r>
      <w:r w:rsidRPr="009733AC">
        <w:rPr>
          <w:rFonts w:ascii="Cambria" w:hAnsi="Cambria"/>
          <w:i/>
          <w:sz w:val="16"/>
          <w:szCs w:val="16"/>
        </w:rPr>
        <w:t>Report on the human rights of persons deprived of liberty in the Americas</w:t>
      </w:r>
      <w:r w:rsidRPr="00612350">
        <w:rPr>
          <w:rFonts w:ascii="Cambria" w:hAnsi="Cambria"/>
          <w:sz w:val="16"/>
          <w:szCs w:val="16"/>
        </w:rPr>
        <w:t>, OEA/Ser.L/V/II.Doc.64., December 31, 2011, paragraph 517.</w:t>
      </w:r>
    </w:p>
  </w:footnote>
  <w:footnote w:id="46">
    <w:p w14:paraId="0170B2DF" w14:textId="77777777" w:rsidR="009703EC" w:rsidRPr="00612350" w:rsidRDefault="009703EC" w:rsidP="004F4AEF">
      <w:pPr>
        <w:pStyle w:val="FootnoteText"/>
        <w:jc w:val="both"/>
        <w:rPr>
          <w:rFonts w:ascii="Cambria" w:hAnsi="Cambria"/>
          <w:sz w:val="16"/>
          <w:szCs w:val="16"/>
        </w:rPr>
      </w:pPr>
      <w:r w:rsidRPr="00612350">
        <w:rPr>
          <w:rStyle w:val="FootnoteReference"/>
          <w:rFonts w:ascii="Cambria" w:hAnsi="Cambria"/>
          <w:sz w:val="16"/>
          <w:szCs w:val="16"/>
        </w:rPr>
        <w:footnoteRef/>
      </w:r>
      <w:r w:rsidRPr="00612350">
        <w:rPr>
          <w:rFonts w:ascii="Cambria" w:hAnsi="Cambria"/>
          <w:sz w:val="16"/>
          <w:szCs w:val="16"/>
        </w:rPr>
        <w:t xml:space="preserve"> IACHR, </w:t>
      </w:r>
      <w:r w:rsidRPr="009733AC">
        <w:rPr>
          <w:rFonts w:ascii="Cambria" w:hAnsi="Cambria"/>
          <w:i/>
          <w:sz w:val="16"/>
          <w:szCs w:val="16"/>
        </w:rPr>
        <w:t>Report on the human rights of persons deprived of liberty in the Americas</w:t>
      </w:r>
      <w:r w:rsidRPr="00612350">
        <w:rPr>
          <w:rFonts w:ascii="Cambria" w:hAnsi="Cambria"/>
          <w:sz w:val="16"/>
          <w:szCs w:val="16"/>
        </w:rPr>
        <w:t>, OEA/Ser.L/V/II.Doc.64., December 31, 2011, paragraph 411.</w:t>
      </w:r>
    </w:p>
  </w:footnote>
  <w:footnote w:id="47">
    <w:p w14:paraId="5B8ABBF9" w14:textId="77777777" w:rsidR="009703EC" w:rsidRPr="00612350" w:rsidRDefault="009703EC" w:rsidP="004F4AEF">
      <w:pPr>
        <w:pStyle w:val="FootnoteText"/>
        <w:jc w:val="both"/>
        <w:rPr>
          <w:rFonts w:ascii="Cambria" w:hAnsi="Cambria"/>
          <w:sz w:val="16"/>
          <w:szCs w:val="16"/>
        </w:rPr>
      </w:pPr>
      <w:r w:rsidRPr="00612350">
        <w:rPr>
          <w:rStyle w:val="FootnoteReference"/>
          <w:rFonts w:ascii="Cambria" w:hAnsi="Cambria"/>
          <w:sz w:val="16"/>
          <w:szCs w:val="16"/>
        </w:rPr>
        <w:footnoteRef/>
      </w:r>
      <w:r w:rsidRPr="00612350">
        <w:rPr>
          <w:rFonts w:ascii="Cambria" w:hAnsi="Cambria"/>
          <w:sz w:val="16"/>
          <w:szCs w:val="16"/>
        </w:rPr>
        <w:t xml:space="preserve"> IACHR, Resolution 1/08, Principles and Best Practices on the Protection of Persons Deprived of Liberty in the Americas, Principle XXII (3).</w:t>
      </w:r>
    </w:p>
  </w:footnote>
  <w:footnote w:id="48">
    <w:p w14:paraId="745A2AAD" w14:textId="77777777" w:rsidR="009703EC" w:rsidRPr="00612350" w:rsidRDefault="009703EC" w:rsidP="004F4AEF">
      <w:pPr>
        <w:pStyle w:val="FootnoteText"/>
        <w:jc w:val="both"/>
        <w:rPr>
          <w:rFonts w:ascii="Cambria" w:hAnsi="Cambria"/>
          <w:sz w:val="16"/>
          <w:szCs w:val="16"/>
        </w:rPr>
      </w:pPr>
      <w:r w:rsidRPr="00612350">
        <w:rPr>
          <w:rStyle w:val="FootnoteReference"/>
          <w:rFonts w:ascii="Cambria" w:hAnsi="Cambria"/>
          <w:sz w:val="16"/>
          <w:szCs w:val="16"/>
        </w:rPr>
        <w:footnoteRef/>
      </w:r>
      <w:r w:rsidRPr="00612350">
        <w:rPr>
          <w:rFonts w:ascii="Cambria" w:hAnsi="Cambria"/>
          <w:sz w:val="16"/>
          <w:szCs w:val="16"/>
        </w:rPr>
        <w:t xml:space="preserve"> European Commission of Human Rights, Dhoest v Belgium, Application No. 10448/83, May 14, 1987, par</w:t>
      </w:r>
      <w:r>
        <w:rPr>
          <w:rFonts w:ascii="Cambria" w:hAnsi="Cambria"/>
          <w:sz w:val="16"/>
          <w:szCs w:val="16"/>
        </w:rPr>
        <w:t>a</w:t>
      </w:r>
      <w:r w:rsidRPr="00612350">
        <w:rPr>
          <w:rFonts w:ascii="Cambria" w:hAnsi="Cambria"/>
          <w:sz w:val="16"/>
          <w:szCs w:val="16"/>
        </w:rPr>
        <w:t>. 118.</w:t>
      </w:r>
    </w:p>
  </w:footnote>
  <w:footnote w:id="49">
    <w:p w14:paraId="422437BE" w14:textId="77777777" w:rsidR="009703EC" w:rsidRPr="00612350" w:rsidRDefault="009703EC" w:rsidP="004F4AEF">
      <w:pPr>
        <w:pStyle w:val="FootnoteText"/>
        <w:jc w:val="both"/>
        <w:rPr>
          <w:rFonts w:ascii="Cambria" w:hAnsi="Cambria"/>
          <w:sz w:val="16"/>
          <w:szCs w:val="16"/>
        </w:rPr>
      </w:pPr>
      <w:r w:rsidRPr="00612350">
        <w:rPr>
          <w:rStyle w:val="FootnoteReference"/>
          <w:rFonts w:ascii="Cambria" w:hAnsi="Cambria"/>
          <w:sz w:val="16"/>
          <w:szCs w:val="16"/>
        </w:rPr>
        <w:footnoteRef/>
      </w:r>
      <w:r w:rsidRPr="00612350">
        <w:rPr>
          <w:rFonts w:ascii="Cambria" w:hAnsi="Cambria"/>
          <w:sz w:val="16"/>
          <w:szCs w:val="16"/>
        </w:rPr>
        <w:t xml:space="preserve"> Torture in International Law: a guide to jurisprudence, APT and CEJIL, 2008, p. 81.</w:t>
      </w:r>
    </w:p>
  </w:footnote>
  <w:footnote w:id="50">
    <w:p w14:paraId="027B4879" w14:textId="77777777" w:rsidR="009703EC" w:rsidRPr="00612350" w:rsidRDefault="009703EC" w:rsidP="004F4AEF">
      <w:pPr>
        <w:pStyle w:val="FootnoteText"/>
        <w:jc w:val="both"/>
        <w:rPr>
          <w:rFonts w:ascii="Cambria" w:hAnsi="Cambria"/>
          <w:sz w:val="16"/>
          <w:szCs w:val="16"/>
        </w:rPr>
      </w:pPr>
      <w:r w:rsidRPr="00612350">
        <w:rPr>
          <w:rStyle w:val="FootnoteReference"/>
          <w:rFonts w:ascii="Cambria" w:hAnsi="Cambria"/>
          <w:sz w:val="16"/>
          <w:szCs w:val="16"/>
        </w:rPr>
        <w:footnoteRef/>
      </w:r>
      <w:r w:rsidRPr="00612350">
        <w:rPr>
          <w:rFonts w:ascii="Cambria" w:hAnsi="Cambria"/>
          <w:sz w:val="16"/>
          <w:szCs w:val="16"/>
        </w:rPr>
        <w:t xml:space="preserve"> Human Rights Committee, Concluding Observations on Denmark, UN Doc. CCPR/CO/70/DNK, 2000, par</w:t>
      </w:r>
      <w:r>
        <w:rPr>
          <w:rFonts w:ascii="Cambria" w:hAnsi="Cambria"/>
          <w:sz w:val="16"/>
          <w:szCs w:val="16"/>
        </w:rPr>
        <w:t>a</w:t>
      </w:r>
      <w:r w:rsidRPr="00612350">
        <w:rPr>
          <w:rFonts w:ascii="Cambria" w:hAnsi="Cambria"/>
          <w:sz w:val="16"/>
          <w:szCs w:val="16"/>
        </w:rPr>
        <w:t>. 12.</w:t>
      </w:r>
    </w:p>
  </w:footnote>
  <w:footnote w:id="51">
    <w:p w14:paraId="4E97F245" w14:textId="77777777" w:rsidR="009703EC" w:rsidRPr="00612350" w:rsidRDefault="009703EC" w:rsidP="004F4AEF">
      <w:pPr>
        <w:pStyle w:val="Default"/>
        <w:jc w:val="both"/>
        <w:rPr>
          <w:rFonts w:ascii="Cambria" w:hAnsi="Cambria"/>
          <w:color w:val="auto"/>
          <w:sz w:val="16"/>
          <w:szCs w:val="16"/>
        </w:rPr>
      </w:pPr>
      <w:r w:rsidRPr="00612350">
        <w:rPr>
          <w:rStyle w:val="FootnoteReference"/>
          <w:rFonts w:ascii="Cambria" w:hAnsi="Cambria"/>
          <w:color w:val="auto"/>
          <w:sz w:val="16"/>
          <w:szCs w:val="16"/>
        </w:rPr>
        <w:footnoteRef/>
      </w:r>
      <w:r w:rsidRPr="00612350">
        <w:rPr>
          <w:rFonts w:ascii="Cambria" w:hAnsi="Cambria"/>
          <w:color w:val="auto"/>
          <w:sz w:val="16"/>
          <w:szCs w:val="16"/>
        </w:rPr>
        <w:t xml:space="preserve"> Report of the Special Rapporteur on torture and other cruel, inhuman or degrading treatment or punishment, Juan E. Méndez, January 18, 2010, A/HRC/19/61, para. </w:t>
      </w:r>
      <w:r>
        <w:rPr>
          <w:rFonts w:ascii="Cambria" w:hAnsi="Cambria"/>
          <w:color w:val="auto"/>
          <w:sz w:val="16"/>
          <w:szCs w:val="16"/>
        </w:rPr>
        <w:t>26</w:t>
      </w:r>
      <w:r w:rsidRPr="00612350">
        <w:rPr>
          <w:rFonts w:ascii="Cambria" w:hAnsi="Cambria"/>
          <w:color w:val="auto"/>
          <w:sz w:val="16"/>
          <w:szCs w:val="16"/>
        </w:rPr>
        <w:t>.</w:t>
      </w:r>
    </w:p>
  </w:footnote>
  <w:footnote w:id="52">
    <w:p w14:paraId="36361045" w14:textId="77777777" w:rsidR="009703EC" w:rsidRPr="00612350" w:rsidRDefault="009703EC" w:rsidP="004F4AEF">
      <w:pPr>
        <w:autoSpaceDE w:val="0"/>
        <w:autoSpaceDN w:val="0"/>
        <w:adjustRightInd w:val="0"/>
        <w:jc w:val="both"/>
        <w:rPr>
          <w:rFonts w:ascii="Cambria" w:hAnsi="Cambria"/>
          <w:sz w:val="16"/>
          <w:szCs w:val="16"/>
        </w:rPr>
      </w:pPr>
      <w:r w:rsidRPr="00612350">
        <w:rPr>
          <w:rStyle w:val="FootnoteReference"/>
          <w:rFonts w:ascii="Cambria" w:hAnsi="Cambria"/>
          <w:sz w:val="16"/>
          <w:szCs w:val="16"/>
        </w:rPr>
        <w:footnoteRef/>
      </w:r>
      <w:r w:rsidRPr="00612350">
        <w:rPr>
          <w:rFonts w:ascii="Cambria" w:hAnsi="Cambria"/>
          <w:sz w:val="16"/>
          <w:szCs w:val="16"/>
        </w:rPr>
        <w:t xml:space="preserve"> United Nations, General Assembly, Torture and other cruel, inhuman or degrading treatment or punishment, August 5, 2011, A/66/268, paragraphs 26 and 55.</w:t>
      </w:r>
    </w:p>
  </w:footnote>
  <w:footnote w:id="53">
    <w:p w14:paraId="531AF152" w14:textId="77777777" w:rsidR="009703EC" w:rsidRPr="00612350" w:rsidRDefault="009703EC" w:rsidP="004F4AEF">
      <w:pPr>
        <w:autoSpaceDE w:val="0"/>
        <w:autoSpaceDN w:val="0"/>
        <w:adjustRightInd w:val="0"/>
        <w:jc w:val="both"/>
        <w:rPr>
          <w:rFonts w:ascii="Cambria" w:hAnsi="Cambria"/>
          <w:sz w:val="16"/>
          <w:szCs w:val="16"/>
        </w:rPr>
      </w:pPr>
      <w:r w:rsidRPr="00612350">
        <w:rPr>
          <w:rStyle w:val="FootnoteReference"/>
          <w:rFonts w:ascii="Cambria" w:hAnsi="Cambria"/>
          <w:sz w:val="16"/>
          <w:szCs w:val="16"/>
        </w:rPr>
        <w:footnoteRef/>
      </w:r>
      <w:r w:rsidRPr="00612350">
        <w:rPr>
          <w:rFonts w:ascii="Cambria" w:hAnsi="Cambria"/>
          <w:sz w:val="16"/>
          <w:szCs w:val="16"/>
        </w:rPr>
        <w:t xml:space="preserve"> Interim report of the Special Rapporteur on torture and other cruel, inhuman or degrading treatment or punishment, August 9, 2013, A/68/295, para. 61.</w:t>
      </w:r>
    </w:p>
  </w:footnote>
  <w:footnote w:id="54">
    <w:p w14:paraId="4BA8B0DA" w14:textId="77777777" w:rsidR="009703EC" w:rsidRPr="00612350" w:rsidRDefault="009703EC" w:rsidP="004F4AEF">
      <w:pPr>
        <w:pStyle w:val="FootnoteText"/>
        <w:jc w:val="both"/>
        <w:rPr>
          <w:rFonts w:ascii="Cambria" w:hAnsi="Cambria"/>
          <w:sz w:val="16"/>
          <w:szCs w:val="16"/>
        </w:rPr>
      </w:pPr>
      <w:r w:rsidRPr="00612350">
        <w:rPr>
          <w:rStyle w:val="FootnoteReference"/>
          <w:rFonts w:ascii="Cambria" w:hAnsi="Cambria"/>
          <w:sz w:val="16"/>
          <w:szCs w:val="16"/>
        </w:rPr>
        <w:footnoteRef/>
      </w:r>
      <w:r w:rsidRPr="00612350">
        <w:rPr>
          <w:rFonts w:ascii="Cambria" w:hAnsi="Cambria"/>
          <w:sz w:val="16"/>
          <w:szCs w:val="16"/>
        </w:rPr>
        <w:t xml:space="preserve"> United Nations, General Assembly, Torture and other cruel, inhuman or degrading treatment or punishment, August 5, 2011, A/66/268, para. 49.</w:t>
      </w:r>
    </w:p>
  </w:footnote>
  <w:footnote w:id="55">
    <w:p w14:paraId="219581C6" w14:textId="77777777" w:rsidR="009703EC" w:rsidRPr="00612350" w:rsidRDefault="009703EC" w:rsidP="004F4AEF">
      <w:pPr>
        <w:autoSpaceDE w:val="0"/>
        <w:autoSpaceDN w:val="0"/>
        <w:adjustRightInd w:val="0"/>
        <w:jc w:val="both"/>
        <w:rPr>
          <w:rFonts w:ascii="Cambria" w:hAnsi="Cambria"/>
          <w:sz w:val="16"/>
          <w:szCs w:val="16"/>
        </w:rPr>
      </w:pPr>
      <w:r w:rsidRPr="00612350">
        <w:rPr>
          <w:rStyle w:val="FootnoteReference"/>
          <w:rFonts w:ascii="Cambria" w:hAnsi="Cambria"/>
          <w:sz w:val="16"/>
          <w:szCs w:val="16"/>
        </w:rPr>
        <w:footnoteRef/>
      </w:r>
      <w:r w:rsidRPr="00612350">
        <w:rPr>
          <w:rFonts w:ascii="Cambria" w:hAnsi="Cambria"/>
          <w:sz w:val="16"/>
          <w:szCs w:val="16"/>
        </w:rPr>
        <w:t xml:space="preserve"> Shalev, Sharon, </w:t>
      </w:r>
      <w:r w:rsidRPr="00612350">
        <w:rPr>
          <w:rFonts w:ascii="Cambria" w:hAnsi="Cambria" w:cs="Calibri-Italic"/>
          <w:i/>
          <w:iCs/>
          <w:sz w:val="16"/>
          <w:szCs w:val="16"/>
        </w:rPr>
        <w:t>A sourcebook on solitary confinement</w:t>
      </w:r>
      <w:r w:rsidRPr="00612350">
        <w:rPr>
          <w:rFonts w:ascii="Cambria" w:hAnsi="Cambria"/>
          <w:sz w:val="16"/>
          <w:szCs w:val="16"/>
        </w:rPr>
        <w:t xml:space="preserve">, Mannheim Centre for Criminology, LSE, 2008, pp. 15 and 16. Available at: </w:t>
      </w:r>
      <w:hyperlink r:id="rId2" w:history="1">
        <w:r w:rsidRPr="00612350">
          <w:rPr>
            <w:rStyle w:val="Hyperlink"/>
            <w:rFonts w:ascii="Cambria" w:hAnsi="Cambria"/>
            <w:sz w:val="16"/>
            <w:szCs w:val="16"/>
          </w:rPr>
          <w:t>http://solitaryconfinement.org/uploads/sourcebook_web.pdf</w:t>
        </w:r>
      </w:hyperlink>
      <w:r w:rsidRPr="00612350">
        <w:rPr>
          <w:rFonts w:ascii="Cambria" w:hAnsi="Cambria"/>
          <w:sz w:val="16"/>
          <w:szCs w:val="16"/>
        </w:rPr>
        <w:t>, cited in IACHR, Report on the human rights of persons deprived of liberty in the Americas, OEA/Ser.L/V/II.Doc.64., December 31, 2011, para. 492.</w:t>
      </w:r>
    </w:p>
  </w:footnote>
  <w:footnote w:id="56">
    <w:p w14:paraId="7FA055F4" w14:textId="77777777" w:rsidR="009703EC" w:rsidRPr="00612350" w:rsidRDefault="009703EC" w:rsidP="004F4AEF">
      <w:pPr>
        <w:autoSpaceDE w:val="0"/>
        <w:autoSpaceDN w:val="0"/>
        <w:adjustRightInd w:val="0"/>
        <w:jc w:val="both"/>
        <w:rPr>
          <w:rFonts w:ascii="Cambria" w:hAnsi="Cambria"/>
          <w:sz w:val="16"/>
          <w:szCs w:val="16"/>
        </w:rPr>
      </w:pPr>
      <w:r w:rsidRPr="00612350">
        <w:rPr>
          <w:rStyle w:val="FootnoteReference"/>
          <w:rFonts w:ascii="Cambria" w:hAnsi="Cambria"/>
          <w:sz w:val="16"/>
          <w:szCs w:val="16"/>
        </w:rPr>
        <w:footnoteRef/>
      </w:r>
      <w:r w:rsidRPr="00612350">
        <w:rPr>
          <w:rFonts w:ascii="Cambria" w:hAnsi="Cambria"/>
          <w:sz w:val="16"/>
          <w:szCs w:val="16"/>
        </w:rPr>
        <w:t xml:space="preserve"> </w:t>
      </w:r>
      <w:r w:rsidRPr="00612350">
        <w:rPr>
          <w:rFonts w:ascii="Cambria" w:hAnsi="Cambria"/>
          <w:i/>
          <w:sz w:val="16"/>
          <w:szCs w:val="16"/>
        </w:rPr>
        <w:t xml:space="preserve">European Court of Human Rights, </w:t>
      </w:r>
      <w:r w:rsidRPr="00612350">
        <w:rPr>
          <w:rFonts w:ascii="Cambria" w:hAnsi="Cambria" w:cs="Calibri-Italic"/>
          <w:i/>
          <w:iCs/>
          <w:sz w:val="16"/>
          <w:szCs w:val="16"/>
        </w:rPr>
        <w:t>Case of Ramírez Sánchez v. France</w:t>
      </w:r>
      <w:r w:rsidRPr="00612350">
        <w:rPr>
          <w:rFonts w:ascii="Cambria" w:hAnsi="Cambria"/>
          <w:i/>
          <w:sz w:val="16"/>
          <w:szCs w:val="16"/>
        </w:rPr>
        <w:t>, (Application no. 59450/00), Judgment of July 4, 2006, Grand Chamber</w:t>
      </w:r>
      <w:r w:rsidRPr="00612350">
        <w:rPr>
          <w:rFonts w:ascii="Cambria" w:hAnsi="Cambria"/>
          <w:sz w:val="16"/>
          <w:szCs w:val="16"/>
        </w:rPr>
        <w:t>, para</w:t>
      </w:r>
      <w:r>
        <w:rPr>
          <w:rFonts w:ascii="Cambria" w:hAnsi="Cambria"/>
          <w:sz w:val="16"/>
          <w:szCs w:val="16"/>
        </w:rPr>
        <w:t>.</w:t>
      </w:r>
      <w:r w:rsidRPr="00612350">
        <w:rPr>
          <w:rFonts w:ascii="Cambria" w:hAnsi="Cambria"/>
          <w:sz w:val="16"/>
          <w:szCs w:val="16"/>
        </w:rPr>
        <w:t xml:space="preserve"> 120‐123.</w:t>
      </w:r>
    </w:p>
  </w:footnote>
  <w:footnote w:id="57">
    <w:p w14:paraId="450E675A" w14:textId="77777777" w:rsidR="009703EC" w:rsidRPr="00612350" w:rsidRDefault="009703EC" w:rsidP="004F4AEF">
      <w:pPr>
        <w:pStyle w:val="FootnoteText"/>
        <w:jc w:val="both"/>
        <w:rPr>
          <w:rFonts w:ascii="Cambria" w:hAnsi="Cambria"/>
          <w:sz w:val="16"/>
          <w:szCs w:val="16"/>
        </w:rPr>
      </w:pPr>
      <w:r w:rsidRPr="00612350">
        <w:rPr>
          <w:rStyle w:val="FootnoteReference"/>
          <w:rFonts w:ascii="Cambria" w:hAnsi="Cambria"/>
          <w:sz w:val="16"/>
          <w:szCs w:val="16"/>
        </w:rPr>
        <w:footnoteRef/>
      </w:r>
      <w:r w:rsidRPr="00612350">
        <w:rPr>
          <w:rFonts w:ascii="Cambria" w:hAnsi="Cambria"/>
          <w:sz w:val="16"/>
          <w:szCs w:val="16"/>
        </w:rPr>
        <w:t xml:space="preserve"> United Nations, Human Rights Committee, CCPR/C/USA/CO/3, September 15, 2006, para</w:t>
      </w:r>
      <w:r>
        <w:rPr>
          <w:rFonts w:ascii="Cambria" w:hAnsi="Cambria"/>
          <w:sz w:val="16"/>
          <w:szCs w:val="16"/>
        </w:rPr>
        <w:t>.</w:t>
      </w:r>
      <w:r w:rsidRPr="00612350">
        <w:rPr>
          <w:rFonts w:ascii="Cambria" w:hAnsi="Cambria"/>
          <w:sz w:val="16"/>
          <w:szCs w:val="16"/>
        </w:rPr>
        <w:t xml:space="preserve"> 32. </w:t>
      </w:r>
    </w:p>
  </w:footnote>
  <w:footnote w:id="58">
    <w:p w14:paraId="549FCF52" w14:textId="77777777" w:rsidR="009703EC" w:rsidRPr="00612350" w:rsidRDefault="009703EC" w:rsidP="004F4AEF">
      <w:pPr>
        <w:pStyle w:val="FootnoteText"/>
        <w:jc w:val="both"/>
        <w:rPr>
          <w:rFonts w:ascii="Cambria" w:hAnsi="Cambria" w:cs="Arial"/>
          <w:sz w:val="16"/>
          <w:szCs w:val="16"/>
        </w:rPr>
      </w:pPr>
      <w:r w:rsidRPr="00612350">
        <w:rPr>
          <w:rStyle w:val="FootnoteReference"/>
          <w:rFonts w:ascii="Cambria" w:hAnsi="Cambria" w:cs="Arial"/>
          <w:sz w:val="16"/>
          <w:szCs w:val="16"/>
        </w:rPr>
        <w:footnoteRef/>
      </w:r>
      <w:r w:rsidRPr="00612350">
        <w:rPr>
          <w:rFonts w:ascii="Cambria" w:hAnsi="Cambria" w:cs="Arial"/>
          <w:sz w:val="16"/>
          <w:szCs w:val="16"/>
        </w:rPr>
        <w:t xml:space="preserve"> I/A Court H.R., </w:t>
      </w:r>
      <w:r w:rsidRPr="00612350">
        <w:rPr>
          <w:rFonts w:ascii="Cambria" w:hAnsi="Cambria" w:cs="Arial"/>
          <w:i/>
          <w:sz w:val="16"/>
          <w:szCs w:val="16"/>
        </w:rPr>
        <w:t>Hilaire, Constantine and Benjamin et al. v. Trinidad and Tobago</w:t>
      </w:r>
      <w:r>
        <w:rPr>
          <w:rFonts w:ascii="Cambria" w:hAnsi="Cambria" w:cs="Arial"/>
          <w:i/>
          <w:sz w:val="16"/>
          <w:szCs w:val="16"/>
        </w:rPr>
        <w:t xml:space="preserve"> Case.</w:t>
      </w:r>
      <w:r w:rsidRPr="00612350">
        <w:rPr>
          <w:rFonts w:ascii="Cambria" w:hAnsi="Cambria" w:cs="Arial"/>
          <w:i/>
          <w:sz w:val="16"/>
          <w:szCs w:val="16"/>
        </w:rPr>
        <w:t xml:space="preserve"> </w:t>
      </w:r>
      <w:r w:rsidRPr="00612350">
        <w:rPr>
          <w:rFonts w:ascii="Cambria" w:hAnsi="Cambria" w:cs="Arial"/>
          <w:sz w:val="16"/>
          <w:szCs w:val="16"/>
        </w:rPr>
        <w:t>Judgment of June 21, 2002. Series C No. 94, paragraphs 154-156.</w:t>
      </w:r>
    </w:p>
  </w:footnote>
  <w:footnote w:id="59">
    <w:p w14:paraId="11E15EA6" w14:textId="77777777" w:rsidR="009703EC" w:rsidRPr="00612350" w:rsidRDefault="009703EC" w:rsidP="004F4AEF">
      <w:pPr>
        <w:pStyle w:val="FootnoteText"/>
        <w:jc w:val="both"/>
        <w:rPr>
          <w:rFonts w:ascii="Cambria" w:hAnsi="Cambria"/>
          <w:sz w:val="16"/>
          <w:szCs w:val="16"/>
        </w:rPr>
      </w:pPr>
      <w:r w:rsidRPr="00612350">
        <w:rPr>
          <w:rStyle w:val="FootnoteReference"/>
          <w:rFonts w:ascii="Cambria" w:hAnsi="Cambria"/>
          <w:sz w:val="16"/>
          <w:szCs w:val="16"/>
        </w:rPr>
        <w:footnoteRef/>
      </w:r>
      <w:r w:rsidRPr="00612350">
        <w:rPr>
          <w:rFonts w:ascii="Cambria" w:hAnsi="Cambria"/>
          <w:sz w:val="16"/>
          <w:szCs w:val="16"/>
        </w:rPr>
        <w:t xml:space="preserve"> IACHR, </w:t>
      </w:r>
      <w:r w:rsidRPr="00871D01">
        <w:rPr>
          <w:rFonts w:ascii="Cambria" w:hAnsi="Cambria"/>
          <w:i/>
          <w:sz w:val="16"/>
          <w:szCs w:val="16"/>
        </w:rPr>
        <w:t>Report on the human rights of persons deprived of liberty in the Americas</w:t>
      </w:r>
      <w:r w:rsidRPr="00612350">
        <w:rPr>
          <w:rFonts w:ascii="Cambria" w:hAnsi="Cambria"/>
          <w:sz w:val="16"/>
          <w:szCs w:val="16"/>
        </w:rPr>
        <w:t>, OEA/Ser.L/V/II.Doc.64. December 31, 2011, para. 513.</w:t>
      </w:r>
    </w:p>
  </w:footnote>
  <w:footnote w:id="60">
    <w:p w14:paraId="522FD4E4" w14:textId="77777777" w:rsidR="009703EC" w:rsidRPr="0096436B" w:rsidRDefault="009703EC" w:rsidP="00BA48C0">
      <w:pPr>
        <w:pStyle w:val="FootnoteText"/>
        <w:tabs>
          <w:tab w:val="right" w:pos="0"/>
          <w:tab w:val="left" w:pos="180"/>
          <w:tab w:val="left" w:pos="900"/>
        </w:tabs>
        <w:jc w:val="both"/>
        <w:rPr>
          <w:rFonts w:asciiTheme="majorHAnsi" w:hAnsiTheme="majorHAnsi"/>
          <w:sz w:val="16"/>
          <w:szCs w:val="16"/>
        </w:rPr>
      </w:pPr>
      <w:r w:rsidRPr="0096436B">
        <w:rPr>
          <w:rStyle w:val="FootnoteReference"/>
          <w:rFonts w:asciiTheme="majorHAnsi" w:hAnsiTheme="majorHAnsi"/>
          <w:sz w:val="16"/>
          <w:szCs w:val="16"/>
        </w:rPr>
        <w:footnoteRef/>
      </w:r>
      <w:r w:rsidRPr="0096436B">
        <w:rPr>
          <w:rFonts w:asciiTheme="majorHAnsi" w:hAnsiTheme="majorHAnsi"/>
          <w:sz w:val="16"/>
          <w:szCs w:val="16"/>
        </w:rPr>
        <w:t xml:space="preserve"> United Nations. Report of the Special Rapporteur on torture and other cruel, inhuman or degrading treatment of punishment.  9 August 2012. A/67/279, para 42. Citing: Patrick Hudson, “Does the death row phenomenon violate a prisoner’s rights under international law?”, </w:t>
      </w:r>
      <w:r w:rsidRPr="0096436B">
        <w:rPr>
          <w:rFonts w:asciiTheme="majorHAnsi" w:hAnsiTheme="majorHAnsi"/>
          <w:i/>
          <w:sz w:val="16"/>
          <w:szCs w:val="16"/>
        </w:rPr>
        <w:t>European Journal of International Law</w:t>
      </w:r>
      <w:r w:rsidRPr="0096436B">
        <w:rPr>
          <w:rFonts w:asciiTheme="majorHAnsi" w:hAnsiTheme="majorHAnsi"/>
          <w:sz w:val="16"/>
          <w:szCs w:val="16"/>
        </w:rPr>
        <w:t>, vol. 11, No. 4 (2000), pp. 834-837.</w:t>
      </w:r>
    </w:p>
  </w:footnote>
  <w:footnote w:id="61">
    <w:p w14:paraId="10070D8A" w14:textId="77777777" w:rsidR="009703EC" w:rsidRPr="0096436B" w:rsidRDefault="009703EC" w:rsidP="00BA48C0">
      <w:pPr>
        <w:pStyle w:val="FootnoteText"/>
        <w:jc w:val="both"/>
        <w:rPr>
          <w:rFonts w:asciiTheme="majorHAnsi" w:hAnsiTheme="majorHAnsi"/>
          <w:sz w:val="16"/>
          <w:szCs w:val="16"/>
          <w:highlight w:val="yellow"/>
        </w:rPr>
      </w:pPr>
      <w:r w:rsidRPr="0096436B">
        <w:rPr>
          <w:rStyle w:val="FootnoteReference"/>
          <w:rFonts w:asciiTheme="majorHAnsi" w:hAnsiTheme="majorHAnsi"/>
          <w:sz w:val="16"/>
          <w:szCs w:val="16"/>
        </w:rPr>
        <w:footnoteRef/>
      </w:r>
      <w:r w:rsidRPr="0096436B">
        <w:rPr>
          <w:rFonts w:asciiTheme="majorHAnsi" w:hAnsiTheme="majorHAnsi"/>
          <w:sz w:val="16"/>
          <w:szCs w:val="16"/>
        </w:rPr>
        <w:t xml:space="preserve">  United Nations. Report of the Special Rapporteur on torture and other cruel, inhuman or degrading treatment of punishment.  9 August 2012. A/67/279. para 42.</w:t>
      </w:r>
    </w:p>
  </w:footnote>
  <w:footnote w:id="62">
    <w:p w14:paraId="799F3162" w14:textId="77777777" w:rsidR="009703EC" w:rsidRPr="0096436B" w:rsidRDefault="009703EC" w:rsidP="00BA48C0">
      <w:pPr>
        <w:pStyle w:val="FootnoteText"/>
        <w:tabs>
          <w:tab w:val="right" w:pos="540"/>
          <w:tab w:val="left" w:pos="900"/>
        </w:tabs>
        <w:jc w:val="both"/>
        <w:rPr>
          <w:rFonts w:asciiTheme="majorHAnsi" w:hAnsiTheme="majorHAnsi"/>
          <w:sz w:val="16"/>
          <w:szCs w:val="16"/>
        </w:rPr>
      </w:pPr>
      <w:r w:rsidRPr="0096436B">
        <w:rPr>
          <w:rStyle w:val="FootnoteReference"/>
          <w:rFonts w:asciiTheme="majorHAnsi" w:hAnsiTheme="majorHAnsi"/>
          <w:sz w:val="16"/>
          <w:szCs w:val="16"/>
        </w:rPr>
        <w:footnoteRef/>
      </w:r>
      <w:r w:rsidRPr="0096436B">
        <w:rPr>
          <w:rFonts w:asciiTheme="majorHAnsi" w:hAnsiTheme="majorHAnsi"/>
          <w:sz w:val="16"/>
          <w:szCs w:val="16"/>
        </w:rPr>
        <w:t xml:space="preserve">  ECtHR. Case of Soering v. The United Kingdom. Report No. 14038/88. Judgment, July 7, 1989. para. 104.</w:t>
      </w:r>
    </w:p>
  </w:footnote>
  <w:footnote w:id="63">
    <w:p w14:paraId="6B367D07" w14:textId="77777777" w:rsidR="009703EC" w:rsidRDefault="009703EC" w:rsidP="00BA48C0">
      <w:pPr>
        <w:pStyle w:val="FootnoteText"/>
        <w:jc w:val="both"/>
      </w:pPr>
      <w:r w:rsidRPr="00A4096F">
        <w:rPr>
          <w:rStyle w:val="FootnoteReference"/>
          <w:rFonts w:ascii="Cambria" w:hAnsi="Cambria"/>
          <w:sz w:val="16"/>
          <w:szCs w:val="16"/>
        </w:rPr>
        <w:footnoteRef/>
      </w:r>
      <w:r>
        <w:rPr>
          <w:rFonts w:ascii="Cambria" w:hAnsi="Cambria"/>
          <w:sz w:val="16"/>
          <w:szCs w:val="16"/>
        </w:rPr>
        <w:t xml:space="preserve"> </w:t>
      </w:r>
      <w:r w:rsidRPr="00A4096F">
        <w:rPr>
          <w:rFonts w:ascii="Cambria" w:hAnsi="Cambria"/>
          <w:sz w:val="16"/>
          <w:szCs w:val="16"/>
        </w:rPr>
        <w:t>Cf. European Court of Human Rights, Soering v. United Kingdom. Judgment of July 7, 1989. Series A, Vol. 161. Likewise, the Supreme Co</w:t>
      </w:r>
      <w:r>
        <w:rPr>
          <w:rFonts w:ascii="Cambria" w:hAnsi="Cambria"/>
          <w:sz w:val="16"/>
          <w:szCs w:val="16"/>
        </w:rPr>
        <w:t xml:space="preserve"> u</w:t>
      </w:r>
      <w:r w:rsidRPr="00A4096F">
        <w:rPr>
          <w:rFonts w:ascii="Cambria" w:hAnsi="Cambria"/>
          <w:sz w:val="16"/>
          <w:szCs w:val="16"/>
        </w:rPr>
        <w:t>rt of the United States of America recognised in Furman v. Georgia that the  time spent awaiting the exec</w:t>
      </w:r>
      <w:r>
        <w:rPr>
          <w:rFonts w:ascii="Cambria" w:hAnsi="Cambria"/>
          <w:sz w:val="16"/>
          <w:szCs w:val="16"/>
        </w:rPr>
        <w:t>ution of a death sentence destro</w:t>
      </w:r>
      <w:r w:rsidRPr="00A4096F">
        <w:rPr>
          <w:rFonts w:ascii="Cambria" w:hAnsi="Cambria"/>
          <w:sz w:val="16"/>
          <w:szCs w:val="16"/>
        </w:rPr>
        <w:t>ys the human spirit</w:t>
      </w:r>
      <w:r>
        <w:rPr>
          <w:rFonts w:ascii="Cambria" w:hAnsi="Cambria"/>
          <w:sz w:val="16"/>
          <w:szCs w:val="16"/>
        </w:rPr>
        <w:t> and constitutes psychological </w:t>
      </w:r>
      <w:r w:rsidRPr="00A4096F">
        <w:rPr>
          <w:rFonts w:ascii="Cambria" w:hAnsi="Cambria"/>
          <w:sz w:val="16"/>
          <w:szCs w:val="16"/>
        </w:rPr>
        <w:t>torture that often leads to insanity. Cf. Furman v. Geor</w:t>
      </w:r>
      <w:r>
        <w:rPr>
          <w:rFonts w:ascii="Cambria" w:hAnsi="Cambria"/>
          <w:sz w:val="16"/>
          <w:szCs w:val="16"/>
        </w:rPr>
        <w:t>gia, 408 U.S. 238, 287‐288 (197</w:t>
      </w:r>
      <w:r w:rsidRPr="00A4096F">
        <w:rPr>
          <w:rFonts w:ascii="Cambria" w:hAnsi="Cambria"/>
          <w:sz w:val="16"/>
          <w:szCs w:val="16"/>
        </w:rPr>
        <w:t>).</w:t>
      </w:r>
      <w:r w:rsidRPr="00A4096F">
        <w:rPr>
          <w:rFonts w:hint="eastAsia"/>
        </w:rPr>
        <w:t> </w:t>
      </w:r>
    </w:p>
  </w:footnote>
  <w:footnote w:id="64">
    <w:p w14:paraId="24675C46" w14:textId="77777777" w:rsidR="009703EC" w:rsidRPr="0096436B" w:rsidRDefault="009703EC" w:rsidP="00BA48C0">
      <w:pPr>
        <w:pStyle w:val="FootnoteText"/>
        <w:tabs>
          <w:tab w:val="right" w:pos="540"/>
          <w:tab w:val="left" w:pos="900"/>
        </w:tabs>
        <w:jc w:val="both"/>
        <w:rPr>
          <w:rFonts w:asciiTheme="majorHAnsi" w:hAnsiTheme="majorHAnsi"/>
          <w:sz w:val="16"/>
          <w:szCs w:val="16"/>
        </w:rPr>
      </w:pPr>
      <w:r w:rsidRPr="0096436B">
        <w:rPr>
          <w:rStyle w:val="FootnoteReference"/>
          <w:rFonts w:asciiTheme="majorHAnsi" w:hAnsiTheme="majorHAnsi"/>
          <w:sz w:val="16"/>
          <w:szCs w:val="16"/>
        </w:rPr>
        <w:footnoteRef/>
      </w:r>
      <w:r w:rsidRPr="0096436B">
        <w:rPr>
          <w:rFonts w:asciiTheme="majorHAnsi" w:hAnsiTheme="majorHAnsi"/>
          <w:sz w:val="16"/>
          <w:szCs w:val="16"/>
        </w:rPr>
        <w:t xml:space="preserve">  ECtHR. Case of Soering v. The United Kingdom. Report No. 14038/88. Judgment, July 7, 1989. para. 106.</w:t>
      </w:r>
    </w:p>
  </w:footnote>
  <w:footnote w:id="65">
    <w:p w14:paraId="2C4B9E1B" w14:textId="77777777" w:rsidR="009703EC" w:rsidRPr="0096436B" w:rsidRDefault="009703EC" w:rsidP="00BA48C0">
      <w:pPr>
        <w:pStyle w:val="FootnoteText"/>
        <w:tabs>
          <w:tab w:val="right" w:pos="540"/>
          <w:tab w:val="left" w:pos="900"/>
        </w:tabs>
        <w:jc w:val="both"/>
        <w:rPr>
          <w:rFonts w:asciiTheme="majorHAnsi" w:hAnsiTheme="majorHAnsi"/>
          <w:sz w:val="16"/>
          <w:szCs w:val="16"/>
          <w:highlight w:val="yellow"/>
        </w:rPr>
      </w:pPr>
      <w:r w:rsidRPr="0096436B">
        <w:rPr>
          <w:rStyle w:val="FootnoteReference"/>
          <w:rFonts w:asciiTheme="majorHAnsi" w:hAnsiTheme="majorHAnsi"/>
          <w:sz w:val="16"/>
          <w:szCs w:val="16"/>
        </w:rPr>
        <w:footnoteRef/>
      </w:r>
      <w:r w:rsidRPr="0096436B">
        <w:rPr>
          <w:rFonts w:asciiTheme="majorHAnsi" w:hAnsiTheme="majorHAnsi"/>
          <w:sz w:val="16"/>
          <w:szCs w:val="16"/>
        </w:rPr>
        <w:t xml:space="preserve">  ECtHR. Case of Soering v. The United Kingdom. Report No. 14038/88. Judgment, July 7, 1989. para. 111.</w:t>
      </w:r>
    </w:p>
  </w:footnote>
  <w:footnote w:id="66">
    <w:p w14:paraId="6BFD3FE2" w14:textId="77777777" w:rsidR="009703EC" w:rsidRPr="0096436B" w:rsidRDefault="009703EC" w:rsidP="00BA48C0">
      <w:pPr>
        <w:widowControl w:val="0"/>
        <w:autoSpaceDE w:val="0"/>
        <w:autoSpaceDN w:val="0"/>
        <w:adjustRightInd w:val="0"/>
        <w:jc w:val="both"/>
        <w:rPr>
          <w:rFonts w:asciiTheme="majorHAnsi" w:hAnsiTheme="majorHAnsi" w:cs="Arial"/>
          <w:bCs/>
          <w:sz w:val="16"/>
          <w:szCs w:val="16"/>
        </w:rPr>
      </w:pPr>
      <w:r w:rsidRPr="0096436B">
        <w:rPr>
          <w:rStyle w:val="FootnoteReference"/>
          <w:rFonts w:asciiTheme="majorHAnsi" w:hAnsiTheme="majorHAnsi"/>
          <w:sz w:val="16"/>
          <w:szCs w:val="16"/>
        </w:rPr>
        <w:footnoteRef/>
      </w:r>
      <w:r w:rsidRPr="0096436B">
        <w:rPr>
          <w:rFonts w:asciiTheme="majorHAnsi" w:hAnsiTheme="majorHAnsi"/>
          <w:sz w:val="16"/>
          <w:szCs w:val="16"/>
        </w:rPr>
        <w:t xml:space="preserve"> Pratt and Morgan v. The Attorney General for Jamaica and another (Jamaica) [1993] UKPC 1 (2nd November, 1993), paragraphs 73, 74, 75, and 84. </w:t>
      </w:r>
    </w:p>
  </w:footnote>
  <w:footnote w:id="67">
    <w:p w14:paraId="6D88A547" w14:textId="77777777" w:rsidR="009703EC" w:rsidRPr="0096436B" w:rsidRDefault="009703EC" w:rsidP="00BA48C0">
      <w:pPr>
        <w:pStyle w:val="FootnoteText"/>
        <w:jc w:val="both"/>
        <w:rPr>
          <w:rFonts w:asciiTheme="majorHAnsi" w:hAnsiTheme="majorHAnsi"/>
          <w:sz w:val="16"/>
          <w:szCs w:val="16"/>
        </w:rPr>
      </w:pPr>
      <w:r w:rsidRPr="0096436B">
        <w:rPr>
          <w:rStyle w:val="FootnoteReference"/>
          <w:rFonts w:asciiTheme="majorHAnsi" w:hAnsiTheme="majorHAnsi"/>
          <w:sz w:val="16"/>
          <w:szCs w:val="16"/>
        </w:rPr>
        <w:footnoteRef/>
      </w:r>
      <w:r w:rsidRPr="0096436B">
        <w:rPr>
          <w:rFonts w:asciiTheme="majorHAnsi" w:hAnsiTheme="majorHAnsi"/>
          <w:sz w:val="16"/>
          <w:szCs w:val="16"/>
        </w:rPr>
        <w:t xml:space="preserve"> Supreme Court of Uganda in </w:t>
      </w:r>
      <w:r w:rsidRPr="0096436B">
        <w:rPr>
          <w:rFonts w:asciiTheme="majorHAnsi" w:hAnsiTheme="majorHAnsi"/>
          <w:i/>
          <w:sz w:val="16"/>
          <w:szCs w:val="16"/>
        </w:rPr>
        <w:t>Attorney General v. Susan Kigula</w:t>
      </w:r>
      <w:r w:rsidRPr="0096436B">
        <w:rPr>
          <w:rFonts w:asciiTheme="majorHAnsi" w:hAnsiTheme="majorHAnsi"/>
          <w:sz w:val="16"/>
          <w:szCs w:val="16"/>
        </w:rPr>
        <w:t xml:space="preserve"> and 417 others (Constitutional Appeal No. 3 of 2006), 2009.</w:t>
      </w:r>
    </w:p>
  </w:footnote>
  <w:footnote w:id="68">
    <w:p w14:paraId="2E398F74" w14:textId="77777777" w:rsidR="009703EC" w:rsidRPr="00013850" w:rsidRDefault="009703EC" w:rsidP="00BA48C0">
      <w:pPr>
        <w:pStyle w:val="FootnoteText"/>
        <w:jc w:val="both"/>
        <w:rPr>
          <w:rFonts w:asciiTheme="majorHAnsi" w:hAnsiTheme="majorHAnsi"/>
          <w:sz w:val="16"/>
          <w:szCs w:val="16"/>
        </w:rPr>
      </w:pPr>
      <w:r w:rsidRPr="00013850">
        <w:rPr>
          <w:rStyle w:val="FootnoteReference"/>
          <w:rFonts w:asciiTheme="majorHAnsi" w:hAnsiTheme="majorHAnsi"/>
          <w:sz w:val="16"/>
          <w:szCs w:val="16"/>
        </w:rPr>
        <w:footnoteRef/>
      </w:r>
      <w:r w:rsidRPr="00013850">
        <w:rPr>
          <w:rFonts w:asciiTheme="majorHAnsi" w:hAnsiTheme="majorHAnsi"/>
          <w:sz w:val="16"/>
          <w:szCs w:val="16"/>
        </w:rPr>
        <w:t xml:space="preserve"> Judgment of the Supreme Court of Zimbabwe of 24 June 1993 in </w:t>
      </w:r>
      <w:r w:rsidRPr="00013850">
        <w:rPr>
          <w:rFonts w:asciiTheme="majorHAnsi" w:hAnsiTheme="majorHAnsi"/>
          <w:i/>
          <w:sz w:val="16"/>
          <w:szCs w:val="16"/>
        </w:rPr>
        <w:t>Catholic Commissioner for Justice and Peace in Zimbabwe v. Attorney General</w:t>
      </w:r>
      <w:r w:rsidRPr="00013850">
        <w:rPr>
          <w:rFonts w:asciiTheme="majorHAnsi" w:hAnsiTheme="majorHAnsi"/>
          <w:sz w:val="16"/>
          <w:szCs w:val="16"/>
        </w:rPr>
        <w:t xml:space="preserve"> (4) SA 239 (ZS).</w:t>
      </w:r>
    </w:p>
  </w:footnote>
  <w:footnote w:id="69">
    <w:p w14:paraId="714115F3" w14:textId="77777777" w:rsidR="009703EC" w:rsidRPr="00ED56AB" w:rsidRDefault="009703EC" w:rsidP="00AC32D7">
      <w:pPr>
        <w:pStyle w:val="FootnoteText"/>
        <w:jc w:val="both"/>
        <w:rPr>
          <w:rFonts w:asciiTheme="majorHAnsi" w:hAnsiTheme="majorHAnsi"/>
          <w:color w:val="auto"/>
          <w:sz w:val="16"/>
          <w:szCs w:val="16"/>
        </w:rPr>
      </w:pPr>
      <w:r w:rsidRPr="00ED56AB">
        <w:rPr>
          <w:rStyle w:val="FootnoteReference"/>
          <w:rFonts w:asciiTheme="majorHAnsi" w:hAnsiTheme="majorHAnsi"/>
          <w:color w:val="auto"/>
          <w:sz w:val="16"/>
          <w:szCs w:val="16"/>
        </w:rPr>
        <w:footnoteRef/>
      </w:r>
      <w:r w:rsidRPr="00ED56AB">
        <w:rPr>
          <w:rStyle w:val="FootnoteReference"/>
          <w:rFonts w:asciiTheme="majorHAnsi" w:hAnsiTheme="majorHAnsi"/>
          <w:color w:val="auto"/>
          <w:sz w:val="16"/>
          <w:szCs w:val="16"/>
        </w:rPr>
        <w:t xml:space="preserve"> </w:t>
      </w:r>
      <w:r w:rsidRPr="00ED56AB">
        <w:rPr>
          <w:rFonts w:asciiTheme="majorHAnsi" w:hAnsiTheme="majorHAnsi"/>
          <w:color w:val="auto"/>
          <w:sz w:val="16"/>
          <w:szCs w:val="16"/>
        </w:rPr>
        <w:t>IACHR, Report No. 71/18, Case 12.958. Merits. Russell Bucklew. United States, May 10, 2018, paras. 86-90. In this report the Commission has cite</w:t>
      </w:r>
      <w:r>
        <w:rPr>
          <w:rFonts w:asciiTheme="majorHAnsi" w:hAnsiTheme="majorHAnsi"/>
          <w:color w:val="auto"/>
          <w:sz w:val="16"/>
          <w:szCs w:val="16"/>
        </w:rPr>
        <w:t>d</w:t>
      </w:r>
      <w:r w:rsidRPr="00ED56AB">
        <w:rPr>
          <w:rFonts w:asciiTheme="majorHAnsi" w:hAnsiTheme="majorHAnsi"/>
          <w:color w:val="auto"/>
          <w:sz w:val="16"/>
          <w:szCs w:val="16"/>
        </w:rPr>
        <w:t xml:space="preserve"> a number of developments in the inter-American and other protections systems, including the regional and United Nations systems.</w:t>
      </w:r>
    </w:p>
  </w:footnote>
  <w:footnote w:id="70">
    <w:p w14:paraId="68F4100C" w14:textId="77777777" w:rsidR="009703EC" w:rsidRPr="006C3D28" w:rsidRDefault="009703EC" w:rsidP="004E6889">
      <w:pPr>
        <w:pStyle w:val="Body"/>
        <w:jc w:val="both"/>
        <w:rPr>
          <w:rFonts w:ascii="Cambria" w:eastAsia="Cambria" w:hAnsi="Cambria" w:cs="Cambria"/>
          <w:sz w:val="20"/>
          <w:szCs w:val="20"/>
        </w:rPr>
      </w:pPr>
      <w:r w:rsidRPr="00EE36D7">
        <w:rPr>
          <w:rStyle w:val="FootnoteReference"/>
          <w:rFonts w:asciiTheme="majorHAnsi" w:hAnsiTheme="majorHAnsi"/>
          <w:sz w:val="16"/>
          <w:szCs w:val="16"/>
        </w:rPr>
        <w:footnoteRef/>
      </w:r>
      <w:r w:rsidRPr="00EE36D7">
        <w:rPr>
          <w:rStyle w:val="FootnoteReference"/>
          <w:rFonts w:asciiTheme="majorHAnsi" w:hAnsiTheme="majorHAnsi"/>
          <w:sz w:val="16"/>
          <w:szCs w:val="16"/>
        </w:rPr>
        <w:t xml:space="preserve"> </w:t>
      </w:r>
      <w:r>
        <w:rPr>
          <w:rFonts w:asciiTheme="majorHAnsi" w:hAnsiTheme="majorHAnsi"/>
          <w:sz w:val="16"/>
          <w:szCs w:val="16"/>
        </w:rPr>
        <w:t>Article XXIV</w:t>
      </w:r>
      <w:r w:rsidRPr="00ED56AB">
        <w:rPr>
          <w:rFonts w:asciiTheme="majorHAnsi" w:hAnsiTheme="majorHAnsi"/>
          <w:sz w:val="16"/>
          <w:szCs w:val="16"/>
        </w:rPr>
        <w:t xml:space="preserve"> of the American Declaration provides: “</w:t>
      </w:r>
      <w:r w:rsidRPr="006C3D28">
        <w:rPr>
          <w:rFonts w:ascii="Cambria" w:eastAsia="Cambria" w:hAnsi="Cambria" w:cs="Cambria"/>
          <w:sz w:val="16"/>
          <w:szCs w:val="16"/>
          <w:shd w:val="clear" w:color="auto" w:fill="FFFFFF"/>
        </w:rPr>
        <w:t xml:space="preserve">Every </w:t>
      </w:r>
      <w:r>
        <w:rPr>
          <w:rFonts w:ascii="Cambria" w:eastAsia="Cambria" w:hAnsi="Cambria" w:cs="Cambria"/>
          <w:sz w:val="16"/>
          <w:szCs w:val="16"/>
          <w:shd w:val="clear" w:color="auto" w:fill="FFFFFF"/>
        </w:rPr>
        <w:t>person has the right to submit respectful petitions to any competent authority, for reasons of either general or private interest, and the right to obtain a prompt decision thereon.</w:t>
      </w:r>
      <w:r w:rsidRPr="00ED56AB">
        <w:rPr>
          <w:rFonts w:asciiTheme="majorHAnsi" w:hAnsiTheme="majorHAnsi"/>
          <w:sz w:val="16"/>
          <w:szCs w:val="16"/>
        </w:rPr>
        <w:t>”</w:t>
      </w:r>
    </w:p>
  </w:footnote>
  <w:footnote w:id="71">
    <w:p w14:paraId="76189777" w14:textId="77777777" w:rsidR="009703EC" w:rsidRPr="006B057B" w:rsidRDefault="009703EC" w:rsidP="004E6889">
      <w:pPr>
        <w:pStyle w:val="Body"/>
        <w:jc w:val="both"/>
        <w:rPr>
          <w:rFonts w:asciiTheme="majorHAnsi" w:eastAsia="Cambria" w:hAnsiTheme="majorHAnsi" w:cs="Cambria"/>
          <w:sz w:val="16"/>
          <w:szCs w:val="20"/>
        </w:rPr>
      </w:pPr>
      <w:r w:rsidRPr="006B057B">
        <w:rPr>
          <w:rStyle w:val="FootnoteReference"/>
          <w:rFonts w:asciiTheme="majorHAnsi" w:hAnsiTheme="majorHAnsi"/>
          <w:sz w:val="16"/>
          <w:szCs w:val="16"/>
        </w:rPr>
        <w:footnoteRef/>
      </w:r>
      <w:r w:rsidRPr="006B057B">
        <w:rPr>
          <w:rStyle w:val="FootnoteReference"/>
          <w:rFonts w:asciiTheme="majorHAnsi" w:hAnsiTheme="majorHAnsi"/>
          <w:sz w:val="16"/>
          <w:szCs w:val="16"/>
        </w:rPr>
        <w:t xml:space="preserve"> </w:t>
      </w:r>
      <w:r w:rsidRPr="006B057B">
        <w:rPr>
          <w:rFonts w:asciiTheme="majorHAnsi" w:hAnsiTheme="majorHAnsi"/>
          <w:sz w:val="16"/>
          <w:szCs w:val="16"/>
        </w:rPr>
        <w:t>Article I of the American Declaration provides: “</w:t>
      </w:r>
      <w:r w:rsidRPr="006B057B">
        <w:rPr>
          <w:rFonts w:asciiTheme="majorHAnsi" w:eastAsia="Cambria" w:hAnsiTheme="majorHAnsi" w:cs="Cambria"/>
          <w:sz w:val="16"/>
          <w:szCs w:val="16"/>
          <w:shd w:val="clear" w:color="auto" w:fill="FFFFFF"/>
        </w:rPr>
        <w:t>Every human being has the right to life, liberty and the security of his person</w:t>
      </w:r>
      <w:r w:rsidRPr="006B057B">
        <w:rPr>
          <w:rFonts w:asciiTheme="majorHAnsi" w:hAnsiTheme="majorHAnsi"/>
          <w:sz w:val="16"/>
          <w:szCs w:val="16"/>
        </w:rPr>
        <w:t>.”</w:t>
      </w:r>
    </w:p>
  </w:footnote>
  <w:footnote w:id="72">
    <w:p w14:paraId="28779AC8" w14:textId="77777777" w:rsidR="009703EC" w:rsidRDefault="009703EC" w:rsidP="006B057B">
      <w:pPr>
        <w:pStyle w:val="NormalWeb"/>
        <w:spacing w:before="0" w:beforeAutospacing="0" w:after="0" w:afterAutospacing="0"/>
      </w:pPr>
      <w:r w:rsidRPr="006B057B">
        <w:rPr>
          <w:rFonts w:asciiTheme="majorHAnsi" w:eastAsia="Calibri" w:hAnsiTheme="majorHAnsi" w:cs="Calibri"/>
          <w:sz w:val="16"/>
          <w:szCs w:val="20"/>
          <w:vertAlign w:val="superscript"/>
        </w:rPr>
        <w:footnoteRef/>
      </w:r>
      <w:r w:rsidRPr="006B057B">
        <w:rPr>
          <w:rFonts w:asciiTheme="majorHAnsi" w:hAnsiTheme="majorHAnsi"/>
          <w:sz w:val="16"/>
        </w:rPr>
        <w:t xml:space="preserve"> </w:t>
      </w:r>
      <w:r w:rsidRPr="006B057B">
        <w:rPr>
          <w:rFonts w:asciiTheme="majorHAnsi" w:eastAsia="Calibri" w:hAnsiTheme="majorHAnsi" w:cs="Calibri"/>
          <w:sz w:val="16"/>
          <w:szCs w:val="16"/>
        </w:rPr>
        <w:t xml:space="preserve">I/A Court H.R., </w:t>
      </w:r>
      <w:r w:rsidRPr="006B057B">
        <w:rPr>
          <w:rFonts w:asciiTheme="majorHAnsi" w:eastAsia="Calibri" w:hAnsiTheme="majorHAnsi" w:cs="Calibri"/>
          <w:i/>
          <w:iCs/>
          <w:sz w:val="16"/>
          <w:szCs w:val="16"/>
        </w:rPr>
        <w:t xml:space="preserve">The Right to Information on Consular Assistance in the Framework of the Guarantees of the Due Process of Law. </w:t>
      </w:r>
      <w:r w:rsidRPr="006B057B">
        <w:rPr>
          <w:rFonts w:asciiTheme="majorHAnsi" w:eastAsia="Calibri" w:hAnsiTheme="majorHAnsi" w:cs="Calibri"/>
          <w:sz w:val="16"/>
          <w:szCs w:val="16"/>
        </w:rPr>
        <w:t>Advisory Opinion OC‐16/99 of October 1, 1999. Series A No. 16, para. 136.</w:t>
      </w:r>
      <w:r>
        <w:rPr>
          <w:rFonts w:ascii="Calibri" w:eastAsia="Calibri" w:hAnsi="Calibri" w:cs="Calibri"/>
          <w:sz w:val="16"/>
          <w:szCs w:val="16"/>
        </w:rPr>
        <w:t xml:space="preserve"> </w:t>
      </w:r>
    </w:p>
  </w:footnote>
  <w:footnote w:id="73">
    <w:p w14:paraId="18101E3F" w14:textId="5650B900" w:rsidR="009703EC" w:rsidRPr="00B75C1F" w:rsidRDefault="009703EC" w:rsidP="00595D9A">
      <w:pPr>
        <w:pStyle w:val="FootnoteText"/>
        <w:jc w:val="both"/>
      </w:pPr>
      <w:r w:rsidRPr="00B75C1F">
        <w:rPr>
          <w:rStyle w:val="FootnoteReference"/>
          <w:rFonts w:asciiTheme="majorHAnsi" w:hAnsiTheme="majorHAnsi"/>
          <w:color w:val="auto"/>
          <w:sz w:val="16"/>
          <w:szCs w:val="16"/>
        </w:rPr>
        <w:footnoteRef/>
      </w:r>
      <w:r w:rsidRPr="00B75C1F">
        <w:rPr>
          <w:rStyle w:val="FootnoteReference"/>
          <w:rFonts w:asciiTheme="majorHAnsi" w:hAnsiTheme="majorHAnsi"/>
          <w:color w:val="auto"/>
          <w:sz w:val="16"/>
          <w:szCs w:val="16"/>
        </w:rPr>
        <w:t xml:space="preserve"> </w:t>
      </w:r>
      <w:r w:rsidRPr="00B75C1F">
        <w:rPr>
          <w:rFonts w:asciiTheme="majorHAnsi" w:hAnsiTheme="majorHAnsi"/>
          <w:color w:val="auto"/>
          <w:sz w:val="16"/>
          <w:szCs w:val="16"/>
        </w:rPr>
        <w:t>See in this regard, IACHR, The death penalty in the Inter-American Human Rights System: From restrictions to abolition, OEA/Ser.L/V/II.Doc</w:t>
      </w:r>
      <w:r w:rsidR="0032177A">
        <w:rPr>
          <w:rFonts w:asciiTheme="majorHAnsi" w:hAnsiTheme="majorHAnsi"/>
          <w:color w:val="auto"/>
          <w:sz w:val="16"/>
          <w:szCs w:val="16"/>
        </w:rPr>
        <w:t>.</w:t>
      </w:r>
      <w:r w:rsidRPr="00B75C1F">
        <w:rPr>
          <w:rFonts w:asciiTheme="majorHAnsi" w:hAnsiTheme="majorHAnsi"/>
          <w:color w:val="auto"/>
          <w:sz w:val="16"/>
          <w:szCs w:val="16"/>
        </w:rPr>
        <w:t xml:space="preserve"> 68, December 31, 2011.</w:t>
      </w:r>
    </w:p>
  </w:footnote>
  <w:footnote w:id="74">
    <w:p w14:paraId="3D65106F" w14:textId="77777777" w:rsidR="009703EC" w:rsidRPr="00700471" w:rsidRDefault="009703EC" w:rsidP="00595D9A">
      <w:pPr>
        <w:pStyle w:val="FootnoteText"/>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auto"/>
          <w:sz w:val="16"/>
          <w:szCs w:val="16"/>
        </w:rPr>
      </w:pPr>
      <w:r w:rsidRPr="00B75C1F">
        <w:rPr>
          <w:rStyle w:val="FootnoteReference"/>
          <w:rFonts w:asciiTheme="majorHAnsi" w:hAnsiTheme="majorHAnsi"/>
          <w:color w:val="auto"/>
          <w:sz w:val="16"/>
          <w:szCs w:val="16"/>
        </w:rPr>
        <w:footnoteRef/>
      </w:r>
      <w:r w:rsidRPr="00B75C1F">
        <w:rPr>
          <w:rFonts w:asciiTheme="majorHAnsi" w:hAnsiTheme="majorHAnsi"/>
          <w:color w:val="auto"/>
          <w:sz w:val="16"/>
          <w:szCs w:val="16"/>
        </w:rPr>
        <w:t xml:space="preserve"> See in this regard, IACHR, The death penalty in the Inter-American Human Rights System: From restrictions to abolition, OEA/Ser.L/V/II.Doc 68, December 31, 2011.</w:t>
      </w:r>
    </w:p>
  </w:footnote>
  <w:footnote w:id="75">
    <w:p w14:paraId="3C5F7EA6" w14:textId="457099C3" w:rsidR="009703EC" w:rsidRPr="00B75C1F" w:rsidRDefault="009703EC" w:rsidP="00D10133">
      <w:pPr>
        <w:pStyle w:val="FootnoteText"/>
        <w:jc w:val="both"/>
      </w:pPr>
      <w:r w:rsidRPr="00B75C1F">
        <w:rPr>
          <w:rStyle w:val="FootnoteReference"/>
          <w:rFonts w:asciiTheme="majorHAnsi" w:hAnsiTheme="majorHAnsi"/>
          <w:color w:val="auto"/>
          <w:sz w:val="16"/>
          <w:szCs w:val="16"/>
        </w:rPr>
        <w:footnoteRef/>
      </w:r>
      <w:r w:rsidRPr="00B75C1F">
        <w:rPr>
          <w:rStyle w:val="FootnoteReference"/>
          <w:rFonts w:asciiTheme="majorHAnsi" w:hAnsiTheme="majorHAnsi"/>
          <w:color w:val="auto"/>
          <w:sz w:val="16"/>
          <w:szCs w:val="16"/>
        </w:rPr>
        <w:t xml:space="preserve"> </w:t>
      </w:r>
      <w:r w:rsidRPr="00B75C1F">
        <w:rPr>
          <w:rFonts w:asciiTheme="majorHAnsi" w:hAnsiTheme="majorHAnsi"/>
          <w:color w:val="auto"/>
          <w:sz w:val="16"/>
          <w:szCs w:val="16"/>
        </w:rPr>
        <w:t>See in this regard, IACHR, The death penalty in the Inter-American Human Rights System: From restrictions to abolition, OEA/Ser.L/V/II.Doc 68, December 31, 2011.</w:t>
      </w:r>
    </w:p>
  </w:footnote>
  <w:footnote w:id="76">
    <w:p w14:paraId="0AA05940" w14:textId="77777777" w:rsidR="009703EC" w:rsidRPr="00700471" w:rsidRDefault="009703EC" w:rsidP="00E42D2B">
      <w:pPr>
        <w:pStyle w:val="FootnoteText"/>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auto"/>
          <w:sz w:val="16"/>
          <w:szCs w:val="16"/>
        </w:rPr>
      </w:pPr>
      <w:r w:rsidRPr="00B75C1F">
        <w:rPr>
          <w:rStyle w:val="FootnoteReference"/>
          <w:rFonts w:asciiTheme="majorHAnsi" w:hAnsiTheme="majorHAnsi"/>
          <w:color w:val="auto"/>
          <w:sz w:val="16"/>
          <w:szCs w:val="16"/>
        </w:rPr>
        <w:footnoteRef/>
      </w:r>
      <w:r w:rsidRPr="00B75C1F">
        <w:rPr>
          <w:rFonts w:asciiTheme="majorHAnsi" w:hAnsiTheme="majorHAnsi"/>
          <w:color w:val="auto"/>
          <w:sz w:val="16"/>
          <w:szCs w:val="16"/>
        </w:rPr>
        <w:t xml:space="preserve"> See in this regard, IACHR, The death penalty in the Inter-American Human Rights System: From restrictions to abolition, OEA/Ser.L/V/II.Doc 68, December 31,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CC64" w14:textId="77777777" w:rsidR="009703EC" w:rsidRDefault="009703EC" w:rsidP="00C14701">
    <w:pPr>
      <w:pStyle w:val="Header"/>
      <w:framePr w:wrap="around" w:vAnchor="text" w:hAnchor="margin" w:xAlign="center" w:y="1"/>
      <w:rPr>
        <w:rStyle w:val="PageNumber"/>
        <w:rFonts w:ascii="Times New Roman" w:eastAsia="Arial Unicode MS" w:hAnsi="Times New Roman" w:cs="Times New Roman"/>
        <w:bdr w:val="nil"/>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216DA57" w14:textId="77777777" w:rsidR="009703EC" w:rsidRDefault="00970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FF1DE" w14:textId="77777777" w:rsidR="009703EC" w:rsidRDefault="009703EC" w:rsidP="002C1641">
    <w:pPr>
      <w:pStyle w:val="Header"/>
      <w:tabs>
        <w:tab w:val="clear" w:pos="4320"/>
        <w:tab w:val="clear" w:pos="8640"/>
      </w:tabs>
      <w:jc w:val="center"/>
      <w:rPr>
        <w:sz w:val="22"/>
        <w:szCs w:val="22"/>
      </w:rPr>
    </w:pPr>
    <w:r>
      <w:rPr>
        <w:noProof/>
        <w:sz w:val="22"/>
        <w:szCs w:val="22"/>
      </w:rPr>
      <w:drawing>
        <wp:inline distT="0" distB="0" distL="0" distR="0" wp14:anchorId="2E7AD8A5" wp14:editId="39D60BC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642EBA2C" w14:textId="77777777" w:rsidR="009703EC" w:rsidRPr="00EC7D62" w:rsidRDefault="00F07690" w:rsidP="002C1641">
    <w:pPr>
      <w:pStyle w:val="Header"/>
      <w:tabs>
        <w:tab w:val="clear" w:pos="4320"/>
        <w:tab w:val="clear" w:pos="8640"/>
      </w:tabs>
      <w:jc w:val="center"/>
      <w:rPr>
        <w:sz w:val="22"/>
        <w:szCs w:val="22"/>
      </w:rPr>
    </w:pPr>
    <w:r>
      <w:rPr>
        <w:noProof/>
        <w:sz w:val="22"/>
        <w:szCs w:val="22"/>
        <w:bdr w:val="nil"/>
      </w:rPr>
      <w:pict w14:anchorId="1F767FB0">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0550"/>
    <w:multiLevelType w:val="hybridMultilevel"/>
    <w:tmpl w:val="FEAA50C2"/>
    <w:lvl w:ilvl="0" w:tplc="529A4590">
      <w:start w:val="1"/>
      <w:numFmt w:val="decimal"/>
      <w:lvlText w:val="%1."/>
      <w:lvlJc w:val="left"/>
      <w:pPr>
        <w:ind w:left="1080" w:hanging="360"/>
      </w:pPr>
      <w:rPr>
        <w:rFonts w:hint="default"/>
        <w:sz w:val="20"/>
        <w:szCs w:val="20"/>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Univers"/>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Univer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Univers"/>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Univers"/>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Univers"/>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Univers"/>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Univers"/>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Univers"/>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Univers"/>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Univer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Univer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Univer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Univers"/>
        <w:color w:val="000000"/>
        <w:position w:val="0"/>
        <w:sz w:val="22"/>
        <w:szCs w:val="22"/>
        <w:u w:color="000000"/>
        <w:lang w:val="es-ES_tradnl"/>
      </w:rPr>
    </w:lvl>
  </w:abstractNum>
  <w:abstractNum w:abstractNumId="5" w15:restartNumberingAfterBreak="0">
    <w:nsid w:val="11593EB6"/>
    <w:multiLevelType w:val="hybridMultilevel"/>
    <w:tmpl w:val="25FED2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Univer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Univer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Univer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Univers"/>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Univers"/>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Univer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Univers"/>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Univers"/>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Univers"/>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Univers"/>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Univers"/>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Univers"/>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Univers"/>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Univers"/>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Univer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13" w15:restartNumberingAfterBreak="0">
    <w:nsid w:val="21E86F0F"/>
    <w:multiLevelType w:val="hybridMultilevel"/>
    <w:tmpl w:val="D39828EA"/>
    <w:styleLink w:val="ImportedStyle6"/>
    <w:lvl w:ilvl="0" w:tplc="1F008A38">
      <w:start w:val="1"/>
      <w:numFmt w:val="decimal"/>
      <w:lvlText w:val="%1."/>
      <w:lvlJc w:val="left"/>
      <w:pPr>
        <w:tabs>
          <w:tab w:val="num" w:pos="1500"/>
        </w:tabs>
        <w:ind w:left="780" w:hanging="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FBB4C0FE">
      <w:start w:val="1"/>
      <w:numFmt w:val="lowerLetter"/>
      <w:lvlText w:val="%2."/>
      <w:lvlJc w:val="left"/>
      <w:pPr>
        <w:tabs>
          <w:tab w:val="num" w:pos="1095"/>
          <w:tab w:val="left" w:pos="1500"/>
        </w:tabs>
        <w:ind w:left="37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70D8AD98">
      <w:start w:val="1"/>
      <w:numFmt w:val="lowerRoman"/>
      <w:lvlText w:val="%3."/>
      <w:lvlJc w:val="left"/>
      <w:pPr>
        <w:tabs>
          <w:tab w:val="left" w:pos="1500"/>
          <w:tab w:val="num" w:pos="1755"/>
        </w:tabs>
        <w:ind w:left="103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0A8B96E">
      <w:start w:val="1"/>
      <w:numFmt w:val="upperLetter"/>
      <w:lvlText w:val="%4."/>
      <w:lvlJc w:val="left"/>
      <w:pPr>
        <w:tabs>
          <w:tab w:val="left" w:pos="1500"/>
          <w:tab w:val="num" w:pos="2835"/>
        </w:tabs>
        <w:ind w:left="2115" w:hanging="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4DC85C6C">
      <w:start w:val="1"/>
      <w:numFmt w:val="upperRoman"/>
      <w:lvlText w:val="%5."/>
      <w:lvlJc w:val="left"/>
      <w:pPr>
        <w:tabs>
          <w:tab w:val="left" w:pos="1500"/>
          <w:tab w:val="num" w:pos="3555"/>
        </w:tabs>
        <w:ind w:left="2835" w:hanging="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AE27590">
      <w:start w:val="1"/>
      <w:numFmt w:val="lowerRoman"/>
      <w:lvlText w:val="%6."/>
      <w:lvlJc w:val="left"/>
      <w:pPr>
        <w:tabs>
          <w:tab w:val="left" w:pos="1500"/>
          <w:tab w:val="num" w:pos="3915"/>
        </w:tabs>
        <w:ind w:left="319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8862A242">
      <w:start w:val="1"/>
      <w:numFmt w:val="decimal"/>
      <w:lvlText w:val="%7."/>
      <w:lvlJc w:val="left"/>
      <w:pPr>
        <w:tabs>
          <w:tab w:val="left" w:pos="1500"/>
          <w:tab w:val="num" w:pos="4635"/>
        </w:tabs>
        <w:ind w:left="391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41C683C">
      <w:start w:val="1"/>
      <w:numFmt w:val="lowerLetter"/>
      <w:lvlText w:val="%8."/>
      <w:lvlJc w:val="left"/>
      <w:pPr>
        <w:tabs>
          <w:tab w:val="left" w:pos="1500"/>
          <w:tab w:val="num" w:pos="5355"/>
        </w:tabs>
        <w:ind w:left="463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6B65770">
      <w:start w:val="1"/>
      <w:numFmt w:val="lowerRoman"/>
      <w:lvlText w:val="%9."/>
      <w:lvlJc w:val="left"/>
      <w:pPr>
        <w:tabs>
          <w:tab w:val="left" w:pos="1500"/>
          <w:tab w:val="num" w:pos="6075"/>
        </w:tabs>
        <w:ind w:left="535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Univer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Univer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Univer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Univers"/>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Univer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Univer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Univer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Univers"/>
        <w:color w:val="000000"/>
        <w:position w:val="0"/>
        <w:sz w:val="22"/>
        <w:szCs w:val="22"/>
        <w:u w:color="000000"/>
        <w:lang w:val="es-ES_tradnl"/>
      </w:rPr>
    </w:lvl>
  </w:abstractNum>
  <w:abstractNum w:abstractNumId="28" w15:restartNumberingAfterBreak="0">
    <w:nsid w:val="3A35477D"/>
    <w:multiLevelType w:val="hybridMultilevel"/>
    <w:tmpl w:val="73727A48"/>
    <w:styleLink w:val="ImportedStyle5"/>
    <w:lvl w:ilvl="0" w:tplc="8B888242">
      <w:start w:val="1"/>
      <w:numFmt w:val="decimal"/>
      <w:lvlText w:val="%1."/>
      <w:lvlJc w:val="left"/>
      <w:pPr>
        <w:tabs>
          <w:tab w:val="num" w:pos="1500"/>
        </w:tabs>
        <w:ind w:left="780" w:hanging="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B7361202">
      <w:start w:val="1"/>
      <w:numFmt w:val="lowerLetter"/>
      <w:lvlText w:val="%2."/>
      <w:lvlJc w:val="left"/>
      <w:pPr>
        <w:tabs>
          <w:tab w:val="num" w:pos="1095"/>
          <w:tab w:val="left" w:pos="1500"/>
        </w:tabs>
        <w:ind w:left="37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5486038E">
      <w:start w:val="1"/>
      <w:numFmt w:val="lowerRoman"/>
      <w:lvlText w:val="%3."/>
      <w:lvlJc w:val="left"/>
      <w:pPr>
        <w:tabs>
          <w:tab w:val="left" w:pos="1500"/>
          <w:tab w:val="num" w:pos="1755"/>
        </w:tabs>
        <w:ind w:left="103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D5407FD4">
      <w:start w:val="1"/>
      <w:numFmt w:val="upperLetter"/>
      <w:lvlText w:val="%4."/>
      <w:lvlJc w:val="left"/>
      <w:pPr>
        <w:tabs>
          <w:tab w:val="left" w:pos="1500"/>
          <w:tab w:val="num" w:pos="2835"/>
        </w:tabs>
        <w:ind w:left="2115" w:hanging="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59EE6B6A">
      <w:start w:val="1"/>
      <w:numFmt w:val="upperRoman"/>
      <w:lvlText w:val="%5."/>
      <w:lvlJc w:val="left"/>
      <w:pPr>
        <w:tabs>
          <w:tab w:val="left" w:pos="1500"/>
          <w:tab w:val="num" w:pos="3555"/>
        </w:tabs>
        <w:ind w:left="2835" w:hanging="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523AF742">
      <w:start w:val="1"/>
      <w:numFmt w:val="lowerRoman"/>
      <w:lvlText w:val="%6."/>
      <w:lvlJc w:val="left"/>
      <w:pPr>
        <w:tabs>
          <w:tab w:val="left" w:pos="1500"/>
          <w:tab w:val="num" w:pos="3915"/>
        </w:tabs>
        <w:ind w:left="319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1F3A4A12">
      <w:start w:val="1"/>
      <w:numFmt w:val="decimal"/>
      <w:lvlText w:val="%7."/>
      <w:lvlJc w:val="left"/>
      <w:pPr>
        <w:tabs>
          <w:tab w:val="left" w:pos="1500"/>
          <w:tab w:val="num" w:pos="4635"/>
        </w:tabs>
        <w:ind w:left="391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155CD5B0">
      <w:start w:val="1"/>
      <w:numFmt w:val="lowerLetter"/>
      <w:lvlText w:val="%8."/>
      <w:lvlJc w:val="left"/>
      <w:pPr>
        <w:tabs>
          <w:tab w:val="left" w:pos="1500"/>
          <w:tab w:val="num" w:pos="5355"/>
        </w:tabs>
        <w:ind w:left="463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841E64">
      <w:start w:val="1"/>
      <w:numFmt w:val="lowerRoman"/>
      <w:lvlText w:val="%9."/>
      <w:lvlJc w:val="left"/>
      <w:pPr>
        <w:tabs>
          <w:tab w:val="left" w:pos="1500"/>
          <w:tab w:val="num" w:pos="6075"/>
        </w:tabs>
        <w:ind w:left="535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Univer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color="000000"/>
        <w:lang w:val="es-ES_tradnl"/>
      </w:rPr>
    </w:lvl>
  </w:abstractNum>
  <w:abstractNum w:abstractNumId="30" w15:restartNumberingAfterBreak="0">
    <w:nsid w:val="3BF44CE9"/>
    <w:multiLevelType w:val="hybridMultilevel"/>
    <w:tmpl w:val="980C8DE6"/>
    <w:lvl w:ilvl="0" w:tplc="32D80CBE">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Univer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Univers"/>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Univers"/>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Univers"/>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Univers"/>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Univers"/>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Univers"/>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Univers"/>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Univers"/>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Univer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Univer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Univer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color="000000"/>
        <w:lang w:val="es-ES_tradnl"/>
      </w:rPr>
    </w:lvl>
  </w:abstractNum>
  <w:abstractNum w:abstractNumId="43" w15:restartNumberingAfterBreak="0">
    <w:nsid w:val="54063FFC"/>
    <w:multiLevelType w:val="hybridMultilevel"/>
    <w:tmpl w:val="BB6A699E"/>
    <w:styleLink w:val="ImportedStyle4"/>
    <w:lvl w:ilvl="0" w:tplc="4D38D32A">
      <w:start w:val="1"/>
      <w:numFmt w:val="decimal"/>
      <w:lvlText w:val="%1."/>
      <w:lvlJc w:val="left"/>
      <w:pPr>
        <w:tabs>
          <w:tab w:val="num" w:pos="1440"/>
        </w:tabs>
        <w:ind w:left="705" w:firstLine="3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B45499D0">
      <w:start w:val="1"/>
      <w:numFmt w:val="lowerLetter"/>
      <w:lvlText w:val="%2."/>
      <w:lvlJc w:val="left"/>
      <w:pPr>
        <w:tabs>
          <w:tab w:val="num" w:pos="1095"/>
        </w:tabs>
        <w:ind w:left="360" w:firstLine="37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6EAA06A2">
      <w:start w:val="1"/>
      <w:numFmt w:val="lowerRoman"/>
      <w:lvlText w:val="%3."/>
      <w:lvlJc w:val="left"/>
      <w:pPr>
        <w:tabs>
          <w:tab w:val="num" w:pos="1770"/>
        </w:tabs>
        <w:ind w:left="1035" w:firstLine="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B64ABDBE">
      <w:start w:val="1"/>
      <w:numFmt w:val="upperLetter"/>
      <w:lvlText w:val="%4."/>
      <w:lvlJc w:val="left"/>
      <w:pPr>
        <w:tabs>
          <w:tab w:val="num" w:pos="2850"/>
        </w:tabs>
        <w:ind w:left="2115" w:firstLine="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AB2059AA">
      <w:start w:val="1"/>
      <w:numFmt w:val="upperRoman"/>
      <w:lvlText w:val="%5."/>
      <w:lvlJc w:val="left"/>
      <w:pPr>
        <w:tabs>
          <w:tab w:val="num" w:pos="3570"/>
        </w:tabs>
        <w:ind w:left="2835" w:firstLine="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29E490CC">
      <w:start w:val="1"/>
      <w:numFmt w:val="lowerRoman"/>
      <w:lvlText w:val="%6."/>
      <w:lvlJc w:val="left"/>
      <w:pPr>
        <w:tabs>
          <w:tab w:val="num" w:pos="3930"/>
        </w:tabs>
        <w:ind w:left="3195" w:firstLine="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5286372">
      <w:start w:val="1"/>
      <w:numFmt w:val="decimal"/>
      <w:lvlText w:val="%7."/>
      <w:lvlJc w:val="left"/>
      <w:pPr>
        <w:tabs>
          <w:tab w:val="num" w:pos="4650"/>
        </w:tabs>
        <w:ind w:left="3915" w:firstLine="37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8CA4DA4">
      <w:start w:val="1"/>
      <w:numFmt w:val="lowerLetter"/>
      <w:lvlText w:val="%8."/>
      <w:lvlJc w:val="left"/>
      <w:pPr>
        <w:tabs>
          <w:tab w:val="num" w:pos="5370"/>
        </w:tabs>
        <w:ind w:left="4635" w:firstLine="37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440353E">
      <w:start w:val="1"/>
      <w:numFmt w:val="lowerRoman"/>
      <w:lvlText w:val="%9."/>
      <w:lvlJc w:val="left"/>
      <w:pPr>
        <w:tabs>
          <w:tab w:val="num" w:pos="6090"/>
        </w:tabs>
        <w:ind w:left="5355" w:firstLine="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Univer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color="000000"/>
        <w:lang w:val="es-ES_tradnl"/>
      </w:rPr>
    </w:lvl>
  </w:abstractNum>
  <w:abstractNum w:abstractNumId="45" w15:restartNumberingAfterBreak="0">
    <w:nsid w:val="5A681F10"/>
    <w:multiLevelType w:val="hybridMultilevel"/>
    <w:tmpl w:val="5EFA0472"/>
    <w:lvl w:ilvl="0" w:tplc="B05EB1BE">
      <w:start w:val="1"/>
      <w:numFmt w:val="decimal"/>
      <w:lvlText w:val="%1."/>
      <w:lvlJc w:val="left"/>
      <w:pPr>
        <w:ind w:left="1080" w:hanging="360"/>
      </w:pPr>
      <w:rPr>
        <w:rFonts w:hint="default"/>
        <w:b w:val="0"/>
        <w:bCs w:val="0"/>
        <w:i w:val="0"/>
        <w:color w:val="auto"/>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Univer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Univer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color="000000"/>
        <w:lang w:val="es-ES_tradnl"/>
      </w:rPr>
    </w:lvl>
  </w:abstractNum>
  <w:abstractNum w:abstractNumId="48" w15:restartNumberingAfterBreak="0">
    <w:nsid w:val="5C5E459A"/>
    <w:multiLevelType w:val="hybridMultilevel"/>
    <w:tmpl w:val="DFA2DF36"/>
    <w:styleLink w:val="ImportedStyle8"/>
    <w:lvl w:ilvl="0" w:tplc="AD90ED56">
      <w:start w:val="1"/>
      <w:numFmt w:val="decimal"/>
      <w:lvlText w:val="%1."/>
      <w:lvlJc w:val="left"/>
      <w:pPr>
        <w:ind w:left="1500" w:hanging="7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9014B632">
      <w:start w:val="1"/>
      <w:numFmt w:val="lowerLetter"/>
      <w:lvlText w:val="%2."/>
      <w:lvlJc w:val="left"/>
      <w:pPr>
        <w:tabs>
          <w:tab w:val="left" w:pos="1500"/>
        </w:tabs>
        <w:ind w:left="181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A58011E">
      <w:start w:val="1"/>
      <w:numFmt w:val="lowerRoman"/>
      <w:lvlText w:val="%3."/>
      <w:lvlJc w:val="left"/>
      <w:pPr>
        <w:tabs>
          <w:tab w:val="left" w:pos="1500"/>
        </w:tabs>
        <w:ind w:left="2535"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2DE2ADB6">
      <w:start w:val="1"/>
      <w:numFmt w:val="upperLetter"/>
      <w:lvlText w:val="%4."/>
      <w:lvlJc w:val="left"/>
      <w:pPr>
        <w:tabs>
          <w:tab w:val="left" w:pos="1500"/>
        </w:tabs>
        <w:ind w:left="3615"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C52CB328">
      <w:start w:val="1"/>
      <w:numFmt w:val="upperRoman"/>
      <w:lvlText w:val="%5."/>
      <w:lvlJc w:val="left"/>
      <w:pPr>
        <w:tabs>
          <w:tab w:val="left" w:pos="1500"/>
        </w:tabs>
        <w:ind w:left="4335"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9E88C54">
      <w:start w:val="1"/>
      <w:numFmt w:val="lowerRoman"/>
      <w:lvlText w:val="%6."/>
      <w:lvlJc w:val="left"/>
      <w:pPr>
        <w:tabs>
          <w:tab w:val="left" w:pos="1500"/>
        </w:tabs>
        <w:ind w:left="4695"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9405738">
      <w:start w:val="1"/>
      <w:numFmt w:val="decimal"/>
      <w:lvlText w:val="%7."/>
      <w:lvlJc w:val="left"/>
      <w:pPr>
        <w:tabs>
          <w:tab w:val="left" w:pos="1500"/>
        </w:tabs>
        <w:ind w:left="541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070B0D0">
      <w:start w:val="1"/>
      <w:numFmt w:val="lowerLetter"/>
      <w:lvlText w:val="%8."/>
      <w:lvlJc w:val="left"/>
      <w:pPr>
        <w:tabs>
          <w:tab w:val="left" w:pos="1500"/>
        </w:tabs>
        <w:ind w:left="613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AA88B4D8">
      <w:start w:val="1"/>
      <w:numFmt w:val="lowerRoman"/>
      <w:lvlText w:val="%9."/>
      <w:lvlJc w:val="left"/>
      <w:pPr>
        <w:tabs>
          <w:tab w:val="left" w:pos="1500"/>
        </w:tabs>
        <w:ind w:left="6855"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49" w15:restartNumberingAfterBreak="0">
    <w:nsid w:val="5D7D4B9D"/>
    <w:multiLevelType w:val="hybridMultilevel"/>
    <w:tmpl w:val="94DC54F4"/>
    <w:lvl w:ilvl="0" w:tplc="F704ED20">
      <w:start w:val="1"/>
      <w:numFmt w:val="decimal"/>
      <w:lvlText w:val="%1."/>
      <w:lvlJc w:val="left"/>
      <w:pPr>
        <w:ind w:left="720" w:hanging="360"/>
      </w:pPr>
      <w:rPr>
        <w:rFonts w:ascii="Cambria" w:hAnsi="Cambria"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Univer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color="000000"/>
        <w:lang w:val="es-ES_tradnl"/>
      </w:rPr>
    </w:lvl>
  </w:abstractNum>
  <w:abstractNum w:abstractNumId="52" w15:restartNumberingAfterBreak="0">
    <w:nsid w:val="67CC5AD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Univers"/>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Univer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Univers"/>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Univers"/>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Univers"/>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Univers"/>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Univers"/>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Univers"/>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Univers"/>
        <w:b/>
        <w:bCs/>
        <w:color w:val="000000"/>
        <w:position w:val="0"/>
        <w:sz w:val="22"/>
        <w:szCs w:val="22"/>
        <w:u w:val="single" w:color="000000"/>
        <w:lang w:val="es-ES_tradnl"/>
      </w:rPr>
    </w:lvl>
  </w:abstractNum>
  <w:abstractNum w:abstractNumId="54" w15:restartNumberingAfterBreak="0">
    <w:nsid w:val="6A614924"/>
    <w:multiLevelType w:val="hybridMultilevel"/>
    <w:tmpl w:val="88580C54"/>
    <w:lvl w:ilvl="0" w:tplc="3F08A460">
      <w:start w:val="1"/>
      <w:numFmt w:val="upperLetter"/>
      <w:lvlText w:val="%1."/>
      <w:lvlJc w:val="left"/>
      <w:pPr>
        <w:ind w:left="720" w:hanging="360"/>
      </w:pPr>
      <w:rPr>
        <w:rFonts w:eastAsia="Arial Unicode MS"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56" w15:restartNumberingAfterBreak="0">
    <w:nsid w:val="70786ED7"/>
    <w:multiLevelType w:val="hybridMultilevel"/>
    <w:tmpl w:val="EF08A930"/>
    <w:lvl w:ilvl="0" w:tplc="69020C3E">
      <w:start w:val="1"/>
      <w:numFmt w:val="upperRoman"/>
      <w:pStyle w:val="Heading1"/>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Univer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Univers"/>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Univers"/>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Univers"/>
        <w:b/>
        <w:bCs/>
        <w:color w:val="000000"/>
        <w:position w:val="0"/>
        <w:sz w:val="22"/>
        <w:szCs w:val="22"/>
        <w:u w:color="000000"/>
        <w:lang w:val="es-ES_tradnl"/>
      </w:rPr>
    </w:lvl>
  </w:abstractNum>
  <w:abstractNum w:abstractNumId="60" w15:restartNumberingAfterBreak="0">
    <w:nsid w:val="7994649A"/>
    <w:multiLevelType w:val="hybridMultilevel"/>
    <w:tmpl w:val="0EECEAD0"/>
    <w:lvl w:ilvl="0" w:tplc="C6FEA96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62" w15:restartNumberingAfterBreak="0">
    <w:nsid w:val="7C051419"/>
    <w:multiLevelType w:val="hybridMultilevel"/>
    <w:tmpl w:val="66148FEE"/>
    <w:styleLink w:val="ImportedStyle3"/>
    <w:lvl w:ilvl="0" w:tplc="15D02884">
      <w:start w:val="1"/>
      <w:numFmt w:val="decimal"/>
      <w:lvlText w:val="%1."/>
      <w:lvlJc w:val="left"/>
      <w:pPr>
        <w:tabs>
          <w:tab w:val="num" w:pos="1260"/>
          <w:tab w:val="left" w:pos="1440"/>
          <w:tab w:val="left" w:pos="2040"/>
        </w:tabs>
        <w:ind w:left="54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B1DCCBF6">
      <w:start w:val="1"/>
      <w:numFmt w:val="lowerLetter"/>
      <w:lvlText w:val="%2."/>
      <w:lvlJc w:val="left"/>
      <w:pPr>
        <w:tabs>
          <w:tab w:val="num" w:pos="1260"/>
          <w:tab w:val="left" w:pos="1440"/>
          <w:tab w:val="left" w:pos="2040"/>
        </w:tabs>
        <w:ind w:left="54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9A4F8BC">
      <w:start w:val="1"/>
      <w:numFmt w:val="lowerRoman"/>
      <w:lvlText w:val="%3."/>
      <w:lvlJc w:val="left"/>
      <w:pPr>
        <w:tabs>
          <w:tab w:val="left" w:pos="1260"/>
          <w:tab w:val="num" w:pos="1620"/>
          <w:tab w:val="left" w:pos="2040"/>
        </w:tabs>
        <w:ind w:left="900" w:firstLine="3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A443A76">
      <w:start w:val="1"/>
      <w:numFmt w:val="decimal"/>
      <w:lvlText w:val="%4."/>
      <w:lvlJc w:val="left"/>
      <w:pPr>
        <w:tabs>
          <w:tab w:val="left" w:pos="1260"/>
          <w:tab w:val="left" w:pos="1440"/>
          <w:tab w:val="num" w:pos="2340"/>
        </w:tabs>
        <w:ind w:left="162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2D267004">
      <w:start w:val="1"/>
      <w:numFmt w:val="lowerLetter"/>
      <w:lvlText w:val="%5."/>
      <w:lvlJc w:val="left"/>
      <w:pPr>
        <w:tabs>
          <w:tab w:val="left" w:pos="1260"/>
          <w:tab w:val="left" w:pos="1440"/>
          <w:tab w:val="left" w:pos="2040"/>
          <w:tab w:val="num" w:pos="3060"/>
        </w:tabs>
        <w:ind w:left="234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EAFEA3FC">
      <w:start w:val="1"/>
      <w:numFmt w:val="lowerRoman"/>
      <w:lvlText w:val="%6."/>
      <w:lvlJc w:val="left"/>
      <w:pPr>
        <w:tabs>
          <w:tab w:val="left" w:pos="1260"/>
          <w:tab w:val="left" w:pos="1440"/>
          <w:tab w:val="left" w:pos="2040"/>
          <w:tab w:val="num" w:pos="3780"/>
        </w:tabs>
        <w:ind w:left="3060" w:firstLine="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8062C94E">
      <w:start w:val="1"/>
      <w:numFmt w:val="decimal"/>
      <w:lvlText w:val="%7."/>
      <w:lvlJc w:val="left"/>
      <w:pPr>
        <w:tabs>
          <w:tab w:val="left" w:pos="1260"/>
          <w:tab w:val="left" w:pos="1440"/>
          <w:tab w:val="left" w:pos="2040"/>
          <w:tab w:val="num" w:pos="4500"/>
        </w:tabs>
        <w:ind w:left="378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2DB87126">
      <w:start w:val="1"/>
      <w:numFmt w:val="lowerLetter"/>
      <w:lvlText w:val="%8."/>
      <w:lvlJc w:val="left"/>
      <w:pPr>
        <w:tabs>
          <w:tab w:val="left" w:pos="1260"/>
          <w:tab w:val="left" w:pos="1440"/>
          <w:tab w:val="left" w:pos="2040"/>
          <w:tab w:val="num" w:pos="5220"/>
        </w:tabs>
        <w:ind w:left="450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3CAD92A">
      <w:start w:val="1"/>
      <w:numFmt w:val="lowerRoman"/>
      <w:lvlText w:val="%9."/>
      <w:lvlJc w:val="left"/>
      <w:pPr>
        <w:tabs>
          <w:tab w:val="left" w:pos="1260"/>
          <w:tab w:val="left" w:pos="1440"/>
          <w:tab w:val="left" w:pos="2040"/>
          <w:tab w:val="num" w:pos="5940"/>
        </w:tabs>
        <w:ind w:left="5220" w:firstLine="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Univer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val="single" w:color="000000"/>
        <w:lang w:val="es-ES_tradnl"/>
      </w:rPr>
    </w:lvl>
  </w:abstractNum>
  <w:num w:numId="1" w16cid:durableId="2120223689">
    <w:abstractNumId w:val="4"/>
  </w:num>
  <w:num w:numId="2" w16cid:durableId="1340618127">
    <w:abstractNumId w:val="6"/>
  </w:num>
  <w:num w:numId="3" w16cid:durableId="364326672">
    <w:abstractNumId w:val="59"/>
  </w:num>
  <w:num w:numId="4" w16cid:durableId="1543009991">
    <w:abstractNumId w:val="22"/>
  </w:num>
  <w:num w:numId="5" w16cid:durableId="75786048">
    <w:abstractNumId w:val="51"/>
  </w:num>
  <w:num w:numId="6" w16cid:durableId="534856303">
    <w:abstractNumId w:val="27"/>
  </w:num>
  <w:num w:numId="7" w16cid:durableId="95487613">
    <w:abstractNumId w:val="7"/>
  </w:num>
  <w:num w:numId="8" w16cid:durableId="1611811754">
    <w:abstractNumId w:val="18"/>
  </w:num>
  <w:num w:numId="9" w16cid:durableId="130556549">
    <w:abstractNumId w:val="44"/>
  </w:num>
  <w:num w:numId="10" w16cid:durableId="477066875">
    <w:abstractNumId w:val="1"/>
  </w:num>
  <w:num w:numId="11" w16cid:durableId="202449135">
    <w:abstractNumId w:val="38"/>
  </w:num>
  <w:num w:numId="12" w16cid:durableId="1430926653">
    <w:abstractNumId w:val="39"/>
  </w:num>
  <w:num w:numId="13" w16cid:durableId="1359428608">
    <w:abstractNumId w:val="46"/>
  </w:num>
  <w:num w:numId="14" w16cid:durableId="94903965">
    <w:abstractNumId w:val="2"/>
  </w:num>
  <w:num w:numId="15" w16cid:durableId="1744176840">
    <w:abstractNumId w:val="3"/>
  </w:num>
  <w:num w:numId="16" w16cid:durableId="875237948">
    <w:abstractNumId w:val="8"/>
  </w:num>
  <w:num w:numId="17" w16cid:durableId="2095198185">
    <w:abstractNumId w:val="9"/>
  </w:num>
  <w:num w:numId="18" w16cid:durableId="679938561">
    <w:abstractNumId w:val="10"/>
  </w:num>
  <w:num w:numId="19" w16cid:durableId="86776115">
    <w:abstractNumId w:val="11"/>
  </w:num>
  <w:num w:numId="20" w16cid:durableId="564486188">
    <w:abstractNumId w:val="12"/>
  </w:num>
  <w:num w:numId="21" w16cid:durableId="2023778062">
    <w:abstractNumId w:val="14"/>
  </w:num>
  <w:num w:numId="22" w16cid:durableId="1555002242">
    <w:abstractNumId w:val="15"/>
  </w:num>
  <w:num w:numId="23" w16cid:durableId="1878463989">
    <w:abstractNumId w:val="16"/>
  </w:num>
  <w:num w:numId="24" w16cid:durableId="739669468">
    <w:abstractNumId w:val="17"/>
  </w:num>
  <w:num w:numId="25" w16cid:durableId="1437097955">
    <w:abstractNumId w:val="19"/>
  </w:num>
  <w:num w:numId="26" w16cid:durableId="1961567086">
    <w:abstractNumId w:val="20"/>
  </w:num>
  <w:num w:numId="27" w16cid:durableId="1351953444">
    <w:abstractNumId w:val="23"/>
  </w:num>
  <w:num w:numId="28" w16cid:durableId="579607031">
    <w:abstractNumId w:val="24"/>
  </w:num>
  <w:num w:numId="29" w16cid:durableId="1686401139">
    <w:abstractNumId w:val="25"/>
  </w:num>
  <w:num w:numId="30" w16cid:durableId="550308679">
    <w:abstractNumId w:val="26"/>
  </w:num>
  <w:num w:numId="31" w16cid:durableId="1283920346">
    <w:abstractNumId w:val="29"/>
  </w:num>
  <w:num w:numId="32" w16cid:durableId="1817068513">
    <w:abstractNumId w:val="31"/>
  </w:num>
  <w:num w:numId="33" w16cid:durableId="695037963">
    <w:abstractNumId w:val="32"/>
  </w:num>
  <w:num w:numId="34" w16cid:durableId="416558920">
    <w:abstractNumId w:val="33"/>
  </w:num>
  <w:num w:numId="35" w16cid:durableId="1471552315">
    <w:abstractNumId w:val="34"/>
  </w:num>
  <w:num w:numId="36" w16cid:durableId="28267071">
    <w:abstractNumId w:val="35"/>
  </w:num>
  <w:num w:numId="37" w16cid:durableId="1405223487">
    <w:abstractNumId w:val="36"/>
  </w:num>
  <w:num w:numId="38" w16cid:durableId="1150946867">
    <w:abstractNumId w:val="37"/>
  </w:num>
  <w:num w:numId="39" w16cid:durableId="1252352664">
    <w:abstractNumId w:val="40"/>
  </w:num>
  <w:num w:numId="40" w16cid:durableId="219632723">
    <w:abstractNumId w:val="41"/>
  </w:num>
  <w:num w:numId="41" w16cid:durableId="1458524410">
    <w:abstractNumId w:val="50"/>
  </w:num>
  <w:num w:numId="42" w16cid:durableId="1312755293">
    <w:abstractNumId w:val="53"/>
  </w:num>
  <w:num w:numId="43" w16cid:durableId="968516965">
    <w:abstractNumId w:val="55"/>
  </w:num>
  <w:num w:numId="44" w16cid:durableId="694843259">
    <w:abstractNumId w:val="57"/>
  </w:num>
  <w:num w:numId="45" w16cid:durableId="1743869753">
    <w:abstractNumId w:val="58"/>
  </w:num>
  <w:num w:numId="46" w16cid:durableId="1264805426">
    <w:abstractNumId w:val="61"/>
  </w:num>
  <w:num w:numId="47" w16cid:durableId="905990407">
    <w:abstractNumId w:val="63"/>
  </w:num>
  <w:num w:numId="48" w16cid:durableId="726103388">
    <w:abstractNumId w:val="64"/>
  </w:num>
  <w:num w:numId="49" w16cid:durableId="1034772913">
    <w:abstractNumId w:val="65"/>
  </w:num>
  <w:num w:numId="50" w16cid:durableId="1829638895">
    <w:abstractNumId w:val="66"/>
  </w:num>
  <w:num w:numId="51" w16cid:durableId="48695906">
    <w:abstractNumId w:val="21"/>
  </w:num>
  <w:num w:numId="52" w16cid:durableId="1420325384">
    <w:abstractNumId w:val="42"/>
  </w:num>
  <w:num w:numId="53" w16cid:durableId="1969387043">
    <w:abstractNumId w:val="56"/>
  </w:num>
  <w:num w:numId="54" w16cid:durableId="1986543884">
    <w:abstractNumId w:val="47"/>
  </w:num>
  <w:num w:numId="55" w16cid:durableId="1482649374">
    <w:abstractNumId w:val="49"/>
  </w:num>
  <w:num w:numId="56" w16cid:durableId="189343399">
    <w:abstractNumId w:val="45"/>
  </w:num>
  <w:num w:numId="57" w16cid:durableId="1880126334">
    <w:abstractNumId w:val="52"/>
  </w:num>
  <w:num w:numId="58" w16cid:durableId="236986018">
    <w:abstractNumId w:val="62"/>
  </w:num>
  <w:num w:numId="59" w16cid:durableId="38864898">
    <w:abstractNumId w:val="43"/>
  </w:num>
  <w:num w:numId="60" w16cid:durableId="173571222">
    <w:abstractNumId w:val="28"/>
  </w:num>
  <w:num w:numId="61" w16cid:durableId="919413639">
    <w:abstractNumId w:val="13"/>
  </w:num>
  <w:num w:numId="62" w16cid:durableId="362557654">
    <w:abstractNumId w:val="48"/>
  </w:num>
  <w:num w:numId="63" w16cid:durableId="1360467645">
    <w:abstractNumId w:val="60"/>
  </w:num>
  <w:num w:numId="64" w16cid:durableId="809714590">
    <w:abstractNumId w:val="5"/>
  </w:num>
  <w:num w:numId="65" w16cid:durableId="482043150">
    <w:abstractNumId w:val="30"/>
  </w:num>
  <w:num w:numId="66" w16cid:durableId="761949549">
    <w:abstractNumId w:val="54"/>
  </w:num>
  <w:num w:numId="67" w16cid:durableId="1138063777">
    <w:abstractNumId w:val="0"/>
  </w:num>
  <w:num w:numId="68" w16cid:durableId="2051801267">
    <w:abstractNumId w:val="5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707"/>
    <w:rsid w:val="00000CDA"/>
    <w:rsid w:val="00001132"/>
    <w:rsid w:val="00001B5B"/>
    <w:rsid w:val="00002328"/>
    <w:rsid w:val="000027CC"/>
    <w:rsid w:val="000038CF"/>
    <w:rsid w:val="000043BF"/>
    <w:rsid w:val="00004774"/>
    <w:rsid w:val="000050CC"/>
    <w:rsid w:val="00006DD7"/>
    <w:rsid w:val="00006E50"/>
    <w:rsid w:val="00006EDD"/>
    <w:rsid w:val="000070D7"/>
    <w:rsid w:val="00007690"/>
    <w:rsid w:val="00007B4D"/>
    <w:rsid w:val="00007C5F"/>
    <w:rsid w:val="00007D97"/>
    <w:rsid w:val="00010877"/>
    <w:rsid w:val="00010A7E"/>
    <w:rsid w:val="00010E1E"/>
    <w:rsid w:val="00011094"/>
    <w:rsid w:val="000111A8"/>
    <w:rsid w:val="00011553"/>
    <w:rsid w:val="00011E4C"/>
    <w:rsid w:val="00011EB8"/>
    <w:rsid w:val="00012470"/>
    <w:rsid w:val="00012683"/>
    <w:rsid w:val="00012ADD"/>
    <w:rsid w:val="00012E4F"/>
    <w:rsid w:val="00013850"/>
    <w:rsid w:val="00013F78"/>
    <w:rsid w:val="000157B5"/>
    <w:rsid w:val="00015F42"/>
    <w:rsid w:val="000160EE"/>
    <w:rsid w:val="00016852"/>
    <w:rsid w:val="00017552"/>
    <w:rsid w:val="0001788C"/>
    <w:rsid w:val="00021201"/>
    <w:rsid w:val="00022424"/>
    <w:rsid w:val="00023402"/>
    <w:rsid w:val="0002357A"/>
    <w:rsid w:val="00024730"/>
    <w:rsid w:val="00024BB7"/>
    <w:rsid w:val="00025D23"/>
    <w:rsid w:val="000265CB"/>
    <w:rsid w:val="0002681D"/>
    <w:rsid w:val="00026A6C"/>
    <w:rsid w:val="00027222"/>
    <w:rsid w:val="0003022F"/>
    <w:rsid w:val="00030834"/>
    <w:rsid w:val="000308C1"/>
    <w:rsid w:val="00031A82"/>
    <w:rsid w:val="000328C5"/>
    <w:rsid w:val="00032BDA"/>
    <w:rsid w:val="0003324D"/>
    <w:rsid w:val="000332F4"/>
    <w:rsid w:val="00033498"/>
    <w:rsid w:val="000351D4"/>
    <w:rsid w:val="00036A8A"/>
    <w:rsid w:val="00037388"/>
    <w:rsid w:val="00037CC9"/>
    <w:rsid w:val="00040C3A"/>
    <w:rsid w:val="000418DE"/>
    <w:rsid w:val="00042565"/>
    <w:rsid w:val="000427EE"/>
    <w:rsid w:val="00043556"/>
    <w:rsid w:val="0004390C"/>
    <w:rsid w:val="00044DA8"/>
    <w:rsid w:val="00045151"/>
    <w:rsid w:val="00045601"/>
    <w:rsid w:val="000459E0"/>
    <w:rsid w:val="0004681B"/>
    <w:rsid w:val="0004761C"/>
    <w:rsid w:val="00047F35"/>
    <w:rsid w:val="000516F4"/>
    <w:rsid w:val="000517B2"/>
    <w:rsid w:val="00051D5E"/>
    <w:rsid w:val="00051EB4"/>
    <w:rsid w:val="000520FB"/>
    <w:rsid w:val="00053172"/>
    <w:rsid w:val="00054E1B"/>
    <w:rsid w:val="000550C0"/>
    <w:rsid w:val="000564E1"/>
    <w:rsid w:val="000572DC"/>
    <w:rsid w:val="000576AA"/>
    <w:rsid w:val="00057D4F"/>
    <w:rsid w:val="00057EDB"/>
    <w:rsid w:val="00060666"/>
    <w:rsid w:val="0006097A"/>
    <w:rsid w:val="0006097F"/>
    <w:rsid w:val="00062C0F"/>
    <w:rsid w:val="00062C28"/>
    <w:rsid w:val="00062FEC"/>
    <w:rsid w:val="000630E1"/>
    <w:rsid w:val="000639C0"/>
    <w:rsid w:val="00064BE5"/>
    <w:rsid w:val="00064D49"/>
    <w:rsid w:val="000657E1"/>
    <w:rsid w:val="000679BC"/>
    <w:rsid w:val="0007019C"/>
    <w:rsid w:val="00070B00"/>
    <w:rsid w:val="00070F3A"/>
    <w:rsid w:val="0007127E"/>
    <w:rsid w:val="000716C5"/>
    <w:rsid w:val="00071A9D"/>
    <w:rsid w:val="00071E45"/>
    <w:rsid w:val="00073088"/>
    <w:rsid w:val="00074669"/>
    <w:rsid w:val="00075766"/>
    <w:rsid w:val="00075E23"/>
    <w:rsid w:val="000764E3"/>
    <w:rsid w:val="00076D82"/>
    <w:rsid w:val="0007744E"/>
    <w:rsid w:val="00077A87"/>
    <w:rsid w:val="00080249"/>
    <w:rsid w:val="00080357"/>
    <w:rsid w:val="00081EC3"/>
    <w:rsid w:val="000823DA"/>
    <w:rsid w:val="00082CBB"/>
    <w:rsid w:val="00082CF2"/>
    <w:rsid w:val="00082F7D"/>
    <w:rsid w:val="000830D5"/>
    <w:rsid w:val="0008319E"/>
    <w:rsid w:val="00083E19"/>
    <w:rsid w:val="00083E3C"/>
    <w:rsid w:val="00084032"/>
    <w:rsid w:val="00084A11"/>
    <w:rsid w:val="00084C5B"/>
    <w:rsid w:val="00084FE7"/>
    <w:rsid w:val="00085F60"/>
    <w:rsid w:val="00085F65"/>
    <w:rsid w:val="00086BFA"/>
    <w:rsid w:val="0008733D"/>
    <w:rsid w:val="00090720"/>
    <w:rsid w:val="00091707"/>
    <w:rsid w:val="000919DF"/>
    <w:rsid w:val="000922C5"/>
    <w:rsid w:val="000924E3"/>
    <w:rsid w:val="00092817"/>
    <w:rsid w:val="000929D9"/>
    <w:rsid w:val="00092F32"/>
    <w:rsid w:val="00093055"/>
    <w:rsid w:val="0009344A"/>
    <w:rsid w:val="0009454E"/>
    <w:rsid w:val="00094AFA"/>
    <w:rsid w:val="00095575"/>
    <w:rsid w:val="0009575D"/>
    <w:rsid w:val="0009719E"/>
    <w:rsid w:val="000973C5"/>
    <w:rsid w:val="00097966"/>
    <w:rsid w:val="00097DA5"/>
    <w:rsid w:val="000A0445"/>
    <w:rsid w:val="000A056E"/>
    <w:rsid w:val="000A0EF3"/>
    <w:rsid w:val="000A1126"/>
    <w:rsid w:val="000A16DB"/>
    <w:rsid w:val="000A1840"/>
    <w:rsid w:val="000A1E84"/>
    <w:rsid w:val="000A2085"/>
    <w:rsid w:val="000A250A"/>
    <w:rsid w:val="000A254B"/>
    <w:rsid w:val="000A3276"/>
    <w:rsid w:val="000A33F6"/>
    <w:rsid w:val="000A3E84"/>
    <w:rsid w:val="000A4138"/>
    <w:rsid w:val="000A4954"/>
    <w:rsid w:val="000A4DDD"/>
    <w:rsid w:val="000A575F"/>
    <w:rsid w:val="000A584B"/>
    <w:rsid w:val="000A5B0F"/>
    <w:rsid w:val="000A62C0"/>
    <w:rsid w:val="000A650D"/>
    <w:rsid w:val="000A6C50"/>
    <w:rsid w:val="000A77EF"/>
    <w:rsid w:val="000A7A76"/>
    <w:rsid w:val="000A7DBA"/>
    <w:rsid w:val="000B040F"/>
    <w:rsid w:val="000B1666"/>
    <w:rsid w:val="000B25FC"/>
    <w:rsid w:val="000B276D"/>
    <w:rsid w:val="000B2EF7"/>
    <w:rsid w:val="000B44C0"/>
    <w:rsid w:val="000B478D"/>
    <w:rsid w:val="000B4AEC"/>
    <w:rsid w:val="000B4DAF"/>
    <w:rsid w:val="000B4DBB"/>
    <w:rsid w:val="000B4EAA"/>
    <w:rsid w:val="000B50C3"/>
    <w:rsid w:val="000B64A7"/>
    <w:rsid w:val="000B68C7"/>
    <w:rsid w:val="000B6B28"/>
    <w:rsid w:val="000B6F8A"/>
    <w:rsid w:val="000C0092"/>
    <w:rsid w:val="000C0149"/>
    <w:rsid w:val="000C04CF"/>
    <w:rsid w:val="000C067C"/>
    <w:rsid w:val="000C1094"/>
    <w:rsid w:val="000C1B5A"/>
    <w:rsid w:val="000C35E0"/>
    <w:rsid w:val="000C376B"/>
    <w:rsid w:val="000C3F7B"/>
    <w:rsid w:val="000C5983"/>
    <w:rsid w:val="000C6FFD"/>
    <w:rsid w:val="000D10DB"/>
    <w:rsid w:val="000D166E"/>
    <w:rsid w:val="000D1FC7"/>
    <w:rsid w:val="000D3921"/>
    <w:rsid w:val="000D3B27"/>
    <w:rsid w:val="000D5691"/>
    <w:rsid w:val="000D6817"/>
    <w:rsid w:val="000D68F4"/>
    <w:rsid w:val="000D6EEF"/>
    <w:rsid w:val="000E0F8F"/>
    <w:rsid w:val="000E1356"/>
    <w:rsid w:val="000E2A4D"/>
    <w:rsid w:val="000E2BD0"/>
    <w:rsid w:val="000E3937"/>
    <w:rsid w:val="000E44C7"/>
    <w:rsid w:val="000E56C3"/>
    <w:rsid w:val="000E69B3"/>
    <w:rsid w:val="000E6EDD"/>
    <w:rsid w:val="000E7140"/>
    <w:rsid w:val="000E7636"/>
    <w:rsid w:val="000E7ED0"/>
    <w:rsid w:val="000E7EF9"/>
    <w:rsid w:val="000E7F69"/>
    <w:rsid w:val="000F00BB"/>
    <w:rsid w:val="000F0A25"/>
    <w:rsid w:val="000F0E52"/>
    <w:rsid w:val="000F0EEC"/>
    <w:rsid w:val="000F1E39"/>
    <w:rsid w:val="000F214A"/>
    <w:rsid w:val="000F232B"/>
    <w:rsid w:val="000F2A83"/>
    <w:rsid w:val="000F4547"/>
    <w:rsid w:val="000F4C8A"/>
    <w:rsid w:val="000F4D36"/>
    <w:rsid w:val="000F5C19"/>
    <w:rsid w:val="000F5E9D"/>
    <w:rsid w:val="000F7409"/>
    <w:rsid w:val="00101553"/>
    <w:rsid w:val="00102348"/>
    <w:rsid w:val="001024E3"/>
    <w:rsid w:val="001025B1"/>
    <w:rsid w:val="001032AB"/>
    <w:rsid w:val="00103526"/>
    <w:rsid w:val="00104889"/>
    <w:rsid w:val="00104896"/>
    <w:rsid w:val="00104C50"/>
    <w:rsid w:val="00104ED3"/>
    <w:rsid w:val="00105433"/>
    <w:rsid w:val="001063FA"/>
    <w:rsid w:val="00106990"/>
    <w:rsid w:val="00107414"/>
    <w:rsid w:val="001122AE"/>
    <w:rsid w:val="00112617"/>
    <w:rsid w:val="001126EB"/>
    <w:rsid w:val="00113149"/>
    <w:rsid w:val="00114527"/>
    <w:rsid w:val="00115009"/>
    <w:rsid w:val="001168E8"/>
    <w:rsid w:val="00120585"/>
    <w:rsid w:val="00123ECD"/>
    <w:rsid w:val="00125D3B"/>
    <w:rsid w:val="001267FB"/>
    <w:rsid w:val="00127715"/>
    <w:rsid w:val="00130A27"/>
    <w:rsid w:val="00130DE9"/>
    <w:rsid w:val="00131042"/>
    <w:rsid w:val="0013104F"/>
    <w:rsid w:val="00131239"/>
    <w:rsid w:val="0013178F"/>
    <w:rsid w:val="00131B01"/>
    <w:rsid w:val="00131F28"/>
    <w:rsid w:val="00133465"/>
    <w:rsid w:val="0013403C"/>
    <w:rsid w:val="001345FE"/>
    <w:rsid w:val="00134B21"/>
    <w:rsid w:val="00134FF0"/>
    <w:rsid w:val="001357AD"/>
    <w:rsid w:val="0013624A"/>
    <w:rsid w:val="001365B6"/>
    <w:rsid w:val="001369FD"/>
    <w:rsid w:val="00137EBA"/>
    <w:rsid w:val="00137FBC"/>
    <w:rsid w:val="00140921"/>
    <w:rsid w:val="00141DEA"/>
    <w:rsid w:val="00142223"/>
    <w:rsid w:val="00142AE8"/>
    <w:rsid w:val="00143507"/>
    <w:rsid w:val="00143E4B"/>
    <w:rsid w:val="00143EB9"/>
    <w:rsid w:val="00144208"/>
    <w:rsid w:val="00145EDC"/>
    <w:rsid w:val="00146086"/>
    <w:rsid w:val="0014619A"/>
    <w:rsid w:val="0014619D"/>
    <w:rsid w:val="00147723"/>
    <w:rsid w:val="00147812"/>
    <w:rsid w:val="001503E0"/>
    <w:rsid w:val="00150DD0"/>
    <w:rsid w:val="00152085"/>
    <w:rsid w:val="00152829"/>
    <w:rsid w:val="00152944"/>
    <w:rsid w:val="0015335C"/>
    <w:rsid w:val="00154179"/>
    <w:rsid w:val="00155F1D"/>
    <w:rsid w:val="0015613B"/>
    <w:rsid w:val="00157341"/>
    <w:rsid w:val="001577B2"/>
    <w:rsid w:val="00157A9F"/>
    <w:rsid w:val="001600A4"/>
    <w:rsid w:val="0016108B"/>
    <w:rsid w:val="00161150"/>
    <w:rsid w:val="00161160"/>
    <w:rsid w:val="00162AAD"/>
    <w:rsid w:val="00162CEF"/>
    <w:rsid w:val="001638DF"/>
    <w:rsid w:val="0016440B"/>
    <w:rsid w:val="0016465A"/>
    <w:rsid w:val="00166F26"/>
    <w:rsid w:val="00167939"/>
    <w:rsid w:val="00167A34"/>
    <w:rsid w:val="0017088C"/>
    <w:rsid w:val="00170952"/>
    <w:rsid w:val="00170976"/>
    <w:rsid w:val="001710D1"/>
    <w:rsid w:val="0017168D"/>
    <w:rsid w:val="00171725"/>
    <w:rsid w:val="001733D5"/>
    <w:rsid w:val="0017348C"/>
    <w:rsid w:val="001739DA"/>
    <w:rsid w:val="001739F5"/>
    <w:rsid w:val="001747B4"/>
    <w:rsid w:val="00174911"/>
    <w:rsid w:val="00174F72"/>
    <w:rsid w:val="00175827"/>
    <w:rsid w:val="0017635E"/>
    <w:rsid w:val="0017642E"/>
    <w:rsid w:val="00177010"/>
    <w:rsid w:val="0018037F"/>
    <w:rsid w:val="001805B4"/>
    <w:rsid w:val="00180D3C"/>
    <w:rsid w:val="00180E3B"/>
    <w:rsid w:val="001810E2"/>
    <w:rsid w:val="00181186"/>
    <w:rsid w:val="001819A8"/>
    <w:rsid w:val="00182F27"/>
    <w:rsid w:val="00184083"/>
    <w:rsid w:val="00184BFA"/>
    <w:rsid w:val="00184C6F"/>
    <w:rsid w:val="00187268"/>
    <w:rsid w:val="00187CED"/>
    <w:rsid w:val="00190214"/>
    <w:rsid w:val="001917D9"/>
    <w:rsid w:val="00191F07"/>
    <w:rsid w:val="0019332D"/>
    <w:rsid w:val="001937A5"/>
    <w:rsid w:val="00195976"/>
    <w:rsid w:val="001965CC"/>
    <w:rsid w:val="00196A0A"/>
    <w:rsid w:val="0019748D"/>
    <w:rsid w:val="001A1776"/>
    <w:rsid w:val="001A2434"/>
    <w:rsid w:val="001A3A62"/>
    <w:rsid w:val="001A4F37"/>
    <w:rsid w:val="001A5F27"/>
    <w:rsid w:val="001A6423"/>
    <w:rsid w:val="001A64EB"/>
    <w:rsid w:val="001A6951"/>
    <w:rsid w:val="001A7214"/>
    <w:rsid w:val="001A7439"/>
    <w:rsid w:val="001A7870"/>
    <w:rsid w:val="001A7EDC"/>
    <w:rsid w:val="001B17B9"/>
    <w:rsid w:val="001B2492"/>
    <w:rsid w:val="001B3279"/>
    <w:rsid w:val="001B353E"/>
    <w:rsid w:val="001B4974"/>
    <w:rsid w:val="001B56BC"/>
    <w:rsid w:val="001B5F45"/>
    <w:rsid w:val="001B7BA1"/>
    <w:rsid w:val="001C04BF"/>
    <w:rsid w:val="001C152E"/>
    <w:rsid w:val="001C1B41"/>
    <w:rsid w:val="001C2003"/>
    <w:rsid w:val="001C2173"/>
    <w:rsid w:val="001C3032"/>
    <w:rsid w:val="001C38BC"/>
    <w:rsid w:val="001C3B2D"/>
    <w:rsid w:val="001C3B93"/>
    <w:rsid w:val="001C4006"/>
    <w:rsid w:val="001C48AF"/>
    <w:rsid w:val="001C548C"/>
    <w:rsid w:val="001C6025"/>
    <w:rsid w:val="001C68E7"/>
    <w:rsid w:val="001C6E0E"/>
    <w:rsid w:val="001C6F52"/>
    <w:rsid w:val="001D0C61"/>
    <w:rsid w:val="001D1343"/>
    <w:rsid w:val="001D198A"/>
    <w:rsid w:val="001D1A17"/>
    <w:rsid w:val="001D1FC1"/>
    <w:rsid w:val="001D2946"/>
    <w:rsid w:val="001D328C"/>
    <w:rsid w:val="001D4D75"/>
    <w:rsid w:val="001D59B1"/>
    <w:rsid w:val="001D7B45"/>
    <w:rsid w:val="001E0270"/>
    <w:rsid w:val="001E1018"/>
    <w:rsid w:val="001E10CA"/>
    <w:rsid w:val="001E163E"/>
    <w:rsid w:val="001E2867"/>
    <w:rsid w:val="001E2C73"/>
    <w:rsid w:val="001E3060"/>
    <w:rsid w:val="001E3F3E"/>
    <w:rsid w:val="001E477E"/>
    <w:rsid w:val="001E4D7D"/>
    <w:rsid w:val="001E53FB"/>
    <w:rsid w:val="001E5A1A"/>
    <w:rsid w:val="001E5F04"/>
    <w:rsid w:val="001E699E"/>
    <w:rsid w:val="001E6C37"/>
    <w:rsid w:val="001F0B72"/>
    <w:rsid w:val="001F3B00"/>
    <w:rsid w:val="001F3CD7"/>
    <w:rsid w:val="001F3D15"/>
    <w:rsid w:val="001F4294"/>
    <w:rsid w:val="001F62D9"/>
    <w:rsid w:val="001F66AA"/>
    <w:rsid w:val="00201715"/>
    <w:rsid w:val="00201F31"/>
    <w:rsid w:val="002027D1"/>
    <w:rsid w:val="00202A19"/>
    <w:rsid w:val="00203307"/>
    <w:rsid w:val="00203798"/>
    <w:rsid w:val="00203841"/>
    <w:rsid w:val="00204924"/>
    <w:rsid w:val="00204DFD"/>
    <w:rsid w:val="002056C8"/>
    <w:rsid w:val="00206EA6"/>
    <w:rsid w:val="00207544"/>
    <w:rsid w:val="0021055A"/>
    <w:rsid w:val="00210E0E"/>
    <w:rsid w:val="0021240C"/>
    <w:rsid w:val="00212CAA"/>
    <w:rsid w:val="002132CB"/>
    <w:rsid w:val="00213838"/>
    <w:rsid w:val="00213A2F"/>
    <w:rsid w:val="00215755"/>
    <w:rsid w:val="00215813"/>
    <w:rsid w:val="0021591D"/>
    <w:rsid w:val="00215CE2"/>
    <w:rsid w:val="00217D6A"/>
    <w:rsid w:val="0022169F"/>
    <w:rsid w:val="00222050"/>
    <w:rsid w:val="002226AA"/>
    <w:rsid w:val="00223245"/>
    <w:rsid w:val="00225375"/>
    <w:rsid w:val="002256AE"/>
    <w:rsid w:val="002277C3"/>
    <w:rsid w:val="0023061B"/>
    <w:rsid w:val="00231CD1"/>
    <w:rsid w:val="002347C2"/>
    <w:rsid w:val="002351E7"/>
    <w:rsid w:val="00236FA5"/>
    <w:rsid w:val="00240631"/>
    <w:rsid w:val="0024070A"/>
    <w:rsid w:val="00241B9E"/>
    <w:rsid w:val="0024247E"/>
    <w:rsid w:val="0024379B"/>
    <w:rsid w:val="00245446"/>
    <w:rsid w:val="0024571C"/>
    <w:rsid w:val="002467B4"/>
    <w:rsid w:val="00246E7D"/>
    <w:rsid w:val="00246FE2"/>
    <w:rsid w:val="00247019"/>
    <w:rsid w:val="00247403"/>
    <w:rsid w:val="00247542"/>
    <w:rsid w:val="00247592"/>
    <w:rsid w:val="00250662"/>
    <w:rsid w:val="00250B61"/>
    <w:rsid w:val="00250F0E"/>
    <w:rsid w:val="00250F42"/>
    <w:rsid w:val="00252FB1"/>
    <w:rsid w:val="00253096"/>
    <w:rsid w:val="00253F1B"/>
    <w:rsid w:val="00255140"/>
    <w:rsid w:val="002552DF"/>
    <w:rsid w:val="0025532E"/>
    <w:rsid w:val="00255475"/>
    <w:rsid w:val="00255759"/>
    <w:rsid w:val="00256020"/>
    <w:rsid w:val="00256813"/>
    <w:rsid w:val="00256D45"/>
    <w:rsid w:val="00256DDA"/>
    <w:rsid w:val="00257893"/>
    <w:rsid w:val="0026109F"/>
    <w:rsid w:val="0026154C"/>
    <w:rsid w:val="00262482"/>
    <w:rsid w:val="002626A2"/>
    <w:rsid w:val="002626F5"/>
    <w:rsid w:val="00262ECA"/>
    <w:rsid w:val="00263B2B"/>
    <w:rsid w:val="00264033"/>
    <w:rsid w:val="00264225"/>
    <w:rsid w:val="00264870"/>
    <w:rsid w:val="00264944"/>
    <w:rsid w:val="00266092"/>
    <w:rsid w:val="002669F0"/>
    <w:rsid w:val="00266B61"/>
    <w:rsid w:val="0026712A"/>
    <w:rsid w:val="00267891"/>
    <w:rsid w:val="00267EF0"/>
    <w:rsid w:val="002701A7"/>
    <w:rsid w:val="0027027C"/>
    <w:rsid w:val="002704DB"/>
    <w:rsid w:val="002704E0"/>
    <w:rsid w:val="00270C7A"/>
    <w:rsid w:val="00271175"/>
    <w:rsid w:val="00272596"/>
    <w:rsid w:val="00272854"/>
    <w:rsid w:val="00272A02"/>
    <w:rsid w:val="00272DAF"/>
    <w:rsid w:val="00272DEF"/>
    <w:rsid w:val="00272F7D"/>
    <w:rsid w:val="00273032"/>
    <w:rsid w:val="002730F6"/>
    <w:rsid w:val="00273176"/>
    <w:rsid w:val="00273645"/>
    <w:rsid w:val="00273817"/>
    <w:rsid w:val="00274F86"/>
    <w:rsid w:val="002759B3"/>
    <w:rsid w:val="00275FC9"/>
    <w:rsid w:val="00276C31"/>
    <w:rsid w:val="00277CC3"/>
    <w:rsid w:val="0028111A"/>
    <w:rsid w:val="00282807"/>
    <w:rsid w:val="00283121"/>
    <w:rsid w:val="00283909"/>
    <w:rsid w:val="00284E33"/>
    <w:rsid w:val="00284E86"/>
    <w:rsid w:val="00285D4D"/>
    <w:rsid w:val="002869C6"/>
    <w:rsid w:val="00287642"/>
    <w:rsid w:val="00287680"/>
    <w:rsid w:val="00290094"/>
    <w:rsid w:val="00291C7D"/>
    <w:rsid w:val="00292239"/>
    <w:rsid w:val="00292CEC"/>
    <w:rsid w:val="00292E86"/>
    <w:rsid w:val="00292EEC"/>
    <w:rsid w:val="0029397E"/>
    <w:rsid w:val="00293AEB"/>
    <w:rsid w:val="00293B75"/>
    <w:rsid w:val="0029466E"/>
    <w:rsid w:val="00294727"/>
    <w:rsid w:val="00294B4A"/>
    <w:rsid w:val="00294FA9"/>
    <w:rsid w:val="0029615A"/>
    <w:rsid w:val="002963E4"/>
    <w:rsid w:val="0029715B"/>
    <w:rsid w:val="00297288"/>
    <w:rsid w:val="0029754B"/>
    <w:rsid w:val="00297C9F"/>
    <w:rsid w:val="002A00C2"/>
    <w:rsid w:val="002A036F"/>
    <w:rsid w:val="002A05B1"/>
    <w:rsid w:val="002A07A8"/>
    <w:rsid w:val="002A1C6E"/>
    <w:rsid w:val="002A1D6A"/>
    <w:rsid w:val="002A1DEF"/>
    <w:rsid w:val="002A24D4"/>
    <w:rsid w:val="002A2720"/>
    <w:rsid w:val="002A2E09"/>
    <w:rsid w:val="002A3A4E"/>
    <w:rsid w:val="002A3CD5"/>
    <w:rsid w:val="002A733A"/>
    <w:rsid w:val="002A7A01"/>
    <w:rsid w:val="002B008D"/>
    <w:rsid w:val="002B01A2"/>
    <w:rsid w:val="002B0744"/>
    <w:rsid w:val="002B0BE7"/>
    <w:rsid w:val="002B110C"/>
    <w:rsid w:val="002B1184"/>
    <w:rsid w:val="002B2AB5"/>
    <w:rsid w:val="002B30E6"/>
    <w:rsid w:val="002B4889"/>
    <w:rsid w:val="002B4B61"/>
    <w:rsid w:val="002B54C1"/>
    <w:rsid w:val="002B5F8A"/>
    <w:rsid w:val="002C0899"/>
    <w:rsid w:val="002C10D7"/>
    <w:rsid w:val="002C1641"/>
    <w:rsid w:val="002C1EB3"/>
    <w:rsid w:val="002C3312"/>
    <w:rsid w:val="002C3671"/>
    <w:rsid w:val="002C3D66"/>
    <w:rsid w:val="002C4070"/>
    <w:rsid w:val="002C58D2"/>
    <w:rsid w:val="002C5A89"/>
    <w:rsid w:val="002C5EC4"/>
    <w:rsid w:val="002D033F"/>
    <w:rsid w:val="002D10B0"/>
    <w:rsid w:val="002D45C2"/>
    <w:rsid w:val="002D4CA0"/>
    <w:rsid w:val="002D5B26"/>
    <w:rsid w:val="002D5B60"/>
    <w:rsid w:val="002D628F"/>
    <w:rsid w:val="002D6E69"/>
    <w:rsid w:val="002D7DC4"/>
    <w:rsid w:val="002D7EA2"/>
    <w:rsid w:val="002E03A4"/>
    <w:rsid w:val="002E10DC"/>
    <w:rsid w:val="002E14FF"/>
    <w:rsid w:val="002E15DF"/>
    <w:rsid w:val="002E187C"/>
    <w:rsid w:val="002E18E3"/>
    <w:rsid w:val="002E1CDE"/>
    <w:rsid w:val="002E2451"/>
    <w:rsid w:val="002E349E"/>
    <w:rsid w:val="002E35D7"/>
    <w:rsid w:val="002E3C15"/>
    <w:rsid w:val="002E432F"/>
    <w:rsid w:val="002E4F78"/>
    <w:rsid w:val="002E5CB6"/>
    <w:rsid w:val="002E5CE1"/>
    <w:rsid w:val="002E61E7"/>
    <w:rsid w:val="002E6267"/>
    <w:rsid w:val="002E6465"/>
    <w:rsid w:val="002E6E57"/>
    <w:rsid w:val="002E755E"/>
    <w:rsid w:val="002E78C1"/>
    <w:rsid w:val="002E7E79"/>
    <w:rsid w:val="002F097A"/>
    <w:rsid w:val="002F15EA"/>
    <w:rsid w:val="002F17C9"/>
    <w:rsid w:val="002F1A6B"/>
    <w:rsid w:val="002F1B00"/>
    <w:rsid w:val="002F2D41"/>
    <w:rsid w:val="002F2E1F"/>
    <w:rsid w:val="002F3202"/>
    <w:rsid w:val="002F3554"/>
    <w:rsid w:val="002F3598"/>
    <w:rsid w:val="002F35CB"/>
    <w:rsid w:val="002F3D27"/>
    <w:rsid w:val="002F414B"/>
    <w:rsid w:val="002F443F"/>
    <w:rsid w:val="002F4602"/>
    <w:rsid w:val="002F503E"/>
    <w:rsid w:val="002F5E45"/>
    <w:rsid w:val="002F6201"/>
    <w:rsid w:val="002F63D9"/>
    <w:rsid w:val="002F6C1E"/>
    <w:rsid w:val="002F6ECD"/>
    <w:rsid w:val="002F7B0F"/>
    <w:rsid w:val="00301075"/>
    <w:rsid w:val="0030148A"/>
    <w:rsid w:val="003014EA"/>
    <w:rsid w:val="00301B3D"/>
    <w:rsid w:val="00301F71"/>
    <w:rsid w:val="00302733"/>
    <w:rsid w:val="00303707"/>
    <w:rsid w:val="00303B04"/>
    <w:rsid w:val="0030446B"/>
    <w:rsid w:val="00304509"/>
    <w:rsid w:val="00304EED"/>
    <w:rsid w:val="0030600F"/>
    <w:rsid w:val="00306184"/>
    <w:rsid w:val="00306D2A"/>
    <w:rsid w:val="003078C0"/>
    <w:rsid w:val="00307C8D"/>
    <w:rsid w:val="00310227"/>
    <w:rsid w:val="0031107E"/>
    <w:rsid w:val="003112C6"/>
    <w:rsid w:val="00311A4F"/>
    <w:rsid w:val="003121F4"/>
    <w:rsid w:val="00313332"/>
    <w:rsid w:val="00314078"/>
    <w:rsid w:val="00314C20"/>
    <w:rsid w:val="00315905"/>
    <w:rsid w:val="00316559"/>
    <w:rsid w:val="0031724D"/>
    <w:rsid w:val="00317255"/>
    <w:rsid w:val="00317386"/>
    <w:rsid w:val="00317E8A"/>
    <w:rsid w:val="00320402"/>
    <w:rsid w:val="00320A64"/>
    <w:rsid w:val="0032177A"/>
    <w:rsid w:val="00321A96"/>
    <w:rsid w:val="00322398"/>
    <w:rsid w:val="00322450"/>
    <w:rsid w:val="00323194"/>
    <w:rsid w:val="003241CF"/>
    <w:rsid w:val="003245A7"/>
    <w:rsid w:val="003246B5"/>
    <w:rsid w:val="003249CF"/>
    <w:rsid w:val="00325862"/>
    <w:rsid w:val="003262D9"/>
    <w:rsid w:val="003267B5"/>
    <w:rsid w:val="00326963"/>
    <w:rsid w:val="00327501"/>
    <w:rsid w:val="00330196"/>
    <w:rsid w:val="00330E0E"/>
    <w:rsid w:val="0033161A"/>
    <w:rsid w:val="00331687"/>
    <w:rsid w:val="0033169F"/>
    <w:rsid w:val="00332152"/>
    <w:rsid w:val="003330D2"/>
    <w:rsid w:val="0033414F"/>
    <w:rsid w:val="00336085"/>
    <w:rsid w:val="003362C3"/>
    <w:rsid w:val="0033706A"/>
    <w:rsid w:val="003371DA"/>
    <w:rsid w:val="003374B9"/>
    <w:rsid w:val="00337546"/>
    <w:rsid w:val="003378E0"/>
    <w:rsid w:val="00337961"/>
    <w:rsid w:val="00337C43"/>
    <w:rsid w:val="003407E0"/>
    <w:rsid w:val="00340A95"/>
    <w:rsid w:val="003410A6"/>
    <w:rsid w:val="003414AC"/>
    <w:rsid w:val="003414E6"/>
    <w:rsid w:val="00342070"/>
    <w:rsid w:val="00342AF4"/>
    <w:rsid w:val="00342F3E"/>
    <w:rsid w:val="0034357F"/>
    <w:rsid w:val="003447BB"/>
    <w:rsid w:val="00344B38"/>
    <w:rsid w:val="003464A2"/>
    <w:rsid w:val="0034654D"/>
    <w:rsid w:val="00346D16"/>
    <w:rsid w:val="00347742"/>
    <w:rsid w:val="0034794C"/>
    <w:rsid w:val="00347AF6"/>
    <w:rsid w:val="00350BB3"/>
    <w:rsid w:val="0035129B"/>
    <w:rsid w:val="003520F3"/>
    <w:rsid w:val="003521EC"/>
    <w:rsid w:val="003538F7"/>
    <w:rsid w:val="0035485A"/>
    <w:rsid w:val="00355779"/>
    <w:rsid w:val="00356185"/>
    <w:rsid w:val="003566A9"/>
    <w:rsid w:val="00357206"/>
    <w:rsid w:val="00357C4D"/>
    <w:rsid w:val="00357D78"/>
    <w:rsid w:val="00360380"/>
    <w:rsid w:val="00360BA7"/>
    <w:rsid w:val="0036137D"/>
    <w:rsid w:val="00361EB7"/>
    <w:rsid w:val="00362FE0"/>
    <w:rsid w:val="0036346A"/>
    <w:rsid w:val="00365D52"/>
    <w:rsid w:val="00366182"/>
    <w:rsid w:val="00366DBE"/>
    <w:rsid w:val="00367444"/>
    <w:rsid w:val="003675B8"/>
    <w:rsid w:val="00370DD4"/>
    <w:rsid w:val="003712A0"/>
    <w:rsid w:val="003712A2"/>
    <w:rsid w:val="003712A7"/>
    <w:rsid w:val="00371EFD"/>
    <w:rsid w:val="0037269A"/>
    <w:rsid w:val="00372C5E"/>
    <w:rsid w:val="00372F8E"/>
    <w:rsid w:val="00373790"/>
    <w:rsid w:val="003741EF"/>
    <w:rsid w:val="003745F9"/>
    <w:rsid w:val="00374940"/>
    <w:rsid w:val="003750C8"/>
    <w:rsid w:val="00375282"/>
    <w:rsid w:val="003759D2"/>
    <w:rsid w:val="00376244"/>
    <w:rsid w:val="00377AD8"/>
    <w:rsid w:val="00380645"/>
    <w:rsid w:val="00380A1D"/>
    <w:rsid w:val="00380B68"/>
    <w:rsid w:val="00380DA1"/>
    <w:rsid w:val="00380ECF"/>
    <w:rsid w:val="0038209A"/>
    <w:rsid w:val="00382598"/>
    <w:rsid w:val="00382B98"/>
    <w:rsid w:val="00382CE7"/>
    <w:rsid w:val="0038330F"/>
    <w:rsid w:val="00384072"/>
    <w:rsid w:val="0038421B"/>
    <w:rsid w:val="00385B08"/>
    <w:rsid w:val="00385C97"/>
    <w:rsid w:val="00386CF0"/>
    <w:rsid w:val="00386FEA"/>
    <w:rsid w:val="00387480"/>
    <w:rsid w:val="003902B2"/>
    <w:rsid w:val="0039061F"/>
    <w:rsid w:val="00390A8A"/>
    <w:rsid w:val="00390D19"/>
    <w:rsid w:val="00391CD8"/>
    <w:rsid w:val="00392FEA"/>
    <w:rsid w:val="00393C8E"/>
    <w:rsid w:val="00394608"/>
    <w:rsid w:val="0039471C"/>
    <w:rsid w:val="00394A5D"/>
    <w:rsid w:val="00394D87"/>
    <w:rsid w:val="003954CE"/>
    <w:rsid w:val="00396106"/>
    <w:rsid w:val="003964BF"/>
    <w:rsid w:val="00397B1B"/>
    <w:rsid w:val="003A187E"/>
    <w:rsid w:val="003A1AE3"/>
    <w:rsid w:val="003A27F4"/>
    <w:rsid w:val="003A2DC1"/>
    <w:rsid w:val="003A2E2E"/>
    <w:rsid w:val="003A3C43"/>
    <w:rsid w:val="003A4790"/>
    <w:rsid w:val="003A485E"/>
    <w:rsid w:val="003A4B42"/>
    <w:rsid w:val="003A527A"/>
    <w:rsid w:val="003A6019"/>
    <w:rsid w:val="003A632E"/>
    <w:rsid w:val="003A71F1"/>
    <w:rsid w:val="003A7BFE"/>
    <w:rsid w:val="003B2C86"/>
    <w:rsid w:val="003B349D"/>
    <w:rsid w:val="003B3E94"/>
    <w:rsid w:val="003B5B32"/>
    <w:rsid w:val="003B5C8C"/>
    <w:rsid w:val="003B63A0"/>
    <w:rsid w:val="003B640E"/>
    <w:rsid w:val="003B6423"/>
    <w:rsid w:val="003B6609"/>
    <w:rsid w:val="003B66DC"/>
    <w:rsid w:val="003B6950"/>
    <w:rsid w:val="003B6A1B"/>
    <w:rsid w:val="003C2732"/>
    <w:rsid w:val="003C32BC"/>
    <w:rsid w:val="003C3722"/>
    <w:rsid w:val="003C4BC0"/>
    <w:rsid w:val="003C54AD"/>
    <w:rsid w:val="003C6480"/>
    <w:rsid w:val="003C7061"/>
    <w:rsid w:val="003C7271"/>
    <w:rsid w:val="003C78CF"/>
    <w:rsid w:val="003D0A3F"/>
    <w:rsid w:val="003D0ABB"/>
    <w:rsid w:val="003D0C05"/>
    <w:rsid w:val="003D0D3E"/>
    <w:rsid w:val="003D13BB"/>
    <w:rsid w:val="003D1B14"/>
    <w:rsid w:val="003D1E49"/>
    <w:rsid w:val="003D2871"/>
    <w:rsid w:val="003D28BB"/>
    <w:rsid w:val="003D2C7F"/>
    <w:rsid w:val="003D3435"/>
    <w:rsid w:val="003D3484"/>
    <w:rsid w:val="003D3507"/>
    <w:rsid w:val="003D37C4"/>
    <w:rsid w:val="003D3CD4"/>
    <w:rsid w:val="003D3E1C"/>
    <w:rsid w:val="003D40A7"/>
    <w:rsid w:val="003D4A67"/>
    <w:rsid w:val="003D5176"/>
    <w:rsid w:val="003D51A2"/>
    <w:rsid w:val="003D5A38"/>
    <w:rsid w:val="003D5CD7"/>
    <w:rsid w:val="003D5F18"/>
    <w:rsid w:val="003D706E"/>
    <w:rsid w:val="003D79BC"/>
    <w:rsid w:val="003E06A3"/>
    <w:rsid w:val="003E0852"/>
    <w:rsid w:val="003E1FEC"/>
    <w:rsid w:val="003E2564"/>
    <w:rsid w:val="003E366F"/>
    <w:rsid w:val="003E3DD2"/>
    <w:rsid w:val="003E49F8"/>
    <w:rsid w:val="003E4D93"/>
    <w:rsid w:val="003E4E8A"/>
    <w:rsid w:val="003E51F3"/>
    <w:rsid w:val="003E520F"/>
    <w:rsid w:val="003E5342"/>
    <w:rsid w:val="003E60B8"/>
    <w:rsid w:val="003E65E7"/>
    <w:rsid w:val="003E68BB"/>
    <w:rsid w:val="003E6FB6"/>
    <w:rsid w:val="003E70A6"/>
    <w:rsid w:val="003E7380"/>
    <w:rsid w:val="003E7E90"/>
    <w:rsid w:val="003F0153"/>
    <w:rsid w:val="003F03FA"/>
    <w:rsid w:val="003F0B2B"/>
    <w:rsid w:val="003F1230"/>
    <w:rsid w:val="003F1820"/>
    <w:rsid w:val="003F1BBF"/>
    <w:rsid w:val="003F2D46"/>
    <w:rsid w:val="003F393E"/>
    <w:rsid w:val="003F6707"/>
    <w:rsid w:val="003F7001"/>
    <w:rsid w:val="003F7161"/>
    <w:rsid w:val="00400E6B"/>
    <w:rsid w:val="00400EA4"/>
    <w:rsid w:val="004010E9"/>
    <w:rsid w:val="004018EA"/>
    <w:rsid w:val="004022E4"/>
    <w:rsid w:val="00402332"/>
    <w:rsid w:val="00404333"/>
    <w:rsid w:val="00404A51"/>
    <w:rsid w:val="00404EFC"/>
    <w:rsid w:val="00404F22"/>
    <w:rsid w:val="00405388"/>
    <w:rsid w:val="00405991"/>
    <w:rsid w:val="00405C11"/>
    <w:rsid w:val="00405F19"/>
    <w:rsid w:val="00406721"/>
    <w:rsid w:val="00406CB6"/>
    <w:rsid w:val="0040735D"/>
    <w:rsid w:val="0040759C"/>
    <w:rsid w:val="004075CF"/>
    <w:rsid w:val="00407F3D"/>
    <w:rsid w:val="00410925"/>
    <w:rsid w:val="00411932"/>
    <w:rsid w:val="004122AE"/>
    <w:rsid w:val="00413B37"/>
    <w:rsid w:val="004142F6"/>
    <w:rsid w:val="004142FD"/>
    <w:rsid w:val="004155D1"/>
    <w:rsid w:val="00415BAE"/>
    <w:rsid w:val="004165C2"/>
    <w:rsid w:val="00417263"/>
    <w:rsid w:val="00417356"/>
    <w:rsid w:val="0041797E"/>
    <w:rsid w:val="00417E33"/>
    <w:rsid w:val="00421ECF"/>
    <w:rsid w:val="0042334E"/>
    <w:rsid w:val="00423909"/>
    <w:rsid w:val="004251BB"/>
    <w:rsid w:val="004255D2"/>
    <w:rsid w:val="0042692E"/>
    <w:rsid w:val="00426A93"/>
    <w:rsid w:val="00426B2E"/>
    <w:rsid w:val="00426DB7"/>
    <w:rsid w:val="00427406"/>
    <w:rsid w:val="00427487"/>
    <w:rsid w:val="0042749C"/>
    <w:rsid w:val="00427B63"/>
    <w:rsid w:val="00432731"/>
    <w:rsid w:val="004330B5"/>
    <w:rsid w:val="004332C3"/>
    <w:rsid w:val="00433505"/>
    <w:rsid w:val="00436C66"/>
    <w:rsid w:val="0043700E"/>
    <w:rsid w:val="00437266"/>
    <w:rsid w:val="004410B9"/>
    <w:rsid w:val="004413C0"/>
    <w:rsid w:val="00441954"/>
    <w:rsid w:val="00441D48"/>
    <w:rsid w:val="00443E6F"/>
    <w:rsid w:val="00444596"/>
    <w:rsid w:val="00445C74"/>
    <w:rsid w:val="0044656D"/>
    <w:rsid w:val="00446F15"/>
    <w:rsid w:val="0044706E"/>
    <w:rsid w:val="00447468"/>
    <w:rsid w:val="00447B8F"/>
    <w:rsid w:val="00450A4A"/>
    <w:rsid w:val="00450D96"/>
    <w:rsid w:val="00451A25"/>
    <w:rsid w:val="00451E96"/>
    <w:rsid w:val="00452810"/>
    <w:rsid w:val="00452DAB"/>
    <w:rsid w:val="00453073"/>
    <w:rsid w:val="00453466"/>
    <w:rsid w:val="0045376B"/>
    <w:rsid w:val="00454492"/>
    <w:rsid w:val="0045481D"/>
    <w:rsid w:val="00455165"/>
    <w:rsid w:val="0045524E"/>
    <w:rsid w:val="00457228"/>
    <w:rsid w:val="00457B89"/>
    <w:rsid w:val="004600B9"/>
    <w:rsid w:val="00460177"/>
    <w:rsid w:val="0046041C"/>
    <w:rsid w:val="00460513"/>
    <w:rsid w:val="0046072C"/>
    <w:rsid w:val="0046208F"/>
    <w:rsid w:val="00462248"/>
    <w:rsid w:val="00462781"/>
    <w:rsid w:val="00462F9A"/>
    <w:rsid w:val="004630F5"/>
    <w:rsid w:val="004641C1"/>
    <w:rsid w:val="004642EF"/>
    <w:rsid w:val="0046574C"/>
    <w:rsid w:val="004660D1"/>
    <w:rsid w:val="0046622A"/>
    <w:rsid w:val="004666FB"/>
    <w:rsid w:val="00466A8C"/>
    <w:rsid w:val="00467542"/>
    <w:rsid w:val="00467972"/>
    <w:rsid w:val="00467B7E"/>
    <w:rsid w:val="00467CF1"/>
    <w:rsid w:val="0047006D"/>
    <w:rsid w:val="00471927"/>
    <w:rsid w:val="00471BC8"/>
    <w:rsid w:val="004730AF"/>
    <w:rsid w:val="00473463"/>
    <w:rsid w:val="004743E0"/>
    <w:rsid w:val="00474819"/>
    <w:rsid w:val="00475527"/>
    <w:rsid w:val="00476B10"/>
    <w:rsid w:val="00477BE3"/>
    <w:rsid w:val="00477C46"/>
    <w:rsid w:val="00477D29"/>
    <w:rsid w:val="0048119E"/>
    <w:rsid w:val="00481C1F"/>
    <w:rsid w:val="00482208"/>
    <w:rsid w:val="00482528"/>
    <w:rsid w:val="00482644"/>
    <w:rsid w:val="00483146"/>
    <w:rsid w:val="00483697"/>
    <w:rsid w:val="00483974"/>
    <w:rsid w:val="00483D9E"/>
    <w:rsid w:val="004840CE"/>
    <w:rsid w:val="00484B2F"/>
    <w:rsid w:val="00484F80"/>
    <w:rsid w:val="004850C2"/>
    <w:rsid w:val="004855D8"/>
    <w:rsid w:val="00486773"/>
    <w:rsid w:val="00486A15"/>
    <w:rsid w:val="00486D1F"/>
    <w:rsid w:val="0048701C"/>
    <w:rsid w:val="00487254"/>
    <w:rsid w:val="00487358"/>
    <w:rsid w:val="004900BD"/>
    <w:rsid w:val="004907E1"/>
    <w:rsid w:val="00490BE7"/>
    <w:rsid w:val="00490C98"/>
    <w:rsid w:val="00490FC7"/>
    <w:rsid w:val="00493254"/>
    <w:rsid w:val="00493649"/>
    <w:rsid w:val="0049419D"/>
    <w:rsid w:val="00494B61"/>
    <w:rsid w:val="00495029"/>
    <w:rsid w:val="00495396"/>
    <w:rsid w:val="00495CD7"/>
    <w:rsid w:val="004962B8"/>
    <w:rsid w:val="00496687"/>
    <w:rsid w:val="00496C69"/>
    <w:rsid w:val="00496DBC"/>
    <w:rsid w:val="00497448"/>
    <w:rsid w:val="0049749D"/>
    <w:rsid w:val="004977D3"/>
    <w:rsid w:val="00497D5E"/>
    <w:rsid w:val="00497D68"/>
    <w:rsid w:val="004A0088"/>
    <w:rsid w:val="004A0977"/>
    <w:rsid w:val="004A15D9"/>
    <w:rsid w:val="004A17A5"/>
    <w:rsid w:val="004A1B66"/>
    <w:rsid w:val="004A1EEA"/>
    <w:rsid w:val="004A29AF"/>
    <w:rsid w:val="004A2B9D"/>
    <w:rsid w:val="004A37A5"/>
    <w:rsid w:val="004A3806"/>
    <w:rsid w:val="004A3DC4"/>
    <w:rsid w:val="004A4A3E"/>
    <w:rsid w:val="004A4DB0"/>
    <w:rsid w:val="004A514F"/>
    <w:rsid w:val="004A5407"/>
    <w:rsid w:val="004A7B58"/>
    <w:rsid w:val="004B0263"/>
    <w:rsid w:val="004B2762"/>
    <w:rsid w:val="004B2DE8"/>
    <w:rsid w:val="004B2F7D"/>
    <w:rsid w:val="004B388C"/>
    <w:rsid w:val="004B3B3C"/>
    <w:rsid w:val="004B3C84"/>
    <w:rsid w:val="004B40A9"/>
    <w:rsid w:val="004B45B7"/>
    <w:rsid w:val="004B4E6F"/>
    <w:rsid w:val="004B62CE"/>
    <w:rsid w:val="004B7EB6"/>
    <w:rsid w:val="004C0878"/>
    <w:rsid w:val="004C0FE4"/>
    <w:rsid w:val="004C127B"/>
    <w:rsid w:val="004C17B4"/>
    <w:rsid w:val="004C4A47"/>
    <w:rsid w:val="004C4B62"/>
    <w:rsid w:val="004C599D"/>
    <w:rsid w:val="004C64DA"/>
    <w:rsid w:val="004C68B8"/>
    <w:rsid w:val="004C6FAC"/>
    <w:rsid w:val="004C7257"/>
    <w:rsid w:val="004C758F"/>
    <w:rsid w:val="004C77DC"/>
    <w:rsid w:val="004C7EE2"/>
    <w:rsid w:val="004D0229"/>
    <w:rsid w:val="004D18DA"/>
    <w:rsid w:val="004D27DE"/>
    <w:rsid w:val="004D28C5"/>
    <w:rsid w:val="004D37B1"/>
    <w:rsid w:val="004D4782"/>
    <w:rsid w:val="004D4A6A"/>
    <w:rsid w:val="004D4D1B"/>
    <w:rsid w:val="004D5088"/>
    <w:rsid w:val="004D519A"/>
    <w:rsid w:val="004D53E4"/>
    <w:rsid w:val="004D6025"/>
    <w:rsid w:val="004D657F"/>
    <w:rsid w:val="004D72BC"/>
    <w:rsid w:val="004D78B4"/>
    <w:rsid w:val="004E2452"/>
    <w:rsid w:val="004E3A16"/>
    <w:rsid w:val="004E4761"/>
    <w:rsid w:val="004E6889"/>
    <w:rsid w:val="004E6B90"/>
    <w:rsid w:val="004E6C9C"/>
    <w:rsid w:val="004F04A5"/>
    <w:rsid w:val="004F0842"/>
    <w:rsid w:val="004F1086"/>
    <w:rsid w:val="004F15C4"/>
    <w:rsid w:val="004F16E8"/>
    <w:rsid w:val="004F1DAD"/>
    <w:rsid w:val="004F2694"/>
    <w:rsid w:val="004F2EBF"/>
    <w:rsid w:val="004F2FC4"/>
    <w:rsid w:val="004F37CA"/>
    <w:rsid w:val="004F3905"/>
    <w:rsid w:val="004F3B00"/>
    <w:rsid w:val="004F441A"/>
    <w:rsid w:val="004F4AEF"/>
    <w:rsid w:val="004F4C1C"/>
    <w:rsid w:val="004F530D"/>
    <w:rsid w:val="004F5466"/>
    <w:rsid w:val="004F6949"/>
    <w:rsid w:val="004F69EA"/>
    <w:rsid w:val="004F69ED"/>
    <w:rsid w:val="00500142"/>
    <w:rsid w:val="005008C7"/>
    <w:rsid w:val="0050128F"/>
    <w:rsid w:val="00501399"/>
    <w:rsid w:val="00501C65"/>
    <w:rsid w:val="00501DFB"/>
    <w:rsid w:val="005028FE"/>
    <w:rsid w:val="00502E35"/>
    <w:rsid w:val="00503804"/>
    <w:rsid w:val="00503C4C"/>
    <w:rsid w:val="0050536C"/>
    <w:rsid w:val="00505B63"/>
    <w:rsid w:val="005066A4"/>
    <w:rsid w:val="005068B0"/>
    <w:rsid w:val="00506C98"/>
    <w:rsid w:val="00507534"/>
    <w:rsid w:val="00507BC4"/>
    <w:rsid w:val="00510311"/>
    <w:rsid w:val="005128E4"/>
    <w:rsid w:val="00512A35"/>
    <w:rsid w:val="00513229"/>
    <w:rsid w:val="005152B7"/>
    <w:rsid w:val="00516BBE"/>
    <w:rsid w:val="00517684"/>
    <w:rsid w:val="00517E72"/>
    <w:rsid w:val="0052142D"/>
    <w:rsid w:val="00521909"/>
    <w:rsid w:val="005223AF"/>
    <w:rsid w:val="00523977"/>
    <w:rsid w:val="0052411B"/>
    <w:rsid w:val="00524268"/>
    <w:rsid w:val="00524748"/>
    <w:rsid w:val="00525278"/>
    <w:rsid w:val="00525560"/>
    <w:rsid w:val="00525A81"/>
    <w:rsid w:val="00525C32"/>
    <w:rsid w:val="00525F05"/>
    <w:rsid w:val="00526204"/>
    <w:rsid w:val="005267AC"/>
    <w:rsid w:val="00527461"/>
    <w:rsid w:val="00530295"/>
    <w:rsid w:val="00530412"/>
    <w:rsid w:val="00530B2B"/>
    <w:rsid w:val="00530C37"/>
    <w:rsid w:val="00531008"/>
    <w:rsid w:val="0053187E"/>
    <w:rsid w:val="005325F6"/>
    <w:rsid w:val="00532F64"/>
    <w:rsid w:val="00533CF3"/>
    <w:rsid w:val="00534047"/>
    <w:rsid w:val="005343C0"/>
    <w:rsid w:val="005346E1"/>
    <w:rsid w:val="005348AB"/>
    <w:rsid w:val="00535135"/>
    <w:rsid w:val="005357A6"/>
    <w:rsid w:val="0053592E"/>
    <w:rsid w:val="00535FF9"/>
    <w:rsid w:val="005366E5"/>
    <w:rsid w:val="005367D0"/>
    <w:rsid w:val="00536848"/>
    <w:rsid w:val="00536B9E"/>
    <w:rsid w:val="005374B7"/>
    <w:rsid w:val="005401F2"/>
    <w:rsid w:val="00540AEC"/>
    <w:rsid w:val="005411B3"/>
    <w:rsid w:val="005411BE"/>
    <w:rsid w:val="005417F8"/>
    <w:rsid w:val="00541B01"/>
    <w:rsid w:val="005422EF"/>
    <w:rsid w:val="005425FB"/>
    <w:rsid w:val="005430A6"/>
    <w:rsid w:val="00543705"/>
    <w:rsid w:val="005439C3"/>
    <w:rsid w:val="00544278"/>
    <w:rsid w:val="00544C49"/>
    <w:rsid w:val="0054561F"/>
    <w:rsid w:val="005456B2"/>
    <w:rsid w:val="0054591A"/>
    <w:rsid w:val="00547100"/>
    <w:rsid w:val="00547EB7"/>
    <w:rsid w:val="00550141"/>
    <w:rsid w:val="0055160C"/>
    <w:rsid w:val="00551C71"/>
    <w:rsid w:val="00552BE8"/>
    <w:rsid w:val="00552FC3"/>
    <w:rsid w:val="005531BB"/>
    <w:rsid w:val="00553EC6"/>
    <w:rsid w:val="00554AD7"/>
    <w:rsid w:val="00554BAB"/>
    <w:rsid w:val="005557F2"/>
    <w:rsid w:val="00555A6E"/>
    <w:rsid w:val="0055764A"/>
    <w:rsid w:val="00557C07"/>
    <w:rsid w:val="00561652"/>
    <w:rsid w:val="005627AC"/>
    <w:rsid w:val="005627FD"/>
    <w:rsid w:val="00562E4A"/>
    <w:rsid w:val="005633E7"/>
    <w:rsid w:val="0056351E"/>
    <w:rsid w:val="00563F04"/>
    <w:rsid w:val="0056432A"/>
    <w:rsid w:val="00565B4B"/>
    <w:rsid w:val="00566646"/>
    <w:rsid w:val="005706EF"/>
    <w:rsid w:val="00570AF2"/>
    <w:rsid w:val="00570EC6"/>
    <w:rsid w:val="00571247"/>
    <w:rsid w:val="00572A15"/>
    <w:rsid w:val="005733B9"/>
    <w:rsid w:val="0057402A"/>
    <w:rsid w:val="00574148"/>
    <w:rsid w:val="005744A4"/>
    <w:rsid w:val="005755D5"/>
    <w:rsid w:val="00575C82"/>
    <w:rsid w:val="005764DD"/>
    <w:rsid w:val="00576832"/>
    <w:rsid w:val="00576D19"/>
    <w:rsid w:val="005771D0"/>
    <w:rsid w:val="00577B28"/>
    <w:rsid w:val="00577ED6"/>
    <w:rsid w:val="0058022B"/>
    <w:rsid w:val="0058058F"/>
    <w:rsid w:val="0058161C"/>
    <w:rsid w:val="00581ACD"/>
    <w:rsid w:val="00582378"/>
    <w:rsid w:val="00582750"/>
    <w:rsid w:val="005833F0"/>
    <w:rsid w:val="0058343A"/>
    <w:rsid w:val="00584C28"/>
    <w:rsid w:val="00585DED"/>
    <w:rsid w:val="005868C5"/>
    <w:rsid w:val="00587964"/>
    <w:rsid w:val="00587D7B"/>
    <w:rsid w:val="00590236"/>
    <w:rsid w:val="005902A3"/>
    <w:rsid w:val="0059066D"/>
    <w:rsid w:val="00590BF3"/>
    <w:rsid w:val="00590C43"/>
    <w:rsid w:val="005910C0"/>
    <w:rsid w:val="00591267"/>
    <w:rsid w:val="005916E2"/>
    <w:rsid w:val="0059191A"/>
    <w:rsid w:val="00591B96"/>
    <w:rsid w:val="00591F60"/>
    <w:rsid w:val="005921FF"/>
    <w:rsid w:val="0059318E"/>
    <w:rsid w:val="005937E2"/>
    <w:rsid w:val="00594CE1"/>
    <w:rsid w:val="00595D9A"/>
    <w:rsid w:val="00596514"/>
    <w:rsid w:val="00596694"/>
    <w:rsid w:val="0059670F"/>
    <w:rsid w:val="00596ABE"/>
    <w:rsid w:val="00596AD3"/>
    <w:rsid w:val="00596F42"/>
    <w:rsid w:val="00597162"/>
    <w:rsid w:val="0059770B"/>
    <w:rsid w:val="00597C8A"/>
    <w:rsid w:val="00597E00"/>
    <w:rsid w:val="005A0410"/>
    <w:rsid w:val="005A20B8"/>
    <w:rsid w:val="005A2E9B"/>
    <w:rsid w:val="005A482E"/>
    <w:rsid w:val="005A6205"/>
    <w:rsid w:val="005A6D0E"/>
    <w:rsid w:val="005A6E50"/>
    <w:rsid w:val="005A734E"/>
    <w:rsid w:val="005B0001"/>
    <w:rsid w:val="005B222D"/>
    <w:rsid w:val="005B28A7"/>
    <w:rsid w:val="005B3DEC"/>
    <w:rsid w:val="005B3EF2"/>
    <w:rsid w:val="005B447B"/>
    <w:rsid w:val="005B50CE"/>
    <w:rsid w:val="005B52B0"/>
    <w:rsid w:val="005B67DE"/>
    <w:rsid w:val="005B6806"/>
    <w:rsid w:val="005B711D"/>
    <w:rsid w:val="005B7BC5"/>
    <w:rsid w:val="005C00F9"/>
    <w:rsid w:val="005C05FA"/>
    <w:rsid w:val="005C164F"/>
    <w:rsid w:val="005C17CB"/>
    <w:rsid w:val="005C1853"/>
    <w:rsid w:val="005C1A8D"/>
    <w:rsid w:val="005C1D3C"/>
    <w:rsid w:val="005C1D8E"/>
    <w:rsid w:val="005C207A"/>
    <w:rsid w:val="005C23BD"/>
    <w:rsid w:val="005C288D"/>
    <w:rsid w:val="005C2BA2"/>
    <w:rsid w:val="005C2E02"/>
    <w:rsid w:val="005C3149"/>
    <w:rsid w:val="005C4011"/>
    <w:rsid w:val="005C4225"/>
    <w:rsid w:val="005C428E"/>
    <w:rsid w:val="005C4AF4"/>
    <w:rsid w:val="005C5E2B"/>
    <w:rsid w:val="005C5F93"/>
    <w:rsid w:val="005C717C"/>
    <w:rsid w:val="005D0AC5"/>
    <w:rsid w:val="005D0FBF"/>
    <w:rsid w:val="005D1076"/>
    <w:rsid w:val="005D1B5D"/>
    <w:rsid w:val="005D50AD"/>
    <w:rsid w:val="005D55A5"/>
    <w:rsid w:val="005D5C54"/>
    <w:rsid w:val="005D5DED"/>
    <w:rsid w:val="005D6891"/>
    <w:rsid w:val="005D6A03"/>
    <w:rsid w:val="005D6A8E"/>
    <w:rsid w:val="005D6AC4"/>
    <w:rsid w:val="005D6B2C"/>
    <w:rsid w:val="005D7191"/>
    <w:rsid w:val="005D7280"/>
    <w:rsid w:val="005D738A"/>
    <w:rsid w:val="005D7740"/>
    <w:rsid w:val="005E09BC"/>
    <w:rsid w:val="005E1D4B"/>
    <w:rsid w:val="005E2BDE"/>
    <w:rsid w:val="005E3396"/>
    <w:rsid w:val="005E47EE"/>
    <w:rsid w:val="005E49AA"/>
    <w:rsid w:val="005E4A95"/>
    <w:rsid w:val="005E5196"/>
    <w:rsid w:val="005E5258"/>
    <w:rsid w:val="005E5419"/>
    <w:rsid w:val="005E6C0C"/>
    <w:rsid w:val="005E6EE3"/>
    <w:rsid w:val="005E726D"/>
    <w:rsid w:val="005E74C5"/>
    <w:rsid w:val="005E7642"/>
    <w:rsid w:val="005E772D"/>
    <w:rsid w:val="005F0CEC"/>
    <w:rsid w:val="005F0F33"/>
    <w:rsid w:val="005F1C54"/>
    <w:rsid w:val="005F238A"/>
    <w:rsid w:val="005F2A0D"/>
    <w:rsid w:val="005F32A0"/>
    <w:rsid w:val="005F3F11"/>
    <w:rsid w:val="005F5456"/>
    <w:rsid w:val="005F55DC"/>
    <w:rsid w:val="005F66C7"/>
    <w:rsid w:val="005F6935"/>
    <w:rsid w:val="005F7459"/>
    <w:rsid w:val="005F7C35"/>
    <w:rsid w:val="0060040E"/>
    <w:rsid w:val="006005C1"/>
    <w:rsid w:val="00600A96"/>
    <w:rsid w:val="00600DEB"/>
    <w:rsid w:val="00600EE3"/>
    <w:rsid w:val="00602146"/>
    <w:rsid w:val="00602B9B"/>
    <w:rsid w:val="00603949"/>
    <w:rsid w:val="00603D6F"/>
    <w:rsid w:val="00604B83"/>
    <w:rsid w:val="006059FA"/>
    <w:rsid w:val="006063BA"/>
    <w:rsid w:val="00607F83"/>
    <w:rsid w:val="006112EF"/>
    <w:rsid w:val="0061250B"/>
    <w:rsid w:val="00612D8E"/>
    <w:rsid w:val="00612E1C"/>
    <w:rsid w:val="00613027"/>
    <w:rsid w:val="006130E4"/>
    <w:rsid w:val="00613120"/>
    <w:rsid w:val="00613A08"/>
    <w:rsid w:val="0061412F"/>
    <w:rsid w:val="00614153"/>
    <w:rsid w:val="00614AE8"/>
    <w:rsid w:val="00615073"/>
    <w:rsid w:val="0061546B"/>
    <w:rsid w:val="00616320"/>
    <w:rsid w:val="00617156"/>
    <w:rsid w:val="00617B09"/>
    <w:rsid w:val="006206FF"/>
    <w:rsid w:val="00620A30"/>
    <w:rsid w:val="00620A65"/>
    <w:rsid w:val="00620B75"/>
    <w:rsid w:val="00621073"/>
    <w:rsid w:val="006225B7"/>
    <w:rsid w:val="00622843"/>
    <w:rsid w:val="00623324"/>
    <w:rsid w:val="006238CB"/>
    <w:rsid w:val="00624716"/>
    <w:rsid w:val="006247DB"/>
    <w:rsid w:val="00624B14"/>
    <w:rsid w:val="00624E66"/>
    <w:rsid w:val="00625290"/>
    <w:rsid w:val="00626360"/>
    <w:rsid w:val="006263C9"/>
    <w:rsid w:val="006263CE"/>
    <w:rsid w:val="00626A1D"/>
    <w:rsid w:val="00627A51"/>
    <w:rsid w:val="00627C9F"/>
    <w:rsid w:val="00627E51"/>
    <w:rsid w:val="006307DF"/>
    <w:rsid w:val="00630B42"/>
    <w:rsid w:val="00630C75"/>
    <w:rsid w:val="00630F01"/>
    <w:rsid w:val="00630F7D"/>
    <w:rsid w:val="006311DA"/>
    <w:rsid w:val="006311E9"/>
    <w:rsid w:val="006322B9"/>
    <w:rsid w:val="00632354"/>
    <w:rsid w:val="00632429"/>
    <w:rsid w:val="006325A7"/>
    <w:rsid w:val="00632BF2"/>
    <w:rsid w:val="00633261"/>
    <w:rsid w:val="006333B2"/>
    <w:rsid w:val="0063377E"/>
    <w:rsid w:val="006354CD"/>
    <w:rsid w:val="006361A8"/>
    <w:rsid w:val="00636406"/>
    <w:rsid w:val="00636E0C"/>
    <w:rsid w:val="00636F4A"/>
    <w:rsid w:val="00637539"/>
    <w:rsid w:val="00637B7B"/>
    <w:rsid w:val="00637E84"/>
    <w:rsid w:val="00640173"/>
    <w:rsid w:val="006418C1"/>
    <w:rsid w:val="006420B7"/>
    <w:rsid w:val="006422BC"/>
    <w:rsid w:val="00642810"/>
    <w:rsid w:val="00643F66"/>
    <w:rsid w:val="00644643"/>
    <w:rsid w:val="00644E9E"/>
    <w:rsid w:val="006458AD"/>
    <w:rsid w:val="006468F2"/>
    <w:rsid w:val="0064712F"/>
    <w:rsid w:val="0064793C"/>
    <w:rsid w:val="00650FA3"/>
    <w:rsid w:val="006516A4"/>
    <w:rsid w:val="006516FE"/>
    <w:rsid w:val="00651D1D"/>
    <w:rsid w:val="00651DB9"/>
    <w:rsid w:val="00652333"/>
    <w:rsid w:val="00653AC7"/>
    <w:rsid w:val="00654573"/>
    <w:rsid w:val="006549A4"/>
    <w:rsid w:val="00654F6F"/>
    <w:rsid w:val="00656085"/>
    <w:rsid w:val="00656FE7"/>
    <w:rsid w:val="0065765B"/>
    <w:rsid w:val="006605AC"/>
    <w:rsid w:val="00660F3A"/>
    <w:rsid w:val="006626BF"/>
    <w:rsid w:val="00662F5D"/>
    <w:rsid w:val="006634C1"/>
    <w:rsid w:val="00663571"/>
    <w:rsid w:val="00664C08"/>
    <w:rsid w:val="00664DDE"/>
    <w:rsid w:val="00666536"/>
    <w:rsid w:val="00666AEF"/>
    <w:rsid w:val="006716C1"/>
    <w:rsid w:val="006722E2"/>
    <w:rsid w:val="0067329C"/>
    <w:rsid w:val="00674465"/>
    <w:rsid w:val="0067472A"/>
    <w:rsid w:val="00675BB9"/>
    <w:rsid w:val="00676345"/>
    <w:rsid w:val="00677938"/>
    <w:rsid w:val="0068009E"/>
    <w:rsid w:val="00682E0F"/>
    <w:rsid w:val="00683305"/>
    <w:rsid w:val="00683ED6"/>
    <w:rsid w:val="00684434"/>
    <w:rsid w:val="006847BC"/>
    <w:rsid w:val="006849BF"/>
    <w:rsid w:val="00685184"/>
    <w:rsid w:val="006871C6"/>
    <w:rsid w:val="00687432"/>
    <w:rsid w:val="00687725"/>
    <w:rsid w:val="006901ED"/>
    <w:rsid w:val="0069023C"/>
    <w:rsid w:val="006906BB"/>
    <w:rsid w:val="0069244C"/>
    <w:rsid w:val="00692861"/>
    <w:rsid w:val="00692996"/>
    <w:rsid w:val="00692A55"/>
    <w:rsid w:val="00692D53"/>
    <w:rsid w:val="0069578C"/>
    <w:rsid w:val="00695807"/>
    <w:rsid w:val="00696F9A"/>
    <w:rsid w:val="006972FB"/>
    <w:rsid w:val="006A0036"/>
    <w:rsid w:val="006A0548"/>
    <w:rsid w:val="006A0E85"/>
    <w:rsid w:val="006A0F00"/>
    <w:rsid w:val="006A0F77"/>
    <w:rsid w:val="006A11FD"/>
    <w:rsid w:val="006A17D2"/>
    <w:rsid w:val="006A3B33"/>
    <w:rsid w:val="006A3C7B"/>
    <w:rsid w:val="006A508B"/>
    <w:rsid w:val="006A538E"/>
    <w:rsid w:val="006A58D1"/>
    <w:rsid w:val="006A6A79"/>
    <w:rsid w:val="006A6E1A"/>
    <w:rsid w:val="006A70B4"/>
    <w:rsid w:val="006A72B7"/>
    <w:rsid w:val="006A73E6"/>
    <w:rsid w:val="006A7408"/>
    <w:rsid w:val="006A7764"/>
    <w:rsid w:val="006A79A7"/>
    <w:rsid w:val="006B0169"/>
    <w:rsid w:val="006B057B"/>
    <w:rsid w:val="006B130C"/>
    <w:rsid w:val="006B17B3"/>
    <w:rsid w:val="006B1BB7"/>
    <w:rsid w:val="006B248C"/>
    <w:rsid w:val="006B2623"/>
    <w:rsid w:val="006B265D"/>
    <w:rsid w:val="006B295E"/>
    <w:rsid w:val="006B2D5C"/>
    <w:rsid w:val="006B3773"/>
    <w:rsid w:val="006B4324"/>
    <w:rsid w:val="006B4B50"/>
    <w:rsid w:val="006B544B"/>
    <w:rsid w:val="006B6D64"/>
    <w:rsid w:val="006B6FFA"/>
    <w:rsid w:val="006C07D9"/>
    <w:rsid w:val="006C0F5D"/>
    <w:rsid w:val="006C1815"/>
    <w:rsid w:val="006C19AC"/>
    <w:rsid w:val="006C2346"/>
    <w:rsid w:val="006C2B38"/>
    <w:rsid w:val="006C2CF7"/>
    <w:rsid w:val="006C379B"/>
    <w:rsid w:val="006C39E9"/>
    <w:rsid w:val="006C3D28"/>
    <w:rsid w:val="006C3F7D"/>
    <w:rsid w:val="006C4233"/>
    <w:rsid w:val="006C4596"/>
    <w:rsid w:val="006C49B8"/>
    <w:rsid w:val="006C4DFA"/>
    <w:rsid w:val="006C4EB1"/>
    <w:rsid w:val="006C5268"/>
    <w:rsid w:val="006C61FA"/>
    <w:rsid w:val="006C6E31"/>
    <w:rsid w:val="006C7E62"/>
    <w:rsid w:val="006D0195"/>
    <w:rsid w:val="006D01E3"/>
    <w:rsid w:val="006D0424"/>
    <w:rsid w:val="006D0FA3"/>
    <w:rsid w:val="006D1A3C"/>
    <w:rsid w:val="006D27EC"/>
    <w:rsid w:val="006D28DA"/>
    <w:rsid w:val="006D2C28"/>
    <w:rsid w:val="006D2D13"/>
    <w:rsid w:val="006D48BB"/>
    <w:rsid w:val="006D5467"/>
    <w:rsid w:val="006D5D5D"/>
    <w:rsid w:val="006D6E36"/>
    <w:rsid w:val="006D6E3A"/>
    <w:rsid w:val="006D7976"/>
    <w:rsid w:val="006E00AB"/>
    <w:rsid w:val="006E0166"/>
    <w:rsid w:val="006E1163"/>
    <w:rsid w:val="006E18B8"/>
    <w:rsid w:val="006E2434"/>
    <w:rsid w:val="006E35A0"/>
    <w:rsid w:val="006E4B61"/>
    <w:rsid w:val="006E4CCE"/>
    <w:rsid w:val="006E5C58"/>
    <w:rsid w:val="006E6048"/>
    <w:rsid w:val="006E67F6"/>
    <w:rsid w:val="006E6C78"/>
    <w:rsid w:val="006E6F1E"/>
    <w:rsid w:val="006E7B34"/>
    <w:rsid w:val="006E7EA4"/>
    <w:rsid w:val="006F157C"/>
    <w:rsid w:val="006F2AC7"/>
    <w:rsid w:val="006F3590"/>
    <w:rsid w:val="006F3597"/>
    <w:rsid w:val="006F374D"/>
    <w:rsid w:val="006F672E"/>
    <w:rsid w:val="006F732C"/>
    <w:rsid w:val="006F7488"/>
    <w:rsid w:val="006F7B98"/>
    <w:rsid w:val="006F7DA2"/>
    <w:rsid w:val="0070045F"/>
    <w:rsid w:val="00700471"/>
    <w:rsid w:val="00700C65"/>
    <w:rsid w:val="00701610"/>
    <w:rsid w:val="00701B24"/>
    <w:rsid w:val="00702565"/>
    <w:rsid w:val="0070267B"/>
    <w:rsid w:val="00702A7C"/>
    <w:rsid w:val="00702CD7"/>
    <w:rsid w:val="00702DE6"/>
    <w:rsid w:val="00702EA5"/>
    <w:rsid w:val="00703F90"/>
    <w:rsid w:val="0070404E"/>
    <w:rsid w:val="00704098"/>
    <w:rsid w:val="0070456C"/>
    <w:rsid w:val="00704C82"/>
    <w:rsid w:val="0070603C"/>
    <w:rsid w:val="00706591"/>
    <w:rsid w:val="00706698"/>
    <w:rsid w:val="00706D7E"/>
    <w:rsid w:val="00707116"/>
    <w:rsid w:val="00707486"/>
    <w:rsid w:val="00707BAF"/>
    <w:rsid w:val="00707E8E"/>
    <w:rsid w:val="00710376"/>
    <w:rsid w:val="00710ED5"/>
    <w:rsid w:val="00711137"/>
    <w:rsid w:val="007140C0"/>
    <w:rsid w:val="007156D2"/>
    <w:rsid w:val="00715928"/>
    <w:rsid w:val="00716BEC"/>
    <w:rsid w:val="00716D62"/>
    <w:rsid w:val="00717B70"/>
    <w:rsid w:val="0072003B"/>
    <w:rsid w:val="0072130B"/>
    <w:rsid w:val="00722812"/>
    <w:rsid w:val="00722FE1"/>
    <w:rsid w:val="0072335A"/>
    <w:rsid w:val="007237C3"/>
    <w:rsid w:val="0072382C"/>
    <w:rsid w:val="0072472F"/>
    <w:rsid w:val="007247E2"/>
    <w:rsid w:val="00724BC2"/>
    <w:rsid w:val="00726B51"/>
    <w:rsid w:val="00727727"/>
    <w:rsid w:val="007278E3"/>
    <w:rsid w:val="00727D80"/>
    <w:rsid w:val="00730731"/>
    <w:rsid w:val="00730F35"/>
    <w:rsid w:val="00731760"/>
    <w:rsid w:val="00731DA0"/>
    <w:rsid w:val="007321A6"/>
    <w:rsid w:val="007359CB"/>
    <w:rsid w:val="00735B09"/>
    <w:rsid w:val="007364B7"/>
    <w:rsid w:val="00737A15"/>
    <w:rsid w:val="00737B6E"/>
    <w:rsid w:val="007400D8"/>
    <w:rsid w:val="0074145C"/>
    <w:rsid w:val="00741808"/>
    <w:rsid w:val="007419F4"/>
    <w:rsid w:val="00741D4C"/>
    <w:rsid w:val="00742B43"/>
    <w:rsid w:val="007433B0"/>
    <w:rsid w:val="007451C8"/>
    <w:rsid w:val="0074535C"/>
    <w:rsid w:val="0074572F"/>
    <w:rsid w:val="0074581C"/>
    <w:rsid w:val="00745830"/>
    <w:rsid w:val="00745899"/>
    <w:rsid w:val="00746AB9"/>
    <w:rsid w:val="00746AC2"/>
    <w:rsid w:val="00747304"/>
    <w:rsid w:val="00750078"/>
    <w:rsid w:val="00750568"/>
    <w:rsid w:val="00750BB6"/>
    <w:rsid w:val="00751245"/>
    <w:rsid w:val="00751379"/>
    <w:rsid w:val="0075164B"/>
    <w:rsid w:val="00753890"/>
    <w:rsid w:val="007538FC"/>
    <w:rsid w:val="007542BA"/>
    <w:rsid w:val="00754A2A"/>
    <w:rsid w:val="00754E95"/>
    <w:rsid w:val="00755F05"/>
    <w:rsid w:val="007561AD"/>
    <w:rsid w:val="00756737"/>
    <w:rsid w:val="007570FA"/>
    <w:rsid w:val="00757F66"/>
    <w:rsid w:val="007607C4"/>
    <w:rsid w:val="007607EC"/>
    <w:rsid w:val="00761A58"/>
    <w:rsid w:val="00762A2F"/>
    <w:rsid w:val="0076457E"/>
    <w:rsid w:val="007649AF"/>
    <w:rsid w:val="00765584"/>
    <w:rsid w:val="00765CB7"/>
    <w:rsid w:val="0076643F"/>
    <w:rsid w:val="00771045"/>
    <w:rsid w:val="00771205"/>
    <w:rsid w:val="007713BA"/>
    <w:rsid w:val="007715DD"/>
    <w:rsid w:val="00771836"/>
    <w:rsid w:val="00772CBF"/>
    <w:rsid w:val="00773C5A"/>
    <w:rsid w:val="00774375"/>
    <w:rsid w:val="007744CC"/>
    <w:rsid w:val="00774D86"/>
    <w:rsid w:val="007771C5"/>
    <w:rsid w:val="007776FF"/>
    <w:rsid w:val="0078069F"/>
    <w:rsid w:val="0078085D"/>
    <w:rsid w:val="007809DA"/>
    <w:rsid w:val="00780ED7"/>
    <w:rsid w:val="00781C89"/>
    <w:rsid w:val="007820BB"/>
    <w:rsid w:val="00782E68"/>
    <w:rsid w:val="0078305D"/>
    <w:rsid w:val="00783D1B"/>
    <w:rsid w:val="0078426B"/>
    <w:rsid w:val="00784600"/>
    <w:rsid w:val="00784DE5"/>
    <w:rsid w:val="00784FEC"/>
    <w:rsid w:val="0078587E"/>
    <w:rsid w:val="0078595F"/>
    <w:rsid w:val="00785F8D"/>
    <w:rsid w:val="00786501"/>
    <w:rsid w:val="0078748C"/>
    <w:rsid w:val="00790499"/>
    <w:rsid w:val="00790C90"/>
    <w:rsid w:val="00790F77"/>
    <w:rsid w:val="007928DA"/>
    <w:rsid w:val="00793A12"/>
    <w:rsid w:val="00795940"/>
    <w:rsid w:val="00795E01"/>
    <w:rsid w:val="00796E7A"/>
    <w:rsid w:val="007977A5"/>
    <w:rsid w:val="00797F59"/>
    <w:rsid w:val="007A13D7"/>
    <w:rsid w:val="007A17C8"/>
    <w:rsid w:val="007A18EB"/>
    <w:rsid w:val="007A1919"/>
    <w:rsid w:val="007A2423"/>
    <w:rsid w:val="007A2EC7"/>
    <w:rsid w:val="007A2F70"/>
    <w:rsid w:val="007A3293"/>
    <w:rsid w:val="007A3478"/>
    <w:rsid w:val="007A4240"/>
    <w:rsid w:val="007A44FF"/>
    <w:rsid w:val="007A496C"/>
    <w:rsid w:val="007A4980"/>
    <w:rsid w:val="007A57A6"/>
    <w:rsid w:val="007A7F31"/>
    <w:rsid w:val="007B04BF"/>
    <w:rsid w:val="007B186C"/>
    <w:rsid w:val="007B19A1"/>
    <w:rsid w:val="007B19FE"/>
    <w:rsid w:val="007B1B6A"/>
    <w:rsid w:val="007B1F5C"/>
    <w:rsid w:val="007B2769"/>
    <w:rsid w:val="007B321F"/>
    <w:rsid w:val="007B3C72"/>
    <w:rsid w:val="007B430B"/>
    <w:rsid w:val="007B4826"/>
    <w:rsid w:val="007B4C00"/>
    <w:rsid w:val="007B5867"/>
    <w:rsid w:val="007B5C21"/>
    <w:rsid w:val="007B6279"/>
    <w:rsid w:val="007B6B8A"/>
    <w:rsid w:val="007B6C22"/>
    <w:rsid w:val="007B757E"/>
    <w:rsid w:val="007B762A"/>
    <w:rsid w:val="007C09E6"/>
    <w:rsid w:val="007C10AC"/>
    <w:rsid w:val="007C16AB"/>
    <w:rsid w:val="007C2060"/>
    <w:rsid w:val="007C22DF"/>
    <w:rsid w:val="007C2818"/>
    <w:rsid w:val="007C2DA6"/>
    <w:rsid w:val="007C3334"/>
    <w:rsid w:val="007C3481"/>
    <w:rsid w:val="007C50F6"/>
    <w:rsid w:val="007C52BB"/>
    <w:rsid w:val="007C5476"/>
    <w:rsid w:val="007C58E8"/>
    <w:rsid w:val="007C6557"/>
    <w:rsid w:val="007C7402"/>
    <w:rsid w:val="007C757E"/>
    <w:rsid w:val="007C798F"/>
    <w:rsid w:val="007C7B95"/>
    <w:rsid w:val="007D0207"/>
    <w:rsid w:val="007D0309"/>
    <w:rsid w:val="007D06CB"/>
    <w:rsid w:val="007D0FFC"/>
    <w:rsid w:val="007D203B"/>
    <w:rsid w:val="007D278F"/>
    <w:rsid w:val="007D2B98"/>
    <w:rsid w:val="007D2FEE"/>
    <w:rsid w:val="007D3E9B"/>
    <w:rsid w:val="007D4C93"/>
    <w:rsid w:val="007D4FA5"/>
    <w:rsid w:val="007D69AC"/>
    <w:rsid w:val="007E02ED"/>
    <w:rsid w:val="007E12F5"/>
    <w:rsid w:val="007E13CE"/>
    <w:rsid w:val="007E1856"/>
    <w:rsid w:val="007E42C4"/>
    <w:rsid w:val="007E5338"/>
    <w:rsid w:val="007E591E"/>
    <w:rsid w:val="007E5C9F"/>
    <w:rsid w:val="007E6DAC"/>
    <w:rsid w:val="007E71C5"/>
    <w:rsid w:val="007E783F"/>
    <w:rsid w:val="007E7889"/>
    <w:rsid w:val="007F05E6"/>
    <w:rsid w:val="007F074A"/>
    <w:rsid w:val="007F076B"/>
    <w:rsid w:val="007F11B4"/>
    <w:rsid w:val="007F2DA5"/>
    <w:rsid w:val="007F410D"/>
    <w:rsid w:val="007F42BF"/>
    <w:rsid w:val="007F4A54"/>
    <w:rsid w:val="007F4B82"/>
    <w:rsid w:val="007F4F2C"/>
    <w:rsid w:val="007F4FE2"/>
    <w:rsid w:val="007F5625"/>
    <w:rsid w:val="007F6371"/>
    <w:rsid w:val="007F70EB"/>
    <w:rsid w:val="007F7AA0"/>
    <w:rsid w:val="00800983"/>
    <w:rsid w:val="00800A07"/>
    <w:rsid w:val="00800E57"/>
    <w:rsid w:val="00801B96"/>
    <w:rsid w:val="0080393B"/>
    <w:rsid w:val="00803952"/>
    <w:rsid w:val="00803F1C"/>
    <w:rsid w:val="0080488C"/>
    <w:rsid w:val="00805784"/>
    <w:rsid w:val="00805885"/>
    <w:rsid w:val="0080600E"/>
    <w:rsid w:val="00807C0F"/>
    <w:rsid w:val="0081181A"/>
    <w:rsid w:val="00812EAF"/>
    <w:rsid w:val="00813CCC"/>
    <w:rsid w:val="00815FD5"/>
    <w:rsid w:val="00817612"/>
    <w:rsid w:val="00817D2F"/>
    <w:rsid w:val="00820D73"/>
    <w:rsid w:val="008215C0"/>
    <w:rsid w:val="008218A2"/>
    <w:rsid w:val="00823A91"/>
    <w:rsid w:val="0082595F"/>
    <w:rsid w:val="00825AC2"/>
    <w:rsid w:val="00825B7F"/>
    <w:rsid w:val="00825CC2"/>
    <w:rsid w:val="00827DB7"/>
    <w:rsid w:val="0083041F"/>
    <w:rsid w:val="00830930"/>
    <w:rsid w:val="00830E88"/>
    <w:rsid w:val="008321E7"/>
    <w:rsid w:val="0083469D"/>
    <w:rsid w:val="00834E72"/>
    <w:rsid w:val="00835F5A"/>
    <w:rsid w:val="0083716D"/>
    <w:rsid w:val="008373B6"/>
    <w:rsid w:val="00837C45"/>
    <w:rsid w:val="008414A3"/>
    <w:rsid w:val="0084248C"/>
    <w:rsid w:val="008426FE"/>
    <w:rsid w:val="008459EB"/>
    <w:rsid w:val="00845C1A"/>
    <w:rsid w:val="00845CDF"/>
    <w:rsid w:val="00846865"/>
    <w:rsid w:val="00846904"/>
    <w:rsid w:val="008472FB"/>
    <w:rsid w:val="00847A8B"/>
    <w:rsid w:val="00847B26"/>
    <w:rsid w:val="008509CC"/>
    <w:rsid w:val="00850B3B"/>
    <w:rsid w:val="00851B6A"/>
    <w:rsid w:val="00852AFB"/>
    <w:rsid w:val="00853419"/>
    <w:rsid w:val="00853A23"/>
    <w:rsid w:val="00854FE3"/>
    <w:rsid w:val="00855C7B"/>
    <w:rsid w:val="00855DEF"/>
    <w:rsid w:val="008560E1"/>
    <w:rsid w:val="00856433"/>
    <w:rsid w:val="0085746D"/>
    <w:rsid w:val="00860233"/>
    <w:rsid w:val="00860453"/>
    <w:rsid w:val="00861437"/>
    <w:rsid w:val="0086147D"/>
    <w:rsid w:val="00861972"/>
    <w:rsid w:val="00861EC2"/>
    <w:rsid w:val="008628FD"/>
    <w:rsid w:val="0086292E"/>
    <w:rsid w:val="00864785"/>
    <w:rsid w:val="008648E9"/>
    <w:rsid w:val="00865279"/>
    <w:rsid w:val="00865368"/>
    <w:rsid w:val="00865A1C"/>
    <w:rsid w:val="00865C9B"/>
    <w:rsid w:val="00865D73"/>
    <w:rsid w:val="0086628D"/>
    <w:rsid w:val="008665EC"/>
    <w:rsid w:val="00866D7E"/>
    <w:rsid w:val="008678EF"/>
    <w:rsid w:val="0087014C"/>
    <w:rsid w:val="00871372"/>
    <w:rsid w:val="00871EBE"/>
    <w:rsid w:val="00872A88"/>
    <w:rsid w:val="008741A2"/>
    <w:rsid w:val="00874BEE"/>
    <w:rsid w:val="00875ABB"/>
    <w:rsid w:val="00875EC6"/>
    <w:rsid w:val="00876085"/>
    <w:rsid w:val="00877E1B"/>
    <w:rsid w:val="00880B21"/>
    <w:rsid w:val="00880F95"/>
    <w:rsid w:val="00881D67"/>
    <w:rsid w:val="00882952"/>
    <w:rsid w:val="00882C32"/>
    <w:rsid w:val="0088373B"/>
    <w:rsid w:val="00883E89"/>
    <w:rsid w:val="00883EA4"/>
    <w:rsid w:val="00884270"/>
    <w:rsid w:val="008867C0"/>
    <w:rsid w:val="008869BA"/>
    <w:rsid w:val="00887B7D"/>
    <w:rsid w:val="008903D5"/>
    <w:rsid w:val="0089156D"/>
    <w:rsid w:val="008917C2"/>
    <w:rsid w:val="00893E24"/>
    <w:rsid w:val="00893E44"/>
    <w:rsid w:val="008945B4"/>
    <w:rsid w:val="008950E0"/>
    <w:rsid w:val="0089514B"/>
    <w:rsid w:val="008969D3"/>
    <w:rsid w:val="008971D8"/>
    <w:rsid w:val="00897E12"/>
    <w:rsid w:val="008A065A"/>
    <w:rsid w:val="008A0798"/>
    <w:rsid w:val="008A0A13"/>
    <w:rsid w:val="008A0F37"/>
    <w:rsid w:val="008A0FD2"/>
    <w:rsid w:val="008A1C4B"/>
    <w:rsid w:val="008A1C95"/>
    <w:rsid w:val="008A3434"/>
    <w:rsid w:val="008A36FA"/>
    <w:rsid w:val="008A3B03"/>
    <w:rsid w:val="008A40F5"/>
    <w:rsid w:val="008A4398"/>
    <w:rsid w:val="008A4B7D"/>
    <w:rsid w:val="008A4F24"/>
    <w:rsid w:val="008A4FAC"/>
    <w:rsid w:val="008A51A9"/>
    <w:rsid w:val="008A5A80"/>
    <w:rsid w:val="008A5BF4"/>
    <w:rsid w:val="008A67CF"/>
    <w:rsid w:val="008A6DA2"/>
    <w:rsid w:val="008A6E6B"/>
    <w:rsid w:val="008A7F97"/>
    <w:rsid w:val="008A7FC7"/>
    <w:rsid w:val="008B0E6D"/>
    <w:rsid w:val="008B0EE7"/>
    <w:rsid w:val="008B14CB"/>
    <w:rsid w:val="008B1BBD"/>
    <w:rsid w:val="008B1E82"/>
    <w:rsid w:val="008B24D5"/>
    <w:rsid w:val="008B25FC"/>
    <w:rsid w:val="008B2DA9"/>
    <w:rsid w:val="008B3466"/>
    <w:rsid w:val="008B44C5"/>
    <w:rsid w:val="008B5124"/>
    <w:rsid w:val="008B6F85"/>
    <w:rsid w:val="008C00EE"/>
    <w:rsid w:val="008C253E"/>
    <w:rsid w:val="008C2789"/>
    <w:rsid w:val="008C2DF6"/>
    <w:rsid w:val="008C3661"/>
    <w:rsid w:val="008C606A"/>
    <w:rsid w:val="008C6FC4"/>
    <w:rsid w:val="008C7401"/>
    <w:rsid w:val="008C7564"/>
    <w:rsid w:val="008D0556"/>
    <w:rsid w:val="008D0E9C"/>
    <w:rsid w:val="008D307A"/>
    <w:rsid w:val="008D33C9"/>
    <w:rsid w:val="008D3C06"/>
    <w:rsid w:val="008D3F7F"/>
    <w:rsid w:val="008D43BA"/>
    <w:rsid w:val="008D6249"/>
    <w:rsid w:val="008D6303"/>
    <w:rsid w:val="008D7317"/>
    <w:rsid w:val="008D7DF4"/>
    <w:rsid w:val="008E083B"/>
    <w:rsid w:val="008E10AE"/>
    <w:rsid w:val="008E3602"/>
    <w:rsid w:val="008E3759"/>
    <w:rsid w:val="008E46CE"/>
    <w:rsid w:val="008E4DBE"/>
    <w:rsid w:val="008E53E4"/>
    <w:rsid w:val="008E5615"/>
    <w:rsid w:val="008E71E6"/>
    <w:rsid w:val="008E744D"/>
    <w:rsid w:val="008E7B4C"/>
    <w:rsid w:val="008F298E"/>
    <w:rsid w:val="008F2A35"/>
    <w:rsid w:val="008F2A73"/>
    <w:rsid w:val="008F2E03"/>
    <w:rsid w:val="008F2E1C"/>
    <w:rsid w:val="008F3BF9"/>
    <w:rsid w:val="008F3E4A"/>
    <w:rsid w:val="008F405E"/>
    <w:rsid w:val="008F4101"/>
    <w:rsid w:val="008F4522"/>
    <w:rsid w:val="008F49E6"/>
    <w:rsid w:val="008F559D"/>
    <w:rsid w:val="008F6470"/>
    <w:rsid w:val="008F7B4C"/>
    <w:rsid w:val="008F7D4D"/>
    <w:rsid w:val="008F7F3F"/>
    <w:rsid w:val="0090091F"/>
    <w:rsid w:val="009011A8"/>
    <w:rsid w:val="009021D6"/>
    <w:rsid w:val="00902845"/>
    <w:rsid w:val="009031C4"/>
    <w:rsid w:val="009041DC"/>
    <w:rsid w:val="009047EE"/>
    <w:rsid w:val="00904B4B"/>
    <w:rsid w:val="0090668D"/>
    <w:rsid w:val="00906FB8"/>
    <w:rsid w:val="00907012"/>
    <w:rsid w:val="00907CCD"/>
    <w:rsid w:val="009104B4"/>
    <w:rsid w:val="00910C14"/>
    <w:rsid w:val="009113EE"/>
    <w:rsid w:val="00912171"/>
    <w:rsid w:val="00912642"/>
    <w:rsid w:val="00913B6D"/>
    <w:rsid w:val="00914897"/>
    <w:rsid w:val="00915CDE"/>
    <w:rsid w:val="00915FDE"/>
    <w:rsid w:val="0091677E"/>
    <w:rsid w:val="0091728F"/>
    <w:rsid w:val="0091789D"/>
    <w:rsid w:val="00917ACD"/>
    <w:rsid w:val="00921023"/>
    <w:rsid w:val="00922A9F"/>
    <w:rsid w:val="00923920"/>
    <w:rsid w:val="00924D62"/>
    <w:rsid w:val="00924F0A"/>
    <w:rsid w:val="00925564"/>
    <w:rsid w:val="00925C35"/>
    <w:rsid w:val="00925FCD"/>
    <w:rsid w:val="009261A4"/>
    <w:rsid w:val="00926A46"/>
    <w:rsid w:val="00926E99"/>
    <w:rsid w:val="00927B0B"/>
    <w:rsid w:val="0093035E"/>
    <w:rsid w:val="00930ED0"/>
    <w:rsid w:val="009322FE"/>
    <w:rsid w:val="009324EB"/>
    <w:rsid w:val="0093396C"/>
    <w:rsid w:val="0093441A"/>
    <w:rsid w:val="00934829"/>
    <w:rsid w:val="0093569C"/>
    <w:rsid w:val="009356F2"/>
    <w:rsid w:val="00935735"/>
    <w:rsid w:val="009359E3"/>
    <w:rsid w:val="00935A29"/>
    <w:rsid w:val="0093658A"/>
    <w:rsid w:val="00936C4F"/>
    <w:rsid w:val="00940F2D"/>
    <w:rsid w:val="009412E0"/>
    <w:rsid w:val="0094199B"/>
    <w:rsid w:val="009424BD"/>
    <w:rsid w:val="00942A54"/>
    <w:rsid w:val="00942AA6"/>
    <w:rsid w:val="00942BBC"/>
    <w:rsid w:val="009435DC"/>
    <w:rsid w:val="00943789"/>
    <w:rsid w:val="00943C6D"/>
    <w:rsid w:val="00945138"/>
    <w:rsid w:val="00945F51"/>
    <w:rsid w:val="00946C83"/>
    <w:rsid w:val="0094702E"/>
    <w:rsid w:val="00950525"/>
    <w:rsid w:val="00950D77"/>
    <w:rsid w:val="00951A16"/>
    <w:rsid w:val="0095229E"/>
    <w:rsid w:val="00952CAA"/>
    <w:rsid w:val="00952DC4"/>
    <w:rsid w:val="0095466D"/>
    <w:rsid w:val="009546BF"/>
    <w:rsid w:val="00954940"/>
    <w:rsid w:val="00954BF7"/>
    <w:rsid w:val="00955093"/>
    <w:rsid w:val="009554F0"/>
    <w:rsid w:val="00955C80"/>
    <w:rsid w:val="00955EA3"/>
    <w:rsid w:val="0095624F"/>
    <w:rsid w:val="0095641C"/>
    <w:rsid w:val="00957A32"/>
    <w:rsid w:val="00957EF8"/>
    <w:rsid w:val="00960555"/>
    <w:rsid w:val="0096111A"/>
    <w:rsid w:val="00963233"/>
    <w:rsid w:val="0096524E"/>
    <w:rsid w:val="009653A0"/>
    <w:rsid w:val="00965F42"/>
    <w:rsid w:val="009661AD"/>
    <w:rsid w:val="009668D9"/>
    <w:rsid w:val="009668E5"/>
    <w:rsid w:val="0096706E"/>
    <w:rsid w:val="00967DF8"/>
    <w:rsid w:val="00967ECF"/>
    <w:rsid w:val="009703EC"/>
    <w:rsid w:val="009714F6"/>
    <w:rsid w:val="009720EB"/>
    <w:rsid w:val="0097237F"/>
    <w:rsid w:val="009724C3"/>
    <w:rsid w:val="00972D83"/>
    <w:rsid w:val="00973675"/>
    <w:rsid w:val="00973798"/>
    <w:rsid w:val="00973E1D"/>
    <w:rsid w:val="00973FD3"/>
    <w:rsid w:val="009753D7"/>
    <w:rsid w:val="00975E26"/>
    <w:rsid w:val="00976209"/>
    <w:rsid w:val="00976E74"/>
    <w:rsid w:val="00980D23"/>
    <w:rsid w:val="00981203"/>
    <w:rsid w:val="00981A41"/>
    <w:rsid w:val="00981FBA"/>
    <w:rsid w:val="009826CC"/>
    <w:rsid w:val="00982E24"/>
    <w:rsid w:val="009835AD"/>
    <w:rsid w:val="00983AF6"/>
    <w:rsid w:val="009843A2"/>
    <w:rsid w:val="00985A4B"/>
    <w:rsid w:val="00985A98"/>
    <w:rsid w:val="00985CF4"/>
    <w:rsid w:val="00986129"/>
    <w:rsid w:val="00986662"/>
    <w:rsid w:val="00986AEE"/>
    <w:rsid w:val="00986F77"/>
    <w:rsid w:val="009879D3"/>
    <w:rsid w:val="00991846"/>
    <w:rsid w:val="009923C3"/>
    <w:rsid w:val="00992A7F"/>
    <w:rsid w:val="009937A7"/>
    <w:rsid w:val="00994ECF"/>
    <w:rsid w:val="00995BB7"/>
    <w:rsid w:val="009967AF"/>
    <w:rsid w:val="0099714E"/>
    <w:rsid w:val="00997E99"/>
    <w:rsid w:val="009A03DC"/>
    <w:rsid w:val="009A03E7"/>
    <w:rsid w:val="009A0816"/>
    <w:rsid w:val="009A0B09"/>
    <w:rsid w:val="009A0F04"/>
    <w:rsid w:val="009A1A5D"/>
    <w:rsid w:val="009A1D2A"/>
    <w:rsid w:val="009A28FA"/>
    <w:rsid w:val="009A3692"/>
    <w:rsid w:val="009A6130"/>
    <w:rsid w:val="009A67CC"/>
    <w:rsid w:val="009A7953"/>
    <w:rsid w:val="009B07BE"/>
    <w:rsid w:val="009B1206"/>
    <w:rsid w:val="009B1525"/>
    <w:rsid w:val="009B26C8"/>
    <w:rsid w:val="009B2F9E"/>
    <w:rsid w:val="009B351F"/>
    <w:rsid w:val="009B381B"/>
    <w:rsid w:val="009B4536"/>
    <w:rsid w:val="009B5129"/>
    <w:rsid w:val="009B541A"/>
    <w:rsid w:val="009B61B2"/>
    <w:rsid w:val="009B61CE"/>
    <w:rsid w:val="009B6664"/>
    <w:rsid w:val="009B71D5"/>
    <w:rsid w:val="009B74A4"/>
    <w:rsid w:val="009B7763"/>
    <w:rsid w:val="009B7A99"/>
    <w:rsid w:val="009C0286"/>
    <w:rsid w:val="009C1615"/>
    <w:rsid w:val="009C1691"/>
    <w:rsid w:val="009C1877"/>
    <w:rsid w:val="009C1D8B"/>
    <w:rsid w:val="009C2F9F"/>
    <w:rsid w:val="009C312B"/>
    <w:rsid w:val="009C458A"/>
    <w:rsid w:val="009C4893"/>
    <w:rsid w:val="009C4D68"/>
    <w:rsid w:val="009C5423"/>
    <w:rsid w:val="009D0946"/>
    <w:rsid w:val="009D0DEE"/>
    <w:rsid w:val="009D15C7"/>
    <w:rsid w:val="009D16D3"/>
    <w:rsid w:val="009D2342"/>
    <w:rsid w:val="009D280B"/>
    <w:rsid w:val="009D3728"/>
    <w:rsid w:val="009D50C6"/>
    <w:rsid w:val="009D561E"/>
    <w:rsid w:val="009D6116"/>
    <w:rsid w:val="009D7611"/>
    <w:rsid w:val="009E075C"/>
    <w:rsid w:val="009E27A9"/>
    <w:rsid w:val="009E3488"/>
    <w:rsid w:val="009E374A"/>
    <w:rsid w:val="009E3A41"/>
    <w:rsid w:val="009E3ABD"/>
    <w:rsid w:val="009E3C23"/>
    <w:rsid w:val="009E3C4D"/>
    <w:rsid w:val="009E4906"/>
    <w:rsid w:val="009E4BB8"/>
    <w:rsid w:val="009E53DE"/>
    <w:rsid w:val="009E566A"/>
    <w:rsid w:val="009E5D2B"/>
    <w:rsid w:val="009E6FD9"/>
    <w:rsid w:val="009E7A69"/>
    <w:rsid w:val="009E7D87"/>
    <w:rsid w:val="009F08C8"/>
    <w:rsid w:val="009F0AED"/>
    <w:rsid w:val="009F0CF2"/>
    <w:rsid w:val="009F114F"/>
    <w:rsid w:val="009F1587"/>
    <w:rsid w:val="009F1B62"/>
    <w:rsid w:val="009F1ED5"/>
    <w:rsid w:val="009F24AF"/>
    <w:rsid w:val="009F24FF"/>
    <w:rsid w:val="009F297A"/>
    <w:rsid w:val="009F2CC4"/>
    <w:rsid w:val="009F3705"/>
    <w:rsid w:val="009F4AA8"/>
    <w:rsid w:val="009F54BA"/>
    <w:rsid w:val="009F6EFC"/>
    <w:rsid w:val="009F7113"/>
    <w:rsid w:val="009F76DF"/>
    <w:rsid w:val="009F76E5"/>
    <w:rsid w:val="009F7C41"/>
    <w:rsid w:val="00A011DB"/>
    <w:rsid w:val="00A014DA"/>
    <w:rsid w:val="00A03579"/>
    <w:rsid w:val="00A03B6C"/>
    <w:rsid w:val="00A03DA5"/>
    <w:rsid w:val="00A04BB7"/>
    <w:rsid w:val="00A05C64"/>
    <w:rsid w:val="00A06FEB"/>
    <w:rsid w:val="00A072E8"/>
    <w:rsid w:val="00A07CAA"/>
    <w:rsid w:val="00A10246"/>
    <w:rsid w:val="00A10403"/>
    <w:rsid w:val="00A10450"/>
    <w:rsid w:val="00A10A25"/>
    <w:rsid w:val="00A10C01"/>
    <w:rsid w:val="00A12250"/>
    <w:rsid w:val="00A13A94"/>
    <w:rsid w:val="00A13E1D"/>
    <w:rsid w:val="00A14D37"/>
    <w:rsid w:val="00A15A9B"/>
    <w:rsid w:val="00A15C9A"/>
    <w:rsid w:val="00A1636C"/>
    <w:rsid w:val="00A163A4"/>
    <w:rsid w:val="00A1688B"/>
    <w:rsid w:val="00A169DC"/>
    <w:rsid w:val="00A17625"/>
    <w:rsid w:val="00A17E82"/>
    <w:rsid w:val="00A2015A"/>
    <w:rsid w:val="00A20B65"/>
    <w:rsid w:val="00A20F5F"/>
    <w:rsid w:val="00A213FD"/>
    <w:rsid w:val="00A21E68"/>
    <w:rsid w:val="00A22B7B"/>
    <w:rsid w:val="00A23924"/>
    <w:rsid w:val="00A24331"/>
    <w:rsid w:val="00A24409"/>
    <w:rsid w:val="00A2456A"/>
    <w:rsid w:val="00A25C0A"/>
    <w:rsid w:val="00A27314"/>
    <w:rsid w:val="00A27AA6"/>
    <w:rsid w:val="00A3109B"/>
    <w:rsid w:val="00A31451"/>
    <w:rsid w:val="00A31CB0"/>
    <w:rsid w:val="00A32364"/>
    <w:rsid w:val="00A3286C"/>
    <w:rsid w:val="00A328B3"/>
    <w:rsid w:val="00A32D38"/>
    <w:rsid w:val="00A34273"/>
    <w:rsid w:val="00A34F17"/>
    <w:rsid w:val="00A36168"/>
    <w:rsid w:val="00A36E16"/>
    <w:rsid w:val="00A3773C"/>
    <w:rsid w:val="00A37DA9"/>
    <w:rsid w:val="00A40463"/>
    <w:rsid w:val="00A40CED"/>
    <w:rsid w:val="00A411A7"/>
    <w:rsid w:val="00A43458"/>
    <w:rsid w:val="00A438C4"/>
    <w:rsid w:val="00A438F6"/>
    <w:rsid w:val="00A444C4"/>
    <w:rsid w:val="00A445B3"/>
    <w:rsid w:val="00A447CD"/>
    <w:rsid w:val="00A44B56"/>
    <w:rsid w:val="00A467D6"/>
    <w:rsid w:val="00A47174"/>
    <w:rsid w:val="00A47A8D"/>
    <w:rsid w:val="00A47CBE"/>
    <w:rsid w:val="00A47D0B"/>
    <w:rsid w:val="00A500DA"/>
    <w:rsid w:val="00A50201"/>
    <w:rsid w:val="00A5028C"/>
    <w:rsid w:val="00A502E8"/>
    <w:rsid w:val="00A50CF2"/>
    <w:rsid w:val="00A51C8A"/>
    <w:rsid w:val="00A52375"/>
    <w:rsid w:val="00A5251F"/>
    <w:rsid w:val="00A527E1"/>
    <w:rsid w:val="00A528D1"/>
    <w:rsid w:val="00A53D13"/>
    <w:rsid w:val="00A53D23"/>
    <w:rsid w:val="00A542D1"/>
    <w:rsid w:val="00A54A91"/>
    <w:rsid w:val="00A54E22"/>
    <w:rsid w:val="00A55776"/>
    <w:rsid w:val="00A5736F"/>
    <w:rsid w:val="00A60093"/>
    <w:rsid w:val="00A60243"/>
    <w:rsid w:val="00A60D01"/>
    <w:rsid w:val="00A611B1"/>
    <w:rsid w:val="00A618DF"/>
    <w:rsid w:val="00A6269C"/>
    <w:rsid w:val="00A6287A"/>
    <w:rsid w:val="00A62FDE"/>
    <w:rsid w:val="00A63958"/>
    <w:rsid w:val="00A644C1"/>
    <w:rsid w:val="00A64DA8"/>
    <w:rsid w:val="00A64EE8"/>
    <w:rsid w:val="00A64F5F"/>
    <w:rsid w:val="00A650D1"/>
    <w:rsid w:val="00A669C6"/>
    <w:rsid w:val="00A66BE5"/>
    <w:rsid w:val="00A709DB"/>
    <w:rsid w:val="00A70FA6"/>
    <w:rsid w:val="00A71D99"/>
    <w:rsid w:val="00A731AE"/>
    <w:rsid w:val="00A7605D"/>
    <w:rsid w:val="00A774E2"/>
    <w:rsid w:val="00A77577"/>
    <w:rsid w:val="00A7774D"/>
    <w:rsid w:val="00A80C1E"/>
    <w:rsid w:val="00A81D28"/>
    <w:rsid w:val="00A8335C"/>
    <w:rsid w:val="00A83527"/>
    <w:rsid w:val="00A83588"/>
    <w:rsid w:val="00A84A45"/>
    <w:rsid w:val="00A84A53"/>
    <w:rsid w:val="00A84B01"/>
    <w:rsid w:val="00A864B0"/>
    <w:rsid w:val="00A871CA"/>
    <w:rsid w:val="00A87FF5"/>
    <w:rsid w:val="00A91C87"/>
    <w:rsid w:val="00A91F89"/>
    <w:rsid w:val="00A92714"/>
    <w:rsid w:val="00A92784"/>
    <w:rsid w:val="00A92DCA"/>
    <w:rsid w:val="00A93A8A"/>
    <w:rsid w:val="00A947C6"/>
    <w:rsid w:val="00A94E7D"/>
    <w:rsid w:val="00A95F1A"/>
    <w:rsid w:val="00A978E7"/>
    <w:rsid w:val="00A97B11"/>
    <w:rsid w:val="00A97CDE"/>
    <w:rsid w:val="00AA00C2"/>
    <w:rsid w:val="00AA0705"/>
    <w:rsid w:val="00AA10C4"/>
    <w:rsid w:val="00AA23D3"/>
    <w:rsid w:val="00AA33AF"/>
    <w:rsid w:val="00AA43EE"/>
    <w:rsid w:val="00AA4746"/>
    <w:rsid w:val="00AA57B5"/>
    <w:rsid w:val="00AA5C88"/>
    <w:rsid w:val="00AA6345"/>
    <w:rsid w:val="00AA792C"/>
    <w:rsid w:val="00AA7A2C"/>
    <w:rsid w:val="00AA7E8A"/>
    <w:rsid w:val="00AB069C"/>
    <w:rsid w:val="00AB0745"/>
    <w:rsid w:val="00AB097B"/>
    <w:rsid w:val="00AB2004"/>
    <w:rsid w:val="00AB2F3B"/>
    <w:rsid w:val="00AB30C2"/>
    <w:rsid w:val="00AB3118"/>
    <w:rsid w:val="00AB352F"/>
    <w:rsid w:val="00AB3712"/>
    <w:rsid w:val="00AB4F85"/>
    <w:rsid w:val="00AB55B8"/>
    <w:rsid w:val="00AB5A7B"/>
    <w:rsid w:val="00AB6166"/>
    <w:rsid w:val="00AB7134"/>
    <w:rsid w:val="00AC043D"/>
    <w:rsid w:val="00AC045C"/>
    <w:rsid w:val="00AC0531"/>
    <w:rsid w:val="00AC2C74"/>
    <w:rsid w:val="00AC313B"/>
    <w:rsid w:val="00AC32D7"/>
    <w:rsid w:val="00AC388E"/>
    <w:rsid w:val="00AC4106"/>
    <w:rsid w:val="00AC4C5A"/>
    <w:rsid w:val="00AC4E50"/>
    <w:rsid w:val="00AC4F7C"/>
    <w:rsid w:val="00AC619C"/>
    <w:rsid w:val="00AC6AE6"/>
    <w:rsid w:val="00AC7F4D"/>
    <w:rsid w:val="00AD1164"/>
    <w:rsid w:val="00AD1257"/>
    <w:rsid w:val="00AD1759"/>
    <w:rsid w:val="00AD1E27"/>
    <w:rsid w:val="00AD29F5"/>
    <w:rsid w:val="00AD2BC6"/>
    <w:rsid w:val="00AD34D9"/>
    <w:rsid w:val="00AD37C1"/>
    <w:rsid w:val="00AD38AF"/>
    <w:rsid w:val="00AD38E9"/>
    <w:rsid w:val="00AD4435"/>
    <w:rsid w:val="00AD452E"/>
    <w:rsid w:val="00AD4A7C"/>
    <w:rsid w:val="00AD4CD7"/>
    <w:rsid w:val="00AD4E05"/>
    <w:rsid w:val="00AD5EB5"/>
    <w:rsid w:val="00AD7A33"/>
    <w:rsid w:val="00AE0DEC"/>
    <w:rsid w:val="00AE1302"/>
    <w:rsid w:val="00AE15A9"/>
    <w:rsid w:val="00AE1F0C"/>
    <w:rsid w:val="00AE38BC"/>
    <w:rsid w:val="00AE448F"/>
    <w:rsid w:val="00AE4C43"/>
    <w:rsid w:val="00AE5D8B"/>
    <w:rsid w:val="00AE6271"/>
    <w:rsid w:val="00AE66EC"/>
    <w:rsid w:val="00AE6AE5"/>
    <w:rsid w:val="00AE6F91"/>
    <w:rsid w:val="00AF0440"/>
    <w:rsid w:val="00AF04C9"/>
    <w:rsid w:val="00AF0C26"/>
    <w:rsid w:val="00AF22CE"/>
    <w:rsid w:val="00AF24AF"/>
    <w:rsid w:val="00AF2782"/>
    <w:rsid w:val="00AF3344"/>
    <w:rsid w:val="00AF3895"/>
    <w:rsid w:val="00AF5571"/>
    <w:rsid w:val="00AF6831"/>
    <w:rsid w:val="00AF79FA"/>
    <w:rsid w:val="00B016BF"/>
    <w:rsid w:val="00B016EF"/>
    <w:rsid w:val="00B01D8D"/>
    <w:rsid w:val="00B033E8"/>
    <w:rsid w:val="00B03D29"/>
    <w:rsid w:val="00B057C9"/>
    <w:rsid w:val="00B05FCA"/>
    <w:rsid w:val="00B0667E"/>
    <w:rsid w:val="00B06BF4"/>
    <w:rsid w:val="00B124E6"/>
    <w:rsid w:val="00B1479A"/>
    <w:rsid w:val="00B14837"/>
    <w:rsid w:val="00B1519B"/>
    <w:rsid w:val="00B160A4"/>
    <w:rsid w:val="00B167E9"/>
    <w:rsid w:val="00B16FF4"/>
    <w:rsid w:val="00B1724A"/>
    <w:rsid w:val="00B17E2C"/>
    <w:rsid w:val="00B207F5"/>
    <w:rsid w:val="00B20B83"/>
    <w:rsid w:val="00B21064"/>
    <w:rsid w:val="00B211D5"/>
    <w:rsid w:val="00B21BC5"/>
    <w:rsid w:val="00B22C40"/>
    <w:rsid w:val="00B23A86"/>
    <w:rsid w:val="00B24843"/>
    <w:rsid w:val="00B27127"/>
    <w:rsid w:val="00B2728E"/>
    <w:rsid w:val="00B2742E"/>
    <w:rsid w:val="00B301E8"/>
    <w:rsid w:val="00B30278"/>
    <w:rsid w:val="00B314DB"/>
    <w:rsid w:val="00B316A7"/>
    <w:rsid w:val="00B31EBE"/>
    <w:rsid w:val="00B329C9"/>
    <w:rsid w:val="00B3469B"/>
    <w:rsid w:val="00B34B9E"/>
    <w:rsid w:val="00B34D82"/>
    <w:rsid w:val="00B36E37"/>
    <w:rsid w:val="00B3718B"/>
    <w:rsid w:val="00B37C3B"/>
    <w:rsid w:val="00B404E9"/>
    <w:rsid w:val="00B418CA"/>
    <w:rsid w:val="00B41AAC"/>
    <w:rsid w:val="00B424CD"/>
    <w:rsid w:val="00B4294C"/>
    <w:rsid w:val="00B42AA4"/>
    <w:rsid w:val="00B42ABC"/>
    <w:rsid w:val="00B42FB2"/>
    <w:rsid w:val="00B432D6"/>
    <w:rsid w:val="00B44EEE"/>
    <w:rsid w:val="00B44F4C"/>
    <w:rsid w:val="00B45BE7"/>
    <w:rsid w:val="00B45ECD"/>
    <w:rsid w:val="00B46033"/>
    <w:rsid w:val="00B46313"/>
    <w:rsid w:val="00B4632A"/>
    <w:rsid w:val="00B478B1"/>
    <w:rsid w:val="00B478C4"/>
    <w:rsid w:val="00B506F8"/>
    <w:rsid w:val="00B50B12"/>
    <w:rsid w:val="00B50F68"/>
    <w:rsid w:val="00B5149E"/>
    <w:rsid w:val="00B515A8"/>
    <w:rsid w:val="00B52A4B"/>
    <w:rsid w:val="00B5358C"/>
    <w:rsid w:val="00B540E8"/>
    <w:rsid w:val="00B54802"/>
    <w:rsid w:val="00B553D0"/>
    <w:rsid w:val="00B55E95"/>
    <w:rsid w:val="00B574EE"/>
    <w:rsid w:val="00B575D6"/>
    <w:rsid w:val="00B60E25"/>
    <w:rsid w:val="00B62894"/>
    <w:rsid w:val="00B62BC0"/>
    <w:rsid w:val="00B63572"/>
    <w:rsid w:val="00B63577"/>
    <w:rsid w:val="00B64D22"/>
    <w:rsid w:val="00B673F4"/>
    <w:rsid w:val="00B67539"/>
    <w:rsid w:val="00B70462"/>
    <w:rsid w:val="00B7194C"/>
    <w:rsid w:val="00B72E00"/>
    <w:rsid w:val="00B73454"/>
    <w:rsid w:val="00B73D06"/>
    <w:rsid w:val="00B74DAF"/>
    <w:rsid w:val="00B75961"/>
    <w:rsid w:val="00B75C1F"/>
    <w:rsid w:val="00B75D57"/>
    <w:rsid w:val="00B765F1"/>
    <w:rsid w:val="00B76BE8"/>
    <w:rsid w:val="00B77B09"/>
    <w:rsid w:val="00B77B2B"/>
    <w:rsid w:val="00B801CB"/>
    <w:rsid w:val="00B83A9C"/>
    <w:rsid w:val="00B84FC7"/>
    <w:rsid w:val="00B85791"/>
    <w:rsid w:val="00B85B6B"/>
    <w:rsid w:val="00B8646F"/>
    <w:rsid w:val="00B86577"/>
    <w:rsid w:val="00B8664E"/>
    <w:rsid w:val="00B868A4"/>
    <w:rsid w:val="00B871DF"/>
    <w:rsid w:val="00B8786D"/>
    <w:rsid w:val="00B90178"/>
    <w:rsid w:val="00B9089A"/>
    <w:rsid w:val="00B913F9"/>
    <w:rsid w:val="00B920B7"/>
    <w:rsid w:val="00B926B1"/>
    <w:rsid w:val="00B92DC9"/>
    <w:rsid w:val="00B933E4"/>
    <w:rsid w:val="00B945B3"/>
    <w:rsid w:val="00B96AD9"/>
    <w:rsid w:val="00BA0089"/>
    <w:rsid w:val="00BA06DA"/>
    <w:rsid w:val="00BA0E3E"/>
    <w:rsid w:val="00BA11D2"/>
    <w:rsid w:val="00BA198F"/>
    <w:rsid w:val="00BA19D1"/>
    <w:rsid w:val="00BA1D41"/>
    <w:rsid w:val="00BA276C"/>
    <w:rsid w:val="00BA2988"/>
    <w:rsid w:val="00BA3099"/>
    <w:rsid w:val="00BA3133"/>
    <w:rsid w:val="00BA31DF"/>
    <w:rsid w:val="00BA483C"/>
    <w:rsid w:val="00BA48C0"/>
    <w:rsid w:val="00BA6FFA"/>
    <w:rsid w:val="00BA7984"/>
    <w:rsid w:val="00BB151F"/>
    <w:rsid w:val="00BB16BE"/>
    <w:rsid w:val="00BB285D"/>
    <w:rsid w:val="00BB3066"/>
    <w:rsid w:val="00BB306F"/>
    <w:rsid w:val="00BB31F9"/>
    <w:rsid w:val="00BB3466"/>
    <w:rsid w:val="00BB356D"/>
    <w:rsid w:val="00BB36D4"/>
    <w:rsid w:val="00BB413D"/>
    <w:rsid w:val="00BB438F"/>
    <w:rsid w:val="00BB4587"/>
    <w:rsid w:val="00BB521F"/>
    <w:rsid w:val="00BB53AD"/>
    <w:rsid w:val="00BB5A59"/>
    <w:rsid w:val="00BB6D96"/>
    <w:rsid w:val="00BB78FE"/>
    <w:rsid w:val="00BB7B0A"/>
    <w:rsid w:val="00BB7C2F"/>
    <w:rsid w:val="00BB7C52"/>
    <w:rsid w:val="00BC04F8"/>
    <w:rsid w:val="00BC0C11"/>
    <w:rsid w:val="00BC1FAD"/>
    <w:rsid w:val="00BC2154"/>
    <w:rsid w:val="00BC243A"/>
    <w:rsid w:val="00BC2C00"/>
    <w:rsid w:val="00BC35EB"/>
    <w:rsid w:val="00BC397C"/>
    <w:rsid w:val="00BC5C8F"/>
    <w:rsid w:val="00BC5E67"/>
    <w:rsid w:val="00BC6061"/>
    <w:rsid w:val="00BC68ED"/>
    <w:rsid w:val="00BC6FB1"/>
    <w:rsid w:val="00BC73B5"/>
    <w:rsid w:val="00BC7FDD"/>
    <w:rsid w:val="00BD078A"/>
    <w:rsid w:val="00BD10AC"/>
    <w:rsid w:val="00BD232B"/>
    <w:rsid w:val="00BD2C5B"/>
    <w:rsid w:val="00BD3469"/>
    <w:rsid w:val="00BD356C"/>
    <w:rsid w:val="00BD393F"/>
    <w:rsid w:val="00BD4B89"/>
    <w:rsid w:val="00BD5B66"/>
    <w:rsid w:val="00BD7F14"/>
    <w:rsid w:val="00BE0098"/>
    <w:rsid w:val="00BE014C"/>
    <w:rsid w:val="00BE118B"/>
    <w:rsid w:val="00BE1438"/>
    <w:rsid w:val="00BE14B2"/>
    <w:rsid w:val="00BE201A"/>
    <w:rsid w:val="00BE35D9"/>
    <w:rsid w:val="00BE36D7"/>
    <w:rsid w:val="00BE4872"/>
    <w:rsid w:val="00BE4C89"/>
    <w:rsid w:val="00BE5BDB"/>
    <w:rsid w:val="00BE60A3"/>
    <w:rsid w:val="00BE6182"/>
    <w:rsid w:val="00BE6B74"/>
    <w:rsid w:val="00BE6FA8"/>
    <w:rsid w:val="00BE7E23"/>
    <w:rsid w:val="00BF0063"/>
    <w:rsid w:val="00BF023A"/>
    <w:rsid w:val="00BF08CB"/>
    <w:rsid w:val="00BF0EF8"/>
    <w:rsid w:val="00BF1F10"/>
    <w:rsid w:val="00BF2000"/>
    <w:rsid w:val="00BF2523"/>
    <w:rsid w:val="00BF2939"/>
    <w:rsid w:val="00BF334F"/>
    <w:rsid w:val="00BF4865"/>
    <w:rsid w:val="00BF4871"/>
    <w:rsid w:val="00BF4AF7"/>
    <w:rsid w:val="00BF6351"/>
    <w:rsid w:val="00BF7C42"/>
    <w:rsid w:val="00C0028D"/>
    <w:rsid w:val="00C010E4"/>
    <w:rsid w:val="00C01451"/>
    <w:rsid w:val="00C01BA5"/>
    <w:rsid w:val="00C03059"/>
    <w:rsid w:val="00C0391B"/>
    <w:rsid w:val="00C03A29"/>
    <w:rsid w:val="00C03B76"/>
    <w:rsid w:val="00C04473"/>
    <w:rsid w:val="00C056D8"/>
    <w:rsid w:val="00C065BC"/>
    <w:rsid w:val="00C070BA"/>
    <w:rsid w:val="00C07884"/>
    <w:rsid w:val="00C101BC"/>
    <w:rsid w:val="00C11023"/>
    <w:rsid w:val="00C12FE4"/>
    <w:rsid w:val="00C144E7"/>
    <w:rsid w:val="00C14557"/>
    <w:rsid w:val="00C14701"/>
    <w:rsid w:val="00C14CE0"/>
    <w:rsid w:val="00C1525C"/>
    <w:rsid w:val="00C1586E"/>
    <w:rsid w:val="00C16D95"/>
    <w:rsid w:val="00C21389"/>
    <w:rsid w:val="00C2142B"/>
    <w:rsid w:val="00C21569"/>
    <w:rsid w:val="00C21762"/>
    <w:rsid w:val="00C224DF"/>
    <w:rsid w:val="00C22DD6"/>
    <w:rsid w:val="00C2324A"/>
    <w:rsid w:val="00C23BA8"/>
    <w:rsid w:val="00C24049"/>
    <w:rsid w:val="00C24543"/>
    <w:rsid w:val="00C24E63"/>
    <w:rsid w:val="00C256A2"/>
    <w:rsid w:val="00C25808"/>
    <w:rsid w:val="00C26A69"/>
    <w:rsid w:val="00C31770"/>
    <w:rsid w:val="00C3238A"/>
    <w:rsid w:val="00C32A61"/>
    <w:rsid w:val="00C338B0"/>
    <w:rsid w:val="00C33D69"/>
    <w:rsid w:val="00C33EB0"/>
    <w:rsid w:val="00C33F19"/>
    <w:rsid w:val="00C340DC"/>
    <w:rsid w:val="00C3492D"/>
    <w:rsid w:val="00C34E6A"/>
    <w:rsid w:val="00C34F68"/>
    <w:rsid w:val="00C35CD6"/>
    <w:rsid w:val="00C3629F"/>
    <w:rsid w:val="00C36934"/>
    <w:rsid w:val="00C36E35"/>
    <w:rsid w:val="00C378D1"/>
    <w:rsid w:val="00C40251"/>
    <w:rsid w:val="00C40496"/>
    <w:rsid w:val="00C4068A"/>
    <w:rsid w:val="00C40941"/>
    <w:rsid w:val="00C41602"/>
    <w:rsid w:val="00C41AB9"/>
    <w:rsid w:val="00C423E4"/>
    <w:rsid w:val="00C43FC7"/>
    <w:rsid w:val="00C442DF"/>
    <w:rsid w:val="00C443E8"/>
    <w:rsid w:val="00C44886"/>
    <w:rsid w:val="00C44ECB"/>
    <w:rsid w:val="00C45555"/>
    <w:rsid w:val="00C45976"/>
    <w:rsid w:val="00C45A93"/>
    <w:rsid w:val="00C4696E"/>
    <w:rsid w:val="00C46A80"/>
    <w:rsid w:val="00C4716E"/>
    <w:rsid w:val="00C47791"/>
    <w:rsid w:val="00C4793D"/>
    <w:rsid w:val="00C47E39"/>
    <w:rsid w:val="00C506EB"/>
    <w:rsid w:val="00C50A5C"/>
    <w:rsid w:val="00C50C1E"/>
    <w:rsid w:val="00C51288"/>
    <w:rsid w:val="00C53133"/>
    <w:rsid w:val="00C53F60"/>
    <w:rsid w:val="00C546AB"/>
    <w:rsid w:val="00C5474E"/>
    <w:rsid w:val="00C548FA"/>
    <w:rsid w:val="00C55378"/>
    <w:rsid w:val="00C55560"/>
    <w:rsid w:val="00C573C7"/>
    <w:rsid w:val="00C60506"/>
    <w:rsid w:val="00C60644"/>
    <w:rsid w:val="00C61997"/>
    <w:rsid w:val="00C62393"/>
    <w:rsid w:val="00C6266E"/>
    <w:rsid w:val="00C62BF4"/>
    <w:rsid w:val="00C65357"/>
    <w:rsid w:val="00C669C1"/>
    <w:rsid w:val="00C66B72"/>
    <w:rsid w:val="00C674CD"/>
    <w:rsid w:val="00C67F18"/>
    <w:rsid w:val="00C7147D"/>
    <w:rsid w:val="00C714BB"/>
    <w:rsid w:val="00C7205C"/>
    <w:rsid w:val="00C7262E"/>
    <w:rsid w:val="00C7275B"/>
    <w:rsid w:val="00C7281A"/>
    <w:rsid w:val="00C731F7"/>
    <w:rsid w:val="00C73487"/>
    <w:rsid w:val="00C74AAA"/>
    <w:rsid w:val="00C74C37"/>
    <w:rsid w:val="00C7526E"/>
    <w:rsid w:val="00C75A4F"/>
    <w:rsid w:val="00C75E68"/>
    <w:rsid w:val="00C76135"/>
    <w:rsid w:val="00C768EA"/>
    <w:rsid w:val="00C76EBB"/>
    <w:rsid w:val="00C77013"/>
    <w:rsid w:val="00C771A2"/>
    <w:rsid w:val="00C77F47"/>
    <w:rsid w:val="00C80BAC"/>
    <w:rsid w:val="00C81339"/>
    <w:rsid w:val="00C81378"/>
    <w:rsid w:val="00C81FBE"/>
    <w:rsid w:val="00C82267"/>
    <w:rsid w:val="00C82B0B"/>
    <w:rsid w:val="00C84B0E"/>
    <w:rsid w:val="00C84E16"/>
    <w:rsid w:val="00C850FD"/>
    <w:rsid w:val="00C85897"/>
    <w:rsid w:val="00C85CF6"/>
    <w:rsid w:val="00C85DDE"/>
    <w:rsid w:val="00C866C0"/>
    <w:rsid w:val="00C86C06"/>
    <w:rsid w:val="00C8737F"/>
    <w:rsid w:val="00C9055F"/>
    <w:rsid w:val="00C921FC"/>
    <w:rsid w:val="00C92B1B"/>
    <w:rsid w:val="00C92CF7"/>
    <w:rsid w:val="00C936C3"/>
    <w:rsid w:val="00C949E2"/>
    <w:rsid w:val="00C94BF5"/>
    <w:rsid w:val="00C9567A"/>
    <w:rsid w:val="00C957E5"/>
    <w:rsid w:val="00C95BF6"/>
    <w:rsid w:val="00C96035"/>
    <w:rsid w:val="00C9670F"/>
    <w:rsid w:val="00C96AF3"/>
    <w:rsid w:val="00C96BFF"/>
    <w:rsid w:val="00C974F4"/>
    <w:rsid w:val="00CA00C2"/>
    <w:rsid w:val="00CA0E2F"/>
    <w:rsid w:val="00CA249C"/>
    <w:rsid w:val="00CA28C5"/>
    <w:rsid w:val="00CA2934"/>
    <w:rsid w:val="00CA3C02"/>
    <w:rsid w:val="00CA43BB"/>
    <w:rsid w:val="00CA44E8"/>
    <w:rsid w:val="00CA53D1"/>
    <w:rsid w:val="00CA61E3"/>
    <w:rsid w:val="00CA65F1"/>
    <w:rsid w:val="00CA6E49"/>
    <w:rsid w:val="00CB004A"/>
    <w:rsid w:val="00CB088F"/>
    <w:rsid w:val="00CB13BC"/>
    <w:rsid w:val="00CB17C1"/>
    <w:rsid w:val="00CB1A0B"/>
    <w:rsid w:val="00CB2422"/>
    <w:rsid w:val="00CB2660"/>
    <w:rsid w:val="00CB2A1A"/>
    <w:rsid w:val="00CB3738"/>
    <w:rsid w:val="00CB3827"/>
    <w:rsid w:val="00CB3A1A"/>
    <w:rsid w:val="00CB6764"/>
    <w:rsid w:val="00CB712B"/>
    <w:rsid w:val="00CB7A42"/>
    <w:rsid w:val="00CB7ECA"/>
    <w:rsid w:val="00CC0D91"/>
    <w:rsid w:val="00CC20D7"/>
    <w:rsid w:val="00CC30E5"/>
    <w:rsid w:val="00CC5E13"/>
    <w:rsid w:val="00CC5E90"/>
    <w:rsid w:val="00CC6B6C"/>
    <w:rsid w:val="00CD046C"/>
    <w:rsid w:val="00CD2EE9"/>
    <w:rsid w:val="00CD36BA"/>
    <w:rsid w:val="00CD4A63"/>
    <w:rsid w:val="00CD4D5A"/>
    <w:rsid w:val="00CD6BCF"/>
    <w:rsid w:val="00CD7BB2"/>
    <w:rsid w:val="00CE1390"/>
    <w:rsid w:val="00CE4868"/>
    <w:rsid w:val="00CE4999"/>
    <w:rsid w:val="00CE5199"/>
    <w:rsid w:val="00CE6543"/>
    <w:rsid w:val="00CE66D5"/>
    <w:rsid w:val="00CE6E2C"/>
    <w:rsid w:val="00CF0E6C"/>
    <w:rsid w:val="00CF100C"/>
    <w:rsid w:val="00CF1FF5"/>
    <w:rsid w:val="00CF24B3"/>
    <w:rsid w:val="00CF2824"/>
    <w:rsid w:val="00CF3EBB"/>
    <w:rsid w:val="00CF4138"/>
    <w:rsid w:val="00CF439C"/>
    <w:rsid w:val="00CF449A"/>
    <w:rsid w:val="00CF5539"/>
    <w:rsid w:val="00CF6754"/>
    <w:rsid w:val="00CF768E"/>
    <w:rsid w:val="00CF7CF2"/>
    <w:rsid w:val="00D002FC"/>
    <w:rsid w:val="00D00C23"/>
    <w:rsid w:val="00D02B96"/>
    <w:rsid w:val="00D02E9F"/>
    <w:rsid w:val="00D03633"/>
    <w:rsid w:val="00D03C39"/>
    <w:rsid w:val="00D04137"/>
    <w:rsid w:val="00D04674"/>
    <w:rsid w:val="00D05066"/>
    <w:rsid w:val="00D07439"/>
    <w:rsid w:val="00D074C6"/>
    <w:rsid w:val="00D0799B"/>
    <w:rsid w:val="00D07A1B"/>
    <w:rsid w:val="00D07CEC"/>
    <w:rsid w:val="00D10133"/>
    <w:rsid w:val="00D11349"/>
    <w:rsid w:val="00D1169D"/>
    <w:rsid w:val="00D11888"/>
    <w:rsid w:val="00D12D6C"/>
    <w:rsid w:val="00D14582"/>
    <w:rsid w:val="00D14B21"/>
    <w:rsid w:val="00D15ABB"/>
    <w:rsid w:val="00D15E54"/>
    <w:rsid w:val="00D16299"/>
    <w:rsid w:val="00D16C41"/>
    <w:rsid w:val="00D203AC"/>
    <w:rsid w:val="00D20D54"/>
    <w:rsid w:val="00D211D9"/>
    <w:rsid w:val="00D2131F"/>
    <w:rsid w:val="00D21D95"/>
    <w:rsid w:val="00D21DA2"/>
    <w:rsid w:val="00D2250C"/>
    <w:rsid w:val="00D22F94"/>
    <w:rsid w:val="00D2345D"/>
    <w:rsid w:val="00D23785"/>
    <w:rsid w:val="00D24291"/>
    <w:rsid w:val="00D2456B"/>
    <w:rsid w:val="00D25889"/>
    <w:rsid w:val="00D25C75"/>
    <w:rsid w:val="00D27FBF"/>
    <w:rsid w:val="00D31A13"/>
    <w:rsid w:val="00D32D94"/>
    <w:rsid w:val="00D340AA"/>
    <w:rsid w:val="00D34155"/>
    <w:rsid w:val="00D3442A"/>
    <w:rsid w:val="00D34786"/>
    <w:rsid w:val="00D35103"/>
    <w:rsid w:val="00D35609"/>
    <w:rsid w:val="00D36696"/>
    <w:rsid w:val="00D36A2C"/>
    <w:rsid w:val="00D37539"/>
    <w:rsid w:val="00D4040F"/>
    <w:rsid w:val="00D40A1E"/>
    <w:rsid w:val="00D41308"/>
    <w:rsid w:val="00D419CA"/>
    <w:rsid w:val="00D41DE7"/>
    <w:rsid w:val="00D42BAB"/>
    <w:rsid w:val="00D43C78"/>
    <w:rsid w:val="00D44A80"/>
    <w:rsid w:val="00D44B04"/>
    <w:rsid w:val="00D44B3B"/>
    <w:rsid w:val="00D44BDF"/>
    <w:rsid w:val="00D45150"/>
    <w:rsid w:val="00D45500"/>
    <w:rsid w:val="00D46CDC"/>
    <w:rsid w:val="00D47631"/>
    <w:rsid w:val="00D47E97"/>
    <w:rsid w:val="00D5025B"/>
    <w:rsid w:val="00D50AFF"/>
    <w:rsid w:val="00D512DC"/>
    <w:rsid w:val="00D5170F"/>
    <w:rsid w:val="00D52B5B"/>
    <w:rsid w:val="00D532B4"/>
    <w:rsid w:val="00D537DA"/>
    <w:rsid w:val="00D53F3D"/>
    <w:rsid w:val="00D54FB1"/>
    <w:rsid w:val="00D54FD9"/>
    <w:rsid w:val="00D558C4"/>
    <w:rsid w:val="00D55C50"/>
    <w:rsid w:val="00D55D01"/>
    <w:rsid w:val="00D568A0"/>
    <w:rsid w:val="00D57019"/>
    <w:rsid w:val="00D57833"/>
    <w:rsid w:val="00D6092C"/>
    <w:rsid w:val="00D61163"/>
    <w:rsid w:val="00D6144B"/>
    <w:rsid w:val="00D61965"/>
    <w:rsid w:val="00D623FB"/>
    <w:rsid w:val="00D6258E"/>
    <w:rsid w:val="00D62BD0"/>
    <w:rsid w:val="00D62FFA"/>
    <w:rsid w:val="00D63033"/>
    <w:rsid w:val="00D63233"/>
    <w:rsid w:val="00D65E4F"/>
    <w:rsid w:val="00D6603B"/>
    <w:rsid w:val="00D677D5"/>
    <w:rsid w:val="00D712D3"/>
    <w:rsid w:val="00D71422"/>
    <w:rsid w:val="00D7145E"/>
    <w:rsid w:val="00D71A30"/>
    <w:rsid w:val="00D72985"/>
    <w:rsid w:val="00D7314E"/>
    <w:rsid w:val="00D73376"/>
    <w:rsid w:val="00D73E27"/>
    <w:rsid w:val="00D74A1F"/>
    <w:rsid w:val="00D74B5B"/>
    <w:rsid w:val="00D74C5C"/>
    <w:rsid w:val="00D74C93"/>
    <w:rsid w:val="00D74F68"/>
    <w:rsid w:val="00D7558D"/>
    <w:rsid w:val="00D76163"/>
    <w:rsid w:val="00D76232"/>
    <w:rsid w:val="00D7649A"/>
    <w:rsid w:val="00D77629"/>
    <w:rsid w:val="00D77769"/>
    <w:rsid w:val="00D80137"/>
    <w:rsid w:val="00D80440"/>
    <w:rsid w:val="00D811FF"/>
    <w:rsid w:val="00D81D92"/>
    <w:rsid w:val="00D826A0"/>
    <w:rsid w:val="00D82EA8"/>
    <w:rsid w:val="00D838BE"/>
    <w:rsid w:val="00D83DD3"/>
    <w:rsid w:val="00D83FFE"/>
    <w:rsid w:val="00D84B06"/>
    <w:rsid w:val="00D8584B"/>
    <w:rsid w:val="00D86569"/>
    <w:rsid w:val="00D87416"/>
    <w:rsid w:val="00D8763F"/>
    <w:rsid w:val="00D9040B"/>
    <w:rsid w:val="00D9087A"/>
    <w:rsid w:val="00D915AB"/>
    <w:rsid w:val="00D91B1E"/>
    <w:rsid w:val="00D92441"/>
    <w:rsid w:val="00D93446"/>
    <w:rsid w:val="00D9382D"/>
    <w:rsid w:val="00D9409A"/>
    <w:rsid w:val="00D946AA"/>
    <w:rsid w:val="00D94D1C"/>
    <w:rsid w:val="00D9539C"/>
    <w:rsid w:val="00D95402"/>
    <w:rsid w:val="00D96245"/>
    <w:rsid w:val="00D978E5"/>
    <w:rsid w:val="00DA1520"/>
    <w:rsid w:val="00DA1878"/>
    <w:rsid w:val="00DA2A7C"/>
    <w:rsid w:val="00DA2DC0"/>
    <w:rsid w:val="00DA3005"/>
    <w:rsid w:val="00DA300A"/>
    <w:rsid w:val="00DA341C"/>
    <w:rsid w:val="00DA41B6"/>
    <w:rsid w:val="00DA446A"/>
    <w:rsid w:val="00DA4868"/>
    <w:rsid w:val="00DA4E4E"/>
    <w:rsid w:val="00DA5393"/>
    <w:rsid w:val="00DA559E"/>
    <w:rsid w:val="00DA55E5"/>
    <w:rsid w:val="00DA5ECF"/>
    <w:rsid w:val="00DA6106"/>
    <w:rsid w:val="00DA6AB3"/>
    <w:rsid w:val="00DA7151"/>
    <w:rsid w:val="00DA77AA"/>
    <w:rsid w:val="00DA7982"/>
    <w:rsid w:val="00DA79D0"/>
    <w:rsid w:val="00DA7B5F"/>
    <w:rsid w:val="00DB0D0D"/>
    <w:rsid w:val="00DB0F13"/>
    <w:rsid w:val="00DB1260"/>
    <w:rsid w:val="00DB187F"/>
    <w:rsid w:val="00DB18A8"/>
    <w:rsid w:val="00DB3050"/>
    <w:rsid w:val="00DB30EC"/>
    <w:rsid w:val="00DB3374"/>
    <w:rsid w:val="00DB4A1E"/>
    <w:rsid w:val="00DB4D80"/>
    <w:rsid w:val="00DB5C3C"/>
    <w:rsid w:val="00DB5EE6"/>
    <w:rsid w:val="00DB710E"/>
    <w:rsid w:val="00DB79B0"/>
    <w:rsid w:val="00DC008A"/>
    <w:rsid w:val="00DC07A4"/>
    <w:rsid w:val="00DC174D"/>
    <w:rsid w:val="00DC28C0"/>
    <w:rsid w:val="00DC2FF2"/>
    <w:rsid w:val="00DC3121"/>
    <w:rsid w:val="00DC3E4E"/>
    <w:rsid w:val="00DC4839"/>
    <w:rsid w:val="00DC5165"/>
    <w:rsid w:val="00DC58DC"/>
    <w:rsid w:val="00DC610B"/>
    <w:rsid w:val="00DC6453"/>
    <w:rsid w:val="00DC693D"/>
    <w:rsid w:val="00DC6D2C"/>
    <w:rsid w:val="00DC7597"/>
    <w:rsid w:val="00DC7693"/>
    <w:rsid w:val="00DD045E"/>
    <w:rsid w:val="00DD1E65"/>
    <w:rsid w:val="00DD2615"/>
    <w:rsid w:val="00DD2635"/>
    <w:rsid w:val="00DD2BE4"/>
    <w:rsid w:val="00DD2C54"/>
    <w:rsid w:val="00DD2DF2"/>
    <w:rsid w:val="00DD3E9A"/>
    <w:rsid w:val="00DD42E9"/>
    <w:rsid w:val="00DD6420"/>
    <w:rsid w:val="00DD6DEF"/>
    <w:rsid w:val="00DD6F04"/>
    <w:rsid w:val="00DD759E"/>
    <w:rsid w:val="00DD7C5E"/>
    <w:rsid w:val="00DE0266"/>
    <w:rsid w:val="00DE2580"/>
    <w:rsid w:val="00DE26A2"/>
    <w:rsid w:val="00DE57CD"/>
    <w:rsid w:val="00DE5D25"/>
    <w:rsid w:val="00DE62F2"/>
    <w:rsid w:val="00DE657E"/>
    <w:rsid w:val="00DE67FF"/>
    <w:rsid w:val="00DE735D"/>
    <w:rsid w:val="00DE7417"/>
    <w:rsid w:val="00DE783D"/>
    <w:rsid w:val="00DE7D2E"/>
    <w:rsid w:val="00DF1CDD"/>
    <w:rsid w:val="00DF1DF9"/>
    <w:rsid w:val="00DF4BDE"/>
    <w:rsid w:val="00DF5077"/>
    <w:rsid w:val="00DF76CC"/>
    <w:rsid w:val="00DF7793"/>
    <w:rsid w:val="00E00EFF"/>
    <w:rsid w:val="00E01B40"/>
    <w:rsid w:val="00E02360"/>
    <w:rsid w:val="00E023DF"/>
    <w:rsid w:val="00E04093"/>
    <w:rsid w:val="00E052B0"/>
    <w:rsid w:val="00E0623C"/>
    <w:rsid w:val="00E067A6"/>
    <w:rsid w:val="00E06DDE"/>
    <w:rsid w:val="00E0702F"/>
    <w:rsid w:val="00E0734B"/>
    <w:rsid w:val="00E0740A"/>
    <w:rsid w:val="00E10805"/>
    <w:rsid w:val="00E11392"/>
    <w:rsid w:val="00E11D68"/>
    <w:rsid w:val="00E13139"/>
    <w:rsid w:val="00E1339C"/>
    <w:rsid w:val="00E1451D"/>
    <w:rsid w:val="00E1542D"/>
    <w:rsid w:val="00E15FBA"/>
    <w:rsid w:val="00E16F9D"/>
    <w:rsid w:val="00E17683"/>
    <w:rsid w:val="00E1796D"/>
    <w:rsid w:val="00E200F9"/>
    <w:rsid w:val="00E2058C"/>
    <w:rsid w:val="00E2121C"/>
    <w:rsid w:val="00E22278"/>
    <w:rsid w:val="00E2284A"/>
    <w:rsid w:val="00E230FD"/>
    <w:rsid w:val="00E2398E"/>
    <w:rsid w:val="00E23A98"/>
    <w:rsid w:val="00E24EEF"/>
    <w:rsid w:val="00E25A41"/>
    <w:rsid w:val="00E2673A"/>
    <w:rsid w:val="00E26EDD"/>
    <w:rsid w:val="00E26F97"/>
    <w:rsid w:val="00E26FCD"/>
    <w:rsid w:val="00E27AA4"/>
    <w:rsid w:val="00E27EDD"/>
    <w:rsid w:val="00E30281"/>
    <w:rsid w:val="00E3317B"/>
    <w:rsid w:val="00E337D9"/>
    <w:rsid w:val="00E33C3E"/>
    <w:rsid w:val="00E33E08"/>
    <w:rsid w:val="00E33E64"/>
    <w:rsid w:val="00E361A7"/>
    <w:rsid w:val="00E3622A"/>
    <w:rsid w:val="00E364C4"/>
    <w:rsid w:val="00E3757F"/>
    <w:rsid w:val="00E37980"/>
    <w:rsid w:val="00E37F2F"/>
    <w:rsid w:val="00E42C74"/>
    <w:rsid w:val="00E42D2B"/>
    <w:rsid w:val="00E43157"/>
    <w:rsid w:val="00E43212"/>
    <w:rsid w:val="00E4390D"/>
    <w:rsid w:val="00E43C54"/>
    <w:rsid w:val="00E43C96"/>
    <w:rsid w:val="00E45D29"/>
    <w:rsid w:val="00E461F9"/>
    <w:rsid w:val="00E46307"/>
    <w:rsid w:val="00E4781D"/>
    <w:rsid w:val="00E47C44"/>
    <w:rsid w:val="00E50136"/>
    <w:rsid w:val="00E50498"/>
    <w:rsid w:val="00E533FF"/>
    <w:rsid w:val="00E53BD8"/>
    <w:rsid w:val="00E53DC6"/>
    <w:rsid w:val="00E53DCE"/>
    <w:rsid w:val="00E53E5E"/>
    <w:rsid w:val="00E54EF8"/>
    <w:rsid w:val="00E55C5A"/>
    <w:rsid w:val="00E56477"/>
    <w:rsid w:val="00E56B6C"/>
    <w:rsid w:val="00E576F7"/>
    <w:rsid w:val="00E5780B"/>
    <w:rsid w:val="00E57833"/>
    <w:rsid w:val="00E57B6B"/>
    <w:rsid w:val="00E57ECF"/>
    <w:rsid w:val="00E6049E"/>
    <w:rsid w:val="00E608CA"/>
    <w:rsid w:val="00E60EA1"/>
    <w:rsid w:val="00E61067"/>
    <w:rsid w:val="00E61732"/>
    <w:rsid w:val="00E61DC3"/>
    <w:rsid w:val="00E61FC3"/>
    <w:rsid w:val="00E62965"/>
    <w:rsid w:val="00E6356C"/>
    <w:rsid w:val="00E6364D"/>
    <w:rsid w:val="00E638AB"/>
    <w:rsid w:val="00E63B98"/>
    <w:rsid w:val="00E64645"/>
    <w:rsid w:val="00E64863"/>
    <w:rsid w:val="00E648F3"/>
    <w:rsid w:val="00E64AF6"/>
    <w:rsid w:val="00E64E6F"/>
    <w:rsid w:val="00E654A2"/>
    <w:rsid w:val="00E65CB4"/>
    <w:rsid w:val="00E66037"/>
    <w:rsid w:val="00E66ACD"/>
    <w:rsid w:val="00E67989"/>
    <w:rsid w:val="00E70442"/>
    <w:rsid w:val="00E70556"/>
    <w:rsid w:val="00E70974"/>
    <w:rsid w:val="00E709B3"/>
    <w:rsid w:val="00E70B54"/>
    <w:rsid w:val="00E71079"/>
    <w:rsid w:val="00E711AB"/>
    <w:rsid w:val="00E7126F"/>
    <w:rsid w:val="00E71E57"/>
    <w:rsid w:val="00E71FD7"/>
    <w:rsid w:val="00E74123"/>
    <w:rsid w:val="00E74177"/>
    <w:rsid w:val="00E753FA"/>
    <w:rsid w:val="00E75D1D"/>
    <w:rsid w:val="00E75FA5"/>
    <w:rsid w:val="00E766FD"/>
    <w:rsid w:val="00E7676B"/>
    <w:rsid w:val="00E767BD"/>
    <w:rsid w:val="00E76AE8"/>
    <w:rsid w:val="00E7739E"/>
    <w:rsid w:val="00E774E4"/>
    <w:rsid w:val="00E80E83"/>
    <w:rsid w:val="00E81771"/>
    <w:rsid w:val="00E81A3E"/>
    <w:rsid w:val="00E829F2"/>
    <w:rsid w:val="00E82C7F"/>
    <w:rsid w:val="00E82F32"/>
    <w:rsid w:val="00E830CC"/>
    <w:rsid w:val="00E867DE"/>
    <w:rsid w:val="00E86ABD"/>
    <w:rsid w:val="00E86E84"/>
    <w:rsid w:val="00E86EAF"/>
    <w:rsid w:val="00E87515"/>
    <w:rsid w:val="00E8789F"/>
    <w:rsid w:val="00E908CF"/>
    <w:rsid w:val="00E91BE2"/>
    <w:rsid w:val="00E920D0"/>
    <w:rsid w:val="00E92215"/>
    <w:rsid w:val="00E92993"/>
    <w:rsid w:val="00E9316D"/>
    <w:rsid w:val="00E9318F"/>
    <w:rsid w:val="00E93BDB"/>
    <w:rsid w:val="00E94203"/>
    <w:rsid w:val="00E94D19"/>
    <w:rsid w:val="00E94E3D"/>
    <w:rsid w:val="00E95E34"/>
    <w:rsid w:val="00E96942"/>
    <w:rsid w:val="00E96A96"/>
    <w:rsid w:val="00E972E9"/>
    <w:rsid w:val="00E978C5"/>
    <w:rsid w:val="00E97B71"/>
    <w:rsid w:val="00EA01E7"/>
    <w:rsid w:val="00EA077D"/>
    <w:rsid w:val="00EA0E0D"/>
    <w:rsid w:val="00EA1283"/>
    <w:rsid w:val="00EA26BA"/>
    <w:rsid w:val="00EA425E"/>
    <w:rsid w:val="00EA4410"/>
    <w:rsid w:val="00EA5084"/>
    <w:rsid w:val="00EA5A04"/>
    <w:rsid w:val="00EA5FE2"/>
    <w:rsid w:val="00EA603E"/>
    <w:rsid w:val="00EA6A6E"/>
    <w:rsid w:val="00EA6AB6"/>
    <w:rsid w:val="00EA6F1C"/>
    <w:rsid w:val="00EA70E0"/>
    <w:rsid w:val="00EB0252"/>
    <w:rsid w:val="00EB133E"/>
    <w:rsid w:val="00EB1AC2"/>
    <w:rsid w:val="00EB24D7"/>
    <w:rsid w:val="00EB2848"/>
    <w:rsid w:val="00EB291F"/>
    <w:rsid w:val="00EB4080"/>
    <w:rsid w:val="00EB454D"/>
    <w:rsid w:val="00EB454F"/>
    <w:rsid w:val="00EB4B7E"/>
    <w:rsid w:val="00EB51DC"/>
    <w:rsid w:val="00EB51EA"/>
    <w:rsid w:val="00EB55C1"/>
    <w:rsid w:val="00EB6170"/>
    <w:rsid w:val="00EB62D9"/>
    <w:rsid w:val="00EB6316"/>
    <w:rsid w:val="00EB6B06"/>
    <w:rsid w:val="00EB7F0A"/>
    <w:rsid w:val="00EC0411"/>
    <w:rsid w:val="00EC0BA4"/>
    <w:rsid w:val="00EC112E"/>
    <w:rsid w:val="00EC1628"/>
    <w:rsid w:val="00EC20C2"/>
    <w:rsid w:val="00EC267A"/>
    <w:rsid w:val="00EC27D8"/>
    <w:rsid w:val="00EC2AAD"/>
    <w:rsid w:val="00EC2E20"/>
    <w:rsid w:val="00EC31F9"/>
    <w:rsid w:val="00EC3F65"/>
    <w:rsid w:val="00EC45C1"/>
    <w:rsid w:val="00EC5570"/>
    <w:rsid w:val="00EC596F"/>
    <w:rsid w:val="00EC68B2"/>
    <w:rsid w:val="00EC6931"/>
    <w:rsid w:val="00EC73C8"/>
    <w:rsid w:val="00EC74EB"/>
    <w:rsid w:val="00ED0C52"/>
    <w:rsid w:val="00ED0E31"/>
    <w:rsid w:val="00ED1405"/>
    <w:rsid w:val="00ED147C"/>
    <w:rsid w:val="00ED18FD"/>
    <w:rsid w:val="00ED19E9"/>
    <w:rsid w:val="00ED1A76"/>
    <w:rsid w:val="00ED2D1D"/>
    <w:rsid w:val="00ED3A8E"/>
    <w:rsid w:val="00ED3AB2"/>
    <w:rsid w:val="00ED4CBA"/>
    <w:rsid w:val="00ED5232"/>
    <w:rsid w:val="00ED56AB"/>
    <w:rsid w:val="00ED5817"/>
    <w:rsid w:val="00ED5BE1"/>
    <w:rsid w:val="00EE04C1"/>
    <w:rsid w:val="00EE0BA9"/>
    <w:rsid w:val="00EE0BB0"/>
    <w:rsid w:val="00EE0D3E"/>
    <w:rsid w:val="00EE140F"/>
    <w:rsid w:val="00EE3522"/>
    <w:rsid w:val="00EE36D7"/>
    <w:rsid w:val="00EE39AD"/>
    <w:rsid w:val="00EE39CD"/>
    <w:rsid w:val="00EE39F1"/>
    <w:rsid w:val="00EE4E4B"/>
    <w:rsid w:val="00EE5A81"/>
    <w:rsid w:val="00EE5C5E"/>
    <w:rsid w:val="00EE5D7E"/>
    <w:rsid w:val="00EE5E58"/>
    <w:rsid w:val="00EF04A0"/>
    <w:rsid w:val="00EF0CEF"/>
    <w:rsid w:val="00EF1247"/>
    <w:rsid w:val="00EF2493"/>
    <w:rsid w:val="00EF2C67"/>
    <w:rsid w:val="00EF36AC"/>
    <w:rsid w:val="00EF49F0"/>
    <w:rsid w:val="00EF4EC3"/>
    <w:rsid w:val="00EF4F97"/>
    <w:rsid w:val="00EF56CE"/>
    <w:rsid w:val="00EF5AA9"/>
    <w:rsid w:val="00EF619B"/>
    <w:rsid w:val="00EF6972"/>
    <w:rsid w:val="00EF7231"/>
    <w:rsid w:val="00EF774B"/>
    <w:rsid w:val="00F005EE"/>
    <w:rsid w:val="00F009D3"/>
    <w:rsid w:val="00F00B55"/>
    <w:rsid w:val="00F0193E"/>
    <w:rsid w:val="00F040BD"/>
    <w:rsid w:val="00F04AFE"/>
    <w:rsid w:val="00F059CF"/>
    <w:rsid w:val="00F06961"/>
    <w:rsid w:val="00F06DAD"/>
    <w:rsid w:val="00F0764A"/>
    <w:rsid w:val="00F07690"/>
    <w:rsid w:val="00F1005F"/>
    <w:rsid w:val="00F11242"/>
    <w:rsid w:val="00F1380F"/>
    <w:rsid w:val="00F13CDA"/>
    <w:rsid w:val="00F14F0E"/>
    <w:rsid w:val="00F14F98"/>
    <w:rsid w:val="00F15799"/>
    <w:rsid w:val="00F15B6A"/>
    <w:rsid w:val="00F16AD4"/>
    <w:rsid w:val="00F175ED"/>
    <w:rsid w:val="00F1763D"/>
    <w:rsid w:val="00F17799"/>
    <w:rsid w:val="00F20236"/>
    <w:rsid w:val="00F2059E"/>
    <w:rsid w:val="00F20D2B"/>
    <w:rsid w:val="00F21553"/>
    <w:rsid w:val="00F21703"/>
    <w:rsid w:val="00F2328B"/>
    <w:rsid w:val="00F24C29"/>
    <w:rsid w:val="00F253CC"/>
    <w:rsid w:val="00F25C31"/>
    <w:rsid w:val="00F25DB1"/>
    <w:rsid w:val="00F267BE"/>
    <w:rsid w:val="00F27458"/>
    <w:rsid w:val="00F277DB"/>
    <w:rsid w:val="00F27ACD"/>
    <w:rsid w:val="00F27CD8"/>
    <w:rsid w:val="00F27D9E"/>
    <w:rsid w:val="00F30680"/>
    <w:rsid w:val="00F311E2"/>
    <w:rsid w:val="00F31814"/>
    <w:rsid w:val="00F3223E"/>
    <w:rsid w:val="00F3379A"/>
    <w:rsid w:val="00F34265"/>
    <w:rsid w:val="00F347D2"/>
    <w:rsid w:val="00F352FC"/>
    <w:rsid w:val="00F35C2A"/>
    <w:rsid w:val="00F35E2A"/>
    <w:rsid w:val="00F36D40"/>
    <w:rsid w:val="00F36F27"/>
    <w:rsid w:val="00F37481"/>
    <w:rsid w:val="00F37F99"/>
    <w:rsid w:val="00F40879"/>
    <w:rsid w:val="00F40B92"/>
    <w:rsid w:val="00F427E6"/>
    <w:rsid w:val="00F434F9"/>
    <w:rsid w:val="00F438CD"/>
    <w:rsid w:val="00F441B9"/>
    <w:rsid w:val="00F4466A"/>
    <w:rsid w:val="00F449FB"/>
    <w:rsid w:val="00F44CE7"/>
    <w:rsid w:val="00F45CA7"/>
    <w:rsid w:val="00F45EBF"/>
    <w:rsid w:val="00F461D1"/>
    <w:rsid w:val="00F46498"/>
    <w:rsid w:val="00F503B5"/>
    <w:rsid w:val="00F508E3"/>
    <w:rsid w:val="00F511F7"/>
    <w:rsid w:val="00F51F0D"/>
    <w:rsid w:val="00F545AC"/>
    <w:rsid w:val="00F548A6"/>
    <w:rsid w:val="00F5497B"/>
    <w:rsid w:val="00F55507"/>
    <w:rsid w:val="00F55697"/>
    <w:rsid w:val="00F55F3B"/>
    <w:rsid w:val="00F5694D"/>
    <w:rsid w:val="00F56A40"/>
    <w:rsid w:val="00F56BA5"/>
    <w:rsid w:val="00F56BE1"/>
    <w:rsid w:val="00F56D59"/>
    <w:rsid w:val="00F57275"/>
    <w:rsid w:val="00F57538"/>
    <w:rsid w:val="00F6022A"/>
    <w:rsid w:val="00F605A2"/>
    <w:rsid w:val="00F60E01"/>
    <w:rsid w:val="00F61379"/>
    <w:rsid w:val="00F6160F"/>
    <w:rsid w:val="00F61BE4"/>
    <w:rsid w:val="00F61C0D"/>
    <w:rsid w:val="00F6255A"/>
    <w:rsid w:val="00F62C42"/>
    <w:rsid w:val="00F635FB"/>
    <w:rsid w:val="00F637BF"/>
    <w:rsid w:val="00F644E6"/>
    <w:rsid w:val="00F6589A"/>
    <w:rsid w:val="00F66451"/>
    <w:rsid w:val="00F66BDC"/>
    <w:rsid w:val="00F71643"/>
    <w:rsid w:val="00F71F53"/>
    <w:rsid w:val="00F725D1"/>
    <w:rsid w:val="00F737D9"/>
    <w:rsid w:val="00F7392C"/>
    <w:rsid w:val="00F746CA"/>
    <w:rsid w:val="00F74B0B"/>
    <w:rsid w:val="00F760C8"/>
    <w:rsid w:val="00F769C7"/>
    <w:rsid w:val="00F7730A"/>
    <w:rsid w:val="00F7784C"/>
    <w:rsid w:val="00F77995"/>
    <w:rsid w:val="00F77BFA"/>
    <w:rsid w:val="00F77E6F"/>
    <w:rsid w:val="00F820EF"/>
    <w:rsid w:val="00F82683"/>
    <w:rsid w:val="00F83D11"/>
    <w:rsid w:val="00F8403F"/>
    <w:rsid w:val="00F857F6"/>
    <w:rsid w:val="00F8586C"/>
    <w:rsid w:val="00F86E36"/>
    <w:rsid w:val="00F86EE8"/>
    <w:rsid w:val="00F87A9A"/>
    <w:rsid w:val="00F90BD3"/>
    <w:rsid w:val="00F90E86"/>
    <w:rsid w:val="00F916AC"/>
    <w:rsid w:val="00F92CA1"/>
    <w:rsid w:val="00F93061"/>
    <w:rsid w:val="00F93826"/>
    <w:rsid w:val="00F9518D"/>
    <w:rsid w:val="00F95787"/>
    <w:rsid w:val="00F9653B"/>
    <w:rsid w:val="00F97397"/>
    <w:rsid w:val="00F97B89"/>
    <w:rsid w:val="00F97D53"/>
    <w:rsid w:val="00FA081A"/>
    <w:rsid w:val="00FA1297"/>
    <w:rsid w:val="00FA1759"/>
    <w:rsid w:val="00FA1ADA"/>
    <w:rsid w:val="00FA2245"/>
    <w:rsid w:val="00FA2C02"/>
    <w:rsid w:val="00FA2C1D"/>
    <w:rsid w:val="00FA310E"/>
    <w:rsid w:val="00FA359A"/>
    <w:rsid w:val="00FA3BDF"/>
    <w:rsid w:val="00FA63CD"/>
    <w:rsid w:val="00FA769D"/>
    <w:rsid w:val="00FA7982"/>
    <w:rsid w:val="00FA7CCD"/>
    <w:rsid w:val="00FB0896"/>
    <w:rsid w:val="00FB0E27"/>
    <w:rsid w:val="00FB0F94"/>
    <w:rsid w:val="00FB10AF"/>
    <w:rsid w:val="00FB1A16"/>
    <w:rsid w:val="00FB1A3C"/>
    <w:rsid w:val="00FB2597"/>
    <w:rsid w:val="00FB296D"/>
    <w:rsid w:val="00FB4EE9"/>
    <w:rsid w:val="00FB62CF"/>
    <w:rsid w:val="00FB70E7"/>
    <w:rsid w:val="00FC052E"/>
    <w:rsid w:val="00FC084F"/>
    <w:rsid w:val="00FC1E3D"/>
    <w:rsid w:val="00FC2C34"/>
    <w:rsid w:val="00FC3262"/>
    <w:rsid w:val="00FC3283"/>
    <w:rsid w:val="00FC38CC"/>
    <w:rsid w:val="00FC3EB4"/>
    <w:rsid w:val="00FC544A"/>
    <w:rsid w:val="00FC6C58"/>
    <w:rsid w:val="00FC78B0"/>
    <w:rsid w:val="00FD0FAC"/>
    <w:rsid w:val="00FD1C8A"/>
    <w:rsid w:val="00FD1DD0"/>
    <w:rsid w:val="00FD279F"/>
    <w:rsid w:val="00FD3999"/>
    <w:rsid w:val="00FD3BD1"/>
    <w:rsid w:val="00FD49B3"/>
    <w:rsid w:val="00FD5518"/>
    <w:rsid w:val="00FD635E"/>
    <w:rsid w:val="00FD71F0"/>
    <w:rsid w:val="00FD746F"/>
    <w:rsid w:val="00FE09CA"/>
    <w:rsid w:val="00FE140A"/>
    <w:rsid w:val="00FE144F"/>
    <w:rsid w:val="00FE157F"/>
    <w:rsid w:val="00FE1EAD"/>
    <w:rsid w:val="00FE21AB"/>
    <w:rsid w:val="00FE36B0"/>
    <w:rsid w:val="00FE3B59"/>
    <w:rsid w:val="00FE3CEC"/>
    <w:rsid w:val="00FE4039"/>
    <w:rsid w:val="00FE40DE"/>
    <w:rsid w:val="00FE4368"/>
    <w:rsid w:val="00FE4DCD"/>
    <w:rsid w:val="00FE5165"/>
    <w:rsid w:val="00FE57F6"/>
    <w:rsid w:val="00FE6B45"/>
    <w:rsid w:val="00FE6B58"/>
    <w:rsid w:val="00FE6EBC"/>
    <w:rsid w:val="00FE769E"/>
    <w:rsid w:val="00FF05BC"/>
    <w:rsid w:val="00FF0651"/>
    <w:rsid w:val="00FF1B5F"/>
    <w:rsid w:val="00FF1C1C"/>
    <w:rsid w:val="00FF379A"/>
    <w:rsid w:val="00FF3FB7"/>
    <w:rsid w:val="00FF4B22"/>
    <w:rsid w:val="00FF4C3A"/>
    <w:rsid w:val="00FF5724"/>
    <w:rsid w:val="00FF5851"/>
    <w:rsid w:val="00FF6C89"/>
    <w:rsid w:val="00FF7B79"/>
  </w:rsids>
  <m:mathPr>
    <m:mathFont m:val="Cambria Math"/>
    <m:brkBin m:val="before"/>
    <m:brkBinSub m:val="--"/>
    <m:smallFrac/>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4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es-ES" w:eastAsia="es-E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heading 1" w:uiPriority="9" w:qFormat="1"/>
    <w:lsdException w:name="heading 2"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F0CEF"/>
    <w:rPr>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4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4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84E33"/>
    <w:rPr>
      <w:u w:val="single"/>
    </w:rPr>
  </w:style>
  <w:style w:type="paragraph" w:customStyle="1" w:styleId="Cabeceraypie">
    <w:name w:val="Cabecera y pie"/>
    <w:rsid w:val="00284E33"/>
    <w:pPr>
      <w:tabs>
        <w:tab w:val="right" w:pos="9020"/>
      </w:tabs>
    </w:pPr>
    <w:rPr>
      <w:rFonts w:ascii="Helvetica" w:hAnsi="Arial Unicode MS" w:cs="Arial Unicode MS"/>
      <w:color w:val="000000"/>
    </w:rPr>
  </w:style>
  <w:style w:type="paragraph" w:styleId="Footer">
    <w:name w:val="footer"/>
    <w:link w:val="FooterChar"/>
    <w:uiPriority w:val="99"/>
    <w:rsid w:val="00284E33"/>
    <w:pPr>
      <w:tabs>
        <w:tab w:val="center" w:pos="4513"/>
        <w:tab w:val="right" w:pos="9026"/>
      </w:tabs>
    </w:pPr>
    <w:rPr>
      <w:rFonts w:ascii="Cambria" w:eastAsia="Cambria" w:hAnsi="Cambria" w:cs="Cambria"/>
      <w:color w:val="000000"/>
      <w:u w:color="000000"/>
      <w:lang w:val="en-US"/>
    </w:rPr>
  </w:style>
  <w:style w:type="paragraph" w:customStyle="1" w:styleId="Cuerpo">
    <w:name w:val="Cuerpo"/>
    <w:rsid w:val="00284E33"/>
    <w:rPr>
      <w:rFonts w:ascii="Cambria" w:eastAsia="Cambria" w:hAnsi="Cambria" w:cs="Cambria"/>
      <w:color w:val="000000"/>
      <w:u w:color="000000"/>
    </w:rPr>
  </w:style>
  <w:style w:type="paragraph" w:styleId="BodyTextIndent">
    <w:name w:val="Body Text Indent"/>
    <w:rsid w:val="00284E33"/>
    <w:pPr>
      <w:ind w:left="2160" w:hanging="720"/>
    </w:pPr>
    <w:rPr>
      <w:rFonts w:eastAsia="Times New Roman"/>
      <w:color w:val="000000"/>
      <w:u w:color="000000"/>
      <w:lang w:val="es-ES_tradnl"/>
    </w:rPr>
  </w:style>
  <w:style w:type="paragraph" w:styleId="ListParagraph">
    <w:name w:val="List Paragraph"/>
    <w:aliases w:val="Párrafo de lista1,List Paragraph1,Colorful List - Accent 11,List Paragraph11,List Paragraph2,Lista vistosa - Énfasis 11"/>
    <w:link w:val="ListParagraphChar"/>
    <w:qFormat/>
    <w:rsid w:val="00284E33"/>
    <w:pPr>
      <w:ind w:left="720"/>
    </w:pPr>
    <w:rPr>
      <w:rFonts w:ascii="Cambria" w:eastAsia="Cambria" w:hAnsi="Cambria" w:cs="Cambria"/>
      <w:color w:val="000000"/>
      <w:u w:color="000000"/>
      <w:lang w:val="en-US"/>
    </w:rPr>
  </w:style>
  <w:style w:type="numbering" w:customStyle="1" w:styleId="List0">
    <w:name w:val="List 0"/>
    <w:basedOn w:val="Estiloimportado1"/>
    <w:rsid w:val="00284E33"/>
    <w:pPr>
      <w:numPr>
        <w:numId w:val="31"/>
      </w:numPr>
    </w:pPr>
  </w:style>
  <w:style w:type="numbering" w:customStyle="1" w:styleId="Estiloimportado1">
    <w:name w:val="Estilo importado 1"/>
    <w:rsid w:val="00284E33"/>
  </w:style>
  <w:style w:type="numbering" w:customStyle="1" w:styleId="List1">
    <w:name w:val="List 1"/>
    <w:basedOn w:val="Estiloimportado2"/>
    <w:rsid w:val="00284E33"/>
    <w:pPr>
      <w:numPr>
        <w:numId w:val="1"/>
      </w:numPr>
    </w:pPr>
  </w:style>
  <w:style w:type="numbering" w:customStyle="1" w:styleId="Estiloimportado2">
    <w:name w:val="Estilo importado 2"/>
    <w:rsid w:val="00284E33"/>
  </w:style>
  <w:style w:type="numbering" w:customStyle="1" w:styleId="List210">
    <w:name w:val="List 21"/>
    <w:basedOn w:val="Estiloimportado3"/>
    <w:rsid w:val="00284E33"/>
    <w:pPr>
      <w:numPr>
        <w:numId w:val="52"/>
      </w:numPr>
    </w:pPr>
  </w:style>
  <w:style w:type="numbering" w:customStyle="1" w:styleId="Estiloimportado3">
    <w:name w:val="Estilo importado 3"/>
    <w:rsid w:val="00284E33"/>
  </w:style>
  <w:style w:type="numbering" w:customStyle="1" w:styleId="List31">
    <w:name w:val="List 31"/>
    <w:basedOn w:val="Estiloimportado4"/>
    <w:rsid w:val="00284E33"/>
    <w:pPr>
      <w:numPr>
        <w:numId w:val="51"/>
      </w:numPr>
    </w:pPr>
  </w:style>
  <w:style w:type="numbering" w:customStyle="1" w:styleId="Estiloimportado4">
    <w:name w:val="Estilo importado 4"/>
    <w:rsid w:val="00284E33"/>
  </w:style>
  <w:style w:type="numbering" w:customStyle="1" w:styleId="List41">
    <w:name w:val="List 41"/>
    <w:basedOn w:val="Estiloimportado5"/>
    <w:rsid w:val="00284E33"/>
    <w:pPr>
      <w:numPr>
        <w:numId w:val="2"/>
      </w:numPr>
    </w:pPr>
  </w:style>
  <w:style w:type="numbering" w:customStyle="1" w:styleId="Estiloimportado5">
    <w:name w:val="Estilo importado 5"/>
    <w:rsid w:val="00284E33"/>
  </w:style>
  <w:style w:type="numbering" w:customStyle="1" w:styleId="List510">
    <w:name w:val="List 51"/>
    <w:basedOn w:val="Estiloimportado6"/>
    <w:rsid w:val="00284E33"/>
    <w:pPr>
      <w:numPr>
        <w:numId w:val="54"/>
      </w:numPr>
    </w:pPr>
  </w:style>
  <w:style w:type="numbering" w:customStyle="1" w:styleId="Estiloimportado6">
    <w:name w:val="Estilo importado 6"/>
    <w:rsid w:val="00284E33"/>
  </w:style>
  <w:style w:type="numbering" w:customStyle="1" w:styleId="List6">
    <w:name w:val="List 6"/>
    <w:basedOn w:val="Estiloimportado7"/>
    <w:rsid w:val="00284E33"/>
    <w:pPr>
      <w:numPr>
        <w:numId w:val="3"/>
      </w:numPr>
    </w:pPr>
  </w:style>
  <w:style w:type="numbering" w:customStyle="1" w:styleId="Estiloimportado7">
    <w:name w:val="Estilo importado 7"/>
    <w:rsid w:val="00284E33"/>
  </w:style>
  <w:style w:type="numbering" w:customStyle="1" w:styleId="List7">
    <w:name w:val="List 7"/>
    <w:basedOn w:val="Estiloimportado8"/>
    <w:rsid w:val="00284E33"/>
    <w:pPr>
      <w:numPr>
        <w:numId w:val="4"/>
      </w:numPr>
    </w:pPr>
  </w:style>
  <w:style w:type="numbering" w:customStyle="1" w:styleId="Estiloimportado8">
    <w:name w:val="Estilo importado 8"/>
    <w:rsid w:val="00284E33"/>
  </w:style>
  <w:style w:type="numbering" w:customStyle="1" w:styleId="List8">
    <w:name w:val="List 8"/>
    <w:basedOn w:val="Estiloimportado9"/>
    <w:rsid w:val="00284E33"/>
    <w:pPr>
      <w:numPr>
        <w:numId w:val="5"/>
      </w:numPr>
    </w:pPr>
  </w:style>
  <w:style w:type="numbering" w:customStyle="1" w:styleId="Estiloimportado9">
    <w:name w:val="Estilo importado 9"/>
    <w:rsid w:val="00284E33"/>
  </w:style>
  <w:style w:type="numbering" w:customStyle="1" w:styleId="List9">
    <w:name w:val="List 9"/>
    <w:basedOn w:val="Estiloimportado10"/>
    <w:rsid w:val="00284E33"/>
    <w:pPr>
      <w:numPr>
        <w:numId w:val="22"/>
      </w:numPr>
    </w:pPr>
  </w:style>
  <w:style w:type="numbering" w:customStyle="1" w:styleId="Estiloimportado10">
    <w:name w:val="Estilo importado 10"/>
    <w:rsid w:val="00284E33"/>
  </w:style>
  <w:style w:type="numbering" w:customStyle="1" w:styleId="List10">
    <w:name w:val="List 10"/>
    <w:basedOn w:val="Estiloimportado11"/>
    <w:rsid w:val="00284E33"/>
    <w:pPr>
      <w:numPr>
        <w:numId w:val="6"/>
      </w:numPr>
    </w:pPr>
  </w:style>
  <w:style w:type="numbering" w:customStyle="1" w:styleId="Estiloimportado11">
    <w:name w:val="Estilo importado 11"/>
    <w:rsid w:val="00284E33"/>
  </w:style>
  <w:style w:type="numbering" w:customStyle="1" w:styleId="List11">
    <w:name w:val="List 11"/>
    <w:basedOn w:val="Estiloimportado12"/>
    <w:rsid w:val="00284E33"/>
    <w:pPr>
      <w:numPr>
        <w:numId w:val="7"/>
      </w:numPr>
    </w:pPr>
  </w:style>
  <w:style w:type="numbering" w:customStyle="1" w:styleId="Estiloimportado12">
    <w:name w:val="Estilo importado 12"/>
    <w:rsid w:val="00284E33"/>
  </w:style>
  <w:style w:type="numbering" w:customStyle="1" w:styleId="List12">
    <w:name w:val="List 12"/>
    <w:basedOn w:val="Estiloimportado13"/>
    <w:rsid w:val="00284E33"/>
    <w:pPr>
      <w:numPr>
        <w:numId w:val="36"/>
      </w:numPr>
    </w:pPr>
  </w:style>
  <w:style w:type="numbering" w:customStyle="1" w:styleId="Estiloimportado13">
    <w:name w:val="Estilo importado 13"/>
    <w:rsid w:val="00284E33"/>
  </w:style>
  <w:style w:type="numbering" w:customStyle="1" w:styleId="List13">
    <w:name w:val="List 13"/>
    <w:basedOn w:val="Estiloimportado14"/>
    <w:rsid w:val="00284E33"/>
    <w:pPr>
      <w:numPr>
        <w:numId w:val="42"/>
      </w:numPr>
    </w:pPr>
  </w:style>
  <w:style w:type="numbering" w:customStyle="1" w:styleId="Estiloimportado14">
    <w:name w:val="Estilo importado 14"/>
    <w:rsid w:val="00284E33"/>
  </w:style>
  <w:style w:type="numbering" w:customStyle="1" w:styleId="List14">
    <w:name w:val="List 14"/>
    <w:basedOn w:val="Estiloimportado15"/>
    <w:rsid w:val="00284E33"/>
    <w:pPr>
      <w:numPr>
        <w:numId w:val="17"/>
      </w:numPr>
    </w:pPr>
  </w:style>
  <w:style w:type="numbering" w:customStyle="1" w:styleId="Estiloimportado15">
    <w:name w:val="Estilo importado 15"/>
    <w:rsid w:val="00284E33"/>
  </w:style>
  <w:style w:type="numbering" w:customStyle="1" w:styleId="List15">
    <w:name w:val="List 15"/>
    <w:basedOn w:val="Estiloimportado16"/>
    <w:rsid w:val="00284E33"/>
    <w:pPr>
      <w:numPr>
        <w:numId w:val="16"/>
      </w:numPr>
    </w:pPr>
  </w:style>
  <w:style w:type="numbering" w:customStyle="1" w:styleId="Estiloimportado16">
    <w:name w:val="Estilo importado 16"/>
    <w:rsid w:val="00284E33"/>
  </w:style>
  <w:style w:type="numbering" w:customStyle="1" w:styleId="List16">
    <w:name w:val="List 16"/>
    <w:basedOn w:val="Estiloimportado16"/>
    <w:rsid w:val="00284E33"/>
    <w:pPr>
      <w:numPr>
        <w:numId w:val="10"/>
      </w:numPr>
    </w:pPr>
  </w:style>
  <w:style w:type="numbering" w:customStyle="1" w:styleId="List17">
    <w:name w:val="List 17"/>
    <w:basedOn w:val="Estiloimportado17"/>
    <w:rsid w:val="00284E33"/>
    <w:pPr>
      <w:numPr>
        <w:numId w:val="25"/>
      </w:numPr>
    </w:pPr>
  </w:style>
  <w:style w:type="numbering" w:customStyle="1" w:styleId="Estiloimportado17">
    <w:name w:val="Estilo importado 17"/>
    <w:rsid w:val="00284E33"/>
  </w:style>
  <w:style w:type="numbering" w:customStyle="1" w:styleId="List18">
    <w:name w:val="List 18"/>
    <w:basedOn w:val="Estiloimportado18"/>
    <w:rsid w:val="00284E33"/>
    <w:pPr>
      <w:numPr>
        <w:numId w:val="27"/>
      </w:numPr>
    </w:pPr>
  </w:style>
  <w:style w:type="numbering" w:customStyle="1" w:styleId="Estiloimportado18">
    <w:name w:val="Estilo importado 18"/>
    <w:rsid w:val="00284E33"/>
  </w:style>
  <w:style w:type="numbering" w:customStyle="1" w:styleId="List19">
    <w:name w:val="List 19"/>
    <w:basedOn w:val="Estiloimportado10"/>
    <w:rsid w:val="00284E33"/>
    <w:pPr>
      <w:numPr>
        <w:numId w:val="19"/>
      </w:numPr>
    </w:pPr>
  </w:style>
  <w:style w:type="numbering" w:customStyle="1" w:styleId="List20">
    <w:name w:val="List 20"/>
    <w:basedOn w:val="Estiloimportado12"/>
    <w:rsid w:val="00284E33"/>
    <w:pPr>
      <w:numPr>
        <w:numId w:val="43"/>
      </w:numPr>
    </w:pPr>
  </w:style>
  <w:style w:type="numbering" w:customStyle="1" w:styleId="List21">
    <w:name w:val="List 21"/>
    <w:basedOn w:val="Estiloimportado19"/>
    <w:rsid w:val="00284E33"/>
    <w:pPr>
      <w:numPr>
        <w:numId w:val="38"/>
      </w:numPr>
    </w:pPr>
  </w:style>
  <w:style w:type="numbering" w:customStyle="1" w:styleId="Estiloimportado19">
    <w:name w:val="Estilo importado 19"/>
    <w:rsid w:val="00284E33"/>
  </w:style>
  <w:style w:type="numbering" w:customStyle="1" w:styleId="List22">
    <w:name w:val="List 22"/>
    <w:basedOn w:val="Estiloimportado19"/>
    <w:rsid w:val="00284E33"/>
    <w:pPr>
      <w:numPr>
        <w:numId w:val="28"/>
      </w:numPr>
    </w:pPr>
  </w:style>
  <w:style w:type="numbering" w:customStyle="1" w:styleId="List23">
    <w:name w:val="List 23"/>
    <w:basedOn w:val="Estiloimportado19"/>
    <w:rsid w:val="00284E33"/>
    <w:pPr>
      <w:numPr>
        <w:numId w:val="18"/>
      </w:numPr>
    </w:pPr>
  </w:style>
  <w:style w:type="numbering" w:customStyle="1" w:styleId="List24">
    <w:name w:val="List 24"/>
    <w:basedOn w:val="Estiloimportado20"/>
    <w:rsid w:val="00284E33"/>
    <w:pPr>
      <w:numPr>
        <w:numId w:val="13"/>
      </w:numPr>
    </w:pPr>
  </w:style>
  <w:style w:type="numbering" w:customStyle="1" w:styleId="Estiloimportado20">
    <w:name w:val="Estilo importado 20"/>
    <w:rsid w:val="00284E33"/>
  </w:style>
  <w:style w:type="numbering" w:customStyle="1" w:styleId="List25">
    <w:name w:val="List 25"/>
    <w:basedOn w:val="Estiloimportado21"/>
    <w:rsid w:val="00284E33"/>
    <w:pPr>
      <w:numPr>
        <w:numId w:val="15"/>
      </w:numPr>
    </w:pPr>
  </w:style>
  <w:style w:type="numbering" w:customStyle="1" w:styleId="Estiloimportado21">
    <w:name w:val="Estilo importado 21"/>
    <w:rsid w:val="00284E33"/>
  </w:style>
  <w:style w:type="numbering" w:customStyle="1" w:styleId="List26">
    <w:name w:val="List 26"/>
    <w:basedOn w:val="Estiloimportado22"/>
    <w:rsid w:val="00284E33"/>
    <w:pPr>
      <w:numPr>
        <w:numId w:val="49"/>
      </w:numPr>
    </w:pPr>
  </w:style>
  <w:style w:type="numbering" w:customStyle="1" w:styleId="Estiloimportado22">
    <w:name w:val="Estilo importado 22"/>
    <w:rsid w:val="00284E33"/>
  </w:style>
  <w:style w:type="numbering" w:customStyle="1" w:styleId="List27">
    <w:name w:val="List 27"/>
    <w:basedOn w:val="Estiloimportado23"/>
    <w:rsid w:val="00284E33"/>
    <w:pPr>
      <w:numPr>
        <w:numId w:val="41"/>
      </w:numPr>
    </w:pPr>
  </w:style>
  <w:style w:type="numbering" w:customStyle="1" w:styleId="Estiloimportado23">
    <w:name w:val="Estilo importado 23"/>
    <w:rsid w:val="00284E33"/>
  </w:style>
  <w:style w:type="numbering" w:customStyle="1" w:styleId="List28">
    <w:name w:val="List 28"/>
    <w:basedOn w:val="Estiloimportado24"/>
    <w:rsid w:val="00284E33"/>
    <w:pPr>
      <w:numPr>
        <w:numId w:val="30"/>
      </w:numPr>
    </w:pPr>
  </w:style>
  <w:style w:type="numbering" w:customStyle="1" w:styleId="Estiloimportado24">
    <w:name w:val="Estilo importado 24"/>
    <w:rsid w:val="00284E33"/>
  </w:style>
  <w:style w:type="numbering" w:customStyle="1" w:styleId="List29">
    <w:name w:val="List 29"/>
    <w:basedOn w:val="Estiloimportado25"/>
    <w:rsid w:val="00284E33"/>
    <w:pPr>
      <w:numPr>
        <w:numId w:val="34"/>
      </w:numPr>
    </w:pPr>
  </w:style>
  <w:style w:type="numbering" w:customStyle="1" w:styleId="Estiloimportado25">
    <w:name w:val="Estilo importado 25"/>
    <w:rsid w:val="00284E33"/>
  </w:style>
  <w:style w:type="numbering" w:customStyle="1" w:styleId="List30">
    <w:name w:val="List 30"/>
    <w:basedOn w:val="Estiloimportado26"/>
    <w:rsid w:val="00284E33"/>
    <w:pPr>
      <w:numPr>
        <w:numId w:val="32"/>
      </w:numPr>
    </w:pPr>
  </w:style>
  <w:style w:type="numbering" w:customStyle="1" w:styleId="Estiloimportado26">
    <w:name w:val="Estilo importado 26"/>
    <w:rsid w:val="00284E33"/>
  </w:style>
  <w:style w:type="numbering" w:customStyle="1" w:styleId="List310">
    <w:name w:val="List 31"/>
    <w:basedOn w:val="Estiloimportado27"/>
    <w:rsid w:val="00284E33"/>
    <w:pPr>
      <w:numPr>
        <w:numId w:val="45"/>
      </w:numPr>
    </w:pPr>
  </w:style>
  <w:style w:type="numbering" w:customStyle="1" w:styleId="Estiloimportado27">
    <w:name w:val="Estilo importado 27"/>
    <w:rsid w:val="00284E33"/>
  </w:style>
  <w:style w:type="numbering" w:customStyle="1" w:styleId="List32">
    <w:name w:val="List 32"/>
    <w:basedOn w:val="Estiloimportado28"/>
    <w:rsid w:val="00284E33"/>
    <w:pPr>
      <w:numPr>
        <w:numId w:val="48"/>
      </w:numPr>
    </w:pPr>
  </w:style>
  <w:style w:type="numbering" w:customStyle="1" w:styleId="Estiloimportado28">
    <w:name w:val="Estilo importado 28"/>
    <w:rsid w:val="00284E33"/>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sid w:val="00284E33"/>
    <w:rPr>
      <w:rFonts w:ascii="Calibri" w:eastAsia="Calibri" w:hAnsi="Calibri" w:cs="Calibri"/>
      <w:color w:val="000000"/>
      <w:u w:color="000000"/>
      <w:lang w:val="en-US"/>
    </w:rPr>
  </w:style>
  <w:style w:type="numbering" w:customStyle="1" w:styleId="List33">
    <w:name w:val="List 33"/>
    <w:basedOn w:val="Estiloimportado29"/>
    <w:rsid w:val="00284E33"/>
    <w:pPr>
      <w:numPr>
        <w:numId w:val="26"/>
      </w:numPr>
    </w:pPr>
  </w:style>
  <w:style w:type="numbering" w:customStyle="1" w:styleId="Estiloimportado29">
    <w:name w:val="Estilo importado 29"/>
    <w:rsid w:val="00284E33"/>
  </w:style>
  <w:style w:type="numbering" w:customStyle="1" w:styleId="List34">
    <w:name w:val="List 34"/>
    <w:basedOn w:val="Estiloimportado30"/>
    <w:rsid w:val="00284E33"/>
    <w:pPr>
      <w:numPr>
        <w:numId w:val="11"/>
      </w:numPr>
    </w:pPr>
  </w:style>
  <w:style w:type="numbering" w:customStyle="1" w:styleId="Estiloimportado30">
    <w:name w:val="Estilo importado 30"/>
    <w:rsid w:val="00284E33"/>
  </w:style>
  <w:style w:type="numbering" w:customStyle="1" w:styleId="List35">
    <w:name w:val="List 35"/>
    <w:basedOn w:val="Estiloimportado31"/>
    <w:rsid w:val="00284E33"/>
    <w:pPr>
      <w:numPr>
        <w:numId w:val="8"/>
      </w:numPr>
    </w:pPr>
  </w:style>
  <w:style w:type="numbering" w:customStyle="1" w:styleId="Estiloimportado31">
    <w:name w:val="Estilo importado 31"/>
    <w:rsid w:val="00284E33"/>
  </w:style>
  <w:style w:type="numbering" w:customStyle="1" w:styleId="List36">
    <w:name w:val="List 36"/>
    <w:basedOn w:val="Estiloimportado32"/>
    <w:rsid w:val="00284E33"/>
    <w:pPr>
      <w:numPr>
        <w:numId w:val="14"/>
      </w:numPr>
    </w:pPr>
  </w:style>
  <w:style w:type="numbering" w:customStyle="1" w:styleId="Estiloimportado32">
    <w:name w:val="Estilo importado 32"/>
    <w:rsid w:val="00284E33"/>
  </w:style>
  <w:style w:type="numbering" w:customStyle="1" w:styleId="List37">
    <w:name w:val="List 37"/>
    <w:basedOn w:val="Estiloimportado33"/>
    <w:rsid w:val="00284E33"/>
    <w:pPr>
      <w:numPr>
        <w:numId w:val="47"/>
      </w:numPr>
    </w:pPr>
  </w:style>
  <w:style w:type="numbering" w:customStyle="1" w:styleId="Estiloimportado33">
    <w:name w:val="Estilo importado 33"/>
    <w:rsid w:val="00284E33"/>
  </w:style>
  <w:style w:type="numbering" w:customStyle="1" w:styleId="List38">
    <w:name w:val="List 38"/>
    <w:basedOn w:val="Estiloimportado34"/>
    <w:rsid w:val="00284E33"/>
    <w:pPr>
      <w:numPr>
        <w:numId w:val="35"/>
      </w:numPr>
    </w:pPr>
  </w:style>
  <w:style w:type="numbering" w:customStyle="1" w:styleId="Estiloimportado34">
    <w:name w:val="Estilo importado 34"/>
    <w:rsid w:val="00284E33"/>
  </w:style>
  <w:style w:type="numbering" w:customStyle="1" w:styleId="List39">
    <w:name w:val="List 39"/>
    <w:basedOn w:val="Estiloimportado35"/>
    <w:rsid w:val="00284E33"/>
    <w:pPr>
      <w:numPr>
        <w:numId w:val="46"/>
      </w:numPr>
    </w:pPr>
  </w:style>
  <w:style w:type="numbering" w:customStyle="1" w:styleId="Estiloimportado35">
    <w:name w:val="Estilo importado 35"/>
    <w:rsid w:val="00284E33"/>
  </w:style>
  <w:style w:type="numbering" w:customStyle="1" w:styleId="List40">
    <w:name w:val="List 40"/>
    <w:basedOn w:val="Estiloimportado36"/>
    <w:rsid w:val="00284E33"/>
    <w:pPr>
      <w:numPr>
        <w:numId w:val="21"/>
      </w:numPr>
    </w:pPr>
  </w:style>
  <w:style w:type="numbering" w:customStyle="1" w:styleId="Estiloimportado36">
    <w:name w:val="Estilo importado 36"/>
    <w:rsid w:val="00284E33"/>
  </w:style>
  <w:style w:type="numbering" w:customStyle="1" w:styleId="List410">
    <w:name w:val="List 41"/>
    <w:basedOn w:val="Estiloimportado37"/>
    <w:rsid w:val="00284E33"/>
    <w:pPr>
      <w:numPr>
        <w:numId w:val="44"/>
      </w:numPr>
    </w:pPr>
  </w:style>
  <w:style w:type="numbering" w:customStyle="1" w:styleId="Estiloimportado37">
    <w:name w:val="Estilo importado 37"/>
    <w:rsid w:val="00284E33"/>
  </w:style>
  <w:style w:type="numbering" w:customStyle="1" w:styleId="List42">
    <w:name w:val="List 42"/>
    <w:basedOn w:val="Estiloimportado12"/>
    <w:rsid w:val="00284E33"/>
    <w:pPr>
      <w:numPr>
        <w:numId w:val="12"/>
      </w:numPr>
    </w:pPr>
  </w:style>
  <w:style w:type="numbering" w:customStyle="1" w:styleId="List43">
    <w:name w:val="List 43"/>
    <w:basedOn w:val="Estiloimportado38"/>
    <w:rsid w:val="00284E33"/>
    <w:pPr>
      <w:numPr>
        <w:numId w:val="23"/>
      </w:numPr>
    </w:pPr>
  </w:style>
  <w:style w:type="numbering" w:customStyle="1" w:styleId="Estiloimportado38">
    <w:name w:val="Estilo importado 38"/>
    <w:rsid w:val="00284E33"/>
  </w:style>
  <w:style w:type="numbering" w:customStyle="1" w:styleId="List44">
    <w:name w:val="List 44"/>
    <w:basedOn w:val="Estiloimportado39"/>
    <w:rsid w:val="00284E33"/>
    <w:pPr>
      <w:numPr>
        <w:numId w:val="40"/>
      </w:numPr>
    </w:pPr>
  </w:style>
  <w:style w:type="numbering" w:customStyle="1" w:styleId="Estiloimportado39">
    <w:name w:val="Estilo importado 39"/>
    <w:rsid w:val="00284E33"/>
  </w:style>
  <w:style w:type="numbering" w:customStyle="1" w:styleId="List45">
    <w:name w:val="List 45"/>
    <w:basedOn w:val="Estiloimportado40"/>
    <w:rsid w:val="00284E33"/>
    <w:pPr>
      <w:numPr>
        <w:numId w:val="20"/>
      </w:numPr>
    </w:pPr>
  </w:style>
  <w:style w:type="numbering" w:customStyle="1" w:styleId="Estiloimportado40">
    <w:name w:val="Estilo importado 40"/>
    <w:rsid w:val="00284E33"/>
  </w:style>
  <w:style w:type="numbering" w:customStyle="1" w:styleId="List46">
    <w:name w:val="List 46"/>
    <w:basedOn w:val="Estiloimportado41"/>
    <w:rsid w:val="00284E33"/>
    <w:pPr>
      <w:numPr>
        <w:numId w:val="24"/>
      </w:numPr>
    </w:pPr>
  </w:style>
  <w:style w:type="numbering" w:customStyle="1" w:styleId="Estiloimportado41">
    <w:name w:val="Estilo importado 41"/>
    <w:rsid w:val="00284E33"/>
  </w:style>
  <w:style w:type="numbering" w:customStyle="1" w:styleId="List47">
    <w:name w:val="List 47"/>
    <w:basedOn w:val="Estiloimportado42"/>
    <w:rsid w:val="00284E33"/>
    <w:pPr>
      <w:numPr>
        <w:numId w:val="29"/>
      </w:numPr>
    </w:pPr>
  </w:style>
  <w:style w:type="numbering" w:customStyle="1" w:styleId="Estiloimportado42">
    <w:name w:val="Estilo importado 42"/>
    <w:rsid w:val="00284E33"/>
  </w:style>
  <w:style w:type="numbering" w:customStyle="1" w:styleId="List48">
    <w:name w:val="List 48"/>
    <w:basedOn w:val="Estiloimportado43"/>
    <w:rsid w:val="00284E33"/>
    <w:pPr>
      <w:numPr>
        <w:numId w:val="50"/>
      </w:numPr>
    </w:pPr>
  </w:style>
  <w:style w:type="numbering" w:customStyle="1" w:styleId="Estiloimportado43">
    <w:name w:val="Estilo importado 43"/>
    <w:rsid w:val="00284E33"/>
  </w:style>
  <w:style w:type="numbering" w:customStyle="1" w:styleId="List49">
    <w:name w:val="List 49"/>
    <w:basedOn w:val="Estiloimportado44"/>
    <w:rsid w:val="00284E33"/>
    <w:pPr>
      <w:numPr>
        <w:numId w:val="39"/>
      </w:numPr>
    </w:pPr>
  </w:style>
  <w:style w:type="numbering" w:customStyle="1" w:styleId="Estiloimportado44">
    <w:name w:val="Estilo importado 44"/>
    <w:rsid w:val="00284E33"/>
  </w:style>
  <w:style w:type="numbering" w:customStyle="1" w:styleId="List50">
    <w:name w:val="List 50"/>
    <w:basedOn w:val="Estiloimportado45"/>
    <w:rsid w:val="00284E33"/>
    <w:pPr>
      <w:numPr>
        <w:numId w:val="37"/>
      </w:numPr>
    </w:pPr>
  </w:style>
  <w:style w:type="numbering" w:customStyle="1" w:styleId="Estiloimportado45">
    <w:name w:val="Estilo importado 45"/>
    <w:rsid w:val="00284E33"/>
  </w:style>
  <w:style w:type="numbering" w:customStyle="1" w:styleId="List51">
    <w:name w:val="List 51"/>
    <w:basedOn w:val="Estiloimportado46"/>
    <w:rsid w:val="00284E33"/>
    <w:pPr>
      <w:numPr>
        <w:numId w:val="33"/>
      </w:numPr>
    </w:pPr>
  </w:style>
  <w:style w:type="numbering" w:customStyle="1" w:styleId="Estiloimportado46">
    <w:name w:val="Estilo importado 46"/>
    <w:rsid w:val="00284E33"/>
  </w:style>
  <w:style w:type="numbering" w:customStyle="1" w:styleId="List52">
    <w:name w:val="List 52"/>
    <w:basedOn w:val="Estiloimportado1"/>
    <w:rsid w:val="00284E33"/>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9031C4"/>
    <w:pPr>
      <w:tabs>
        <w:tab w:val="left" w:pos="1440"/>
        <w:tab w:val="left" w:pos="1800"/>
        <w:tab w:val="right" w:leader="dot" w:pos="9350"/>
      </w:tabs>
      <w:spacing w:after="100"/>
      <w:ind w:left="1440" w:hanging="360"/>
    </w:pPr>
  </w:style>
  <w:style w:type="paragraph" w:styleId="TOC1">
    <w:name w:val="toc 1"/>
    <w:basedOn w:val="Normal"/>
    <w:next w:val="Normal"/>
    <w:autoRedefine/>
    <w:uiPriority w:val="39"/>
    <w:unhideWhenUsed/>
    <w:rsid w:val="009703EC"/>
    <w:pPr>
      <w:tabs>
        <w:tab w:val="left" w:pos="1080"/>
        <w:tab w:val="left" w:pos="1440"/>
        <w:tab w:val="right" w:leader="dot" w:pos="9350"/>
      </w:tabs>
      <w:spacing w:after="100"/>
      <w:ind w:left="720"/>
    </w:pPr>
    <w:rPr>
      <w:rFonts w:asciiTheme="majorHAnsi" w:hAnsiTheme="majorHAnsi"/>
      <w:noProof/>
      <w:sz w:val="20"/>
      <w:szCs w:val="20"/>
      <w:lang w:val="es-ES"/>
    </w:rPr>
  </w:style>
  <w:style w:type="paragraph" w:styleId="TOC3">
    <w:name w:val="toc 3"/>
    <w:basedOn w:val="Normal"/>
    <w:next w:val="Normal"/>
    <w:autoRedefine/>
    <w:uiPriority w:val="39"/>
    <w:unhideWhenUsed/>
    <w:rsid w:val="00864785"/>
    <w:pPr>
      <w:tabs>
        <w:tab w:val="left" w:pos="880"/>
        <w:tab w:val="left" w:pos="180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
    <w:link w:val="FootnotesrefssChar1Char"/>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036A8A"/>
    <w:rPr>
      <w:rFonts w:ascii="Calibri" w:eastAsia="Calibri" w:hAnsi="Calibri" w:cs="Calibri"/>
      <w:color w:val="000000"/>
      <w:u w:color="000000"/>
      <w:lang w:val="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F45EB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locked/>
    <w:rsid w:val="00F45EBF"/>
    <w:rPr>
      <w:rFonts w:ascii="Cambria" w:eastAsia="Cambria" w:hAnsi="Cambria" w:cs="Cambria"/>
      <w:color w:val="000000"/>
      <w:sz w:val="24"/>
      <w:szCs w:val="24"/>
      <w:u w:color="000000"/>
      <w:lang w:val="en-US"/>
    </w:rPr>
  </w:style>
  <w:style w:type="paragraph" w:customStyle="1" w:styleId="indent">
    <w:name w:val="indent"/>
    <w:basedOn w:val="Normal"/>
    <w:rsid w:val="00D8741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um">
    <w:name w:val="num"/>
    <w:basedOn w:val="DefaultParagraphFont"/>
    <w:rsid w:val="00D87416"/>
  </w:style>
  <w:style w:type="paragraph" w:styleId="NormalWeb">
    <w:name w:val="Normal (Web)"/>
    <w:basedOn w:val="Normal"/>
    <w:uiPriority w:val="99"/>
    <w:unhideWhenUsed/>
    <w:rsid w:val="0050753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tyle1Char">
    <w:name w:val="Style1 Char"/>
    <w:link w:val="Style1"/>
    <w:locked/>
    <w:rsid w:val="007D2FEE"/>
    <w:rPr>
      <w:rFonts w:ascii="Cambria" w:eastAsia="Times New Roman" w:hAnsi="Cambria"/>
      <w:b/>
      <w:bCs/>
      <w:bdr w:val="none" w:sz="0" w:space="0" w:color="auto" w:frame="1"/>
      <w:lang w:val="es-ES_tradnl" w:eastAsia="en-US"/>
    </w:rPr>
  </w:style>
  <w:style w:type="paragraph" w:customStyle="1" w:styleId="Style1">
    <w:name w:val="Style1"/>
    <w:basedOn w:val="Normal"/>
    <w:link w:val="Style1Char"/>
    <w:qFormat/>
    <w:rsid w:val="007D2FE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Cambria" w:eastAsia="Times New Roman" w:hAnsi="Cambria"/>
      <w:b/>
      <w:bCs/>
      <w:sz w:val="20"/>
      <w:szCs w:val="20"/>
      <w:bdr w:val="none" w:sz="0" w:space="0" w:color="auto" w:frame="1"/>
      <w:lang w:val="es-ES_tradnl"/>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9D15C7"/>
    <w:rPr>
      <w:rFonts w:ascii="Calibri" w:hAnsi="Calibri"/>
      <w:color w:val="000000"/>
      <w:u w:color="000000"/>
    </w:rPr>
  </w:style>
  <w:style w:type="paragraph" w:customStyle="1" w:styleId="Footnotes">
    <w:name w:val="Footnotes"/>
    <w:basedOn w:val="FootnoteText"/>
    <w:qFormat/>
    <w:rsid w:val="000332F4"/>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pPr>
    <w:rPr>
      <w:rFonts w:ascii="Cambria" w:hAnsi="Cambria" w:cs="Times New Roman"/>
      <w:color w:val="auto"/>
      <w:sz w:val="18"/>
      <w:szCs w:val="18"/>
      <w:bdr w:val="none" w:sz="0" w:space="0" w:color="auto"/>
      <w:lang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1937A5"/>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Theme="minorHAnsi" w:eastAsiaTheme="minorEastAsia" w:hAnsiTheme="minorHAnsi" w:cstheme="minorBidi"/>
      <w:bdr w:val="none" w:sz="0" w:space="0" w:color="auto"/>
      <w:vertAlign w:val="superscript"/>
      <w:lang w:val="es-ES_tradnl" w:eastAsia="es-ES"/>
    </w:rPr>
  </w:style>
  <w:style w:type="character" w:customStyle="1" w:styleId="apple-converted-space">
    <w:name w:val="apple-converted-space"/>
    <w:rsid w:val="007607EC"/>
  </w:style>
  <w:style w:type="character" w:customStyle="1" w:styleId="apple-style-span">
    <w:name w:val="apple-style-span"/>
    <w:basedOn w:val="DefaultParagraphFont"/>
    <w:rsid w:val="00095575"/>
    <w:rPr>
      <w:rFonts w:cs="Times New Roman"/>
    </w:rPr>
  </w:style>
  <w:style w:type="character" w:customStyle="1" w:styleId="Heading2Char">
    <w:name w:val="Heading 2 Char"/>
    <w:basedOn w:val="DefaultParagraphFont"/>
    <w:link w:val="Heading2"/>
    <w:uiPriority w:val="9"/>
    <w:rsid w:val="009B541A"/>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9B541A"/>
    <w:rPr>
      <w:rFonts w:asciiTheme="majorHAnsi" w:eastAsiaTheme="majorEastAsia" w:hAnsiTheme="majorHAnsi" w:cstheme="majorBidi"/>
      <w:b/>
      <w:bCs/>
      <w:color w:val="4F81BD" w:themeColor="accent1"/>
      <w:sz w:val="24"/>
      <w:szCs w:val="24"/>
      <w:lang w:val="en-US" w:eastAsia="en-US"/>
    </w:rPr>
  </w:style>
  <w:style w:type="paragraph" w:customStyle="1" w:styleId="Default">
    <w:name w:val="Default"/>
    <w:rsid w:val="009B54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bdr w:val="none" w:sz="0" w:space="0" w:color="auto"/>
      <w:lang w:val="en-GB" w:eastAsia="en-US"/>
    </w:rPr>
  </w:style>
  <w:style w:type="character" w:customStyle="1" w:styleId="sb8d990e2">
    <w:name w:val="sb8d990e2"/>
    <w:rsid w:val="00E43C54"/>
  </w:style>
  <w:style w:type="numbering" w:styleId="111111">
    <w:name w:val="Outline List 2"/>
    <w:basedOn w:val="NoList"/>
    <w:uiPriority w:val="99"/>
    <w:semiHidden/>
    <w:unhideWhenUsed/>
    <w:rsid w:val="00ED56AB"/>
    <w:pPr>
      <w:numPr>
        <w:numId w:val="57"/>
      </w:numPr>
    </w:pPr>
  </w:style>
  <w:style w:type="character" w:styleId="CommentReference">
    <w:name w:val="annotation reference"/>
    <w:basedOn w:val="DefaultParagraphFont"/>
    <w:uiPriority w:val="99"/>
    <w:semiHidden/>
    <w:unhideWhenUsed/>
    <w:rsid w:val="00EA6A6E"/>
    <w:rPr>
      <w:sz w:val="16"/>
      <w:szCs w:val="16"/>
    </w:rPr>
  </w:style>
  <w:style w:type="paragraph" w:styleId="CommentText">
    <w:name w:val="annotation text"/>
    <w:basedOn w:val="Normal"/>
    <w:link w:val="CommentTextChar"/>
    <w:uiPriority w:val="99"/>
    <w:semiHidden/>
    <w:unhideWhenUsed/>
    <w:rsid w:val="00EA6A6E"/>
    <w:rPr>
      <w:sz w:val="20"/>
      <w:szCs w:val="20"/>
    </w:rPr>
  </w:style>
  <w:style w:type="character" w:customStyle="1" w:styleId="CommentTextChar">
    <w:name w:val="Comment Text Char"/>
    <w:basedOn w:val="DefaultParagraphFont"/>
    <w:link w:val="CommentText"/>
    <w:uiPriority w:val="99"/>
    <w:semiHidden/>
    <w:rsid w:val="00EA6A6E"/>
    <w:rPr>
      <w:lang w:val="en-US" w:eastAsia="en-US"/>
    </w:rPr>
  </w:style>
  <w:style w:type="paragraph" w:styleId="CommentSubject">
    <w:name w:val="annotation subject"/>
    <w:basedOn w:val="CommentText"/>
    <w:next w:val="CommentText"/>
    <w:link w:val="CommentSubjectChar"/>
    <w:uiPriority w:val="99"/>
    <w:semiHidden/>
    <w:unhideWhenUsed/>
    <w:rsid w:val="00EA6A6E"/>
    <w:rPr>
      <w:b/>
      <w:bCs/>
    </w:rPr>
  </w:style>
  <w:style w:type="character" w:customStyle="1" w:styleId="CommentSubjectChar">
    <w:name w:val="Comment Subject Char"/>
    <w:basedOn w:val="CommentTextChar"/>
    <w:link w:val="CommentSubject"/>
    <w:uiPriority w:val="99"/>
    <w:semiHidden/>
    <w:rsid w:val="00EA6A6E"/>
    <w:rPr>
      <w:b/>
      <w:bCs/>
      <w:lang w:val="en-US" w:eastAsia="en-US"/>
    </w:rPr>
  </w:style>
  <w:style w:type="paragraph" w:styleId="Revision">
    <w:name w:val="Revision"/>
    <w:hidden/>
    <w:uiPriority w:val="99"/>
    <w:semiHidden/>
    <w:rsid w:val="006C1815"/>
    <w:pPr>
      <w:pBdr>
        <w:top w:val="none" w:sz="0" w:space="0" w:color="auto"/>
        <w:left w:val="none" w:sz="0" w:space="0" w:color="auto"/>
        <w:bottom w:val="none" w:sz="0" w:space="0" w:color="auto"/>
        <w:right w:val="none" w:sz="0" w:space="0" w:color="auto"/>
        <w:between w:val="none" w:sz="0" w:space="0" w:color="auto"/>
        <w:bar w:val="none" w:sz="0" w:color="auto"/>
      </w:pBdr>
    </w:pPr>
    <w:rPr>
      <w:lang w:val="en-US" w:eastAsia="en-US"/>
    </w:rPr>
  </w:style>
  <w:style w:type="character" w:styleId="Strong">
    <w:name w:val="Strong"/>
    <w:basedOn w:val="DefaultParagraphFont"/>
    <w:uiPriority w:val="22"/>
    <w:qFormat/>
    <w:rsid w:val="006A538E"/>
    <w:rPr>
      <w:b/>
      <w:bCs/>
    </w:rPr>
  </w:style>
  <w:style w:type="paragraph" w:customStyle="1" w:styleId="Body">
    <w:name w:val="Body"/>
    <w:rsid w:val="00191F07"/>
    <w:rPr>
      <w:rFonts w:cs="Arial Unicode MS"/>
      <w:color w:val="000000"/>
      <w:u w:color="000000"/>
      <w:lang w:val="en-US" w:eastAsia="en-US"/>
    </w:rPr>
  </w:style>
  <w:style w:type="numbering" w:customStyle="1" w:styleId="ImportedStyle3">
    <w:name w:val="Imported Style 3"/>
    <w:rsid w:val="006A72B7"/>
    <w:pPr>
      <w:numPr>
        <w:numId w:val="58"/>
      </w:numPr>
    </w:pPr>
  </w:style>
  <w:style w:type="numbering" w:customStyle="1" w:styleId="ImportedStyle4">
    <w:name w:val="Imported Style 4"/>
    <w:rsid w:val="00EA425E"/>
    <w:pPr>
      <w:numPr>
        <w:numId w:val="59"/>
      </w:numPr>
    </w:pPr>
  </w:style>
  <w:style w:type="numbering" w:customStyle="1" w:styleId="ImportedStyle5">
    <w:name w:val="Imported Style 5"/>
    <w:rsid w:val="00C80BAC"/>
    <w:pPr>
      <w:numPr>
        <w:numId w:val="60"/>
      </w:numPr>
    </w:pPr>
  </w:style>
  <w:style w:type="numbering" w:customStyle="1" w:styleId="ImportedStyle6">
    <w:name w:val="Imported Style 6"/>
    <w:rsid w:val="00264225"/>
    <w:pPr>
      <w:numPr>
        <w:numId w:val="61"/>
      </w:numPr>
    </w:pPr>
  </w:style>
  <w:style w:type="numbering" w:customStyle="1" w:styleId="ImportedStyle8">
    <w:name w:val="Imported Style 8"/>
    <w:rsid w:val="00037CC9"/>
    <w:pPr>
      <w:numPr>
        <w:numId w:val="62"/>
      </w:numPr>
    </w:pPr>
  </w:style>
  <w:style w:type="character" w:customStyle="1" w:styleId="Hyperlink0">
    <w:name w:val="Hyperlink.0"/>
    <w:basedOn w:val="DefaultParagraphFont"/>
    <w:rsid w:val="000A1126"/>
    <w:rPr>
      <w:rFonts w:ascii="Cambria" w:eastAsia="Cambria" w:hAnsi="Cambria" w:cs="Cambria"/>
      <w:color w:val="0000FF"/>
      <w:sz w:val="16"/>
      <w:szCs w:val="16"/>
      <w:u w:val="single" w:color="0000FF"/>
    </w:rPr>
  </w:style>
  <w:style w:type="paragraph" w:styleId="Index1">
    <w:name w:val="index 1"/>
    <w:basedOn w:val="Normal"/>
    <w:next w:val="Normal"/>
    <w:autoRedefine/>
    <w:uiPriority w:val="99"/>
    <w:semiHidden/>
    <w:unhideWhenUsed/>
    <w:rsid w:val="00C01BA5"/>
    <w:pPr>
      <w:ind w:left="240" w:hanging="240"/>
    </w:pPr>
  </w:style>
  <w:style w:type="paragraph" w:styleId="Index2">
    <w:name w:val="index 2"/>
    <w:basedOn w:val="Normal"/>
    <w:next w:val="Normal"/>
    <w:autoRedefine/>
    <w:uiPriority w:val="99"/>
    <w:semiHidden/>
    <w:unhideWhenUsed/>
    <w:rsid w:val="00C01BA5"/>
    <w:pPr>
      <w:ind w:left="480" w:hanging="240"/>
    </w:pPr>
  </w:style>
  <w:style w:type="paragraph" w:styleId="Index3">
    <w:name w:val="index 3"/>
    <w:basedOn w:val="Normal"/>
    <w:next w:val="Normal"/>
    <w:autoRedefine/>
    <w:uiPriority w:val="99"/>
    <w:semiHidden/>
    <w:unhideWhenUsed/>
    <w:rsid w:val="00C01BA5"/>
    <w:pPr>
      <w:ind w:left="720" w:hanging="240"/>
    </w:pPr>
  </w:style>
  <w:style w:type="paragraph" w:styleId="Index4">
    <w:name w:val="index 4"/>
    <w:basedOn w:val="Normal"/>
    <w:next w:val="Normal"/>
    <w:autoRedefine/>
    <w:uiPriority w:val="99"/>
    <w:semiHidden/>
    <w:unhideWhenUsed/>
    <w:rsid w:val="00C01BA5"/>
    <w:pPr>
      <w:ind w:left="960" w:hanging="240"/>
    </w:pPr>
  </w:style>
  <w:style w:type="paragraph" w:styleId="Index5">
    <w:name w:val="index 5"/>
    <w:basedOn w:val="Normal"/>
    <w:next w:val="Normal"/>
    <w:autoRedefine/>
    <w:uiPriority w:val="99"/>
    <w:semiHidden/>
    <w:unhideWhenUsed/>
    <w:rsid w:val="00C01BA5"/>
    <w:pPr>
      <w:ind w:left="1200" w:hanging="240"/>
    </w:pPr>
  </w:style>
  <w:style w:type="paragraph" w:styleId="Index6">
    <w:name w:val="index 6"/>
    <w:basedOn w:val="Normal"/>
    <w:next w:val="Normal"/>
    <w:autoRedefine/>
    <w:uiPriority w:val="99"/>
    <w:semiHidden/>
    <w:unhideWhenUsed/>
    <w:rsid w:val="00C01BA5"/>
    <w:pPr>
      <w:ind w:left="1440" w:hanging="240"/>
    </w:pPr>
  </w:style>
  <w:style w:type="paragraph" w:styleId="Index7">
    <w:name w:val="index 7"/>
    <w:basedOn w:val="Normal"/>
    <w:next w:val="Normal"/>
    <w:autoRedefine/>
    <w:uiPriority w:val="99"/>
    <w:semiHidden/>
    <w:unhideWhenUsed/>
    <w:rsid w:val="00C01BA5"/>
    <w:pPr>
      <w:ind w:left="1680" w:hanging="240"/>
    </w:pPr>
  </w:style>
  <w:style w:type="paragraph" w:styleId="Index8">
    <w:name w:val="index 8"/>
    <w:basedOn w:val="Normal"/>
    <w:next w:val="Normal"/>
    <w:autoRedefine/>
    <w:uiPriority w:val="99"/>
    <w:semiHidden/>
    <w:unhideWhenUsed/>
    <w:rsid w:val="00C01BA5"/>
    <w:pPr>
      <w:ind w:left="1920" w:hanging="240"/>
    </w:pPr>
  </w:style>
  <w:style w:type="paragraph" w:styleId="Index9">
    <w:name w:val="index 9"/>
    <w:basedOn w:val="Normal"/>
    <w:next w:val="Normal"/>
    <w:autoRedefine/>
    <w:uiPriority w:val="99"/>
    <w:semiHidden/>
    <w:unhideWhenUsed/>
    <w:rsid w:val="00C01BA5"/>
    <w:pPr>
      <w:ind w:left="2160" w:hanging="240"/>
    </w:pPr>
  </w:style>
  <w:style w:type="paragraph" w:styleId="IndexHeading">
    <w:name w:val="index heading"/>
    <w:basedOn w:val="Normal"/>
    <w:next w:val="Index1"/>
    <w:uiPriority w:val="99"/>
    <w:semiHidden/>
    <w:unhideWhenUsed/>
    <w:rsid w:val="00C01BA5"/>
  </w:style>
  <w:style w:type="paragraph" w:styleId="TOC5">
    <w:name w:val="toc 5"/>
    <w:basedOn w:val="Normal"/>
    <w:next w:val="Normal"/>
    <w:autoRedefine/>
    <w:rsid w:val="00E200F9"/>
    <w:pPr>
      <w:ind w:left="960"/>
    </w:pPr>
  </w:style>
  <w:style w:type="paragraph" w:styleId="TOC6">
    <w:name w:val="toc 6"/>
    <w:basedOn w:val="Normal"/>
    <w:next w:val="Normal"/>
    <w:autoRedefine/>
    <w:rsid w:val="00E200F9"/>
    <w:pPr>
      <w:ind w:left="1200"/>
    </w:pPr>
  </w:style>
  <w:style w:type="paragraph" w:styleId="TOC7">
    <w:name w:val="toc 7"/>
    <w:basedOn w:val="Normal"/>
    <w:next w:val="Normal"/>
    <w:autoRedefine/>
    <w:rsid w:val="00E200F9"/>
    <w:pPr>
      <w:ind w:left="1440"/>
    </w:pPr>
  </w:style>
  <w:style w:type="paragraph" w:styleId="TOC8">
    <w:name w:val="toc 8"/>
    <w:basedOn w:val="Normal"/>
    <w:next w:val="Normal"/>
    <w:autoRedefine/>
    <w:rsid w:val="00E200F9"/>
    <w:pPr>
      <w:ind w:left="1680"/>
    </w:pPr>
  </w:style>
  <w:style w:type="paragraph" w:styleId="TOC9">
    <w:name w:val="toc 9"/>
    <w:basedOn w:val="Normal"/>
    <w:next w:val="Normal"/>
    <w:autoRedefine/>
    <w:rsid w:val="00E200F9"/>
    <w:pPr>
      <w:ind w:left="1920"/>
    </w:pPr>
  </w:style>
  <w:style w:type="paragraph" w:styleId="Date">
    <w:name w:val="Date"/>
    <w:basedOn w:val="Normal"/>
    <w:next w:val="Normal"/>
    <w:link w:val="DateChar"/>
    <w:semiHidden/>
    <w:unhideWhenUsed/>
    <w:rsid w:val="00517E72"/>
  </w:style>
  <w:style w:type="character" w:customStyle="1" w:styleId="DateChar">
    <w:name w:val="Date Char"/>
    <w:basedOn w:val="DefaultParagraphFont"/>
    <w:link w:val="Date"/>
    <w:semiHidden/>
    <w:rsid w:val="00517E72"/>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7233">
      <w:bodyDiv w:val="1"/>
      <w:marLeft w:val="0"/>
      <w:marRight w:val="0"/>
      <w:marTop w:val="0"/>
      <w:marBottom w:val="0"/>
      <w:divBdr>
        <w:top w:val="none" w:sz="0" w:space="0" w:color="auto"/>
        <w:left w:val="none" w:sz="0" w:space="0" w:color="auto"/>
        <w:bottom w:val="none" w:sz="0" w:space="0" w:color="auto"/>
        <w:right w:val="none" w:sz="0" w:space="0" w:color="auto"/>
      </w:divBdr>
    </w:div>
    <w:div w:id="131023587">
      <w:bodyDiv w:val="1"/>
      <w:marLeft w:val="0"/>
      <w:marRight w:val="0"/>
      <w:marTop w:val="0"/>
      <w:marBottom w:val="0"/>
      <w:divBdr>
        <w:top w:val="none" w:sz="0" w:space="0" w:color="auto"/>
        <w:left w:val="none" w:sz="0" w:space="0" w:color="auto"/>
        <w:bottom w:val="none" w:sz="0" w:space="0" w:color="auto"/>
        <w:right w:val="none" w:sz="0" w:space="0" w:color="auto"/>
      </w:divBdr>
      <w:divsChild>
        <w:div w:id="792481931">
          <w:marLeft w:val="0"/>
          <w:marRight w:val="0"/>
          <w:marTop w:val="0"/>
          <w:marBottom w:val="0"/>
          <w:divBdr>
            <w:top w:val="none" w:sz="0" w:space="0" w:color="auto"/>
            <w:left w:val="none" w:sz="0" w:space="0" w:color="auto"/>
            <w:bottom w:val="none" w:sz="0" w:space="0" w:color="auto"/>
            <w:right w:val="none" w:sz="0" w:space="0" w:color="auto"/>
          </w:divBdr>
          <w:divsChild>
            <w:div w:id="1950046063">
              <w:marLeft w:val="0"/>
              <w:marRight w:val="0"/>
              <w:marTop w:val="0"/>
              <w:marBottom w:val="0"/>
              <w:divBdr>
                <w:top w:val="none" w:sz="0" w:space="0" w:color="auto"/>
                <w:left w:val="none" w:sz="0" w:space="0" w:color="auto"/>
                <w:bottom w:val="none" w:sz="0" w:space="0" w:color="auto"/>
                <w:right w:val="none" w:sz="0" w:space="0" w:color="auto"/>
              </w:divBdr>
              <w:divsChild>
                <w:div w:id="1731419409">
                  <w:marLeft w:val="0"/>
                  <w:marRight w:val="0"/>
                  <w:marTop w:val="0"/>
                  <w:marBottom w:val="0"/>
                  <w:divBdr>
                    <w:top w:val="none" w:sz="0" w:space="0" w:color="auto"/>
                    <w:left w:val="none" w:sz="0" w:space="0" w:color="auto"/>
                    <w:bottom w:val="none" w:sz="0" w:space="0" w:color="auto"/>
                    <w:right w:val="none" w:sz="0" w:space="0" w:color="auto"/>
                  </w:divBdr>
                </w:div>
              </w:divsChild>
            </w:div>
            <w:div w:id="2134515933">
              <w:marLeft w:val="0"/>
              <w:marRight w:val="0"/>
              <w:marTop w:val="0"/>
              <w:marBottom w:val="0"/>
              <w:divBdr>
                <w:top w:val="none" w:sz="0" w:space="0" w:color="auto"/>
                <w:left w:val="none" w:sz="0" w:space="0" w:color="auto"/>
                <w:bottom w:val="none" w:sz="0" w:space="0" w:color="auto"/>
                <w:right w:val="none" w:sz="0" w:space="0" w:color="auto"/>
              </w:divBdr>
              <w:divsChild>
                <w:div w:id="1431508840">
                  <w:marLeft w:val="0"/>
                  <w:marRight w:val="0"/>
                  <w:marTop w:val="0"/>
                  <w:marBottom w:val="0"/>
                  <w:divBdr>
                    <w:top w:val="none" w:sz="0" w:space="0" w:color="auto"/>
                    <w:left w:val="none" w:sz="0" w:space="0" w:color="auto"/>
                    <w:bottom w:val="none" w:sz="0" w:space="0" w:color="auto"/>
                    <w:right w:val="none" w:sz="0" w:space="0" w:color="auto"/>
                  </w:divBdr>
                </w:div>
              </w:divsChild>
            </w:div>
            <w:div w:id="373505296">
              <w:marLeft w:val="0"/>
              <w:marRight w:val="0"/>
              <w:marTop w:val="0"/>
              <w:marBottom w:val="0"/>
              <w:divBdr>
                <w:top w:val="none" w:sz="0" w:space="0" w:color="auto"/>
                <w:left w:val="none" w:sz="0" w:space="0" w:color="auto"/>
                <w:bottom w:val="none" w:sz="0" w:space="0" w:color="auto"/>
                <w:right w:val="none" w:sz="0" w:space="0" w:color="auto"/>
              </w:divBdr>
              <w:divsChild>
                <w:div w:id="1441994958">
                  <w:marLeft w:val="0"/>
                  <w:marRight w:val="0"/>
                  <w:marTop w:val="0"/>
                  <w:marBottom w:val="0"/>
                  <w:divBdr>
                    <w:top w:val="none" w:sz="0" w:space="0" w:color="auto"/>
                    <w:left w:val="none" w:sz="0" w:space="0" w:color="auto"/>
                    <w:bottom w:val="none" w:sz="0" w:space="0" w:color="auto"/>
                    <w:right w:val="none" w:sz="0" w:space="0" w:color="auto"/>
                  </w:divBdr>
                </w:div>
              </w:divsChild>
            </w:div>
            <w:div w:id="1710884645">
              <w:marLeft w:val="0"/>
              <w:marRight w:val="0"/>
              <w:marTop w:val="0"/>
              <w:marBottom w:val="0"/>
              <w:divBdr>
                <w:top w:val="none" w:sz="0" w:space="0" w:color="auto"/>
                <w:left w:val="none" w:sz="0" w:space="0" w:color="auto"/>
                <w:bottom w:val="none" w:sz="0" w:space="0" w:color="auto"/>
                <w:right w:val="none" w:sz="0" w:space="0" w:color="auto"/>
              </w:divBdr>
              <w:divsChild>
                <w:div w:id="668093268">
                  <w:marLeft w:val="0"/>
                  <w:marRight w:val="0"/>
                  <w:marTop w:val="0"/>
                  <w:marBottom w:val="0"/>
                  <w:divBdr>
                    <w:top w:val="none" w:sz="0" w:space="0" w:color="auto"/>
                    <w:left w:val="none" w:sz="0" w:space="0" w:color="auto"/>
                    <w:bottom w:val="none" w:sz="0" w:space="0" w:color="auto"/>
                    <w:right w:val="none" w:sz="0" w:space="0" w:color="auto"/>
                  </w:divBdr>
                </w:div>
              </w:divsChild>
            </w:div>
            <w:div w:id="1941916112">
              <w:marLeft w:val="0"/>
              <w:marRight w:val="0"/>
              <w:marTop w:val="0"/>
              <w:marBottom w:val="0"/>
              <w:divBdr>
                <w:top w:val="none" w:sz="0" w:space="0" w:color="auto"/>
                <w:left w:val="none" w:sz="0" w:space="0" w:color="auto"/>
                <w:bottom w:val="none" w:sz="0" w:space="0" w:color="auto"/>
                <w:right w:val="none" w:sz="0" w:space="0" w:color="auto"/>
              </w:divBdr>
              <w:divsChild>
                <w:div w:id="485709409">
                  <w:marLeft w:val="0"/>
                  <w:marRight w:val="0"/>
                  <w:marTop w:val="0"/>
                  <w:marBottom w:val="0"/>
                  <w:divBdr>
                    <w:top w:val="none" w:sz="0" w:space="0" w:color="auto"/>
                    <w:left w:val="none" w:sz="0" w:space="0" w:color="auto"/>
                    <w:bottom w:val="none" w:sz="0" w:space="0" w:color="auto"/>
                    <w:right w:val="none" w:sz="0" w:space="0" w:color="auto"/>
                  </w:divBdr>
                </w:div>
              </w:divsChild>
            </w:div>
            <w:div w:id="2056926840">
              <w:marLeft w:val="0"/>
              <w:marRight w:val="0"/>
              <w:marTop w:val="0"/>
              <w:marBottom w:val="0"/>
              <w:divBdr>
                <w:top w:val="none" w:sz="0" w:space="0" w:color="auto"/>
                <w:left w:val="none" w:sz="0" w:space="0" w:color="auto"/>
                <w:bottom w:val="none" w:sz="0" w:space="0" w:color="auto"/>
                <w:right w:val="none" w:sz="0" w:space="0" w:color="auto"/>
              </w:divBdr>
              <w:divsChild>
                <w:div w:id="135453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631155">
      <w:bodyDiv w:val="1"/>
      <w:marLeft w:val="0"/>
      <w:marRight w:val="0"/>
      <w:marTop w:val="0"/>
      <w:marBottom w:val="0"/>
      <w:divBdr>
        <w:top w:val="none" w:sz="0" w:space="0" w:color="auto"/>
        <w:left w:val="none" w:sz="0" w:space="0" w:color="auto"/>
        <w:bottom w:val="none" w:sz="0" w:space="0" w:color="auto"/>
        <w:right w:val="none" w:sz="0" w:space="0" w:color="auto"/>
      </w:divBdr>
    </w:div>
    <w:div w:id="626014000">
      <w:bodyDiv w:val="1"/>
      <w:marLeft w:val="0"/>
      <w:marRight w:val="0"/>
      <w:marTop w:val="0"/>
      <w:marBottom w:val="0"/>
      <w:divBdr>
        <w:top w:val="none" w:sz="0" w:space="0" w:color="auto"/>
        <w:left w:val="none" w:sz="0" w:space="0" w:color="auto"/>
        <w:bottom w:val="none" w:sz="0" w:space="0" w:color="auto"/>
        <w:right w:val="none" w:sz="0" w:space="0" w:color="auto"/>
      </w:divBdr>
    </w:div>
    <w:div w:id="761800827">
      <w:bodyDiv w:val="1"/>
      <w:marLeft w:val="0"/>
      <w:marRight w:val="0"/>
      <w:marTop w:val="0"/>
      <w:marBottom w:val="0"/>
      <w:divBdr>
        <w:top w:val="none" w:sz="0" w:space="0" w:color="auto"/>
        <w:left w:val="none" w:sz="0" w:space="0" w:color="auto"/>
        <w:bottom w:val="none" w:sz="0" w:space="0" w:color="auto"/>
        <w:right w:val="none" w:sz="0" w:space="0" w:color="auto"/>
      </w:divBdr>
    </w:div>
    <w:div w:id="790439445">
      <w:bodyDiv w:val="1"/>
      <w:marLeft w:val="0"/>
      <w:marRight w:val="0"/>
      <w:marTop w:val="0"/>
      <w:marBottom w:val="0"/>
      <w:divBdr>
        <w:top w:val="none" w:sz="0" w:space="0" w:color="auto"/>
        <w:left w:val="none" w:sz="0" w:space="0" w:color="auto"/>
        <w:bottom w:val="none" w:sz="0" w:space="0" w:color="auto"/>
        <w:right w:val="none" w:sz="0" w:space="0" w:color="auto"/>
      </w:divBdr>
    </w:div>
    <w:div w:id="816412868">
      <w:bodyDiv w:val="1"/>
      <w:marLeft w:val="0"/>
      <w:marRight w:val="0"/>
      <w:marTop w:val="0"/>
      <w:marBottom w:val="0"/>
      <w:divBdr>
        <w:top w:val="none" w:sz="0" w:space="0" w:color="auto"/>
        <w:left w:val="none" w:sz="0" w:space="0" w:color="auto"/>
        <w:bottom w:val="none" w:sz="0" w:space="0" w:color="auto"/>
        <w:right w:val="none" w:sz="0" w:space="0" w:color="auto"/>
      </w:divBdr>
    </w:div>
    <w:div w:id="1002781278">
      <w:bodyDiv w:val="1"/>
      <w:marLeft w:val="0"/>
      <w:marRight w:val="0"/>
      <w:marTop w:val="0"/>
      <w:marBottom w:val="0"/>
      <w:divBdr>
        <w:top w:val="none" w:sz="0" w:space="0" w:color="auto"/>
        <w:left w:val="none" w:sz="0" w:space="0" w:color="auto"/>
        <w:bottom w:val="none" w:sz="0" w:space="0" w:color="auto"/>
        <w:right w:val="none" w:sz="0" w:space="0" w:color="auto"/>
      </w:divBdr>
    </w:div>
    <w:div w:id="1007027173">
      <w:bodyDiv w:val="1"/>
      <w:marLeft w:val="0"/>
      <w:marRight w:val="0"/>
      <w:marTop w:val="0"/>
      <w:marBottom w:val="0"/>
      <w:divBdr>
        <w:top w:val="none" w:sz="0" w:space="0" w:color="auto"/>
        <w:left w:val="none" w:sz="0" w:space="0" w:color="auto"/>
        <w:bottom w:val="none" w:sz="0" w:space="0" w:color="auto"/>
        <w:right w:val="none" w:sz="0" w:space="0" w:color="auto"/>
      </w:divBdr>
    </w:div>
    <w:div w:id="1007296216">
      <w:bodyDiv w:val="1"/>
      <w:marLeft w:val="0"/>
      <w:marRight w:val="0"/>
      <w:marTop w:val="0"/>
      <w:marBottom w:val="0"/>
      <w:divBdr>
        <w:top w:val="none" w:sz="0" w:space="0" w:color="auto"/>
        <w:left w:val="none" w:sz="0" w:space="0" w:color="auto"/>
        <w:bottom w:val="none" w:sz="0" w:space="0" w:color="auto"/>
        <w:right w:val="none" w:sz="0" w:space="0" w:color="auto"/>
      </w:divBdr>
      <w:divsChild>
        <w:div w:id="1089429906">
          <w:marLeft w:val="0"/>
          <w:marRight w:val="0"/>
          <w:marTop w:val="0"/>
          <w:marBottom w:val="0"/>
          <w:divBdr>
            <w:top w:val="none" w:sz="0" w:space="0" w:color="auto"/>
            <w:left w:val="none" w:sz="0" w:space="0" w:color="auto"/>
            <w:bottom w:val="none" w:sz="0" w:space="0" w:color="auto"/>
            <w:right w:val="none" w:sz="0" w:space="0" w:color="auto"/>
          </w:divBdr>
          <w:divsChild>
            <w:div w:id="32312152">
              <w:marLeft w:val="0"/>
              <w:marRight w:val="0"/>
              <w:marTop w:val="0"/>
              <w:marBottom w:val="0"/>
              <w:divBdr>
                <w:top w:val="none" w:sz="0" w:space="0" w:color="auto"/>
                <w:left w:val="none" w:sz="0" w:space="0" w:color="auto"/>
                <w:bottom w:val="none" w:sz="0" w:space="0" w:color="auto"/>
                <w:right w:val="none" w:sz="0" w:space="0" w:color="auto"/>
              </w:divBdr>
              <w:divsChild>
                <w:div w:id="491483317">
                  <w:marLeft w:val="0"/>
                  <w:marRight w:val="0"/>
                  <w:marTop w:val="0"/>
                  <w:marBottom w:val="0"/>
                  <w:divBdr>
                    <w:top w:val="none" w:sz="0" w:space="0" w:color="auto"/>
                    <w:left w:val="none" w:sz="0" w:space="0" w:color="auto"/>
                    <w:bottom w:val="none" w:sz="0" w:space="0" w:color="auto"/>
                    <w:right w:val="none" w:sz="0" w:space="0" w:color="auto"/>
                  </w:divBdr>
                  <w:divsChild>
                    <w:div w:id="1401051643">
                      <w:marLeft w:val="0"/>
                      <w:marRight w:val="0"/>
                      <w:marTop w:val="0"/>
                      <w:marBottom w:val="0"/>
                      <w:divBdr>
                        <w:top w:val="none" w:sz="0" w:space="0" w:color="auto"/>
                        <w:left w:val="none" w:sz="0" w:space="0" w:color="auto"/>
                        <w:bottom w:val="none" w:sz="0" w:space="0" w:color="auto"/>
                        <w:right w:val="none" w:sz="0" w:space="0" w:color="auto"/>
                      </w:divBdr>
                      <w:divsChild>
                        <w:div w:id="1004211956">
                          <w:marLeft w:val="0"/>
                          <w:marRight w:val="0"/>
                          <w:marTop w:val="0"/>
                          <w:marBottom w:val="0"/>
                          <w:divBdr>
                            <w:top w:val="none" w:sz="0" w:space="0" w:color="auto"/>
                            <w:left w:val="none" w:sz="0" w:space="0" w:color="auto"/>
                            <w:bottom w:val="none" w:sz="0" w:space="0" w:color="auto"/>
                            <w:right w:val="none" w:sz="0" w:space="0" w:color="auto"/>
                          </w:divBdr>
                          <w:divsChild>
                            <w:div w:id="61906914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468732">
      <w:bodyDiv w:val="1"/>
      <w:marLeft w:val="0"/>
      <w:marRight w:val="0"/>
      <w:marTop w:val="0"/>
      <w:marBottom w:val="0"/>
      <w:divBdr>
        <w:top w:val="none" w:sz="0" w:space="0" w:color="auto"/>
        <w:left w:val="none" w:sz="0" w:space="0" w:color="auto"/>
        <w:bottom w:val="none" w:sz="0" w:space="0" w:color="auto"/>
        <w:right w:val="none" w:sz="0" w:space="0" w:color="auto"/>
      </w:divBdr>
    </w:div>
    <w:div w:id="1055667373">
      <w:bodyDiv w:val="1"/>
      <w:marLeft w:val="0"/>
      <w:marRight w:val="0"/>
      <w:marTop w:val="0"/>
      <w:marBottom w:val="0"/>
      <w:divBdr>
        <w:top w:val="none" w:sz="0" w:space="0" w:color="auto"/>
        <w:left w:val="none" w:sz="0" w:space="0" w:color="auto"/>
        <w:bottom w:val="none" w:sz="0" w:space="0" w:color="auto"/>
        <w:right w:val="none" w:sz="0" w:space="0" w:color="auto"/>
      </w:divBdr>
    </w:div>
    <w:div w:id="1117918373">
      <w:bodyDiv w:val="1"/>
      <w:marLeft w:val="0"/>
      <w:marRight w:val="0"/>
      <w:marTop w:val="0"/>
      <w:marBottom w:val="0"/>
      <w:divBdr>
        <w:top w:val="none" w:sz="0" w:space="0" w:color="auto"/>
        <w:left w:val="none" w:sz="0" w:space="0" w:color="auto"/>
        <w:bottom w:val="none" w:sz="0" w:space="0" w:color="auto"/>
        <w:right w:val="none" w:sz="0" w:space="0" w:color="auto"/>
      </w:divBdr>
    </w:div>
    <w:div w:id="1172794881">
      <w:bodyDiv w:val="1"/>
      <w:marLeft w:val="0"/>
      <w:marRight w:val="0"/>
      <w:marTop w:val="0"/>
      <w:marBottom w:val="0"/>
      <w:divBdr>
        <w:top w:val="none" w:sz="0" w:space="0" w:color="auto"/>
        <w:left w:val="none" w:sz="0" w:space="0" w:color="auto"/>
        <w:bottom w:val="none" w:sz="0" w:space="0" w:color="auto"/>
        <w:right w:val="none" w:sz="0" w:space="0" w:color="auto"/>
      </w:divBdr>
      <w:divsChild>
        <w:div w:id="1611014222">
          <w:marLeft w:val="0"/>
          <w:marRight w:val="0"/>
          <w:marTop w:val="0"/>
          <w:marBottom w:val="0"/>
          <w:divBdr>
            <w:top w:val="none" w:sz="0" w:space="0" w:color="auto"/>
            <w:left w:val="none" w:sz="0" w:space="0" w:color="auto"/>
            <w:bottom w:val="none" w:sz="0" w:space="0" w:color="auto"/>
            <w:right w:val="none" w:sz="0" w:space="0" w:color="auto"/>
          </w:divBdr>
        </w:div>
        <w:div w:id="1793983833">
          <w:marLeft w:val="0"/>
          <w:marRight w:val="0"/>
          <w:marTop w:val="0"/>
          <w:marBottom w:val="0"/>
          <w:divBdr>
            <w:top w:val="none" w:sz="0" w:space="0" w:color="auto"/>
            <w:left w:val="none" w:sz="0" w:space="0" w:color="auto"/>
            <w:bottom w:val="none" w:sz="0" w:space="0" w:color="auto"/>
            <w:right w:val="none" w:sz="0" w:space="0" w:color="auto"/>
          </w:divBdr>
        </w:div>
        <w:div w:id="806245953">
          <w:marLeft w:val="0"/>
          <w:marRight w:val="0"/>
          <w:marTop w:val="0"/>
          <w:marBottom w:val="0"/>
          <w:divBdr>
            <w:top w:val="none" w:sz="0" w:space="0" w:color="auto"/>
            <w:left w:val="none" w:sz="0" w:space="0" w:color="auto"/>
            <w:bottom w:val="none" w:sz="0" w:space="0" w:color="auto"/>
            <w:right w:val="none" w:sz="0" w:space="0" w:color="auto"/>
          </w:divBdr>
        </w:div>
        <w:div w:id="526989778">
          <w:marLeft w:val="0"/>
          <w:marRight w:val="0"/>
          <w:marTop w:val="0"/>
          <w:marBottom w:val="0"/>
          <w:divBdr>
            <w:top w:val="none" w:sz="0" w:space="0" w:color="auto"/>
            <w:left w:val="none" w:sz="0" w:space="0" w:color="auto"/>
            <w:bottom w:val="none" w:sz="0" w:space="0" w:color="auto"/>
            <w:right w:val="none" w:sz="0" w:space="0" w:color="auto"/>
          </w:divBdr>
        </w:div>
      </w:divsChild>
    </w:div>
    <w:div w:id="1240137861">
      <w:bodyDiv w:val="1"/>
      <w:marLeft w:val="0"/>
      <w:marRight w:val="0"/>
      <w:marTop w:val="0"/>
      <w:marBottom w:val="0"/>
      <w:divBdr>
        <w:top w:val="none" w:sz="0" w:space="0" w:color="auto"/>
        <w:left w:val="none" w:sz="0" w:space="0" w:color="auto"/>
        <w:bottom w:val="none" w:sz="0" w:space="0" w:color="auto"/>
        <w:right w:val="none" w:sz="0" w:space="0" w:color="auto"/>
      </w:divBdr>
      <w:divsChild>
        <w:div w:id="1585185547">
          <w:marLeft w:val="0"/>
          <w:marRight w:val="0"/>
          <w:marTop w:val="0"/>
          <w:marBottom w:val="0"/>
          <w:divBdr>
            <w:top w:val="none" w:sz="0" w:space="0" w:color="auto"/>
            <w:left w:val="none" w:sz="0" w:space="0" w:color="auto"/>
            <w:bottom w:val="none" w:sz="0" w:space="0" w:color="auto"/>
            <w:right w:val="none" w:sz="0" w:space="0" w:color="auto"/>
          </w:divBdr>
          <w:divsChild>
            <w:div w:id="2088572715">
              <w:marLeft w:val="0"/>
              <w:marRight w:val="0"/>
              <w:marTop w:val="0"/>
              <w:marBottom w:val="0"/>
              <w:divBdr>
                <w:top w:val="single" w:sz="6" w:space="0" w:color="CCCCCC"/>
                <w:left w:val="single" w:sz="6" w:space="0" w:color="CCCCCC"/>
                <w:bottom w:val="single" w:sz="6" w:space="0" w:color="CCCCCC"/>
                <w:right w:val="single" w:sz="6" w:space="0" w:color="CCCCCC"/>
              </w:divBdr>
              <w:divsChild>
                <w:div w:id="1099329160">
                  <w:marLeft w:val="0"/>
                  <w:marRight w:val="0"/>
                  <w:marTop w:val="0"/>
                  <w:marBottom w:val="0"/>
                  <w:divBdr>
                    <w:top w:val="none" w:sz="0" w:space="0" w:color="auto"/>
                    <w:left w:val="none" w:sz="0" w:space="0" w:color="auto"/>
                    <w:bottom w:val="none" w:sz="0" w:space="0" w:color="auto"/>
                    <w:right w:val="none" w:sz="0" w:space="0" w:color="auto"/>
                  </w:divBdr>
                  <w:divsChild>
                    <w:div w:id="1194071810">
                      <w:marLeft w:val="0"/>
                      <w:marRight w:val="0"/>
                      <w:marTop w:val="0"/>
                      <w:marBottom w:val="0"/>
                      <w:divBdr>
                        <w:top w:val="none" w:sz="0" w:space="0" w:color="auto"/>
                        <w:left w:val="none" w:sz="0" w:space="0" w:color="auto"/>
                        <w:bottom w:val="none" w:sz="0" w:space="0" w:color="auto"/>
                        <w:right w:val="none" w:sz="0" w:space="0" w:color="auto"/>
                      </w:divBdr>
                      <w:divsChild>
                        <w:div w:id="1103498750">
                          <w:marLeft w:val="120"/>
                          <w:marRight w:val="120"/>
                          <w:marTop w:val="60"/>
                          <w:marBottom w:val="60"/>
                          <w:divBdr>
                            <w:top w:val="none" w:sz="0" w:space="0" w:color="auto"/>
                            <w:left w:val="none" w:sz="0" w:space="0" w:color="auto"/>
                            <w:bottom w:val="none" w:sz="0" w:space="0" w:color="auto"/>
                            <w:right w:val="none" w:sz="0" w:space="0" w:color="auto"/>
                          </w:divBdr>
                          <w:divsChild>
                            <w:div w:id="367722524">
                              <w:marLeft w:val="0"/>
                              <w:marRight w:val="0"/>
                              <w:marTop w:val="0"/>
                              <w:marBottom w:val="0"/>
                              <w:divBdr>
                                <w:top w:val="none" w:sz="0" w:space="0" w:color="auto"/>
                                <w:left w:val="none" w:sz="0" w:space="0" w:color="auto"/>
                                <w:bottom w:val="none" w:sz="0" w:space="0" w:color="auto"/>
                                <w:right w:val="none" w:sz="0" w:space="0" w:color="auto"/>
                              </w:divBdr>
                              <w:divsChild>
                                <w:div w:id="622005663">
                                  <w:marLeft w:val="0"/>
                                  <w:marRight w:val="0"/>
                                  <w:marTop w:val="0"/>
                                  <w:marBottom w:val="0"/>
                                  <w:divBdr>
                                    <w:top w:val="none" w:sz="0" w:space="0" w:color="auto"/>
                                    <w:left w:val="none" w:sz="0" w:space="0" w:color="auto"/>
                                    <w:bottom w:val="none" w:sz="0" w:space="0" w:color="auto"/>
                                    <w:right w:val="none" w:sz="0" w:space="0" w:color="auto"/>
                                  </w:divBdr>
                                  <w:divsChild>
                                    <w:div w:id="859204787">
                                      <w:marLeft w:val="0"/>
                                      <w:marRight w:val="0"/>
                                      <w:marTop w:val="0"/>
                                      <w:marBottom w:val="0"/>
                                      <w:divBdr>
                                        <w:top w:val="none" w:sz="0" w:space="0" w:color="auto"/>
                                        <w:left w:val="none" w:sz="0" w:space="0" w:color="auto"/>
                                        <w:bottom w:val="none" w:sz="0" w:space="0" w:color="auto"/>
                                        <w:right w:val="none" w:sz="0" w:space="0" w:color="auto"/>
                                      </w:divBdr>
                                      <w:divsChild>
                                        <w:div w:id="11076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0505261">
      <w:bodyDiv w:val="1"/>
      <w:marLeft w:val="0"/>
      <w:marRight w:val="0"/>
      <w:marTop w:val="0"/>
      <w:marBottom w:val="0"/>
      <w:divBdr>
        <w:top w:val="none" w:sz="0" w:space="0" w:color="auto"/>
        <w:left w:val="none" w:sz="0" w:space="0" w:color="auto"/>
        <w:bottom w:val="none" w:sz="0" w:space="0" w:color="auto"/>
        <w:right w:val="none" w:sz="0" w:space="0" w:color="auto"/>
      </w:divBdr>
    </w:div>
    <w:div w:id="1301574359">
      <w:bodyDiv w:val="1"/>
      <w:marLeft w:val="0"/>
      <w:marRight w:val="0"/>
      <w:marTop w:val="0"/>
      <w:marBottom w:val="0"/>
      <w:divBdr>
        <w:top w:val="none" w:sz="0" w:space="0" w:color="auto"/>
        <w:left w:val="none" w:sz="0" w:space="0" w:color="auto"/>
        <w:bottom w:val="none" w:sz="0" w:space="0" w:color="auto"/>
        <w:right w:val="none" w:sz="0" w:space="0" w:color="auto"/>
      </w:divBdr>
    </w:div>
    <w:div w:id="1357653825">
      <w:bodyDiv w:val="1"/>
      <w:marLeft w:val="0"/>
      <w:marRight w:val="0"/>
      <w:marTop w:val="0"/>
      <w:marBottom w:val="0"/>
      <w:divBdr>
        <w:top w:val="none" w:sz="0" w:space="0" w:color="auto"/>
        <w:left w:val="none" w:sz="0" w:space="0" w:color="auto"/>
        <w:bottom w:val="none" w:sz="0" w:space="0" w:color="auto"/>
        <w:right w:val="none" w:sz="0" w:space="0" w:color="auto"/>
      </w:divBdr>
    </w:div>
    <w:div w:id="1646351925">
      <w:bodyDiv w:val="1"/>
      <w:marLeft w:val="0"/>
      <w:marRight w:val="0"/>
      <w:marTop w:val="0"/>
      <w:marBottom w:val="0"/>
      <w:divBdr>
        <w:top w:val="none" w:sz="0" w:space="0" w:color="auto"/>
        <w:left w:val="none" w:sz="0" w:space="0" w:color="auto"/>
        <w:bottom w:val="none" w:sz="0" w:space="0" w:color="auto"/>
        <w:right w:val="none" w:sz="0" w:space="0" w:color="auto"/>
      </w:divBdr>
    </w:div>
    <w:div w:id="1741907950">
      <w:bodyDiv w:val="1"/>
      <w:marLeft w:val="0"/>
      <w:marRight w:val="0"/>
      <w:marTop w:val="0"/>
      <w:marBottom w:val="0"/>
      <w:divBdr>
        <w:top w:val="none" w:sz="0" w:space="0" w:color="auto"/>
        <w:left w:val="none" w:sz="0" w:space="0" w:color="auto"/>
        <w:bottom w:val="none" w:sz="0" w:space="0" w:color="auto"/>
        <w:right w:val="none" w:sz="0" w:space="0" w:color="auto"/>
      </w:divBdr>
      <w:divsChild>
        <w:div w:id="474949210">
          <w:marLeft w:val="0"/>
          <w:marRight w:val="0"/>
          <w:marTop w:val="0"/>
          <w:marBottom w:val="0"/>
          <w:divBdr>
            <w:top w:val="none" w:sz="0" w:space="0" w:color="auto"/>
            <w:left w:val="none" w:sz="0" w:space="0" w:color="auto"/>
            <w:bottom w:val="none" w:sz="0" w:space="0" w:color="auto"/>
            <w:right w:val="none" w:sz="0" w:space="0" w:color="auto"/>
          </w:divBdr>
          <w:divsChild>
            <w:div w:id="189488302">
              <w:marLeft w:val="0"/>
              <w:marRight w:val="0"/>
              <w:marTop w:val="0"/>
              <w:marBottom w:val="0"/>
              <w:divBdr>
                <w:top w:val="none" w:sz="0" w:space="0" w:color="auto"/>
                <w:left w:val="none" w:sz="0" w:space="0" w:color="auto"/>
                <w:bottom w:val="none" w:sz="0" w:space="0" w:color="auto"/>
                <w:right w:val="none" w:sz="0" w:space="0" w:color="auto"/>
              </w:divBdr>
              <w:divsChild>
                <w:div w:id="2881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0003743">
      <w:bodyDiv w:val="1"/>
      <w:marLeft w:val="0"/>
      <w:marRight w:val="0"/>
      <w:marTop w:val="0"/>
      <w:marBottom w:val="0"/>
      <w:divBdr>
        <w:top w:val="none" w:sz="0" w:space="0" w:color="auto"/>
        <w:left w:val="none" w:sz="0" w:space="0" w:color="auto"/>
        <w:bottom w:val="none" w:sz="0" w:space="0" w:color="auto"/>
        <w:right w:val="none" w:sz="0" w:space="0" w:color="auto"/>
      </w:divBdr>
      <w:divsChild>
        <w:div w:id="767655073">
          <w:marLeft w:val="0"/>
          <w:marRight w:val="0"/>
          <w:marTop w:val="0"/>
          <w:marBottom w:val="0"/>
          <w:divBdr>
            <w:top w:val="none" w:sz="0" w:space="0" w:color="auto"/>
            <w:left w:val="none" w:sz="0" w:space="0" w:color="auto"/>
            <w:bottom w:val="none" w:sz="0" w:space="0" w:color="auto"/>
            <w:right w:val="none" w:sz="0" w:space="0" w:color="auto"/>
          </w:divBdr>
        </w:div>
        <w:div w:id="1626814703">
          <w:marLeft w:val="0"/>
          <w:marRight w:val="0"/>
          <w:marTop w:val="0"/>
          <w:marBottom w:val="0"/>
          <w:divBdr>
            <w:top w:val="none" w:sz="0" w:space="0" w:color="auto"/>
            <w:left w:val="none" w:sz="0" w:space="0" w:color="auto"/>
            <w:bottom w:val="none" w:sz="0" w:space="0" w:color="auto"/>
            <w:right w:val="none" w:sz="0" w:space="0" w:color="auto"/>
          </w:divBdr>
        </w:div>
        <w:div w:id="1134443401">
          <w:marLeft w:val="0"/>
          <w:marRight w:val="0"/>
          <w:marTop w:val="0"/>
          <w:marBottom w:val="0"/>
          <w:divBdr>
            <w:top w:val="none" w:sz="0" w:space="0" w:color="auto"/>
            <w:left w:val="none" w:sz="0" w:space="0" w:color="auto"/>
            <w:bottom w:val="none" w:sz="0" w:space="0" w:color="auto"/>
            <w:right w:val="none" w:sz="0" w:space="0" w:color="auto"/>
          </w:divBdr>
        </w:div>
        <w:div w:id="228153966">
          <w:marLeft w:val="0"/>
          <w:marRight w:val="0"/>
          <w:marTop w:val="0"/>
          <w:marBottom w:val="0"/>
          <w:divBdr>
            <w:top w:val="none" w:sz="0" w:space="0" w:color="auto"/>
            <w:left w:val="none" w:sz="0" w:space="0" w:color="auto"/>
            <w:bottom w:val="none" w:sz="0" w:space="0" w:color="auto"/>
            <w:right w:val="none" w:sz="0" w:space="0" w:color="auto"/>
          </w:divBdr>
        </w:div>
        <w:div w:id="1658072371">
          <w:marLeft w:val="0"/>
          <w:marRight w:val="0"/>
          <w:marTop w:val="0"/>
          <w:marBottom w:val="0"/>
          <w:divBdr>
            <w:top w:val="none" w:sz="0" w:space="0" w:color="auto"/>
            <w:left w:val="none" w:sz="0" w:space="0" w:color="auto"/>
            <w:bottom w:val="none" w:sz="0" w:space="0" w:color="auto"/>
            <w:right w:val="none" w:sz="0" w:space="0" w:color="auto"/>
          </w:divBdr>
        </w:div>
        <w:div w:id="627473343">
          <w:marLeft w:val="0"/>
          <w:marRight w:val="0"/>
          <w:marTop w:val="0"/>
          <w:marBottom w:val="0"/>
          <w:divBdr>
            <w:top w:val="none" w:sz="0" w:space="0" w:color="auto"/>
            <w:left w:val="none" w:sz="0" w:space="0" w:color="auto"/>
            <w:bottom w:val="none" w:sz="0" w:space="0" w:color="auto"/>
            <w:right w:val="none" w:sz="0" w:space="0" w:color="auto"/>
          </w:divBdr>
        </w:div>
      </w:divsChild>
    </w:div>
    <w:div w:id="1879509757">
      <w:bodyDiv w:val="1"/>
      <w:marLeft w:val="0"/>
      <w:marRight w:val="0"/>
      <w:marTop w:val="0"/>
      <w:marBottom w:val="0"/>
      <w:divBdr>
        <w:top w:val="none" w:sz="0" w:space="0" w:color="auto"/>
        <w:left w:val="none" w:sz="0" w:space="0" w:color="auto"/>
        <w:bottom w:val="none" w:sz="0" w:space="0" w:color="auto"/>
        <w:right w:val="none" w:sz="0" w:space="0" w:color="auto"/>
      </w:divBdr>
    </w:div>
    <w:div w:id="1965847747">
      <w:bodyDiv w:val="1"/>
      <w:marLeft w:val="0"/>
      <w:marRight w:val="0"/>
      <w:marTop w:val="0"/>
      <w:marBottom w:val="0"/>
      <w:divBdr>
        <w:top w:val="none" w:sz="0" w:space="0" w:color="auto"/>
        <w:left w:val="none" w:sz="0" w:space="0" w:color="auto"/>
        <w:bottom w:val="none" w:sz="0" w:space="0" w:color="auto"/>
        <w:right w:val="none" w:sz="0" w:space="0" w:color="auto"/>
      </w:divBdr>
      <w:divsChild>
        <w:div w:id="1438209429">
          <w:marLeft w:val="0"/>
          <w:marRight w:val="0"/>
          <w:marTop w:val="0"/>
          <w:marBottom w:val="0"/>
          <w:divBdr>
            <w:top w:val="none" w:sz="0" w:space="0" w:color="auto"/>
            <w:left w:val="none" w:sz="0" w:space="0" w:color="auto"/>
            <w:bottom w:val="none" w:sz="0" w:space="0" w:color="auto"/>
            <w:right w:val="none" w:sz="0" w:space="0" w:color="auto"/>
          </w:divBdr>
          <w:divsChild>
            <w:div w:id="1718896183">
              <w:marLeft w:val="0"/>
              <w:marRight w:val="0"/>
              <w:marTop w:val="0"/>
              <w:marBottom w:val="0"/>
              <w:divBdr>
                <w:top w:val="none" w:sz="0" w:space="0" w:color="auto"/>
                <w:left w:val="none" w:sz="0" w:space="0" w:color="auto"/>
                <w:bottom w:val="none" w:sz="0" w:space="0" w:color="auto"/>
                <w:right w:val="none" w:sz="0" w:space="0" w:color="auto"/>
              </w:divBdr>
            </w:div>
            <w:div w:id="13157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0237">
      <w:bodyDiv w:val="1"/>
      <w:marLeft w:val="0"/>
      <w:marRight w:val="0"/>
      <w:marTop w:val="0"/>
      <w:marBottom w:val="0"/>
      <w:divBdr>
        <w:top w:val="none" w:sz="0" w:space="0" w:color="auto"/>
        <w:left w:val="none" w:sz="0" w:space="0" w:color="auto"/>
        <w:bottom w:val="none" w:sz="0" w:space="0" w:color="auto"/>
        <w:right w:val="none" w:sz="0" w:space="0" w:color="auto"/>
      </w:divBdr>
    </w:div>
    <w:div w:id="2037657479">
      <w:bodyDiv w:val="1"/>
      <w:marLeft w:val="0"/>
      <w:marRight w:val="0"/>
      <w:marTop w:val="0"/>
      <w:marBottom w:val="0"/>
      <w:divBdr>
        <w:top w:val="none" w:sz="0" w:space="0" w:color="auto"/>
        <w:left w:val="none" w:sz="0" w:space="0" w:color="auto"/>
        <w:bottom w:val="none" w:sz="0" w:space="0" w:color="auto"/>
        <w:right w:val="none" w:sz="0" w:space="0" w:color="auto"/>
      </w:divBdr>
    </w:div>
    <w:div w:id="2075160282">
      <w:bodyDiv w:val="1"/>
      <w:marLeft w:val="0"/>
      <w:marRight w:val="0"/>
      <w:marTop w:val="0"/>
      <w:marBottom w:val="0"/>
      <w:divBdr>
        <w:top w:val="none" w:sz="0" w:space="0" w:color="auto"/>
        <w:left w:val="none" w:sz="0" w:space="0" w:color="auto"/>
        <w:bottom w:val="none" w:sz="0" w:space="0" w:color="auto"/>
        <w:right w:val="none" w:sz="0" w:space="0" w:color="auto"/>
      </w:divBdr>
    </w:div>
    <w:div w:id="2106148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olitaryconfinement.org/uploads/sourcebook_web.pdf" TargetMode="External"/><Relationship Id="rId1" Type="http://schemas.openxmlformats.org/officeDocument/2006/relationships/hyperlink" Target="http://www.abanet.org/legalservices/downloads/%20sclaid/deathpenaltyguidelin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1CBA8-8401-1F4E-83B5-B0AA9A154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8093</Words>
  <Characters>46135</Characters>
  <Application>Microsoft Office Word</Application>
  <DocSecurity>0</DocSecurity>
  <Lines>384</Lines>
  <Paragraphs>108</Paragraphs>
  <ScaleCrop>false</ScaleCrop>
  <Company/>
  <LinksUpToDate>false</LinksUpToDate>
  <CharactersWithSpaces>54120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2023-11-14T22:30:00Z</dcterms:created>
  <dcterms:modified xsi:type="dcterms:W3CDTF">2023-11-14T22:30:00Z</dcterms:modified>
</cp:coreProperties>
</file>