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8CBB"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3EB9AD5" wp14:editId="652F60F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814D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8AC8362" wp14:editId="2D39035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5D62F" w14:textId="605649C3" w:rsidR="00CB2660" w:rsidRDefault="00467A9B" w:rsidP="00AE5488">
                            <w:r>
                              <w:rPr>
                                <w:noProof/>
                              </w:rPr>
                              <w:drawing>
                                <wp:inline distT="0" distB="0" distL="0" distR="0" wp14:anchorId="69589E92" wp14:editId="07C833F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C836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1C65D62F" w14:textId="605649C3" w:rsidR="00CB2660" w:rsidRDefault="00467A9B" w:rsidP="00AE5488">
                      <w:r>
                        <w:rPr>
                          <w:noProof/>
                        </w:rPr>
                        <w:drawing>
                          <wp:inline distT="0" distB="0" distL="0" distR="0" wp14:anchorId="69589E92" wp14:editId="07C833F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78C4CD27"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0FF4EA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D79FFE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C5B8F4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F942D0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290FD2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F4D7CB0"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AB567DE"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C5E9A4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451351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A6F70A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42803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3D1F30"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F4312E6" wp14:editId="4B38F50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3DAA1" w14:textId="65C15C6D" w:rsidR="005B52B0" w:rsidRPr="000B2727" w:rsidRDefault="00F64EFC" w:rsidP="00997BC5">
                            <w:pPr>
                              <w:spacing w:line="276" w:lineRule="auto"/>
                              <w:rPr>
                                <w:rFonts w:asciiTheme="majorHAnsi" w:hAnsiTheme="majorHAnsi" w:cs="Arial"/>
                                <w:b/>
                                <w:bCs/>
                                <w:color w:val="0D0D0D" w:themeColor="text1" w:themeTint="F2"/>
                                <w:sz w:val="36"/>
                                <w:szCs w:val="22"/>
                              </w:rPr>
                            </w:pPr>
                            <w:r w:rsidRPr="000B2727">
                              <w:rPr>
                                <w:rFonts w:asciiTheme="majorHAnsi" w:hAnsiTheme="majorHAnsi" w:cs="Arial"/>
                                <w:b/>
                                <w:bCs/>
                                <w:color w:val="0D0D0D" w:themeColor="text1" w:themeTint="F2"/>
                                <w:sz w:val="36"/>
                                <w:szCs w:val="22"/>
                              </w:rPr>
                              <w:t>REPORT</w:t>
                            </w:r>
                            <w:r w:rsidR="005B52B0" w:rsidRPr="000B2727">
                              <w:rPr>
                                <w:rFonts w:asciiTheme="majorHAnsi" w:hAnsiTheme="majorHAnsi" w:cs="Arial"/>
                                <w:b/>
                                <w:bCs/>
                                <w:color w:val="0D0D0D" w:themeColor="text1" w:themeTint="F2"/>
                                <w:sz w:val="36"/>
                                <w:szCs w:val="22"/>
                              </w:rPr>
                              <w:t xml:space="preserve"> </w:t>
                            </w:r>
                            <w:r w:rsidR="00477592" w:rsidRPr="000B2727">
                              <w:rPr>
                                <w:rFonts w:asciiTheme="majorHAnsi" w:hAnsiTheme="majorHAnsi" w:cs="Arial"/>
                                <w:b/>
                                <w:bCs/>
                                <w:color w:val="0D0D0D" w:themeColor="text1" w:themeTint="F2"/>
                                <w:sz w:val="36"/>
                                <w:szCs w:val="40"/>
                              </w:rPr>
                              <w:t>No.</w:t>
                            </w:r>
                            <w:r w:rsidR="007C756A" w:rsidRPr="000B2727">
                              <w:rPr>
                                <w:rFonts w:asciiTheme="majorHAnsi" w:hAnsiTheme="majorHAnsi" w:cs="Arial"/>
                                <w:b/>
                                <w:bCs/>
                                <w:color w:val="0D0D0D" w:themeColor="text1" w:themeTint="F2"/>
                                <w:sz w:val="36"/>
                                <w:szCs w:val="22"/>
                              </w:rPr>
                              <w:t xml:space="preserve"> </w:t>
                            </w:r>
                            <w:r w:rsidR="00A5120A">
                              <w:rPr>
                                <w:rFonts w:asciiTheme="majorHAnsi" w:hAnsiTheme="majorHAnsi" w:cs="Arial"/>
                                <w:b/>
                                <w:bCs/>
                                <w:color w:val="0D0D0D" w:themeColor="text1" w:themeTint="F2"/>
                                <w:sz w:val="36"/>
                                <w:szCs w:val="22"/>
                              </w:rPr>
                              <w:t>184</w:t>
                            </w:r>
                            <w:r w:rsidR="007C756A" w:rsidRPr="000B2727">
                              <w:rPr>
                                <w:rFonts w:asciiTheme="majorHAnsi" w:hAnsiTheme="majorHAnsi" w:cs="Arial"/>
                                <w:b/>
                                <w:bCs/>
                                <w:color w:val="0D0D0D" w:themeColor="text1" w:themeTint="F2"/>
                                <w:sz w:val="36"/>
                                <w:szCs w:val="22"/>
                              </w:rPr>
                              <w:t>/</w:t>
                            </w:r>
                            <w:r w:rsidR="005A59E6" w:rsidRPr="000B2727">
                              <w:rPr>
                                <w:rFonts w:asciiTheme="majorHAnsi" w:hAnsiTheme="majorHAnsi" w:cs="Arial"/>
                                <w:b/>
                                <w:bCs/>
                                <w:color w:val="0D0D0D" w:themeColor="text1" w:themeTint="F2"/>
                                <w:sz w:val="36"/>
                                <w:szCs w:val="22"/>
                              </w:rPr>
                              <w:t>2</w:t>
                            </w:r>
                            <w:r w:rsidR="00443646">
                              <w:rPr>
                                <w:rFonts w:asciiTheme="majorHAnsi" w:hAnsiTheme="majorHAnsi" w:cs="Arial"/>
                                <w:b/>
                                <w:bCs/>
                                <w:color w:val="0D0D0D" w:themeColor="text1" w:themeTint="F2"/>
                                <w:sz w:val="36"/>
                                <w:szCs w:val="22"/>
                              </w:rPr>
                              <w:t>3</w:t>
                            </w:r>
                          </w:p>
                          <w:p w14:paraId="4E7716F9" w14:textId="1CF950A7" w:rsidR="005B52B0" w:rsidRPr="000B2727" w:rsidRDefault="00401879"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PETITION</w:t>
                            </w:r>
                            <w:r w:rsidR="00443646">
                              <w:rPr>
                                <w:rFonts w:asciiTheme="majorHAnsi" w:hAnsiTheme="majorHAnsi" w:cs="Arial"/>
                                <w:b/>
                                <w:color w:val="0D0D0D" w:themeColor="text1" w:themeTint="F2"/>
                                <w:sz w:val="36"/>
                                <w:szCs w:val="22"/>
                              </w:rPr>
                              <w:t>-2299-13</w:t>
                            </w:r>
                          </w:p>
                          <w:p w14:paraId="49B9290C" w14:textId="2FDB9DD3" w:rsidR="005B52B0" w:rsidRPr="00F64EFC" w:rsidRDefault="00F64EFC" w:rsidP="000158FD">
                            <w:pPr>
                              <w:spacing w:line="276" w:lineRule="auto"/>
                              <w:rPr>
                                <w:rFonts w:asciiTheme="majorHAnsi" w:hAnsiTheme="majorHAnsi" w:cs="Arial"/>
                                <w:szCs w:val="22"/>
                              </w:rPr>
                            </w:pPr>
                            <w:r w:rsidRPr="00F64EFC">
                              <w:rPr>
                                <w:rFonts w:asciiTheme="majorHAnsi" w:hAnsiTheme="majorHAnsi" w:cs="Arial"/>
                                <w:szCs w:val="22"/>
                              </w:rPr>
                              <w:t>REPORT ON</w:t>
                            </w:r>
                            <w:r w:rsidR="00443646">
                              <w:rPr>
                                <w:rFonts w:asciiTheme="majorHAnsi" w:hAnsiTheme="majorHAnsi" w:cs="Arial"/>
                                <w:szCs w:val="22"/>
                              </w:rPr>
                              <w:t xml:space="preserve"> ADMISSIBILITY</w:t>
                            </w:r>
                          </w:p>
                          <w:p w14:paraId="5F687BFD" w14:textId="77777777" w:rsidR="008F1912" w:rsidRPr="00F64EFC" w:rsidRDefault="008F1912" w:rsidP="00997BC5">
                            <w:pPr>
                              <w:spacing w:line="276" w:lineRule="auto"/>
                              <w:rPr>
                                <w:rFonts w:asciiTheme="majorHAnsi" w:hAnsiTheme="majorHAnsi" w:cs="Arial"/>
                                <w:color w:val="0D0D0D" w:themeColor="text1" w:themeTint="F2"/>
                                <w:szCs w:val="22"/>
                              </w:rPr>
                            </w:pPr>
                            <w:bookmarkStart w:id="0" w:name="_ftnref1"/>
                          </w:p>
                          <w:p w14:paraId="46696F74" w14:textId="140A2261" w:rsidR="005B52B0" w:rsidRPr="00443646" w:rsidRDefault="00443646" w:rsidP="00997BC5">
                            <w:pPr>
                              <w:spacing w:line="276" w:lineRule="auto"/>
                              <w:rPr>
                                <w:rFonts w:asciiTheme="majorHAnsi" w:hAnsiTheme="majorHAnsi" w:cs="Arial"/>
                                <w:color w:val="0D0D0D" w:themeColor="text1" w:themeTint="F2"/>
                                <w:szCs w:val="22"/>
                              </w:rPr>
                            </w:pPr>
                            <w:r w:rsidRPr="00443646">
                              <w:rPr>
                                <w:rFonts w:asciiTheme="majorHAnsi" w:hAnsiTheme="majorHAnsi" w:cs="Arial"/>
                                <w:color w:val="0D0D0D" w:themeColor="text1" w:themeTint="F2"/>
                                <w:szCs w:val="22"/>
                              </w:rPr>
                              <w:t>LU</w:t>
                            </w:r>
                            <w:r w:rsidR="00F922E4">
                              <w:rPr>
                                <w:rFonts w:asciiTheme="majorHAnsi" w:hAnsiTheme="majorHAnsi" w:cs="Arial"/>
                                <w:color w:val="0D0D0D" w:themeColor="text1" w:themeTint="F2"/>
                                <w:szCs w:val="22"/>
                              </w:rPr>
                              <w:t>Z</w:t>
                            </w:r>
                            <w:r w:rsidRPr="00443646">
                              <w:rPr>
                                <w:rFonts w:asciiTheme="majorHAnsi" w:hAnsiTheme="majorHAnsi" w:cs="Arial"/>
                                <w:color w:val="0D0D0D" w:themeColor="text1" w:themeTint="F2"/>
                                <w:szCs w:val="22"/>
                              </w:rPr>
                              <w:t xml:space="preserve"> MARINA BENITO C</w:t>
                            </w:r>
                            <w:r w:rsidR="00A5120A">
                              <w:rPr>
                                <w:rFonts w:asciiTheme="majorHAnsi" w:hAnsiTheme="majorHAnsi" w:cs="Arial"/>
                                <w:color w:val="0D0D0D" w:themeColor="text1" w:themeTint="F2"/>
                                <w:szCs w:val="22"/>
                              </w:rPr>
                              <w:t>É</w:t>
                            </w:r>
                            <w:r w:rsidRPr="00443646">
                              <w:rPr>
                                <w:rFonts w:asciiTheme="majorHAnsi" w:hAnsiTheme="majorHAnsi" w:cs="Arial"/>
                                <w:color w:val="0D0D0D" w:themeColor="text1" w:themeTint="F2"/>
                                <w:szCs w:val="22"/>
                              </w:rPr>
                              <w:t>SPEDES AND OTHER</w:t>
                            </w:r>
                            <w:r>
                              <w:rPr>
                                <w:rFonts w:asciiTheme="majorHAnsi" w:hAnsiTheme="majorHAnsi" w:cs="Arial"/>
                                <w:color w:val="0D0D0D" w:themeColor="text1" w:themeTint="F2"/>
                                <w:szCs w:val="22"/>
                              </w:rPr>
                              <w:t>S</w:t>
                            </w:r>
                          </w:p>
                          <w:bookmarkEnd w:id="0"/>
                          <w:p w14:paraId="617D326F" w14:textId="179A9C6E" w:rsidR="005B52B0" w:rsidRPr="002611FF" w:rsidRDefault="00443646" w:rsidP="007A5817">
                            <w:pPr>
                              <w:rPr>
                                <w:color w:val="0D0D0D" w:themeColor="text1" w:themeTint="F2"/>
                              </w:rPr>
                            </w:pPr>
                            <w:r>
                              <w:rPr>
                                <w:rFonts w:asciiTheme="majorHAnsi" w:hAnsiTheme="majorHAnsi" w:cs="Arial"/>
                                <w:color w:val="0D0D0D" w:themeColor="text1" w:themeTint="F2"/>
                                <w:szCs w:val="2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312E6"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04D3DAA1" w14:textId="65C15C6D" w:rsidR="005B52B0" w:rsidRPr="000B2727" w:rsidRDefault="00F64EFC" w:rsidP="00997BC5">
                      <w:pPr>
                        <w:spacing w:line="276" w:lineRule="auto"/>
                        <w:rPr>
                          <w:rFonts w:asciiTheme="majorHAnsi" w:hAnsiTheme="majorHAnsi" w:cs="Arial"/>
                          <w:b/>
                          <w:bCs/>
                          <w:color w:val="0D0D0D" w:themeColor="text1" w:themeTint="F2"/>
                          <w:sz w:val="36"/>
                          <w:szCs w:val="22"/>
                        </w:rPr>
                      </w:pPr>
                      <w:r w:rsidRPr="000B2727">
                        <w:rPr>
                          <w:rFonts w:asciiTheme="majorHAnsi" w:hAnsiTheme="majorHAnsi" w:cs="Arial"/>
                          <w:b/>
                          <w:bCs/>
                          <w:color w:val="0D0D0D" w:themeColor="text1" w:themeTint="F2"/>
                          <w:sz w:val="36"/>
                          <w:szCs w:val="22"/>
                        </w:rPr>
                        <w:t>REPORT</w:t>
                      </w:r>
                      <w:r w:rsidR="005B52B0" w:rsidRPr="000B2727">
                        <w:rPr>
                          <w:rFonts w:asciiTheme="majorHAnsi" w:hAnsiTheme="majorHAnsi" w:cs="Arial"/>
                          <w:b/>
                          <w:bCs/>
                          <w:color w:val="0D0D0D" w:themeColor="text1" w:themeTint="F2"/>
                          <w:sz w:val="36"/>
                          <w:szCs w:val="22"/>
                        </w:rPr>
                        <w:t xml:space="preserve"> </w:t>
                      </w:r>
                      <w:r w:rsidR="00477592" w:rsidRPr="000B2727">
                        <w:rPr>
                          <w:rFonts w:asciiTheme="majorHAnsi" w:hAnsiTheme="majorHAnsi" w:cs="Arial"/>
                          <w:b/>
                          <w:bCs/>
                          <w:color w:val="0D0D0D" w:themeColor="text1" w:themeTint="F2"/>
                          <w:sz w:val="36"/>
                          <w:szCs w:val="40"/>
                        </w:rPr>
                        <w:t>No.</w:t>
                      </w:r>
                      <w:r w:rsidR="007C756A" w:rsidRPr="000B2727">
                        <w:rPr>
                          <w:rFonts w:asciiTheme="majorHAnsi" w:hAnsiTheme="majorHAnsi" w:cs="Arial"/>
                          <w:b/>
                          <w:bCs/>
                          <w:color w:val="0D0D0D" w:themeColor="text1" w:themeTint="F2"/>
                          <w:sz w:val="36"/>
                          <w:szCs w:val="22"/>
                        </w:rPr>
                        <w:t xml:space="preserve"> </w:t>
                      </w:r>
                      <w:r w:rsidR="00A5120A">
                        <w:rPr>
                          <w:rFonts w:asciiTheme="majorHAnsi" w:hAnsiTheme="majorHAnsi" w:cs="Arial"/>
                          <w:b/>
                          <w:bCs/>
                          <w:color w:val="0D0D0D" w:themeColor="text1" w:themeTint="F2"/>
                          <w:sz w:val="36"/>
                          <w:szCs w:val="22"/>
                        </w:rPr>
                        <w:t>184</w:t>
                      </w:r>
                      <w:r w:rsidR="007C756A" w:rsidRPr="000B2727">
                        <w:rPr>
                          <w:rFonts w:asciiTheme="majorHAnsi" w:hAnsiTheme="majorHAnsi" w:cs="Arial"/>
                          <w:b/>
                          <w:bCs/>
                          <w:color w:val="0D0D0D" w:themeColor="text1" w:themeTint="F2"/>
                          <w:sz w:val="36"/>
                          <w:szCs w:val="22"/>
                        </w:rPr>
                        <w:t>/</w:t>
                      </w:r>
                      <w:r w:rsidR="005A59E6" w:rsidRPr="000B2727">
                        <w:rPr>
                          <w:rFonts w:asciiTheme="majorHAnsi" w:hAnsiTheme="majorHAnsi" w:cs="Arial"/>
                          <w:b/>
                          <w:bCs/>
                          <w:color w:val="0D0D0D" w:themeColor="text1" w:themeTint="F2"/>
                          <w:sz w:val="36"/>
                          <w:szCs w:val="22"/>
                        </w:rPr>
                        <w:t>2</w:t>
                      </w:r>
                      <w:r w:rsidR="00443646">
                        <w:rPr>
                          <w:rFonts w:asciiTheme="majorHAnsi" w:hAnsiTheme="majorHAnsi" w:cs="Arial"/>
                          <w:b/>
                          <w:bCs/>
                          <w:color w:val="0D0D0D" w:themeColor="text1" w:themeTint="F2"/>
                          <w:sz w:val="36"/>
                          <w:szCs w:val="22"/>
                        </w:rPr>
                        <w:t>3</w:t>
                      </w:r>
                    </w:p>
                    <w:p w14:paraId="4E7716F9" w14:textId="1CF950A7" w:rsidR="005B52B0" w:rsidRPr="000B2727" w:rsidRDefault="00401879"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PETITION</w:t>
                      </w:r>
                      <w:r w:rsidR="00443646">
                        <w:rPr>
                          <w:rFonts w:asciiTheme="majorHAnsi" w:hAnsiTheme="majorHAnsi" w:cs="Arial"/>
                          <w:b/>
                          <w:color w:val="0D0D0D" w:themeColor="text1" w:themeTint="F2"/>
                          <w:sz w:val="36"/>
                          <w:szCs w:val="22"/>
                        </w:rPr>
                        <w:t>-2299-13</w:t>
                      </w:r>
                    </w:p>
                    <w:p w14:paraId="49B9290C" w14:textId="2FDB9DD3" w:rsidR="005B52B0" w:rsidRPr="00F64EFC" w:rsidRDefault="00F64EFC" w:rsidP="000158FD">
                      <w:pPr>
                        <w:spacing w:line="276" w:lineRule="auto"/>
                        <w:rPr>
                          <w:rFonts w:asciiTheme="majorHAnsi" w:hAnsiTheme="majorHAnsi" w:cs="Arial"/>
                          <w:szCs w:val="22"/>
                        </w:rPr>
                      </w:pPr>
                      <w:r w:rsidRPr="00F64EFC">
                        <w:rPr>
                          <w:rFonts w:asciiTheme="majorHAnsi" w:hAnsiTheme="majorHAnsi" w:cs="Arial"/>
                          <w:szCs w:val="22"/>
                        </w:rPr>
                        <w:t>REPORT ON</w:t>
                      </w:r>
                      <w:r w:rsidR="00443646">
                        <w:rPr>
                          <w:rFonts w:asciiTheme="majorHAnsi" w:hAnsiTheme="majorHAnsi" w:cs="Arial"/>
                          <w:szCs w:val="22"/>
                        </w:rPr>
                        <w:t xml:space="preserve"> ADMISSIBILITY</w:t>
                      </w:r>
                    </w:p>
                    <w:p w14:paraId="5F687BFD" w14:textId="77777777" w:rsidR="008F1912" w:rsidRPr="00F64EFC" w:rsidRDefault="008F1912" w:rsidP="00997BC5">
                      <w:pPr>
                        <w:spacing w:line="276" w:lineRule="auto"/>
                        <w:rPr>
                          <w:rFonts w:asciiTheme="majorHAnsi" w:hAnsiTheme="majorHAnsi" w:cs="Arial"/>
                          <w:color w:val="0D0D0D" w:themeColor="text1" w:themeTint="F2"/>
                          <w:szCs w:val="22"/>
                        </w:rPr>
                      </w:pPr>
                      <w:bookmarkStart w:id="1" w:name="_ftnref1"/>
                    </w:p>
                    <w:p w14:paraId="46696F74" w14:textId="140A2261" w:rsidR="005B52B0" w:rsidRPr="00443646" w:rsidRDefault="00443646" w:rsidP="00997BC5">
                      <w:pPr>
                        <w:spacing w:line="276" w:lineRule="auto"/>
                        <w:rPr>
                          <w:rFonts w:asciiTheme="majorHAnsi" w:hAnsiTheme="majorHAnsi" w:cs="Arial"/>
                          <w:color w:val="0D0D0D" w:themeColor="text1" w:themeTint="F2"/>
                          <w:szCs w:val="22"/>
                        </w:rPr>
                      </w:pPr>
                      <w:r w:rsidRPr="00443646">
                        <w:rPr>
                          <w:rFonts w:asciiTheme="majorHAnsi" w:hAnsiTheme="majorHAnsi" w:cs="Arial"/>
                          <w:color w:val="0D0D0D" w:themeColor="text1" w:themeTint="F2"/>
                          <w:szCs w:val="22"/>
                        </w:rPr>
                        <w:t>LU</w:t>
                      </w:r>
                      <w:r w:rsidR="00F922E4">
                        <w:rPr>
                          <w:rFonts w:asciiTheme="majorHAnsi" w:hAnsiTheme="majorHAnsi" w:cs="Arial"/>
                          <w:color w:val="0D0D0D" w:themeColor="text1" w:themeTint="F2"/>
                          <w:szCs w:val="22"/>
                        </w:rPr>
                        <w:t>Z</w:t>
                      </w:r>
                      <w:r w:rsidRPr="00443646">
                        <w:rPr>
                          <w:rFonts w:asciiTheme="majorHAnsi" w:hAnsiTheme="majorHAnsi" w:cs="Arial"/>
                          <w:color w:val="0D0D0D" w:themeColor="text1" w:themeTint="F2"/>
                          <w:szCs w:val="22"/>
                        </w:rPr>
                        <w:t xml:space="preserve"> MARINA BENITO C</w:t>
                      </w:r>
                      <w:r w:rsidR="00A5120A">
                        <w:rPr>
                          <w:rFonts w:asciiTheme="majorHAnsi" w:hAnsiTheme="majorHAnsi" w:cs="Arial"/>
                          <w:color w:val="0D0D0D" w:themeColor="text1" w:themeTint="F2"/>
                          <w:szCs w:val="22"/>
                        </w:rPr>
                        <w:t>É</w:t>
                      </w:r>
                      <w:r w:rsidRPr="00443646">
                        <w:rPr>
                          <w:rFonts w:asciiTheme="majorHAnsi" w:hAnsiTheme="majorHAnsi" w:cs="Arial"/>
                          <w:color w:val="0D0D0D" w:themeColor="text1" w:themeTint="F2"/>
                          <w:szCs w:val="22"/>
                        </w:rPr>
                        <w:t>SPEDES AND OTHER</w:t>
                      </w:r>
                      <w:r>
                        <w:rPr>
                          <w:rFonts w:asciiTheme="majorHAnsi" w:hAnsiTheme="majorHAnsi" w:cs="Arial"/>
                          <w:color w:val="0D0D0D" w:themeColor="text1" w:themeTint="F2"/>
                          <w:szCs w:val="22"/>
                        </w:rPr>
                        <w:t>S</w:t>
                      </w:r>
                    </w:p>
                    <w:bookmarkEnd w:id="1"/>
                    <w:p w14:paraId="617D326F" w14:textId="179A9C6E" w:rsidR="005B52B0" w:rsidRPr="002611FF" w:rsidRDefault="00443646" w:rsidP="007A5817">
                      <w:pPr>
                        <w:rPr>
                          <w:color w:val="0D0D0D" w:themeColor="text1" w:themeTint="F2"/>
                        </w:rPr>
                      </w:pPr>
                      <w:r>
                        <w:rPr>
                          <w:rFonts w:asciiTheme="majorHAnsi" w:hAnsiTheme="majorHAnsi" w:cs="Arial"/>
                          <w:color w:val="0D0D0D" w:themeColor="text1" w:themeTint="F2"/>
                          <w:szCs w:val="22"/>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31C9735" wp14:editId="5AE1B6A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13937" w14:textId="091C4902" w:rsidR="00627C9F" w:rsidRPr="004E2649" w:rsidRDefault="007C756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2CB0DF" w14:textId="5A2F5A65" w:rsidR="00627C9F" w:rsidRPr="00A5120A" w:rsidRDefault="00627C9F" w:rsidP="007A5817">
                            <w:pPr>
                              <w:spacing w:line="276" w:lineRule="auto"/>
                              <w:jc w:val="right"/>
                              <w:rPr>
                                <w:rFonts w:asciiTheme="minorHAnsi" w:hAnsiTheme="minorHAnsi"/>
                                <w:color w:val="FFFFFF" w:themeColor="background1"/>
                                <w:sz w:val="22"/>
                              </w:rPr>
                            </w:pPr>
                            <w:r w:rsidRPr="00A5120A">
                              <w:rPr>
                                <w:rFonts w:asciiTheme="minorHAnsi" w:hAnsiTheme="minorHAnsi"/>
                                <w:color w:val="FFFFFF" w:themeColor="background1"/>
                                <w:sz w:val="22"/>
                              </w:rPr>
                              <w:t xml:space="preserve">Doc. </w:t>
                            </w:r>
                            <w:r w:rsidR="00A5120A" w:rsidRPr="00A5120A">
                              <w:rPr>
                                <w:rFonts w:asciiTheme="minorHAnsi" w:hAnsiTheme="minorHAnsi"/>
                                <w:color w:val="FFFFFF" w:themeColor="background1"/>
                                <w:sz w:val="22"/>
                              </w:rPr>
                              <w:t>201</w:t>
                            </w:r>
                          </w:p>
                          <w:p w14:paraId="2F8A3633" w14:textId="0DDE0558" w:rsidR="00627C9F" w:rsidRPr="00A5120A" w:rsidRDefault="00A5120A" w:rsidP="007A5817">
                            <w:pPr>
                              <w:spacing w:line="276" w:lineRule="auto"/>
                              <w:jc w:val="right"/>
                              <w:rPr>
                                <w:rFonts w:asciiTheme="minorHAnsi" w:hAnsiTheme="minorHAnsi"/>
                                <w:color w:val="FFFFFF" w:themeColor="background1"/>
                                <w:sz w:val="22"/>
                              </w:rPr>
                            </w:pPr>
                            <w:r w:rsidRPr="00A5120A">
                              <w:rPr>
                                <w:rFonts w:asciiTheme="minorHAnsi" w:hAnsiTheme="minorHAnsi"/>
                                <w:color w:val="FFFFFF" w:themeColor="background1"/>
                                <w:sz w:val="22"/>
                              </w:rPr>
                              <w:t>23</w:t>
                            </w:r>
                            <w:r w:rsidR="007C756A" w:rsidRPr="00A5120A">
                              <w:rPr>
                                <w:rFonts w:asciiTheme="minorHAnsi" w:hAnsiTheme="minorHAnsi"/>
                                <w:color w:val="FFFFFF" w:themeColor="background1"/>
                                <w:sz w:val="22"/>
                              </w:rPr>
                              <w:t xml:space="preserve"> </w:t>
                            </w:r>
                            <w:r w:rsidRPr="00A5120A">
                              <w:rPr>
                                <w:rFonts w:asciiTheme="minorHAnsi" w:hAnsiTheme="minorHAnsi"/>
                                <w:color w:val="FFFFFF" w:themeColor="background1"/>
                                <w:sz w:val="22"/>
                              </w:rPr>
                              <w:t>September</w:t>
                            </w:r>
                            <w:r w:rsidR="007C756A" w:rsidRPr="00A5120A">
                              <w:rPr>
                                <w:rFonts w:asciiTheme="minorHAnsi" w:hAnsiTheme="minorHAnsi"/>
                                <w:color w:val="FFFFFF" w:themeColor="background1"/>
                                <w:sz w:val="22"/>
                              </w:rPr>
                              <w:t xml:space="preserve"> 20</w:t>
                            </w:r>
                            <w:r w:rsidRPr="00A5120A">
                              <w:rPr>
                                <w:rFonts w:asciiTheme="minorHAnsi" w:hAnsiTheme="minorHAnsi"/>
                                <w:color w:val="FFFFFF" w:themeColor="background1"/>
                                <w:sz w:val="22"/>
                              </w:rPr>
                              <w:t>23</w:t>
                            </w:r>
                          </w:p>
                          <w:p w14:paraId="644E1E8A" w14:textId="4F5CAE6F" w:rsidR="00627C9F" w:rsidRPr="00A5120A" w:rsidRDefault="00E0340B" w:rsidP="007A5817">
                            <w:pPr>
                              <w:spacing w:line="276" w:lineRule="auto"/>
                              <w:jc w:val="right"/>
                              <w:rPr>
                                <w:rFonts w:asciiTheme="minorHAnsi" w:hAnsiTheme="minorHAnsi"/>
                                <w:color w:val="FFFFFF" w:themeColor="background1"/>
                                <w:sz w:val="22"/>
                              </w:rPr>
                            </w:pPr>
                            <w:r w:rsidRPr="00A5120A">
                              <w:rPr>
                                <w:rFonts w:asciiTheme="minorHAnsi" w:hAnsiTheme="minorHAnsi"/>
                                <w:color w:val="FFFFFF" w:themeColor="background1"/>
                                <w:sz w:val="22"/>
                              </w:rPr>
                              <w:t xml:space="preserve">Original: </w:t>
                            </w:r>
                            <w:r w:rsidR="00F64EFC" w:rsidRPr="00A5120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C973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DF13937" w14:textId="091C4902" w:rsidR="00627C9F" w:rsidRPr="004E2649" w:rsidRDefault="007C756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2CB0DF" w14:textId="5A2F5A65" w:rsidR="00627C9F" w:rsidRPr="00A5120A" w:rsidRDefault="00627C9F" w:rsidP="007A5817">
                      <w:pPr>
                        <w:spacing w:line="276" w:lineRule="auto"/>
                        <w:jc w:val="right"/>
                        <w:rPr>
                          <w:rFonts w:asciiTheme="minorHAnsi" w:hAnsiTheme="minorHAnsi"/>
                          <w:color w:val="FFFFFF" w:themeColor="background1"/>
                          <w:sz w:val="22"/>
                        </w:rPr>
                      </w:pPr>
                      <w:r w:rsidRPr="00A5120A">
                        <w:rPr>
                          <w:rFonts w:asciiTheme="minorHAnsi" w:hAnsiTheme="minorHAnsi"/>
                          <w:color w:val="FFFFFF" w:themeColor="background1"/>
                          <w:sz w:val="22"/>
                        </w:rPr>
                        <w:t xml:space="preserve">Doc. </w:t>
                      </w:r>
                      <w:r w:rsidR="00A5120A" w:rsidRPr="00A5120A">
                        <w:rPr>
                          <w:rFonts w:asciiTheme="minorHAnsi" w:hAnsiTheme="minorHAnsi"/>
                          <w:color w:val="FFFFFF" w:themeColor="background1"/>
                          <w:sz w:val="22"/>
                        </w:rPr>
                        <w:t>201</w:t>
                      </w:r>
                    </w:p>
                    <w:p w14:paraId="2F8A3633" w14:textId="0DDE0558" w:rsidR="00627C9F" w:rsidRPr="00A5120A" w:rsidRDefault="00A5120A" w:rsidP="007A5817">
                      <w:pPr>
                        <w:spacing w:line="276" w:lineRule="auto"/>
                        <w:jc w:val="right"/>
                        <w:rPr>
                          <w:rFonts w:asciiTheme="minorHAnsi" w:hAnsiTheme="minorHAnsi"/>
                          <w:color w:val="FFFFFF" w:themeColor="background1"/>
                          <w:sz w:val="22"/>
                        </w:rPr>
                      </w:pPr>
                      <w:r w:rsidRPr="00A5120A">
                        <w:rPr>
                          <w:rFonts w:asciiTheme="minorHAnsi" w:hAnsiTheme="minorHAnsi"/>
                          <w:color w:val="FFFFFF" w:themeColor="background1"/>
                          <w:sz w:val="22"/>
                        </w:rPr>
                        <w:t>23</w:t>
                      </w:r>
                      <w:r w:rsidR="007C756A" w:rsidRPr="00A5120A">
                        <w:rPr>
                          <w:rFonts w:asciiTheme="minorHAnsi" w:hAnsiTheme="minorHAnsi"/>
                          <w:color w:val="FFFFFF" w:themeColor="background1"/>
                          <w:sz w:val="22"/>
                        </w:rPr>
                        <w:t xml:space="preserve"> </w:t>
                      </w:r>
                      <w:r w:rsidRPr="00A5120A">
                        <w:rPr>
                          <w:rFonts w:asciiTheme="minorHAnsi" w:hAnsiTheme="minorHAnsi"/>
                          <w:color w:val="FFFFFF" w:themeColor="background1"/>
                          <w:sz w:val="22"/>
                        </w:rPr>
                        <w:t>September</w:t>
                      </w:r>
                      <w:r w:rsidR="007C756A" w:rsidRPr="00A5120A">
                        <w:rPr>
                          <w:rFonts w:asciiTheme="minorHAnsi" w:hAnsiTheme="minorHAnsi"/>
                          <w:color w:val="FFFFFF" w:themeColor="background1"/>
                          <w:sz w:val="22"/>
                        </w:rPr>
                        <w:t xml:space="preserve"> 20</w:t>
                      </w:r>
                      <w:r w:rsidRPr="00A5120A">
                        <w:rPr>
                          <w:rFonts w:asciiTheme="minorHAnsi" w:hAnsiTheme="minorHAnsi"/>
                          <w:color w:val="FFFFFF" w:themeColor="background1"/>
                          <w:sz w:val="22"/>
                        </w:rPr>
                        <w:t>23</w:t>
                      </w:r>
                    </w:p>
                    <w:p w14:paraId="644E1E8A" w14:textId="4F5CAE6F" w:rsidR="00627C9F" w:rsidRPr="00A5120A" w:rsidRDefault="00E0340B" w:rsidP="007A5817">
                      <w:pPr>
                        <w:spacing w:line="276" w:lineRule="auto"/>
                        <w:jc w:val="right"/>
                        <w:rPr>
                          <w:rFonts w:asciiTheme="minorHAnsi" w:hAnsiTheme="minorHAnsi"/>
                          <w:color w:val="FFFFFF" w:themeColor="background1"/>
                          <w:sz w:val="22"/>
                        </w:rPr>
                      </w:pPr>
                      <w:r w:rsidRPr="00A5120A">
                        <w:rPr>
                          <w:rFonts w:asciiTheme="minorHAnsi" w:hAnsiTheme="minorHAnsi"/>
                          <w:color w:val="FFFFFF" w:themeColor="background1"/>
                          <w:sz w:val="22"/>
                        </w:rPr>
                        <w:t xml:space="preserve">Original: </w:t>
                      </w:r>
                      <w:r w:rsidR="00F64EFC" w:rsidRPr="00A5120A">
                        <w:rPr>
                          <w:rFonts w:asciiTheme="minorHAnsi" w:hAnsiTheme="minorHAnsi"/>
                          <w:color w:val="FFFFFF" w:themeColor="background1"/>
                          <w:sz w:val="22"/>
                        </w:rPr>
                        <w:t>Spanish</w:t>
                      </w:r>
                    </w:p>
                  </w:txbxContent>
                </v:textbox>
              </v:shape>
            </w:pict>
          </mc:Fallback>
        </mc:AlternateContent>
      </w:r>
    </w:p>
    <w:p w14:paraId="7DE2352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A1ED6C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22F34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3DABF5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EBEF7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4F31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242FB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F47754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6AA03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C91817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520E5D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A1E055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CC039F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57CA4A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C47D8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111B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4BA95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2AB75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3DA9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6DDC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27EB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8AE1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FC24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108B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BEE18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DEA5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8988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578FB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315D9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028FBD0" wp14:editId="5F51178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5B0D2" w14:textId="57C58653" w:rsidR="0027658D" w:rsidRPr="00B93A27" w:rsidRDefault="0027658D" w:rsidP="0027658D">
                            <w:pPr>
                              <w:tabs>
                                <w:tab w:val="center" w:pos="5400"/>
                              </w:tabs>
                              <w:suppressAutoHyphens/>
                              <w:spacing w:before="60"/>
                              <w:rPr>
                                <w:rFonts w:asciiTheme="majorHAnsi" w:hAnsiTheme="majorHAnsi"/>
                                <w:color w:val="0D0D0D" w:themeColor="text1" w:themeTint="F2"/>
                                <w:sz w:val="18"/>
                                <w:szCs w:val="20"/>
                              </w:rPr>
                            </w:pPr>
                            <w:r w:rsidRPr="00B93A27">
                              <w:rPr>
                                <w:rFonts w:asciiTheme="majorHAnsi" w:hAnsiTheme="majorHAnsi"/>
                                <w:color w:val="0D0D0D" w:themeColor="text1" w:themeTint="F2"/>
                                <w:sz w:val="18"/>
                                <w:szCs w:val="20"/>
                              </w:rPr>
                              <w:t xml:space="preserve">Electronically approved by the Commission on </w:t>
                            </w:r>
                            <w:r w:rsidR="00A5120A" w:rsidRPr="00A5120A">
                              <w:rPr>
                                <w:rFonts w:asciiTheme="majorHAnsi" w:hAnsiTheme="majorHAnsi"/>
                                <w:color w:val="0D0D0D" w:themeColor="text1" w:themeTint="F2"/>
                                <w:sz w:val="18"/>
                                <w:szCs w:val="20"/>
                              </w:rPr>
                              <w:t>September</w:t>
                            </w:r>
                            <w:r w:rsidRPr="00A5120A">
                              <w:rPr>
                                <w:rFonts w:asciiTheme="majorHAnsi" w:hAnsiTheme="majorHAnsi"/>
                                <w:color w:val="0D0D0D" w:themeColor="text1" w:themeTint="F2"/>
                                <w:sz w:val="18"/>
                                <w:szCs w:val="20"/>
                              </w:rPr>
                              <w:t xml:space="preserve"> </w:t>
                            </w:r>
                            <w:r w:rsidR="00A5120A" w:rsidRPr="00A5120A">
                              <w:rPr>
                                <w:rFonts w:asciiTheme="majorHAnsi" w:hAnsiTheme="majorHAnsi"/>
                                <w:color w:val="0D0D0D" w:themeColor="text1" w:themeTint="F2"/>
                                <w:sz w:val="18"/>
                                <w:szCs w:val="20"/>
                              </w:rPr>
                              <w:t>23</w:t>
                            </w:r>
                            <w:r w:rsidRPr="00A5120A">
                              <w:rPr>
                                <w:rFonts w:asciiTheme="majorHAnsi" w:hAnsiTheme="majorHAnsi"/>
                                <w:color w:val="0D0D0D" w:themeColor="text1" w:themeTint="F2"/>
                                <w:sz w:val="18"/>
                                <w:szCs w:val="20"/>
                              </w:rPr>
                              <w:t>,</w:t>
                            </w:r>
                            <w:r w:rsidRPr="00B93A27">
                              <w:rPr>
                                <w:rFonts w:asciiTheme="majorHAnsi" w:hAnsiTheme="majorHAnsi"/>
                                <w:color w:val="0D0D0D" w:themeColor="text1" w:themeTint="F2"/>
                                <w:sz w:val="18"/>
                                <w:szCs w:val="20"/>
                              </w:rPr>
                              <w:t xml:space="preserve"> 20</w:t>
                            </w:r>
                            <w:r>
                              <w:rPr>
                                <w:rFonts w:asciiTheme="majorHAnsi" w:hAnsiTheme="majorHAnsi"/>
                                <w:color w:val="0D0D0D" w:themeColor="text1" w:themeTint="F2"/>
                                <w:sz w:val="18"/>
                                <w:szCs w:val="20"/>
                              </w:rPr>
                              <w:t>23</w:t>
                            </w:r>
                          </w:p>
                          <w:p w14:paraId="3C7BAF24" w14:textId="77777777" w:rsidR="00044112" w:rsidRPr="0027658D" w:rsidRDefault="00044112" w:rsidP="0059191A">
                            <w:pPr>
                              <w:tabs>
                                <w:tab w:val="center" w:pos="5400"/>
                              </w:tabs>
                              <w:suppressAutoHyphens/>
                              <w:spacing w:before="60"/>
                              <w:rPr>
                                <w:rFonts w:asciiTheme="majorHAnsi" w:hAnsiTheme="majorHAnsi" w:cs="Univers"/>
                                <w:color w:val="0D0D0D" w:themeColor="text1" w:themeTint="F2"/>
                                <w:sz w:val="18"/>
                                <w:szCs w:val="20"/>
                              </w:rPr>
                            </w:pPr>
                          </w:p>
                          <w:p w14:paraId="6FFAD450" w14:textId="77777777" w:rsidR="00044112" w:rsidRPr="0027658D" w:rsidRDefault="00044112" w:rsidP="0059191A">
                            <w:pPr>
                              <w:tabs>
                                <w:tab w:val="center" w:pos="5400"/>
                              </w:tabs>
                              <w:suppressAutoHyphens/>
                              <w:spacing w:before="60"/>
                              <w:rPr>
                                <w:rFonts w:asciiTheme="majorHAnsi" w:hAnsiTheme="majorHAnsi" w:cs="Univers"/>
                                <w:color w:val="0D0D0D" w:themeColor="text1" w:themeTint="F2"/>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8FBD0"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4E5B0D2" w14:textId="57C58653" w:rsidR="0027658D" w:rsidRPr="00B93A27" w:rsidRDefault="0027658D" w:rsidP="0027658D">
                      <w:pPr>
                        <w:tabs>
                          <w:tab w:val="center" w:pos="5400"/>
                        </w:tabs>
                        <w:suppressAutoHyphens/>
                        <w:spacing w:before="60"/>
                        <w:rPr>
                          <w:rFonts w:asciiTheme="majorHAnsi" w:hAnsiTheme="majorHAnsi"/>
                          <w:color w:val="0D0D0D" w:themeColor="text1" w:themeTint="F2"/>
                          <w:sz w:val="18"/>
                          <w:szCs w:val="20"/>
                        </w:rPr>
                      </w:pPr>
                      <w:r w:rsidRPr="00B93A27">
                        <w:rPr>
                          <w:rFonts w:asciiTheme="majorHAnsi" w:hAnsiTheme="majorHAnsi"/>
                          <w:color w:val="0D0D0D" w:themeColor="text1" w:themeTint="F2"/>
                          <w:sz w:val="18"/>
                          <w:szCs w:val="20"/>
                        </w:rPr>
                        <w:t xml:space="preserve">Electronically approved by the Commission on </w:t>
                      </w:r>
                      <w:r w:rsidR="00A5120A" w:rsidRPr="00A5120A">
                        <w:rPr>
                          <w:rFonts w:asciiTheme="majorHAnsi" w:hAnsiTheme="majorHAnsi"/>
                          <w:color w:val="0D0D0D" w:themeColor="text1" w:themeTint="F2"/>
                          <w:sz w:val="18"/>
                          <w:szCs w:val="20"/>
                        </w:rPr>
                        <w:t>September</w:t>
                      </w:r>
                      <w:r w:rsidRPr="00A5120A">
                        <w:rPr>
                          <w:rFonts w:asciiTheme="majorHAnsi" w:hAnsiTheme="majorHAnsi"/>
                          <w:color w:val="0D0D0D" w:themeColor="text1" w:themeTint="F2"/>
                          <w:sz w:val="18"/>
                          <w:szCs w:val="20"/>
                        </w:rPr>
                        <w:t xml:space="preserve"> </w:t>
                      </w:r>
                      <w:r w:rsidR="00A5120A" w:rsidRPr="00A5120A">
                        <w:rPr>
                          <w:rFonts w:asciiTheme="majorHAnsi" w:hAnsiTheme="majorHAnsi"/>
                          <w:color w:val="0D0D0D" w:themeColor="text1" w:themeTint="F2"/>
                          <w:sz w:val="18"/>
                          <w:szCs w:val="20"/>
                        </w:rPr>
                        <w:t>23</w:t>
                      </w:r>
                      <w:r w:rsidRPr="00A5120A">
                        <w:rPr>
                          <w:rFonts w:asciiTheme="majorHAnsi" w:hAnsiTheme="majorHAnsi"/>
                          <w:color w:val="0D0D0D" w:themeColor="text1" w:themeTint="F2"/>
                          <w:sz w:val="18"/>
                          <w:szCs w:val="20"/>
                        </w:rPr>
                        <w:t>,</w:t>
                      </w:r>
                      <w:r w:rsidRPr="00B93A27">
                        <w:rPr>
                          <w:rFonts w:asciiTheme="majorHAnsi" w:hAnsiTheme="majorHAnsi"/>
                          <w:color w:val="0D0D0D" w:themeColor="text1" w:themeTint="F2"/>
                          <w:sz w:val="18"/>
                          <w:szCs w:val="20"/>
                        </w:rPr>
                        <w:t xml:space="preserve"> 20</w:t>
                      </w:r>
                      <w:r>
                        <w:rPr>
                          <w:rFonts w:asciiTheme="majorHAnsi" w:hAnsiTheme="majorHAnsi"/>
                          <w:color w:val="0D0D0D" w:themeColor="text1" w:themeTint="F2"/>
                          <w:sz w:val="18"/>
                          <w:szCs w:val="20"/>
                        </w:rPr>
                        <w:t>23</w:t>
                      </w:r>
                    </w:p>
                    <w:p w14:paraId="3C7BAF24" w14:textId="77777777" w:rsidR="00044112" w:rsidRPr="0027658D" w:rsidRDefault="00044112" w:rsidP="0059191A">
                      <w:pPr>
                        <w:tabs>
                          <w:tab w:val="center" w:pos="5400"/>
                        </w:tabs>
                        <w:suppressAutoHyphens/>
                        <w:spacing w:before="60"/>
                        <w:rPr>
                          <w:rFonts w:asciiTheme="majorHAnsi" w:hAnsiTheme="majorHAnsi" w:cs="Univers"/>
                          <w:color w:val="0D0D0D" w:themeColor="text1" w:themeTint="F2"/>
                          <w:sz w:val="18"/>
                          <w:szCs w:val="20"/>
                        </w:rPr>
                      </w:pPr>
                    </w:p>
                    <w:p w14:paraId="6FFAD450" w14:textId="77777777" w:rsidR="00044112" w:rsidRPr="0027658D" w:rsidRDefault="00044112" w:rsidP="0059191A">
                      <w:pPr>
                        <w:tabs>
                          <w:tab w:val="center" w:pos="5400"/>
                        </w:tabs>
                        <w:suppressAutoHyphens/>
                        <w:spacing w:before="60"/>
                        <w:rPr>
                          <w:rFonts w:asciiTheme="majorHAnsi" w:hAnsiTheme="majorHAnsi" w:cs="Univers"/>
                          <w:color w:val="0D0D0D" w:themeColor="text1" w:themeTint="F2"/>
                          <w:sz w:val="18"/>
                          <w:szCs w:val="20"/>
                        </w:rPr>
                      </w:pPr>
                    </w:p>
                  </w:txbxContent>
                </v:textbox>
              </v:shape>
            </w:pict>
          </mc:Fallback>
        </mc:AlternateContent>
      </w:r>
    </w:p>
    <w:p w14:paraId="12E011D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1A59B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2F0F38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BAB2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54E39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50176E1" wp14:editId="643A7CD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01A09" w14:textId="6EEFCFA0" w:rsidR="00113F73" w:rsidRPr="00443646" w:rsidRDefault="00F64EFC" w:rsidP="00113F73">
                            <w:pPr>
                              <w:spacing w:line="276" w:lineRule="auto"/>
                              <w:rPr>
                                <w:rFonts w:asciiTheme="majorHAnsi" w:hAnsiTheme="majorHAnsi"/>
                                <w:color w:val="595959" w:themeColor="text1" w:themeTint="A6"/>
                                <w:sz w:val="18"/>
                                <w:szCs w:val="18"/>
                              </w:rPr>
                            </w:pPr>
                            <w:r w:rsidRPr="00F64EFC">
                              <w:rPr>
                                <w:rFonts w:asciiTheme="majorHAnsi" w:hAnsiTheme="majorHAnsi"/>
                                <w:b/>
                                <w:color w:val="595959" w:themeColor="text1" w:themeTint="A6"/>
                                <w:sz w:val="18"/>
                                <w:szCs w:val="18"/>
                              </w:rPr>
                              <w:t>Cite as</w:t>
                            </w:r>
                            <w:r w:rsidR="00113F73" w:rsidRPr="00F64EFC">
                              <w:rPr>
                                <w:rFonts w:asciiTheme="majorHAnsi" w:hAnsiTheme="majorHAnsi"/>
                                <w:b/>
                                <w:color w:val="595959" w:themeColor="text1" w:themeTint="A6"/>
                                <w:sz w:val="18"/>
                                <w:szCs w:val="18"/>
                              </w:rPr>
                              <w:t>:</w:t>
                            </w:r>
                            <w:r w:rsidR="00C75282" w:rsidRPr="00F64EFC">
                              <w:rPr>
                                <w:rFonts w:asciiTheme="majorHAnsi" w:hAnsiTheme="majorHAnsi"/>
                                <w:color w:val="595959" w:themeColor="text1" w:themeTint="A6"/>
                                <w:sz w:val="18"/>
                                <w:szCs w:val="18"/>
                              </w:rPr>
                              <w:t xml:space="preserve"> </w:t>
                            </w:r>
                            <w:r w:rsidRPr="00F64EFC">
                              <w:rPr>
                                <w:rFonts w:asciiTheme="majorHAnsi" w:hAnsiTheme="majorHAnsi"/>
                                <w:color w:val="595959" w:themeColor="text1" w:themeTint="A6"/>
                                <w:sz w:val="18"/>
                                <w:szCs w:val="18"/>
                              </w:rPr>
                              <w:t>IACHR</w:t>
                            </w:r>
                            <w:r w:rsidR="00C75282" w:rsidRPr="00F64EFC">
                              <w:rPr>
                                <w:rFonts w:asciiTheme="majorHAnsi" w:hAnsiTheme="majorHAnsi"/>
                                <w:color w:val="595959" w:themeColor="text1" w:themeTint="A6"/>
                                <w:sz w:val="18"/>
                                <w:szCs w:val="18"/>
                              </w:rPr>
                              <w:t>.</w:t>
                            </w:r>
                            <w:r w:rsidR="00113F73" w:rsidRPr="00F64EFC">
                              <w:rPr>
                                <w:rFonts w:asciiTheme="majorHAnsi" w:hAnsiTheme="majorHAnsi"/>
                                <w:color w:val="595959" w:themeColor="text1" w:themeTint="A6"/>
                                <w:sz w:val="18"/>
                                <w:szCs w:val="18"/>
                              </w:rPr>
                              <w:t xml:space="preserve"> </w:t>
                            </w:r>
                            <w:r w:rsidRPr="00F64EFC">
                              <w:rPr>
                                <w:rFonts w:asciiTheme="majorHAnsi" w:hAnsiTheme="majorHAnsi"/>
                                <w:color w:val="595959" w:themeColor="text1" w:themeTint="A6"/>
                                <w:sz w:val="18"/>
                                <w:szCs w:val="18"/>
                              </w:rPr>
                              <w:t>Report</w:t>
                            </w:r>
                            <w:r w:rsidR="00113F73" w:rsidRPr="00F64EFC">
                              <w:rPr>
                                <w:rFonts w:asciiTheme="majorHAnsi" w:hAnsiTheme="majorHAnsi"/>
                                <w:color w:val="595959" w:themeColor="text1" w:themeTint="A6"/>
                                <w:sz w:val="18"/>
                                <w:szCs w:val="18"/>
                              </w:rPr>
                              <w:t xml:space="preserve"> No. </w:t>
                            </w:r>
                            <w:r w:rsidR="007C756A" w:rsidRPr="00F64EFC">
                              <w:rPr>
                                <w:rFonts w:asciiTheme="majorHAnsi" w:hAnsiTheme="majorHAnsi"/>
                                <w:color w:val="595959" w:themeColor="text1" w:themeTint="A6"/>
                                <w:sz w:val="18"/>
                                <w:szCs w:val="18"/>
                              </w:rPr>
                              <w:t>xx</w:t>
                            </w:r>
                            <w:r w:rsidR="00C75282" w:rsidRPr="00F64EFC">
                              <w:rPr>
                                <w:rFonts w:asciiTheme="majorHAnsi" w:hAnsiTheme="majorHAnsi"/>
                                <w:color w:val="595959" w:themeColor="text1" w:themeTint="A6"/>
                                <w:sz w:val="18"/>
                                <w:szCs w:val="18"/>
                              </w:rPr>
                              <w:t>/</w:t>
                            </w:r>
                            <w:r w:rsidR="005F4FE4" w:rsidRPr="00F64EFC">
                              <w:rPr>
                                <w:rFonts w:asciiTheme="majorHAnsi" w:hAnsiTheme="majorHAnsi"/>
                                <w:color w:val="595959" w:themeColor="text1" w:themeTint="A6"/>
                                <w:sz w:val="18"/>
                                <w:szCs w:val="18"/>
                              </w:rPr>
                              <w:t>22</w:t>
                            </w:r>
                            <w:r w:rsidR="00C75282" w:rsidRPr="00F64EFC">
                              <w:rPr>
                                <w:rFonts w:asciiTheme="majorHAnsi" w:hAnsiTheme="majorHAnsi"/>
                                <w:color w:val="595959" w:themeColor="text1" w:themeTint="A6"/>
                                <w:sz w:val="18"/>
                                <w:szCs w:val="18"/>
                              </w:rPr>
                              <w:t>.</w:t>
                            </w:r>
                            <w:r w:rsidR="007C756A" w:rsidRPr="00F64EFC">
                              <w:rPr>
                                <w:rFonts w:asciiTheme="majorHAnsi" w:hAnsiTheme="majorHAnsi"/>
                                <w:color w:val="595959" w:themeColor="text1" w:themeTint="A6"/>
                                <w:sz w:val="18"/>
                                <w:szCs w:val="18"/>
                              </w:rPr>
                              <w:t xml:space="preserve"> </w:t>
                            </w:r>
                            <w:r w:rsidR="00443646">
                              <w:rPr>
                                <w:rFonts w:asciiTheme="majorHAnsi" w:hAnsiTheme="majorHAnsi"/>
                                <w:color w:val="595959" w:themeColor="text1" w:themeTint="A6"/>
                                <w:sz w:val="18"/>
                                <w:szCs w:val="18"/>
                              </w:rPr>
                              <w:t>Petition 2299-13</w:t>
                            </w:r>
                            <w:r w:rsidR="007C756A" w:rsidRPr="000B2727">
                              <w:rPr>
                                <w:rFonts w:asciiTheme="majorHAnsi" w:hAnsiTheme="majorHAnsi"/>
                                <w:color w:val="595959" w:themeColor="text1" w:themeTint="A6"/>
                                <w:sz w:val="18"/>
                                <w:szCs w:val="18"/>
                              </w:rPr>
                              <w:t xml:space="preserve">. </w:t>
                            </w:r>
                            <w:r w:rsidRPr="000B2727">
                              <w:rPr>
                                <w:rFonts w:asciiTheme="majorHAnsi" w:hAnsiTheme="majorHAnsi"/>
                                <w:color w:val="595959" w:themeColor="text1" w:themeTint="A6"/>
                                <w:sz w:val="18"/>
                                <w:szCs w:val="18"/>
                              </w:rPr>
                              <w:t>Admissibility</w:t>
                            </w:r>
                            <w:r w:rsidR="00113F73" w:rsidRPr="000B2727">
                              <w:rPr>
                                <w:rFonts w:asciiTheme="majorHAnsi" w:hAnsiTheme="majorHAnsi"/>
                                <w:color w:val="595959" w:themeColor="text1" w:themeTint="A6"/>
                                <w:sz w:val="18"/>
                                <w:szCs w:val="18"/>
                              </w:rPr>
                              <w:t xml:space="preserve">. </w:t>
                            </w:r>
                            <w:r w:rsidR="00443646">
                              <w:rPr>
                                <w:rFonts w:asciiTheme="majorHAnsi" w:hAnsiTheme="majorHAnsi"/>
                                <w:color w:val="595959" w:themeColor="text1" w:themeTint="A6"/>
                                <w:sz w:val="18"/>
                                <w:szCs w:val="18"/>
                              </w:rPr>
                              <w:t>Luz Marina Benito C</w:t>
                            </w:r>
                            <w:r w:rsidR="00F922E4">
                              <w:rPr>
                                <w:rFonts w:asciiTheme="majorHAnsi" w:hAnsiTheme="majorHAnsi"/>
                                <w:color w:val="595959" w:themeColor="text1" w:themeTint="A6"/>
                                <w:sz w:val="18"/>
                                <w:szCs w:val="18"/>
                              </w:rPr>
                              <w:t>e</w:t>
                            </w:r>
                            <w:r w:rsidR="00443646">
                              <w:rPr>
                                <w:rFonts w:asciiTheme="majorHAnsi" w:hAnsiTheme="majorHAnsi"/>
                                <w:color w:val="595959" w:themeColor="text1" w:themeTint="A6"/>
                                <w:sz w:val="18"/>
                                <w:szCs w:val="18"/>
                              </w:rPr>
                              <w:t>spedes and others.</w:t>
                            </w:r>
                            <w:r w:rsidR="00027A6B" w:rsidRPr="000B2727">
                              <w:rPr>
                                <w:rFonts w:asciiTheme="majorHAnsi" w:hAnsiTheme="majorHAnsi"/>
                                <w:color w:val="595959" w:themeColor="text1" w:themeTint="A6"/>
                                <w:sz w:val="18"/>
                                <w:szCs w:val="18"/>
                              </w:rPr>
                              <w:t xml:space="preserve"> </w:t>
                            </w:r>
                            <w:r w:rsidR="00443646">
                              <w:rPr>
                                <w:rFonts w:asciiTheme="majorHAnsi" w:hAnsiTheme="majorHAnsi"/>
                                <w:color w:val="595959" w:themeColor="text1" w:themeTint="A6"/>
                                <w:sz w:val="18"/>
                                <w:szCs w:val="18"/>
                              </w:rPr>
                              <w:t>Colombia</w:t>
                            </w:r>
                            <w:r w:rsidR="00113F73" w:rsidRPr="00443646">
                              <w:rPr>
                                <w:rFonts w:asciiTheme="majorHAnsi" w:hAnsiTheme="majorHAnsi"/>
                                <w:color w:val="595959" w:themeColor="text1" w:themeTint="A6"/>
                                <w:sz w:val="18"/>
                                <w:szCs w:val="18"/>
                              </w:rPr>
                              <w:t xml:space="preserve">. </w:t>
                            </w:r>
                            <w:r w:rsidR="00A5120A" w:rsidRPr="00A5120A">
                              <w:rPr>
                                <w:rFonts w:asciiTheme="majorHAnsi" w:hAnsiTheme="majorHAnsi"/>
                                <w:color w:val="595959" w:themeColor="text1" w:themeTint="A6"/>
                                <w:sz w:val="18"/>
                                <w:szCs w:val="18"/>
                              </w:rPr>
                              <w:t>September 23</w:t>
                            </w:r>
                            <w:r w:rsidRPr="00A5120A">
                              <w:rPr>
                                <w:rFonts w:asciiTheme="majorHAnsi" w:hAnsiTheme="majorHAnsi"/>
                                <w:color w:val="595959" w:themeColor="text1" w:themeTint="A6"/>
                                <w:sz w:val="18"/>
                                <w:szCs w:val="18"/>
                              </w:rPr>
                              <w:t>, 20</w:t>
                            </w:r>
                            <w:r w:rsidR="00A5120A" w:rsidRPr="00A5120A">
                              <w:rPr>
                                <w:rFonts w:asciiTheme="majorHAnsi" w:hAnsiTheme="majorHAnsi"/>
                                <w:color w:val="595959" w:themeColor="text1" w:themeTint="A6"/>
                                <w:sz w:val="18"/>
                                <w:szCs w:val="18"/>
                              </w:rPr>
                              <w:t>23</w:t>
                            </w:r>
                            <w:r w:rsidRPr="00443646">
                              <w:rPr>
                                <w:rFonts w:asciiTheme="majorHAnsi" w:hAnsiTheme="majorHAnsi"/>
                                <w:color w:val="595959" w:themeColor="text1" w:themeTint="A6"/>
                                <w:sz w:val="18"/>
                                <w:szCs w:val="18"/>
                              </w:rPr>
                              <w:t>.</w:t>
                            </w:r>
                            <w:r w:rsidR="00032214" w:rsidRPr="00443646">
                              <w:rPr>
                                <w:rFonts w:asciiTheme="majorHAnsi" w:hAnsiTheme="majorHAnsi"/>
                                <w:color w:val="595959" w:themeColor="text1" w:themeTint="A6"/>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176E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CE01A09" w14:textId="6EEFCFA0" w:rsidR="00113F73" w:rsidRPr="00443646" w:rsidRDefault="00F64EFC" w:rsidP="00113F73">
                      <w:pPr>
                        <w:spacing w:line="276" w:lineRule="auto"/>
                        <w:rPr>
                          <w:rFonts w:asciiTheme="majorHAnsi" w:hAnsiTheme="majorHAnsi"/>
                          <w:color w:val="595959" w:themeColor="text1" w:themeTint="A6"/>
                          <w:sz w:val="18"/>
                          <w:szCs w:val="18"/>
                        </w:rPr>
                      </w:pPr>
                      <w:r w:rsidRPr="00F64EFC">
                        <w:rPr>
                          <w:rFonts w:asciiTheme="majorHAnsi" w:hAnsiTheme="majorHAnsi"/>
                          <w:b/>
                          <w:color w:val="595959" w:themeColor="text1" w:themeTint="A6"/>
                          <w:sz w:val="18"/>
                          <w:szCs w:val="18"/>
                        </w:rPr>
                        <w:t>Cite as</w:t>
                      </w:r>
                      <w:r w:rsidR="00113F73" w:rsidRPr="00F64EFC">
                        <w:rPr>
                          <w:rFonts w:asciiTheme="majorHAnsi" w:hAnsiTheme="majorHAnsi"/>
                          <w:b/>
                          <w:color w:val="595959" w:themeColor="text1" w:themeTint="A6"/>
                          <w:sz w:val="18"/>
                          <w:szCs w:val="18"/>
                        </w:rPr>
                        <w:t>:</w:t>
                      </w:r>
                      <w:r w:rsidR="00C75282" w:rsidRPr="00F64EFC">
                        <w:rPr>
                          <w:rFonts w:asciiTheme="majorHAnsi" w:hAnsiTheme="majorHAnsi"/>
                          <w:color w:val="595959" w:themeColor="text1" w:themeTint="A6"/>
                          <w:sz w:val="18"/>
                          <w:szCs w:val="18"/>
                        </w:rPr>
                        <w:t xml:space="preserve"> </w:t>
                      </w:r>
                      <w:r w:rsidRPr="00F64EFC">
                        <w:rPr>
                          <w:rFonts w:asciiTheme="majorHAnsi" w:hAnsiTheme="majorHAnsi"/>
                          <w:color w:val="595959" w:themeColor="text1" w:themeTint="A6"/>
                          <w:sz w:val="18"/>
                          <w:szCs w:val="18"/>
                        </w:rPr>
                        <w:t>IACHR</w:t>
                      </w:r>
                      <w:r w:rsidR="00C75282" w:rsidRPr="00F64EFC">
                        <w:rPr>
                          <w:rFonts w:asciiTheme="majorHAnsi" w:hAnsiTheme="majorHAnsi"/>
                          <w:color w:val="595959" w:themeColor="text1" w:themeTint="A6"/>
                          <w:sz w:val="18"/>
                          <w:szCs w:val="18"/>
                        </w:rPr>
                        <w:t>.</w:t>
                      </w:r>
                      <w:r w:rsidR="00113F73" w:rsidRPr="00F64EFC">
                        <w:rPr>
                          <w:rFonts w:asciiTheme="majorHAnsi" w:hAnsiTheme="majorHAnsi"/>
                          <w:color w:val="595959" w:themeColor="text1" w:themeTint="A6"/>
                          <w:sz w:val="18"/>
                          <w:szCs w:val="18"/>
                        </w:rPr>
                        <w:t xml:space="preserve"> </w:t>
                      </w:r>
                      <w:r w:rsidRPr="00F64EFC">
                        <w:rPr>
                          <w:rFonts w:asciiTheme="majorHAnsi" w:hAnsiTheme="majorHAnsi"/>
                          <w:color w:val="595959" w:themeColor="text1" w:themeTint="A6"/>
                          <w:sz w:val="18"/>
                          <w:szCs w:val="18"/>
                        </w:rPr>
                        <w:t>Report</w:t>
                      </w:r>
                      <w:r w:rsidR="00113F73" w:rsidRPr="00F64EFC">
                        <w:rPr>
                          <w:rFonts w:asciiTheme="majorHAnsi" w:hAnsiTheme="majorHAnsi"/>
                          <w:color w:val="595959" w:themeColor="text1" w:themeTint="A6"/>
                          <w:sz w:val="18"/>
                          <w:szCs w:val="18"/>
                        </w:rPr>
                        <w:t xml:space="preserve"> No. </w:t>
                      </w:r>
                      <w:r w:rsidR="007C756A" w:rsidRPr="00F64EFC">
                        <w:rPr>
                          <w:rFonts w:asciiTheme="majorHAnsi" w:hAnsiTheme="majorHAnsi"/>
                          <w:color w:val="595959" w:themeColor="text1" w:themeTint="A6"/>
                          <w:sz w:val="18"/>
                          <w:szCs w:val="18"/>
                        </w:rPr>
                        <w:t>xx</w:t>
                      </w:r>
                      <w:r w:rsidR="00C75282" w:rsidRPr="00F64EFC">
                        <w:rPr>
                          <w:rFonts w:asciiTheme="majorHAnsi" w:hAnsiTheme="majorHAnsi"/>
                          <w:color w:val="595959" w:themeColor="text1" w:themeTint="A6"/>
                          <w:sz w:val="18"/>
                          <w:szCs w:val="18"/>
                        </w:rPr>
                        <w:t>/</w:t>
                      </w:r>
                      <w:r w:rsidR="005F4FE4" w:rsidRPr="00F64EFC">
                        <w:rPr>
                          <w:rFonts w:asciiTheme="majorHAnsi" w:hAnsiTheme="majorHAnsi"/>
                          <w:color w:val="595959" w:themeColor="text1" w:themeTint="A6"/>
                          <w:sz w:val="18"/>
                          <w:szCs w:val="18"/>
                        </w:rPr>
                        <w:t>22</w:t>
                      </w:r>
                      <w:r w:rsidR="00C75282" w:rsidRPr="00F64EFC">
                        <w:rPr>
                          <w:rFonts w:asciiTheme="majorHAnsi" w:hAnsiTheme="majorHAnsi"/>
                          <w:color w:val="595959" w:themeColor="text1" w:themeTint="A6"/>
                          <w:sz w:val="18"/>
                          <w:szCs w:val="18"/>
                        </w:rPr>
                        <w:t>.</w:t>
                      </w:r>
                      <w:r w:rsidR="007C756A" w:rsidRPr="00F64EFC">
                        <w:rPr>
                          <w:rFonts w:asciiTheme="majorHAnsi" w:hAnsiTheme="majorHAnsi"/>
                          <w:color w:val="595959" w:themeColor="text1" w:themeTint="A6"/>
                          <w:sz w:val="18"/>
                          <w:szCs w:val="18"/>
                        </w:rPr>
                        <w:t xml:space="preserve"> </w:t>
                      </w:r>
                      <w:r w:rsidR="00443646">
                        <w:rPr>
                          <w:rFonts w:asciiTheme="majorHAnsi" w:hAnsiTheme="majorHAnsi"/>
                          <w:color w:val="595959" w:themeColor="text1" w:themeTint="A6"/>
                          <w:sz w:val="18"/>
                          <w:szCs w:val="18"/>
                        </w:rPr>
                        <w:t>Petition 2299-13</w:t>
                      </w:r>
                      <w:r w:rsidR="007C756A" w:rsidRPr="000B2727">
                        <w:rPr>
                          <w:rFonts w:asciiTheme="majorHAnsi" w:hAnsiTheme="majorHAnsi"/>
                          <w:color w:val="595959" w:themeColor="text1" w:themeTint="A6"/>
                          <w:sz w:val="18"/>
                          <w:szCs w:val="18"/>
                        </w:rPr>
                        <w:t xml:space="preserve">. </w:t>
                      </w:r>
                      <w:r w:rsidRPr="000B2727">
                        <w:rPr>
                          <w:rFonts w:asciiTheme="majorHAnsi" w:hAnsiTheme="majorHAnsi"/>
                          <w:color w:val="595959" w:themeColor="text1" w:themeTint="A6"/>
                          <w:sz w:val="18"/>
                          <w:szCs w:val="18"/>
                        </w:rPr>
                        <w:t>Admissibility</w:t>
                      </w:r>
                      <w:r w:rsidR="00113F73" w:rsidRPr="000B2727">
                        <w:rPr>
                          <w:rFonts w:asciiTheme="majorHAnsi" w:hAnsiTheme="majorHAnsi"/>
                          <w:color w:val="595959" w:themeColor="text1" w:themeTint="A6"/>
                          <w:sz w:val="18"/>
                          <w:szCs w:val="18"/>
                        </w:rPr>
                        <w:t xml:space="preserve">. </w:t>
                      </w:r>
                      <w:r w:rsidR="00443646">
                        <w:rPr>
                          <w:rFonts w:asciiTheme="majorHAnsi" w:hAnsiTheme="majorHAnsi"/>
                          <w:color w:val="595959" w:themeColor="text1" w:themeTint="A6"/>
                          <w:sz w:val="18"/>
                          <w:szCs w:val="18"/>
                        </w:rPr>
                        <w:t>Luz Marina Benito C</w:t>
                      </w:r>
                      <w:r w:rsidR="00F922E4">
                        <w:rPr>
                          <w:rFonts w:asciiTheme="majorHAnsi" w:hAnsiTheme="majorHAnsi"/>
                          <w:color w:val="595959" w:themeColor="text1" w:themeTint="A6"/>
                          <w:sz w:val="18"/>
                          <w:szCs w:val="18"/>
                        </w:rPr>
                        <w:t>e</w:t>
                      </w:r>
                      <w:r w:rsidR="00443646">
                        <w:rPr>
                          <w:rFonts w:asciiTheme="majorHAnsi" w:hAnsiTheme="majorHAnsi"/>
                          <w:color w:val="595959" w:themeColor="text1" w:themeTint="A6"/>
                          <w:sz w:val="18"/>
                          <w:szCs w:val="18"/>
                        </w:rPr>
                        <w:t>spedes and others.</w:t>
                      </w:r>
                      <w:r w:rsidR="00027A6B" w:rsidRPr="000B2727">
                        <w:rPr>
                          <w:rFonts w:asciiTheme="majorHAnsi" w:hAnsiTheme="majorHAnsi"/>
                          <w:color w:val="595959" w:themeColor="text1" w:themeTint="A6"/>
                          <w:sz w:val="18"/>
                          <w:szCs w:val="18"/>
                        </w:rPr>
                        <w:t xml:space="preserve"> </w:t>
                      </w:r>
                      <w:r w:rsidR="00443646">
                        <w:rPr>
                          <w:rFonts w:asciiTheme="majorHAnsi" w:hAnsiTheme="majorHAnsi"/>
                          <w:color w:val="595959" w:themeColor="text1" w:themeTint="A6"/>
                          <w:sz w:val="18"/>
                          <w:szCs w:val="18"/>
                        </w:rPr>
                        <w:t>Colombia</w:t>
                      </w:r>
                      <w:r w:rsidR="00113F73" w:rsidRPr="00443646">
                        <w:rPr>
                          <w:rFonts w:asciiTheme="majorHAnsi" w:hAnsiTheme="majorHAnsi"/>
                          <w:color w:val="595959" w:themeColor="text1" w:themeTint="A6"/>
                          <w:sz w:val="18"/>
                          <w:szCs w:val="18"/>
                        </w:rPr>
                        <w:t xml:space="preserve">. </w:t>
                      </w:r>
                      <w:r w:rsidR="00A5120A" w:rsidRPr="00A5120A">
                        <w:rPr>
                          <w:rFonts w:asciiTheme="majorHAnsi" w:hAnsiTheme="majorHAnsi"/>
                          <w:color w:val="595959" w:themeColor="text1" w:themeTint="A6"/>
                          <w:sz w:val="18"/>
                          <w:szCs w:val="18"/>
                        </w:rPr>
                        <w:t>September 23</w:t>
                      </w:r>
                      <w:r w:rsidRPr="00A5120A">
                        <w:rPr>
                          <w:rFonts w:asciiTheme="majorHAnsi" w:hAnsiTheme="majorHAnsi"/>
                          <w:color w:val="595959" w:themeColor="text1" w:themeTint="A6"/>
                          <w:sz w:val="18"/>
                          <w:szCs w:val="18"/>
                        </w:rPr>
                        <w:t>, 20</w:t>
                      </w:r>
                      <w:r w:rsidR="00A5120A" w:rsidRPr="00A5120A">
                        <w:rPr>
                          <w:rFonts w:asciiTheme="majorHAnsi" w:hAnsiTheme="majorHAnsi"/>
                          <w:color w:val="595959" w:themeColor="text1" w:themeTint="A6"/>
                          <w:sz w:val="18"/>
                          <w:szCs w:val="18"/>
                        </w:rPr>
                        <w:t>23</w:t>
                      </w:r>
                      <w:r w:rsidRPr="00443646">
                        <w:rPr>
                          <w:rFonts w:asciiTheme="majorHAnsi" w:hAnsiTheme="majorHAnsi"/>
                          <w:color w:val="595959" w:themeColor="text1" w:themeTint="A6"/>
                          <w:sz w:val="18"/>
                          <w:szCs w:val="18"/>
                        </w:rPr>
                        <w:t>.</w:t>
                      </w:r>
                      <w:r w:rsidR="00032214" w:rsidRPr="00443646">
                        <w:rPr>
                          <w:rFonts w:asciiTheme="majorHAnsi" w:hAnsiTheme="majorHAnsi"/>
                          <w:color w:val="595959" w:themeColor="text1" w:themeTint="A6"/>
                          <w:sz w:val="18"/>
                          <w:szCs w:val="18"/>
                        </w:rPr>
                        <w:t xml:space="preserve"> </w:t>
                      </w:r>
                    </w:p>
                  </w:txbxContent>
                </v:textbox>
              </v:shape>
            </w:pict>
          </mc:Fallback>
        </mc:AlternateContent>
      </w:r>
    </w:p>
    <w:p w14:paraId="24AB12D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FF4BF3"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2D41B8C" wp14:editId="0E31A2B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6FC4A" w14:textId="2B6C9C10" w:rsidR="00D72DC6" w:rsidRPr="00D72DC6" w:rsidRDefault="00F64EFC" w:rsidP="00F02AD1">
                            <w:pPr>
                              <w:rPr>
                                <w:color w:val="FFFFFF" w:themeColor="background1"/>
                                <w14:textFill>
                                  <w14:noFill/>
                                </w14:textFill>
                              </w:rPr>
                            </w:pPr>
                            <w:r>
                              <w:rPr>
                                <w:noProof/>
                              </w:rPr>
                              <w:drawing>
                                <wp:inline distT="0" distB="0" distL="0" distR="0" wp14:anchorId="00ABCAB0" wp14:editId="598B703E">
                                  <wp:extent cx="1519555" cy="387985"/>
                                  <wp:effectExtent l="0" t="0" r="4445" b="0"/>
                                  <wp:docPr id="6" name="Picture 6"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grey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41B8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216FC4A" w14:textId="2B6C9C10" w:rsidR="00D72DC6" w:rsidRPr="00D72DC6" w:rsidRDefault="00F64EFC" w:rsidP="00F02AD1">
                      <w:pPr>
                        <w:rPr>
                          <w:color w:val="FFFFFF" w:themeColor="background1"/>
                          <w14:textFill>
                            <w14:noFill/>
                          </w14:textFill>
                        </w:rPr>
                      </w:pPr>
                      <w:r>
                        <w:rPr>
                          <w:noProof/>
                        </w:rPr>
                        <w:drawing>
                          <wp:inline distT="0" distB="0" distL="0" distR="0" wp14:anchorId="00ABCAB0" wp14:editId="598B703E">
                            <wp:extent cx="1519555" cy="387985"/>
                            <wp:effectExtent l="0" t="0" r="4445" b="0"/>
                            <wp:docPr id="6" name="Picture 6"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grey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13C7D62" wp14:editId="28A2DA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0DF88" w14:textId="6EB405A9"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7658D">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C7D62"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560DF88" w14:textId="6EB405A9"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7658D">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4A1194CD" w14:textId="77777777" w:rsidR="0070697F" w:rsidRDefault="0070697F" w:rsidP="00032214">
      <w:pPr>
        <w:tabs>
          <w:tab w:val="center" w:pos="5400"/>
        </w:tabs>
        <w:suppressAutoHyphens/>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1F86490D" w14:textId="77777777" w:rsidR="00722C9F" w:rsidRPr="00BB5D01" w:rsidRDefault="00722C9F" w:rsidP="00032214">
      <w:pPr>
        <w:tabs>
          <w:tab w:val="center" w:pos="5400"/>
        </w:tabs>
        <w:suppressAutoHyphens/>
        <w:spacing w:line="276" w:lineRule="auto"/>
        <w:rPr>
          <w:rFonts w:asciiTheme="majorHAnsi" w:hAnsiTheme="majorHAnsi"/>
          <w:sz w:val="18"/>
          <w:szCs w:val="20"/>
          <w:highlight w:val="yellow"/>
          <w:lang w:val="es-ES_tradnl"/>
        </w:rPr>
      </w:pPr>
    </w:p>
    <w:p w14:paraId="396AFF08" w14:textId="77777777" w:rsidR="00452E3C" w:rsidRPr="00466D0B" w:rsidRDefault="00452E3C" w:rsidP="00452E3C">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t xml:space="preserve">INFORMATION ABOUT THE PETITION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452E3C" w:rsidRPr="00A5120A" w14:paraId="39EC118D" w14:textId="77777777" w:rsidTr="002E761B">
        <w:tc>
          <w:tcPr>
            <w:tcW w:w="3690" w:type="dxa"/>
            <w:tcBorders>
              <w:top w:val="single" w:sz="4" w:space="0" w:color="auto"/>
              <w:bottom w:val="single" w:sz="6" w:space="0" w:color="auto"/>
            </w:tcBorders>
            <w:shd w:val="clear" w:color="auto" w:fill="67AE3C"/>
            <w:vAlign w:val="center"/>
          </w:tcPr>
          <w:p w14:paraId="58C69ECF" w14:textId="77777777" w:rsidR="00452E3C" w:rsidRPr="000B6B7A" w:rsidRDefault="00452E3C" w:rsidP="002E761B">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557" w:type="dxa"/>
            <w:vAlign w:val="center"/>
          </w:tcPr>
          <w:p w14:paraId="56C76149" w14:textId="6C7B4957" w:rsidR="00452E3C" w:rsidRPr="00B1283C" w:rsidRDefault="00452E3C" w:rsidP="002E761B">
            <w:pPr>
              <w:jc w:val="both"/>
              <w:rPr>
                <w:rFonts w:ascii="Cambria" w:hAnsi="Cambria"/>
                <w:bCs/>
                <w:sz w:val="20"/>
                <w:szCs w:val="20"/>
                <w:lang w:val="pt-BR"/>
              </w:rPr>
            </w:pPr>
            <w:r w:rsidRPr="00B1283C">
              <w:rPr>
                <w:rFonts w:ascii="Cambria" w:hAnsi="Cambria"/>
                <w:bCs/>
                <w:sz w:val="20"/>
                <w:szCs w:val="20"/>
                <w:lang w:val="pt-BR"/>
              </w:rPr>
              <w:t xml:space="preserve">Luz Marina Benito </w:t>
            </w:r>
            <w:r w:rsidR="0027658D" w:rsidRPr="00B1283C">
              <w:rPr>
                <w:rFonts w:ascii="Cambria" w:hAnsi="Cambria"/>
                <w:bCs/>
                <w:sz w:val="20"/>
                <w:szCs w:val="20"/>
                <w:lang w:val="pt-BR"/>
              </w:rPr>
              <w:t>Cespedes</w:t>
            </w:r>
            <w:r w:rsidRPr="00B1283C">
              <w:rPr>
                <w:rFonts w:ascii="Cambria" w:hAnsi="Cambria"/>
                <w:bCs/>
                <w:sz w:val="20"/>
                <w:szCs w:val="20"/>
                <w:lang w:val="pt-BR"/>
              </w:rPr>
              <w:t xml:space="preserve">, Adelmo Benito </w:t>
            </w:r>
            <w:r w:rsidR="0027658D" w:rsidRPr="00B1283C">
              <w:rPr>
                <w:rFonts w:ascii="Cambria" w:hAnsi="Cambria"/>
                <w:bCs/>
                <w:sz w:val="20"/>
                <w:szCs w:val="20"/>
                <w:lang w:val="pt-BR"/>
              </w:rPr>
              <w:t>Cespedes</w:t>
            </w:r>
            <w:r w:rsidRPr="00B1283C">
              <w:rPr>
                <w:rFonts w:ascii="Cambria" w:hAnsi="Cambria"/>
                <w:bCs/>
                <w:sz w:val="20"/>
                <w:szCs w:val="20"/>
                <w:lang w:val="pt-BR"/>
              </w:rPr>
              <w:t xml:space="preserve"> and Angelmiro Ávila</w:t>
            </w:r>
          </w:p>
        </w:tc>
      </w:tr>
      <w:tr w:rsidR="00452E3C" w:rsidRPr="00452E3C" w14:paraId="7EE7DBF8" w14:textId="77777777" w:rsidTr="002E761B">
        <w:tc>
          <w:tcPr>
            <w:tcW w:w="3690" w:type="dxa"/>
            <w:tcBorders>
              <w:top w:val="single" w:sz="6" w:space="0" w:color="auto"/>
              <w:bottom w:val="single" w:sz="6" w:space="0" w:color="auto"/>
            </w:tcBorders>
            <w:shd w:val="clear" w:color="auto" w:fill="67AE3C"/>
            <w:vAlign w:val="center"/>
          </w:tcPr>
          <w:p w14:paraId="306A1482" w14:textId="77777777" w:rsidR="00452E3C" w:rsidRPr="000B6B7A" w:rsidRDefault="004B67A7" w:rsidP="002E761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3DFE95DA1303C64480FDC9ED47121842"/>
                </w:placeholder>
                <w:dropDownList>
                  <w:listItem w:value="Choose an item."/>
                  <w:listItem w:displayText="Alleged victim" w:value="Alleged victim"/>
                  <w:listItem w:displayText="Alleged victims" w:value="Alleged victims"/>
                </w:dropDownList>
              </w:sdtPr>
              <w:sdtEndPr/>
              <w:sdtContent>
                <w:r w:rsidR="00452E3C">
                  <w:rPr>
                    <w:rFonts w:ascii="Cambria" w:hAnsi="Cambria"/>
                    <w:b/>
                    <w:bCs/>
                    <w:color w:val="FFFFFF" w:themeColor="background1"/>
                    <w:sz w:val="20"/>
                    <w:szCs w:val="20"/>
                  </w:rPr>
                  <w:t>Alleged victim</w:t>
                </w:r>
              </w:sdtContent>
            </w:sdt>
            <w:r w:rsidR="00452E3C" w:rsidRPr="000C4365">
              <w:rPr>
                <w:rFonts w:ascii="Cambria" w:hAnsi="Cambria"/>
                <w:b/>
                <w:bCs/>
                <w:color w:val="FFFFFF" w:themeColor="background1"/>
                <w:sz w:val="20"/>
                <w:szCs w:val="20"/>
              </w:rPr>
              <w:t>:</w:t>
            </w:r>
          </w:p>
        </w:tc>
        <w:tc>
          <w:tcPr>
            <w:tcW w:w="5557" w:type="dxa"/>
            <w:vAlign w:val="center"/>
          </w:tcPr>
          <w:p w14:paraId="70A1813C" w14:textId="75DCD8A8" w:rsidR="00452E3C" w:rsidRPr="00452E3C" w:rsidRDefault="00452E3C" w:rsidP="002E761B">
            <w:pPr>
              <w:jc w:val="both"/>
              <w:rPr>
                <w:rFonts w:ascii="Cambria" w:hAnsi="Cambria"/>
                <w:bCs/>
                <w:sz w:val="20"/>
                <w:szCs w:val="20"/>
              </w:rPr>
            </w:pPr>
            <w:r w:rsidRPr="00452E3C">
              <w:rPr>
                <w:rFonts w:ascii="Cambria" w:hAnsi="Cambria"/>
                <w:bCs/>
                <w:sz w:val="20"/>
                <w:szCs w:val="20"/>
              </w:rPr>
              <w:t xml:space="preserve">Luz Marina Benito </w:t>
            </w:r>
            <w:r w:rsidR="0027658D">
              <w:rPr>
                <w:rFonts w:ascii="Cambria" w:hAnsi="Cambria"/>
                <w:bCs/>
                <w:sz w:val="20"/>
                <w:szCs w:val="20"/>
              </w:rPr>
              <w:t>Cespedes</w:t>
            </w:r>
            <w:r w:rsidRPr="00452E3C">
              <w:rPr>
                <w:rFonts w:ascii="Cambria" w:hAnsi="Cambria"/>
                <w:bCs/>
                <w:sz w:val="20"/>
                <w:szCs w:val="20"/>
              </w:rPr>
              <w:t xml:space="preserve"> and others</w:t>
            </w:r>
            <w:r>
              <w:rPr>
                <w:rStyle w:val="FootnoteReference"/>
                <w:rFonts w:ascii="Cambria" w:hAnsi="Cambria"/>
                <w:bCs/>
                <w:sz w:val="20"/>
                <w:szCs w:val="20"/>
              </w:rPr>
              <w:footnoteReference w:id="2"/>
            </w:r>
          </w:p>
        </w:tc>
      </w:tr>
      <w:tr w:rsidR="00452E3C" w:rsidRPr="000B6B7A" w14:paraId="1FAF751C" w14:textId="77777777" w:rsidTr="002E761B">
        <w:tc>
          <w:tcPr>
            <w:tcW w:w="3690" w:type="dxa"/>
            <w:tcBorders>
              <w:top w:val="single" w:sz="6" w:space="0" w:color="auto"/>
              <w:bottom w:val="single" w:sz="6" w:space="0" w:color="auto"/>
            </w:tcBorders>
            <w:shd w:val="clear" w:color="auto" w:fill="67AE3C"/>
            <w:vAlign w:val="center"/>
          </w:tcPr>
          <w:p w14:paraId="1FEEBEFE" w14:textId="77777777" w:rsidR="00452E3C" w:rsidRPr="000B6B7A" w:rsidRDefault="00452E3C" w:rsidP="002E761B">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557" w:type="dxa"/>
            <w:vAlign w:val="center"/>
          </w:tcPr>
          <w:p w14:paraId="2521E088" w14:textId="7E278C9F" w:rsidR="00452E3C" w:rsidRPr="000B6B7A" w:rsidRDefault="00452E3C" w:rsidP="002E761B">
            <w:pPr>
              <w:jc w:val="both"/>
              <w:rPr>
                <w:rFonts w:ascii="Cambria" w:hAnsi="Cambria"/>
                <w:bCs/>
                <w:sz w:val="20"/>
                <w:szCs w:val="20"/>
              </w:rPr>
            </w:pPr>
            <w:r>
              <w:rPr>
                <w:rFonts w:ascii="Cambria" w:hAnsi="Cambria"/>
                <w:bCs/>
                <w:sz w:val="20"/>
                <w:szCs w:val="20"/>
              </w:rPr>
              <w:t>Co</w:t>
            </w:r>
            <w:r w:rsidR="009A6411">
              <w:rPr>
                <w:rFonts w:ascii="Cambria" w:hAnsi="Cambria"/>
                <w:bCs/>
                <w:sz w:val="20"/>
                <w:szCs w:val="20"/>
              </w:rPr>
              <w:t>lombia</w:t>
            </w:r>
            <w:r w:rsidR="008C4E7B">
              <w:rPr>
                <w:rStyle w:val="FootnoteReference"/>
                <w:rFonts w:ascii="Cambria" w:hAnsi="Cambria"/>
                <w:bCs/>
                <w:sz w:val="20"/>
                <w:szCs w:val="20"/>
              </w:rPr>
              <w:footnoteReference w:id="3"/>
            </w:r>
          </w:p>
        </w:tc>
      </w:tr>
      <w:tr w:rsidR="00452E3C" w:rsidRPr="00F0448F" w14:paraId="001604A0" w14:textId="77777777" w:rsidTr="002E761B">
        <w:tc>
          <w:tcPr>
            <w:tcW w:w="3690" w:type="dxa"/>
            <w:tcBorders>
              <w:top w:val="single" w:sz="6" w:space="0" w:color="auto"/>
              <w:bottom w:val="single" w:sz="6" w:space="0" w:color="auto"/>
            </w:tcBorders>
            <w:shd w:val="clear" w:color="auto" w:fill="67AE3C"/>
            <w:vAlign w:val="center"/>
          </w:tcPr>
          <w:p w14:paraId="292C7363" w14:textId="77777777" w:rsidR="00452E3C" w:rsidRPr="000B6B7A" w:rsidRDefault="00452E3C" w:rsidP="002E761B">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557" w:type="dxa"/>
            <w:vAlign w:val="center"/>
          </w:tcPr>
          <w:p w14:paraId="295369FE" w14:textId="75DEBF86" w:rsidR="00452E3C" w:rsidRPr="00F0448F" w:rsidRDefault="008C4E7B" w:rsidP="002E761B">
            <w:pPr>
              <w:jc w:val="both"/>
              <w:rPr>
                <w:rFonts w:ascii="Cambria" w:hAnsi="Cambria"/>
                <w:bCs/>
                <w:sz w:val="20"/>
                <w:szCs w:val="20"/>
              </w:rPr>
            </w:pPr>
            <w:r>
              <w:rPr>
                <w:rFonts w:ascii="Cambria" w:hAnsi="Cambria"/>
                <w:bCs/>
                <w:sz w:val="20"/>
                <w:szCs w:val="20"/>
              </w:rPr>
              <w:t>The petition does not specify articles from the American Convention</w:t>
            </w:r>
            <w:r w:rsidR="00452E3C">
              <w:rPr>
                <w:rStyle w:val="FootnoteReference"/>
                <w:rFonts w:ascii="Cambria" w:hAnsi="Cambria"/>
                <w:sz w:val="20"/>
                <w:szCs w:val="20"/>
              </w:rPr>
              <w:footnoteReference w:id="4"/>
            </w:r>
            <w:r w:rsidR="008A700D">
              <w:rPr>
                <w:rFonts w:ascii="Cambria" w:hAnsi="Cambria"/>
                <w:bCs/>
                <w:sz w:val="20"/>
                <w:szCs w:val="20"/>
              </w:rPr>
              <w:t xml:space="preserve"> but of the facts alleged it can be identified that they refer to the right to judicial guarantees.</w:t>
            </w:r>
          </w:p>
        </w:tc>
      </w:tr>
    </w:tbl>
    <w:p w14:paraId="67BC2F4F" w14:textId="77777777" w:rsidR="00452E3C" w:rsidRPr="000B6B7A" w:rsidRDefault="00452E3C" w:rsidP="00452E3C">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Pr>
          <w:rFonts w:asciiTheme="majorHAnsi" w:hAnsiTheme="majorHAnsi"/>
          <w:b/>
          <w:bCs/>
          <w:sz w:val="20"/>
          <w:szCs w:val="20"/>
        </w:rPr>
        <w:t>EDINGS</w:t>
      </w:r>
      <w:r w:rsidRPr="000B6B7A">
        <w:rPr>
          <w:rFonts w:asciiTheme="majorHAnsi" w:hAnsiTheme="majorHAnsi"/>
          <w:b/>
          <w:bCs/>
          <w:sz w:val="20"/>
          <w:szCs w:val="20"/>
        </w:rPr>
        <w:t xml:space="preserve"> BEFORE THE IACHR</w:t>
      </w:r>
      <w:r w:rsidRPr="00653EA6">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452E3C" w:rsidRPr="000B6B7A" w14:paraId="1EA0B12E" w14:textId="77777777" w:rsidTr="002E761B">
        <w:tc>
          <w:tcPr>
            <w:tcW w:w="3690" w:type="dxa"/>
            <w:tcBorders>
              <w:top w:val="single" w:sz="6" w:space="0" w:color="auto"/>
              <w:bottom w:val="single" w:sz="6" w:space="0" w:color="auto"/>
            </w:tcBorders>
            <w:shd w:val="clear" w:color="auto" w:fill="67AE3C"/>
            <w:vAlign w:val="center"/>
          </w:tcPr>
          <w:p w14:paraId="396FEAF4" w14:textId="77777777" w:rsidR="00452E3C" w:rsidRPr="000B6B7A" w:rsidRDefault="00452E3C" w:rsidP="002E761B">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557" w:type="dxa"/>
            <w:vAlign w:val="center"/>
          </w:tcPr>
          <w:p w14:paraId="1595606B" w14:textId="08F47E41" w:rsidR="00452E3C" w:rsidRPr="000B6B7A" w:rsidRDefault="008A700D" w:rsidP="002E761B">
            <w:pPr>
              <w:jc w:val="both"/>
              <w:rPr>
                <w:rFonts w:ascii="Cambria" w:hAnsi="Cambria"/>
                <w:bCs/>
                <w:sz w:val="20"/>
                <w:szCs w:val="20"/>
              </w:rPr>
            </w:pPr>
            <w:r>
              <w:rPr>
                <w:rFonts w:ascii="Cambria" w:hAnsi="Cambria"/>
                <w:bCs/>
                <w:sz w:val="20"/>
                <w:szCs w:val="20"/>
              </w:rPr>
              <w:t>October 11, 2013</w:t>
            </w:r>
          </w:p>
        </w:tc>
      </w:tr>
      <w:tr w:rsidR="00452E3C" w:rsidRPr="000B6B7A" w14:paraId="775047E0" w14:textId="77777777" w:rsidTr="002E761B">
        <w:tc>
          <w:tcPr>
            <w:tcW w:w="3690" w:type="dxa"/>
            <w:tcBorders>
              <w:top w:val="single" w:sz="6" w:space="0" w:color="auto"/>
              <w:bottom w:val="single" w:sz="6" w:space="0" w:color="auto"/>
            </w:tcBorders>
            <w:shd w:val="clear" w:color="auto" w:fill="67AE3C"/>
            <w:vAlign w:val="center"/>
          </w:tcPr>
          <w:p w14:paraId="02A5A2F1" w14:textId="77777777" w:rsidR="00452E3C" w:rsidRPr="000B6B7A" w:rsidRDefault="00452E3C" w:rsidP="002E761B">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557" w:type="dxa"/>
            <w:vAlign w:val="center"/>
          </w:tcPr>
          <w:p w14:paraId="2768B764" w14:textId="102E7D87" w:rsidR="00452E3C" w:rsidRPr="000B6B7A" w:rsidRDefault="008A700D" w:rsidP="002E761B">
            <w:pPr>
              <w:jc w:val="both"/>
              <w:rPr>
                <w:rFonts w:ascii="Cambria" w:hAnsi="Cambria"/>
                <w:bCs/>
                <w:sz w:val="20"/>
                <w:szCs w:val="20"/>
              </w:rPr>
            </w:pPr>
            <w:r>
              <w:rPr>
                <w:rFonts w:ascii="Cambria" w:hAnsi="Cambria"/>
                <w:bCs/>
                <w:sz w:val="20"/>
                <w:szCs w:val="20"/>
              </w:rPr>
              <w:t>November 2, 2021</w:t>
            </w:r>
          </w:p>
        </w:tc>
      </w:tr>
      <w:tr w:rsidR="00452E3C" w:rsidRPr="000B6B7A" w14:paraId="7A166C99" w14:textId="77777777" w:rsidTr="002E761B">
        <w:trPr>
          <w:trHeight w:val="264"/>
        </w:trPr>
        <w:tc>
          <w:tcPr>
            <w:tcW w:w="3690" w:type="dxa"/>
            <w:tcBorders>
              <w:top w:val="single" w:sz="6" w:space="0" w:color="auto"/>
              <w:bottom w:val="single" w:sz="6" w:space="0" w:color="auto"/>
            </w:tcBorders>
            <w:shd w:val="clear" w:color="auto" w:fill="67AE3C"/>
            <w:vAlign w:val="center"/>
          </w:tcPr>
          <w:p w14:paraId="5DE25755" w14:textId="77777777" w:rsidR="00452E3C" w:rsidRPr="000B6B7A" w:rsidRDefault="00452E3C" w:rsidP="002E761B">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557" w:type="dxa"/>
            <w:vAlign w:val="center"/>
          </w:tcPr>
          <w:p w14:paraId="4F3D3491" w14:textId="16DEEAB5" w:rsidR="00452E3C" w:rsidRPr="000B6B7A" w:rsidRDefault="008A700D" w:rsidP="002E761B">
            <w:pPr>
              <w:jc w:val="both"/>
              <w:rPr>
                <w:rFonts w:ascii="Cambria" w:hAnsi="Cambria"/>
                <w:bCs/>
                <w:sz w:val="20"/>
                <w:szCs w:val="20"/>
              </w:rPr>
            </w:pPr>
            <w:r>
              <w:rPr>
                <w:rFonts w:ascii="Cambria" w:hAnsi="Cambria"/>
                <w:bCs/>
                <w:sz w:val="20"/>
                <w:szCs w:val="20"/>
              </w:rPr>
              <w:t>April 5, 2021</w:t>
            </w:r>
          </w:p>
        </w:tc>
      </w:tr>
      <w:tr w:rsidR="00452E3C" w:rsidRPr="000B6B7A" w14:paraId="3B418BF2" w14:textId="77777777" w:rsidTr="002E761B">
        <w:tc>
          <w:tcPr>
            <w:tcW w:w="3690" w:type="dxa"/>
            <w:tcBorders>
              <w:top w:val="single" w:sz="6" w:space="0" w:color="auto"/>
              <w:bottom w:val="single" w:sz="6" w:space="0" w:color="auto"/>
            </w:tcBorders>
            <w:shd w:val="clear" w:color="auto" w:fill="67AE3C"/>
            <w:vAlign w:val="center"/>
          </w:tcPr>
          <w:p w14:paraId="5A0A74AF" w14:textId="398E2A6B" w:rsidR="00452E3C" w:rsidRPr="000B6B7A" w:rsidRDefault="00452E3C" w:rsidP="002E761B">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Notification of the </w:t>
            </w:r>
            <w:r w:rsidR="006B2350">
              <w:rPr>
                <w:rFonts w:ascii="Cambria" w:hAnsi="Cambria"/>
                <w:b/>
                <w:bCs/>
                <w:color w:val="FFFFFF" w:themeColor="background1"/>
                <w:sz w:val="20"/>
                <w:szCs w:val="20"/>
              </w:rPr>
              <w:t>potential archiving</w:t>
            </w:r>
            <w:r>
              <w:rPr>
                <w:rFonts w:ascii="Cambria" w:hAnsi="Cambria"/>
                <w:b/>
                <w:bCs/>
                <w:color w:val="FFFFFF" w:themeColor="background1"/>
                <w:sz w:val="20"/>
                <w:szCs w:val="20"/>
              </w:rPr>
              <w:t xml:space="preserve"> of the petition:</w:t>
            </w:r>
          </w:p>
        </w:tc>
        <w:tc>
          <w:tcPr>
            <w:tcW w:w="5557" w:type="dxa"/>
            <w:vAlign w:val="center"/>
          </w:tcPr>
          <w:p w14:paraId="5E2B3949" w14:textId="493CEEAA" w:rsidR="00452E3C" w:rsidRPr="000B6B7A" w:rsidRDefault="008A700D" w:rsidP="002E761B">
            <w:pPr>
              <w:jc w:val="both"/>
              <w:rPr>
                <w:rFonts w:ascii="Cambria" w:hAnsi="Cambria"/>
                <w:bCs/>
                <w:sz w:val="20"/>
                <w:szCs w:val="20"/>
              </w:rPr>
            </w:pPr>
            <w:r>
              <w:rPr>
                <w:rFonts w:ascii="Cambria" w:hAnsi="Cambria"/>
                <w:bCs/>
                <w:sz w:val="20"/>
                <w:szCs w:val="20"/>
              </w:rPr>
              <w:t>December 3, 2020</w:t>
            </w:r>
          </w:p>
        </w:tc>
      </w:tr>
      <w:tr w:rsidR="00452E3C" w:rsidRPr="000B6B7A" w14:paraId="1CDD3A77" w14:textId="77777777" w:rsidTr="002E761B">
        <w:tc>
          <w:tcPr>
            <w:tcW w:w="3690" w:type="dxa"/>
            <w:tcBorders>
              <w:top w:val="single" w:sz="6" w:space="0" w:color="auto"/>
              <w:bottom w:val="single" w:sz="6" w:space="0" w:color="auto"/>
            </w:tcBorders>
            <w:shd w:val="clear" w:color="auto" w:fill="67AE3C"/>
            <w:vAlign w:val="center"/>
          </w:tcPr>
          <w:p w14:paraId="5CA2A85E" w14:textId="4A275B89" w:rsidR="00452E3C" w:rsidRDefault="00452E3C" w:rsidP="002E761B">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 response to the notification regarding the po</w:t>
            </w:r>
            <w:r w:rsidR="006B2350">
              <w:rPr>
                <w:rFonts w:ascii="Cambria" w:hAnsi="Cambria"/>
                <w:b/>
                <w:bCs/>
                <w:color w:val="FFFFFF" w:themeColor="background1"/>
                <w:sz w:val="20"/>
                <w:szCs w:val="20"/>
              </w:rPr>
              <w:t>tential</w:t>
            </w:r>
            <w:r>
              <w:rPr>
                <w:rFonts w:ascii="Cambria" w:hAnsi="Cambria"/>
                <w:b/>
                <w:bCs/>
                <w:color w:val="FFFFFF" w:themeColor="background1"/>
                <w:sz w:val="20"/>
                <w:szCs w:val="20"/>
              </w:rPr>
              <w:t xml:space="preserve"> archiving of the petition:</w:t>
            </w:r>
          </w:p>
        </w:tc>
        <w:tc>
          <w:tcPr>
            <w:tcW w:w="5557" w:type="dxa"/>
            <w:vAlign w:val="center"/>
          </w:tcPr>
          <w:p w14:paraId="6721F5BD" w14:textId="1B8CBB23" w:rsidR="00452E3C" w:rsidRPr="000B6B7A" w:rsidRDefault="008A700D" w:rsidP="002E761B">
            <w:pPr>
              <w:jc w:val="both"/>
              <w:rPr>
                <w:rFonts w:ascii="Cambria" w:hAnsi="Cambria"/>
                <w:bCs/>
                <w:sz w:val="20"/>
                <w:szCs w:val="20"/>
              </w:rPr>
            </w:pPr>
            <w:r>
              <w:rPr>
                <w:rFonts w:ascii="Cambria" w:hAnsi="Cambria"/>
                <w:bCs/>
                <w:sz w:val="20"/>
                <w:szCs w:val="20"/>
              </w:rPr>
              <w:t>December 28, 2020</w:t>
            </w:r>
          </w:p>
        </w:tc>
      </w:tr>
    </w:tbl>
    <w:p w14:paraId="6E18A2CC" w14:textId="77777777" w:rsidR="00452E3C" w:rsidRPr="000B6B7A" w:rsidRDefault="00452E3C" w:rsidP="00452E3C">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452E3C" w:rsidRPr="000B6B7A" w14:paraId="18EC3EC7" w14:textId="77777777" w:rsidTr="002E761B">
        <w:trPr>
          <w:cantSplit/>
        </w:trPr>
        <w:tc>
          <w:tcPr>
            <w:tcW w:w="3690" w:type="dxa"/>
            <w:tcBorders>
              <w:top w:val="single" w:sz="4" w:space="0" w:color="auto"/>
              <w:bottom w:val="single" w:sz="6" w:space="0" w:color="auto"/>
            </w:tcBorders>
            <w:shd w:val="clear" w:color="auto" w:fill="67AE3C"/>
            <w:vAlign w:val="center"/>
          </w:tcPr>
          <w:p w14:paraId="422A5575" w14:textId="77777777" w:rsidR="00452E3C" w:rsidRPr="000B6B7A" w:rsidRDefault="00452E3C" w:rsidP="002E761B">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6D1D5253" w14:textId="77777777" w:rsidR="00452E3C" w:rsidRPr="000B6B7A" w:rsidRDefault="00452E3C" w:rsidP="002E761B">
            <w:pPr>
              <w:rPr>
                <w:rFonts w:asciiTheme="majorHAnsi" w:hAnsiTheme="majorHAnsi"/>
                <w:bCs/>
                <w:sz w:val="20"/>
                <w:szCs w:val="20"/>
              </w:rPr>
            </w:pPr>
            <w:r>
              <w:rPr>
                <w:rFonts w:asciiTheme="majorHAnsi" w:hAnsiTheme="majorHAnsi"/>
                <w:bCs/>
                <w:sz w:val="20"/>
                <w:szCs w:val="20"/>
              </w:rPr>
              <w:t>Yes</w:t>
            </w:r>
          </w:p>
        </w:tc>
      </w:tr>
      <w:tr w:rsidR="00452E3C" w:rsidRPr="000B6B7A" w14:paraId="5C85C71F" w14:textId="77777777" w:rsidTr="002E761B">
        <w:trPr>
          <w:cantSplit/>
        </w:trPr>
        <w:tc>
          <w:tcPr>
            <w:tcW w:w="3690" w:type="dxa"/>
            <w:tcBorders>
              <w:top w:val="single" w:sz="6" w:space="0" w:color="auto"/>
              <w:bottom w:val="single" w:sz="6" w:space="0" w:color="auto"/>
            </w:tcBorders>
            <w:shd w:val="clear" w:color="auto" w:fill="67AE3C"/>
            <w:vAlign w:val="center"/>
          </w:tcPr>
          <w:p w14:paraId="3A311F40" w14:textId="77777777" w:rsidR="00452E3C" w:rsidRPr="000B6B7A" w:rsidRDefault="00452E3C" w:rsidP="002E761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0988B49E" w14:textId="77777777" w:rsidR="00452E3C" w:rsidRPr="000B6B7A" w:rsidRDefault="00452E3C" w:rsidP="002E761B">
            <w:pPr>
              <w:rPr>
                <w:rFonts w:asciiTheme="majorHAnsi" w:hAnsiTheme="majorHAnsi"/>
                <w:bCs/>
                <w:sz w:val="20"/>
                <w:szCs w:val="20"/>
              </w:rPr>
            </w:pPr>
            <w:r>
              <w:rPr>
                <w:rFonts w:asciiTheme="majorHAnsi" w:hAnsiTheme="majorHAnsi"/>
                <w:bCs/>
                <w:sz w:val="20"/>
                <w:szCs w:val="20"/>
              </w:rPr>
              <w:t>Yes</w:t>
            </w:r>
          </w:p>
        </w:tc>
      </w:tr>
      <w:tr w:rsidR="00452E3C" w:rsidRPr="000B6B7A" w14:paraId="4E2A7A0F" w14:textId="77777777" w:rsidTr="002E761B">
        <w:trPr>
          <w:cantSplit/>
        </w:trPr>
        <w:tc>
          <w:tcPr>
            <w:tcW w:w="3690" w:type="dxa"/>
            <w:tcBorders>
              <w:top w:val="single" w:sz="6" w:space="0" w:color="auto"/>
              <w:bottom w:val="single" w:sz="6" w:space="0" w:color="auto"/>
            </w:tcBorders>
            <w:shd w:val="clear" w:color="auto" w:fill="67AE3C"/>
            <w:vAlign w:val="center"/>
          </w:tcPr>
          <w:p w14:paraId="1334D32C" w14:textId="77777777" w:rsidR="00452E3C" w:rsidRPr="000B6B7A" w:rsidRDefault="00452E3C" w:rsidP="002E761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6C95E977" w14:textId="77777777" w:rsidR="00452E3C" w:rsidRPr="000B6B7A" w:rsidRDefault="00452E3C" w:rsidP="002E761B">
            <w:pPr>
              <w:rPr>
                <w:rFonts w:asciiTheme="majorHAnsi" w:hAnsiTheme="majorHAnsi"/>
                <w:bCs/>
                <w:sz w:val="20"/>
                <w:szCs w:val="20"/>
              </w:rPr>
            </w:pPr>
            <w:r>
              <w:rPr>
                <w:rFonts w:asciiTheme="majorHAnsi" w:hAnsiTheme="majorHAnsi"/>
                <w:bCs/>
                <w:sz w:val="20"/>
                <w:szCs w:val="20"/>
              </w:rPr>
              <w:t>Yes</w:t>
            </w:r>
          </w:p>
        </w:tc>
      </w:tr>
      <w:tr w:rsidR="00452E3C" w:rsidRPr="000B6B7A" w14:paraId="76349A88" w14:textId="77777777" w:rsidTr="002E761B">
        <w:trPr>
          <w:cantSplit/>
        </w:trPr>
        <w:tc>
          <w:tcPr>
            <w:tcW w:w="3690" w:type="dxa"/>
            <w:tcBorders>
              <w:top w:val="single" w:sz="6" w:space="0" w:color="auto"/>
              <w:bottom w:val="single" w:sz="6" w:space="0" w:color="auto"/>
            </w:tcBorders>
            <w:shd w:val="clear" w:color="auto" w:fill="67AE3C"/>
            <w:vAlign w:val="center"/>
          </w:tcPr>
          <w:p w14:paraId="4E9966CB" w14:textId="77777777" w:rsidR="00452E3C" w:rsidRPr="000B6B7A" w:rsidRDefault="00452E3C" w:rsidP="002E761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E094F50" w14:textId="3CECF056" w:rsidR="00452E3C" w:rsidRPr="000B6B7A" w:rsidRDefault="00452E3C" w:rsidP="002E761B">
            <w:pPr>
              <w:jc w:val="both"/>
              <w:rPr>
                <w:rFonts w:asciiTheme="majorHAnsi" w:hAnsiTheme="majorHAnsi"/>
                <w:bCs/>
                <w:sz w:val="20"/>
                <w:szCs w:val="20"/>
              </w:rPr>
            </w:pPr>
            <w:r>
              <w:rPr>
                <w:rFonts w:asciiTheme="majorHAnsi" w:hAnsiTheme="majorHAnsi"/>
                <w:bCs/>
                <w:sz w:val="20"/>
                <w:szCs w:val="20"/>
              </w:rPr>
              <w:t xml:space="preserve">Yes, American Convention (deposit of instrument of ratification submitted on </w:t>
            </w:r>
            <w:r w:rsidR="008A700D">
              <w:rPr>
                <w:rFonts w:asciiTheme="majorHAnsi" w:hAnsiTheme="majorHAnsi"/>
                <w:bCs/>
                <w:sz w:val="20"/>
                <w:szCs w:val="20"/>
              </w:rPr>
              <w:t>July 31, 1973</w:t>
            </w:r>
            <w:r>
              <w:rPr>
                <w:rFonts w:asciiTheme="majorHAnsi" w:hAnsiTheme="majorHAnsi"/>
                <w:bCs/>
                <w:sz w:val="20"/>
                <w:szCs w:val="20"/>
              </w:rPr>
              <w:t>)</w:t>
            </w:r>
          </w:p>
        </w:tc>
      </w:tr>
    </w:tbl>
    <w:p w14:paraId="5B1957F4" w14:textId="77777777" w:rsidR="00452E3C" w:rsidRPr="000B6B7A" w:rsidRDefault="00452E3C" w:rsidP="00452E3C">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452E3C" w:rsidRPr="000B6B7A" w14:paraId="4E22534C" w14:textId="77777777" w:rsidTr="002E761B">
        <w:trPr>
          <w:cantSplit/>
        </w:trPr>
        <w:tc>
          <w:tcPr>
            <w:tcW w:w="3690" w:type="dxa"/>
            <w:tcBorders>
              <w:top w:val="single" w:sz="4" w:space="0" w:color="auto"/>
              <w:bottom w:val="single" w:sz="6" w:space="0" w:color="auto"/>
            </w:tcBorders>
            <w:shd w:val="clear" w:color="auto" w:fill="67AE3C"/>
            <w:vAlign w:val="center"/>
          </w:tcPr>
          <w:p w14:paraId="765011EA" w14:textId="77777777" w:rsidR="00452E3C" w:rsidRPr="000B6B7A" w:rsidRDefault="00452E3C" w:rsidP="002E761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78CC3BE2" w14:textId="77777777" w:rsidR="00452E3C" w:rsidRPr="000B6B7A" w:rsidRDefault="00452E3C" w:rsidP="002E761B">
            <w:pPr>
              <w:jc w:val="both"/>
              <w:rPr>
                <w:rFonts w:ascii="Cambria" w:hAnsi="Cambria"/>
                <w:bCs/>
                <w:sz w:val="20"/>
                <w:szCs w:val="20"/>
              </w:rPr>
            </w:pPr>
            <w:r>
              <w:rPr>
                <w:rFonts w:ascii="Cambria" w:hAnsi="Cambria"/>
                <w:bCs/>
                <w:sz w:val="20"/>
                <w:szCs w:val="20"/>
              </w:rPr>
              <w:t>No</w:t>
            </w:r>
          </w:p>
        </w:tc>
      </w:tr>
      <w:tr w:rsidR="00452E3C" w:rsidRPr="000B6B7A" w14:paraId="7EA7283B" w14:textId="77777777" w:rsidTr="002E761B">
        <w:trPr>
          <w:cantSplit/>
        </w:trPr>
        <w:tc>
          <w:tcPr>
            <w:tcW w:w="3690" w:type="dxa"/>
            <w:tcBorders>
              <w:top w:val="single" w:sz="6" w:space="0" w:color="auto"/>
              <w:bottom w:val="single" w:sz="6" w:space="0" w:color="auto"/>
            </w:tcBorders>
            <w:shd w:val="clear" w:color="auto" w:fill="67AE3C"/>
            <w:vAlign w:val="center"/>
          </w:tcPr>
          <w:p w14:paraId="15E270BD" w14:textId="77777777" w:rsidR="00452E3C" w:rsidRPr="000B6B7A" w:rsidRDefault="00452E3C" w:rsidP="002E761B">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2B0BCC3E" w14:textId="05F07F3B" w:rsidR="00452E3C" w:rsidRPr="000B6B7A" w:rsidRDefault="008A700D" w:rsidP="002E761B">
            <w:pPr>
              <w:jc w:val="both"/>
              <w:rPr>
                <w:rFonts w:ascii="Cambria" w:hAnsi="Cambria"/>
                <w:bCs/>
                <w:sz w:val="20"/>
                <w:szCs w:val="20"/>
              </w:rPr>
            </w:pPr>
            <w:r>
              <w:rPr>
                <w:rFonts w:ascii="Cambria" w:hAnsi="Cambria"/>
                <w:bCs/>
                <w:sz w:val="20"/>
                <w:szCs w:val="20"/>
              </w:rPr>
              <w:t>Articles 8 (right to a fair trial) and 25 (</w:t>
            </w:r>
            <w:r w:rsidR="0065527C">
              <w:rPr>
                <w:rFonts w:ascii="Cambria" w:hAnsi="Cambria"/>
                <w:bCs/>
                <w:sz w:val="20"/>
                <w:szCs w:val="20"/>
              </w:rPr>
              <w:t>right to judicial protection)</w:t>
            </w:r>
            <w:r>
              <w:rPr>
                <w:rFonts w:ascii="Cambria" w:hAnsi="Cambria"/>
                <w:bCs/>
                <w:sz w:val="20"/>
                <w:szCs w:val="20"/>
              </w:rPr>
              <w:t xml:space="preserve"> of the American Convention in relation to article 1.1 (</w:t>
            </w:r>
            <w:r w:rsidR="0065527C">
              <w:rPr>
                <w:rFonts w:ascii="Cambria" w:hAnsi="Cambria"/>
                <w:bCs/>
                <w:sz w:val="20"/>
                <w:szCs w:val="20"/>
              </w:rPr>
              <w:t>obligation to respect rights)</w:t>
            </w:r>
          </w:p>
        </w:tc>
      </w:tr>
      <w:tr w:rsidR="00452E3C" w:rsidRPr="000B6B7A" w14:paraId="6D9940AD" w14:textId="77777777" w:rsidTr="002E761B">
        <w:trPr>
          <w:cantSplit/>
        </w:trPr>
        <w:tc>
          <w:tcPr>
            <w:tcW w:w="3690" w:type="dxa"/>
            <w:tcBorders>
              <w:top w:val="single" w:sz="6" w:space="0" w:color="auto"/>
              <w:bottom w:val="single" w:sz="6" w:space="0" w:color="auto"/>
            </w:tcBorders>
            <w:shd w:val="clear" w:color="auto" w:fill="67AE3C"/>
            <w:vAlign w:val="center"/>
          </w:tcPr>
          <w:p w14:paraId="6DBF6B19" w14:textId="77777777" w:rsidR="00452E3C" w:rsidRPr="000B6B7A" w:rsidRDefault="00452E3C" w:rsidP="002E761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3C644434" w14:textId="3E85B929" w:rsidR="00452E3C" w:rsidRPr="000B6B7A" w:rsidRDefault="00452E3C" w:rsidP="002E761B">
            <w:pPr>
              <w:rPr>
                <w:rFonts w:ascii="Cambria" w:hAnsi="Cambria"/>
                <w:bCs/>
                <w:sz w:val="20"/>
                <w:szCs w:val="20"/>
              </w:rPr>
            </w:pPr>
            <w:r>
              <w:rPr>
                <w:rFonts w:ascii="Cambria" w:hAnsi="Cambria"/>
                <w:bCs/>
                <w:sz w:val="20"/>
                <w:szCs w:val="20"/>
              </w:rPr>
              <w:t xml:space="preserve">Yes, </w:t>
            </w:r>
            <w:r w:rsidR="0065527C">
              <w:rPr>
                <w:rFonts w:ascii="Cambria" w:hAnsi="Cambria"/>
                <w:bCs/>
                <w:sz w:val="20"/>
                <w:szCs w:val="20"/>
              </w:rPr>
              <w:t>the exception of article 46.2.b) of the Convention applies</w:t>
            </w:r>
          </w:p>
        </w:tc>
      </w:tr>
      <w:tr w:rsidR="00452E3C" w:rsidRPr="000B6B7A" w14:paraId="0AF15E0A" w14:textId="77777777" w:rsidTr="002E761B">
        <w:trPr>
          <w:cantSplit/>
        </w:trPr>
        <w:tc>
          <w:tcPr>
            <w:tcW w:w="3690" w:type="dxa"/>
            <w:tcBorders>
              <w:top w:val="single" w:sz="6" w:space="0" w:color="auto"/>
              <w:bottom w:val="single" w:sz="6" w:space="0" w:color="auto"/>
            </w:tcBorders>
            <w:shd w:val="clear" w:color="auto" w:fill="67AE3C"/>
            <w:vAlign w:val="center"/>
          </w:tcPr>
          <w:p w14:paraId="2B53191F" w14:textId="77777777" w:rsidR="00452E3C" w:rsidRPr="000B6B7A" w:rsidRDefault="00452E3C" w:rsidP="002E761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2DF77FDF" w14:textId="16B1EBD5" w:rsidR="00452E3C" w:rsidRPr="00231CD2" w:rsidRDefault="00452E3C" w:rsidP="002E761B">
            <w:pPr>
              <w:rPr>
                <w:rFonts w:ascii="Cambria" w:hAnsi="Cambria"/>
                <w:bCs/>
                <w:sz w:val="20"/>
                <w:szCs w:val="20"/>
              </w:rPr>
            </w:pPr>
            <w:r>
              <w:rPr>
                <w:rFonts w:ascii="Cambria" w:hAnsi="Cambria"/>
                <w:bCs/>
                <w:sz w:val="20"/>
                <w:szCs w:val="20"/>
              </w:rPr>
              <w:t>Yes, under the terms of section VI</w:t>
            </w:r>
          </w:p>
        </w:tc>
      </w:tr>
    </w:tbl>
    <w:p w14:paraId="7A0DB2C7" w14:textId="5AD1E4DC" w:rsidR="0027658D" w:rsidRDefault="0027658D" w:rsidP="00452E3C">
      <w:pPr>
        <w:tabs>
          <w:tab w:val="center" w:pos="5400"/>
        </w:tabs>
        <w:suppressAutoHyphens/>
        <w:spacing w:line="276" w:lineRule="auto"/>
        <w:rPr>
          <w:rFonts w:asciiTheme="majorHAnsi" w:hAnsiTheme="majorHAnsi"/>
          <w:b/>
          <w:sz w:val="20"/>
          <w:szCs w:val="20"/>
        </w:rPr>
      </w:pPr>
    </w:p>
    <w:p w14:paraId="4145A323" w14:textId="77777777" w:rsidR="0027658D" w:rsidRDefault="0027658D">
      <w:pPr>
        <w:rPr>
          <w:rFonts w:asciiTheme="majorHAnsi" w:hAnsiTheme="majorHAnsi"/>
          <w:b/>
          <w:sz w:val="20"/>
          <w:szCs w:val="20"/>
        </w:rPr>
      </w:pPr>
      <w:r>
        <w:rPr>
          <w:rFonts w:asciiTheme="majorHAnsi" w:hAnsiTheme="majorHAnsi"/>
          <w:b/>
          <w:sz w:val="20"/>
          <w:szCs w:val="20"/>
        </w:rPr>
        <w:br w:type="page"/>
      </w:r>
    </w:p>
    <w:p w14:paraId="7A9081E3" w14:textId="7B1EF6A2" w:rsidR="00D12193" w:rsidRPr="00DE3247" w:rsidRDefault="0065527C" w:rsidP="00B1283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b/>
          <w:bCs/>
          <w:sz w:val="20"/>
          <w:szCs w:val="20"/>
        </w:rPr>
      </w:pPr>
      <w:r w:rsidRPr="00DE3247">
        <w:rPr>
          <w:rFonts w:ascii="Cambria" w:hAnsi="Cambria"/>
          <w:b/>
          <w:bCs/>
          <w:sz w:val="20"/>
          <w:szCs w:val="20"/>
        </w:rPr>
        <w:lastRenderedPageBreak/>
        <w:t xml:space="preserve">POSITION </w:t>
      </w:r>
      <w:r w:rsidRPr="00895664">
        <w:rPr>
          <w:rFonts w:ascii="Cambria" w:hAnsi="Cambria"/>
          <w:b/>
          <w:bCs/>
          <w:sz w:val="20"/>
          <w:szCs w:val="20"/>
        </w:rPr>
        <w:t>OF</w:t>
      </w:r>
      <w:r w:rsidRPr="00DE3247">
        <w:rPr>
          <w:rFonts w:ascii="Cambria" w:hAnsi="Cambria"/>
          <w:b/>
          <w:bCs/>
          <w:sz w:val="20"/>
          <w:szCs w:val="20"/>
        </w:rPr>
        <w:t xml:space="preserve"> THE PARTIES</w:t>
      </w:r>
    </w:p>
    <w:p w14:paraId="2C010702" w14:textId="195C8042" w:rsidR="0065527C" w:rsidRPr="0065527C" w:rsidRDefault="0065527C" w:rsidP="00B1283C">
      <w:pPr>
        <w:ind w:firstLine="709"/>
        <w:rPr>
          <w:rFonts w:ascii="Cambria" w:hAnsi="Cambria"/>
          <w:i/>
          <w:iCs/>
          <w:sz w:val="20"/>
          <w:szCs w:val="20"/>
          <w:lang w:eastAsia="es-ES"/>
        </w:rPr>
      </w:pPr>
      <w:r w:rsidRPr="0065527C">
        <w:rPr>
          <w:rFonts w:ascii="Cambria" w:hAnsi="Cambria"/>
          <w:i/>
          <w:iCs/>
          <w:sz w:val="20"/>
          <w:szCs w:val="20"/>
          <w:lang w:eastAsia="es-ES"/>
        </w:rPr>
        <w:t>Allegation from the petitioner party</w:t>
      </w:r>
    </w:p>
    <w:p w14:paraId="38C2B727" w14:textId="618A31D4" w:rsidR="0065527C" w:rsidRDefault="0065527C" w:rsidP="00B1283C">
      <w:pPr>
        <w:pStyle w:val="parrafos"/>
        <w:numPr>
          <w:ilvl w:val="0"/>
          <w:numId w:val="61"/>
        </w:numPr>
        <w:tabs>
          <w:tab w:val="clear" w:pos="360"/>
          <w:tab w:val="left" w:pos="426"/>
        </w:tabs>
        <w:spacing w:before="240" w:after="240"/>
        <w:ind w:left="0" w:firstLine="709"/>
        <w:rPr>
          <w:lang w:val="en-US"/>
        </w:rPr>
      </w:pPr>
      <w:r w:rsidRPr="0065527C">
        <w:rPr>
          <w:lang w:val="en-US"/>
        </w:rPr>
        <w:t>The present petition refers to the lack of reparation of the alleged victims for the damages suffered due to the overflowing of a creek over the neighborhood of San Crist</w:t>
      </w:r>
      <w:r w:rsidR="00E82B2A">
        <w:rPr>
          <w:lang w:val="en-US"/>
        </w:rPr>
        <w:t>o</w:t>
      </w:r>
      <w:r w:rsidRPr="0065527C">
        <w:rPr>
          <w:lang w:val="en-US"/>
        </w:rPr>
        <w:t xml:space="preserve">bal, </w:t>
      </w:r>
      <w:r>
        <w:rPr>
          <w:lang w:val="en-US"/>
        </w:rPr>
        <w:t>in</w:t>
      </w:r>
      <w:r w:rsidRPr="0065527C">
        <w:rPr>
          <w:lang w:val="en-US"/>
        </w:rPr>
        <w:t xml:space="preserve"> Bogot</w:t>
      </w:r>
      <w:r w:rsidR="00E82B2A">
        <w:rPr>
          <w:lang w:val="en-US"/>
        </w:rPr>
        <w:t>a</w:t>
      </w:r>
      <w:r w:rsidRPr="0065527C">
        <w:rPr>
          <w:lang w:val="en-US"/>
        </w:rPr>
        <w:t>, Capital District. They allege that said lack of reparation is directly related to the negligent actions of the public defender assigned to them by the State.</w:t>
      </w:r>
    </w:p>
    <w:p w14:paraId="20F92DE9" w14:textId="5610C623" w:rsidR="0065527C" w:rsidRDefault="0065527C" w:rsidP="00B1283C">
      <w:pPr>
        <w:pStyle w:val="parrafos"/>
        <w:numPr>
          <w:ilvl w:val="0"/>
          <w:numId w:val="61"/>
        </w:numPr>
        <w:tabs>
          <w:tab w:val="clear" w:pos="360"/>
          <w:tab w:val="left" w:pos="426"/>
        </w:tabs>
        <w:spacing w:before="240" w:after="240"/>
        <w:ind w:left="0" w:firstLine="709"/>
        <w:rPr>
          <w:lang w:val="en-US"/>
        </w:rPr>
      </w:pPr>
      <w:r w:rsidRPr="0065527C">
        <w:rPr>
          <w:lang w:val="en-US"/>
        </w:rPr>
        <w:t xml:space="preserve">The petitioners state that on May 19, 1994, the "El Zuque" stream overflowed, causing an avalanche that flooded the streets and homes of San </w:t>
      </w:r>
      <w:r w:rsidR="00DE3247">
        <w:rPr>
          <w:lang w:val="en-US"/>
        </w:rPr>
        <w:t>Cristobal</w:t>
      </w:r>
      <w:r w:rsidRPr="0065527C">
        <w:rPr>
          <w:lang w:val="en-US"/>
        </w:rPr>
        <w:t>, Bogot</w:t>
      </w:r>
      <w:r w:rsidR="00261C67">
        <w:rPr>
          <w:lang w:val="en-US"/>
        </w:rPr>
        <w:t>a</w:t>
      </w:r>
      <w:r w:rsidRPr="0065527C">
        <w:rPr>
          <w:lang w:val="en-US"/>
        </w:rPr>
        <w:t xml:space="preserve">, Capital District, leaving six dead, one missing and more than one hundred people affected, among the latter, the alleged victims. As a result, they state that the Ombudsman's Office appointed a public defender for the alleged victims </w:t>
      </w:r>
      <w:r w:rsidR="00261C67" w:rsidRPr="0065527C">
        <w:rPr>
          <w:lang w:val="en-US"/>
        </w:rPr>
        <w:t>to</w:t>
      </w:r>
      <w:r w:rsidRPr="0065527C">
        <w:rPr>
          <w:lang w:val="en-US"/>
        </w:rPr>
        <w:t xml:space="preserve"> protect their rights and represent them before the judicial authorities in relation to these events.</w:t>
      </w:r>
    </w:p>
    <w:p w14:paraId="612EB0A0" w14:textId="3AB448E3" w:rsidR="002611FF" w:rsidRPr="002611FF" w:rsidRDefault="0065527C" w:rsidP="00B1283C">
      <w:pPr>
        <w:pStyle w:val="parrafos"/>
        <w:numPr>
          <w:ilvl w:val="0"/>
          <w:numId w:val="61"/>
        </w:numPr>
        <w:tabs>
          <w:tab w:val="clear" w:pos="360"/>
          <w:tab w:val="left" w:pos="426"/>
        </w:tabs>
        <w:spacing w:before="240" w:after="240"/>
        <w:ind w:left="0" w:firstLine="709"/>
        <w:rPr>
          <w:lang w:val="en-US"/>
        </w:rPr>
      </w:pPr>
      <w:r w:rsidRPr="0065527C">
        <w:rPr>
          <w:lang w:val="en-US"/>
        </w:rPr>
        <w:t>On December 19, 1995, the alleged victims, through the ombudsman assigned to them, filed an action for direct reparation against the mayor of Bogot</w:t>
      </w:r>
      <w:r w:rsidR="00261C67">
        <w:rPr>
          <w:lang w:val="en-US"/>
        </w:rPr>
        <w:t>a</w:t>
      </w:r>
      <w:r w:rsidRPr="0065527C">
        <w:rPr>
          <w:lang w:val="en-US"/>
        </w:rPr>
        <w:t>, alleging that the overflowing of the stream was a consequence of the undue exploitation of the natural resources of the stream, with the undue consent of the local authorities. In a judgment of February 18, 1999, the Administrative Court of Cundinamarca, Third Section, ruled as follows:</w:t>
      </w:r>
    </w:p>
    <w:p w14:paraId="3426D9AF" w14:textId="77777777" w:rsidR="00450E37" w:rsidRPr="00261C67" w:rsidRDefault="00450E37" w:rsidP="00261C67">
      <w:pPr>
        <w:pBdr>
          <w:left w:val="none" w:sz="0" w:space="0" w:color="auto"/>
          <w:bottom w:val="none" w:sz="0" w:space="0" w:color="auto"/>
          <w:right w:val="none" w:sz="0" w:space="0" w:color="auto"/>
          <w:between w:val="none" w:sz="0" w:space="0" w:color="auto"/>
          <w:bar w:val="none" w:sz="0" w:color="auto"/>
        </w:pBdr>
        <w:tabs>
          <w:tab w:val="left" w:pos="1440"/>
        </w:tabs>
        <w:spacing w:before="120"/>
        <w:ind w:left="720" w:right="720"/>
        <w:jc w:val="both"/>
        <w:rPr>
          <w:rFonts w:asciiTheme="majorHAnsi" w:eastAsia="MS Mincho" w:hAnsiTheme="majorHAnsi" w:cstheme="minorHAnsi"/>
          <w:color w:val="000000" w:themeColor="text1"/>
          <w:sz w:val="20"/>
          <w:szCs w:val="20"/>
          <w:u w:color="000000"/>
          <w:lang w:eastAsia="es-ES"/>
        </w:rPr>
      </w:pPr>
      <w:r w:rsidRPr="00261C67">
        <w:rPr>
          <w:rFonts w:asciiTheme="majorHAnsi" w:eastAsia="MS Mincho" w:hAnsiTheme="majorHAnsi" w:cstheme="minorHAnsi"/>
          <w:color w:val="000000" w:themeColor="text1"/>
          <w:sz w:val="20"/>
          <w:szCs w:val="20"/>
          <w:u w:color="000000"/>
          <w:lang w:eastAsia="es-ES"/>
        </w:rPr>
        <w:t>FIRST: To declare the Capital District of Santafe de Bogota administratively liable for the events of May 14, 1994.</w:t>
      </w:r>
    </w:p>
    <w:p w14:paraId="5179DE72" w14:textId="07441A5A" w:rsidR="00450E37" w:rsidRPr="00261C67" w:rsidRDefault="00450E37" w:rsidP="00261C67">
      <w:pPr>
        <w:pBdr>
          <w:left w:val="none" w:sz="0" w:space="0" w:color="auto"/>
          <w:bottom w:val="none" w:sz="0" w:space="0" w:color="auto"/>
          <w:right w:val="none" w:sz="0" w:space="0" w:color="auto"/>
          <w:between w:val="none" w:sz="0" w:space="0" w:color="auto"/>
          <w:bar w:val="none" w:sz="0" w:color="auto"/>
        </w:pBdr>
        <w:tabs>
          <w:tab w:val="left" w:pos="1440"/>
        </w:tabs>
        <w:spacing w:before="120"/>
        <w:ind w:left="720" w:right="720"/>
        <w:jc w:val="both"/>
        <w:rPr>
          <w:rFonts w:asciiTheme="majorHAnsi" w:eastAsia="MS Mincho" w:hAnsiTheme="majorHAnsi" w:cstheme="minorHAnsi"/>
          <w:color w:val="000000" w:themeColor="text1"/>
          <w:sz w:val="20"/>
          <w:szCs w:val="20"/>
          <w:u w:color="000000"/>
          <w:lang w:eastAsia="es-ES"/>
        </w:rPr>
      </w:pPr>
      <w:r w:rsidRPr="00261C67">
        <w:rPr>
          <w:rFonts w:asciiTheme="majorHAnsi" w:eastAsia="MS Mincho" w:hAnsiTheme="majorHAnsi" w:cstheme="minorHAnsi"/>
          <w:color w:val="000000" w:themeColor="text1"/>
          <w:sz w:val="20"/>
          <w:szCs w:val="20"/>
          <w:u w:color="000000"/>
          <w:lang w:eastAsia="es-ES"/>
        </w:rPr>
        <w:t>SECOND: Condemn in the abstract the District of Santaf</w:t>
      </w:r>
      <w:r w:rsidR="00261C67" w:rsidRPr="00261C67">
        <w:rPr>
          <w:rFonts w:asciiTheme="majorHAnsi" w:eastAsia="MS Mincho" w:hAnsiTheme="majorHAnsi" w:cstheme="minorHAnsi"/>
          <w:color w:val="000000" w:themeColor="text1"/>
          <w:sz w:val="20"/>
          <w:szCs w:val="20"/>
          <w:u w:color="000000"/>
          <w:lang w:eastAsia="es-ES"/>
        </w:rPr>
        <w:t>e</w:t>
      </w:r>
      <w:r w:rsidRPr="00261C67">
        <w:rPr>
          <w:rFonts w:asciiTheme="majorHAnsi" w:eastAsia="MS Mincho" w:hAnsiTheme="majorHAnsi" w:cstheme="minorHAnsi"/>
          <w:color w:val="000000" w:themeColor="text1"/>
          <w:sz w:val="20"/>
          <w:szCs w:val="20"/>
          <w:u w:color="000000"/>
          <w:lang w:eastAsia="es-ES"/>
        </w:rPr>
        <w:t xml:space="preserve"> de Bogot</w:t>
      </w:r>
      <w:r w:rsidR="00261C67">
        <w:rPr>
          <w:rFonts w:asciiTheme="majorHAnsi" w:eastAsia="MS Mincho" w:hAnsiTheme="majorHAnsi" w:cstheme="minorHAnsi"/>
          <w:color w:val="000000" w:themeColor="text1"/>
          <w:sz w:val="20"/>
          <w:szCs w:val="20"/>
          <w:u w:color="000000"/>
          <w:lang w:eastAsia="es-ES"/>
        </w:rPr>
        <w:t>a</w:t>
      </w:r>
      <w:r w:rsidRPr="00261C67">
        <w:rPr>
          <w:rFonts w:asciiTheme="majorHAnsi" w:eastAsia="MS Mincho" w:hAnsiTheme="majorHAnsi" w:cstheme="minorHAnsi"/>
          <w:color w:val="000000" w:themeColor="text1"/>
          <w:sz w:val="20"/>
          <w:szCs w:val="20"/>
          <w:u w:color="000000"/>
          <w:lang w:eastAsia="es-ES"/>
        </w:rPr>
        <w:t xml:space="preserve"> to pay for material damages, according to the value determined in the corresponding incident of damages provided for in Article 137 of the C.P.C. and within the term and with the guidelines established above. </w:t>
      </w:r>
    </w:p>
    <w:p w14:paraId="4B57AD61" w14:textId="77777777" w:rsidR="00450E37" w:rsidRPr="00261C67" w:rsidRDefault="00450E37" w:rsidP="00261C67">
      <w:pPr>
        <w:pBdr>
          <w:left w:val="none" w:sz="0" w:space="0" w:color="auto"/>
          <w:bottom w:val="none" w:sz="0" w:space="0" w:color="auto"/>
          <w:right w:val="none" w:sz="0" w:space="0" w:color="auto"/>
          <w:between w:val="none" w:sz="0" w:space="0" w:color="auto"/>
          <w:bar w:val="none" w:sz="0" w:color="auto"/>
        </w:pBdr>
        <w:tabs>
          <w:tab w:val="left" w:pos="1440"/>
        </w:tabs>
        <w:spacing w:before="120"/>
        <w:ind w:left="720" w:right="720"/>
        <w:jc w:val="both"/>
        <w:rPr>
          <w:rFonts w:asciiTheme="majorHAnsi" w:eastAsia="MS Mincho" w:hAnsiTheme="majorHAnsi" w:cstheme="minorHAnsi"/>
          <w:color w:val="000000" w:themeColor="text1"/>
          <w:sz w:val="20"/>
          <w:szCs w:val="20"/>
          <w:u w:color="000000"/>
          <w:lang w:eastAsia="es-ES"/>
        </w:rPr>
      </w:pPr>
      <w:r w:rsidRPr="00261C67">
        <w:rPr>
          <w:rFonts w:asciiTheme="majorHAnsi" w:eastAsia="MS Mincho" w:hAnsiTheme="majorHAnsi" w:cstheme="minorHAnsi"/>
          <w:color w:val="000000" w:themeColor="text1"/>
          <w:sz w:val="20"/>
          <w:szCs w:val="20"/>
          <w:u w:color="000000"/>
          <w:lang w:eastAsia="es-ES"/>
        </w:rPr>
        <w:t>[...]</w:t>
      </w:r>
    </w:p>
    <w:p w14:paraId="74993A58" w14:textId="6F120FFB" w:rsidR="0006565A" w:rsidRPr="006B2350" w:rsidRDefault="00450E37" w:rsidP="00B1283C">
      <w:pPr>
        <w:pStyle w:val="parrafos"/>
        <w:numPr>
          <w:ilvl w:val="0"/>
          <w:numId w:val="61"/>
        </w:numPr>
        <w:tabs>
          <w:tab w:val="clear" w:pos="360"/>
          <w:tab w:val="left" w:pos="426"/>
        </w:tabs>
        <w:spacing w:before="240" w:after="240"/>
        <w:ind w:left="0" w:firstLine="709"/>
        <w:rPr>
          <w:lang w:val="en-US"/>
        </w:rPr>
      </w:pPr>
      <w:r w:rsidRPr="00450E37">
        <w:rPr>
          <w:lang w:val="en-US"/>
        </w:rPr>
        <w:t xml:space="preserve">Consequently, on June 28, 1999, the delegate of the Ombudsman's Office, on behalf of the alleged victims, requested the liquidation of damages before said court. </w:t>
      </w:r>
      <w:r w:rsidRPr="006B2350">
        <w:rPr>
          <w:lang w:val="en-US"/>
        </w:rPr>
        <w:t>On November 17, 1999, the Administrative Court of Cundinamarca granted a term of five days to the public defender to prove his capacity as legal representative in the administrative process. On November 21 of that year the term granted expired; however, the representative of the alleged victims did not accredit his judicial mandate. Consequently, by order of January 27, 2000, the Administrative Court of Cundinamarca considered that the proposal of the liquidation incident had not been presented, due to the fact that he did not accredit his judicial mandate; said decision became final because no appeal was filed against it.</w:t>
      </w:r>
    </w:p>
    <w:p w14:paraId="35064F35" w14:textId="77777777" w:rsidR="00450E37" w:rsidRDefault="00450E37" w:rsidP="00B1283C">
      <w:pPr>
        <w:pStyle w:val="parrafos"/>
        <w:numPr>
          <w:ilvl w:val="0"/>
          <w:numId w:val="61"/>
        </w:numPr>
        <w:tabs>
          <w:tab w:val="clear" w:pos="360"/>
          <w:tab w:val="left" w:pos="426"/>
        </w:tabs>
        <w:spacing w:before="240" w:after="240"/>
        <w:ind w:left="0" w:firstLine="709"/>
        <w:rPr>
          <w:lang w:val="en-US"/>
        </w:rPr>
      </w:pPr>
      <w:r w:rsidRPr="00450E37">
        <w:rPr>
          <w:lang w:val="en-US"/>
        </w:rPr>
        <w:t>From the information contained in the file, it is clear that the alleged victims, in order to obtain reparation in their favor, continued to carry out a series of actions before the Administrative Court of Cundinamarca, as follows:</w:t>
      </w:r>
    </w:p>
    <w:p w14:paraId="4E1971F4" w14:textId="37466BC7" w:rsidR="00450E37" w:rsidRDefault="00450E37" w:rsidP="00B1283C">
      <w:pPr>
        <w:pStyle w:val="parrafos"/>
        <w:numPr>
          <w:ilvl w:val="0"/>
          <w:numId w:val="59"/>
        </w:numPr>
        <w:spacing w:before="240" w:after="240"/>
        <w:ind w:left="142" w:firstLine="567"/>
        <w:rPr>
          <w:lang w:val="en-US"/>
        </w:rPr>
      </w:pPr>
      <w:r w:rsidRPr="00450E37">
        <w:rPr>
          <w:lang w:val="en-US"/>
        </w:rPr>
        <w:t xml:space="preserve">On June 11, 2002, the new legal representative of the alleged victims, provided evidentiary material for the incident of regulation of </w:t>
      </w:r>
      <w:r w:rsidR="00261C67" w:rsidRPr="00450E37">
        <w:rPr>
          <w:lang w:val="en-US"/>
        </w:rPr>
        <w:t>damages before</w:t>
      </w:r>
      <w:r w:rsidRPr="00450E37">
        <w:rPr>
          <w:lang w:val="en-US"/>
        </w:rPr>
        <w:t xml:space="preserve"> the Administrative Court of Cundinamarca. In an order dated July 16, 2002, the referred court rejected the inclusion of the alleged victims in the regulation incident due to its untimeliness. In this line, the alleged victims requested again their recognition as part of the incident of regulation of damages; however, on April 22, 2004 the mentioned court denied their claims.  </w:t>
      </w:r>
    </w:p>
    <w:p w14:paraId="492E6ED1" w14:textId="77777777" w:rsidR="00450E37" w:rsidRDefault="00450E37" w:rsidP="00B1283C">
      <w:pPr>
        <w:pStyle w:val="parrafos"/>
        <w:numPr>
          <w:ilvl w:val="0"/>
          <w:numId w:val="59"/>
        </w:numPr>
        <w:spacing w:before="240" w:after="240"/>
        <w:ind w:left="142" w:firstLine="567"/>
        <w:rPr>
          <w:lang w:val="en-US"/>
        </w:rPr>
      </w:pPr>
      <w:r w:rsidRPr="00450E37">
        <w:rPr>
          <w:lang w:val="en-US"/>
        </w:rPr>
        <w:t>On May 19, 2005, a conciliation proceeding was held with respect to the plaintiffs who were included in the incident of liquidation of damages. In a resolution dated July 6, 2005, the Administrative Court of Cundinamarca annulled the orders of July 16, 2002 and April 22, 2004, whereby it rejected the inclusion of the alleged victims in the liquidation incident. Dissatisfied with this, the respondent authority filed an appeal, which was partially denied on August 10, 2005; however, once again it did not consider the alleged victims in the incident of regulation of damages.</w:t>
      </w:r>
    </w:p>
    <w:p w14:paraId="0F0FE006" w14:textId="1C0A7469" w:rsidR="00450E37" w:rsidRPr="00450E37" w:rsidRDefault="00450E37" w:rsidP="00B1283C">
      <w:pPr>
        <w:pStyle w:val="parrafos"/>
        <w:numPr>
          <w:ilvl w:val="0"/>
          <w:numId w:val="59"/>
        </w:numPr>
        <w:spacing w:before="240" w:after="240"/>
        <w:ind w:left="142" w:firstLine="567"/>
        <w:rPr>
          <w:lang w:val="en-US"/>
        </w:rPr>
      </w:pPr>
      <w:r w:rsidRPr="00450E37">
        <w:rPr>
          <w:lang w:val="en-US"/>
        </w:rPr>
        <w:lastRenderedPageBreak/>
        <w:t>Against this, they filed an appeal for reconsideration; however, on November 9, 2005, the Ad</w:t>
      </w:r>
      <w:r>
        <w:rPr>
          <w:lang w:val="en-US"/>
        </w:rPr>
        <w:t>m</w:t>
      </w:r>
      <w:r w:rsidRPr="00450E37">
        <w:rPr>
          <w:lang w:val="en-US"/>
        </w:rPr>
        <w:t xml:space="preserve">inistrative Court of Cundinamarca confirmed the decision of August 10, 2005, establishing that: </w:t>
      </w:r>
      <w:r w:rsidRPr="00450E37">
        <w:rPr>
          <w:i/>
          <w:iCs/>
          <w:lang w:val="en-US"/>
        </w:rPr>
        <w:t>"[...] the reason why the memorial proposing the liquidation incident was not taken into account was that the judicial presentation had not been accredited, and not because it had been filed out of time [...]".</w:t>
      </w:r>
    </w:p>
    <w:p w14:paraId="3D07839E" w14:textId="3CC12E32" w:rsidR="00450E37" w:rsidRDefault="00450E37" w:rsidP="00B1283C">
      <w:pPr>
        <w:pStyle w:val="parrafos"/>
        <w:numPr>
          <w:ilvl w:val="0"/>
          <w:numId w:val="59"/>
        </w:numPr>
        <w:spacing w:before="240" w:after="240"/>
        <w:ind w:left="142" w:firstLine="567"/>
        <w:rPr>
          <w:lang w:val="en-US"/>
        </w:rPr>
      </w:pPr>
      <w:r w:rsidRPr="00450E37">
        <w:rPr>
          <w:lang w:val="en-US"/>
        </w:rPr>
        <w:t xml:space="preserve">Subsequently, on November 8, 2006, the Administrative Court of Cundinamarca sentenced the Capital District of </w:t>
      </w:r>
      <w:r w:rsidR="00260699">
        <w:rPr>
          <w:lang w:val="en-US"/>
        </w:rPr>
        <w:t>Bogota</w:t>
      </w:r>
      <w:r w:rsidRPr="00450E37">
        <w:rPr>
          <w:lang w:val="en-US"/>
        </w:rPr>
        <w:t xml:space="preserve"> to pay the incident of regulation of damages in favor of two parties, for material damages in the form of consequential damages, without including the alleged victims. Against this, the attorney for the alleged victims filed an appeal, which was denied by the Administrative Court of Cundinamarca on December 6, 2006, on the grounds that the amount of the case constituted a single instance proceeding. Not satisfied, they filed a</w:t>
      </w:r>
      <w:r w:rsidR="00E414FA">
        <w:rPr>
          <w:lang w:val="en-US"/>
        </w:rPr>
        <w:t xml:space="preserve">n </w:t>
      </w:r>
      <w:r w:rsidRPr="006B2350">
        <w:rPr>
          <w:lang w:val="en-US"/>
        </w:rPr>
        <w:t>appeal</w:t>
      </w:r>
      <w:r w:rsidR="00E414FA" w:rsidRPr="006B2350">
        <w:rPr>
          <w:lang w:val="en-US"/>
        </w:rPr>
        <w:t xml:space="preserve"> </w:t>
      </w:r>
      <w:r w:rsidR="006B2350" w:rsidRPr="006B2350">
        <w:rPr>
          <w:lang w:val="en-US"/>
        </w:rPr>
        <w:t xml:space="preserve">for </w:t>
      </w:r>
      <w:r w:rsidR="00E414FA" w:rsidRPr="006B2350">
        <w:rPr>
          <w:lang w:val="en-US"/>
        </w:rPr>
        <w:t>complaint</w:t>
      </w:r>
      <w:r w:rsidRPr="00450E37">
        <w:rPr>
          <w:lang w:val="en-US"/>
        </w:rPr>
        <w:t xml:space="preserve"> before the Council of State, which in a decision of February 7, 2007, issued by its Third Section, deemed the appeal to be well denied.  </w:t>
      </w:r>
    </w:p>
    <w:p w14:paraId="63016DEF" w14:textId="2A73D7FE" w:rsidR="00E414FA" w:rsidRPr="006B2350" w:rsidRDefault="00450E37" w:rsidP="00B1283C">
      <w:pPr>
        <w:pStyle w:val="parrafos"/>
        <w:numPr>
          <w:ilvl w:val="0"/>
          <w:numId w:val="61"/>
        </w:numPr>
        <w:tabs>
          <w:tab w:val="clear" w:pos="360"/>
          <w:tab w:val="left" w:pos="426"/>
        </w:tabs>
        <w:spacing w:before="240" w:after="240"/>
        <w:ind w:left="0" w:firstLine="709"/>
        <w:rPr>
          <w:lang w:val="en-US"/>
        </w:rPr>
      </w:pPr>
      <w:r w:rsidRPr="00E414FA">
        <w:rPr>
          <w:lang w:val="en-US"/>
        </w:rPr>
        <w:t>In the same line, it follows that the alleged victims exercised their right to petition before the Administrative Court of Cundinamarca, which in its resolution of February 22, 2008 resolved as follows:</w:t>
      </w:r>
    </w:p>
    <w:p w14:paraId="76A65CAC" w14:textId="20385779" w:rsidR="006B2350" w:rsidRPr="00F922E4" w:rsidRDefault="006B2350" w:rsidP="006B2350">
      <w:pPr>
        <w:pStyle w:val="ListParagraph"/>
        <w:rPr>
          <w:lang w:val="en-US"/>
        </w:rPr>
      </w:pPr>
      <w:r w:rsidRPr="00F922E4">
        <w:rPr>
          <w:lang w:val="en-US"/>
        </w:rPr>
        <w:t>[…]</w:t>
      </w:r>
    </w:p>
    <w:p w14:paraId="6198FB63" w14:textId="4872C96E" w:rsidR="00E414FA" w:rsidRDefault="00E414FA" w:rsidP="00E414FA">
      <w:pPr>
        <w:pStyle w:val="parrafos"/>
        <w:numPr>
          <w:ilvl w:val="0"/>
          <w:numId w:val="0"/>
        </w:numPr>
        <w:ind w:left="720" w:right="720"/>
        <w:rPr>
          <w:lang w:val="en-US"/>
        </w:rPr>
      </w:pPr>
      <w:r w:rsidRPr="00E414FA">
        <w:rPr>
          <w:lang w:val="en-US"/>
        </w:rPr>
        <w:t>Finally, it is appropriate to point out that the incidental proceeding was initiated at the request of two of the defendants, through a</w:t>
      </w:r>
      <w:r>
        <w:rPr>
          <w:lang w:val="en-US"/>
        </w:rPr>
        <w:t xml:space="preserve"> legal representative</w:t>
      </w:r>
      <w:r w:rsidRPr="00E414FA">
        <w:rPr>
          <w:lang w:val="en-US"/>
        </w:rPr>
        <w:t xml:space="preserve">; in relation to the petitioners (sic), although the request for the incident of regulation of damages was filed by the Delegate of the Ombudsman's Office (...), invoking your representation, it was not accepted by order of January 2000, since he had not accredited his capacity as </w:t>
      </w:r>
      <w:r>
        <w:rPr>
          <w:lang w:val="en-US"/>
        </w:rPr>
        <w:t>legal representative</w:t>
      </w:r>
      <w:r w:rsidRPr="00E414FA">
        <w:rPr>
          <w:lang w:val="en-US"/>
        </w:rPr>
        <w:t xml:space="preserve">), invoking your representation, it was not accepted by order of January 27, 2000, for not having accredited the capacity of legal representative, consequently his request for inclusion in the incident of regulation of damages was rejected, which remained firm for not having been challenged in a timely manner.  </w:t>
      </w:r>
    </w:p>
    <w:p w14:paraId="61D4ED1D" w14:textId="45219A45" w:rsidR="00E414FA" w:rsidRDefault="00E414FA" w:rsidP="00B1283C">
      <w:pPr>
        <w:pStyle w:val="parrafos"/>
        <w:numPr>
          <w:ilvl w:val="0"/>
          <w:numId w:val="61"/>
        </w:numPr>
        <w:tabs>
          <w:tab w:val="clear" w:pos="360"/>
          <w:tab w:val="left" w:pos="426"/>
        </w:tabs>
        <w:spacing w:before="240" w:after="240"/>
        <w:ind w:left="0" w:firstLine="709"/>
        <w:rPr>
          <w:lang w:val="en-US"/>
        </w:rPr>
      </w:pPr>
      <w:r w:rsidRPr="00E414FA">
        <w:rPr>
          <w:lang w:val="en-US"/>
        </w:rPr>
        <w:t>On the other hand, in 2008 the alleged victims filed a new action for direct reparation before the Administrative Court of Cundinamarca, suing the Attorney General's Office and the Ombudsman's Office for the acts, facts and omissions presented in the public defender's service. In a resolution dated March 4, 2009, the referred court rejected the claim, considering that the action had lapsed, since it was filed four years after the alleged omission of the public defender and the term to file the claim for direct reparation is two years after the harmful event. Not satisfied, the alleged victims filed an appeal, which in a resolution of October 21, 2011 issued by the Third Section of the Council of State, confirmed the appealed decision.</w:t>
      </w:r>
    </w:p>
    <w:p w14:paraId="417ECF2D" w14:textId="456C7AFB" w:rsidR="00E414FA" w:rsidRDefault="00E414FA" w:rsidP="00B1283C">
      <w:pPr>
        <w:pStyle w:val="parrafos"/>
        <w:numPr>
          <w:ilvl w:val="0"/>
          <w:numId w:val="61"/>
        </w:numPr>
        <w:tabs>
          <w:tab w:val="clear" w:pos="360"/>
          <w:tab w:val="left" w:pos="426"/>
        </w:tabs>
        <w:spacing w:before="240" w:after="240"/>
        <w:ind w:left="0" w:firstLine="709"/>
        <w:rPr>
          <w:lang w:val="en-US"/>
        </w:rPr>
      </w:pPr>
      <w:r w:rsidRPr="00E414FA">
        <w:rPr>
          <w:lang w:val="en-US"/>
        </w:rPr>
        <w:t xml:space="preserve">Against this decision, the alleged victims filed a </w:t>
      </w:r>
      <w:r w:rsidR="00BC5AF5">
        <w:rPr>
          <w:lang w:val="en-US"/>
        </w:rPr>
        <w:t>writ for the protection of constitutional rights</w:t>
      </w:r>
      <w:r w:rsidRPr="00E414FA">
        <w:rPr>
          <w:lang w:val="en-US"/>
        </w:rPr>
        <w:t xml:space="preserve">, alleging violations of their human rights by the Council of State when it rejected the appeal. In a judgment of June 21, 2012, the Council of State denied the </w:t>
      </w:r>
      <w:r w:rsidR="00BC5AF5">
        <w:rPr>
          <w:lang w:val="en-US"/>
        </w:rPr>
        <w:t>writ for the protection of constitutional rights</w:t>
      </w:r>
      <w:r w:rsidRPr="00E414FA">
        <w:rPr>
          <w:lang w:val="en-US"/>
        </w:rPr>
        <w:t xml:space="preserve"> due to its inadmissibility, stating that </w:t>
      </w:r>
      <w:r w:rsidRPr="00BC5AF5">
        <w:rPr>
          <w:i/>
          <w:iCs/>
          <w:lang w:val="en-US"/>
        </w:rPr>
        <w:t xml:space="preserve">"[...] since it does not comply with the general elements of admissibility, it is unnecessary to establish whether one of the determining events for the prosperity of the </w:t>
      </w:r>
      <w:r w:rsidR="00BC5AF5">
        <w:rPr>
          <w:i/>
          <w:iCs/>
          <w:lang w:val="en-US"/>
        </w:rPr>
        <w:t>writ for the protection of constitutional rights</w:t>
      </w:r>
      <w:r w:rsidRPr="00BC5AF5">
        <w:rPr>
          <w:i/>
          <w:iCs/>
          <w:lang w:val="en-US"/>
        </w:rPr>
        <w:t xml:space="preserve"> against the judicial decision has occurred".</w:t>
      </w:r>
    </w:p>
    <w:p w14:paraId="6195E241" w14:textId="74EEA393" w:rsidR="00E414FA" w:rsidRDefault="00E414FA" w:rsidP="00B1283C">
      <w:pPr>
        <w:pStyle w:val="parrafos"/>
        <w:numPr>
          <w:ilvl w:val="0"/>
          <w:numId w:val="61"/>
        </w:numPr>
        <w:tabs>
          <w:tab w:val="clear" w:pos="360"/>
          <w:tab w:val="left" w:pos="426"/>
        </w:tabs>
        <w:spacing w:before="240" w:after="240"/>
        <w:ind w:left="0" w:firstLine="709"/>
        <w:rPr>
          <w:lang w:val="en-US"/>
        </w:rPr>
      </w:pPr>
      <w:r w:rsidRPr="00E414FA">
        <w:rPr>
          <w:lang w:val="en-US"/>
        </w:rPr>
        <w:t>In summary, the alleged victims allege that the negligence of the legal representation provided to them by the Ombudsman's Office resulted in the lack of reparation of the damages caused by the authorities of the Capital District; they also allege the violation of their right to equality, because only two persons of the group of victims, as well as the relatives of the three deceased persons and the missing person, were repaired in the administrative proceedings.</w:t>
      </w:r>
    </w:p>
    <w:p w14:paraId="417B4C76" w14:textId="78410BC8" w:rsidR="00BC5AF5" w:rsidRPr="00BC5AF5" w:rsidRDefault="00BC5AF5" w:rsidP="00631495">
      <w:pPr>
        <w:ind w:firstLine="360"/>
        <w:rPr>
          <w:rFonts w:ascii="Cambria" w:hAnsi="Cambria"/>
          <w:i/>
          <w:iCs/>
          <w:sz w:val="20"/>
          <w:szCs w:val="20"/>
        </w:rPr>
      </w:pPr>
      <w:r w:rsidRPr="00BC5AF5">
        <w:rPr>
          <w:rFonts w:ascii="Cambria" w:hAnsi="Cambria"/>
          <w:i/>
          <w:iCs/>
          <w:sz w:val="20"/>
          <w:szCs w:val="20"/>
        </w:rPr>
        <w:t>Allegations of the Colombian state</w:t>
      </w:r>
    </w:p>
    <w:p w14:paraId="3B573915" w14:textId="67DEA476" w:rsidR="00BC5AF5" w:rsidRDefault="00BC5AF5" w:rsidP="00B1283C">
      <w:pPr>
        <w:pStyle w:val="parrafos"/>
        <w:numPr>
          <w:ilvl w:val="0"/>
          <w:numId w:val="61"/>
        </w:numPr>
        <w:tabs>
          <w:tab w:val="clear" w:pos="360"/>
          <w:tab w:val="left" w:pos="426"/>
        </w:tabs>
        <w:spacing w:before="240" w:after="240"/>
        <w:ind w:left="0" w:firstLine="709"/>
        <w:rPr>
          <w:lang w:val="en-US"/>
        </w:rPr>
      </w:pPr>
      <w:r w:rsidRPr="00BC5AF5">
        <w:rPr>
          <w:lang w:val="en-US"/>
        </w:rPr>
        <w:t>The Colombian State, for its part, asks the IACHR to declare the instant petition inadmissible because: (a) the petition was filed out of time; (b) it is manifestly unfounded; (c) domestic remedies were not exhausted; and (d) because the petitioners intend to use the IACHR as a "fourth international instance</w:t>
      </w:r>
      <w:r w:rsidR="005E30B8">
        <w:rPr>
          <w:lang w:val="en-US"/>
        </w:rPr>
        <w:t>”</w:t>
      </w:r>
      <w:r w:rsidRPr="00BC5AF5">
        <w:rPr>
          <w:lang w:val="en-US"/>
        </w:rPr>
        <w:t xml:space="preserve">. In addition, it argues that the petitioners do not identify the nineteen of the twenty-two persons to whom they </w:t>
      </w:r>
      <w:r w:rsidRPr="00BC5AF5">
        <w:rPr>
          <w:lang w:val="en-US"/>
        </w:rPr>
        <w:lastRenderedPageBreak/>
        <w:t xml:space="preserve">refer in their initial petition, and therefore, it is unclear as to the persons who make up the group of alleged victims in the instant petition. </w:t>
      </w:r>
    </w:p>
    <w:p w14:paraId="6444253F" w14:textId="026FE2D0" w:rsidR="00BC5AF5" w:rsidRDefault="00A23BD8" w:rsidP="00B1283C">
      <w:pPr>
        <w:pStyle w:val="parrafos"/>
        <w:numPr>
          <w:ilvl w:val="0"/>
          <w:numId w:val="61"/>
        </w:numPr>
        <w:tabs>
          <w:tab w:val="clear" w:pos="360"/>
          <w:tab w:val="left" w:pos="426"/>
        </w:tabs>
        <w:spacing w:before="240" w:after="240"/>
        <w:ind w:left="0" w:firstLine="709"/>
        <w:rPr>
          <w:lang w:val="en-US"/>
        </w:rPr>
      </w:pPr>
      <w:r>
        <w:rPr>
          <w:lang w:val="en-US"/>
        </w:rPr>
        <w:t>W</w:t>
      </w:r>
      <w:r w:rsidR="00BC5AF5" w:rsidRPr="00BC5AF5">
        <w:rPr>
          <w:lang w:val="en-US"/>
        </w:rPr>
        <w:t xml:space="preserve">ith respect to point (a), Colombia indicates that the petition was lodged with the IACHR on October 11, 2013, and that the final decision related to the subject matter of the petition was the </w:t>
      </w:r>
      <w:r w:rsidR="006E7E09">
        <w:rPr>
          <w:lang w:val="en-US"/>
        </w:rPr>
        <w:t>writ for the protection of constitutional rights;</w:t>
      </w:r>
      <w:r w:rsidR="00BC5AF5" w:rsidRPr="00BC5AF5">
        <w:rPr>
          <w:lang w:val="en-US"/>
        </w:rPr>
        <w:t xml:space="preserve"> ruling issued on June 21, 2012 by the Fourth Section of the Council of State, which was referred to the Constitutional Court on December 14, 2012, where it was not selected for review. In this regard, Colombia argues that the petition was filed nine months and twenty-five days after the notification of the decision of the Council of State denying the </w:t>
      </w:r>
      <w:r w:rsidR="006E7E09">
        <w:rPr>
          <w:lang w:val="en-US"/>
        </w:rPr>
        <w:t>writ for the protection of constitutional rights</w:t>
      </w:r>
      <w:r w:rsidR="00BC5AF5" w:rsidRPr="00BC5AF5">
        <w:rPr>
          <w:lang w:val="en-US"/>
        </w:rPr>
        <w:t>, in breach of the time limit requirement established in Article 46(1)(b) of the American Convention.</w:t>
      </w:r>
    </w:p>
    <w:p w14:paraId="65B61740" w14:textId="3081CAEB" w:rsidR="00BC5AF5" w:rsidRDefault="00BC5AF5" w:rsidP="00B1283C">
      <w:pPr>
        <w:pStyle w:val="parrafos"/>
        <w:numPr>
          <w:ilvl w:val="0"/>
          <w:numId w:val="61"/>
        </w:numPr>
        <w:tabs>
          <w:tab w:val="clear" w:pos="360"/>
          <w:tab w:val="left" w:pos="426"/>
        </w:tabs>
        <w:spacing w:before="240" w:after="240"/>
        <w:ind w:left="0" w:firstLine="709"/>
        <w:rPr>
          <w:lang w:val="en-US"/>
        </w:rPr>
      </w:pPr>
      <w:r w:rsidRPr="00BC5AF5">
        <w:rPr>
          <w:lang w:val="en-US"/>
        </w:rPr>
        <w:t>In relation to point (b), it points out that the petitioners do not present any argument that demonstrates the existence of a discriminatory law at the domestic level or whose application has been arbitrary and, therefore, could result in an alleged violation of the right to equality before the law. Therefore, the petition is manifestly unfounded in accordance with the provisions of Article 47(c) of the Convention, since there is no evidence to support the alleged responsibility of the State.</w:t>
      </w:r>
    </w:p>
    <w:p w14:paraId="7350119A" w14:textId="77777777" w:rsidR="006E7E09" w:rsidRDefault="006E7E09" w:rsidP="00B1283C">
      <w:pPr>
        <w:pStyle w:val="parrafos"/>
        <w:numPr>
          <w:ilvl w:val="0"/>
          <w:numId w:val="61"/>
        </w:numPr>
        <w:tabs>
          <w:tab w:val="clear" w:pos="360"/>
          <w:tab w:val="left" w:pos="426"/>
        </w:tabs>
        <w:spacing w:before="240" w:after="240"/>
        <w:ind w:left="0" w:firstLine="709"/>
        <w:rPr>
          <w:lang w:val="en-US"/>
        </w:rPr>
      </w:pPr>
      <w:r w:rsidRPr="006E7E09">
        <w:rPr>
          <w:lang w:val="en-US"/>
        </w:rPr>
        <w:t xml:space="preserve">Regarding point (c), it states that the action for direct reparation constitutes an adequate and effective remedy to recognize the possible administrative responsibility of the State for human rights violations, providing the necessary measures to establish comprehensive reparation. However, it establishes that the second action for direct reparation filed by the petitioners was inadmissible in an order of March 4, 2009 by the Administrative Court of Cundinamarca, considering that the action had lapsed. In this regard, it argues that in the instant case there was improper exhaustion of domestic remedies in accordance with Article 46(1)(a) of the American Convention. </w:t>
      </w:r>
    </w:p>
    <w:p w14:paraId="0104A5FD" w14:textId="5D4FEA60" w:rsidR="006E7E09" w:rsidRDefault="006E7E09" w:rsidP="00B1283C">
      <w:pPr>
        <w:pStyle w:val="parrafos"/>
        <w:numPr>
          <w:ilvl w:val="0"/>
          <w:numId w:val="61"/>
        </w:numPr>
        <w:tabs>
          <w:tab w:val="clear" w:pos="360"/>
          <w:tab w:val="left" w:pos="426"/>
        </w:tabs>
        <w:spacing w:before="240" w:after="240"/>
        <w:ind w:left="0" w:firstLine="709"/>
        <w:rPr>
          <w:lang w:val="en-US"/>
        </w:rPr>
      </w:pPr>
      <w:r w:rsidRPr="006E7E09">
        <w:rPr>
          <w:lang w:val="en-US"/>
        </w:rPr>
        <w:t xml:space="preserve">Finally, </w:t>
      </w:r>
      <w:r w:rsidR="00A23BD8">
        <w:rPr>
          <w:lang w:val="en-US"/>
        </w:rPr>
        <w:t>regarding</w:t>
      </w:r>
      <w:r w:rsidRPr="006E7E09">
        <w:rPr>
          <w:lang w:val="en-US"/>
        </w:rPr>
        <w:t xml:space="preserve"> point (d), Colombia indicates that the IACHR's role as intervener determines that it does not have the power to review the decisions of national courts acting within the sphere of their competence and in application of judicial guarantees. Therefore, the review of a judgment issued by a domestic judicial instance will only be admissible when it deals with the violation of a right contained in the American Convention. In this order of ideas, it alleges that the petitioners seek verification of the decisions issued in the contentious-administrative jurisdiction and with respect to the tutela action filed in 2008. Therefore, it considers that the petitioners are asking the ICDH to re-evaluate the evidence and interpret the rules applicable to each specific case, arguing that the instant petition is inadmissible under Article 47(b) of the Convention.</w:t>
      </w:r>
    </w:p>
    <w:p w14:paraId="08B9F1F2" w14:textId="19021953" w:rsidR="00166189" w:rsidRPr="00895664" w:rsidRDefault="006E7E09" w:rsidP="00B1283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b/>
          <w:bCs/>
          <w:sz w:val="20"/>
          <w:szCs w:val="20"/>
        </w:rPr>
      </w:pPr>
      <w:r w:rsidRPr="00895664">
        <w:rPr>
          <w:rFonts w:ascii="Cambria" w:hAnsi="Cambria"/>
          <w:b/>
          <w:bCs/>
          <w:sz w:val="20"/>
          <w:szCs w:val="20"/>
        </w:rPr>
        <w:t>ANALYSIS OF EXHAUSTION OF DOMESTIC REMEDIES AND TIMELINESS OF THE PETITION</w:t>
      </w:r>
    </w:p>
    <w:p w14:paraId="082B38F7" w14:textId="4EACD21F" w:rsidR="007812A9" w:rsidRDefault="007812A9" w:rsidP="00B1283C">
      <w:pPr>
        <w:pStyle w:val="parrafos"/>
        <w:numPr>
          <w:ilvl w:val="0"/>
          <w:numId w:val="61"/>
        </w:numPr>
        <w:tabs>
          <w:tab w:val="clear" w:pos="360"/>
          <w:tab w:val="left" w:pos="426"/>
        </w:tabs>
        <w:spacing w:before="240" w:after="240"/>
        <w:ind w:left="0" w:firstLine="709"/>
        <w:rPr>
          <w:rFonts w:ascii="Cambria" w:hAnsi="Cambria"/>
          <w:bCs/>
          <w:color w:val="auto"/>
          <w:lang w:val="en-US"/>
        </w:rPr>
      </w:pPr>
      <w:r w:rsidRPr="007812A9">
        <w:rPr>
          <w:rFonts w:ascii="Cambria" w:hAnsi="Cambria"/>
          <w:bCs/>
          <w:color w:val="auto"/>
          <w:lang w:val="en-US"/>
        </w:rPr>
        <w:t xml:space="preserve">The Commission notes that the main claim made by the petitioners is the failure to pay compensation to the alleged victims for the events that occurred on May 19, 1994, in the neighborhood of San </w:t>
      </w:r>
      <w:r w:rsidR="00DE3247">
        <w:rPr>
          <w:rFonts w:ascii="Cambria" w:hAnsi="Cambria"/>
          <w:bCs/>
          <w:color w:val="auto"/>
          <w:lang w:val="en-US"/>
        </w:rPr>
        <w:t>Cristobal</w:t>
      </w:r>
      <w:r w:rsidRPr="007812A9">
        <w:rPr>
          <w:rFonts w:ascii="Cambria" w:hAnsi="Cambria"/>
          <w:bCs/>
          <w:color w:val="auto"/>
          <w:lang w:val="en-US"/>
        </w:rPr>
        <w:t xml:space="preserve">, </w:t>
      </w:r>
      <w:r w:rsidR="00260699">
        <w:rPr>
          <w:rFonts w:ascii="Cambria" w:hAnsi="Cambria"/>
          <w:bCs/>
          <w:color w:val="auto"/>
          <w:lang w:val="en-US"/>
        </w:rPr>
        <w:t>Bogota</w:t>
      </w:r>
      <w:r w:rsidRPr="007812A9">
        <w:rPr>
          <w:rFonts w:ascii="Cambria" w:hAnsi="Cambria"/>
          <w:bCs/>
          <w:color w:val="auto"/>
          <w:lang w:val="en-US"/>
        </w:rPr>
        <w:t xml:space="preserve">, belonging to the Capital District, due to the fact that the public defender provided by the Ombudsman's </w:t>
      </w:r>
      <w:r w:rsidRPr="0034315C">
        <w:rPr>
          <w:lang w:val="en-US"/>
        </w:rPr>
        <w:t>Office</w:t>
      </w:r>
      <w:r w:rsidRPr="007812A9">
        <w:rPr>
          <w:rFonts w:ascii="Cambria" w:hAnsi="Cambria"/>
          <w:bCs/>
          <w:color w:val="auto"/>
          <w:lang w:val="en-US"/>
        </w:rPr>
        <w:t xml:space="preserve"> did not exercise a diligent defense in their favor, since he did not accredit his capacity as legal representative within the term established by the domestic judicial authorities and, consequently, the Administrative Court of Cundinamarca did not include them in the incident of regulation of damages. The State, on the one hand, alleges the improper exhaustion of domestic remedies, due to the fact that the second action for direct reparation filed by the alleged victims was filed in an untimely manner </w:t>
      </w:r>
      <w:r w:rsidR="00F023D5" w:rsidRPr="007812A9">
        <w:rPr>
          <w:rFonts w:ascii="Cambria" w:hAnsi="Cambria"/>
          <w:bCs/>
          <w:color w:val="auto"/>
          <w:lang w:val="en-US"/>
        </w:rPr>
        <w:t>and</w:t>
      </w:r>
      <w:r w:rsidRPr="007812A9">
        <w:rPr>
          <w:rFonts w:ascii="Cambria" w:hAnsi="Cambria"/>
          <w:bCs/>
          <w:color w:val="auto"/>
          <w:lang w:val="en-US"/>
        </w:rPr>
        <w:t xml:space="preserve"> on the other hand, it argues that the petition was filed nine months and twenty-five days after the notification that put an end to the domestic remedies.</w:t>
      </w:r>
    </w:p>
    <w:p w14:paraId="3A6D46BB" w14:textId="1A9B9C71" w:rsidR="002611FF" w:rsidRPr="007812A9" w:rsidRDefault="007812A9" w:rsidP="00B1283C">
      <w:pPr>
        <w:pStyle w:val="parrafos"/>
        <w:numPr>
          <w:ilvl w:val="0"/>
          <w:numId w:val="61"/>
        </w:numPr>
        <w:tabs>
          <w:tab w:val="clear" w:pos="360"/>
          <w:tab w:val="left" w:pos="426"/>
        </w:tabs>
        <w:spacing w:before="240" w:after="240"/>
        <w:ind w:left="0" w:firstLine="709"/>
        <w:rPr>
          <w:rFonts w:ascii="Cambria" w:hAnsi="Cambria"/>
          <w:bCs/>
          <w:color w:val="auto"/>
          <w:lang w:val="en-US"/>
        </w:rPr>
      </w:pPr>
      <w:r w:rsidRPr="007812A9">
        <w:rPr>
          <w:rFonts w:ascii="Cambria" w:hAnsi="Cambria"/>
          <w:bCs/>
          <w:color w:val="auto"/>
          <w:lang w:val="en-US"/>
        </w:rPr>
        <w:t xml:space="preserve">Closely related to the </w:t>
      </w:r>
      <w:r w:rsidRPr="0034315C">
        <w:rPr>
          <w:lang w:val="en-US"/>
        </w:rPr>
        <w:t>foregoing</w:t>
      </w:r>
      <w:r w:rsidRPr="007812A9">
        <w:rPr>
          <w:rFonts w:ascii="Cambria" w:hAnsi="Cambria"/>
          <w:bCs/>
          <w:color w:val="auto"/>
          <w:lang w:val="en-US"/>
        </w:rPr>
        <w:t>, the IACHR notes that on February 19, 1999, the Administrative Court of Cundinamarca, Third Section, determined the administrative responsibility of the Capital District of Santaf</w:t>
      </w:r>
      <w:r w:rsidR="0034315C">
        <w:rPr>
          <w:rFonts w:ascii="Cambria" w:hAnsi="Cambria"/>
          <w:bCs/>
          <w:color w:val="auto"/>
          <w:lang w:val="en-US"/>
        </w:rPr>
        <w:t>e</w:t>
      </w:r>
      <w:r w:rsidRPr="007812A9">
        <w:rPr>
          <w:rFonts w:ascii="Cambria" w:hAnsi="Cambria"/>
          <w:bCs/>
          <w:color w:val="auto"/>
          <w:lang w:val="en-US"/>
        </w:rPr>
        <w:t xml:space="preserve"> de </w:t>
      </w:r>
      <w:r w:rsidR="00260699">
        <w:rPr>
          <w:rFonts w:ascii="Cambria" w:hAnsi="Cambria"/>
          <w:bCs/>
          <w:color w:val="auto"/>
          <w:lang w:val="en-US"/>
        </w:rPr>
        <w:t>Bogota</w:t>
      </w:r>
      <w:r w:rsidRPr="007812A9">
        <w:rPr>
          <w:rFonts w:ascii="Cambria" w:hAnsi="Cambria"/>
          <w:bCs/>
          <w:color w:val="auto"/>
          <w:lang w:val="en-US"/>
        </w:rPr>
        <w:t xml:space="preserve"> for the overflowing of the stream that occurred in May 1994. Consequently, the public defender assigned to the alleged victims by the Ombudsman's Office requested the liquidation of damages in their favor. On November 17, 1999, the referred court granted the public defender a term of five days to accredit his judicial mandate; however, he failed to respond to such request and on January 27, 2000, the Administrative Court of Cundinamarca considered that the liquidation incident had not been filed, a </w:t>
      </w:r>
      <w:r w:rsidRPr="007812A9">
        <w:rPr>
          <w:rFonts w:ascii="Cambria" w:hAnsi="Cambria"/>
          <w:bCs/>
          <w:color w:val="auto"/>
          <w:lang w:val="en-US"/>
        </w:rPr>
        <w:lastRenderedPageBreak/>
        <w:t xml:space="preserve">resolution that remained firm since it was not challenged. However, the alleged victims, through a new legal representative, continued to pursue the process before the contentious-administrative proceeding. However, in a decision dated November 8, 2006, the Administrative Court of Cundinamarca ordered the Capital District of </w:t>
      </w:r>
      <w:r w:rsidR="00260699">
        <w:rPr>
          <w:rFonts w:ascii="Cambria" w:hAnsi="Cambria"/>
          <w:bCs/>
          <w:color w:val="auto"/>
          <w:lang w:val="en-US"/>
        </w:rPr>
        <w:t>Bogota</w:t>
      </w:r>
      <w:r w:rsidRPr="007812A9">
        <w:rPr>
          <w:rFonts w:ascii="Cambria" w:hAnsi="Cambria"/>
          <w:bCs/>
          <w:color w:val="auto"/>
          <w:lang w:val="en-US"/>
        </w:rPr>
        <w:t xml:space="preserve"> to pay damages only in favor of two persons, without including the alleged victims of the present petition. Not satisfied, they filed an appeal, which was denied on December 6, 2006. Against such denial, they filed a complaint before the Council of State, which established that the denial of the appeal was correctly issued. On the other hand, the alleged victims exercised their right to petition before the Administrative Court of Cundinamarca; however, in a resolution of February 22, 2008, said court again determined that: </w:t>
      </w:r>
      <w:r w:rsidRPr="007812A9">
        <w:rPr>
          <w:rFonts w:ascii="Cambria" w:hAnsi="Cambria"/>
          <w:bCs/>
          <w:i/>
          <w:iCs/>
          <w:color w:val="auto"/>
          <w:lang w:val="en-US"/>
        </w:rPr>
        <w:t>"[...] for not having accredited the quality of legal representative, consequently, their request for inclusion in the incident of regulation of damages was rejected, which remained firm for not having been timely challenged [...]".</w:t>
      </w:r>
    </w:p>
    <w:p w14:paraId="345835BD" w14:textId="40FE5139" w:rsidR="007812A9" w:rsidRPr="002611FF" w:rsidRDefault="007812A9" w:rsidP="00B1283C">
      <w:pPr>
        <w:pStyle w:val="parrafos"/>
        <w:numPr>
          <w:ilvl w:val="0"/>
          <w:numId w:val="61"/>
        </w:numPr>
        <w:tabs>
          <w:tab w:val="clear" w:pos="360"/>
          <w:tab w:val="left" w:pos="426"/>
        </w:tabs>
        <w:spacing w:before="240" w:after="240"/>
        <w:ind w:left="0" w:firstLine="709"/>
        <w:rPr>
          <w:rFonts w:ascii="Cambria" w:hAnsi="Cambria"/>
          <w:bCs/>
          <w:color w:val="auto"/>
          <w:lang w:val="en-US"/>
        </w:rPr>
      </w:pPr>
      <w:r w:rsidRPr="007812A9">
        <w:rPr>
          <w:rFonts w:ascii="Cambria" w:hAnsi="Cambria"/>
          <w:bCs/>
          <w:color w:val="auto"/>
          <w:lang w:val="en-US"/>
        </w:rPr>
        <w:t xml:space="preserve">Subsequently, the alleged victims filed a new action for direct reparation alleging the omissions committed by the public defender assigned by the Ombudsman's Office; however, on March 4, 2009, the Administrative Court of Cundinamarca rejected the claim on the grounds that the action had lapsed. Not satisfied with this, they filed an appeal, which was dismissed because it was a single instance process due to the amount of the case; finally, against this, they filed a </w:t>
      </w:r>
      <w:r>
        <w:rPr>
          <w:rFonts w:ascii="Cambria" w:hAnsi="Cambria"/>
          <w:bCs/>
          <w:color w:val="auto"/>
          <w:lang w:val="en-US"/>
        </w:rPr>
        <w:t>writ for the protection of constitutional rights</w:t>
      </w:r>
      <w:r w:rsidRPr="007812A9">
        <w:rPr>
          <w:rFonts w:ascii="Cambria" w:hAnsi="Cambria"/>
          <w:bCs/>
          <w:color w:val="auto"/>
          <w:lang w:val="en-US"/>
        </w:rPr>
        <w:t>, which was rejected as inadmissible in a judgment of June 21, 2012.</w:t>
      </w:r>
    </w:p>
    <w:p w14:paraId="586C8DB7" w14:textId="3FD6C014" w:rsidR="007812A9" w:rsidRPr="00DE3247" w:rsidRDefault="007812A9" w:rsidP="00B1283C">
      <w:pPr>
        <w:pStyle w:val="parrafos"/>
        <w:numPr>
          <w:ilvl w:val="0"/>
          <w:numId w:val="61"/>
        </w:numPr>
        <w:tabs>
          <w:tab w:val="clear" w:pos="360"/>
          <w:tab w:val="left" w:pos="426"/>
        </w:tabs>
        <w:spacing w:before="240" w:after="240"/>
        <w:ind w:left="0" w:firstLine="709"/>
        <w:rPr>
          <w:rFonts w:ascii="Cambria" w:hAnsi="Cambria"/>
          <w:bCs/>
          <w:color w:val="auto"/>
          <w:lang w:val="en-US"/>
        </w:rPr>
      </w:pPr>
      <w:r w:rsidRPr="007812A9">
        <w:rPr>
          <w:rFonts w:ascii="Cambria" w:hAnsi="Cambria"/>
          <w:bCs/>
          <w:color w:val="auto"/>
          <w:lang w:val="en-US"/>
        </w:rPr>
        <w:t>Notwithstanding the foregoing, the Commission notes that the legal representation of the alleged victims was the responsibility of the Ombudsman's Office, a public agency. In the opinion of the IACHR, it was the responsibility of the representatives of this entity to ensure, within the framework of the contentious-administrative process, the interests of the alleged victims by filing the corresponding appeals and proceedings before the competent judicial authorities. In a case such as the present one, in which the alleged victims are persons in vulnerable conditions who required a public defender who would effectively ensure their access to justice, the Commission considers, following similar precedents in the matter,</w:t>
      </w:r>
      <w:r>
        <w:rPr>
          <w:rStyle w:val="FootnoteReference"/>
          <w:rFonts w:ascii="Cambria" w:hAnsi="Cambria"/>
          <w:bCs/>
          <w:color w:val="auto"/>
          <w:lang w:val="en-US"/>
        </w:rPr>
        <w:footnoteReference w:id="6"/>
      </w:r>
      <w:r w:rsidRPr="007812A9">
        <w:rPr>
          <w:rFonts w:ascii="Cambria" w:hAnsi="Cambria"/>
          <w:bCs/>
          <w:color w:val="auto"/>
          <w:lang w:val="en-US"/>
        </w:rPr>
        <w:t xml:space="preserve"> that the omissions of the public defender assigned to them, in principle, are not attributable to the alleged victims; and therefore, the exception provided for in Article 46(2)(b) of the American Convention is applicable. </w:t>
      </w:r>
    </w:p>
    <w:p w14:paraId="20B6D97E" w14:textId="728E5B7D" w:rsidR="007812A9" w:rsidRPr="00DE3247" w:rsidRDefault="007812A9" w:rsidP="00B1283C">
      <w:pPr>
        <w:pStyle w:val="parrafos"/>
        <w:numPr>
          <w:ilvl w:val="0"/>
          <w:numId w:val="61"/>
        </w:numPr>
        <w:tabs>
          <w:tab w:val="clear" w:pos="360"/>
          <w:tab w:val="left" w:pos="426"/>
        </w:tabs>
        <w:spacing w:before="240" w:after="240"/>
        <w:ind w:left="0" w:firstLine="709"/>
        <w:rPr>
          <w:rFonts w:ascii="Cambria" w:hAnsi="Cambria"/>
          <w:bCs/>
          <w:color w:val="auto"/>
          <w:lang w:val="en-US"/>
        </w:rPr>
      </w:pPr>
      <w:r w:rsidRPr="007812A9">
        <w:rPr>
          <w:rFonts w:ascii="Cambria" w:hAnsi="Cambria"/>
          <w:bCs/>
          <w:color w:val="auto"/>
          <w:lang w:val="en-US"/>
        </w:rPr>
        <w:t xml:space="preserve">The Commission also considers that the petition was lodged within a reasonable </w:t>
      </w:r>
      <w:r w:rsidR="00260699" w:rsidRPr="007812A9">
        <w:rPr>
          <w:rFonts w:ascii="Cambria" w:hAnsi="Cambria"/>
          <w:bCs/>
          <w:color w:val="auto"/>
          <w:lang w:val="en-US"/>
        </w:rPr>
        <w:t>period</w:t>
      </w:r>
      <w:r w:rsidRPr="007812A9">
        <w:rPr>
          <w:rFonts w:ascii="Cambria" w:hAnsi="Cambria"/>
          <w:bCs/>
          <w:color w:val="auto"/>
          <w:lang w:val="en-US"/>
        </w:rPr>
        <w:t xml:space="preserve"> and that the admissibility requirement regarding the deadline for lodging the petition must be considered satisfied, in accordance with Article 32.2 of the Commission's Rules of Procedure. This, when considering that the facts took place since May 19, 1994; that the petitioners continued to pursue the process in the contentious-administrative route and through tutela actions, the latter being rejected on June 21, 2012, and subsequently becoming enforceable on June 24 of that same year; and that the petition was received by the Executive Secretariat of the IACHR on October 11, 2013. Therefore, in view of the context and the characteristics of the facts included in this report, the Commission considers that the petition was lodged within a reasonable time and that the admissibility requirement regarding the deadline for submission must be considered satisfied.</w:t>
      </w:r>
    </w:p>
    <w:p w14:paraId="2138A150" w14:textId="3F3EA898" w:rsidR="00F022D9" w:rsidRPr="006B2350" w:rsidRDefault="007812A9" w:rsidP="00B1283C">
      <w:pPr>
        <w:pStyle w:val="parrafos"/>
        <w:numPr>
          <w:ilvl w:val="0"/>
          <w:numId w:val="61"/>
        </w:numPr>
        <w:tabs>
          <w:tab w:val="clear" w:pos="360"/>
          <w:tab w:val="left" w:pos="426"/>
        </w:tabs>
        <w:spacing w:before="240" w:after="240"/>
        <w:ind w:left="0" w:firstLine="709"/>
        <w:rPr>
          <w:rFonts w:ascii="Cambria" w:hAnsi="Cambria"/>
          <w:bCs/>
          <w:color w:val="auto"/>
          <w:lang w:val="en-US"/>
        </w:rPr>
      </w:pPr>
      <w:r w:rsidRPr="007812A9">
        <w:rPr>
          <w:rFonts w:ascii="Cambria" w:hAnsi="Cambria"/>
          <w:bCs/>
          <w:color w:val="auto"/>
          <w:lang w:val="en-US"/>
        </w:rPr>
        <w:t>Finally, it is pertinent to recall that Article 46(2) of the Convention, by its nature and purpose, is a norm with autonomous content vis-à-vis the substantive norms of the American Convention. Therefore, the determination of whether the exceptions to the rule of exhaustion of domestic remedies are applicable to the case in question must be carried out prior to and separately from the analysis of the merits of the case, since it depends on a different standard of appreciation from that used to determine the possible violation of Articles 8 and 25 of the Convention. The Commission recalls that the standard of assessment at the admissibility stage differs from that used to rule on the merits of a petition; the Commission must conduct a prima facie evaluation to determine whether the petition establishes the basis for the possible or potential violation of a right guaranteed by the Convention, but not to establish the existence of a violation of rights. This determination on the characterization of violations of the American Convention constitutes a primary analysis, which does not imply prejudging the merits of the case.</w:t>
      </w:r>
      <w:r w:rsidR="00210C8E">
        <w:rPr>
          <w:rStyle w:val="FootnoteReference"/>
          <w:rFonts w:ascii="Cambria" w:hAnsi="Cambria"/>
          <w:bCs/>
          <w:color w:val="auto"/>
          <w:lang w:val="en-US"/>
        </w:rPr>
        <w:footnoteReference w:id="7"/>
      </w:r>
    </w:p>
    <w:p w14:paraId="3B45F618" w14:textId="7B1DB693" w:rsidR="00210C8E" w:rsidRPr="00895664" w:rsidRDefault="00A339C2" w:rsidP="00B1283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b/>
          <w:bCs/>
          <w:sz w:val="20"/>
          <w:szCs w:val="20"/>
        </w:rPr>
      </w:pPr>
      <w:r w:rsidRPr="00895664">
        <w:rPr>
          <w:rFonts w:ascii="Cambria" w:hAnsi="Cambria"/>
          <w:b/>
          <w:bCs/>
          <w:sz w:val="20"/>
          <w:szCs w:val="20"/>
        </w:rPr>
        <w:lastRenderedPageBreak/>
        <w:t>ANALYSIS OF COLOURABLE CLAIM</w:t>
      </w:r>
    </w:p>
    <w:p w14:paraId="608599E6" w14:textId="1411FB58" w:rsidR="00210C8E" w:rsidRDefault="00210C8E" w:rsidP="00B1283C">
      <w:pPr>
        <w:pStyle w:val="parrafos"/>
        <w:numPr>
          <w:ilvl w:val="0"/>
          <w:numId w:val="61"/>
        </w:numPr>
        <w:tabs>
          <w:tab w:val="clear" w:pos="360"/>
          <w:tab w:val="left" w:pos="426"/>
        </w:tabs>
        <w:spacing w:before="240" w:after="240"/>
        <w:ind w:left="0" w:firstLine="709"/>
        <w:rPr>
          <w:lang w:val="en-US"/>
        </w:rPr>
      </w:pPr>
      <w:r w:rsidRPr="00210C8E">
        <w:rPr>
          <w:lang w:val="en-US"/>
        </w:rPr>
        <w:t xml:space="preserve">In response to the State's argument regarding the lack of individualization of the alleged victims, it is recalled that the Commission has followed the criterion of interpretation of Article 44 of the American Convention, </w:t>
      </w:r>
      <w:r w:rsidRPr="00260699">
        <w:rPr>
          <w:rFonts w:ascii="Cambria" w:hAnsi="Cambria"/>
          <w:bCs/>
          <w:color w:val="auto"/>
          <w:lang w:val="en-US"/>
        </w:rPr>
        <w:t>requiring</w:t>
      </w:r>
      <w:r w:rsidRPr="00210C8E">
        <w:rPr>
          <w:lang w:val="en-US"/>
        </w:rPr>
        <w:t xml:space="preserve"> that for a petition to be admissible, there must be concrete, individualized and determined victims, or it must refer to a specific and defined group of victims composed of determinable individuals.</w:t>
      </w:r>
      <w:r>
        <w:rPr>
          <w:rStyle w:val="FootnoteReference"/>
          <w:lang w:val="en-US"/>
        </w:rPr>
        <w:footnoteReference w:id="8"/>
      </w:r>
      <w:r w:rsidRPr="00210C8E">
        <w:rPr>
          <w:lang w:val="en-US"/>
        </w:rPr>
        <w:t xml:space="preserve"> Likewise, the Commission has considered that the text of the aforementioned article of the Convention does not contain limitations of competence in terms of the "full and total" identification of the persons affected by the violation, but rather allows for the examination of human rights violations that - due to their characteristics - may affect a specific person or group of persons, but which are not necessarily fully identified.</w:t>
      </w:r>
      <w:r>
        <w:rPr>
          <w:rStyle w:val="FootnoteReference"/>
          <w:lang w:val="en-US"/>
        </w:rPr>
        <w:footnoteReference w:id="9"/>
      </w:r>
      <w:r w:rsidRPr="00210C8E">
        <w:rPr>
          <w:lang w:val="en-US"/>
        </w:rPr>
        <w:t xml:space="preserve"> In the present situation, twenty-two alleged victims have been established as those affected by the overflowing of the stream that occurred in San </w:t>
      </w:r>
      <w:r w:rsidR="00DE3247">
        <w:rPr>
          <w:lang w:val="en-US"/>
        </w:rPr>
        <w:t>Cristobal</w:t>
      </w:r>
      <w:r w:rsidRPr="00210C8E">
        <w:rPr>
          <w:lang w:val="en-US"/>
        </w:rPr>
        <w:t xml:space="preserve">, </w:t>
      </w:r>
      <w:r w:rsidR="00260699">
        <w:rPr>
          <w:lang w:val="en-US"/>
        </w:rPr>
        <w:t>Bogota</w:t>
      </w:r>
      <w:r w:rsidRPr="00210C8E">
        <w:rPr>
          <w:lang w:val="en-US"/>
        </w:rPr>
        <w:t>, Capital District on May 19, 1994; however, only three of the twenty-two alleged victims have been identified. In this sense, as the Inter-American Court has clarified, in the procedure of contentious cases before the Inter-American System, the final individualization of the alleged victims must be made in the merits stage before the IACHR, which must be established in the report issued by the latter in the terms of Article 50 of the American Convention.</w:t>
      </w:r>
      <w:r>
        <w:rPr>
          <w:rStyle w:val="FootnoteReference"/>
          <w:lang w:val="en-US"/>
        </w:rPr>
        <w:footnoteReference w:id="10"/>
      </w:r>
      <w:r w:rsidRPr="00210C8E">
        <w:rPr>
          <w:lang w:val="en-US"/>
        </w:rPr>
        <w:t xml:space="preserve"> </w:t>
      </w:r>
    </w:p>
    <w:p w14:paraId="59819BBC" w14:textId="70FBEB30" w:rsidR="00210C8E" w:rsidRDefault="00210C8E" w:rsidP="00B1283C">
      <w:pPr>
        <w:pStyle w:val="parrafos"/>
        <w:numPr>
          <w:ilvl w:val="0"/>
          <w:numId w:val="61"/>
        </w:numPr>
        <w:tabs>
          <w:tab w:val="clear" w:pos="360"/>
          <w:tab w:val="left" w:pos="426"/>
        </w:tabs>
        <w:spacing w:before="240" w:after="240"/>
        <w:ind w:left="0" w:firstLine="709"/>
        <w:rPr>
          <w:lang w:val="en-US"/>
        </w:rPr>
      </w:pPr>
      <w:r w:rsidRPr="00210C8E">
        <w:rPr>
          <w:lang w:val="en-US"/>
        </w:rPr>
        <w:t xml:space="preserve">Furthermore, the State alleges that the IACHR does not have the competence to become an additional instance to the national courts in order to reevaluate domestic decisions that have already been assessed by the latter. In response, the IACHR recalls that, at the present procedural stage, it must make a </w:t>
      </w:r>
      <w:r w:rsidRPr="006069C4">
        <w:rPr>
          <w:i/>
          <w:iCs/>
          <w:lang w:val="en-US"/>
        </w:rPr>
        <w:t>prima facie</w:t>
      </w:r>
      <w:r w:rsidRPr="00210C8E">
        <w:rPr>
          <w:lang w:val="en-US"/>
        </w:rPr>
        <w:t xml:space="preserve"> evaluation to </w:t>
      </w:r>
      <w:r w:rsidRPr="00260699">
        <w:rPr>
          <w:rFonts w:ascii="Cambria" w:hAnsi="Cambria"/>
          <w:bCs/>
          <w:color w:val="auto"/>
          <w:lang w:val="en-US"/>
        </w:rPr>
        <w:t>determine</w:t>
      </w:r>
      <w:r w:rsidRPr="00210C8E">
        <w:rPr>
          <w:lang w:val="en-US"/>
        </w:rPr>
        <w:t xml:space="preserve"> whether the petition establishes the basis for the possible or potential violation of a right guaranteed by the Convention, but not to establish the existence of a violation of rights. This determination on the characterization of violations of the American Convention constitutes a primary analysis, which does not imply prejudging the merits of the case. For purposes of admissibility, the Commission must decide whether the alleged facts can be characterized as a violation of rights, as stipulated in Article 47(b) of the American Convention, or whether the petition is "manifestly groundless" or "obviously out of order" under Article 47(c) of the American Convention.</w:t>
      </w:r>
    </w:p>
    <w:p w14:paraId="144148AE" w14:textId="3C87E602" w:rsidR="006069C4" w:rsidRDefault="006069C4" w:rsidP="00B1283C">
      <w:pPr>
        <w:pStyle w:val="parrafos"/>
        <w:numPr>
          <w:ilvl w:val="0"/>
          <w:numId w:val="61"/>
        </w:numPr>
        <w:tabs>
          <w:tab w:val="clear" w:pos="360"/>
          <w:tab w:val="left" w:pos="426"/>
        </w:tabs>
        <w:spacing w:before="240" w:after="240"/>
        <w:ind w:left="0" w:firstLine="709"/>
        <w:rPr>
          <w:lang w:val="en-US"/>
        </w:rPr>
      </w:pPr>
      <w:r w:rsidRPr="006069C4">
        <w:rPr>
          <w:lang w:val="en-US"/>
        </w:rPr>
        <w:t>In the instant case, the petitioner alleges that the public defender assigned by the Ombudsman's Office failed to take the appropriate steps before the Administrative Court of Cundinamarca and, as a result, they were not compensated in the administrative proceedings. With regard to this controversy, the Commission recalls that, in accordance with inter-</w:t>
      </w:r>
      <w:r w:rsidRPr="00260699">
        <w:rPr>
          <w:rFonts w:ascii="Cambria" w:hAnsi="Cambria"/>
          <w:bCs/>
          <w:color w:val="auto"/>
          <w:lang w:val="en-US"/>
        </w:rPr>
        <w:t>American</w:t>
      </w:r>
      <w:r w:rsidRPr="006069C4">
        <w:rPr>
          <w:lang w:val="en-US"/>
        </w:rPr>
        <w:t xml:space="preserve"> jurisprudence, in order to analyze whether there has been a possible violation of the right to defense by the State, it is necessary to determine whether or not the State has violated the right of defense it is necessary to assess whether the actions or omissions of the public defender constituted inexcusable negligence or manifest failure in the exercise of the defense, which had - or could have - a decisive adverse effect on the interests of the accused.</w:t>
      </w:r>
      <w:r w:rsidRPr="006069C4">
        <w:rPr>
          <w:rStyle w:val="FootnoteReference"/>
          <w:lang w:val="en-US"/>
        </w:rPr>
        <w:t xml:space="preserve"> </w:t>
      </w:r>
      <w:r>
        <w:rPr>
          <w:rStyle w:val="FootnoteReference"/>
          <w:lang w:val="en-US"/>
        </w:rPr>
        <w:footnoteReference w:id="11"/>
      </w:r>
      <w:r w:rsidRPr="006069C4">
        <w:rPr>
          <w:lang w:val="en-US"/>
        </w:rPr>
        <w:t xml:space="preserve"> This, since "the legal assistance provided by the State must be effective".</w:t>
      </w:r>
      <w:r>
        <w:rPr>
          <w:rStyle w:val="FootnoteReference"/>
          <w:lang w:val="en-US"/>
        </w:rPr>
        <w:footnoteReference w:id="12"/>
      </w:r>
      <w:r w:rsidRPr="006069C4">
        <w:rPr>
          <w:lang w:val="en-US"/>
        </w:rPr>
        <w:t xml:space="preserve"> Based on the aforementioned parameters, the Commission considers that, </w:t>
      </w:r>
      <w:r w:rsidRPr="00A9166F">
        <w:rPr>
          <w:i/>
          <w:iCs/>
          <w:lang w:val="en-US"/>
        </w:rPr>
        <w:t>prima facie</w:t>
      </w:r>
      <w:r w:rsidRPr="006069C4">
        <w:rPr>
          <w:lang w:val="en-US"/>
        </w:rPr>
        <w:t>, the omissions of the public defender could characterize a violation of the right to defense, since the public defender is the one who represents in all instances and must look out for the best interests of those he represents.</w:t>
      </w:r>
    </w:p>
    <w:p w14:paraId="73B3474C" w14:textId="153C4AC2" w:rsidR="00210C8E" w:rsidRPr="00260699" w:rsidRDefault="006069C4" w:rsidP="00B1283C">
      <w:pPr>
        <w:pStyle w:val="parrafos"/>
        <w:numPr>
          <w:ilvl w:val="0"/>
          <w:numId w:val="61"/>
        </w:numPr>
        <w:tabs>
          <w:tab w:val="clear" w:pos="360"/>
          <w:tab w:val="left" w:pos="426"/>
        </w:tabs>
        <w:spacing w:before="240" w:after="240"/>
        <w:ind w:left="0" w:firstLine="709"/>
        <w:rPr>
          <w:lang w:val="en-US"/>
        </w:rPr>
      </w:pPr>
      <w:r w:rsidRPr="00260699">
        <w:rPr>
          <w:lang w:val="en-US"/>
        </w:rPr>
        <w:t xml:space="preserve">In view of these </w:t>
      </w:r>
      <w:r w:rsidRPr="00260699">
        <w:rPr>
          <w:rFonts w:ascii="Cambria" w:hAnsi="Cambria"/>
          <w:bCs/>
          <w:color w:val="auto"/>
          <w:lang w:val="en-US"/>
        </w:rPr>
        <w:t>considerations</w:t>
      </w:r>
      <w:r w:rsidRPr="00260699">
        <w:rPr>
          <w:lang w:val="en-US"/>
        </w:rPr>
        <w:t xml:space="preserve"> and after examining the elements of fact and law presented by the parties, the Commission considers that the allegations of the petitioner are not manifestly unfounded and require a study of the merits; since the alleged facts, if corroborated as true, could characterize violations of Articles 8 (</w:t>
      </w:r>
      <w:r w:rsidR="00A9166F" w:rsidRPr="00260699">
        <w:rPr>
          <w:lang w:val="en-US"/>
        </w:rPr>
        <w:t>the right to fair trial</w:t>
      </w:r>
      <w:r w:rsidRPr="00260699">
        <w:rPr>
          <w:lang w:val="en-US"/>
        </w:rPr>
        <w:t xml:space="preserve">) and 25 (judicial protection) of the American Convention, in connection with its </w:t>
      </w:r>
      <w:r w:rsidRPr="00260699">
        <w:rPr>
          <w:lang w:val="en-US"/>
        </w:rPr>
        <w:lastRenderedPageBreak/>
        <w:t>Article 1(1) (obligation to respect rights), to the detriment of the alleged victims, in the terms of the present report.</w:t>
      </w:r>
    </w:p>
    <w:p w14:paraId="3115C7C1" w14:textId="2FC991E4" w:rsidR="00A9166F" w:rsidRPr="00A9166F" w:rsidRDefault="00A9166F" w:rsidP="00B1283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pPr>
      <w:r w:rsidRPr="00895664">
        <w:rPr>
          <w:rFonts w:ascii="Cambria" w:hAnsi="Cambria"/>
          <w:b/>
          <w:bCs/>
          <w:sz w:val="20"/>
          <w:szCs w:val="20"/>
        </w:rPr>
        <w:t>DECISION</w:t>
      </w:r>
    </w:p>
    <w:p w14:paraId="1EB1FB18" w14:textId="21DEFDA6" w:rsidR="00A9166F" w:rsidRPr="00260699" w:rsidRDefault="00A9166F" w:rsidP="00B1283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260699">
        <w:rPr>
          <w:rFonts w:ascii="Cambria" w:hAnsi="Cambria"/>
          <w:sz w:val="20"/>
          <w:szCs w:val="20"/>
        </w:rPr>
        <w:t>To declare the present petition admissible in relation to Articles 8 and 25 of the American Convention, in accordance with Article 1(1) thereof; and</w:t>
      </w:r>
    </w:p>
    <w:p w14:paraId="3EB9EFFF" w14:textId="73E16431" w:rsidR="00A5120A" w:rsidRPr="005A681F" w:rsidRDefault="00A9166F" w:rsidP="00A5120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rPr>
      </w:pPr>
      <w:r w:rsidRPr="00260699">
        <w:rPr>
          <w:rFonts w:ascii="Cambria" w:hAnsi="Cambria"/>
          <w:sz w:val="20"/>
          <w:szCs w:val="20"/>
        </w:rPr>
        <w:t xml:space="preserve">To notify the parties of this decision; to </w:t>
      </w:r>
      <w:r w:rsidR="00260699">
        <w:rPr>
          <w:rFonts w:ascii="Cambria" w:hAnsi="Cambria"/>
          <w:sz w:val="20"/>
          <w:szCs w:val="20"/>
        </w:rPr>
        <w:t>procced</w:t>
      </w:r>
      <w:r w:rsidRPr="00260699">
        <w:rPr>
          <w:rFonts w:ascii="Cambria" w:hAnsi="Cambria"/>
          <w:sz w:val="20"/>
          <w:szCs w:val="20"/>
        </w:rPr>
        <w:t xml:space="preserve"> </w:t>
      </w:r>
      <w:r w:rsidR="00260699">
        <w:rPr>
          <w:rFonts w:ascii="Cambria" w:hAnsi="Cambria"/>
          <w:sz w:val="20"/>
          <w:szCs w:val="20"/>
        </w:rPr>
        <w:t>to</w:t>
      </w:r>
      <w:r w:rsidRPr="00260699">
        <w:rPr>
          <w:rFonts w:ascii="Cambria" w:hAnsi="Cambria"/>
          <w:sz w:val="20"/>
          <w:szCs w:val="20"/>
        </w:rPr>
        <w:t xml:space="preserve"> the analysis of the merits of the matter; and to publish this decision and include it in its Annual Report to the General Assembly of the Organization of American States.</w:t>
      </w:r>
    </w:p>
    <w:p w14:paraId="672DF47B" w14:textId="3F1C00E1" w:rsidR="00A5120A" w:rsidRPr="005A681F" w:rsidRDefault="005A681F" w:rsidP="005A681F">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23</w:t>
      </w:r>
      <w:r>
        <w:rPr>
          <w:rFonts w:ascii="Cambria" w:hAnsi="Cambria"/>
          <w:spacing w:val="-2"/>
          <w:sz w:val="20"/>
          <w:vertAlign w:val="superscript"/>
        </w:rPr>
        <w:t>rd</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September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5A681F">
        <w:rPr>
          <w:rStyle w:val="normaltextrun"/>
          <w:rFonts w:ascii="Cambria" w:hAnsi="Cambria" w:cs="Segoe UI"/>
          <w:sz w:val="20"/>
          <w:szCs w:val="20"/>
        </w:rPr>
        <w:t xml:space="preserve">Esmeralda Arosemena de Troitiño, </w:t>
      </w:r>
      <w:r>
        <w:rPr>
          <w:rStyle w:val="normaltextrun"/>
          <w:rFonts w:ascii="Cambria" w:hAnsi="Cambria" w:cs="Segoe UI"/>
          <w:sz w:val="20"/>
          <w:szCs w:val="20"/>
        </w:rPr>
        <w:t xml:space="preserve">First </w:t>
      </w:r>
      <w:r w:rsidRPr="00CA3324">
        <w:rPr>
          <w:rStyle w:val="normaltextrun"/>
          <w:rFonts w:ascii="Cambria" w:hAnsi="Cambria" w:cs="Segoe UI"/>
          <w:sz w:val="20"/>
          <w:szCs w:val="20"/>
        </w:rPr>
        <w:t xml:space="preserve">Vice </w:t>
      </w:r>
      <w:r>
        <w:rPr>
          <w:rStyle w:val="normaltextrun"/>
          <w:rFonts w:ascii="Cambria" w:hAnsi="Cambria" w:cs="Segoe UI"/>
          <w:sz w:val="20"/>
          <w:szCs w:val="20"/>
        </w:rPr>
        <w:t>Pr</w:t>
      </w:r>
      <w:r w:rsidRPr="00CA3324">
        <w:rPr>
          <w:rStyle w:val="normaltextrun"/>
          <w:rFonts w:ascii="Cambria" w:hAnsi="Cambria" w:cs="Segoe UI"/>
          <w:sz w:val="20"/>
          <w:szCs w:val="20"/>
        </w:rPr>
        <w:t>esident;</w:t>
      </w:r>
      <w:r>
        <w:rPr>
          <w:rStyle w:val="normaltextrun"/>
          <w:rFonts w:ascii="Cambria" w:hAnsi="Cambria" w:cs="Segoe UI"/>
          <w:sz w:val="20"/>
          <w:szCs w:val="20"/>
        </w:rPr>
        <w:t xml:space="preserve"> </w:t>
      </w:r>
      <w:r w:rsidRPr="005A681F">
        <w:rPr>
          <w:rStyle w:val="normaltextrun"/>
          <w:rFonts w:ascii="Cambria" w:hAnsi="Cambria" w:cs="Segoe UI"/>
          <w:sz w:val="20"/>
          <w:szCs w:val="20"/>
        </w:rPr>
        <w:t xml:space="preserve">Roberta Clarke, </w:t>
      </w:r>
      <w:r w:rsidRPr="00CA3324">
        <w:rPr>
          <w:rStyle w:val="normaltextrun"/>
          <w:rFonts w:ascii="Cambria" w:hAnsi="Cambria" w:cs="Segoe UI"/>
          <w:sz w:val="20"/>
          <w:szCs w:val="20"/>
        </w:rPr>
        <w:t>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w:t>
      </w:r>
      <w:r>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Stuardo Ralón Orellana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sectPr w:rsidR="00A5120A" w:rsidRPr="005A681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CF91" w14:textId="77777777" w:rsidR="000823C1" w:rsidRDefault="000823C1">
      <w:r>
        <w:separator/>
      </w:r>
    </w:p>
  </w:endnote>
  <w:endnote w:type="continuationSeparator" w:id="0">
    <w:p w14:paraId="5BD2185B" w14:textId="77777777" w:rsidR="000823C1" w:rsidRDefault="0008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606C65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515D5">
          <w:rPr>
            <w:noProof/>
            <w:sz w:val="16"/>
            <w:szCs w:val="22"/>
          </w:rPr>
          <w:t>4</w:t>
        </w:r>
        <w:r w:rsidRPr="00934A2C">
          <w:rPr>
            <w:noProof/>
            <w:sz w:val="16"/>
            <w:szCs w:val="22"/>
          </w:rPr>
          <w:fldChar w:fldCharType="end"/>
        </w:r>
      </w:p>
    </w:sdtContent>
  </w:sdt>
  <w:p w14:paraId="39733074"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B328" w14:textId="77777777" w:rsidR="0070697F" w:rsidRPr="00934A2C" w:rsidRDefault="0070697F">
    <w:pPr>
      <w:pStyle w:val="Footer"/>
      <w:jc w:val="center"/>
      <w:rPr>
        <w:sz w:val="16"/>
        <w:szCs w:val="22"/>
      </w:rPr>
    </w:pPr>
  </w:p>
  <w:p w14:paraId="1D97EE6F"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2665" w14:textId="77777777" w:rsidR="000823C1" w:rsidRPr="000F35ED" w:rsidRDefault="000823C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698E03" w14:textId="77777777" w:rsidR="000823C1" w:rsidRPr="000F35ED" w:rsidRDefault="000823C1" w:rsidP="000F35ED">
      <w:pPr>
        <w:rPr>
          <w:rFonts w:asciiTheme="majorHAnsi" w:hAnsiTheme="majorHAnsi"/>
          <w:sz w:val="16"/>
          <w:szCs w:val="16"/>
        </w:rPr>
      </w:pPr>
      <w:r w:rsidRPr="000F35ED">
        <w:rPr>
          <w:rFonts w:asciiTheme="majorHAnsi" w:hAnsiTheme="majorHAnsi"/>
          <w:sz w:val="16"/>
          <w:szCs w:val="16"/>
        </w:rPr>
        <w:separator/>
      </w:r>
    </w:p>
    <w:p w14:paraId="4A7A03E6" w14:textId="77777777" w:rsidR="000823C1" w:rsidRPr="000F35ED" w:rsidRDefault="000823C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AAC4F81" w14:textId="77777777" w:rsidR="000823C1" w:rsidRPr="000F35ED" w:rsidRDefault="000823C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207C4D6" w14:textId="6D53AFA2" w:rsidR="00452E3C" w:rsidRPr="00B1283C" w:rsidRDefault="00452E3C" w:rsidP="00A5120A">
      <w:pPr>
        <w:pStyle w:val="FootnoteText"/>
        <w:ind w:firstLine="720"/>
        <w:rPr>
          <w:lang w:val="pt-BR"/>
        </w:rPr>
      </w:pPr>
      <w:r>
        <w:rPr>
          <w:rStyle w:val="FootnoteReference"/>
        </w:rPr>
        <w:footnoteRef/>
      </w:r>
      <w:r>
        <w:t xml:space="preserve"> The petition references twenty</w:t>
      </w:r>
      <w:r w:rsidR="009A6411">
        <w:t>-</w:t>
      </w:r>
      <w:r>
        <w:t>two alleged victims</w:t>
      </w:r>
      <w:r w:rsidR="009A6411">
        <w:t>;</w:t>
      </w:r>
      <w:r>
        <w:t xml:space="preserve"> however in the petition there is individualization of three of them only: 1. </w:t>
      </w:r>
      <w:r w:rsidRPr="00B1283C">
        <w:rPr>
          <w:lang w:val="pt-BR"/>
        </w:rPr>
        <w:t xml:space="preserve">Luz Marina Benito </w:t>
      </w:r>
      <w:r w:rsidR="0027658D" w:rsidRPr="00B1283C">
        <w:rPr>
          <w:lang w:val="pt-BR"/>
        </w:rPr>
        <w:t>Cespedes</w:t>
      </w:r>
      <w:r w:rsidRPr="00B1283C">
        <w:rPr>
          <w:lang w:val="pt-BR"/>
        </w:rPr>
        <w:t xml:space="preserve">; 2. Adelmo Benito </w:t>
      </w:r>
      <w:r w:rsidR="0027658D" w:rsidRPr="00B1283C">
        <w:rPr>
          <w:lang w:val="pt-BR"/>
        </w:rPr>
        <w:t>Cespedes</w:t>
      </w:r>
      <w:r w:rsidRPr="00B1283C">
        <w:rPr>
          <w:lang w:val="pt-BR"/>
        </w:rPr>
        <w:t>; and 3. Angelmiro Ávila.</w:t>
      </w:r>
    </w:p>
  </w:footnote>
  <w:footnote w:id="3">
    <w:p w14:paraId="4E4AB6DB" w14:textId="16EF7D70" w:rsidR="008C4E7B" w:rsidRDefault="008C4E7B" w:rsidP="00A5120A">
      <w:pPr>
        <w:pStyle w:val="FootnoteText"/>
        <w:ind w:firstLine="720"/>
      </w:pPr>
      <w:r>
        <w:rPr>
          <w:rStyle w:val="FootnoteReference"/>
        </w:rPr>
        <w:footnoteRef/>
      </w:r>
      <w:r>
        <w:t xml:space="preserve"> Based on article 17.2.a) of the Rules of the Commission, Commissioner Carlos Bernal Pulido, a Colombian national, did not participated in the debate or decision of the matter.</w:t>
      </w:r>
    </w:p>
  </w:footnote>
  <w:footnote w:id="4">
    <w:p w14:paraId="68B158CF" w14:textId="50111B5B" w:rsidR="00452E3C" w:rsidRDefault="00452E3C" w:rsidP="00A5120A">
      <w:pPr>
        <w:pStyle w:val="FootnoteText"/>
        <w:ind w:firstLine="720"/>
      </w:pPr>
      <w:r w:rsidRPr="002955C7">
        <w:rPr>
          <w:rFonts w:ascii="Cambria" w:hAnsi="Cambria"/>
          <w:vertAlign w:val="superscript"/>
        </w:rPr>
        <w:footnoteRef/>
      </w:r>
      <w:r w:rsidRPr="002955C7">
        <w:rPr>
          <w:rFonts w:ascii="Cambria" w:hAnsi="Cambria"/>
        </w:rPr>
        <w:t xml:space="preserve"> Hereinafter “the American Convention” or “the Convention”.</w:t>
      </w:r>
    </w:p>
  </w:footnote>
  <w:footnote w:id="5">
    <w:p w14:paraId="76A8D95C" w14:textId="77777777" w:rsidR="00452E3C" w:rsidRPr="000B6B7A" w:rsidRDefault="00452E3C" w:rsidP="006B2350">
      <w:pPr>
        <w:pStyle w:val="FootnoteText"/>
        <w:ind w:firstLine="720"/>
        <w:rPr>
          <w:rFonts w:ascii="Cambria" w:hAnsi="Cambria"/>
        </w:rPr>
      </w:pPr>
      <w:r w:rsidRPr="000B6B7A">
        <w:rPr>
          <w:rStyle w:val="FootnoteReference"/>
          <w:rFonts w:ascii="Cambria" w:hAnsi="Cambria"/>
        </w:rPr>
        <w:footnoteRef/>
      </w:r>
      <w:r w:rsidRPr="000B6B7A">
        <w:rPr>
          <w:rFonts w:ascii="Cambria" w:hAnsi="Cambria"/>
        </w:rPr>
        <w:t xml:space="preserve"> </w:t>
      </w:r>
      <w:r>
        <w:rPr>
          <w:rFonts w:ascii="Cambria" w:hAnsi="Cambria"/>
        </w:rPr>
        <w:t>The observations submitted by each party were duly transmitted to the opposing party.</w:t>
      </w:r>
    </w:p>
  </w:footnote>
  <w:footnote w:id="6">
    <w:p w14:paraId="2BD3B657" w14:textId="17B09391" w:rsidR="007812A9" w:rsidRPr="007812A9" w:rsidRDefault="007812A9" w:rsidP="00A5120A">
      <w:pPr>
        <w:pStyle w:val="FootnoteText"/>
        <w:ind w:firstLine="720"/>
      </w:pPr>
      <w:r>
        <w:rPr>
          <w:rStyle w:val="FootnoteReference"/>
        </w:rPr>
        <w:footnoteRef/>
      </w:r>
      <w:r>
        <w:t xml:space="preserve"> See: IACHR, Report N. 214/22. Petition 867-09. Admissibility. </w:t>
      </w:r>
      <w:r w:rsidRPr="006B2350">
        <w:t xml:space="preserve">Abelardo Arévalo Choque and others. </w:t>
      </w:r>
      <w:r w:rsidRPr="007812A9">
        <w:t>Bolivia. August 13, 2022, par. 49 and IACHR, Report N. 29/17, P</w:t>
      </w:r>
      <w:r>
        <w:t>etition 424-12. Admissibility, Manuela and family, El Salvador. March 18, 2017, par. 12.</w:t>
      </w:r>
    </w:p>
  </w:footnote>
  <w:footnote w:id="7">
    <w:p w14:paraId="718B3D9E" w14:textId="22920C05" w:rsidR="00210C8E" w:rsidRPr="00210C8E" w:rsidRDefault="00210C8E" w:rsidP="00A5120A">
      <w:pPr>
        <w:pStyle w:val="FootnoteText"/>
        <w:ind w:firstLine="720"/>
      </w:pPr>
      <w:r>
        <w:rPr>
          <w:rStyle w:val="FootnoteReference"/>
        </w:rPr>
        <w:footnoteRef/>
      </w:r>
      <w:r>
        <w:t xml:space="preserve"> IACHR, Report N. 69/08, Petition 681-00. Admissibility. </w:t>
      </w:r>
      <w:r w:rsidRPr="006B2350">
        <w:t xml:space="preserve">Guillermo Patricio Lynn. Argentina. </w:t>
      </w:r>
      <w:r w:rsidRPr="00210C8E">
        <w:t>October 16, 2008, par. 48.</w:t>
      </w:r>
    </w:p>
  </w:footnote>
  <w:footnote w:id="8">
    <w:p w14:paraId="10F68C88" w14:textId="1A21E6ED" w:rsidR="00210C8E" w:rsidRPr="00401879" w:rsidRDefault="00210C8E" w:rsidP="00A5120A">
      <w:pPr>
        <w:pStyle w:val="FootnoteText"/>
        <w:ind w:firstLine="720"/>
        <w:rPr>
          <w:rFonts w:ascii="Cambria" w:hAnsi="Cambria"/>
          <w:color w:val="auto"/>
        </w:rPr>
      </w:pPr>
      <w:r w:rsidRPr="00401879">
        <w:rPr>
          <w:rStyle w:val="FootnoteReference"/>
          <w:rFonts w:ascii="Cambria" w:hAnsi="Cambria"/>
          <w:color w:val="auto"/>
        </w:rPr>
        <w:footnoteRef/>
      </w:r>
      <w:r w:rsidRPr="00401879">
        <w:rPr>
          <w:rFonts w:ascii="Cambria" w:hAnsi="Cambria"/>
          <w:color w:val="auto"/>
        </w:rPr>
        <w:t xml:space="preserve"> IACHR, Report N. 57/08, Petition 283/06. Inadmissibility. Mario Roberto Chang Bravo. Guatemala. July 24, 2008, par. 38.</w:t>
      </w:r>
    </w:p>
  </w:footnote>
  <w:footnote w:id="9">
    <w:p w14:paraId="4BE5AB6C" w14:textId="7DB78804" w:rsidR="00210C8E" w:rsidRPr="00401879" w:rsidRDefault="00210C8E" w:rsidP="00A5120A">
      <w:pPr>
        <w:pStyle w:val="FootnoteText"/>
        <w:ind w:firstLine="720"/>
        <w:rPr>
          <w:rFonts w:ascii="Cambria" w:hAnsi="Cambria"/>
          <w:color w:val="auto"/>
        </w:rPr>
      </w:pPr>
      <w:r w:rsidRPr="00401879">
        <w:rPr>
          <w:rStyle w:val="FootnoteReference"/>
          <w:rFonts w:ascii="Cambria" w:hAnsi="Cambria"/>
          <w:color w:val="auto"/>
        </w:rPr>
        <w:footnoteRef/>
      </w:r>
      <w:r w:rsidRPr="00401879">
        <w:rPr>
          <w:rFonts w:ascii="Cambria" w:hAnsi="Cambria"/>
          <w:color w:val="auto"/>
        </w:rPr>
        <w:t xml:space="preserve"> IACHR, Report N. 61/16. Case 12.325. Admissibility. Peace Community of San José de Apartadó. Colombia. December 6, 2016, par. 62. </w:t>
      </w:r>
    </w:p>
  </w:footnote>
  <w:footnote w:id="10">
    <w:p w14:paraId="2794C2ED" w14:textId="438086C5" w:rsidR="00210C8E" w:rsidRPr="00401879" w:rsidRDefault="00210C8E" w:rsidP="00A5120A">
      <w:pPr>
        <w:pStyle w:val="FootnoteText"/>
        <w:ind w:firstLine="720"/>
        <w:rPr>
          <w:rFonts w:ascii="Cambria" w:hAnsi="Cambria"/>
          <w:color w:val="auto"/>
        </w:rPr>
      </w:pPr>
      <w:r w:rsidRPr="00401879">
        <w:rPr>
          <w:rStyle w:val="FootnoteReference"/>
          <w:rFonts w:ascii="Cambria" w:hAnsi="Cambria"/>
          <w:color w:val="auto"/>
        </w:rPr>
        <w:footnoteRef/>
      </w:r>
      <w:r w:rsidRPr="00401879">
        <w:rPr>
          <w:rFonts w:ascii="Cambria" w:hAnsi="Cambria"/>
          <w:color w:val="auto"/>
        </w:rPr>
        <w:t xml:space="preserve"> </w:t>
      </w:r>
      <w:r w:rsidR="006069C4" w:rsidRPr="00401879">
        <w:rPr>
          <w:rFonts w:ascii="Cambria" w:hAnsi="Cambria" w:cs="Open Sans"/>
          <w:color w:val="auto"/>
          <w:shd w:val="clear" w:color="auto" w:fill="FFFFFF"/>
        </w:rPr>
        <w:t xml:space="preserve">I/A Court H.R., Case of Habbal et al. v. Argentina. Preliminary Objections and Merits. Judgment of August 31, 2022. </w:t>
      </w:r>
      <w:r w:rsidR="006069C4" w:rsidRPr="00401879">
        <w:rPr>
          <w:rFonts w:ascii="Cambria" w:hAnsi="Cambria" w:cs="Open Sans"/>
          <w:color w:val="auto"/>
          <w:shd w:val="clear" w:color="auto" w:fill="FFFFFF"/>
          <w:lang w:val="es-ES"/>
        </w:rPr>
        <w:t xml:space="preserve">Series C No. 463, par. 23; I/A Court H.R., Case of Vereda La Esperanza v. Colombia. </w:t>
      </w:r>
      <w:r w:rsidR="006069C4" w:rsidRPr="00401879">
        <w:rPr>
          <w:rFonts w:ascii="Cambria" w:hAnsi="Cambria" w:cs="Open Sans"/>
          <w:color w:val="auto"/>
          <w:shd w:val="clear" w:color="auto" w:fill="FFFFFF"/>
        </w:rPr>
        <w:t>Interpretation of the Judgment on Preliminary Objection, Merits, Reparations and Costs. Judgment of November 21, 2018. Series C No. 367, par. 32.</w:t>
      </w:r>
    </w:p>
  </w:footnote>
  <w:footnote w:id="11">
    <w:p w14:paraId="265903D9" w14:textId="77777777" w:rsidR="006069C4" w:rsidRPr="00401879" w:rsidRDefault="006069C4" w:rsidP="00A5120A">
      <w:pPr>
        <w:pStyle w:val="FootnoteText"/>
        <w:ind w:firstLine="720"/>
        <w:rPr>
          <w:rFonts w:ascii="Cambria" w:hAnsi="Cambria"/>
          <w:color w:val="auto"/>
        </w:rPr>
      </w:pPr>
      <w:r w:rsidRPr="00401879">
        <w:rPr>
          <w:rStyle w:val="FootnoteReference"/>
          <w:rFonts w:ascii="Cambria" w:hAnsi="Cambria"/>
          <w:color w:val="auto"/>
        </w:rPr>
        <w:footnoteRef/>
      </w:r>
      <w:r w:rsidRPr="00401879">
        <w:rPr>
          <w:rFonts w:ascii="Cambria" w:hAnsi="Cambria"/>
          <w:color w:val="auto"/>
        </w:rPr>
        <w:t xml:space="preserve"> </w:t>
      </w:r>
      <w:r w:rsidRPr="00401879">
        <w:rPr>
          <w:rFonts w:ascii="Cambria" w:hAnsi="Cambria" w:cs="Open Sans"/>
          <w:color w:val="auto"/>
          <w:shd w:val="clear" w:color="auto" w:fill="FFFFFF"/>
        </w:rPr>
        <w:t xml:space="preserve">I/A Court H.R., Case of Ruano Torres et al. v. El Salvador. Merits, Reparations and Costs. Judgment of October 5, 2015. Series C No. 303, par. 164. </w:t>
      </w:r>
    </w:p>
  </w:footnote>
  <w:footnote w:id="12">
    <w:p w14:paraId="36881247" w14:textId="7C2BF58B" w:rsidR="006069C4" w:rsidRDefault="006069C4" w:rsidP="00A5120A">
      <w:pPr>
        <w:pStyle w:val="FootnoteText"/>
        <w:ind w:firstLine="720"/>
      </w:pPr>
      <w:r w:rsidRPr="00401879">
        <w:rPr>
          <w:rStyle w:val="FootnoteReference"/>
          <w:rFonts w:ascii="Cambria" w:hAnsi="Cambria"/>
          <w:color w:val="auto"/>
        </w:rPr>
        <w:footnoteRef/>
      </w:r>
      <w:r w:rsidRPr="00401879">
        <w:rPr>
          <w:rFonts w:ascii="Cambria" w:hAnsi="Cambria"/>
          <w:color w:val="auto"/>
        </w:rPr>
        <w:t xml:space="preserve"> </w:t>
      </w:r>
      <w:r w:rsidRPr="00401879">
        <w:rPr>
          <w:rFonts w:ascii="Cambria" w:hAnsi="Cambria" w:cs="Open Sans"/>
          <w:color w:val="auto"/>
          <w:shd w:val="clear" w:color="auto" w:fill="FFFFFF"/>
        </w:rPr>
        <w:t>I/A Court H.R., Case of Chaparro Álvarez and Lapo Íñiguez. v. Ecuador. Preliminary Objections, Merits, Reparations and Costs. Judgment of November 21, 2007. Series C No. 170, par. 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F876"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08DADD2"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BEDB" w14:textId="064C03CC" w:rsidR="00A50FCF" w:rsidRDefault="00F64EFC" w:rsidP="00A50FCF">
    <w:pPr>
      <w:pStyle w:val="Header"/>
      <w:tabs>
        <w:tab w:val="clear" w:pos="4320"/>
        <w:tab w:val="clear" w:pos="8640"/>
      </w:tabs>
      <w:jc w:val="center"/>
      <w:rPr>
        <w:sz w:val="22"/>
        <w:szCs w:val="22"/>
      </w:rPr>
    </w:pPr>
    <w:r w:rsidRPr="000C7278">
      <w:rPr>
        <w:noProof/>
        <w:sz w:val="22"/>
        <w:szCs w:val="22"/>
      </w:rPr>
      <w:drawing>
        <wp:inline distT="0" distB="0" distL="0" distR="0" wp14:anchorId="2D3A5086" wp14:editId="312FF87C">
          <wp:extent cx="2212340" cy="115570"/>
          <wp:effectExtent l="0" t="0" r="0" b="0"/>
          <wp:docPr id="14" name="Picture 14"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340" cy="115570"/>
                  </a:xfrm>
                  <a:prstGeom prst="rect">
                    <a:avLst/>
                  </a:prstGeom>
                  <a:noFill/>
                  <a:ln>
                    <a:noFill/>
                  </a:ln>
                </pic:spPr>
              </pic:pic>
            </a:graphicData>
          </a:graphic>
        </wp:inline>
      </w:drawing>
    </w:r>
  </w:p>
  <w:p w14:paraId="00D89AA0" w14:textId="77777777" w:rsidR="00040C3A" w:rsidRPr="00EC7D62" w:rsidRDefault="004B67A7" w:rsidP="00A50FCF">
    <w:pPr>
      <w:pStyle w:val="Header"/>
      <w:tabs>
        <w:tab w:val="clear" w:pos="4320"/>
        <w:tab w:val="clear" w:pos="8640"/>
      </w:tabs>
      <w:jc w:val="center"/>
      <w:rPr>
        <w:sz w:val="22"/>
        <w:szCs w:val="22"/>
      </w:rPr>
    </w:pPr>
    <w:r>
      <w:rPr>
        <w:noProof/>
        <w:sz w:val="22"/>
        <w:szCs w:val="22"/>
        <w:bdr w:val="nil"/>
      </w:rPr>
      <w:pict w14:anchorId="5273DA7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8E33683"/>
    <w:multiLevelType w:val="hybridMultilevel"/>
    <w:tmpl w:val="D4568F96"/>
    <w:lvl w:ilvl="0" w:tplc="395CF7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5C86E75"/>
    <w:multiLevelType w:val="hybridMultilevel"/>
    <w:tmpl w:val="7C5E8D1A"/>
    <w:lvl w:ilvl="0" w:tplc="83806AB4">
      <w:start w:val="5"/>
      <w:numFmt w:val="upperRoman"/>
      <w:pStyle w:val="Heading1"/>
      <w:lvlText w:val="%1."/>
      <w:lvlJc w:val="left"/>
      <w:pPr>
        <w:ind w:left="1080" w:hanging="720"/>
      </w:pPr>
      <w:rPr>
        <w:rFonts w:ascii="Cambria" w:hAnsi="Cambria"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267F28"/>
    <w:multiLevelType w:val="hybridMultilevel"/>
    <w:tmpl w:val="F0B6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D7D4B9D"/>
    <w:multiLevelType w:val="hybridMultilevel"/>
    <w:tmpl w:val="BA26C80E"/>
    <w:lvl w:ilvl="0" w:tplc="45B83728">
      <w:start w:val="1"/>
      <w:numFmt w:val="decimal"/>
      <w:pStyle w:val="parrafos"/>
      <w:lvlText w:val="%1."/>
      <w:lvlJc w:val="left"/>
      <w:pPr>
        <w:ind w:left="360" w:hanging="360"/>
      </w:pPr>
      <w:rPr>
        <w:rFonts w:ascii="Cambria" w:hAnsi="Cambria" w:hint="default"/>
        <w:b w:val="0"/>
        <w:i w:val="0"/>
        <w:iCs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77C4AC9"/>
    <w:multiLevelType w:val="multilevel"/>
    <w:tmpl w:val="14381FFE"/>
    <w:styleLink w:val="CurrentList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F170666"/>
    <w:multiLevelType w:val="hybridMultilevel"/>
    <w:tmpl w:val="0CFEBA9E"/>
    <w:lvl w:ilvl="0" w:tplc="A1C0C2C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091B63"/>
    <w:multiLevelType w:val="hybridMultilevel"/>
    <w:tmpl w:val="11C057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81090788">
    <w:abstractNumId w:val="3"/>
  </w:num>
  <w:num w:numId="2" w16cid:durableId="1546062174">
    <w:abstractNumId w:val="4"/>
  </w:num>
  <w:num w:numId="3" w16cid:durableId="933905007">
    <w:abstractNumId w:val="54"/>
  </w:num>
  <w:num w:numId="4" w16cid:durableId="2135367289">
    <w:abstractNumId w:val="20"/>
  </w:num>
  <w:num w:numId="5" w16cid:durableId="844904812">
    <w:abstractNumId w:val="47"/>
  </w:num>
  <w:num w:numId="6" w16cid:durableId="843596710">
    <w:abstractNumId w:val="26"/>
  </w:num>
  <w:num w:numId="7" w16cid:durableId="1313412796">
    <w:abstractNumId w:val="5"/>
  </w:num>
  <w:num w:numId="8" w16cid:durableId="171726655">
    <w:abstractNumId w:val="16"/>
  </w:num>
  <w:num w:numId="9" w16cid:durableId="843739355">
    <w:abstractNumId w:val="41"/>
  </w:num>
  <w:num w:numId="10" w16cid:durableId="1629777764">
    <w:abstractNumId w:val="0"/>
  </w:num>
  <w:num w:numId="11" w16cid:durableId="1566187687">
    <w:abstractNumId w:val="36"/>
  </w:num>
  <w:num w:numId="12" w16cid:durableId="1990790901">
    <w:abstractNumId w:val="37"/>
  </w:num>
  <w:num w:numId="13" w16cid:durableId="49110256">
    <w:abstractNumId w:val="42"/>
  </w:num>
  <w:num w:numId="14" w16cid:durableId="1452480868">
    <w:abstractNumId w:val="1"/>
  </w:num>
  <w:num w:numId="15" w16cid:durableId="1526944545">
    <w:abstractNumId w:val="2"/>
  </w:num>
  <w:num w:numId="16" w16cid:durableId="938293764">
    <w:abstractNumId w:val="6"/>
  </w:num>
  <w:num w:numId="17" w16cid:durableId="904296500">
    <w:abstractNumId w:val="7"/>
  </w:num>
  <w:num w:numId="18" w16cid:durableId="693191942">
    <w:abstractNumId w:val="8"/>
  </w:num>
  <w:num w:numId="19" w16cid:durableId="1980499843">
    <w:abstractNumId w:val="9"/>
  </w:num>
  <w:num w:numId="20" w16cid:durableId="694699839">
    <w:abstractNumId w:val="10"/>
  </w:num>
  <w:num w:numId="21" w16cid:durableId="497574130">
    <w:abstractNumId w:val="11"/>
  </w:num>
  <w:num w:numId="22" w16cid:durableId="1341469938">
    <w:abstractNumId w:val="12"/>
  </w:num>
  <w:num w:numId="23" w16cid:durableId="2055078900">
    <w:abstractNumId w:val="13"/>
  </w:num>
  <w:num w:numId="24" w16cid:durableId="620959910">
    <w:abstractNumId w:val="14"/>
  </w:num>
  <w:num w:numId="25" w16cid:durableId="1270161988">
    <w:abstractNumId w:val="17"/>
  </w:num>
  <w:num w:numId="26" w16cid:durableId="782001565">
    <w:abstractNumId w:val="18"/>
  </w:num>
  <w:num w:numId="27" w16cid:durableId="1452700483">
    <w:abstractNumId w:val="21"/>
  </w:num>
  <w:num w:numId="28" w16cid:durableId="1269434508">
    <w:abstractNumId w:val="22"/>
  </w:num>
  <w:num w:numId="29" w16cid:durableId="157960604">
    <w:abstractNumId w:val="23"/>
  </w:num>
  <w:num w:numId="30" w16cid:durableId="1394545389">
    <w:abstractNumId w:val="25"/>
  </w:num>
  <w:num w:numId="31" w16cid:durableId="526144357">
    <w:abstractNumId w:val="27"/>
  </w:num>
  <w:num w:numId="32" w16cid:durableId="813638209">
    <w:abstractNumId w:val="28"/>
  </w:num>
  <w:num w:numId="33" w16cid:durableId="110980951">
    <w:abstractNumId w:val="30"/>
  </w:num>
  <w:num w:numId="34" w16cid:durableId="670304376">
    <w:abstractNumId w:val="31"/>
  </w:num>
  <w:num w:numId="35" w16cid:durableId="683868727">
    <w:abstractNumId w:val="32"/>
  </w:num>
  <w:num w:numId="36" w16cid:durableId="434985713">
    <w:abstractNumId w:val="33"/>
  </w:num>
  <w:num w:numId="37" w16cid:durableId="1953318405">
    <w:abstractNumId w:val="34"/>
  </w:num>
  <w:num w:numId="38" w16cid:durableId="1844660430">
    <w:abstractNumId w:val="35"/>
  </w:num>
  <w:num w:numId="39" w16cid:durableId="1951164270">
    <w:abstractNumId w:val="38"/>
  </w:num>
  <w:num w:numId="40" w16cid:durableId="1526477441">
    <w:abstractNumId w:val="39"/>
  </w:num>
  <w:num w:numId="41" w16cid:durableId="936448353">
    <w:abstractNumId w:val="46"/>
  </w:num>
  <w:num w:numId="42" w16cid:durableId="1039664177">
    <w:abstractNumId w:val="49"/>
  </w:num>
  <w:num w:numId="43" w16cid:durableId="1067605367">
    <w:abstractNumId w:val="50"/>
  </w:num>
  <w:num w:numId="44" w16cid:durableId="1792243790">
    <w:abstractNumId w:val="52"/>
  </w:num>
  <w:num w:numId="45" w16cid:durableId="299312446">
    <w:abstractNumId w:val="53"/>
  </w:num>
  <w:num w:numId="46" w16cid:durableId="2098941682">
    <w:abstractNumId w:val="56"/>
  </w:num>
  <w:num w:numId="47" w16cid:durableId="149368798">
    <w:abstractNumId w:val="57"/>
  </w:num>
  <w:num w:numId="48" w16cid:durableId="1574507184">
    <w:abstractNumId w:val="58"/>
  </w:num>
  <w:num w:numId="49" w16cid:durableId="1935434080">
    <w:abstractNumId w:val="59"/>
  </w:num>
  <w:num w:numId="50" w16cid:durableId="1640259314">
    <w:abstractNumId w:val="60"/>
  </w:num>
  <w:num w:numId="51" w16cid:durableId="650253294">
    <w:abstractNumId w:val="19"/>
  </w:num>
  <w:num w:numId="52" w16cid:durableId="56368281">
    <w:abstractNumId w:val="40"/>
  </w:num>
  <w:num w:numId="53" w16cid:durableId="1525703847">
    <w:abstractNumId w:val="43"/>
  </w:num>
  <w:num w:numId="54" w16cid:durableId="80762434">
    <w:abstractNumId w:val="45"/>
  </w:num>
  <w:num w:numId="55" w16cid:durableId="2082369545">
    <w:abstractNumId w:val="44"/>
  </w:num>
  <w:num w:numId="56" w16cid:durableId="1343165637">
    <w:abstractNumId w:val="55"/>
  </w:num>
  <w:num w:numId="57" w16cid:durableId="2140293183">
    <w:abstractNumId w:val="51"/>
  </w:num>
  <w:num w:numId="58" w16cid:durableId="1066684378">
    <w:abstractNumId w:val="48"/>
  </w:num>
  <w:num w:numId="59" w16cid:durableId="918488284">
    <w:abstractNumId w:val="15"/>
  </w:num>
  <w:num w:numId="60" w16cid:durableId="15083879">
    <w:abstractNumId w:val="24"/>
  </w:num>
  <w:num w:numId="61" w16cid:durableId="704215286">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552"/>
    <w:rsid w:val="00006896"/>
    <w:rsid w:val="00006E1F"/>
    <w:rsid w:val="000070D7"/>
    <w:rsid w:val="000158FD"/>
    <w:rsid w:val="0001788C"/>
    <w:rsid w:val="00021AC5"/>
    <w:rsid w:val="00021AE3"/>
    <w:rsid w:val="000220D5"/>
    <w:rsid w:val="00023193"/>
    <w:rsid w:val="00027A6B"/>
    <w:rsid w:val="0003151E"/>
    <w:rsid w:val="00032214"/>
    <w:rsid w:val="00034574"/>
    <w:rsid w:val="000348CC"/>
    <w:rsid w:val="00040C3A"/>
    <w:rsid w:val="00044112"/>
    <w:rsid w:val="000443D2"/>
    <w:rsid w:val="000456B8"/>
    <w:rsid w:val="00045D67"/>
    <w:rsid w:val="00047A83"/>
    <w:rsid w:val="00051363"/>
    <w:rsid w:val="000523C8"/>
    <w:rsid w:val="00054BE4"/>
    <w:rsid w:val="0005699F"/>
    <w:rsid w:val="0006565A"/>
    <w:rsid w:val="00067A5D"/>
    <w:rsid w:val="000716C5"/>
    <w:rsid w:val="000721FA"/>
    <w:rsid w:val="00075B33"/>
    <w:rsid w:val="00075E23"/>
    <w:rsid w:val="000823C1"/>
    <w:rsid w:val="0008768F"/>
    <w:rsid w:val="000908D4"/>
    <w:rsid w:val="0009344A"/>
    <w:rsid w:val="00097392"/>
    <w:rsid w:val="000A392E"/>
    <w:rsid w:val="000A39E4"/>
    <w:rsid w:val="000A575F"/>
    <w:rsid w:val="000A576A"/>
    <w:rsid w:val="000A5A21"/>
    <w:rsid w:val="000A64D0"/>
    <w:rsid w:val="000B2727"/>
    <w:rsid w:val="000B7F13"/>
    <w:rsid w:val="000C555E"/>
    <w:rsid w:val="000D05DC"/>
    <w:rsid w:val="000D0F83"/>
    <w:rsid w:val="000D10DB"/>
    <w:rsid w:val="000D47D7"/>
    <w:rsid w:val="000D6D47"/>
    <w:rsid w:val="000D7597"/>
    <w:rsid w:val="000E0C8F"/>
    <w:rsid w:val="000E107B"/>
    <w:rsid w:val="000E5BD7"/>
    <w:rsid w:val="000E5EB5"/>
    <w:rsid w:val="000F0EA2"/>
    <w:rsid w:val="000F0F87"/>
    <w:rsid w:val="000F3113"/>
    <w:rsid w:val="000F35ED"/>
    <w:rsid w:val="000F4BD0"/>
    <w:rsid w:val="00107131"/>
    <w:rsid w:val="0010736F"/>
    <w:rsid w:val="00113F73"/>
    <w:rsid w:val="001157A5"/>
    <w:rsid w:val="0012038D"/>
    <w:rsid w:val="00121CC2"/>
    <w:rsid w:val="001221C5"/>
    <w:rsid w:val="001254AB"/>
    <w:rsid w:val="00125715"/>
    <w:rsid w:val="00133EE5"/>
    <w:rsid w:val="00140A6A"/>
    <w:rsid w:val="00142976"/>
    <w:rsid w:val="00144E0C"/>
    <w:rsid w:val="00145C40"/>
    <w:rsid w:val="0014774E"/>
    <w:rsid w:val="001505F9"/>
    <w:rsid w:val="00152D10"/>
    <w:rsid w:val="00161D34"/>
    <w:rsid w:val="001631CD"/>
    <w:rsid w:val="00166189"/>
    <w:rsid w:val="00167A34"/>
    <w:rsid w:val="001708A3"/>
    <w:rsid w:val="001729DF"/>
    <w:rsid w:val="00172B87"/>
    <w:rsid w:val="00177912"/>
    <w:rsid w:val="00181F34"/>
    <w:rsid w:val="00187493"/>
    <w:rsid w:val="00191A4E"/>
    <w:rsid w:val="00197AA8"/>
    <w:rsid w:val="001A4D23"/>
    <w:rsid w:val="001A7870"/>
    <w:rsid w:val="001B62CA"/>
    <w:rsid w:val="001C103F"/>
    <w:rsid w:val="001C1B41"/>
    <w:rsid w:val="001D18C7"/>
    <w:rsid w:val="001D2679"/>
    <w:rsid w:val="001D5C2D"/>
    <w:rsid w:val="001D65EF"/>
    <w:rsid w:val="001D7FCD"/>
    <w:rsid w:val="001E15B6"/>
    <w:rsid w:val="001F0B01"/>
    <w:rsid w:val="001F4216"/>
    <w:rsid w:val="001F555A"/>
    <w:rsid w:val="00202589"/>
    <w:rsid w:val="0020304D"/>
    <w:rsid w:val="00204B61"/>
    <w:rsid w:val="00210C8E"/>
    <w:rsid w:val="002123F6"/>
    <w:rsid w:val="00214326"/>
    <w:rsid w:val="00215FFA"/>
    <w:rsid w:val="0021604C"/>
    <w:rsid w:val="0022208F"/>
    <w:rsid w:val="002224D0"/>
    <w:rsid w:val="0022273F"/>
    <w:rsid w:val="002250A3"/>
    <w:rsid w:val="002329E6"/>
    <w:rsid w:val="002338FF"/>
    <w:rsid w:val="00234B9C"/>
    <w:rsid w:val="00235217"/>
    <w:rsid w:val="00246D1F"/>
    <w:rsid w:val="00247403"/>
    <w:rsid w:val="00247542"/>
    <w:rsid w:val="00251A18"/>
    <w:rsid w:val="00251C08"/>
    <w:rsid w:val="00253937"/>
    <w:rsid w:val="00260699"/>
    <w:rsid w:val="002611FF"/>
    <w:rsid w:val="00261A07"/>
    <w:rsid w:val="00261C67"/>
    <w:rsid w:val="00262E91"/>
    <w:rsid w:val="00264FAD"/>
    <w:rsid w:val="00266B61"/>
    <w:rsid w:val="0026712A"/>
    <w:rsid w:val="002704DB"/>
    <w:rsid w:val="00271C42"/>
    <w:rsid w:val="0027658D"/>
    <w:rsid w:val="00276DF8"/>
    <w:rsid w:val="00277729"/>
    <w:rsid w:val="00277EF9"/>
    <w:rsid w:val="002827DD"/>
    <w:rsid w:val="002A0579"/>
    <w:rsid w:val="002A0AAE"/>
    <w:rsid w:val="002A5820"/>
    <w:rsid w:val="002B7F40"/>
    <w:rsid w:val="002C5C06"/>
    <w:rsid w:val="002D15C6"/>
    <w:rsid w:val="002D2B26"/>
    <w:rsid w:val="002D7EA2"/>
    <w:rsid w:val="002E004E"/>
    <w:rsid w:val="002E187C"/>
    <w:rsid w:val="002E4AEA"/>
    <w:rsid w:val="002F2976"/>
    <w:rsid w:val="002F2A27"/>
    <w:rsid w:val="00302733"/>
    <w:rsid w:val="00302EFA"/>
    <w:rsid w:val="00303D52"/>
    <w:rsid w:val="00304D6B"/>
    <w:rsid w:val="00305B75"/>
    <w:rsid w:val="0030689B"/>
    <w:rsid w:val="00307ABC"/>
    <w:rsid w:val="0031160D"/>
    <w:rsid w:val="00314078"/>
    <w:rsid w:val="0031535D"/>
    <w:rsid w:val="00315667"/>
    <w:rsid w:val="003162EC"/>
    <w:rsid w:val="00322B86"/>
    <w:rsid w:val="00323359"/>
    <w:rsid w:val="0032742E"/>
    <w:rsid w:val="0033028D"/>
    <w:rsid w:val="00331655"/>
    <w:rsid w:val="0033169F"/>
    <w:rsid w:val="00331C1F"/>
    <w:rsid w:val="0033586D"/>
    <w:rsid w:val="00341010"/>
    <w:rsid w:val="0034146C"/>
    <w:rsid w:val="0034315C"/>
    <w:rsid w:val="00346C95"/>
    <w:rsid w:val="00352304"/>
    <w:rsid w:val="003560A5"/>
    <w:rsid w:val="00356185"/>
    <w:rsid w:val="00360380"/>
    <w:rsid w:val="00361415"/>
    <w:rsid w:val="0036232B"/>
    <w:rsid w:val="00365872"/>
    <w:rsid w:val="0037427B"/>
    <w:rsid w:val="0037519E"/>
    <w:rsid w:val="0037521A"/>
    <w:rsid w:val="0037558C"/>
    <w:rsid w:val="0037677D"/>
    <w:rsid w:val="00386CF0"/>
    <w:rsid w:val="003905E9"/>
    <w:rsid w:val="003960E6"/>
    <w:rsid w:val="00397EA3"/>
    <w:rsid w:val="003B1D16"/>
    <w:rsid w:val="003B349E"/>
    <w:rsid w:val="003B3CD0"/>
    <w:rsid w:val="003B6AA0"/>
    <w:rsid w:val="003B707A"/>
    <w:rsid w:val="003B7D94"/>
    <w:rsid w:val="003C053F"/>
    <w:rsid w:val="003C395F"/>
    <w:rsid w:val="003C676B"/>
    <w:rsid w:val="003C7DD3"/>
    <w:rsid w:val="003D01C0"/>
    <w:rsid w:val="003D3BC2"/>
    <w:rsid w:val="003D67C7"/>
    <w:rsid w:val="003D7C03"/>
    <w:rsid w:val="003E095A"/>
    <w:rsid w:val="003E143B"/>
    <w:rsid w:val="003E369C"/>
    <w:rsid w:val="003E432F"/>
    <w:rsid w:val="003E6CA1"/>
    <w:rsid w:val="003F541D"/>
    <w:rsid w:val="003F7F64"/>
    <w:rsid w:val="00401879"/>
    <w:rsid w:val="00402515"/>
    <w:rsid w:val="00402588"/>
    <w:rsid w:val="00403C18"/>
    <w:rsid w:val="00404635"/>
    <w:rsid w:val="004057FC"/>
    <w:rsid w:val="00405DF7"/>
    <w:rsid w:val="00411EAD"/>
    <w:rsid w:val="0041281D"/>
    <w:rsid w:val="0041415E"/>
    <w:rsid w:val="0041505D"/>
    <w:rsid w:val="004165C2"/>
    <w:rsid w:val="00417BA3"/>
    <w:rsid w:val="00420C0B"/>
    <w:rsid w:val="00421C87"/>
    <w:rsid w:val="004237A4"/>
    <w:rsid w:val="0042488F"/>
    <w:rsid w:val="00426114"/>
    <w:rsid w:val="00427014"/>
    <w:rsid w:val="00427346"/>
    <w:rsid w:val="00432F00"/>
    <w:rsid w:val="00434DA4"/>
    <w:rsid w:val="00437655"/>
    <w:rsid w:val="00441ECB"/>
    <w:rsid w:val="0044211A"/>
    <w:rsid w:val="00443646"/>
    <w:rsid w:val="00445DF0"/>
    <w:rsid w:val="004509B9"/>
    <w:rsid w:val="00450E37"/>
    <w:rsid w:val="00451D8E"/>
    <w:rsid w:val="00452A65"/>
    <w:rsid w:val="00452E3C"/>
    <w:rsid w:val="00462451"/>
    <w:rsid w:val="004633BA"/>
    <w:rsid w:val="00463513"/>
    <w:rsid w:val="004653B2"/>
    <w:rsid w:val="00467A9B"/>
    <w:rsid w:val="00467B7E"/>
    <w:rsid w:val="00477592"/>
    <w:rsid w:val="00482EC8"/>
    <w:rsid w:val="00483751"/>
    <w:rsid w:val="004842C0"/>
    <w:rsid w:val="00486F1C"/>
    <w:rsid w:val="004917F3"/>
    <w:rsid w:val="00493C06"/>
    <w:rsid w:val="0049419D"/>
    <w:rsid w:val="004A1FD6"/>
    <w:rsid w:val="004A7513"/>
    <w:rsid w:val="004B097F"/>
    <w:rsid w:val="004B6063"/>
    <w:rsid w:val="004B67A7"/>
    <w:rsid w:val="004C20D2"/>
    <w:rsid w:val="004C4B62"/>
    <w:rsid w:val="004C54C9"/>
    <w:rsid w:val="004C6EC4"/>
    <w:rsid w:val="004C790D"/>
    <w:rsid w:val="004D195F"/>
    <w:rsid w:val="004D2720"/>
    <w:rsid w:val="004D33C4"/>
    <w:rsid w:val="004D34AA"/>
    <w:rsid w:val="004D4D58"/>
    <w:rsid w:val="004D6025"/>
    <w:rsid w:val="004D6618"/>
    <w:rsid w:val="004E2649"/>
    <w:rsid w:val="004E488F"/>
    <w:rsid w:val="004F47A6"/>
    <w:rsid w:val="004F627D"/>
    <w:rsid w:val="004F63D8"/>
    <w:rsid w:val="00501399"/>
    <w:rsid w:val="0050438F"/>
    <w:rsid w:val="0050633D"/>
    <w:rsid w:val="00507940"/>
    <w:rsid w:val="00507BC4"/>
    <w:rsid w:val="005128E4"/>
    <w:rsid w:val="005133DB"/>
    <w:rsid w:val="00517A39"/>
    <w:rsid w:val="0052299E"/>
    <w:rsid w:val="00523398"/>
    <w:rsid w:val="00525560"/>
    <w:rsid w:val="00526998"/>
    <w:rsid w:val="00531A82"/>
    <w:rsid w:val="005323F3"/>
    <w:rsid w:val="00533153"/>
    <w:rsid w:val="005354F3"/>
    <w:rsid w:val="00536923"/>
    <w:rsid w:val="00540F3C"/>
    <w:rsid w:val="005430CE"/>
    <w:rsid w:val="00544C49"/>
    <w:rsid w:val="0054743F"/>
    <w:rsid w:val="00547D64"/>
    <w:rsid w:val="005516A1"/>
    <w:rsid w:val="00553EBD"/>
    <w:rsid w:val="00555E61"/>
    <w:rsid w:val="005572EF"/>
    <w:rsid w:val="00565744"/>
    <w:rsid w:val="00567BEB"/>
    <w:rsid w:val="00570388"/>
    <w:rsid w:val="00571DD4"/>
    <w:rsid w:val="0057402A"/>
    <w:rsid w:val="00575AE9"/>
    <w:rsid w:val="005771D0"/>
    <w:rsid w:val="00584900"/>
    <w:rsid w:val="0059191A"/>
    <w:rsid w:val="005921FF"/>
    <w:rsid w:val="005937F1"/>
    <w:rsid w:val="00595C1D"/>
    <w:rsid w:val="005A59E6"/>
    <w:rsid w:val="005A681F"/>
    <w:rsid w:val="005A6D0E"/>
    <w:rsid w:val="005B1588"/>
    <w:rsid w:val="005B2258"/>
    <w:rsid w:val="005B3796"/>
    <w:rsid w:val="005B40CD"/>
    <w:rsid w:val="005B52B0"/>
    <w:rsid w:val="005B6806"/>
    <w:rsid w:val="005C091A"/>
    <w:rsid w:val="005C21F8"/>
    <w:rsid w:val="005C4225"/>
    <w:rsid w:val="005C4CA5"/>
    <w:rsid w:val="005D0D0A"/>
    <w:rsid w:val="005D0DB1"/>
    <w:rsid w:val="005D2796"/>
    <w:rsid w:val="005E19CE"/>
    <w:rsid w:val="005E2F54"/>
    <w:rsid w:val="005E30B8"/>
    <w:rsid w:val="005E326A"/>
    <w:rsid w:val="005F0DAD"/>
    <w:rsid w:val="005F0F33"/>
    <w:rsid w:val="005F309E"/>
    <w:rsid w:val="005F4FE4"/>
    <w:rsid w:val="005F50F6"/>
    <w:rsid w:val="005F5292"/>
    <w:rsid w:val="00600DEB"/>
    <w:rsid w:val="00604C10"/>
    <w:rsid w:val="00604E81"/>
    <w:rsid w:val="006069C4"/>
    <w:rsid w:val="00606C40"/>
    <w:rsid w:val="00611447"/>
    <w:rsid w:val="006125C3"/>
    <w:rsid w:val="006223AC"/>
    <w:rsid w:val="00622B28"/>
    <w:rsid w:val="00623DFE"/>
    <w:rsid w:val="00623EF0"/>
    <w:rsid w:val="00627C9F"/>
    <w:rsid w:val="006311E9"/>
    <w:rsid w:val="00631495"/>
    <w:rsid w:val="00632354"/>
    <w:rsid w:val="00633CD9"/>
    <w:rsid w:val="00640C93"/>
    <w:rsid w:val="00642810"/>
    <w:rsid w:val="00645038"/>
    <w:rsid w:val="00645348"/>
    <w:rsid w:val="00647ACE"/>
    <w:rsid w:val="00647FCE"/>
    <w:rsid w:val="00652333"/>
    <w:rsid w:val="00654FC4"/>
    <w:rsid w:val="0065527C"/>
    <w:rsid w:val="00655B8E"/>
    <w:rsid w:val="00657919"/>
    <w:rsid w:val="00657FBA"/>
    <w:rsid w:val="00660A87"/>
    <w:rsid w:val="006628B3"/>
    <w:rsid w:val="00664676"/>
    <w:rsid w:val="006761CE"/>
    <w:rsid w:val="00676703"/>
    <w:rsid w:val="0068009E"/>
    <w:rsid w:val="00686E24"/>
    <w:rsid w:val="00692219"/>
    <w:rsid w:val="00693D49"/>
    <w:rsid w:val="006A17D2"/>
    <w:rsid w:val="006A4B39"/>
    <w:rsid w:val="006A64AD"/>
    <w:rsid w:val="006A73E6"/>
    <w:rsid w:val="006B2350"/>
    <w:rsid w:val="006B2D5C"/>
    <w:rsid w:val="006B3340"/>
    <w:rsid w:val="006B4D40"/>
    <w:rsid w:val="006B5B79"/>
    <w:rsid w:val="006B7270"/>
    <w:rsid w:val="006C1A20"/>
    <w:rsid w:val="006C495A"/>
    <w:rsid w:val="006C4EB1"/>
    <w:rsid w:val="006C6E36"/>
    <w:rsid w:val="006D576A"/>
    <w:rsid w:val="006E0166"/>
    <w:rsid w:val="006E09FB"/>
    <w:rsid w:val="006E125C"/>
    <w:rsid w:val="006E2E1D"/>
    <w:rsid w:val="006E6845"/>
    <w:rsid w:val="006E7B34"/>
    <w:rsid w:val="006E7E09"/>
    <w:rsid w:val="006F0838"/>
    <w:rsid w:val="006F5F29"/>
    <w:rsid w:val="006F7EA6"/>
    <w:rsid w:val="0070161C"/>
    <w:rsid w:val="0070697F"/>
    <w:rsid w:val="007070A2"/>
    <w:rsid w:val="00713839"/>
    <w:rsid w:val="00715884"/>
    <w:rsid w:val="00720455"/>
    <w:rsid w:val="0072199C"/>
    <w:rsid w:val="00722C9F"/>
    <w:rsid w:val="0072303D"/>
    <w:rsid w:val="007235E4"/>
    <w:rsid w:val="00723EE5"/>
    <w:rsid w:val="00724A17"/>
    <w:rsid w:val="007253B8"/>
    <w:rsid w:val="00727475"/>
    <w:rsid w:val="0073631B"/>
    <w:rsid w:val="0073741F"/>
    <w:rsid w:val="00742B82"/>
    <w:rsid w:val="007531A2"/>
    <w:rsid w:val="007605FB"/>
    <w:rsid w:val="0076643F"/>
    <w:rsid w:val="007666AC"/>
    <w:rsid w:val="007727EF"/>
    <w:rsid w:val="00777F63"/>
    <w:rsid w:val="007802E6"/>
    <w:rsid w:val="0078052B"/>
    <w:rsid w:val="007812A9"/>
    <w:rsid w:val="007A5817"/>
    <w:rsid w:val="007A607B"/>
    <w:rsid w:val="007B60E9"/>
    <w:rsid w:val="007B6CC3"/>
    <w:rsid w:val="007C2573"/>
    <w:rsid w:val="007C3334"/>
    <w:rsid w:val="007C454B"/>
    <w:rsid w:val="007C756A"/>
    <w:rsid w:val="007D2B98"/>
    <w:rsid w:val="007D7166"/>
    <w:rsid w:val="007E21BC"/>
    <w:rsid w:val="007E59BE"/>
    <w:rsid w:val="007E5F38"/>
    <w:rsid w:val="007E6814"/>
    <w:rsid w:val="007F0DD6"/>
    <w:rsid w:val="007F0E87"/>
    <w:rsid w:val="007F5069"/>
    <w:rsid w:val="007F7E9A"/>
    <w:rsid w:val="00803296"/>
    <w:rsid w:val="00803F1C"/>
    <w:rsid w:val="00805B8E"/>
    <w:rsid w:val="0080600E"/>
    <w:rsid w:val="00813005"/>
    <w:rsid w:val="00815021"/>
    <w:rsid w:val="00817612"/>
    <w:rsid w:val="008179CF"/>
    <w:rsid w:val="008217E6"/>
    <w:rsid w:val="0082426F"/>
    <w:rsid w:val="008252B3"/>
    <w:rsid w:val="008266A7"/>
    <w:rsid w:val="00827BFB"/>
    <w:rsid w:val="0083231F"/>
    <w:rsid w:val="008338A4"/>
    <w:rsid w:val="008347F0"/>
    <w:rsid w:val="00835116"/>
    <w:rsid w:val="00836EF5"/>
    <w:rsid w:val="00837C45"/>
    <w:rsid w:val="00841AEE"/>
    <w:rsid w:val="00841DCA"/>
    <w:rsid w:val="00844730"/>
    <w:rsid w:val="008457C2"/>
    <w:rsid w:val="008461BC"/>
    <w:rsid w:val="00851709"/>
    <w:rsid w:val="00855DF3"/>
    <w:rsid w:val="00857A82"/>
    <w:rsid w:val="00865597"/>
    <w:rsid w:val="00866E83"/>
    <w:rsid w:val="00866E98"/>
    <w:rsid w:val="0087222B"/>
    <w:rsid w:val="00873836"/>
    <w:rsid w:val="0087793E"/>
    <w:rsid w:val="00881991"/>
    <w:rsid w:val="008840D2"/>
    <w:rsid w:val="00885737"/>
    <w:rsid w:val="00890650"/>
    <w:rsid w:val="00892ECB"/>
    <w:rsid w:val="00893D23"/>
    <w:rsid w:val="008943C7"/>
    <w:rsid w:val="00895664"/>
    <w:rsid w:val="00897E12"/>
    <w:rsid w:val="008A078F"/>
    <w:rsid w:val="008A1ACE"/>
    <w:rsid w:val="008A4F88"/>
    <w:rsid w:val="008A700D"/>
    <w:rsid w:val="008A7E0F"/>
    <w:rsid w:val="008B12F5"/>
    <w:rsid w:val="008B37BB"/>
    <w:rsid w:val="008B4B34"/>
    <w:rsid w:val="008B6BB9"/>
    <w:rsid w:val="008B7781"/>
    <w:rsid w:val="008B7C87"/>
    <w:rsid w:val="008C3098"/>
    <w:rsid w:val="008C3745"/>
    <w:rsid w:val="008C4E7B"/>
    <w:rsid w:val="008C65DF"/>
    <w:rsid w:val="008C7015"/>
    <w:rsid w:val="008D1ACB"/>
    <w:rsid w:val="008D2EDE"/>
    <w:rsid w:val="008D46F8"/>
    <w:rsid w:val="008D5CE3"/>
    <w:rsid w:val="008D768D"/>
    <w:rsid w:val="008E2E59"/>
    <w:rsid w:val="008E3759"/>
    <w:rsid w:val="008E43C5"/>
    <w:rsid w:val="008F16FA"/>
    <w:rsid w:val="008F1912"/>
    <w:rsid w:val="008F1B28"/>
    <w:rsid w:val="008F604B"/>
    <w:rsid w:val="009005A9"/>
    <w:rsid w:val="009014A4"/>
    <w:rsid w:val="0090270B"/>
    <w:rsid w:val="009041DC"/>
    <w:rsid w:val="00905A6C"/>
    <w:rsid w:val="00910791"/>
    <w:rsid w:val="009113FE"/>
    <w:rsid w:val="00913D60"/>
    <w:rsid w:val="00914740"/>
    <w:rsid w:val="009164B9"/>
    <w:rsid w:val="00917B5A"/>
    <w:rsid w:val="00920A58"/>
    <w:rsid w:val="00920A8C"/>
    <w:rsid w:val="00920E0F"/>
    <w:rsid w:val="0092111F"/>
    <w:rsid w:val="00933139"/>
    <w:rsid w:val="00934A2C"/>
    <w:rsid w:val="00937C0F"/>
    <w:rsid w:val="00941C6B"/>
    <w:rsid w:val="009452DD"/>
    <w:rsid w:val="0094623F"/>
    <w:rsid w:val="00950133"/>
    <w:rsid w:val="00951CBC"/>
    <w:rsid w:val="00957F3A"/>
    <w:rsid w:val="009609E8"/>
    <w:rsid w:val="00961713"/>
    <w:rsid w:val="0096706E"/>
    <w:rsid w:val="00972E2A"/>
    <w:rsid w:val="00974C5C"/>
    <w:rsid w:val="00974EDA"/>
    <w:rsid w:val="00975C4E"/>
    <w:rsid w:val="009760CC"/>
    <w:rsid w:val="00976AE9"/>
    <w:rsid w:val="009802AB"/>
    <w:rsid w:val="0098172B"/>
    <w:rsid w:val="00981FBA"/>
    <w:rsid w:val="00990FA8"/>
    <w:rsid w:val="00991866"/>
    <w:rsid w:val="00997BC5"/>
    <w:rsid w:val="009A0BE3"/>
    <w:rsid w:val="009A4053"/>
    <w:rsid w:val="009A4F41"/>
    <w:rsid w:val="009A5550"/>
    <w:rsid w:val="009A6411"/>
    <w:rsid w:val="009A70F3"/>
    <w:rsid w:val="009A7E8C"/>
    <w:rsid w:val="009B381B"/>
    <w:rsid w:val="009C0ED2"/>
    <w:rsid w:val="009C4EAA"/>
    <w:rsid w:val="009C7031"/>
    <w:rsid w:val="009D1753"/>
    <w:rsid w:val="009D7611"/>
    <w:rsid w:val="009E0B61"/>
    <w:rsid w:val="009E3A12"/>
    <w:rsid w:val="009E53DE"/>
    <w:rsid w:val="009F49E7"/>
    <w:rsid w:val="00A0268E"/>
    <w:rsid w:val="00A03A30"/>
    <w:rsid w:val="00A0474F"/>
    <w:rsid w:val="00A1351A"/>
    <w:rsid w:val="00A142CE"/>
    <w:rsid w:val="00A16ED4"/>
    <w:rsid w:val="00A23BD8"/>
    <w:rsid w:val="00A2598E"/>
    <w:rsid w:val="00A328B3"/>
    <w:rsid w:val="00A32EA9"/>
    <w:rsid w:val="00A339C2"/>
    <w:rsid w:val="00A33B1E"/>
    <w:rsid w:val="00A34953"/>
    <w:rsid w:val="00A403BF"/>
    <w:rsid w:val="00A442F6"/>
    <w:rsid w:val="00A47F90"/>
    <w:rsid w:val="00A50FCF"/>
    <w:rsid w:val="00A5120A"/>
    <w:rsid w:val="00A528D1"/>
    <w:rsid w:val="00A5385B"/>
    <w:rsid w:val="00A564B4"/>
    <w:rsid w:val="00A569DB"/>
    <w:rsid w:val="00A60E36"/>
    <w:rsid w:val="00A610CD"/>
    <w:rsid w:val="00A62271"/>
    <w:rsid w:val="00A6478B"/>
    <w:rsid w:val="00A66C48"/>
    <w:rsid w:val="00A66E7F"/>
    <w:rsid w:val="00A67427"/>
    <w:rsid w:val="00A75E63"/>
    <w:rsid w:val="00A814FA"/>
    <w:rsid w:val="00A83B52"/>
    <w:rsid w:val="00A84C06"/>
    <w:rsid w:val="00A9166F"/>
    <w:rsid w:val="00AA09A2"/>
    <w:rsid w:val="00AA53A2"/>
    <w:rsid w:val="00AA7996"/>
    <w:rsid w:val="00AB0D53"/>
    <w:rsid w:val="00AB5D50"/>
    <w:rsid w:val="00AC19CB"/>
    <w:rsid w:val="00AC55D4"/>
    <w:rsid w:val="00AC69EE"/>
    <w:rsid w:val="00AD013C"/>
    <w:rsid w:val="00AD1767"/>
    <w:rsid w:val="00AD26B5"/>
    <w:rsid w:val="00AD495F"/>
    <w:rsid w:val="00AD7828"/>
    <w:rsid w:val="00AE117B"/>
    <w:rsid w:val="00AE5488"/>
    <w:rsid w:val="00AE6F91"/>
    <w:rsid w:val="00AE72D4"/>
    <w:rsid w:val="00AF39B6"/>
    <w:rsid w:val="00AF4DDD"/>
    <w:rsid w:val="00AF5571"/>
    <w:rsid w:val="00AF55B0"/>
    <w:rsid w:val="00AF5A79"/>
    <w:rsid w:val="00AF5CF4"/>
    <w:rsid w:val="00AF7988"/>
    <w:rsid w:val="00B03121"/>
    <w:rsid w:val="00B060CD"/>
    <w:rsid w:val="00B07184"/>
    <w:rsid w:val="00B07341"/>
    <w:rsid w:val="00B11FE3"/>
    <w:rsid w:val="00B1283C"/>
    <w:rsid w:val="00B13FA4"/>
    <w:rsid w:val="00B14663"/>
    <w:rsid w:val="00B30539"/>
    <w:rsid w:val="00B3058B"/>
    <w:rsid w:val="00B314DB"/>
    <w:rsid w:val="00B34CE7"/>
    <w:rsid w:val="00B35B47"/>
    <w:rsid w:val="00B361F2"/>
    <w:rsid w:val="00B3648C"/>
    <w:rsid w:val="00B3718B"/>
    <w:rsid w:val="00B3722E"/>
    <w:rsid w:val="00B405AB"/>
    <w:rsid w:val="00B40EFB"/>
    <w:rsid w:val="00B41CD8"/>
    <w:rsid w:val="00B42AF9"/>
    <w:rsid w:val="00B4632A"/>
    <w:rsid w:val="00B465D9"/>
    <w:rsid w:val="00B46A03"/>
    <w:rsid w:val="00B50898"/>
    <w:rsid w:val="00B5107C"/>
    <w:rsid w:val="00B513B1"/>
    <w:rsid w:val="00B530F1"/>
    <w:rsid w:val="00B54A0C"/>
    <w:rsid w:val="00B62A65"/>
    <w:rsid w:val="00B632D6"/>
    <w:rsid w:val="00B64514"/>
    <w:rsid w:val="00B6770C"/>
    <w:rsid w:val="00B678FC"/>
    <w:rsid w:val="00B67999"/>
    <w:rsid w:val="00B82986"/>
    <w:rsid w:val="00B84046"/>
    <w:rsid w:val="00B8558B"/>
    <w:rsid w:val="00B8665A"/>
    <w:rsid w:val="00B90F56"/>
    <w:rsid w:val="00B93E71"/>
    <w:rsid w:val="00BA1E0E"/>
    <w:rsid w:val="00BA276C"/>
    <w:rsid w:val="00BA42B6"/>
    <w:rsid w:val="00BA461E"/>
    <w:rsid w:val="00BB01FB"/>
    <w:rsid w:val="00BB306F"/>
    <w:rsid w:val="00BB5D01"/>
    <w:rsid w:val="00BB663A"/>
    <w:rsid w:val="00BC1180"/>
    <w:rsid w:val="00BC5AF5"/>
    <w:rsid w:val="00BD4B89"/>
    <w:rsid w:val="00BD6D50"/>
    <w:rsid w:val="00BF00DB"/>
    <w:rsid w:val="00BF02CB"/>
    <w:rsid w:val="00BF11D3"/>
    <w:rsid w:val="00BF1664"/>
    <w:rsid w:val="00BF6FD8"/>
    <w:rsid w:val="00C03680"/>
    <w:rsid w:val="00C054DF"/>
    <w:rsid w:val="00C14A21"/>
    <w:rsid w:val="00C21762"/>
    <w:rsid w:val="00C24543"/>
    <w:rsid w:val="00C256A2"/>
    <w:rsid w:val="00C32607"/>
    <w:rsid w:val="00C33577"/>
    <w:rsid w:val="00C33832"/>
    <w:rsid w:val="00C3410F"/>
    <w:rsid w:val="00C40789"/>
    <w:rsid w:val="00C4324C"/>
    <w:rsid w:val="00C45A41"/>
    <w:rsid w:val="00C46EE5"/>
    <w:rsid w:val="00C51515"/>
    <w:rsid w:val="00C550A5"/>
    <w:rsid w:val="00C5660B"/>
    <w:rsid w:val="00C62A75"/>
    <w:rsid w:val="00C62C69"/>
    <w:rsid w:val="00C66B72"/>
    <w:rsid w:val="00C71EF5"/>
    <w:rsid w:val="00C72217"/>
    <w:rsid w:val="00C75282"/>
    <w:rsid w:val="00C7699B"/>
    <w:rsid w:val="00C810A9"/>
    <w:rsid w:val="00C810D8"/>
    <w:rsid w:val="00C82D2D"/>
    <w:rsid w:val="00C84F37"/>
    <w:rsid w:val="00C860D4"/>
    <w:rsid w:val="00C93318"/>
    <w:rsid w:val="00C9403C"/>
    <w:rsid w:val="00C9567A"/>
    <w:rsid w:val="00C958E3"/>
    <w:rsid w:val="00C963EE"/>
    <w:rsid w:val="00C97129"/>
    <w:rsid w:val="00CA08B2"/>
    <w:rsid w:val="00CA7699"/>
    <w:rsid w:val="00CA773A"/>
    <w:rsid w:val="00CA7FF9"/>
    <w:rsid w:val="00CB212D"/>
    <w:rsid w:val="00CB241A"/>
    <w:rsid w:val="00CB2583"/>
    <w:rsid w:val="00CB2660"/>
    <w:rsid w:val="00CB288B"/>
    <w:rsid w:val="00CC5E90"/>
    <w:rsid w:val="00CC63CF"/>
    <w:rsid w:val="00CD046C"/>
    <w:rsid w:val="00CD771C"/>
    <w:rsid w:val="00CE076C"/>
    <w:rsid w:val="00CE212F"/>
    <w:rsid w:val="00CE5199"/>
    <w:rsid w:val="00CE66D5"/>
    <w:rsid w:val="00CF1C80"/>
    <w:rsid w:val="00CF4B35"/>
    <w:rsid w:val="00CF637A"/>
    <w:rsid w:val="00D059DE"/>
    <w:rsid w:val="00D06C99"/>
    <w:rsid w:val="00D07B3C"/>
    <w:rsid w:val="00D12193"/>
    <w:rsid w:val="00D13FCE"/>
    <w:rsid w:val="00D16155"/>
    <w:rsid w:val="00D306D1"/>
    <w:rsid w:val="00D34786"/>
    <w:rsid w:val="00D37BFC"/>
    <w:rsid w:val="00D41F9A"/>
    <w:rsid w:val="00D43BD2"/>
    <w:rsid w:val="00D44BD0"/>
    <w:rsid w:val="00D46136"/>
    <w:rsid w:val="00D47A8E"/>
    <w:rsid w:val="00D50517"/>
    <w:rsid w:val="00D515D5"/>
    <w:rsid w:val="00D52D14"/>
    <w:rsid w:val="00D63D8F"/>
    <w:rsid w:val="00D712D3"/>
    <w:rsid w:val="00D71422"/>
    <w:rsid w:val="00D72DC6"/>
    <w:rsid w:val="00D73DF5"/>
    <w:rsid w:val="00D7429E"/>
    <w:rsid w:val="00D7558D"/>
    <w:rsid w:val="00D81D92"/>
    <w:rsid w:val="00D83D73"/>
    <w:rsid w:val="00D85D74"/>
    <w:rsid w:val="00D90DE4"/>
    <w:rsid w:val="00D94DEE"/>
    <w:rsid w:val="00D96E66"/>
    <w:rsid w:val="00DA6119"/>
    <w:rsid w:val="00DA7B5F"/>
    <w:rsid w:val="00DB224A"/>
    <w:rsid w:val="00DB3F16"/>
    <w:rsid w:val="00DC1189"/>
    <w:rsid w:val="00DC11E7"/>
    <w:rsid w:val="00DC7023"/>
    <w:rsid w:val="00DC769A"/>
    <w:rsid w:val="00DC7C87"/>
    <w:rsid w:val="00DD0398"/>
    <w:rsid w:val="00DD2AED"/>
    <w:rsid w:val="00DD3D86"/>
    <w:rsid w:val="00DD6B88"/>
    <w:rsid w:val="00DE3247"/>
    <w:rsid w:val="00DF1EC4"/>
    <w:rsid w:val="00DF6D64"/>
    <w:rsid w:val="00E0319E"/>
    <w:rsid w:val="00E0340B"/>
    <w:rsid w:val="00E03F04"/>
    <w:rsid w:val="00E04A90"/>
    <w:rsid w:val="00E070BB"/>
    <w:rsid w:val="00E125E2"/>
    <w:rsid w:val="00E219C7"/>
    <w:rsid w:val="00E30BD9"/>
    <w:rsid w:val="00E4057B"/>
    <w:rsid w:val="00E414FA"/>
    <w:rsid w:val="00E417C2"/>
    <w:rsid w:val="00E41912"/>
    <w:rsid w:val="00E43157"/>
    <w:rsid w:val="00E461CE"/>
    <w:rsid w:val="00E52199"/>
    <w:rsid w:val="00E55DD5"/>
    <w:rsid w:val="00E65A41"/>
    <w:rsid w:val="00E720CA"/>
    <w:rsid w:val="00E810C3"/>
    <w:rsid w:val="00E81806"/>
    <w:rsid w:val="00E82B2A"/>
    <w:rsid w:val="00E83CB2"/>
    <w:rsid w:val="00E84EB5"/>
    <w:rsid w:val="00E85316"/>
    <w:rsid w:val="00E85662"/>
    <w:rsid w:val="00E8689A"/>
    <w:rsid w:val="00E87589"/>
    <w:rsid w:val="00E8789F"/>
    <w:rsid w:val="00E9006A"/>
    <w:rsid w:val="00E909AA"/>
    <w:rsid w:val="00E94C6F"/>
    <w:rsid w:val="00E94F44"/>
    <w:rsid w:val="00E97B71"/>
    <w:rsid w:val="00EA04F0"/>
    <w:rsid w:val="00EA3D34"/>
    <w:rsid w:val="00EA3DAE"/>
    <w:rsid w:val="00EA7921"/>
    <w:rsid w:val="00EA7E70"/>
    <w:rsid w:val="00EB3551"/>
    <w:rsid w:val="00EB454D"/>
    <w:rsid w:val="00EB4F64"/>
    <w:rsid w:val="00EB6132"/>
    <w:rsid w:val="00EC1EAF"/>
    <w:rsid w:val="00ED2413"/>
    <w:rsid w:val="00ED76BE"/>
    <w:rsid w:val="00EE442F"/>
    <w:rsid w:val="00EE60C8"/>
    <w:rsid w:val="00EF48E1"/>
    <w:rsid w:val="00EF5705"/>
    <w:rsid w:val="00EF619B"/>
    <w:rsid w:val="00F001A2"/>
    <w:rsid w:val="00F00B55"/>
    <w:rsid w:val="00F022D9"/>
    <w:rsid w:val="00F023D5"/>
    <w:rsid w:val="00F02AD1"/>
    <w:rsid w:val="00F0614F"/>
    <w:rsid w:val="00F06A31"/>
    <w:rsid w:val="00F121B2"/>
    <w:rsid w:val="00F1585A"/>
    <w:rsid w:val="00F22147"/>
    <w:rsid w:val="00F253CC"/>
    <w:rsid w:val="00F32D89"/>
    <w:rsid w:val="00F37106"/>
    <w:rsid w:val="00F41221"/>
    <w:rsid w:val="00F47E15"/>
    <w:rsid w:val="00F519CF"/>
    <w:rsid w:val="00F551E4"/>
    <w:rsid w:val="00F56BA5"/>
    <w:rsid w:val="00F60E22"/>
    <w:rsid w:val="00F64EFC"/>
    <w:rsid w:val="00F679EB"/>
    <w:rsid w:val="00F67EC5"/>
    <w:rsid w:val="00F71E14"/>
    <w:rsid w:val="00F73104"/>
    <w:rsid w:val="00F76591"/>
    <w:rsid w:val="00F805FB"/>
    <w:rsid w:val="00F81395"/>
    <w:rsid w:val="00F849AC"/>
    <w:rsid w:val="00F902EB"/>
    <w:rsid w:val="00F90E55"/>
    <w:rsid w:val="00F917D1"/>
    <w:rsid w:val="00F922E4"/>
    <w:rsid w:val="00F961EB"/>
    <w:rsid w:val="00F9653B"/>
    <w:rsid w:val="00FA14A7"/>
    <w:rsid w:val="00FA3BCD"/>
    <w:rsid w:val="00FA4057"/>
    <w:rsid w:val="00FA4415"/>
    <w:rsid w:val="00FB07FD"/>
    <w:rsid w:val="00FB1110"/>
    <w:rsid w:val="00FB62CF"/>
    <w:rsid w:val="00FB6F53"/>
    <w:rsid w:val="00FB7330"/>
    <w:rsid w:val="00FC1B29"/>
    <w:rsid w:val="00FC6D5C"/>
    <w:rsid w:val="00FD1459"/>
    <w:rsid w:val="00FD3C3B"/>
    <w:rsid w:val="00FD5A99"/>
    <w:rsid w:val="00FE07DD"/>
    <w:rsid w:val="00FE6B45"/>
    <w:rsid w:val="00FF070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B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autoRedefine/>
    <w:uiPriority w:val="9"/>
    <w:qFormat/>
    <w:rsid w:val="006B2350"/>
    <w:pPr>
      <w:numPr>
        <w:numId w:val="60"/>
      </w:numPr>
      <w:suppressAutoHyphens/>
      <w:outlineLvl w:val="0"/>
    </w:pPr>
    <w:rPr>
      <w:b/>
      <w:lang w:val="es-ES_tradnl"/>
    </w:rPr>
  </w:style>
  <w:style w:type="paragraph" w:styleId="Heading2">
    <w:name w:val="heading 2"/>
    <w:basedOn w:val="Normal"/>
    <w:next w:val="Normal"/>
    <w:link w:val="Heading2Char"/>
    <w:autoRedefine/>
    <w:qFormat/>
    <w:rsid w:val="00611447"/>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outlineLvl w:val="1"/>
    </w:pPr>
    <w:rPr>
      <w:rFonts w:ascii="Cambria" w:eastAsia="Times New Roman" w:hAnsi="Cambria" w:cs="Arial"/>
      <w:b/>
      <w:bCs/>
      <w:iCs/>
      <w:sz w:val="20"/>
      <w:szCs w:val="28"/>
      <w:bdr w:val="none" w:sz="0" w:space="0" w:color="auto"/>
      <w:lang w:val="es-ES"/>
    </w:rPr>
  </w:style>
  <w:style w:type="paragraph" w:styleId="Heading3">
    <w:name w:val="heading 3"/>
    <w:basedOn w:val="Normal"/>
    <w:next w:val="Normal"/>
    <w:link w:val="Heading3Char"/>
    <w:qFormat/>
    <w:rsid w:val="00161D34"/>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outlineLvl w:val="2"/>
    </w:pPr>
    <w:rPr>
      <w:rFonts w:asciiTheme="majorHAnsi" w:eastAsia="Times New Roman" w:hAnsiTheme="majorHAnsi"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Parragrap,Superíndice,Dot pt,No Spacing1,List Paragraph Char Char Char,Indicator Text,Numbered Para 1,4 Párrafo de lista,Figuras,DH1"/>
    <w:link w:val="ListParagraphChar"/>
    <w:autoRedefine/>
    <w:uiPriority w:val="34"/>
    <w:qFormat/>
    <w:rsid w:val="006B235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240" w:after="240"/>
      <w:ind w:left="709" w:right="360"/>
      <w:jc w:val="both"/>
    </w:pPr>
    <w:rPr>
      <w:rFonts w:asciiTheme="majorHAnsi" w:hAnsiTheme="majorHAnsi" w:cs="Cambria"/>
      <w:u w:color="000000"/>
      <w:bdr w:val="none" w:sz="0" w:space="0" w:color="auto"/>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link w:val="FootnoteTextChar"/>
    <w:uiPriority w:val="99"/>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6B2350"/>
    <w:rPr>
      <w:rFonts w:asciiTheme="majorHAnsi" w:hAnsiTheme="majorHAnsi" w:cs="Cambria"/>
      <w:b/>
      <w:u w:color="000000"/>
      <w:bdr w:val="none" w:sz="0" w:space="0" w:color="auto"/>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uiPriority w:val="99"/>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611447"/>
    <w:rPr>
      <w:rFonts w:ascii="Cambria" w:eastAsia="Times New Roman" w:hAnsi="Cambria" w:cs="Arial"/>
      <w:b/>
      <w:bCs/>
      <w:iCs/>
      <w:szCs w:val="28"/>
      <w:bdr w:val="none" w:sz="0" w:space="0" w:color="auto"/>
      <w:lang w:eastAsia="en-US"/>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Parragrap Char,Superíndice Char,Dot pt Char,No Spacing1 Char,List Paragraph Char Char Char Char,Indicator Text Char"/>
    <w:link w:val="ListParagraph"/>
    <w:uiPriority w:val="34"/>
    <w:locked/>
    <w:rsid w:val="006B2350"/>
    <w:rPr>
      <w:rFonts w:asciiTheme="majorHAnsi" w:hAnsiTheme="majorHAnsi" w:cs="Cambria"/>
      <w:u w:color="000000"/>
      <w:bdr w:val="none" w:sz="0" w:space="0" w:color="auto"/>
    </w:rPr>
  </w:style>
  <w:style w:type="paragraph" w:styleId="NoSpacing">
    <w:name w:val="No Spacing"/>
    <w:uiPriority w:val="1"/>
    <w:qFormat/>
    <w:rsid w:val="00161D34"/>
    <w:rPr>
      <w:sz w:val="24"/>
      <w:szCs w:val="24"/>
      <w:lang w:val="en-US" w:eastAsia="en-US"/>
    </w:rPr>
  </w:style>
  <w:style w:type="paragraph" w:customStyle="1" w:styleId="parrafos">
    <w:name w:val="parrafos"/>
    <w:basedOn w:val="Normal"/>
    <w:link w:val="parrafosChar"/>
    <w:qFormat/>
    <w:rsid w:val="00914740"/>
    <w:pPr>
      <w:numPr>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paragraph" w:customStyle="1" w:styleId="citas">
    <w:name w:val="citas"/>
    <w:basedOn w:val="ListParagraph"/>
    <w:link w:val="citasChar"/>
    <w:qFormat/>
    <w:rsid w:val="00914740"/>
  </w:style>
  <w:style w:type="character" w:customStyle="1" w:styleId="parrafosChar">
    <w:name w:val="parrafos Char"/>
    <w:basedOn w:val="DefaultParagraphFont"/>
    <w:link w:val="parrafos"/>
    <w:rsid w:val="00914740"/>
    <w:rPr>
      <w:rFonts w:asciiTheme="majorHAnsi" w:hAnsiTheme="majorHAnsi"/>
      <w:color w:val="000000" w:themeColor="text1"/>
      <w:lang w:val="es-VE" w:eastAsia="en-US"/>
    </w:rPr>
  </w:style>
  <w:style w:type="character" w:customStyle="1" w:styleId="citasChar">
    <w:name w:val="citas Char"/>
    <w:basedOn w:val="ListParagraphChar"/>
    <w:link w:val="citas"/>
    <w:rsid w:val="00914740"/>
    <w:rPr>
      <w:rFonts w:ascii="Cambria" w:eastAsia="Cambria" w:hAnsi="Cambria" w:cs="Cambria"/>
      <w:b w:val="0"/>
      <w:bCs w:val="0"/>
      <w:color w:val="000000"/>
      <w:sz w:val="18"/>
      <w:szCs w:val="24"/>
      <w:u w:color="000000"/>
      <w:bdr w:val="none" w:sz="0" w:space="0" w:color="auto"/>
      <w:lang w:val="en-US"/>
    </w:rPr>
  </w:style>
  <w:style w:type="character" w:styleId="CommentReference">
    <w:name w:val="annotation reference"/>
    <w:basedOn w:val="DefaultParagraphFont"/>
    <w:uiPriority w:val="99"/>
    <w:semiHidden/>
    <w:unhideWhenUsed/>
    <w:rsid w:val="003960E6"/>
    <w:rPr>
      <w:sz w:val="16"/>
      <w:szCs w:val="16"/>
    </w:rPr>
  </w:style>
  <w:style w:type="paragraph" w:styleId="CommentText">
    <w:name w:val="annotation text"/>
    <w:basedOn w:val="Normal"/>
    <w:link w:val="CommentTextChar"/>
    <w:uiPriority w:val="99"/>
    <w:unhideWhenUsed/>
    <w:rsid w:val="003960E6"/>
    <w:rPr>
      <w:sz w:val="20"/>
      <w:szCs w:val="20"/>
    </w:rPr>
  </w:style>
  <w:style w:type="character" w:customStyle="1" w:styleId="CommentTextChar">
    <w:name w:val="Comment Text Char"/>
    <w:basedOn w:val="DefaultParagraphFont"/>
    <w:link w:val="CommentText"/>
    <w:uiPriority w:val="99"/>
    <w:rsid w:val="003960E6"/>
    <w:rPr>
      <w:lang w:val="en-US" w:eastAsia="en-US"/>
    </w:rPr>
  </w:style>
  <w:style w:type="paragraph" w:styleId="CommentSubject">
    <w:name w:val="annotation subject"/>
    <w:basedOn w:val="CommentText"/>
    <w:next w:val="CommentText"/>
    <w:link w:val="CommentSubjectChar"/>
    <w:uiPriority w:val="99"/>
    <w:semiHidden/>
    <w:unhideWhenUsed/>
    <w:rsid w:val="003960E6"/>
    <w:rPr>
      <w:b/>
      <w:bCs/>
    </w:rPr>
  </w:style>
  <w:style w:type="character" w:customStyle="1" w:styleId="CommentSubjectChar">
    <w:name w:val="Comment Subject Char"/>
    <w:basedOn w:val="CommentTextChar"/>
    <w:link w:val="CommentSubject"/>
    <w:uiPriority w:val="99"/>
    <w:semiHidden/>
    <w:rsid w:val="003960E6"/>
    <w:rPr>
      <w:b/>
      <w:bCs/>
      <w:lang w:val="en-US" w:eastAsia="en-US"/>
    </w:rPr>
  </w:style>
  <w:style w:type="character" w:customStyle="1" w:styleId="BodyTextIndentChar">
    <w:name w:val="Body Text Indent Char"/>
    <w:link w:val="BodyTextIndent"/>
    <w:locked/>
    <w:rsid w:val="00937C0F"/>
    <w:rPr>
      <w:rFonts w:eastAsia="Times New Roman"/>
      <w:color w:val="000000"/>
      <w:sz w:val="24"/>
      <w:szCs w:val="24"/>
      <w:u w:color="000000"/>
      <w:lang w:val="es-ES_tradnl"/>
    </w:rPr>
  </w:style>
  <w:style w:type="numbering" w:customStyle="1" w:styleId="CurrentList1">
    <w:name w:val="Current List1"/>
    <w:uiPriority w:val="99"/>
    <w:rsid w:val="00611447"/>
    <w:pPr>
      <w:numPr>
        <w:numId w:val="58"/>
      </w:numPr>
    </w:pPr>
  </w:style>
  <w:style w:type="table" w:styleId="TableGrid">
    <w:name w:val="Table Grid"/>
    <w:basedOn w:val="TableNormal"/>
    <w:uiPriority w:val="59"/>
    <w:rsid w:val="00452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rsid w:val="00452E3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A512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A5120A"/>
  </w:style>
  <w:style w:type="character" w:customStyle="1" w:styleId="eop">
    <w:name w:val="eop"/>
    <w:basedOn w:val="DefaultParagraphFont"/>
    <w:rsid w:val="00A5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978">
      <w:bodyDiv w:val="1"/>
      <w:marLeft w:val="0"/>
      <w:marRight w:val="0"/>
      <w:marTop w:val="0"/>
      <w:marBottom w:val="0"/>
      <w:divBdr>
        <w:top w:val="none" w:sz="0" w:space="0" w:color="auto"/>
        <w:left w:val="none" w:sz="0" w:space="0" w:color="auto"/>
        <w:bottom w:val="none" w:sz="0" w:space="0" w:color="auto"/>
        <w:right w:val="none" w:sz="0" w:space="0" w:color="auto"/>
      </w:divBdr>
    </w:div>
    <w:div w:id="425004178">
      <w:bodyDiv w:val="1"/>
      <w:marLeft w:val="0"/>
      <w:marRight w:val="0"/>
      <w:marTop w:val="0"/>
      <w:marBottom w:val="0"/>
      <w:divBdr>
        <w:top w:val="none" w:sz="0" w:space="0" w:color="auto"/>
        <w:left w:val="none" w:sz="0" w:space="0" w:color="auto"/>
        <w:bottom w:val="none" w:sz="0" w:space="0" w:color="auto"/>
        <w:right w:val="none" w:sz="0" w:space="0" w:color="auto"/>
      </w:divBdr>
    </w:div>
    <w:div w:id="578560001">
      <w:bodyDiv w:val="1"/>
      <w:marLeft w:val="0"/>
      <w:marRight w:val="0"/>
      <w:marTop w:val="0"/>
      <w:marBottom w:val="0"/>
      <w:divBdr>
        <w:top w:val="none" w:sz="0" w:space="0" w:color="auto"/>
        <w:left w:val="none" w:sz="0" w:space="0" w:color="auto"/>
        <w:bottom w:val="none" w:sz="0" w:space="0" w:color="auto"/>
        <w:right w:val="none" w:sz="0" w:space="0" w:color="auto"/>
      </w:divBdr>
    </w:div>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1687360869">
      <w:bodyDiv w:val="1"/>
      <w:marLeft w:val="0"/>
      <w:marRight w:val="0"/>
      <w:marTop w:val="0"/>
      <w:marBottom w:val="0"/>
      <w:divBdr>
        <w:top w:val="none" w:sz="0" w:space="0" w:color="auto"/>
        <w:left w:val="none" w:sz="0" w:space="0" w:color="auto"/>
        <w:bottom w:val="none" w:sz="0" w:space="0" w:color="auto"/>
        <w:right w:val="none" w:sz="0" w:space="0" w:color="auto"/>
      </w:divBdr>
      <w:divsChild>
        <w:div w:id="751044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298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FE95DA1303C64480FDC9ED47121842"/>
        <w:category>
          <w:name w:val="General"/>
          <w:gallery w:val="placeholder"/>
        </w:category>
        <w:types>
          <w:type w:val="bbPlcHdr"/>
        </w:types>
        <w:behaviors>
          <w:behavior w:val="content"/>
        </w:behaviors>
        <w:guid w:val="{35F075F0-AB61-5342-882C-3075FEEA04DF}"/>
      </w:docPartPr>
      <w:docPartBody>
        <w:p w:rsidR="008E3DA2" w:rsidRDefault="005E2E71" w:rsidP="005E2E71">
          <w:pPr>
            <w:pStyle w:val="3DFE95DA1303C64480FDC9ED4712184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71"/>
    <w:rsid w:val="003D7E75"/>
    <w:rsid w:val="005E2E71"/>
    <w:rsid w:val="008E3DA2"/>
    <w:rsid w:val="00B537C4"/>
    <w:rsid w:val="00B80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E71"/>
    <w:rPr>
      <w:color w:val="808080"/>
    </w:rPr>
  </w:style>
  <w:style w:type="paragraph" w:customStyle="1" w:styleId="3DFE95DA1303C64480FDC9ED47121842">
    <w:name w:val="3DFE95DA1303C64480FDC9ED47121842"/>
    <w:rsid w:val="005E2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44A0C-733F-49F9-B19F-846F57FB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3639</Words>
  <Characters>20743</Characters>
  <Application>Microsoft Office Word</Application>
  <DocSecurity>0</DocSecurity>
  <Lines>172</Lines>
  <Paragraphs>48</Paragraphs>
  <ScaleCrop>false</ScaleCrop>
  <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2023-11-27T18:03:00Z</dcterms:created>
  <dcterms:modified xsi:type="dcterms:W3CDTF">2023-11-27T18:03:00Z</dcterms:modified>
</cp:coreProperties>
</file>