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0A4E" w14:textId="77777777" w:rsidR="001C11B8" w:rsidRPr="00C547BF" w:rsidRDefault="001C11B8" w:rsidP="001C11B8">
      <w:pPr>
        <w:pBdr>
          <w:top w:val="nil"/>
          <w:left w:val="nil"/>
          <w:bottom w:val="nil"/>
          <w:right w:val="nil"/>
          <w:between w:val="nil"/>
          <w:bar w:val="nil"/>
        </w:pBdr>
        <w:spacing w:after="0"/>
        <w:rPr>
          <w:rFonts w:eastAsia="Arial Unicode MS" w:cs="Univers"/>
          <w:b/>
          <w:bCs/>
          <w:sz w:val="22"/>
          <w:bdr w:val="nil"/>
          <w:lang w:val="es-ES_tradnl"/>
        </w:rPr>
      </w:pPr>
      <w:r w:rsidRPr="00C547BF">
        <w:rPr>
          <w:rFonts w:eastAsia="Arial Unicode MS" w:cs="Times New Roman"/>
          <w:noProof/>
          <w:sz w:val="22"/>
          <w:bdr w:val="nil"/>
          <w:lang w:val="en-US"/>
        </w:rPr>
        <mc:AlternateContent>
          <mc:Choice Requires="wps">
            <w:drawing>
              <wp:anchor distT="0" distB="0" distL="114300" distR="114300" simplePos="0" relativeHeight="251670528" behindDoc="0" locked="0" layoutInCell="1" allowOverlap="1" wp14:anchorId="47C66C87" wp14:editId="223E4D4A">
                <wp:simplePos x="0" y="0"/>
                <wp:positionH relativeFrom="column">
                  <wp:posOffset>-415925</wp:posOffset>
                </wp:positionH>
                <wp:positionV relativeFrom="paragraph">
                  <wp:posOffset>-356870</wp:posOffset>
                </wp:positionV>
                <wp:extent cx="1409700" cy="8977630"/>
                <wp:effectExtent l="0" t="0" r="0" b="0"/>
                <wp:wrapNone/>
                <wp:docPr id="30" name="Rectangle 30"/>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BC103D8" id="Rectangle 30" o:spid="_x0000_s1026" style="position:absolute;margin-left:-32.75pt;margin-top:-28.1pt;width:111pt;height:70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" fillcolor="#67ae3c" stroked="f" strokeweight="2pt"/>
            </w:pict>
          </mc:Fallback>
        </mc:AlternateContent>
      </w:r>
      <w:r w:rsidRPr="00C547BF">
        <w:rPr>
          <w:rFonts w:eastAsia="Arial Unicode MS" w:cs="Times New Roman"/>
          <w:noProof/>
          <w:sz w:val="22"/>
          <w:bdr w:val="nil"/>
          <w:lang w:val="en-US"/>
        </w:rPr>
        <mc:AlternateContent>
          <mc:Choice Requires="wps">
            <w:drawing>
              <wp:anchor distT="0" distB="0" distL="114300" distR="114300" simplePos="0" relativeHeight="251674624" behindDoc="0" locked="0" layoutInCell="1" allowOverlap="1" wp14:anchorId="4B27C5FB" wp14:editId="4FE30D91">
                <wp:simplePos x="0" y="0"/>
                <wp:positionH relativeFrom="column">
                  <wp:posOffset>1143000</wp:posOffset>
                </wp:positionH>
                <wp:positionV relativeFrom="paragraph">
                  <wp:posOffset>-371475</wp:posOffset>
                </wp:positionV>
                <wp:extent cx="4486275" cy="7524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txbx>
                        <w:txbxContent>
                          <w:p w14:paraId="277FE3D5" w14:textId="77777777" w:rsidR="001C11B8" w:rsidRDefault="001C11B8" w:rsidP="001C11B8">
                            <w:r>
                              <w:rPr>
                                <w:noProof/>
                              </w:rPr>
                              <w:drawing>
                                <wp:inline distT="0" distB="0" distL="0" distR="0" wp14:anchorId="70543792" wp14:editId="69E4CA08">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7C5FB" id="_x0000_t202" coordsize="21600,21600" o:spt="202" path="m,l,21600r21600,l21600,xe">
                <v:stroke joinstyle="miter"/>
                <v:path gradientshapeok="t" o:connecttype="rect"/>
              </v:shapetype>
              <v:shape id="Text Box 31" o:spid="_x0000_s1026" type="#_x0000_t202" style="position:absolute;left:0;text-align:left;margin-left:90pt;margin-top:-29.25pt;width:353.2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" filled="f" stroked="f" strokeweight=".5pt">
                <v:textbox>
                  <w:txbxContent>
                    <w:p w14:paraId="277FE3D5" w14:textId="77777777" w:rsidR="001C11B8" w:rsidRDefault="001C11B8" w:rsidP="001C11B8">
                      <w:r>
                        <w:rPr>
                          <w:noProof/>
                        </w:rPr>
                        <w:drawing>
                          <wp:inline distT="0" distB="0" distL="0" distR="0" wp14:anchorId="70543792" wp14:editId="69E4CA08">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01615444" w14:textId="77777777" w:rsidR="001C11B8" w:rsidRPr="00C547BF" w:rsidRDefault="001C11B8" w:rsidP="001C11B8">
      <w:pPr>
        <w:pBdr>
          <w:top w:val="nil"/>
          <w:left w:val="nil"/>
          <w:bottom w:val="nil"/>
          <w:right w:val="nil"/>
          <w:between w:val="nil"/>
          <w:bar w:val="nil"/>
        </w:pBdr>
        <w:tabs>
          <w:tab w:val="center" w:pos="5400"/>
        </w:tabs>
        <w:suppressAutoHyphens/>
        <w:spacing w:after="0"/>
        <w:rPr>
          <w:rFonts w:eastAsia="Arial Unicode MS" w:cs="Times New Roman"/>
          <w:sz w:val="22"/>
          <w:bdr w:val="nil"/>
          <w:lang w:val="es-ES"/>
        </w:rPr>
      </w:pPr>
    </w:p>
    <w:p w14:paraId="0DEA66FC" w14:textId="77777777" w:rsidR="001C11B8" w:rsidRPr="00C547BF" w:rsidRDefault="001C11B8" w:rsidP="001C11B8">
      <w:pPr>
        <w:pBdr>
          <w:top w:val="nil"/>
          <w:left w:val="nil"/>
          <w:bottom w:val="nil"/>
          <w:right w:val="nil"/>
          <w:between w:val="nil"/>
          <w:bar w:val="nil"/>
        </w:pBdr>
        <w:tabs>
          <w:tab w:val="center" w:pos="5400"/>
        </w:tabs>
        <w:suppressAutoHyphens/>
        <w:spacing w:after="0"/>
        <w:rPr>
          <w:rFonts w:eastAsia="Arial Unicode MS" w:cs="Times New Roman"/>
          <w:sz w:val="22"/>
          <w:bdr w:val="nil"/>
          <w:lang w:val="es-ES"/>
        </w:rPr>
      </w:pPr>
    </w:p>
    <w:p w14:paraId="747D8073" w14:textId="77777777" w:rsidR="001C11B8" w:rsidRPr="00C547BF" w:rsidRDefault="001C11B8" w:rsidP="001C11B8">
      <w:pPr>
        <w:pBdr>
          <w:top w:val="nil"/>
          <w:left w:val="nil"/>
          <w:bottom w:val="nil"/>
          <w:right w:val="nil"/>
          <w:between w:val="nil"/>
          <w:bar w:val="nil"/>
        </w:pBdr>
        <w:tabs>
          <w:tab w:val="center" w:pos="5400"/>
        </w:tabs>
        <w:suppressAutoHyphens/>
        <w:spacing w:after="0"/>
        <w:jc w:val="left"/>
        <w:rPr>
          <w:rFonts w:eastAsia="Arial Unicode MS" w:cs="Times New Roman"/>
          <w:sz w:val="22"/>
          <w:bdr w:val="nil"/>
          <w:lang w:val="es-ES_tradnl"/>
        </w:rPr>
      </w:pPr>
    </w:p>
    <w:p w14:paraId="0DB5BC3F" w14:textId="77777777" w:rsidR="001C11B8" w:rsidRPr="00C547BF" w:rsidRDefault="001C11B8" w:rsidP="001C11B8">
      <w:pPr>
        <w:pBdr>
          <w:top w:val="nil"/>
          <w:left w:val="nil"/>
          <w:bottom w:val="nil"/>
          <w:right w:val="nil"/>
          <w:between w:val="nil"/>
          <w:bar w:val="nil"/>
        </w:pBdr>
        <w:tabs>
          <w:tab w:val="center" w:pos="5400"/>
        </w:tabs>
        <w:suppressAutoHyphens/>
        <w:spacing w:after="0"/>
        <w:jc w:val="left"/>
        <w:rPr>
          <w:rFonts w:eastAsia="Arial Unicode MS" w:cs="Times New Roman"/>
          <w:sz w:val="22"/>
          <w:bdr w:val="nil"/>
          <w:lang w:val="es-ES_tradnl"/>
        </w:rPr>
      </w:pPr>
    </w:p>
    <w:p w14:paraId="10036D85" w14:textId="77777777" w:rsidR="001C11B8" w:rsidRPr="00C547BF" w:rsidRDefault="001C11B8" w:rsidP="001C11B8">
      <w:pPr>
        <w:pBdr>
          <w:top w:val="nil"/>
          <w:left w:val="nil"/>
          <w:bottom w:val="nil"/>
          <w:right w:val="nil"/>
          <w:between w:val="nil"/>
          <w:bar w:val="nil"/>
        </w:pBdr>
        <w:tabs>
          <w:tab w:val="center" w:pos="5400"/>
        </w:tabs>
        <w:suppressAutoHyphens/>
        <w:spacing w:after="0"/>
        <w:jc w:val="left"/>
        <w:rPr>
          <w:rFonts w:eastAsia="Arial Unicode MS" w:cs="Times New Roman"/>
          <w:sz w:val="22"/>
          <w:bdr w:val="nil"/>
          <w:lang w:val="es-ES_tradnl"/>
        </w:rPr>
      </w:pPr>
    </w:p>
    <w:p w14:paraId="6E8D365E"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22"/>
          <w:bdr w:val="nil"/>
          <w:lang w:val="es-ES_tradnl"/>
        </w:rPr>
      </w:pPr>
    </w:p>
    <w:p w14:paraId="3A6BB70D"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22"/>
          <w:bdr w:val="nil"/>
          <w:lang w:val="es-ES_tradnl"/>
        </w:rPr>
      </w:pPr>
    </w:p>
    <w:p w14:paraId="515A2DC9"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22"/>
          <w:bdr w:val="nil"/>
          <w:lang w:val="es-ES_tradnl"/>
        </w:rPr>
      </w:pPr>
    </w:p>
    <w:p w14:paraId="0B9B5D7A"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22"/>
          <w:bdr w:val="nil"/>
          <w:lang w:val="es-ES_tradnl"/>
        </w:rPr>
      </w:pPr>
    </w:p>
    <w:p w14:paraId="625DC28C"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22"/>
          <w:bdr w:val="nil"/>
          <w:lang w:val="es-ES_tradnl"/>
        </w:rPr>
      </w:pPr>
    </w:p>
    <w:p w14:paraId="41FD5BA9"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22"/>
          <w:bdr w:val="nil"/>
          <w:lang w:val="es-ES_tradnl"/>
        </w:rPr>
      </w:pPr>
    </w:p>
    <w:p w14:paraId="2FB24454"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22"/>
          <w:bdr w:val="nil"/>
          <w:lang w:val="es-ES_tradnl"/>
        </w:rPr>
      </w:pPr>
    </w:p>
    <w:p w14:paraId="64F40D80"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22"/>
          <w:bdr w:val="nil"/>
          <w:lang w:val="es-ES_tradnl"/>
        </w:rPr>
      </w:pPr>
    </w:p>
    <w:p w14:paraId="01B6D02E"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22"/>
          <w:bdr w:val="nil"/>
          <w:lang w:val="es-ES_tradnl"/>
        </w:rPr>
      </w:pPr>
      <w:r w:rsidRPr="00C547BF">
        <w:rPr>
          <w:rFonts w:eastAsia="Arial Unicode MS" w:cs="Times New Roman"/>
          <w:noProof/>
          <w:sz w:val="22"/>
          <w:bdr w:val="nil"/>
          <w:lang w:val="en-US"/>
        </w:rPr>
        <mc:AlternateContent>
          <mc:Choice Requires="wps">
            <w:drawing>
              <wp:anchor distT="0" distB="0" distL="114300" distR="114300" simplePos="0" relativeHeight="251671552" behindDoc="0" locked="0" layoutInCell="1" allowOverlap="1" wp14:anchorId="548C5648" wp14:editId="7FE52CDF">
                <wp:simplePos x="0" y="0"/>
                <wp:positionH relativeFrom="column">
                  <wp:posOffset>1208076</wp:posOffset>
                </wp:positionH>
                <wp:positionV relativeFrom="paragraph">
                  <wp:posOffset>76446</wp:posOffset>
                </wp:positionV>
                <wp:extent cx="4333875" cy="1908893"/>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333875" cy="1908893"/>
                        </a:xfrm>
                        <a:prstGeom prst="rect">
                          <a:avLst/>
                        </a:prstGeom>
                        <a:noFill/>
                        <a:ln w="6350">
                          <a:noFill/>
                        </a:ln>
                        <a:effectLst/>
                      </wps:spPr>
                      <wps:txbx>
                        <w:txbxContent>
                          <w:p w14:paraId="092787A0" w14:textId="2C07D9D2" w:rsidR="001C11B8" w:rsidRPr="008F344D" w:rsidRDefault="001C11B8" w:rsidP="001C11B8">
                            <w:pPr>
                              <w:spacing w:line="276" w:lineRule="auto"/>
                              <w:rPr>
                                <w:rFonts w:cs="Arial"/>
                                <w:b/>
                                <w:bCs/>
                                <w:color w:val="0D0D0D"/>
                                <w:sz w:val="36"/>
                                <w:szCs w:val="40"/>
                                <w:lang w:val="en-US"/>
                              </w:rPr>
                            </w:pPr>
                            <w:r w:rsidRPr="008F344D">
                              <w:rPr>
                                <w:rFonts w:cs="Arial"/>
                                <w:b/>
                                <w:bCs/>
                                <w:color w:val="0D0D0D"/>
                                <w:sz w:val="36"/>
                                <w:szCs w:val="40"/>
                                <w:lang w:val="en-US"/>
                              </w:rPr>
                              <w:t xml:space="preserve">REPORT No. </w:t>
                            </w:r>
                            <w:r w:rsidR="00C547BF">
                              <w:rPr>
                                <w:rFonts w:cs="Arial"/>
                                <w:b/>
                                <w:bCs/>
                                <w:color w:val="0D0D0D"/>
                                <w:sz w:val="36"/>
                                <w:szCs w:val="40"/>
                                <w:lang w:val="en-US"/>
                              </w:rPr>
                              <w:t>83</w:t>
                            </w:r>
                            <w:r w:rsidRPr="008F344D">
                              <w:rPr>
                                <w:rFonts w:cs="Arial"/>
                                <w:b/>
                                <w:bCs/>
                                <w:color w:val="0D0D0D"/>
                                <w:sz w:val="36"/>
                                <w:szCs w:val="40"/>
                                <w:lang w:val="en-US"/>
                              </w:rPr>
                              <w:t>/</w:t>
                            </w:r>
                            <w:r w:rsidR="00A15327">
                              <w:rPr>
                                <w:rFonts w:cs="Arial"/>
                                <w:b/>
                                <w:bCs/>
                                <w:color w:val="0D0D0D"/>
                                <w:sz w:val="36"/>
                                <w:szCs w:val="40"/>
                                <w:lang w:val="en-US"/>
                              </w:rPr>
                              <w:t>23</w:t>
                            </w:r>
                          </w:p>
                          <w:p w14:paraId="4C8ABC1F" w14:textId="64BCFC7B" w:rsidR="001C11B8" w:rsidRPr="008F344D" w:rsidRDefault="001C11B8" w:rsidP="001C11B8">
                            <w:pPr>
                              <w:spacing w:line="276" w:lineRule="auto"/>
                              <w:rPr>
                                <w:rFonts w:cs="Arial"/>
                                <w:b/>
                                <w:bCs/>
                                <w:color w:val="0D0D0D"/>
                                <w:sz w:val="36"/>
                                <w:szCs w:val="40"/>
                                <w:lang w:val="en-US"/>
                              </w:rPr>
                            </w:pPr>
                            <w:r w:rsidRPr="008F344D">
                              <w:rPr>
                                <w:rFonts w:cs="Arial"/>
                                <w:b/>
                                <w:bCs/>
                                <w:color w:val="0D0D0D"/>
                                <w:sz w:val="36"/>
                                <w:szCs w:val="40"/>
                                <w:lang w:val="en-US"/>
                              </w:rPr>
                              <w:t xml:space="preserve">CASE </w:t>
                            </w:r>
                            <w:r w:rsidR="006B4D3B">
                              <w:rPr>
                                <w:rFonts w:cs="Arial"/>
                                <w:b/>
                                <w:bCs/>
                                <w:color w:val="0D0D0D"/>
                                <w:sz w:val="36"/>
                                <w:szCs w:val="40"/>
                                <w:lang w:val="en-US"/>
                              </w:rPr>
                              <w:t>14.196</w:t>
                            </w:r>
                          </w:p>
                          <w:p w14:paraId="691350D4" w14:textId="0AC4DAA6" w:rsidR="001C11B8" w:rsidRPr="008F344D" w:rsidRDefault="006B4D3B" w:rsidP="001C11B8">
                            <w:pPr>
                              <w:spacing w:after="0"/>
                              <w:rPr>
                                <w:rFonts w:cs="Arial"/>
                                <w:color w:val="0D0D0D"/>
                                <w:lang w:val="en-US"/>
                              </w:rPr>
                            </w:pPr>
                            <w:r>
                              <w:rPr>
                                <w:rFonts w:cs="Arial"/>
                                <w:color w:val="0D0D0D"/>
                                <w:lang w:val="en-US"/>
                              </w:rPr>
                              <w:t>ADMISSIBILITY AND MERITS REPORT</w:t>
                            </w:r>
                            <w:r w:rsidR="00A15327">
                              <w:rPr>
                                <w:rFonts w:cs="Arial"/>
                                <w:color w:val="0D0D0D"/>
                                <w:lang w:val="en-US"/>
                              </w:rPr>
                              <w:t xml:space="preserve"> (</w:t>
                            </w:r>
                            <w:r w:rsidR="00DC03DC" w:rsidRPr="00C547BF">
                              <w:rPr>
                                <w:rFonts w:cs="Arial"/>
                                <w:color w:val="0D0D0D"/>
                                <w:lang w:val="en-US"/>
                              </w:rPr>
                              <w:t>PUBLICATION</w:t>
                            </w:r>
                            <w:r w:rsidR="00A15327" w:rsidRPr="00C547BF">
                              <w:rPr>
                                <w:rFonts w:cs="Arial"/>
                                <w:color w:val="0D0D0D"/>
                                <w:lang w:val="en-US"/>
                              </w:rPr>
                              <w:t>)</w:t>
                            </w:r>
                          </w:p>
                          <w:p w14:paraId="6D63F73A" w14:textId="56278058" w:rsidR="001C11B8" w:rsidRPr="006B4D3B" w:rsidRDefault="006B4D3B" w:rsidP="001C11B8">
                            <w:pPr>
                              <w:spacing w:after="0"/>
                              <w:rPr>
                                <w:rFonts w:cs="Arial"/>
                                <w:color w:val="0D0D0D"/>
                                <w:lang w:val="en-US"/>
                              </w:rPr>
                            </w:pPr>
                            <w:r w:rsidRPr="006B4D3B">
                              <w:rPr>
                                <w:rFonts w:cs="Arial"/>
                                <w:color w:val="0D0D0D"/>
                                <w:lang w:val="en-US"/>
                              </w:rPr>
                              <w:t>OSWALDO JOSE PAY</w:t>
                            </w:r>
                            <w:r w:rsidR="00CD76E9">
                              <w:rPr>
                                <w:rFonts w:cs="Arial"/>
                                <w:color w:val="0D0D0D"/>
                                <w:lang w:val="en-US"/>
                              </w:rPr>
                              <w:t>Á</w:t>
                            </w:r>
                            <w:r w:rsidRPr="006B4D3B">
                              <w:rPr>
                                <w:rFonts w:cs="Arial"/>
                                <w:color w:val="0D0D0D"/>
                                <w:lang w:val="en-US"/>
                              </w:rPr>
                              <w:t xml:space="preserve"> SARDIÑA AND OT</w:t>
                            </w:r>
                            <w:r>
                              <w:rPr>
                                <w:rFonts w:cs="Arial"/>
                                <w:color w:val="0D0D0D"/>
                                <w:lang w:val="en-US"/>
                              </w:rPr>
                              <w:t>HERS</w:t>
                            </w:r>
                          </w:p>
                          <w:p w14:paraId="0F49D41E" w14:textId="77777777" w:rsidR="001C11B8" w:rsidRPr="006B4D3B" w:rsidRDefault="001C11B8" w:rsidP="001C11B8">
                            <w:pPr>
                              <w:spacing w:after="0"/>
                              <w:rPr>
                                <w:rFonts w:cs="Arial"/>
                                <w:color w:val="0D0D0D"/>
                                <w:lang w:val="en-US"/>
                              </w:rPr>
                            </w:pPr>
                          </w:p>
                          <w:p w14:paraId="7C42BFF6" w14:textId="65CE7074" w:rsidR="001C11B8" w:rsidRPr="006B4D3B" w:rsidRDefault="001B0AEC" w:rsidP="001C11B8">
                            <w:pPr>
                              <w:spacing w:after="0"/>
                              <w:rPr>
                                <w:color w:val="0D0D0D"/>
                                <w:lang w:val="pt-BR"/>
                              </w:rPr>
                            </w:pPr>
                            <w:r>
                              <w:rPr>
                                <w:rFonts w:cs="Arial"/>
                                <w:color w:val="0D0D0D"/>
                                <w:lang w:val="pt-BR"/>
                              </w:rPr>
                              <w:t>CUBA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C5648" id="_x0000_t202" coordsize="21600,21600" o:spt="202" path="m,l,21600r21600,l21600,xe">
                <v:stroke joinstyle="miter"/>
                <v:path gradientshapeok="t" o:connecttype="rect"/>
              </v:shapetype>
              <v:shape id="Text Box 32" o:spid="_x0000_s1027" type="#_x0000_t202" style="position:absolute;left:0;text-align:left;margin-left:95.1pt;margin-top:6pt;width:341.25pt;height:15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" filled="f" stroked="f" strokeweight=".5pt">
                <v:textbox>
                  <w:txbxContent>
                    <w:p w14:paraId="092787A0" w14:textId="2C07D9D2" w:rsidR="001C11B8" w:rsidRPr="008F344D" w:rsidRDefault="001C11B8" w:rsidP="001C11B8">
                      <w:pPr>
                        <w:spacing w:line="276" w:lineRule="auto"/>
                        <w:rPr>
                          <w:rFonts w:cs="Arial"/>
                          <w:b/>
                          <w:bCs/>
                          <w:color w:val="0D0D0D"/>
                          <w:sz w:val="36"/>
                          <w:szCs w:val="40"/>
                          <w:lang w:val="en-US"/>
                        </w:rPr>
                      </w:pPr>
                      <w:r w:rsidRPr="008F344D">
                        <w:rPr>
                          <w:rFonts w:cs="Arial"/>
                          <w:b/>
                          <w:bCs/>
                          <w:color w:val="0D0D0D"/>
                          <w:sz w:val="36"/>
                          <w:szCs w:val="40"/>
                          <w:lang w:val="en-US"/>
                        </w:rPr>
                        <w:t xml:space="preserve">REPORT No. </w:t>
                      </w:r>
                      <w:r w:rsidR="00C547BF">
                        <w:rPr>
                          <w:rFonts w:cs="Arial"/>
                          <w:b/>
                          <w:bCs/>
                          <w:color w:val="0D0D0D"/>
                          <w:sz w:val="36"/>
                          <w:szCs w:val="40"/>
                          <w:lang w:val="en-US"/>
                        </w:rPr>
                        <w:t>83</w:t>
                      </w:r>
                      <w:r w:rsidRPr="008F344D">
                        <w:rPr>
                          <w:rFonts w:cs="Arial"/>
                          <w:b/>
                          <w:bCs/>
                          <w:color w:val="0D0D0D"/>
                          <w:sz w:val="36"/>
                          <w:szCs w:val="40"/>
                          <w:lang w:val="en-US"/>
                        </w:rPr>
                        <w:t>/</w:t>
                      </w:r>
                      <w:r w:rsidR="00A15327">
                        <w:rPr>
                          <w:rFonts w:cs="Arial"/>
                          <w:b/>
                          <w:bCs/>
                          <w:color w:val="0D0D0D"/>
                          <w:sz w:val="36"/>
                          <w:szCs w:val="40"/>
                          <w:lang w:val="en-US"/>
                        </w:rPr>
                        <w:t>23</w:t>
                      </w:r>
                    </w:p>
                    <w:p w14:paraId="4C8ABC1F" w14:textId="64BCFC7B" w:rsidR="001C11B8" w:rsidRPr="008F344D" w:rsidRDefault="001C11B8" w:rsidP="001C11B8">
                      <w:pPr>
                        <w:spacing w:line="276" w:lineRule="auto"/>
                        <w:rPr>
                          <w:rFonts w:cs="Arial"/>
                          <w:b/>
                          <w:bCs/>
                          <w:color w:val="0D0D0D"/>
                          <w:sz w:val="36"/>
                          <w:szCs w:val="40"/>
                          <w:lang w:val="en-US"/>
                        </w:rPr>
                      </w:pPr>
                      <w:r w:rsidRPr="008F344D">
                        <w:rPr>
                          <w:rFonts w:cs="Arial"/>
                          <w:b/>
                          <w:bCs/>
                          <w:color w:val="0D0D0D"/>
                          <w:sz w:val="36"/>
                          <w:szCs w:val="40"/>
                          <w:lang w:val="en-US"/>
                        </w:rPr>
                        <w:t xml:space="preserve">CASE </w:t>
                      </w:r>
                      <w:r w:rsidR="006B4D3B">
                        <w:rPr>
                          <w:rFonts w:cs="Arial"/>
                          <w:b/>
                          <w:bCs/>
                          <w:color w:val="0D0D0D"/>
                          <w:sz w:val="36"/>
                          <w:szCs w:val="40"/>
                          <w:lang w:val="en-US"/>
                        </w:rPr>
                        <w:t>14.196</w:t>
                      </w:r>
                    </w:p>
                    <w:p w14:paraId="691350D4" w14:textId="0AC4DAA6" w:rsidR="001C11B8" w:rsidRPr="008F344D" w:rsidRDefault="006B4D3B" w:rsidP="001C11B8">
                      <w:pPr>
                        <w:spacing w:after="0"/>
                        <w:rPr>
                          <w:rFonts w:cs="Arial"/>
                          <w:color w:val="0D0D0D"/>
                          <w:lang w:val="en-US"/>
                        </w:rPr>
                      </w:pPr>
                      <w:r>
                        <w:rPr>
                          <w:rFonts w:cs="Arial"/>
                          <w:color w:val="0D0D0D"/>
                          <w:lang w:val="en-US"/>
                        </w:rPr>
                        <w:t>ADMISSIBILITY AND MERITS REPORT</w:t>
                      </w:r>
                      <w:r w:rsidR="00A15327">
                        <w:rPr>
                          <w:rFonts w:cs="Arial"/>
                          <w:color w:val="0D0D0D"/>
                          <w:lang w:val="en-US"/>
                        </w:rPr>
                        <w:t xml:space="preserve"> (</w:t>
                      </w:r>
                      <w:r w:rsidR="00DC03DC" w:rsidRPr="00C547BF">
                        <w:rPr>
                          <w:rFonts w:cs="Arial"/>
                          <w:color w:val="0D0D0D"/>
                          <w:lang w:val="en-US"/>
                        </w:rPr>
                        <w:t>PUBLICATION</w:t>
                      </w:r>
                      <w:r w:rsidR="00A15327" w:rsidRPr="00C547BF">
                        <w:rPr>
                          <w:rFonts w:cs="Arial"/>
                          <w:color w:val="0D0D0D"/>
                          <w:lang w:val="en-US"/>
                        </w:rPr>
                        <w:t>)</w:t>
                      </w:r>
                    </w:p>
                    <w:p w14:paraId="6D63F73A" w14:textId="56278058" w:rsidR="001C11B8" w:rsidRPr="006B4D3B" w:rsidRDefault="006B4D3B" w:rsidP="001C11B8">
                      <w:pPr>
                        <w:spacing w:after="0"/>
                        <w:rPr>
                          <w:rFonts w:cs="Arial"/>
                          <w:color w:val="0D0D0D"/>
                          <w:lang w:val="en-US"/>
                        </w:rPr>
                      </w:pPr>
                      <w:r w:rsidRPr="006B4D3B">
                        <w:rPr>
                          <w:rFonts w:cs="Arial"/>
                          <w:color w:val="0D0D0D"/>
                          <w:lang w:val="en-US"/>
                        </w:rPr>
                        <w:t>OSWALDO JOSE PAY</w:t>
                      </w:r>
                      <w:r w:rsidR="00CD76E9">
                        <w:rPr>
                          <w:rFonts w:cs="Arial"/>
                          <w:color w:val="0D0D0D"/>
                          <w:lang w:val="en-US"/>
                        </w:rPr>
                        <w:t>Á</w:t>
                      </w:r>
                      <w:r w:rsidRPr="006B4D3B">
                        <w:rPr>
                          <w:rFonts w:cs="Arial"/>
                          <w:color w:val="0D0D0D"/>
                          <w:lang w:val="en-US"/>
                        </w:rPr>
                        <w:t xml:space="preserve"> SARDIÑA AND OT</w:t>
                      </w:r>
                      <w:r>
                        <w:rPr>
                          <w:rFonts w:cs="Arial"/>
                          <w:color w:val="0D0D0D"/>
                          <w:lang w:val="en-US"/>
                        </w:rPr>
                        <w:t>HERS</w:t>
                      </w:r>
                    </w:p>
                    <w:p w14:paraId="0F49D41E" w14:textId="77777777" w:rsidR="001C11B8" w:rsidRPr="006B4D3B" w:rsidRDefault="001C11B8" w:rsidP="001C11B8">
                      <w:pPr>
                        <w:spacing w:after="0"/>
                        <w:rPr>
                          <w:rFonts w:cs="Arial"/>
                          <w:color w:val="0D0D0D"/>
                          <w:lang w:val="en-US"/>
                        </w:rPr>
                      </w:pPr>
                    </w:p>
                    <w:p w14:paraId="7C42BFF6" w14:textId="65CE7074" w:rsidR="001C11B8" w:rsidRPr="006B4D3B" w:rsidRDefault="001B0AEC" w:rsidP="001C11B8">
                      <w:pPr>
                        <w:spacing w:after="0"/>
                        <w:rPr>
                          <w:color w:val="0D0D0D"/>
                          <w:lang w:val="pt-BR"/>
                        </w:rPr>
                      </w:pPr>
                      <w:r>
                        <w:rPr>
                          <w:rFonts w:cs="Arial"/>
                          <w:color w:val="0D0D0D"/>
                          <w:lang w:val="pt-BR"/>
                        </w:rPr>
                        <w:t>CUBA</w:t>
                      </w:r>
                    </w:p>
                  </w:txbxContent>
                </v:textbox>
              </v:shape>
            </w:pict>
          </mc:Fallback>
        </mc:AlternateContent>
      </w:r>
      <w:r w:rsidRPr="00C547BF">
        <w:rPr>
          <w:rFonts w:eastAsia="Arial Unicode MS" w:cs="Times New Roman"/>
          <w:noProof/>
          <w:sz w:val="22"/>
          <w:bdr w:val="nil"/>
          <w:lang w:val="en-US"/>
        </w:rPr>
        <mc:AlternateContent>
          <mc:Choice Requires="wps">
            <w:drawing>
              <wp:anchor distT="0" distB="0" distL="114300" distR="114300" simplePos="0" relativeHeight="251673600" behindDoc="0" locked="0" layoutInCell="1" allowOverlap="1" wp14:anchorId="1CE242B9" wp14:editId="2F2686E7">
                <wp:simplePos x="0" y="0"/>
                <wp:positionH relativeFrom="column">
                  <wp:posOffset>-371475</wp:posOffset>
                </wp:positionH>
                <wp:positionV relativeFrom="paragraph">
                  <wp:posOffset>127000</wp:posOffset>
                </wp:positionV>
                <wp:extent cx="1334135" cy="137731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txbx>
                        <w:txbxContent>
                          <w:p w14:paraId="27CB4644" w14:textId="6CD72665" w:rsidR="001C11B8" w:rsidRPr="001C11B8" w:rsidRDefault="001C11B8" w:rsidP="001C11B8">
                            <w:pPr>
                              <w:jc w:val="right"/>
                              <w:rPr>
                                <w:rFonts w:ascii="Calibri" w:hAnsi="Calibri"/>
                                <w:color w:val="FFFFFF"/>
                                <w:sz w:val="22"/>
                                <w:lang w:val="pt-BR"/>
                              </w:rPr>
                            </w:pPr>
                            <w:r w:rsidRPr="001C11B8">
                              <w:rPr>
                                <w:rFonts w:ascii="Calibri" w:hAnsi="Calibri"/>
                                <w:color w:val="FFFFFF"/>
                                <w:sz w:val="22"/>
                                <w:lang w:val="pt-BR"/>
                              </w:rPr>
                              <w:t>OEA/</w:t>
                            </w:r>
                            <w:proofErr w:type="spellStart"/>
                            <w:r w:rsidRPr="001C11B8">
                              <w:rPr>
                                <w:rFonts w:ascii="Calibri" w:hAnsi="Calibri"/>
                                <w:color w:val="FFFFFF"/>
                                <w:sz w:val="22"/>
                                <w:lang w:val="pt-BR"/>
                              </w:rPr>
                              <w:t>Ser.L</w:t>
                            </w:r>
                            <w:proofErr w:type="spellEnd"/>
                            <w:r w:rsidRPr="001C11B8">
                              <w:rPr>
                                <w:rFonts w:ascii="Calibri" w:hAnsi="Calibri"/>
                                <w:color w:val="FFFFFF"/>
                                <w:sz w:val="22"/>
                                <w:lang w:val="pt-BR"/>
                              </w:rPr>
                              <w:t>/V/II</w:t>
                            </w:r>
                          </w:p>
                          <w:p w14:paraId="3C5368F5" w14:textId="0F974A62" w:rsidR="001C11B8" w:rsidRPr="001C11B8" w:rsidRDefault="001C11B8" w:rsidP="001C11B8">
                            <w:pPr>
                              <w:jc w:val="right"/>
                              <w:rPr>
                                <w:rFonts w:ascii="Calibri" w:hAnsi="Calibri"/>
                                <w:color w:val="FFFFFF"/>
                                <w:sz w:val="22"/>
                                <w:lang w:val="pt-BR"/>
                              </w:rPr>
                            </w:pPr>
                            <w:r w:rsidRPr="001C11B8">
                              <w:rPr>
                                <w:rFonts w:ascii="Calibri" w:hAnsi="Calibri"/>
                                <w:color w:val="FFFFFF"/>
                                <w:sz w:val="22"/>
                                <w:lang w:val="pt-BR"/>
                              </w:rPr>
                              <w:t xml:space="preserve">Doc. </w:t>
                            </w:r>
                            <w:r w:rsidR="00C547BF">
                              <w:rPr>
                                <w:rFonts w:ascii="Calibri" w:hAnsi="Calibri"/>
                                <w:color w:val="FFFFFF"/>
                                <w:sz w:val="22"/>
                                <w:lang w:val="pt-BR"/>
                              </w:rPr>
                              <w:t>92</w:t>
                            </w:r>
                          </w:p>
                          <w:p w14:paraId="66EE5911" w14:textId="2282E3BB" w:rsidR="001C11B8" w:rsidRPr="008F344D" w:rsidRDefault="00B80F94" w:rsidP="001C11B8">
                            <w:pPr>
                              <w:jc w:val="right"/>
                              <w:rPr>
                                <w:rFonts w:ascii="Calibri" w:hAnsi="Calibri"/>
                                <w:color w:val="FFFFFF"/>
                                <w:sz w:val="22"/>
                                <w:lang w:val="en-US"/>
                              </w:rPr>
                            </w:pPr>
                            <w:r>
                              <w:rPr>
                                <w:rFonts w:ascii="Calibri" w:hAnsi="Calibri"/>
                                <w:color w:val="FFFFFF"/>
                                <w:sz w:val="22"/>
                                <w:lang w:val="en-US"/>
                              </w:rPr>
                              <w:t xml:space="preserve">June </w:t>
                            </w:r>
                            <w:r w:rsidR="00C547BF">
                              <w:rPr>
                                <w:rFonts w:ascii="Calibri" w:hAnsi="Calibri"/>
                                <w:color w:val="FFFFFF"/>
                                <w:sz w:val="22"/>
                                <w:lang w:val="en-US"/>
                              </w:rPr>
                              <w:t>9</w:t>
                            </w:r>
                            <w:r w:rsidR="001C11B8" w:rsidRPr="008F344D">
                              <w:rPr>
                                <w:rFonts w:ascii="Calibri" w:hAnsi="Calibri"/>
                                <w:color w:val="FFFFFF"/>
                                <w:sz w:val="22"/>
                                <w:lang w:val="en-US"/>
                              </w:rPr>
                              <w:t>, 20</w:t>
                            </w:r>
                            <w:r w:rsidR="00A15327">
                              <w:rPr>
                                <w:rFonts w:ascii="Calibri" w:hAnsi="Calibri"/>
                                <w:color w:val="FFFFFF"/>
                                <w:sz w:val="22"/>
                                <w:lang w:val="en-US"/>
                              </w:rPr>
                              <w:t>23</w:t>
                            </w:r>
                          </w:p>
                          <w:p w14:paraId="60DBC7C0" w14:textId="6D1E27C7" w:rsidR="001C11B8" w:rsidRPr="008F344D" w:rsidRDefault="001C11B8" w:rsidP="001C11B8">
                            <w:pPr>
                              <w:jc w:val="right"/>
                              <w:rPr>
                                <w:rFonts w:ascii="Calibri" w:hAnsi="Calibri"/>
                                <w:color w:val="FFFFFF"/>
                                <w:sz w:val="22"/>
                                <w:lang w:val="en-US"/>
                              </w:rPr>
                            </w:pPr>
                            <w:r w:rsidRPr="008F344D">
                              <w:rPr>
                                <w:rFonts w:ascii="Calibri" w:hAnsi="Calibri"/>
                                <w:color w:val="FFFFFF"/>
                                <w:sz w:val="22"/>
                                <w:lang w:val="en-US"/>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242B9" id="Text Box 33" o:spid="_x0000_s1028" type="#_x0000_t202" style="position:absolute;left:0;text-align:left;margin-left:-29.25pt;margin-top:10pt;width:105.05pt;height:10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" filled="f" stroked="f" strokeweight=".5pt">
                <v:textbox>
                  <w:txbxContent>
                    <w:p w14:paraId="27CB4644" w14:textId="6CD72665" w:rsidR="001C11B8" w:rsidRPr="001C11B8" w:rsidRDefault="001C11B8" w:rsidP="001C11B8">
                      <w:pPr>
                        <w:jc w:val="right"/>
                        <w:rPr>
                          <w:rFonts w:ascii="Calibri" w:hAnsi="Calibri"/>
                          <w:color w:val="FFFFFF"/>
                          <w:sz w:val="22"/>
                          <w:lang w:val="pt-BR"/>
                        </w:rPr>
                      </w:pPr>
                      <w:r w:rsidRPr="001C11B8">
                        <w:rPr>
                          <w:rFonts w:ascii="Calibri" w:hAnsi="Calibri"/>
                          <w:color w:val="FFFFFF"/>
                          <w:sz w:val="22"/>
                          <w:lang w:val="pt-BR"/>
                        </w:rPr>
                        <w:t>OEA/</w:t>
                      </w:r>
                      <w:proofErr w:type="spellStart"/>
                      <w:r w:rsidRPr="001C11B8">
                        <w:rPr>
                          <w:rFonts w:ascii="Calibri" w:hAnsi="Calibri"/>
                          <w:color w:val="FFFFFF"/>
                          <w:sz w:val="22"/>
                          <w:lang w:val="pt-BR"/>
                        </w:rPr>
                        <w:t>Ser.L</w:t>
                      </w:r>
                      <w:proofErr w:type="spellEnd"/>
                      <w:r w:rsidRPr="001C11B8">
                        <w:rPr>
                          <w:rFonts w:ascii="Calibri" w:hAnsi="Calibri"/>
                          <w:color w:val="FFFFFF"/>
                          <w:sz w:val="22"/>
                          <w:lang w:val="pt-BR"/>
                        </w:rPr>
                        <w:t>/V/II</w:t>
                      </w:r>
                    </w:p>
                    <w:p w14:paraId="3C5368F5" w14:textId="0F974A62" w:rsidR="001C11B8" w:rsidRPr="001C11B8" w:rsidRDefault="001C11B8" w:rsidP="001C11B8">
                      <w:pPr>
                        <w:jc w:val="right"/>
                        <w:rPr>
                          <w:rFonts w:ascii="Calibri" w:hAnsi="Calibri"/>
                          <w:color w:val="FFFFFF"/>
                          <w:sz w:val="22"/>
                          <w:lang w:val="pt-BR"/>
                        </w:rPr>
                      </w:pPr>
                      <w:r w:rsidRPr="001C11B8">
                        <w:rPr>
                          <w:rFonts w:ascii="Calibri" w:hAnsi="Calibri"/>
                          <w:color w:val="FFFFFF"/>
                          <w:sz w:val="22"/>
                          <w:lang w:val="pt-BR"/>
                        </w:rPr>
                        <w:t xml:space="preserve">Doc. </w:t>
                      </w:r>
                      <w:r w:rsidR="00C547BF">
                        <w:rPr>
                          <w:rFonts w:ascii="Calibri" w:hAnsi="Calibri"/>
                          <w:color w:val="FFFFFF"/>
                          <w:sz w:val="22"/>
                          <w:lang w:val="pt-BR"/>
                        </w:rPr>
                        <w:t>92</w:t>
                      </w:r>
                    </w:p>
                    <w:p w14:paraId="66EE5911" w14:textId="2282E3BB" w:rsidR="001C11B8" w:rsidRPr="008F344D" w:rsidRDefault="00B80F94" w:rsidP="001C11B8">
                      <w:pPr>
                        <w:jc w:val="right"/>
                        <w:rPr>
                          <w:rFonts w:ascii="Calibri" w:hAnsi="Calibri"/>
                          <w:color w:val="FFFFFF"/>
                          <w:sz w:val="22"/>
                          <w:lang w:val="en-US"/>
                        </w:rPr>
                      </w:pPr>
                      <w:r>
                        <w:rPr>
                          <w:rFonts w:ascii="Calibri" w:hAnsi="Calibri"/>
                          <w:color w:val="FFFFFF"/>
                          <w:sz w:val="22"/>
                          <w:lang w:val="en-US"/>
                        </w:rPr>
                        <w:t xml:space="preserve">June </w:t>
                      </w:r>
                      <w:r w:rsidR="00C547BF">
                        <w:rPr>
                          <w:rFonts w:ascii="Calibri" w:hAnsi="Calibri"/>
                          <w:color w:val="FFFFFF"/>
                          <w:sz w:val="22"/>
                          <w:lang w:val="en-US"/>
                        </w:rPr>
                        <w:t>9</w:t>
                      </w:r>
                      <w:r w:rsidR="001C11B8" w:rsidRPr="008F344D">
                        <w:rPr>
                          <w:rFonts w:ascii="Calibri" w:hAnsi="Calibri"/>
                          <w:color w:val="FFFFFF"/>
                          <w:sz w:val="22"/>
                          <w:lang w:val="en-US"/>
                        </w:rPr>
                        <w:t>, 20</w:t>
                      </w:r>
                      <w:r w:rsidR="00A15327">
                        <w:rPr>
                          <w:rFonts w:ascii="Calibri" w:hAnsi="Calibri"/>
                          <w:color w:val="FFFFFF"/>
                          <w:sz w:val="22"/>
                          <w:lang w:val="en-US"/>
                        </w:rPr>
                        <w:t>23</w:t>
                      </w:r>
                    </w:p>
                    <w:p w14:paraId="60DBC7C0" w14:textId="6D1E27C7" w:rsidR="001C11B8" w:rsidRPr="008F344D" w:rsidRDefault="001C11B8" w:rsidP="001C11B8">
                      <w:pPr>
                        <w:jc w:val="right"/>
                        <w:rPr>
                          <w:rFonts w:ascii="Calibri" w:hAnsi="Calibri"/>
                          <w:color w:val="FFFFFF"/>
                          <w:sz w:val="22"/>
                          <w:lang w:val="en-US"/>
                        </w:rPr>
                      </w:pPr>
                      <w:r w:rsidRPr="008F344D">
                        <w:rPr>
                          <w:rFonts w:ascii="Calibri" w:hAnsi="Calibri"/>
                          <w:color w:val="FFFFFF"/>
                          <w:sz w:val="22"/>
                          <w:lang w:val="en-US"/>
                        </w:rPr>
                        <w:t>Original: Spanish</w:t>
                      </w:r>
                    </w:p>
                  </w:txbxContent>
                </v:textbox>
              </v:shape>
            </w:pict>
          </mc:Fallback>
        </mc:AlternateContent>
      </w:r>
    </w:p>
    <w:p w14:paraId="5D5D1EAB"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22"/>
          <w:bdr w:val="nil"/>
          <w:lang w:val="es-ES_tradnl"/>
        </w:rPr>
      </w:pPr>
    </w:p>
    <w:p w14:paraId="586E7B89"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Arial"/>
          <w:sz w:val="22"/>
          <w:bdr w:val="nil"/>
          <w:lang w:val="es-ES_tradnl"/>
        </w:rPr>
      </w:pPr>
    </w:p>
    <w:p w14:paraId="21861974"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22"/>
          <w:bdr w:val="nil"/>
          <w:lang w:val="es-ES_tradnl"/>
        </w:rPr>
      </w:pPr>
    </w:p>
    <w:p w14:paraId="308B3316"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22"/>
          <w:bdr w:val="nil"/>
          <w:lang w:val="es-ES_tradnl"/>
        </w:rPr>
      </w:pPr>
    </w:p>
    <w:p w14:paraId="67339274"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22"/>
          <w:bdr w:val="nil"/>
          <w:lang w:val="es-ES_tradnl"/>
        </w:rPr>
      </w:pPr>
    </w:p>
    <w:p w14:paraId="40866693"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22"/>
          <w:bdr w:val="nil"/>
          <w:lang w:val="es-ES_tradnl"/>
        </w:rPr>
      </w:pPr>
    </w:p>
    <w:p w14:paraId="7F19E798"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22"/>
          <w:bdr w:val="nil"/>
          <w:lang w:val="es-ES_tradnl"/>
        </w:rPr>
      </w:pPr>
    </w:p>
    <w:p w14:paraId="1FD6BC64"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22"/>
          <w:bdr w:val="nil"/>
          <w:lang w:val="es-ES_tradnl"/>
        </w:rPr>
      </w:pPr>
    </w:p>
    <w:p w14:paraId="0C05F9B6"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22"/>
          <w:bdr w:val="nil"/>
          <w:lang w:val="es-ES_tradnl"/>
        </w:rPr>
      </w:pPr>
    </w:p>
    <w:p w14:paraId="5C496321"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22"/>
          <w:bdr w:val="nil"/>
          <w:lang w:val="es-ES_tradnl"/>
        </w:rPr>
      </w:pPr>
    </w:p>
    <w:p w14:paraId="066CC2AE"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22"/>
          <w:bdr w:val="nil"/>
          <w:lang w:val="es-ES_tradnl"/>
        </w:rPr>
      </w:pPr>
    </w:p>
    <w:p w14:paraId="157550F3"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22"/>
          <w:bdr w:val="nil"/>
          <w:lang w:val="es-ES_tradnl"/>
        </w:rPr>
      </w:pPr>
    </w:p>
    <w:p w14:paraId="50AF358C"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22"/>
          <w:bdr w:val="nil"/>
          <w:lang w:val="es-ES_tradnl"/>
        </w:rPr>
      </w:pPr>
    </w:p>
    <w:p w14:paraId="6CA60955"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18"/>
          <w:bdr w:val="nil"/>
          <w:lang w:val="es-ES_tradnl"/>
        </w:rPr>
      </w:pPr>
    </w:p>
    <w:p w14:paraId="38C0FB0A"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18"/>
          <w:bdr w:val="nil"/>
          <w:lang w:val="es-ES_tradnl"/>
        </w:rPr>
      </w:pPr>
    </w:p>
    <w:p w14:paraId="643FF561"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18"/>
          <w:bdr w:val="nil"/>
          <w:lang w:val="es-ES_tradnl"/>
        </w:rPr>
      </w:pPr>
    </w:p>
    <w:p w14:paraId="04B58174"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18"/>
          <w:bdr w:val="nil"/>
          <w:lang w:val="es-ES_tradnl"/>
        </w:rPr>
      </w:pPr>
    </w:p>
    <w:p w14:paraId="4233F23E"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18"/>
          <w:bdr w:val="nil"/>
          <w:lang w:val="es-ES_tradnl"/>
        </w:rPr>
      </w:pPr>
    </w:p>
    <w:p w14:paraId="5DE109B7"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18"/>
          <w:bdr w:val="nil"/>
          <w:lang w:val="es-ES_tradnl"/>
        </w:rPr>
      </w:pPr>
    </w:p>
    <w:p w14:paraId="1D3E9F7A"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18"/>
          <w:bdr w:val="nil"/>
          <w:lang w:val="es-ES_tradnl"/>
        </w:rPr>
      </w:pPr>
      <w:r w:rsidRPr="00C547BF">
        <w:rPr>
          <w:rFonts w:eastAsia="Arial Unicode MS" w:cs="Times New Roman"/>
          <w:noProof/>
          <w:sz w:val="22"/>
          <w:bdr w:val="nil"/>
          <w:lang w:val="en-US"/>
        </w:rPr>
        <mc:AlternateContent>
          <mc:Choice Requires="wps">
            <w:drawing>
              <wp:anchor distT="0" distB="0" distL="114300" distR="114300" simplePos="0" relativeHeight="251672576" behindDoc="0" locked="0" layoutInCell="1" allowOverlap="1" wp14:anchorId="741221A2" wp14:editId="693054D5">
                <wp:simplePos x="0" y="0"/>
                <wp:positionH relativeFrom="column">
                  <wp:posOffset>1209675</wp:posOffset>
                </wp:positionH>
                <wp:positionV relativeFrom="paragraph">
                  <wp:posOffset>71120</wp:posOffset>
                </wp:positionV>
                <wp:extent cx="4595495" cy="69532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txbx>
                        <w:txbxContent>
                          <w:p w14:paraId="12DAD992" w14:textId="06835807" w:rsidR="001C11B8" w:rsidRPr="008F344D" w:rsidRDefault="001C11B8" w:rsidP="001C11B8">
                            <w:pPr>
                              <w:tabs>
                                <w:tab w:val="center" w:pos="5400"/>
                              </w:tabs>
                              <w:suppressAutoHyphens/>
                              <w:spacing w:before="60"/>
                              <w:rPr>
                                <w:color w:val="0D0D0D"/>
                                <w:sz w:val="18"/>
                                <w:lang w:val="en-US"/>
                              </w:rPr>
                            </w:pPr>
                            <w:r w:rsidRPr="008F344D">
                              <w:rPr>
                                <w:color w:val="0D0D0D"/>
                                <w:sz w:val="18"/>
                                <w:lang w:val="en-US"/>
                              </w:rPr>
                              <w:t xml:space="preserve">Approved electronically by the Commission on </w:t>
                            </w:r>
                            <w:r w:rsidR="00B80F94">
                              <w:rPr>
                                <w:color w:val="0D0D0D"/>
                                <w:sz w:val="18"/>
                                <w:lang w:val="en-US"/>
                              </w:rPr>
                              <w:t>June</w:t>
                            </w:r>
                            <w:r w:rsidRPr="008F344D">
                              <w:rPr>
                                <w:color w:val="0D0D0D"/>
                                <w:sz w:val="18"/>
                                <w:lang w:val="en-US"/>
                              </w:rPr>
                              <w:t xml:space="preserve"> </w:t>
                            </w:r>
                            <w:r w:rsidR="00C547BF">
                              <w:rPr>
                                <w:color w:val="0D0D0D"/>
                                <w:sz w:val="18"/>
                                <w:lang w:val="en-US"/>
                              </w:rPr>
                              <w:t>9</w:t>
                            </w:r>
                            <w:r w:rsidRPr="008F344D">
                              <w:rPr>
                                <w:color w:val="0D0D0D"/>
                                <w:sz w:val="18"/>
                                <w:lang w:val="en-US"/>
                              </w:rPr>
                              <w:t>, 20</w:t>
                            </w:r>
                            <w:r w:rsidR="00A15327">
                              <w:rPr>
                                <w:color w:val="0D0D0D"/>
                                <w:sz w:val="18"/>
                                <w:lang w:val="en-US"/>
                              </w:rPr>
                              <w:t>23</w:t>
                            </w:r>
                          </w:p>
                          <w:p w14:paraId="6A8B0423" w14:textId="69824B6D" w:rsidR="001C11B8" w:rsidRPr="008F344D" w:rsidRDefault="001C11B8" w:rsidP="001C11B8">
                            <w:pPr>
                              <w:tabs>
                                <w:tab w:val="center" w:pos="5400"/>
                              </w:tabs>
                              <w:suppressAutoHyphens/>
                              <w:spacing w:before="60"/>
                              <w:rPr>
                                <w:color w:val="0D0D0D"/>
                                <w:sz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221A2" id="Text Box 34" o:spid="_x0000_s1029" type="#_x0000_t202" style="position:absolute;left:0;text-align:left;margin-left:95.25pt;margin-top:5.6pt;width:361.8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" filled="f" stroked="f" strokeweight=".5pt">
                <v:textbox>
                  <w:txbxContent>
                    <w:p w14:paraId="12DAD992" w14:textId="06835807" w:rsidR="001C11B8" w:rsidRPr="008F344D" w:rsidRDefault="001C11B8" w:rsidP="001C11B8">
                      <w:pPr>
                        <w:tabs>
                          <w:tab w:val="center" w:pos="5400"/>
                        </w:tabs>
                        <w:suppressAutoHyphens/>
                        <w:spacing w:before="60"/>
                        <w:rPr>
                          <w:color w:val="0D0D0D"/>
                          <w:sz w:val="18"/>
                          <w:lang w:val="en-US"/>
                        </w:rPr>
                      </w:pPr>
                      <w:r w:rsidRPr="008F344D">
                        <w:rPr>
                          <w:color w:val="0D0D0D"/>
                          <w:sz w:val="18"/>
                          <w:lang w:val="en-US"/>
                        </w:rPr>
                        <w:t xml:space="preserve">Approved electronically by the Commission on </w:t>
                      </w:r>
                      <w:r w:rsidR="00B80F94">
                        <w:rPr>
                          <w:color w:val="0D0D0D"/>
                          <w:sz w:val="18"/>
                          <w:lang w:val="en-US"/>
                        </w:rPr>
                        <w:t>June</w:t>
                      </w:r>
                      <w:r w:rsidRPr="008F344D">
                        <w:rPr>
                          <w:color w:val="0D0D0D"/>
                          <w:sz w:val="18"/>
                          <w:lang w:val="en-US"/>
                        </w:rPr>
                        <w:t xml:space="preserve"> </w:t>
                      </w:r>
                      <w:r w:rsidR="00C547BF">
                        <w:rPr>
                          <w:color w:val="0D0D0D"/>
                          <w:sz w:val="18"/>
                          <w:lang w:val="en-US"/>
                        </w:rPr>
                        <w:t>9</w:t>
                      </w:r>
                      <w:r w:rsidRPr="008F344D">
                        <w:rPr>
                          <w:color w:val="0D0D0D"/>
                          <w:sz w:val="18"/>
                          <w:lang w:val="en-US"/>
                        </w:rPr>
                        <w:t>, 20</w:t>
                      </w:r>
                      <w:r w:rsidR="00A15327">
                        <w:rPr>
                          <w:color w:val="0D0D0D"/>
                          <w:sz w:val="18"/>
                          <w:lang w:val="en-US"/>
                        </w:rPr>
                        <w:t>23</w:t>
                      </w:r>
                    </w:p>
                    <w:p w14:paraId="6A8B0423" w14:textId="69824B6D" w:rsidR="001C11B8" w:rsidRPr="008F344D" w:rsidRDefault="001C11B8" w:rsidP="001C11B8">
                      <w:pPr>
                        <w:tabs>
                          <w:tab w:val="center" w:pos="5400"/>
                        </w:tabs>
                        <w:suppressAutoHyphens/>
                        <w:spacing w:before="60"/>
                        <w:rPr>
                          <w:color w:val="0D0D0D"/>
                          <w:sz w:val="18"/>
                          <w:lang w:val="en-US"/>
                        </w:rPr>
                      </w:pPr>
                    </w:p>
                  </w:txbxContent>
                </v:textbox>
              </v:shape>
            </w:pict>
          </mc:Fallback>
        </mc:AlternateContent>
      </w:r>
    </w:p>
    <w:p w14:paraId="0678D7AD"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18"/>
          <w:bdr w:val="nil"/>
          <w:lang w:val="es-ES_tradnl"/>
        </w:rPr>
      </w:pPr>
    </w:p>
    <w:p w14:paraId="64F6BED8"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18"/>
          <w:bdr w:val="nil"/>
          <w:lang w:val="es-ES_tradnl"/>
        </w:rPr>
      </w:pPr>
    </w:p>
    <w:p w14:paraId="69044ABE"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18"/>
          <w:bdr w:val="nil"/>
          <w:lang w:val="es-ES_tradnl"/>
        </w:rPr>
      </w:pPr>
    </w:p>
    <w:p w14:paraId="64B458E7"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18"/>
          <w:bdr w:val="nil"/>
          <w:lang w:val="es-ES_tradnl"/>
        </w:rPr>
      </w:pPr>
    </w:p>
    <w:p w14:paraId="75C375C0"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18"/>
          <w:bdr w:val="nil"/>
          <w:lang w:val="es-ES_tradnl"/>
        </w:rPr>
      </w:pPr>
      <w:r w:rsidRPr="00C547BF">
        <w:rPr>
          <w:rFonts w:eastAsia="Arial Unicode MS" w:cs="Times New Roman"/>
          <w:noProof/>
          <w:sz w:val="18"/>
          <w:bdr w:val="nil"/>
          <w:lang w:val="en-US"/>
        </w:rPr>
        <mc:AlternateContent>
          <mc:Choice Requires="wps">
            <w:drawing>
              <wp:anchor distT="0" distB="0" distL="114300" distR="114300" simplePos="0" relativeHeight="251675648" behindDoc="0" locked="0" layoutInCell="1" allowOverlap="1" wp14:anchorId="2291AC49" wp14:editId="498B2D2F">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txbx>
                        <w:txbxContent>
                          <w:p w14:paraId="698C4525" w14:textId="6864F063" w:rsidR="001C11B8" w:rsidRPr="000B46EB" w:rsidRDefault="001C11B8" w:rsidP="001C11B8">
                            <w:pPr>
                              <w:spacing w:line="276" w:lineRule="auto"/>
                              <w:rPr>
                                <w:color w:val="595959"/>
                                <w:sz w:val="18"/>
                                <w:lang w:val="en-US"/>
                              </w:rPr>
                            </w:pPr>
                            <w:r w:rsidRPr="008F344D">
                              <w:rPr>
                                <w:b/>
                                <w:color w:val="595959"/>
                                <w:sz w:val="18"/>
                                <w:lang w:val="en-US"/>
                              </w:rPr>
                              <w:t xml:space="preserve">Cite as: </w:t>
                            </w:r>
                            <w:r w:rsidRPr="008F344D">
                              <w:rPr>
                                <w:color w:val="595959"/>
                                <w:sz w:val="18"/>
                                <w:lang w:val="en-US"/>
                              </w:rPr>
                              <w:t xml:space="preserve">IACHR, Report No. </w:t>
                            </w:r>
                            <w:r w:rsidR="00C547BF">
                              <w:rPr>
                                <w:color w:val="595959"/>
                                <w:sz w:val="18"/>
                                <w:lang w:val="en-US"/>
                              </w:rPr>
                              <w:t>83</w:t>
                            </w:r>
                            <w:r w:rsidRPr="008F344D">
                              <w:rPr>
                                <w:color w:val="595959"/>
                                <w:sz w:val="18"/>
                                <w:lang w:val="en-US"/>
                              </w:rPr>
                              <w:t>/</w:t>
                            </w:r>
                            <w:r w:rsidR="00A15327">
                              <w:rPr>
                                <w:color w:val="595959"/>
                                <w:sz w:val="18"/>
                                <w:lang w:val="en-US"/>
                              </w:rPr>
                              <w:t>23</w:t>
                            </w:r>
                            <w:r w:rsidRPr="008F344D">
                              <w:rPr>
                                <w:color w:val="595959"/>
                                <w:sz w:val="18"/>
                                <w:lang w:val="en-US"/>
                              </w:rPr>
                              <w:t xml:space="preserve">. Case </w:t>
                            </w:r>
                            <w:r w:rsidR="00A15327">
                              <w:rPr>
                                <w:color w:val="595959"/>
                                <w:sz w:val="18"/>
                                <w:lang w:val="en-US"/>
                              </w:rPr>
                              <w:t>14</w:t>
                            </w:r>
                            <w:r w:rsidRPr="008F344D">
                              <w:rPr>
                                <w:color w:val="595959"/>
                                <w:sz w:val="18"/>
                                <w:lang w:val="en-US"/>
                              </w:rPr>
                              <w:t>.</w:t>
                            </w:r>
                            <w:r w:rsidR="00A15327">
                              <w:rPr>
                                <w:color w:val="595959"/>
                                <w:sz w:val="18"/>
                                <w:lang w:val="en-US"/>
                              </w:rPr>
                              <w:t>196</w:t>
                            </w:r>
                            <w:r w:rsidRPr="008F344D">
                              <w:rPr>
                                <w:color w:val="595959"/>
                                <w:sz w:val="18"/>
                                <w:lang w:val="en-US"/>
                              </w:rPr>
                              <w:t xml:space="preserve">. </w:t>
                            </w:r>
                            <w:r w:rsidR="00AF1379">
                              <w:rPr>
                                <w:color w:val="595959"/>
                                <w:sz w:val="18"/>
                                <w:lang w:val="en-US"/>
                              </w:rPr>
                              <w:t xml:space="preserve">Admissibility and </w:t>
                            </w:r>
                            <w:r w:rsidRPr="008F344D">
                              <w:rPr>
                                <w:color w:val="595959"/>
                                <w:sz w:val="18"/>
                                <w:lang w:val="en-US"/>
                              </w:rPr>
                              <w:t>Merits</w:t>
                            </w:r>
                            <w:r w:rsidR="00B80F94">
                              <w:rPr>
                                <w:color w:val="595959"/>
                                <w:sz w:val="18"/>
                                <w:lang w:val="en-US"/>
                              </w:rPr>
                              <w:t xml:space="preserve"> </w:t>
                            </w:r>
                            <w:r w:rsidR="00B80F94" w:rsidRPr="00B80F94">
                              <w:rPr>
                                <w:color w:val="595959"/>
                                <w:sz w:val="18"/>
                                <w:highlight w:val="yellow"/>
                                <w:lang w:val="en-US"/>
                              </w:rPr>
                              <w:t>(Publication)</w:t>
                            </w:r>
                            <w:r w:rsidRPr="008F344D">
                              <w:rPr>
                                <w:color w:val="595959"/>
                                <w:sz w:val="18"/>
                                <w:lang w:val="en-US"/>
                              </w:rPr>
                              <w:t xml:space="preserve">. </w:t>
                            </w:r>
                            <w:r w:rsidR="000B46EB" w:rsidRPr="000B46EB">
                              <w:rPr>
                                <w:color w:val="595959"/>
                                <w:sz w:val="18"/>
                                <w:lang w:val="en-US"/>
                              </w:rPr>
                              <w:t xml:space="preserve">Oswaldo José </w:t>
                            </w:r>
                            <w:proofErr w:type="spellStart"/>
                            <w:r w:rsidR="000B46EB" w:rsidRPr="000B46EB">
                              <w:rPr>
                                <w:color w:val="595959"/>
                                <w:sz w:val="18"/>
                                <w:lang w:val="en-US"/>
                              </w:rPr>
                              <w:t>Payá</w:t>
                            </w:r>
                            <w:proofErr w:type="spellEnd"/>
                            <w:r w:rsidR="000B46EB" w:rsidRPr="000B46EB">
                              <w:rPr>
                                <w:color w:val="595959"/>
                                <w:sz w:val="18"/>
                                <w:lang w:val="en-US"/>
                              </w:rPr>
                              <w:t xml:space="preserve"> </w:t>
                            </w:r>
                            <w:proofErr w:type="spellStart"/>
                            <w:r w:rsidR="000B46EB" w:rsidRPr="000B46EB">
                              <w:rPr>
                                <w:color w:val="595959"/>
                                <w:sz w:val="18"/>
                                <w:lang w:val="en-US"/>
                              </w:rPr>
                              <w:t>Sardiña</w:t>
                            </w:r>
                            <w:proofErr w:type="spellEnd"/>
                            <w:r w:rsidR="000B46EB" w:rsidRPr="000B46EB">
                              <w:rPr>
                                <w:color w:val="595959"/>
                                <w:sz w:val="18"/>
                                <w:lang w:val="en-US"/>
                              </w:rPr>
                              <w:t xml:space="preserve"> et al. Cuba. </w:t>
                            </w:r>
                            <w:r w:rsidR="00C547BF">
                              <w:rPr>
                                <w:color w:val="595959"/>
                                <w:sz w:val="18"/>
                                <w:lang w:val="en-US"/>
                              </w:rPr>
                              <w:t>June 9,</w:t>
                            </w:r>
                            <w:r w:rsidR="000B46EB" w:rsidRPr="000B46EB">
                              <w:rPr>
                                <w:color w:val="595959"/>
                                <w:sz w:val="18"/>
                                <w:lang w:val="en-US"/>
                              </w:rPr>
                              <w:t xml:space="preserve"> 202</w:t>
                            </w:r>
                            <w:r w:rsidR="00A15327">
                              <w:rPr>
                                <w:color w:val="595959"/>
                                <w:sz w:val="18"/>
                                <w:lang w:val="en-US"/>
                              </w:rPr>
                              <w:t>3</w:t>
                            </w:r>
                            <w:r w:rsidR="000B46EB" w:rsidRPr="000B46EB">
                              <w:rPr>
                                <w:color w:val="595959"/>
                                <w:sz w:val="1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1AC49" id="Text Box 14" o:spid="_x0000_s1030" type="#_x0000_t202" style="position:absolute;left:0;text-align:left;margin-left:95.25pt;margin-top:7.25pt;width:379.8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" filled="f" stroked="f" strokeweight=".5pt">
                <v:textbox>
                  <w:txbxContent>
                    <w:p w14:paraId="698C4525" w14:textId="6864F063" w:rsidR="001C11B8" w:rsidRPr="000B46EB" w:rsidRDefault="001C11B8" w:rsidP="001C11B8">
                      <w:pPr>
                        <w:spacing w:line="276" w:lineRule="auto"/>
                        <w:rPr>
                          <w:color w:val="595959"/>
                          <w:sz w:val="18"/>
                          <w:lang w:val="en-US"/>
                        </w:rPr>
                      </w:pPr>
                      <w:r w:rsidRPr="008F344D">
                        <w:rPr>
                          <w:b/>
                          <w:color w:val="595959"/>
                          <w:sz w:val="18"/>
                          <w:lang w:val="en-US"/>
                        </w:rPr>
                        <w:t xml:space="preserve">Cite as: </w:t>
                      </w:r>
                      <w:r w:rsidRPr="008F344D">
                        <w:rPr>
                          <w:color w:val="595959"/>
                          <w:sz w:val="18"/>
                          <w:lang w:val="en-US"/>
                        </w:rPr>
                        <w:t xml:space="preserve">IACHR, Report No. </w:t>
                      </w:r>
                      <w:r w:rsidR="00C547BF">
                        <w:rPr>
                          <w:color w:val="595959"/>
                          <w:sz w:val="18"/>
                          <w:lang w:val="en-US"/>
                        </w:rPr>
                        <w:t>83</w:t>
                      </w:r>
                      <w:r w:rsidRPr="008F344D">
                        <w:rPr>
                          <w:color w:val="595959"/>
                          <w:sz w:val="18"/>
                          <w:lang w:val="en-US"/>
                        </w:rPr>
                        <w:t>/</w:t>
                      </w:r>
                      <w:r w:rsidR="00A15327">
                        <w:rPr>
                          <w:color w:val="595959"/>
                          <w:sz w:val="18"/>
                          <w:lang w:val="en-US"/>
                        </w:rPr>
                        <w:t>23</w:t>
                      </w:r>
                      <w:r w:rsidRPr="008F344D">
                        <w:rPr>
                          <w:color w:val="595959"/>
                          <w:sz w:val="18"/>
                          <w:lang w:val="en-US"/>
                        </w:rPr>
                        <w:t xml:space="preserve">. Case </w:t>
                      </w:r>
                      <w:r w:rsidR="00A15327">
                        <w:rPr>
                          <w:color w:val="595959"/>
                          <w:sz w:val="18"/>
                          <w:lang w:val="en-US"/>
                        </w:rPr>
                        <w:t>14</w:t>
                      </w:r>
                      <w:r w:rsidRPr="008F344D">
                        <w:rPr>
                          <w:color w:val="595959"/>
                          <w:sz w:val="18"/>
                          <w:lang w:val="en-US"/>
                        </w:rPr>
                        <w:t>.</w:t>
                      </w:r>
                      <w:r w:rsidR="00A15327">
                        <w:rPr>
                          <w:color w:val="595959"/>
                          <w:sz w:val="18"/>
                          <w:lang w:val="en-US"/>
                        </w:rPr>
                        <w:t>196</w:t>
                      </w:r>
                      <w:r w:rsidRPr="008F344D">
                        <w:rPr>
                          <w:color w:val="595959"/>
                          <w:sz w:val="18"/>
                          <w:lang w:val="en-US"/>
                        </w:rPr>
                        <w:t xml:space="preserve">. </w:t>
                      </w:r>
                      <w:r w:rsidR="00AF1379">
                        <w:rPr>
                          <w:color w:val="595959"/>
                          <w:sz w:val="18"/>
                          <w:lang w:val="en-US"/>
                        </w:rPr>
                        <w:t xml:space="preserve">Admissibility and </w:t>
                      </w:r>
                      <w:r w:rsidRPr="008F344D">
                        <w:rPr>
                          <w:color w:val="595959"/>
                          <w:sz w:val="18"/>
                          <w:lang w:val="en-US"/>
                        </w:rPr>
                        <w:t>Merits</w:t>
                      </w:r>
                      <w:r w:rsidR="00B80F94">
                        <w:rPr>
                          <w:color w:val="595959"/>
                          <w:sz w:val="18"/>
                          <w:lang w:val="en-US"/>
                        </w:rPr>
                        <w:t xml:space="preserve"> </w:t>
                      </w:r>
                      <w:r w:rsidR="00B80F94" w:rsidRPr="00B80F94">
                        <w:rPr>
                          <w:color w:val="595959"/>
                          <w:sz w:val="18"/>
                          <w:highlight w:val="yellow"/>
                          <w:lang w:val="en-US"/>
                        </w:rPr>
                        <w:t>(Publication)</w:t>
                      </w:r>
                      <w:r w:rsidRPr="008F344D">
                        <w:rPr>
                          <w:color w:val="595959"/>
                          <w:sz w:val="18"/>
                          <w:lang w:val="en-US"/>
                        </w:rPr>
                        <w:t xml:space="preserve">. </w:t>
                      </w:r>
                      <w:r w:rsidR="000B46EB" w:rsidRPr="000B46EB">
                        <w:rPr>
                          <w:color w:val="595959"/>
                          <w:sz w:val="18"/>
                          <w:lang w:val="en-US"/>
                        </w:rPr>
                        <w:t xml:space="preserve">Oswaldo José </w:t>
                      </w:r>
                      <w:proofErr w:type="spellStart"/>
                      <w:r w:rsidR="000B46EB" w:rsidRPr="000B46EB">
                        <w:rPr>
                          <w:color w:val="595959"/>
                          <w:sz w:val="18"/>
                          <w:lang w:val="en-US"/>
                        </w:rPr>
                        <w:t>Payá</w:t>
                      </w:r>
                      <w:proofErr w:type="spellEnd"/>
                      <w:r w:rsidR="000B46EB" w:rsidRPr="000B46EB">
                        <w:rPr>
                          <w:color w:val="595959"/>
                          <w:sz w:val="18"/>
                          <w:lang w:val="en-US"/>
                        </w:rPr>
                        <w:t xml:space="preserve"> </w:t>
                      </w:r>
                      <w:proofErr w:type="spellStart"/>
                      <w:r w:rsidR="000B46EB" w:rsidRPr="000B46EB">
                        <w:rPr>
                          <w:color w:val="595959"/>
                          <w:sz w:val="18"/>
                          <w:lang w:val="en-US"/>
                        </w:rPr>
                        <w:t>Sardiña</w:t>
                      </w:r>
                      <w:proofErr w:type="spellEnd"/>
                      <w:r w:rsidR="000B46EB" w:rsidRPr="000B46EB">
                        <w:rPr>
                          <w:color w:val="595959"/>
                          <w:sz w:val="18"/>
                          <w:lang w:val="en-US"/>
                        </w:rPr>
                        <w:t xml:space="preserve"> et al. Cuba. </w:t>
                      </w:r>
                      <w:r w:rsidR="00C547BF">
                        <w:rPr>
                          <w:color w:val="595959"/>
                          <w:sz w:val="18"/>
                          <w:lang w:val="en-US"/>
                        </w:rPr>
                        <w:t>June 9,</w:t>
                      </w:r>
                      <w:r w:rsidR="000B46EB" w:rsidRPr="000B46EB">
                        <w:rPr>
                          <w:color w:val="595959"/>
                          <w:sz w:val="18"/>
                          <w:lang w:val="en-US"/>
                        </w:rPr>
                        <w:t xml:space="preserve"> 202</w:t>
                      </w:r>
                      <w:r w:rsidR="00A15327">
                        <w:rPr>
                          <w:color w:val="595959"/>
                          <w:sz w:val="18"/>
                          <w:lang w:val="en-US"/>
                        </w:rPr>
                        <w:t>3</w:t>
                      </w:r>
                      <w:r w:rsidR="000B46EB" w:rsidRPr="000B46EB">
                        <w:rPr>
                          <w:color w:val="595959"/>
                          <w:sz w:val="18"/>
                          <w:lang w:val="en-US"/>
                        </w:rPr>
                        <w:t>.</w:t>
                      </w:r>
                    </w:p>
                  </w:txbxContent>
                </v:textbox>
              </v:shape>
            </w:pict>
          </mc:Fallback>
        </mc:AlternateContent>
      </w:r>
    </w:p>
    <w:p w14:paraId="66892CCD"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18"/>
          <w:bdr w:val="nil"/>
          <w:lang w:val="es-ES_tradnl"/>
        </w:rPr>
      </w:pPr>
    </w:p>
    <w:p w14:paraId="37889D99"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18"/>
          <w:bdr w:val="nil"/>
          <w:lang w:val="es-ES_tradnl"/>
        </w:rPr>
      </w:pPr>
    </w:p>
    <w:p w14:paraId="0F12CA5B"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18"/>
          <w:bdr w:val="nil"/>
          <w:lang w:val="en-US"/>
        </w:rPr>
      </w:pPr>
    </w:p>
    <w:p w14:paraId="5EE9BB61" w14:textId="77777777" w:rsidR="001C11B8" w:rsidRPr="00C547BF" w:rsidRDefault="001C11B8" w:rsidP="001C11B8">
      <w:pPr>
        <w:pBdr>
          <w:top w:val="nil"/>
          <w:left w:val="nil"/>
          <w:bottom w:val="nil"/>
          <w:right w:val="nil"/>
          <w:between w:val="nil"/>
          <w:bar w:val="nil"/>
        </w:pBdr>
        <w:tabs>
          <w:tab w:val="center" w:pos="5400"/>
        </w:tabs>
        <w:suppressAutoHyphens/>
        <w:spacing w:after="0"/>
        <w:jc w:val="center"/>
        <w:rPr>
          <w:rFonts w:eastAsia="Arial Unicode MS" w:cs="Times New Roman"/>
          <w:sz w:val="18"/>
          <w:bdr w:val="nil"/>
          <w:lang w:val="en-US"/>
        </w:rPr>
      </w:pPr>
      <w:r w:rsidRPr="00C547BF">
        <w:rPr>
          <w:rFonts w:eastAsia="Arial Unicode MS" w:cs="Times New Roman"/>
          <w:noProof/>
          <w:sz w:val="22"/>
          <w:bdr w:val="nil"/>
          <w:lang w:val="en-US"/>
        </w:rPr>
        <mc:AlternateContent>
          <mc:Choice Requires="wps">
            <w:drawing>
              <wp:anchor distT="0" distB="0" distL="114300" distR="114300" simplePos="0" relativeHeight="251677696" behindDoc="0" locked="0" layoutInCell="1" allowOverlap="1" wp14:anchorId="7B51348B" wp14:editId="7559BBD8">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45459DD8" w14:textId="77777777" w:rsidR="001C11B8" w:rsidRPr="001C11B8" w:rsidRDefault="001C11B8" w:rsidP="001C11B8">
                            <w:pPr>
                              <w:jc w:val="center"/>
                              <w:rPr>
                                <w:rFonts w:ascii="Calibri" w:hAnsi="Calibri"/>
                                <w:b/>
                                <w:color w:val="FFFFFF"/>
                              </w:rPr>
                            </w:pPr>
                            <w:r w:rsidRPr="001C11B8">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1348B" id="Text Box 3" o:spid="_x0000_s1031" type="#_x0000_t202" style="position:absolute;left:0;text-align:left;margin-left:-23.55pt;margin-top:67.65pt;width:93pt;height:2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" filled="f" stroked="f" strokeweight=".5pt">
                <v:textbox>
                  <w:txbxContent>
                    <w:p w14:paraId="45459DD8" w14:textId="77777777" w:rsidR="001C11B8" w:rsidRPr="001C11B8" w:rsidRDefault="001C11B8" w:rsidP="001C11B8">
                      <w:pPr>
                        <w:jc w:val="center"/>
                        <w:rPr>
                          <w:rFonts w:ascii="Calibri" w:hAnsi="Calibri"/>
                          <w:b/>
                          <w:color w:val="FFFFFF"/>
                        </w:rPr>
                      </w:pPr>
                      <w:r w:rsidRPr="001C11B8">
                        <w:rPr>
                          <w:rFonts w:ascii="Calibri" w:hAnsi="Calibri"/>
                          <w:b/>
                          <w:color w:val="FFFFFF"/>
                          <w:lang w:val="pt-BR"/>
                        </w:rPr>
                        <w:t>www.cidh.org</w:t>
                      </w:r>
                    </w:p>
                  </w:txbxContent>
                </v:textbox>
              </v:shape>
            </w:pict>
          </mc:Fallback>
        </mc:AlternateContent>
      </w:r>
      <w:r w:rsidRPr="00C547BF">
        <w:rPr>
          <w:rFonts w:eastAsia="Arial Unicode MS" w:cs="Times New Roman"/>
          <w:noProof/>
          <w:sz w:val="22"/>
          <w:bdr w:val="nil"/>
          <w:lang w:val="en-US"/>
        </w:rPr>
        <mc:AlternateContent>
          <mc:Choice Requires="wps">
            <w:drawing>
              <wp:anchor distT="0" distB="0" distL="114300" distR="114300" simplePos="0" relativeHeight="251676672" behindDoc="0" locked="0" layoutInCell="1" allowOverlap="1" wp14:anchorId="0E883759" wp14:editId="1ABFF7C6">
                <wp:simplePos x="0" y="0"/>
                <wp:positionH relativeFrom="column">
                  <wp:posOffset>1208215</wp:posOffset>
                </wp:positionH>
                <wp:positionV relativeFrom="paragraph">
                  <wp:posOffset>722630</wp:posOffset>
                </wp:positionV>
                <wp:extent cx="2085975" cy="48577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ysClr val="window" lastClr="FFFFFF"/>
                        </a:solidFill>
                        <a:ln w="6350">
                          <a:noFill/>
                        </a:ln>
                        <a:effectLst/>
                      </wps:spPr>
                      <wps:txbx>
                        <w:txbxContent>
                          <w:p w14:paraId="1AC5358C" w14:textId="77777777" w:rsidR="001C11B8" w:rsidRDefault="001C11B8" w:rsidP="001C11B8">
                            <w:r>
                              <w:rPr>
                                <w:noProof/>
                              </w:rPr>
                              <w:drawing>
                                <wp:inline distT="0" distB="0" distL="0" distR="0" wp14:anchorId="1AA3F9AE" wp14:editId="1FAE3612">
                                  <wp:extent cx="1123950" cy="378416"/>
                                  <wp:effectExtent l="0" t="0" r="0" b="3175"/>
                                  <wp:docPr id="36" name="Picture 3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83759" id="Text Box 35" o:spid="_x0000_s1032" type="#_x0000_t202" style="position:absolute;left:0;text-align:left;margin-left:95.15pt;margin-top:56.9pt;width:164.2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" fillcolor="window" stroked="f" strokeweight=".5pt">
                <v:textbox>
                  <w:txbxContent>
                    <w:p w14:paraId="1AC5358C" w14:textId="77777777" w:rsidR="001C11B8" w:rsidRDefault="001C11B8" w:rsidP="001C11B8">
                      <w:r>
                        <w:rPr>
                          <w:noProof/>
                        </w:rPr>
                        <w:drawing>
                          <wp:inline distT="0" distB="0" distL="0" distR="0" wp14:anchorId="1AA3F9AE" wp14:editId="1FAE3612">
                            <wp:extent cx="1123950" cy="378416"/>
                            <wp:effectExtent l="0" t="0" r="0" b="3175"/>
                            <wp:docPr id="36" name="Picture 3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6C3990FD" w14:textId="77777777" w:rsidR="004D55FB" w:rsidRPr="00C547BF" w:rsidRDefault="004D55FB" w:rsidP="004D55FB">
      <w:pPr>
        <w:tabs>
          <w:tab w:val="center" w:pos="5400"/>
        </w:tabs>
        <w:suppressAutoHyphens/>
        <w:spacing w:line="276" w:lineRule="auto"/>
        <w:rPr>
          <w:rFonts w:asciiTheme="majorHAnsi" w:hAnsiTheme="majorHAnsi"/>
          <w:sz w:val="18"/>
          <w:szCs w:val="20"/>
          <w:lang w:val="en-US"/>
        </w:rPr>
      </w:pPr>
    </w:p>
    <w:p w14:paraId="58BA17DA" w14:textId="77777777" w:rsidR="001C11B8" w:rsidRPr="00C547BF" w:rsidRDefault="001C11B8" w:rsidP="00FB225E">
      <w:pPr>
        <w:pBdr>
          <w:top w:val="nil"/>
          <w:left w:val="nil"/>
          <w:bottom w:val="nil"/>
          <w:right w:val="nil"/>
          <w:between w:val="nil"/>
          <w:bar w:val="nil"/>
        </w:pBdr>
        <w:tabs>
          <w:tab w:val="center" w:pos="5400"/>
        </w:tabs>
        <w:suppressAutoHyphens/>
        <w:spacing w:after="0"/>
        <w:jc w:val="center"/>
        <w:rPr>
          <w:rFonts w:eastAsia="Arial Unicode MS" w:cs="Times New Roman"/>
          <w:b/>
          <w:szCs w:val="20"/>
          <w:bdr w:val="nil"/>
          <w:lang w:val="en-US"/>
        </w:rPr>
      </w:pPr>
    </w:p>
    <w:p w14:paraId="741317ED" w14:textId="13728C2F" w:rsidR="001C11B8" w:rsidRPr="00C547BF" w:rsidRDefault="001C11B8" w:rsidP="00FB225E">
      <w:pPr>
        <w:pBdr>
          <w:top w:val="nil"/>
          <w:left w:val="nil"/>
          <w:bottom w:val="nil"/>
          <w:right w:val="nil"/>
          <w:between w:val="nil"/>
          <w:bar w:val="nil"/>
        </w:pBdr>
        <w:tabs>
          <w:tab w:val="center" w:pos="5400"/>
        </w:tabs>
        <w:suppressAutoHyphens/>
        <w:spacing w:after="0"/>
        <w:jc w:val="center"/>
        <w:rPr>
          <w:rFonts w:eastAsia="Arial Unicode MS" w:cs="Times New Roman"/>
          <w:b/>
          <w:szCs w:val="20"/>
          <w:bdr w:val="nil"/>
          <w:lang w:val="en-US"/>
        </w:rPr>
      </w:pPr>
    </w:p>
    <w:p w14:paraId="2C78A3C5" w14:textId="2B2F74FD" w:rsidR="001C11B8" w:rsidRPr="00C547BF" w:rsidRDefault="001C11B8" w:rsidP="00FB225E">
      <w:pPr>
        <w:pBdr>
          <w:top w:val="nil"/>
          <w:left w:val="nil"/>
          <w:bottom w:val="nil"/>
          <w:right w:val="nil"/>
          <w:between w:val="nil"/>
          <w:bar w:val="nil"/>
        </w:pBdr>
        <w:tabs>
          <w:tab w:val="center" w:pos="5400"/>
        </w:tabs>
        <w:suppressAutoHyphens/>
        <w:spacing w:after="0"/>
        <w:jc w:val="center"/>
        <w:rPr>
          <w:rFonts w:eastAsia="Arial Unicode MS" w:cs="Times New Roman"/>
          <w:b/>
          <w:szCs w:val="20"/>
          <w:bdr w:val="nil"/>
          <w:lang w:val="en-US"/>
        </w:rPr>
      </w:pPr>
    </w:p>
    <w:p w14:paraId="56A7DF22" w14:textId="0127F14C" w:rsidR="001C11B8" w:rsidRPr="00C547BF" w:rsidRDefault="001C11B8" w:rsidP="00FB225E">
      <w:pPr>
        <w:pBdr>
          <w:top w:val="nil"/>
          <w:left w:val="nil"/>
          <w:bottom w:val="nil"/>
          <w:right w:val="nil"/>
          <w:between w:val="nil"/>
          <w:bar w:val="nil"/>
        </w:pBdr>
        <w:tabs>
          <w:tab w:val="center" w:pos="5400"/>
        </w:tabs>
        <w:suppressAutoHyphens/>
        <w:spacing w:after="0"/>
        <w:jc w:val="center"/>
        <w:rPr>
          <w:rFonts w:eastAsia="Arial Unicode MS" w:cs="Times New Roman"/>
          <w:b/>
          <w:szCs w:val="20"/>
          <w:bdr w:val="nil"/>
          <w:lang w:val="en-US"/>
        </w:rPr>
      </w:pPr>
    </w:p>
    <w:p w14:paraId="7460B132" w14:textId="3C7ABB09" w:rsidR="001C11B8" w:rsidRPr="00C547BF" w:rsidRDefault="001C11B8" w:rsidP="00FB225E">
      <w:pPr>
        <w:pBdr>
          <w:top w:val="nil"/>
          <w:left w:val="nil"/>
          <w:bottom w:val="nil"/>
          <w:right w:val="nil"/>
          <w:between w:val="nil"/>
          <w:bar w:val="nil"/>
        </w:pBdr>
        <w:tabs>
          <w:tab w:val="center" w:pos="5400"/>
        </w:tabs>
        <w:suppressAutoHyphens/>
        <w:spacing w:after="0"/>
        <w:jc w:val="center"/>
        <w:rPr>
          <w:rFonts w:eastAsia="Arial Unicode MS" w:cs="Times New Roman"/>
          <w:b/>
          <w:szCs w:val="20"/>
          <w:bdr w:val="nil"/>
          <w:lang w:val="en-US"/>
        </w:rPr>
      </w:pPr>
    </w:p>
    <w:p w14:paraId="4B660EA0" w14:textId="254BFF78" w:rsidR="001C11B8" w:rsidRPr="00C547BF" w:rsidRDefault="001C11B8" w:rsidP="00FB225E">
      <w:pPr>
        <w:pBdr>
          <w:top w:val="nil"/>
          <w:left w:val="nil"/>
          <w:bottom w:val="nil"/>
          <w:right w:val="nil"/>
          <w:between w:val="nil"/>
          <w:bar w:val="nil"/>
        </w:pBdr>
        <w:tabs>
          <w:tab w:val="center" w:pos="5400"/>
        </w:tabs>
        <w:suppressAutoHyphens/>
        <w:spacing w:after="0"/>
        <w:jc w:val="center"/>
        <w:rPr>
          <w:rFonts w:eastAsia="Arial Unicode MS" w:cs="Times New Roman"/>
          <w:b/>
          <w:szCs w:val="20"/>
          <w:bdr w:val="nil"/>
          <w:lang w:val="en-US"/>
        </w:rPr>
      </w:pPr>
    </w:p>
    <w:p w14:paraId="7514FB09" w14:textId="77777777" w:rsidR="001C11B8" w:rsidRPr="00C547BF" w:rsidRDefault="001C11B8" w:rsidP="00FB225E">
      <w:pPr>
        <w:pBdr>
          <w:top w:val="nil"/>
          <w:left w:val="nil"/>
          <w:bottom w:val="nil"/>
          <w:right w:val="nil"/>
          <w:between w:val="nil"/>
          <w:bar w:val="nil"/>
        </w:pBdr>
        <w:tabs>
          <w:tab w:val="center" w:pos="5400"/>
        </w:tabs>
        <w:suppressAutoHyphens/>
        <w:spacing w:after="0"/>
        <w:jc w:val="center"/>
        <w:rPr>
          <w:rFonts w:eastAsia="Arial Unicode MS" w:cs="Times New Roman"/>
          <w:b/>
          <w:szCs w:val="20"/>
          <w:bdr w:val="nil"/>
          <w:lang w:val="en-US"/>
        </w:rPr>
        <w:sectPr w:rsidR="001C11B8" w:rsidRPr="00C547BF" w:rsidSect="001C11B8">
          <w:headerReference w:type="default" r:id="rId12"/>
          <w:footerReference w:type="even" r:id="rId13"/>
          <w:footerReference w:type="default" r:id="rId14"/>
          <w:pgSz w:w="12240" w:h="15840"/>
          <w:pgMar w:top="1440" w:right="1440" w:bottom="1440" w:left="1440" w:header="708" w:footer="708" w:gutter="0"/>
          <w:cols w:space="708"/>
          <w:titlePg/>
          <w:docGrid w:linePitch="360"/>
        </w:sectPr>
      </w:pPr>
    </w:p>
    <w:p w14:paraId="059A539F" w14:textId="77777777" w:rsidR="00171179" w:rsidRPr="00C547BF" w:rsidRDefault="00171179" w:rsidP="00171179">
      <w:pPr>
        <w:jc w:val="center"/>
        <w:rPr>
          <w:b/>
          <w:bCs/>
          <w:noProof/>
          <w:szCs w:val="20"/>
          <w:lang w:val="es-ES_tradnl"/>
        </w:rPr>
      </w:pPr>
      <w:r w:rsidRPr="00C547BF">
        <w:rPr>
          <w:b/>
          <w:bCs/>
          <w:noProof/>
          <w:szCs w:val="20"/>
          <w:lang w:val="es-ES_tradnl"/>
        </w:rPr>
        <w:lastRenderedPageBreak/>
        <w:t>Index</w:t>
      </w:r>
    </w:p>
    <w:sdt>
      <w:sdtPr>
        <w:rPr>
          <w:rFonts w:ascii="Cambria" w:eastAsiaTheme="minorHAnsi" w:hAnsi="Cambria" w:cstheme="minorBidi"/>
          <w:color w:val="auto"/>
          <w:sz w:val="20"/>
          <w:szCs w:val="22"/>
          <w:lang w:eastAsia="en-US"/>
        </w:rPr>
        <w:id w:val="1742750936"/>
        <w:docPartObj>
          <w:docPartGallery w:val="Table of Contents"/>
          <w:docPartUnique/>
        </w:docPartObj>
      </w:sdtPr>
      <w:sdtEndPr>
        <w:rPr>
          <w:b/>
          <w:bCs/>
          <w:noProof/>
        </w:rPr>
      </w:sdtEndPr>
      <w:sdtContent>
        <w:p w14:paraId="17A941CE" w14:textId="76AFEF54" w:rsidR="00654D0A" w:rsidRPr="00C547BF" w:rsidRDefault="00654D0A">
          <w:pPr>
            <w:pStyle w:val="TtuloTDC"/>
          </w:pPr>
        </w:p>
        <w:p w14:paraId="43A8E61A" w14:textId="1E8ACF6A" w:rsidR="00DC38DE" w:rsidRPr="00C547BF" w:rsidRDefault="00654D0A">
          <w:pPr>
            <w:pStyle w:val="TDC1"/>
            <w:rPr>
              <w:rFonts w:asciiTheme="minorHAnsi" w:eastAsiaTheme="minorEastAsia" w:hAnsiTheme="minorHAnsi"/>
              <w:kern w:val="2"/>
              <w:sz w:val="24"/>
              <w:szCs w:val="24"/>
              <w:lang w:val="es-US" w:eastAsia="zh-CN"/>
              <w14:ligatures w14:val="standardContextual"/>
            </w:rPr>
          </w:pPr>
          <w:r w:rsidRPr="00C547BF">
            <w:fldChar w:fldCharType="begin"/>
          </w:r>
          <w:r w:rsidRPr="00C547BF">
            <w:instrText xml:space="preserve"> TOC \o "1-3" \h \z \u </w:instrText>
          </w:r>
          <w:r w:rsidRPr="00C547BF">
            <w:fldChar w:fldCharType="separate"/>
          </w:r>
          <w:hyperlink w:anchor="_Toc136860046" w:history="1">
            <w:r w:rsidR="00DC38DE" w:rsidRPr="00C547BF">
              <w:rPr>
                <w:rStyle w:val="Hipervnculo"/>
              </w:rPr>
              <w:t>INTRODUCTION</w:t>
            </w:r>
            <w:r w:rsidR="00DC38DE" w:rsidRPr="00C547BF">
              <w:rPr>
                <w:webHidden/>
              </w:rPr>
              <w:tab/>
            </w:r>
            <w:r w:rsidR="00DC38DE" w:rsidRPr="00C547BF">
              <w:rPr>
                <w:webHidden/>
              </w:rPr>
              <w:fldChar w:fldCharType="begin"/>
            </w:r>
            <w:r w:rsidR="00DC38DE" w:rsidRPr="00C547BF">
              <w:rPr>
                <w:webHidden/>
              </w:rPr>
              <w:instrText xml:space="preserve"> PAGEREF _Toc136860046 \h </w:instrText>
            </w:r>
            <w:r w:rsidR="00DC38DE" w:rsidRPr="00C547BF">
              <w:rPr>
                <w:webHidden/>
              </w:rPr>
            </w:r>
            <w:r w:rsidR="00DC38DE" w:rsidRPr="00C547BF">
              <w:rPr>
                <w:webHidden/>
              </w:rPr>
              <w:fldChar w:fldCharType="separate"/>
            </w:r>
            <w:r w:rsidR="00DC38DE" w:rsidRPr="00C547BF">
              <w:rPr>
                <w:webHidden/>
              </w:rPr>
              <w:t>2</w:t>
            </w:r>
            <w:r w:rsidR="00DC38DE" w:rsidRPr="00C547BF">
              <w:rPr>
                <w:webHidden/>
              </w:rPr>
              <w:fldChar w:fldCharType="end"/>
            </w:r>
          </w:hyperlink>
        </w:p>
        <w:p w14:paraId="419048A4" w14:textId="0F195674" w:rsidR="00DC38DE" w:rsidRPr="00C547BF" w:rsidRDefault="00000000">
          <w:pPr>
            <w:pStyle w:val="TDC1"/>
            <w:rPr>
              <w:rFonts w:asciiTheme="minorHAnsi" w:eastAsiaTheme="minorEastAsia" w:hAnsiTheme="minorHAnsi"/>
              <w:kern w:val="2"/>
              <w:sz w:val="24"/>
              <w:szCs w:val="24"/>
              <w:lang w:val="es-US" w:eastAsia="zh-CN"/>
              <w14:ligatures w14:val="standardContextual"/>
            </w:rPr>
          </w:pPr>
          <w:hyperlink w:anchor="_Toc136860047" w:history="1">
            <w:r w:rsidR="00DC38DE" w:rsidRPr="00C547BF">
              <w:rPr>
                <w:rStyle w:val="Hipervnculo"/>
              </w:rPr>
              <w:t>I.</w:t>
            </w:r>
            <w:r w:rsidR="00DC38DE" w:rsidRPr="00C547BF">
              <w:rPr>
                <w:rFonts w:asciiTheme="minorHAnsi" w:eastAsiaTheme="minorEastAsia" w:hAnsiTheme="minorHAnsi"/>
                <w:kern w:val="2"/>
                <w:sz w:val="24"/>
                <w:szCs w:val="24"/>
                <w:lang w:val="es-US" w:eastAsia="zh-CN"/>
                <w14:ligatures w14:val="standardContextual"/>
              </w:rPr>
              <w:tab/>
            </w:r>
            <w:r w:rsidR="00DC38DE" w:rsidRPr="00C547BF">
              <w:rPr>
                <w:rStyle w:val="Hipervnculo"/>
              </w:rPr>
              <w:t>ARGUMENTS OF THE PARTIES</w:t>
            </w:r>
            <w:r w:rsidR="00DC38DE" w:rsidRPr="00C547BF">
              <w:rPr>
                <w:webHidden/>
              </w:rPr>
              <w:tab/>
            </w:r>
            <w:r w:rsidR="00DC38DE" w:rsidRPr="00C547BF">
              <w:rPr>
                <w:webHidden/>
              </w:rPr>
              <w:fldChar w:fldCharType="begin"/>
            </w:r>
            <w:r w:rsidR="00DC38DE" w:rsidRPr="00C547BF">
              <w:rPr>
                <w:webHidden/>
              </w:rPr>
              <w:instrText xml:space="preserve"> PAGEREF _Toc136860047 \h </w:instrText>
            </w:r>
            <w:r w:rsidR="00DC38DE" w:rsidRPr="00C547BF">
              <w:rPr>
                <w:webHidden/>
              </w:rPr>
            </w:r>
            <w:r w:rsidR="00DC38DE" w:rsidRPr="00C547BF">
              <w:rPr>
                <w:webHidden/>
              </w:rPr>
              <w:fldChar w:fldCharType="separate"/>
            </w:r>
            <w:r w:rsidR="00DC38DE" w:rsidRPr="00C547BF">
              <w:rPr>
                <w:webHidden/>
              </w:rPr>
              <w:t>2</w:t>
            </w:r>
            <w:r w:rsidR="00DC38DE" w:rsidRPr="00C547BF">
              <w:rPr>
                <w:webHidden/>
              </w:rPr>
              <w:fldChar w:fldCharType="end"/>
            </w:r>
          </w:hyperlink>
        </w:p>
        <w:p w14:paraId="573F8335" w14:textId="1369337C" w:rsidR="00DC38DE" w:rsidRPr="00C547BF" w:rsidRDefault="00000000">
          <w:pPr>
            <w:pStyle w:val="TDC2"/>
            <w:tabs>
              <w:tab w:val="left" w:pos="720"/>
              <w:tab w:val="right" w:leader="dot" w:pos="9350"/>
            </w:tabs>
            <w:rPr>
              <w:rFonts w:asciiTheme="minorHAnsi" w:eastAsiaTheme="minorEastAsia" w:hAnsiTheme="minorHAnsi"/>
              <w:noProof/>
              <w:kern w:val="2"/>
              <w:sz w:val="24"/>
              <w:szCs w:val="24"/>
              <w:lang w:val="es-US" w:eastAsia="zh-CN"/>
              <w14:ligatures w14:val="standardContextual"/>
            </w:rPr>
          </w:pPr>
          <w:hyperlink w:anchor="_Toc136860048" w:history="1">
            <w:r w:rsidR="00DC38DE" w:rsidRPr="00C547BF">
              <w:rPr>
                <w:rStyle w:val="Hipervnculo"/>
                <w:noProof/>
                <w:lang w:val="es-ES_tradnl"/>
              </w:rPr>
              <w:t>A.</w:t>
            </w:r>
            <w:r w:rsidR="00DC38DE" w:rsidRPr="00C547BF">
              <w:rPr>
                <w:rFonts w:asciiTheme="minorHAnsi" w:eastAsiaTheme="minorEastAsia" w:hAnsiTheme="minorHAnsi"/>
                <w:noProof/>
                <w:kern w:val="2"/>
                <w:sz w:val="24"/>
                <w:szCs w:val="24"/>
                <w:lang w:val="es-US" w:eastAsia="zh-CN"/>
                <w14:ligatures w14:val="standardContextual"/>
              </w:rPr>
              <w:tab/>
            </w:r>
            <w:r w:rsidR="00DC38DE" w:rsidRPr="00C547BF">
              <w:rPr>
                <w:rStyle w:val="Hipervnculo"/>
                <w:noProof/>
                <w:lang w:val="es-ES_tradnl"/>
              </w:rPr>
              <w:t>Position of the petitioner</w:t>
            </w:r>
            <w:r w:rsidR="00DC38DE" w:rsidRPr="00C547BF">
              <w:rPr>
                <w:noProof/>
                <w:webHidden/>
              </w:rPr>
              <w:tab/>
            </w:r>
            <w:r w:rsidR="00DC38DE" w:rsidRPr="00C547BF">
              <w:rPr>
                <w:noProof/>
                <w:webHidden/>
              </w:rPr>
              <w:fldChar w:fldCharType="begin"/>
            </w:r>
            <w:r w:rsidR="00DC38DE" w:rsidRPr="00C547BF">
              <w:rPr>
                <w:noProof/>
                <w:webHidden/>
              </w:rPr>
              <w:instrText xml:space="preserve"> PAGEREF _Toc136860048 \h </w:instrText>
            </w:r>
            <w:r w:rsidR="00DC38DE" w:rsidRPr="00C547BF">
              <w:rPr>
                <w:noProof/>
                <w:webHidden/>
              </w:rPr>
            </w:r>
            <w:r w:rsidR="00DC38DE" w:rsidRPr="00C547BF">
              <w:rPr>
                <w:noProof/>
                <w:webHidden/>
              </w:rPr>
              <w:fldChar w:fldCharType="separate"/>
            </w:r>
            <w:r w:rsidR="00DC38DE" w:rsidRPr="00C547BF">
              <w:rPr>
                <w:noProof/>
                <w:webHidden/>
              </w:rPr>
              <w:t>2</w:t>
            </w:r>
            <w:r w:rsidR="00DC38DE" w:rsidRPr="00C547BF">
              <w:rPr>
                <w:noProof/>
                <w:webHidden/>
              </w:rPr>
              <w:fldChar w:fldCharType="end"/>
            </w:r>
          </w:hyperlink>
        </w:p>
        <w:p w14:paraId="3A997AF8" w14:textId="7F8645C7" w:rsidR="00DC38DE" w:rsidRPr="00C547BF" w:rsidRDefault="00000000">
          <w:pPr>
            <w:pStyle w:val="TDC2"/>
            <w:tabs>
              <w:tab w:val="left" w:pos="720"/>
              <w:tab w:val="right" w:leader="dot" w:pos="9350"/>
            </w:tabs>
            <w:rPr>
              <w:rFonts w:asciiTheme="minorHAnsi" w:eastAsiaTheme="minorEastAsia" w:hAnsiTheme="minorHAnsi"/>
              <w:noProof/>
              <w:kern w:val="2"/>
              <w:sz w:val="24"/>
              <w:szCs w:val="24"/>
              <w:lang w:val="es-US" w:eastAsia="zh-CN"/>
              <w14:ligatures w14:val="standardContextual"/>
            </w:rPr>
          </w:pPr>
          <w:hyperlink w:anchor="_Toc136860049" w:history="1">
            <w:r w:rsidR="00DC38DE" w:rsidRPr="00C547BF">
              <w:rPr>
                <w:rStyle w:val="Hipervnculo"/>
                <w:noProof/>
                <w:lang w:val="es-ES_tradnl"/>
              </w:rPr>
              <w:t xml:space="preserve">B. </w:t>
            </w:r>
            <w:r w:rsidR="00DC38DE" w:rsidRPr="00C547BF">
              <w:rPr>
                <w:rFonts w:asciiTheme="minorHAnsi" w:eastAsiaTheme="minorEastAsia" w:hAnsiTheme="minorHAnsi"/>
                <w:noProof/>
                <w:kern w:val="2"/>
                <w:sz w:val="24"/>
                <w:szCs w:val="24"/>
                <w:lang w:val="es-US" w:eastAsia="zh-CN"/>
                <w14:ligatures w14:val="standardContextual"/>
              </w:rPr>
              <w:tab/>
            </w:r>
            <w:r w:rsidR="00DC38DE" w:rsidRPr="00C547BF">
              <w:rPr>
                <w:rStyle w:val="Hipervnculo"/>
                <w:noProof/>
                <w:lang w:val="es-ES_tradnl"/>
              </w:rPr>
              <w:t>Position of the State</w:t>
            </w:r>
            <w:r w:rsidR="00DC38DE" w:rsidRPr="00C547BF">
              <w:rPr>
                <w:noProof/>
                <w:webHidden/>
              </w:rPr>
              <w:tab/>
            </w:r>
            <w:r w:rsidR="00DC38DE" w:rsidRPr="00C547BF">
              <w:rPr>
                <w:noProof/>
                <w:webHidden/>
              </w:rPr>
              <w:fldChar w:fldCharType="begin"/>
            </w:r>
            <w:r w:rsidR="00DC38DE" w:rsidRPr="00C547BF">
              <w:rPr>
                <w:noProof/>
                <w:webHidden/>
              </w:rPr>
              <w:instrText xml:space="preserve"> PAGEREF _Toc136860049 \h </w:instrText>
            </w:r>
            <w:r w:rsidR="00DC38DE" w:rsidRPr="00C547BF">
              <w:rPr>
                <w:noProof/>
                <w:webHidden/>
              </w:rPr>
            </w:r>
            <w:r w:rsidR="00DC38DE" w:rsidRPr="00C547BF">
              <w:rPr>
                <w:noProof/>
                <w:webHidden/>
              </w:rPr>
              <w:fldChar w:fldCharType="separate"/>
            </w:r>
            <w:r w:rsidR="00DC38DE" w:rsidRPr="00C547BF">
              <w:rPr>
                <w:noProof/>
                <w:webHidden/>
              </w:rPr>
              <w:t>3</w:t>
            </w:r>
            <w:r w:rsidR="00DC38DE" w:rsidRPr="00C547BF">
              <w:rPr>
                <w:noProof/>
                <w:webHidden/>
              </w:rPr>
              <w:fldChar w:fldCharType="end"/>
            </w:r>
          </w:hyperlink>
        </w:p>
        <w:p w14:paraId="2D0F5975" w14:textId="6C6C86FC" w:rsidR="00DC38DE" w:rsidRPr="00C547BF" w:rsidRDefault="00000000">
          <w:pPr>
            <w:pStyle w:val="TDC1"/>
            <w:rPr>
              <w:rFonts w:asciiTheme="minorHAnsi" w:eastAsiaTheme="minorEastAsia" w:hAnsiTheme="minorHAnsi"/>
              <w:kern w:val="2"/>
              <w:sz w:val="24"/>
              <w:szCs w:val="24"/>
              <w:lang w:val="es-US" w:eastAsia="zh-CN"/>
              <w14:ligatures w14:val="standardContextual"/>
            </w:rPr>
          </w:pPr>
          <w:hyperlink w:anchor="_Toc136860050" w:history="1">
            <w:r w:rsidR="00DC38DE" w:rsidRPr="00C547BF">
              <w:rPr>
                <w:rStyle w:val="Hipervnculo"/>
              </w:rPr>
              <w:t>II.</w:t>
            </w:r>
            <w:r w:rsidR="00DC38DE" w:rsidRPr="00C547BF">
              <w:rPr>
                <w:rFonts w:asciiTheme="minorHAnsi" w:eastAsiaTheme="minorEastAsia" w:hAnsiTheme="minorHAnsi"/>
                <w:kern w:val="2"/>
                <w:sz w:val="24"/>
                <w:szCs w:val="24"/>
                <w:lang w:val="es-US" w:eastAsia="zh-CN"/>
                <w14:ligatures w14:val="standardContextual"/>
              </w:rPr>
              <w:tab/>
            </w:r>
            <w:r w:rsidR="00DC38DE" w:rsidRPr="00C547BF">
              <w:rPr>
                <w:rStyle w:val="Hipervnculo"/>
              </w:rPr>
              <w:t>ADMISSIBILITY ANALYSIS</w:t>
            </w:r>
            <w:r w:rsidR="00DC38DE" w:rsidRPr="00C547BF">
              <w:rPr>
                <w:webHidden/>
              </w:rPr>
              <w:tab/>
            </w:r>
            <w:r w:rsidR="00DC38DE" w:rsidRPr="00C547BF">
              <w:rPr>
                <w:webHidden/>
              </w:rPr>
              <w:fldChar w:fldCharType="begin"/>
            </w:r>
            <w:r w:rsidR="00DC38DE" w:rsidRPr="00C547BF">
              <w:rPr>
                <w:webHidden/>
              </w:rPr>
              <w:instrText xml:space="preserve"> PAGEREF _Toc136860050 \h </w:instrText>
            </w:r>
            <w:r w:rsidR="00DC38DE" w:rsidRPr="00C547BF">
              <w:rPr>
                <w:webHidden/>
              </w:rPr>
            </w:r>
            <w:r w:rsidR="00DC38DE" w:rsidRPr="00C547BF">
              <w:rPr>
                <w:webHidden/>
              </w:rPr>
              <w:fldChar w:fldCharType="separate"/>
            </w:r>
            <w:r w:rsidR="00DC38DE" w:rsidRPr="00C547BF">
              <w:rPr>
                <w:webHidden/>
              </w:rPr>
              <w:t>3</w:t>
            </w:r>
            <w:r w:rsidR="00DC38DE" w:rsidRPr="00C547BF">
              <w:rPr>
                <w:webHidden/>
              </w:rPr>
              <w:fldChar w:fldCharType="end"/>
            </w:r>
          </w:hyperlink>
        </w:p>
        <w:p w14:paraId="40E79D6B" w14:textId="3567C963" w:rsidR="00DC38DE" w:rsidRPr="00C547BF" w:rsidRDefault="00000000">
          <w:pPr>
            <w:pStyle w:val="TDC2"/>
            <w:tabs>
              <w:tab w:val="left" w:pos="720"/>
              <w:tab w:val="right" w:leader="dot" w:pos="9350"/>
            </w:tabs>
            <w:rPr>
              <w:rFonts w:asciiTheme="minorHAnsi" w:eastAsiaTheme="minorEastAsia" w:hAnsiTheme="minorHAnsi"/>
              <w:noProof/>
              <w:kern w:val="2"/>
              <w:sz w:val="24"/>
              <w:szCs w:val="24"/>
              <w:lang w:val="es-US" w:eastAsia="zh-CN"/>
              <w14:ligatures w14:val="standardContextual"/>
            </w:rPr>
          </w:pPr>
          <w:hyperlink w:anchor="_Toc136860051" w:history="1">
            <w:r w:rsidR="00DC38DE" w:rsidRPr="00C547BF">
              <w:rPr>
                <w:rStyle w:val="Hipervnculo"/>
                <w:noProof/>
                <w:lang w:val="en-US"/>
              </w:rPr>
              <w:t xml:space="preserve">A. </w:t>
            </w:r>
            <w:r w:rsidR="00DC38DE" w:rsidRPr="00C547BF">
              <w:rPr>
                <w:rFonts w:asciiTheme="minorHAnsi" w:eastAsiaTheme="minorEastAsia" w:hAnsiTheme="minorHAnsi"/>
                <w:noProof/>
                <w:kern w:val="2"/>
                <w:sz w:val="24"/>
                <w:szCs w:val="24"/>
                <w:lang w:val="es-US" w:eastAsia="zh-CN"/>
                <w14:ligatures w14:val="standardContextual"/>
              </w:rPr>
              <w:tab/>
            </w:r>
            <w:r w:rsidR="00DC38DE" w:rsidRPr="00C547BF">
              <w:rPr>
                <w:rStyle w:val="Hipervnculo"/>
                <w:noProof/>
                <w:lang w:val="en-US"/>
              </w:rPr>
              <w:t>Jurisdiction, duplication of proceedings and international res judicata</w:t>
            </w:r>
            <w:r w:rsidR="00DC38DE" w:rsidRPr="00C547BF">
              <w:rPr>
                <w:noProof/>
                <w:webHidden/>
              </w:rPr>
              <w:tab/>
            </w:r>
            <w:r w:rsidR="00DC38DE" w:rsidRPr="00C547BF">
              <w:rPr>
                <w:noProof/>
                <w:webHidden/>
              </w:rPr>
              <w:fldChar w:fldCharType="begin"/>
            </w:r>
            <w:r w:rsidR="00DC38DE" w:rsidRPr="00C547BF">
              <w:rPr>
                <w:noProof/>
                <w:webHidden/>
              </w:rPr>
              <w:instrText xml:space="preserve"> PAGEREF _Toc136860051 \h </w:instrText>
            </w:r>
            <w:r w:rsidR="00DC38DE" w:rsidRPr="00C547BF">
              <w:rPr>
                <w:noProof/>
                <w:webHidden/>
              </w:rPr>
            </w:r>
            <w:r w:rsidR="00DC38DE" w:rsidRPr="00C547BF">
              <w:rPr>
                <w:noProof/>
                <w:webHidden/>
              </w:rPr>
              <w:fldChar w:fldCharType="separate"/>
            </w:r>
            <w:r w:rsidR="00DC38DE" w:rsidRPr="00C547BF">
              <w:rPr>
                <w:noProof/>
                <w:webHidden/>
              </w:rPr>
              <w:t>3</w:t>
            </w:r>
            <w:r w:rsidR="00DC38DE" w:rsidRPr="00C547BF">
              <w:rPr>
                <w:noProof/>
                <w:webHidden/>
              </w:rPr>
              <w:fldChar w:fldCharType="end"/>
            </w:r>
          </w:hyperlink>
        </w:p>
        <w:p w14:paraId="108EE964" w14:textId="42505C1D" w:rsidR="00DC38DE" w:rsidRPr="00C547BF" w:rsidRDefault="00000000">
          <w:pPr>
            <w:pStyle w:val="TDC2"/>
            <w:tabs>
              <w:tab w:val="left" w:pos="720"/>
              <w:tab w:val="right" w:leader="dot" w:pos="9350"/>
            </w:tabs>
            <w:rPr>
              <w:rFonts w:asciiTheme="minorHAnsi" w:eastAsiaTheme="minorEastAsia" w:hAnsiTheme="minorHAnsi"/>
              <w:noProof/>
              <w:kern w:val="2"/>
              <w:sz w:val="24"/>
              <w:szCs w:val="24"/>
              <w:lang w:val="es-US" w:eastAsia="zh-CN"/>
              <w14:ligatures w14:val="standardContextual"/>
            </w:rPr>
          </w:pPr>
          <w:hyperlink w:anchor="_Toc136860052" w:history="1">
            <w:r w:rsidR="00DC38DE" w:rsidRPr="00C547BF">
              <w:rPr>
                <w:rStyle w:val="Hipervnculo"/>
                <w:noProof/>
                <w:lang w:val="en-US"/>
              </w:rPr>
              <w:t xml:space="preserve">B. </w:t>
            </w:r>
            <w:r w:rsidR="00DC38DE" w:rsidRPr="00C547BF">
              <w:rPr>
                <w:rFonts w:asciiTheme="minorHAnsi" w:eastAsiaTheme="minorEastAsia" w:hAnsiTheme="minorHAnsi"/>
                <w:noProof/>
                <w:kern w:val="2"/>
                <w:sz w:val="24"/>
                <w:szCs w:val="24"/>
                <w:lang w:val="es-US" w:eastAsia="zh-CN"/>
                <w14:ligatures w14:val="standardContextual"/>
              </w:rPr>
              <w:tab/>
            </w:r>
            <w:r w:rsidR="00DC38DE" w:rsidRPr="00C547BF">
              <w:rPr>
                <w:rStyle w:val="Hipervnculo"/>
                <w:noProof/>
                <w:lang w:val="en-US"/>
              </w:rPr>
              <w:t>Exhaustion of domestic remedies and filing deadlines</w:t>
            </w:r>
            <w:r w:rsidR="00DC38DE" w:rsidRPr="00C547BF">
              <w:rPr>
                <w:noProof/>
                <w:webHidden/>
              </w:rPr>
              <w:tab/>
            </w:r>
            <w:r w:rsidR="00DC38DE" w:rsidRPr="00C547BF">
              <w:rPr>
                <w:noProof/>
                <w:webHidden/>
              </w:rPr>
              <w:fldChar w:fldCharType="begin"/>
            </w:r>
            <w:r w:rsidR="00DC38DE" w:rsidRPr="00C547BF">
              <w:rPr>
                <w:noProof/>
                <w:webHidden/>
              </w:rPr>
              <w:instrText xml:space="preserve"> PAGEREF _Toc136860052 \h </w:instrText>
            </w:r>
            <w:r w:rsidR="00DC38DE" w:rsidRPr="00C547BF">
              <w:rPr>
                <w:noProof/>
                <w:webHidden/>
              </w:rPr>
            </w:r>
            <w:r w:rsidR="00DC38DE" w:rsidRPr="00C547BF">
              <w:rPr>
                <w:noProof/>
                <w:webHidden/>
              </w:rPr>
              <w:fldChar w:fldCharType="separate"/>
            </w:r>
            <w:r w:rsidR="00DC38DE" w:rsidRPr="00C547BF">
              <w:rPr>
                <w:noProof/>
                <w:webHidden/>
              </w:rPr>
              <w:t>3</w:t>
            </w:r>
            <w:r w:rsidR="00DC38DE" w:rsidRPr="00C547BF">
              <w:rPr>
                <w:noProof/>
                <w:webHidden/>
              </w:rPr>
              <w:fldChar w:fldCharType="end"/>
            </w:r>
          </w:hyperlink>
        </w:p>
        <w:p w14:paraId="559C5ACC" w14:textId="01C742B7" w:rsidR="00DC38DE" w:rsidRPr="00C547BF" w:rsidRDefault="00000000">
          <w:pPr>
            <w:pStyle w:val="TDC3"/>
            <w:tabs>
              <w:tab w:val="left" w:pos="960"/>
              <w:tab w:val="right" w:leader="dot" w:pos="9350"/>
            </w:tabs>
            <w:rPr>
              <w:rFonts w:asciiTheme="minorHAnsi" w:eastAsiaTheme="minorEastAsia" w:hAnsiTheme="minorHAnsi"/>
              <w:noProof/>
              <w:kern w:val="2"/>
              <w:sz w:val="24"/>
              <w:szCs w:val="24"/>
              <w:lang w:val="es-US" w:eastAsia="zh-CN"/>
              <w14:ligatures w14:val="standardContextual"/>
            </w:rPr>
          </w:pPr>
          <w:hyperlink w:anchor="_Toc136860053" w:history="1">
            <w:r w:rsidR="00DC38DE" w:rsidRPr="00C547BF">
              <w:rPr>
                <w:rStyle w:val="Hipervnculo"/>
                <w:noProof/>
                <w:lang w:val="en-US"/>
              </w:rPr>
              <w:t xml:space="preserve">C. </w:t>
            </w:r>
            <w:r w:rsidR="00DC38DE" w:rsidRPr="00C547BF">
              <w:rPr>
                <w:rFonts w:asciiTheme="minorHAnsi" w:eastAsiaTheme="minorEastAsia" w:hAnsiTheme="minorHAnsi"/>
                <w:noProof/>
                <w:kern w:val="2"/>
                <w:sz w:val="24"/>
                <w:szCs w:val="24"/>
                <w:lang w:val="es-US" w:eastAsia="zh-CN"/>
                <w14:ligatures w14:val="standardContextual"/>
              </w:rPr>
              <w:tab/>
            </w:r>
            <w:r w:rsidR="00DC38DE" w:rsidRPr="00C547BF">
              <w:rPr>
                <w:rStyle w:val="Hipervnculo"/>
                <w:noProof/>
                <w:lang w:val="en-US"/>
              </w:rPr>
              <w:t>Characterization of the alleged facts</w:t>
            </w:r>
            <w:r w:rsidR="00DC38DE" w:rsidRPr="00C547BF">
              <w:rPr>
                <w:noProof/>
                <w:webHidden/>
              </w:rPr>
              <w:tab/>
            </w:r>
            <w:r w:rsidR="00DC38DE" w:rsidRPr="00C547BF">
              <w:rPr>
                <w:noProof/>
                <w:webHidden/>
              </w:rPr>
              <w:fldChar w:fldCharType="begin"/>
            </w:r>
            <w:r w:rsidR="00DC38DE" w:rsidRPr="00C547BF">
              <w:rPr>
                <w:noProof/>
                <w:webHidden/>
              </w:rPr>
              <w:instrText xml:space="preserve"> PAGEREF _Toc136860053 \h </w:instrText>
            </w:r>
            <w:r w:rsidR="00DC38DE" w:rsidRPr="00C547BF">
              <w:rPr>
                <w:noProof/>
                <w:webHidden/>
              </w:rPr>
            </w:r>
            <w:r w:rsidR="00DC38DE" w:rsidRPr="00C547BF">
              <w:rPr>
                <w:noProof/>
                <w:webHidden/>
              </w:rPr>
              <w:fldChar w:fldCharType="separate"/>
            </w:r>
            <w:r w:rsidR="00DC38DE" w:rsidRPr="00C547BF">
              <w:rPr>
                <w:noProof/>
                <w:webHidden/>
              </w:rPr>
              <w:t>4</w:t>
            </w:r>
            <w:r w:rsidR="00DC38DE" w:rsidRPr="00C547BF">
              <w:rPr>
                <w:noProof/>
                <w:webHidden/>
              </w:rPr>
              <w:fldChar w:fldCharType="end"/>
            </w:r>
          </w:hyperlink>
        </w:p>
        <w:p w14:paraId="6A542A29" w14:textId="71D0A773" w:rsidR="00DC38DE" w:rsidRPr="00C547BF" w:rsidRDefault="00000000">
          <w:pPr>
            <w:pStyle w:val="TDC1"/>
            <w:rPr>
              <w:rFonts w:asciiTheme="minorHAnsi" w:eastAsiaTheme="minorEastAsia" w:hAnsiTheme="minorHAnsi"/>
              <w:kern w:val="2"/>
              <w:sz w:val="24"/>
              <w:szCs w:val="24"/>
              <w:lang w:val="es-US" w:eastAsia="zh-CN"/>
              <w14:ligatures w14:val="standardContextual"/>
            </w:rPr>
          </w:pPr>
          <w:hyperlink w:anchor="_Toc136860054" w:history="1">
            <w:r w:rsidR="00DC38DE" w:rsidRPr="00C547BF">
              <w:rPr>
                <w:rStyle w:val="Hipervnculo"/>
              </w:rPr>
              <w:t>III.</w:t>
            </w:r>
            <w:r w:rsidR="00DC38DE" w:rsidRPr="00C547BF">
              <w:rPr>
                <w:rFonts w:asciiTheme="minorHAnsi" w:eastAsiaTheme="minorEastAsia" w:hAnsiTheme="minorHAnsi"/>
                <w:kern w:val="2"/>
                <w:sz w:val="24"/>
                <w:szCs w:val="24"/>
                <w:lang w:val="es-US" w:eastAsia="zh-CN"/>
                <w14:ligatures w14:val="standardContextual"/>
              </w:rPr>
              <w:tab/>
            </w:r>
            <w:r w:rsidR="00DC38DE" w:rsidRPr="00C547BF">
              <w:rPr>
                <w:rStyle w:val="Hipervnculo"/>
              </w:rPr>
              <w:t>FINDINGS OF FACT</w:t>
            </w:r>
            <w:r w:rsidR="00DC38DE" w:rsidRPr="00C547BF">
              <w:rPr>
                <w:webHidden/>
              </w:rPr>
              <w:tab/>
            </w:r>
            <w:r w:rsidR="00DC38DE" w:rsidRPr="00C547BF">
              <w:rPr>
                <w:webHidden/>
              </w:rPr>
              <w:fldChar w:fldCharType="begin"/>
            </w:r>
            <w:r w:rsidR="00DC38DE" w:rsidRPr="00C547BF">
              <w:rPr>
                <w:webHidden/>
              </w:rPr>
              <w:instrText xml:space="preserve"> PAGEREF _Toc136860054 \h </w:instrText>
            </w:r>
            <w:r w:rsidR="00DC38DE" w:rsidRPr="00C547BF">
              <w:rPr>
                <w:webHidden/>
              </w:rPr>
            </w:r>
            <w:r w:rsidR="00DC38DE" w:rsidRPr="00C547BF">
              <w:rPr>
                <w:webHidden/>
              </w:rPr>
              <w:fldChar w:fldCharType="separate"/>
            </w:r>
            <w:r w:rsidR="00DC38DE" w:rsidRPr="00C547BF">
              <w:rPr>
                <w:webHidden/>
              </w:rPr>
              <w:t>4</w:t>
            </w:r>
            <w:r w:rsidR="00DC38DE" w:rsidRPr="00C547BF">
              <w:rPr>
                <w:webHidden/>
              </w:rPr>
              <w:fldChar w:fldCharType="end"/>
            </w:r>
          </w:hyperlink>
        </w:p>
        <w:p w14:paraId="39E24FDF" w14:textId="599D432A" w:rsidR="00DC38DE" w:rsidRPr="00C547BF" w:rsidRDefault="00000000">
          <w:pPr>
            <w:pStyle w:val="TDC2"/>
            <w:tabs>
              <w:tab w:val="left" w:pos="720"/>
              <w:tab w:val="right" w:leader="dot" w:pos="9350"/>
            </w:tabs>
            <w:rPr>
              <w:rFonts w:asciiTheme="minorHAnsi" w:eastAsiaTheme="minorEastAsia" w:hAnsiTheme="minorHAnsi"/>
              <w:noProof/>
              <w:kern w:val="2"/>
              <w:sz w:val="24"/>
              <w:szCs w:val="24"/>
              <w:lang w:val="es-US" w:eastAsia="zh-CN"/>
              <w14:ligatures w14:val="standardContextual"/>
            </w:rPr>
          </w:pPr>
          <w:hyperlink w:anchor="_Toc136860055" w:history="1">
            <w:r w:rsidR="00DC38DE" w:rsidRPr="00C547BF">
              <w:rPr>
                <w:rStyle w:val="Hipervnculo"/>
                <w:rFonts w:eastAsia="Arial Unicode MS"/>
                <w:noProof/>
                <w:lang w:val="en-US"/>
              </w:rPr>
              <w:t xml:space="preserve">A. </w:t>
            </w:r>
            <w:r w:rsidR="00DC38DE" w:rsidRPr="00C547BF">
              <w:rPr>
                <w:rFonts w:asciiTheme="minorHAnsi" w:eastAsiaTheme="minorEastAsia" w:hAnsiTheme="minorHAnsi"/>
                <w:noProof/>
                <w:kern w:val="2"/>
                <w:sz w:val="24"/>
                <w:szCs w:val="24"/>
                <w:lang w:val="es-US" w:eastAsia="zh-CN"/>
                <w14:ligatures w14:val="standardContextual"/>
              </w:rPr>
              <w:tab/>
            </w:r>
            <w:r w:rsidR="00DC38DE" w:rsidRPr="00C547BF">
              <w:rPr>
                <w:rStyle w:val="Hipervnculo"/>
                <w:rFonts w:eastAsia="Arial Unicode MS"/>
                <w:noProof/>
                <w:lang w:val="en-US"/>
              </w:rPr>
              <w:t>Context of persecution of political dissidents and human rights defenders in Cuba</w:t>
            </w:r>
            <w:r w:rsidR="00DC38DE" w:rsidRPr="00C547BF">
              <w:rPr>
                <w:noProof/>
                <w:webHidden/>
              </w:rPr>
              <w:tab/>
            </w:r>
            <w:r w:rsidR="00DC38DE" w:rsidRPr="00C547BF">
              <w:rPr>
                <w:noProof/>
                <w:webHidden/>
              </w:rPr>
              <w:fldChar w:fldCharType="begin"/>
            </w:r>
            <w:r w:rsidR="00DC38DE" w:rsidRPr="00C547BF">
              <w:rPr>
                <w:noProof/>
                <w:webHidden/>
              </w:rPr>
              <w:instrText xml:space="preserve"> PAGEREF _Toc136860055 \h </w:instrText>
            </w:r>
            <w:r w:rsidR="00DC38DE" w:rsidRPr="00C547BF">
              <w:rPr>
                <w:noProof/>
                <w:webHidden/>
              </w:rPr>
            </w:r>
            <w:r w:rsidR="00DC38DE" w:rsidRPr="00C547BF">
              <w:rPr>
                <w:noProof/>
                <w:webHidden/>
              </w:rPr>
              <w:fldChar w:fldCharType="separate"/>
            </w:r>
            <w:r w:rsidR="00DC38DE" w:rsidRPr="00C547BF">
              <w:rPr>
                <w:noProof/>
                <w:webHidden/>
              </w:rPr>
              <w:t>4</w:t>
            </w:r>
            <w:r w:rsidR="00DC38DE" w:rsidRPr="00C547BF">
              <w:rPr>
                <w:noProof/>
                <w:webHidden/>
              </w:rPr>
              <w:fldChar w:fldCharType="end"/>
            </w:r>
          </w:hyperlink>
        </w:p>
        <w:p w14:paraId="3A1EE3D8" w14:textId="4395AB9C" w:rsidR="00DC38DE" w:rsidRPr="00C547BF" w:rsidRDefault="00000000">
          <w:pPr>
            <w:pStyle w:val="TDC2"/>
            <w:tabs>
              <w:tab w:val="left" w:pos="720"/>
              <w:tab w:val="right" w:leader="dot" w:pos="9350"/>
            </w:tabs>
            <w:rPr>
              <w:rFonts w:asciiTheme="minorHAnsi" w:eastAsiaTheme="minorEastAsia" w:hAnsiTheme="minorHAnsi"/>
              <w:noProof/>
              <w:kern w:val="2"/>
              <w:sz w:val="24"/>
              <w:szCs w:val="24"/>
              <w:lang w:val="es-US" w:eastAsia="zh-CN"/>
              <w14:ligatures w14:val="standardContextual"/>
            </w:rPr>
          </w:pPr>
          <w:hyperlink w:anchor="_Toc136860056" w:history="1">
            <w:r w:rsidR="00DC38DE" w:rsidRPr="00C547BF">
              <w:rPr>
                <w:rStyle w:val="Hipervnculo"/>
                <w:noProof/>
                <w:lang w:val="en-US"/>
              </w:rPr>
              <w:t xml:space="preserve">B. </w:t>
            </w:r>
            <w:r w:rsidR="00DC38DE" w:rsidRPr="00C547BF">
              <w:rPr>
                <w:rFonts w:asciiTheme="minorHAnsi" w:eastAsiaTheme="minorEastAsia" w:hAnsiTheme="minorHAnsi"/>
                <w:noProof/>
                <w:kern w:val="2"/>
                <w:sz w:val="24"/>
                <w:szCs w:val="24"/>
                <w:lang w:val="es-US" w:eastAsia="zh-CN"/>
                <w14:ligatures w14:val="standardContextual"/>
              </w:rPr>
              <w:tab/>
            </w:r>
            <w:r w:rsidR="00DC38DE" w:rsidRPr="00C547BF">
              <w:rPr>
                <w:rStyle w:val="Hipervnculo"/>
                <w:noProof/>
                <w:lang w:val="en-US"/>
              </w:rPr>
              <w:t>Regarding Oswaldo Payá and Harold Cepero , and acts of violence, harassment and threats</w:t>
            </w:r>
            <w:r w:rsidR="00DC38DE" w:rsidRPr="00C547BF">
              <w:rPr>
                <w:noProof/>
                <w:webHidden/>
              </w:rPr>
              <w:tab/>
            </w:r>
            <w:r w:rsidR="00DC38DE" w:rsidRPr="00C547BF">
              <w:rPr>
                <w:noProof/>
                <w:webHidden/>
              </w:rPr>
              <w:fldChar w:fldCharType="begin"/>
            </w:r>
            <w:r w:rsidR="00DC38DE" w:rsidRPr="00C547BF">
              <w:rPr>
                <w:noProof/>
                <w:webHidden/>
              </w:rPr>
              <w:instrText xml:space="preserve"> PAGEREF _Toc136860056 \h </w:instrText>
            </w:r>
            <w:r w:rsidR="00DC38DE" w:rsidRPr="00C547BF">
              <w:rPr>
                <w:noProof/>
                <w:webHidden/>
              </w:rPr>
            </w:r>
            <w:r w:rsidR="00DC38DE" w:rsidRPr="00C547BF">
              <w:rPr>
                <w:noProof/>
                <w:webHidden/>
              </w:rPr>
              <w:fldChar w:fldCharType="separate"/>
            </w:r>
            <w:r w:rsidR="00DC38DE" w:rsidRPr="00C547BF">
              <w:rPr>
                <w:noProof/>
                <w:webHidden/>
              </w:rPr>
              <w:t>5</w:t>
            </w:r>
            <w:r w:rsidR="00DC38DE" w:rsidRPr="00C547BF">
              <w:rPr>
                <w:noProof/>
                <w:webHidden/>
              </w:rPr>
              <w:fldChar w:fldCharType="end"/>
            </w:r>
          </w:hyperlink>
        </w:p>
        <w:p w14:paraId="4E17BA66" w14:textId="7707826A" w:rsidR="00DC38DE" w:rsidRPr="00C547BF" w:rsidRDefault="00000000">
          <w:pPr>
            <w:pStyle w:val="TDC2"/>
            <w:tabs>
              <w:tab w:val="left" w:pos="720"/>
              <w:tab w:val="right" w:leader="dot" w:pos="9350"/>
            </w:tabs>
            <w:rPr>
              <w:rFonts w:asciiTheme="minorHAnsi" w:eastAsiaTheme="minorEastAsia" w:hAnsiTheme="minorHAnsi"/>
              <w:noProof/>
              <w:kern w:val="2"/>
              <w:sz w:val="24"/>
              <w:szCs w:val="24"/>
              <w:lang w:val="es-US" w:eastAsia="zh-CN"/>
              <w14:ligatures w14:val="standardContextual"/>
            </w:rPr>
          </w:pPr>
          <w:hyperlink w:anchor="_Toc136860057" w:history="1">
            <w:r w:rsidR="00DC38DE" w:rsidRPr="00C547BF">
              <w:rPr>
                <w:rStyle w:val="Hipervnculo"/>
                <w:noProof/>
                <w:lang w:val="en-US"/>
              </w:rPr>
              <w:t xml:space="preserve">C. </w:t>
            </w:r>
            <w:r w:rsidR="00DC38DE" w:rsidRPr="00C547BF">
              <w:rPr>
                <w:rFonts w:asciiTheme="minorHAnsi" w:eastAsiaTheme="minorEastAsia" w:hAnsiTheme="minorHAnsi"/>
                <w:noProof/>
                <w:kern w:val="2"/>
                <w:sz w:val="24"/>
                <w:szCs w:val="24"/>
                <w:lang w:val="es-US" w:eastAsia="zh-CN"/>
                <w14:ligatures w14:val="standardContextual"/>
              </w:rPr>
              <w:tab/>
            </w:r>
            <w:r w:rsidR="00DC38DE" w:rsidRPr="00C547BF">
              <w:rPr>
                <w:rStyle w:val="Hipervnculo"/>
                <w:noProof/>
                <w:lang w:val="en-US"/>
              </w:rPr>
              <w:t>On the death of Oswaldo Payá and Harold Cepero</w:t>
            </w:r>
            <w:r w:rsidR="00DC38DE" w:rsidRPr="00C547BF">
              <w:rPr>
                <w:noProof/>
                <w:webHidden/>
              </w:rPr>
              <w:tab/>
            </w:r>
            <w:r w:rsidR="00DC38DE" w:rsidRPr="00C547BF">
              <w:rPr>
                <w:noProof/>
                <w:webHidden/>
              </w:rPr>
              <w:fldChar w:fldCharType="begin"/>
            </w:r>
            <w:r w:rsidR="00DC38DE" w:rsidRPr="00C547BF">
              <w:rPr>
                <w:noProof/>
                <w:webHidden/>
              </w:rPr>
              <w:instrText xml:space="preserve"> PAGEREF _Toc136860057 \h </w:instrText>
            </w:r>
            <w:r w:rsidR="00DC38DE" w:rsidRPr="00C547BF">
              <w:rPr>
                <w:noProof/>
                <w:webHidden/>
              </w:rPr>
            </w:r>
            <w:r w:rsidR="00DC38DE" w:rsidRPr="00C547BF">
              <w:rPr>
                <w:noProof/>
                <w:webHidden/>
              </w:rPr>
              <w:fldChar w:fldCharType="separate"/>
            </w:r>
            <w:r w:rsidR="00DC38DE" w:rsidRPr="00C547BF">
              <w:rPr>
                <w:noProof/>
                <w:webHidden/>
              </w:rPr>
              <w:t>8</w:t>
            </w:r>
            <w:r w:rsidR="00DC38DE" w:rsidRPr="00C547BF">
              <w:rPr>
                <w:noProof/>
                <w:webHidden/>
              </w:rPr>
              <w:fldChar w:fldCharType="end"/>
            </w:r>
          </w:hyperlink>
        </w:p>
        <w:p w14:paraId="7F56A83A" w14:textId="7F8A73FE" w:rsidR="00DC38DE" w:rsidRPr="00C547BF" w:rsidRDefault="00000000">
          <w:pPr>
            <w:pStyle w:val="TDC2"/>
            <w:tabs>
              <w:tab w:val="left" w:pos="720"/>
              <w:tab w:val="right" w:leader="dot" w:pos="9350"/>
            </w:tabs>
            <w:rPr>
              <w:rFonts w:asciiTheme="minorHAnsi" w:eastAsiaTheme="minorEastAsia" w:hAnsiTheme="minorHAnsi"/>
              <w:noProof/>
              <w:kern w:val="2"/>
              <w:sz w:val="24"/>
              <w:szCs w:val="24"/>
              <w:lang w:val="es-US" w:eastAsia="zh-CN"/>
              <w14:ligatures w14:val="standardContextual"/>
            </w:rPr>
          </w:pPr>
          <w:hyperlink w:anchor="_Toc136860058" w:history="1">
            <w:r w:rsidR="00DC38DE" w:rsidRPr="00C547BF">
              <w:rPr>
                <w:rStyle w:val="Hipervnculo"/>
                <w:noProof/>
                <w:lang w:val="en-US"/>
              </w:rPr>
              <w:t xml:space="preserve">D. </w:t>
            </w:r>
            <w:r w:rsidR="00DC38DE" w:rsidRPr="00C547BF">
              <w:rPr>
                <w:rFonts w:asciiTheme="minorHAnsi" w:eastAsiaTheme="minorEastAsia" w:hAnsiTheme="minorHAnsi"/>
                <w:noProof/>
                <w:kern w:val="2"/>
                <w:sz w:val="24"/>
                <w:szCs w:val="24"/>
                <w:lang w:val="es-US" w:eastAsia="zh-CN"/>
                <w14:ligatures w14:val="standardContextual"/>
              </w:rPr>
              <w:tab/>
            </w:r>
            <w:r w:rsidR="00DC38DE" w:rsidRPr="00C547BF">
              <w:rPr>
                <w:rStyle w:val="Hipervnculo"/>
                <w:noProof/>
                <w:lang w:val="en-US"/>
              </w:rPr>
              <w:t>On the situation of family members after the death of Oswaldo Payá and Harold Cepero</w:t>
            </w:r>
            <w:r w:rsidR="00DC38DE" w:rsidRPr="00C547BF">
              <w:rPr>
                <w:noProof/>
                <w:webHidden/>
              </w:rPr>
              <w:tab/>
            </w:r>
            <w:r w:rsidR="00DC38DE" w:rsidRPr="00C547BF">
              <w:rPr>
                <w:noProof/>
                <w:webHidden/>
              </w:rPr>
              <w:fldChar w:fldCharType="begin"/>
            </w:r>
            <w:r w:rsidR="00DC38DE" w:rsidRPr="00C547BF">
              <w:rPr>
                <w:noProof/>
                <w:webHidden/>
              </w:rPr>
              <w:instrText xml:space="preserve"> PAGEREF _Toc136860058 \h </w:instrText>
            </w:r>
            <w:r w:rsidR="00DC38DE" w:rsidRPr="00C547BF">
              <w:rPr>
                <w:noProof/>
                <w:webHidden/>
              </w:rPr>
            </w:r>
            <w:r w:rsidR="00DC38DE" w:rsidRPr="00C547BF">
              <w:rPr>
                <w:noProof/>
                <w:webHidden/>
              </w:rPr>
              <w:fldChar w:fldCharType="separate"/>
            </w:r>
            <w:r w:rsidR="00DC38DE" w:rsidRPr="00C547BF">
              <w:rPr>
                <w:noProof/>
                <w:webHidden/>
              </w:rPr>
              <w:t>11</w:t>
            </w:r>
            <w:r w:rsidR="00DC38DE" w:rsidRPr="00C547BF">
              <w:rPr>
                <w:noProof/>
                <w:webHidden/>
              </w:rPr>
              <w:fldChar w:fldCharType="end"/>
            </w:r>
          </w:hyperlink>
        </w:p>
        <w:p w14:paraId="3A80BCB8" w14:textId="3307C7F0" w:rsidR="00DC38DE" w:rsidRPr="00C547BF" w:rsidRDefault="00000000">
          <w:pPr>
            <w:pStyle w:val="TDC1"/>
            <w:rPr>
              <w:rFonts w:asciiTheme="minorHAnsi" w:eastAsiaTheme="minorEastAsia" w:hAnsiTheme="minorHAnsi"/>
              <w:kern w:val="2"/>
              <w:sz w:val="24"/>
              <w:szCs w:val="24"/>
              <w:lang w:val="es-US" w:eastAsia="zh-CN"/>
              <w14:ligatures w14:val="standardContextual"/>
            </w:rPr>
          </w:pPr>
          <w:hyperlink w:anchor="_Toc136860059" w:history="1">
            <w:r w:rsidR="00DC38DE" w:rsidRPr="00C547BF">
              <w:rPr>
                <w:rStyle w:val="Hipervnculo"/>
              </w:rPr>
              <w:t>IV.</w:t>
            </w:r>
            <w:r w:rsidR="00DC38DE" w:rsidRPr="00C547BF">
              <w:rPr>
                <w:rFonts w:asciiTheme="minorHAnsi" w:eastAsiaTheme="minorEastAsia" w:hAnsiTheme="minorHAnsi"/>
                <w:kern w:val="2"/>
                <w:sz w:val="24"/>
                <w:szCs w:val="24"/>
                <w:lang w:val="es-US" w:eastAsia="zh-CN"/>
                <w14:ligatures w14:val="standardContextual"/>
              </w:rPr>
              <w:tab/>
            </w:r>
            <w:r w:rsidR="00DC38DE" w:rsidRPr="00C547BF">
              <w:rPr>
                <w:rStyle w:val="Hipervnculo"/>
              </w:rPr>
              <w:t>ANALYSIS OF LAW</w:t>
            </w:r>
            <w:r w:rsidR="00DC38DE" w:rsidRPr="00C547BF">
              <w:rPr>
                <w:webHidden/>
              </w:rPr>
              <w:tab/>
            </w:r>
            <w:r w:rsidR="00DC38DE" w:rsidRPr="00C547BF">
              <w:rPr>
                <w:webHidden/>
              </w:rPr>
              <w:fldChar w:fldCharType="begin"/>
            </w:r>
            <w:r w:rsidR="00DC38DE" w:rsidRPr="00C547BF">
              <w:rPr>
                <w:webHidden/>
              </w:rPr>
              <w:instrText xml:space="preserve"> PAGEREF _Toc136860059 \h </w:instrText>
            </w:r>
            <w:r w:rsidR="00DC38DE" w:rsidRPr="00C547BF">
              <w:rPr>
                <w:webHidden/>
              </w:rPr>
            </w:r>
            <w:r w:rsidR="00DC38DE" w:rsidRPr="00C547BF">
              <w:rPr>
                <w:webHidden/>
              </w:rPr>
              <w:fldChar w:fldCharType="separate"/>
            </w:r>
            <w:r w:rsidR="00DC38DE" w:rsidRPr="00C547BF">
              <w:rPr>
                <w:webHidden/>
              </w:rPr>
              <w:t>14</w:t>
            </w:r>
            <w:r w:rsidR="00DC38DE" w:rsidRPr="00C547BF">
              <w:rPr>
                <w:webHidden/>
              </w:rPr>
              <w:fldChar w:fldCharType="end"/>
            </w:r>
          </w:hyperlink>
        </w:p>
        <w:p w14:paraId="77D4BE39" w14:textId="36F3BF2C" w:rsidR="00DC38DE" w:rsidRPr="00C547BF" w:rsidRDefault="00000000">
          <w:pPr>
            <w:pStyle w:val="TDC2"/>
            <w:tabs>
              <w:tab w:val="left" w:pos="720"/>
              <w:tab w:val="right" w:leader="dot" w:pos="9350"/>
            </w:tabs>
            <w:rPr>
              <w:rFonts w:asciiTheme="minorHAnsi" w:eastAsiaTheme="minorEastAsia" w:hAnsiTheme="minorHAnsi"/>
              <w:noProof/>
              <w:kern w:val="2"/>
              <w:sz w:val="24"/>
              <w:szCs w:val="24"/>
              <w:lang w:val="es-US" w:eastAsia="zh-CN"/>
              <w14:ligatures w14:val="standardContextual"/>
            </w:rPr>
          </w:pPr>
          <w:hyperlink w:anchor="_Toc136860060" w:history="1">
            <w:r w:rsidR="00DC38DE" w:rsidRPr="00C547BF">
              <w:rPr>
                <w:rStyle w:val="Hipervnculo"/>
                <w:noProof/>
                <w:lang w:val="en-US"/>
              </w:rPr>
              <w:t>A.</w:t>
            </w:r>
            <w:r w:rsidR="00DC38DE" w:rsidRPr="00C547BF">
              <w:rPr>
                <w:rFonts w:asciiTheme="minorHAnsi" w:eastAsiaTheme="minorEastAsia" w:hAnsiTheme="minorHAnsi"/>
                <w:noProof/>
                <w:kern w:val="2"/>
                <w:sz w:val="24"/>
                <w:szCs w:val="24"/>
                <w:lang w:val="es-US" w:eastAsia="zh-CN"/>
                <w14:ligatures w14:val="standardContextual"/>
              </w:rPr>
              <w:tab/>
            </w:r>
            <w:r w:rsidR="00DC38DE" w:rsidRPr="00C547BF">
              <w:rPr>
                <w:rStyle w:val="Hipervnculo"/>
                <w:rFonts w:eastAsia="SimSun"/>
                <w:noProof/>
                <w:lang w:val="en-US"/>
              </w:rPr>
              <w:t>Right to life, liberty, security and integrity of the person; right to freedom of research, opinion, expression and dissemination; right to protection of honor, personal reputation and private and family life; and right of association (Articles I, IV, V and XXII of the American Declaration</w:t>
            </w:r>
            <w:r w:rsidR="00DC38DE" w:rsidRPr="00C547BF">
              <w:rPr>
                <w:rStyle w:val="Hipervnculo"/>
                <w:noProof/>
                <w:lang w:val="en-US"/>
              </w:rPr>
              <w:t>).</w:t>
            </w:r>
            <w:r w:rsidR="00DC38DE" w:rsidRPr="00C547BF">
              <w:rPr>
                <w:noProof/>
                <w:webHidden/>
              </w:rPr>
              <w:tab/>
            </w:r>
            <w:r w:rsidR="00DC38DE" w:rsidRPr="00C547BF">
              <w:rPr>
                <w:noProof/>
                <w:webHidden/>
              </w:rPr>
              <w:fldChar w:fldCharType="begin"/>
            </w:r>
            <w:r w:rsidR="00DC38DE" w:rsidRPr="00C547BF">
              <w:rPr>
                <w:noProof/>
                <w:webHidden/>
              </w:rPr>
              <w:instrText xml:space="preserve"> PAGEREF _Toc136860060 \h </w:instrText>
            </w:r>
            <w:r w:rsidR="00DC38DE" w:rsidRPr="00C547BF">
              <w:rPr>
                <w:noProof/>
                <w:webHidden/>
              </w:rPr>
            </w:r>
            <w:r w:rsidR="00DC38DE" w:rsidRPr="00C547BF">
              <w:rPr>
                <w:noProof/>
                <w:webHidden/>
              </w:rPr>
              <w:fldChar w:fldCharType="separate"/>
            </w:r>
            <w:r w:rsidR="00DC38DE" w:rsidRPr="00C547BF">
              <w:rPr>
                <w:noProof/>
                <w:webHidden/>
              </w:rPr>
              <w:t>15</w:t>
            </w:r>
            <w:r w:rsidR="00DC38DE" w:rsidRPr="00C547BF">
              <w:rPr>
                <w:noProof/>
                <w:webHidden/>
              </w:rPr>
              <w:fldChar w:fldCharType="end"/>
            </w:r>
          </w:hyperlink>
        </w:p>
        <w:p w14:paraId="379299AD" w14:textId="2338A578" w:rsidR="00DC38DE" w:rsidRPr="00C547BF" w:rsidRDefault="00000000">
          <w:pPr>
            <w:pStyle w:val="TDC3"/>
            <w:tabs>
              <w:tab w:val="left" w:pos="960"/>
              <w:tab w:val="right" w:leader="dot" w:pos="9350"/>
            </w:tabs>
            <w:rPr>
              <w:rFonts w:asciiTheme="minorHAnsi" w:eastAsiaTheme="minorEastAsia" w:hAnsiTheme="minorHAnsi"/>
              <w:noProof/>
              <w:kern w:val="2"/>
              <w:sz w:val="24"/>
              <w:szCs w:val="24"/>
              <w:lang w:val="es-US" w:eastAsia="zh-CN"/>
              <w14:ligatures w14:val="standardContextual"/>
            </w:rPr>
          </w:pPr>
          <w:hyperlink w:anchor="_Toc136860061" w:history="1">
            <w:r w:rsidR="00DC38DE" w:rsidRPr="00C547BF">
              <w:rPr>
                <w:rStyle w:val="Hipervnculo"/>
                <w:noProof/>
                <w:lang w:val="en-US"/>
              </w:rPr>
              <w:t>2.</w:t>
            </w:r>
            <w:r w:rsidR="00DC38DE" w:rsidRPr="00C547BF">
              <w:rPr>
                <w:rFonts w:asciiTheme="minorHAnsi" w:eastAsiaTheme="minorEastAsia" w:hAnsiTheme="minorHAnsi"/>
                <w:noProof/>
                <w:kern w:val="2"/>
                <w:sz w:val="24"/>
                <w:szCs w:val="24"/>
                <w:lang w:val="es-US" w:eastAsia="zh-CN"/>
                <w14:ligatures w14:val="standardContextual"/>
              </w:rPr>
              <w:tab/>
            </w:r>
            <w:r w:rsidR="00DC38DE" w:rsidRPr="00C547BF">
              <w:rPr>
                <w:rStyle w:val="Hipervnculo"/>
                <w:noProof/>
                <w:lang w:val="en-US"/>
              </w:rPr>
              <w:t>General considerations on State obligations regarding to human rights defenders.</w:t>
            </w:r>
            <w:r w:rsidR="00DC38DE" w:rsidRPr="00C547BF">
              <w:rPr>
                <w:noProof/>
                <w:webHidden/>
              </w:rPr>
              <w:tab/>
            </w:r>
            <w:r w:rsidR="00DC38DE" w:rsidRPr="00C547BF">
              <w:rPr>
                <w:noProof/>
                <w:webHidden/>
              </w:rPr>
              <w:fldChar w:fldCharType="begin"/>
            </w:r>
            <w:r w:rsidR="00DC38DE" w:rsidRPr="00C547BF">
              <w:rPr>
                <w:noProof/>
                <w:webHidden/>
              </w:rPr>
              <w:instrText xml:space="preserve"> PAGEREF _Toc136860061 \h </w:instrText>
            </w:r>
            <w:r w:rsidR="00DC38DE" w:rsidRPr="00C547BF">
              <w:rPr>
                <w:noProof/>
                <w:webHidden/>
              </w:rPr>
            </w:r>
            <w:r w:rsidR="00DC38DE" w:rsidRPr="00C547BF">
              <w:rPr>
                <w:noProof/>
                <w:webHidden/>
              </w:rPr>
              <w:fldChar w:fldCharType="separate"/>
            </w:r>
            <w:r w:rsidR="00DC38DE" w:rsidRPr="00C547BF">
              <w:rPr>
                <w:noProof/>
                <w:webHidden/>
              </w:rPr>
              <w:t>15</w:t>
            </w:r>
            <w:r w:rsidR="00DC38DE" w:rsidRPr="00C547BF">
              <w:rPr>
                <w:noProof/>
                <w:webHidden/>
              </w:rPr>
              <w:fldChar w:fldCharType="end"/>
            </w:r>
          </w:hyperlink>
        </w:p>
        <w:p w14:paraId="0E1E5D30" w14:textId="23FD098E" w:rsidR="00DC38DE" w:rsidRPr="00C547BF" w:rsidRDefault="00000000">
          <w:pPr>
            <w:pStyle w:val="TDC3"/>
            <w:tabs>
              <w:tab w:val="left" w:pos="960"/>
              <w:tab w:val="right" w:leader="dot" w:pos="9350"/>
            </w:tabs>
            <w:rPr>
              <w:rFonts w:asciiTheme="minorHAnsi" w:eastAsiaTheme="minorEastAsia" w:hAnsiTheme="minorHAnsi"/>
              <w:noProof/>
              <w:kern w:val="2"/>
              <w:sz w:val="24"/>
              <w:szCs w:val="24"/>
              <w:lang w:val="es-US" w:eastAsia="zh-CN"/>
              <w14:ligatures w14:val="standardContextual"/>
            </w:rPr>
          </w:pPr>
          <w:hyperlink w:anchor="_Toc136860062" w:history="1">
            <w:r w:rsidR="00DC38DE" w:rsidRPr="00C547BF">
              <w:rPr>
                <w:rStyle w:val="Hipervnculo"/>
                <w:noProof/>
                <w:lang w:val="es-CO"/>
              </w:rPr>
              <w:t>3.</w:t>
            </w:r>
            <w:r w:rsidR="00DC38DE" w:rsidRPr="00C547BF">
              <w:rPr>
                <w:rFonts w:asciiTheme="minorHAnsi" w:eastAsiaTheme="minorEastAsia" w:hAnsiTheme="minorHAnsi"/>
                <w:noProof/>
                <w:kern w:val="2"/>
                <w:sz w:val="24"/>
                <w:szCs w:val="24"/>
                <w:lang w:val="es-US" w:eastAsia="zh-CN"/>
                <w14:ligatures w14:val="standardContextual"/>
              </w:rPr>
              <w:tab/>
            </w:r>
            <w:r w:rsidR="00DC38DE" w:rsidRPr="00C547BF">
              <w:rPr>
                <w:rStyle w:val="Hipervnculo"/>
                <w:noProof/>
                <w:lang w:val="es-CO"/>
              </w:rPr>
              <w:t xml:space="preserve">Case </w:t>
            </w:r>
            <w:r w:rsidR="00DC38DE" w:rsidRPr="00C547BF">
              <w:rPr>
                <w:rStyle w:val="Hipervnculo"/>
                <w:noProof/>
              </w:rPr>
              <w:t>analysis</w:t>
            </w:r>
            <w:r w:rsidR="00DC38DE" w:rsidRPr="00C547BF">
              <w:rPr>
                <w:noProof/>
                <w:webHidden/>
              </w:rPr>
              <w:tab/>
            </w:r>
            <w:r w:rsidR="00DC38DE" w:rsidRPr="00C547BF">
              <w:rPr>
                <w:noProof/>
                <w:webHidden/>
              </w:rPr>
              <w:fldChar w:fldCharType="begin"/>
            </w:r>
            <w:r w:rsidR="00DC38DE" w:rsidRPr="00C547BF">
              <w:rPr>
                <w:noProof/>
                <w:webHidden/>
              </w:rPr>
              <w:instrText xml:space="preserve"> PAGEREF _Toc136860062 \h </w:instrText>
            </w:r>
            <w:r w:rsidR="00DC38DE" w:rsidRPr="00C547BF">
              <w:rPr>
                <w:noProof/>
                <w:webHidden/>
              </w:rPr>
            </w:r>
            <w:r w:rsidR="00DC38DE" w:rsidRPr="00C547BF">
              <w:rPr>
                <w:noProof/>
                <w:webHidden/>
              </w:rPr>
              <w:fldChar w:fldCharType="separate"/>
            </w:r>
            <w:r w:rsidR="00DC38DE" w:rsidRPr="00C547BF">
              <w:rPr>
                <w:noProof/>
                <w:webHidden/>
              </w:rPr>
              <w:t>17</w:t>
            </w:r>
            <w:r w:rsidR="00DC38DE" w:rsidRPr="00C547BF">
              <w:rPr>
                <w:noProof/>
                <w:webHidden/>
              </w:rPr>
              <w:fldChar w:fldCharType="end"/>
            </w:r>
          </w:hyperlink>
        </w:p>
        <w:p w14:paraId="3DE9BE06" w14:textId="7E86CB0F" w:rsidR="00DC38DE" w:rsidRPr="00C547BF" w:rsidRDefault="00000000">
          <w:pPr>
            <w:pStyle w:val="TDC2"/>
            <w:tabs>
              <w:tab w:val="left" w:pos="720"/>
              <w:tab w:val="right" w:leader="dot" w:pos="9350"/>
            </w:tabs>
            <w:rPr>
              <w:rFonts w:asciiTheme="minorHAnsi" w:eastAsiaTheme="minorEastAsia" w:hAnsiTheme="minorHAnsi"/>
              <w:noProof/>
              <w:kern w:val="2"/>
              <w:sz w:val="24"/>
              <w:szCs w:val="24"/>
              <w:lang w:val="es-US" w:eastAsia="zh-CN"/>
              <w14:ligatures w14:val="standardContextual"/>
            </w:rPr>
          </w:pPr>
          <w:hyperlink w:anchor="_Toc136860063" w:history="1">
            <w:r w:rsidR="00DC38DE" w:rsidRPr="00C547BF">
              <w:rPr>
                <w:rStyle w:val="Hipervnculo"/>
                <w:rFonts w:eastAsia="SimSun"/>
                <w:noProof/>
                <w:lang w:val="en-US"/>
              </w:rPr>
              <w:t>B.</w:t>
            </w:r>
            <w:r w:rsidR="00DC38DE" w:rsidRPr="00C547BF">
              <w:rPr>
                <w:rFonts w:asciiTheme="minorHAnsi" w:eastAsiaTheme="minorEastAsia" w:hAnsiTheme="minorHAnsi"/>
                <w:noProof/>
                <w:kern w:val="2"/>
                <w:sz w:val="24"/>
                <w:szCs w:val="24"/>
                <w:lang w:val="es-US" w:eastAsia="zh-CN"/>
                <w14:ligatures w14:val="standardContextual"/>
              </w:rPr>
              <w:tab/>
            </w:r>
            <w:r w:rsidR="00DC38DE" w:rsidRPr="00C547BF">
              <w:rPr>
                <w:rStyle w:val="Hipervnculo"/>
                <w:rFonts w:eastAsia="SimSun"/>
                <w:noProof/>
                <w:lang w:val="en-US"/>
              </w:rPr>
              <w:t>Right of residence and transit; right to the inviolability of the home; right to the inviolability and circulation of correspondence; and right to freedom of research, opinion, expression and dissemination (Articles IV, VIII, IX and X of the American Declaration).</w:t>
            </w:r>
            <w:r w:rsidR="00DC38DE" w:rsidRPr="00C547BF">
              <w:rPr>
                <w:noProof/>
                <w:webHidden/>
              </w:rPr>
              <w:tab/>
            </w:r>
            <w:r w:rsidR="00DC38DE" w:rsidRPr="00C547BF">
              <w:rPr>
                <w:noProof/>
                <w:webHidden/>
              </w:rPr>
              <w:fldChar w:fldCharType="begin"/>
            </w:r>
            <w:r w:rsidR="00DC38DE" w:rsidRPr="00C547BF">
              <w:rPr>
                <w:noProof/>
                <w:webHidden/>
              </w:rPr>
              <w:instrText xml:space="preserve"> PAGEREF _Toc136860063 \h </w:instrText>
            </w:r>
            <w:r w:rsidR="00DC38DE" w:rsidRPr="00C547BF">
              <w:rPr>
                <w:noProof/>
                <w:webHidden/>
              </w:rPr>
            </w:r>
            <w:r w:rsidR="00DC38DE" w:rsidRPr="00C547BF">
              <w:rPr>
                <w:noProof/>
                <w:webHidden/>
              </w:rPr>
              <w:fldChar w:fldCharType="separate"/>
            </w:r>
            <w:r w:rsidR="00DC38DE" w:rsidRPr="00C547BF">
              <w:rPr>
                <w:noProof/>
                <w:webHidden/>
              </w:rPr>
              <w:t>19</w:t>
            </w:r>
            <w:r w:rsidR="00DC38DE" w:rsidRPr="00C547BF">
              <w:rPr>
                <w:noProof/>
                <w:webHidden/>
              </w:rPr>
              <w:fldChar w:fldCharType="end"/>
            </w:r>
          </w:hyperlink>
        </w:p>
        <w:p w14:paraId="4B2BBFE0" w14:textId="647113DF" w:rsidR="00DC38DE" w:rsidRPr="00C547BF" w:rsidRDefault="00000000">
          <w:pPr>
            <w:pStyle w:val="TDC2"/>
            <w:tabs>
              <w:tab w:val="left" w:pos="720"/>
              <w:tab w:val="right" w:leader="dot" w:pos="9350"/>
            </w:tabs>
            <w:rPr>
              <w:rFonts w:asciiTheme="minorHAnsi" w:eastAsiaTheme="minorEastAsia" w:hAnsiTheme="minorHAnsi"/>
              <w:noProof/>
              <w:kern w:val="2"/>
              <w:sz w:val="24"/>
              <w:szCs w:val="24"/>
              <w:lang w:val="es-US" w:eastAsia="zh-CN"/>
              <w14:ligatures w14:val="standardContextual"/>
            </w:rPr>
          </w:pPr>
          <w:hyperlink w:anchor="_Toc136860064" w:history="1">
            <w:r w:rsidR="00DC38DE" w:rsidRPr="00C547BF">
              <w:rPr>
                <w:rStyle w:val="Hipervnculo"/>
                <w:rFonts w:eastAsia="SimSun"/>
                <w:noProof/>
                <w:lang w:val="en-US"/>
              </w:rPr>
              <w:t>C.</w:t>
            </w:r>
            <w:r w:rsidR="00DC38DE" w:rsidRPr="00C547BF">
              <w:rPr>
                <w:rFonts w:asciiTheme="minorHAnsi" w:eastAsiaTheme="minorEastAsia" w:hAnsiTheme="minorHAnsi"/>
                <w:noProof/>
                <w:kern w:val="2"/>
                <w:sz w:val="24"/>
                <w:szCs w:val="24"/>
                <w:lang w:val="es-US" w:eastAsia="zh-CN"/>
                <w14:ligatures w14:val="standardContextual"/>
              </w:rPr>
              <w:tab/>
            </w:r>
            <w:r w:rsidR="00DC38DE" w:rsidRPr="00C547BF">
              <w:rPr>
                <w:rStyle w:val="Hipervnculo"/>
                <w:rFonts w:eastAsia="SimSun"/>
                <w:noProof/>
                <w:lang w:val="en-US"/>
              </w:rPr>
              <w:t>Right to justice; right to due process; and right to petition (Articles XVIII, XXI and XXIV of the American Declaration).</w:t>
            </w:r>
            <w:r w:rsidR="00DC38DE" w:rsidRPr="00C547BF">
              <w:rPr>
                <w:noProof/>
                <w:webHidden/>
              </w:rPr>
              <w:tab/>
            </w:r>
            <w:r w:rsidR="00DC38DE" w:rsidRPr="00C547BF">
              <w:rPr>
                <w:noProof/>
                <w:webHidden/>
              </w:rPr>
              <w:fldChar w:fldCharType="begin"/>
            </w:r>
            <w:r w:rsidR="00DC38DE" w:rsidRPr="00C547BF">
              <w:rPr>
                <w:noProof/>
                <w:webHidden/>
              </w:rPr>
              <w:instrText xml:space="preserve"> PAGEREF _Toc136860064 \h </w:instrText>
            </w:r>
            <w:r w:rsidR="00DC38DE" w:rsidRPr="00C547BF">
              <w:rPr>
                <w:noProof/>
                <w:webHidden/>
              </w:rPr>
            </w:r>
            <w:r w:rsidR="00DC38DE" w:rsidRPr="00C547BF">
              <w:rPr>
                <w:noProof/>
                <w:webHidden/>
              </w:rPr>
              <w:fldChar w:fldCharType="separate"/>
            </w:r>
            <w:r w:rsidR="00DC38DE" w:rsidRPr="00C547BF">
              <w:rPr>
                <w:noProof/>
                <w:webHidden/>
              </w:rPr>
              <w:t>21</w:t>
            </w:r>
            <w:r w:rsidR="00DC38DE" w:rsidRPr="00C547BF">
              <w:rPr>
                <w:noProof/>
                <w:webHidden/>
              </w:rPr>
              <w:fldChar w:fldCharType="end"/>
            </w:r>
          </w:hyperlink>
        </w:p>
        <w:p w14:paraId="686CCA17" w14:textId="72275F03" w:rsidR="00DC38DE" w:rsidRPr="00C547BF" w:rsidRDefault="00000000">
          <w:pPr>
            <w:pStyle w:val="TDC2"/>
            <w:tabs>
              <w:tab w:val="left" w:pos="720"/>
              <w:tab w:val="right" w:leader="dot" w:pos="9350"/>
            </w:tabs>
            <w:rPr>
              <w:rFonts w:asciiTheme="minorHAnsi" w:eastAsiaTheme="minorEastAsia" w:hAnsiTheme="minorHAnsi"/>
              <w:noProof/>
              <w:kern w:val="2"/>
              <w:sz w:val="24"/>
              <w:szCs w:val="24"/>
              <w:lang w:val="es-US" w:eastAsia="zh-CN"/>
              <w14:ligatures w14:val="standardContextual"/>
            </w:rPr>
          </w:pPr>
          <w:hyperlink w:anchor="_Toc136860065" w:history="1">
            <w:r w:rsidR="00DC38DE" w:rsidRPr="00C547BF">
              <w:rPr>
                <w:rStyle w:val="Hipervnculo"/>
                <w:noProof/>
                <w:lang w:val="en-US"/>
              </w:rPr>
              <w:t>D.</w:t>
            </w:r>
            <w:r w:rsidR="00DC38DE" w:rsidRPr="00C547BF">
              <w:rPr>
                <w:rFonts w:asciiTheme="minorHAnsi" w:eastAsiaTheme="minorEastAsia" w:hAnsiTheme="minorHAnsi"/>
                <w:noProof/>
                <w:kern w:val="2"/>
                <w:sz w:val="24"/>
                <w:szCs w:val="24"/>
                <w:lang w:val="es-US" w:eastAsia="zh-CN"/>
                <w14:ligatures w14:val="standardContextual"/>
              </w:rPr>
              <w:tab/>
            </w:r>
            <w:r w:rsidR="00DC38DE" w:rsidRPr="00C547BF">
              <w:rPr>
                <w:rStyle w:val="Hipervnculo"/>
                <w:rFonts w:eastAsia="SimSun"/>
                <w:noProof/>
                <w:lang w:val="en-US"/>
              </w:rPr>
              <w:t xml:space="preserve">Right to life, liberty, security and integrity of the person; </w:t>
            </w:r>
            <w:r w:rsidR="00DC38DE" w:rsidRPr="00C547BF">
              <w:rPr>
                <w:rStyle w:val="Hipervnculo"/>
                <w:noProof/>
                <w:lang w:val="en-US"/>
              </w:rPr>
              <w:t>and right to protection against arbitrary detention (Articles I and XXV of the American Declaration).</w:t>
            </w:r>
            <w:r w:rsidR="00DC38DE" w:rsidRPr="00C547BF">
              <w:rPr>
                <w:noProof/>
                <w:webHidden/>
              </w:rPr>
              <w:tab/>
            </w:r>
            <w:r w:rsidR="00DC38DE" w:rsidRPr="00C547BF">
              <w:rPr>
                <w:noProof/>
                <w:webHidden/>
              </w:rPr>
              <w:fldChar w:fldCharType="begin"/>
            </w:r>
            <w:r w:rsidR="00DC38DE" w:rsidRPr="00C547BF">
              <w:rPr>
                <w:noProof/>
                <w:webHidden/>
              </w:rPr>
              <w:instrText xml:space="preserve"> PAGEREF _Toc136860065 \h </w:instrText>
            </w:r>
            <w:r w:rsidR="00DC38DE" w:rsidRPr="00C547BF">
              <w:rPr>
                <w:noProof/>
                <w:webHidden/>
              </w:rPr>
            </w:r>
            <w:r w:rsidR="00DC38DE" w:rsidRPr="00C547BF">
              <w:rPr>
                <w:noProof/>
                <w:webHidden/>
              </w:rPr>
              <w:fldChar w:fldCharType="separate"/>
            </w:r>
            <w:r w:rsidR="00DC38DE" w:rsidRPr="00C547BF">
              <w:rPr>
                <w:noProof/>
                <w:webHidden/>
              </w:rPr>
              <w:t>23</w:t>
            </w:r>
            <w:r w:rsidR="00DC38DE" w:rsidRPr="00C547BF">
              <w:rPr>
                <w:noProof/>
                <w:webHidden/>
              </w:rPr>
              <w:fldChar w:fldCharType="end"/>
            </w:r>
          </w:hyperlink>
        </w:p>
        <w:p w14:paraId="3091CCC4" w14:textId="04809961" w:rsidR="00DC38DE" w:rsidRPr="00C547BF" w:rsidRDefault="00000000">
          <w:pPr>
            <w:pStyle w:val="TDC2"/>
            <w:tabs>
              <w:tab w:val="left" w:pos="720"/>
              <w:tab w:val="right" w:leader="dot" w:pos="9350"/>
            </w:tabs>
            <w:rPr>
              <w:rFonts w:asciiTheme="minorHAnsi" w:eastAsiaTheme="minorEastAsia" w:hAnsiTheme="minorHAnsi"/>
              <w:noProof/>
              <w:kern w:val="2"/>
              <w:sz w:val="24"/>
              <w:szCs w:val="24"/>
              <w:lang w:val="es-US" w:eastAsia="zh-CN"/>
              <w14:ligatures w14:val="standardContextual"/>
            </w:rPr>
          </w:pPr>
          <w:hyperlink w:anchor="_Toc136860066" w:history="1">
            <w:r w:rsidR="00DC38DE" w:rsidRPr="00C547BF">
              <w:rPr>
                <w:rStyle w:val="Hipervnculo"/>
                <w:noProof/>
                <w:lang w:val="en-US"/>
              </w:rPr>
              <w:t>E.</w:t>
            </w:r>
            <w:r w:rsidR="00DC38DE" w:rsidRPr="00C547BF">
              <w:rPr>
                <w:rFonts w:asciiTheme="minorHAnsi" w:eastAsiaTheme="minorEastAsia" w:hAnsiTheme="minorHAnsi"/>
                <w:noProof/>
                <w:kern w:val="2"/>
                <w:sz w:val="24"/>
                <w:szCs w:val="24"/>
                <w:lang w:val="es-US" w:eastAsia="zh-CN"/>
                <w14:ligatures w14:val="standardContextual"/>
              </w:rPr>
              <w:tab/>
            </w:r>
            <w:r w:rsidR="00DC38DE" w:rsidRPr="00C547BF">
              <w:rPr>
                <w:rStyle w:val="Hipervnculo"/>
                <w:rFonts w:eastAsia="SimSun"/>
                <w:noProof/>
                <w:lang w:val="en-US"/>
              </w:rPr>
              <w:t xml:space="preserve">Right to life, liberty, security and integrity of the person </w:t>
            </w:r>
            <w:r w:rsidR="00DC38DE" w:rsidRPr="00C547BF">
              <w:rPr>
                <w:rStyle w:val="Hipervnculo"/>
                <w:noProof/>
                <w:lang w:val="en-US"/>
              </w:rPr>
              <w:t>(Article I of the American Declaration).</w:t>
            </w:r>
            <w:r w:rsidR="00DC38DE" w:rsidRPr="00C547BF">
              <w:rPr>
                <w:noProof/>
                <w:webHidden/>
              </w:rPr>
              <w:tab/>
            </w:r>
            <w:r w:rsidR="00DC38DE" w:rsidRPr="00C547BF">
              <w:rPr>
                <w:noProof/>
                <w:webHidden/>
              </w:rPr>
              <w:fldChar w:fldCharType="begin"/>
            </w:r>
            <w:r w:rsidR="00DC38DE" w:rsidRPr="00C547BF">
              <w:rPr>
                <w:noProof/>
                <w:webHidden/>
              </w:rPr>
              <w:instrText xml:space="preserve"> PAGEREF _Toc136860066 \h </w:instrText>
            </w:r>
            <w:r w:rsidR="00DC38DE" w:rsidRPr="00C547BF">
              <w:rPr>
                <w:noProof/>
                <w:webHidden/>
              </w:rPr>
            </w:r>
            <w:r w:rsidR="00DC38DE" w:rsidRPr="00C547BF">
              <w:rPr>
                <w:noProof/>
                <w:webHidden/>
              </w:rPr>
              <w:fldChar w:fldCharType="separate"/>
            </w:r>
            <w:r w:rsidR="00DC38DE" w:rsidRPr="00C547BF">
              <w:rPr>
                <w:noProof/>
                <w:webHidden/>
              </w:rPr>
              <w:t>25</w:t>
            </w:r>
            <w:r w:rsidR="00DC38DE" w:rsidRPr="00C547BF">
              <w:rPr>
                <w:noProof/>
                <w:webHidden/>
              </w:rPr>
              <w:fldChar w:fldCharType="end"/>
            </w:r>
          </w:hyperlink>
        </w:p>
        <w:p w14:paraId="64695112" w14:textId="5E28F987" w:rsidR="00DC38DE" w:rsidRPr="00C547BF" w:rsidRDefault="00000000">
          <w:pPr>
            <w:pStyle w:val="TDC1"/>
            <w:rPr>
              <w:rFonts w:asciiTheme="minorHAnsi" w:eastAsiaTheme="minorEastAsia" w:hAnsiTheme="minorHAnsi"/>
              <w:kern w:val="2"/>
              <w:sz w:val="24"/>
              <w:szCs w:val="24"/>
              <w:lang w:val="es-US" w:eastAsia="zh-CN"/>
              <w14:ligatures w14:val="standardContextual"/>
            </w:rPr>
          </w:pPr>
          <w:hyperlink w:anchor="_Toc136860067" w:history="1">
            <w:r w:rsidR="00DC38DE" w:rsidRPr="00C547BF">
              <w:rPr>
                <w:rStyle w:val="Hipervnculo"/>
              </w:rPr>
              <w:t>V.</w:t>
            </w:r>
            <w:r w:rsidR="00DC38DE" w:rsidRPr="00C547BF">
              <w:rPr>
                <w:rFonts w:asciiTheme="minorHAnsi" w:eastAsiaTheme="minorEastAsia" w:hAnsiTheme="minorHAnsi"/>
                <w:kern w:val="2"/>
                <w:sz w:val="24"/>
                <w:szCs w:val="24"/>
                <w:lang w:val="es-US" w:eastAsia="zh-CN"/>
                <w14:ligatures w14:val="standardContextual"/>
              </w:rPr>
              <w:tab/>
            </w:r>
            <w:r w:rsidR="00DC38DE" w:rsidRPr="00C547BF">
              <w:rPr>
                <w:rStyle w:val="Hipervnculo"/>
              </w:rPr>
              <w:t>REPORT No. 357/22 AND COMPLIANCE INFORMATION</w:t>
            </w:r>
            <w:r w:rsidR="00DC38DE" w:rsidRPr="00C547BF">
              <w:rPr>
                <w:webHidden/>
              </w:rPr>
              <w:tab/>
            </w:r>
            <w:r w:rsidR="00DC38DE" w:rsidRPr="00C547BF">
              <w:rPr>
                <w:webHidden/>
              </w:rPr>
              <w:fldChar w:fldCharType="begin"/>
            </w:r>
            <w:r w:rsidR="00DC38DE" w:rsidRPr="00C547BF">
              <w:rPr>
                <w:webHidden/>
              </w:rPr>
              <w:instrText xml:space="preserve"> PAGEREF _Toc136860067 \h </w:instrText>
            </w:r>
            <w:r w:rsidR="00DC38DE" w:rsidRPr="00C547BF">
              <w:rPr>
                <w:webHidden/>
              </w:rPr>
            </w:r>
            <w:r w:rsidR="00DC38DE" w:rsidRPr="00C547BF">
              <w:rPr>
                <w:webHidden/>
              </w:rPr>
              <w:fldChar w:fldCharType="separate"/>
            </w:r>
            <w:r w:rsidR="00DC38DE" w:rsidRPr="00C547BF">
              <w:rPr>
                <w:webHidden/>
              </w:rPr>
              <w:t>26</w:t>
            </w:r>
            <w:r w:rsidR="00DC38DE" w:rsidRPr="00C547BF">
              <w:rPr>
                <w:webHidden/>
              </w:rPr>
              <w:fldChar w:fldCharType="end"/>
            </w:r>
          </w:hyperlink>
        </w:p>
        <w:p w14:paraId="3757FF86" w14:textId="09631B60" w:rsidR="00DC38DE" w:rsidRPr="00C547BF" w:rsidRDefault="00000000">
          <w:pPr>
            <w:pStyle w:val="TDC1"/>
            <w:rPr>
              <w:rFonts w:asciiTheme="minorHAnsi" w:eastAsiaTheme="minorEastAsia" w:hAnsiTheme="minorHAnsi"/>
              <w:kern w:val="2"/>
              <w:sz w:val="24"/>
              <w:szCs w:val="24"/>
              <w:lang w:val="es-US" w:eastAsia="zh-CN"/>
              <w14:ligatures w14:val="standardContextual"/>
            </w:rPr>
          </w:pPr>
          <w:hyperlink w:anchor="_Toc136860068" w:history="1">
            <w:r w:rsidR="00DC38DE" w:rsidRPr="00C547BF">
              <w:rPr>
                <w:rStyle w:val="Hipervnculo"/>
                <w:lang w:eastAsia="es-ES"/>
              </w:rPr>
              <w:t>VI.</w:t>
            </w:r>
            <w:r w:rsidR="00DC38DE" w:rsidRPr="00C547BF">
              <w:rPr>
                <w:rFonts w:asciiTheme="minorHAnsi" w:eastAsiaTheme="minorEastAsia" w:hAnsiTheme="minorHAnsi"/>
                <w:kern w:val="2"/>
                <w:sz w:val="24"/>
                <w:szCs w:val="24"/>
                <w:lang w:val="es-US" w:eastAsia="zh-CN"/>
                <w14:ligatures w14:val="standardContextual"/>
              </w:rPr>
              <w:tab/>
            </w:r>
            <w:r w:rsidR="00DC03DC" w:rsidRPr="00C547BF">
              <w:rPr>
                <w:rStyle w:val="Hipervnculo"/>
                <w:lang w:eastAsia="es-ES"/>
              </w:rPr>
              <w:t>ACTIONS SUBSEQUENT TO REPORT NO. 50/23 AND INFORMATION ON COMPLIANCE</w:t>
            </w:r>
            <w:r w:rsidR="00DC38DE" w:rsidRPr="00C547BF">
              <w:rPr>
                <w:webHidden/>
              </w:rPr>
              <w:tab/>
            </w:r>
            <w:r w:rsidR="00DC38DE" w:rsidRPr="00C547BF">
              <w:rPr>
                <w:webHidden/>
              </w:rPr>
              <w:fldChar w:fldCharType="begin"/>
            </w:r>
            <w:r w:rsidR="00DC38DE" w:rsidRPr="00C547BF">
              <w:rPr>
                <w:webHidden/>
              </w:rPr>
              <w:instrText xml:space="preserve"> PAGEREF _Toc136860068 \h </w:instrText>
            </w:r>
            <w:r w:rsidR="00DC38DE" w:rsidRPr="00C547BF">
              <w:rPr>
                <w:webHidden/>
              </w:rPr>
            </w:r>
            <w:r w:rsidR="00DC38DE" w:rsidRPr="00C547BF">
              <w:rPr>
                <w:webHidden/>
              </w:rPr>
              <w:fldChar w:fldCharType="separate"/>
            </w:r>
            <w:r w:rsidR="00DC38DE" w:rsidRPr="00C547BF">
              <w:rPr>
                <w:webHidden/>
              </w:rPr>
              <w:t>27</w:t>
            </w:r>
            <w:r w:rsidR="00DC38DE" w:rsidRPr="00C547BF">
              <w:rPr>
                <w:webHidden/>
              </w:rPr>
              <w:fldChar w:fldCharType="end"/>
            </w:r>
          </w:hyperlink>
        </w:p>
        <w:p w14:paraId="45F2854E" w14:textId="43DEBB1B" w:rsidR="00DC38DE" w:rsidRPr="00C547BF" w:rsidRDefault="00000000">
          <w:pPr>
            <w:pStyle w:val="TDC1"/>
            <w:rPr>
              <w:rFonts w:asciiTheme="minorHAnsi" w:eastAsiaTheme="minorEastAsia" w:hAnsiTheme="minorHAnsi"/>
              <w:kern w:val="2"/>
              <w:sz w:val="24"/>
              <w:szCs w:val="24"/>
              <w:lang w:val="es-US" w:eastAsia="zh-CN"/>
              <w14:ligatures w14:val="standardContextual"/>
            </w:rPr>
          </w:pPr>
          <w:hyperlink w:anchor="_Toc136860069" w:history="1">
            <w:r w:rsidR="00DC38DE" w:rsidRPr="00C547BF">
              <w:rPr>
                <w:rStyle w:val="Hipervnculo"/>
                <w:lang w:eastAsia="es-ES"/>
              </w:rPr>
              <w:t>VII.</w:t>
            </w:r>
            <w:r w:rsidR="00DC38DE" w:rsidRPr="00C547BF">
              <w:rPr>
                <w:rFonts w:asciiTheme="minorHAnsi" w:eastAsiaTheme="minorEastAsia" w:hAnsiTheme="minorHAnsi"/>
                <w:kern w:val="2"/>
                <w:sz w:val="24"/>
                <w:szCs w:val="24"/>
                <w:lang w:val="es-US" w:eastAsia="zh-CN"/>
                <w14:ligatures w14:val="standardContextual"/>
              </w:rPr>
              <w:tab/>
            </w:r>
            <w:r w:rsidR="00DC38DE" w:rsidRPr="00C547BF">
              <w:rPr>
                <w:rStyle w:val="Hipervnculo"/>
                <w:lang w:eastAsia="es-ES"/>
              </w:rPr>
              <w:t>FINAL CONCLUSIONS AND RECOMMENDATIONS</w:t>
            </w:r>
            <w:r w:rsidR="00DC38DE" w:rsidRPr="00C547BF">
              <w:rPr>
                <w:webHidden/>
              </w:rPr>
              <w:tab/>
            </w:r>
            <w:r w:rsidR="00DC38DE" w:rsidRPr="00C547BF">
              <w:rPr>
                <w:webHidden/>
              </w:rPr>
              <w:fldChar w:fldCharType="begin"/>
            </w:r>
            <w:r w:rsidR="00DC38DE" w:rsidRPr="00C547BF">
              <w:rPr>
                <w:webHidden/>
              </w:rPr>
              <w:instrText xml:space="preserve"> PAGEREF _Toc136860069 \h </w:instrText>
            </w:r>
            <w:r w:rsidR="00DC38DE" w:rsidRPr="00C547BF">
              <w:rPr>
                <w:webHidden/>
              </w:rPr>
            </w:r>
            <w:r w:rsidR="00DC38DE" w:rsidRPr="00C547BF">
              <w:rPr>
                <w:webHidden/>
              </w:rPr>
              <w:fldChar w:fldCharType="separate"/>
            </w:r>
            <w:r w:rsidR="00DC38DE" w:rsidRPr="00C547BF">
              <w:rPr>
                <w:webHidden/>
              </w:rPr>
              <w:t>27</w:t>
            </w:r>
            <w:r w:rsidR="00DC38DE" w:rsidRPr="00C547BF">
              <w:rPr>
                <w:webHidden/>
              </w:rPr>
              <w:fldChar w:fldCharType="end"/>
            </w:r>
          </w:hyperlink>
        </w:p>
        <w:p w14:paraId="03F0E213" w14:textId="6DBC3675" w:rsidR="00DC38DE" w:rsidRPr="00C547BF" w:rsidRDefault="00000000">
          <w:pPr>
            <w:pStyle w:val="TDC1"/>
            <w:rPr>
              <w:rFonts w:asciiTheme="minorHAnsi" w:eastAsiaTheme="minorEastAsia" w:hAnsiTheme="minorHAnsi"/>
              <w:kern w:val="2"/>
              <w:sz w:val="24"/>
              <w:szCs w:val="24"/>
              <w:lang w:val="es-US" w:eastAsia="zh-CN"/>
              <w14:ligatures w14:val="standardContextual"/>
            </w:rPr>
          </w:pPr>
          <w:hyperlink w:anchor="_Toc136860070" w:history="1">
            <w:r w:rsidR="00DC38DE" w:rsidRPr="00C547BF">
              <w:rPr>
                <w:rStyle w:val="Hipervnculo"/>
                <w:lang w:eastAsia="es-ES"/>
              </w:rPr>
              <w:t>VIII.</w:t>
            </w:r>
            <w:r w:rsidR="00DC38DE" w:rsidRPr="00C547BF">
              <w:rPr>
                <w:rFonts w:asciiTheme="minorHAnsi" w:eastAsiaTheme="minorEastAsia" w:hAnsiTheme="minorHAnsi"/>
                <w:kern w:val="2"/>
                <w:sz w:val="24"/>
                <w:szCs w:val="24"/>
                <w:lang w:val="es-US" w:eastAsia="zh-CN"/>
                <w14:ligatures w14:val="standardContextual"/>
              </w:rPr>
              <w:tab/>
            </w:r>
            <w:r w:rsidR="00DC38DE" w:rsidRPr="00C547BF">
              <w:rPr>
                <w:rStyle w:val="Hipervnculo"/>
                <w:lang w:eastAsia="es-ES"/>
              </w:rPr>
              <w:t>PUBLICATION</w:t>
            </w:r>
            <w:r w:rsidR="00DC38DE" w:rsidRPr="00C547BF">
              <w:rPr>
                <w:webHidden/>
              </w:rPr>
              <w:tab/>
            </w:r>
            <w:r w:rsidR="00DC38DE" w:rsidRPr="00C547BF">
              <w:rPr>
                <w:webHidden/>
              </w:rPr>
              <w:fldChar w:fldCharType="begin"/>
            </w:r>
            <w:r w:rsidR="00DC38DE" w:rsidRPr="00C547BF">
              <w:rPr>
                <w:webHidden/>
              </w:rPr>
              <w:instrText xml:space="preserve"> PAGEREF _Toc136860070 \h </w:instrText>
            </w:r>
            <w:r w:rsidR="00DC38DE" w:rsidRPr="00C547BF">
              <w:rPr>
                <w:webHidden/>
              </w:rPr>
            </w:r>
            <w:r w:rsidR="00DC38DE" w:rsidRPr="00C547BF">
              <w:rPr>
                <w:webHidden/>
              </w:rPr>
              <w:fldChar w:fldCharType="separate"/>
            </w:r>
            <w:r w:rsidR="00DC38DE" w:rsidRPr="00C547BF">
              <w:rPr>
                <w:webHidden/>
              </w:rPr>
              <w:t>28</w:t>
            </w:r>
            <w:r w:rsidR="00DC38DE" w:rsidRPr="00C547BF">
              <w:rPr>
                <w:webHidden/>
              </w:rPr>
              <w:fldChar w:fldCharType="end"/>
            </w:r>
          </w:hyperlink>
        </w:p>
        <w:p w14:paraId="534E3036" w14:textId="4B1D931F" w:rsidR="00654D0A" w:rsidRPr="00C547BF" w:rsidRDefault="00654D0A">
          <w:r w:rsidRPr="00C547BF">
            <w:rPr>
              <w:b/>
              <w:bCs/>
              <w:noProof/>
            </w:rPr>
            <w:fldChar w:fldCharType="end"/>
          </w:r>
        </w:p>
      </w:sdtContent>
    </w:sdt>
    <w:p w14:paraId="0C86BD9A" w14:textId="77777777" w:rsidR="00171179" w:rsidRPr="00C547BF" w:rsidRDefault="00171179" w:rsidP="00171179">
      <w:pPr>
        <w:tabs>
          <w:tab w:val="center" w:pos="5400"/>
        </w:tabs>
        <w:suppressAutoHyphens/>
        <w:jc w:val="center"/>
        <w:rPr>
          <w:b/>
          <w:szCs w:val="20"/>
          <w:lang w:val="es-ES_tradnl"/>
        </w:rPr>
      </w:pPr>
    </w:p>
    <w:p w14:paraId="28247152" w14:textId="77777777" w:rsidR="00171179" w:rsidRPr="00C547BF" w:rsidRDefault="00171179" w:rsidP="00171179">
      <w:pPr>
        <w:tabs>
          <w:tab w:val="center" w:pos="5400"/>
        </w:tabs>
        <w:suppressAutoHyphens/>
        <w:jc w:val="center"/>
        <w:rPr>
          <w:b/>
          <w:szCs w:val="20"/>
          <w:lang w:val="es-ES_tradnl"/>
        </w:rPr>
      </w:pPr>
    </w:p>
    <w:p w14:paraId="191C2F5B" w14:textId="77777777" w:rsidR="00171179" w:rsidRPr="00C547BF" w:rsidRDefault="00171179" w:rsidP="00171179">
      <w:pPr>
        <w:rPr>
          <w:b/>
          <w:szCs w:val="20"/>
          <w:lang w:val="es-ES_tradnl"/>
        </w:rPr>
      </w:pPr>
      <w:r w:rsidRPr="00C547BF">
        <w:rPr>
          <w:b/>
          <w:szCs w:val="20"/>
          <w:lang w:val="es-ES_tradnl"/>
        </w:rPr>
        <w:br w:type="page"/>
      </w:r>
    </w:p>
    <w:p w14:paraId="22BE2DFC" w14:textId="004A4367" w:rsidR="00B80F94" w:rsidRPr="00C547BF" w:rsidRDefault="00B80F94" w:rsidP="00B80F94">
      <w:pPr>
        <w:pBdr>
          <w:top w:val="nil"/>
          <w:left w:val="nil"/>
          <w:bottom w:val="nil"/>
          <w:right w:val="nil"/>
          <w:between w:val="nil"/>
          <w:bar w:val="nil"/>
        </w:pBdr>
        <w:spacing w:after="0" w:line="276" w:lineRule="auto"/>
        <w:jc w:val="center"/>
        <w:rPr>
          <w:rFonts w:eastAsia="Arial Unicode MS" w:cs="Arial"/>
          <w:b/>
          <w:bCs/>
          <w:color w:val="0D0D0D" w:themeColor="text1" w:themeTint="F2"/>
          <w:szCs w:val="20"/>
          <w:bdr w:val="nil"/>
          <w:lang w:val="es-ES"/>
        </w:rPr>
      </w:pPr>
      <w:bookmarkStart w:id="0" w:name="_Toc65509785"/>
      <w:bookmarkStart w:id="1" w:name="_Toc110398957"/>
      <w:bookmarkEnd w:id="0"/>
      <w:r w:rsidRPr="00C547BF">
        <w:rPr>
          <w:rFonts w:eastAsia="Arial Unicode MS" w:cs="Arial"/>
          <w:b/>
          <w:bCs/>
          <w:color w:val="0D0D0D" w:themeColor="text1" w:themeTint="F2"/>
          <w:szCs w:val="20"/>
          <w:bdr w:val="nil"/>
          <w:lang w:val="es-ES"/>
        </w:rPr>
        <w:lastRenderedPageBreak/>
        <w:t xml:space="preserve">REPORT No. </w:t>
      </w:r>
      <w:r w:rsidR="00C547BF" w:rsidRPr="00C547BF">
        <w:rPr>
          <w:rFonts w:eastAsia="Arial Unicode MS" w:cs="Arial"/>
          <w:b/>
          <w:bCs/>
          <w:color w:val="0D0D0D" w:themeColor="text1" w:themeTint="F2"/>
          <w:szCs w:val="20"/>
          <w:bdr w:val="nil"/>
          <w:lang w:val="es-ES"/>
        </w:rPr>
        <w:t>83</w:t>
      </w:r>
      <w:r w:rsidRPr="00C547BF">
        <w:rPr>
          <w:rFonts w:eastAsia="Arial Unicode MS" w:cs="Arial"/>
          <w:b/>
          <w:bCs/>
          <w:color w:val="0D0D0D" w:themeColor="text1" w:themeTint="F2"/>
          <w:szCs w:val="20"/>
          <w:bdr w:val="nil"/>
          <w:lang w:val="es-ES"/>
        </w:rPr>
        <w:t>/23</w:t>
      </w:r>
    </w:p>
    <w:p w14:paraId="74F6DA49" w14:textId="75827C59" w:rsidR="00B80F94" w:rsidRPr="00C547BF" w:rsidRDefault="00B80F94" w:rsidP="00B80F94">
      <w:pPr>
        <w:pBdr>
          <w:top w:val="nil"/>
          <w:left w:val="nil"/>
          <w:bottom w:val="nil"/>
          <w:right w:val="nil"/>
          <w:between w:val="nil"/>
          <w:bar w:val="nil"/>
        </w:pBdr>
        <w:spacing w:after="0" w:line="276" w:lineRule="auto"/>
        <w:jc w:val="center"/>
        <w:rPr>
          <w:rFonts w:eastAsia="Arial Unicode MS" w:cs="Arial"/>
          <w:b/>
          <w:bCs/>
          <w:color w:val="0D0D0D" w:themeColor="text1" w:themeTint="F2"/>
          <w:szCs w:val="20"/>
          <w:bdr w:val="nil"/>
          <w:lang w:val="es-ES"/>
        </w:rPr>
      </w:pPr>
      <w:r w:rsidRPr="00C547BF">
        <w:rPr>
          <w:rFonts w:eastAsia="Arial Unicode MS" w:cs="Arial"/>
          <w:b/>
          <w:bCs/>
          <w:color w:val="0D0D0D" w:themeColor="text1" w:themeTint="F2"/>
          <w:szCs w:val="20"/>
          <w:bdr w:val="nil"/>
          <w:lang w:val="es-ES"/>
        </w:rPr>
        <w:t>Case 14.196</w:t>
      </w:r>
    </w:p>
    <w:p w14:paraId="3D211622" w14:textId="56AB5BA1" w:rsidR="00B80F94" w:rsidRPr="00C547BF" w:rsidRDefault="00B80F94" w:rsidP="00B80F94">
      <w:pPr>
        <w:pBdr>
          <w:top w:val="nil"/>
          <w:left w:val="nil"/>
          <w:bottom w:val="nil"/>
          <w:right w:val="nil"/>
          <w:between w:val="nil"/>
          <w:bar w:val="nil"/>
        </w:pBdr>
        <w:spacing w:after="0" w:line="276" w:lineRule="auto"/>
        <w:jc w:val="center"/>
        <w:rPr>
          <w:rFonts w:eastAsia="Arial Unicode MS" w:cs="Arial"/>
          <w:b/>
          <w:bCs/>
          <w:color w:val="0D0D0D" w:themeColor="text1" w:themeTint="F2"/>
          <w:szCs w:val="20"/>
          <w:bdr w:val="nil"/>
          <w:lang w:val="es-ES"/>
        </w:rPr>
      </w:pPr>
      <w:r w:rsidRPr="00C547BF">
        <w:rPr>
          <w:rFonts w:eastAsia="Arial Unicode MS" w:cs="Arial"/>
          <w:b/>
          <w:bCs/>
          <w:color w:val="0D0D0D" w:themeColor="text1" w:themeTint="F2"/>
          <w:szCs w:val="20"/>
          <w:bdr w:val="nil"/>
          <w:lang w:val="es-ES"/>
        </w:rPr>
        <w:t>ADMISIBILITY AND MERITS REPORT (PUBLICATION)</w:t>
      </w:r>
    </w:p>
    <w:p w14:paraId="395AFAAE" w14:textId="1E8F7BD9" w:rsidR="00B80F94" w:rsidRPr="00C547BF" w:rsidRDefault="00B80F94" w:rsidP="00B80F94">
      <w:pPr>
        <w:pBdr>
          <w:top w:val="nil"/>
          <w:left w:val="nil"/>
          <w:bottom w:val="nil"/>
          <w:right w:val="nil"/>
          <w:between w:val="nil"/>
          <w:bar w:val="nil"/>
        </w:pBdr>
        <w:spacing w:after="0" w:line="276" w:lineRule="auto"/>
        <w:jc w:val="center"/>
        <w:rPr>
          <w:rFonts w:eastAsia="Arial Unicode MS" w:cs="Arial"/>
          <w:b/>
          <w:bCs/>
          <w:color w:val="0D0D0D" w:themeColor="text1" w:themeTint="F2"/>
          <w:szCs w:val="20"/>
          <w:bdr w:val="nil"/>
          <w:lang w:val="es-ES"/>
        </w:rPr>
      </w:pPr>
      <w:r w:rsidRPr="00C547BF">
        <w:rPr>
          <w:rFonts w:eastAsia="Arial Unicode MS" w:cs="Arial"/>
          <w:b/>
          <w:bCs/>
          <w:color w:val="0D0D0D" w:themeColor="text1" w:themeTint="F2"/>
          <w:szCs w:val="20"/>
          <w:bdr w:val="nil"/>
          <w:lang w:val="es-ES"/>
        </w:rPr>
        <w:t>OSWALDO JOSÉ PAYÁ SARDIÑAS ET AL</w:t>
      </w:r>
    </w:p>
    <w:p w14:paraId="724FC75D" w14:textId="77777777" w:rsidR="00B80F94" w:rsidRPr="00C547BF" w:rsidRDefault="00B80F94" w:rsidP="00B80F94">
      <w:pPr>
        <w:pBdr>
          <w:top w:val="nil"/>
          <w:left w:val="nil"/>
          <w:bottom w:val="nil"/>
          <w:right w:val="nil"/>
          <w:between w:val="nil"/>
          <w:bar w:val="nil"/>
        </w:pBdr>
        <w:spacing w:after="0" w:line="276" w:lineRule="auto"/>
        <w:jc w:val="center"/>
        <w:rPr>
          <w:rFonts w:eastAsia="Arial Unicode MS" w:cs="Arial"/>
          <w:b/>
          <w:bCs/>
          <w:color w:val="0D0D0D" w:themeColor="text1" w:themeTint="F2"/>
          <w:szCs w:val="20"/>
          <w:bdr w:val="nil"/>
          <w:lang w:val="es-ES"/>
        </w:rPr>
      </w:pPr>
      <w:r w:rsidRPr="00C547BF">
        <w:rPr>
          <w:rFonts w:eastAsia="Arial Unicode MS" w:cs="Arial"/>
          <w:b/>
          <w:bCs/>
          <w:color w:val="0D0D0D" w:themeColor="text1" w:themeTint="F2"/>
          <w:szCs w:val="20"/>
          <w:bdr w:val="nil"/>
          <w:lang w:val="es-ES"/>
        </w:rPr>
        <w:t>CUBA</w:t>
      </w:r>
    </w:p>
    <w:p w14:paraId="5C4A2018" w14:textId="77777777" w:rsidR="00B80F94" w:rsidRPr="00C547BF" w:rsidRDefault="00B80F94" w:rsidP="004B05F1">
      <w:pPr>
        <w:pStyle w:val="Ttulo1"/>
        <w:numPr>
          <w:ilvl w:val="0"/>
          <w:numId w:val="0"/>
        </w:numPr>
        <w:rPr>
          <w:lang w:val="es-ES_tradnl"/>
        </w:rPr>
      </w:pPr>
    </w:p>
    <w:p w14:paraId="6951845B" w14:textId="663D649F" w:rsidR="00171179" w:rsidRPr="00C547BF" w:rsidRDefault="00171179" w:rsidP="004B05F1">
      <w:pPr>
        <w:pStyle w:val="Ttulo1"/>
        <w:numPr>
          <w:ilvl w:val="0"/>
          <w:numId w:val="0"/>
        </w:numPr>
        <w:rPr>
          <w:lang w:val="es-ES_tradnl"/>
        </w:rPr>
      </w:pPr>
      <w:bookmarkStart w:id="2" w:name="_Toc136860046"/>
      <w:r w:rsidRPr="00C547BF">
        <w:rPr>
          <w:lang w:val="es-ES_tradnl"/>
        </w:rPr>
        <w:t>INTRODUCTION</w:t>
      </w:r>
      <w:bookmarkEnd w:id="2"/>
      <w:r w:rsidRPr="00C547BF">
        <w:rPr>
          <w:lang w:val="es-ES_tradnl"/>
        </w:rPr>
        <w:t xml:space="preserve"> </w:t>
      </w:r>
      <w:bookmarkEnd w:id="1"/>
    </w:p>
    <w:p w14:paraId="774F9024" w14:textId="77777777" w:rsidR="00171179" w:rsidRPr="00C547BF" w:rsidRDefault="00171179" w:rsidP="00171179">
      <w:pPr>
        <w:rPr>
          <w:szCs w:val="20"/>
          <w:lang w:val="es-ES_tradnl"/>
        </w:rPr>
      </w:pPr>
    </w:p>
    <w:p w14:paraId="4259A34C"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On April 15, 2013, the Inter-American Commission on Human Rights (hereinafter "the Inter-American Commission", "the Commission" or "the IACHR") received a petition filed by the Robert F. Kennedy Center for Human Rights (hereinafter "the petitioning party"). The petition alleged the international responsibility of the Republic of Cuba (hereinafter "the State" or "Cuba") for the deaths of political dissidents and human rights defenders Oswaldo </w:t>
      </w:r>
      <w:proofErr w:type="spellStart"/>
      <w:r w:rsidRPr="00C547BF">
        <w:rPr>
          <w:szCs w:val="20"/>
          <w:lang w:val="en-US"/>
        </w:rPr>
        <w:t>Payá</w:t>
      </w:r>
      <w:proofErr w:type="spellEnd"/>
      <w:r w:rsidRPr="00C547BF">
        <w:rPr>
          <w:szCs w:val="20"/>
          <w:lang w:val="en-US"/>
        </w:rPr>
        <w:t xml:space="preserve"> and Harold Cepero, as well as the situation of impunity for the events. </w:t>
      </w:r>
    </w:p>
    <w:p w14:paraId="03DA7BF2" w14:textId="77777777" w:rsidR="00171179" w:rsidRPr="00C547BF" w:rsidRDefault="00171179" w:rsidP="005734F3">
      <w:pPr>
        <w:pStyle w:val="parrafos"/>
        <w:rPr>
          <w:lang w:val="en-US"/>
        </w:rPr>
      </w:pPr>
    </w:p>
    <w:p w14:paraId="6FD1A484"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On October 20, 2020, the Commission informed the parties that, in accordance with Resolution 1/16, it decided to defer the treatment of the admissibility of the matter until the discussion and decision on the merits, since the State did not submit information during the admissibility stage</w:t>
      </w:r>
      <w:r w:rsidRPr="00C547BF">
        <w:rPr>
          <w:rStyle w:val="Refdenotaalpie"/>
          <w:szCs w:val="20"/>
        </w:rPr>
        <w:footnoteReference w:id="1"/>
      </w:r>
      <w:r w:rsidRPr="00C547BF">
        <w:rPr>
          <w:szCs w:val="20"/>
          <w:lang w:val="en-US"/>
        </w:rPr>
        <w:t xml:space="preserve"> . The Commission placed itself at the disposal of the parties </w:t>
      </w:r>
      <w:proofErr w:type="gramStart"/>
      <w:r w:rsidRPr="00C547BF">
        <w:rPr>
          <w:szCs w:val="20"/>
          <w:lang w:val="en-US"/>
        </w:rPr>
        <w:t>in order to</w:t>
      </w:r>
      <w:proofErr w:type="gramEnd"/>
      <w:r w:rsidRPr="00C547BF">
        <w:rPr>
          <w:szCs w:val="20"/>
          <w:lang w:val="en-US"/>
        </w:rPr>
        <w:t xml:space="preserve"> initiate a friendly settlement process without the conditions for such effect being met. The parties were given the statutory time limits to submit their observations on the case. All the information received was duly transmitted between the parties. The State did not submit observations on admissibility or merits</w:t>
      </w:r>
      <w:r w:rsidRPr="00C547BF">
        <w:rPr>
          <w:rStyle w:val="Refdenotaalpie"/>
          <w:szCs w:val="20"/>
        </w:rPr>
        <w:footnoteReference w:id="2"/>
      </w:r>
      <w:r w:rsidRPr="00C547BF">
        <w:rPr>
          <w:szCs w:val="20"/>
          <w:lang w:val="en-US"/>
        </w:rPr>
        <w:t xml:space="preserve"> .</w:t>
      </w:r>
    </w:p>
    <w:p w14:paraId="58A13F3B" w14:textId="77777777" w:rsidR="00171179" w:rsidRPr="00C547BF" w:rsidRDefault="00171179" w:rsidP="00171179">
      <w:pPr>
        <w:pStyle w:val="parrafos"/>
        <w:rPr>
          <w:rFonts w:ascii="Cambria" w:hAnsi="Cambria"/>
          <w:lang w:val="en-US"/>
        </w:rPr>
      </w:pPr>
    </w:p>
    <w:p w14:paraId="3D03AE33" w14:textId="77777777" w:rsidR="00171179" w:rsidRPr="00C547BF" w:rsidRDefault="00171179" w:rsidP="00563529">
      <w:pPr>
        <w:pStyle w:val="Ttulo1"/>
        <w:numPr>
          <w:ilvl w:val="0"/>
          <w:numId w:val="3"/>
        </w:numPr>
        <w:ind w:left="360"/>
        <w:rPr>
          <w:lang w:val="es-ES_tradnl"/>
        </w:rPr>
      </w:pPr>
      <w:bookmarkStart w:id="3" w:name="_Toc110398958"/>
      <w:bookmarkStart w:id="4" w:name="_Toc136860047"/>
      <w:r w:rsidRPr="00C547BF">
        <w:rPr>
          <w:lang w:val="es-ES_tradnl"/>
        </w:rPr>
        <w:t>ARGUMENTS OF THE PARTIES</w:t>
      </w:r>
      <w:bookmarkEnd w:id="3"/>
      <w:bookmarkEnd w:id="4"/>
    </w:p>
    <w:p w14:paraId="513EA65B" w14:textId="77777777" w:rsidR="00171179" w:rsidRPr="00C547BF" w:rsidRDefault="00171179" w:rsidP="00171179">
      <w:pPr>
        <w:ind w:left="360" w:hanging="360"/>
        <w:rPr>
          <w:szCs w:val="20"/>
          <w:lang w:val="es-ES_tradnl"/>
        </w:rPr>
      </w:pPr>
    </w:p>
    <w:p w14:paraId="6B80C400" w14:textId="77777777" w:rsidR="00171179" w:rsidRPr="00C547BF" w:rsidRDefault="00171179" w:rsidP="00563529">
      <w:pPr>
        <w:pStyle w:val="Ttulo2"/>
        <w:numPr>
          <w:ilvl w:val="0"/>
          <w:numId w:val="63"/>
        </w:numPr>
        <w:tabs>
          <w:tab w:val="num" w:pos="720"/>
        </w:tabs>
        <w:spacing w:before="0"/>
        <w:ind w:left="360" w:hanging="360"/>
        <w:rPr>
          <w:lang w:val="es-ES_tradnl"/>
        </w:rPr>
      </w:pPr>
      <w:bookmarkStart w:id="5" w:name="_Toc110398959"/>
      <w:bookmarkStart w:id="6" w:name="_Toc136860048"/>
      <w:r w:rsidRPr="00C547BF">
        <w:rPr>
          <w:lang w:val="es-ES_tradnl"/>
        </w:rPr>
        <w:t xml:space="preserve">Position </w:t>
      </w:r>
      <w:proofErr w:type="spellStart"/>
      <w:r w:rsidRPr="00C547BF">
        <w:rPr>
          <w:lang w:val="es-ES_tradnl"/>
        </w:rPr>
        <w:t>of</w:t>
      </w:r>
      <w:proofErr w:type="spellEnd"/>
      <w:r w:rsidRPr="00C547BF">
        <w:rPr>
          <w:lang w:val="es-ES_tradnl"/>
        </w:rPr>
        <w:t xml:space="preserve"> </w:t>
      </w:r>
      <w:proofErr w:type="spellStart"/>
      <w:r w:rsidRPr="00C547BF">
        <w:rPr>
          <w:lang w:val="es-ES_tradnl"/>
        </w:rPr>
        <w:t>the</w:t>
      </w:r>
      <w:proofErr w:type="spellEnd"/>
      <w:r w:rsidRPr="00C547BF">
        <w:rPr>
          <w:lang w:val="es-ES_tradnl"/>
        </w:rPr>
        <w:t xml:space="preserve"> </w:t>
      </w:r>
      <w:proofErr w:type="spellStart"/>
      <w:r w:rsidRPr="00C547BF">
        <w:rPr>
          <w:lang w:val="es-ES_tradnl"/>
        </w:rPr>
        <w:t>petitioner</w:t>
      </w:r>
      <w:bookmarkEnd w:id="5"/>
      <w:bookmarkEnd w:id="6"/>
      <w:proofErr w:type="spellEnd"/>
    </w:p>
    <w:p w14:paraId="45EC3720" w14:textId="77777777" w:rsidR="00171179" w:rsidRPr="00C547BF" w:rsidRDefault="00171179" w:rsidP="005734F3">
      <w:pPr>
        <w:pStyle w:val="parrafos"/>
        <w:rPr>
          <w:lang w:val="es-ES_tradnl"/>
        </w:rPr>
      </w:pPr>
    </w:p>
    <w:p w14:paraId="120B9BAC"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The petitioner alleges the international responsibility of the State for the deaths of political dissidents and human rights defenders Oswaldo </w:t>
      </w:r>
      <w:proofErr w:type="spellStart"/>
      <w:r w:rsidRPr="00C547BF">
        <w:rPr>
          <w:szCs w:val="20"/>
          <w:lang w:val="en-US"/>
        </w:rPr>
        <w:t>Payá</w:t>
      </w:r>
      <w:proofErr w:type="spellEnd"/>
      <w:r w:rsidRPr="00C547BF">
        <w:rPr>
          <w:szCs w:val="20"/>
          <w:lang w:val="en-US"/>
        </w:rPr>
        <w:t xml:space="preserve"> and Harold Cepero, as well as the situation of impunity for the events. It explains that their deaths occurred in a context of persecution and harassment of political dissidents and human rights defenders in Cuba. </w:t>
      </w:r>
    </w:p>
    <w:p w14:paraId="625FCF2D" w14:textId="77777777" w:rsidR="00171179" w:rsidRPr="00C547BF" w:rsidRDefault="00171179" w:rsidP="005734F3">
      <w:pPr>
        <w:pStyle w:val="parrafos"/>
        <w:rPr>
          <w:lang w:val="en-US"/>
        </w:rPr>
      </w:pPr>
    </w:p>
    <w:p w14:paraId="109BEC4F" w14:textId="7ED39A53"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The petitioner alleges that Mr. </w:t>
      </w:r>
      <w:proofErr w:type="spellStart"/>
      <w:r w:rsidRPr="00C547BF">
        <w:rPr>
          <w:szCs w:val="20"/>
          <w:lang w:val="en-US"/>
        </w:rPr>
        <w:t>Payá</w:t>
      </w:r>
      <w:proofErr w:type="spellEnd"/>
      <w:r w:rsidRPr="00C547BF">
        <w:rPr>
          <w:szCs w:val="20"/>
          <w:lang w:val="en-US"/>
        </w:rPr>
        <w:t xml:space="preserve"> and Mr. Cepero died </w:t>
      </w:r>
      <w:r w:rsidR="00CE6125" w:rsidRPr="00C547BF">
        <w:rPr>
          <w:szCs w:val="20"/>
          <w:lang w:val="en-US"/>
        </w:rPr>
        <w:t>because of</w:t>
      </w:r>
      <w:r w:rsidRPr="00C547BF">
        <w:rPr>
          <w:szCs w:val="20"/>
          <w:lang w:val="en-US"/>
        </w:rPr>
        <w:t xml:space="preserve"> a premeditated collision with the vehicle in which they were riding. The petitioner explains that the collision was caused by an official vehicle and therefore the State is responsible for the violation of the life and integrity of the alleged victims. He argues that before the premeditated accident there were two other attacks against Mr. </w:t>
      </w:r>
      <w:proofErr w:type="spellStart"/>
      <w:r w:rsidRPr="00C547BF">
        <w:rPr>
          <w:szCs w:val="20"/>
          <w:lang w:val="en-US"/>
        </w:rPr>
        <w:t>Payá</w:t>
      </w:r>
      <w:proofErr w:type="spellEnd"/>
      <w:r w:rsidRPr="00C547BF">
        <w:rPr>
          <w:szCs w:val="20"/>
          <w:lang w:val="en-US"/>
        </w:rPr>
        <w:t xml:space="preserve"> and his family members. It explains that this affected </w:t>
      </w:r>
      <w:r w:rsidRPr="00C547BF">
        <w:rPr>
          <w:iCs/>
          <w:szCs w:val="20"/>
          <w:lang w:val="en-US"/>
        </w:rPr>
        <w:t xml:space="preserve">the rights to freedom of expression, </w:t>
      </w:r>
      <w:r w:rsidR="00CE6125" w:rsidRPr="00C547BF">
        <w:rPr>
          <w:iCs/>
          <w:szCs w:val="20"/>
          <w:lang w:val="en-US"/>
        </w:rPr>
        <w:t>association,</w:t>
      </w:r>
      <w:r w:rsidRPr="00C547BF">
        <w:rPr>
          <w:iCs/>
          <w:szCs w:val="20"/>
          <w:lang w:val="en-US"/>
        </w:rPr>
        <w:t xml:space="preserve"> and assembly. This was due to the multiple acts of harassment and follow-up by public authorities. </w:t>
      </w:r>
    </w:p>
    <w:p w14:paraId="48C548F2" w14:textId="77777777" w:rsidR="00171179" w:rsidRPr="00C547BF" w:rsidRDefault="00171179" w:rsidP="005734F3">
      <w:pPr>
        <w:pStyle w:val="parrafos"/>
        <w:rPr>
          <w:lang w:val="en-US"/>
        </w:rPr>
      </w:pPr>
    </w:p>
    <w:p w14:paraId="538C593C"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He alleges that the State did not investigate any of the facts, thus affecting his rights to judicial guarantees and judicial protection. It explains that the next of kin were prevented from accessing the files and could not participate in the judicial investigation, as they were never recognized as having legal standing to participate in it. </w:t>
      </w:r>
    </w:p>
    <w:p w14:paraId="4A482D29" w14:textId="77777777" w:rsidR="00171179" w:rsidRPr="00C547BF" w:rsidRDefault="00171179" w:rsidP="005734F3">
      <w:pPr>
        <w:pStyle w:val="parrafos"/>
        <w:rPr>
          <w:lang w:val="en-US"/>
        </w:rPr>
      </w:pPr>
    </w:p>
    <w:p w14:paraId="4DF959FB" w14:textId="236E7D00"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The petitioner claims that in the collision that caused the death of Mr. </w:t>
      </w:r>
      <w:proofErr w:type="spellStart"/>
      <w:r w:rsidRPr="00C547BF">
        <w:rPr>
          <w:szCs w:val="20"/>
          <w:lang w:val="en-US"/>
        </w:rPr>
        <w:t>Payá</w:t>
      </w:r>
      <w:proofErr w:type="spellEnd"/>
      <w:r w:rsidRPr="00C547BF">
        <w:rPr>
          <w:szCs w:val="20"/>
          <w:lang w:val="en-US"/>
        </w:rPr>
        <w:t xml:space="preserve"> and Mr. Cepero, the leader </w:t>
      </w:r>
      <w:proofErr w:type="spellStart"/>
      <w:r w:rsidRPr="00C547BF">
        <w:rPr>
          <w:szCs w:val="20"/>
          <w:lang w:val="en-US"/>
        </w:rPr>
        <w:t>Ángel</w:t>
      </w:r>
      <w:proofErr w:type="spellEnd"/>
      <w:r w:rsidR="006B4914" w:rsidRPr="00C547BF">
        <w:rPr>
          <w:szCs w:val="20"/>
          <w:lang w:val="en-US"/>
        </w:rPr>
        <w:t xml:space="preserve"> </w:t>
      </w:r>
      <w:proofErr w:type="spellStart"/>
      <w:r w:rsidRPr="00C547BF">
        <w:rPr>
          <w:szCs w:val="20"/>
          <w:lang w:val="en-US"/>
        </w:rPr>
        <w:t>Carromero</w:t>
      </w:r>
      <w:proofErr w:type="spellEnd"/>
      <w:r w:rsidRPr="00C547BF">
        <w:rPr>
          <w:szCs w:val="20"/>
          <w:lang w:val="en-US"/>
        </w:rPr>
        <w:t xml:space="preserve"> was also present. He claims that he was injured and taken to a hospital where he was drugged, beaten, and forced to make a false confession by the Cuban authorities. He alleges that he was detained illegally and </w:t>
      </w:r>
      <w:r w:rsidR="00C547BF" w:rsidRPr="00C547BF">
        <w:rPr>
          <w:szCs w:val="20"/>
          <w:lang w:val="en-US"/>
        </w:rPr>
        <w:t>arbitrarily and</w:t>
      </w:r>
      <w:r w:rsidRPr="00C547BF">
        <w:rPr>
          <w:szCs w:val="20"/>
          <w:lang w:val="en-US"/>
        </w:rPr>
        <w:t xml:space="preserve"> was not immediately brought before a judge. He explains that a criminal proceeding was </w:t>
      </w:r>
      <w:r w:rsidRPr="00C547BF">
        <w:rPr>
          <w:szCs w:val="20"/>
          <w:lang w:val="en-US"/>
        </w:rPr>
        <w:lastRenderedPageBreak/>
        <w:t xml:space="preserve">initiated against him for the crime of homicide, which violated due process. This </w:t>
      </w:r>
      <w:proofErr w:type="gramStart"/>
      <w:r w:rsidRPr="00C547BF">
        <w:rPr>
          <w:szCs w:val="20"/>
          <w:lang w:val="en-US"/>
        </w:rPr>
        <w:t>inasmuch as</w:t>
      </w:r>
      <w:proofErr w:type="gramEnd"/>
      <w:r w:rsidRPr="00C547BF">
        <w:rPr>
          <w:szCs w:val="20"/>
          <w:lang w:val="en-US"/>
        </w:rPr>
        <w:t xml:space="preserve"> he was not allowed to have an adequate technical defense, the trial was not </w:t>
      </w:r>
      <w:r w:rsidR="00CE6125" w:rsidRPr="00C547BF">
        <w:rPr>
          <w:szCs w:val="20"/>
          <w:lang w:val="en-US"/>
        </w:rPr>
        <w:t>public,</w:t>
      </w:r>
      <w:r w:rsidRPr="00C547BF">
        <w:rPr>
          <w:szCs w:val="20"/>
          <w:lang w:val="en-US"/>
        </w:rPr>
        <w:t xml:space="preserve"> and a statement made under duress was used against him. He adds that he suffered </w:t>
      </w:r>
      <w:r w:rsidRPr="00C547BF">
        <w:rPr>
          <w:rFonts w:cs="Calibri"/>
          <w:szCs w:val="20"/>
          <w:lang w:val="en-US"/>
        </w:rPr>
        <w:t xml:space="preserve">subhuman conditions during his detention. </w:t>
      </w:r>
    </w:p>
    <w:p w14:paraId="71FDD516" w14:textId="77777777" w:rsidR="00171179" w:rsidRPr="00C547BF" w:rsidRDefault="00171179" w:rsidP="005734F3">
      <w:pPr>
        <w:pStyle w:val="parrafos"/>
        <w:rPr>
          <w:lang w:val="en-US"/>
        </w:rPr>
      </w:pPr>
    </w:p>
    <w:p w14:paraId="31E4A434"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In addition, the petitioner alleged that the State is responsible for the violation of the right of residence against Oswaldo </w:t>
      </w:r>
      <w:proofErr w:type="spellStart"/>
      <w:r w:rsidRPr="00C547BF">
        <w:rPr>
          <w:szCs w:val="20"/>
          <w:lang w:val="en-US"/>
        </w:rPr>
        <w:t>Payá</w:t>
      </w:r>
      <w:proofErr w:type="spellEnd"/>
      <w:r w:rsidRPr="00C547BF">
        <w:rPr>
          <w:szCs w:val="20"/>
          <w:lang w:val="en-US"/>
        </w:rPr>
        <w:t xml:space="preserve">, Harold Cepero and their next of kin. This </w:t>
      </w:r>
      <w:proofErr w:type="gramStart"/>
      <w:r w:rsidRPr="00C547BF">
        <w:rPr>
          <w:szCs w:val="20"/>
          <w:lang w:val="en-US"/>
        </w:rPr>
        <w:t>inasmuch as</w:t>
      </w:r>
      <w:proofErr w:type="gramEnd"/>
      <w:r w:rsidRPr="00C547BF">
        <w:rPr>
          <w:szCs w:val="20"/>
          <w:lang w:val="en-US"/>
        </w:rPr>
        <w:t xml:space="preserve"> they were not allowed to move freely through Cuban territory due to harassment and threats. He adds that some of Mr. </w:t>
      </w:r>
      <w:proofErr w:type="spellStart"/>
      <w:r w:rsidRPr="00C547BF">
        <w:rPr>
          <w:szCs w:val="20"/>
          <w:lang w:val="en-US"/>
        </w:rPr>
        <w:t>Payá's</w:t>
      </w:r>
      <w:proofErr w:type="spellEnd"/>
      <w:r w:rsidRPr="00C547BF">
        <w:rPr>
          <w:szCs w:val="20"/>
          <w:lang w:val="en-US"/>
        </w:rPr>
        <w:t xml:space="preserve"> family members were not authorized to leave the country without any justification. </w:t>
      </w:r>
    </w:p>
    <w:p w14:paraId="2B7C386E" w14:textId="77777777" w:rsidR="00171179" w:rsidRPr="00C547BF" w:rsidRDefault="00171179" w:rsidP="005734F3">
      <w:pPr>
        <w:pStyle w:val="parrafos"/>
        <w:rPr>
          <w:lang w:val="en-US"/>
        </w:rPr>
      </w:pPr>
    </w:p>
    <w:p w14:paraId="578DB01F"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Finally, the petitioner alleges that the Cuban State was responsible for the violation of the personal integrity of the alleged victims' next of kin for failing to conduct a serious investigation into the facts and for the suffering caused. </w:t>
      </w:r>
    </w:p>
    <w:p w14:paraId="71AA7F22" w14:textId="77777777" w:rsidR="00171179" w:rsidRPr="00C547BF" w:rsidRDefault="00171179" w:rsidP="005734F3">
      <w:pPr>
        <w:pStyle w:val="parrafos"/>
        <w:rPr>
          <w:lang w:val="en-US"/>
        </w:rPr>
      </w:pPr>
    </w:p>
    <w:p w14:paraId="34DC2E71" w14:textId="77777777" w:rsidR="00171179" w:rsidRPr="00C547BF" w:rsidRDefault="00171179" w:rsidP="008235E9">
      <w:pPr>
        <w:pStyle w:val="Ttulo2"/>
        <w:numPr>
          <w:ilvl w:val="0"/>
          <w:numId w:val="0"/>
        </w:numPr>
        <w:spacing w:before="0"/>
        <w:ind w:left="360"/>
        <w:rPr>
          <w:lang w:val="es-ES_tradnl"/>
        </w:rPr>
      </w:pPr>
      <w:bookmarkStart w:id="7" w:name="_Toc110398960"/>
      <w:bookmarkStart w:id="8" w:name="_Toc136860049"/>
      <w:r w:rsidRPr="00C547BF">
        <w:rPr>
          <w:lang w:val="es-ES_tradnl"/>
        </w:rPr>
        <w:t xml:space="preserve">B. </w:t>
      </w:r>
      <w:r w:rsidRPr="00C547BF">
        <w:rPr>
          <w:lang w:val="es-ES_tradnl"/>
        </w:rPr>
        <w:tab/>
        <w:t xml:space="preserve">Position </w:t>
      </w:r>
      <w:proofErr w:type="spellStart"/>
      <w:r w:rsidRPr="00C547BF">
        <w:rPr>
          <w:lang w:val="es-ES_tradnl"/>
        </w:rPr>
        <w:t>of</w:t>
      </w:r>
      <w:proofErr w:type="spellEnd"/>
      <w:r w:rsidRPr="00C547BF">
        <w:rPr>
          <w:lang w:val="es-ES_tradnl"/>
        </w:rPr>
        <w:t xml:space="preserve"> </w:t>
      </w:r>
      <w:proofErr w:type="spellStart"/>
      <w:r w:rsidRPr="00C547BF">
        <w:rPr>
          <w:lang w:val="es-ES_tradnl"/>
        </w:rPr>
        <w:t>the</w:t>
      </w:r>
      <w:proofErr w:type="spellEnd"/>
      <w:r w:rsidRPr="00C547BF">
        <w:rPr>
          <w:lang w:val="es-ES_tradnl"/>
        </w:rPr>
        <w:t xml:space="preserve"> </w:t>
      </w:r>
      <w:proofErr w:type="spellStart"/>
      <w:r w:rsidRPr="00C547BF">
        <w:rPr>
          <w:lang w:val="es-ES_tradnl"/>
        </w:rPr>
        <w:t>State</w:t>
      </w:r>
      <w:bookmarkEnd w:id="7"/>
      <w:bookmarkEnd w:id="8"/>
      <w:proofErr w:type="spellEnd"/>
    </w:p>
    <w:p w14:paraId="7DEE7EE3" w14:textId="77777777" w:rsidR="00171179" w:rsidRPr="00C547BF" w:rsidRDefault="00171179" w:rsidP="005734F3">
      <w:pPr>
        <w:pStyle w:val="parrafos"/>
        <w:rPr>
          <w:lang w:val="es-ES_tradnl"/>
        </w:rPr>
      </w:pPr>
    </w:p>
    <w:p w14:paraId="4186C280"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The State has not provided its observations on the admissibility or merits of the case. </w:t>
      </w:r>
    </w:p>
    <w:p w14:paraId="69E08209" w14:textId="77777777" w:rsidR="00171179" w:rsidRPr="00C547BF" w:rsidRDefault="00171179" w:rsidP="005734F3">
      <w:pPr>
        <w:pStyle w:val="parrafos"/>
        <w:rPr>
          <w:lang w:val="en-US"/>
        </w:rPr>
      </w:pPr>
    </w:p>
    <w:p w14:paraId="64E995CB" w14:textId="77777777" w:rsidR="00171179" w:rsidRPr="00C547BF" w:rsidRDefault="00171179" w:rsidP="00563529">
      <w:pPr>
        <w:pStyle w:val="Ttulo1"/>
        <w:numPr>
          <w:ilvl w:val="0"/>
          <w:numId w:val="3"/>
        </w:numPr>
        <w:ind w:left="360"/>
        <w:rPr>
          <w:lang w:val="es-ES_tradnl"/>
        </w:rPr>
      </w:pPr>
      <w:bookmarkStart w:id="9" w:name="_Toc110398961"/>
      <w:bookmarkStart w:id="10" w:name="_Toc136860050"/>
      <w:r w:rsidRPr="00C547BF">
        <w:rPr>
          <w:lang w:val="es-ES_tradnl"/>
        </w:rPr>
        <w:t>ADMISSIBILITY ANALYSIS</w:t>
      </w:r>
      <w:bookmarkEnd w:id="9"/>
      <w:bookmarkEnd w:id="10"/>
    </w:p>
    <w:p w14:paraId="7024769E" w14:textId="77777777" w:rsidR="00171179" w:rsidRPr="00C547BF" w:rsidRDefault="00171179" w:rsidP="005734F3">
      <w:pPr>
        <w:pStyle w:val="parrafos"/>
        <w:rPr>
          <w:lang w:val="es-ES_tradnl"/>
        </w:rPr>
      </w:pPr>
    </w:p>
    <w:p w14:paraId="41E77E7D" w14:textId="77777777" w:rsidR="00171179" w:rsidRPr="00C547BF" w:rsidRDefault="00171179" w:rsidP="008235E9">
      <w:pPr>
        <w:pStyle w:val="Ttulo2"/>
        <w:numPr>
          <w:ilvl w:val="0"/>
          <w:numId w:val="0"/>
        </w:numPr>
        <w:spacing w:before="0"/>
        <w:ind w:left="360"/>
        <w:rPr>
          <w:lang w:val="en-US"/>
        </w:rPr>
      </w:pPr>
      <w:bookmarkStart w:id="11" w:name="_Toc136860051"/>
      <w:bookmarkStart w:id="12" w:name="_Toc110398962"/>
      <w:r w:rsidRPr="00C547BF">
        <w:rPr>
          <w:lang w:val="en-US"/>
        </w:rPr>
        <w:t xml:space="preserve">A. </w:t>
      </w:r>
      <w:r w:rsidRPr="00C547BF">
        <w:rPr>
          <w:lang w:val="en-US"/>
        </w:rPr>
        <w:tab/>
        <w:t>Jurisdiction, duplication of proceedings and international res judicata</w:t>
      </w:r>
      <w:bookmarkEnd w:id="11"/>
      <w:r w:rsidRPr="00C547BF">
        <w:rPr>
          <w:lang w:val="en-US"/>
        </w:rPr>
        <w:t xml:space="preserve"> </w:t>
      </w:r>
      <w:bookmarkEnd w:id="12"/>
    </w:p>
    <w:p w14:paraId="68EC5B3F" w14:textId="77777777" w:rsidR="00171179" w:rsidRPr="00C547BF" w:rsidRDefault="00171179" w:rsidP="005B1406">
      <w:pPr>
        <w:pStyle w:val="Ttulo2"/>
        <w:numPr>
          <w:ilvl w:val="0"/>
          <w:numId w:val="0"/>
        </w:numPr>
        <w:spacing w:before="0"/>
        <w:ind w:left="360"/>
        <w:rPr>
          <w:lang w:val="en-US"/>
        </w:rPr>
      </w:pPr>
      <w:bookmarkStart w:id="13" w:name="_Toc121911917"/>
      <w:bookmarkEnd w:id="13"/>
    </w:p>
    <w:tbl>
      <w:tblPr>
        <w:tblpPr w:leftFromText="180" w:rightFromText="180" w:vertAnchor="text" w:horzAnchor="margin" w:tblpX="108" w:tblpY="10"/>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492"/>
        <w:gridCol w:w="5575"/>
      </w:tblGrid>
      <w:tr w:rsidR="00171179" w:rsidRPr="00C547BF" w14:paraId="3FD503DA" w14:textId="77777777" w:rsidTr="007144FF">
        <w:trPr>
          <w:cantSplit/>
          <w:trHeight w:val="260"/>
        </w:trPr>
        <w:tc>
          <w:tcPr>
            <w:tcW w:w="3492" w:type="dxa"/>
            <w:tcBorders>
              <w:top w:val="single" w:sz="4" w:space="0" w:color="auto"/>
              <w:bottom w:val="single" w:sz="6" w:space="0" w:color="auto"/>
            </w:tcBorders>
            <w:shd w:val="clear" w:color="auto" w:fill="386294"/>
            <w:vAlign w:val="center"/>
          </w:tcPr>
          <w:p w14:paraId="4E7577EC" w14:textId="77777777" w:rsidR="00171179" w:rsidRPr="00C547BF" w:rsidRDefault="00171179" w:rsidP="007144FF">
            <w:pPr>
              <w:rPr>
                <w:b/>
                <w:bCs/>
                <w:i/>
                <w:color w:val="FFFFFF"/>
                <w:szCs w:val="20"/>
                <w:lang w:val="es-ES_tradnl"/>
              </w:rPr>
            </w:pPr>
            <w:proofErr w:type="spellStart"/>
            <w:r w:rsidRPr="00C547BF">
              <w:rPr>
                <w:b/>
                <w:bCs/>
                <w:color w:val="FFFFFF"/>
                <w:szCs w:val="20"/>
                <w:lang w:val="es-ES_tradnl"/>
              </w:rPr>
              <w:t>Competence</w:t>
            </w:r>
            <w:proofErr w:type="spellEnd"/>
            <w:r w:rsidRPr="00C547BF">
              <w:rPr>
                <w:b/>
                <w:bCs/>
                <w:color w:val="FFFFFF"/>
                <w:szCs w:val="20"/>
                <w:lang w:val="es-ES_tradnl"/>
              </w:rPr>
              <w:t xml:space="preserve"> </w:t>
            </w:r>
            <w:proofErr w:type="spellStart"/>
            <w:r w:rsidRPr="00C547BF">
              <w:rPr>
                <w:b/>
                <w:bCs/>
                <w:i/>
                <w:color w:val="FFFFFF"/>
                <w:szCs w:val="20"/>
                <w:lang w:val="es-ES_tradnl"/>
              </w:rPr>
              <w:t>Ratione</w:t>
            </w:r>
            <w:proofErr w:type="spellEnd"/>
            <w:r w:rsidRPr="00C547BF">
              <w:rPr>
                <w:b/>
                <w:bCs/>
                <w:i/>
                <w:color w:val="FFFFFF"/>
                <w:szCs w:val="20"/>
                <w:lang w:val="es-ES_tradnl"/>
              </w:rPr>
              <w:t xml:space="preserve"> </w:t>
            </w:r>
            <w:proofErr w:type="spellStart"/>
            <w:r w:rsidRPr="00C547BF">
              <w:rPr>
                <w:b/>
                <w:bCs/>
                <w:i/>
                <w:color w:val="FFFFFF"/>
                <w:szCs w:val="20"/>
                <w:lang w:val="es-ES_tradnl"/>
              </w:rPr>
              <w:t>personae</w:t>
            </w:r>
            <w:proofErr w:type="spellEnd"/>
            <w:r w:rsidRPr="00C547BF">
              <w:rPr>
                <w:b/>
                <w:bCs/>
                <w:i/>
                <w:color w:val="FFFFFF"/>
                <w:szCs w:val="20"/>
                <w:lang w:val="es-ES_tradnl"/>
              </w:rPr>
              <w:t>:</w:t>
            </w:r>
          </w:p>
        </w:tc>
        <w:tc>
          <w:tcPr>
            <w:tcW w:w="5575" w:type="dxa"/>
            <w:shd w:val="clear" w:color="auto" w:fill="auto"/>
            <w:vAlign w:val="center"/>
          </w:tcPr>
          <w:p w14:paraId="0B867221" w14:textId="77777777" w:rsidR="00171179" w:rsidRPr="00C547BF" w:rsidRDefault="00171179" w:rsidP="007144FF">
            <w:pPr>
              <w:rPr>
                <w:bCs/>
                <w:szCs w:val="20"/>
                <w:lang w:val="es-ES_tradnl"/>
              </w:rPr>
            </w:pPr>
            <w:r w:rsidRPr="00C547BF">
              <w:rPr>
                <w:rFonts w:cs="Univers"/>
                <w:color w:val="0D0D0D"/>
                <w:szCs w:val="20"/>
                <w:lang w:val="es-ES_tradnl"/>
              </w:rPr>
              <w:t>Yes</w:t>
            </w:r>
          </w:p>
        </w:tc>
      </w:tr>
      <w:tr w:rsidR="00171179" w:rsidRPr="00C547BF" w14:paraId="5D4BF17E" w14:textId="77777777" w:rsidTr="007144FF">
        <w:trPr>
          <w:cantSplit/>
          <w:trHeight w:val="300"/>
        </w:trPr>
        <w:tc>
          <w:tcPr>
            <w:tcW w:w="3492" w:type="dxa"/>
            <w:tcBorders>
              <w:top w:val="single" w:sz="6" w:space="0" w:color="auto"/>
              <w:bottom w:val="single" w:sz="6" w:space="0" w:color="auto"/>
            </w:tcBorders>
            <w:shd w:val="clear" w:color="auto" w:fill="386294"/>
            <w:vAlign w:val="center"/>
          </w:tcPr>
          <w:p w14:paraId="6A018DF2" w14:textId="77777777" w:rsidR="00171179" w:rsidRPr="00C547BF" w:rsidRDefault="00171179" w:rsidP="007144FF">
            <w:pPr>
              <w:rPr>
                <w:b/>
                <w:bCs/>
                <w:color w:val="FFFFFF"/>
                <w:szCs w:val="20"/>
                <w:lang w:val="es-ES_tradnl"/>
              </w:rPr>
            </w:pPr>
            <w:proofErr w:type="spellStart"/>
            <w:r w:rsidRPr="00C547BF">
              <w:rPr>
                <w:b/>
                <w:bCs/>
                <w:color w:val="FFFFFF"/>
                <w:szCs w:val="20"/>
                <w:lang w:val="es-ES_tradnl"/>
              </w:rPr>
              <w:t>Competition</w:t>
            </w:r>
            <w:proofErr w:type="spellEnd"/>
            <w:r w:rsidRPr="00C547BF">
              <w:rPr>
                <w:b/>
                <w:bCs/>
                <w:color w:val="FFFFFF"/>
                <w:szCs w:val="20"/>
                <w:lang w:val="es-ES_tradnl"/>
              </w:rPr>
              <w:t xml:space="preserve"> </w:t>
            </w:r>
            <w:proofErr w:type="spellStart"/>
            <w:r w:rsidRPr="00C547BF">
              <w:rPr>
                <w:b/>
                <w:bCs/>
                <w:i/>
                <w:color w:val="FFFFFF"/>
                <w:szCs w:val="20"/>
                <w:lang w:val="es-ES_tradnl"/>
              </w:rPr>
              <w:t>Ratione</w:t>
            </w:r>
            <w:proofErr w:type="spellEnd"/>
            <w:r w:rsidRPr="00C547BF">
              <w:rPr>
                <w:b/>
                <w:bCs/>
                <w:i/>
                <w:color w:val="FFFFFF"/>
                <w:szCs w:val="20"/>
                <w:lang w:val="es-ES_tradnl"/>
              </w:rPr>
              <w:t xml:space="preserve"> loci</w:t>
            </w:r>
            <w:r w:rsidRPr="00C547BF">
              <w:rPr>
                <w:b/>
                <w:bCs/>
                <w:color w:val="FFFFFF"/>
                <w:szCs w:val="20"/>
                <w:lang w:val="es-ES_tradnl"/>
              </w:rPr>
              <w:t>:</w:t>
            </w:r>
          </w:p>
        </w:tc>
        <w:tc>
          <w:tcPr>
            <w:tcW w:w="5575" w:type="dxa"/>
            <w:shd w:val="clear" w:color="auto" w:fill="auto"/>
            <w:vAlign w:val="center"/>
          </w:tcPr>
          <w:p w14:paraId="58AF6F41" w14:textId="77777777" w:rsidR="00171179" w:rsidRPr="00C547BF" w:rsidRDefault="00171179" w:rsidP="007144FF">
            <w:pPr>
              <w:rPr>
                <w:bCs/>
                <w:szCs w:val="20"/>
                <w:lang w:val="es-ES_tradnl"/>
              </w:rPr>
            </w:pPr>
            <w:r w:rsidRPr="00C547BF">
              <w:rPr>
                <w:rFonts w:cs="Univers"/>
                <w:color w:val="0D0D0D"/>
                <w:szCs w:val="20"/>
                <w:lang w:val="es-ES_tradnl"/>
              </w:rPr>
              <w:t>Yes</w:t>
            </w:r>
          </w:p>
        </w:tc>
      </w:tr>
      <w:tr w:rsidR="00171179" w:rsidRPr="00C547BF" w14:paraId="5B74E2ED" w14:textId="77777777" w:rsidTr="007144FF">
        <w:trPr>
          <w:cantSplit/>
          <w:trHeight w:val="282"/>
        </w:trPr>
        <w:tc>
          <w:tcPr>
            <w:tcW w:w="3492" w:type="dxa"/>
            <w:tcBorders>
              <w:top w:val="single" w:sz="6" w:space="0" w:color="auto"/>
              <w:bottom w:val="single" w:sz="6" w:space="0" w:color="auto"/>
            </w:tcBorders>
            <w:shd w:val="clear" w:color="auto" w:fill="386294"/>
            <w:vAlign w:val="center"/>
          </w:tcPr>
          <w:p w14:paraId="457C69A8" w14:textId="77777777" w:rsidR="00171179" w:rsidRPr="00C547BF" w:rsidRDefault="00171179" w:rsidP="007144FF">
            <w:pPr>
              <w:rPr>
                <w:b/>
                <w:bCs/>
                <w:color w:val="FFFFFF"/>
                <w:szCs w:val="20"/>
                <w:lang w:val="es-ES_tradnl"/>
              </w:rPr>
            </w:pPr>
            <w:proofErr w:type="spellStart"/>
            <w:r w:rsidRPr="00C547BF">
              <w:rPr>
                <w:b/>
                <w:bCs/>
                <w:i/>
                <w:color w:val="FFFFFF"/>
                <w:szCs w:val="20"/>
                <w:lang w:val="es-ES_tradnl"/>
              </w:rPr>
              <w:t>Ratione</w:t>
            </w:r>
            <w:proofErr w:type="spellEnd"/>
            <w:r w:rsidRPr="00C547BF">
              <w:rPr>
                <w:b/>
                <w:bCs/>
                <w:i/>
                <w:color w:val="FFFFFF"/>
                <w:szCs w:val="20"/>
                <w:lang w:val="es-ES_tradnl"/>
              </w:rPr>
              <w:t xml:space="preserve"> </w:t>
            </w:r>
            <w:proofErr w:type="spellStart"/>
            <w:r w:rsidRPr="00C547BF">
              <w:rPr>
                <w:b/>
                <w:bCs/>
                <w:i/>
                <w:color w:val="FFFFFF"/>
                <w:szCs w:val="20"/>
                <w:lang w:val="es-ES_tradnl"/>
              </w:rPr>
              <w:t>temporis</w:t>
            </w:r>
            <w:proofErr w:type="spellEnd"/>
            <w:r w:rsidRPr="00C547BF">
              <w:rPr>
                <w:b/>
                <w:bCs/>
                <w:i/>
                <w:color w:val="FFFFFF"/>
                <w:szCs w:val="20"/>
                <w:lang w:val="es-ES_tradnl"/>
              </w:rPr>
              <w:t xml:space="preserve"> </w:t>
            </w:r>
            <w:proofErr w:type="spellStart"/>
            <w:r w:rsidRPr="00C547BF">
              <w:rPr>
                <w:b/>
                <w:bCs/>
                <w:color w:val="FFFFFF"/>
                <w:szCs w:val="20"/>
                <w:lang w:val="es-ES_tradnl"/>
              </w:rPr>
              <w:t>jurisdiction</w:t>
            </w:r>
            <w:proofErr w:type="spellEnd"/>
            <w:r w:rsidRPr="00C547BF">
              <w:rPr>
                <w:b/>
                <w:bCs/>
                <w:color w:val="FFFFFF"/>
                <w:szCs w:val="20"/>
                <w:lang w:val="es-ES_tradnl"/>
              </w:rPr>
              <w:t>:</w:t>
            </w:r>
          </w:p>
        </w:tc>
        <w:tc>
          <w:tcPr>
            <w:tcW w:w="5575" w:type="dxa"/>
            <w:shd w:val="clear" w:color="auto" w:fill="auto"/>
            <w:vAlign w:val="center"/>
          </w:tcPr>
          <w:p w14:paraId="50EE27AC" w14:textId="77777777" w:rsidR="00171179" w:rsidRPr="00C547BF" w:rsidRDefault="00171179" w:rsidP="007144FF">
            <w:pPr>
              <w:rPr>
                <w:bCs/>
                <w:szCs w:val="20"/>
                <w:lang w:val="es-ES_tradnl"/>
              </w:rPr>
            </w:pPr>
            <w:r w:rsidRPr="00C547BF">
              <w:rPr>
                <w:rFonts w:cs="Univers"/>
                <w:color w:val="0D0D0D"/>
                <w:szCs w:val="20"/>
                <w:lang w:val="es-ES_tradnl"/>
              </w:rPr>
              <w:t>Yes</w:t>
            </w:r>
          </w:p>
        </w:tc>
      </w:tr>
      <w:tr w:rsidR="00171179" w:rsidRPr="00C547BF" w14:paraId="669DBC17" w14:textId="77777777" w:rsidTr="007144FF">
        <w:trPr>
          <w:cantSplit/>
          <w:trHeight w:val="516"/>
        </w:trPr>
        <w:tc>
          <w:tcPr>
            <w:tcW w:w="3492" w:type="dxa"/>
            <w:tcBorders>
              <w:top w:val="single" w:sz="6" w:space="0" w:color="auto"/>
              <w:bottom w:val="single" w:sz="6" w:space="0" w:color="auto"/>
            </w:tcBorders>
            <w:shd w:val="clear" w:color="auto" w:fill="386294"/>
            <w:vAlign w:val="center"/>
          </w:tcPr>
          <w:p w14:paraId="2E327817" w14:textId="77777777" w:rsidR="00171179" w:rsidRPr="00C547BF" w:rsidRDefault="00171179" w:rsidP="007144FF">
            <w:pPr>
              <w:rPr>
                <w:b/>
                <w:bCs/>
                <w:color w:val="FFFFFF"/>
                <w:szCs w:val="20"/>
                <w:lang w:val="es-ES_tradnl"/>
              </w:rPr>
            </w:pPr>
            <w:proofErr w:type="spellStart"/>
            <w:r w:rsidRPr="00C547BF">
              <w:rPr>
                <w:b/>
                <w:bCs/>
                <w:i/>
                <w:color w:val="FFFFFF"/>
                <w:szCs w:val="20"/>
                <w:lang w:val="es-ES_tradnl"/>
              </w:rPr>
              <w:t>Ratione</w:t>
            </w:r>
            <w:proofErr w:type="spellEnd"/>
            <w:r w:rsidRPr="00C547BF">
              <w:rPr>
                <w:b/>
                <w:bCs/>
                <w:i/>
                <w:color w:val="FFFFFF"/>
                <w:szCs w:val="20"/>
                <w:lang w:val="es-ES_tradnl"/>
              </w:rPr>
              <w:t xml:space="preserve"> </w:t>
            </w:r>
            <w:proofErr w:type="spellStart"/>
            <w:r w:rsidRPr="00C547BF">
              <w:rPr>
                <w:b/>
                <w:bCs/>
                <w:i/>
                <w:color w:val="FFFFFF"/>
                <w:szCs w:val="20"/>
                <w:lang w:val="es-ES_tradnl"/>
              </w:rPr>
              <w:t>materiae</w:t>
            </w:r>
            <w:proofErr w:type="spellEnd"/>
            <w:r w:rsidRPr="00C547BF">
              <w:rPr>
                <w:b/>
                <w:bCs/>
                <w:i/>
                <w:color w:val="FFFFFF"/>
                <w:szCs w:val="20"/>
                <w:lang w:val="es-ES_tradnl"/>
              </w:rPr>
              <w:t xml:space="preserve"> </w:t>
            </w:r>
            <w:proofErr w:type="spellStart"/>
            <w:r w:rsidRPr="00C547BF">
              <w:rPr>
                <w:b/>
                <w:bCs/>
                <w:color w:val="FFFFFF"/>
                <w:szCs w:val="20"/>
                <w:lang w:val="es-ES_tradnl"/>
              </w:rPr>
              <w:t>jurisdiction</w:t>
            </w:r>
            <w:proofErr w:type="spellEnd"/>
            <w:r w:rsidRPr="00C547BF">
              <w:rPr>
                <w:b/>
                <w:bCs/>
                <w:color w:val="FFFFFF"/>
                <w:szCs w:val="20"/>
                <w:lang w:val="es-ES_tradnl"/>
              </w:rPr>
              <w:t>:</w:t>
            </w:r>
          </w:p>
        </w:tc>
        <w:tc>
          <w:tcPr>
            <w:tcW w:w="5575" w:type="dxa"/>
            <w:shd w:val="clear" w:color="auto" w:fill="auto"/>
            <w:vAlign w:val="center"/>
          </w:tcPr>
          <w:p w14:paraId="6135C399" w14:textId="77777777" w:rsidR="00171179" w:rsidRPr="00C547BF" w:rsidRDefault="00171179" w:rsidP="007144FF">
            <w:pPr>
              <w:rPr>
                <w:bCs/>
                <w:szCs w:val="20"/>
                <w:lang w:val="en-US"/>
              </w:rPr>
            </w:pPr>
            <w:r w:rsidRPr="00C547BF">
              <w:rPr>
                <w:rFonts w:cs="Univers"/>
                <w:color w:val="0D0D0D"/>
                <w:szCs w:val="20"/>
                <w:lang w:val="en-US"/>
              </w:rPr>
              <w:t xml:space="preserve">Yes, </w:t>
            </w:r>
            <w:r w:rsidRPr="00C547BF">
              <w:rPr>
                <w:bCs/>
                <w:szCs w:val="20"/>
                <w:lang w:val="en-US"/>
              </w:rPr>
              <w:t>American Declaration (deposit of the instrument of ratification of the OAS Charter on July 16, 1952).</w:t>
            </w:r>
          </w:p>
        </w:tc>
      </w:tr>
      <w:tr w:rsidR="00171179" w:rsidRPr="00C547BF" w14:paraId="3815C401" w14:textId="77777777" w:rsidTr="007144FF">
        <w:trPr>
          <w:cantSplit/>
          <w:trHeight w:val="516"/>
        </w:trPr>
        <w:tc>
          <w:tcPr>
            <w:tcW w:w="3492" w:type="dxa"/>
            <w:tcBorders>
              <w:top w:val="single" w:sz="6" w:space="0" w:color="auto"/>
              <w:bottom w:val="single" w:sz="6" w:space="0" w:color="auto"/>
            </w:tcBorders>
            <w:shd w:val="clear" w:color="auto" w:fill="386294"/>
            <w:vAlign w:val="center"/>
          </w:tcPr>
          <w:p w14:paraId="4C45B3B1" w14:textId="77777777" w:rsidR="00171179" w:rsidRPr="00C547BF" w:rsidRDefault="00171179" w:rsidP="007144FF">
            <w:pPr>
              <w:rPr>
                <w:b/>
                <w:bCs/>
                <w:color w:val="FFFFFF"/>
                <w:szCs w:val="20"/>
                <w:lang w:val="en-US"/>
              </w:rPr>
            </w:pPr>
            <w:r w:rsidRPr="00C547BF">
              <w:rPr>
                <w:b/>
                <w:bCs/>
                <w:color w:val="FFFFFF"/>
                <w:szCs w:val="20"/>
                <w:lang w:val="en-US"/>
              </w:rPr>
              <w:t>Duplication of proceedings and international res judicata</w:t>
            </w:r>
          </w:p>
        </w:tc>
        <w:tc>
          <w:tcPr>
            <w:tcW w:w="5575" w:type="dxa"/>
            <w:shd w:val="clear" w:color="auto" w:fill="auto"/>
            <w:vAlign w:val="center"/>
          </w:tcPr>
          <w:p w14:paraId="290B7860" w14:textId="77777777" w:rsidR="00171179" w:rsidRPr="00C547BF" w:rsidRDefault="00171179" w:rsidP="007144FF">
            <w:pPr>
              <w:rPr>
                <w:rFonts w:cs="Univers"/>
                <w:color w:val="0D0D0D"/>
                <w:szCs w:val="20"/>
                <w:lang w:val="es-ES_tradnl"/>
              </w:rPr>
            </w:pPr>
            <w:r w:rsidRPr="00C547BF">
              <w:rPr>
                <w:rFonts w:cs="Univers"/>
                <w:color w:val="0D0D0D"/>
                <w:szCs w:val="20"/>
                <w:lang w:val="es-ES_tradnl"/>
              </w:rPr>
              <w:t>No</w:t>
            </w:r>
          </w:p>
        </w:tc>
      </w:tr>
    </w:tbl>
    <w:p w14:paraId="360D3EFE" w14:textId="77777777" w:rsidR="00171179" w:rsidRPr="00C547BF" w:rsidRDefault="00171179" w:rsidP="008235E9">
      <w:pPr>
        <w:pStyle w:val="Ttulo2"/>
        <w:numPr>
          <w:ilvl w:val="0"/>
          <w:numId w:val="0"/>
        </w:numPr>
        <w:spacing w:before="0"/>
        <w:ind w:left="360"/>
        <w:rPr>
          <w:lang w:val="es-ES_tradnl"/>
        </w:rPr>
      </w:pPr>
      <w:bookmarkStart w:id="14" w:name="_Toc121911918"/>
      <w:bookmarkEnd w:id="14"/>
    </w:p>
    <w:p w14:paraId="35366DF1" w14:textId="77777777" w:rsidR="00171179" w:rsidRPr="00C547BF" w:rsidRDefault="00171179" w:rsidP="005B1406">
      <w:pPr>
        <w:pStyle w:val="Ttulo2"/>
        <w:numPr>
          <w:ilvl w:val="0"/>
          <w:numId w:val="0"/>
        </w:numPr>
        <w:spacing w:before="0"/>
        <w:ind w:left="360"/>
        <w:rPr>
          <w:lang w:val="en-US"/>
        </w:rPr>
      </w:pPr>
      <w:bookmarkStart w:id="15" w:name="_Toc110398963"/>
      <w:bookmarkStart w:id="16" w:name="_Toc136860052"/>
      <w:r w:rsidRPr="00C547BF">
        <w:rPr>
          <w:lang w:val="en-US"/>
        </w:rPr>
        <w:t xml:space="preserve">B. </w:t>
      </w:r>
      <w:r w:rsidRPr="00C547BF">
        <w:rPr>
          <w:lang w:val="en-US"/>
        </w:rPr>
        <w:tab/>
      </w:r>
      <w:bookmarkStart w:id="17" w:name="_Toc110398964"/>
      <w:bookmarkEnd w:id="15"/>
      <w:r w:rsidRPr="00C547BF">
        <w:rPr>
          <w:lang w:val="en-US"/>
        </w:rPr>
        <w:t>Exhaustion of domestic remedies and filing deadlines</w:t>
      </w:r>
      <w:bookmarkEnd w:id="16"/>
      <w:r w:rsidRPr="00C547BF">
        <w:rPr>
          <w:lang w:val="en-US"/>
        </w:rPr>
        <w:t xml:space="preserve"> </w:t>
      </w:r>
      <w:bookmarkEnd w:id="17"/>
    </w:p>
    <w:p w14:paraId="04247DF6" w14:textId="77777777" w:rsidR="00171179" w:rsidRPr="00C547BF" w:rsidRDefault="00171179" w:rsidP="005734F3">
      <w:pPr>
        <w:pStyle w:val="parrafos"/>
        <w:rPr>
          <w:lang w:val="en-US"/>
        </w:rPr>
      </w:pPr>
    </w:p>
    <w:p w14:paraId="0700FDD1"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Article 31(1) of the IACHR Rules of Procedure requires prior exhaustion of the remedies available under domestic law in accordance with generally recognized principles of international law, as a requirement for the admission of the claims presented in the petition. The purpose of this requirement is to allow the national authorities to take cognizance of the alleged violation of a protected right and, if appropriate, to resolve the situation before it is heard by an international body. For its part, Article 31(2) of the Rules of Procedure provides that the requirement of prior exhaustion of domestic remedies is not applicable when: </w:t>
      </w:r>
      <w:proofErr w:type="spellStart"/>
      <w:r w:rsidRPr="00C547BF">
        <w:rPr>
          <w:szCs w:val="20"/>
          <w:lang w:val="en-US"/>
        </w:rPr>
        <w:t>i</w:t>
      </w:r>
      <w:proofErr w:type="spellEnd"/>
      <w:r w:rsidRPr="00C547BF">
        <w:rPr>
          <w:szCs w:val="20"/>
          <w:lang w:val="en-US"/>
        </w:rPr>
        <w:t>) the domestic legislation of the State concerned does not afford due process of law for the protection of the right or rights alleged to have been violated; ii) the alleged victim has not been allowed access to domestic remedies or has been prevented from exhausting them; or iii) there has been unwarranted delay in rendering a decision on the aforementioned remedies</w:t>
      </w:r>
      <w:r w:rsidRPr="00C547BF">
        <w:rPr>
          <w:rStyle w:val="Refdenotaalpie"/>
          <w:szCs w:val="20"/>
        </w:rPr>
        <w:footnoteReference w:id="3"/>
      </w:r>
      <w:r w:rsidRPr="00C547BF">
        <w:rPr>
          <w:szCs w:val="20"/>
          <w:lang w:val="en-US"/>
        </w:rPr>
        <w:t xml:space="preserve"> .</w:t>
      </w:r>
    </w:p>
    <w:p w14:paraId="4C15FE49" w14:textId="77777777" w:rsidR="00171179" w:rsidRPr="00C547BF" w:rsidRDefault="00171179" w:rsidP="005734F3">
      <w:pPr>
        <w:pStyle w:val="parrafos"/>
        <w:rPr>
          <w:lang w:val="en-US"/>
        </w:rPr>
      </w:pPr>
    </w:p>
    <w:p w14:paraId="02C91BAD"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In the instant case, the Commission notes that a criminal proceeding was initiated in connection with the deaths of Mr. </w:t>
      </w:r>
      <w:proofErr w:type="spellStart"/>
      <w:r w:rsidRPr="00C547BF">
        <w:rPr>
          <w:szCs w:val="20"/>
          <w:lang w:val="en-US"/>
        </w:rPr>
        <w:t>Payá</w:t>
      </w:r>
      <w:proofErr w:type="spellEnd"/>
      <w:r w:rsidRPr="00C547BF">
        <w:rPr>
          <w:szCs w:val="20"/>
          <w:lang w:val="en-US"/>
        </w:rPr>
        <w:t xml:space="preserve"> and Mr. Cepero. According to the information provided by the petitioner, </w:t>
      </w:r>
      <w:r w:rsidRPr="00C547BF">
        <w:rPr>
          <w:w w:val="105"/>
          <w:szCs w:val="20"/>
          <w:lang w:val="en-US"/>
        </w:rPr>
        <w:t xml:space="preserve">a conviction was handed down </w:t>
      </w:r>
      <w:r w:rsidRPr="00C547BF">
        <w:rPr>
          <w:szCs w:val="20"/>
          <w:lang w:val="en-US"/>
        </w:rPr>
        <w:t xml:space="preserve">on </w:t>
      </w:r>
      <w:r w:rsidRPr="00C547BF">
        <w:rPr>
          <w:w w:val="105"/>
          <w:szCs w:val="20"/>
          <w:lang w:val="en-US"/>
        </w:rPr>
        <w:t xml:space="preserve">October 15, 2012. The IACHR observes that there are no other remedies pending at the domestic level, and therefore considers that the petitioner has exhausted domestic remedies in accordance with </w:t>
      </w:r>
      <w:r w:rsidRPr="00C547BF">
        <w:rPr>
          <w:szCs w:val="20"/>
          <w:lang w:val="en-US"/>
        </w:rPr>
        <w:t xml:space="preserve">Article 31(1) of the IACHR Rules of Procedure. Furthermore, </w:t>
      </w:r>
      <w:proofErr w:type="gramStart"/>
      <w:r w:rsidRPr="00C547BF">
        <w:rPr>
          <w:szCs w:val="20"/>
          <w:lang w:val="en-US"/>
        </w:rPr>
        <w:t>taking into account</w:t>
      </w:r>
      <w:proofErr w:type="gramEnd"/>
      <w:r w:rsidRPr="00C547BF">
        <w:rPr>
          <w:szCs w:val="20"/>
          <w:lang w:val="en-US"/>
        </w:rPr>
        <w:t xml:space="preserve"> that the </w:t>
      </w:r>
      <w:r w:rsidRPr="00C547BF">
        <w:rPr>
          <w:szCs w:val="20"/>
          <w:lang w:val="en-US"/>
        </w:rPr>
        <w:lastRenderedPageBreak/>
        <w:t xml:space="preserve">petition was lodged on April 15, 2013, the Commission considers that it was lodged within the six-month period in accordance with Article 32(1) of its Rules of Procedure. </w:t>
      </w:r>
    </w:p>
    <w:p w14:paraId="78377790" w14:textId="77777777" w:rsidR="00171179" w:rsidRPr="00C547BF" w:rsidRDefault="00171179" w:rsidP="005734F3">
      <w:pPr>
        <w:pStyle w:val="parrafos"/>
        <w:rPr>
          <w:lang w:val="en-US"/>
        </w:rPr>
      </w:pPr>
    </w:p>
    <w:p w14:paraId="02F2C69B" w14:textId="77777777" w:rsidR="00171179" w:rsidRPr="00C547BF" w:rsidRDefault="00171179" w:rsidP="007C0ED5">
      <w:pPr>
        <w:pStyle w:val="Ttulo3"/>
        <w:numPr>
          <w:ilvl w:val="0"/>
          <w:numId w:val="0"/>
        </w:numPr>
        <w:spacing w:before="0"/>
        <w:ind w:left="360"/>
        <w:rPr>
          <w:lang w:val="en-US"/>
        </w:rPr>
      </w:pPr>
      <w:bookmarkStart w:id="18" w:name="_Toc110398966"/>
      <w:bookmarkStart w:id="19" w:name="_Toc136860053"/>
      <w:r w:rsidRPr="00C547BF">
        <w:rPr>
          <w:lang w:val="en-US"/>
        </w:rPr>
        <w:t xml:space="preserve">C. </w:t>
      </w:r>
      <w:r w:rsidRPr="00C547BF">
        <w:rPr>
          <w:lang w:val="en-US"/>
        </w:rPr>
        <w:tab/>
        <w:t>Characterization of the alleged facts</w:t>
      </w:r>
      <w:bookmarkEnd w:id="18"/>
      <w:bookmarkEnd w:id="19"/>
    </w:p>
    <w:p w14:paraId="36B9D318" w14:textId="77777777" w:rsidR="00171179" w:rsidRPr="00C547BF" w:rsidRDefault="00171179" w:rsidP="005734F3">
      <w:pPr>
        <w:pStyle w:val="parrafos"/>
        <w:rPr>
          <w:rFonts w:eastAsia="SimSun"/>
          <w:lang w:val="en-US"/>
        </w:rPr>
      </w:pPr>
    </w:p>
    <w:p w14:paraId="11E40EB3" w14:textId="41D68B40" w:rsidR="00171179" w:rsidRPr="00C547BF" w:rsidRDefault="00171179" w:rsidP="00563529">
      <w:pPr>
        <w:numPr>
          <w:ilvl w:val="0"/>
          <w:numId w:val="62"/>
        </w:numPr>
        <w:tabs>
          <w:tab w:val="clear" w:pos="720"/>
          <w:tab w:val="num" w:pos="360"/>
        </w:tabs>
        <w:suppressAutoHyphens/>
        <w:spacing w:after="0"/>
        <w:ind w:firstLine="0"/>
        <w:rPr>
          <w:color w:val="000000"/>
          <w:szCs w:val="20"/>
          <w:lang w:val="en-US"/>
        </w:rPr>
      </w:pPr>
      <w:r w:rsidRPr="00C547BF">
        <w:rPr>
          <w:rFonts w:cs="Arial"/>
          <w:szCs w:val="20"/>
          <w:lang w:val="en-US"/>
        </w:rPr>
        <w:t xml:space="preserve">In </w:t>
      </w:r>
      <w:r w:rsidRPr="00C547BF">
        <w:rPr>
          <w:rFonts w:eastAsia="SimSun"/>
          <w:szCs w:val="20"/>
          <w:lang w:val="en-US"/>
        </w:rPr>
        <w:t xml:space="preserve">view of the allegations presented by the petitioner, the IACHR considers that </w:t>
      </w:r>
      <w:r w:rsidRPr="00C547BF">
        <w:rPr>
          <w:szCs w:val="20"/>
          <w:lang w:val="en-US"/>
        </w:rPr>
        <w:t xml:space="preserve">violations of </w:t>
      </w:r>
      <w:r w:rsidRPr="00C547BF">
        <w:rPr>
          <w:rFonts w:eastAsia="SimSun"/>
          <w:szCs w:val="20"/>
          <w:lang w:val="en-US"/>
        </w:rPr>
        <w:t>the rights protected in Articles I</w:t>
      </w:r>
      <w:r w:rsidR="008B625F" w:rsidRPr="00C547BF">
        <w:rPr>
          <w:rFonts w:eastAsia="SimSun"/>
          <w:szCs w:val="20"/>
          <w:lang w:val="en-US"/>
        </w:rPr>
        <w:t xml:space="preserve"> (Right to life, liberty and personal security)</w:t>
      </w:r>
      <w:r w:rsidRPr="00C547BF">
        <w:rPr>
          <w:rFonts w:eastAsia="SimSun"/>
          <w:szCs w:val="20"/>
          <w:lang w:val="en-US"/>
        </w:rPr>
        <w:t xml:space="preserve">, </w:t>
      </w:r>
      <w:r w:rsidRPr="00C547BF">
        <w:rPr>
          <w:rFonts w:cs="Cambria"/>
          <w:color w:val="000000"/>
          <w:szCs w:val="20"/>
          <w:u w:color="000000"/>
          <w:lang w:val="en-US" w:eastAsia="es-ES"/>
        </w:rPr>
        <w:t>IV</w:t>
      </w:r>
      <w:r w:rsidR="008B625F" w:rsidRPr="00C547BF">
        <w:rPr>
          <w:rFonts w:cs="Cambria"/>
          <w:color w:val="000000"/>
          <w:szCs w:val="20"/>
          <w:u w:color="000000"/>
          <w:lang w:val="en-US" w:eastAsia="es-ES"/>
        </w:rPr>
        <w:t xml:space="preserve"> (</w:t>
      </w:r>
      <w:r w:rsidR="009B3250" w:rsidRPr="00C547BF">
        <w:rPr>
          <w:rFonts w:cs="Cambria"/>
          <w:color w:val="000000"/>
          <w:szCs w:val="20"/>
          <w:u w:color="000000"/>
          <w:lang w:val="en-US" w:eastAsia="es-ES"/>
        </w:rPr>
        <w:t>Right to freedom of investigation, opinion, expression and dissemination)</w:t>
      </w:r>
      <w:r w:rsidRPr="00C547BF">
        <w:rPr>
          <w:rFonts w:cs="Cambria"/>
          <w:color w:val="000000"/>
          <w:szCs w:val="20"/>
          <w:u w:color="000000"/>
          <w:lang w:val="en-US" w:eastAsia="es-ES"/>
        </w:rPr>
        <w:t>, V</w:t>
      </w:r>
      <w:r w:rsidR="009B3250" w:rsidRPr="00C547BF">
        <w:rPr>
          <w:rFonts w:cs="Cambria"/>
          <w:color w:val="000000"/>
          <w:szCs w:val="20"/>
          <w:u w:color="000000"/>
          <w:lang w:val="en-US" w:eastAsia="es-ES"/>
        </w:rPr>
        <w:t xml:space="preserve"> (Right to protection of honor, personal reputation, and private and family life)</w:t>
      </w:r>
      <w:r w:rsidRPr="00C547BF">
        <w:rPr>
          <w:rFonts w:cs="Cambria"/>
          <w:color w:val="000000"/>
          <w:szCs w:val="20"/>
          <w:u w:color="000000"/>
          <w:lang w:val="en-US" w:eastAsia="es-ES"/>
        </w:rPr>
        <w:t>, VIII</w:t>
      </w:r>
      <w:r w:rsidR="009B3250" w:rsidRPr="00C547BF">
        <w:rPr>
          <w:rFonts w:cs="Cambria"/>
          <w:color w:val="000000"/>
          <w:szCs w:val="20"/>
          <w:u w:color="000000"/>
          <w:lang w:val="en-US" w:eastAsia="es-ES"/>
        </w:rPr>
        <w:t xml:space="preserve"> (</w:t>
      </w:r>
      <w:r w:rsidR="00B345DA" w:rsidRPr="00C547BF">
        <w:rPr>
          <w:rFonts w:cs="Cambria"/>
          <w:color w:val="000000"/>
          <w:szCs w:val="20"/>
          <w:u w:color="000000"/>
          <w:lang w:val="en-US" w:eastAsia="es-ES"/>
        </w:rPr>
        <w:t>Right to residence and movement)</w:t>
      </w:r>
      <w:r w:rsidRPr="00C547BF">
        <w:rPr>
          <w:rFonts w:cs="Cambria"/>
          <w:color w:val="000000"/>
          <w:szCs w:val="20"/>
          <w:u w:color="000000"/>
          <w:lang w:val="en-US" w:eastAsia="es-ES"/>
        </w:rPr>
        <w:t>, IX</w:t>
      </w:r>
      <w:r w:rsidR="00B345DA" w:rsidRPr="00C547BF">
        <w:rPr>
          <w:rFonts w:cs="Cambria"/>
          <w:color w:val="000000"/>
          <w:szCs w:val="20"/>
          <w:u w:color="000000"/>
          <w:lang w:val="en-US" w:eastAsia="es-ES"/>
        </w:rPr>
        <w:t xml:space="preserve"> (Right to inviolability of the home)</w:t>
      </w:r>
      <w:r w:rsidRPr="00C547BF">
        <w:rPr>
          <w:rFonts w:cs="Cambria"/>
          <w:color w:val="000000"/>
          <w:szCs w:val="20"/>
          <w:u w:color="000000"/>
          <w:lang w:val="en-US" w:eastAsia="es-ES"/>
        </w:rPr>
        <w:t>, X</w:t>
      </w:r>
      <w:r w:rsidR="00B345DA" w:rsidRPr="00C547BF">
        <w:rPr>
          <w:rFonts w:cs="Cambria"/>
          <w:color w:val="000000"/>
          <w:szCs w:val="20"/>
          <w:u w:color="000000"/>
          <w:lang w:val="en-US" w:eastAsia="es-ES"/>
        </w:rPr>
        <w:t xml:space="preserve"> (</w:t>
      </w:r>
      <w:r w:rsidR="00AC4A41" w:rsidRPr="00C547BF">
        <w:rPr>
          <w:rFonts w:cs="Cambria"/>
          <w:color w:val="000000"/>
          <w:szCs w:val="20"/>
          <w:u w:color="000000"/>
          <w:lang w:val="en-US" w:eastAsia="es-ES"/>
        </w:rPr>
        <w:t>Right to the inviolability and transmission of correspondence)</w:t>
      </w:r>
      <w:r w:rsidRPr="00C547BF">
        <w:rPr>
          <w:rFonts w:cs="Cambria"/>
          <w:color w:val="000000"/>
          <w:szCs w:val="20"/>
          <w:u w:color="000000"/>
          <w:lang w:val="en-US" w:eastAsia="es-ES"/>
        </w:rPr>
        <w:t>, XVIII</w:t>
      </w:r>
      <w:r w:rsidR="00AC4A41" w:rsidRPr="00C547BF">
        <w:rPr>
          <w:rFonts w:cs="Cambria"/>
          <w:color w:val="000000"/>
          <w:szCs w:val="20"/>
          <w:u w:color="000000"/>
          <w:lang w:val="en-US" w:eastAsia="es-ES"/>
        </w:rPr>
        <w:t xml:space="preserve"> (Right to a fair trial)</w:t>
      </w:r>
      <w:r w:rsidRPr="00C547BF">
        <w:rPr>
          <w:rFonts w:cs="Cambria"/>
          <w:color w:val="000000"/>
          <w:szCs w:val="20"/>
          <w:u w:color="000000"/>
          <w:lang w:val="en-US" w:eastAsia="es-ES"/>
        </w:rPr>
        <w:t>, XXI</w:t>
      </w:r>
      <w:r w:rsidR="00AC4A41" w:rsidRPr="00C547BF">
        <w:rPr>
          <w:rFonts w:cs="Cambria"/>
          <w:color w:val="000000"/>
          <w:szCs w:val="20"/>
          <w:u w:color="000000"/>
          <w:lang w:val="en-US" w:eastAsia="es-ES"/>
        </w:rPr>
        <w:t xml:space="preserve"> (</w:t>
      </w:r>
      <w:r w:rsidR="009F6C77" w:rsidRPr="00C547BF">
        <w:rPr>
          <w:rFonts w:cs="Cambria"/>
          <w:color w:val="000000"/>
          <w:szCs w:val="20"/>
          <w:u w:color="000000"/>
          <w:lang w:val="en-US" w:eastAsia="es-ES"/>
        </w:rPr>
        <w:t>Right of assembly)</w:t>
      </w:r>
      <w:r w:rsidRPr="00C547BF">
        <w:rPr>
          <w:rFonts w:cs="Cambria"/>
          <w:color w:val="000000"/>
          <w:szCs w:val="20"/>
          <w:u w:color="000000"/>
          <w:lang w:val="en-US" w:eastAsia="es-ES"/>
        </w:rPr>
        <w:t>, XXII</w:t>
      </w:r>
      <w:r w:rsidR="009F6C77" w:rsidRPr="00C547BF">
        <w:rPr>
          <w:rFonts w:cs="Cambria"/>
          <w:color w:val="000000"/>
          <w:szCs w:val="20"/>
          <w:u w:color="000000"/>
          <w:lang w:val="en-US" w:eastAsia="es-ES"/>
        </w:rPr>
        <w:t xml:space="preserve"> (Right of association) </w:t>
      </w:r>
      <w:r w:rsidRPr="00C547BF">
        <w:rPr>
          <w:rFonts w:cs="Cambria"/>
          <w:color w:val="000000"/>
          <w:szCs w:val="20"/>
          <w:u w:color="000000"/>
          <w:lang w:val="en-US" w:eastAsia="es-ES"/>
        </w:rPr>
        <w:t>, XXIV</w:t>
      </w:r>
      <w:r w:rsidR="009F6C77" w:rsidRPr="00C547BF">
        <w:rPr>
          <w:rFonts w:cs="Cambria"/>
          <w:color w:val="000000"/>
          <w:szCs w:val="20"/>
          <w:u w:color="000000"/>
          <w:lang w:val="en-US" w:eastAsia="es-ES"/>
        </w:rPr>
        <w:t xml:space="preserve"> (Right of petition)</w:t>
      </w:r>
      <w:r w:rsidRPr="00C547BF">
        <w:rPr>
          <w:rFonts w:cs="Cambria"/>
          <w:color w:val="000000"/>
          <w:szCs w:val="20"/>
          <w:u w:color="000000"/>
          <w:lang w:val="en-US" w:eastAsia="es-ES"/>
        </w:rPr>
        <w:t>, XXV</w:t>
      </w:r>
      <w:r w:rsidR="009F6C77" w:rsidRPr="00C547BF">
        <w:rPr>
          <w:rFonts w:cs="Cambria"/>
          <w:color w:val="000000"/>
          <w:szCs w:val="20"/>
          <w:u w:color="000000"/>
          <w:lang w:val="en-US" w:eastAsia="es-ES"/>
        </w:rPr>
        <w:t xml:space="preserve"> (</w:t>
      </w:r>
      <w:r w:rsidR="00C35BBC" w:rsidRPr="00C547BF">
        <w:rPr>
          <w:rFonts w:cs="Cambria"/>
          <w:color w:val="000000"/>
          <w:szCs w:val="20"/>
          <w:u w:color="000000"/>
          <w:lang w:val="en-US" w:eastAsia="es-ES"/>
        </w:rPr>
        <w:t>Right of protection from arbitrary arrest)</w:t>
      </w:r>
      <w:r w:rsidRPr="00C547BF">
        <w:rPr>
          <w:rFonts w:cs="Cambria"/>
          <w:color w:val="000000"/>
          <w:szCs w:val="20"/>
          <w:u w:color="000000"/>
          <w:lang w:val="en-US" w:eastAsia="es-ES"/>
        </w:rPr>
        <w:t xml:space="preserve"> and XXVI</w:t>
      </w:r>
      <w:r w:rsidR="00C35BBC" w:rsidRPr="00C547BF">
        <w:rPr>
          <w:rFonts w:cs="Cambria"/>
          <w:color w:val="000000"/>
          <w:szCs w:val="20"/>
          <w:u w:color="000000"/>
          <w:lang w:val="en-US" w:eastAsia="es-ES"/>
        </w:rPr>
        <w:t xml:space="preserve"> (Right to due process of law)</w:t>
      </w:r>
      <w:r w:rsidRPr="00C547BF">
        <w:rPr>
          <w:rFonts w:cs="Cambria"/>
          <w:color w:val="000000"/>
          <w:szCs w:val="20"/>
          <w:u w:color="000000"/>
          <w:lang w:val="en-US" w:eastAsia="es-ES"/>
        </w:rPr>
        <w:t xml:space="preserve"> of the American Declaration </w:t>
      </w:r>
      <w:r w:rsidRPr="00C547BF">
        <w:rPr>
          <w:rFonts w:eastAsia="SimSun"/>
          <w:szCs w:val="20"/>
          <w:lang w:val="en-US"/>
        </w:rPr>
        <w:t xml:space="preserve">of the Rights and Duties of Man can be characterized. </w:t>
      </w:r>
    </w:p>
    <w:p w14:paraId="75149E60" w14:textId="77777777" w:rsidR="00171179" w:rsidRPr="00C547BF" w:rsidRDefault="00171179" w:rsidP="005734F3">
      <w:pPr>
        <w:pStyle w:val="parrafos"/>
        <w:rPr>
          <w:rFonts w:eastAsia="SimSun"/>
          <w:lang w:val="en-US"/>
        </w:rPr>
      </w:pPr>
    </w:p>
    <w:p w14:paraId="330CAF4E" w14:textId="77777777" w:rsidR="00171179" w:rsidRPr="00C547BF" w:rsidRDefault="00171179" w:rsidP="00563529">
      <w:pPr>
        <w:pStyle w:val="Ttulo1"/>
        <w:numPr>
          <w:ilvl w:val="0"/>
          <w:numId w:val="3"/>
        </w:numPr>
        <w:tabs>
          <w:tab w:val="left" w:pos="360"/>
        </w:tabs>
        <w:ind w:left="0" w:firstLine="0"/>
        <w:rPr>
          <w:lang w:val="es-ES_tradnl"/>
        </w:rPr>
      </w:pPr>
      <w:bookmarkStart w:id="20" w:name="_Toc136860054"/>
      <w:bookmarkStart w:id="21" w:name="_Toc77597620"/>
      <w:bookmarkStart w:id="22" w:name="_Toc105404458"/>
      <w:bookmarkStart w:id="23" w:name="_Toc110398967"/>
      <w:r w:rsidRPr="00C547BF">
        <w:rPr>
          <w:lang w:val="es-ES_tradnl"/>
        </w:rPr>
        <w:t>FINDINGS OF FACT</w:t>
      </w:r>
      <w:bookmarkEnd w:id="20"/>
      <w:r w:rsidRPr="00C547BF">
        <w:rPr>
          <w:lang w:val="es-ES_tradnl"/>
        </w:rPr>
        <w:t xml:space="preserve"> </w:t>
      </w:r>
      <w:bookmarkEnd w:id="21"/>
      <w:bookmarkEnd w:id="22"/>
      <w:bookmarkEnd w:id="23"/>
    </w:p>
    <w:p w14:paraId="08AE0281" w14:textId="77777777" w:rsidR="00171179" w:rsidRPr="00C547BF" w:rsidRDefault="00171179" w:rsidP="00171179">
      <w:pPr>
        <w:pStyle w:val="NormalWeb"/>
        <w:spacing w:before="0" w:beforeAutospacing="0" w:after="0" w:afterAutospacing="0"/>
        <w:jc w:val="both"/>
        <w:textAlignment w:val="baseline"/>
        <w:rPr>
          <w:rFonts w:ascii="Cambria" w:hAnsi="Cambria" w:cs="Arial"/>
          <w:color w:val="2B2B2B"/>
          <w:lang w:val="es-ES_tradnl"/>
        </w:rPr>
      </w:pPr>
    </w:p>
    <w:p w14:paraId="16A2C710" w14:textId="77777777" w:rsidR="00171179" w:rsidRPr="00C547BF" w:rsidRDefault="00171179" w:rsidP="00583E53">
      <w:pPr>
        <w:pStyle w:val="Ttulo2"/>
        <w:numPr>
          <w:ilvl w:val="0"/>
          <w:numId w:val="0"/>
        </w:numPr>
        <w:tabs>
          <w:tab w:val="left" w:pos="360"/>
        </w:tabs>
        <w:spacing w:before="0"/>
        <w:rPr>
          <w:rFonts w:eastAsia="Arial Unicode MS"/>
          <w:lang w:val="en-US"/>
        </w:rPr>
      </w:pPr>
      <w:bookmarkStart w:id="24" w:name="_Toc77597622"/>
      <w:bookmarkStart w:id="25" w:name="_Toc105404459"/>
      <w:bookmarkStart w:id="26" w:name="_Toc110398968"/>
      <w:bookmarkStart w:id="27" w:name="_Toc136860055"/>
      <w:r w:rsidRPr="00C547BF">
        <w:rPr>
          <w:rFonts w:eastAsia="Arial Unicode MS"/>
          <w:lang w:val="en-US"/>
        </w:rPr>
        <w:t xml:space="preserve">A. </w:t>
      </w:r>
      <w:r w:rsidRPr="00C547BF">
        <w:rPr>
          <w:rFonts w:eastAsia="Arial Unicode MS"/>
          <w:lang w:val="en-US"/>
        </w:rPr>
        <w:tab/>
        <w:t>Context of persecution of political dissidents and human rights defenders in Cuba</w:t>
      </w:r>
      <w:bookmarkEnd w:id="24"/>
      <w:bookmarkEnd w:id="25"/>
      <w:bookmarkEnd w:id="26"/>
      <w:bookmarkEnd w:id="27"/>
    </w:p>
    <w:p w14:paraId="7DBB6D20" w14:textId="77777777" w:rsidR="00171179" w:rsidRPr="00C547BF" w:rsidRDefault="00171179" w:rsidP="00171179">
      <w:pPr>
        <w:rPr>
          <w:szCs w:val="20"/>
          <w:lang w:val="en-US"/>
        </w:rPr>
      </w:pPr>
    </w:p>
    <w:p w14:paraId="1A566D4C"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The Commission emphasizes that in the framework of its monitoring functions, as well as in the system of petitions and cases, it has pronounced itself on the situation in Cuba in relation to the persecution of political dissidents, journalists, </w:t>
      </w:r>
      <w:proofErr w:type="gramStart"/>
      <w:r w:rsidRPr="00C547BF">
        <w:rPr>
          <w:szCs w:val="20"/>
          <w:lang w:val="en-US"/>
        </w:rPr>
        <w:t>artists</w:t>
      </w:r>
      <w:proofErr w:type="gramEnd"/>
      <w:r w:rsidRPr="00C547BF">
        <w:rPr>
          <w:szCs w:val="20"/>
          <w:lang w:val="en-US"/>
        </w:rPr>
        <w:t xml:space="preserve"> and human rights defenders. Thus, it has considered that in Cuba there is a legal framework and an exercise of political power by state forces that limit political pluralism</w:t>
      </w:r>
      <w:r w:rsidRPr="00C547BF">
        <w:rPr>
          <w:rStyle w:val="Refdenotaalpie"/>
          <w:szCs w:val="20"/>
        </w:rPr>
        <w:footnoteReference w:id="4"/>
      </w:r>
      <w:r w:rsidRPr="00C547BF">
        <w:rPr>
          <w:szCs w:val="20"/>
          <w:lang w:val="en-US"/>
        </w:rPr>
        <w:t xml:space="preserve"> . This has generated a lack of spaces that allow the participation of a plurality of lines of thought and expression</w:t>
      </w:r>
      <w:r w:rsidRPr="00C547BF">
        <w:rPr>
          <w:rStyle w:val="Refdenotaalpie"/>
          <w:szCs w:val="20"/>
        </w:rPr>
        <w:footnoteReference w:id="5"/>
      </w:r>
      <w:r w:rsidRPr="00C547BF">
        <w:rPr>
          <w:spacing w:val="-1"/>
          <w:szCs w:val="20"/>
          <w:lang w:val="en-US"/>
        </w:rPr>
        <w:t xml:space="preserve"> . The Commission has maintained that in Cuba </w:t>
      </w:r>
      <w:r w:rsidRPr="00C547BF">
        <w:rPr>
          <w:szCs w:val="20"/>
          <w:lang w:val="en-US"/>
        </w:rPr>
        <w:t>there is an absence of essential elements of representative democracy and its institutions that "allow genuine political participation of sectors of diverse lines of thought; in particular, the holding of elections lacking plurality and independence, obstacles that prevent free access to diverse sources of information"</w:t>
      </w:r>
      <w:r w:rsidRPr="00C547BF">
        <w:rPr>
          <w:rStyle w:val="Refdenotaalpie"/>
          <w:szCs w:val="20"/>
        </w:rPr>
        <w:footnoteReference w:id="6"/>
      </w:r>
      <w:r w:rsidRPr="00C547BF">
        <w:rPr>
          <w:szCs w:val="20"/>
          <w:lang w:val="en-US"/>
        </w:rPr>
        <w:t xml:space="preserve"> . </w:t>
      </w:r>
    </w:p>
    <w:p w14:paraId="00ABBC14" w14:textId="77777777" w:rsidR="00171179" w:rsidRPr="00C547BF" w:rsidRDefault="00171179" w:rsidP="00171179">
      <w:pPr>
        <w:suppressAutoHyphens/>
        <w:rPr>
          <w:szCs w:val="20"/>
          <w:lang w:val="en-US"/>
        </w:rPr>
      </w:pPr>
    </w:p>
    <w:p w14:paraId="575AF8F9"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Likewise, the Commission has identified that violations of the rights to freedom of expression and association have been institutionalized "as a policy of the Cuban State to prevent any critical position contrary to the regime or to the political, labor, educational, etc. situation"</w:t>
      </w:r>
      <w:r w:rsidRPr="00C547BF">
        <w:rPr>
          <w:rStyle w:val="Refdenotaalpie"/>
          <w:szCs w:val="20"/>
        </w:rPr>
        <w:footnoteReference w:id="7"/>
      </w:r>
      <w:r w:rsidRPr="00C547BF">
        <w:rPr>
          <w:szCs w:val="20"/>
          <w:lang w:val="en-US"/>
        </w:rPr>
        <w:t xml:space="preserve"> . Consequently, the Commission has determined that "intolerance continues to be the rule of the Cuban authorities towards any form of criticism or opposition, and the main limitation to fundamental rights and freedoms"</w:t>
      </w:r>
      <w:r w:rsidRPr="00C547BF">
        <w:rPr>
          <w:rStyle w:val="Refdenotaalpie"/>
          <w:szCs w:val="20"/>
        </w:rPr>
        <w:footnoteReference w:id="8"/>
      </w:r>
      <w:r w:rsidRPr="00C547BF">
        <w:rPr>
          <w:szCs w:val="20"/>
          <w:lang w:val="en-US"/>
        </w:rPr>
        <w:t xml:space="preserve"> .</w:t>
      </w:r>
    </w:p>
    <w:p w14:paraId="580E3AA7" w14:textId="77777777" w:rsidR="00171179" w:rsidRPr="00C547BF" w:rsidRDefault="00171179" w:rsidP="00171179">
      <w:pPr>
        <w:pStyle w:val="Prrafodelista"/>
        <w:autoSpaceDE w:val="0"/>
        <w:autoSpaceDN w:val="0"/>
        <w:adjustRightInd w:val="0"/>
        <w:rPr>
          <w:szCs w:val="20"/>
          <w:lang w:val="en-US"/>
        </w:rPr>
      </w:pPr>
    </w:p>
    <w:p w14:paraId="34ED07F0"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The Commission has also received information </w:t>
      </w:r>
      <w:proofErr w:type="gramStart"/>
      <w:r w:rsidRPr="00C547BF">
        <w:rPr>
          <w:szCs w:val="20"/>
          <w:lang w:val="en-US"/>
        </w:rPr>
        <w:t>on the situation of</w:t>
      </w:r>
      <w:proofErr w:type="gramEnd"/>
      <w:r w:rsidRPr="00C547BF">
        <w:rPr>
          <w:szCs w:val="20"/>
          <w:lang w:val="en-US"/>
        </w:rPr>
        <w:t xml:space="preserve"> political dissidents and human rights defenders who face repressive tactics by the Cuban government for denouncing "the lack of political rights and freedoms or simply for seeking to express their opinions and participate in political affairs"</w:t>
      </w:r>
      <w:r w:rsidRPr="00C547BF">
        <w:rPr>
          <w:rStyle w:val="Refdenotaalpie"/>
          <w:szCs w:val="20"/>
        </w:rPr>
        <w:footnoteReference w:id="9"/>
      </w:r>
      <w:r w:rsidRPr="00C547BF">
        <w:rPr>
          <w:szCs w:val="20"/>
          <w:lang w:val="en-US"/>
        </w:rPr>
        <w:t xml:space="preserve"> . Thus, for decades the Cuban government has maintained a strict policy of repression against individuals and groups that attempt to criticize the regime or seek a free exercise of human rights. Thus, it has maintained that in Cuba "it can be categorically stated [...] that there is no right to freedom of expression"</w:t>
      </w:r>
      <w:r w:rsidRPr="00C547BF">
        <w:rPr>
          <w:rStyle w:val="Refdenotaalpie"/>
          <w:szCs w:val="20"/>
        </w:rPr>
        <w:footnoteReference w:id="10"/>
      </w:r>
      <w:r w:rsidRPr="00C547BF">
        <w:rPr>
          <w:szCs w:val="20"/>
          <w:lang w:val="en-US"/>
        </w:rPr>
        <w:t xml:space="preserve"> . The Commission </w:t>
      </w:r>
      <w:r w:rsidRPr="00C547BF">
        <w:rPr>
          <w:spacing w:val="-1"/>
          <w:szCs w:val="20"/>
          <w:lang w:val="en-US"/>
        </w:rPr>
        <w:t xml:space="preserve">has </w:t>
      </w:r>
      <w:r w:rsidRPr="00C547BF">
        <w:rPr>
          <w:szCs w:val="20"/>
          <w:lang w:val="en-US"/>
        </w:rPr>
        <w:t>noted the lack of progress in the situation over a prolonged period of time</w:t>
      </w:r>
      <w:r w:rsidRPr="00C547BF">
        <w:rPr>
          <w:rStyle w:val="Refdenotaalpie"/>
          <w:szCs w:val="20"/>
        </w:rPr>
        <w:footnoteReference w:id="11"/>
      </w:r>
      <w:r w:rsidRPr="00C547BF">
        <w:rPr>
          <w:szCs w:val="20"/>
          <w:lang w:val="en-US"/>
        </w:rPr>
        <w:t xml:space="preserve"> .</w:t>
      </w:r>
    </w:p>
    <w:p w14:paraId="045651EA" w14:textId="77777777" w:rsidR="00171179" w:rsidRPr="00C547BF" w:rsidRDefault="00171179" w:rsidP="00171179">
      <w:pPr>
        <w:pStyle w:val="Prrafodelista"/>
        <w:rPr>
          <w:szCs w:val="20"/>
          <w:lang w:val="en-US"/>
        </w:rPr>
      </w:pPr>
    </w:p>
    <w:p w14:paraId="7E913BAC"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Among the documented practices, the Commission has indicated that "there have been reports of harassment, </w:t>
      </w:r>
      <w:proofErr w:type="gramStart"/>
      <w:r w:rsidRPr="00C547BF">
        <w:rPr>
          <w:szCs w:val="20"/>
          <w:lang w:val="en-US"/>
        </w:rPr>
        <w:t>threats</w:t>
      </w:r>
      <w:proofErr w:type="gramEnd"/>
      <w:r w:rsidRPr="00C547BF">
        <w:rPr>
          <w:szCs w:val="20"/>
          <w:lang w:val="en-US"/>
        </w:rPr>
        <w:t xml:space="preserve"> and reprisals; arbitrary detentions; house searches and confiscation of property, generally </w:t>
      </w:r>
      <w:r w:rsidRPr="00C547BF">
        <w:rPr>
          <w:szCs w:val="20"/>
          <w:lang w:val="en-US"/>
        </w:rPr>
        <w:lastRenderedPageBreak/>
        <w:t>linked to 'fabricated' criminal cases; obstacles to political meetings; undue restrictions on leaving the country and deportations from Havana to other provinces in the interior; as well as stigmatization and discrediting</w:t>
      </w:r>
      <w:r w:rsidRPr="00C547BF">
        <w:rPr>
          <w:rStyle w:val="Refdenotaalpie"/>
          <w:szCs w:val="20"/>
        </w:rPr>
        <w:footnoteReference w:id="12"/>
      </w:r>
      <w:r w:rsidRPr="00C547BF">
        <w:rPr>
          <w:szCs w:val="20"/>
          <w:lang w:val="en-US"/>
        </w:rPr>
        <w:t xml:space="preserve"> .</w:t>
      </w:r>
    </w:p>
    <w:p w14:paraId="24AB2222" w14:textId="77777777" w:rsidR="00171179" w:rsidRPr="00C547BF" w:rsidRDefault="00171179" w:rsidP="00171179">
      <w:pPr>
        <w:pStyle w:val="Textoindependiente"/>
        <w:spacing w:after="0"/>
        <w:ind w:left="720"/>
        <w:jc w:val="both"/>
        <w:rPr>
          <w:rFonts w:ascii="Cambria" w:hAnsi="Cambria"/>
          <w:sz w:val="20"/>
          <w:szCs w:val="20"/>
          <w:lang w:val="en-US"/>
        </w:rPr>
      </w:pPr>
    </w:p>
    <w:p w14:paraId="54493483"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In particular, the Commission has identified two types of restriction and interference that are relevant to this case: a systematic pattern of arbitrary arrests and imprisonment</w:t>
      </w:r>
      <w:r w:rsidRPr="00C547BF">
        <w:rPr>
          <w:rStyle w:val="Refdenotaalpie"/>
          <w:szCs w:val="20"/>
        </w:rPr>
        <w:footnoteReference w:id="13"/>
      </w:r>
      <w:r w:rsidRPr="00C547BF">
        <w:rPr>
          <w:szCs w:val="20"/>
          <w:vertAlign w:val="superscript"/>
          <w:lang w:val="en-US"/>
        </w:rPr>
        <w:t xml:space="preserve"> </w:t>
      </w:r>
      <w:r w:rsidRPr="00C547BF">
        <w:rPr>
          <w:szCs w:val="20"/>
          <w:lang w:val="en-US"/>
        </w:rPr>
        <w:t xml:space="preserve"> and the </w:t>
      </w:r>
      <w:r w:rsidRPr="00C547BF">
        <w:rPr>
          <w:spacing w:val="-1"/>
          <w:szCs w:val="20"/>
          <w:lang w:val="en-US"/>
        </w:rPr>
        <w:t xml:space="preserve">misuse of criminal law </w:t>
      </w:r>
      <w:r w:rsidRPr="00C547BF">
        <w:rPr>
          <w:szCs w:val="20"/>
          <w:lang w:val="en-US"/>
        </w:rPr>
        <w:t>- criminalization - as a mechanism of subsequent liability to the detriment of dissidents and those who express criticism on issues of public or government interest</w:t>
      </w:r>
      <w:r w:rsidRPr="00C547BF">
        <w:rPr>
          <w:rStyle w:val="Refdenotaalpie"/>
          <w:szCs w:val="20"/>
        </w:rPr>
        <w:footnoteReference w:id="14"/>
      </w:r>
      <w:r w:rsidRPr="00C547BF">
        <w:rPr>
          <w:szCs w:val="20"/>
          <w:lang w:val="en-US"/>
        </w:rPr>
        <w:t xml:space="preserve"> . </w:t>
      </w:r>
    </w:p>
    <w:p w14:paraId="17706E58" w14:textId="77777777" w:rsidR="00171179" w:rsidRPr="00C547BF" w:rsidRDefault="00171179" w:rsidP="00CE6125">
      <w:pPr>
        <w:pStyle w:val="Ttulo2"/>
        <w:numPr>
          <w:ilvl w:val="0"/>
          <w:numId w:val="0"/>
        </w:numPr>
        <w:spacing w:before="0"/>
        <w:rPr>
          <w:lang w:val="en-US"/>
        </w:rPr>
      </w:pPr>
      <w:bookmarkStart w:id="28" w:name="_Toc105404461"/>
      <w:bookmarkStart w:id="29" w:name="_Toc110398970"/>
    </w:p>
    <w:p w14:paraId="4F45D6E5" w14:textId="77777777" w:rsidR="00171179" w:rsidRPr="00C547BF" w:rsidRDefault="00171179" w:rsidP="00CE6125">
      <w:pPr>
        <w:pStyle w:val="Ttulo2"/>
        <w:numPr>
          <w:ilvl w:val="0"/>
          <w:numId w:val="0"/>
        </w:numPr>
        <w:tabs>
          <w:tab w:val="left" w:pos="360"/>
        </w:tabs>
        <w:spacing w:before="0"/>
        <w:rPr>
          <w:lang w:val="en-US"/>
        </w:rPr>
      </w:pPr>
      <w:bookmarkStart w:id="30" w:name="_Toc136860056"/>
      <w:r w:rsidRPr="00C547BF">
        <w:rPr>
          <w:lang w:val="en-US"/>
        </w:rPr>
        <w:t xml:space="preserve">B. </w:t>
      </w:r>
      <w:r w:rsidRPr="00C547BF">
        <w:rPr>
          <w:lang w:val="en-US"/>
        </w:rPr>
        <w:tab/>
        <w:t xml:space="preserve">Regarding Oswaldo </w:t>
      </w:r>
      <w:proofErr w:type="spellStart"/>
      <w:r w:rsidRPr="00C547BF">
        <w:rPr>
          <w:lang w:val="en-US"/>
        </w:rPr>
        <w:t>Payá</w:t>
      </w:r>
      <w:proofErr w:type="spellEnd"/>
      <w:r w:rsidRPr="00C547BF">
        <w:rPr>
          <w:lang w:val="en-US"/>
        </w:rPr>
        <w:t xml:space="preserve"> and Harold </w:t>
      </w:r>
      <w:proofErr w:type="gramStart"/>
      <w:r w:rsidRPr="00C547BF">
        <w:rPr>
          <w:lang w:val="en-US"/>
        </w:rPr>
        <w:t>Cepero</w:t>
      </w:r>
      <w:bookmarkEnd w:id="28"/>
      <w:bookmarkEnd w:id="29"/>
      <w:r w:rsidRPr="00C547BF">
        <w:rPr>
          <w:lang w:val="en-US"/>
        </w:rPr>
        <w:t xml:space="preserve"> ,</w:t>
      </w:r>
      <w:proofErr w:type="gramEnd"/>
      <w:r w:rsidRPr="00C547BF">
        <w:rPr>
          <w:lang w:val="en-US"/>
        </w:rPr>
        <w:t xml:space="preserve"> and acts of violence, harassment and threats</w:t>
      </w:r>
      <w:bookmarkEnd w:id="30"/>
    </w:p>
    <w:p w14:paraId="4552007C" w14:textId="77777777" w:rsidR="00171179" w:rsidRPr="00C547BF" w:rsidRDefault="00171179" w:rsidP="00171179">
      <w:pPr>
        <w:rPr>
          <w:szCs w:val="20"/>
          <w:lang w:val="en-US"/>
        </w:rPr>
      </w:pPr>
    </w:p>
    <w:p w14:paraId="75E96119" w14:textId="1E0DEE72"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Oswaldo José </w:t>
      </w:r>
      <w:proofErr w:type="spellStart"/>
      <w:r w:rsidRPr="00C547BF">
        <w:rPr>
          <w:szCs w:val="20"/>
          <w:lang w:val="en-US"/>
        </w:rPr>
        <w:t>Payá</w:t>
      </w:r>
      <w:proofErr w:type="spellEnd"/>
      <w:r w:rsidRPr="00C547BF">
        <w:rPr>
          <w:szCs w:val="20"/>
          <w:lang w:val="en-US"/>
        </w:rPr>
        <w:t xml:space="preserve"> </w:t>
      </w:r>
      <w:proofErr w:type="spellStart"/>
      <w:r w:rsidRPr="00C547BF">
        <w:rPr>
          <w:szCs w:val="20"/>
          <w:lang w:val="en-US"/>
        </w:rPr>
        <w:t>Sardiñas</w:t>
      </w:r>
      <w:proofErr w:type="spellEnd"/>
      <w:r w:rsidRPr="00C547BF">
        <w:rPr>
          <w:szCs w:val="20"/>
          <w:lang w:val="en-US"/>
        </w:rPr>
        <w:t xml:space="preserve"> was born on February 29, </w:t>
      </w:r>
      <w:proofErr w:type="gramStart"/>
      <w:r w:rsidRPr="00C547BF">
        <w:rPr>
          <w:szCs w:val="20"/>
          <w:lang w:val="en-US"/>
        </w:rPr>
        <w:t>1952</w:t>
      </w:r>
      <w:proofErr w:type="gramEnd"/>
      <w:r w:rsidRPr="00C547BF">
        <w:rPr>
          <w:szCs w:val="20"/>
          <w:lang w:val="en-US"/>
        </w:rPr>
        <w:t xml:space="preserve"> in Havana, Cuba. He resided in </w:t>
      </w:r>
      <w:r w:rsidR="00CE6125" w:rsidRPr="00C547BF">
        <w:rPr>
          <w:spacing w:val="-1"/>
          <w:szCs w:val="20"/>
          <w:lang w:val="en-US"/>
        </w:rPr>
        <w:t>Cuba and</w:t>
      </w:r>
      <w:r w:rsidRPr="00C547BF">
        <w:rPr>
          <w:spacing w:val="-1"/>
          <w:szCs w:val="20"/>
          <w:lang w:val="en-US"/>
        </w:rPr>
        <w:t xml:space="preserve"> was a citizen of </w:t>
      </w:r>
      <w:r w:rsidRPr="00C547BF">
        <w:rPr>
          <w:szCs w:val="20"/>
          <w:lang w:val="en-US"/>
        </w:rPr>
        <w:t xml:space="preserve">Cuba and Spain. His family consisted of Ofelia Acevedo Maura (wife), and his three children: Oswaldo José, Rosa María, and Reynaldo </w:t>
      </w:r>
      <w:proofErr w:type="spellStart"/>
      <w:r w:rsidRPr="00C547BF">
        <w:rPr>
          <w:szCs w:val="20"/>
          <w:lang w:val="en-US"/>
        </w:rPr>
        <w:t>Isaías</w:t>
      </w:r>
      <w:proofErr w:type="spellEnd"/>
      <w:r w:rsidRPr="00C547BF">
        <w:rPr>
          <w:szCs w:val="20"/>
          <w:lang w:val="en-US"/>
        </w:rPr>
        <w:t xml:space="preserve">. In 1988, he founded the Christian Liberation Movement (MCL or </w:t>
      </w:r>
      <w:proofErr w:type="spellStart"/>
      <w:r w:rsidRPr="00C547BF">
        <w:rPr>
          <w:szCs w:val="20"/>
          <w:lang w:val="en-US"/>
        </w:rPr>
        <w:t>Movimiento</w:t>
      </w:r>
      <w:proofErr w:type="spellEnd"/>
      <w:r w:rsidRPr="00C547BF">
        <w:rPr>
          <w:szCs w:val="20"/>
          <w:lang w:val="en-US"/>
        </w:rPr>
        <w:t>) with the objective of promoting democracy and a political system in Cuba that would allow the existence of more than one political party</w:t>
      </w:r>
      <w:r w:rsidRPr="00C547BF">
        <w:rPr>
          <w:rStyle w:val="Refdenotaalpie"/>
          <w:szCs w:val="20"/>
        </w:rPr>
        <w:footnoteReference w:id="15"/>
      </w:r>
      <w:r w:rsidRPr="00C547BF">
        <w:rPr>
          <w:szCs w:val="20"/>
          <w:lang w:val="en-US"/>
        </w:rPr>
        <w:t xml:space="preserve"> . Mr. </w:t>
      </w:r>
      <w:proofErr w:type="spellStart"/>
      <w:r w:rsidRPr="00C547BF">
        <w:rPr>
          <w:szCs w:val="20"/>
          <w:lang w:val="en-US"/>
        </w:rPr>
        <w:t>Payá</w:t>
      </w:r>
      <w:proofErr w:type="spellEnd"/>
      <w:r w:rsidRPr="00C547BF">
        <w:rPr>
          <w:szCs w:val="20"/>
          <w:lang w:val="en-US"/>
        </w:rPr>
        <w:t xml:space="preserve"> was known as one of Cuba's most important political and human rights activists, for his proposals </w:t>
      </w:r>
      <w:r w:rsidRPr="00C547BF">
        <w:rPr>
          <w:spacing w:val="-1"/>
          <w:szCs w:val="20"/>
          <w:lang w:val="en-US"/>
        </w:rPr>
        <w:t xml:space="preserve">in </w:t>
      </w:r>
      <w:r w:rsidRPr="00C547BF">
        <w:rPr>
          <w:szCs w:val="20"/>
          <w:lang w:val="en-US"/>
        </w:rPr>
        <w:t xml:space="preserve">favor of democracy, political </w:t>
      </w:r>
      <w:proofErr w:type="gramStart"/>
      <w:r w:rsidRPr="00C547BF">
        <w:rPr>
          <w:szCs w:val="20"/>
          <w:lang w:val="en-US"/>
        </w:rPr>
        <w:t>participation</w:t>
      </w:r>
      <w:proofErr w:type="gramEnd"/>
      <w:r w:rsidRPr="00C547BF">
        <w:rPr>
          <w:szCs w:val="20"/>
          <w:lang w:val="en-US"/>
        </w:rPr>
        <w:t xml:space="preserve"> and freedom of expression. </w:t>
      </w:r>
      <w:r w:rsidRPr="00C547BF">
        <w:rPr>
          <w:rStyle w:val="Refdenotaalpie"/>
          <w:szCs w:val="20"/>
        </w:rPr>
        <w:footnoteReference w:id="16"/>
      </w:r>
    </w:p>
    <w:p w14:paraId="153EE3F0" w14:textId="77777777" w:rsidR="00171179" w:rsidRPr="00C547BF" w:rsidRDefault="00171179" w:rsidP="00171179">
      <w:pPr>
        <w:pStyle w:val="Prrafodelista"/>
        <w:rPr>
          <w:rFonts w:eastAsia="Calibri" w:cs="Calibri"/>
          <w:szCs w:val="20"/>
          <w:lang w:val="en-US"/>
        </w:rPr>
      </w:pPr>
    </w:p>
    <w:p w14:paraId="2CA2D878" w14:textId="71D51289" w:rsidR="00171179" w:rsidRPr="00C547BF" w:rsidRDefault="00171179" w:rsidP="007558A3">
      <w:pPr>
        <w:numPr>
          <w:ilvl w:val="0"/>
          <w:numId w:val="62"/>
        </w:numPr>
        <w:tabs>
          <w:tab w:val="clear" w:pos="720"/>
          <w:tab w:val="num" w:pos="360"/>
        </w:tabs>
        <w:suppressAutoHyphens/>
        <w:spacing w:after="0"/>
        <w:ind w:firstLine="0"/>
        <w:rPr>
          <w:szCs w:val="20"/>
          <w:lang w:val="en-US"/>
        </w:rPr>
      </w:pPr>
      <w:r w:rsidRPr="00C547BF">
        <w:rPr>
          <w:szCs w:val="20"/>
          <w:lang w:val="en-US"/>
        </w:rPr>
        <w:t xml:space="preserve">Harold Cepero Escalante was born on January 29, </w:t>
      </w:r>
      <w:proofErr w:type="gramStart"/>
      <w:r w:rsidRPr="00C547BF">
        <w:rPr>
          <w:szCs w:val="20"/>
          <w:lang w:val="en-US"/>
        </w:rPr>
        <w:t>1980</w:t>
      </w:r>
      <w:proofErr w:type="gramEnd"/>
      <w:r w:rsidRPr="00C547BF">
        <w:rPr>
          <w:szCs w:val="20"/>
          <w:lang w:val="en-US"/>
        </w:rPr>
        <w:t xml:space="preserve"> in Camagüey, Cuba. </w:t>
      </w:r>
      <w:r w:rsidRPr="00C547BF">
        <w:rPr>
          <w:spacing w:val="-8"/>
          <w:szCs w:val="20"/>
          <w:lang w:val="en-US"/>
        </w:rPr>
        <w:t xml:space="preserve">His family consisted of: </w:t>
      </w:r>
      <w:proofErr w:type="spellStart"/>
      <w:r w:rsidRPr="00C547BF">
        <w:rPr>
          <w:spacing w:val="-8"/>
          <w:szCs w:val="20"/>
          <w:lang w:val="en-US"/>
        </w:rPr>
        <w:t>Sabat</w:t>
      </w:r>
      <w:proofErr w:type="spellEnd"/>
      <w:r w:rsidRPr="00C547BF">
        <w:rPr>
          <w:spacing w:val="-8"/>
          <w:szCs w:val="20"/>
          <w:lang w:val="en-US"/>
        </w:rPr>
        <w:t xml:space="preserve"> Cepero (father) and </w:t>
      </w:r>
      <w:r w:rsidRPr="00C547BF">
        <w:rPr>
          <w:szCs w:val="20"/>
          <w:lang w:val="en-US"/>
        </w:rPr>
        <w:t>Hanner Cepero (brother)</w:t>
      </w:r>
      <w:r w:rsidRPr="00C547BF">
        <w:rPr>
          <w:spacing w:val="-8"/>
          <w:szCs w:val="20"/>
          <w:lang w:val="en-US"/>
        </w:rPr>
        <w:t xml:space="preserve">. </w:t>
      </w:r>
      <w:r w:rsidRPr="00C547BF">
        <w:rPr>
          <w:szCs w:val="20"/>
          <w:lang w:val="en-US"/>
        </w:rPr>
        <w:t>In 2002, Mr. Cepero developed his activity as a prominent leader of the MCL</w:t>
      </w:r>
      <w:r w:rsidRPr="00C547BF">
        <w:rPr>
          <w:spacing w:val="-7"/>
          <w:szCs w:val="20"/>
          <w:lang w:val="en-US"/>
        </w:rPr>
        <w:t xml:space="preserve">. Mr. Cepero traveled </w:t>
      </w:r>
      <w:r w:rsidRPr="00C547BF">
        <w:rPr>
          <w:szCs w:val="20"/>
          <w:lang w:val="en-US"/>
        </w:rPr>
        <w:t xml:space="preserve">throughout the country visiting other leaders and members of the MCL, promoting the movement's proposals and assuming greater and greater leadership, </w:t>
      </w:r>
      <w:proofErr w:type="gramStart"/>
      <w:r w:rsidRPr="00C547BF">
        <w:rPr>
          <w:szCs w:val="20"/>
          <w:lang w:val="en-US"/>
        </w:rPr>
        <w:t>recognition</w:t>
      </w:r>
      <w:proofErr w:type="gramEnd"/>
      <w:r w:rsidRPr="00C547BF">
        <w:rPr>
          <w:szCs w:val="20"/>
          <w:lang w:val="en-US"/>
        </w:rPr>
        <w:t xml:space="preserve"> and work within the organization. </w:t>
      </w:r>
    </w:p>
    <w:p w14:paraId="0C5E5673" w14:textId="77777777" w:rsidR="00F64A8C" w:rsidRPr="00C547BF" w:rsidRDefault="00F64A8C" w:rsidP="00F64A8C">
      <w:pPr>
        <w:pStyle w:val="Prrafodelista"/>
        <w:rPr>
          <w:szCs w:val="20"/>
          <w:lang w:val="en-US"/>
        </w:rPr>
      </w:pPr>
    </w:p>
    <w:p w14:paraId="7E5732E8"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In relation to his work in the MCL and other political and human rights activities, as well as acts of harassment, </w:t>
      </w:r>
      <w:proofErr w:type="gramStart"/>
      <w:r w:rsidRPr="00C547BF">
        <w:rPr>
          <w:szCs w:val="20"/>
          <w:lang w:val="en-US"/>
        </w:rPr>
        <w:t>violence</w:t>
      </w:r>
      <w:proofErr w:type="gramEnd"/>
      <w:r w:rsidRPr="00C547BF">
        <w:rPr>
          <w:szCs w:val="20"/>
          <w:lang w:val="en-US"/>
        </w:rPr>
        <w:t xml:space="preserve"> and threats, the IACHR takes note of the following facts:</w:t>
      </w:r>
    </w:p>
    <w:p w14:paraId="7248DAC6" w14:textId="77777777" w:rsidR="00171179" w:rsidRPr="00C547BF" w:rsidRDefault="00171179" w:rsidP="00171179">
      <w:pPr>
        <w:suppressAutoHyphens/>
        <w:rPr>
          <w:szCs w:val="20"/>
          <w:lang w:val="en-US"/>
        </w:rPr>
      </w:pPr>
    </w:p>
    <w:p w14:paraId="6FFDDEBB" w14:textId="77777777" w:rsidR="00171179" w:rsidRPr="00C547BF" w:rsidRDefault="00171179" w:rsidP="00F64A8C">
      <w:pPr>
        <w:pStyle w:val="Prrafodelista"/>
        <w:numPr>
          <w:ilvl w:val="0"/>
          <w:numId w:val="66"/>
        </w:numPr>
        <w:tabs>
          <w:tab w:val="left" w:pos="540"/>
        </w:tabs>
        <w:suppressAutoHyphens/>
        <w:spacing w:after="0"/>
        <w:ind w:left="360" w:right="360" w:firstLine="0"/>
        <w:contextualSpacing w:val="0"/>
        <w:rPr>
          <w:sz w:val="18"/>
          <w:szCs w:val="18"/>
          <w:lang w:val="en-US"/>
        </w:rPr>
      </w:pPr>
      <w:r w:rsidRPr="00C547BF">
        <w:rPr>
          <w:sz w:val="18"/>
          <w:szCs w:val="18"/>
          <w:lang w:val="en-US"/>
        </w:rPr>
        <w:t xml:space="preserve">In 1990, Oswaldo </w:t>
      </w:r>
      <w:proofErr w:type="spellStart"/>
      <w:r w:rsidRPr="00C547BF">
        <w:rPr>
          <w:sz w:val="18"/>
          <w:szCs w:val="18"/>
          <w:lang w:val="en-US"/>
        </w:rPr>
        <w:t>Payá</w:t>
      </w:r>
      <w:proofErr w:type="spellEnd"/>
      <w:r w:rsidRPr="00C547BF">
        <w:rPr>
          <w:sz w:val="18"/>
          <w:szCs w:val="18"/>
          <w:lang w:val="en-US"/>
        </w:rPr>
        <w:t xml:space="preserve"> was detained for several days by the Cuban police</w:t>
      </w:r>
      <w:r w:rsidRPr="00C547BF">
        <w:rPr>
          <w:rStyle w:val="Refdenotaalpie"/>
          <w:sz w:val="18"/>
          <w:szCs w:val="18"/>
        </w:rPr>
        <w:footnoteReference w:id="17"/>
      </w:r>
      <w:r w:rsidRPr="00C547BF">
        <w:rPr>
          <w:sz w:val="18"/>
          <w:szCs w:val="18"/>
          <w:lang w:val="en-US"/>
        </w:rPr>
        <w:t xml:space="preserve"> . He was interrogated and threatened that "if he continued in his civic and peaceful struggle, he would face several years in prison"</w:t>
      </w:r>
      <w:r w:rsidRPr="00C547BF">
        <w:rPr>
          <w:rStyle w:val="Refdenotaalpie"/>
          <w:sz w:val="18"/>
          <w:szCs w:val="18"/>
        </w:rPr>
        <w:footnoteReference w:id="18"/>
      </w:r>
      <w:r w:rsidRPr="00C547BF">
        <w:rPr>
          <w:spacing w:val="-57"/>
          <w:sz w:val="18"/>
          <w:szCs w:val="18"/>
          <w:lang w:val="en-US"/>
        </w:rPr>
        <w:t xml:space="preserve"> . </w:t>
      </w:r>
    </w:p>
    <w:p w14:paraId="79568F10" w14:textId="77777777" w:rsidR="00171179" w:rsidRPr="00C547BF" w:rsidRDefault="00171179" w:rsidP="00F64A8C">
      <w:pPr>
        <w:pStyle w:val="Prrafodelista"/>
        <w:numPr>
          <w:ilvl w:val="0"/>
          <w:numId w:val="66"/>
        </w:numPr>
        <w:tabs>
          <w:tab w:val="left" w:pos="540"/>
        </w:tabs>
        <w:suppressAutoHyphens/>
        <w:spacing w:after="0"/>
        <w:ind w:left="360" w:right="360" w:firstLine="0"/>
        <w:contextualSpacing w:val="0"/>
        <w:rPr>
          <w:sz w:val="18"/>
          <w:szCs w:val="18"/>
          <w:lang w:val="en-US"/>
        </w:rPr>
      </w:pPr>
      <w:r w:rsidRPr="00C547BF">
        <w:rPr>
          <w:sz w:val="18"/>
          <w:szCs w:val="18"/>
          <w:lang w:val="en-US"/>
        </w:rPr>
        <w:t xml:space="preserve">In June 1991, Mr. </w:t>
      </w:r>
      <w:proofErr w:type="spellStart"/>
      <w:r w:rsidRPr="00C547BF">
        <w:rPr>
          <w:sz w:val="18"/>
          <w:szCs w:val="18"/>
          <w:lang w:val="en-US"/>
        </w:rPr>
        <w:t>Payá</w:t>
      </w:r>
      <w:proofErr w:type="spellEnd"/>
      <w:r w:rsidRPr="00C547BF">
        <w:rPr>
          <w:sz w:val="18"/>
          <w:szCs w:val="18"/>
          <w:lang w:val="en-US"/>
        </w:rPr>
        <w:t xml:space="preserve"> opened his house to collect signatures for a bill and State Security agents organized an act of repudiation; they assaulted him and ransacked the house. The phrases "</w:t>
      </w:r>
      <w:proofErr w:type="spellStart"/>
      <w:r w:rsidRPr="00C547BF">
        <w:rPr>
          <w:sz w:val="18"/>
          <w:szCs w:val="18"/>
          <w:lang w:val="en-US"/>
        </w:rPr>
        <w:t>Payá</w:t>
      </w:r>
      <w:proofErr w:type="spellEnd"/>
      <w:r w:rsidRPr="00C547BF">
        <w:rPr>
          <w:sz w:val="18"/>
          <w:szCs w:val="18"/>
          <w:lang w:val="en-US"/>
        </w:rPr>
        <w:t xml:space="preserve"> CIA agent", "worm", "Viva Fidel" and "down with </w:t>
      </w:r>
      <w:proofErr w:type="spellStart"/>
      <w:r w:rsidRPr="00C547BF">
        <w:rPr>
          <w:sz w:val="18"/>
          <w:szCs w:val="18"/>
          <w:lang w:val="en-US"/>
        </w:rPr>
        <w:t>Payá</w:t>
      </w:r>
      <w:proofErr w:type="spellEnd"/>
      <w:r w:rsidRPr="00C547BF">
        <w:rPr>
          <w:sz w:val="18"/>
          <w:szCs w:val="18"/>
          <w:lang w:val="en-US"/>
        </w:rPr>
        <w:t>" were painted on the facade of the house</w:t>
      </w:r>
      <w:r w:rsidRPr="00C547BF">
        <w:rPr>
          <w:rStyle w:val="Refdenotaalpie"/>
          <w:sz w:val="18"/>
          <w:szCs w:val="18"/>
        </w:rPr>
        <w:footnoteReference w:id="19"/>
      </w:r>
      <w:r w:rsidRPr="00C547BF">
        <w:rPr>
          <w:sz w:val="18"/>
          <w:szCs w:val="18"/>
          <w:lang w:val="en-US"/>
        </w:rPr>
        <w:t xml:space="preserve"> . To protect his family, Mr. </w:t>
      </w:r>
      <w:proofErr w:type="spellStart"/>
      <w:r w:rsidRPr="00C547BF">
        <w:rPr>
          <w:sz w:val="18"/>
          <w:szCs w:val="18"/>
          <w:lang w:val="en-US"/>
        </w:rPr>
        <w:t>Payá</w:t>
      </w:r>
      <w:proofErr w:type="spellEnd"/>
      <w:r w:rsidRPr="00C547BF">
        <w:rPr>
          <w:sz w:val="18"/>
          <w:szCs w:val="18"/>
          <w:lang w:val="en-US"/>
        </w:rPr>
        <w:t xml:space="preserve"> moved his wife and children to his in-laws' house and they were in "internal exile" for 8 years. During these years, Cuban authorities did not allow him to leave Cuba to participate in human rights events, conferences and </w:t>
      </w:r>
      <w:proofErr w:type="gramStart"/>
      <w:r w:rsidRPr="00C547BF">
        <w:rPr>
          <w:sz w:val="18"/>
          <w:szCs w:val="18"/>
          <w:lang w:val="en-US"/>
        </w:rPr>
        <w:t>forums .</w:t>
      </w:r>
      <w:proofErr w:type="gramEnd"/>
      <w:r w:rsidRPr="00C547BF">
        <w:rPr>
          <w:rStyle w:val="Refdenotaalpie"/>
          <w:sz w:val="18"/>
          <w:szCs w:val="18"/>
        </w:rPr>
        <w:footnoteReference w:id="20"/>
      </w:r>
    </w:p>
    <w:p w14:paraId="08BB3EA5" w14:textId="77777777" w:rsidR="00171179" w:rsidRPr="00C547BF" w:rsidRDefault="00171179" w:rsidP="00F64A8C">
      <w:pPr>
        <w:pStyle w:val="Prrafodelista"/>
        <w:numPr>
          <w:ilvl w:val="0"/>
          <w:numId w:val="66"/>
        </w:numPr>
        <w:tabs>
          <w:tab w:val="left" w:pos="540"/>
        </w:tabs>
        <w:suppressAutoHyphens/>
        <w:spacing w:after="0"/>
        <w:ind w:left="360" w:right="360" w:firstLine="0"/>
        <w:contextualSpacing w:val="0"/>
        <w:rPr>
          <w:sz w:val="18"/>
          <w:szCs w:val="18"/>
          <w:lang w:val="en-US"/>
        </w:rPr>
      </w:pPr>
      <w:r w:rsidRPr="00C547BF">
        <w:rPr>
          <w:sz w:val="18"/>
          <w:szCs w:val="18"/>
          <w:lang w:val="en-US"/>
        </w:rPr>
        <w:t xml:space="preserve">In 1992, Oswaldo </w:t>
      </w:r>
      <w:proofErr w:type="spellStart"/>
      <w:r w:rsidRPr="00C547BF">
        <w:rPr>
          <w:sz w:val="18"/>
          <w:szCs w:val="18"/>
          <w:lang w:val="en-US"/>
        </w:rPr>
        <w:t>Payá</w:t>
      </w:r>
      <w:proofErr w:type="spellEnd"/>
      <w:r w:rsidRPr="00C547BF">
        <w:rPr>
          <w:sz w:val="18"/>
          <w:szCs w:val="18"/>
          <w:lang w:val="en-US"/>
        </w:rPr>
        <w:t xml:space="preserve"> publicly expressed his desire to run for deputy to the National Assembly of the Cuban People's Power</w:t>
      </w:r>
      <w:r w:rsidRPr="00C547BF">
        <w:rPr>
          <w:spacing w:val="1"/>
          <w:sz w:val="18"/>
          <w:szCs w:val="18"/>
          <w:lang w:val="en-US"/>
        </w:rPr>
        <w:t xml:space="preserve">. </w:t>
      </w:r>
      <w:r w:rsidRPr="00C547BF">
        <w:rPr>
          <w:sz w:val="18"/>
          <w:szCs w:val="18"/>
          <w:lang w:val="en-US"/>
        </w:rPr>
        <w:t xml:space="preserve">A few days before the provincial assemblies to ratify the candidates for deputies, the regime's police arrested Mr. </w:t>
      </w:r>
      <w:proofErr w:type="spellStart"/>
      <w:r w:rsidRPr="00C547BF">
        <w:rPr>
          <w:sz w:val="18"/>
          <w:szCs w:val="18"/>
          <w:lang w:val="en-US"/>
        </w:rPr>
        <w:t>Payá</w:t>
      </w:r>
      <w:proofErr w:type="spellEnd"/>
      <w:r w:rsidRPr="00C547BF">
        <w:rPr>
          <w:sz w:val="18"/>
          <w:szCs w:val="18"/>
          <w:lang w:val="en-US"/>
        </w:rPr>
        <w:t xml:space="preserve"> at his home and then took him to one of the centers of the "Committees for the Defense of the Revolution". While he was in that center, a large group of Communist Party members, as well as members of the political police, informants and collaborators surrounded Oswaldo </w:t>
      </w:r>
      <w:proofErr w:type="spellStart"/>
      <w:r w:rsidRPr="00C547BF">
        <w:rPr>
          <w:sz w:val="18"/>
          <w:szCs w:val="18"/>
          <w:lang w:val="en-US"/>
        </w:rPr>
        <w:t>Payá</w:t>
      </w:r>
      <w:proofErr w:type="spellEnd"/>
      <w:r w:rsidRPr="00C547BF">
        <w:rPr>
          <w:sz w:val="18"/>
          <w:szCs w:val="18"/>
          <w:lang w:val="en-US"/>
        </w:rPr>
        <w:t xml:space="preserve"> and after offending him, they threatened him with death, telling him that blood would run in the streets.</w:t>
      </w:r>
      <w:r w:rsidRPr="00C547BF">
        <w:rPr>
          <w:rStyle w:val="Refdenotaalpie"/>
          <w:sz w:val="18"/>
          <w:szCs w:val="18"/>
        </w:rPr>
        <w:footnoteReference w:id="21"/>
      </w:r>
    </w:p>
    <w:p w14:paraId="125EEDBA" w14:textId="77777777" w:rsidR="00171179" w:rsidRPr="00C547BF" w:rsidRDefault="00171179" w:rsidP="00F64A8C">
      <w:pPr>
        <w:pStyle w:val="Prrafodelista"/>
        <w:numPr>
          <w:ilvl w:val="0"/>
          <w:numId w:val="66"/>
        </w:numPr>
        <w:tabs>
          <w:tab w:val="left" w:pos="540"/>
        </w:tabs>
        <w:suppressAutoHyphens/>
        <w:spacing w:after="0"/>
        <w:ind w:left="360" w:right="360" w:firstLine="0"/>
        <w:contextualSpacing w:val="0"/>
        <w:rPr>
          <w:sz w:val="18"/>
          <w:szCs w:val="18"/>
          <w:lang w:val="en-US"/>
        </w:rPr>
      </w:pPr>
      <w:r w:rsidRPr="00C547BF">
        <w:rPr>
          <w:sz w:val="18"/>
          <w:szCs w:val="18"/>
          <w:lang w:val="en-US"/>
        </w:rPr>
        <w:lastRenderedPageBreak/>
        <w:t xml:space="preserve">In 1997, Mr. </w:t>
      </w:r>
      <w:proofErr w:type="spellStart"/>
      <w:r w:rsidRPr="00C547BF">
        <w:rPr>
          <w:sz w:val="18"/>
          <w:szCs w:val="18"/>
          <w:lang w:val="en-US"/>
        </w:rPr>
        <w:t>Payá</w:t>
      </w:r>
      <w:proofErr w:type="spellEnd"/>
      <w:r w:rsidRPr="00C547BF">
        <w:rPr>
          <w:sz w:val="18"/>
          <w:szCs w:val="18"/>
          <w:lang w:val="en-US"/>
        </w:rPr>
        <w:t xml:space="preserve"> and other members of the MCL collected hundreds of signatures in support of their </w:t>
      </w:r>
      <w:r w:rsidRPr="00C547BF">
        <w:rPr>
          <w:spacing w:val="-1"/>
          <w:sz w:val="18"/>
          <w:szCs w:val="18"/>
          <w:lang w:val="en-US"/>
        </w:rPr>
        <w:t>candidacies for deputies</w:t>
      </w:r>
      <w:r w:rsidRPr="00C547BF">
        <w:rPr>
          <w:rStyle w:val="Refdenotaalpie"/>
          <w:spacing w:val="-1"/>
          <w:sz w:val="18"/>
          <w:szCs w:val="18"/>
        </w:rPr>
        <w:footnoteReference w:id="22"/>
      </w:r>
      <w:r w:rsidRPr="00C547BF">
        <w:rPr>
          <w:spacing w:val="-1"/>
          <w:sz w:val="18"/>
          <w:szCs w:val="18"/>
          <w:lang w:val="en-US"/>
        </w:rPr>
        <w:t xml:space="preserve"> . </w:t>
      </w:r>
      <w:r w:rsidRPr="00C547BF">
        <w:rPr>
          <w:sz w:val="18"/>
          <w:szCs w:val="18"/>
          <w:lang w:val="en-US"/>
        </w:rPr>
        <w:t xml:space="preserve">Faced with the government's refusal to proceed with their registrations, the "Varela Project" was created, a legislative initiative that sought to promote multi-party democracy in </w:t>
      </w:r>
      <w:proofErr w:type="gramStart"/>
      <w:r w:rsidRPr="00C547BF">
        <w:rPr>
          <w:sz w:val="18"/>
          <w:szCs w:val="18"/>
          <w:lang w:val="en-US"/>
        </w:rPr>
        <w:t>Cuba .</w:t>
      </w:r>
      <w:proofErr w:type="gramEnd"/>
      <w:r w:rsidRPr="00C547BF">
        <w:rPr>
          <w:rStyle w:val="Refdenotaalpie"/>
          <w:sz w:val="18"/>
          <w:szCs w:val="18"/>
        </w:rPr>
        <w:footnoteReference w:id="23"/>
      </w:r>
    </w:p>
    <w:p w14:paraId="5ED2AB5F" w14:textId="77777777" w:rsidR="00171179" w:rsidRPr="00C547BF" w:rsidRDefault="00171179" w:rsidP="00F64A8C">
      <w:pPr>
        <w:pStyle w:val="Prrafodelista"/>
        <w:numPr>
          <w:ilvl w:val="0"/>
          <w:numId w:val="66"/>
        </w:numPr>
        <w:tabs>
          <w:tab w:val="left" w:pos="540"/>
        </w:tabs>
        <w:suppressAutoHyphens/>
        <w:spacing w:after="0"/>
        <w:ind w:left="360" w:right="360" w:firstLine="0"/>
        <w:contextualSpacing w:val="0"/>
        <w:rPr>
          <w:sz w:val="18"/>
          <w:szCs w:val="18"/>
          <w:lang w:val="en-US"/>
        </w:rPr>
      </w:pPr>
      <w:r w:rsidRPr="00C547BF">
        <w:rPr>
          <w:sz w:val="18"/>
          <w:szCs w:val="18"/>
          <w:lang w:val="en-US"/>
        </w:rPr>
        <w:t xml:space="preserve">On May 10, 2002, Oswaldo </w:t>
      </w:r>
      <w:proofErr w:type="spellStart"/>
      <w:r w:rsidRPr="00C547BF">
        <w:rPr>
          <w:sz w:val="18"/>
          <w:szCs w:val="18"/>
          <w:lang w:val="en-US"/>
        </w:rPr>
        <w:t>Payá</w:t>
      </w:r>
      <w:proofErr w:type="spellEnd"/>
      <w:r w:rsidRPr="00C547BF">
        <w:rPr>
          <w:sz w:val="18"/>
          <w:szCs w:val="18"/>
          <w:lang w:val="en-US"/>
        </w:rPr>
        <w:t xml:space="preserve"> presented, together with other members of the MCL and other opponents, more than 11,020 signatures supporting the Varela Project</w:t>
      </w:r>
      <w:r w:rsidRPr="00C547BF">
        <w:rPr>
          <w:rStyle w:val="Refdenotaalpie"/>
          <w:sz w:val="18"/>
          <w:szCs w:val="18"/>
        </w:rPr>
        <w:footnoteReference w:id="24"/>
      </w:r>
      <w:r w:rsidRPr="00C547BF">
        <w:rPr>
          <w:sz w:val="18"/>
          <w:szCs w:val="18"/>
          <w:lang w:val="en-US"/>
        </w:rPr>
        <w:t xml:space="preserve"> . </w:t>
      </w:r>
      <w:r w:rsidRPr="00C547BF">
        <w:rPr>
          <w:sz w:val="18"/>
          <w:szCs w:val="18"/>
          <w:vertAlign w:val="superscript"/>
          <w:lang w:val="en-US"/>
        </w:rPr>
        <w:t xml:space="preserve"> </w:t>
      </w:r>
      <w:r w:rsidRPr="00C547BF">
        <w:rPr>
          <w:sz w:val="18"/>
          <w:szCs w:val="18"/>
          <w:lang w:val="en-US"/>
        </w:rPr>
        <w:t xml:space="preserve">The Cuban State did not allow the </w:t>
      </w:r>
      <w:r w:rsidRPr="00C547BF">
        <w:rPr>
          <w:rFonts w:asciiTheme="majorHAnsi" w:hAnsiTheme="majorHAnsi"/>
          <w:sz w:val="18"/>
          <w:szCs w:val="18"/>
          <w:lang w:val="en-US"/>
        </w:rPr>
        <w:t xml:space="preserve">project </w:t>
      </w:r>
      <w:r w:rsidRPr="00C547BF">
        <w:rPr>
          <w:sz w:val="18"/>
          <w:szCs w:val="18"/>
          <w:lang w:val="en-US"/>
        </w:rPr>
        <w:t xml:space="preserve">to be made public and debated </w:t>
      </w:r>
      <w:r w:rsidRPr="00C547BF">
        <w:rPr>
          <w:rFonts w:asciiTheme="majorHAnsi" w:hAnsiTheme="majorHAnsi"/>
          <w:sz w:val="18"/>
          <w:szCs w:val="18"/>
          <w:lang w:val="en-US"/>
        </w:rPr>
        <w:t>by the Assembly</w:t>
      </w:r>
      <w:r w:rsidRPr="00C547BF">
        <w:rPr>
          <w:rStyle w:val="Refdenotaalpie"/>
          <w:rFonts w:asciiTheme="majorHAnsi" w:hAnsiTheme="majorHAnsi"/>
          <w:sz w:val="18"/>
          <w:szCs w:val="18"/>
        </w:rPr>
        <w:footnoteReference w:id="25"/>
      </w:r>
      <w:r w:rsidRPr="00C547BF">
        <w:rPr>
          <w:rFonts w:asciiTheme="majorHAnsi" w:hAnsiTheme="majorHAnsi"/>
          <w:sz w:val="18"/>
          <w:szCs w:val="18"/>
          <w:lang w:val="en-US"/>
        </w:rPr>
        <w:t xml:space="preserve"> . This situation </w:t>
      </w:r>
      <w:r w:rsidRPr="00C547BF">
        <w:rPr>
          <w:sz w:val="18"/>
          <w:szCs w:val="18"/>
          <w:lang w:val="en-US"/>
        </w:rPr>
        <w:t xml:space="preserve">placed Oswaldo </w:t>
      </w:r>
      <w:proofErr w:type="spellStart"/>
      <w:r w:rsidRPr="00C547BF">
        <w:rPr>
          <w:sz w:val="18"/>
          <w:szCs w:val="18"/>
          <w:lang w:val="en-US"/>
        </w:rPr>
        <w:t>Payá</w:t>
      </w:r>
      <w:proofErr w:type="spellEnd"/>
      <w:r w:rsidRPr="00C547BF">
        <w:rPr>
          <w:sz w:val="18"/>
          <w:szCs w:val="18"/>
          <w:lang w:val="en-US"/>
        </w:rPr>
        <w:t xml:space="preserve"> at the forefront of the dissident opposition against the Cuban regime. </w:t>
      </w:r>
      <w:r w:rsidRPr="00C547BF">
        <w:rPr>
          <w:spacing w:val="-11"/>
          <w:sz w:val="18"/>
          <w:szCs w:val="18"/>
          <w:lang w:val="en-US"/>
        </w:rPr>
        <w:t xml:space="preserve">This situation caused </w:t>
      </w:r>
      <w:r w:rsidRPr="00C547BF">
        <w:rPr>
          <w:sz w:val="18"/>
          <w:szCs w:val="18"/>
          <w:lang w:val="en-US"/>
        </w:rPr>
        <w:t xml:space="preserve">Mr. </w:t>
      </w:r>
      <w:proofErr w:type="spellStart"/>
      <w:r w:rsidRPr="00C547BF">
        <w:rPr>
          <w:sz w:val="18"/>
          <w:szCs w:val="18"/>
          <w:lang w:val="en-US"/>
        </w:rPr>
        <w:t>Payá</w:t>
      </w:r>
      <w:proofErr w:type="spellEnd"/>
      <w:r w:rsidRPr="00C547BF">
        <w:rPr>
          <w:sz w:val="18"/>
          <w:szCs w:val="18"/>
          <w:lang w:val="en-US"/>
        </w:rPr>
        <w:t xml:space="preserve"> </w:t>
      </w:r>
      <w:r w:rsidRPr="00C547BF">
        <w:rPr>
          <w:spacing w:val="-11"/>
          <w:sz w:val="18"/>
          <w:szCs w:val="18"/>
          <w:lang w:val="en-US"/>
        </w:rPr>
        <w:t xml:space="preserve">to </w:t>
      </w:r>
      <w:r w:rsidRPr="00C547BF">
        <w:rPr>
          <w:sz w:val="18"/>
          <w:szCs w:val="18"/>
          <w:lang w:val="en-US"/>
        </w:rPr>
        <w:t>be harassed and constantly watched, as well as his family</w:t>
      </w:r>
      <w:r w:rsidRPr="00C547BF">
        <w:rPr>
          <w:rStyle w:val="Refdenotaalpie"/>
          <w:sz w:val="18"/>
          <w:szCs w:val="18"/>
        </w:rPr>
        <w:footnoteReference w:id="26"/>
      </w:r>
      <w:r w:rsidRPr="00C547BF">
        <w:rPr>
          <w:sz w:val="18"/>
          <w:szCs w:val="18"/>
          <w:lang w:val="en-US"/>
        </w:rPr>
        <w:t xml:space="preserve"> . Attacks were registered against his home, recurrently at night by individuals or groups organized by the State security</w:t>
      </w:r>
      <w:r w:rsidRPr="00C547BF">
        <w:rPr>
          <w:rStyle w:val="Refdenotaalpie"/>
          <w:sz w:val="18"/>
          <w:szCs w:val="18"/>
        </w:rPr>
        <w:footnoteReference w:id="27"/>
      </w:r>
      <w:r w:rsidRPr="00C547BF">
        <w:rPr>
          <w:sz w:val="18"/>
          <w:szCs w:val="18"/>
          <w:lang w:val="en-US"/>
        </w:rPr>
        <w:t xml:space="preserve"> .</w:t>
      </w:r>
    </w:p>
    <w:p w14:paraId="53053B32" w14:textId="77777777" w:rsidR="00171179" w:rsidRPr="00C547BF" w:rsidRDefault="00171179" w:rsidP="00F64A8C">
      <w:pPr>
        <w:pStyle w:val="Prrafodelista"/>
        <w:numPr>
          <w:ilvl w:val="0"/>
          <w:numId w:val="66"/>
        </w:numPr>
        <w:tabs>
          <w:tab w:val="left" w:pos="540"/>
        </w:tabs>
        <w:suppressAutoHyphens/>
        <w:spacing w:after="0"/>
        <w:ind w:left="360" w:right="360" w:firstLine="0"/>
        <w:contextualSpacing w:val="0"/>
        <w:rPr>
          <w:sz w:val="18"/>
          <w:szCs w:val="18"/>
          <w:lang w:val="en-US"/>
        </w:rPr>
      </w:pPr>
      <w:r w:rsidRPr="00C547BF">
        <w:rPr>
          <w:sz w:val="18"/>
          <w:szCs w:val="18"/>
          <w:lang w:val="en-US"/>
        </w:rPr>
        <w:t>Between March 18 and 21, 2003, the Cuban government imprisoned and subjected to summary trials approximately 75 dissidents, many of whom were promoters of the Varela Project</w:t>
      </w:r>
      <w:r w:rsidRPr="00C547BF">
        <w:rPr>
          <w:rStyle w:val="Refdenotaalpie"/>
          <w:sz w:val="18"/>
          <w:szCs w:val="18"/>
        </w:rPr>
        <w:footnoteReference w:id="28"/>
      </w:r>
      <w:r w:rsidRPr="00C547BF">
        <w:rPr>
          <w:sz w:val="18"/>
          <w:szCs w:val="18"/>
          <w:lang w:val="en-US"/>
        </w:rPr>
        <w:t xml:space="preserve"> . Oswaldo </w:t>
      </w:r>
      <w:proofErr w:type="spellStart"/>
      <w:r w:rsidRPr="00C547BF">
        <w:rPr>
          <w:sz w:val="18"/>
          <w:szCs w:val="18"/>
          <w:lang w:val="en-US"/>
        </w:rPr>
        <w:t>Payá</w:t>
      </w:r>
      <w:proofErr w:type="spellEnd"/>
      <w:r w:rsidRPr="00C547BF">
        <w:rPr>
          <w:sz w:val="18"/>
          <w:szCs w:val="18"/>
          <w:lang w:val="en-US"/>
        </w:rPr>
        <w:t xml:space="preserve"> became recognized as a leader of the Cuban democracy movement for his work with the Varela Project</w:t>
      </w:r>
      <w:r w:rsidRPr="00C547BF">
        <w:rPr>
          <w:rStyle w:val="Refdenotaalpie"/>
          <w:sz w:val="18"/>
          <w:szCs w:val="18"/>
        </w:rPr>
        <w:footnoteReference w:id="29"/>
      </w:r>
      <w:r w:rsidRPr="00C547BF">
        <w:rPr>
          <w:sz w:val="18"/>
          <w:szCs w:val="18"/>
          <w:lang w:val="en-US"/>
        </w:rPr>
        <w:t xml:space="preserve"> . Consequently, surveillance, periodic detentions of Oswaldo and members of the MCL and death threats against him by State Security increased. Because of their work, several members of the MCL and other political opponents </w:t>
      </w:r>
      <w:r w:rsidRPr="00C547BF">
        <w:rPr>
          <w:rFonts w:eastAsia="Times New Roman"/>
          <w:sz w:val="18"/>
          <w:szCs w:val="18"/>
          <w:shd w:val="clear" w:color="auto" w:fill="FFFFFF"/>
          <w:lang w:val="en-US" w:eastAsia="es-ES_tradnl"/>
        </w:rPr>
        <w:t>were victims of arbitrary detentions, confiscation of documents and personal belongings, and temporary prohibition by the Cuban authorities to leave the country</w:t>
      </w:r>
      <w:r w:rsidRPr="00C547BF">
        <w:rPr>
          <w:rStyle w:val="Refdenotaalpie"/>
          <w:sz w:val="18"/>
          <w:szCs w:val="18"/>
        </w:rPr>
        <w:footnoteReference w:id="30"/>
      </w:r>
      <w:r w:rsidRPr="00C547BF">
        <w:rPr>
          <w:rFonts w:eastAsia="Times New Roman"/>
          <w:sz w:val="18"/>
          <w:szCs w:val="18"/>
          <w:shd w:val="clear" w:color="auto" w:fill="FFFFFF"/>
          <w:lang w:val="en-US" w:eastAsia="es-ES_tradnl"/>
        </w:rPr>
        <w:t xml:space="preserve"> .</w:t>
      </w:r>
    </w:p>
    <w:p w14:paraId="0ABCC549" w14:textId="77777777" w:rsidR="00171179" w:rsidRPr="00C547BF" w:rsidRDefault="00171179" w:rsidP="00F64A8C">
      <w:pPr>
        <w:pStyle w:val="Prrafodelista"/>
        <w:numPr>
          <w:ilvl w:val="0"/>
          <w:numId w:val="66"/>
        </w:numPr>
        <w:tabs>
          <w:tab w:val="left" w:pos="540"/>
        </w:tabs>
        <w:suppressAutoHyphens/>
        <w:spacing w:after="0"/>
        <w:ind w:left="360" w:right="360" w:firstLine="0"/>
        <w:contextualSpacing w:val="0"/>
        <w:rPr>
          <w:sz w:val="18"/>
          <w:szCs w:val="18"/>
          <w:lang w:val="en-US"/>
        </w:rPr>
      </w:pPr>
      <w:r w:rsidRPr="00C547BF">
        <w:rPr>
          <w:sz w:val="18"/>
          <w:szCs w:val="18"/>
          <w:lang w:val="en-US"/>
        </w:rPr>
        <w:t xml:space="preserve">According to the petitioner, the Cuban authorities kept Mr. </w:t>
      </w:r>
      <w:proofErr w:type="spellStart"/>
      <w:r w:rsidRPr="00C547BF">
        <w:rPr>
          <w:sz w:val="18"/>
          <w:szCs w:val="18"/>
          <w:lang w:val="en-US"/>
        </w:rPr>
        <w:t>Payá</w:t>
      </w:r>
      <w:proofErr w:type="spellEnd"/>
      <w:r w:rsidRPr="00C547BF">
        <w:rPr>
          <w:sz w:val="18"/>
          <w:szCs w:val="18"/>
          <w:lang w:val="en-US"/>
        </w:rPr>
        <w:t xml:space="preserve"> "under constant surveillance and harassment"</w:t>
      </w:r>
      <w:r w:rsidRPr="00C547BF">
        <w:rPr>
          <w:rStyle w:val="Refdenotaalpie"/>
          <w:sz w:val="18"/>
          <w:szCs w:val="18"/>
        </w:rPr>
        <w:footnoteReference w:id="31"/>
      </w:r>
      <w:r w:rsidRPr="00C547BF">
        <w:rPr>
          <w:sz w:val="18"/>
          <w:szCs w:val="18"/>
          <w:lang w:val="en-US"/>
        </w:rPr>
        <w:t xml:space="preserve"> ; they chased him through the streets in various cars, followed him to church, to work, and agents were stationed at the door of his house</w:t>
      </w:r>
      <w:r w:rsidRPr="00C547BF">
        <w:rPr>
          <w:rStyle w:val="Refdenotaalpie"/>
          <w:sz w:val="18"/>
          <w:szCs w:val="18"/>
        </w:rPr>
        <w:footnoteReference w:id="32"/>
      </w:r>
      <w:r w:rsidRPr="00C547BF">
        <w:rPr>
          <w:sz w:val="18"/>
          <w:szCs w:val="18"/>
          <w:lang w:val="en-US"/>
        </w:rPr>
        <w:t xml:space="preserve"> . In 2008, Oswaldo </w:t>
      </w:r>
      <w:proofErr w:type="spellStart"/>
      <w:r w:rsidRPr="00C547BF">
        <w:rPr>
          <w:sz w:val="18"/>
          <w:szCs w:val="18"/>
          <w:lang w:val="en-US"/>
        </w:rPr>
        <w:t>Payá</w:t>
      </w:r>
      <w:proofErr w:type="spellEnd"/>
      <w:r w:rsidRPr="00C547BF">
        <w:rPr>
          <w:sz w:val="18"/>
          <w:szCs w:val="18"/>
          <w:lang w:val="en-US"/>
        </w:rPr>
        <w:t xml:space="preserve"> publicly denounced this situation</w:t>
      </w:r>
      <w:r w:rsidRPr="00C547BF">
        <w:rPr>
          <w:rStyle w:val="Refdenotaalpie"/>
          <w:sz w:val="18"/>
          <w:szCs w:val="18"/>
        </w:rPr>
        <w:footnoteReference w:id="33"/>
      </w:r>
      <w:r w:rsidRPr="00C547BF">
        <w:rPr>
          <w:sz w:val="18"/>
          <w:szCs w:val="18"/>
          <w:lang w:val="en-US"/>
        </w:rPr>
        <w:t xml:space="preserve"> . Among the controls and harassment suffered by Oswaldo </w:t>
      </w:r>
      <w:proofErr w:type="spellStart"/>
      <w:r w:rsidRPr="00C547BF">
        <w:rPr>
          <w:sz w:val="18"/>
          <w:szCs w:val="18"/>
          <w:lang w:val="en-US"/>
        </w:rPr>
        <w:t>Payá</w:t>
      </w:r>
      <w:proofErr w:type="spellEnd"/>
      <w:r w:rsidRPr="00C547BF">
        <w:rPr>
          <w:sz w:val="18"/>
          <w:szCs w:val="18"/>
          <w:lang w:val="en-US"/>
        </w:rPr>
        <w:t xml:space="preserve"> </w:t>
      </w:r>
      <w:proofErr w:type="gramStart"/>
      <w:r w:rsidRPr="00C547BF">
        <w:rPr>
          <w:sz w:val="18"/>
          <w:szCs w:val="18"/>
          <w:lang w:val="en-US"/>
        </w:rPr>
        <w:t>were</w:t>
      </w:r>
      <w:r w:rsidRPr="00C547BF">
        <w:rPr>
          <w:spacing w:val="-11"/>
          <w:sz w:val="18"/>
          <w:szCs w:val="18"/>
          <w:lang w:val="en-US"/>
        </w:rPr>
        <w:t>:</w:t>
      </w:r>
      <w:proofErr w:type="gramEnd"/>
      <w:r w:rsidRPr="00C547BF">
        <w:rPr>
          <w:spacing w:val="-11"/>
          <w:sz w:val="18"/>
          <w:szCs w:val="18"/>
          <w:lang w:val="en-US"/>
        </w:rPr>
        <w:t xml:space="preserve"> </w:t>
      </w:r>
      <w:r w:rsidRPr="00C547BF">
        <w:rPr>
          <w:sz w:val="18"/>
          <w:szCs w:val="18"/>
          <w:lang w:val="en-US"/>
        </w:rPr>
        <w:t>being followed at close range by State Security agents, even being rammed so that he would lose control of his car or bicycle and have an accident</w:t>
      </w:r>
      <w:r w:rsidRPr="00C547BF">
        <w:rPr>
          <w:rStyle w:val="Refdenotaalpie"/>
          <w:sz w:val="18"/>
          <w:szCs w:val="18"/>
        </w:rPr>
        <w:footnoteReference w:id="34"/>
      </w:r>
      <w:r w:rsidRPr="00C547BF">
        <w:rPr>
          <w:sz w:val="18"/>
          <w:szCs w:val="18"/>
          <w:lang w:val="en-US"/>
        </w:rPr>
        <w:t xml:space="preserve"> . </w:t>
      </w:r>
      <w:r w:rsidRPr="00C547BF">
        <w:rPr>
          <w:sz w:val="18"/>
          <w:szCs w:val="18"/>
          <w:vertAlign w:val="superscript"/>
          <w:lang w:val="en-US"/>
        </w:rPr>
        <w:t xml:space="preserve"> </w:t>
      </w:r>
      <w:r w:rsidRPr="00C547BF">
        <w:rPr>
          <w:sz w:val="18"/>
          <w:szCs w:val="18"/>
          <w:lang w:val="en-US"/>
        </w:rPr>
        <w:t>State agents even went so far as to loosen the lug nuts on the tires of his car, seriously endangering his life and that of his family.</w:t>
      </w:r>
      <w:r w:rsidRPr="00C547BF">
        <w:rPr>
          <w:rStyle w:val="Refdenotaalpie"/>
          <w:sz w:val="18"/>
          <w:szCs w:val="18"/>
        </w:rPr>
        <w:footnoteReference w:id="35"/>
      </w:r>
      <w:r w:rsidRPr="00C547BF">
        <w:rPr>
          <w:sz w:val="18"/>
          <w:szCs w:val="18"/>
          <w:lang w:val="en-US"/>
        </w:rPr>
        <w:t xml:space="preserve"> </w:t>
      </w:r>
      <w:r w:rsidRPr="00C547BF">
        <w:rPr>
          <w:sz w:val="18"/>
          <w:szCs w:val="18"/>
          <w:lang w:val="en-US"/>
        </w:rPr>
        <w:lastRenderedPageBreak/>
        <w:t xml:space="preserve">The petitioner also indicates that she received threats at the door of her </w:t>
      </w:r>
      <w:proofErr w:type="gramStart"/>
      <w:r w:rsidRPr="00C547BF">
        <w:rPr>
          <w:sz w:val="18"/>
          <w:szCs w:val="18"/>
          <w:lang w:val="en-US"/>
        </w:rPr>
        <w:t>house, and</w:t>
      </w:r>
      <w:proofErr w:type="gramEnd"/>
      <w:r w:rsidRPr="00C547BF">
        <w:rPr>
          <w:sz w:val="18"/>
          <w:szCs w:val="18"/>
          <w:lang w:val="en-US"/>
        </w:rPr>
        <w:t xml:space="preserve"> threatening and offensive phone calls</w:t>
      </w:r>
      <w:r w:rsidRPr="00C547BF">
        <w:rPr>
          <w:rStyle w:val="Refdenotaalpie"/>
          <w:sz w:val="18"/>
          <w:szCs w:val="18"/>
        </w:rPr>
        <w:footnoteReference w:id="36"/>
      </w:r>
      <w:r w:rsidRPr="00C547BF">
        <w:rPr>
          <w:sz w:val="18"/>
          <w:szCs w:val="18"/>
          <w:lang w:val="en-US"/>
        </w:rPr>
        <w:t xml:space="preserve"> . </w:t>
      </w:r>
    </w:p>
    <w:p w14:paraId="06E92603" w14:textId="77777777" w:rsidR="00171179" w:rsidRPr="00C547BF" w:rsidRDefault="00171179" w:rsidP="00F64A8C">
      <w:pPr>
        <w:pStyle w:val="Prrafodelista"/>
        <w:numPr>
          <w:ilvl w:val="0"/>
          <w:numId w:val="66"/>
        </w:numPr>
        <w:tabs>
          <w:tab w:val="left" w:pos="540"/>
        </w:tabs>
        <w:suppressAutoHyphens/>
        <w:spacing w:after="0"/>
        <w:ind w:left="360" w:right="360" w:firstLine="0"/>
        <w:contextualSpacing w:val="0"/>
        <w:rPr>
          <w:sz w:val="18"/>
          <w:szCs w:val="18"/>
          <w:lang w:val="en-US"/>
        </w:rPr>
      </w:pPr>
      <w:r w:rsidRPr="00C547BF">
        <w:rPr>
          <w:sz w:val="18"/>
          <w:szCs w:val="18"/>
          <w:lang w:val="en-US"/>
        </w:rPr>
        <w:t xml:space="preserve">In December 2004, Oswaldo </w:t>
      </w:r>
      <w:proofErr w:type="spellStart"/>
      <w:r w:rsidRPr="00C547BF">
        <w:rPr>
          <w:sz w:val="18"/>
          <w:szCs w:val="18"/>
          <w:lang w:val="en-US"/>
        </w:rPr>
        <w:t>Payá</w:t>
      </w:r>
      <w:proofErr w:type="spellEnd"/>
      <w:r w:rsidRPr="00C547BF">
        <w:rPr>
          <w:sz w:val="18"/>
          <w:szCs w:val="18"/>
          <w:lang w:val="en-US"/>
        </w:rPr>
        <w:t xml:space="preserve"> discovered more than seven microphones hidden inside the connection boxes of the telephone terminals, in the case of his home, one was in the room shared by Oswaldo and his wife Ofelia</w:t>
      </w:r>
      <w:r w:rsidRPr="00C547BF">
        <w:rPr>
          <w:rStyle w:val="Refdenotaalpie"/>
          <w:sz w:val="18"/>
          <w:szCs w:val="18"/>
        </w:rPr>
        <w:footnoteReference w:id="37"/>
      </w:r>
      <w:r w:rsidRPr="00C547BF">
        <w:rPr>
          <w:sz w:val="18"/>
          <w:szCs w:val="18"/>
          <w:lang w:val="en-US"/>
        </w:rPr>
        <w:t xml:space="preserve"> , these microphones captured everything that was said in that private room, another was found in the kitchen-dining room where the family meets most of the time they are at home. </w:t>
      </w:r>
      <w:r w:rsidRPr="00C547BF">
        <w:rPr>
          <w:spacing w:val="1"/>
          <w:sz w:val="18"/>
          <w:szCs w:val="18"/>
          <w:lang w:val="en-US"/>
        </w:rPr>
        <w:t xml:space="preserve">The petitioners have affirmed, without being contradicted by the State, that </w:t>
      </w:r>
      <w:r w:rsidRPr="00C547BF">
        <w:rPr>
          <w:sz w:val="18"/>
          <w:szCs w:val="18"/>
          <w:lang w:val="en-US"/>
        </w:rPr>
        <w:t xml:space="preserve">others were found in the homes of </w:t>
      </w:r>
      <w:r w:rsidRPr="00C547BF">
        <w:rPr>
          <w:spacing w:val="-1"/>
          <w:sz w:val="18"/>
          <w:szCs w:val="18"/>
          <w:lang w:val="en-US"/>
        </w:rPr>
        <w:t xml:space="preserve">MCL </w:t>
      </w:r>
      <w:r w:rsidRPr="00C547BF">
        <w:rPr>
          <w:sz w:val="18"/>
          <w:szCs w:val="18"/>
          <w:lang w:val="en-US"/>
        </w:rPr>
        <w:t xml:space="preserve">members </w:t>
      </w:r>
      <w:r w:rsidRPr="00C547BF">
        <w:rPr>
          <w:spacing w:val="-1"/>
          <w:sz w:val="18"/>
          <w:szCs w:val="18"/>
          <w:lang w:val="en-US"/>
        </w:rPr>
        <w:t xml:space="preserve">where they used to </w:t>
      </w:r>
      <w:r w:rsidRPr="00C547BF">
        <w:rPr>
          <w:sz w:val="18"/>
          <w:szCs w:val="18"/>
          <w:lang w:val="en-US"/>
        </w:rPr>
        <w:t>meet</w:t>
      </w:r>
      <w:r w:rsidRPr="00C547BF">
        <w:rPr>
          <w:rStyle w:val="Refdenotaalpie"/>
          <w:sz w:val="18"/>
          <w:szCs w:val="18"/>
        </w:rPr>
        <w:footnoteReference w:id="38"/>
      </w:r>
      <w:r w:rsidRPr="00C547BF">
        <w:rPr>
          <w:spacing w:val="-19"/>
          <w:sz w:val="18"/>
          <w:szCs w:val="18"/>
          <w:lang w:val="en-US"/>
        </w:rPr>
        <w:t xml:space="preserve"> . </w:t>
      </w:r>
      <w:r w:rsidRPr="00C547BF">
        <w:rPr>
          <w:sz w:val="18"/>
          <w:szCs w:val="18"/>
          <w:lang w:val="en-US"/>
        </w:rPr>
        <w:t>They also found microphones in the living room of the home of Josefina Paya, Oswaldo's aunt, where he received fellow opposition members and trusted friends</w:t>
      </w:r>
      <w:r w:rsidRPr="00C547BF">
        <w:rPr>
          <w:rStyle w:val="Refdenotaalpie"/>
          <w:sz w:val="18"/>
          <w:szCs w:val="18"/>
        </w:rPr>
        <w:footnoteReference w:id="39"/>
      </w:r>
      <w:r w:rsidRPr="00C547BF">
        <w:rPr>
          <w:sz w:val="18"/>
          <w:szCs w:val="18"/>
          <w:lang w:val="en-US"/>
        </w:rPr>
        <w:t xml:space="preserve"> .</w:t>
      </w:r>
    </w:p>
    <w:p w14:paraId="3964062D" w14:textId="77777777" w:rsidR="00171179" w:rsidRPr="00C547BF" w:rsidRDefault="00171179" w:rsidP="00F64A8C">
      <w:pPr>
        <w:pStyle w:val="Prrafodelista"/>
        <w:numPr>
          <w:ilvl w:val="0"/>
          <w:numId w:val="66"/>
        </w:numPr>
        <w:tabs>
          <w:tab w:val="left" w:pos="540"/>
        </w:tabs>
        <w:suppressAutoHyphens/>
        <w:spacing w:after="0"/>
        <w:ind w:left="360" w:right="360" w:firstLine="0"/>
        <w:contextualSpacing w:val="0"/>
        <w:rPr>
          <w:sz w:val="18"/>
          <w:szCs w:val="18"/>
          <w:lang w:val="en-US"/>
        </w:rPr>
      </w:pPr>
      <w:r w:rsidRPr="00C547BF">
        <w:rPr>
          <w:sz w:val="18"/>
          <w:szCs w:val="18"/>
          <w:lang w:val="en-US"/>
        </w:rPr>
        <w:t xml:space="preserve">According to the petitioner, on January 27, 2008, Cuban authorities sabotaged the car in which Oswaldo </w:t>
      </w:r>
      <w:proofErr w:type="spellStart"/>
      <w:r w:rsidRPr="00C547BF">
        <w:rPr>
          <w:sz w:val="18"/>
          <w:szCs w:val="18"/>
          <w:lang w:val="en-US"/>
        </w:rPr>
        <w:t>Payá</w:t>
      </w:r>
      <w:proofErr w:type="spellEnd"/>
      <w:r w:rsidRPr="00C547BF">
        <w:rPr>
          <w:sz w:val="18"/>
          <w:szCs w:val="18"/>
          <w:lang w:val="en-US"/>
        </w:rPr>
        <w:t xml:space="preserve">, his wife Ofelia Acevedo Maura and their three children were traveling after finishing a visit to the home of a family friend. He explained that they </w:t>
      </w:r>
      <w:r w:rsidRPr="00C547BF">
        <w:rPr>
          <w:spacing w:val="-12"/>
          <w:sz w:val="18"/>
          <w:szCs w:val="18"/>
          <w:lang w:val="en-US"/>
        </w:rPr>
        <w:t>had loosened the nuts that hold the wheel of their vehicle</w:t>
      </w:r>
      <w:r w:rsidRPr="00C547BF">
        <w:rPr>
          <w:rStyle w:val="Refdenotaalpie"/>
          <w:sz w:val="18"/>
          <w:szCs w:val="18"/>
        </w:rPr>
        <w:footnoteReference w:id="40"/>
      </w:r>
      <w:r w:rsidRPr="00C547BF">
        <w:rPr>
          <w:sz w:val="18"/>
          <w:szCs w:val="18"/>
          <w:lang w:val="en-US"/>
        </w:rPr>
        <w:t xml:space="preserve"> .</w:t>
      </w:r>
    </w:p>
    <w:p w14:paraId="4D4DB1F5" w14:textId="77777777" w:rsidR="00171179" w:rsidRPr="00C547BF" w:rsidRDefault="00171179" w:rsidP="00171179">
      <w:pPr>
        <w:tabs>
          <w:tab w:val="left" w:pos="540"/>
        </w:tabs>
        <w:suppressAutoHyphens/>
        <w:ind w:right="720"/>
        <w:rPr>
          <w:sz w:val="18"/>
          <w:szCs w:val="18"/>
          <w:lang w:val="en-US"/>
        </w:rPr>
      </w:pPr>
    </w:p>
    <w:p w14:paraId="38B0D407" w14:textId="77777777" w:rsidR="00171179" w:rsidRPr="00C547BF" w:rsidRDefault="00171179" w:rsidP="00563529">
      <w:pPr>
        <w:numPr>
          <w:ilvl w:val="0"/>
          <w:numId w:val="62"/>
        </w:numPr>
        <w:tabs>
          <w:tab w:val="clear" w:pos="720"/>
          <w:tab w:val="num" w:pos="360"/>
        </w:tabs>
        <w:suppressAutoHyphens/>
        <w:spacing w:after="0"/>
        <w:ind w:firstLine="0"/>
        <w:rPr>
          <w:szCs w:val="20"/>
          <w:lang w:val="es-ES_tradnl"/>
        </w:rPr>
      </w:pPr>
      <w:r w:rsidRPr="00C547BF">
        <w:rPr>
          <w:szCs w:val="20"/>
          <w:lang w:val="en-US"/>
        </w:rPr>
        <w:t xml:space="preserve">In addition, the Commission takes note of the information on an attack that occurred months before Mr. </w:t>
      </w:r>
      <w:proofErr w:type="spellStart"/>
      <w:r w:rsidRPr="00C547BF">
        <w:rPr>
          <w:szCs w:val="20"/>
          <w:lang w:val="en-US"/>
        </w:rPr>
        <w:t>Payá's</w:t>
      </w:r>
      <w:proofErr w:type="spellEnd"/>
      <w:r w:rsidRPr="00C547BF">
        <w:rPr>
          <w:szCs w:val="20"/>
          <w:lang w:val="en-US"/>
        </w:rPr>
        <w:t xml:space="preserve"> death. According to the petitioner, on June 2, 2012, Oswaldo </w:t>
      </w:r>
      <w:proofErr w:type="spellStart"/>
      <w:r w:rsidRPr="00C547BF">
        <w:rPr>
          <w:szCs w:val="20"/>
          <w:lang w:val="en-US"/>
        </w:rPr>
        <w:t>Payá</w:t>
      </w:r>
      <w:proofErr w:type="spellEnd"/>
      <w:r w:rsidRPr="00C547BF">
        <w:rPr>
          <w:szCs w:val="20"/>
          <w:lang w:val="en-US"/>
        </w:rPr>
        <w:t xml:space="preserve"> </w:t>
      </w:r>
      <w:proofErr w:type="spellStart"/>
      <w:r w:rsidRPr="00C547BF">
        <w:rPr>
          <w:szCs w:val="20"/>
          <w:lang w:val="en-US"/>
        </w:rPr>
        <w:t>Sardiñas</w:t>
      </w:r>
      <w:proofErr w:type="spellEnd"/>
      <w:r w:rsidRPr="00C547BF">
        <w:rPr>
          <w:szCs w:val="20"/>
          <w:lang w:val="en-US"/>
        </w:rPr>
        <w:t xml:space="preserve"> and his wife, Ofelia, were hit by another car in Havana. He explained that the impact was so intense that the car in which they were traveling flipped over into the other lane</w:t>
      </w:r>
      <w:r w:rsidRPr="00C547BF">
        <w:rPr>
          <w:rStyle w:val="Refdenotaalpie"/>
          <w:szCs w:val="20"/>
        </w:rPr>
        <w:footnoteReference w:id="41"/>
      </w:r>
      <w:r w:rsidRPr="00C547BF">
        <w:rPr>
          <w:szCs w:val="20"/>
          <w:lang w:val="en-US"/>
        </w:rPr>
        <w:t xml:space="preserve"> . </w:t>
      </w:r>
      <w:r w:rsidRPr="00C547BF">
        <w:rPr>
          <w:szCs w:val="20"/>
          <w:lang w:val="es-ES_tradnl"/>
        </w:rPr>
        <w:t xml:space="preserve">Mr. </w:t>
      </w:r>
      <w:proofErr w:type="spellStart"/>
      <w:r w:rsidRPr="00C547BF">
        <w:rPr>
          <w:szCs w:val="20"/>
          <w:lang w:val="es-ES_tradnl"/>
        </w:rPr>
        <w:t>Payá</w:t>
      </w:r>
      <w:proofErr w:type="spellEnd"/>
      <w:r w:rsidRPr="00C547BF">
        <w:rPr>
          <w:szCs w:val="20"/>
          <w:lang w:val="es-ES_tradnl"/>
        </w:rPr>
        <w:t xml:space="preserve"> </w:t>
      </w:r>
      <w:proofErr w:type="spellStart"/>
      <w:r w:rsidRPr="00C547BF">
        <w:rPr>
          <w:szCs w:val="20"/>
          <w:lang w:val="es-ES_tradnl"/>
        </w:rPr>
        <w:t>stated</w:t>
      </w:r>
      <w:proofErr w:type="spellEnd"/>
      <w:r w:rsidRPr="00C547BF">
        <w:rPr>
          <w:szCs w:val="20"/>
          <w:lang w:val="es-ES_tradnl"/>
        </w:rPr>
        <w:t xml:space="preserve"> </w:t>
      </w:r>
      <w:proofErr w:type="spellStart"/>
      <w:r w:rsidRPr="00C547BF">
        <w:rPr>
          <w:szCs w:val="20"/>
          <w:lang w:val="es-ES_tradnl"/>
        </w:rPr>
        <w:t>the</w:t>
      </w:r>
      <w:proofErr w:type="spellEnd"/>
      <w:r w:rsidRPr="00C547BF">
        <w:rPr>
          <w:szCs w:val="20"/>
          <w:lang w:val="es-ES_tradnl"/>
        </w:rPr>
        <w:t xml:space="preserve"> </w:t>
      </w:r>
      <w:proofErr w:type="spellStart"/>
      <w:r w:rsidRPr="00C547BF">
        <w:rPr>
          <w:szCs w:val="20"/>
          <w:lang w:val="es-ES_tradnl"/>
        </w:rPr>
        <w:t>following</w:t>
      </w:r>
      <w:proofErr w:type="spellEnd"/>
      <w:r w:rsidRPr="00C547BF">
        <w:rPr>
          <w:szCs w:val="20"/>
          <w:lang w:val="es-ES_tradnl"/>
        </w:rPr>
        <w:t>:</w:t>
      </w:r>
    </w:p>
    <w:p w14:paraId="72C2EA14" w14:textId="77777777" w:rsidR="00171179" w:rsidRPr="00C547BF" w:rsidRDefault="00171179" w:rsidP="00171179">
      <w:pPr>
        <w:pStyle w:val="Textoindependiente"/>
        <w:spacing w:after="0"/>
        <w:ind w:left="720"/>
        <w:jc w:val="both"/>
        <w:rPr>
          <w:rFonts w:ascii="Cambria" w:hAnsi="Cambria"/>
          <w:sz w:val="20"/>
          <w:szCs w:val="20"/>
          <w:lang w:val="es-ES_tradnl"/>
        </w:rPr>
      </w:pPr>
    </w:p>
    <w:p w14:paraId="3A9B03CB" w14:textId="77777777" w:rsidR="00171179" w:rsidRPr="00C547BF" w:rsidRDefault="00171179" w:rsidP="00F64A8C">
      <w:pPr>
        <w:pStyle w:val="Textoindependiente"/>
        <w:spacing w:after="0"/>
        <w:ind w:left="360" w:right="360"/>
        <w:jc w:val="both"/>
        <w:rPr>
          <w:rFonts w:ascii="Cambria" w:hAnsi="Cambria"/>
          <w:sz w:val="18"/>
          <w:szCs w:val="18"/>
          <w:lang w:val="en-US"/>
        </w:rPr>
      </w:pPr>
      <w:r w:rsidRPr="00C547BF">
        <w:rPr>
          <w:rFonts w:ascii="Cambria" w:hAnsi="Cambria"/>
          <w:sz w:val="18"/>
          <w:szCs w:val="18"/>
          <w:lang w:val="en-US"/>
        </w:rPr>
        <w:t>[s]</w:t>
      </w:r>
      <w:proofErr w:type="spellStart"/>
      <w:r w:rsidRPr="00C547BF">
        <w:rPr>
          <w:rFonts w:ascii="Cambria" w:hAnsi="Cambria"/>
          <w:sz w:val="18"/>
          <w:szCs w:val="18"/>
          <w:lang w:val="en-US"/>
        </w:rPr>
        <w:t>igo</w:t>
      </w:r>
      <w:proofErr w:type="spellEnd"/>
      <w:r w:rsidRPr="00C547BF">
        <w:rPr>
          <w:rFonts w:ascii="Cambria" w:hAnsi="Cambria"/>
          <w:sz w:val="18"/>
          <w:szCs w:val="18"/>
          <w:lang w:val="en-US"/>
        </w:rPr>
        <w:t xml:space="preserve"> with the green [light], maybe when passing it was in the 7 or 8 seconds. I can't prove it. [He] doesn't speed up because he'</w:t>
      </w:r>
      <w:r w:rsidRPr="00C547BF">
        <w:rPr>
          <w:rFonts w:ascii="Cambria" w:hAnsi="Cambria"/>
          <w:spacing w:val="-6"/>
          <w:sz w:val="18"/>
          <w:szCs w:val="18"/>
          <w:lang w:val="en-US"/>
        </w:rPr>
        <w:t>s</w:t>
      </w:r>
      <w:r w:rsidRPr="00C547BF">
        <w:rPr>
          <w:rFonts w:ascii="Cambria" w:hAnsi="Cambria"/>
          <w:sz w:val="18"/>
          <w:szCs w:val="18"/>
          <w:lang w:val="en-US"/>
        </w:rPr>
        <w:t xml:space="preserve"> going with enough time. He doesn't brake because he doesn't </w:t>
      </w:r>
      <w:r w:rsidRPr="00C547BF">
        <w:rPr>
          <w:rFonts w:ascii="Cambria" w:hAnsi="Cambria"/>
          <w:spacing w:val="-58"/>
          <w:sz w:val="18"/>
          <w:szCs w:val="18"/>
          <w:lang w:val="en-US"/>
        </w:rPr>
        <w:t xml:space="preserve">see </w:t>
      </w:r>
      <w:r w:rsidRPr="00C547BF">
        <w:rPr>
          <w:rFonts w:ascii="Cambria" w:hAnsi="Cambria"/>
          <w:sz w:val="18"/>
          <w:szCs w:val="18"/>
          <w:lang w:val="en-US"/>
        </w:rPr>
        <w:t>anyone. When [he] feel[s] some very short braking and the impact, the car tilts immediately. They [notice] that the car slides longitudinally towards the other lane</w:t>
      </w:r>
      <w:r w:rsidRPr="00C547BF">
        <w:rPr>
          <w:rStyle w:val="Refdenotaalpie"/>
          <w:rFonts w:ascii="Cambria" w:eastAsia="Trebuchet MS" w:hAnsi="Cambria"/>
          <w:sz w:val="18"/>
          <w:szCs w:val="18"/>
        </w:rPr>
        <w:footnoteReference w:id="42"/>
      </w:r>
      <w:r w:rsidRPr="00C547BF">
        <w:rPr>
          <w:rFonts w:ascii="Cambria" w:hAnsi="Cambria"/>
          <w:sz w:val="18"/>
          <w:szCs w:val="18"/>
          <w:lang w:val="en-US"/>
        </w:rPr>
        <w:t xml:space="preserve"> .</w:t>
      </w:r>
    </w:p>
    <w:p w14:paraId="67ED4667" w14:textId="77777777" w:rsidR="00171179" w:rsidRPr="00C547BF" w:rsidRDefault="00171179" w:rsidP="00171179">
      <w:pPr>
        <w:pStyle w:val="Textoindependiente"/>
        <w:spacing w:after="0"/>
        <w:jc w:val="both"/>
        <w:rPr>
          <w:rFonts w:ascii="Cambria" w:hAnsi="Cambria"/>
          <w:sz w:val="20"/>
          <w:szCs w:val="20"/>
          <w:lang w:val="en-US"/>
        </w:rPr>
      </w:pPr>
    </w:p>
    <w:p w14:paraId="14B2DE73"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Ofelia Acevedo stated the following:</w:t>
      </w:r>
    </w:p>
    <w:p w14:paraId="2D0C8D03" w14:textId="77777777" w:rsidR="00171179" w:rsidRPr="00C547BF" w:rsidRDefault="00171179" w:rsidP="00171179">
      <w:pPr>
        <w:pStyle w:val="Textoindependiente"/>
        <w:spacing w:after="0"/>
        <w:ind w:left="720"/>
        <w:jc w:val="both"/>
        <w:rPr>
          <w:rFonts w:ascii="Cambria" w:hAnsi="Cambria"/>
          <w:sz w:val="20"/>
          <w:szCs w:val="20"/>
          <w:lang w:val="en-US"/>
        </w:rPr>
      </w:pPr>
    </w:p>
    <w:p w14:paraId="558A7E83" w14:textId="1A2EB7D9" w:rsidR="00171179" w:rsidRPr="00C547BF" w:rsidRDefault="00171179" w:rsidP="00F64A8C">
      <w:pPr>
        <w:pStyle w:val="Textoindependiente"/>
        <w:spacing w:after="0"/>
        <w:ind w:left="360" w:right="360"/>
        <w:jc w:val="both"/>
        <w:rPr>
          <w:rFonts w:ascii="Cambria" w:eastAsia="Calibri" w:hAnsi="Cambria" w:cs="Calibri"/>
          <w:sz w:val="18"/>
          <w:szCs w:val="18"/>
          <w:lang w:val="en-US"/>
        </w:rPr>
      </w:pPr>
      <w:r w:rsidRPr="00C547BF">
        <w:rPr>
          <w:rFonts w:ascii="Cambria" w:eastAsia="Calibri" w:hAnsi="Cambria" w:cs="Calibri"/>
          <w:sz w:val="18"/>
          <w:szCs w:val="18"/>
          <w:lang w:val="en-US"/>
        </w:rPr>
        <w:t>(...) on June 2, 20</w:t>
      </w:r>
      <w:r w:rsidR="005A0A13">
        <w:rPr>
          <w:rFonts w:ascii="Cambria" w:eastAsia="Calibri" w:hAnsi="Cambria" w:cs="Calibri"/>
          <w:sz w:val="18"/>
          <w:szCs w:val="18"/>
          <w:lang w:val="en-US"/>
        </w:rPr>
        <w:t>1</w:t>
      </w:r>
      <w:r w:rsidRPr="00C547BF">
        <w:rPr>
          <w:rFonts w:ascii="Cambria" w:eastAsia="Calibri" w:hAnsi="Cambria" w:cs="Calibri"/>
          <w:sz w:val="18"/>
          <w:szCs w:val="18"/>
          <w:lang w:val="en-US"/>
        </w:rPr>
        <w:t>2, his car came out of nowhere and hit our car in the back, causing it to overturn and fall into the oncoming lane. Oswaldo was driving as usual slowly and miraculously there was no car coming in the other direction, that saved us. Mysteriously the police appeared there and immediately took us away from the scene, rushing us to a hospital that was taken over by state security agents. They held us there for four hours, that day it became clear to us that they were trying to eliminate us</w:t>
      </w:r>
      <w:r w:rsidRPr="00C547BF">
        <w:rPr>
          <w:rStyle w:val="Refdenotaalpie"/>
          <w:rFonts w:ascii="Cambria" w:eastAsia="Calibri" w:hAnsi="Cambria" w:cs="Calibri"/>
          <w:sz w:val="18"/>
          <w:szCs w:val="18"/>
        </w:rPr>
        <w:footnoteReference w:id="43"/>
      </w:r>
      <w:r w:rsidRPr="00C547BF">
        <w:rPr>
          <w:rFonts w:ascii="Cambria" w:eastAsia="Calibri" w:hAnsi="Cambria" w:cs="Calibri"/>
          <w:sz w:val="18"/>
          <w:szCs w:val="18"/>
          <w:lang w:val="en-US"/>
        </w:rPr>
        <w:t xml:space="preserve"> .</w:t>
      </w:r>
    </w:p>
    <w:p w14:paraId="3D2439F0" w14:textId="77777777" w:rsidR="00171179" w:rsidRPr="00C547BF" w:rsidRDefault="00171179" w:rsidP="00171179">
      <w:pPr>
        <w:pStyle w:val="Textoindependiente"/>
        <w:spacing w:after="0"/>
        <w:jc w:val="both"/>
        <w:rPr>
          <w:rFonts w:ascii="Cambria" w:hAnsi="Cambria"/>
          <w:sz w:val="20"/>
          <w:szCs w:val="20"/>
          <w:lang w:val="en-US"/>
        </w:rPr>
      </w:pPr>
    </w:p>
    <w:p w14:paraId="31CF7791"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The petitioner maintained that Ofelia Acevedo and Oswaldo </w:t>
      </w:r>
      <w:proofErr w:type="spellStart"/>
      <w:r w:rsidRPr="00C547BF">
        <w:rPr>
          <w:szCs w:val="20"/>
          <w:lang w:val="en-US"/>
        </w:rPr>
        <w:t>Payá</w:t>
      </w:r>
      <w:proofErr w:type="spellEnd"/>
      <w:r w:rsidRPr="00C547BF">
        <w:rPr>
          <w:szCs w:val="20"/>
          <w:lang w:val="en-US"/>
        </w:rPr>
        <w:t xml:space="preserve"> were taken to a hospital, where State Security agents went. She indicated that although Mr. Oswaldo </w:t>
      </w:r>
      <w:proofErr w:type="spellStart"/>
      <w:r w:rsidRPr="00C547BF">
        <w:rPr>
          <w:szCs w:val="20"/>
          <w:lang w:val="en-US"/>
        </w:rPr>
        <w:t>Payá</w:t>
      </w:r>
      <w:proofErr w:type="spellEnd"/>
      <w:r w:rsidRPr="00C547BF">
        <w:rPr>
          <w:szCs w:val="20"/>
          <w:lang w:val="en-US"/>
        </w:rPr>
        <w:t xml:space="preserve"> claimed that he was fine and that he was not injured, the hospital staff insisted on performing tests on his internal organs. Oswaldo </w:t>
      </w:r>
      <w:proofErr w:type="spellStart"/>
      <w:r w:rsidRPr="00C547BF">
        <w:rPr>
          <w:szCs w:val="20"/>
          <w:lang w:val="en-US"/>
        </w:rPr>
        <w:t>Payá</w:t>
      </w:r>
      <w:proofErr w:type="spellEnd"/>
      <w:r w:rsidRPr="00C547BF">
        <w:rPr>
          <w:szCs w:val="20"/>
          <w:lang w:val="en-US"/>
        </w:rPr>
        <w:t xml:space="preserve"> Acevedo noted that at the place where the incident occurred, the police filled out a report with the statements of alleged persons present at the scene and after making their statements they all left together in the same car that had hit Oswaldo </w:t>
      </w:r>
      <w:proofErr w:type="spellStart"/>
      <w:r w:rsidRPr="00C547BF">
        <w:rPr>
          <w:szCs w:val="20"/>
          <w:lang w:val="en-US"/>
        </w:rPr>
        <w:t>Payá</w:t>
      </w:r>
      <w:proofErr w:type="spellEnd"/>
      <w:r w:rsidRPr="00C547BF">
        <w:rPr>
          <w:szCs w:val="20"/>
          <w:lang w:val="en-US"/>
        </w:rPr>
        <w:t xml:space="preserve"> and Ofelia Acevedo's car. He indicated that after the incident, the vehicle involved in the accident was preserved by the police and therefore they did not have the opportunity to inspect it. It was also indicated that Mr. </w:t>
      </w:r>
      <w:proofErr w:type="spellStart"/>
      <w:r w:rsidRPr="00C547BF">
        <w:rPr>
          <w:szCs w:val="20"/>
          <w:lang w:val="en-US"/>
        </w:rPr>
        <w:t>Payá</w:t>
      </w:r>
      <w:proofErr w:type="spellEnd"/>
      <w:r w:rsidRPr="00C547BF">
        <w:rPr>
          <w:szCs w:val="20"/>
          <w:lang w:val="en-US"/>
        </w:rPr>
        <w:t xml:space="preserve"> learned that he was denounced by the other driver for having </w:t>
      </w:r>
      <w:r w:rsidRPr="00C547BF">
        <w:rPr>
          <w:spacing w:val="-1"/>
          <w:szCs w:val="20"/>
          <w:lang w:val="en-US"/>
        </w:rPr>
        <w:t xml:space="preserve">caused </w:t>
      </w:r>
      <w:r w:rsidRPr="00C547BF">
        <w:rPr>
          <w:szCs w:val="20"/>
          <w:lang w:val="en-US"/>
        </w:rPr>
        <w:t xml:space="preserve">the accident. </w:t>
      </w:r>
      <w:r w:rsidRPr="00C547BF">
        <w:rPr>
          <w:szCs w:val="20"/>
          <w:vertAlign w:val="superscript"/>
          <w:lang w:val="en-US"/>
        </w:rPr>
        <w:t xml:space="preserve"> </w:t>
      </w:r>
      <w:r w:rsidRPr="00C547BF">
        <w:rPr>
          <w:szCs w:val="20"/>
          <w:lang w:val="en-US"/>
        </w:rPr>
        <w:t xml:space="preserve">Oswaldo </w:t>
      </w:r>
      <w:proofErr w:type="spellStart"/>
      <w:r w:rsidRPr="00C547BF">
        <w:rPr>
          <w:szCs w:val="20"/>
          <w:lang w:val="en-US"/>
        </w:rPr>
        <w:t>Payá</w:t>
      </w:r>
      <w:proofErr w:type="spellEnd"/>
      <w:r w:rsidRPr="00C547BF">
        <w:rPr>
          <w:szCs w:val="20"/>
          <w:lang w:val="en-US"/>
        </w:rPr>
        <w:t xml:space="preserve"> told his family that the officer did not take statements regarding the accident and was unable to give his version of events</w:t>
      </w:r>
      <w:r w:rsidRPr="00C547BF">
        <w:rPr>
          <w:rStyle w:val="Refdenotaalpie"/>
          <w:szCs w:val="20"/>
          <w:lang w:val="es-CO"/>
        </w:rPr>
        <w:footnoteReference w:id="44"/>
      </w:r>
      <w:r w:rsidRPr="00C547BF">
        <w:rPr>
          <w:szCs w:val="20"/>
          <w:lang w:val="en-US"/>
        </w:rPr>
        <w:t xml:space="preserve"> . The Commission has no information as to whether it initiated an investigation against Mr. </w:t>
      </w:r>
      <w:proofErr w:type="spellStart"/>
      <w:r w:rsidRPr="00C547BF">
        <w:rPr>
          <w:szCs w:val="20"/>
          <w:lang w:val="en-US"/>
        </w:rPr>
        <w:t>Payá</w:t>
      </w:r>
      <w:proofErr w:type="spellEnd"/>
      <w:r w:rsidRPr="00C547BF">
        <w:rPr>
          <w:szCs w:val="20"/>
          <w:lang w:val="en-US"/>
        </w:rPr>
        <w:t>.</w:t>
      </w:r>
    </w:p>
    <w:p w14:paraId="7F2AC52C" w14:textId="77777777" w:rsidR="00171179" w:rsidRPr="00C547BF" w:rsidRDefault="00171179" w:rsidP="00171179">
      <w:pPr>
        <w:suppressAutoHyphens/>
        <w:rPr>
          <w:szCs w:val="20"/>
          <w:lang w:val="en-US"/>
        </w:rPr>
      </w:pPr>
    </w:p>
    <w:p w14:paraId="26DB1E79" w14:textId="77777777" w:rsidR="00171179" w:rsidRPr="00C547BF" w:rsidRDefault="00171179" w:rsidP="00545598">
      <w:pPr>
        <w:pStyle w:val="Ttulo2"/>
        <w:numPr>
          <w:ilvl w:val="0"/>
          <w:numId w:val="0"/>
        </w:numPr>
        <w:tabs>
          <w:tab w:val="left" w:pos="360"/>
        </w:tabs>
        <w:spacing w:before="0"/>
        <w:rPr>
          <w:lang w:val="en-US"/>
        </w:rPr>
      </w:pPr>
      <w:bookmarkStart w:id="31" w:name="_Toc136860057"/>
      <w:r w:rsidRPr="00C547BF">
        <w:rPr>
          <w:lang w:val="en-US"/>
        </w:rPr>
        <w:lastRenderedPageBreak/>
        <w:t xml:space="preserve">C. </w:t>
      </w:r>
      <w:r w:rsidRPr="00C547BF">
        <w:rPr>
          <w:lang w:val="en-US"/>
        </w:rPr>
        <w:tab/>
        <w:t xml:space="preserve">On the death of Oswaldo </w:t>
      </w:r>
      <w:proofErr w:type="spellStart"/>
      <w:r w:rsidRPr="00C547BF">
        <w:rPr>
          <w:lang w:val="en-US"/>
        </w:rPr>
        <w:t>Payá</w:t>
      </w:r>
      <w:proofErr w:type="spellEnd"/>
      <w:r w:rsidRPr="00C547BF">
        <w:rPr>
          <w:lang w:val="en-US"/>
        </w:rPr>
        <w:t xml:space="preserve"> and Harold Cepero</w:t>
      </w:r>
      <w:bookmarkEnd w:id="31"/>
      <w:r w:rsidRPr="00C547BF">
        <w:rPr>
          <w:lang w:val="en-US"/>
        </w:rPr>
        <w:t xml:space="preserve"> </w:t>
      </w:r>
    </w:p>
    <w:p w14:paraId="3F2CDA9A" w14:textId="77777777" w:rsidR="00171179" w:rsidRPr="00C547BF" w:rsidRDefault="00171179" w:rsidP="00171179">
      <w:pPr>
        <w:rPr>
          <w:lang w:val="en-US"/>
        </w:rPr>
      </w:pPr>
    </w:p>
    <w:p w14:paraId="36CB2D33"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On July 22, 2012, Oswaldo </w:t>
      </w:r>
      <w:proofErr w:type="spellStart"/>
      <w:r w:rsidRPr="00C547BF">
        <w:rPr>
          <w:szCs w:val="20"/>
          <w:lang w:val="en-US"/>
        </w:rPr>
        <w:t>Payá</w:t>
      </w:r>
      <w:proofErr w:type="spellEnd"/>
      <w:r w:rsidRPr="00C547BF">
        <w:rPr>
          <w:szCs w:val="20"/>
          <w:lang w:val="en-US"/>
        </w:rPr>
        <w:t xml:space="preserve"> </w:t>
      </w:r>
      <w:proofErr w:type="spellStart"/>
      <w:r w:rsidRPr="00C547BF">
        <w:rPr>
          <w:szCs w:val="20"/>
          <w:lang w:val="en-US"/>
        </w:rPr>
        <w:t>Sardiñas</w:t>
      </w:r>
      <w:proofErr w:type="spellEnd"/>
      <w:r w:rsidRPr="00C547BF">
        <w:rPr>
          <w:szCs w:val="20"/>
          <w:lang w:val="en-US"/>
        </w:rPr>
        <w:t xml:space="preserve"> and Harold Cepero Escalante died when the vehicle in which they were traveling was involved in a car crash while they were driving on the central highway towards the city of Bayamo, in Cuba</w:t>
      </w:r>
      <w:r w:rsidRPr="00C547BF">
        <w:rPr>
          <w:rStyle w:val="Refdenotaalpie"/>
          <w:szCs w:val="20"/>
        </w:rPr>
        <w:footnoteReference w:id="45"/>
      </w:r>
      <w:r w:rsidRPr="00C547BF">
        <w:rPr>
          <w:szCs w:val="20"/>
          <w:lang w:val="en-US"/>
        </w:rPr>
        <w:t xml:space="preserve"> . The vehicle was driven by Angel Francisco </w:t>
      </w:r>
      <w:proofErr w:type="spellStart"/>
      <w:r w:rsidRPr="00C547BF">
        <w:rPr>
          <w:szCs w:val="20"/>
          <w:lang w:val="en-US"/>
        </w:rPr>
        <w:t>Carromero</w:t>
      </w:r>
      <w:proofErr w:type="spellEnd"/>
      <w:r w:rsidRPr="00C547BF">
        <w:rPr>
          <w:szCs w:val="20"/>
          <w:lang w:val="en-US"/>
        </w:rPr>
        <w:t xml:space="preserve"> Barrios and the co-driver was Jens Aron </w:t>
      </w:r>
      <w:proofErr w:type="spellStart"/>
      <w:r w:rsidRPr="00C547BF">
        <w:rPr>
          <w:szCs w:val="20"/>
          <w:lang w:val="en-US"/>
        </w:rPr>
        <w:t>Modig</w:t>
      </w:r>
      <w:proofErr w:type="spellEnd"/>
      <w:r w:rsidRPr="00C547BF">
        <w:rPr>
          <w:szCs w:val="20"/>
          <w:lang w:val="en-US"/>
        </w:rPr>
        <w:t xml:space="preserve">. Mr. </w:t>
      </w:r>
      <w:proofErr w:type="spellStart"/>
      <w:r w:rsidRPr="00C547BF">
        <w:rPr>
          <w:szCs w:val="20"/>
          <w:lang w:val="en-US"/>
        </w:rPr>
        <w:t>Carromero</w:t>
      </w:r>
      <w:proofErr w:type="spellEnd"/>
      <w:r w:rsidRPr="00C547BF">
        <w:rPr>
          <w:szCs w:val="20"/>
          <w:lang w:val="en-US"/>
        </w:rPr>
        <w:t xml:space="preserve"> was Deputy Secretary General of the New Generations of the Popular Party of Madrid and Mr. </w:t>
      </w:r>
      <w:proofErr w:type="spellStart"/>
      <w:r w:rsidRPr="00C547BF">
        <w:rPr>
          <w:szCs w:val="20"/>
          <w:lang w:val="en-US"/>
        </w:rPr>
        <w:t>Modig</w:t>
      </w:r>
      <w:proofErr w:type="spellEnd"/>
      <w:r w:rsidRPr="00C547BF">
        <w:rPr>
          <w:szCs w:val="20"/>
          <w:lang w:val="en-US"/>
        </w:rPr>
        <w:t xml:space="preserve"> was a member of the Christian Democratic Youth of Sweden (KDU). The two went to Cuba as part of a trip organized by the </w:t>
      </w:r>
      <w:r w:rsidRPr="00C547BF">
        <w:rPr>
          <w:i/>
          <w:iCs/>
          <w:szCs w:val="20"/>
          <w:lang w:val="en-US"/>
        </w:rPr>
        <w:t xml:space="preserve">Christian Democratic International Center </w:t>
      </w:r>
      <w:r w:rsidRPr="00C547BF">
        <w:rPr>
          <w:szCs w:val="20"/>
          <w:lang w:val="en-US"/>
        </w:rPr>
        <w:t>(KIC), a non-governmental organization related to the Swedish Christian Democratic Party</w:t>
      </w:r>
      <w:r w:rsidRPr="00C547BF">
        <w:rPr>
          <w:rStyle w:val="Refdenotaalpie"/>
          <w:szCs w:val="20"/>
        </w:rPr>
        <w:footnoteReference w:id="46"/>
      </w:r>
      <w:r w:rsidRPr="00C547BF">
        <w:rPr>
          <w:szCs w:val="20"/>
          <w:lang w:val="en-US"/>
        </w:rPr>
        <w:t xml:space="preserve"> . </w:t>
      </w:r>
      <w:r w:rsidRPr="00C547BF">
        <w:rPr>
          <w:szCs w:val="20"/>
          <w:vertAlign w:val="superscript"/>
          <w:lang w:val="en-US"/>
        </w:rPr>
        <w:t xml:space="preserve"> </w:t>
      </w:r>
      <w:r w:rsidRPr="00C547BF">
        <w:rPr>
          <w:szCs w:val="20"/>
          <w:lang w:val="en-US"/>
        </w:rPr>
        <w:t xml:space="preserve">Mr. </w:t>
      </w:r>
      <w:proofErr w:type="spellStart"/>
      <w:r w:rsidRPr="00C547BF">
        <w:rPr>
          <w:szCs w:val="20"/>
          <w:lang w:val="en-US"/>
        </w:rPr>
        <w:t>Carromero</w:t>
      </w:r>
      <w:proofErr w:type="spellEnd"/>
      <w:r w:rsidRPr="00C547BF">
        <w:rPr>
          <w:szCs w:val="20"/>
          <w:lang w:val="en-US"/>
        </w:rPr>
        <w:t xml:space="preserve"> and Mr. </w:t>
      </w:r>
      <w:proofErr w:type="spellStart"/>
      <w:r w:rsidRPr="00C547BF">
        <w:rPr>
          <w:szCs w:val="20"/>
          <w:lang w:val="en-US"/>
        </w:rPr>
        <w:t>Modig</w:t>
      </w:r>
      <w:proofErr w:type="spellEnd"/>
      <w:r w:rsidRPr="00C547BF">
        <w:rPr>
          <w:szCs w:val="20"/>
          <w:lang w:val="en-US"/>
        </w:rPr>
        <w:t xml:space="preserve"> were in Cuba to support other members of Christian Democratic movements and to provide financial support to the families of Cuban dissidents linked to the Varela Project"</w:t>
      </w:r>
      <w:r w:rsidRPr="00C547BF">
        <w:rPr>
          <w:rStyle w:val="Refdenotaalpie"/>
          <w:szCs w:val="20"/>
        </w:rPr>
        <w:footnoteReference w:id="47"/>
      </w:r>
      <w:r w:rsidRPr="00C547BF">
        <w:rPr>
          <w:szCs w:val="20"/>
          <w:lang w:val="en-US"/>
        </w:rPr>
        <w:t xml:space="preserve"> . It was indicated that since their arrival in Cuba, Mr. </w:t>
      </w:r>
      <w:proofErr w:type="spellStart"/>
      <w:r w:rsidRPr="00C547BF">
        <w:rPr>
          <w:szCs w:val="20"/>
          <w:lang w:val="en-US"/>
        </w:rPr>
        <w:t>Carromero</w:t>
      </w:r>
      <w:proofErr w:type="spellEnd"/>
      <w:r w:rsidRPr="00C547BF">
        <w:rPr>
          <w:szCs w:val="20"/>
          <w:lang w:val="en-US"/>
        </w:rPr>
        <w:t xml:space="preserve"> and Mr. </w:t>
      </w:r>
      <w:proofErr w:type="spellStart"/>
      <w:r w:rsidRPr="00C547BF">
        <w:rPr>
          <w:szCs w:val="20"/>
          <w:lang w:val="en-US"/>
        </w:rPr>
        <w:t>Modig</w:t>
      </w:r>
      <w:proofErr w:type="spellEnd"/>
      <w:r w:rsidRPr="00C547BF">
        <w:rPr>
          <w:szCs w:val="20"/>
          <w:lang w:val="en-US"/>
        </w:rPr>
        <w:t xml:space="preserve"> were permanently followed by police agents</w:t>
      </w:r>
      <w:r w:rsidRPr="00C547BF">
        <w:rPr>
          <w:rStyle w:val="Refdenotaalpie"/>
          <w:spacing w:val="-1"/>
          <w:szCs w:val="20"/>
        </w:rPr>
        <w:footnoteReference w:id="48"/>
      </w:r>
      <w:r w:rsidRPr="00C547BF">
        <w:rPr>
          <w:szCs w:val="20"/>
          <w:lang w:val="en-US"/>
        </w:rPr>
        <w:t xml:space="preserve"> . </w:t>
      </w:r>
    </w:p>
    <w:p w14:paraId="2B91BC8B" w14:textId="77777777" w:rsidR="00171179" w:rsidRPr="00C547BF" w:rsidRDefault="00171179" w:rsidP="00171179">
      <w:pPr>
        <w:pStyle w:val="Textoindependiente"/>
        <w:spacing w:after="0"/>
        <w:jc w:val="both"/>
        <w:rPr>
          <w:rFonts w:ascii="Cambria" w:hAnsi="Cambria"/>
          <w:sz w:val="20"/>
          <w:szCs w:val="20"/>
          <w:lang w:val="en-US"/>
        </w:rPr>
      </w:pPr>
    </w:p>
    <w:p w14:paraId="10FAF11F" w14:textId="5DC464B9"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The Commission takes note of contradictory positions on the causes of the accident. On the one hand, the petitioner indicated that, according to the testimony of </w:t>
      </w:r>
      <w:proofErr w:type="spellStart"/>
      <w:r w:rsidRPr="00C547BF">
        <w:rPr>
          <w:szCs w:val="20"/>
          <w:lang w:val="en-US"/>
        </w:rPr>
        <w:t>Ángel</w:t>
      </w:r>
      <w:proofErr w:type="spellEnd"/>
      <w:r w:rsidRPr="00C547BF">
        <w:rPr>
          <w:szCs w:val="20"/>
          <w:lang w:val="en-US"/>
        </w:rPr>
        <w:t xml:space="preserve"> Francisco </w:t>
      </w:r>
      <w:proofErr w:type="spellStart"/>
      <w:r w:rsidRPr="00C547BF">
        <w:rPr>
          <w:szCs w:val="20"/>
          <w:lang w:val="en-US"/>
        </w:rPr>
        <w:t>Carromero</w:t>
      </w:r>
      <w:proofErr w:type="spellEnd"/>
      <w:r w:rsidRPr="00C547BF">
        <w:rPr>
          <w:szCs w:val="20"/>
          <w:lang w:val="en-US"/>
        </w:rPr>
        <w:t xml:space="preserve"> Barrios, </w:t>
      </w:r>
      <w:r w:rsidR="005A0A13">
        <w:rPr>
          <w:szCs w:val="20"/>
          <w:lang w:val="en-US"/>
        </w:rPr>
        <w:t xml:space="preserve">a </w:t>
      </w:r>
      <w:r w:rsidRPr="00C547BF">
        <w:rPr>
          <w:szCs w:val="20"/>
          <w:lang w:val="en-US"/>
        </w:rPr>
        <w:t xml:space="preserve">human rights defender, who was driving the vehicle in which the alleged victims were, </w:t>
      </w:r>
      <w:r w:rsidRPr="00C547BF">
        <w:rPr>
          <w:spacing w:val="1"/>
          <w:szCs w:val="20"/>
          <w:lang w:val="en-US"/>
        </w:rPr>
        <w:t xml:space="preserve">a car followed them from the moment they left Havana. He said that </w:t>
      </w:r>
      <w:r w:rsidRPr="00C547BF">
        <w:rPr>
          <w:szCs w:val="20"/>
          <w:lang w:val="en-US"/>
        </w:rPr>
        <w:t xml:space="preserve">another car, which was an official and state security car, rammed into them, causing the accident. It was added that Mr. </w:t>
      </w:r>
      <w:proofErr w:type="spellStart"/>
      <w:r w:rsidRPr="00C547BF">
        <w:rPr>
          <w:szCs w:val="20"/>
          <w:lang w:val="en-US"/>
        </w:rPr>
        <w:t>Carromero</w:t>
      </w:r>
      <w:proofErr w:type="spellEnd"/>
      <w:r w:rsidRPr="00C547BF">
        <w:rPr>
          <w:szCs w:val="20"/>
          <w:lang w:val="en-US"/>
        </w:rPr>
        <w:t xml:space="preserve"> and Mr. </w:t>
      </w:r>
      <w:proofErr w:type="spellStart"/>
      <w:r w:rsidRPr="00C547BF">
        <w:rPr>
          <w:szCs w:val="20"/>
          <w:lang w:val="en-US"/>
        </w:rPr>
        <w:t>Modig</w:t>
      </w:r>
      <w:proofErr w:type="spellEnd"/>
      <w:r w:rsidRPr="00C547BF">
        <w:rPr>
          <w:szCs w:val="20"/>
          <w:lang w:val="en-US"/>
        </w:rPr>
        <w:t xml:space="preserve"> survived the collision with minor injuries</w:t>
      </w:r>
      <w:r w:rsidRPr="00C547BF">
        <w:rPr>
          <w:rStyle w:val="Refdenotaalpie"/>
          <w:szCs w:val="20"/>
        </w:rPr>
        <w:footnoteReference w:id="49"/>
      </w:r>
      <w:r w:rsidRPr="00C547BF">
        <w:rPr>
          <w:szCs w:val="20"/>
          <w:lang w:val="en-US"/>
        </w:rPr>
        <w:t xml:space="preserve"> .</w:t>
      </w:r>
    </w:p>
    <w:p w14:paraId="0600F6D3" w14:textId="77777777" w:rsidR="00171179" w:rsidRPr="00C547BF" w:rsidRDefault="00171179" w:rsidP="005A0A13">
      <w:pPr>
        <w:pStyle w:val="Textoindependiente"/>
        <w:spacing w:after="0"/>
        <w:jc w:val="both"/>
        <w:rPr>
          <w:szCs w:val="20"/>
          <w:lang w:val="en-US"/>
        </w:rPr>
      </w:pPr>
    </w:p>
    <w:p w14:paraId="6E09B7D8"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Mr. </w:t>
      </w:r>
      <w:proofErr w:type="spellStart"/>
      <w:r w:rsidRPr="00C547BF">
        <w:rPr>
          <w:szCs w:val="20"/>
          <w:lang w:val="en-US"/>
        </w:rPr>
        <w:t>Carromero</w:t>
      </w:r>
      <w:proofErr w:type="spellEnd"/>
      <w:r w:rsidRPr="00C547BF">
        <w:rPr>
          <w:szCs w:val="20"/>
          <w:lang w:val="en-US"/>
        </w:rPr>
        <w:t xml:space="preserve"> publicly stated that the vehicle was followed by a white car from the beginning of the trip when they left Havana</w:t>
      </w:r>
      <w:r w:rsidRPr="00C547BF">
        <w:rPr>
          <w:rStyle w:val="Refdenotaalpie"/>
          <w:szCs w:val="20"/>
        </w:rPr>
        <w:footnoteReference w:id="50"/>
      </w:r>
      <w:r w:rsidRPr="00C547BF">
        <w:rPr>
          <w:szCs w:val="20"/>
          <w:lang w:val="en-US"/>
        </w:rPr>
        <w:t xml:space="preserve"> . He stated that he stopped to fill up with gasoline, observed that the car following them stopped and when they started driving again, it was following them again</w:t>
      </w:r>
      <w:r w:rsidRPr="00C547BF">
        <w:rPr>
          <w:rStyle w:val="Refdenotaalpie"/>
          <w:szCs w:val="20"/>
        </w:rPr>
        <w:footnoteReference w:id="51"/>
      </w:r>
      <w:r w:rsidRPr="00C547BF">
        <w:rPr>
          <w:szCs w:val="20"/>
          <w:lang w:val="en-US"/>
        </w:rPr>
        <w:t xml:space="preserve"> . </w:t>
      </w:r>
      <w:r w:rsidRPr="00C547BF">
        <w:rPr>
          <w:spacing w:val="1"/>
          <w:szCs w:val="20"/>
          <w:lang w:val="en-US"/>
        </w:rPr>
        <w:t xml:space="preserve">He stated that when they </w:t>
      </w:r>
      <w:r w:rsidRPr="00C547BF">
        <w:rPr>
          <w:szCs w:val="20"/>
          <w:lang w:val="en-US"/>
        </w:rPr>
        <w:t>returned to the highway, they again detected the presence of another vehicle following them, this time a red Lada car that began to harass them, getting very close</w:t>
      </w:r>
      <w:r w:rsidRPr="00C547BF">
        <w:rPr>
          <w:rStyle w:val="Refdenotaalpie"/>
          <w:szCs w:val="20"/>
        </w:rPr>
        <w:footnoteReference w:id="52"/>
      </w:r>
      <w:r w:rsidRPr="00C547BF">
        <w:rPr>
          <w:szCs w:val="20"/>
          <w:lang w:val="en-US"/>
        </w:rPr>
        <w:t xml:space="preserve"> . According to </w:t>
      </w:r>
      <w:proofErr w:type="spellStart"/>
      <w:r w:rsidRPr="00C547BF">
        <w:rPr>
          <w:szCs w:val="20"/>
          <w:lang w:val="en-US"/>
        </w:rPr>
        <w:t>Ángel</w:t>
      </w:r>
      <w:proofErr w:type="spellEnd"/>
      <w:r w:rsidRPr="00C547BF">
        <w:rPr>
          <w:szCs w:val="20"/>
          <w:lang w:val="en-US"/>
        </w:rPr>
        <w:t xml:space="preserve"> </w:t>
      </w:r>
      <w:proofErr w:type="spellStart"/>
      <w:r w:rsidRPr="00C547BF">
        <w:rPr>
          <w:szCs w:val="20"/>
          <w:lang w:val="en-US"/>
        </w:rPr>
        <w:t>Carromero</w:t>
      </w:r>
      <w:proofErr w:type="spellEnd"/>
      <w:r w:rsidRPr="00C547BF">
        <w:rPr>
          <w:szCs w:val="20"/>
          <w:lang w:val="en-US"/>
        </w:rPr>
        <w:t>, "[he] was going faster and they were following behind. And [he] braked and they braked. They did not overtake them"</w:t>
      </w:r>
      <w:r w:rsidRPr="00C547BF">
        <w:rPr>
          <w:rStyle w:val="Refdenotaalpie"/>
          <w:szCs w:val="20"/>
        </w:rPr>
        <w:footnoteReference w:id="53"/>
      </w:r>
      <w:r w:rsidRPr="00C547BF">
        <w:rPr>
          <w:szCs w:val="20"/>
          <w:lang w:val="en-US"/>
        </w:rPr>
        <w:t xml:space="preserve"> . Oswaldo </w:t>
      </w:r>
      <w:proofErr w:type="spellStart"/>
      <w:r w:rsidRPr="00C547BF">
        <w:rPr>
          <w:szCs w:val="20"/>
          <w:lang w:val="en-US"/>
        </w:rPr>
        <w:t>Payá</w:t>
      </w:r>
      <w:proofErr w:type="spellEnd"/>
      <w:r w:rsidRPr="00C547BF">
        <w:rPr>
          <w:szCs w:val="20"/>
          <w:lang w:val="en-US"/>
        </w:rPr>
        <w:t xml:space="preserve"> </w:t>
      </w:r>
      <w:r w:rsidRPr="00C547BF">
        <w:rPr>
          <w:szCs w:val="20"/>
          <w:lang w:val="en-US"/>
        </w:rPr>
        <w:lastRenderedPageBreak/>
        <w:t xml:space="preserve">affirmed to </w:t>
      </w:r>
      <w:proofErr w:type="spellStart"/>
      <w:r w:rsidRPr="00C547BF">
        <w:rPr>
          <w:szCs w:val="20"/>
          <w:lang w:val="en-US"/>
        </w:rPr>
        <w:t>Ángel</w:t>
      </w:r>
      <w:proofErr w:type="spellEnd"/>
      <w:r w:rsidRPr="00C547BF">
        <w:rPr>
          <w:szCs w:val="20"/>
          <w:lang w:val="en-US"/>
        </w:rPr>
        <w:t xml:space="preserve"> </w:t>
      </w:r>
      <w:proofErr w:type="spellStart"/>
      <w:r w:rsidRPr="00C547BF">
        <w:rPr>
          <w:szCs w:val="20"/>
          <w:lang w:val="en-US"/>
        </w:rPr>
        <w:t>Carromero</w:t>
      </w:r>
      <w:proofErr w:type="spellEnd"/>
      <w:r w:rsidRPr="00C547BF">
        <w:rPr>
          <w:szCs w:val="20"/>
          <w:lang w:val="en-US"/>
        </w:rPr>
        <w:t xml:space="preserve"> that "they were from the communist", that it was a Cuban government vehicle because it had a blue license plate like those used by state vehicles</w:t>
      </w:r>
      <w:r w:rsidRPr="00C547BF">
        <w:rPr>
          <w:rStyle w:val="Refdenotaalpie"/>
          <w:szCs w:val="20"/>
        </w:rPr>
        <w:footnoteReference w:id="54"/>
      </w:r>
      <w:r w:rsidRPr="00C547BF">
        <w:rPr>
          <w:szCs w:val="20"/>
          <w:lang w:val="en-US"/>
        </w:rPr>
        <w:t xml:space="preserve"> .</w:t>
      </w:r>
    </w:p>
    <w:p w14:paraId="05DEC658" w14:textId="77777777" w:rsidR="00171179" w:rsidRPr="00C547BF" w:rsidRDefault="00171179" w:rsidP="00171179">
      <w:pPr>
        <w:pStyle w:val="Prrafodelista"/>
        <w:rPr>
          <w:szCs w:val="20"/>
          <w:lang w:val="en-US"/>
        </w:rPr>
      </w:pPr>
    </w:p>
    <w:p w14:paraId="4E6BCE99"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On the other hand, and as will be indicated in the following section, within the framework of the investigation into the death of Mr. </w:t>
      </w:r>
      <w:proofErr w:type="spellStart"/>
      <w:r w:rsidRPr="00C547BF">
        <w:rPr>
          <w:szCs w:val="20"/>
          <w:lang w:val="en-US"/>
        </w:rPr>
        <w:t>Payá</w:t>
      </w:r>
      <w:proofErr w:type="spellEnd"/>
      <w:r w:rsidRPr="00C547BF">
        <w:rPr>
          <w:szCs w:val="20"/>
          <w:lang w:val="en-US"/>
        </w:rPr>
        <w:t xml:space="preserve"> and Mr. Cepero, the People's Court of Granma issued a sentence in which it determined that </w:t>
      </w:r>
      <w:proofErr w:type="spellStart"/>
      <w:r w:rsidRPr="00C547BF">
        <w:rPr>
          <w:szCs w:val="20"/>
          <w:lang w:val="en-US"/>
        </w:rPr>
        <w:t>Ángel</w:t>
      </w:r>
      <w:proofErr w:type="spellEnd"/>
      <w:r w:rsidRPr="00C547BF">
        <w:rPr>
          <w:szCs w:val="20"/>
          <w:lang w:val="en-US"/>
        </w:rPr>
        <w:t xml:space="preserve"> </w:t>
      </w:r>
      <w:proofErr w:type="spellStart"/>
      <w:r w:rsidRPr="00C547BF">
        <w:rPr>
          <w:szCs w:val="20"/>
          <w:lang w:val="en-US"/>
        </w:rPr>
        <w:t>Carromero</w:t>
      </w:r>
      <w:proofErr w:type="spellEnd"/>
      <w:r w:rsidRPr="00C547BF">
        <w:rPr>
          <w:szCs w:val="20"/>
          <w:lang w:val="en-US"/>
        </w:rPr>
        <w:t xml:space="preserve"> was responsible for the accident. This is because he drove at high speeds and did not follow the traffic signs on the road at that time</w:t>
      </w:r>
      <w:r w:rsidRPr="00C547BF">
        <w:rPr>
          <w:rStyle w:val="Refdenotaalpie"/>
          <w:szCs w:val="20"/>
        </w:rPr>
        <w:footnoteReference w:id="55"/>
      </w:r>
      <w:r w:rsidRPr="00C547BF">
        <w:rPr>
          <w:szCs w:val="20"/>
          <w:lang w:val="en-US"/>
        </w:rPr>
        <w:t xml:space="preserve"> . </w:t>
      </w:r>
    </w:p>
    <w:p w14:paraId="18E19901" w14:textId="77777777" w:rsidR="00171179" w:rsidRPr="00C547BF" w:rsidRDefault="00171179" w:rsidP="00171179">
      <w:pPr>
        <w:pStyle w:val="Prrafodelista"/>
        <w:rPr>
          <w:szCs w:val="20"/>
          <w:lang w:val="en-US"/>
        </w:rPr>
      </w:pPr>
    </w:p>
    <w:p w14:paraId="21B7718A"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In addition, the Commission takes note of the information from the petitioner and statements from the survivors about what happened after the accident. Mr. </w:t>
      </w:r>
      <w:proofErr w:type="spellStart"/>
      <w:r w:rsidRPr="00C547BF">
        <w:rPr>
          <w:szCs w:val="20"/>
          <w:lang w:val="en-US"/>
        </w:rPr>
        <w:t>Carromero</w:t>
      </w:r>
      <w:proofErr w:type="spellEnd"/>
      <w:r w:rsidRPr="00C547BF">
        <w:rPr>
          <w:szCs w:val="20"/>
          <w:lang w:val="en-US"/>
        </w:rPr>
        <w:t xml:space="preserve"> indicated that he was taken to the Carlos Manuel de </w:t>
      </w:r>
      <w:proofErr w:type="spellStart"/>
      <w:r w:rsidRPr="00C547BF">
        <w:rPr>
          <w:szCs w:val="20"/>
          <w:lang w:val="en-US"/>
        </w:rPr>
        <w:t>Céspedes</w:t>
      </w:r>
      <w:proofErr w:type="spellEnd"/>
      <w:r w:rsidRPr="00C547BF">
        <w:rPr>
          <w:szCs w:val="20"/>
          <w:lang w:val="en-US"/>
        </w:rPr>
        <w:t xml:space="preserve"> Hospital in Bayamo, where he was drugged, beaten, and forced to make a false confession by Cuban authorities while in detention that he was at fault for the accident</w:t>
      </w:r>
      <w:r w:rsidRPr="00C547BF">
        <w:rPr>
          <w:rStyle w:val="Refdenotaalpie"/>
          <w:szCs w:val="20"/>
        </w:rPr>
        <w:footnoteReference w:id="56"/>
      </w:r>
      <w:r w:rsidRPr="00C547BF">
        <w:rPr>
          <w:szCs w:val="20"/>
          <w:lang w:val="en-US"/>
        </w:rPr>
        <w:t xml:space="preserve"> . He explained that the first person who spoke to Mr. </w:t>
      </w:r>
      <w:proofErr w:type="spellStart"/>
      <w:r w:rsidRPr="00C547BF">
        <w:rPr>
          <w:szCs w:val="20"/>
          <w:lang w:val="en-US"/>
        </w:rPr>
        <w:t>Carromero</w:t>
      </w:r>
      <w:proofErr w:type="spellEnd"/>
      <w:r w:rsidRPr="00C547BF">
        <w:rPr>
          <w:szCs w:val="20"/>
          <w:lang w:val="en-US"/>
        </w:rPr>
        <w:t xml:space="preserve"> was a uniformed officer of the Ministry of the Interior and recalled that the civilian hospital "had been militarized"</w:t>
      </w:r>
      <w:r w:rsidRPr="00C547BF">
        <w:rPr>
          <w:rStyle w:val="Refdenotaalpie"/>
          <w:szCs w:val="20"/>
        </w:rPr>
        <w:footnoteReference w:id="57"/>
      </w:r>
      <w:r w:rsidRPr="00C547BF">
        <w:rPr>
          <w:szCs w:val="20"/>
          <w:lang w:val="en-US"/>
        </w:rPr>
        <w:t xml:space="preserve"> .</w:t>
      </w:r>
    </w:p>
    <w:p w14:paraId="158B7B20" w14:textId="77777777" w:rsidR="00171179" w:rsidRPr="00C547BF" w:rsidRDefault="00171179" w:rsidP="00171179">
      <w:pPr>
        <w:pStyle w:val="Prrafodelista"/>
        <w:rPr>
          <w:szCs w:val="20"/>
          <w:lang w:val="en-US"/>
        </w:rPr>
      </w:pPr>
    </w:p>
    <w:p w14:paraId="22FF32C0" w14:textId="77777777" w:rsidR="00171179" w:rsidRPr="00C547BF" w:rsidRDefault="00171179" w:rsidP="00563529">
      <w:pPr>
        <w:numPr>
          <w:ilvl w:val="0"/>
          <w:numId w:val="62"/>
        </w:numPr>
        <w:tabs>
          <w:tab w:val="clear" w:pos="720"/>
          <w:tab w:val="num" w:pos="360"/>
        </w:tabs>
        <w:suppressAutoHyphens/>
        <w:spacing w:after="0"/>
        <w:ind w:firstLine="0"/>
        <w:rPr>
          <w:szCs w:val="20"/>
          <w:lang w:val="es-ES_tradnl"/>
        </w:rPr>
      </w:pPr>
      <w:r w:rsidRPr="00C547BF">
        <w:rPr>
          <w:szCs w:val="20"/>
          <w:lang w:val="en-US"/>
        </w:rPr>
        <w:t xml:space="preserve">Mr. </w:t>
      </w:r>
      <w:proofErr w:type="spellStart"/>
      <w:r w:rsidRPr="00C547BF">
        <w:rPr>
          <w:szCs w:val="20"/>
          <w:lang w:val="en-US"/>
        </w:rPr>
        <w:t>Carromero</w:t>
      </w:r>
      <w:proofErr w:type="spellEnd"/>
      <w:r w:rsidRPr="00C547BF">
        <w:rPr>
          <w:szCs w:val="20"/>
          <w:lang w:val="en-US"/>
        </w:rPr>
        <w:t xml:space="preserve"> explained that at the hospital he was questioned about what had happened, to which he responded: "[that] they had been hit by another car and run off the road"</w:t>
      </w:r>
      <w:r w:rsidRPr="00C547BF">
        <w:rPr>
          <w:rStyle w:val="Refdenotaalpie"/>
          <w:szCs w:val="20"/>
        </w:rPr>
        <w:footnoteReference w:id="58"/>
      </w:r>
      <w:r w:rsidRPr="00C547BF">
        <w:rPr>
          <w:szCs w:val="20"/>
          <w:lang w:val="en-US"/>
        </w:rPr>
        <w:t xml:space="preserve"> . </w:t>
      </w:r>
      <w:r w:rsidRPr="00C547BF">
        <w:rPr>
          <w:szCs w:val="20"/>
          <w:vertAlign w:val="superscript"/>
          <w:lang w:val="en-US"/>
        </w:rPr>
        <w:t xml:space="preserve"> </w:t>
      </w:r>
      <w:r w:rsidRPr="00C547BF">
        <w:rPr>
          <w:szCs w:val="20"/>
          <w:lang w:val="en-US"/>
        </w:rPr>
        <w:t xml:space="preserve">Moments later, a group of soldiers surrounded Angel </w:t>
      </w:r>
      <w:proofErr w:type="spellStart"/>
      <w:r w:rsidRPr="00C547BF">
        <w:rPr>
          <w:szCs w:val="20"/>
          <w:lang w:val="en-US"/>
        </w:rPr>
        <w:t>Carromero's</w:t>
      </w:r>
      <w:proofErr w:type="spellEnd"/>
      <w:r w:rsidRPr="00C547BF">
        <w:rPr>
          <w:szCs w:val="20"/>
          <w:lang w:val="en-US"/>
        </w:rPr>
        <w:t xml:space="preserve"> bed and asked him again how they had been involved in the accident</w:t>
      </w:r>
      <w:r w:rsidRPr="00C547BF">
        <w:rPr>
          <w:rStyle w:val="Refdenotaalpie"/>
          <w:szCs w:val="20"/>
        </w:rPr>
        <w:footnoteReference w:id="59"/>
      </w:r>
      <w:r w:rsidRPr="00C547BF">
        <w:rPr>
          <w:szCs w:val="20"/>
          <w:lang w:val="en-US"/>
        </w:rPr>
        <w:t xml:space="preserve"> . Although Mr. </w:t>
      </w:r>
      <w:proofErr w:type="spellStart"/>
      <w:r w:rsidRPr="00C547BF">
        <w:rPr>
          <w:szCs w:val="20"/>
          <w:lang w:val="en-US"/>
        </w:rPr>
        <w:t>Carromero</w:t>
      </w:r>
      <w:proofErr w:type="spellEnd"/>
      <w:r w:rsidRPr="00C547BF">
        <w:rPr>
          <w:szCs w:val="20"/>
          <w:lang w:val="en-US"/>
        </w:rPr>
        <w:t xml:space="preserve"> responded by explaining again that another car had rammed them from behind, the military insisted that there had been no collision. </w:t>
      </w:r>
      <w:proofErr w:type="spellStart"/>
      <w:r w:rsidRPr="00C547BF">
        <w:rPr>
          <w:szCs w:val="20"/>
          <w:lang w:val="es-ES_tradnl"/>
        </w:rPr>
        <w:t>Angel</w:t>
      </w:r>
      <w:proofErr w:type="spellEnd"/>
      <w:r w:rsidRPr="00C547BF">
        <w:rPr>
          <w:szCs w:val="20"/>
          <w:lang w:val="es-ES_tradnl"/>
        </w:rPr>
        <w:t xml:space="preserve"> Carromero </w:t>
      </w:r>
      <w:proofErr w:type="spellStart"/>
      <w:r w:rsidRPr="00C547BF">
        <w:rPr>
          <w:szCs w:val="20"/>
          <w:lang w:val="es-ES_tradnl"/>
        </w:rPr>
        <w:t>stated</w:t>
      </w:r>
      <w:proofErr w:type="spellEnd"/>
      <w:r w:rsidRPr="00C547BF">
        <w:rPr>
          <w:szCs w:val="20"/>
          <w:lang w:val="es-ES_tradnl"/>
        </w:rPr>
        <w:t xml:space="preserve"> </w:t>
      </w:r>
      <w:proofErr w:type="spellStart"/>
      <w:r w:rsidRPr="00C547BF">
        <w:rPr>
          <w:szCs w:val="20"/>
          <w:lang w:val="es-ES_tradnl"/>
        </w:rPr>
        <w:t>the</w:t>
      </w:r>
      <w:proofErr w:type="spellEnd"/>
      <w:r w:rsidRPr="00C547BF">
        <w:rPr>
          <w:szCs w:val="20"/>
          <w:lang w:val="es-ES_tradnl"/>
        </w:rPr>
        <w:t xml:space="preserve"> </w:t>
      </w:r>
      <w:proofErr w:type="spellStart"/>
      <w:r w:rsidRPr="00C547BF">
        <w:rPr>
          <w:szCs w:val="20"/>
          <w:lang w:val="es-ES_tradnl"/>
        </w:rPr>
        <w:t>following</w:t>
      </w:r>
      <w:proofErr w:type="spellEnd"/>
      <w:r w:rsidRPr="00C547BF">
        <w:rPr>
          <w:szCs w:val="20"/>
          <w:lang w:val="es-ES_tradnl"/>
        </w:rPr>
        <w:t>:</w:t>
      </w:r>
    </w:p>
    <w:p w14:paraId="334AA51A" w14:textId="77777777" w:rsidR="00171179" w:rsidRPr="00C547BF" w:rsidRDefault="00171179" w:rsidP="00171179">
      <w:pPr>
        <w:pStyle w:val="Textoindependiente"/>
        <w:spacing w:after="0"/>
        <w:rPr>
          <w:rFonts w:ascii="Cambria" w:hAnsi="Cambria"/>
          <w:sz w:val="20"/>
          <w:szCs w:val="20"/>
          <w:lang w:val="es-ES_tradnl"/>
        </w:rPr>
      </w:pPr>
    </w:p>
    <w:p w14:paraId="51AC9682" w14:textId="77777777" w:rsidR="00171179" w:rsidRPr="00C547BF" w:rsidRDefault="00171179" w:rsidP="00F10E9E">
      <w:pPr>
        <w:pStyle w:val="Textoindependiente"/>
        <w:spacing w:after="0"/>
        <w:ind w:left="360" w:right="360"/>
        <w:jc w:val="both"/>
        <w:rPr>
          <w:rFonts w:ascii="Cambria" w:hAnsi="Cambria"/>
          <w:sz w:val="18"/>
          <w:szCs w:val="18"/>
          <w:lang w:val="es-ES_tradnl"/>
        </w:rPr>
      </w:pPr>
      <w:r w:rsidRPr="00C547BF">
        <w:rPr>
          <w:rFonts w:ascii="Cambria" w:hAnsi="Cambria"/>
          <w:sz w:val="18"/>
          <w:szCs w:val="18"/>
          <w:lang w:val="en-US"/>
        </w:rPr>
        <w:t xml:space="preserve">One of them spoke to me and stated categorically that it was not a collision. No car [had] hit them. What he claimed simply had not happened. Of course, I replied, that was a lie, that no accident had occurred, but a blatant attack. He punched me in the face. In a calm tone, which contradicted the slaps, he stressed: "You are too young to stay on the island for years, you must decide whether to collaborate or not. We can treat you well or badly, but you alone will be responsible. </w:t>
      </w:r>
      <w:proofErr w:type="spellStart"/>
      <w:r w:rsidRPr="00C547BF">
        <w:rPr>
          <w:rFonts w:ascii="Cambria" w:hAnsi="Cambria"/>
          <w:sz w:val="18"/>
          <w:szCs w:val="18"/>
          <w:lang w:val="es-ES_tradnl"/>
        </w:rPr>
        <w:t>Your</w:t>
      </w:r>
      <w:proofErr w:type="spellEnd"/>
      <w:r w:rsidRPr="00C547BF">
        <w:rPr>
          <w:rFonts w:ascii="Cambria" w:hAnsi="Cambria"/>
          <w:sz w:val="18"/>
          <w:szCs w:val="18"/>
          <w:lang w:val="es-ES_tradnl"/>
        </w:rPr>
        <w:t xml:space="preserve"> future </w:t>
      </w:r>
      <w:proofErr w:type="spellStart"/>
      <w:r w:rsidRPr="00C547BF">
        <w:rPr>
          <w:rFonts w:ascii="Cambria" w:hAnsi="Cambria"/>
          <w:sz w:val="18"/>
          <w:szCs w:val="18"/>
          <w:lang w:val="es-ES_tradnl"/>
        </w:rPr>
        <w:t>will</w:t>
      </w:r>
      <w:proofErr w:type="spellEnd"/>
      <w:r w:rsidRPr="00C547BF">
        <w:rPr>
          <w:rFonts w:ascii="Cambria" w:hAnsi="Cambria"/>
          <w:sz w:val="18"/>
          <w:szCs w:val="18"/>
          <w:lang w:val="es-ES_tradnl"/>
        </w:rPr>
        <w:t xml:space="preserve"> </w:t>
      </w:r>
      <w:proofErr w:type="spellStart"/>
      <w:r w:rsidRPr="00C547BF">
        <w:rPr>
          <w:rFonts w:ascii="Cambria" w:hAnsi="Cambria"/>
          <w:sz w:val="18"/>
          <w:szCs w:val="18"/>
          <w:lang w:val="es-ES_tradnl"/>
        </w:rPr>
        <w:t>depend</w:t>
      </w:r>
      <w:proofErr w:type="spellEnd"/>
      <w:r w:rsidRPr="00C547BF">
        <w:rPr>
          <w:rFonts w:ascii="Cambria" w:hAnsi="Cambria"/>
          <w:sz w:val="18"/>
          <w:szCs w:val="18"/>
          <w:lang w:val="es-ES_tradnl"/>
        </w:rPr>
        <w:t xml:space="preserve"> </w:t>
      </w:r>
      <w:proofErr w:type="spellStart"/>
      <w:r w:rsidRPr="00C547BF">
        <w:rPr>
          <w:rFonts w:ascii="Cambria" w:hAnsi="Cambria"/>
          <w:sz w:val="18"/>
          <w:szCs w:val="18"/>
          <w:lang w:val="es-ES_tradnl"/>
        </w:rPr>
        <w:t>on</w:t>
      </w:r>
      <w:proofErr w:type="spellEnd"/>
      <w:r w:rsidRPr="00C547BF">
        <w:rPr>
          <w:rFonts w:ascii="Cambria" w:hAnsi="Cambria"/>
          <w:sz w:val="18"/>
          <w:szCs w:val="18"/>
          <w:lang w:val="es-ES_tradnl"/>
        </w:rPr>
        <w:t xml:space="preserve"> </w:t>
      </w:r>
      <w:proofErr w:type="spellStart"/>
      <w:r w:rsidRPr="00C547BF">
        <w:rPr>
          <w:rFonts w:ascii="Cambria" w:hAnsi="Cambria"/>
          <w:sz w:val="18"/>
          <w:szCs w:val="18"/>
          <w:lang w:val="es-ES_tradnl"/>
        </w:rPr>
        <w:t>your</w:t>
      </w:r>
      <w:proofErr w:type="spellEnd"/>
      <w:r w:rsidRPr="00C547BF">
        <w:rPr>
          <w:rFonts w:ascii="Cambria" w:hAnsi="Cambria"/>
          <w:sz w:val="18"/>
          <w:szCs w:val="18"/>
          <w:lang w:val="es-ES_tradnl"/>
        </w:rPr>
        <w:t xml:space="preserve"> </w:t>
      </w:r>
      <w:proofErr w:type="spellStart"/>
      <w:r w:rsidRPr="00C547BF">
        <w:rPr>
          <w:rFonts w:ascii="Cambria" w:hAnsi="Cambria"/>
          <w:sz w:val="18"/>
          <w:szCs w:val="18"/>
          <w:lang w:val="es-ES_tradnl"/>
        </w:rPr>
        <w:t>confession</w:t>
      </w:r>
      <w:proofErr w:type="spellEnd"/>
      <w:r w:rsidRPr="00C547BF">
        <w:rPr>
          <w:rStyle w:val="Refdenotaalpie"/>
          <w:rFonts w:ascii="Cambria" w:eastAsia="Trebuchet MS" w:hAnsi="Cambria"/>
          <w:sz w:val="18"/>
          <w:szCs w:val="18"/>
        </w:rPr>
        <w:footnoteReference w:id="60"/>
      </w:r>
      <w:r w:rsidRPr="00C547BF">
        <w:rPr>
          <w:rFonts w:ascii="Cambria" w:hAnsi="Cambria"/>
          <w:sz w:val="18"/>
          <w:szCs w:val="18"/>
          <w:lang w:val="es-ES_tradnl"/>
        </w:rPr>
        <w:t xml:space="preserve"> .</w:t>
      </w:r>
    </w:p>
    <w:p w14:paraId="6516DEAD" w14:textId="77777777" w:rsidR="00171179" w:rsidRPr="00C547BF" w:rsidRDefault="00171179" w:rsidP="00171179">
      <w:pPr>
        <w:pStyle w:val="Textoindependiente"/>
        <w:spacing w:after="0"/>
        <w:ind w:left="909" w:right="669"/>
        <w:jc w:val="both"/>
        <w:rPr>
          <w:rFonts w:ascii="Cambria" w:hAnsi="Cambria"/>
          <w:sz w:val="20"/>
          <w:szCs w:val="20"/>
          <w:lang w:val="es-ES_tradnl"/>
        </w:rPr>
      </w:pPr>
    </w:p>
    <w:p w14:paraId="396990CE"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He stated that one of the soldiers recited the official version that Mr. </w:t>
      </w:r>
      <w:proofErr w:type="spellStart"/>
      <w:r w:rsidRPr="00C547BF">
        <w:rPr>
          <w:szCs w:val="20"/>
          <w:lang w:val="en-US"/>
        </w:rPr>
        <w:t>Carromero</w:t>
      </w:r>
      <w:proofErr w:type="spellEnd"/>
      <w:r w:rsidRPr="00C547BF">
        <w:rPr>
          <w:szCs w:val="20"/>
          <w:lang w:val="en-US"/>
        </w:rPr>
        <w:t xml:space="preserve"> had to learn to collaborate with the authorities because "If [he] accepted it, nothing would happen to him"</w:t>
      </w:r>
      <w:r w:rsidRPr="00C547BF">
        <w:rPr>
          <w:rStyle w:val="Refdenotaalpie"/>
          <w:szCs w:val="20"/>
        </w:rPr>
        <w:footnoteReference w:id="61"/>
      </w:r>
      <w:r w:rsidRPr="00C547BF">
        <w:rPr>
          <w:szCs w:val="20"/>
          <w:lang w:val="en-US"/>
        </w:rPr>
        <w:t xml:space="preserve"> . That version implied that "</w:t>
      </w:r>
      <w:proofErr w:type="spellStart"/>
      <w:r w:rsidRPr="00C547BF">
        <w:rPr>
          <w:szCs w:val="20"/>
          <w:lang w:val="en-US"/>
        </w:rPr>
        <w:t>íba</w:t>
      </w:r>
      <w:proofErr w:type="spellEnd"/>
      <w:r w:rsidRPr="00C547BF">
        <w:rPr>
          <w:szCs w:val="20"/>
          <w:lang w:val="en-US"/>
        </w:rPr>
        <w:t xml:space="preserve">[n] circulating at high speed and [they] entered an embankment, [the driver] brake[d] because there was a </w:t>
      </w:r>
      <w:r w:rsidRPr="00C547BF">
        <w:rPr>
          <w:szCs w:val="20"/>
          <w:lang w:val="en-US"/>
        </w:rPr>
        <w:lastRenderedPageBreak/>
        <w:t>pothole and, therefore, [he] lost control of the vehicle."</w:t>
      </w:r>
      <w:r w:rsidRPr="00C547BF">
        <w:rPr>
          <w:rStyle w:val="Refdenotaalpie"/>
          <w:szCs w:val="20"/>
        </w:rPr>
        <w:footnoteReference w:id="62"/>
      </w:r>
      <w:r w:rsidRPr="00C547BF">
        <w:rPr>
          <w:szCs w:val="20"/>
          <w:lang w:val="en-US"/>
        </w:rPr>
        <w:t xml:space="preserve"> </w:t>
      </w:r>
      <w:proofErr w:type="spellStart"/>
      <w:r w:rsidRPr="00C547BF">
        <w:rPr>
          <w:szCs w:val="20"/>
          <w:lang w:val="en-US"/>
        </w:rPr>
        <w:t>Ángel</w:t>
      </w:r>
      <w:proofErr w:type="spellEnd"/>
      <w:r w:rsidRPr="00C547BF">
        <w:rPr>
          <w:szCs w:val="20"/>
          <w:lang w:val="en-US"/>
        </w:rPr>
        <w:t xml:space="preserve"> </w:t>
      </w:r>
      <w:proofErr w:type="spellStart"/>
      <w:r w:rsidRPr="00C547BF">
        <w:rPr>
          <w:szCs w:val="20"/>
          <w:lang w:val="en-US"/>
        </w:rPr>
        <w:t>Carromero</w:t>
      </w:r>
      <w:proofErr w:type="spellEnd"/>
      <w:r w:rsidRPr="00C547BF">
        <w:rPr>
          <w:szCs w:val="20"/>
          <w:lang w:val="en-US"/>
        </w:rPr>
        <w:t xml:space="preserve"> explained that this version is false and that he was forced to say so publicly and to be recorded, during his imprisonment</w:t>
      </w:r>
      <w:r w:rsidRPr="00C547BF">
        <w:rPr>
          <w:rStyle w:val="Refdenotaalpie"/>
          <w:szCs w:val="20"/>
        </w:rPr>
        <w:footnoteReference w:id="63"/>
      </w:r>
      <w:r w:rsidRPr="00C547BF">
        <w:rPr>
          <w:szCs w:val="20"/>
          <w:lang w:val="en-US"/>
        </w:rPr>
        <w:t xml:space="preserve"> .</w:t>
      </w:r>
    </w:p>
    <w:p w14:paraId="21E4EF47" w14:textId="77777777" w:rsidR="00171179" w:rsidRPr="00C547BF" w:rsidRDefault="00171179" w:rsidP="00171179">
      <w:pPr>
        <w:pStyle w:val="Textoindependiente"/>
        <w:spacing w:after="0"/>
        <w:ind w:left="720"/>
        <w:jc w:val="both"/>
        <w:rPr>
          <w:rFonts w:ascii="Cambria" w:hAnsi="Cambria"/>
          <w:sz w:val="20"/>
          <w:szCs w:val="20"/>
          <w:lang w:val="en-US"/>
        </w:rPr>
      </w:pPr>
    </w:p>
    <w:p w14:paraId="66BC325C"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The petitioner indicated that Mr. </w:t>
      </w:r>
      <w:proofErr w:type="spellStart"/>
      <w:r w:rsidRPr="00C547BF">
        <w:rPr>
          <w:szCs w:val="20"/>
          <w:lang w:val="en-US"/>
        </w:rPr>
        <w:t>Carromero</w:t>
      </w:r>
      <w:proofErr w:type="spellEnd"/>
      <w:r w:rsidRPr="00C547BF">
        <w:rPr>
          <w:szCs w:val="20"/>
          <w:lang w:val="en-US"/>
        </w:rPr>
        <w:t xml:space="preserve"> and Mr. </w:t>
      </w:r>
      <w:proofErr w:type="spellStart"/>
      <w:r w:rsidRPr="00C547BF">
        <w:rPr>
          <w:szCs w:val="20"/>
          <w:lang w:val="en-US"/>
        </w:rPr>
        <w:t>Modig</w:t>
      </w:r>
      <w:proofErr w:type="spellEnd"/>
      <w:r w:rsidRPr="00C547BF">
        <w:rPr>
          <w:szCs w:val="20"/>
          <w:lang w:val="en-US"/>
        </w:rPr>
        <w:t xml:space="preserve"> had conversations with </w:t>
      </w:r>
      <w:proofErr w:type="spellStart"/>
      <w:r w:rsidRPr="00C547BF">
        <w:rPr>
          <w:szCs w:val="20"/>
          <w:lang w:val="en-US"/>
        </w:rPr>
        <w:t>Cayetana</w:t>
      </w:r>
      <w:proofErr w:type="spellEnd"/>
      <w:r w:rsidRPr="00C547BF">
        <w:rPr>
          <w:szCs w:val="20"/>
          <w:lang w:val="en-US"/>
        </w:rPr>
        <w:t xml:space="preserve"> Muriel and Annika </w:t>
      </w:r>
      <w:proofErr w:type="spellStart"/>
      <w:r w:rsidRPr="00C547BF">
        <w:rPr>
          <w:szCs w:val="20"/>
          <w:lang w:val="en-US"/>
        </w:rPr>
        <w:t>Rigö</w:t>
      </w:r>
      <w:proofErr w:type="spellEnd"/>
      <w:r w:rsidRPr="00C547BF">
        <w:rPr>
          <w:szCs w:val="20"/>
          <w:lang w:val="en-US"/>
        </w:rPr>
        <w:t xml:space="preserve"> in which they claimed to have suffered an attack when they were hit by another vehicle. Mr. </w:t>
      </w:r>
      <w:proofErr w:type="spellStart"/>
      <w:r w:rsidRPr="00C547BF">
        <w:rPr>
          <w:szCs w:val="20"/>
          <w:lang w:val="en-US"/>
        </w:rPr>
        <w:t>Modig</w:t>
      </w:r>
      <w:proofErr w:type="spellEnd"/>
      <w:r w:rsidRPr="00C547BF">
        <w:rPr>
          <w:szCs w:val="20"/>
          <w:lang w:val="en-US"/>
        </w:rPr>
        <w:t xml:space="preserve"> even sent a text message that read: "Help, surrounded by military"</w:t>
      </w:r>
      <w:r w:rsidRPr="00C547BF">
        <w:rPr>
          <w:rStyle w:val="Refdenotaalpie"/>
          <w:szCs w:val="20"/>
        </w:rPr>
        <w:footnoteReference w:id="64"/>
      </w:r>
      <w:r w:rsidRPr="00C547BF">
        <w:rPr>
          <w:szCs w:val="20"/>
          <w:lang w:val="en-US"/>
        </w:rPr>
        <w:t xml:space="preserve"> . It was added that Mr. </w:t>
      </w:r>
      <w:proofErr w:type="spellStart"/>
      <w:r w:rsidRPr="00C547BF">
        <w:rPr>
          <w:szCs w:val="20"/>
          <w:lang w:val="en-US"/>
        </w:rPr>
        <w:t>Modig</w:t>
      </w:r>
      <w:proofErr w:type="spellEnd"/>
      <w:r w:rsidRPr="00C547BF">
        <w:rPr>
          <w:szCs w:val="20"/>
          <w:lang w:val="en-US"/>
        </w:rPr>
        <w:t xml:space="preserve"> sent another message stating: "Angel said someone tried to push us off the road"</w:t>
      </w:r>
      <w:r w:rsidRPr="00C547BF">
        <w:rPr>
          <w:rStyle w:val="Refdenotaalpie"/>
          <w:szCs w:val="20"/>
        </w:rPr>
        <w:footnoteReference w:id="65"/>
      </w:r>
      <w:r w:rsidRPr="00C547BF">
        <w:rPr>
          <w:szCs w:val="20"/>
          <w:lang w:val="en-US"/>
        </w:rPr>
        <w:t xml:space="preserve"> .</w:t>
      </w:r>
    </w:p>
    <w:p w14:paraId="5CE4DCC5" w14:textId="77777777" w:rsidR="00171179" w:rsidRPr="00C547BF" w:rsidRDefault="00171179" w:rsidP="00171179">
      <w:pPr>
        <w:pStyle w:val="Prrafodelista"/>
        <w:rPr>
          <w:szCs w:val="20"/>
          <w:lang w:val="en-US"/>
        </w:rPr>
      </w:pPr>
    </w:p>
    <w:p w14:paraId="52F65A3E" w14:textId="77777777" w:rsidR="00171179" w:rsidRPr="00C547BF" w:rsidRDefault="00171179" w:rsidP="00563529">
      <w:pPr>
        <w:numPr>
          <w:ilvl w:val="0"/>
          <w:numId w:val="62"/>
        </w:numPr>
        <w:tabs>
          <w:tab w:val="clear" w:pos="720"/>
          <w:tab w:val="num" w:pos="360"/>
        </w:tabs>
        <w:suppressAutoHyphens/>
        <w:spacing w:after="0"/>
        <w:ind w:firstLine="0"/>
        <w:rPr>
          <w:szCs w:val="20"/>
          <w:lang w:val="es-ES_tradnl"/>
        </w:rPr>
      </w:pPr>
      <w:r w:rsidRPr="00C547BF">
        <w:rPr>
          <w:szCs w:val="20"/>
          <w:lang w:val="en-US"/>
        </w:rPr>
        <w:t xml:space="preserve">It was indicated that Aron </w:t>
      </w:r>
      <w:proofErr w:type="spellStart"/>
      <w:r w:rsidRPr="00C547BF">
        <w:rPr>
          <w:szCs w:val="20"/>
          <w:lang w:val="en-US"/>
        </w:rPr>
        <w:t>Modig</w:t>
      </w:r>
      <w:proofErr w:type="spellEnd"/>
      <w:r w:rsidRPr="00C547BF">
        <w:rPr>
          <w:szCs w:val="20"/>
          <w:lang w:val="en-US"/>
        </w:rPr>
        <w:t xml:space="preserve"> was taken by </w:t>
      </w:r>
      <w:r w:rsidRPr="00C547BF">
        <w:rPr>
          <w:spacing w:val="-6"/>
          <w:szCs w:val="20"/>
          <w:lang w:val="en-US"/>
        </w:rPr>
        <w:t xml:space="preserve">another </w:t>
      </w:r>
      <w:r w:rsidRPr="00C547BF">
        <w:rPr>
          <w:szCs w:val="20"/>
          <w:lang w:val="en-US"/>
        </w:rPr>
        <w:t xml:space="preserve">transport to the same hospital, but that they were allowed to communicate </w:t>
      </w:r>
      <w:r w:rsidRPr="00C547BF">
        <w:rPr>
          <w:spacing w:val="-13"/>
          <w:szCs w:val="20"/>
          <w:lang w:val="en-US"/>
        </w:rPr>
        <w:t xml:space="preserve">with each other </w:t>
      </w:r>
      <w:r w:rsidRPr="00C547BF">
        <w:rPr>
          <w:szCs w:val="20"/>
          <w:lang w:val="en-US"/>
        </w:rPr>
        <w:t>during their time at the hospital</w:t>
      </w:r>
      <w:r w:rsidRPr="00C547BF">
        <w:rPr>
          <w:rStyle w:val="Refdenotaalpie"/>
          <w:szCs w:val="20"/>
        </w:rPr>
        <w:footnoteReference w:id="66"/>
      </w:r>
      <w:r w:rsidRPr="00C547BF">
        <w:rPr>
          <w:szCs w:val="20"/>
          <w:lang w:val="en-US"/>
        </w:rPr>
        <w:t xml:space="preserve"> . It </w:t>
      </w:r>
      <w:r w:rsidRPr="00C547BF">
        <w:rPr>
          <w:spacing w:val="-13"/>
          <w:szCs w:val="20"/>
          <w:lang w:val="en-US"/>
        </w:rPr>
        <w:t xml:space="preserve">was argued that </w:t>
      </w:r>
      <w:r w:rsidRPr="00C547BF">
        <w:rPr>
          <w:szCs w:val="20"/>
          <w:lang w:val="en-US"/>
        </w:rPr>
        <w:t>the only exchange they had was when they had just arrived at the hospital and the staff left the two foreigners alone</w:t>
      </w:r>
      <w:r w:rsidRPr="00C547BF">
        <w:rPr>
          <w:rStyle w:val="Refdenotaalpie"/>
          <w:szCs w:val="20"/>
        </w:rPr>
        <w:footnoteReference w:id="67"/>
      </w:r>
      <w:r w:rsidRPr="00C547BF">
        <w:rPr>
          <w:szCs w:val="20"/>
          <w:lang w:val="en-US"/>
        </w:rPr>
        <w:t xml:space="preserve"> . As recounted by Angel </w:t>
      </w:r>
      <w:proofErr w:type="spellStart"/>
      <w:r w:rsidRPr="00C547BF">
        <w:rPr>
          <w:szCs w:val="20"/>
          <w:lang w:val="en-US"/>
        </w:rPr>
        <w:t>Carromero</w:t>
      </w:r>
      <w:proofErr w:type="spellEnd"/>
      <w:r w:rsidRPr="00C547BF">
        <w:rPr>
          <w:szCs w:val="20"/>
          <w:lang w:val="en-US"/>
        </w:rPr>
        <w:t xml:space="preserve">, he commented to Mr. </w:t>
      </w:r>
      <w:proofErr w:type="spellStart"/>
      <w:r w:rsidRPr="00C547BF">
        <w:rPr>
          <w:szCs w:val="20"/>
          <w:lang w:val="en-US"/>
        </w:rPr>
        <w:t>Modig</w:t>
      </w:r>
      <w:proofErr w:type="spellEnd"/>
      <w:r w:rsidRPr="00C547BF">
        <w:rPr>
          <w:szCs w:val="20"/>
          <w:lang w:val="en-US"/>
        </w:rPr>
        <w:t xml:space="preserve">, "Aron, we've been hit from behind. </w:t>
      </w:r>
      <w:proofErr w:type="spellStart"/>
      <w:r w:rsidRPr="00C547BF">
        <w:rPr>
          <w:szCs w:val="20"/>
          <w:lang w:val="es-ES_tradnl"/>
        </w:rPr>
        <w:t>They're</w:t>
      </w:r>
      <w:proofErr w:type="spellEnd"/>
      <w:r w:rsidRPr="00C547BF">
        <w:rPr>
          <w:szCs w:val="20"/>
          <w:lang w:val="es-ES_tradnl"/>
        </w:rPr>
        <w:t xml:space="preserve"> </w:t>
      </w:r>
      <w:proofErr w:type="spellStart"/>
      <w:r w:rsidRPr="00C547BF">
        <w:rPr>
          <w:szCs w:val="20"/>
          <w:lang w:val="es-ES_tradnl"/>
        </w:rPr>
        <w:t>going</w:t>
      </w:r>
      <w:proofErr w:type="spellEnd"/>
      <w:r w:rsidRPr="00C547BF">
        <w:rPr>
          <w:szCs w:val="20"/>
          <w:lang w:val="es-ES_tradnl"/>
        </w:rPr>
        <w:t xml:space="preserve"> </w:t>
      </w:r>
      <w:proofErr w:type="spellStart"/>
      <w:r w:rsidRPr="00C547BF">
        <w:rPr>
          <w:szCs w:val="20"/>
          <w:lang w:val="es-ES_tradnl"/>
        </w:rPr>
        <w:t>to</w:t>
      </w:r>
      <w:proofErr w:type="spellEnd"/>
      <w:r w:rsidRPr="00C547BF">
        <w:rPr>
          <w:szCs w:val="20"/>
          <w:lang w:val="es-ES_tradnl"/>
        </w:rPr>
        <w:t xml:space="preserve"> </w:t>
      </w:r>
      <w:proofErr w:type="spellStart"/>
      <w:r w:rsidRPr="00C547BF">
        <w:rPr>
          <w:szCs w:val="20"/>
          <w:lang w:val="es-ES_tradnl"/>
        </w:rPr>
        <w:t>kill</w:t>
      </w:r>
      <w:proofErr w:type="spellEnd"/>
      <w:r w:rsidRPr="00C547BF">
        <w:rPr>
          <w:szCs w:val="20"/>
          <w:lang w:val="es-ES_tradnl"/>
        </w:rPr>
        <w:t xml:space="preserve"> </w:t>
      </w:r>
      <w:proofErr w:type="spellStart"/>
      <w:r w:rsidRPr="00C547BF">
        <w:rPr>
          <w:szCs w:val="20"/>
          <w:lang w:val="es-ES_tradnl"/>
        </w:rPr>
        <w:t>us</w:t>
      </w:r>
      <w:proofErr w:type="spellEnd"/>
      <w:r w:rsidRPr="00C547BF">
        <w:rPr>
          <w:szCs w:val="20"/>
          <w:lang w:val="es-ES_tradnl"/>
        </w:rPr>
        <w:t>"</w:t>
      </w:r>
      <w:r w:rsidRPr="00C547BF">
        <w:rPr>
          <w:rStyle w:val="Refdenotaalpie"/>
          <w:szCs w:val="20"/>
        </w:rPr>
        <w:footnoteReference w:id="68"/>
      </w:r>
      <w:r w:rsidRPr="00C547BF">
        <w:rPr>
          <w:szCs w:val="20"/>
          <w:lang w:val="es-ES_tradnl"/>
        </w:rPr>
        <w:t xml:space="preserve"> . "</w:t>
      </w:r>
      <w:proofErr w:type="spellStart"/>
      <w:r w:rsidRPr="00C547BF">
        <w:rPr>
          <w:szCs w:val="20"/>
          <w:lang w:val="es-ES_tradnl"/>
        </w:rPr>
        <w:t>Probably</w:t>
      </w:r>
      <w:proofErr w:type="spellEnd"/>
      <w:r w:rsidRPr="00C547BF">
        <w:rPr>
          <w:szCs w:val="20"/>
          <w:lang w:val="es-ES_tradnl"/>
        </w:rPr>
        <w:t xml:space="preserve">," </w:t>
      </w:r>
      <w:proofErr w:type="spellStart"/>
      <w:r w:rsidRPr="00C547BF">
        <w:rPr>
          <w:szCs w:val="20"/>
          <w:lang w:val="es-ES_tradnl"/>
        </w:rPr>
        <w:t>replied</w:t>
      </w:r>
      <w:proofErr w:type="spellEnd"/>
      <w:r w:rsidRPr="00C547BF">
        <w:rPr>
          <w:szCs w:val="20"/>
          <w:lang w:val="es-ES_tradnl"/>
        </w:rPr>
        <w:t xml:space="preserve"> Mr. </w:t>
      </w:r>
      <w:proofErr w:type="spellStart"/>
      <w:r w:rsidRPr="00C547BF">
        <w:rPr>
          <w:szCs w:val="20"/>
          <w:lang w:val="es-ES_tradnl"/>
        </w:rPr>
        <w:t>Modig</w:t>
      </w:r>
      <w:proofErr w:type="spellEnd"/>
      <w:r w:rsidRPr="00C547BF">
        <w:rPr>
          <w:rStyle w:val="Refdenotaalpie"/>
          <w:szCs w:val="20"/>
        </w:rPr>
        <w:footnoteReference w:id="69"/>
      </w:r>
      <w:r w:rsidRPr="00C547BF">
        <w:rPr>
          <w:szCs w:val="20"/>
          <w:lang w:val="es-ES_tradnl"/>
        </w:rPr>
        <w:t xml:space="preserve"> .</w:t>
      </w:r>
    </w:p>
    <w:p w14:paraId="4FF0CCD9" w14:textId="77777777" w:rsidR="00171179" w:rsidRPr="00C547BF" w:rsidRDefault="00171179" w:rsidP="00171179">
      <w:pPr>
        <w:rPr>
          <w:szCs w:val="20"/>
          <w:lang w:val="es-ES_tradnl"/>
        </w:rPr>
      </w:pPr>
    </w:p>
    <w:p w14:paraId="63EF6FE1"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After 24 hours, Mr. </w:t>
      </w:r>
      <w:proofErr w:type="spellStart"/>
      <w:r w:rsidRPr="00C547BF">
        <w:rPr>
          <w:szCs w:val="20"/>
          <w:lang w:val="en-US"/>
        </w:rPr>
        <w:t>Carromero</w:t>
      </w:r>
      <w:proofErr w:type="spellEnd"/>
      <w:r w:rsidRPr="00C547BF">
        <w:rPr>
          <w:szCs w:val="20"/>
          <w:lang w:val="en-US"/>
        </w:rPr>
        <w:t xml:space="preserve"> and Mr. </w:t>
      </w:r>
      <w:proofErr w:type="spellStart"/>
      <w:r w:rsidRPr="00C547BF">
        <w:rPr>
          <w:szCs w:val="20"/>
          <w:lang w:val="en-US"/>
        </w:rPr>
        <w:t>Modig</w:t>
      </w:r>
      <w:proofErr w:type="spellEnd"/>
      <w:r w:rsidRPr="00C547BF">
        <w:rPr>
          <w:szCs w:val="20"/>
          <w:lang w:val="en-US"/>
        </w:rPr>
        <w:t xml:space="preserve"> were transferred to the Bayamo barracks, where for the first time they were able to speak with the diplomatic representatives of their respective countries</w:t>
      </w:r>
      <w:r w:rsidRPr="00C547BF">
        <w:rPr>
          <w:rStyle w:val="Refdenotaalpie"/>
          <w:szCs w:val="20"/>
        </w:rPr>
        <w:footnoteReference w:id="70"/>
      </w:r>
      <w:r w:rsidRPr="00C547BF">
        <w:rPr>
          <w:szCs w:val="20"/>
          <w:lang w:val="en-US"/>
        </w:rPr>
        <w:t xml:space="preserve"> . Once the death of Oswaldo </w:t>
      </w:r>
      <w:proofErr w:type="spellStart"/>
      <w:r w:rsidRPr="00C547BF">
        <w:rPr>
          <w:szCs w:val="20"/>
          <w:lang w:val="en-US"/>
        </w:rPr>
        <w:t>Payá</w:t>
      </w:r>
      <w:proofErr w:type="spellEnd"/>
      <w:r w:rsidRPr="00C547BF">
        <w:rPr>
          <w:szCs w:val="20"/>
          <w:lang w:val="en-US"/>
        </w:rPr>
        <w:t xml:space="preserve"> and Harold Cepero was confirmed, Mr. </w:t>
      </w:r>
      <w:proofErr w:type="spellStart"/>
      <w:r w:rsidRPr="00C547BF">
        <w:rPr>
          <w:szCs w:val="20"/>
          <w:lang w:val="en-US"/>
        </w:rPr>
        <w:t>Carromero</w:t>
      </w:r>
      <w:proofErr w:type="spellEnd"/>
      <w:r w:rsidRPr="00C547BF">
        <w:rPr>
          <w:szCs w:val="20"/>
          <w:lang w:val="en-US"/>
        </w:rPr>
        <w:t xml:space="preserve"> was informed shortly thereafter that the prosecutor's office was going to charge him for the accident</w:t>
      </w:r>
      <w:r w:rsidRPr="00C547BF">
        <w:rPr>
          <w:rStyle w:val="Refdenotaalpie"/>
          <w:szCs w:val="20"/>
        </w:rPr>
        <w:footnoteReference w:id="71"/>
      </w:r>
      <w:r w:rsidRPr="00C547BF">
        <w:rPr>
          <w:spacing w:val="1"/>
          <w:szCs w:val="20"/>
          <w:lang w:val="en-US"/>
        </w:rPr>
        <w:t xml:space="preserve"> . </w:t>
      </w:r>
    </w:p>
    <w:p w14:paraId="73A3FCC7" w14:textId="77777777" w:rsidR="00171179" w:rsidRPr="00C547BF" w:rsidRDefault="00171179" w:rsidP="00171179">
      <w:pPr>
        <w:pStyle w:val="Prrafodelista"/>
        <w:rPr>
          <w:szCs w:val="20"/>
          <w:lang w:val="en-US"/>
        </w:rPr>
      </w:pPr>
    </w:p>
    <w:p w14:paraId="752549AA" w14:textId="77777777" w:rsidR="00171179" w:rsidRPr="00C547BF" w:rsidRDefault="00171179" w:rsidP="009754CA">
      <w:pPr>
        <w:pStyle w:val="Ttulo2"/>
        <w:numPr>
          <w:ilvl w:val="0"/>
          <w:numId w:val="0"/>
        </w:numPr>
        <w:tabs>
          <w:tab w:val="left" w:pos="360"/>
        </w:tabs>
        <w:spacing w:before="0"/>
        <w:rPr>
          <w:lang w:val="en-US"/>
        </w:rPr>
      </w:pPr>
      <w:bookmarkStart w:id="32" w:name="_Toc136860058"/>
      <w:r w:rsidRPr="00C547BF">
        <w:rPr>
          <w:lang w:val="en-US"/>
        </w:rPr>
        <w:t xml:space="preserve">D. </w:t>
      </w:r>
      <w:r w:rsidRPr="00C547BF">
        <w:rPr>
          <w:lang w:val="en-US"/>
        </w:rPr>
        <w:tab/>
        <w:t xml:space="preserve">On the situation of family members after the death of Oswaldo </w:t>
      </w:r>
      <w:proofErr w:type="spellStart"/>
      <w:r w:rsidRPr="00C547BF">
        <w:rPr>
          <w:lang w:val="en-US"/>
        </w:rPr>
        <w:t>Payá</w:t>
      </w:r>
      <w:proofErr w:type="spellEnd"/>
      <w:r w:rsidRPr="00C547BF">
        <w:rPr>
          <w:lang w:val="en-US"/>
        </w:rPr>
        <w:t xml:space="preserve"> and Harold Cepero</w:t>
      </w:r>
      <w:bookmarkEnd w:id="32"/>
      <w:r w:rsidRPr="00C547BF">
        <w:rPr>
          <w:lang w:val="en-US"/>
        </w:rPr>
        <w:t xml:space="preserve"> </w:t>
      </w:r>
    </w:p>
    <w:p w14:paraId="3287E3D6" w14:textId="77777777" w:rsidR="00171179" w:rsidRPr="00C547BF" w:rsidRDefault="00171179" w:rsidP="00171179">
      <w:pPr>
        <w:rPr>
          <w:szCs w:val="20"/>
          <w:lang w:val="en-US"/>
        </w:rPr>
      </w:pPr>
    </w:p>
    <w:p w14:paraId="223C63EF"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Ofelia Acevedo Maura stated that her daughter Rosa María called her father and that a police officer answered the phone and informed her that the person had suffered a vehicular accident and had died. It was indicated that when the family arrived at the airport to go to the place where the accident occurred, the competent authorities told them that "there was no space on either of the two flights, not even for one person". Mrs. Acevedo stated that the Cuban authorities were following them and monitoring the calls</w:t>
      </w:r>
      <w:r w:rsidRPr="00C547BF">
        <w:rPr>
          <w:rStyle w:val="Refdenotaalpie"/>
          <w:szCs w:val="20"/>
        </w:rPr>
        <w:footnoteReference w:id="72"/>
      </w:r>
      <w:r w:rsidRPr="00C547BF">
        <w:rPr>
          <w:szCs w:val="20"/>
          <w:lang w:val="en-US"/>
        </w:rPr>
        <w:t xml:space="preserve"> .</w:t>
      </w:r>
    </w:p>
    <w:p w14:paraId="01D27D7A" w14:textId="77777777" w:rsidR="00171179" w:rsidRPr="00C547BF" w:rsidRDefault="00171179" w:rsidP="00171179">
      <w:pPr>
        <w:pStyle w:val="Prrafodelista"/>
        <w:rPr>
          <w:szCs w:val="20"/>
          <w:lang w:val="en-US"/>
        </w:rPr>
      </w:pPr>
    </w:p>
    <w:p w14:paraId="032466E6"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lastRenderedPageBreak/>
        <w:t xml:space="preserve">According to the petitioner, Dr. Ciro Estrada, together with a colonel from the Cuban Ministry of the Interior, told them that all the refrigeration chambers in the morgue were broken. He maintained that they offered a friend of the family to accompany them to show them the body. He explained that Oswaldo </w:t>
      </w:r>
      <w:proofErr w:type="spellStart"/>
      <w:r w:rsidRPr="00C547BF">
        <w:rPr>
          <w:szCs w:val="20"/>
          <w:lang w:val="en-US"/>
        </w:rPr>
        <w:t>Payá's</w:t>
      </w:r>
      <w:proofErr w:type="spellEnd"/>
      <w:r w:rsidRPr="00C547BF">
        <w:rPr>
          <w:szCs w:val="20"/>
          <w:lang w:val="en-US"/>
        </w:rPr>
        <w:t xml:space="preserve"> body had his pants down and that he had a syringe stuck in his groin. He added that the authorities returned Mr. </w:t>
      </w:r>
      <w:proofErr w:type="spellStart"/>
      <w:r w:rsidRPr="00C547BF">
        <w:rPr>
          <w:szCs w:val="20"/>
          <w:lang w:val="en-US"/>
        </w:rPr>
        <w:t>Payá's</w:t>
      </w:r>
      <w:proofErr w:type="spellEnd"/>
      <w:r w:rsidRPr="00C547BF">
        <w:rPr>
          <w:szCs w:val="20"/>
          <w:lang w:val="en-US"/>
        </w:rPr>
        <w:t xml:space="preserve"> washed clothes to them</w:t>
      </w:r>
      <w:r w:rsidRPr="00C547BF">
        <w:rPr>
          <w:rStyle w:val="Refdenotaalpie"/>
          <w:szCs w:val="20"/>
        </w:rPr>
        <w:footnoteReference w:id="73"/>
      </w:r>
      <w:r w:rsidRPr="00C547BF">
        <w:rPr>
          <w:szCs w:val="20"/>
          <w:lang w:val="en-US"/>
        </w:rPr>
        <w:t xml:space="preserve"> .</w:t>
      </w:r>
    </w:p>
    <w:p w14:paraId="268C342A" w14:textId="77777777" w:rsidR="00171179" w:rsidRPr="00C547BF" w:rsidRDefault="00171179" w:rsidP="00171179">
      <w:pPr>
        <w:pStyle w:val="Textoindependiente"/>
        <w:spacing w:after="0"/>
        <w:ind w:left="720"/>
        <w:jc w:val="both"/>
        <w:rPr>
          <w:rFonts w:ascii="Cambria" w:hAnsi="Cambria"/>
          <w:sz w:val="20"/>
          <w:szCs w:val="20"/>
          <w:lang w:val="en-US"/>
        </w:rPr>
      </w:pPr>
    </w:p>
    <w:p w14:paraId="6BB9F8FB"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It was noted that the family members demanded that the hospital team find another way to preserve the corpse and Mrs. Acevedo requested that an autopsy be performed</w:t>
      </w:r>
      <w:r w:rsidRPr="00C547BF">
        <w:rPr>
          <w:rStyle w:val="Refdenotaalpie"/>
          <w:szCs w:val="20"/>
        </w:rPr>
        <w:footnoteReference w:id="74"/>
      </w:r>
      <w:r w:rsidRPr="00C547BF">
        <w:rPr>
          <w:szCs w:val="20"/>
          <w:lang w:val="en-US"/>
        </w:rPr>
        <w:t xml:space="preserve"> . Ofelia Acevedo Maura stated that she tried, without success, to obtain a copy of the autopsy report. She added that it has been requested on multiple occasions, but she has not received a response</w:t>
      </w:r>
      <w:r w:rsidRPr="00C547BF">
        <w:rPr>
          <w:rStyle w:val="Refdenotaalpie"/>
          <w:szCs w:val="20"/>
        </w:rPr>
        <w:footnoteReference w:id="75"/>
      </w:r>
      <w:r w:rsidRPr="00C547BF">
        <w:rPr>
          <w:szCs w:val="20"/>
          <w:lang w:val="en-US"/>
        </w:rPr>
        <w:t xml:space="preserve"> . </w:t>
      </w:r>
    </w:p>
    <w:p w14:paraId="5891A38D" w14:textId="77777777" w:rsidR="00171179" w:rsidRPr="00C547BF" w:rsidRDefault="00171179" w:rsidP="00171179">
      <w:pPr>
        <w:suppressAutoHyphens/>
        <w:rPr>
          <w:szCs w:val="20"/>
          <w:lang w:val="en-US"/>
        </w:rPr>
      </w:pPr>
    </w:p>
    <w:p w14:paraId="663C477D"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It was reported that Mr. </w:t>
      </w:r>
      <w:proofErr w:type="spellStart"/>
      <w:r w:rsidRPr="00C547BF">
        <w:rPr>
          <w:szCs w:val="20"/>
          <w:lang w:val="en-US"/>
        </w:rPr>
        <w:t>Payá's</w:t>
      </w:r>
      <w:proofErr w:type="spellEnd"/>
      <w:r w:rsidRPr="00C547BF">
        <w:rPr>
          <w:szCs w:val="20"/>
          <w:lang w:val="en-US"/>
        </w:rPr>
        <w:t xml:space="preserve"> body was taken to Havana and on July 23, his relatives arrived at the Institute of Legal Medicine. He indicated that they were not allowed to enter the premises of the institute and that there were state agents guarding the place</w:t>
      </w:r>
      <w:r w:rsidRPr="00C547BF">
        <w:rPr>
          <w:rStyle w:val="Refdenotaalpie"/>
          <w:szCs w:val="20"/>
        </w:rPr>
        <w:footnoteReference w:id="76"/>
      </w:r>
      <w:r w:rsidRPr="00C547BF">
        <w:rPr>
          <w:szCs w:val="20"/>
          <w:lang w:val="en-US"/>
        </w:rPr>
        <w:t xml:space="preserve"> . He explained that an officer told them that the investigation showed that the driver of the car had lost control of the car and crashed into a tree</w:t>
      </w:r>
      <w:r w:rsidRPr="00C547BF">
        <w:rPr>
          <w:rStyle w:val="Refdenotaalpie"/>
          <w:szCs w:val="20"/>
        </w:rPr>
        <w:footnoteReference w:id="77"/>
      </w:r>
      <w:r w:rsidRPr="00C547BF">
        <w:rPr>
          <w:szCs w:val="20"/>
          <w:lang w:val="en-US"/>
        </w:rPr>
        <w:t xml:space="preserve"> . He maintained that on the day of the funeral, State agents surrounded his relatives and did not allow them to approach the coffin</w:t>
      </w:r>
      <w:r w:rsidRPr="00C547BF">
        <w:rPr>
          <w:rStyle w:val="Refdenotaalpie"/>
          <w:szCs w:val="20"/>
        </w:rPr>
        <w:footnoteReference w:id="78"/>
      </w:r>
      <w:r w:rsidRPr="00C547BF">
        <w:rPr>
          <w:szCs w:val="20"/>
          <w:lang w:val="en-US"/>
        </w:rPr>
        <w:t xml:space="preserve"> . </w:t>
      </w:r>
    </w:p>
    <w:p w14:paraId="318F7C80" w14:textId="77777777" w:rsidR="00171179" w:rsidRPr="00C547BF" w:rsidRDefault="00171179" w:rsidP="00171179">
      <w:pPr>
        <w:rPr>
          <w:szCs w:val="20"/>
          <w:lang w:val="en-US"/>
        </w:rPr>
      </w:pPr>
    </w:p>
    <w:p w14:paraId="68A7F82A"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Regarding Mr. Cepero, the petitioner stated that his family never received an autopsy certificate, nor did they receive details about his death. It was noted that at Harold Cepero's funeral, a </w:t>
      </w:r>
      <w:proofErr w:type="gramStart"/>
      <w:r w:rsidRPr="00C547BF">
        <w:rPr>
          <w:szCs w:val="20"/>
          <w:lang w:val="en-US"/>
        </w:rPr>
        <w:t>State</w:t>
      </w:r>
      <w:proofErr w:type="gramEnd"/>
      <w:r w:rsidRPr="00C547BF">
        <w:rPr>
          <w:szCs w:val="20"/>
          <w:lang w:val="en-US"/>
        </w:rPr>
        <w:t xml:space="preserve"> security colonel was present</w:t>
      </w:r>
      <w:r w:rsidRPr="00C547BF">
        <w:rPr>
          <w:rStyle w:val="Refdenotaalpie"/>
          <w:szCs w:val="20"/>
        </w:rPr>
        <w:footnoteReference w:id="79"/>
      </w:r>
      <w:r w:rsidRPr="00C547BF">
        <w:rPr>
          <w:szCs w:val="20"/>
          <w:lang w:val="en-US"/>
        </w:rPr>
        <w:t xml:space="preserve"> .</w:t>
      </w:r>
    </w:p>
    <w:p w14:paraId="0EE84FE8" w14:textId="77777777" w:rsidR="00171179" w:rsidRPr="00C547BF" w:rsidRDefault="00171179" w:rsidP="00171179">
      <w:pPr>
        <w:rPr>
          <w:szCs w:val="20"/>
          <w:lang w:val="en-US"/>
        </w:rPr>
      </w:pPr>
    </w:p>
    <w:p w14:paraId="014E394C" w14:textId="35A5CBC0" w:rsidR="00171179" w:rsidRPr="00C547BF" w:rsidRDefault="00E52D9E" w:rsidP="00171179">
      <w:pPr>
        <w:tabs>
          <w:tab w:val="left" w:pos="360"/>
        </w:tabs>
        <w:rPr>
          <w:b/>
          <w:bCs/>
          <w:szCs w:val="20"/>
          <w:lang w:val="es-ES_tradnl"/>
        </w:rPr>
      </w:pPr>
      <w:r w:rsidRPr="00C547BF">
        <w:rPr>
          <w:b/>
          <w:bCs/>
          <w:szCs w:val="20"/>
          <w:lang w:val="es-ES_tradnl"/>
        </w:rPr>
        <w:t>E</w:t>
      </w:r>
      <w:r w:rsidR="00171179" w:rsidRPr="00C547BF">
        <w:rPr>
          <w:b/>
          <w:bCs/>
          <w:szCs w:val="20"/>
          <w:lang w:val="es-ES_tradnl"/>
        </w:rPr>
        <w:t xml:space="preserve">. </w:t>
      </w:r>
      <w:r w:rsidR="00171179" w:rsidRPr="00C547BF">
        <w:rPr>
          <w:b/>
          <w:bCs/>
          <w:szCs w:val="20"/>
          <w:lang w:val="es-ES_tradnl"/>
        </w:rPr>
        <w:tab/>
      </w:r>
      <w:proofErr w:type="spellStart"/>
      <w:r w:rsidR="00171179" w:rsidRPr="00C547BF">
        <w:rPr>
          <w:b/>
          <w:bCs/>
          <w:szCs w:val="20"/>
          <w:lang w:val="es-ES_tradnl"/>
        </w:rPr>
        <w:t>About</w:t>
      </w:r>
      <w:proofErr w:type="spellEnd"/>
      <w:r w:rsidR="00171179" w:rsidRPr="00C547BF">
        <w:rPr>
          <w:b/>
          <w:bCs/>
          <w:szCs w:val="20"/>
          <w:lang w:val="es-ES_tradnl"/>
        </w:rPr>
        <w:t xml:space="preserve"> </w:t>
      </w:r>
      <w:proofErr w:type="spellStart"/>
      <w:r w:rsidR="00171179" w:rsidRPr="00C547BF">
        <w:rPr>
          <w:b/>
          <w:bCs/>
          <w:szCs w:val="20"/>
          <w:lang w:val="es-ES_tradnl"/>
        </w:rPr>
        <w:t>the</w:t>
      </w:r>
      <w:proofErr w:type="spellEnd"/>
      <w:r w:rsidR="00171179" w:rsidRPr="00C547BF">
        <w:rPr>
          <w:b/>
          <w:bCs/>
          <w:szCs w:val="20"/>
          <w:lang w:val="es-ES_tradnl"/>
        </w:rPr>
        <w:t xml:space="preserve"> </w:t>
      </w:r>
      <w:proofErr w:type="spellStart"/>
      <w:r w:rsidRPr="00C547BF">
        <w:rPr>
          <w:b/>
          <w:bCs/>
          <w:szCs w:val="20"/>
          <w:lang w:val="es-ES_tradnl"/>
        </w:rPr>
        <w:t>investigation</w:t>
      </w:r>
      <w:proofErr w:type="spellEnd"/>
    </w:p>
    <w:p w14:paraId="30F8CD0F" w14:textId="77777777" w:rsidR="00171179" w:rsidRPr="00C547BF" w:rsidRDefault="00171179" w:rsidP="00171179">
      <w:pPr>
        <w:pStyle w:val="Textoindependiente"/>
        <w:spacing w:after="0"/>
        <w:jc w:val="both"/>
        <w:rPr>
          <w:sz w:val="20"/>
          <w:szCs w:val="20"/>
          <w:lang w:val="es-ES_tradnl"/>
        </w:rPr>
      </w:pPr>
    </w:p>
    <w:p w14:paraId="53DF97FC"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The State did not provide the Commission with detailed information on the investigation into the deaths of Mr. </w:t>
      </w:r>
      <w:proofErr w:type="spellStart"/>
      <w:r w:rsidRPr="00C547BF">
        <w:rPr>
          <w:szCs w:val="20"/>
          <w:lang w:val="en-US"/>
        </w:rPr>
        <w:t>Payá</w:t>
      </w:r>
      <w:proofErr w:type="spellEnd"/>
      <w:r w:rsidRPr="00C547BF">
        <w:rPr>
          <w:szCs w:val="20"/>
          <w:lang w:val="en-US"/>
        </w:rPr>
        <w:t xml:space="preserve"> and Mr. Cepero. Notwithstanding the foregoing, the Commission will now refer to the information presented by the petitioner.</w:t>
      </w:r>
    </w:p>
    <w:p w14:paraId="43D6743A" w14:textId="77777777" w:rsidR="00171179" w:rsidRPr="00C547BF" w:rsidRDefault="00171179" w:rsidP="00171179">
      <w:pPr>
        <w:suppressAutoHyphens/>
        <w:rPr>
          <w:szCs w:val="20"/>
          <w:lang w:val="en-US"/>
        </w:rPr>
      </w:pPr>
    </w:p>
    <w:p w14:paraId="1535B6C8"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The IACHR notes that the investigation initially linked </w:t>
      </w:r>
      <w:proofErr w:type="spellStart"/>
      <w:r w:rsidRPr="00C547BF">
        <w:rPr>
          <w:szCs w:val="20"/>
          <w:lang w:val="en-US"/>
        </w:rPr>
        <w:t>Ángel</w:t>
      </w:r>
      <w:proofErr w:type="spellEnd"/>
      <w:r w:rsidRPr="00C547BF">
        <w:rPr>
          <w:szCs w:val="20"/>
          <w:lang w:val="en-US"/>
        </w:rPr>
        <w:t xml:space="preserve"> </w:t>
      </w:r>
      <w:proofErr w:type="spellStart"/>
      <w:r w:rsidRPr="00C547BF">
        <w:rPr>
          <w:szCs w:val="20"/>
          <w:lang w:val="en-US"/>
        </w:rPr>
        <w:t>Carromero</w:t>
      </w:r>
      <w:proofErr w:type="spellEnd"/>
      <w:r w:rsidRPr="00C547BF">
        <w:rPr>
          <w:szCs w:val="20"/>
          <w:lang w:val="en-US"/>
        </w:rPr>
        <w:t>, the driver of the vehicle, to reckless driving. On July 28, 2002, the Ministry of the Interior published a digital recreation of its version of the accident that was presented to the media</w:t>
      </w:r>
      <w:r w:rsidRPr="00C547BF">
        <w:rPr>
          <w:rStyle w:val="Refdenotaalpie"/>
          <w:szCs w:val="20"/>
        </w:rPr>
        <w:footnoteReference w:id="80"/>
      </w:r>
      <w:r w:rsidRPr="00C547BF">
        <w:rPr>
          <w:szCs w:val="20"/>
          <w:lang w:val="en-US"/>
        </w:rPr>
        <w:t xml:space="preserve"> . It indicated that Mr. </w:t>
      </w:r>
      <w:proofErr w:type="spellStart"/>
      <w:r w:rsidRPr="00C547BF">
        <w:rPr>
          <w:szCs w:val="20"/>
          <w:lang w:val="en-US"/>
        </w:rPr>
        <w:t>Carromero</w:t>
      </w:r>
      <w:proofErr w:type="spellEnd"/>
      <w:r w:rsidRPr="00C547BF">
        <w:rPr>
          <w:szCs w:val="20"/>
          <w:lang w:val="en-US"/>
        </w:rPr>
        <w:t xml:space="preserve"> was driving at a very fast speed on a section of the road that was "under repair and for about two kilometers the road surface is not paved, which makes it a kind of embankment with abundant gravel; therefore, very slippery"</w:t>
      </w:r>
      <w:r w:rsidRPr="00C547BF">
        <w:rPr>
          <w:rStyle w:val="Refdenotaalpie"/>
          <w:szCs w:val="20"/>
        </w:rPr>
        <w:footnoteReference w:id="81"/>
      </w:r>
      <w:r w:rsidRPr="00C547BF">
        <w:rPr>
          <w:szCs w:val="20"/>
          <w:lang w:val="en-US"/>
        </w:rPr>
        <w:t xml:space="preserve"> . </w:t>
      </w:r>
    </w:p>
    <w:p w14:paraId="48B1C4BD" w14:textId="77777777" w:rsidR="00171179" w:rsidRPr="00C547BF" w:rsidRDefault="00171179" w:rsidP="00171179">
      <w:pPr>
        <w:pStyle w:val="Prrafodelista"/>
        <w:rPr>
          <w:szCs w:val="20"/>
          <w:lang w:val="en-US"/>
        </w:rPr>
      </w:pPr>
    </w:p>
    <w:p w14:paraId="66D55555"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The Commission notes that according to the judgment issued in this case, statements were taken from three eyewitnesses, who reportedly indicated that "the car entered the embankment at excessive speed"</w:t>
      </w:r>
      <w:r w:rsidRPr="00C547BF">
        <w:rPr>
          <w:rStyle w:val="Refdenotaalpie"/>
          <w:szCs w:val="20"/>
        </w:rPr>
        <w:footnoteReference w:id="82"/>
      </w:r>
      <w:r w:rsidRPr="00C547BF">
        <w:rPr>
          <w:szCs w:val="20"/>
          <w:lang w:val="en-US"/>
        </w:rPr>
        <w:t xml:space="preserve"> . It </w:t>
      </w:r>
      <w:r w:rsidRPr="00C547BF">
        <w:rPr>
          <w:szCs w:val="20"/>
          <w:lang w:val="en-US"/>
        </w:rPr>
        <w:lastRenderedPageBreak/>
        <w:t xml:space="preserve">was noted that Mr. </w:t>
      </w:r>
      <w:proofErr w:type="spellStart"/>
      <w:r w:rsidRPr="00C547BF">
        <w:rPr>
          <w:szCs w:val="20"/>
          <w:lang w:val="en-US"/>
        </w:rPr>
        <w:t>Modig</w:t>
      </w:r>
      <w:proofErr w:type="spellEnd"/>
      <w:r w:rsidRPr="00C547BF">
        <w:rPr>
          <w:szCs w:val="20"/>
          <w:lang w:val="en-US"/>
        </w:rPr>
        <w:t xml:space="preserve"> stated that he was asleep at the time of the accident and that he does not remember the events leading up to the crash</w:t>
      </w:r>
      <w:r w:rsidRPr="00C547BF">
        <w:rPr>
          <w:rStyle w:val="Refdenotaalpie"/>
          <w:szCs w:val="20"/>
        </w:rPr>
        <w:footnoteReference w:id="83"/>
      </w:r>
      <w:r w:rsidRPr="00C547BF">
        <w:rPr>
          <w:szCs w:val="20"/>
          <w:lang w:val="en-US"/>
        </w:rPr>
        <w:t xml:space="preserve"> .</w:t>
      </w:r>
    </w:p>
    <w:p w14:paraId="21379372" w14:textId="77777777" w:rsidR="00171179" w:rsidRPr="00C547BF" w:rsidRDefault="00171179" w:rsidP="00171179">
      <w:pPr>
        <w:pStyle w:val="Prrafodelista"/>
        <w:rPr>
          <w:szCs w:val="20"/>
          <w:lang w:val="en-US"/>
        </w:rPr>
      </w:pPr>
    </w:p>
    <w:p w14:paraId="6C202FAA" w14:textId="77777777" w:rsidR="00171179" w:rsidRPr="00C547BF" w:rsidRDefault="00171179" w:rsidP="00563529">
      <w:pPr>
        <w:numPr>
          <w:ilvl w:val="0"/>
          <w:numId w:val="62"/>
        </w:numPr>
        <w:tabs>
          <w:tab w:val="clear" w:pos="720"/>
          <w:tab w:val="num" w:pos="360"/>
        </w:tabs>
        <w:suppressAutoHyphens/>
        <w:spacing w:after="0"/>
        <w:ind w:firstLine="0"/>
        <w:rPr>
          <w:szCs w:val="20"/>
          <w:lang w:val="es-ES_tradnl"/>
        </w:rPr>
      </w:pPr>
      <w:r w:rsidRPr="00C547BF">
        <w:rPr>
          <w:szCs w:val="20"/>
          <w:lang w:val="en-US"/>
        </w:rPr>
        <w:t xml:space="preserve">In contrast to the official version, the IACHR notes that Mr. </w:t>
      </w:r>
      <w:proofErr w:type="spellStart"/>
      <w:r w:rsidRPr="00C547BF">
        <w:rPr>
          <w:szCs w:val="20"/>
          <w:lang w:val="en-US"/>
        </w:rPr>
        <w:t>Carromero</w:t>
      </w:r>
      <w:proofErr w:type="spellEnd"/>
      <w:r w:rsidRPr="00C547BF">
        <w:rPr>
          <w:szCs w:val="20"/>
          <w:lang w:val="en-US"/>
        </w:rPr>
        <w:t xml:space="preserve"> has consistently indicated before the media after the events, </w:t>
      </w:r>
      <w:proofErr w:type="gramStart"/>
      <w:r w:rsidRPr="00C547BF">
        <w:rPr>
          <w:szCs w:val="20"/>
          <w:lang w:val="en-US"/>
        </w:rPr>
        <w:t>and also</w:t>
      </w:r>
      <w:proofErr w:type="gramEnd"/>
      <w:r w:rsidRPr="00C547BF">
        <w:rPr>
          <w:szCs w:val="20"/>
          <w:lang w:val="en-US"/>
        </w:rPr>
        <w:t xml:space="preserve"> before the Inter-American Commission itself, that he was forced to give a false version</w:t>
      </w:r>
      <w:r w:rsidRPr="00C547BF">
        <w:rPr>
          <w:rStyle w:val="Refdenotaalpie"/>
          <w:szCs w:val="20"/>
        </w:rPr>
        <w:footnoteReference w:id="84"/>
      </w:r>
      <w:r w:rsidRPr="00C547BF">
        <w:rPr>
          <w:szCs w:val="20"/>
          <w:lang w:val="en-US"/>
        </w:rPr>
        <w:t xml:space="preserve"> . </w:t>
      </w:r>
      <w:r w:rsidRPr="00C547BF">
        <w:rPr>
          <w:szCs w:val="20"/>
          <w:lang w:val="es-ES_tradnl"/>
        </w:rPr>
        <w:t xml:space="preserve">He </w:t>
      </w:r>
      <w:proofErr w:type="spellStart"/>
      <w:r w:rsidRPr="00C547BF">
        <w:rPr>
          <w:szCs w:val="20"/>
          <w:lang w:val="es-ES_tradnl"/>
        </w:rPr>
        <w:t>explained</w:t>
      </w:r>
      <w:proofErr w:type="spellEnd"/>
      <w:r w:rsidRPr="00C547BF">
        <w:rPr>
          <w:szCs w:val="20"/>
          <w:lang w:val="es-ES_tradnl"/>
        </w:rPr>
        <w:t xml:space="preserve"> </w:t>
      </w:r>
      <w:proofErr w:type="spellStart"/>
      <w:r w:rsidRPr="00C547BF">
        <w:rPr>
          <w:szCs w:val="20"/>
          <w:lang w:val="es-ES_tradnl"/>
        </w:rPr>
        <w:t>the</w:t>
      </w:r>
      <w:proofErr w:type="spellEnd"/>
      <w:r w:rsidRPr="00C547BF">
        <w:rPr>
          <w:szCs w:val="20"/>
          <w:lang w:val="es-ES_tradnl"/>
        </w:rPr>
        <w:t xml:space="preserve"> </w:t>
      </w:r>
      <w:proofErr w:type="spellStart"/>
      <w:r w:rsidRPr="00C547BF">
        <w:rPr>
          <w:szCs w:val="20"/>
          <w:lang w:val="es-ES_tradnl"/>
        </w:rPr>
        <w:t>following</w:t>
      </w:r>
      <w:proofErr w:type="spellEnd"/>
      <w:r w:rsidRPr="00C547BF">
        <w:rPr>
          <w:szCs w:val="20"/>
          <w:lang w:val="es-ES_tradnl"/>
        </w:rPr>
        <w:t>:</w:t>
      </w:r>
    </w:p>
    <w:p w14:paraId="29D16FE4" w14:textId="77777777" w:rsidR="00171179" w:rsidRPr="00C547BF" w:rsidRDefault="00171179" w:rsidP="00171179">
      <w:pPr>
        <w:pStyle w:val="Textoindependiente"/>
        <w:spacing w:after="0"/>
        <w:ind w:right="308"/>
        <w:jc w:val="both"/>
        <w:rPr>
          <w:rFonts w:ascii="Cambria" w:hAnsi="Cambria"/>
          <w:sz w:val="20"/>
          <w:szCs w:val="20"/>
          <w:lang w:val="es-ES_tradnl"/>
        </w:rPr>
      </w:pPr>
    </w:p>
    <w:p w14:paraId="62BE3D4A" w14:textId="77777777" w:rsidR="00171179" w:rsidRPr="00C547BF" w:rsidRDefault="00171179" w:rsidP="006774D3">
      <w:pPr>
        <w:pStyle w:val="Textoindependiente"/>
        <w:spacing w:after="0"/>
        <w:ind w:left="360" w:right="360"/>
        <w:jc w:val="both"/>
        <w:rPr>
          <w:rFonts w:ascii="Cambria" w:eastAsia="Calibri" w:hAnsi="Cambria" w:cs="Calibri"/>
          <w:sz w:val="18"/>
          <w:szCs w:val="18"/>
          <w:lang w:val="en-US"/>
        </w:rPr>
      </w:pPr>
      <w:r w:rsidRPr="00C547BF">
        <w:rPr>
          <w:rFonts w:ascii="Cambria" w:eastAsia="Calibri" w:hAnsi="Cambria" w:cs="Calibri"/>
          <w:sz w:val="18"/>
          <w:szCs w:val="18"/>
          <w:lang w:val="en-US"/>
        </w:rPr>
        <w:t xml:space="preserve">[...] what I remember is when [he] was taken to a room where there was a military man, a television crew, and where they wanted him to record another video saying that [they] had not been taken off the road and that it had been an accident. There they made a mistake and that is that since [he] was being forced to say what they wanted, they used terms in Latinisms, in Cuban, terms that do not exist in Spain, they are not used. </w:t>
      </w:r>
      <w:proofErr w:type="gramStart"/>
      <w:r w:rsidRPr="00C547BF">
        <w:rPr>
          <w:rFonts w:ascii="Cambria" w:eastAsia="Calibri" w:hAnsi="Cambria" w:cs="Calibri"/>
          <w:sz w:val="18"/>
          <w:szCs w:val="18"/>
          <w:lang w:val="en-US"/>
        </w:rPr>
        <w:t>So</w:t>
      </w:r>
      <w:proofErr w:type="gramEnd"/>
      <w:r w:rsidRPr="00C547BF">
        <w:rPr>
          <w:rFonts w:ascii="Cambria" w:eastAsia="Calibri" w:hAnsi="Cambria" w:cs="Calibri"/>
          <w:sz w:val="18"/>
          <w:szCs w:val="18"/>
          <w:lang w:val="en-US"/>
        </w:rPr>
        <w:t xml:space="preserve"> all the shots they were taking of me, [...] they made me read, they held up signs of what I had to say. One of the things they made him say was that it had been a traffic accident. This is used in Cuba, in Spain never, [...] I had never heard of this term. [In Spain [they say] traffic accident, nobody, but it is nobody, says traffic accident, [...] because traffic accident, [...] is what they [made him] say. In the same way that neither [...] do we say to apply the brake pedal, [...] we say directly to brake"</w:t>
      </w:r>
      <w:r w:rsidRPr="00C547BF">
        <w:rPr>
          <w:rStyle w:val="Refdenotaalpie"/>
          <w:rFonts w:ascii="Cambria" w:eastAsia="Trebuchet MS" w:hAnsi="Cambria"/>
          <w:sz w:val="18"/>
          <w:szCs w:val="18"/>
        </w:rPr>
        <w:footnoteReference w:id="85"/>
      </w:r>
      <w:r w:rsidRPr="00C547BF">
        <w:rPr>
          <w:rFonts w:ascii="Cambria" w:eastAsia="Calibri" w:hAnsi="Cambria" w:cs="Calibri"/>
          <w:sz w:val="18"/>
          <w:szCs w:val="18"/>
          <w:lang w:val="en-US"/>
        </w:rPr>
        <w:t xml:space="preserve"> .</w:t>
      </w:r>
    </w:p>
    <w:p w14:paraId="37423A51" w14:textId="77777777" w:rsidR="00171179" w:rsidRPr="00C547BF" w:rsidRDefault="00171179" w:rsidP="00171179">
      <w:pPr>
        <w:pStyle w:val="Textoindependiente"/>
        <w:spacing w:after="0"/>
        <w:rPr>
          <w:rFonts w:ascii="Cambria" w:hAnsi="Cambria"/>
          <w:i/>
          <w:sz w:val="20"/>
          <w:szCs w:val="20"/>
          <w:lang w:val="en-US"/>
        </w:rPr>
      </w:pPr>
    </w:p>
    <w:p w14:paraId="02C407A0"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Additionally, Angel </w:t>
      </w:r>
      <w:proofErr w:type="spellStart"/>
      <w:r w:rsidRPr="00C547BF">
        <w:rPr>
          <w:szCs w:val="20"/>
          <w:lang w:val="en-US"/>
        </w:rPr>
        <w:t>Carromero</w:t>
      </w:r>
      <w:proofErr w:type="spellEnd"/>
      <w:r w:rsidRPr="00C547BF">
        <w:rPr>
          <w:szCs w:val="20"/>
          <w:lang w:val="en-US"/>
        </w:rPr>
        <w:t xml:space="preserve"> stated that there was other evidence to contrast the official version given by the government. He indicated that a police officer took the statement of an eyewitness who mentioned that another car was involved in the accident</w:t>
      </w:r>
      <w:r w:rsidRPr="00C547BF">
        <w:rPr>
          <w:rStyle w:val="Refdenotaalpie"/>
          <w:szCs w:val="20"/>
        </w:rPr>
        <w:footnoteReference w:id="86"/>
      </w:r>
      <w:r w:rsidRPr="00C547BF">
        <w:rPr>
          <w:szCs w:val="20"/>
          <w:lang w:val="en-US"/>
        </w:rPr>
        <w:t xml:space="preserve"> . The petitioner added that this statement was not </w:t>
      </w:r>
      <w:proofErr w:type="gramStart"/>
      <w:r w:rsidRPr="00C547BF">
        <w:rPr>
          <w:szCs w:val="20"/>
          <w:lang w:val="en-US"/>
        </w:rPr>
        <w:t>taken into account</w:t>
      </w:r>
      <w:proofErr w:type="gramEnd"/>
      <w:r w:rsidRPr="00C547BF">
        <w:rPr>
          <w:szCs w:val="20"/>
          <w:lang w:val="en-US"/>
        </w:rPr>
        <w:t xml:space="preserve"> during the process, nor was the pattern of harassment and surveillance of Oswaldo </w:t>
      </w:r>
      <w:proofErr w:type="spellStart"/>
      <w:r w:rsidRPr="00C547BF">
        <w:rPr>
          <w:szCs w:val="20"/>
          <w:lang w:val="en-US"/>
        </w:rPr>
        <w:t>Payá</w:t>
      </w:r>
      <w:proofErr w:type="spellEnd"/>
      <w:r w:rsidRPr="00C547BF">
        <w:rPr>
          <w:szCs w:val="20"/>
          <w:lang w:val="en-US"/>
        </w:rPr>
        <w:t xml:space="preserve"> analyzed, nor the history of accidents or attacks when Oswaldo </w:t>
      </w:r>
      <w:proofErr w:type="spellStart"/>
      <w:r w:rsidRPr="00C547BF">
        <w:rPr>
          <w:szCs w:val="20"/>
          <w:lang w:val="en-US"/>
        </w:rPr>
        <w:t>Payá</w:t>
      </w:r>
      <w:proofErr w:type="spellEnd"/>
      <w:r w:rsidRPr="00C547BF">
        <w:rPr>
          <w:szCs w:val="20"/>
          <w:lang w:val="en-US"/>
        </w:rPr>
        <w:t xml:space="preserve"> was traveling in his vehicle and attempts were made to harm them. He also explained that they were not allowed to have access to the file or to actively participate in the process</w:t>
      </w:r>
      <w:r w:rsidRPr="00C547BF">
        <w:rPr>
          <w:rStyle w:val="Refdenotaalpie"/>
          <w:szCs w:val="20"/>
        </w:rPr>
        <w:footnoteReference w:id="87"/>
      </w:r>
      <w:r w:rsidRPr="00C547BF">
        <w:rPr>
          <w:szCs w:val="20"/>
          <w:lang w:val="en-US"/>
        </w:rPr>
        <w:t xml:space="preserve"> . </w:t>
      </w:r>
    </w:p>
    <w:p w14:paraId="35654291" w14:textId="77777777" w:rsidR="00171179" w:rsidRPr="00C547BF" w:rsidRDefault="00171179" w:rsidP="00171179">
      <w:pPr>
        <w:suppressAutoHyphens/>
        <w:rPr>
          <w:szCs w:val="20"/>
          <w:lang w:val="en-US"/>
        </w:rPr>
      </w:pPr>
    </w:p>
    <w:p w14:paraId="08B78C6C"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Mr. </w:t>
      </w:r>
      <w:proofErr w:type="spellStart"/>
      <w:r w:rsidRPr="00C547BF">
        <w:rPr>
          <w:szCs w:val="20"/>
          <w:lang w:val="en-US"/>
        </w:rPr>
        <w:t>Carromero</w:t>
      </w:r>
      <w:proofErr w:type="spellEnd"/>
      <w:r w:rsidRPr="00C547BF">
        <w:rPr>
          <w:szCs w:val="20"/>
          <w:lang w:val="en-US"/>
        </w:rPr>
        <w:t xml:space="preserve"> stated that he was not provided with a court-appointed attorney at the beginning of the investigation. He explained that it was only later that his family hired a private attorney. He indicated that his right to defense was affected since he did not have any access to the evidence or procedures gathered by the authorities. He stated that all requests for evidence or expert reports were rejected, and that the only authorized </w:t>
      </w:r>
      <w:r w:rsidRPr="00C547BF">
        <w:rPr>
          <w:spacing w:val="1"/>
          <w:szCs w:val="20"/>
          <w:lang w:val="en-US"/>
        </w:rPr>
        <w:t xml:space="preserve">experts </w:t>
      </w:r>
      <w:r w:rsidRPr="00C547BF">
        <w:rPr>
          <w:szCs w:val="20"/>
          <w:lang w:val="en-US"/>
        </w:rPr>
        <w:t>were the military personnel designated by the prosecutor</w:t>
      </w:r>
      <w:r w:rsidRPr="00C547BF">
        <w:rPr>
          <w:rStyle w:val="Refdenotaalpie"/>
          <w:szCs w:val="20"/>
        </w:rPr>
        <w:footnoteReference w:id="88"/>
      </w:r>
      <w:r w:rsidRPr="00C547BF">
        <w:rPr>
          <w:szCs w:val="20"/>
          <w:lang w:val="en-US"/>
        </w:rPr>
        <w:t xml:space="preserve"> .</w:t>
      </w:r>
    </w:p>
    <w:p w14:paraId="0492CA41" w14:textId="77777777" w:rsidR="00171179" w:rsidRPr="00C547BF" w:rsidRDefault="00171179" w:rsidP="00171179">
      <w:pPr>
        <w:suppressAutoHyphens/>
        <w:rPr>
          <w:szCs w:val="20"/>
          <w:lang w:val="en-US"/>
        </w:rPr>
      </w:pPr>
    </w:p>
    <w:p w14:paraId="0E65C9E0"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The Commission notes that the family </w:t>
      </w:r>
      <w:r w:rsidRPr="00C547BF">
        <w:rPr>
          <w:spacing w:val="-9"/>
          <w:szCs w:val="20"/>
          <w:lang w:val="en-US"/>
        </w:rPr>
        <w:t xml:space="preserve">of Oswaldo </w:t>
      </w:r>
      <w:proofErr w:type="spellStart"/>
      <w:r w:rsidRPr="00C547BF">
        <w:rPr>
          <w:spacing w:val="-9"/>
          <w:szCs w:val="20"/>
          <w:lang w:val="en-US"/>
        </w:rPr>
        <w:t>Payá</w:t>
      </w:r>
      <w:proofErr w:type="spellEnd"/>
      <w:r w:rsidRPr="00C547BF">
        <w:rPr>
          <w:spacing w:val="-9"/>
          <w:szCs w:val="20"/>
          <w:lang w:val="en-US"/>
        </w:rPr>
        <w:t xml:space="preserve"> consistently maintained that they did not accept the official version. </w:t>
      </w:r>
      <w:r w:rsidRPr="00C547BF">
        <w:rPr>
          <w:szCs w:val="20"/>
          <w:lang w:val="en-US"/>
        </w:rPr>
        <w:t xml:space="preserve">It explained that Mrs. Acevedo and her children had a meeting with the </w:t>
      </w:r>
      <w:r w:rsidRPr="00C547BF">
        <w:rPr>
          <w:spacing w:val="-1"/>
          <w:szCs w:val="20"/>
          <w:lang w:val="en-US"/>
        </w:rPr>
        <w:t xml:space="preserve">head </w:t>
      </w:r>
      <w:r w:rsidRPr="00C547BF">
        <w:rPr>
          <w:szCs w:val="20"/>
          <w:lang w:val="en-US"/>
        </w:rPr>
        <w:t xml:space="preserve">of the Technical Department of Investigations. He explained that they were asked to sign a document indicating that the accident had been the fault of </w:t>
      </w:r>
      <w:proofErr w:type="spellStart"/>
      <w:r w:rsidRPr="00C547BF">
        <w:rPr>
          <w:szCs w:val="20"/>
          <w:lang w:val="en-US"/>
        </w:rPr>
        <w:t>Ángel</w:t>
      </w:r>
      <w:proofErr w:type="spellEnd"/>
      <w:r w:rsidRPr="00C547BF">
        <w:rPr>
          <w:szCs w:val="20"/>
          <w:lang w:val="en-US"/>
        </w:rPr>
        <w:t xml:space="preserve"> </w:t>
      </w:r>
      <w:proofErr w:type="spellStart"/>
      <w:r w:rsidRPr="00C547BF">
        <w:rPr>
          <w:szCs w:val="20"/>
          <w:lang w:val="en-US"/>
        </w:rPr>
        <w:t>Carromero</w:t>
      </w:r>
      <w:proofErr w:type="spellEnd"/>
      <w:r w:rsidRPr="00C547BF">
        <w:rPr>
          <w:szCs w:val="20"/>
          <w:lang w:val="en-US"/>
        </w:rPr>
        <w:t xml:space="preserve"> and that he had a personal obligation to compensate the family for the expenses incurred. He added that Mrs. Acevedo replied that she did not believe the official version of the accident</w:t>
      </w:r>
      <w:r w:rsidRPr="00C547BF">
        <w:rPr>
          <w:rStyle w:val="Refdenotaalpie"/>
          <w:szCs w:val="20"/>
        </w:rPr>
        <w:footnoteReference w:id="89"/>
      </w:r>
      <w:r w:rsidRPr="00C547BF">
        <w:rPr>
          <w:szCs w:val="20"/>
          <w:lang w:val="en-US"/>
        </w:rPr>
        <w:t xml:space="preserve"> . The Cepero family maintained that they were not informed about the lawsuit against Mr. </w:t>
      </w:r>
      <w:proofErr w:type="spellStart"/>
      <w:r w:rsidRPr="00C547BF">
        <w:rPr>
          <w:szCs w:val="20"/>
          <w:lang w:val="en-US"/>
        </w:rPr>
        <w:t>Carromero</w:t>
      </w:r>
      <w:proofErr w:type="spellEnd"/>
      <w:r w:rsidRPr="00C547BF">
        <w:rPr>
          <w:rStyle w:val="Refdenotaalpie"/>
          <w:szCs w:val="20"/>
        </w:rPr>
        <w:footnoteReference w:id="90"/>
      </w:r>
      <w:r w:rsidRPr="00C547BF">
        <w:rPr>
          <w:szCs w:val="20"/>
          <w:lang w:val="en-US"/>
        </w:rPr>
        <w:t xml:space="preserve"> . </w:t>
      </w:r>
      <w:r w:rsidRPr="00C547BF">
        <w:rPr>
          <w:spacing w:val="-1"/>
          <w:szCs w:val="20"/>
          <w:lang w:val="en-US"/>
        </w:rPr>
        <w:t>It was added that although some authorities mentioned that the trial was going to be public, this did not happen</w:t>
      </w:r>
      <w:r w:rsidRPr="00C547BF">
        <w:rPr>
          <w:rStyle w:val="Refdenotaalpie"/>
          <w:szCs w:val="20"/>
        </w:rPr>
        <w:footnoteReference w:id="91"/>
      </w:r>
      <w:r w:rsidRPr="00C547BF">
        <w:rPr>
          <w:szCs w:val="20"/>
          <w:lang w:val="en-US"/>
        </w:rPr>
        <w:t xml:space="preserve"> . It was explained that it took place under conditions of maximum secrecy and the police and </w:t>
      </w:r>
      <w:r w:rsidRPr="00C547BF">
        <w:rPr>
          <w:szCs w:val="20"/>
          <w:lang w:val="en-US"/>
        </w:rPr>
        <w:lastRenderedPageBreak/>
        <w:t xml:space="preserve">State Security forces prevented the family of Oswaldo </w:t>
      </w:r>
      <w:proofErr w:type="spellStart"/>
      <w:r w:rsidRPr="00C547BF">
        <w:rPr>
          <w:szCs w:val="20"/>
          <w:lang w:val="en-US"/>
        </w:rPr>
        <w:t>Payá</w:t>
      </w:r>
      <w:proofErr w:type="spellEnd"/>
      <w:r w:rsidRPr="00C547BF">
        <w:rPr>
          <w:szCs w:val="20"/>
          <w:lang w:val="en-US"/>
        </w:rPr>
        <w:t xml:space="preserve"> </w:t>
      </w:r>
      <w:proofErr w:type="spellStart"/>
      <w:r w:rsidRPr="00C547BF">
        <w:rPr>
          <w:szCs w:val="20"/>
          <w:lang w:val="en-US"/>
        </w:rPr>
        <w:t>Sardiñas</w:t>
      </w:r>
      <w:proofErr w:type="spellEnd"/>
      <w:r w:rsidRPr="00C547BF">
        <w:rPr>
          <w:szCs w:val="20"/>
          <w:lang w:val="en-US"/>
        </w:rPr>
        <w:t xml:space="preserve"> from entering the courtroom, despite their attempts</w:t>
      </w:r>
      <w:r w:rsidRPr="00C547BF">
        <w:rPr>
          <w:rStyle w:val="Refdenotaalpie"/>
          <w:szCs w:val="20"/>
        </w:rPr>
        <w:footnoteReference w:id="92"/>
      </w:r>
      <w:r w:rsidRPr="00C547BF">
        <w:rPr>
          <w:szCs w:val="20"/>
          <w:lang w:val="en-US"/>
        </w:rPr>
        <w:t xml:space="preserve"> .</w:t>
      </w:r>
    </w:p>
    <w:p w14:paraId="71FE5AEF" w14:textId="77777777" w:rsidR="00171179" w:rsidRPr="00C547BF" w:rsidRDefault="00171179" w:rsidP="00171179">
      <w:pPr>
        <w:rPr>
          <w:szCs w:val="20"/>
          <w:lang w:val="en-US"/>
        </w:rPr>
      </w:pPr>
    </w:p>
    <w:p w14:paraId="45F36461"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On October 12, 2012, the First Criminal Chamber of the People's Provincial Court of Granma issued a conviction against </w:t>
      </w:r>
      <w:proofErr w:type="spellStart"/>
      <w:r w:rsidRPr="00C547BF">
        <w:rPr>
          <w:szCs w:val="20"/>
          <w:lang w:val="en-US"/>
        </w:rPr>
        <w:t>Ángel</w:t>
      </w:r>
      <w:proofErr w:type="spellEnd"/>
      <w:r w:rsidRPr="00C547BF">
        <w:rPr>
          <w:szCs w:val="20"/>
          <w:lang w:val="en-US"/>
        </w:rPr>
        <w:t xml:space="preserve"> </w:t>
      </w:r>
      <w:proofErr w:type="spellStart"/>
      <w:r w:rsidRPr="00C547BF">
        <w:rPr>
          <w:szCs w:val="20"/>
          <w:lang w:val="en-US"/>
        </w:rPr>
        <w:t>Carromero</w:t>
      </w:r>
      <w:proofErr w:type="spellEnd"/>
      <w:r w:rsidRPr="00C547BF">
        <w:rPr>
          <w:szCs w:val="20"/>
          <w:lang w:val="en-US"/>
        </w:rPr>
        <w:t xml:space="preserve"> for the crime of simple homicide by vehicle. The court sentenced Mr. </w:t>
      </w:r>
      <w:proofErr w:type="spellStart"/>
      <w:r w:rsidRPr="00C547BF">
        <w:rPr>
          <w:szCs w:val="20"/>
          <w:lang w:val="en-US"/>
        </w:rPr>
        <w:t>Carromero</w:t>
      </w:r>
      <w:proofErr w:type="spellEnd"/>
      <w:r w:rsidRPr="00C547BF">
        <w:rPr>
          <w:szCs w:val="20"/>
          <w:lang w:val="en-US"/>
        </w:rPr>
        <w:t xml:space="preserve"> to a four-year prison term and concluded the following: </w:t>
      </w:r>
    </w:p>
    <w:p w14:paraId="255ECA43" w14:textId="77777777" w:rsidR="00171179" w:rsidRPr="00C547BF" w:rsidRDefault="00171179" w:rsidP="00171179">
      <w:pPr>
        <w:suppressAutoHyphens/>
        <w:rPr>
          <w:szCs w:val="20"/>
          <w:lang w:val="en-US"/>
        </w:rPr>
      </w:pPr>
    </w:p>
    <w:p w14:paraId="40822AD5" w14:textId="77777777" w:rsidR="00171179" w:rsidRPr="00C547BF" w:rsidRDefault="00171179" w:rsidP="009D7B39">
      <w:pPr>
        <w:pStyle w:val="Textoindependiente"/>
        <w:spacing w:after="0"/>
        <w:ind w:left="360" w:right="360"/>
        <w:jc w:val="both"/>
        <w:rPr>
          <w:rFonts w:ascii="Cambria" w:hAnsi="Cambria"/>
          <w:sz w:val="18"/>
          <w:szCs w:val="18"/>
          <w:lang w:val="en-US"/>
        </w:rPr>
      </w:pPr>
      <w:r w:rsidRPr="00C547BF">
        <w:rPr>
          <w:rFonts w:ascii="Cambria" w:hAnsi="Cambria"/>
          <w:sz w:val="18"/>
          <w:szCs w:val="18"/>
          <w:lang w:val="en-US"/>
        </w:rPr>
        <w:t xml:space="preserve">The vehicle driven by ANGEL FRANCISCO entered the unpaved stretch at a speed of more than 100 kilometers per hour, at which time the accused perceived that he was traveling on a slippery surface and made a sharp turn to the right, abruptly applying the brakes, causing the loss of transverse stability and control of the vehicle, which made a curved trajectory to the right, skidding its four tires, spinning on its own axis 155 degrees, traveling a distance of more than 55 meters, until it violently impacted the left side of the car, specifically the rear door of the car, The vehicle made a curved trajectory to the right, with skidding of its four tires, making a turn on its own axis of 155 degrees, moving a distance of more than 55 meters, until it violently impacted on the left side of the car, specifically on the rear door, with a </w:t>
      </w:r>
      <w:r w:rsidRPr="00C547BF">
        <w:rPr>
          <w:rFonts w:ascii="Cambria" w:hAnsi="Cambria"/>
          <w:i/>
          <w:iCs/>
          <w:sz w:val="18"/>
          <w:szCs w:val="18"/>
          <w:lang w:val="en-US"/>
        </w:rPr>
        <w:t xml:space="preserve">sweet </w:t>
      </w:r>
      <w:proofErr w:type="spellStart"/>
      <w:r w:rsidRPr="00C547BF">
        <w:rPr>
          <w:rFonts w:ascii="Cambria" w:hAnsi="Cambria"/>
          <w:i/>
          <w:iCs/>
          <w:sz w:val="18"/>
          <w:szCs w:val="18"/>
          <w:lang w:val="en-US"/>
        </w:rPr>
        <w:t>pithecellobium</w:t>
      </w:r>
      <w:proofErr w:type="spellEnd"/>
      <w:r w:rsidRPr="00C547BF">
        <w:rPr>
          <w:rFonts w:ascii="Cambria" w:hAnsi="Cambria"/>
          <w:sz w:val="18"/>
          <w:szCs w:val="18"/>
          <w:lang w:val="en-US"/>
        </w:rPr>
        <w:t xml:space="preserve"> tree, commonly known as Chinese tamarind or sweet inga, whose wood has a solid or resistant consistency.</w:t>
      </w:r>
      <w:r w:rsidRPr="00C547BF">
        <w:rPr>
          <w:rStyle w:val="Refdenotaalpie"/>
          <w:rFonts w:ascii="Cambria" w:eastAsia="Trebuchet MS" w:hAnsi="Cambria"/>
          <w:sz w:val="18"/>
          <w:szCs w:val="18"/>
        </w:rPr>
        <w:footnoteReference w:id="93"/>
      </w:r>
    </w:p>
    <w:p w14:paraId="5CB1F396" w14:textId="77777777" w:rsidR="00171179" w:rsidRPr="00C547BF" w:rsidRDefault="00171179" w:rsidP="00171179">
      <w:pPr>
        <w:pStyle w:val="Textoindependiente"/>
        <w:spacing w:after="0"/>
        <w:ind w:left="909" w:right="668" w:firstLine="720"/>
        <w:jc w:val="both"/>
        <w:rPr>
          <w:rFonts w:ascii="Cambria" w:hAnsi="Cambria"/>
          <w:sz w:val="20"/>
          <w:szCs w:val="20"/>
          <w:lang w:val="en-US"/>
        </w:rPr>
      </w:pPr>
    </w:p>
    <w:p w14:paraId="31DAA2E6" w14:textId="5D0CCA03"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Mr. </w:t>
      </w:r>
      <w:proofErr w:type="spellStart"/>
      <w:r w:rsidRPr="00C547BF">
        <w:rPr>
          <w:szCs w:val="20"/>
          <w:lang w:val="en-US"/>
        </w:rPr>
        <w:t>Carromero</w:t>
      </w:r>
      <w:proofErr w:type="spellEnd"/>
      <w:r w:rsidRPr="00C547BF">
        <w:rPr>
          <w:szCs w:val="20"/>
          <w:lang w:val="en-US"/>
        </w:rPr>
        <w:t xml:space="preserve"> was held for two and a half months in the </w:t>
      </w:r>
      <w:proofErr w:type="spellStart"/>
      <w:r w:rsidRPr="00C547BF">
        <w:rPr>
          <w:szCs w:val="20"/>
          <w:lang w:val="en-US"/>
        </w:rPr>
        <w:t>Cien</w:t>
      </w:r>
      <w:proofErr w:type="spellEnd"/>
      <w:r w:rsidRPr="00C547BF">
        <w:rPr>
          <w:szCs w:val="20"/>
          <w:lang w:val="en-US"/>
        </w:rPr>
        <w:t xml:space="preserve"> y </w:t>
      </w:r>
      <w:proofErr w:type="spellStart"/>
      <w:r w:rsidRPr="00C547BF">
        <w:rPr>
          <w:szCs w:val="20"/>
          <w:lang w:val="en-US"/>
        </w:rPr>
        <w:t>Aldabó</w:t>
      </w:r>
      <w:proofErr w:type="spellEnd"/>
      <w:r w:rsidRPr="00C547BF">
        <w:rPr>
          <w:szCs w:val="20"/>
          <w:lang w:val="en-US"/>
        </w:rPr>
        <w:t xml:space="preserve"> prison in Havana, Cuba</w:t>
      </w:r>
      <w:r w:rsidRPr="00C547BF">
        <w:rPr>
          <w:rStyle w:val="Refdenotaalpie"/>
          <w:szCs w:val="20"/>
        </w:rPr>
        <w:footnoteReference w:id="94"/>
      </w:r>
      <w:r w:rsidRPr="00C547BF">
        <w:rPr>
          <w:szCs w:val="20"/>
          <w:lang w:val="en-US"/>
        </w:rPr>
        <w:t xml:space="preserve">. In the framework of a bilateral agreement between the governments of Cuba and Spain, Mr. </w:t>
      </w:r>
      <w:proofErr w:type="spellStart"/>
      <w:r w:rsidRPr="00C547BF">
        <w:rPr>
          <w:szCs w:val="20"/>
          <w:lang w:val="en-US"/>
        </w:rPr>
        <w:t>Carromero</w:t>
      </w:r>
      <w:proofErr w:type="spellEnd"/>
      <w:r w:rsidRPr="00C547BF">
        <w:rPr>
          <w:szCs w:val="20"/>
          <w:lang w:val="en-US"/>
        </w:rPr>
        <w:t xml:space="preserve"> returned to Spain on December 29, </w:t>
      </w:r>
      <w:proofErr w:type="gramStart"/>
      <w:r w:rsidRPr="00C547BF">
        <w:rPr>
          <w:szCs w:val="20"/>
          <w:lang w:val="en-US"/>
        </w:rPr>
        <w:t>2012</w:t>
      </w:r>
      <w:proofErr w:type="gramEnd"/>
      <w:r w:rsidRPr="00C547BF">
        <w:rPr>
          <w:szCs w:val="20"/>
          <w:lang w:val="en-US"/>
        </w:rPr>
        <w:t xml:space="preserve"> to serve the remainder of his sentence</w:t>
      </w:r>
      <w:r w:rsidRPr="00C547BF">
        <w:rPr>
          <w:rStyle w:val="Refdenotaalpie"/>
          <w:szCs w:val="20"/>
        </w:rPr>
        <w:footnoteReference w:id="95"/>
      </w:r>
      <w:r w:rsidRPr="00C547BF">
        <w:rPr>
          <w:szCs w:val="20"/>
          <w:lang w:val="en-US"/>
        </w:rPr>
        <w:t xml:space="preserve"> . Regarding Mr. </w:t>
      </w:r>
      <w:proofErr w:type="spellStart"/>
      <w:r w:rsidRPr="00C547BF">
        <w:rPr>
          <w:szCs w:val="20"/>
          <w:lang w:val="en-US"/>
        </w:rPr>
        <w:t>Carromero's</w:t>
      </w:r>
      <w:proofErr w:type="spellEnd"/>
      <w:r w:rsidRPr="00C547BF">
        <w:rPr>
          <w:szCs w:val="20"/>
          <w:lang w:val="en-US"/>
        </w:rPr>
        <w:t xml:space="preserve"> detention conditions in Cuba, he stated that he remained isolated and was only visited by state agents who interrogated him and urged him to plead guilty</w:t>
      </w:r>
      <w:r w:rsidRPr="00C547BF">
        <w:rPr>
          <w:rStyle w:val="Refdenotaalpie"/>
          <w:szCs w:val="20"/>
        </w:rPr>
        <w:footnoteReference w:id="96"/>
      </w:r>
      <w:r w:rsidRPr="00C547BF">
        <w:rPr>
          <w:szCs w:val="20"/>
          <w:lang w:val="en-US"/>
        </w:rPr>
        <w:t xml:space="preserve"> . He explained that he was initially held in a special cell for foreigners but that during that time he could not leave "not even to eat, not even to walk, not even for anything".</w:t>
      </w:r>
      <w:r w:rsidRPr="00C547BF">
        <w:rPr>
          <w:rStyle w:val="Refdenotaalpie"/>
          <w:szCs w:val="20"/>
        </w:rPr>
        <w:footnoteReference w:id="97"/>
      </w:r>
    </w:p>
    <w:p w14:paraId="2BA8307E" w14:textId="77777777" w:rsidR="00171179" w:rsidRPr="00C547BF" w:rsidRDefault="00171179" w:rsidP="00171179">
      <w:pPr>
        <w:suppressAutoHyphens/>
        <w:rPr>
          <w:szCs w:val="20"/>
          <w:lang w:val="en-US"/>
        </w:rPr>
      </w:pPr>
    </w:p>
    <w:p w14:paraId="6E590A91" w14:textId="6CE18445" w:rsidR="00171179" w:rsidRPr="00C547BF" w:rsidRDefault="006C3AD1" w:rsidP="00171179">
      <w:pPr>
        <w:tabs>
          <w:tab w:val="left" w:pos="360"/>
        </w:tabs>
        <w:suppressAutoHyphens/>
        <w:rPr>
          <w:b/>
          <w:bCs/>
          <w:szCs w:val="20"/>
          <w:lang w:val="en-US"/>
        </w:rPr>
      </w:pPr>
      <w:r w:rsidRPr="00C547BF">
        <w:rPr>
          <w:b/>
          <w:bCs/>
          <w:szCs w:val="20"/>
          <w:lang w:val="en-US"/>
        </w:rPr>
        <w:t>F</w:t>
      </w:r>
      <w:r w:rsidR="00171179" w:rsidRPr="00C547BF">
        <w:rPr>
          <w:b/>
          <w:bCs/>
          <w:szCs w:val="20"/>
          <w:lang w:val="en-US"/>
        </w:rPr>
        <w:t xml:space="preserve">. </w:t>
      </w:r>
      <w:r w:rsidR="00171179" w:rsidRPr="00C547BF">
        <w:rPr>
          <w:b/>
          <w:bCs/>
          <w:szCs w:val="20"/>
          <w:lang w:val="en-US"/>
        </w:rPr>
        <w:tab/>
        <w:t xml:space="preserve">On threats and harassment against family members </w:t>
      </w:r>
    </w:p>
    <w:p w14:paraId="68F750BD" w14:textId="77777777" w:rsidR="00171179" w:rsidRPr="00C547BF" w:rsidRDefault="00171179" w:rsidP="00171179">
      <w:pPr>
        <w:pStyle w:val="Textoindependiente"/>
        <w:spacing w:after="0"/>
        <w:rPr>
          <w:rFonts w:ascii="Cambria" w:hAnsi="Cambria"/>
          <w:i/>
          <w:sz w:val="20"/>
          <w:szCs w:val="20"/>
          <w:lang w:val="en-US"/>
        </w:rPr>
      </w:pPr>
    </w:p>
    <w:p w14:paraId="72E14A6F"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The IACHR takes note of information provided by the petitioner and testimonies related to acts of threats and harassment against Mr. </w:t>
      </w:r>
      <w:proofErr w:type="spellStart"/>
      <w:r w:rsidRPr="00C547BF">
        <w:rPr>
          <w:szCs w:val="20"/>
          <w:lang w:val="en-US"/>
        </w:rPr>
        <w:t>Payá's</w:t>
      </w:r>
      <w:proofErr w:type="spellEnd"/>
      <w:r w:rsidRPr="00C547BF">
        <w:rPr>
          <w:szCs w:val="20"/>
          <w:lang w:val="en-US"/>
        </w:rPr>
        <w:t xml:space="preserve"> family members. </w:t>
      </w:r>
    </w:p>
    <w:p w14:paraId="47F1741E" w14:textId="77777777" w:rsidR="00171179" w:rsidRPr="00C547BF" w:rsidRDefault="00171179" w:rsidP="00171179">
      <w:pPr>
        <w:pStyle w:val="Textoindependiente"/>
        <w:spacing w:after="0"/>
        <w:ind w:left="720"/>
        <w:jc w:val="both"/>
        <w:rPr>
          <w:rFonts w:ascii="Cambria" w:hAnsi="Cambria"/>
          <w:sz w:val="20"/>
          <w:szCs w:val="20"/>
          <w:lang w:val="en-US"/>
        </w:rPr>
      </w:pPr>
    </w:p>
    <w:p w14:paraId="15007D0A" w14:textId="77777777"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zCs w:val="20"/>
          <w:lang w:val="en-US"/>
        </w:rPr>
        <w:t xml:space="preserve">It was indicated that days after the death of Oswaldo </w:t>
      </w:r>
      <w:proofErr w:type="spellStart"/>
      <w:r w:rsidRPr="00C547BF">
        <w:rPr>
          <w:szCs w:val="20"/>
          <w:lang w:val="en-US"/>
        </w:rPr>
        <w:t>Payá</w:t>
      </w:r>
      <w:proofErr w:type="spellEnd"/>
      <w:r w:rsidRPr="00C547BF">
        <w:rPr>
          <w:szCs w:val="20"/>
          <w:lang w:val="en-US"/>
        </w:rPr>
        <w:t xml:space="preserve">, his family was the victim of another act of persecution and harassment by state agents. He explained that when they went to visit Harold Cepero's family in the province of Ciego de Avila, state agents waited for them at the bus station. He said that when they entered the </w:t>
      </w:r>
      <w:proofErr w:type="gramStart"/>
      <w:r w:rsidRPr="00C547BF">
        <w:rPr>
          <w:szCs w:val="20"/>
          <w:lang w:val="en-US"/>
        </w:rPr>
        <w:t>bus</w:t>
      </w:r>
      <w:proofErr w:type="gramEnd"/>
      <w:r w:rsidRPr="00C547BF">
        <w:rPr>
          <w:szCs w:val="20"/>
          <w:lang w:val="en-US"/>
        </w:rPr>
        <w:t xml:space="preserve"> they found on their seats a piece of paper with the names of the two of them written in ink, and that the bus closed its doors, even though there were still passengers to board, and began to circle around the terminal building at a certain speed, for no apparent reason. He added that the security agents continued to follow them during their stay in the town of Ciego de Avila</w:t>
      </w:r>
      <w:r w:rsidRPr="00C547BF">
        <w:rPr>
          <w:rStyle w:val="Refdenotaalpie"/>
          <w:szCs w:val="20"/>
        </w:rPr>
        <w:footnoteReference w:id="98"/>
      </w:r>
      <w:r w:rsidRPr="00C547BF">
        <w:rPr>
          <w:szCs w:val="20"/>
          <w:lang w:val="en-US"/>
        </w:rPr>
        <w:t xml:space="preserve"> .</w:t>
      </w:r>
    </w:p>
    <w:p w14:paraId="4EC9AFD0" w14:textId="77777777" w:rsidR="00171179" w:rsidRPr="00C547BF" w:rsidRDefault="00171179" w:rsidP="00171179">
      <w:pPr>
        <w:rPr>
          <w:spacing w:val="-10"/>
          <w:szCs w:val="20"/>
          <w:lang w:val="en-US"/>
        </w:rPr>
      </w:pPr>
    </w:p>
    <w:p w14:paraId="2A6AADD5" w14:textId="5F591FEF" w:rsidR="00171179" w:rsidRPr="00C547BF" w:rsidRDefault="00171179" w:rsidP="00563529">
      <w:pPr>
        <w:numPr>
          <w:ilvl w:val="0"/>
          <w:numId w:val="62"/>
        </w:numPr>
        <w:tabs>
          <w:tab w:val="clear" w:pos="720"/>
          <w:tab w:val="num" w:pos="360"/>
        </w:tabs>
        <w:suppressAutoHyphens/>
        <w:spacing w:after="0"/>
        <w:ind w:firstLine="0"/>
        <w:rPr>
          <w:szCs w:val="20"/>
          <w:lang w:val="en-US"/>
        </w:rPr>
      </w:pPr>
      <w:r w:rsidRPr="00C547BF">
        <w:rPr>
          <w:spacing w:val="-10"/>
          <w:szCs w:val="20"/>
          <w:lang w:val="en-US"/>
        </w:rPr>
        <w:t xml:space="preserve">The petitioner explained that </w:t>
      </w:r>
      <w:r w:rsidRPr="00C547BF">
        <w:rPr>
          <w:szCs w:val="20"/>
          <w:lang w:val="en-US"/>
        </w:rPr>
        <w:t xml:space="preserve">the next of kin have been subjected to harassment by the government through telephone surveillance, intimidating phone calls, and following by official vehicles. </w:t>
      </w:r>
      <w:r w:rsidRPr="00C547BF">
        <w:rPr>
          <w:spacing w:val="1"/>
          <w:szCs w:val="20"/>
          <w:lang w:val="en-US"/>
        </w:rPr>
        <w:t xml:space="preserve">The petitioner explained that these events increased after the death of Mr. </w:t>
      </w:r>
      <w:proofErr w:type="spellStart"/>
      <w:r w:rsidRPr="00C547BF">
        <w:rPr>
          <w:spacing w:val="1"/>
          <w:szCs w:val="20"/>
          <w:lang w:val="en-US"/>
        </w:rPr>
        <w:t>Payá</w:t>
      </w:r>
      <w:proofErr w:type="spellEnd"/>
      <w:r w:rsidRPr="00C547BF">
        <w:rPr>
          <w:spacing w:val="1"/>
          <w:szCs w:val="20"/>
          <w:lang w:val="en-US"/>
        </w:rPr>
        <w:t xml:space="preserve"> and</w:t>
      </w:r>
      <w:proofErr w:type="gramStart"/>
      <w:r w:rsidRPr="00C547BF">
        <w:rPr>
          <w:spacing w:val="1"/>
          <w:szCs w:val="20"/>
          <w:lang w:val="en-US"/>
        </w:rPr>
        <w:t>, in particular, due</w:t>
      </w:r>
      <w:proofErr w:type="gramEnd"/>
      <w:r w:rsidRPr="00C547BF">
        <w:rPr>
          <w:spacing w:val="1"/>
          <w:szCs w:val="20"/>
          <w:lang w:val="en-US"/>
        </w:rPr>
        <w:t xml:space="preserve"> to their rejection of the official version of what </w:t>
      </w:r>
      <w:r w:rsidR="00CD76E9" w:rsidRPr="00C547BF">
        <w:rPr>
          <w:spacing w:val="1"/>
          <w:szCs w:val="20"/>
          <w:lang w:val="en-US"/>
        </w:rPr>
        <w:t>happened,</w:t>
      </w:r>
      <w:r w:rsidRPr="00C547BF">
        <w:rPr>
          <w:spacing w:val="1"/>
          <w:szCs w:val="20"/>
          <w:lang w:val="en-US"/>
        </w:rPr>
        <w:t xml:space="preserve"> and the investigation carried out</w:t>
      </w:r>
      <w:r w:rsidRPr="00C547BF">
        <w:rPr>
          <w:rStyle w:val="Refdenotaalpie"/>
          <w:szCs w:val="20"/>
        </w:rPr>
        <w:footnoteReference w:id="99"/>
      </w:r>
      <w:r w:rsidRPr="00C547BF">
        <w:rPr>
          <w:spacing w:val="1"/>
          <w:szCs w:val="20"/>
          <w:lang w:val="en-US"/>
        </w:rPr>
        <w:t xml:space="preserve"> . He added that they were able to identify that some of the numbers that made calls or sent threatening messages came from </w:t>
      </w:r>
      <w:r w:rsidRPr="00C547BF">
        <w:rPr>
          <w:szCs w:val="20"/>
          <w:lang w:val="en-US"/>
        </w:rPr>
        <w:t xml:space="preserve">the armed forces, the </w:t>
      </w:r>
      <w:proofErr w:type="gramStart"/>
      <w:r w:rsidRPr="00C547BF">
        <w:rPr>
          <w:szCs w:val="20"/>
          <w:lang w:val="en-US"/>
        </w:rPr>
        <w:t>police</w:t>
      </w:r>
      <w:proofErr w:type="gramEnd"/>
      <w:r w:rsidRPr="00C547BF">
        <w:rPr>
          <w:szCs w:val="20"/>
          <w:lang w:val="en-US"/>
        </w:rPr>
        <w:t xml:space="preserve"> or </w:t>
      </w:r>
      <w:r w:rsidRPr="00C547BF">
        <w:rPr>
          <w:szCs w:val="20"/>
          <w:lang w:val="en-US"/>
        </w:rPr>
        <w:lastRenderedPageBreak/>
        <w:t xml:space="preserve">the Ministry of the Interior, that is to say, from the Cuban State Security. Since then, the press has maintained a regime of silence with the </w:t>
      </w:r>
      <w:proofErr w:type="spellStart"/>
      <w:r w:rsidRPr="00C547BF">
        <w:rPr>
          <w:szCs w:val="20"/>
          <w:lang w:val="en-US"/>
        </w:rPr>
        <w:t>Payá</w:t>
      </w:r>
      <w:proofErr w:type="spellEnd"/>
      <w:r w:rsidRPr="00C547BF">
        <w:rPr>
          <w:szCs w:val="20"/>
          <w:lang w:val="en-US"/>
        </w:rPr>
        <w:t xml:space="preserve"> Acevedo family despite all the attention their cause has attracted in the international press</w:t>
      </w:r>
      <w:r w:rsidRPr="00C547BF">
        <w:rPr>
          <w:rStyle w:val="Refdenotaalpie"/>
          <w:szCs w:val="20"/>
        </w:rPr>
        <w:footnoteReference w:id="100"/>
      </w:r>
      <w:r w:rsidRPr="00C547BF">
        <w:rPr>
          <w:szCs w:val="20"/>
          <w:lang w:val="en-US"/>
        </w:rPr>
        <w:t xml:space="preserve"> .</w:t>
      </w:r>
    </w:p>
    <w:p w14:paraId="599B941A" w14:textId="77777777" w:rsidR="00171179" w:rsidRPr="00C547BF" w:rsidRDefault="00171179" w:rsidP="00171179">
      <w:pPr>
        <w:autoSpaceDE w:val="0"/>
        <w:autoSpaceDN w:val="0"/>
        <w:adjustRightInd w:val="0"/>
        <w:rPr>
          <w:szCs w:val="20"/>
          <w:lang w:val="en-US"/>
        </w:rPr>
      </w:pPr>
    </w:p>
    <w:p w14:paraId="408D8D7A" w14:textId="77777777" w:rsidR="00171179" w:rsidRPr="00C547BF" w:rsidRDefault="00171179" w:rsidP="00563529">
      <w:pPr>
        <w:pStyle w:val="Ttulo1"/>
        <w:numPr>
          <w:ilvl w:val="0"/>
          <w:numId w:val="3"/>
        </w:numPr>
        <w:tabs>
          <w:tab w:val="left" w:pos="360"/>
        </w:tabs>
        <w:ind w:left="0" w:firstLine="0"/>
      </w:pPr>
      <w:bookmarkStart w:id="33" w:name="_Toc77597629"/>
      <w:bookmarkStart w:id="34" w:name="_Toc110398989"/>
      <w:bookmarkStart w:id="35" w:name="_Toc136860059"/>
      <w:r w:rsidRPr="00C547BF">
        <w:t>ANALYSIS OF LAW</w:t>
      </w:r>
      <w:bookmarkEnd w:id="33"/>
      <w:bookmarkEnd w:id="34"/>
      <w:bookmarkEnd w:id="35"/>
    </w:p>
    <w:p w14:paraId="1179479B" w14:textId="77777777" w:rsidR="00171179" w:rsidRPr="00C547BF" w:rsidRDefault="00171179" w:rsidP="00171179">
      <w:pPr>
        <w:rPr>
          <w:rFonts w:asciiTheme="majorHAnsi" w:hAnsiTheme="majorHAnsi"/>
          <w:szCs w:val="20"/>
          <w:lang w:val="es-CO"/>
        </w:rPr>
      </w:pPr>
    </w:p>
    <w:p w14:paraId="74BCC751" w14:textId="77777777" w:rsidR="00171179" w:rsidRPr="00C547BF" w:rsidRDefault="00171179" w:rsidP="00563529">
      <w:pPr>
        <w:numPr>
          <w:ilvl w:val="0"/>
          <w:numId w:val="62"/>
        </w:numPr>
        <w:tabs>
          <w:tab w:val="clear" w:pos="720"/>
          <w:tab w:val="num" w:pos="360"/>
        </w:tabs>
        <w:suppressAutoHyphens/>
        <w:spacing w:after="0"/>
        <w:ind w:firstLine="0"/>
        <w:rPr>
          <w:color w:val="000000"/>
          <w:szCs w:val="20"/>
          <w:lang w:val="en-US"/>
        </w:rPr>
      </w:pPr>
      <w:r w:rsidRPr="00C547BF">
        <w:rPr>
          <w:rFonts w:eastAsia="Times New Roman"/>
          <w:bCs/>
          <w:color w:val="000000"/>
          <w:szCs w:val="20"/>
          <w:lang w:val="en-US"/>
        </w:rPr>
        <w:t>Preliminarily, the Commission recalls that Article 20 of the Commission's Statute and Article 23 of its Rules of Procedure authorize it to examine alleged violations of the American Declaration by OAS Member States. The IACHR emphasizes that the American Declaration is a source of legal obligations based on the commitment of the States to promote the defense of human rights. This is in accordance with the provisions and definition of the OAS Charter</w:t>
      </w:r>
      <w:bookmarkStart w:id="36" w:name="_Ref526241249"/>
      <w:r w:rsidRPr="00C547BF">
        <w:rPr>
          <w:rStyle w:val="Refdenotaalpie"/>
          <w:rFonts w:eastAsia="Times New Roman"/>
          <w:szCs w:val="20"/>
        </w:rPr>
        <w:footnoteReference w:id="101"/>
      </w:r>
      <w:bookmarkEnd w:id="36"/>
      <w:r w:rsidRPr="00C547BF">
        <w:rPr>
          <w:rFonts w:eastAsia="Times New Roman"/>
          <w:bCs/>
          <w:color w:val="000000"/>
          <w:szCs w:val="20"/>
          <w:lang w:val="en-US"/>
        </w:rPr>
        <w:t xml:space="preserve"> . </w:t>
      </w:r>
    </w:p>
    <w:p w14:paraId="09376F9B" w14:textId="77777777" w:rsidR="00171179" w:rsidRPr="00C547BF" w:rsidRDefault="00171179" w:rsidP="00171179">
      <w:pPr>
        <w:tabs>
          <w:tab w:val="left" w:pos="426"/>
        </w:tabs>
        <w:rPr>
          <w:color w:val="000000"/>
          <w:szCs w:val="20"/>
          <w:lang w:val="en-US"/>
        </w:rPr>
      </w:pPr>
    </w:p>
    <w:p w14:paraId="2EC1467B" w14:textId="77777777" w:rsidR="00171179" w:rsidRPr="00C547BF" w:rsidRDefault="00171179" w:rsidP="00563529">
      <w:pPr>
        <w:numPr>
          <w:ilvl w:val="0"/>
          <w:numId w:val="62"/>
        </w:numPr>
        <w:tabs>
          <w:tab w:val="clear" w:pos="720"/>
          <w:tab w:val="num" w:pos="360"/>
        </w:tabs>
        <w:suppressAutoHyphens/>
        <w:spacing w:after="0"/>
        <w:ind w:firstLine="0"/>
        <w:rPr>
          <w:color w:val="000000"/>
          <w:szCs w:val="20"/>
          <w:lang w:val="en-US"/>
        </w:rPr>
      </w:pPr>
      <w:r w:rsidRPr="00C547BF">
        <w:rPr>
          <w:rFonts w:eastAsia="Times New Roman"/>
          <w:bCs/>
          <w:color w:val="000000"/>
          <w:szCs w:val="20"/>
          <w:lang w:val="en-US"/>
        </w:rPr>
        <w:t xml:space="preserve">In addition, the </w:t>
      </w:r>
      <w:r w:rsidRPr="00C547BF">
        <w:rPr>
          <w:rFonts w:eastAsia="Calibri"/>
          <w:color w:val="000000"/>
          <w:lang w:val="en-US"/>
        </w:rPr>
        <w:t xml:space="preserve">Commission </w:t>
      </w:r>
      <w:r w:rsidRPr="00C547BF">
        <w:rPr>
          <w:rFonts w:eastAsia="Calibri"/>
          <w:color w:val="000000"/>
          <w:szCs w:val="20"/>
          <w:lang w:val="en-US"/>
        </w:rPr>
        <w:t>has held that it is necessary to consider the provisions of the American Declaration in the broader context of the inter-American system and the international human rights system, in light of developments that have occurred in the field of international human rights law since the adoption of the Declaration and in relation to other relevant rules of international law applicable to Member States against whom complaints of violations of the Declaration are properly brought</w:t>
      </w:r>
      <w:r w:rsidRPr="00C547BF">
        <w:rPr>
          <w:color w:val="000000"/>
          <w:szCs w:val="20"/>
          <w:vertAlign w:val="superscript"/>
        </w:rPr>
        <w:footnoteReference w:id="102"/>
      </w:r>
      <w:r w:rsidRPr="00C547BF">
        <w:rPr>
          <w:rFonts w:eastAsia="Calibri"/>
          <w:color w:val="000000"/>
          <w:szCs w:val="20"/>
          <w:lang w:val="en-US"/>
        </w:rPr>
        <w:t xml:space="preserve"> . Developments in the body of international human rights law relevant to the interpretation and application of the American Declaration are also reflected in provisions of other current international and regional human rights instruments, in particular the American Convention on Human Rights, which, in many cases, could be considered to represent a reliable expression of the fundamental principles embodied in the American Declaration. While the Commission clearly does not apply the American Convention to Member States that are not parties to it, its consideration of legal standards relating to migrants' rights in the application of the provisions of the Convention may well be relevant in interpreting the Declaration</w:t>
      </w:r>
      <w:r w:rsidRPr="00C547BF">
        <w:rPr>
          <w:rFonts w:eastAsia="Calibri"/>
          <w:color w:val="000000"/>
          <w:szCs w:val="20"/>
          <w:vertAlign w:val="superscript"/>
        </w:rPr>
        <w:footnoteReference w:id="103"/>
      </w:r>
      <w:r w:rsidRPr="00C547BF">
        <w:rPr>
          <w:rFonts w:eastAsia="Calibri"/>
          <w:color w:val="000000"/>
          <w:szCs w:val="20"/>
          <w:lang w:val="en-US"/>
        </w:rPr>
        <w:t xml:space="preserve"> .</w:t>
      </w:r>
    </w:p>
    <w:p w14:paraId="47B9A6DD" w14:textId="77777777" w:rsidR="00171179" w:rsidRPr="00C547BF" w:rsidRDefault="00171179" w:rsidP="00171179">
      <w:pPr>
        <w:rPr>
          <w:szCs w:val="20"/>
          <w:lang w:val="en-US"/>
        </w:rPr>
      </w:pPr>
    </w:p>
    <w:p w14:paraId="38433F62" w14:textId="77777777" w:rsidR="00171179" w:rsidRPr="00C547BF" w:rsidRDefault="00171179" w:rsidP="00563529">
      <w:pPr>
        <w:pStyle w:val="Ttulo2"/>
        <w:numPr>
          <w:ilvl w:val="0"/>
          <w:numId w:val="65"/>
        </w:numPr>
        <w:tabs>
          <w:tab w:val="num" w:pos="720"/>
        </w:tabs>
        <w:spacing w:before="0"/>
        <w:ind w:left="360"/>
        <w:rPr>
          <w:lang w:val="en-US"/>
        </w:rPr>
      </w:pPr>
      <w:bookmarkStart w:id="37" w:name="_Toc136860060"/>
      <w:r w:rsidRPr="00C547BF">
        <w:rPr>
          <w:rFonts w:eastAsia="SimSun"/>
          <w:lang w:val="en-US"/>
        </w:rPr>
        <w:t xml:space="preserve">Right to life, liberty, </w:t>
      </w:r>
      <w:proofErr w:type="gramStart"/>
      <w:r w:rsidRPr="00C547BF">
        <w:rPr>
          <w:rFonts w:eastAsia="SimSun"/>
          <w:lang w:val="en-US"/>
        </w:rPr>
        <w:t>security</w:t>
      </w:r>
      <w:proofErr w:type="gramEnd"/>
      <w:r w:rsidRPr="00C547BF">
        <w:rPr>
          <w:rFonts w:eastAsia="SimSun"/>
          <w:lang w:val="en-US"/>
        </w:rPr>
        <w:t xml:space="preserve"> and integrity of the person; right to freedom of research, opinion, expression and dissemination; right to protection of honor, personal reputation and private and family life; and right of association (Articles I, IV, V and XXII of the American Declaration</w:t>
      </w:r>
      <w:r w:rsidRPr="00C547BF">
        <w:rPr>
          <w:lang w:val="en-US"/>
        </w:rPr>
        <w:t>).</w:t>
      </w:r>
      <w:bookmarkEnd w:id="37"/>
      <w:r w:rsidRPr="00C547BF">
        <w:rPr>
          <w:lang w:val="en-US"/>
        </w:rPr>
        <w:t xml:space="preserve"> </w:t>
      </w:r>
    </w:p>
    <w:p w14:paraId="06E356F1" w14:textId="77777777" w:rsidR="00171179" w:rsidRPr="00C547BF" w:rsidRDefault="00171179" w:rsidP="00171179">
      <w:pPr>
        <w:rPr>
          <w:lang w:val="en-US"/>
        </w:rPr>
      </w:pPr>
    </w:p>
    <w:p w14:paraId="5A8B01D6" w14:textId="77777777" w:rsidR="00171179" w:rsidRPr="00C547BF" w:rsidRDefault="00171179" w:rsidP="00563529">
      <w:pPr>
        <w:pStyle w:val="parrafos"/>
        <w:numPr>
          <w:ilvl w:val="0"/>
          <w:numId w:val="67"/>
        </w:numPr>
        <w:tabs>
          <w:tab w:val="clear" w:pos="360"/>
          <w:tab w:val="left" w:pos="0"/>
        </w:tabs>
        <w:ind w:left="360"/>
        <w:rPr>
          <w:rFonts w:ascii="Cambria" w:hAnsi="Cambria"/>
          <w:b/>
          <w:bCs/>
          <w:lang w:val="en-US"/>
        </w:rPr>
      </w:pPr>
      <w:r w:rsidRPr="00C547BF">
        <w:rPr>
          <w:rFonts w:ascii="Cambria" w:hAnsi="Cambria"/>
          <w:b/>
          <w:bCs/>
          <w:lang w:val="en-US"/>
        </w:rPr>
        <w:t xml:space="preserve">General considerations on duties of respect and </w:t>
      </w:r>
      <w:proofErr w:type="gramStart"/>
      <w:r w:rsidRPr="00C547BF">
        <w:rPr>
          <w:rFonts w:ascii="Cambria" w:hAnsi="Cambria"/>
          <w:b/>
          <w:bCs/>
          <w:lang w:val="en-US"/>
        </w:rPr>
        <w:t>guarantees</w:t>
      </w:r>
      <w:proofErr w:type="gramEnd"/>
    </w:p>
    <w:p w14:paraId="21D267FA" w14:textId="77777777" w:rsidR="00171179" w:rsidRPr="00C547BF" w:rsidRDefault="00171179" w:rsidP="00EE7E21">
      <w:pPr>
        <w:pStyle w:val="parrafos"/>
        <w:ind w:left="0" w:firstLine="0"/>
        <w:rPr>
          <w:rFonts w:ascii="Cambria" w:hAnsi="Cambria"/>
          <w:lang w:val="en-US"/>
        </w:rPr>
      </w:pPr>
    </w:p>
    <w:p w14:paraId="1FEBB79E" w14:textId="030295A9"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The Commission emphasizes that the international responsibility of the State may be based on acts or omissions of any power or organ of the State that violate the American </w:t>
      </w:r>
      <w:proofErr w:type="gramStart"/>
      <w:r w:rsidRPr="00C547BF">
        <w:rPr>
          <w:rFonts w:ascii="Cambria" w:hAnsi="Cambria"/>
          <w:lang w:val="en-US"/>
        </w:rPr>
        <w:t>Declaration, and</w:t>
      </w:r>
      <w:proofErr w:type="gramEnd"/>
      <w:r w:rsidRPr="00C547BF">
        <w:rPr>
          <w:rFonts w:ascii="Cambria" w:hAnsi="Cambria"/>
          <w:lang w:val="en-US"/>
        </w:rPr>
        <w:t xml:space="preserve"> is generated immediately with the international wrong attributed. In these cases, it is not necessary to determine, as in domestic criminal law, the guilt of the perpetrators or their intent, nor is it necessary to identify individually the agents to whom the violations are attributed</w:t>
      </w:r>
      <w:r w:rsidRPr="00C547BF">
        <w:rPr>
          <w:vertAlign w:val="superscript"/>
          <w:lang w:val="en-US"/>
        </w:rPr>
        <w:footnoteReference w:id="104"/>
      </w:r>
      <w:r w:rsidRPr="00C547BF">
        <w:rPr>
          <w:rFonts w:ascii="Cambria" w:hAnsi="Cambria"/>
          <w:lang w:val="en-US"/>
        </w:rPr>
        <w:t xml:space="preserve">. It is sufficient to demonstrate "that there have been actions </w:t>
      </w:r>
      <w:r w:rsidRPr="00C547BF">
        <w:rPr>
          <w:rFonts w:ascii="Cambria" w:hAnsi="Cambria"/>
          <w:lang w:val="en-US"/>
        </w:rPr>
        <w:lastRenderedPageBreak/>
        <w:t xml:space="preserve">or omissions that have allowed the perpetration of these violations or that there is an obligation of the State that has been breached by it". </w:t>
      </w:r>
      <w:r w:rsidRPr="00C547BF">
        <w:rPr>
          <w:vertAlign w:val="superscript"/>
          <w:lang w:val="en-US"/>
        </w:rPr>
        <w:footnoteReference w:id="105"/>
      </w:r>
    </w:p>
    <w:p w14:paraId="30EFDB0D" w14:textId="77777777" w:rsidR="00171179" w:rsidRPr="00C547BF" w:rsidRDefault="00171179" w:rsidP="00EE7E21">
      <w:pPr>
        <w:pStyle w:val="parrafos"/>
        <w:ind w:left="0" w:firstLine="0"/>
        <w:rPr>
          <w:rFonts w:ascii="Cambria" w:hAnsi="Cambria"/>
          <w:lang w:val="en-US"/>
        </w:rPr>
      </w:pPr>
    </w:p>
    <w:p w14:paraId="7CB35377"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Likewise, the IACHR has defined the contents of the obligations to respect and to guarantee. Regarding the obligation to respect, a failure to comply with this duty occurs when a </w:t>
      </w:r>
      <w:proofErr w:type="gramStart"/>
      <w:r w:rsidRPr="00C547BF">
        <w:rPr>
          <w:rFonts w:ascii="Cambria" w:hAnsi="Cambria"/>
          <w:lang w:val="en-US"/>
        </w:rPr>
        <w:t>State</w:t>
      </w:r>
      <w:proofErr w:type="gramEnd"/>
      <w:r w:rsidRPr="00C547BF">
        <w:rPr>
          <w:rFonts w:ascii="Cambria" w:hAnsi="Cambria"/>
          <w:lang w:val="en-US"/>
        </w:rPr>
        <w:t xml:space="preserve"> organ or official violates any of the rights established in the instrument to be analyzed. The international responsibility of a State may also be engaged either because the violation is perpetrated by its own agents or -although in principle they are not directly attributable to the State because they were committed by a private individual- when it has not been possible to determine who the perpetrator was due to the State's lack of diligence in reasonably preventing the violation. Thus, what is important is to determine whether the unlawful act has had the participation, support or tolerance of State agents or has resulted from the State's failure to comply with its obligation to reasonably prevent human rights violations, to investigate seriously </w:t>
      </w:r>
      <w:proofErr w:type="gramStart"/>
      <w:r w:rsidRPr="00C547BF">
        <w:rPr>
          <w:rFonts w:ascii="Cambria" w:hAnsi="Cambria"/>
          <w:lang w:val="en-US"/>
        </w:rPr>
        <w:t>in order to</w:t>
      </w:r>
      <w:proofErr w:type="gramEnd"/>
      <w:r w:rsidRPr="00C547BF">
        <w:rPr>
          <w:rFonts w:ascii="Cambria" w:hAnsi="Cambria"/>
          <w:lang w:val="en-US"/>
        </w:rPr>
        <w:t xml:space="preserve"> identify and punish those responsible and to adequately compensate the victim or his next of kin for the harm caused</w:t>
      </w:r>
      <w:r w:rsidRPr="00C547BF">
        <w:rPr>
          <w:rFonts w:ascii="Cambria" w:hAnsi="Cambria"/>
          <w:vertAlign w:val="superscript"/>
          <w:lang w:val="en-US"/>
        </w:rPr>
        <w:footnoteReference w:id="106"/>
      </w:r>
      <w:r w:rsidRPr="00C547BF">
        <w:rPr>
          <w:rFonts w:ascii="Cambria" w:hAnsi="Cambria"/>
          <w:lang w:val="en-US"/>
        </w:rPr>
        <w:t xml:space="preserve"> .</w:t>
      </w:r>
    </w:p>
    <w:p w14:paraId="069602F5" w14:textId="77777777" w:rsidR="00171179" w:rsidRPr="00C547BF" w:rsidRDefault="00171179" w:rsidP="00EE7E21">
      <w:pPr>
        <w:pStyle w:val="parrafos"/>
        <w:ind w:left="0" w:firstLine="0"/>
        <w:rPr>
          <w:rFonts w:ascii="Cambria" w:hAnsi="Cambria"/>
          <w:lang w:val="en-US"/>
        </w:rPr>
      </w:pPr>
    </w:p>
    <w:p w14:paraId="43FC14E5"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The obligation to guarantee implies the duty of States to organize the entire governmental apparatus and, in general, all the structures through which the exercise of public power is manifested, in such a way that they are capable of legally ensuring the free and full exercise of human rights. </w:t>
      </w:r>
      <w:proofErr w:type="gramStart"/>
      <w:r w:rsidRPr="00C547BF">
        <w:rPr>
          <w:rFonts w:ascii="Cambria" w:hAnsi="Cambria"/>
          <w:lang w:val="en-US"/>
        </w:rPr>
        <w:t>As a consequence of</w:t>
      </w:r>
      <w:proofErr w:type="gramEnd"/>
      <w:r w:rsidRPr="00C547BF">
        <w:rPr>
          <w:rFonts w:ascii="Cambria" w:hAnsi="Cambria"/>
          <w:lang w:val="en-US"/>
        </w:rPr>
        <w:t xml:space="preserve"> this obligation, States must prevent, investigate and punish any violation and also seek the reestablishment, if possible, of the violated right and, if necessary, the reparation of the damages caused by the violation of human rights</w:t>
      </w:r>
      <w:r w:rsidRPr="00C547BF">
        <w:rPr>
          <w:rFonts w:ascii="Cambria" w:hAnsi="Cambria"/>
          <w:vertAlign w:val="superscript"/>
          <w:lang w:val="en-US"/>
        </w:rPr>
        <w:footnoteReference w:id="107"/>
      </w:r>
      <w:r w:rsidRPr="00C547BF">
        <w:rPr>
          <w:rFonts w:ascii="Cambria" w:hAnsi="Cambria"/>
          <w:lang w:val="en-US"/>
        </w:rPr>
        <w:t xml:space="preserve"> .</w:t>
      </w:r>
    </w:p>
    <w:p w14:paraId="38BA6F42" w14:textId="77777777" w:rsidR="00171179" w:rsidRPr="00C547BF" w:rsidRDefault="00171179" w:rsidP="00171179">
      <w:pPr>
        <w:pStyle w:val="parrafos"/>
        <w:rPr>
          <w:lang w:val="en-US"/>
        </w:rPr>
      </w:pPr>
    </w:p>
    <w:p w14:paraId="634AF730" w14:textId="77777777" w:rsidR="00171179" w:rsidRPr="00C547BF" w:rsidRDefault="00171179" w:rsidP="00563529">
      <w:pPr>
        <w:pStyle w:val="Ttulo3"/>
        <w:numPr>
          <w:ilvl w:val="0"/>
          <w:numId w:val="67"/>
        </w:numPr>
        <w:tabs>
          <w:tab w:val="left" w:pos="0"/>
          <w:tab w:val="num" w:pos="360"/>
          <w:tab w:val="num" w:pos="720"/>
        </w:tabs>
        <w:spacing w:before="0"/>
        <w:ind w:left="360"/>
        <w:rPr>
          <w:lang w:val="en-US"/>
        </w:rPr>
      </w:pPr>
      <w:bookmarkStart w:id="38" w:name="_Toc99725739"/>
      <w:bookmarkStart w:id="39" w:name="_Toc136860061"/>
      <w:r w:rsidRPr="00C547BF">
        <w:rPr>
          <w:lang w:val="en-US"/>
        </w:rPr>
        <w:t>General considerations on State obligations regarding</w:t>
      </w:r>
      <w:bookmarkEnd w:id="38"/>
      <w:r w:rsidRPr="00C547BF">
        <w:rPr>
          <w:lang w:val="en-US"/>
        </w:rPr>
        <w:t xml:space="preserve"> to human rights defenders.</w:t>
      </w:r>
      <w:bookmarkEnd w:id="39"/>
    </w:p>
    <w:p w14:paraId="4DF9DFD4" w14:textId="77777777" w:rsidR="00171179" w:rsidRPr="00C547BF" w:rsidRDefault="00171179" w:rsidP="00171179">
      <w:pPr>
        <w:pStyle w:val="parrafos"/>
        <w:tabs>
          <w:tab w:val="clear" w:pos="360"/>
        </w:tabs>
        <w:rPr>
          <w:rFonts w:ascii="Cambria" w:hAnsi="Cambria"/>
          <w:color w:val="auto"/>
          <w:lang w:val="en-US"/>
        </w:rPr>
      </w:pPr>
    </w:p>
    <w:p w14:paraId="060C975E" w14:textId="0F266DF4"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With respect to human rights defenders, the IACHR has pointed out that acts of violence, </w:t>
      </w:r>
      <w:proofErr w:type="gramStart"/>
      <w:r w:rsidRPr="00C547BF">
        <w:rPr>
          <w:rFonts w:ascii="Cambria" w:hAnsi="Cambria"/>
          <w:lang w:val="en-US"/>
        </w:rPr>
        <w:t>threats</w:t>
      </w:r>
      <w:proofErr w:type="gramEnd"/>
      <w:r w:rsidRPr="00C547BF">
        <w:rPr>
          <w:rFonts w:ascii="Cambria" w:hAnsi="Cambria"/>
          <w:lang w:val="en-US"/>
        </w:rPr>
        <w:t xml:space="preserve"> and harassment against them are usually aimed at diminishing their physical and mental capacity, as well as intimidating them to prevent them from continuing their work, which leads to an affectation of their right to personal integrity</w:t>
      </w:r>
      <w:r w:rsidRPr="00C547BF">
        <w:rPr>
          <w:rFonts w:ascii="Cambria" w:hAnsi="Cambria"/>
          <w:vertAlign w:val="superscript"/>
          <w:lang w:val="en-US"/>
        </w:rPr>
        <w:footnoteReference w:id="108"/>
      </w:r>
      <w:r w:rsidRPr="00C547BF">
        <w:rPr>
          <w:rFonts w:ascii="Cambria" w:hAnsi="Cambria"/>
          <w:lang w:val="en-US"/>
        </w:rPr>
        <w:t>. Thus, States may also incur international responsibility by not adopting reasonable measures to prevent these attacks against human rights defenders</w:t>
      </w:r>
      <w:r w:rsidRPr="00C547BF">
        <w:rPr>
          <w:rFonts w:ascii="Cambria" w:hAnsi="Cambria"/>
          <w:vertAlign w:val="superscript"/>
          <w:lang w:val="en-US"/>
        </w:rPr>
        <w:footnoteReference w:id="109"/>
      </w:r>
      <w:r w:rsidRPr="00C547BF">
        <w:rPr>
          <w:rFonts w:ascii="Cambria" w:hAnsi="Cambria"/>
          <w:lang w:val="en-US"/>
        </w:rPr>
        <w:t>. In this sense, the Commission has emphasized that "the State's obligation is not limited to providing material measures to protect (...) [human rights defenders], but also entails the obligation to act on the structural causes that affect [their] security"</w:t>
      </w:r>
      <w:r w:rsidRPr="00C547BF">
        <w:rPr>
          <w:rFonts w:ascii="Cambria" w:hAnsi="Cambria"/>
          <w:vertAlign w:val="superscript"/>
          <w:lang w:val="en-US"/>
        </w:rPr>
        <w:footnoteReference w:id="110"/>
      </w:r>
      <w:r w:rsidRPr="00C547BF">
        <w:rPr>
          <w:rFonts w:ascii="Cambria" w:hAnsi="Cambria"/>
          <w:lang w:val="en-US"/>
        </w:rPr>
        <w:t xml:space="preserve"> . </w:t>
      </w:r>
    </w:p>
    <w:p w14:paraId="2C17B256" w14:textId="77777777" w:rsidR="00171179" w:rsidRPr="00C547BF" w:rsidRDefault="00171179" w:rsidP="00171179">
      <w:pPr>
        <w:pStyle w:val="parrafos"/>
        <w:tabs>
          <w:tab w:val="num" w:pos="360"/>
        </w:tabs>
        <w:rPr>
          <w:rFonts w:ascii="Cambria" w:hAnsi="Cambria"/>
          <w:lang w:val="en-US"/>
        </w:rPr>
      </w:pPr>
    </w:p>
    <w:p w14:paraId="24216822"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The Commission emphasizes that compliance with the duty to create the necessary conditions for the effective enjoyment of the rights established in the American Declaration is intrinsically linked to the protection and recognition of the importance of the role played by human rights defenders. This is because their work is fundamental to the strengthening of democracy and the rule of law. </w:t>
      </w:r>
    </w:p>
    <w:p w14:paraId="30A4A07E" w14:textId="77777777" w:rsidR="00171179" w:rsidRPr="00C547BF" w:rsidRDefault="00171179" w:rsidP="008A2B6A">
      <w:pPr>
        <w:pStyle w:val="parrafos"/>
        <w:tabs>
          <w:tab w:val="num" w:pos="360"/>
        </w:tabs>
        <w:rPr>
          <w:rFonts w:ascii="Cambria" w:hAnsi="Cambria"/>
          <w:lang w:val="en-US"/>
        </w:rPr>
      </w:pPr>
    </w:p>
    <w:p w14:paraId="36ADC7D5"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The monitoring, denunciation and education activities carried out by</w:t>
      </w:r>
      <w:r w:rsidRPr="00C547BF">
        <w:rPr>
          <w:lang w:val="en-US"/>
        </w:rPr>
        <w:t xml:space="preserve"> </w:t>
      </w:r>
      <w:r w:rsidRPr="00C547BF">
        <w:rPr>
          <w:rFonts w:ascii="Cambria" w:hAnsi="Cambria"/>
          <w:lang w:val="en-US"/>
        </w:rPr>
        <w:t xml:space="preserve">human </w:t>
      </w:r>
      <w:r w:rsidRPr="00C547BF">
        <w:rPr>
          <w:lang w:val="en-US"/>
        </w:rPr>
        <w:t xml:space="preserve">rights defenders </w:t>
      </w:r>
      <w:r w:rsidRPr="00C547BF">
        <w:rPr>
          <w:rFonts w:ascii="Cambria" w:hAnsi="Cambria"/>
          <w:lang w:val="en-US"/>
        </w:rPr>
        <w:t>make an essential contribution to the observance of human rights, as they act as guarantors against impunity</w:t>
      </w:r>
      <w:r w:rsidRPr="00C547BF">
        <w:rPr>
          <w:rStyle w:val="Refdenotaalpie"/>
          <w:rFonts w:ascii="Cambria" w:hAnsi="Cambria"/>
        </w:rPr>
        <w:footnoteReference w:id="111"/>
      </w:r>
      <w:r w:rsidRPr="00C547BF">
        <w:rPr>
          <w:rFonts w:ascii="Cambria" w:hAnsi="Cambria"/>
          <w:lang w:val="en-US"/>
        </w:rPr>
        <w:t xml:space="preserve"> . In view of the above, States have the duty to facilitate the necessary means for them to freely carry out their activities</w:t>
      </w:r>
      <w:r w:rsidRPr="00C547BF">
        <w:rPr>
          <w:rStyle w:val="Refdenotaalpie"/>
          <w:rFonts w:ascii="Cambria" w:hAnsi="Cambria"/>
        </w:rPr>
        <w:footnoteReference w:id="112"/>
      </w:r>
      <w:r w:rsidRPr="00C547BF">
        <w:rPr>
          <w:rFonts w:ascii="Cambria" w:hAnsi="Cambria"/>
          <w:lang w:val="en-US"/>
        </w:rPr>
        <w:t xml:space="preserve"> ; protect them when they are subject to threats to prevent attacks on their lives and integrity; refrain from imposing obstacles that hinder the performance of their work; and seriously and effectively investigate violations committed against them, combating impunity.</w:t>
      </w:r>
    </w:p>
    <w:p w14:paraId="43D809D9" w14:textId="77777777" w:rsidR="00171179" w:rsidRPr="00C547BF" w:rsidRDefault="00171179" w:rsidP="00171179">
      <w:pPr>
        <w:pStyle w:val="parrafos"/>
        <w:tabs>
          <w:tab w:val="num" w:pos="360"/>
        </w:tabs>
        <w:rPr>
          <w:rFonts w:ascii="Cambria" w:hAnsi="Cambria"/>
          <w:color w:val="FF0000"/>
          <w:lang w:val="en-US"/>
        </w:rPr>
      </w:pPr>
    </w:p>
    <w:p w14:paraId="51FEB102"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color w:val="000000"/>
          <w:lang w:val="en-US"/>
        </w:rPr>
        <w:lastRenderedPageBreak/>
        <w:t>The above duties of the State, in addition to ensuring that human rights defenders can carry out their fundamental work, are also related to the enjoyment of several rights contained in the American Declaration, such as the rights to life, freedom of expression, freedom of association and protection of honor. These rights</w:t>
      </w:r>
      <w:proofErr w:type="gramStart"/>
      <w:r w:rsidRPr="00C547BF">
        <w:rPr>
          <w:rFonts w:ascii="Cambria" w:hAnsi="Cambria"/>
          <w:color w:val="000000"/>
          <w:lang w:val="en-US"/>
        </w:rPr>
        <w:t>, as a whole, allow</w:t>
      </w:r>
      <w:proofErr w:type="gramEnd"/>
      <w:r w:rsidRPr="00C547BF">
        <w:rPr>
          <w:rFonts w:ascii="Cambria" w:hAnsi="Cambria"/>
          <w:color w:val="000000"/>
          <w:lang w:val="en-US"/>
        </w:rPr>
        <w:t xml:space="preserve"> for the free exercise of the activities of defense and promotion of human rights. </w:t>
      </w:r>
    </w:p>
    <w:p w14:paraId="32D97823" w14:textId="77777777" w:rsidR="00171179" w:rsidRPr="00C547BF" w:rsidRDefault="00171179" w:rsidP="00171179">
      <w:pPr>
        <w:pStyle w:val="parrafos"/>
        <w:tabs>
          <w:tab w:val="num" w:pos="360"/>
        </w:tabs>
        <w:rPr>
          <w:rFonts w:ascii="Cambria" w:hAnsi="Cambria"/>
          <w:color w:val="FF0000"/>
          <w:lang w:val="en-US"/>
        </w:rPr>
      </w:pPr>
    </w:p>
    <w:p w14:paraId="5BE2AB75"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color w:val="auto"/>
          <w:lang w:val="en-US"/>
        </w:rPr>
        <w:t xml:space="preserve">In relation to the right to life, this right </w:t>
      </w:r>
      <w:r w:rsidRPr="00C547BF">
        <w:rPr>
          <w:rFonts w:ascii="Cambria" w:hAnsi="Cambria"/>
          <w:lang w:val="en-US"/>
        </w:rPr>
        <w:t>is a prerequisite for the enjoyment of all other human rights, without respect for which the others are meaningless</w:t>
      </w:r>
      <w:r w:rsidRPr="00C547BF">
        <w:rPr>
          <w:rStyle w:val="Refdenotaalpie"/>
          <w:rFonts w:ascii="Cambria" w:hAnsi="Cambria"/>
          <w:lang w:val="es-ES"/>
        </w:rPr>
        <w:footnoteReference w:id="113"/>
      </w:r>
      <w:r w:rsidRPr="00C547BF">
        <w:rPr>
          <w:rFonts w:ascii="Cambria" w:hAnsi="Cambria"/>
          <w:lang w:val="en-US"/>
        </w:rPr>
        <w:t xml:space="preserve"> . Furthermore, not only does it presuppose that no person shall be arbitrarily deprived of his or her life, but it also requires that States take all appropriate measures to protect and preserve the right to life, under their duty to ensure the full and free exercise of the rights of all persons under their jurisdiction</w:t>
      </w:r>
      <w:r w:rsidRPr="00C547BF">
        <w:rPr>
          <w:rStyle w:val="Refdenotaalpie"/>
          <w:rFonts w:ascii="Cambria" w:hAnsi="Cambria"/>
          <w:lang w:val="es-ES"/>
        </w:rPr>
        <w:footnoteReference w:id="114"/>
      </w:r>
      <w:r w:rsidRPr="00C547BF">
        <w:rPr>
          <w:rFonts w:ascii="Cambria" w:hAnsi="Cambria"/>
          <w:lang w:val="en-US"/>
        </w:rPr>
        <w:t xml:space="preserve"> .</w:t>
      </w:r>
    </w:p>
    <w:p w14:paraId="21D8920E" w14:textId="77777777" w:rsidR="00171179" w:rsidRPr="00C547BF" w:rsidRDefault="00171179" w:rsidP="00171179">
      <w:pPr>
        <w:rPr>
          <w:szCs w:val="20"/>
          <w:lang w:val="en-US"/>
        </w:rPr>
      </w:pPr>
    </w:p>
    <w:p w14:paraId="0C67E1CE" w14:textId="77777777" w:rsidR="00171179" w:rsidRPr="00C547BF" w:rsidRDefault="00171179" w:rsidP="00563529">
      <w:pPr>
        <w:pStyle w:val="parrafos"/>
        <w:numPr>
          <w:ilvl w:val="0"/>
          <w:numId w:val="62"/>
        </w:numPr>
        <w:tabs>
          <w:tab w:val="clear" w:pos="720"/>
          <w:tab w:val="num" w:pos="360"/>
        </w:tabs>
        <w:ind w:firstLine="0"/>
        <w:rPr>
          <w:color w:val="auto"/>
          <w:lang w:val="en-US"/>
        </w:rPr>
      </w:pPr>
      <w:r w:rsidRPr="00C547BF">
        <w:rPr>
          <w:rFonts w:ascii="Cambria" w:hAnsi="Cambria"/>
          <w:color w:val="auto"/>
          <w:lang w:val="en-US"/>
        </w:rPr>
        <w:t xml:space="preserve">With respect to the right to honor and dignity, it recognizes that everyone has the right to respect for his or her </w:t>
      </w:r>
      <w:r w:rsidRPr="00C547BF">
        <w:rPr>
          <w:rFonts w:ascii="Cambria" w:hAnsi="Cambria"/>
          <w:lang w:val="en-US"/>
        </w:rPr>
        <w:t>honor and prohibits any unlawful attack on honor or reputation. It also imposes on States the duty to provide the protection of the law against such attacks. In general terms, it has been indicated that the right to honor relates to self-esteem and self-worth, while reputation refers to the opinion that others have of a person</w:t>
      </w:r>
      <w:r w:rsidRPr="00C547BF">
        <w:rPr>
          <w:rFonts w:ascii="Cambria" w:hAnsi="Cambria"/>
          <w:lang w:val="en-US"/>
        </w:rPr>
        <w:footnoteReference w:id="115"/>
      </w:r>
      <w:r w:rsidRPr="00C547BF">
        <w:rPr>
          <w:rFonts w:ascii="Cambria" w:hAnsi="Cambria"/>
          <w:lang w:val="en-US"/>
        </w:rPr>
        <w:t xml:space="preserve"> . Likewise, the Special Rapporteur </w:t>
      </w:r>
      <w:proofErr w:type="gramStart"/>
      <w:r w:rsidRPr="00C547BF">
        <w:rPr>
          <w:rFonts w:ascii="Cambria" w:hAnsi="Cambria"/>
          <w:lang w:val="en-US"/>
        </w:rPr>
        <w:t>on the situation of</w:t>
      </w:r>
      <w:proofErr w:type="gramEnd"/>
      <w:r w:rsidRPr="00C547BF">
        <w:rPr>
          <w:rFonts w:ascii="Cambria" w:hAnsi="Cambria"/>
          <w:lang w:val="en-US"/>
        </w:rPr>
        <w:t xml:space="preserve"> human rights defenders has pointed out that a "perverse way" of attacking human rights defenders is to damage their "honor" or reputation under various labels</w:t>
      </w:r>
      <w:r w:rsidRPr="00C547BF">
        <w:rPr>
          <w:rFonts w:ascii="Cambria" w:hAnsi="Cambria"/>
          <w:lang w:val="en-US"/>
        </w:rPr>
        <w:footnoteReference w:id="116"/>
      </w:r>
      <w:r w:rsidRPr="00C547BF">
        <w:rPr>
          <w:rFonts w:ascii="Cambria" w:hAnsi="Cambria"/>
          <w:lang w:val="en-US"/>
        </w:rPr>
        <w:t xml:space="preserve"> . The harmful impacts on the exercise of these rights are accentuated when the stigmatizing labels are issued by official voices and amplified through public channels.</w:t>
      </w:r>
    </w:p>
    <w:p w14:paraId="084E5097" w14:textId="77777777" w:rsidR="00171179" w:rsidRPr="00C547BF" w:rsidRDefault="00171179" w:rsidP="00171179">
      <w:pPr>
        <w:pStyle w:val="Prrafodelista"/>
        <w:rPr>
          <w:lang w:val="en-US"/>
        </w:rPr>
      </w:pPr>
    </w:p>
    <w:p w14:paraId="3F765F89"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In relation to the right to freedom of thought and expression, the Commission has held that this right allows the free exercise of the activities of human rights defenders</w:t>
      </w:r>
      <w:r w:rsidRPr="00C547BF">
        <w:rPr>
          <w:rFonts w:ascii="Cambria" w:hAnsi="Cambria"/>
          <w:lang w:val="en-US"/>
        </w:rPr>
        <w:footnoteReference w:id="117"/>
      </w:r>
      <w:r w:rsidRPr="00C547BF">
        <w:rPr>
          <w:rFonts w:ascii="Cambria" w:hAnsi="Cambria"/>
          <w:lang w:val="en-US"/>
        </w:rPr>
        <w:t xml:space="preserve"> . Thus, this right cannot be exercised when people are victims of aggressions or other acts of harassment</w:t>
      </w:r>
      <w:r w:rsidRPr="00C547BF">
        <w:rPr>
          <w:rFonts w:ascii="Cambria" w:hAnsi="Cambria"/>
          <w:lang w:val="en-US"/>
        </w:rPr>
        <w:footnoteReference w:id="118"/>
      </w:r>
      <w:r w:rsidRPr="00C547BF">
        <w:rPr>
          <w:rFonts w:ascii="Cambria" w:hAnsi="Cambria"/>
          <w:lang w:val="en-US"/>
        </w:rPr>
        <w:t xml:space="preserve"> . This is because such acts can silence or intimidate those who exercise their right to express themselves critically or to denounce alleged human rights violations</w:t>
      </w:r>
      <w:r w:rsidRPr="00C547BF">
        <w:rPr>
          <w:lang w:val="en-US"/>
        </w:rPr>
        <w:footnoteReference w:id="119"/>
      </w:r>
      <w:r w:rsidRPr="00C547BF">
        <w:rPr>
          <w:rFonts w:ascii="Cambria" w:hAnsi="Cambria"/>
          <w:lang w:val="en-US"/>
        </w:rPr>
        <w:t xml:space="preserve"> . Additionally, the importance of opposition voices in a democratic society has been highlighted</w:t>
      </w:r>
      <w:r w:rsidRPr="00C547BF">
        <w:rPr>
          <w:lang w:val="en-US"/>
        </w:rPr>
        <w:footnoteReference w:id="120"/>
      </w:r>
      <w:r w:rsidRPr="00C547BF">
        <w:rPr>
          <w:rFonts w:ascii="Cambria" w:hAnsi="Cambria"/>
          <w:lang w:val="en-US"/>
        </w:rPr>
        <w:t xml:space="preserve"> . </w:t>
      </w:r>
    </w:p>
    <w:p w14:paraId="3B3BEAD4" w14:textId="77777777" w:rsidR="00171179" w:rsidRPr="00C547BF" w:rsidRDefault="00171179" w:rsidP="00171179">
      <w:pPr>
        <w:pStyle w:val="Prrafodelista"/>
        <w:rPr>
          <w:rFonts w:eastAsia="Arial Unicode MS" w:cs="Times New Roman"/>
          <w:color w:val="000000" w:themeColor="text1"/>
          <w:szCs w:val="20"/>
          <w:bdr w:val="nil"/>
          <w:lang w:val="en-US"/>
        </w:rPr>
      </w:pPr>
    </w:p>
    <w:p w14:paraId="04AC9B9D" w14:textId="1F511108" w:rsidR="00171179" w:rsidRPr="00C547BF" w:rsidRDefault="00171179" w:rsidP="00563529">
      <w:pPr>
        <w:pStyle w:val="parrafos"/>
        <w:numPr>
          <w:ilvl w:val="0"/>
          <w:numId w:val="62"/>
        </w:numPr>
        <w:tabs>
          <w:tab w:val="clear" w:pos="720"/>
          <w:tab w:val="num" w:pos="360"/>
        </w:tabs>
        <w:ind w:firstLine="0"/>
        <w:rPr>
          <w:rFonts w:ascii="Cambria" w:hAnsi="Cambria"/>
          <w:color w:val="000000"/>
          <w:lang w:val="en-US"/>
        </w:rPr>
      </w:pPr>
      <w:r w:rsidRPr="00C547BF">
        <w:rPr>
          <w:rFonts w:ascii="Cambria" w:hAnsi="Cambria"/>
          <w:lang w:val="en-US"/>
        </w:rPr>
        <w:t>With respect to the right to freedom of association, the Commission recalls that it has two dimensions: an individual and a social one. On the one hand, this implies that "those who are under the protection of the Convention have (...) the right and freedom to associate freely with other persons, without intervention by public authorities that limit or hinder the exercise of the respective right"</w:t>
      </w:r>
      <w:r w:rsidRPr="00C547BF">
        <w:rPr>
          <w:lang w:val="en-US"/>
        </w:rPr>
        <w:footnoteReference w:id="121"/>
      </w:r>
      <w:r w:rsidRPr="00C547BF">
        <w:rPr>
          <w:rFonts w:ascii="Cambria" w:hAnsi="Cambria"/>
          <w:lang w:val="en-US"/>
        </w:rPr>
        <w:t xml:space="preserve"> . On the other hand, the IACHR has pointed out that individuals "enjoy the right and freedom to seek</w:t>
      </w:r>
      <w:r w:rsidRPr="00C547BF">
        <w:rPr>
          <w:rFonts w:ascii="Cambria" w:hAnsi="Cambria"/>
          <w:color w:val="000000"/>
          <w:lang w:val="en-US"/>
        </w:rPr>
        <w:t xml:space="preserve"> the common realization of a lawful purpose, without pressure or interference that could alter or distort its purpose"</w:t>
      </w:r>
      <w:r w:rsidRPr="00C547BF">
        <w:rPr>
          <w:rStyle w:val="Refdenotaalpie"/>
          <w:rFonts w:ascii="Cambria" w:hAnsi="Cambria"/>
          <w:lang w:val="es-ES"/>
        </w:rPr>
        <w:footnoteReference w:id="122"/>
      </w:r>
      <w:r w:rsidRPr="00C547BF">
        <w:rPr>
          <w:rFonts w:ascii="Cambria" w:hAnsi="Cambria"/>
          <w:color w:val="000000"/>
          <w:lang w:val="en-US"/>
        </w:rPr>
        <w:t xml:space="preserve"> . </w:t>
      </w:r>
      <w:r w:rsidRPr="00C547BF">
        <w:rPr>
          <w:rFonts w:ascii="Cambria" w:hAnsi="Cambria"/>
          <w:color w:val="auto"/>
          <w:lang w:val="en-US"/>
        </w:rPr>
        <w:t xml:space="preserve">In </w:t>
      </w:r>
      <w:r w:rsidRPr="00C547BF">
        <w:rPr>
          <w:rFonts w:ascii="Cambria" w:hAnsi="Cambria"/>
          <w:color w:val="000000"/>
          <w:lang w:val="en-US"/>
        </w:rPr>
        <w:t>this sense, States must create legal and factual conditions for its exercise, which includes, where appropriate, the duty to prevent attacks on free association, including organizations for the protection of human rights</w:t>
      </w:r>
      <w:r w:rsidRPr="00C547BF">
        <w:rPr>
          <w:rStyle w:val="Refdenotaalpie"/>
          <w:rFonts w:ascii="Cambria" w:hAnsi="Cambria"/>
          <w:lang w:val="es-ES"/>
        </w:rPr>
        <w:footnoteReference w:id="123"/>
      </w:r>
      <w:r w:rsidRPr="00C547BF">
        <w:rPr>
          <w:rFonts w:ascii="Cambria" w:hAnsi="Cambria"/>
          <w:color w:val="000000"/>
          <w:lang w:val="en-US"/>
        </w:rPr>
        <w:t>.</w:t>
      </w:r>
    </w:p>
    <w:p w14:paraId="6CDA8C48" w14:textId="77777777" w:rsidR="00171179" w:rsidRPr="00C547BF" w:rsidRDefault="00171179" w:rsidP="00171179">
      <w:pPr>
        <w:suppressAutoHyphens/>
        <w:rPr>
          <w:szCs w:val="20"/>
          <w:lang w:val="en-US"/>
        </w:rPr>
      </w:pPr>
    </w:p>
    <w:p w14:paraId="1744937B" w14:textId="77777777" w:rsidR="00171179" w:rsidRPr="00C547BF" w:rsidRDefault="00171179" w:rsidP="00563529">
      <w:pPr>
        <w:pStyle w:val="Ttulo3"/>
        <w:numPr>
          <w:ilvl w:val="0"/>
          <w:numId w:val="67"/>
        </w:numPr>
        <w:tabs>
          <w:tab w:val="left" w:pos="0"/>
          <w:tab w:val="num" w:pos="360"/>
          <w:tab w:val="num" w:pos="720"/>
        </w:tabs>
        <w:spacing w:before="0"/>
        <w:ind w:left="360"/>
        <w:rPr>
          <w:lang w:val="es-CO"/>
        </w:rPr>
      </w:pPr>
      <w:bookmarkStart w:id="40" w:name="_Toc136860062"/>
      <w:r w:rsidRPr="00C547BF">
        <w:rPr>
          <w:lang w:val="es-CO"/>
        </w:rPr>
        <w:t xml:space="preserve">Case </w:t>
      </w:r>
      <w:r w:rsidRPr="00C547BF">
        <w:t>analysis</w:t>
      </w:r>
      <w:bookmarkEnd w:id="40"/>
    </w:p>
    <w:p w14:paraId="3CDA89C2" w14:textId="77777777" w:rsidR="00171179" w:rsidRPr="00C547BF" w:rsidRDefault="00171179" w:rsidP="00171179">
      <w:pPr>
        <w:autoSpaceDE w:val="0"/>
        <w:autoSpaceDN w:val="0"/>
        <w:adjustRightInd w:val="0"/>
        <w:rPr>
          <w:szCs w:val="20"/>
          <w:lang w:val="es-ES_tradnl"/>
        </w:rPr>
      </w:pPr>
    </w:p>
    <w:p w14:paraId="26E3BA89" w14:textId="3F4398FE"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The Commission takes note of the information presented to it that Oswaldo </w:t>
      </w:r>
      <w:proofErr w:type="spellStart"/>
      <w:r w:rsidRPr="00C547BF">
        <w:rPr>
          <w:rFonts w:ascii="Cambria" w:hAnsi="Cambria"/>
          <w:lang w:val="en-US"/>
        </w:rPr>
        <w:t>Payá</w:t>
      </w:r>
      <w:proofErr w:type="spellEnd"/>
      <w:r w:rsidRPr="00C547BF">
        <w:rPr>
          <w:rFonts w:ascii="Cambria" w:hAnsi="Cambria"/>
          <w:lang w:val="en-US"/>
        </w:rPr>
        <w:t xml:space="preserve"> and Harold Cepero were prominent figures in the pro-democracy and human rights movement in Cuba, who had been visible since the late 1990s and during the 2000s, in the framework of the Varela Project and the struggle and defense of democratic </w:t>
      </w:r>
      <w:r w:rsidR="00CD76E9" w:rsidRPr="00C547BF">
        <w:rPr>
          <w:rFonts w:ascii="Cambria" w:hAnsi="Cambria"/>
          <w:lang w:val="en-US"/>
        </w:rPr>
        <w:t>participation and</w:t>
      </w:r>
      <w:r w:rsidRPr="00C547BF">
        <w:rPr>
          <w:rFonts w:ascii="Cambria" w:hAnsi="Cambria"/>
          <w:lang w:val="en-US"/>
        </w:rPr>
        <w:t xml:space="preserve"> sought to influence the process of opening and democratization in Cuba. The IACHR also notes that both persons died in a car crash. In relation to the circumstances of this event, there are contradictory positions. On the one hand, the petitioner alleged that a state vehicle was responsible for the collision with the car in which the alleged victims were riding. On the other hand, according to the internal investigation, it was concluded that the collision was the result of a vehicular accident caused by the driver, </w:t>
      </w:r>
      <w:proofErr w:type="spellStart"/>
      <w:r w:rsidRPr="00C547BF">
        <w:rPr>
          <w:rFonts w:ascii="Cambria" w:hAnsi="Cambria"/>
          <w:lang w:val="en-US"/>
        </w:rPr>
        <w:t>Ángel</w:t>
      </w:r>
      <w:proofErr w:type="spellEnd"/>
      <w:r w:rsidRPr="00C547BF">
        <w:rPr>
          <w:rFonts w:ascii="Cambria" w:hAnsi="Cambria"/>
          <w:lang w:val="en-US"/>
        </w:rPr>
        <w:t xml:space="preserve"> </w:t>
      </w:r>
      <w:proofErr w:type="spellStart"/>
      <w:r w:rsidRPr="00C547BF">
        <w:rPr>
          <w:rFonts w:ascii="Cambria" w:hAnsi="Cambria"/>
          <w:lang w:val="en-US"/>
        </w:rPr>
        <w:t>Carromero</w:t>
      </w:r>
      <w:proofErr w:type="spellEnd"/>
      <w:r w:rsidRPr="00C547BF">
        <w:rPr>
          <w:rFonts w:ascii="Cambria" w:hAnsi="Cambria"/>
          <w:lang w:val="en-US"/>
        </w:rPr>
        <w:t>.</w:t>
      </w:r>
    </w:p>
    <w:p w14:paraId="0977D232" w14:textId="77777777" w:rsidR="00171179" w:rsidRPr="00C547BF" w:rsidRDefault="00171179" w:rsidP="00171179">
      <w:pPr>
        <w:pStyle w:val="parrafos"/>
        <w:tabs>
          <w:tab w:val="clear" w:pos="360"/>
        </w:tabs>
        <w:rPr>
          <w:rFonts w:ascii="Cambria" w:hAnsi="Cambria"/>
          <w:lang w:val="en-US"/>
        </w:rPr>
      </w:pPr>
    </w:p>
    <w:p w14:paraId="54C77306" w14:textId="1C89F08B"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In this regard, the Commission has indicated that, in the face of indications that would imply a direct attribution of international responsibility to the State, it is incumbent upon the authorities in charge of the investigation to deploy all necessary efforts to clarify the possible responsibilities or links of State authorities in a violation of the right to life</w:t>
      </w:r>
      <w:r w:rsidRPr="00C547BF">
        <w:rPr>
          <w:rFonts w:ascii="Cambria" w:hAnsi="Cambria"/>
          <w:vertAlign w:val="superscript"/>
          <w:lang w:val="en-US"/>
        </w:rPr>
        <w:footnoteReference w:id="124"/>
      </w:r>
      <w:r w:rsidRPr="00C547BF">
        <w:rPr>
          <w:rFonts w:ascii="Cambria" w:hAnsi="Cambria"/>
          <w:lang w:val="en-US"/>
        </w:rPr>
        <w:t xml:space="preserve">. Thus, the State has the obligation to carry out a thorough, </w:t>
      </w:r>
      <w:r w:rsidR="00CD76E9" w:rsidRPr="00C547BF">
        <w:rPr>
          <w:rFonts w:ascii="Cambria" w:hAnsi="Cambria"/>
          <w:lang w:val="en-US"/>
        </w:rPr>
        <w:t>serious,</w:t>
      </w:r>
      <w:r w:rsidRPr="00C547BF">
        <w:rPr>
          <w:rFonts w:ascii="Cambria" w:hAnsi="Cambria"/>
          <w:lang w:val="en-US"/>
        </w:rPr>
        <w:t xml:space="preserve"> and diligent investigation to determine the veracity or disprove the indications of the participation of State agents. Otherwise, the Commission has granted evidentiary force to such indications that have not been adequately investigated. Along the same lines, it is reasonable to grant probative value to the series of indications that emerge from the case file regarding the participation of State agents in these events. To conclude otherwise would imply allowing the State to take refuge in the negligence and ineffectiveness of the criminal investigation </w:t>
      </w:r>
      <w:proofErr w:type="gramStart"/>
      <w:r w:rsidRPr="00C547BF">
        <w:rPr>
          <w:rFonts w:ascii="Cambria" w:hAnsi="Cambria"/>
          <w:lang w:val="en-US"/>
        </w:rPr>
        <w:t>in order to</w:t>
      </w:r>
      <w:proofErr w:type="gramEnd"/>
      <w:r w:rsidRPr="00C547BF">
        <w:rPr>
          <w:rFonts w:ascii="Cambria" w:hAnsi="Cambria"/>
          <w:lang w:val="en-US"/>
        </w:rPr>
        <w:t xml:space="preserve"> evade its responsibility</w:t>
      </w:r>
      <w:r w:rsidRPr="00C547BF">
        <w:rPr>
          <w:rFonts w:ascii="Cambria" w:hAnsi="Cambria"/>
          <w:vertAlign w:val="superscript"/>
          <w:lang w:val="en-US"/>
        </w:rPr>
        <w:footnoteReference w:id="125"/>
      </w:r>
      <w:r w:rsidRPr="00C547BF">
        <w:rPr>
          <w:rFonts w:ascii="Cambria" w:hAnsi="Cambria"/>
          <w:lang w:val="en-US"/>
        </w:rPr>
        <w:t xml:space="preserve">. </w:t>
      </w:r>
    </w:p>
    <w:p w14:paraId="02948320" w14:textId="77777777" w:rsidR="00171179" w:rsidRPr="00C547BF" w:rsidRDefault="00171179" w:rsidP="00171179">
      <w:pPr>
        <w:pStyle w:val="parrafos"/>
        <w:rPr>
          <w:rFonts w:ascii="Cambria" w:hAnsi="Cambria"/>
          <w:lang w:val="en-US"/>
        </w:rPr>
      </w:pPr>
    </w:p>
    <w:p w14:paraId="16772337"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proofErr w:type="gramStart"/>
      <w:r w:rsidRPr="00C547BF">
        <w:rPr>
          <w:rFonts w:ascii="Cambria" w:hAnsi="Cambria"/>
          <w:lang w:val="en-US"/>
        </w:rPr>
        <w:t>In light of</w:t>
      </w:r>
      <w:proofErr w:type="gramEnd"/>
      <w:r w:rsidRPr="00C547BF">
        <w:rPr>
          <w:rFonts w:ascii="Cambria" w:hAnsi="Cambria"/>
          <w:lang w:val="en-US"/>
        </w:rPr>
        <w:t xml:space="preserve"> the foregoing, the IACHR takes note of multiple pieces of evidence related to the participation of state agents in the death of Mr. </w:t>
      </w:r>
      <w:proofErr w:type="spellStart"/>
      <w:r w:rsidRPr="00C547BF">
        <w:rPr>
          <w:rFonts w:ascii="Cambria" w:hAnsi="Cambria"/>
          <w:lang w:val="en-US"/>
        </w:rPr>
        <w:t>Payá</w:t>
      </w:r>
      <w:proofErr w:type="spellEnd"/>
      <w:r w:rsidRPr="00C547BF">
        <w:rPr>
          <w:rFonts w:ascii="Cambria" w:hAnsi="Cambria"/>
          <w:lang w:val="en-US"/>
        </w:rPr>
        <w:t xml:space="preserve"> and Mr. Cepero.</w:t>
      </w:r>
    </w:p>
    <w:p w14:paraId="738EBE7C" w14:textId="77777777" w:rsidR="00171179" w:rsidRPr="00C547BF" w:rsidRDefault="00171179" w:rsidP="00171179">
      <w:pPr>
        <w:pStyle w:val="Prrafodelista"/>
        <w:rPr>
          <w:rFonts w:eastAsia="Arial Unicode MS" w:cs="Times New Roman"/>
          <w:color w:val="000000" w:themeColor="text1"/>
          <w:szCs w:val="20"/>
          <w:bdr w:val="nil"/>
          <w:lang w:val="en-US"/>
        </w:rPr>
      </w:pPr>
    </w:p>
    <w:p w14:paraId="462E9328"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First, Angel </w:t>
      </w:r>
      <w:proofErr w:type="spellStart"/>
      <w:r w:rsidRPr="00C547BF">
        <w:rPr>
          <w:rFonts w:ascii="Cambria" w:hAnsi="Cambria"/>
          <w:lang w:val="en-US"/>
        </w:rPr>
        <w:t>Carromero</w:t>
      </w:r>
      <w:proofErr w:type="spellEnd"/>
      <w:r w:rsidRPr="00C547BF">
        <w:rPr>
          <w:rFonts w:ascii="Cambria" w:hAnsi="Cambria"/>
          <w:lang w:val="en-US"/>
        </w:rPr>
        <w:t xml:space="preserve"> has repeatedly maintained that he was driving the vehicle where the alleged victims were. He explained that he was followed and subsequently hit by an official car.</w:t>
      </w:r>
    </w:p>
    <w:p w14:paraId="03D045F8" w14:textId="77777777" w:rsidR="00171179" w:rsidRPr="00C547BF" w:rsidRDefault="00171179" w:rsidP="00171179">
      <w:pPr>
        <w:rPr>
          <w:rFonts w:eastAsia="Arial Unicode MS" w:cs="Times New Roman"/>
          <w:color w:val="000000" w:themeColor="text1"/>
          <w:szCs w:val="20"/>
          <w:bdr w:val="nil"/>
          <w:lang w:val="en-US"/>
        </w:rPr>
      </w:pPr>
    </w:p>
    <w:p w14:paraId="6818E5CD"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Secondly, it was indicated that there was an eyewitness who corroborated Mr. </w:t>
      </w:r>
      <w:proofErr w:type="spellStart"/>
      <w:r w:rsidRPr="00C547BF">
        <w:rPr>
          <w:rFonts w:ascii="Cambria" w:hAnsi="Cambria"/>
          <w:lang w:val="en-US"/>
        </w:rPr>
        <w:t>Carromero's</w:t>
      </w:r>
      <w:proofErr w:type="spellEnd"/>
      <w:r w:rsidRPr="00C547BF">
        <w:rPr>
          <w:rFonts w:ascii="Cambria" w:hAnsi="Cambria"/>
          <w:lang w:val="en-US"/>
        </w:rPr>
        <w:t xml:space="preserve"> version. It was pointed out that he stated that it was not a vehicular accident, but that another car was involved in the collision. </w:t>
      </w:r>
    </w:p>
    <w:p w14:paraId="1E34D7D8" w14:textId="77777777" w:rsidR="00171179" w:rsidRPr="00C547BF" w:rsidRDefault="00171179" w:rsidP="00171179">
      <w:pPr>
        <w:pStyle w:val="Prrafodelista"/>
        <w:rPr>
          <w:rFonts w:eastAsia="Arial Unicode MS" w:cs="Times New Roman"/>
          <w:color w:val="000000" w:themeColor="text1"/>
          <w:szCs w:val="20"/>
          <w:bdr w:val="nil"/>
          <w:lang w:val="en-US"/>
        </w:rPr>
      </w:pPr>
    </w:p>
    <w:p w14:paraId="6C49424C"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Third, the Commission, as it will point out in the following section, identified multiple irregularities and omissions in the investigation. In particular, the IACHR notes that immediately after the incident occurred, the State authorities maintained an official position that what happened was a vehicular accident. This without any diligence, </w:t>
      </w:r>
      <w:proofErr w:type="gramStart"/>
      <w:r w:rsidRPr="00C547BF">
        <w:rPr>
          <w:rFonts w:ascii="Cambria" w:hAnsi="Cambria"/>
          <w:lang w:val="en-US"/>
        </w:rPr>
        <w:t>expertise</w:t>
      </w:r>
      <w:proofErr w:type="gramEnd"/>
      <w:r w:rsidRPr="00C547BF">
        <w:rPr>
          <w:rFonts w:ascii="Cambria" w:hAnsi="Cambria"/>
          <w:lang w:val="en-US"/>
        </w:rPr>
        <w:t xml:space="preserve"> or evaluation of the statements of the survivors, as well as the follow-up of lines of investigation related to the participation of state agents in the events. On the contrary, according to Mr. </w:t>
      </w:r>
      <w:proofErr w:type="spellStart"/>
      <w:r w:rsidRPr="00C547BF">
        <w:rPr>
          <w:rFonts w:ascii="Cambria" w:hAnsi="Cambria"/>
          <w:lang w:val="en-US"/>
        </w:rPr>
        <w:t>Carromero's</w:t>
      </w:r>
      <w:proofErr w:type="spellEnd"/>
      <w:r w:rsidRPr="00C547BF">
        <w:rPr>
          <w:rFonts w:ascii="Cambria" w:hAnsi="Cambria"/>
          <w:lang w:val="en-US"/>
        </w:rPr>
        <w:t xml:space="preserve"> statements, which have not been contested by the State, he was threatened so that he would confess that he was solely responsible for the accident. </w:t>
      </w:r>
    </w:p>
    <w:p w14:paraId="51814CBA" w14:textId="77777777" w:rsidR="00171179" w:rsidRPr="00C547BF" w:rsidRDefault="00171179" w:rsidP="00171179">
      <w:pPr>
        <w:pStyle w:val="Prrafodelista"/>
        <w:rPr>
          <w:rFonts w:eastAsia="Arial Unicode MS" w:cs="Times New Roman"/>
          <w:color w:val="000000" w:themeColor="text1"/>
          <w:szCs w:val="20"/>
          <w:bdr w:val="nil"/>
          <w:lang w:val="en-US"/>
        </w:rPr>
      </w:pPr>
    </w:p>
    <w:p w14:paraId="686963CB"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Fourth, the IACHR takes note of the multiple acts of violence, harassment and threats committed against Mr. </w:t>
      </w:r>
      <w:proofErr w:type="spellStart"/>
      <w:r w:rsidRPr="00C547BF">
        <w:rPr>
          <w:rFonts w:ascii="Cambria" w:hAnsi="Cambria"/>
          <w:lang w:val="en-US"/>
        </w:rPr>
        <w:t>Payá</w:t>
      </w:r>
      <w:proofErr w:type="spellEnd"/>
      <w:r w:rsidRPr="00C547BF">
        <w:rPr>
          <w:rFonts w:ascii="Cambria" w:hAnsi="Cambria"/>
          <w:lang w:val="en-US"/>
        </w:rPr>
        <w:t xml:space="preserve"> and Mr. Cepero prior to their deaths. In particular, the Commission notes that among these acts are some related to vehicular accidents. In 2008, the </w:t>
      </w:r>
      <w:proofErr w:type="spellStart"/>
      <w:r w:rsidRPr="00C547BF">
        <w:rPr>
          <w:rFonts w:ascii="Cambria" w:hAnsi="Cambria"/>
          <w:lang w:val="en-US"/>
        </w:rPr>
        <w:t>Payá</w:t>
      </w:r>
      <w:proofErr w:type="spellEnd"/>
      <w:r w:rsidRPr="00C547BF">
        <w:rPr>
          <w:rFonts w:ascii="Cambria" w:hAnsi="Cambria"/>
          <w:lang w:val="en-US"/>
        </w:rPr>
        <w:t xml:space="preserve"> family reported that state agents loosened the lug nuts on the tires of their vehicle. Also, only a month and a half before his death, Mr. </w:t>
      </w:r>
      <w:proofErr w:type="spellStart"/>
      <w:r w:rsidRPr="00C547BF">
        <w:rPr>
          <w:rFonts w:ascii="Cambria" w:hAnsi="Cambria"/>
          <w:lang w:val="en-US"/>
        </w:rPr>
        <w:t>Payá</w:t>
      </w:r>
      <w:proofErr w:type="spellEnd"/>
      <w:r w:rsidRPr="00C547BF">
        <w:rPr>
          <w:rFonts w:ascii="Cambria" w:hAnsi="Cambria"/>
          <w:lang w:val="en-US"/>
        </w:rPr>
        <w:t xml:space="preserve"> suffered an attack when a car collided with his car. As his relatives have stated, the collision was provoked by a state agent in an official car. The petitioner has argued that although they tried to report these events, the authorities never processed </w:t>
      </w:r>
      <w:r w:rsidRPr="00C547BF">
        <w:rPr>
          <w:rFonts w:ascii="Cambria" w:hAnsi="Cambria"/>
          <w:lang w:val="en-US"/>
        </w:rPr>
        <w:lastRenderedPageBreak/>
        <w:t xml:space="preserve">them, indicating that this happens with persons who oppose the government. Likewise, despite this situation of risk in which they found themselves, the State did not adopt any protective measures in their favor. </w:t>
      </w:r>
    </w:p>
    <w:p w14:paraId="2E2655FD" w14:textId="77777777" w:rsidR="00171179" w:rsidRPr="00C547BF" w:rsidRDefault="00171179" w:rsidP="00171179">
      <w:pPr>
        <w:pStyle w:val="parrafos"/>
        <w:tabs>
          <w:tab w:val="clear" w:pos="360"/>
        </w:tabs>
        <w:rPr>
          <w:rFonts w:ascii="Cambria" w:hAnsi="Cambria"/>
          <w:lang w:val="en-US"/>
        </w:rPr>
      </w:pPr>
    </w:p>
    <w:p w14:paraId="0FBD8C53"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Fifth, the Commission emphasizes that the background against Mr. </w:t>
      </w:r>
      <w:proofErr w:type="spellStart"/>
      <w:r w:rsidRPr="00C547BF">
        <w:rPr>
          <w:rFonts w:ascii="Cambria" w:hAnsi="Cambria"/>
          <w:lang w:val="en-US"/>
        </w:rPr>
        <w:t>Payá</w:t>
      </w:r>
      <w:proofErr w:type="spellEnd"/>
      <w:r w:rsidRPr="00C547BF">
        <w:rPr>
          <w:rFonts w:ascii="Cambria" w:hAnsi="Cambria"/>
          <w:lang w:val="en-US"/>
        </w:rPr>
        <w:t xml:space="preserve"> and Mr. Cepero is part of a context of violence against political dissidents and human rights defenders</w:t>
      </w:r>
      <w:proofErr w:type="gramStart"/>
      <w:r w:rsidRPr="00C547BF">
        <w:rPr>
          <w:rFonts w:ascii="Cambria" w:hAnsi="Cambria"/>
          <w:lang w:val="en-US"/>
        </w:rPr>
        <w:t>, in particular, acts</w:t>
      </w:r>
      <w:proofErr w:type="gramEnd"/>
      <w:r w:rsidRPr="00C547BF">
        <w:rPr>
          <w:rFonts w:ascii="Cambria" w:hAnsi="Cambria"/>
          <w:lang w:val="en-US"/>
        </w:rPr>
        <w:t xml:space="preserve"> of violence, harassment and stigmatization that they face. This context, referred to in the previous section, highlights that these people are in a situation of special risk and danger. They face state repression with the aim of hindering or paralyzing their work in the defense and promotion of human rights. </w:t>
      </w:r>
    </w:p>
    <w:p w14:paraId="75BD1594" w14:textId="77777777" w:rsidR="00171179" w:rsidRPr="00C547BF" w:rsidRDefault="00171179" w:rsidP="00171179">
      <w:pPr>
        <w:pStyle w:val="Prrafodelista"/>
        <w:rPr>
          <w:rFonts w:eastAsia="Arial Unicode MS" w:cs="Times New Roman"/>
          <w:color w:val="000000" w:themeColor="text1"/>
          <w:szCs w:val="20"/>
          <w:bdr w:val="nil"/>
          <w:lang w:val="en-US"/>
        </w:rPr>
      </w:pPr>
    </w:p>
    <w:p w14:paraId="71F1CF44"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Sixth, the Commission emphasizes that the State has not denied the petitioner's allegations, which has legal effects in accordance with Article 38 of the Rules of Procedure.</w:t>
      </w:r>
    </w:p>
    <w:p w14:paraId="64A95152" w14:textId="77777777" w:rsidR="00171179" w:rsidRPr="00C547BF" w:rsidRDefault="00171179" w:rsidP="00171179">
      <w:pPr>
        <w:rPr>
          <w:rFonts w:eastAsia="Arial Unicode MS" w:cs="Times New Roman"/>
          <w:color w:val="000000" w:themeColor="text1"/>
          <w:szCs w:val="20"/>
          <w:bdr w:val="nil"/>
          <w:lang w:val="en-US"/>
        </w:rPr>
      </w:pPr>
    </w:p>
    <w:p w14:paraId="4EA1AD1A"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In view of the foregoing, the Commission considers that there is serious and sufficient evidence to conclude that State agents participated in the death of Mr. </w:t>
      </w:r>
      <w:proofErr w:type="spellStart"/>
      <w:r w:rsidRPr="00C547BF">
        <w:rPr>
          <w:rFonts w:ascii="Cambria" w:hAnsi="Cambria"/>
          <w:lang w:val="en-US"/>
        </w:rPr>
        <w:t>Payá</w:t>
      </w:r>
      <w:proofErr w:type="spellEnd"/>
      <w:r w:rsidRPr="00C547BF">
        <w:rPr>
          <w:rFonts w:ascii="Cambria" w:hAnsi="Cambria"/>
          <w:lang w:val="en-US"/>
        </w:rPr>
        <w:t xml:space="preserve"> and Mr. Cepero. Consequently, the IACHR concludes that the State is responsible for the violation of the right established in Article I of the American Declaration to the detriment of Oswaldo </w:t>
      </w:r>
      <w:proofErr w:type="spellStart"/>
      <w:r w:rsidRPr="00C547BF">
        <w:rPr>
          <w:rFonts w:ascii="Cambria" w:hAnsi="Cambria"/>
          <w:lang w:val="en-US"/>
        </w:rPr>
        <w:t>Payá</w:t>
      </w:r>
      <w:proofErr w:type="spellEnd"/>
      <w:r w:rsidRPr="00C547BF">
        <w:rPr>
          <w:rFonts w:ascii="Cambria" w:hAnsi="Cambria"/>
          <w:lang w:val="en-US"/>
        </w:rPr>
        <w:t xml:space="preserve"> and Harold Cepero.</w:t>
      </w:r>
    </w:p>
    <w:p w14:paraId="2B7A9105" w14:textId="77777777" w:rsidR="00171179" w:rsidRPr="00C547BF" w:rsidRDefault="00171179" w:rsidP="00171179">
      <w:pPr>
        <w:pStyle w:val="Prrafodelista"/>
        <w:rPr>
          <w:rFonts w:eastAsia="Arial Unicode MS" w:cs="Times New Roman"/>
          <w:color w:val="000000" w:themeColor="text1"/>
          <w:szCs w:val="20"/>
          <w:bdr w:val="nil"/>
          <w:lang w:val="en-US"/>
        </w:rPr>
      </w:pPr>
    </w:p>
    <w:p w14:paraId="181A26BD"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In addition, the Commission emphasizes that, as previously indicated, at the time of the facts of this case, there was a context of reprisals and human rights violations against human rights defenders and persons who expressed dissent against government policies. The IACHR notes that such elements were present in this case. As previously established, Mr. </w:t>
      </w:r>
      <w:proofErr w:type="spellStart"/>
      <w:r w:rsidRPr="00C547BF">
        <w:rPr>
          <w:rFonts w:ascii="Cambria" w:hAnsi="Cambria"/>
          <w:lang w:val="en-US"/>
        </w:rPr>
        <w:t>Payá</w:t>
      </w:r>
      <w:proofErr w:type="spellEnd"/>
      <w:r w:rsidRPr="00C547BF">
        <w:rPr>
          <w:rFonts w:ascii="Cambria" w:hAnsi="Cambria"/>
          <w:lang w:val="en-US"/>
        </w:rPr>
        <w:t xml:space="preserve"> was a highly visible human rights defender and political leader, while Mr. Cepero was also a political dissident and human rights defender. Both were subjected to various acts of violence, harassment, threats, attempts on their lives, and finally, a car crash that caused their deaths. The Commission emphasizes that both persons were members of the Christian Liberation Movement, affecting the functions carried out by that organization. Thus, the Commission identifies that this case was framed within the contextual elements of state repression of human rights defenders in Cuba. </w:t>
      </w:r>
    </w:p>
    <w:p w14:paraId="3E4CE3CC" w14:textId="77777777" w:rsidR="00171179" w:rsidRPr="00C547BF" w:rsidRDefault="00171179" w:rsidP="00171179">
      <w:pPr>
        <w:pStyle w:val="Prrafodelista"/>
        <w:rPr>
          <w:rFonts w:eastAsia="Arial Unicode MS" w:cs="Times New Roman"/>
          <w:color w:val="000000" w:themeColor="text1"/>
          <w:szCs w:val="20"/>
          <w:bdr w:val="nil"/>
          <w:lang w:val="en-US"/>
        </w:rPr>
      </w:pPr>
    </w:p>
    <w:p w14:paraId="26CBD95C" w14:textId="60BE24F1"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By virtue of the foregoing, the Commission considers that there are multiple elements to consider that the various affectations suffered by Mr. </w:t>
      </w:r>
      <w:proofErr w:type="spellStart"/>
      <w:r w:rsidRPr="00C547BF">
        <w:rPr>
          <w:rFonts w:ascii="Cambria" w:hAnsi="Cambria"/>
          <w:lang w:val="en-US"/>
        </w:rPr>
        <w:t>Payá</w:t>
      </w:r>
      <w:proofErr w:type="spellEnd"/>
      <w:r w:rsidRPr="00C547BF">
        <w:rPr>
          <w:rFonts w:ascii="Cambria" w:hAnsi="Cambria"/>
          <w:lang w:val="en-US"/>
        </w:rPr>
        <w:t xml:space="preserve"> and Mr. Cepero were linked to their work in defense of human rights, and that these were aimed at stigmatizing them, intimidating </w:t>
      </w:r>
      <w:proofErr w:type="gramStart"/>
      <w:r w:rsidRPr="00C547BF">
        <w:rPr>
          <w:rFonts w:ascii="Cambria" w:hAnsi="Cambria"/>
          <w:lang w:val="en-US"/>
        </w:rPr>
        <w:t>them</w:t>
      </w:r>
      <w:proofErr w:type="gramEnd"/>
      <w:r w:rsidRPr="00C547BF">
        <w:rPr>
          <w:rFonts w:ascii="Cambria" w:hAnsi="Cambria"/>
          <w:lang w:val="en-US"/>
        </w:rPr>
        <w:t xml:space="preserve"> and preventing them from continuing with such activities, thus affecting their right to honor as well as their right to freedom of expression. Consequently, the Commission concludes that the State is responsible for the violation of the rights established in Articles IV, V and X</w:t>
      </w:r>
      <w:r w:rsidR="00C547BF" w:rsidRPr="00C547BF">
        <w:rPr>
          <w:rFonts w:ascii="Cambria" w:hAnsi="Cambria"/>
          <w:lang w:val="en-US"/>
        </w:rPr>
        <w:t>X</w:t>
      </w:r>
      <w:r w:rsidRPr="00C547BF">
        <w:rPr>
          <w:rFonts w:ascii="Cambria" w:hAnsi="Cambria"/>
          <w:lang w:val="en-US"/>
        </w:rPr>
        <w:t xml:space="preserve">II of the American Declaration. </w:t>
      </w:r>
    </w:p>
    <w:p w14:paraId="755E6680" w14:textId="77777777" w:rsidR="00171179" w:rsidRPr="00C547BF" w:rsidRDefault="00171179" w:rsidP="00171179">
      <w:pPr>
        <w:rPr>
          <w:rFonts w:cs="Cambria"/>
          <w:b/>
          <w:bCs/>
          <w:color w:val="000000"/>
          <w:szCs w:val="20"/>
          <w:u w:color="000000"/>
          <w:lang w:val="en-US" w:eastAsia="es-ES"/>
        </w:rPr>
      </w:pPr>
    </w:p>
    <w:p w14:paraId="2D976878" w14:textId="6D2F8E26" w:rsidR="00171179" w:rsidRPr="00C547BF" w:rsidRDefault="00171179" w:rsidP="00563529">
      <w:pPr>
        <w:pStyle w:val="Ttulo2"/>
        <w:numPr>
          <w:ilvl w:val="0"/>
          <w:numId w:val="65"/>
        </w:numPr>
        <w:tabs>
          <w:tab w:val="num" w:pos="720"/>
        </w:tabs>
        <w:spacing w:before="0"/>
        <w:ind w:left="360"/>
        <w:rPr>
          <w:rFonts w:eastAsia="SimSun"/>
          <w:lang w:val="en-US"/>
        </w:rPr>
      </w:pPr>
      <w:bookmarkStart w:id="41" w:name="_Toc136860063"/>
      <w:r w:rsidRPr="00C547BF">
        <w:rPr>
          <w:rFonts w:eastAsia="SimSun"/>
          <w:lang w:val="en-US"/>
        </w:rPr>
        <w:t xml:space="preserve">Right of residence and transit; right to the inviolability of the home; right to the inviolability and circulation of correspondence; and right to freedom of research, opinion, </w:t>
      </w:r>
      <w:proofErr w:type="gramStart"/>
      <w:r w:rsidRPr="00C547BF">
        <w:rPr>
          <w:rFonts w:eastAsia="SimSun"/>
          <w:lang w:val="en-US"/>
        </w:rPr>
        <w:t>expression</w:t>
      </w:r>
      <w:proofErr w:type="gramEnd"/>
      <w:r w:rsidRPr="00C547BF">
        <w:rPr>
          <w:rFonts w:eastAsia="SimSun"/>
          <w:lang w:val="en-US"/>
        </w:rPr>
        <w:t xml:space="preserve"> and dissemination (Articles IV, VIII, IX and X of the American Declaration).</w:t>
      </w:r>
      <w:bookmarkEnd w:id="41"/>
    </w:p>
    <w:p w14:paraId="546D2CE2" w14:textId="77777777" w:rsidR="00EE7E21" w:rsidRPr="00C547BF" w:rsidRDefault="00EE7E21" w:rsidP="00EE7E21">
      <w:pPr>
        <w:rPr>
          <w:lang w:val="en-US"/>
        </w:rPr>
      </w:pPr>
    </w:p>
    <w:p w14:paraId="248F8CBA" w14:textId="77777777" w:rsidR="00171179" w:rsidRPr="00C547BF" w:rsidRDefault="00171179" w:rsidP="00563529">
      <w:pPr>
        <w:pStyle w:val="Prrafodelista"/>
        <w:numPr>
          <w:ilvl w:val="0"/>
          <w:numId w:val="71"/>
        </w:numPr>
        <w:pBdr>
          <w:top w:val="nil"/>
          <w:left w:val="nil"/>
          <w:bottom w:val="nil"/>
          <w:right w:val="nil"/>
          <w:between w:val="nil"/>
          <w:bar w:val="nil"/>
        </w:pBdr>
        <w:spacing w:after="0"/>
        <w:ind w:left="360"/>
        <w:contextualSpacing w:val="0"/>
        <w:jc w:val="left"/>
        <w:rPr>
          <w:b/>
          <w:bCs/>
          <w:szCs w:val="20"/>
          <w:lang w:val="es-PE"/>
        </w:rPr>
      </w:pPr>
      <w:r w:rsidRPr="00C547BF">
        <w:rPr>
          <w:b/>
          <w:bCs/>
          <w:szCs w:val="20"/>
          <w:lang w:val="es-PE"/>
        </w:rPr>
        <w:t>General considerations</w:t>
      </w:r>
    </w:p>
    <w:p w14:paraId="321679D6" w14:textId="77777777" w:rsidR="00171179" w:rsidRPr="00C547BF" w:rsidRDefault="00171179" w:rsidP="00171179">
      <w:pPr>
        <w:rPr>
          <w:lang w:val="es-PE"/>
        </w:rPr>
      </w:pPr>
    </w:p>
    <w:p w14:paraId="234CDE69" w14:textId="2A050041"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With respect to the right of residence and transit, the Commission recalls that every person lawfully within the territory </w:t>
      </w:r>
      <w:r w:rsidRPr="00C547BF">
        <w:rPr>
          <w:rFonts w:ascii="Cambria" w:hAnsi="Cambria" w:cs="Univers"/>
          <w:lang w:val="en-US"/>
        </w:rPr>
        <w:t>of a State has the right to move and reside freely within it, and the right to enter, remain in, and leave the territory of the State without unlawful interference</w:t>
      </w:r>
      <w:r w:rsidRPr="00C547BF">
        <w:rPr>
          <w:rStyle w:val="Refdenotaalpie"/>
          <w:rFonts w:ascii="Cambria" w:hAnsi="Cambria" w:cs="Univers"/>
        </w:rPr>
        <w:footnoteReference w:id="126"/>
      </w:r>
      <w:r w:rsidRPr="00C547BF">
        <w:rPr>
          <w:rFonts w:ascii="Cambria" w:hAnsi="Cambria" w:cs="Univers"/>
          <w:lang w:val="en-US"/>
        </w:rPr>
        <w:t>. Likewise, this right may be affected when a person is the victim of threats or harassment and the State does not provide the necessary guarantees for him to move and reside freely in the territory in question, even when the threats and harassment come from non-State actors</w:t>
      </w:r>
      <w:r w:rsidRPr="00C547BF">
        <w:rPr>
          <w:rStyle w:val="Refdenotaalpie"/>
          <w:rFonts w:ascii="Cambria" w:hAnsi="Cambria"/>
        </w:rPr>
        <w:footnoteReference w:id="127"/>
      </w:r>
      <w:r w:rsidRPr="00C547BF">
        <w:rPr>
          <w:rFonts w:ascii="Cambria" w:hAnsi="Cambria" w:cs="Univers"/>
          <w:lang w:val="en-US"/>
        </w:rPr>
        <w:t xml:space="preserve">. </w:t>
      </w:r>
    </w:p>
    <w:p w14:paraId="56FD298D" w14:textId="77777777" w:rsidR="00171179" w:rsidRPr="00C547BF" w:rsidRDefault="00171179" w:rsidP="00171179">
      <w:pPr>
        <w:pStyle w:val="parrafos"/>
        <w:rPr>
          <w:lang w:val="en-US"/>
        </w:rPr>
      </w:pPr>
    </w:p>
    <w:p w14:paraId="492FE408" w14:textId="0657707B"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In relation to the right to inviolability of correspondence, the IACHR emphasizes that such protection covers telephone communications</w:t>
      </w:r>
      <w:r w:rsidRPr="00C547BF">
        <w:rPr>
          <w:rStyle w:val="Refdenotaalpie"/>
          <w:rFonts w:ascii="Cambria" w:eastAsia="Cambria" w:hAnsi="Cambria"/>
        </w:rPr>
        <w:footnoteReference w:id="128"/>
      </w:r>
      <w:r w:rsidRPr="00C547BF">
        <w:rPr>
          <w:rFonts w:ascii="Cambria" w:hAnsi="Cambria"/>
          <w:lang w:val="en-US"/>
        </w:rPr>
        <w:t>. Thus, the protection of communications includes data that tends to identify the communication, such as, for example, the numbers of the recipients, the frequency of the calls and their duration. These data constitute an integral part of the communication, as much as the content, and their storage also constitutes an interference or intrusion in the privacy and communications of the individual. In addition, the Commission emphasizes that not only interception is prohibited, but also the right to secrecy with respect to what is produced in this reserved space with the consequent prohibition of disclosure or circulation of the information captured, without the consent of the owner, in this space of protection reserved for the person</w:t>
      </w:r>
      <w:r w:rsidRPr="00C547BF">
        <w:rPr>
          <w:rStyle w:val="Refdenotaalpie"/>
          <w:rFonts w:ascii="Cambria" w:eastAsia="Cambria" w:hAnsi="Cambria"/>
        </w:rPr>
        <w:footnoteReference w:id="129"/>
      </w:r>
      <w:r w:rsidRPr="00C547BF">
        <w:rPr>
          <w:rFonts w:ascii="Cambria" w:hAnsi="Cambria"/>
          <w:lang w:val="en-US"/>
        </w:rPr>
        <w:t>.</w:t>
      </w:r>
    </w:p>
    <w:p w14:paraId="4D4BF0A1" w14:textId="77777777" w:rsidR="00171179" w:rsidRPr="00C547BF" w:rsidRDefault="00171179" w:rsidP="00171179">
      <w:pPr>
        <w:tabs>
          <w:tab w:val="left" w:pos="426"/>
        </w:tabs>
        <w:rPr>
          <w:szCs w:val="20"/>
          <w:lang w:val="en-US"/>
        </w:rPr>
      </w:pPr>
    </w:p>
    <w:p w14:paraId="755B35A3" w14:textId="6382BFCD"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In addition, the right that no one may be subjected to arbitrary or abusive interference with his or her home or correspondence is a prerequisite for the exercise of the right to freedom of expression, which must be protected by law and strictly promoted in public policy. This is linked to the state's obligation to create a protected environment for the exercise of the right to freedom of expression, since the violation of the privacy of communications has a chilling effect and affects the full exercise of the right to communicate</w:t>
      </w:r>
      <w:r w:rsidRPr="00C547BF">
        <w:rPr>
          <w:rStyle w:val="Refdenotaalpie"/>
          <w:rFonts w:ascii="Cambria" w:eastAsia="Cambria" w:hAnsi="Cambria"/>
        </w:rPr>
        <w:footnoteReference w:id="130"/>
      </w:r>
      <w:r w:rsidRPr="00C547BF">
        <w:rPr>
          <w:rFonts w:ascii="Cambria" w:hAnsi="Cambria"/>
          <w:lang w:val="en-US"/>
        </w:rPr>
        <w:t>.</w:t>
      </w:r>
    </w:p>
    <w:p w14:paraId="4725B6A9" w14:textId="77777777" w:rsidR="00171179" w:rsidRPr="00C547BF" w:rsidRDefault="00171179" w:rsidP="00171179">
      <w:pPr>
        <w:tabs>
          <w:tab w:val="left" w:pos="426"/>
        </w:tabs>
        <w:rPr>
          <w:szCs w:val="20"/>
          <w:lang w:val="en-US"/>
        </w:rPr>
      </w:pPr>
    </w:p>
    <w:p w14:paraId="0CDD4265"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The permissible instances and conditions of surveillance must be expressly, explicitly, specifically, </w:t>
      </w:r>
      <w:proofErr w:type="gramStart"/>
      <w:r w:rsidRPr="00C547BF">
        <w:rPr>
          <w:rFonts w:ascii="Cambria" w:hAnsi="Cambria"/>
          <w:lang w:val="en-US"/>
        </w:rPr>
        <w:t>precisely</w:t>
      </w:r>
      <w:proofErr w:type="gramEnd"/>
      <w:r w:rsidRPr="00C547BF">
        <w:rPr>
          <w:rFonts w:ascii="Cambria" w:hAnsi="Cambria"/>
          <w:lang w:val="en-US"/>
        </w:rPr>
        <w:t xml:space="preserve"> and clearly established in advance in a law, both in the formal and material sense. In view of the intrinsic risk of abuse of any surveillance system, these measures must be based on particularly precise legislation, with clear and detailed rules. The purposes for which the monitoring or interception of communications is enabled should be expressly stated in the law and in all cases the laws should establish the need for a prior court order</w:t>
      </w:r>
      <w:r w:rsidRPr="00C547BF">
        <w:rPr>
          <w:rStyle w:val="Refdenotaalpie"/>
          <w:rFonts w:ascii="Cambria" w:eastAsia="Cambria" w:hAnsi="Cambria"/>
        </w:rPr>
        <w:footnoteReference w:id="131"/>
      </w:r>
      <w:r w:rsidRPr="00C547BF">
        <w:rPr>
          <w:rFonts w:ascii="Cambria" w:hAnsi="Cambria"/>
          <w:lang w:val="en-US"/>
        </w:rPr>
        <w:t xml:space="preserve"> . The nature of the measures, as well as their scope and duration must be regulated, establishing the facts that could give rise to such measures and the bodies competent to authorize, implement and supervise them</w:t>
      </w:r>
      <w:r w:rsidRPr="00C547BF">
        <w:rPr>
          <w:rStyle w:val="Refdenotaalpie"/>
          <w:rFonts w:ascii="Cambria" w:eastAsia="Cambria" w:hAnsi="Cambria"/>
        </w:rPr>
        <w:footnoteReference w:id="132"/>
      </w:r>
      <w:r w:rsidRPr="00C547BF">
        <w:rPr>
          <w:rFonts w:ascii="Cambria" w:hAnsi="Cambria"/>
          <w:lang w:val="en-US"/>
        </w:rPr>
        <w:t xml:space="preserve"> .</w:t>
      </w:r>
    </w:p>
    <w:p w14:paraId="1F48DDBB" w14:textId="77777777" w:rsidR="00171179" w:rsidRPr="00C547BF" w:rsidRDefault="00171179" w:rsidP="00171179">
      <w:pPr>
        <w:pStyle w:val="Prrafodelista"/>
        <w:rPr>
          <w:szCs w:val="20"/>
          <w:lang w:val="en-US"/>
        </w:rPr>
      </w:pPr>
    </w:p>
    <w:p w14:paraId="496F1BE2"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Finally, the Commission emphasizes that the right that no one may be subjected to arbitrary or abusive interference with his or her home or correspondence is a prerequisite for the exercise of the right to freedom of expression. This right is linked to the State's obligation to create a protected environment for the exercise of the right to freedom of expression, particularly for certain groups of persons such as human rights defenders. This is because the violation of the privacy of communications has a chilling effect and affects the full exercise of the right to communicate</w:t>
      </w:r>
      <w:r w:rsidRPr="00C547BF">
        <w:rPr>
          <w:rStyle w:val="Refdenotaalpie"/>
          <w:rFonts w:eastAsia="Cambria"/>
        </w:rPr>
        <w:footnoteReference w:id="133"/>
      </w:r>
      <w:r w:rsidRPr="00C547BF">
        <w:rPr>
          <w:rFonts w:ascii="Cambria" w:hAnsi="Cambria"/>
          <w:lang w:val="en-US"/>
        </w:rPr>
        <w:t xml:space="preserve"> .</w:t>
      </w:r>
    </w:p>
    <w:p w14:paraId="468D9BD8" w14:textId="77777777" w:rsidR="00171179" w:rsidRPr="00C547BF" w:rsidRDefault="00171179" w:rsidP="00171179">
      <w:pPr>
        <w:pStyle w:val="parrafos"/>
        <w:rPr>
          <w:rFonts w:ascii="Cambria" w:hAnsi="Cambria"/>
          <w:lang w:val="en-US"/>
        </w:rPr>
      </w:pPr>
    </w:p>
    <w:p w14:paraId="41A09924" w14:textId="77777777" w:rsidR="00171179" w:rsidRPr="00C547BF" w:rsidRDefault="00171179" w:rsidP="00563529">
      <w:pPr>
        <w:pStyle w:val="parrafos"/>
        <w:numPr>
          <w:ilvl w:val="0"/>
          <w:numId w:val="71"/>
        </w:numPr>
        <w:tabs>
          <w:tab w:val="clear" w:pos="360"/>
          <w:tab w:val="left" w:pos="0"/>
        </w:tabs>
        <w:ind w:left="360"/>
        <w:rPr>
          <w:rFonts w:ascii="Cambria" w:hAnsi="Cambria"/>
          <w:b/>
          <w:bCs/>
          <w:lang w:val="es-ES_tradnl"/>
        </w:rPr>
      </w:pPr>
      <w:r w:rsidRPr="00C547BF">
        <w:rPr>
          <w:rFonts w:ascii="Cambria" w:hAnsi="Cambria"/>
          <w:b/>
          <w:bCs/>
          <w:lang w:val="es-ES_tradnl"/>
        </w:rPr>
        <w:t xml:space="preserve">Case </w:t>
      </w:r>
      <w:proofErr w:type="spellStart"/>
      <w:r w:rsidRPr="00C547BF">
        <w:rPr>
          <w:rFonts w:ascii="Cambria" w:hAnsi="Cambria"/>
          <w:b/>
          <w:bCs/>
          <w:lang w:val="es-ES_tradnl"/>
        </w:rPr>
        <w:t>analysis</w:t>
      </w:r>
      <w:proofErr w:type="spellEnd"/>
    </w:p>
    <w:p w14:paraId="491FD497" w14:textId="77777777" w:rsidR="00171179" w:rsidRPr="00C547BF" w:rsidRDefault="00171179" w:rsidP="00171179">
      <w:pPr>
        <w:pStyle w:val="Prrafodelista"/>
        <w:rPr>
          <w:rFonts w:cs="Univers"/>
          <w:szCs w:val="20"/>
          <w:lang w:val="es-ES"/>
        </w:rPr>
      </w:pPr>
    </w:p>
    <w:p w14:paraId="652B8EE1"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In the </w:t>
      </w:r>
      <w:r w:rsidRPr="00C547BF">
        <w:rPr>
          <w:rFonts w:ascii="Cambria" w:hAnsi="Cambria" w:cs="Univers"/>
          <w:lang w:val="en-US"/>
        </w:rPr>
        <w:t xml:space="preserve">instant case, the IACHR takes note of the information presented by the petitioner that, due to Mr. </w:t>
      </w:r>
      <w:proofErr w:type="spellStart"/>
      <w:r w:rsidRPr="00C547BF">
        <w:rPr>
          <w:rFonts w:ascii="Cambria" w:hAnsi="Cambria" w:cs="Univers"/>
          <w:lang w:val="en-US"/>
        </w:rPr>
        <w:t>Payá's</w:t>
      </w:r>
      <w:proofErr w:type="spellEnd"/>
      <w:r w:rsidRPr="00C547BF">
        <w:rPr>
          <w:rFonts w:ascii="Cambria" w:hAnsi="Cambria" w:cs="Univers"/>
          <w:lang w:val="en-US"/>
        </w:rPr>
        <w:t xml:space="preserve"> work, both Mr. </w:t>
      </w:r>
      <w:proofErr w:type="spellStart"/>
      <w:r w:rsidRPr="00C547BF">
        <w:rPr>
          <w:rFonts w:ascii="Cambria" w:hAnsi="Cambria" w:cs="Univers"/>
          <w:lang w:val="en-US"/>
        </w:rPr>
        <w:t>Payá</w:t>
      </w:r>
      <w:proofErr w:type="spellEnd"/>
      <w:r w:rsidRPr="00C547BF">
        <w:rPr>
          <w:rFonts w:ascii="Cambria" w:hAnsi="Cambria" w:cs="Univers"/>
          <w:lang w:val="en-US"/>
        </w:rPr>
        <w:t xml:space="preserve"> and his family members were restricted from moving freely within the territory of the Cuban State. In particular, the IACHR observes that Mr. </w:t>
      </w:r>
      <w:proofErr w:type="spellStart"/>
      <w:r w:rsidRPr="00C547BF">
        <w:rPr>
          <w:rFonts w:ascii="Cambria" w:hAnsi="Cambria" w:cs="Univers"/>
          <w:lang w:val="en-US"/>
        </w:rPr>
        <w:t>Payá</w:t>
      </w:r>
      <w:proofErr w:type="spellEnd"/>
      <w:r w:rsidRPr="00C547BF">
        <w:rPr>
          <w:rFonts w:ascii="Cambria" w:hAnsi="Cambria" w:cs="Univers"/>
          <w:lang w:val="en-US"/>
        </w:rPr>
        <w:t xml:space="preserve"> had to travel to different areas of the State in his capacity as a human rights defender and that, as a result, he was prevented from traveling on numerous occasions by State authorities. </w:t>
      </w:r>
    </w:p>
    <w:p w14:paraId="53152867" w14:textId="77777777" w:rsidR="00171179" w:rsidRPr="00C547BF" w:rsidRDefault="00171179" w:rsidP="00171179">
      <w:pPr>
        <w:pStyle w:val="parrafos"/>
        <w:tabs>
          <w:tab w:val="clear" w:pos="360"/>
        </w:tabs>
        <w:rPr>
          <w:rFonts w:ascii="Cambria" w:hAnsi="Cambria"/>
          <w:lang w:val="en-US"/>
        </w:rPr>
      </w:pPr>
    </w:p>
    <w:p w14:paraId="6DBBC903"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lastRenderedPageBreak/>
        <w:t xml:space="preserve">In addition, Mr. </w:t>
      </w:r>
      <w:proofErr w:type="spellStart"/>
      <w:r w:rsidRPr="00C547BF">
        <w:rPr>
          <w:rFonts w:ascii="Cambria" w:hAnsi="Cambria"/>
          <w:lang w:val="en-US"/>
        </w:rPr>
        <w:t>Payá's</w:t>
      </w:r>
      <w:proofErr w:type="spellEnd"/>
      <w:r w:rsidRPr="00C547BF">
        <w:rPr>
          <w:rFonts w:ascii="Cambria" w:hAnsi="Cambria"/>
          <w:lang w:val="en-US"/>
        </w:rPr>
        <w:t xml:space="preserve"> next of kin also suffered traffic interference. The Commission notes that after Mr. </w:t>
      </w:r>
      <w:proofErr w:type="spellStart"/>
      <w:r w:rsidRPr="00C547BF">
        <w:rPr>
          <w:rFonts w:ascii="Cambria" w:hAnsi="Cambria"/>
          <w:lang w:val="en-US"/>
        </w:rPr>
        <w:t>Payá's</w:t>
      </w:r>
      <w:proofErr w:type="spellEnd"/>
      <w:r w:rsidRPr="00C547BF">
        <w:rPr>
          <w:rFonts w:ascii="Cambria" w:hAnsi="Cambria"/>
          <w:lang w:val="en-US"/>
        </w:rPr>
        <w:t xml:space="preserve"> death, his relatives were prevented from traveling to the place where the vehicle crash occurred </w:t>
      </w:r>
      <w:proofErr w:type="gramStart"/>
      <w:r w:rsidRPr="00C547BF">
        <w:rPr>
          <w:rFonts w:ascii="Cambria" w:hAnsi="Cambria"/>
          <w:lang w:val="en-US"/>
        </w:rPr>
        <w:t>in order to</w:t>
      </w:r>
      <w:proofErr w:type="gramEnd"/>
      <w:r w:rsidRPr="00C547BF">
        <w:rPr>
          <w:rFonts w:ascii="Cambria" w:hAnsi="Cambria"/>
          <w:lang w:val="en-US"/>
        </w:rPr>
        <w:t xml:space="preserve"> pick up his body. The IACHR notes that due to multiple harassments and threats, the family members had to leave the country. They feared that something might happen to them. Even Ofelia Acevedo stated that after the public hearing held at the IACHR headquarters in the United States, when she returned to Cuba, she was prevented from entering. </w:t>
      </w:r>
    </w:p>
    <w:p w14:paraId="581B70E0" w14:textId="77777777" w:rsidR="00171179" w:rsidRPr="00C547BF" w:rsidRDefault="00171179" w:rsidP="00171179">
      <w:pPr>
        <w:pStyle w:val="parrafos"/>
        <w:rPr>
          <w:rFonts w:ascii="Cambria" w:hAnsi="Cambria"/>
          <w:lang w:val="en-US"/>
        </w:rPr>
      </w:pPr>
    </w:p>
    <w:p w14:paraId="2FC613B9" w14:textId="77777777" w:rsidR="00171179" w:rsidRPr="00C547BF" w:rsidRDefault="00171179" w:rsidP="00563529">
      <w:pPr>
        <w:pStyle w:val="parrafos"/>
        <w:numPr>
          <w:ilvl w:val="0"/>
          <w:numId w:val="62"/>
        </w:numPr>
        <w:tabs>
          <w:tab w:val="clear" w:pos="720"/>
          <w:tab w:val="num" w:pos="360"/>
        </w:tabs>
        <w:ind w:firstLine="0"/>
        <w:rPr>
          <w:rFonts w:ascii="Cambria" w:hAnsi="Cambria" w:cs="Univers"/>
        </w:rPr>
      </w:pPr>
      <w:r w:rsidRPr="00C547BF">
        <w:rPr>
          <w:rFonts w:ascii="Cambria" w:hAnsi="Cambria" w:cs="Univers"/>
          <w:lang w:val="en-US"/>
        </w:rPr>
        <w:t xml:space="preserve">The Commission emphasizes that the petitioner alleged that these transit impediments had no legal basis and that there was no justification whatsoever for them. It was alleged that this was done in retaliation for Mr. </w:t>
      </w:r>
      <w:proofErr w:type="spellStart"/>
      <w:r w:rsidRPr="00C547BF">
        <w:rPr>
          <w:rFonts w:ascii="Cambria" w:hAnsi="Cambria" w:cs="Univers"/>
          <w:lang w:val="en-US"/>
        </w:rPr>
        <w:t>Payá's</w:t>
      </w:r>
      <w:proofErr w:type="spellEnd"/>
      <w:r w:rsidRPr="00C547BF">
        <w:rPr>
          <w:rFonts w:ascii="Cambria" w:hAnsi="Cambria" w:cs="Univers"/>
          <w:lang w:val="en-US"/>
        </w:rPr>
        <w:t xml:space="preserve"> activities and </w:t>
      </w:r>
      <w:proofErr w:type="gramStart"/>
      <w:r w:rsidRPr="00C547BF">
        <w:rPr>
          <w:rFonts w:ascii="Cambria" w:hAnsi="Cambria" w:cs="Univers"/>
          <w:lang w:val="en-US"/>
        </w:rPr>
        <w:t>in order to</w:t>
      </w:r>
      <w:proofErr w:type="gramEnd"/>
      <w:r w:rsidRPr="00C547BF">
        <w:rPr>
          <w:rFonts w:ascii="Cambria" w:hAnsi="Cambria" w:cs="Univers"/>
          <w:lang w:val="en-US"/>
        </w:rPr>
        <w:t xml:space="preserve"> make his work more difficult. </w:t>
      </w:r>
      <w:proofErr w:type="spellStart"/>
      <w:r w:rsidRPr="00C547BF">
        <w:rPr>
          <w:rFonts w:ascii="Cambria" w:hAnsi="Cambria" w:cs="Univers"/>
          <w:lang w:val="es-ES"/>
        </w:rPr>
        <w:t>This</w:t>
      </w:r>
      <w:proofErr w:type="spellEnd"/>
      <w:r w:rsidRPr="00C547BF">
        <w:rPr>
          <w:rFonts w:ascii="Cambria" w:hAnsi="Cambria" w:cs="Univers"/>
          <w:lang w:val="es-ES"/>
        </w:rPr>
        <w:t xml:space="preserve"> </w:t>
      </w:r>
      <w:proofErr w:type="spellStart"/>
      <w:r w:rsidRPr="00C547BF">
        <w:rPr>
          <w:rFonts w:ascii="Cambria" w:hAnsi="Cambria" w:cs="Univers"/>
          <w:lang w:val="es-ES"/>
        </w:rPr>
        <w:t>information</w:t>
      </w:r>
      <w:proofErr w:type="spellEnd"/>
      <w:r w:rsidRPr="00C547BF">
        <w:rPr>
          <w:rFonts w:ascii="Cambria" w:hAnsi="Cambria" w:cs="Univers"/>
          <w:lang w:val="es-ES"/>
        </w:rPr>
        <w:t xml:space="preserve"> </w:t>
      </w:r>
      <w:proofErr w:type="spellStart"/>
      <w:r w:rsidRPr="00C547BF">
        <w:rPr>
          <w:rFonts w:ascii="Cambria" w:hAnsi="Cambria" w:cs="Univers"/>
          <w:lang w:val="es-ES"/>
        </w:rPr>
        <w:t>was</w:t>
      </w:r>
      <w:proofErr w:type="spellEnd"/>
      <w:r w:rsidRPr="00C547BF">
        <w:rPr>
          <w:rFonts w:ascii="Cambria" w:hAnsi="Cambria" w:cs="Univers"/>
          <w:lang w:val="es-ES"/>
        </w:rPr>
        <w:t xml:space="preserve"> </w:t>
      </w:r>
      <w:proofErr w:type="spellStart"/>
      <w:r w:rsidRPr="00C547BF">
        <w:rPr>
          <w:rFonts w:ascii="Cambria" w:hAnsi="Cambria" w:cs="Univers"/>
          <w:lang w:val="es-ES"/>
        </w:rPr>
        <w:t>not</w:t>
      </w:r>
      <w:proofErr w:type="spellEnd"/>
      <w:r w:rsidRPr="00C547BF">
        <w:rPr>
          <w:rFonts w:ascii="Cambria" w:hAnsi="Cambria" w:cs="Univers"/>
          <w:lang w:val="es-ES"/>
        </w:rPr>
        <w:t xml:space="preserve"> </w:t>
      </w:r>
      <w:proofErr w:type="spellStart"/>
      <w:r w:rsidRPr="00C547BF">
        <w:rPr>
          <w:rFonts w:ascii="Cambria" w:hAnsi="Cambria" w:cs="Univers"/>
          <w:lang w:val="es-ES"/>
        </w:rPr>
        <w:t>disputed</w:t>
      </w:r>
      <w:proofErr w:type="spellEnd"/>
      <w:r w:rsidRPr="00C547BF">
        <w:rPr>
          <w:rFonts w:ascii="Cambria" w:hAnsi="Cambria" w:cs="Univers"/>
          <w:lang w:val="es-ES"/>
        </w:rPr>
        <w:t xml:space="preserve"> </w:t>
      </w:r>
      <w:proofErr w:type="spellStart"/>
      <w:r w:rsidRPr="00C547BF">
        <w:rPr>
          <w:rFonts w:ascii="Cambria" w:hAnsi="Cambria" w:cs="Univers"/>
          <w:lang w:val="es-ES"/>
        </w:rPr>
        <w:t>by</w:t>
      </w:r>
      <w:proofErr w:type="spellEnd"/>
      <w:r w:rsidRPr="00C547BF">
        <w:rPr>
          <w:rFonts w:ascii="Cambria" w:hAnsi="Cambria" w:cs="Univers"/>
          <w:lang w:val="es-ES"/>
        </w:rPr>
        <w:t xml:space="preserve"> </w:t>
      </w:r>
      <w:proofErr w:type="spellStart"/>
      <w:r w:rsidRPr="00C547BF">
        <w:rPr>
          <w:rFonts w:ascii="Cambria" w:hAnsi="Cambria" w:cs="Univers"/>
          <w:lang w:val="es-ES"/>
        </w:rPr>
        <w:t>the</w:t>
      </w:r>
      <w:proofErr w:type="spellEnd"/>
      <w:r w:rsidRPr="00C547BF">
        <w:rPr>
          <w:rFonts w:ascii="Cambria" w:hAnsi="Cambria" w:cs="Univers"/>
          <w:lang w:val="es-ES"/>
        </w:rPr>
        <w:t xml:space="preserve"> </w:t>
      </w:r>
      <w:proofErr w:type="spellStart"/>
      <w:r w:rsidRPr="00C547BF">
        <w:rPr>
          <w:rFonts w:ascii="Cambria" w:hAnsi="Cambria" w:cs="Univers"/>
          <w:lang w:val="es-ES"/>
        </w:rPr>
        <w:t>State</w:t>
      </w:r>
      <w:proofErr w:type="spellEnd"/>
      <w:r w:rsidRPr="00C547BF">
        <w:rPr>
          <w:rFonts w:ascii="Cambria" w:hAnsi="Cambria" w:cs="Univers"/>
        </w:rPr>
        <w:t xml:space="preserve">. </w:t>
      </w:r>
    </w:p>
    <w:p w14:paraId="5CEF6B95" w14:textId="77777777" w:rsidR="00171179" w:rsidRPr="00C547BF" w:rsidRDefault="00171179" w:rsidP="00171179">
      <w:pPr>
        <w:pStyle w:val="Prrafodelista"/>
        <w:rPr>
          <w:rFonts w:cs="Univers"/>
          <w:szCs w:val="20"/>
        </w:rPr>
      </w:pPr>
    </w:p>
    <w:p w14:paraId="67FF28FD"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cs="Univers"/>
          <w:lang w:val="en-US"/>
        </w:rPr>
        <w:t xml:space="preserve">In view of the foregoing, the Commission concludes that the State is responsible for the violation of the right established in Article VIII of the American Declaration to the detriment of </w:t>
      </w:r>
      <w:r w:rsidRPr="00C547BF">
        <w:rPr>
          <w:rFonts w:ascii="Cambria" w:hAnsi="Cambria"/>
          <w:lang w:val="en-US"/>
        </w:rPr>
        <w:t xml:space="preserve">Oswaldo </w:t>
      </w:r>
      <w:proofErr w:type="spellStart"/>
      <w:r w:rsidRPr="00C547BF">
        <w:rPr>
          <w:rFonts w:ascii="Cambria" w:hAnsi="Cambria"/>
          <w:lang w:val="en-US"/>
        </w:rPr>
        <w:t>Payá</w:t>
      </w:r>
      <w:proofErr w:type="spellEnd"/>
      <w:r w:rsidRPr="00C547BF">
        <w:rPr>
          <w:rFonts w:ascii="Cambria" w:hAnsi="Cambria"/>
          <w:lang w:val="en-US"/>
        </w:rPr>
        <w:t xml:space="preserve"> and his next of kin. The Commission does not have sufficient information to pronounce on the violations of this right to the detriment of Harold Cepero and </w:t>
      </w:r>
      <w:proofErr w:type="spellStart"/>
      <w:r w:rsidRPr="00C547BF">
        <w:rPr>
          <w:rFonts w:ascii="Cambria" w:hAnsi="Cambria"/>
          <w:lang w:val="en-US"/>
        </w:rPr>
        <w:t>Ángel</w:t>
      </w:r>
      <w:proofErr w:type="spellEnd"/>
      <w:r w:rsidRPr="00C547BF">
        <w:rPr>
          <w:rFonts w:ascii="Cambria" w:hAnsi="Cambria"/>
          <w:lang w:val="en-US"/>
        </w:rPr>
        <w:t xml:space="preserve"> </w:t>
      </w:r>
      <w:proofErr w:type="spellStart"/>
      <w:r w:rsidRPr="00C547BF">
        <w:rPr>
          <w:rFonts w:ascii="Cambria" w:hAnsi="Cambria"/>
          <w:lang w:val="en-US"/>
        </w:rPr>
        <w:t>Carromero</w:t>
      </w:r>
      <w:proofErr w:type="spellEnd"/>
      <w:r w:rsidRPr="00C547BF">
        <w:rPr>
          <w:rFonts w:ascii="Cambria" w:hAnsi="Cambria"/>
          <w:lang w:val="en-US"/>
        </w:rPr>
        <w:t xml:space="preserve">. </w:t>
      </w:r>
    </w:p>
    <w:p w14:paraId="42D46766" w14:textId="77777777" w:rsidR="00171179" w:rsidRPr="00C547BF" w:rsidRDefault="00171179" w:rsidP="00171179">
      <w:pPr>
        <w:rPr>
          <w:lang w:val="en-US"/>
        </w:rPr>
      </w:pPr>
    </w:p>
    <w:p w14:paraId="698F86B3" w14:textId="0549A4FB"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In addition, the Commission takes note of the information presented by the petitioner regarding the telephone interceptions carried out by State agencies to the detriment of Mr. </w:t>
      </w:r>
      <w:proofErr w:type="spellStart"/>
      <w:r w:rsidRPr="00C547BF">
        <w:rPr>
          <w:rFonts w:ascii="Cambria" w:hAnsi="Cambria"/>
          <w:lang w:val="en-US"/>
        </w:rPr>
        <w:t>Payá</w:t>
      </w:r>
      <w:proofErr w:type="spellEnd"/>
      <w:r w:rsidRPr="00C547BF">
        <w:rPr>
          <w:rFonts w:ascii="Cambria" w:hAnsi="Cambria"/>
          <w:lang w:val="en-US"/>
        </w:rPr>
        <w:t xml:space="preserve"> and his family. This is due to his human rights defense work, as well as his high profile as a political dissident. The State did not dispute this information, nor did it present any documentation justifying the legality, compelling purpose, </w:t>
      </w:r>
      <w:r w:rsidR="004F4DC6" w:rsidRPr="00C547BF">
        <w:rPr>
          <w:rFonts w:ascii="Cambria" w:hAnsi="Cambria"/>
          <w:lang w:val="en-US"/>
        </w:rPr>
        <w:t>necessity,</w:t>
      </w:r>
      <w:r w:rsidRPr="00C547BF">
        <w:rPr>
          <w:rFonts w:ascii="Cambria" w:hAnsi="Cambria"/>
          <w:lang w:val="en-US"/>
        </w:rPr>
        <w:t xml:space="preserve"> and proportionality of said interceptions. </w:t>
      </w:r>
    </w:p>
    <w:p w14:paraId="422F6847" w14:textId="77777777" w:rsidR="00171179" w:rsidRPr="00C547BF" w:rsidRDefault="00171179" w:rsidP="00171179">
      <w:pPr>
        <w:pStyle w:val="Prrafodelista"/>
        <w:rPr>
          <w:lang w:val="en-US"/>
        </w:rPr>
      </w:pPr>
    </w:p>
    <w:p w14:paraId="2FC0512C" w14:textId="1BBC129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To this is added the information presented by the petitioner regarding the entry of state authorities into the homes of Mr. </w:t>
      </w:r>
      <w:proofErr w:type="spellStart"/>
      <w:r w:rsidRPr="00C547BF">
        <w:rPr>
          <w:rFonts w:ascii="Cambria" w:hAnsi="Cambria"/>
          <w:lang w:val="en-US"/>
        </w:rPr>
        <w:t>Payá</w:t>
      </w:r>
      <w:proofErr w:type="spellEnd"/>
      <w:r w:rsidRPr="00C547BF">
        <w:rPr>
          <w:rFonts w:ascii="Cambria" w:hAnsi="Cambria"/>
          <w:lang w:val="en-US"/>
        </w:rPr>
        <w:t xml:space="preserve"> and his family members. This was for the purpose of placing microphones and listening to their conversations. The State did not dispute this information, nor did it present documentation to justify the legality, imperative purpose, </w:t>
      </w:r>
      <w:r w:rsidR="004F4DC6" w:rsidRPr="00C547BF">
        <w:rPr>
          <w:rFonts w:ascii="Cambria" w:hAnsi="Cambria"/>
          <w:lang w:val="en-US"/>
        </w:rPr>
        <w:t>necessity,</w:t>
      </w:r>
      <w:r w:rsidRPr="00C547BF">
        <w:rPr>
          <w:rFonts w:ascii="Cambria" w:hAnsi="Cambria"/>
          <w:lang w:val="en-US"/>
        </w:rPr>
        <w:t xml:space="preserve"> and proportionality of the interference in their homes. </w:t>
      </w:r>
    </w:p>
    <w:p w14:paraId="7FF6D59B" w14:textId="77777777" w:rsidR="00171179" w:rsidRPr="00C547BF" w:rsidRDefault="00171179" w:rsidP="00171179">
      <w:pPr>
        <w:rPr>
          <w:lang w:val="en-US"/>
        </w:rPr>
      </w:pPr>
    </w:p>
    <w:p w14:paraId="3B6D863B"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The Commission notes that these State actions against political dissidents and human rights defenders in Cuba have been identified by the Commission in the framework of its system of petitions and cases. The IACHR concluded that they are part of a context of state harassment and persecution, which has increased and reveals the use of surveillance by the State as an instrument and means to identify the activity of political dissidents and human rights defenders</w:t>
      </w:r>
      <w:r w:rsidRPr="00C547BF">
        <w:rPr>
          <w:rStyle w:val="Refdenotaalpie"/>
          <w:rFonts w:ascii="Cambria" w:eastAsia="Cambria" w:hAnsi="Cambria"/>
        </w:rPr>
        <w:footnoteReference w:id="134"/>
      </w:r>
      <w:r w:rsidRPr="00C547BF">
        <w:rPr>
          <w:rFonts w:ascii="Cambria" w:hAnsi="Cambria"/>
          <w:lang w:val="en-US"/>
        </w:rPr>
        <w:t xml:space="preserve"> . </w:t>
      </w:r>
    </w:p>
    <w:p w14:paraId="73C36710" w14:textId="77777777" w:rsidR="00171179" w:rsidRPr="00C547BF" w:rsidRDefault="00171179" w:rsidP="00171179">
      <w:pPr>
        <w:rPr>
          <w:lang w:val="en-US"/>
        </w:rPr>
      </w:pPr>
    </w:p>
    <w:p w14:paraId="2A55C4A7"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In view of the foregoing, the Commission concludes that the State is responsible for the violation of the rights established in Articles IX and X of the American Declaration to the detriment of Oswaldo </w:t>
      </w:r>
      <w:proofErr w:type="spellStart"/>
      <w:r w:rsidRPr="00C547BF">
        <w:rPr>
          <w:rFonts w:ascii="Cambria" w:hAnsi="Cambria"/>
          <w:lang w:val="en-US"/>
        </w:rPr>
        <w:t>Payá</w:t>
      </w:r>
      <w:proofErr w:type="spellEnd"/>
      <w:r w:rsidRPr="00C547BF">
        <w:rPr>
          <w:rFonts w:ascii="Cambria" w:hAnsi="Cambria"/>
          <w:lang w:val="en-US"/>
        </w:rPr>
        <w:t xml:space="preserve"> and his next of kin. </w:t>
      </w:r>
      <w:r w:rsidRPr="00C547BF">
        <w:rPr>
          <w:rFonts w:ascii="Cambria" w:hAnsi="Cambria" w:cs="Univers"/>
          <w:lang w:val="en-US"/>
        </w:rPr>
        <w:t xml:space="preserve">Likewise, </w:t>
      </w:r>
      <w:proofErr w:type="gramStart"/>
      <w:r w:rsidRPr="00C547BF">
        <w:rPr>
          <w:rFonts w:ascii="Cambria" w:hAnsi="Cambria" w:cs="Univers"/>
          <w:lang w:val="en-US"/>
        </w:rPr>
        <w:t>taking into account</w:t>
      </w:r>
      <w:proofErr w:type="gramEnd"/>
      <w:r w:rsidRPr="00C547BF">
        <w:rPr>
          <w:rFonts w:ascii="Cambria" w:hAnsi="Cambria" w:cs="Univers"/>
          <w:lang w:val="en-US"/>
        </w:rPr>
        <w:t xml:space="preserve"> his status as a political dissident and human rights defender, the IACHR considers that these violations </w:t>
      </w:r>
      <w:r w:rsidRPr="00C547BF">
        <w:rPr>
          <w:rFonts w:ascii="Cambria" w:hAnsi="Cambria"/>
          <w:bdr w:val="none" w:sz="0" w:space="0" w:color="auto" w:frame="1"/>
          <w:lang w:val="en-US"/>
        </w:rPr>
        <w:t xml:space="preserve">were linked to his work and that they were aimed at stigmatizing him, intimidating him, and preventing him from continuing his activities, which constitutes a violation of his right to freedom of expression. Consequently, the IACHR concludes that the State is responsible for the violation of the right established in Article IV of the American Declaration to the detriment of Oswaldo </w:t>
      </w:r>
      <w:proofErr w:type="spellStart"/>
      <w:r w:rsidRPr="00C547BF">
        <w:rPr>
          <w:rFonts w:ascii="Cambria" w:hAnsi="Cambria"/>
          <w:bdr w:val="none" w:sz="0" w:space="0" w:color="auto" w:frame="1"/>
          <w:lang w:val="en-US"/>
        </w:rPr>
        <w:t>Payá</w:t>
      </w:r>
      <w:proofErr w:type="spellEnd"/>
      <w:r w:rsidRPr="00C547BF">
        <w:rPr>
          <w:rFonts w:ascii="Cambria" w:hAnsi="Cambria"/>
          <w:bdr w:val="none" w:sz="0" w:space="0" w:color="auto" w:frame="1"/>
          <w:lang w:val="en-US"/>
        </w:rPr>
        <w:t>.</w:t>
      </w:r>
      <w:r w:rsidRPr="00C547BF">
        <w:rPr>
          <w:bdr w:val="none" w:sz="0" w:space="0" w:color="auto" w:frame="1"/>
          <w:lang w:val="en-US"/>
        </w:rPr>
        <w:t xml:space="preserve"> </w:t>
      </w:r>
    </w:p>
    <w:p w14:paraId="37660D9D" w14:textId="77777777" w:rsidR="00171179" w:rsidRPr="00C547BF" w:rsidRDefault="00171179" w:rsidP="00171179">
      <w:pPr>
        <w:pStyle w:val="parrafos"/>
        <w:tabs>
          <w:tab w:val="clear" w:pos="360"/>
        </w:tabs>
        <w:rPr>
          <w:rFonts w:ascii="Cambria" w:hAnsi="Cambria"/>
          <w:lang w:val="en-US"/>
        </w:rPr>
      </w:pPr>
    </w:p>
    <w:p w14:paraId="61251CCB"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Finally, the Commission does not have sufficient information to rule on the violations of this right to the detriment of Harold Cepero. Likewise, the IACHR does not have sufficient information to rule on violations related to the right to assembly. </w:t>
      </w:r>
    </w:p>
    <w:p w14:paraId="67CE9300" w14:textId="77777777" w:rsidR="00171179" w:rsidRPr="00C547BF" w:rsidRDefault="00171179" w:rsidP="00171179">
      <w:pPr>
        <w:rPr>
          <w:szCs w:val="20"/>
          <w:lang w:val="en-US"/>
        </w:rPr>
      </w:pPr>
    </w:p>
    <w:p w14:paraId="7AEA5F7B" w14:textId="77777777" w:rsidR="00171179" w:rsidRPr="00C547BF" w:rsidRDefault="00171179" w:rsidP="00563529">
      <w:pPr>
        <w:pStyle w:val="Ttulo2"/>
        <w:numPr>
          <w:ilvl w:val="0"/>
          <w:numId w:val="65"/>
        </w:numPr>
        <w:tabs>
          <w:tab w:val="num" w:pos="720"/>
        </w:tabs>
        <w:spacing w:before="0"/>
        <w:ind w:left="360"/>
        <w:rPr>
          <w:rFonts w:eastAsia="SimSun"/>
          <w:lang w:val="en-US"/>
        </w:rPr>
      </w:pPr>
      <w:bookmarkStart w:id="42" w:name="_Toc136860064"/>
      <w:r w:rsidRPr="00C547BF">
        <w:rPr>
          <w:rFonts w:eastAsia="SimSun"/>
          <w:lang w:val="en-US"/>
        </w:rPr>
        <w:lastRenderedPageBreak/>
        <w:t>Right to justice; right to due process; and right to petition (Articles XVIII, XXI and XXIV of the American Declaration).</w:t>
      </w:r>
      <w:bookmarkEnd w:id="42"/>
    </w:p>
    <w:p w14:paraId="0C5DF4E3" w14:textId="77777777" w:rsidR="00171179" w:rsidRPr="00C547BF" w:rsidRDefault="00171179" w:rsidP="00171179">
      <w:pPr>
        <w:rPr>
          <w:szCs w:val="20"/>
          <w:lang w:val="en-US"/>
        </w:rPr>
      </w:pPr>
    </w:p>
    <w:p w14:paraId="0B885E0B" w14:textId="77777777" w:rsidR="00171179" w:rsidRPr="00C547BF" w:rsidRDefault="00171179" w:rsidP="00563529">
      <w:pPr>
        <w:pStyle w:val="Prrafodelista"/>
        <w:numPr>
          <w:ilvl w:val="0"/>
          <w:numId w:val="70"/>
        </w:numPr>
        <w:pBdr>
          <w:top w:val="nil"/>
          <w:left w:val="nil"/>
          <w:bottom w:val="nil"/>
          <w:right w:val="nil"/>
          <w:between w:val="nil"/>
          <w:bar w:val="nil"/>
        </w:pBdr>
        <w:spacing w:after="0"/>
        <w:ind w:left="360"/>
        <w:contextualSpacing w:val="0"/>
        <w:rPr>
          <w:b/>
          <w:bCs/>
          <w:szCs w:val="20"/>
          <w:lang w:val="es-PE"/>
        </w:rPr>
      </w:pPr>
      <w:r w:rsidRPr="00C547BF">
        <w:rPr>
          <w:b/>
          <w:bCs/>
          <w:szCs w:val="20"/>
          <w:lang w:val="es-PE"/>
        </w:rPr>
        <w:t>General considerations</w:t>
      </w:r>
    </w:p>
    <w:p w14:paraId="098C7A9B" w14:textId="77777777" w:rsidR="00171179" w:rsidRPr="00C547BF" w:rsidRDefault="00171179" w:rsidP="00171179">
      <w:pPr>
        <w:rPr>
          <w:szCs w:val="20"/>
          <w:lang w:val="es-PE"/>
        </w:rPr>
      </w:pPr>
    </w:p>
    <w:p w14:paraId="6D483F08"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The Commission recalls that States have the duty to provide effective judicial remedies to the victims of human rights violations, which must be substantiated in accordance with the rules of due process of law</w:t>
      </w:r>
      <w:r w:rsidRPr="00C547BF">
        <w:rPr>
          <w:rStyle w:val="Refdenotaalpie"/>
          <w:rFonts w:ascii="Cambria" w:hAnsi="Cambria"/>
          <w:lang w:val="es-CO"/>
        </w:rPr>
        <w:footnoteReference w:id="135"/>
      </w:r>
      <w:r w:rsidRPr="00C547BF">
        <w:rPr>
          <w:rFonts w:ascii="Cambria" w:hAnsi="Cambria"/>
          <w:lang w:val="en-US"/>
        </w:rPr>
        <w:t xml:space="preserve"> . This obligation, which is one of means and not of result, must be assumed by the State as its own legal obligation and not as a mere formality condemned in advance to be fruitless</w:t>
      </w:r>
      <w:r w:rsidRPr="00C547BF">
        <w:rPr>
          <w:rStyle w:val="Refdenotaalpie"/>
          <w:rFonts w:ascii="Cambria" w:hAnsi="Cambria"/>
          <w:lang w:val="es-CO"/>
        </w:rPr>
        <w:footnoteReference w:id="136"/>
      </w:r>
      <w:r w:rsidRPr="00C547BF">
        <w:rPr>
          <w:rFonts w:ascii="Cambria" w:hAnsi="Cambria"/>
          <w:lang w:val="en-US"/>
        </w:rPr>
        <w:t xml:space="preserve"> .</w:t>
      </w:r>
    </w:p>
    <w:p w14:paraId="07A714FD" w14:textId="77777777" w:rsidR="00171179" w:rsidRPr="00C547BF" w:rsidRDefault="00171179" w:rsidP="00171179">
      <w:pPr>
        <w:pStyle w:val="parrafos"/>
        <w:autoSpaceDE w:val="0"/>
        <w:autoSpaceDN w:val="0"/>
        <w:adjustRightInd w:val="0"/>
        <w:rPr>
          <w:rFonts w:ascii="Cambria" w:hAnsi="Cambria"/>
          <w:lang w:val="en-US"/>
        </w:rPr>
      </w:pPr>
    </w:p>
    <w:p w14:paraId="2FDCE3C9"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In </w:t>
      </w:r>
      <w:r w:rsidRPr="00C547BF">
        <w:rPr>
          <w:rFonts w:ascii="Cambria" w:eastAsia="Times New Roman" w:hAnsi="Cambria"/>
          <w:bdr w:val="none" w:sz="0" w:space="0" w:color="auto"/>
          <w:lang w:val="en-US"/>
        </w:rPr>
        <w:t>cases of attacks against human rights defenders, the Court has held that States have the obligation to ensure impartial, timely and informal justice, which implies an exhaustive search for all information to design and carry out an investigation that leads to a proper analysis of the hypotheses of perpetration, by action or omission, at different levels, exploring all relevant lines of investigation to identify the perpetrators</w:t>
      </w:r>
      <w:r w:rsidRPr="00C547BF">
        <w:rPr>
          <w:rStyle w:val="Refdenotaalpie"/>
          <w:rFonts w:ascii="Cambria" w:eastAsia="Times New Roman" w:hAnsi="Cambria"/>
          <w:bdr w:val="none" w:sz="0" w:space="0" w:color="auto"/>
          <w:lang w:val="es-ES"/>
        </w:rPr>
        <w:footnoteReference w:id="137"/>
      </w:r>
      <w:r w:rsidRPr="00C547BF">
        <w:rPr>
          <w:rFonts w:ascii="Cambria" w:eastAsia="Times New Roman" w:hAnsi="Cambria"/>
          <w:bdr w:val="none" w:sz="0" w:space="0" w:color="auto"/>
          <w:lang w:val="en-US"/>
        </w:rPr>
        <w:t xml:space="preserve"> . Consequently, when faced with indications or allegations that a certain act against a human rights defender may have been motivated precisely by his or her work in the defense and promotion of human rights, the investigating authorities must take into account the context of the facts and his or her activities to identify the interests that could have been affected in the exercise of those activities, in order to establish and exhaust the lines of investigation that take into account his or her work, determine the hypothesis of the crime, and identify the perpetrators</w:t>
      </w:r>
      <w:r w:rsidRPr="00C547BF">
        <w:rPr>
          <w:rStyle w:val="Refdenotaalpie"/>
          <w:rFonts w:ascii="Cambria" w:eastAsia="Times New Roman" w:hAnsi="Cambria"/>
          <w:bdr w:val="none" w:sz="0" w:space="0" w:color="auto"/>
          <w:lang w:val="es-ES"/>
        </w:rPr>
        <w:footnoteReference w:id="138"/>
      </w:r>
      <w:r w:rsidRPr="00C547BF">
        <w:rPr>
          <w:rFonts w:ascii="Cambria" w:eastAsia="Times New Roman" w:hAnsi="Cambria"/>
          <w:bdr w:val="none" w:sz="0" w:space="0" w:color="auto"/>
          <w:lang w:val="en-US"/>
        </w:rPr>
        <w:t xml:space="preserve"> .</w:t>
      </w:r>
    </w:p>
    <w:p w14:paraId="481B6080" w14:textId="77777777" w:rsidR="00171179" w:rsidRPr="00C547BF" w:rsidRDefault="00171179" w:rsidP="00171179">
      <w:pPr>
        <w:pStyle w:val="Prrafodelista"/>
        <w:rPr>
          <w:lang w:val="en-US"/>
        </w:rPr>
      </w:pPr>
    </w:p>
    <w:p w14:paraId="5D51D71B"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In relation to the right to petition, the IACHR notes that everyone has the right to request access to information under the control of the State. In this sense, such information must be provided without the need to prove a direct interest in obtaining it or a personal affectation, except in cases where a legitimate restriction applies</w:t>
      </w:r>
      <w:r w:rsidRPr="00C547BF">
        <w:rPr>
          <w:rStyle w:val="Refdenotaalpie"/>
          <w:rFonts w:ascii="Cambria" w:hAnsi="Cambria"/>
        </w:rPr>
        <w:footnoteReference w:id="139"/>
      </w:r>
      <w:r w:rsidRPr="00C547BF">
        <w:rPr>
          <w:rFonts w:ascii="Cambria" w:hAnsi="Cambria"/>
          <w:lang w:val="en-US"/>
        </w:rPr>
        <w:t xml:space="preserve"> . In accordance with the right to petition, the State has the obligation to provide the requested information, or if the refusal to provide it is appropriate, it must give a reasoned response that allows to know the reasons and rules on which it bases its refusal to provide the information</w:t>
      </w:r>
      <w:r w:rsidRPr="00C547BF">
        <w:rPr>
          <w:rStyle w:val="Refdenotaalpie"/>
          <w:rFonts w:ascii="Cambria" w:hAnsi="Cambria"/>
        </w:rPr>
        <w:footnoteReference w:id="140"/>
      </w:r>
      <w:r w:rsidRPr="00C547BF">
        <w:rPr>
          <w:rFonts w:ascii="Cambria" w:hAnsi="Cambria"/>
          <w:lang w:val="en-US"/>
        </w:rPr>
        <w:t xml:space="preserve"> .</w:t>
      </w:r>
    </w:p>
    <w:p w14:paraId="27B60106" w14:textId="77777777" w:rsidR="00171179" w:rsidRPr="00C547BF" w:rsidRDefault="00171179" w:rsidP="00171179">
      <w:pPr>
        <w:pStyle w:val="Prrafodelista"/>
        <w:rPr>
          <w:lang w:val="en-US"/>
        </w:rPr>
      </w:pPr>
    </w:p>
    <w:p w14:paraId="0C521155" w14:textId="77777777" w:rsidR="00171179" w:rsidRPr="00C547BF" w:rsidRDefault="00171179" w:rsidP="00563529">
      <w:pPr>
        <w:pStyle w:val="parrafos"/>
        <w:numPr>
          <w:ilvl w:val="0"/>
          <w:numId w:val="62"/>
        </w:numPr>
        <w:tabs>
          <w:tab w:val="clear" w:pos="720"/>
          <w:tab w:val="num" w:pos="360"/>
        </w:tabs>
        <w:ind w:firstLine="0"/>
        <w:rPr>
          <w:rFonts w:ascii="Cambria" w:eastAsia="Cambria" w:hAnsi="Cambria" w:cs="Cambria"/>
          <w:lang w:val="en-US"/>
        </w:rPr>
      </w:pPr>
      <w:r w:rsidRPr="00C547BF">
        <w:rPr>
          <w:rFonts w:ascii="Cambria" w:hAnsi="Cambria"/>
          <w:lang w:val="en-US"/>
        </w:rPr>
        <w:t xml:space="preserve">In addition, the Commission recalls that the person subjected to criminal proceedings must be able to defend his or her interests or rights effectively and under conditions of procedural equality. This is so that the person subjected to the punitive power of the State may present his or her defense with all the necessary information. For its part, </w:t>
      </w:r>
      <w:r w:rsidRPr="00C547BF">
        <w:rPr>
          <w:rFonts w:ascii="Cambria" w:eastAsia="Cambria" w:hAnsi="Cambria" w:cs="Cambria"/>
          <w:lang w:val="en-US"/>
        </w:rPr>
        <w:t xml:space="preserve">the Inter-American Court has held that </w:t>
      </w:r>
      <w:r w:rsidRPr="00C547BF">
        <w:rPr>
          <w:rFonts w:ascii="Cambria" w:hAnsi="Cambria"/>
          <w:lang w:val="en-US"/>
        </w:rPr>
        <w:t>from the beginning of the first proceedings of a criminal proceeding there must be the maximum procedural guarantees to safeguard the right of the accused to a defense</w:t>
      </w:r>
      <w:r w:rsidRPr="00C547BF">
        <w:rPr>
          <w:rStyle w:val="Refdenotaalpie"/>
          <w:rFonts w:ascii="Cambria" w:hAnsi="Cambria"/>
        </w:rPr>
        <w:footnoteReference w:id="141"/>
      </w:r>
      <w:r w:rsidRPr="00C547BF">
        <w:rPr>
          <w:rFonts w:ascii="Cambria" w:hAnsi="Cambria"/>
          <w:lang w:val="en-US"/>
        </w:rPr>
        <w:t xml:space="preserve"> . Likewise, the necessary elements must be present so that there is the greatest balance between the parties, for the due defense of their interests and rights, which implies, among other things, that the principle of adversarial proceedings should govern</w:t>
      </w:r>
      <w:r w:rsidRPr="00C547BF">
        <w:rPr>
          <w:rStyle w:val="Refdenotaalpie"/>
          <w:rFonts w:ascii="Cambria" w:hAnsi="Cambria"/>
        </w:rPr>
        <w:footnoteReference w:id="142"/>
      </w:r>
      <w:r w:rsidRPr="00C547BF">
        <w:rPr>
          <w:rFonts w:ascii="Cambria" w:hAnsi="Cambria"/>
          <w:lang w:val="en-US"/>
        </w:rPr>
        <w:t xml:space="preserve"> .</w:t>
      </w:r>
    </w:p>
    <w:p w14:paraId="436FAEAA" w14:textId="77777777" w:rsidR="00171179" w:rsidRPr="00C547BF" w:rsidRDefault="00171179" w:rsidP="00171179">
      <w:pPr>
        <w:rPr>
          <w:szCs w:val="20"/>
          <w:lang w:val="en-US"/>
        </w:rPr>
      </w:pPr>
    </w:p>
    <w:p w14:paraId="2E8C7FDC" w14:textId="77777777" w:rsidR="00171179" w:rsidRPr="00C547BF" w:rsidRDefault="00171179" w:rsidP="00563529">
      <w:pPr>
        <w:pStyle w:val="parrafos"/>
        <w:numPr>
          <w:ilvl w:val="0"/>
          <w:numId w:val="70"/>
        </w:numPr>
        <w:ind w:left="360"/>
        <w:rPr>
          <w:b/>
          <w:bCs/>
          <w:lang w:val="es-CO"/>
        </w:rPr>
      </w:pPr>
      <w:r w:rsidRPr="00C547BF">
        <w:rPr>
          <w:b/>
          <w:bCs/>
          <w:lang w:val="es-CO"/>
        </w:rPr>
        <w:t xml:space="preserve">Case </w:t>
      </w:r>
      <w:proofErr w:type="spellStart"/>
      <w:r w:rsidRPr="00C547BF">
        <w:rPr>
          <w:b/>
          <w:bCs/>
          <w:lang w:val="es-CO"/>
        </w:rPr>
        <w:t>analysis</w:t>
      </w:r>
      <w:proofErr w:type="spellEnd"/>
    </w:p>
    <w:p w14:paraId="5F11D511" w14:textId="77777777" w:rsidR="00171179" w:rsidRPr="00C547BF" w:rsidRDefault="00171179" w:rsidP="00171179">
      <w:pPr>
        <w:rPr>
          <w:szCs w:val="20"/>
          <w:lang w:val="es-PE"/>
        </w:rPr>
      </w:pPr>
    </w:p>
    <w:p w14:paraId="4A27C537" w14:textId="77777777" w:rsidR="00171179" w:rsidRPr="00C547BF" w:rsidRDefault="00171179" w:rsidP="00563529">
      <w:pPr>
        <w:pStyle w:val="parrafos"/>
        <w:numPr>
          <w:ilvl w:val="0"/>
          <w:numId w:val="62"/>
        </w:numPr>
        <w:tabs>
          <w:tab w:val="clear" w:pos="720"/>
          <w:tab w:val="num" w:pos="360"/>
        </w:tabs>
        <w:ind w:firstLine="0"/>
        <w:rPr>
          <w:rFonts w:ascii="Cambria" w:hAnsi="Cambria" w:cs="Cambria"/>
          <w:color w:val="000000"/>
          <w:u w:color="000000"/>
          <w:lang w:val="en-US" w:eastAsia="es-ES"/>
        </w:rPr>
      </w:pPr>
      <w:r w:rsidRPr="00C547BF">
        <w:rPr>
          <w:rFonts w:ascii="Cambria" w:hAnsi="Cambria" w:cs="Cambria"/>
          <w:color w:val="000000"/>
          <w:u w:color="000000"/>
          <w:lang w:val="en-US" w:eastAsia="es-ES"/>
        </w:rPr>
        <w:t xml:space="preserve"> The Commission will now analyze two aspects: </w:t>
      </w:r>
      <w:proofErr w:type="spellStart"/>
      <w:r w:rsidRPr="00C547BF">
        <w:rPr>
          <w:rFonts w:ascii="Cambria" w:hAnsi="Cambria" w:cs="Cambria"/>
          <w:color w:val="000000"/>
          <w:u w:color="000000"/>
          <w:lang w:val="en-US" w:eastAsia="es-ES"/>
        </w:rPr>
        <w:t>i</w:t>
      </w:r>
      <w:proofErr w:type="spellEnd"/>
      <w:r w:rsidRPr="00C547BF">
        <w:rPr>
          <w:rFonts w:ascii="Cambria" w:hAnsi="Cambria" w:cs="Cambria"/>
          <w:color w:val="000000"/>
          <w:u w:color="000000"/>
          <w:lang w:val="en-US" w:eastAsia="es-ES"/>
        </w:rPr>
        <w:t xml:space="preserve">) the right of access to justice for the relatives of Mr. </w:t>
      </w:r>
      <w:proofErr w:type="spellStart"/>
      <w:r w:rsidRPr="00C547BF">
        <w:rPr>
          <w:rFonts w:ascii="Cambria" w:hAnsi="Cambria" w:cs="Cambria"/>
          <w:color w:val="000000"/>
          <w:u w:color="000000"/>
          <w:lang w:val="en-US" w:eastAsia="es-ES"/>
        </w:rPr>
        <w:t>Payá</w:t>
      </w:r>
      <w:proofErr w:type="spellEnd"/>
      <w:r w:rsidRPr="00C547BF">
        <w:rPr>
          <w:rFonts w:ascii="Cambria" w:hAnsi="Cambria" w:cs="Cambria"/>
          <w:color w:val="000000"/>
          <w:u w:color="000000"/>
          <w:lang w:val="en-US" w:eastAsia="es-ES"/>
        </w:rPr>
        <w:t xml:space="preserve"> and Mr. Cepero; and ii) the observance of judicial guarantees in favor of Mr. </w:t>
      </w:r>
      <w:proofErr w:type="spellStart"/>
      <w:r w:rsidRPr="00C547BF">
        <w:rPr>
          <w:rFonts w:ascii="Cambria" w:hAnsi="Cambria" w:cs="Cambria"/>
          <w:color w:val="000000"/>
          <w:u w:color="000000"/>
          <w:lang w:val="en-US" w:eastAsia="es-ES"/>
        </w:rPr>
        <w:t>Carromero's</w:t>
      </w:r>
      <w:proofErr w:type="spellEnd"/>
      <w:r w:rsidRPr="00C547BF">
        <w:rPr>
          <w:rFonts w:ascii="Cambria" w:hAnsi="Cambria" w:cs="Cambria"/>
          <w:color w:val="000000"/>
          <w:u w:color="000000"/>
          <w:lang w:val="en-US" w:eastAsia="es-ES"/>
        </w:rPr>
        <w:t xml:space="preserve"> trial.</w:t>
      </w:r>
    </w:p>
    <w:p w14:paraId="72C5B93A" w14:textId="77777777" w:rsidR="00171179" w:rsidRPr="00C547BF" w:rsidRDefault="00171179" w:rsidP="00171179">
      <w:pPr>
        <w:pStyle w:val="parrafos"/>
        <w:tabs>
          <w:tab w:val="clear" w:pos="360"/>
        </w:tabs>
        <w:rPr>
          <w:rFonts w:ascii="Cambria" w:hAnsi="Cambria" w:cs="Cambria"/>
          <w:color w:val="000000"/>
          <w:u w:color="000000"/>
          <w:lang w:val="en-US" w:eastAsia="es-ES"/>
        </w:rPr>
      </w:pPr>
    </w:p>
    <w:p w14:paraId="265FD5A4" w14:textId="77777777" w:rsidR="00171179" w:rsidRPr="00C547BF" w:rsidRDefault="00171179" w:rsidP="00563529">
      <w:pPr>
        <w:pStyle w:val="parrafos"/>
        <w:numPr>
          <w:ilvl w:val="0"/>
          <w:numId w:val="62"/>
        </w:numPr>
        <w:tabs>
          <w:tab w:val="clear" w:pos="720"/>
          <w:tab w:val="num" w:pos="360"/>
        </w:tabs>
        <w:ind w:firstLine="0"/>
        <w:rPr>
          <w:rFonts w:ascii="Cambria" w:hAnsi="Cambria" w:cs="Cambria"/>
          <w:color w:val="000000"/>
          <w:u w:color="000000"/>
          <w:lang w:val="en-US" w:eastAsia="es-ES"/>
        </w:rPr>
      </w:pPr>
      <w:proofErr w:type="gramStart"/>
      <w:r w:rsidRPr="00C547BF">
        <w:rPr>
          <w:rFonts w:ascii="Cambria" w:hAnsi="Cambria" w:cs="Cambria"/>
          <w:color w:val="000000"/>
          <w:u w:color="000000"/>
          <w:lang w:val="en-US" w:eastAsia="es-ES"/>
        </w:rPr>
        <w:t>With regard to</w:t>
      </w:r>
      <w:proofErr w:type="gramEnd"/>
      <w:r w:rsidRPr="00C547BF">
        <w:rPr>
          <w:rFonts w:ascii="Cambria" w:hAnsi="Cambria" w:cs="Cambria"/>
          <w:color w:val="000000"/>
          <w:u w:color="000000"/>
          <w:lang w:val="en-US" w:eastAsia="es-ES"/>
        </w:rPr>
        <w:t xml:space="preserve"> the first aspect, the Commission takes note of the petitioner's allegations regarding the lack of access to the proceedings conducted and the investigation file by the next of kin of the alleged victims. Despite multiple requests, the next of kin never had access to the autopsy reports or to the content of the proceedings carried out. The IACHR notes that the State did not present any information to justify its refusal to provide the requested information. The authorities also denied their possibility to participate in the process by requesting evidence. The next of kin alleged that they were also prevented from appealing the conviction on the grounds that the investigation was conducted without due diligence. </w:t>
      </w:r>
    </w:p>
    <w:p w14:paraId="4593B9E3" w14:textId="77777777" w:rsidR="00171179" w:rsidRPr="00C547BF" w:rsidRDefault="00171179" w:rsidP="00171179">
      <w:pPr>
        <w:pStyle w:val="Prrafodelista"/>
        <w:rPr>
          <w:lang w:val="en-US"/>
        </w:rPr>
      </w:pPr>
    </w:p>
    <w:p w14:paraId="4F4F13FA"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cs="Cambria"/>
          <w:color w:val="000000"/>
          <w:u w:color="000000"/>
          <w:lang w:val="en-US" w:eastAsia="es-ES"/>
        </w:rPr>
        <w:t xml:space="preserve">In addition, the Commission observes that according to the documentation presented to it, due diligence was not carried out and the lines of investigation were not exhausted. The IACHR notes that the investigation conducted by the authorities was only aimed at linking Mr. </w:t>
      </w:r>
      <w:proofErr w:type="spellStart"/>
      <w:r w:rsidRPr="00C547BF">
        <w:rPr>
          <w:rFonts w:ascii="Cambria" w:hAnsi="Cambria" w:cs="Cambria"/>
          <w:color w:val="000000"/>
          <w:u w:color="000000"/>
          <w:lang w:val="en-US" w:eastAsia="es-ES"/>
        </w:rPr>
        <w:t>Carromero</w:t>
      </w:r>
      <w:proofErr w:type="spellEnd"/>
      <w:r w:rsidRPr="00C547BF">
        <w:rPr>
          <w:rFonts w:ascii="Cambria" w:hAnsi="Cambria" w:cs="Cambria"/>
          <w:color w:val="000000"/>
          <w:u w:color="000000"/>
          <w:lang w:val="en-US" w:eastAsia="es-ES"/>
        </w:rPr>
        <w:t xml:space="preserve"> as the responsible party. This despite the multiple elements of evidence regarding the possible participation of State agents, as indicated in the previous section, the authorities in charge of the investigation omitted any type of investigation in this regard. On the contrary, as Mr. </w:t>
      </w:r>
      <w:proofErr w:type="spellStart"/>
      <w:r w:rsidRPr="00C547BF">
        <w:rPr>
          <w:rFonts w:ascii="Cambria" w:hAnsi="Cambria" w:cs="Cambria"/>
          <w:color w:val="000000"/>
          <w:u w:color="000000"/>
          <w:lang w:val="en-US" w:eastAsia="es-ES"/>
        </w:rPr>
        <w:t>Carromero</w:t>
      </w:r>
      <w:proofErr w:type="spellEnd"/>
      <w:r w:rsidRPr="00C547BF">
        <w:rPr>
          <w:rFonts w:ascii="Cambria" w:hAnsi="Cambria" w:cs="Cambria"/>
          <w:color w:val="000000"/>
          <w:u w:color="000000"/>
          <w:lang w:val="en-US" w:eastAsia="es-ES"/>
        </w:rPr>
        <w:t xml:space="preserve"> himself stated, without being contested by the State, immediately after the vehicular collision and while he was in the hospital, the authorities threatened him so that he would confess that he was solely responsible for the events. </w:t>
      </w:r>
    </w:p>
    <w:p w14:paraId="27BE47D8" w14:textId="77777777" w:rsidR="00171179" w:rsidRPr="00C547BF" w:rsidRDefault="00171179" w:rsidP="00171179">
      <w:pPr>
        <w:pStyle w:val="Prrafodelista"/>
        <w:rPr>
          <w:lang w:val="en-US"/>
        </w:rPr>
      </w:pPr>
    </w:p>
    <w:p w14:paraId="49D70422"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cs="Cambria"/>
          <w:color w:val="000000"/>
          <w:u w:color="000000"/>
          <w:lang w:val="en-US" w:eastAsia="es-ES"/>
        </w:rPr>
        <w:t xml:space="preserve">In addition, the next of kin were prevented from participating in the trial that eventually resulted in a conviction against Mr. </w:t>
      </w:r>
      <w:proofErr w:type="spellStart"/>
      <w:r w:rsidRPr="00C547BF">
        <w:rPr>
          <w:rFonts w:ascii="Cambria" w:hAnsi="Cambria" w:cs="Cambria"/>
          <w:color w:val="000000"/>
          <w:u w:color="000000"/>
          <w:lang w:val="en-US" w:eastAsia="es-ES"/>
        </w:rPr>
        <w:t>Carromero</w:t>
      </w:r>
      <w:proofErr w:type="spellEnd"/>
      <w:r w:rsidRPr="00C547BF">
        <w:rPr>
          <w:rFonts w:ascii="Cambria" w:hAnsi="Cambria" w:cs="Cambria"/>
          <w:color w:val="000000"/>
          <w:u w:color="000000"/>
          <w:lang w:val="en-US" w:eastAsia="es-ES"/>
        </w:rPr>
        <w:t xml:space="preserve">. </w:t>
      </w:r>
      <w:r w:rsidRPr="00C547BF">
        <w:rPr>
          <w:rFonts w:ascii="Cambria" w:hAnsi="Cambria"/>
          <w:lang w:val="en-US"/>
        </w:rPr>
        <w:t>In this regard, the Commission notes that restrictions to the principle of publicity of the process are exceptional in nature and must be objectively justified by the courts in the specific case</w:t>
      </w:r>
      <w:r w:rsidRPr="00C547BF">
        <w:rPr>
          <w:rStyle w:val="Refdenotaalpie"/>
          <w:rFonts w:ascii="Cambria" w:hAnsi="Cambria"/>
          <w:lang w:val="es-AR"/>
        </w:rPr>
        <w:footnoteReference w:id="143"/>
      </w:r>
      <w:r w:rsidRPr="00C547BF">
        <w:rPr>
          <w:rFonts w:ascii="Cambria" w:hAnsi="Cambria"/>
          <w:lang w:val="en-US"/>
        </w:rPr>
        <w:t xml:space="preserve"> . The IACHR notes that in the present case, not only the family members did not have access to the trial, but also the media, diplomatic </w:t>
      </w:r>
      <w:proofErr w:type="gramStart"/>
      <w:r w:rsidRPr="00C547BF">
        <w:rPr>
          <w:rFonts w:ascii="Cambria" w:hAnsi="Cambria"/>
          <w:lang w:val="en-US"/>
        </w:rPr>
        <w:t>personnel</w:t>
      </w:r>
      <w:proofErr w:type="gramEnd"/>
      <w:r w:rsidRPr="00C547BF">
        <w:rPr>
          <w:rFonts w:ascii="Cambria" w:hAnsi="Cambria"/>
          <w:lang w:val="en-US"/>
        </w:rPr>
        <w:t xml:space="preserve"> and the general public. The State did not present any type of information that would justify the restriction to the publicity of the trial. </w:t>
      </w:r>
    </w:p>
    <w:p w14:paraId="58C65DF3" w14:textId="77777777" w:rsidR="00171179" w:rsidRPr="00C547BF" w:rsidRDefault="00171179" w:rsidP="00171179">
      <w:pPr>
        <w:pStyle w:val="Prrafodelista"/>
        <w:rPr>
          <w:lang w:val="en-US"/>
        </w:rPr>
      </w:pPr>
    </w:p>
    <w:p w14:paraId="4D0F05B3"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In view of the foregoing, the Commission concludes that the investigation into the death of Mr. </w:t>
      </w:r>
      <w:proofErr w:type="spellStart"/>
      <w:r w:rsidRPr="00C547BF">
        <w:rPr>
          <w:rFonts w:ascii="Cambria" w:hAnsi="Cambria"/>
          <w:lang w:val="en-US"/>
        </w:rPr>
        <w:t>Payá</w:t>
      </w:r>
      <w:proofErr w:type="spellEnd"/>
      <w:r w:rsidRPr="00C547BF">
        <w:rPr>
          <w:rFonts w:ascii="Cambria" w:hAnsi="Cambria"/>
          <w:lang w:val="en-US"/>
        </w:rPr>
        <w:t xml:space="preserve"> and Mr. Cepero failed to comply with the State's obligations of due diligence, exhaustion of logical lines of investigation, publicity of the process, and access to information. In this sense, the IACHR concludes that the State is responsible for the violation of the rights established in Articles XVIII and XXIV of the American Declaration, to the detriment of the next of kin of </w:t>
      </w:r>
      <w:r w:rsidRPr="00C547BF">
        <w:rPr>
          <w:rFonts w:ascii="Cambria" w:hAnsi="Cambria"/>
          <w:bdr w:val="none" w:sz="0" w:space="0" w:color="auto" w:frame="1"/>
          <w:lang w:val="en-US"/>
        </w:rPr>
        <w:t xml:space="preserve">Oswaldo </w:t>
      </w:r>
      <w:proofErr w:type="spellStart"/>
      <w:r w:rsidRPr="00C547BF">
        <w:rPr>
          <w:rFonts w:ascii="Cambria" w:hAnsi="Cambria"/>
          <w:bdr w:val="none" w:sz="0" w:space="0" w:color="auto" w:frame="1"/>
          <w:lang w:val="en-US"/>
        </w:rPr>
        <w:t>Payá</w:t>
      </w:r>
      <w:proofErr w:type="spellEnd"/>
      <w:r w:rsidRPr="00C547BF">
        <w:rPr>
          <w:rFonts w:ascii="Cambria" w:hAnsi="Cambria"/>
          <w:bdr w:val="none" w:sz="0" w:space="0" w:color="auto" w:frame="1"/>
          <w:lang w:val="en-US"/>
        </w:rPr>
        <w:t xml:space="preserve"> and Harold Cepero. </w:t>
      </w:r>
    </w:p>
    <w:p w14:paraId="545A765F" w14:textId="77777777" w:rsidR="00171179" w:rsidRPr="00C547BF" w:rsidRDefault="00171179" w:rsidP="00171179">
      <w:pPr>
        <w:pStyle w:val="Prrafodelista"/>
        <w:rPr>
          <w:lang w:val="en-US"/>
        </w:rPr>
      </w:pPr>
    </w:p>
    <w:p w14:paraId="2D7C0C41" w14:textId="77777777" w:rsidR="00171179" w:rsidRPr="00C547BF" w:rsidRDefault="00171179" w:rsidP="00563529">
      <w:pPr>
        <w:pStyle w:val="parrafos"/>
        <w:numPr>
          <w:ilvl w:val="0"/>
          <w:numId w:val="62"/>
        </w:numPr>
        <w:tabs>
          <w:tab w:val="clear" w:pos="720"/>
          <w:tab w:val="num" w:pos="360"/>
        </w:tabs>
        <w:ind w:firstLine="0"/>
        <w:rPr>
          <w:rFonts w:ascii="Cambria" w:hAnsi="Cambria"/>
          <w:lang w:val="en-US"/>
        </w:rPr>
      </w:pPr>
      <w:r w:rsidRPr="00C547BF">
        <w:rPr>
          <w:rFonts w:ascii="Cambria" w:hAnsi="Cambria"/>
          <w:lang w:val="en-US"/>
        </w:rPr>
        <w:t xml:space="preserve">With respect to the second aspect, the Commission notes the allegations of the petitioner regarding the violations of the due process afforded to Mr. </w:t>
      </w:r>
      <w:proofErr w:type="spellStart"/>
      <w:r w:rsidRPr="00C547BF">
        <w:rPr>
          <w:rFonts w:ascii="Cambria" w:hAnsi="Cambria"/>
          <w:lang w:val="en-US"/>
        </w:rPr>
        <w:t>Carromero</w:t>
      </w:r>
      <w:proofErr w:type="spellEnd"/>
      <w:r w:rsidRPr="00C547BF">
        <w:rPr>
          <w:rFonts w:ascii="Cambria" w:hAnsi="Cambria"/>
          <w:lang w:val="en-US"/>
        </w:rPr>
        <w:t xml:space="preserve">. These allegations were not contested by the State. Preliminarily, the IACHR notes that in the framework of its monitoring functions, it has compiled information on the effects on accused persons during the trials, </w:t>
      </w:r>
      <w:proofErr w:type="gramStart"/>
      <w:r w:rsidRPr="00C547BF">
        <w:rPr>
          <w:rFonts w:ascii="Cambria" w:hAnsi="Cambria"/>
          <w:lang w:val="en-US"/>
        </w:rPr>
        <w:t>in particular on</w:t>
      </w:r>
      <w:proofErr w:type="gramEnd"/>
      <w:r w:rsidRPr="00C547BF">
        <w:rPr>
          <w:rFonts w:ascii="Cambria" w:hAnsi="Cambria"/>
          <w:lang w:val="en-US"/>
        </w:rPr>
        <w:t xml:space="preserve"> political dissidents or human rights defenders. Among such affectations are: </w:t>
      </w:r>
      <w:proofErr w:type="spellStart"/>
      <w:r w:rsidRPr="00C547BF">
        <w:rPr>
          <w:rFonts w:ascii="Cambria" w:hAnsi="Cambria"/>
          <w:lang w:val="en-US"/>
        </w:rPr>
        <w:t>i</w:t>
      </w:r>
      <w:proofErr w:type="spellEnd"/>
      <w:r w:rsidRPr="00C547BF">
        <w:rPr>
          <w:rFonts w:ascii="Cambria" w:hAnsi="Cambria"/>
          <w:lang w:val="en-US"/>
        </w:rPr>
        <w:t>) lack of legal defense in the preliminary stages of investigation; ii) lack of time to prepare the defense before trial; iii) lack of impartiality and judicial decisions influenced by public authorities outside the Judiciary</w:t>
      </w:r>
      <w:r w:rsidRPr="00C547BF">
        <w:rPr>
          <w:rStyle w:val="Refdenotaalpie"/>
          <w:rFonts w:ascii="Cambria" w:eastAsiaTheme="minorHAnsi" w:hAnsi="Cambria"/>
        </w:rPr>
        <w:footnoteReference w:id="144"/>
      </w:r>
      <w:r w:rsidRPr="00C547BF">
        <w:rPr>
          <w:rFonts w:ascii="Cambria" w:hAnsi="Cambria"/>
          <w:lang w:val="en-US"/>
        </w:rPr>
        <w:t xml:space="preserve"> .</w:t>
      </w:r>
    </w:p>
    <w:p w14:paraId="0AEEE91E" w14:textId="77777777" w:rsidR="00171179" w:rsidRPr="00C547BF" w:rsidRDefault="00171179" w:rsidP="00171179">
      <w:pPr>
        <w:pStyle w:val="Prrafodelista"/>
        <w:rPr>
          <w:lang w:val="en-US"/>
        </w:rPr>
      </w:pPr>
    </w:p>
    <w:p w14:paraId="0A71CCAA" w14:textId="77777777" w:rsidR="00171179" w:rsidRPr="00C547BF" w:rsidRDefault="00171179" w:rsidP="00563529">
      <w:pPr>
        <w:pStyle w:val="parrafos"/>
        <w:numPr>
          <w:ilvl w:val="0"/>
          <w:numId w:val="62"/>
        </w:numPr>
        <w:tabs>
          <w:tab w:val="clear" w:pos="720"/>
          <w:tab w:val="num" w:pos="360"/>
          <w:tab w:val="left" w:pos="450"/>
        </w:tabs>
        <w:ind w:firstLine="0"/>
        <w:rPr>
          <w:rFonts w:ascii="Cambria" w:hAnsi="Cambria"/>
          <w:lang w:val="en-US"/>
        </w:rPr>
      </w:pPr>
      <w:r w:rsidRPr="00C547BF">
        <w:rPr>
          <w:rFonts w:ascii="Cambria" w:hAnsi="Cambria"/>
          <w:lang w:val="en-US"/>
        </w:rPr>
        <w:t xml:space="preserve">In the instant case, the IACHR takes note of the allegations presented by the petitioner regarding the multiple violations of due process against </w:t>
      </w:r>
      <w:proofErr w:type="spellStart"/>
      <w:r w:rsidRPr="00C547BF">
        <w:rPr>
          <w:rFonts w:ascii="Cambria" w:hAnsi="Cambria"/>
          <w:lang w:val="en-US"/>
        </w:rPr>
        <w:t>Ángel</w:t>
      </w:r>
      <w:proofErr w:type="spellEnd"/>
      <w:r w:rsidRPr="00C547BF">
        <w:rPr>
          <w:rFonts w:ascii="Cambria" w:hAnsi="Cambria"/>
          <w:lang w:val="en-US"/>
        </w:rPr>
        <w:t xml:space="preserve"> </w:t>
      </w:r>
      <w:proofErr w:type="spellStart"/>
      <w:r w:rsidRPr="00C547BF">
        <w:rPr>
          <w:rFonts w:ascii="Cambria" w:hAnsi="Cambria"/>
          <w:lang w:val="en-US"/>
        </w:rPr>
        <w:t>Carromero</w:t>
      </w:r>
      <w:proofErr w:type="spellEnd"/>
      <w:r w:rsidRPr="00C547BF">
        <w:rPr>
          <w:rFonts w:ascii="Cambria" w:hAnsi="Cambria"/>
          <w:lang w:val="en-US"/>
        </w:rPr>
        <w:t xml:space="preserve">, which was not contested by the State. In this regard, it was alleged that Mr. </w:t>
      </w:r>
      <w:proofErr w:type="spellStart"/>
      <w:r w:rsidRPr="00C547BF">
        <w:rPr>
          <w:rFonts w:ascii="Cambria" w:hAnsi="Cambria"/>
          <w:lang w:val="en-US"/>
        </w:rPr>
        <w:t>Carromero</w:t>
      </w:r>
      <w:proofErr w:type="spellEnd"/>
      <w:r w:rsidRPr="00C547BF">
        <w:rPr>
          <w:rFonts w:ascii="Cambria" w:hAnsi="Cambria"/>
          <w:lang w:val="en-US"/>
        </w:rPr>
        <w:t xml:space="preserve"> did not have a defense attorney from the beginning of the investigation, that he was not allowed to present evidence in his defense or to request that proceedings be carried out, and that the entire trial up to his conviction was conducted in a framework of secrecy and lack of publicity. To this must be added his consistent statements that he was threatened by state authorities so that </w:t>
      </w:r>
      <w:r w:rsidRPr="00C547BF">
        <w:rPr>
          <w:rFonts w:ascii="Cambria" w:hAnsi="Cambria"/>
          <w:lang w:val="en-US"/>
        </w:rPr>
        <w:lastRenderedPageBreak/>
        <w:t>he would confess that he was the only person responsible for the vehicle crash. This statement was used as evidence for the issuance of the conviction.</w:t>
      </w:r>
    </w:p>
    <w:p w14:paraId="4AC5420A" w14:textId="77777777" w:rsidR="00171179" w:rsidRPr="00C547BF" w:rsidRDefault="00171179" w:rsidP="00171179">
      <w:pPr>
        <w:pStyle w:val="Prrafodelista"/>
        <w:rPr>
          <w:lang w:val="en-US"/>
        </w:rPr>
      </w:pPr>
    </w:p>
    <w:p w14:paraId="0C8360E3" w14:textId="77777777" w:rsidR="00171179" w:rsidRPr="00C547BF" w:rsidRDefault="00171179" w:rsidP="00563529">
      <w:pPr>
        <w:pStyle w:val="parrafos"/>
        <w:numPr>
          <w:ilvl w:val="0"/>
          <w:numId w:val="62"/>
        </w:numPr>
        <w:tabs>
          <w:tab w:val="clear" w:pos="720"/>
          <w:tab w:val="num" w:pos="360"/>
          <w:tab w:val="left" w:pos="450"/>
        </w:tabs>
        <w:ind w:firstLine="0"/>
        <w:rPr>
          <w:rFonts w:ascii="Cambria" w:hAnsi="Cambria"/>
          <w:lang w:val="en-US"/>
        </w:rPr>
      </w:pPr>
      <w:r w:rsidRPr="00C547BF">
        <w:rPr>
          <w:rFonts w:ascii="Cambria" w:hAnsi="Cambria"/>
          <w:lang w:val="en-US"/>
        </w:rPr>
        <w:t xml:space="preserve">In this regard, the Commission highlights the </w:t>
      </w:r>
      <w:r w:rsidRPr="00C547BF">
        <w:rPr>
          <w:rFonts w:ascii="Cambria" w:eastAsia="Cambria" w:hAnsi="Cambria" w:cs="Cambria"/>
          <w:lang w:val="en-US"/>
        </w:rPr>
        <w:t>prohibition of using any form of coercion to obtain the confession of a defendant. This measure includes confessions "to any type of coercion" capable of breaking "the spontaneous expression of a person's will", which "necessarily implies the obligation to exclude the respective evidence from the judicial process"</w:t>
      </w:r>
      <w:r w:rsidRPr="00C547BF">
        <w:rPr>
          <w:rFonts w:ascii="Cambria" w:eastAsia="Cambria" w:hAnsi="Cambria" w:cs="Cambria"/>
          <w:vertAlign w:val="superscript"/>
        </w:rPr>
        <w:footnoteReference w:id="145"/>
      </w:r>
      <w:r w:rsidRPr="00C547BF">
        <w:rPr>
          <w:rFonts w:ascii="Cambria" w:eastAsia="Cambria" w:hAnsi="Cambria" w:cs="Cambria"/>
          <w:lang w:val="en-US"/>
        </w:rPr>
        <w:t xml:space="preserve"> . </w:t>
      </w:r>
      <w:proofErr w:type="gramStart"/>
      <w:r w:rsidRPr="00C547BF">
        <w:rPr>
          <w:rFonts w:ascii="Cambria" w:eastAsia="Cambria" w:hAnsi="Cambria" w:cs="Cambria"/>
          <w:lang w:val="en-US"/>
        </w:rPr>
        <w:t>Despite the fact that</w:t>
      </w:r>
      <w:proofErr w:type="gramEnd"/>
      <w:r w:rsidRPr="00C547BF">
        <w:rPr>
          <w:rFonts w:ascii="Cambria" w:eastAsia="Cambria" w:hAnsi="Cambria" w:cs="Cambria"/>
          <w:lang w:val="en-US"/>
        </w:rPr>
        <w:t xml:space="preserve"> Mr. </w:t>
      </w:r>
      <w:proofErr w:type="spellStart"/>
      <w:r w:rsidRPr="00C547BF">
        <w:rPr>
          <w:rFonts w:ascii="Cambria" w:eastAsia="Cambria" w:hAnsi="Cambria" w:cs="Cambria"/>
          <w:lang w:val="en-US"/>
        </w:rPr>
        <w:t>Carromero</w:t>
      </w:r>
      <w:proofErr w:type="spellEnd"/>
      <w:r w:rsidRPr="00C547BF">
        <w:rPr>
          <w:rFonts w:ascii="Cambria" w:eastAsia="Cambria" w:hAnsi="Cambria" w:cs="Cambria"/>
          <w:lang w:val="en-US"/>
        </w:rPr>
        <w:t xml:space="preserve"> denounced that he was coerced to make such confession, the authorities did not adopt any measure to the effect of not including such statement as evidence, nor to investigate to clarify what happened.</w:t>
      </w:r>
    </w:p>
    <w:p w14:paraId="2728A37B" w14:textId="77777777" w:rsidR="00171179" w:rsidRPr="00C547BF" w:rsidRDefault="00171179" w:rsidP="00171179">
      <w:pPr>
        <w:pStyle w:val="Prrafodelista"/>
        <w:rPr>
          <w:lang w:val="en-US"/>
        </w:rPr>
      </w:pPr>
    </w:p>
    <w:p w14:paraId="5D14764E" w14:textId="799C1760" w:rsidR="00171179" w:rsidRPr="00C547BF" w:rsidRDefault="00171179" w:rsidP="00563529">
      <w:pPr>
        <w:pStyle w:val="parrafos"/>
        <w:numPr>
          <w:ilvl w:val="0"/>
          <w:numId w:val="62"/>
        </w:numPr>
        <w:tabs>
          <w:tab w:val="clear" w:pos="720"/>
          <w:tab w:val="num" w:pos="360"/>
          <w:tab w:val="left" w:pos="450"/>
        </w:tabs>
        <w:ind w:firstLine="0"/>
        <w:rPr>
          <w:rFonts w:ascii="Cambria" w:hAnsi="Cambria"/>
          <w:lang w:val="en-US"/>
        </w:rPr>
      </w:pPr>
      <w:r w:rsidRPr="00C547BF">
        <w:rPr>
          <w:rFonts w:ascii="Cambria" w:hAnsi="Cambria"/>
          <w:lang w:val="en-US"/>
        </w:rPr>
        <w:t xml:space="preserve">In view of the foregoing, the Commission concludes that </w:t>
      </w:r>
      <w:proofErr w:type="spellStart"/>
      <w:r w:rsidRPr="00C547BF">
        <w:rPr>
          <w:rFonts w:ascii="Cambria" w:hAnsi="Cambria"/>
          <w:lang w:val="en-US"/>
        </w:rPr>
        <w:t>Ángel</w:t>
      </w:r>
      <w:proofErr w:type="spellEnd"/>
      <w:r w:rsidRPr="00C547BF">
        <w:rPr>
          <w:rFonts w:ascii="Cambria" w:hAnsi="Cambria"/>
          <w:lang w:val="en-US"/>
        </w:rPr>
        <w:t xml:space="preserve"> </w:t>
      </w:r>
      <w:proofErr w:type="spellStart"/>
      <w:r w:rsidRPr="00C547BF">
        <w:rPr>
          <w:rFonts w:ascii="Cambria" w:hAnsi="Cambria"/>
          <w:lang w:val="en-US"/>
        </w:rPr>
        <w:t>Carromero's</w:t>
      </w:r>
      <w:proofErr w:type="spellEnd"/>
      <w:r w:rsidRPr="00C547BF">
        <w:rPr>
          <w:rFonts w:ascii="Cambria" w:hAnsi="Cambria"/>
          <w:lang w:val="en-US"/>
        </w:rPr>
        <w:t xml:space="preserve"> right to a fair trial was violated in the criminal proceedings against him. Consequently, the IACHR concludes that the State is responsible for the violation of the right established in Article </w:t>
      </w:r>
      <w:r w:rsidR="00C547BF" w:rsidRPr="00C547BF">
        <w:rPr>
          <w:rFonts w:ascii="Cambria" w:hAnsi="Cambria"/>
          <w:lang w:val="en-US"/>
        </w:rPr>
        <w:t>X</w:t>
      </w:r>
      <w:r w:rsidRPr="00C547BF">
        <w:rPr>
          <w:rFonts w:ascii="Cambria" w:hAnsi="Cambria"/>
          <w:lang w:val="en-US"/>
        </w:rPr>
        <w:t xml:space="preserve">XVI of the American Declaration. </w:t>
      </w:r>
    </w:p>
    <w:p w14:paraId="750B7941" w14:textId="77777777" w:rsidR="00171179" w:rsidRPr="00C547BF" w:rsidRDefault="00171179" w:rsidP="00171179">
      <w:pPr>
        <w:rPr>
          <w:rFonts w:cs="Cambria"/>
          <w:color w:val="000000"/>
          <w:szCs w:val="20"/>
          <w:u w:color="000000"/>
          <w:lang w:val="en-US" w:eastAsia="es-ES"/>
        </w:rPr>
      </w:pPr>
      <w:bookmarkStart w:id="43" w:name="_Toc77597631"/>
    </w:p>
    <w:p w14:paraId="5437BA88" w14:textId="77777777" w:rsidR="00171179" w:rsidRPr="00C547BF" w:rsidRDefault="00171179" w:rsidP="00563529">
      <w:pPr>
        <w:pStyle w:val="Ttulo2"/>
        <w:numPr>
          <w:ilvl w:val="0"/>
          <w:numId w:val="65"/>
        </w:numPr>
        <w:tabs>
          <w:tab w:val="num" w:pos="720"/>
        </w:tabs>
        <w:spacing w:before="0"/>
        <w:ind w:left="360"/>
        <w:rPr>
          <w:lang w:val="en-US"/>
        </w:rPr>
      </w:pPr>
      <w:bookmarkStart w:id="44" w:name="_Toc136860065"/>
      <w:r w:rsidRPr="00C547BF">
        <w:rPr>
          <w:rFonts w:eastAsia="SimSun"/>
          <w:lang w:val="en-US"/>
        </w:rPr>
        <w:t xml:space="preserve">Right to life, liberty, </w:t>
      </w:r>
      <w:proofErr w:type="gramStart"/>
      <w:r w:rsidRPr="00C547BF">
        <w:rPr>
          <w:rFonts w:eastAsia="SimSun"/>
          <w:lang w:val="en-US"/>
        </w:rPr>
        <w:t>security</w:t>
      </w:r>
      <w:proofErr w:type="gramEnd"/>
      <w:r w:rsidRPr="00C547BF">
        <w:rPr>
          <w:rFonts w:eastAsia="SimSun"/>
          <w:lang w:val="en-US"/>
        </w:rPr>
        <w:t xml:space="preserve"> and integrity of the person; </w:t>
      </w:r>
      <w:r w:rsidRPr="00C547BF">
        <w:rPr>
          <w:lang w:val="en-US"/>
        </w:rPr>
        <w:t>and right to protection against arbitrary detention (Articles I and XXV of the American Declaration).</w:t>
      </w:r>
      <w:bookmarkEnd w:id="44"/>
    </w:p>
    <w:p w14:paraId="78FBE06C" w14:textId="77777777" w:rsidR="00171179" w:rsidRPr="00C547BF" w:rsidRDefault="00171179" w:rsidP="00171179">
      <w:pPr>
        <w:rPr>
          <w:szCs w:val="20"/>
          <w:lang w:val="en-US"/>
        </w:rPr>
      </w:pPr>
    </w:p>
    <w:p w14:paraId="71DD9A73" w14:textId="77777777" w:rsidR="00171179" w:rsidRPr="00C547BF" w:rsidRDefault="00171179" w:rsidP="00171179">
      <w:pPr>
        <w:tabs>
          <w:tab w:val="left" w:pos="360"/>
        </w:tabs>
        <w:rPr>
          <w:b/>
          <w:bCs/>
          <w:szCs w:val="20"/>
          <w:lang w:val="es-ES_tradnl"/>
        </w:rPr>
      </w:pPr>
      <w:r w:rsidRPr="00C547BF">
        <w:rPr>
          <w:b/>
          <w:bCs/>
          <w:szCs w:val="20"/>
          <w:lang w:val="es-ES_tradnl"/>
        </w:rPr>
        <w:t xml:space="preserve">1. </w:t>
      </w:r>
      <w:r w:rsidRPr="00C547BF">
        <w:rPr>
          <w:b/>
          <w:bCs/>
          <w:szCs w:val="20"/>
          <w:lang w:val="es-ES_tradnl"/>
        </w:rPr>
        <w:tab/>
        <w:t xml:space="preserve">General </w:t>
      </w:r>
      <w:proofErr w:type="spellStart"/>
      <w:r w:rsidRPr="00C547BF">
        <w:rPr>
          <w:b/>
          <w:bCs/>
          <w:szCs w:val="20"/>
          <w:lang w:val="es-ES_tradnl"/>
        </w:rPr>
        <w:t>considerations</w:t>
      </w:r>
      <w:proofErr w:type="spellEnd"/>
    </w:p>
    <w:p w14:paraId="5D7B1A7F" w14:textId="77777777" w:rsidR="00171179" w:rsidRPr="00C547BF" w:rsidRDefault="00171179" w:rsidP="00171179">
      <w:pPr>
        <w:rPr>
          <w:szCs w:val="20"/>
          <w:lang w:val="es-ES_tradnl"/>
        </w:rPr>
      </w:pPr>
    </w:p>
    <w:p w14:paraId="56B4698E" w14:textId="77777777" w:rsidR="00171179" w:rsidRPr="00C547BF" w:rsidRDefault="00171179" w:rsidP="00563529">
      <w:pPr>
        <w:pStyle w:val="parrafos"/>
        <w:numPr>
          <w:ilvl w:val="0"/>
          <w:numId w:val="62"/>
        </w:numPr>
        <w:tabs>
          <w:tab w:val="clear" w:pos="720"/>
          <w:tab w:val="num" w:pos="360"/>
          <w:tab w:val="left" w:pos="450"/>
        </w:tabs>
        <w:ind w:firstLine="0"/>
        <w:rPr>
          <w:rFonts w:ascii="Cambria" w:hAnsi="Cambria"/>
          <w:lang w:val="en-US"/>
        </w:rPr>
      </w:pPr>
      <w:r w:rsidRPr="00C547BF">
        <w:rPr>
          <w:rFonts w:ascii="Cambria" w:hAnsi="Cambria"/>
          <w:lang w:val="en-US"/>
        </w:rPr>
        <w:t xml:space="preserve">As for the right not to be deprived of liberty unlawfully, this right </w:t>
      </w:r>
      <w:r w:rsidRPr="00C547BF">
        <w:rPr>
          <w:rFonts w:ascii="Cambria" w:hAnsi="Cambria" w:cs="Arial"/>
          <w:lang w:val="en-US"/>
        </w:rPr>
        <w:t>"</w:t>
      </w:r>
      <w:r w:rsidRPr="00C547BF">
        <w:rPr>
          <w:rFonts w:ascii="Cambria" w:hAnsi="Cambria"/>
          <w:lang w:val="en-US"/>
        </w:rPr>
        <w:t>recognizes the primary guarantee of the right to physical liberty: the reservation of law, according to which, only through a law can the right to personal liberty be affected</w:t>
      </w:r>
      <w:r w:rsidRPr="00C547BF">
        <w:rPr>
          <w:rStyle w:val="Refdenotaalpie"/>
          <w:rFonts w:ascii="Cambria" w:hAnsi="Cambria"/>
          <w:lang w:val="es-ES"/>
        </w:rPr>
        <w:footnoteReference w:id="146"/>
      </w:r>
      <w:r w:rsidRPr="00C547BF">
        <w:rPr>
          <w:rFonts w:ascii="Cambria" w:hAnsi="Cambria"/>
          <w:lang w:val="en-US"/>
        </w:rPr>
        <w:t xml:space="preserve"> ". The IACHR has held that the reservation of law required to affect the right to personal liberty must necessarily be accompanied by the principle of criminalization, which obliges States to establish, as concretely as possible and "in advance", the "causes" and "conditions" of the deprivation of physical liberty. </w:t>
      </w:r>
    </w:p>
    <w:p w14:paraId="62424A3F" w14:textId="77777777" w:rsidR="00171179" w:rsidRPr="00C547BF" w:rsidRDefault="00171179" w:rsidP="00171179">
      <w:pPr>
        <w:pStyle w:val="parrafos"/>
        <w:tabs>
          <w:tab w:val="left" w:pos="450"/>
        </w:tabs>
        <w:rPr>
          <w:rFonts w:ascii="Cambria" w:hAnsi="Cambria"/>
          <w:lang w:val="en-US"/>
        </w:rPr>
      </w:pPr>
    </w:p>
    <w:p w14:paraId="24272EAD" w14:textId="77777777" w:rsidR="00171179" w:rsidRPr="00C547BF" w:rsidRDefault="00171179" w:rsidP="00563529">
      <w:pPr>
        <w:pStyle w:val="parrafos"/>
        <w:numPr>
          <w:ilvl w:val="0"/>
          <w:numId w:val="62"/>
        </w:numPr>
        <w:tabs>
          <w:tab w:val="clear" w:pos="720"/>
          <w:tab w:val="num" w:pos="360"/>
          <w:tab w:val="left" w:pos="450"/>
        </w:tabs>
        <w:ind w:firstLine="0"/>
        <w:rPr>
          <w:rFonts w:ascii="Cambria" w:hAnsi="Cambria"/>
          <w:lang w:val="en-US"/>
        </w:rPr>
      </w:pPr>
      <w:proofErr w:type="gramStart"/>
      <w:r w:rsidRPr="00C547BF">
        <w:rPr>
          <w:rFonts w:ascii="Cambria" w:hAnsi="Cambria"/>
          <w:lang w:val="en-US"/>
        </w:rPr>
        <w:t xml:space="preserve">With </w:t>
      </w:r>
      <w:r w:rsidRPr="00C547BF">
        <w:rPr>
          <w:rFonts w:ascii="Cambria" w:hAnsi="Cambria" w:cs="Arial"/>
          <w:lang w:val="en-US"/>
        </w:rPr>
        <w:t>regard to</w:t>
      </w:r>
      <w:proofErr w:type="gramEnd"/>
      <w:r w:rsidRPr="00C547BF">
        <w:rPr>
          <w:rFonts w:ascii="Cambria" w:hAnsi="Cambria" w:cs="Arial"/>
          <w:lang w:val="en-US"/>
        </w:rPr>
        <w:t xml:space="preserve"> the non-arbitrariness of detention, the Commission recalls that </w:t>
      </w:r>
      <w:r w:rsidRPr="00C547BF">
        <w:rPr>
          <w:rFonts w:ascii="Cambria" w:hAnsi="Cambria"/>
          <w:lang w:val="en-US"/>
        </w:rPr>
        <w:t>"no one may be subjected to arrest or detention for reasons and by methods which, even if qualified as lawful, may be considered incompatible with respect for the fundamental rights of the individual because they are, inter alia, unreasonable, unforeseeable or lacking in proportionality</w:t>
      </w:r>
      <w:r w:rsidRPr="00C547BF">
        <w:rPr>
          <w:rStyle w:val="Refdenotaalpie"/>
          <w:rFonts w:ascii="Cambria" w:hAnsi="Cambria"/>
          <w:lang w:val="es-ES"/>
        </w:rPr>
        <w:footnoteReference w:id="147"/>
      </w:r>
      <w:r w:rsidRPr="00C547BF">
        <w:rPr>
          <w:rFonts w:ascii="Cambria" w:hAnsi="Cambria"/>
          <w:lang w:val="en-US"/>
        </w:rPr>
        <w:t xml:space="preserve"> ". </w:t>
      </w:r>
    </w:p>
    <w:p w14:paraId="0E3669E2" w14:textId="77777777" w:rsidR="00171179" w:rsidRPr="00C547BF" w:rsidRDefault="00171179" w:rsidP="00171179">
      <w:pPr>
        <w:pStyle w:val="parrafos"/>
        <w:tabs>
          <w:tab w:val="left" w:pos="450"/>
        </w:tabs>
        <w:rPr>
          <w:rFonts w:ascii="Cambria" w:hAnsi="Cambria"/>
          <w:lang w:val="en-US"/>
        </w:rPr>
      </w:pPr>
    </w:p>
    <w:p w14:paraId="5888BE12" w14:textId="77777777" w:rsidR="00171179" w:rsidRPr="00C547BF" w:rsidRDefault="00171179" w:rsidP="00563529">
      <w:pPr>
        <w:pStyle w:val="parrafos"/>
        <w:numPr>
          <w:ilvl w:val="0"/>
          <w:numId w:val="62"/>
        </w:numPr>
        <w:tabs>
          <w:tab w:val="clear" w:pos="720"/>
          <w:tab w:val="num" w:pos="360"/>
          <w:tab w:val="left" w:pos="450"/>
        </w:tabs>
        <w:ind w:firstLine="0"/>
        <w:rPr>
          <w:rFonts w:ascii="Cambria" w:hAnsi="Cambria"/>
          <w:lang w:val="en-US"/>
        </w:rPr>
      </w:pPr>
      <w:r w:rsidRPr="00C547BF">
        <w:rPr>
          <w:rFonts w:ascii="Cambria" w:hAnsi="Cambria"/>
          <w:lang w:val="en-US"/>
        </w:rPr>
        <w:t xml:space="preserve">The right to know the reasons for detention has two aspects: </w:t>
      </w:r>
      <w:proofErr w:type="spellStart"/>
      <w:r w:rsidRPr="00C547BF">
        <w:rPr>
          <w:rFonts w:ascii="Cambria" w:hAnsi="Cambria"/>
          <w:lang w:val="en-US"/>
        </w:rPr>
        <w:t>i</w:t>
      </w:r>
      <w:proofErr w:type="spellEnd"/>
      <w:r w:rsidRPr="00C547BF">
        <w:rPr>
          <w:rFonts w:ascii="Cambria" w:hAnsi="Cambria"/>
          <w:lang w:val="en-US"/>
        </w:rPr>
        <w:t>) information in oral or written form about the reasons for the detention, and ii) notification, which must be in writing, of the charges</w:t>
      </w:r>
      <w:r w:rsidRPr="00C547BF">
        <w:rPr>
          <w:rStyle w:val="Refdenotaalpie"/>
          <w:rFonts w:ascii="Cambria" w:hAnsi="Cambria"/>
          <w:lang w:val="es-ES"/>
        </w:rPr>
        <w:footnoteReference w:id="148"/>
      </w:r>
      <w:r w:rsidRPr="00C547BF">
        <w:rPr>
          <w:rFonts w:ascii="Cambria" w:hAnsi="Cambria"/>
          <w:lang w:val="en-US"/>
        </w:rPr>
        <w:t xml:space="preserve"> . The IACHR has indicated that the information of the "motives and reasons" for the detention must be given "when the detention takes place". This constitutes a mechanism to avoid </w:t>
      </w:r>
      <w:r w:rsidRPr="00C547BF">
        <w:rPr>
          <w:rFonts w:ascii="Cambria" w:hAnsi="Cambria" w:cs="Arial"/>
          <w:lang w:val="en-US"/>
        </w:rPr>
        <w:t xml:space="preserve">illegal </w:t>
      </w:r>
      <w:r w:rsidRPr="00C547BF">
        <w:rPr>
          <w:rFonts w:ascii="Cambria" w:hAnsi="Cambria"/>
          <w:lang w:val="en-US"/>
        </w:rPr>
        <w:t>or arbitrary detentions from the very moment of deprivation of liberty and, in turn, guarantees the individual's right to defense</w:t>
      </w:r>
      <w:r w:rsidRPr="00C547BF">
        <w:rPr>
          <w:rStyle w:val="Refdenotaalpie"/>
          <w:rFonts w:ascii="Cambria" w:hAnsi="Cambria"/>
          <w:lang w:val="es-ES"/>
        </w:rPr>
        <w:footnoteReference w:id="149"/>
      </w:r>
      <w:r w:rsidRPr="00C547BF">
        <w:rPr>
          <w:rFonts w:ascii="Cambria" w:hAnsi="Cambria"/>
          <w:lang w:val="en-US"/>
        </w:rPr>
        <w:t xml:space="preserve"> . </w:t>
      </w:r>
    </w:p>
    <w:p w14:paraId="10F09082" w14:textId="77777777" w:rsidR="00171179" w:rsidRPr="00C547BF" w:rsidRDefault="00171179" w:rsidP="008A2B6A">
      <w:pPr>
        <w:pStyle w:val="parrafos"/>
        <w:tabs>
          <w:tab w:val="left" w:pos="450"/>
        </w:tabs>
        <w:rPr>
          <w:lang w:val="en-US"/>
        </w:rPr>
      </w:pPr>
    </w:p>
    <w:p w14:paraId="77E48824" w14:textId="77777777" w:rsidR="00171179" w:rsidRPr="00C547BF" w:rsidRDefault="00171179" w:rsidP="00563529">
      <w:pPr>
        <w:pStyle w:val="parrafos"/>
        <w:numPr>
          <w:ilvl w:val="0"/>
          <w:numId w:val="62"/>
        </w:numPr>
        <w:tabs>
          <w:tab w:val="clear" w:pos="720"/>
          <w:tab w:val="num" w:pos="360"/>
          <w:tab w:val="left" w:pos="450"/>
        </w:tabs>
        <w:ind w:firstLine="0"/>
        <w:rPr>
          <w:rFonts w:ascii="Cambria" w:hAnsi="Cambria"/>
          <w:lang w:val="en-US"/>
        </w:rPr>
      </w:pPr>
      <w:r w:rsidRPr="00C547BF">
        <w:rPr>
          <w:rFonts w:ascii="Cambria" w:hAnsi="Cambria"/>
          <w:lang w:val="en-US"/>
        </w:rPr>
        <w:t>In addition, every person subject to detention has the right to have that detention reviewed by a judicial authority, without delay, as a suitable means of control to prevent arbitrary and unlawful arrests</w:t>
      </w:r>
      <w:r w:rsidRPr="00C547BF">
        <w:rPr>
          <w:rStyle w:val="Refdenotaalpie"/>
          <w:rFonts w:ascii="Cambria" w:hAnsi="Cambria"/>
          <w:lang w:val="es-ES"/>
        </w:rPr>
        <w:footnoteReference w:id="150"/>
      </w:r>
      <w:r w:rsidRPr="00C547BF">
        <w:rPr>
          <w:rFonts w:ascii="Cambria" w:hAnsi="Cambria"/>
          <w:lang w:val="en-US"/>
        </w:rPr>
        <w:t xml:space="preserve"> . Likewise, the guarantee of prompt and effective judicial oversight of instances of detention is intended to protect the </w:t>
      </w:r>
      <w:r w:rsidRPr="00C547BF">
        <w:rPr>
          <w:rFonts w:ascii="Cambria" w:hAnsi="Cambria"/>
          <w:lang w:val="en-US"/>
        </w:rPr>
        <w:lastRenderedPageBreak/>
        <w:t>well-being of detained persons at a time when they are fully under the control of the State and are particularly vulnerable to abuses of authority</w:t>
      </w:r>
      <w:r w:rsidRPr="00C547BF">
        <w:rPr>
          <w:rStyle w:val="Refdenotaalpie"/>
          <w:rFonts w:ascii="Cambria" w:hAnsi="Cambria"/>
          <w:lang w:val="es-ES"/>
        </w:rPr>
        <w:footnoteReference w:id="151"/>
      </w:r>
      <w:r w:rsidRPr="00C547BF">
        <w:rPr>
          <w:rFonts w:ascii="Cambria" w:hAnsi="Cambria"/>
          <w:lang w:val="en-US"/>
        </w:rPr>
        <w:t xml:space="preserve"> .</w:t>
      </w:r>
    </w:p>
    <w:p w14:paraId="1547C0C5" w14:textId="77777777" w:rsidR="00171179" w:rsidRPr="00C547BF" w:rsidRDefault="00171179" w:rsidP="008A2B6A">
      <w:pPr>
        <w:pStyle w:val="parrafos"/>
        <w:tabs>
          <w:tab w:val="left" w:pos="450"/>
        </w:tabs>
        <w:rPr>
          <w:lang w:val="en-US"/>
        </w:rPr>
      </w:pPr>
    </w:p>
    <w:p w14:paraId="7CBB0A6C" w14:textId="5BC2BC57" w:rsidR="00171179" w:rsidRPr="00C547BF" w:rsidRDefault="00171179" w:rsidP="00563529">
      <w:pPr>
        <w:pStyle w:val="parrafos"/>
        <w:numPr>
          <w:ilvl w:val="0"/>
          <w:numId w:val="62"/>
        </w:numPr>
        <w:tabs>
          <w:tab w:val="clear" w:pos="720"/>
          <w:tab w:val="num" w:pos="360"/>
          <w:tab w:val="left" w:pos="450"/>
        </w:tabs>
        <w:ind w:firstLine="0"/>
        <w:rPr>
          <w:rFonts w:ascii="Cambria" w:hAnsi="Cambria"/>
          <w:lang w:val="en-US"/>
        </w:rPr>
      </w:pPr>
      <w:r w:rsidRPr="00C547BF">
        <w:rPr>
          <w:rFonts w:ascii="Cambria" w:hAnsi="Cambria"/>
          <w:lang w:val="en-US"/>
        </w:rPr>
        <w:t xml:space="preserve">In relation to the content of the right to health of persons deprived of liberty, the Commission has held that States have the obligation to guarantee </w:t>
      </w:r>
      <w:proofErr w:type="spellStart"/>
      <w:r w:rsidRPr="00C547BF">
        <w:rPr>
          <w:rFonts w:ascii="Cambria" w:hAnsi="Cambria"/>
          <w:lang w:val="en-US"/>
        </w:rPr>
        <w:t>i</w:t>
      </w:r>
      <w:proofErr w:type="spellEnd"/>
      <w:r w:rsidRPr="00C547BF">
        <w:rPr>
          <w:rFonts w:ascii="Cambria" w:hAnsi="Cambria"/>
          <w:lang w:val="en-US"/>
        </w:rPr>
        <w:t xml:space="preserve">) timely medical attention </w:t>
      </w:r>
      <w:proofErr w:type="gramStart"/>
      <w:r w:rsidRPr="00C547BF">
        <w:rPr>
          <w:rFonts w:ascii="Cambria" w:hAnsi="Cambria"/>
          <w:lang w:val="en-US"/>
        </w:rPr>
        <w:t>in order to</w:t>
      </w:r>
      <w:proofErr w:type="gramEnd"/>
      <w:r w:rsidRPr="00C547BF">
        <w:rPr>
          <w:rFonts w:ascii="Cambria" w:hAnsi="Cambria"/>
          <w:lang w:val="en-US"/>
        </w:rPr>
        <w:t xml:space="preserve"> make a comprehensive medical diagnosis; and ii) adequate treatment "in accordance with the principle of equivalence"</w:t>
      </w:r>
      <w:r w:rsidRPr="00C547BF">
        <w:rPr>
          <w:rStyle w:val="Refdenotaalpie"/>
          <w:rFonts w:ascii="Cambria" w:hAnsi="Cambria"/>
          <w:lang w:val="es-ES"/>
        </w:rPr>
        <w:footnoteReference w:id="152"/>
      </w:r>
      <w:r w:rsidRPr="00C547BF">
        <w:rPr>
          <w:rFonts w:ascii="Cambria" w:hAnsi="Cambria"/>
          <w:lang w:val="en-US"/>
        </w:rPr>
        <w:t xml:space="preserve"> . The IACHR emphasizes that this principle </w:t>
      </w:r>
      <w:r w:rsidRPr="00C547BF">
        <w:rPr>
          <w:rFonts w:ascii="Cambria" w:hAnsi="Cambria" w:cs="Tahoma"/>
          <w:lang w:val="en-US"/>
        </w:rPr>
        <w:t xml:space="preserve">consists in the fact </w:t>
      </w:r>
      <w:r w:rsidRPr="00C547BF">
        <w:rPr>
          <w:rFonts w:ascii="Cambria" w:hAnsi="Cambria"/>
          <w:lang w:val="en-US" w:eastAsia="es-ES"/>
        </w:rPr>
        <w:t>that within the prison "the health service must be able to provide medical and nursing treatment as well as appropriate diets, physiotherapy, rehabilitation and other necessary specialized facilities in conditions comparable to those enjoyed by patients in the outside community".</w:t>
      </w:r>
      <w:r w:rsidRPr="00C547BF">
        <w:rPr>
          <w:rFonts w:ascii="Cambria" w:hAnsi="Cambria"/>
          <w:vertAlign w:val="superscript"/>
          <w:lang w:val="es-ES" w:eastAsia="es-ES"/>
        </w:rPr>
        <w:footnoteReference w:id="153"/>
      </w:r>
    </w:p>
    <w:p w14:paraId="2E8BCEAA" w14:textId="77777777" w:rsidR="00171179" w:rsidRPr="00C547BF" w:rsidRDefault="00171179" w:rsidP="00171179">
      <w:pPr>
        <w:pStyle w:val="parrafos"/>
        <w:tabs>
          <w:tab w:val="left" w:pos="450"/>
        </w:tabs>
        <w:rPr>
          <w:rFonts w:ascii="Cambria" w:hAnsi="Cambria"/>
          <w:lang w:val="en-US"/>
        </w:rPr>
      </w:pPr>
    </w:p>
    <w:p w14:paraId="44842C4B" w14:textId="77777777" w:rsidR="00171179" w:rsidRPr="00C547BF" w:rsidRDefault="00171179" w:rsidP="00171179">
      <w:pPr>
        <w:tabs>
          <w:tab w:val="left" w:pos="360"/>
        </w:tabs>
        <w:rPr>
          <w:b/>
          <w:bCs/>
          <w:szCs w:val="20"/>
          <w:lang w:val="es-ES_tradnl"/>
        </w:rPr>
      </w:pPr>
      <w:r w:rsidRPr="00C547BF">
        <w:rPr>
          <w:b/>
          <w:bCs/>
          <w:szCs w:val="20"/>
          <w:lang w:val="es-ES_tradnl"/>
        </w:rPr>
        <w:t xml:space="preserve">2. </w:t>
      </w:r>
      <w:r w:rsidRPr="00C547BF">
        <w:rPr>
          <w:b/>
          <w:bCs/>
          <w:szCs w:val="20"/>
          <w:lang w:val="es-ES_tradnl"/>
        </w:rPr>
        <w:tab/>
        <w:t xml:space="preserve">Case </w:t>
      </w:r>
      <w:proofErr w:type="spellStart"/>
      <w:r w:rsidRPr="00C547BF">
        <w:rPr>
          <w:b/>
          <w:bCs/>
          <w:szCs w:val="20"/>
          <w:lang w:val="es-ES_tradnl"/>
        </w:rPr>
        <w:t>analysis</w:t>
      </w:r>
      <w:proofErr w:type="spellEnd"/>
    </w:p>
    <w:p w14:paraId="1DA41F9A" w14:textId="77777777" w:rsidR="00171179" w:rsidRPr="00C547BF" w:rsidRDefault="00171179" w:rsidP="008A2B6A">
      <w:pPr>
        <w:pStyle w:val="parrafos"/>
        <w:tabs>
          <w:tab w:val="left" w:pos="450"/>
        </w:tabs>
        <w:rPr>
          <w:lang w:val="es-ES_tradnl"/>
        </w:rPr>
      </w:pPr>
    </w:p>
    <w:p w14:paraId="3C5D0F11" w14:textId="77777777" w:rsidR="00171179" w:rsidRPr="00C547BF" w:rsidRDefault="00171179" w:rsidP="00563529">
      <w:pPr>
        <w:pStyle w:val="parrafos"/>
        <w:numPr>
          <w:ilvl w:val="0"/>
          <w:numId w:val="62"/>
        </w:numPr>
        <w:tabs>
          <w:tab w:val="clear" w:pos="720"/>
          <w:tab w:val="num" w:pos="360"/>
          <w:tab w:val="left" w:pos="450"/>
        </w:tabs>
        <w:ind w:firstLine="0"/>
        <w:rPr>
          <w:rFonts w:ascii="Cambria" w:hAnsi="Cambria"/>
          <w:lang w:val="en-US"/>
        </w:rPr>
      </w:pPr>
      <w:r w:rsidRPr="00C547BF">
        <w:rPr>
          <w:rFonts w:ascii="Cambria" w:hAnsi="Cambria"/>
          <w:lang w:val="en-US"/>
        </w:rPr>
        <w:t xml:space="preserve"> The Commission takes note of the allegations presented by the petitioner and not contested by the State that Mr. </w:t>
      </w:r>
      <w:proofErr w:type="spellStart"/>
      <w:r w:rsidRPr="00C547BF">
        <w:rPr>
          <w:rFonts w:ascii="Cambria" w:hAnsi="Cambria"/>
          <w:lang w:val="en-US"/>
        </w:rPr>
        <w:t>Carromero</w:t>
      </w:r>
      <w:proofErr w:type="spellEnd"/>
      <w:r w:rsidRPr="00C547BF">
        <w:rPr>
          <w:rFonts w:ascii="Cambria" w:hAnsi="Cambria"/>
          <w:lang w:val="en-US"/>
        </w:rPr>
        <w:t xml:space="preserve"> was detained illegally, without being told the reasons for his detention and without being promptly brought before a judicial authority. </w:t>
      </w:r>
    </w:p>
    <w:p w14:paraId="5917DAE3" w14:textId="77777777" w:rsidR="00171179" w:rsidRPr="00C547BF" w:rsidRDefault="00171179" w:rsidP="00171179">
      <w:pPr>
        <w:pStyle w:val="parrafos"/>
        <w:tabs>
          <w:tab w:val="clear" w:pos="360"/>
          <w:tab w:val="left" w:pos="450"/>
        </w:tabs>
        <w:rPr>
          <w:rFonts w:ascii="Cambria" w:hAnsi="Cambria"/>
          <w:lang w:val="en-US"/>
        </w:rPr>
      </w:pPr>
    </w:p>
    <w:p w14:paraId="03351CE5" w14:textId="77777777" w:rsidR="00171179" w:rsidRPr="00C547BF" w:rsidRDefault="00171179" w:rsidP="00563529">
      <w:pPr>
        <w:pStyle w:val="parrafos"/>
        <w:numPr>
          <w:ilvl w:val="0"/>
          <w:numId w:val="62"/>
        </w:numPr>
        <w:tabs>
          <w:tab w:val="clear" w:pos="720"/>
          <w:tab w:val="num" w:pos="360"/>
          <w:tab w:val="left" w:pos="450"/>
        </w:tabs>
        <w:ind w:firstLine="0"/>
        <w:rPr>
          <w:rFonts w:ascii="Cambria" w:hAnsi="Cambria"/>
          <w:lang w:val="en-US"/>
        </w:rPr>
      </w:pPr>
      <w:r w:rsidRPr="00C547BF">
        <w:rPr>
          <w:rFonts w:ascii="Cambria" w:hAnsi="Cambria"/>
          <w:lang w:val="en-US"/>
        </w:rPr>
        <w:t xml:space="preserve">In this regard, the Commission notes that no documentation was presented to prove that Mr. </w:t>
      </w:r>
      <w:proofErr w:type="spellStart"/>
      <w:r w:rsidRPr="00C547BF">
        <w:rPr>
          <w:rFonts w:ascii="Cambria" w:hAnsi="Cambria"/>
          <w:lang w:val="en-US"/>
        </w:rPr>
        <w:t>Carromero's</w:t>
      </w:r>
      <w:proofErr w:type="spellEnd"/>
      <w:r w:rsidRPr="00C547BF">
        <w:rPr>
          <w:rFonts w:ascii="Cambria" w:hAnsi="Cambria"/>
          <w:lang w:val="en-US"/>
        </w:rPr>
        <w:t xml:space="preserve"> detention was in accordance with the grounds established in Cuba's domestic law. Furthermore, according to Mr. </w:t>
      </w:r>
      <w:proofErr w:type="spellStart"/>
      <w:r w:rsidRPr="00C547BF">
        <w:rPr>
          <w:rFonts w:ascii="Cambria" w:hAnsi="Cambria"/>
          <w:lang w:val="en-US"/>
        </w:rPr>
        <w:t>Carromero</w:t>
      </w:r>
      <w:proofErr w:type="spellEnd"/>
      <w:r w:rsidRPr="00C547BF">
        <w:rPr>
          <w:rFonts w:ascii="Cambria" w:hAnsi="Cambria"/>
          <w:lang w:val="en-US"/>
        </w:rPr>
        <w:t xml:space="preserve">, no authority informed him of the reasons for his detention. He indicated that it was only three months after his arrest that he was brought before a judicial authority to begin the trial against him. Regarding this last aspect, the Commission reiterates that when a person is detained, he must be immediately brought before a judicial authority to review the legality of the arrest. In the instant case, the IACHR notes that the State failed to comply with this obligation, as Mr. </w:t>
      </w:r>
      <w:proofErr w:type="spellStart"/>
      <w:r w:rsidRPr="00C547BF">
        <w:rPr>
          <w:rFonts w:ascii="Cambria" w:hAnsi="Cambria"/>
          <w:lang w:val="en-US"/>
        </w:rPr>
        <w:t>Carromero</w:t>
      </w:r>
      <w:proofErr w:type="spellEnd"/>
      <w:r w:rsidRPr="00C547BF">
        <w:rPr>
          <w:rFonts w:ascii="Cambria" w:hAnsi="Cambria"/>
          <w:lang w:val="en-US"/>
        </w:rPr>
        <w:t xml:space="preserve"> was detained for three months until he was brought before a judge. The Commission considers that this </w:t>
      </w:r>
      <w:proofErr w:type="gramStart"/>
      <w:r w:rsidRPr="00C547BF">
        <w:rPr>
          <w:rFonts w:ascii="Cambria" w:hAnsi="Cambria"/>
          <w:lang w:val="en-US"/>
        </w:rPr>
        <w:t>period of time</w:t>
      </w:r>
      <w:proofErr w:type="gramEnd"/>
      <w:r w:rsidRPr="00C547BF">
        <w:rPr>
          <w:rFonts w:ascii="Cambria" w:hAnsi="Cambria"/>
          <w:lang w:val="en-US"/>
        </w:rPr>
        <w:t xml:space="preserve"> is clearly unreasonable, which leads to the arbitrariness of Mr. </w:t>
      </w:r>
      <w:proofErr w:type="spellStart"/>
      <w:r w:rsidRPr="00C547BF">
        <w:rPr>
          <w:rFonts w:ascii="Cambria" w:hAnsi="Cambria"/>
          <w:lang w:val="en-US"/>
        </w:rPr>
        <w:t>Carromero's</w:t>
      </w:r>
      <w:proofErr w:type="spellEnd"/>
      <w:r w:rsidRPr="00C547BF">
        <w:rPr>
          <w:rFonts w:ascii="Cambria" w:hAnsi="Cambria"/>
          <w:lang w:val="en-US"/>
        </w:rPr>
        <w:t xml:space="preserve"> detention. </w:t>
      </w:r>
    </w:p>
    <w:p w14:paraId="27A23C48" w14:textId="77777777" w:rsidR="00171179" w:rsidRPr="00C547BF" w:rsidRDefault="00171179" w:rsidP="008A2B6A">
      <w:pPr>
        <w:pStyle w:val="parrafos"/>
        <w:tabs>
          <w:tab w:val="clear" w:pos="360"/>
          <w:tab w:val="left" w:pos="450"/>
        </w:tabs>
        <w:rPr>
          <w:lang w:val="en-US"/>
        </w:rPr>
      </w:pPr>
    </w:p>
    <w:p w14:paraId="15EF6DC1" w14:textId="77777777" w:rsidR="00171179" w:rsidRPr="00C547BF" w:rsidRDefault="00171179" w:rsidP="00563529">
      <w:pPr>
        <w:pStyle w:val="parrafos"/>
        <w:numPr>
          <w:ilvl w:val="0"/>
          <w:numId w:val="62"/>
        </w:numPr>
        <w:tabs>
          <w:tab w:val="clear" w:pos="720"/>
          <w:tab w:val="num" w:pos="360"/>
          <w:tab w:val="left" w:pos="450"/>
        </w:tabs>
        <w:ind w:firstLine="0"/>
        <w:rPr>
          <w:rFonts w:ascii="Cambria" w:hAnsi="Cambria"/>
          <w:lang w:val="en-US"/>
        </w:rPr>
      </w:pPr>
      <w:r w:rsidRPr="00C547BF">
        <w:rPr>
          <w:rFonts w:ascii="Cambria" w:hAnsi="Cambria"/>
          <w:lang w:val="en-US"/>
        </w:rPr>
        <w:t xml:space="preserve">In view of the foregoing, the Commission considers that the detention of </w:t>
      </w:r>
      <w:proofErr w:type="spellStart"/>
      <w:r w:rsidRPr="00C547BF">
        <w:rPr>
          <w:rFonts w:ascii="Cambria" w:hAnsi="Cambria"/>
          <w:lang w:val="en-US"/>
        </w:rPr>
        <w:t>Ángel</w:t>
      </w:r>
      <w:proofErr w:type="spellEnd"/>
      <w:r w:rsidRPr="00C547BF">
        <w:rPr>
          <w:rFonts w:ascii="Cambria" w:hAnsi="Cambria"/>
          <w:lang w:val="en-US"/>
        </w:rPr>
        <w:t xml:space="preserve"> </w:t>
      </w:r>
      <w:proofErr w:type="spellStart"/>
      <w:r w:rsidRPr="00C547BF">
        <w:rPr>
          <w:rFonts w:ascii="Cambria" w:hAnsi="Cambria"/>
          <w:lang w:val="en-US"/>
        </w:rPr>
        <w:t>Carromero</w:t>
      </w:r>
      <w:proofErr w:type="spellEnd"/>
      <w:r w:rsidRPr="00C547BF">
        <w:rPr>
          <w:rFonts w:ascii="Cambria" w:hAnsi="Cambria"/>
          <w:lang w:val="en-US"/>
        </w:rPr>
        <w:t xml:space="preserve"> was illegal and arbitrary, that he was not informed of the reasons for it, and that he was not immediately brought before a judicial authority. Consequently, the IACHR concludes that the State is responsible for the violation of the right established in Article XXV of the American Declaration.</w:t>
      </w:r>
    </w:p>
    <w:p w14:paraId="1D523632" w14:textId="77777777" w:rsidR="00171179" w:rsidRPr="00C547BF" w:rsidRDefault="00171179" w:rsidP="008A2B6A">
      <w:pPr>
        <w:pStyle w:val="parrafos"/>
        <w:tabs>
          <w:tab w:val="clear" w:pos="360"/>
          <w:tab w:val="left" w:pos="450"/>
        </w:tabs>
        <w:rPr>
          <w:lang w:val="en-US"/>
        </w:rPr>
      </w:pPr>
    </w:p>
    <w:p w14:paraId="75F5CEAA" w14:textId="6FB30C83" w:rsidR="00171179" w:rsidRPr="00C547BF" w:rsidRDefault="00171179" w:rsidP="00563529">
      <w:pPr>
        <w:pStyle w:val="parrafos"/>
        <w:numPr>
          <w:ilvl w:val="0"/>
          <w:numId w:val="62"/>
        </w:numPr>
        <w:tabs>
          <w:tab w:val="clear" w:pos="720"/>
          <w:tab w:val="num" w:pos="360"/>
          <w:tab w:val="left" w:pos="450"/>
        </w:tabs>
        <w:ind w:firstLine="0"/>
        <w:rPr>
          <w:rFonts w:ascii="Cambria" w:hAnsi="Cambria"/>
          <w:lang w:val="en-US"/>
        </w:rPr>
      </w:pPr>
      <w:r w:rsidRPr="00C547BF">
        <w:rPr>
          <w:rFonts w:ascii="Cambria" w:hAnsi="Cambria"/>
          <w:lang w:val="en-US"/>
        </w:rPr>
        <w:t xml:space="preserve">Regarding Mr. </w:t>
      </w:r>
      <w:proofErr w:type="spellStart"/>
      <w:r w:rsidRPr="00C547BF">
        <w:rPr>
          <w:rFonts w:ascii="Cambria" w:hAnsi="Cambria"/>
          <w:lang w:val="en-US"/>
        </w:rPr>
        <w:t>Carromero's</w:t>
      </w:r>
      <w:proofErr w:type="spellEnd"/>
      <w:r w:rsidRPr="00C547BF">
        <w:rPr>
          <w:rFonts w:ascii="Cambria" w:hAnsi="Cambria"/>
          <w:lang w:val="en-US"/>
        </w:rPr>
        <w:t xml:space="preserve"> situation while he was deprived of liberty, the Commission takes note of various allegations presented by the petitioner. It was indicated that he was beaten at the time of his detention, and that he was held in poor conditions of detention as he had no access to sunlight or fresh air for prolonged periods of time. It was also alleged that the food was inadequate and that there was considerable weight loss.  He added that during his detention he was not provided with adequate health care for the medical requirements he had, and that he was under medical prescriptions that undermined his will, </w:t>
      </w:r>
      <w:r w:rsidR="008A2B6A" w:rsidRPr="00C547BF">
        <w:rPr>
          <w:rFonts w:ascii="Cambria" w:hAnsi="Cambria"/>
          <w:lang w:val="en-US"/>
        </w:rPr>
        <w:t>judgment,</w:t>
      </w:r>
      <w:r w:rsidRPr="00C547BF">
        <w:rPr>
          <w:rFonts w:ascii="Cambria" w:hAnsi="Cambria"/>
          <w:lang w:val="en-US"/>
        </w:rPr>
        <w:t xml:space="preserve"> and consent.</w:t>
      </w:r>
    </w:p>
    <w:p w14:paraId="720639EE" w14:textId="77777777" w:rsidR="00171179" w:rsidRPr="00C547BF" w:rsidRDefault="00171179" w:rsidP="008A2B6A">
      <w:pPr>
        <w:pStyle w:val="parrafos"/>
        <w:tabs>
          <w:tab w:val="clear" w:pos="360"/>
          <w:tab w:val="left" w:pos="450"/>
        </w:tabs>
        <w:rPr>
          <w:lang w:val="en-US"/>
        </w:rPr>
      </w:pPr>
    </w:p>
    <w:p w14:paraId="73E94822" w14:textId="2C1F1121" w:rsidR="00171179" w:rsidRPr="00C547BF" w:rsidRDefault="00171179" w:rsidP="00563529">
      <w:pPr>
        <w:pStyle w:val="parrafos"/>
        <w:numPr>
          <w:ilvl w:val="0"/>
          <w:numId w:val="62"/>
        </w:numPr>
        <w:tabs>
          <w:tab w:val="clear" w:pos="720"/>
          <w:tab w:val="num" w:pos="360"/>
          <w:tab w:val="left" w:pos="450"/>
        </w:tabs>
        <w:ind w:firstLine="0"/>
        <w:rPr>
          <w:rFonts w:ascii="Cambria" w:hAnsi="Cambria"/>
          <w:lang w:val="en-US"/>
        </w:rPr>
      </w:pPr>
      <w:r w:rsidRPr="00C547BF">
        <w:rPr>
          <w:rFonts w:ascii="Cambria" w:hAnsi="Cambria"/>
          <w:lang w:val="en-US"/>
        </w:rPr>
        <w:t xml:space="preserve">In this regard, the Commission emphasizes that the State, in its capacity as guarantor, has the obligation to safeguard the rights to personal integrity and health of persons deprived of liberty. In view of the foregoing, the State did not dispute these </w:t>
      </w:r>
      <w:r w:rsidR="008A2B6A" w:rsidRPr="00C547BF">
        <w:rPr>
          <w:rFonts w:ascii="Cambria" w:hAnsi="Cambria"/>
          <w:lang w:val="en-US"/>
        </w:rPr>
        <w:t>allegations,</w:t>
      </w:r>
      <w:r w:rsidRPr="00C547BF">
        <w:rPr>
          <w:rFonts w:ascii="Cambria" w:hAnsi="Cambria"/>
          <w:lang w:val="en-US"/>
        </w:rPr>
        <w:t xml:space="preserve"> nor did it provide information that would dispute the beatings caused at the time of his detention, the deficiencies in the prison conditions, the lack of adequate food, and the lack of health care. Consequently, the Commission concludes that the State is responsible for the violation of the right established in Article I of the American Declaration. </w:t>
      </w:r>
    </w:p>
    <w:bookmarkEnd w:id="43"/>
    <w:p w14:paraId="5781371D" w14:textId="77777777" w:rsidR="00171179" w:rsidRPr="00C547BF" w:rsidRDefault="00171179" w:rsidP="008A2B6A">
      <w:pPr>
        <w:pStyle w:val="parrafos"/>
        <w:tabs>
          <w:tab w:val="clear" w:pos="360"/>
          <w:tab w:val="left" w:pos="450"/>
        </w:tabs>
        <w:rPr>
          <w:lang w:val="en-US"/>
        </w:rPr>
      </w:pPr>
    </w:p>
    <w:p w14:paraId="132C29A1" w14:textId="08AFA51A" w:rsidR="00171179" w:rsidRPr="00C547BF" w:rsidRDefault="00171179" w:rsidP="00563529">
      <w:pPr>
        <w:pStyle w:val="Ttulo2"/>
        <w:numPr>
          <w:ilvl w:val="0"/>
          <w:numId w:val="65"/>
        </w:numPr>
        <w:tabs>
          <w:tab w:val="num" w:pos="720"/>
        </w:tabs>
        <w:spacing w:before="0"/>
        <w:ind w:left="360"/>
        <w:rPr>
          <w:lang w:val="en-US"/>
        </w:rPr>
      </w:pPr>
      <w:bookmarkStart w:id="45" w:name="_Toc136860066"/>
      <w:r w:rsidRPr="00C547BF">
        <w:rPr>
          <w:rFonts w:eastAsia="SimSun"/>
          <w:lang w:val="en-US"/>
        </w:rPr>
        <w:lastRenderedPageBreak/>
        <w:t xml:space="preserve">Right to life, liberty, </w:t>
      </w:r>
      <w:r w:rsidR="008A2B6A" w:rsidRPr="00C547BF">
        <w:rPr>
          <w:rFonts w:eastAsia="SimSun"/>
          <w:lang w:val="en-US"/>
        </w:rPr>
        <w:t>security,</w:t>
      </w:r>
      <w:r w:rsidRPr="00C547BF">
        <w:rPr>
          <w:rFonts w:eastAsia="SimSun"/>
          <w:lang w:val="en-US"/>
        </w:rPr>
        <w:t xml:space="preserve"> and integrity of the person </w:t>
      </w:r>
      <w:r w:rsidRPr="00C547BF">
        <w:rPr>
          <w:lang w:val="en-US"/>
        </w:rPr>
        <w:t>(Article I of the American Declaration).</w:t>
      </w:r>
      <w:bookmarkEnd w:id="45"/>
    </w:p>
    <w:p w14:paraId="2045D404" w14:textId="77777777" w:rsidR="00171179" w:rsidRPr="00C547BF" w:rsidRDefault="00171179" w:rsidP="00171179">
      <w:pPr>
        <w:rPr>
          <w:szCs w:val="20"/>
          <w:lang w:val="en-US"/>
        </w:rPr>
      </w:pPr>
    </w:p>
    <w:p w14:paraId="31E35EB8" w14:textId="77777777" w:rsidR="00171179" w:rsidRPr="00C547BF" w:rsidRDefault="00171179" w:rsidP="00563529">
      <w:pPr>
        <w:pStyle w:val="parrafos"/>
        <w:numPr>
          <w:ilvl w:val="0"/>
          <w:numId w:val="62"/>
        </w:numPr>
        <w:tabs>
          <w:tab w:val="clear" w:pos="720"/>
          <w:tab w:val="num" w:pos="360"/>
          <w:tab w:val="left" w:pos="450"/>
        </w:tabs>
        <w:ind w:firstLine="0"/>
        <w:rPr>
          <w:rFonts w:ascii="Cambria" w:eastAsia="Calibri" w:hAnsi="Cambria"/>
          <w:color w:val="auto"/>
          <w:lang w:val="en-US"/>
        </w:rPr>
      </w:pPr>
      <w:r w:rsidRPr="00C547BF">
        <w:rPr>
          <w:rFonts w:ascii="Cambria" w:eastAsia="Calibri" w:hAnsi="Cambria"/>
          <w:color w:val="auto"/>
          <w:lang w:val="en-US"/>
        </w:rPr>
        <w:t>With respect to the next of kin of victims of certain human rights violations, the Commission has indicated that they can be considered, in turn, as victims</w:t>
      </w:r>
      <w:r w:rsidRPr="00C547BF">
        <w:rPr>
          <w:rFonts w:ascii="Cambria" w:eastAsia="Calibri" w:hAnsi="Cambria"/>
          <w:color w:val="auto"/>
          <w:vertAlign w:val="superscript"/>
          <w:lang w:val="es-PE"/>
        </w:rPr>
        <w:footnoteReference w:id="154"/>
      </w:r>
      <w:r w:rsidRPr="00C547BF">
        <w:rPr>
          <w:rFonts w:ascii="Cambria" w:eastAsia="Calibri" w:hAnsi="Cambria"/>
          <w:color w:val="auto"/>
          <w:lang w:val="en-US"/>
        </w:rPr>
        <w:t xml:space="preserve"> . In this regard, the Court has ruled that their psychological and moral integrity may be affected </w:t>
      </w:r>
      <w:proofErr w:type="gramStart"/>
      <w:r w:rsidRPr="00C547BF">
        <w:rPr>
          <w:rFonts w:ascii="Cambria" w:eastAsia="Calibri" w:hAnsi="Cambria"/>
          <w:color w:val="auto"/>
          <w:lang w:val="en-US"/>
        </w:rPr>
        <w:t>as a consequence of</w:t>
      </w:r>
      <w:proofErr w:type="gramEnd"/>
      <w:r w:rsidRPr="00C547BF">
        <w:rPr>
          <w:rFonts w:ascii="Cambria" w:eastAsia="Calibri" w:hAnsi="Cambria"/>
          <w:color w:val="auto"/>
          <w:lang w:val="en-US"/>
        </w:rPr>
        <w:t xml:space="preserve"> the particular situations suffered by the victims, and the subsequent actions or omissions of the domestic authorities in the face of these facts</w:t>
      </w:r>
      <w:r w:rsidRPr="00C547BF">
        <w:rPr>
          <w:rFonts w:ascii="Cambria" w:eastAsia="Calibri" w:hAnsi="Cambria"/>
          <w:color w:val="auto"/>
          <w:vertAlign w:val="superscript"/>
          <w:lang w:val="es-PE"/>
        </w:rPr>
        <w:footnoteReference w:id="155"/>
      </w:r>
      <w:r w:rsidRPr="00C547BF">
        <w:rPr>
          <w:rFonts w:ascii="Cambria" w:eastAsia="Calibri" w:hAnsi="Cambria"/>
          <w:color w:val="auto"/>
          <w:lang w:val="en-US"/>
        </w:rPr>
        <w:t xml:space="preserve"> .</w:t>
      </w:r>
    </w:p>
    <w:p w14:paraId="7AB57455" w14:textId="77777777" w:rsidR="00171179" w:rsidRPr="00C547BF" w:rsidRDefault="00171179" w:rsidP="00171179">
      <w:pPr>
        <w:pStyle w:val="parrafos"/>
        <w:tabs>
          <w:tab w:val="left" w:pos="0"/>
        </w:tabs>
        <w:rPr>
          <w:rFonts w:ascii="Cambria" w:eastAsia="Calibri" w:hAnsi="Cambria"/>
          <w:color w:val="auto"/>
          <w:lang w:val="en-US"/>
        </w:rPr>
      </w:pPr>
    </w:p>
    <w:p w14:paraId="1E3CE9A0" w14:textId="77777777" w:rsidR="00171179" w:rsidRPr="00C547BF" w:rsidRDefault="00171179" w:rsidP="00563529">
      <w:pPr>
        <w:pStyle w:val="parrafos"/>
        <w:numPr>
          <w:ilvl w:val="0"/>
          <w:numId w:val="62"/>
        </w:numPr>
        <w:tabs>
          <w:tab w:val="clear" w:pos="720"/>
          <w:tab w:val="num" w:pos="360"/>
          <w:tab w:val="left" w:pos="450"/>
        </w:tabs>
        <w:ind w:firstLine="0"/>
        <w:rPr>
          <w:rFonts w:ascii="Cambria" w:eastAsia="Calibri" w:hAnsi="Cambria"/>
          <w:color w:val="auto"/>
          <w:lang w:val="en-US"/>
        </w:rPr>
      </w:pPr>
      <w:r w:rsidRPr="00C547BF">
        <w:rPr>
          <w:rFonts w:ascii="Cambria" w:hAnsi="Cambria"/>
          <w:lang w:val="en-US"/>
        </w:rPr>
        <w:t>Specifically, with respect to cases where there was a lack of complete and effective investigation of serious human rights violations, such as the present case, the Court has indicated that:</w:t>
      </w:r>
    </w:p>
    <w:p w14:paraId="21DB65A2" w14:textId="77777777" w:rsidR="00171179" w:rsidRPr="00C547BF" w:rsidRDefault="00171179" w:rsidP="008A2B6A">
      <w:pPr>
        <w:pStyle w:val="parrafos"/>
        <w:tabs>
          <w:tab w:val="left" w:pos="0"/>
        </w:tabs>
        <w:rPr>
          <w:rFonts w:eastAsia="Calibri"/>
          <w:lang w:val="en-US"/>
        </w:rPr>
      </w:pPr>
    </w:p>
    <w:p w14:paraId="78D6CEC4" w14:textId="77777777" w:rsidR="00171179" w:rsidRPr="00C547BF" w:rsidRDefault="00171179" w:rsidP="00171179">
      <w:pPr>
        <w:pStyle w:val="Sangradetextonormal"/>
        <w:tabs>
          <w:tab w:val="left" w:pos="1440"/>
          <w:tab w:val="left" w:pos="8640"/>
        </w:tabs>
        <w:ind w:right="720"/>
        <w:rPr>
          <w:sz w:val="18"/>
          <w:szCs w:val="18"/>
          <w:lang w:val="en-US"/>
        </w:rPr>
      </w:pPr>
      <w:r w:rsidRPr="00C547BF">
        <w:rPr>
          <w:sz w:val="18"/>
          <w:szCs w:val="18"/>
          <w:lang w:val="en-US"/>
        </w:rPr>
        <w:t>(...) the absence of a complete and effective investigation into the facts constitutes a source of additional suffering and anguish for the victims and their next of kin, who have the right to know the truth of what happened. Said right to the truth demands the procedural determination of the fullest possible historical truth, which includes the judicial determination of the patterns of joint actions and of all the persons who in various ways participated in said violations and their corresponding responsibilities</w:t>
      </w:r>
      <w:r w:rsidRPr="00C547BF">
        <w:rPr>
          <w:rStyle w:val="Refdenotaalpie"/>
          <w:sz w:val="18"/>
          <w:szCs w:val="18"/>
        </w:rPr>
        <w:footnoteReference w:id="156"/>
      </w:r>
      <w:r w:rsidRPr="00C547BF">
        <w:rPr>
          <w:sz w:val="18"/>
          <w:szCs w:val="18"/>
          <w:lang w:val="en-US"/>
        </w:rPr>
        <w:t xml:space="preserve"> .  </w:t>
      </w:r>
    </w:p>
    <w:p w14:paraId="63C72A04" w14:textId="77777777" w:rsidR="00171179" w:rsidRPr="00C547BF" w:rsidRDefault="00171179" w:rsidP="008A2B6A">
      <w:pPr>
        <w:pStyle w:val="parrafos"/>
        <w:tabs>
          <w:tab w:val="left" w:pos="0"/>
        </w:tabs>
        <w:rPr>
          <w:lang w:val="en-US"/>
        </w:rPr>
      </w:pPr>
    </w:p>
    <w:p w14:paraId="6AA3BC2F" w14:textId="77777777" w:rsidR="00171179" w:rsidRPr="00C547BF" w:rsidRDefault="00171179" w:rsidP="00563529">
      <w:pPr>
        <w:pStyle w:val="parrafos"/>
        <w:numPr>
          <w:ilvl w:val="0"/>
          <w:numId w:val="62"/>
        </w:numPr>
        <w:tabs>
          <w:tab w:val="clear" w:pos="720"/>
          <w:tab w:val="num" w:pos="360"/>
          <w:tab w:val="left" w:pos="450"/>
        </w:tabs>
        <w:ind w:firstLine="0"/>
        <w:rPr>
          <w:rFonts w:ascii="Cambria" w:hAnsi="Cambria"/>
          <w:lang w:val="en-US"/>
        </w:rPr>
      </w:pPr>
      <w:r w:rsidRPr="00C547BF">
        <w:rPr>
          <w:rFonts w:ascii="Cambria" w:hAnsi="Cambria"/>
          <w:lang w:val="en-US"/>
        </w:rPr>
        <w:t xml:space="preserve">The Commission considers that the death of a loved one in a situation such as the one described in the instant case, as well as the absence of a complete and effective investigation, which in turn causes suffering and anguish because the truth is not known, constitutes </w:t>
      </w:r>
      <w:proofErr w:type="gramStart"/>
      <w:r w:rsidRPr="00C547BF">
        <w:rPr>
          <w:rFonts w:ascii="Cambria" w:hAnsi="Cambria"/>
          <w:lang w:val="en-US"/>
        </w:rPr>
        <w:t>in itself an</w:t>
      </w:r>
      <w:proofErr w:type="gramEnd"/>
      <w:r w:rsidRPr="00C547BF">
        <w:rPr>
          <w:rFonts w:ascii="Cambria" w:hAnsi="Cambria"/>
          <w:lang w:val="en-US"/>
        </w:rPr>
        <w:t xml:space="preserve"> affectation of the psychological and moral integrity of the next of kin of Mr. </w:t>
      </w:r>
      <w:proofErr w:type="spellStart"/>
      <w:r w:rsidRPr="00C547BF">
        <w:rPr>
          <w:rFonts w:ascii="Cambria" w:hAnsi="Cambria"/>
          <w:lang w:val="en-US"/>
        </w:rPr>
        <w:t>Payá</w:t>
      </w:r>
      <w:proofErr w:type="spellEnd"/>
      <w:r w:rsidRPr="00C547BF">
        <w:rPr>
          <w:rFonts w:ascii="Cambria" w:hAnsi="Cambria"/>
          <w:lang w:val="en-US"/>
        </w:rPr>
        <w:t xml:space="preserve"> and Mr. Cepero. To this must be added the multiple affectations caused by the illegal restrictions on their communications and their homes, as previously analyzed. Consequently, the Commission concludes that the State violated the right established in Article I of the American Declaration, to the detriment of Mr. </w:t>
      </w:r>
      <w:proofErr w:type="spellStart"/>
      <w:r w:rsidRPr="00C547BF">
        <w:rPr>
          <w:rFonts w:ascii="Cambria" w:hAnsi="Cambria"/>
          <w:lang w:val="en-US"/>
        </w:rPr>
        <w:t>Payá</w:t>
      </w:r>
      <w:proofErr w:type="spellEnd"/>
      <w:r w:rsidRPr="00C547BF">
        <w:rPr>
          <w:rFonts w:ascii="Cambria" w:hAnsi="Cambria"/>
          <w:lang w:val="en-US"/>
        </w:rPr>
        <w:t xml:space="preserve"> and Mr. Cepero's next of kin</w:t>
      </w:r>
      <w:r w:rsidRPr="00C547BF">
        <w:rPr>
          <w:rFonts w:ascii="Cambria" w:eastAsia="Calibri" w:hAnsi="Cambria"/>
          <w:color w:val="auto"/>
          <w:lang w:val="en-US"/>
        </w:rPr>
        <w:t>.</w:t>
      </w:r>
    </w:p>
    <w:p w14:paraId="67293B5F" w14:textId="77777777" w:rsidR="00B80F94" w:rsidRPr="00C547BF" w:rsidRDefault="00B80F94" w:rsidP="00B80F94">
      <w:pPr>
        <w:pStyle w:val="parrafos"/>
        <w:tabs>
          <w:tab w:val="clear" w:pos="360"/>
          <w:tab w:val="left" w:pos="450"/>
        </w:tabs>
        <w:ind w:left="0" w:firstLine="0"/>
        <w:rPr>
          <w:rFonts w:ascii="Cambria" w:hAnsi="Cambria"/>
          <w:lang w:val="en-US"/>
        </w:rPr>
      </w:pPr>
    </w:p>
    <w:p w14:paraId="47B06ED5" w14:textId="401CDED4" w:rsidR="00A15327" w:rsidRPr="00C547BF" w:rsidRDefault="00A15327" w:rsidP="00A15327">
      <w:pPr>
        <w:pStyle w:val="Ttulo1"/>
        <w:numPr>
          <w:ilvl w:val="0"/>
          <w:numId w:val="3"/>
        </w:numPr>
        <w:ind w:left="360"/>
      </w:pPr>
      <w:bookmarkStart w:id="46" w:name="_Toc83892918"/>
      <w:bookmarkStart w:id="47" w:name="_Toc136860067"/>
      <w:r w:rsidRPr="00C547BF">
        <w:t>REPORT No. 357/22 AND COMPLIANCE INFORMATION</w:t>
      </w:r>
      <w:bookmarkEnd w:id="46"/>
      <w:bookmarkEnd w:id="47"/>
    </w:p>
    <w:p w14:paraId="783D9305" w14:textId="77777777" w:rsidR="00A15327" w:rsidRPr="00C547BF" w:rsidRDefault="00A15327" w:rsidP="00A15327">
      <w:pPr>
        <w:rPr>
          <w:lang w:val="es-ES"/>
        </w:rPr>
      </w:pPr>
    </w:p>
    <w:p w14:paraId="5698B5D2" w14:textId="0FEF5C24" w:rsidR="00A15327" w:rsidRPr="00C547BF" w:rsidRDefault="00A15327" w:rsidP="00A15327">
      <w:pPr>
        <w:pStyle w:val="parrafos"/>
        <w:numPr>
          <w:ilvl w:val="0"/>
          <w:numId w:val="62"/>
        </w:numPr>
        <w:tabs>
          <w:tab w:val="clear" w:pos="720"/>
          <w:tab w:val="num" w:pos="360"/>
          <w:tab w:val="left" w:pos="450"/>
        </w:tabs>
        <w:ind w:firstLine="0"/>
        <w:rPr>
          <w:rFonts w:ascii="Cambria" w:hAnsi="Cambria"/>
          <w:lang w:val="en-US"/>
        </w:rPr>
      </w:pPr>
      <w:r w:rsidRPr="00C547BF">
        <w:rPr>
          <w:rFonts w:ascii="Cambria" w:hAnsi="Cambria"/>
          <w:lang w:val="en-US"/>
        </w:rPr>
        <w:t>On December 19, 2022, the Commission adopted Admissibility and Merits Report No. 357/22 on the present case, which includes paragraphs 1 to 115 above, and made the following recommendations to the State:</w:t>
      </w:r>
    </w:p>
    <w:p w14:paraId="3227E33B" w14:textId="77777777" w:rsidR="00A15327" w:rsidRPr="00C547BF" w:rsidRDefault="00A15327" w:rsidP="008A2B6A">
      <w:pPr>
        <w:pStyle w:val="parrafos"/>
        <w:tabs>
          <w:tab w:val="clear" w:pos="360"/>
          <w:tab w:val="left" w:pos="450"/>
        </w:tabs>
        <w:ind w:left="0" w:firstLine="0"/>
        <w:rPr>
          <w:rFonts w:cs="Cambria"/>
          <w:b/>
          <w:bCs/>
          <w:color w:val="000000"/>
          <w:u w:color="000000"/>
          <w:lang w:val="en-US" w:eastAsia="es-ES"/>
        </w:rPr>
      </w:pPr>
    </w:p>
    <w:p w14:paraId="3F451757" w14:textId="77777777" w:rsidR="00A15327" w:rsidRPr="00C547BF" w:rsidRDefault="00A15327" w:rsidP="00A15327">
      <w:pPr>
        <w:numPr>
          <w:ilvl w:val="0"/>
          <w:numId w:val="68"/>
        </w:numPr>
        <w:pBdr>
          <w:top w:val="nil"/>
          <w:left w:val="nil"/>
          <w:bottom w:val="nil"/>
          <w:right w:val="nil"/>
          <w:between w:val="nil"/>
          <w:bar w:val="nil"/>
        </w:pBdr>
        <w:tabs>
          <w:tab w:val="left" w:pos="360"/>
        </w:tabs>
        <w:suppressAutoHyphens/>
        <w:spacing w:after="0"/>
        <w:ind w:right="387"/>
        <w:rPr>
          <w:szCs w:val="20"/>
          <w:lang w:val="en-US"/>
        </w:rPr>
      </w:pPr>
      <w:r w:rsidRPr="00C547BF">
        <w:rPr>
          <w:szCs w:val="20"/>
          <w:lang w:val="en-US"/>
        </w:rPr>
        <w:t xml:space="preserve">Make full reparation for the human rights violations declared in this report, both in material and non-material aspects. The State shall adopt measures of economic compensation and satisfaction. The State shall disseminate the conclusions and recommendations of this report through the same official media in which reference has been made to the facts of the case and generate the conditions for the return of all persons who, </w:t>
      </w:r>
      <w:proofErr w:type="gramStart"/>
      <w:r w:rsidRPr="00C547BF">
        <w:rPr>
          <w:szCs w:val="20"/>
          <w:lang w:val="en-US"/>
        </w:rPr>
        <w:t>as a consequence of</w:t>
      </w:r>
      <w:proofErr w:type="gramEnd"/>
      <w:r w:rsidRPr="00C547BF">
        <w:rPr>
          <w:szCs w:val="20"/>
          <w:lang w:val="en-US"/>
        </w:rPr>
        <w:t xml:space="preserve"> the facts, have been forced to rebuild their life projects in other places, if they so wish.</w:t>
      </w:r>
    </w:p>
    <w:p w14:paraId="589D3454" w14:textId="77777777" w:rsidR="00A15327" w:rsidRPr="00C547BF" w:rsidRDefault="00A15327" w:rsidP="008A2B6A">
      <w:pPr>
        <w:pStyle w:val="parrafos"/>
        <w:tabs>
          <w:tab w:val="clear" w:pos="360"/>
          <w:tab w:val="left" w:pos="450"/>
        </w:tabs>
        <w:ind w:left="0" w:firstLine="0"/>
        <w:rPr>
          <w:lang w:val="en-US"/>
        </w:rPr>
      </w:pPr>
    </w:p>
    <w:p w14:paraId="21ED5E8C" w14:textId="77777777" w:rsidR="00A15327" w:rsidRPr="00C547BF" w:rsidRDefault="00A15327" w:rsidP="00A15327">
      <w:pPr>
        <w:numPr>
          <w:ilvl w:val="0"/>
          <w:numId w:val="68"/>
        </w:numPr>
        <w:pBdr>
          <w:top w:val="nil"/>
          <w:left w:val="nil"/>
          <w:bottom w:val="nil"/>
          <w:right w:val="nil"/>
          <w:between w:val="nil"/>
          <w:bar w:val="nil"/>
        </w:pBdr>
        <w:tabs>
          <w:tab w:val="left" w:pos="360"/>
        </w:tabs>
        <w:suppressAutoHyphens/>
        <w:spacing w:after="0"/>
        <w:ind w:right="387"/>
        <w:rPr>
          <w:szCs w:val="20"/>
          <w:lang w:val="en-US"/>
        </w:rPr>
      </w:pPr>
      <w:r w:rsidRPr="00C547BF">
        <w:rPr>
          <w:szCs w:val="20"/>
          <w:lang w:val="en-US"/>
        </w:rPr>
        <w:t xml:space="preserve">Initiate an investigation in the ordinary criminal jurisdiction diligently, effectively and within a reasonable time </w:t>
      </w:r>
      <w:proofErr w:type="gramStart"/>
      <w:r w:rsidRPr="00C547BF">
        <w:rPr>
          <w:szCs w:val="20"/>
          <w:lang w:val="en-US"/>
        </w:rPr>
        <w:t>in order to</w:t>
      </w:r>
      <w:proofErr w:type="gramEnd"/>
      <w:r w:rsidRPr="00C547BF">
        <w:rPr>
          <w:szCs w:val="20"/>
          <w:lang w:val="en-US"/>
        </w:rPr>
        <w:t xml:space="preserve"> clarify the facts completely, identify all possible responsibilities and impose the corresponding sanctions with respect to the human rights violations declared in this report. This investigation should be carried out </w:t>
      </w:r>
      <w:proofErr w:type="gramStart"/>
      <w:r w:rsidRPr="00C547BF">
        <w:rPr>
          <w:szCs w:val="20"/>
          <w:lang w:val="en-US"/>
        </w:rPr>
        <w:t>taking into account</w:t>
      </w:r>
      <w:proofErr w:type="gramEnd"/>
      <w:r w:rsidRPr="00C547BF">
        <w:rPr>
          <w:szCs w:val="20"/>
          <w:lang w:val="en-US"/>
        </w:rPr>
        <w:t xml:space="preserve"> the seriousness of the violations declared and inter-American standards in this regard. The Commission emphasizes that the State may not invoke the guarantee of </w:t>
      </w:r>
      <w:r w:rsidRPr="00C547BF">
        <w:rPr>
          <w:i/>
          <w:iCs/>
          <w:szCs w:val="20"/>
          <w:lang w:val="en-US"/>
        </w:rPr>
        <w:t>ne bis in idem</w:t>
      </w:r>
      <w:r w:rsidRPr="00C547BF">
        <w:rPr>
          <w:szCs w:val="20"/>
          <w:lang w:val="en-US"/>
        </w:rPr>
        <w:t>, res judicata or the statute of limitations to justify its failure to comply with this recommendation.</w:t>
      </w:r>
    </w:p>
    <w:p w14:paraId="2A50E725" w14:textId="77777777" w:rsidR="00A15327" w:rsidRPr="00C547BF" w:rsidRDefault="00A15327" w:rsidP="00A15327">
      <w:pPr>
        <w:pStyle w:val="Prrafodelista"/>
        <w:rPr>
          <w:szCs w:val="20"/>
          <w:lang w:val="en-US"/>
        </w:rPr>
      </w:pPr>
    </w:p>
    <w:p w14:paraId="7CC03873" w14:textId="77777777" w:rsidR="00A15327" w:rsidRPr="00C547BF" w:rsidRDefault="00A15327" w:rsidP="00A15327">
      <w:pPr>
        <w:numPr>
          <w:ilvl w:val="0"/>
          <w:numId w:val="68"/>
        </w:numPr>
        <w:pBdr>
          <w:top w:val="nil"/>
          <w:left w:val="nil"/>
          <w:bottom w:val="nil"/>
          <w:right w:val="nil"/>
          <w:between w:val="nil"/>
          <w:bar w:val="nil"/>
        </w:pBdr>
        <w:tabs>
          <w:tab w:val="left" w:pos="360"/>
        </w:tabs>
        <w:suppressAutoHyphens/>
        <w:spacing w:after="0"/>
        <w:ind w:right="387"/>
        <w:rPr>
          <w:szCs w:val="20"/>
          <w:lang w:val="en-US"/>
        </w:rPr>
      </w:pPr>
      <w:r w:rsidRPr="00C547BF">
        <w:rPr>
          <w:szCs w:val="20"/>
          <w:lang w:val="en-US"/>
        </w:rPr>
        <w:lastRenderedPageBreak/>
        <w:t xml:space="preserve">To order the corresponding administrative, </w:t>
      </w:r>
      <w:proofErr w:type="gramStart"/>
      <w:r w:rsidRPr="00C547BF">
        <w:rPr>
          <w:szCs w:val="20"/>
          <w:lang w:val="en-US"/>
        </w:rPr>
        <w:t>disciplinary</w:t>
      </w:r>
      <w:proofErr w:type="gramEnd"/>
      <w:r w:rsidRPr="00C547BF">
        <w:rPr>
          <w:szCs w:val="20"/>
          <w:lang w:val="en-US"/>
        </w:rPr>
        <w:t xml:space="preserve"> or criminal measures against the actions or omissions of state officials that contributed to the denial of justice and impunity in which the facts of the case are found. </w:t>
      </w:r>
    </w:p>
    <w:p w14:paraId="754294F3" w14:textId="77777777" w:rsidR="00A15327" w:rsidRPr="00C547BF" w:rsidRDefault="00A15327" w:rsidP="008A2B6A">
      <w:pPr>
        <w:pStyle w:val="parrafos"/>
        <w:tabs>
          <w:tab w:val="clear" w:pos="360"/>
          <w:tab w:val="left" w:pos="450"/>
        </w:tabs>
        <w:ind w:left="0" w:firstLine="0"/>
        <w:rPr>
          <w:lang w:val="en-US"/>
        </w:rPr>
      </w:pPr>
    </w:p>
    <w:p w14:paraId="1659342D" w14:textId="77777777" w:rsidR="00A15327" w:rsidRPr="00C547BF" w:rsidRDefault="00A15327" w:rsidP="00A15327">
      <w:pPr>
        <w:numPr>
          <w:ilvl w:val="0"/>
          <w:numId w:val="68"/>
        </w:numPr>
        <w:pBdr>
          <w:top w:val="nil"/>
          <w:left w:val="nil"/>
          <w:bottom w:val="nil"/>
          <w:right w:val="nil"/>
          <w:between w:val="nil"/>
          <w:bar w:val="nil"/>
        </w:pBdr>
        <w:tabs>
          <w:tab w:val="left" w:pos="360"/>
        </w:tabs>
        <w:suppressAutoHyphens/>
        <w:spacing w:after="0"/>
        <w:ind w:right="387"/>
        <w:rPr>
          <w:bCs/>
          <w:lang w:val="en-US"/>
        </w:rPr>
      </w:pPr>
      <w:r w:rsidRPr="00C547BF">
        <w:rPr>
          <w:szCs w:val="20"/>
          <w:lang w:val="en-US"/>
        </w:rPr>
        <w:t xml:space="preserve">Promote </w:t>
      </w:r>
      <w:r w:rsidRPr="00C547BF">
        <w:rPr>
          <w:bCs/>
          <w:lang w:val="en-US"/>
        </w:rPr>
        <w:t xml:space="preserve">mechanisms of non-repetition that </w:t>
      </w:r>
      <w:proofErr w:type="gramStart"/>
      <w:r w:rsidRPr="00C547BF">
        <w:rPr>
          <w:bCs/>
          <w:lang w:val="en-US"/>
        </w:rPr>
        <w:t>include</w:t>
      </w:r>
      <w:proofErr w:type="gramEnd"/>
    </w:p>
    <w:p w14:paraId="77336C99" w14:textId="77777777" w:rsidR="00A15327" w:rsidRPr="00C547BF" w:rsidRDefault="00A15327" w:rsidP="00A15327">
      <w:pPr>
        <w:pStyle w:val="Prrafodelista"/>
        <w:rPr>
          <w:bCs/>
          <w:lang w:val="en-US"/>
        </w:rPr>
      </w:pPr>
    </w:p>
    <w:p w14:paraId="0ADA2A03" w14:textId="77777777" w:rsidR="00A15327" w:rsidRPr="00C547BF" w:rsidRDefault="00A15327" w:rsidP="00A15327">
      <w:pPr>
        <w:pStyle w:val="Prrafodelista"/>
        <w:numPr>
          <w:ilvl w:val="1"/>
          <w:numId w:val="72"/>
        </w:numPr>
        <w:pBdr>
          <w:top w:val="nil"/>
          <w:left w:val="nil"/>
          <w:bottom w:val="nil"/>
          <w:right w:val="nil"/>
          <w:between w:val="nil"/>
          <w:bar w:val="nil"/>
        </w:pBdr>
        <w:tabs>
          <w:tab w:val="left" w:pos="360"/>
        </w:tabs>
        <w:suppressAutoHyphens/>
        <w:spacing w:after="0"/>
        <w:ind w:right="387"/>
        <w:contextualSpacing w:val="0"/>
        <w:rPr>
          <w:bCs/>
          <w:lang w:val="en-US"/>
        </w:rPr>
      </w:pPr>
      <w:r w:rsidRPr="00C547BF">
        <w:rPr>
          <w:bCs/>
          <w:lang w:val="en-US"/>
        </w:rPr>
        <w:t xml:space="preserve"> Adopt measures to strengthen the capacity to investigate acts of violence against </w:t>
      </w:r>
      <w:r w:rsidRPr="00C547BF">
        <w:rPr>
          <w:bCs/>
          <w:szCs w:val="20"/>
          <w:lang w:val="en-US"/>
        </w:rPr>
        <w:t xml:space="preserve">human </w:t>
      </w:r>
      <w:r w:rsidRPr="00C547BF">
        <w:rPr>
          <w:bCs/>
          <w:lang w:val="en-US"/>
        </w:rPr>
        <w:t xml:space="preserve">rights defenders in accordance with </w:t>
      </w:r>
      <w:r w:rsidRPr="00C547BF">
        <w:rPr>
          <w:bCs/>
          <w:szCs w:val="20"/>
          <w:lang w:val="en-US"/>
        </w:rPr>
        <w:t xml:space="preserve">Inter-American </w:t>
      </w:r>
      <w:proofErr w:type="gramStart"/>
      <w:r w:rsidRPr="00C547BF">
        <w:rPr>
          <w:bCs/>
          <w:szCs w:val="20"/>
          <w:lang w:val="en-US"/>
        </w:rPr>
        <w:t>standards;</w:t>
      </w:r>
      <w:proofErr w:type="gramEnd"/>
    </w:p>
    <w:p w14:paraId="6E8A7573" w14:textId="77777777" w:rsidR="00A15327" w:rsidRPr="00C547BF" w:rsidRDefault="00A15327" w:rsidP="00A15327">
      <w:pPr>
        <w:pStyle w:val="Prrafodelista"/>
        <w:numPr>
          <w:ilvl w:val="1"/>
          <w:numId w:val="72"/>
        </w:numPr>
        <w:pBdr>
          <w:top w:val="nil"/>
          <w:left w:val="nil"/>
          <w:bottom w:val="nil"/>
          <w:right w:val="nil"/>
          <w:between w:val="nil"/>
          <w:bar w:val="nil"/>
        </w:pBdr>
        <w:tabs>
          <w:tab w:val="left" w:pos="360"/>
        </w:tabs>
        <w:suppressAutoHyphens/>
        <w:spacing w:after="0"/>
        <w:ind w:right="387"/>
        <w:contextualSpacing w:val="0"/>
        <w:rPr>
          <w:bCs/>
          <w:lang w:val="en-US"/>
        </w:rPr>
      </w:pPr>
      <w:r w:rsidRPr="00C547BF">
        <w:rPr>
          <w:szCs w:val="20"/>
          <w:lang w:val="en-US"/>
        </w:rPr>
        <w:t xml:space="preserve"> Adopt legislative, administrative or other measures to carry out an adequate diagnosis of the context of violence faced by human rights defenders in Cuba, including the collection of disaggregated and systematic data on its prevalence, and establish a comprehensive policy for its prevention and effective eradication, addressing its structural </w:t>
      </w:r>
      <w:proofErr w:type="gramStart"/>
      <w:r w:rsidRPr="00C547BF">
        <w:rPr>
          <w:szCs w:val="20"/>
          <w:lang w:val="en-US"/>
        </w:rPr>
        <w:t>causes;</w:t>
      </w:r>
      <w:proofErr w:type="gramEnd"/>
      <w:r w:rsidRPr="00C547BF">
        <w:rPr>
          <w:szCs w:val="20"/>
          <w:lang w:val="en-US"/>
        </w:rPr>
        <w:t xml:space="preserve"> </w:t>
      </w:r>
    </w:p>
    <w:p w14:paraId="50C8BE1A" w14:textId="77777777" w:rsidR="00A15327" w:rsidRPr="00C547BF" w:rsidRDefault="00A15327" w:rsidP="00A15327">
      <w:pPr>
        <w:pStyle w:val="Prrafodelista"/>
        <w:numPr>
          <w:ilvl w:val="1"/>
          <w:numId w:val="72"/>
        </w:numPr>
        <w:pBdr>
          <w:top w:val="nil"/>
          <w:left w:val="nil"/>
          <w:bottom w:val="nil"/>
          <w:right w:val="nil"/>
          <w:between w:val="nil"/>
          <w:bar w:val="nil"/>
        </w:pBdr>
        <w:tabs>
          <w:tab w:val="left" w:pos="360"/>
        </w:tabs>
        <w:suppressAutoHyphens/>
        <w:spacing w:after="0"/>
        <w:ind w:right="387"/>
        <w:contextualSpacing w:val="0"/>
        <w:rPr>
          <w:bCs/>
          <w:lang w:val="en-US"/>
        </w:rPr>
      </w:pPr>
      <w:r w:rsidRPr="00C547BF">
        <w:rPr>
          <w:szCs w:val="20"/>
          <w:lang w:val="en-US"/>
        </w:rPr>
        <w:t xml:space="preserve">Design education, </w:t>
      </w:r>
      <w:proofErr w:type="gramStart"/>
      <w:r w:rsidRPr="00C547BF">
        <w:rPr>
          <w:szCs w:val="20"/>
          <w:lang w:val="en-US"/>
        </w:rPr>
        <w:t>awareness</w:t>
      </w:r>
      <w:proofErr w:type="gramEnd"/>
      <w:r w:rsidRPr="00C547BF">
        <w:rPr>
          <w:szCs w:val="20"/>
          <w:lang w:val="en-US"/>
        </w:rPr>
        <w:t xml:space="preserve"> and training programs for State security forces on the Inter-American human rights system, including the protection and prevention of violence against human rights defenders; and</w:t>
      </w:r>
    </w:p>
    <w:p w14:paraId="4031D911" w14:textId="77777777" w:rsidR="00A15327" w:rsidRPr="00C547BF" w:rsidRDefault="00A15327" w:rsidP="00A15327">
      <w:pPr>
        <w:pStyle w:val="Prrafodelista"/>
        <w:numPr>
          <w:ilvl w:val="1"/>
          <w:numId w:val="72"/>
        </w:numPr>
        <w:pBdr>
          <w:top w:val="nil"/>
          <w:left w:val="nil"/>
          <w:bottom w:val="nil"/>
          <w:right w:val="nil"/>
          <w:between w:val="nil"/>
          <w:bar w:val="nil"/>
        </w:pBdr>
        <w:tabs>
          <w:tab w:val="left" w:pos="360"/>
        </w:tabs>
        <w:suppressAutoHyphens/>
        <w:spacing w:after="0"/>
        <w:ind w:right="387"/>
        <w:contextualSpacing w:val="0"/>
        <w:rPr>
          <w:bCs/>
          <w:lang w:val="en-US"/>
        </w:rPr>
      </w:pPr>
      <w:r w:rsidRPr="00C547BF">
        <w:rPr>
          <w:szCs w:val="20"/>
          <w:lang w:val="en-US"/>
        </w:rPr>
        <w:t xml:space="preserve"> Cease criminalization of those exercising the right to freedom of expression and association, including political dissidents and human rights </w:t>
      </w:r>
      <w:proofErr w:type="gramStart"/>
      <w:r w:rsidRPr="00C547BF">
        <w:rPr>
          <w:szCs w:val="20"/>
          <w:lang w:val="en-US"/>
        </w:rPr>
        <w:t>defenders;</w:t>
      </w:r>
      <w:proofErr w:type="gramEnd"/>
    </w:p>
    <w:p w14:paraId="5361310C" w14:textId="77777777" w:rsidR="00A15327" w:rsidRPr="00C547BF" w:rsidRDefault="00A15327" w:rsidP="00A15327">
      <w:pPr>
        <w:pStyle w:val="Prrafodelista"/>
        <w:numPr>
          <w:ilvl w:val="1"/>
          <w:numId w:val="72"/>
        </w:numPr>
        <w:pBdr>
          <w:top w:val="nil"/>
          <w:left w:val="nil"/>
          <w:bottom w:val="nil"/>
          <w:right w:val="nil"/>
          <w:between w:val="nil"/>
          <w:bar w:val="nil"/>
        </w:pBdr>
        <w:tabs>
          <w:tab w:val="left" w:pos="360"/>
        </w:tabs>
        <w:suppressAutoHyphens/>
        <w:spacing w:after="0"/>
        <w:ind w:right="387"/>
        <w:contextualSpacing w:val="0"/>
        <w:rPr>
          <w:bCs/>
          <w:lang w:val="en-US"/>
        </w:rPr>
      </w:pPr>
      <w:r w:rsidRPr="00C547BF">
        <w:rPr>
          <w:szCs w:val="20"/>
          <w:lang w:val="en-US"/>
        </w:rPr>
        <w:t xml:space="preserve"> Ensure that human rights defenders </w:t>
      </w:r>
      <w:proofErr w:type="gramStart"/>
      <w:r w:rsidRPr="00C547BF">
        <w:rPr>
          <w:szCs w:val="20"/>
          <w:lang w:val="en-US"/>
        </w:rPr>
        <w:t>are able to</w:t>
      </w:r>
      <w:proofErr w:type="gramEnd"/>
      <w:r w:rsidRPr="00C547BF">
        <w:rPr>
          <w:szCs w:val="20"/>
          <w:lang w:val="en-US"/>
        </w:rPr>
        <w:t xml:space="preserve"> carry out their work and cooperate freely with human rights mechanisms without fear of intimidation or reprisals, and without undue restrictions; and</w:t>
      </w:r>
    </w:p>
    <w:p w14:paraId="52A38B53" w14:textId="77777777" w:rsidR="00A15327" w:rsidRPr="00C547BF" w:rsidRDefault="00A15327" w:rsidP="00A15327">
      <w:pPr>
        <w:pStyle w:val="Prrafodelista"/>
        <w:numPr>
          <w:ilvl w:val="1"/>
          <w:numId w:val="72"/>
        </w:numPr>
        <w:pBdr>
          <w:top w:val="nil"/>
          <w:left w:val="nil"/>
          <w:bottom w:val="nil"/>
          <w:right w:val="nil"/>
          <w:between w:val="nil"/>
          <w:bar w:val="nil"/>
        </w:pBdr>
        <w:tabs>
          <w:tab w:val="left" w:pos="360"/>
        </w:tabs>
        <w:suppressAutoHyphens/>
        <w:spacing w:after="0"/>
        <w:ind w:right="387"/>
        <w:contextualSpacing w:val="0"/>
        <w:rPr>
          <w:bCs/>
          <w:lang w:val="en-US"/>
        </w:rPr>
      </w:pPr>
      <w:r w:rsidRPr="00C547BF">
        <w:rPr>
          <w:szCs w:val="20"/>
          <w:lang w:val="en-US"/>
        </w:rPr>
        <w:t xml:space="preserve"> Adapt laws, </w:t>
      </w:r>
      <w:proofErr w:type="gramStart"/>
      <w:r w:rsidRPr="00C547BF">
        <w:rPr>
          <w:szCs w:val="20"/>
          <w:lang w:val="en-US"/>
        </w:rPr>
        <w:t>procedures</w:t>
      </w:r>
      <w:proofErr w:type="gramEnd"/>
      <w:r w:rsidRPr="00C547BF">
        <w:rPr>
          <w:szCs w:val="20"/>
          <w:lang w:val="en-US"/>
        </w:rPr>
        <w:t xml:space="preserve"> and practices to international human rights standards on due process, access to justice and freedom of expression within the framework of a plural, diverse and open conception of the public and media space, as well as in direct connection with the democratic principle. </w:t>
      </w:r>
    </w:p>
    <w:p w14:paraId="15446126" w14:textId="77777777" w:rsidR="003D556F" w:rsidRPr="00C547BF" w:rsidRDefault="003D556F" w:rsidP="003D556F">
      <w:pPr>
        <w:pStyle w:val="Prrafodelista"/>
        <w:pBdr>
          <w:top w:val="nil"/>
          <w:left w:val="nil"/>
          <w:bottom w:val="nil"/>
          <w:right w:val="nil"/>
          <w:between w:val="nil"/>
          <w:bar w:val="nil"/>
        </w:pBdr>
        <w:tabs>
          <w:tab w:val="left" w:pos="360"/>
        </w:tabs>
        <w:suppressAutoHyphens/>
        <w:spacing w:after="0"/>
        <w:ind w:left="1080" w:right="387"/>
        <w:contextualSpacing w:val="0"/>
        <w:rPr>
          <w:bCs/>
          <w:lang w:val="en-US"/>
        </w:rPr>
      </w:pPr>
    </w:p>
    <w:p w14:paraId="647E3C81" w14:textId="5D29E63C" w:rsidR="003D556F" w:rsidRPr="00C547BF" w:rsidRDefault="003D556F" w:rsidP="003D556F">
      <w:pPr>
        <w:pStyle w:val="parrafos"/>
        <w:numPr>
          <w:ilvl w:val="0"/>
          <w:numId w:val="62"/>
        </w:numPr>
        <w:tabs>
          <w:tab w:val="clear" w:pos="720"/>
          <w:tab w:val="num" w:pos="360"/>
          <w:tab w:val="left" w:pos="450"/>
        </w:tabs>
        <w:ind w:firstLine="0"/>
        <w:rPr>
          <w:rFonts w:ascii="Cambria" w:hAnsi="Cambria"/>
          <w:lang w:val="en-US"/>
        </w:rPr>
      </w:pPr>
      <w:r w:rsidRPr="00C547BF">
        <w:rPr>
          <w:rFonts w:ascii="Cambria" w:hAnsi="Cambria"/>
          <w:lang w:val="en-US"/>
        </w:rPr>
        <w:t xml:space="preserve">On March 23, 2022, the Commission transmitted the report to the State with a one-month deadline to report on the measures adopted to comply with its recommendations. On that same date, the IACHR notified the petitioners of the approval of the report. </w:t>
      </w:r>
      <w:r w:rsidR="00E423A5" w:rsidRPr="00C547BF">
        <w:rPr>
          <w:rFonts w:ascii="Cambria" w:hAnsi="Cambria"/>
          <w:lang w:val="en-US"/>
        </w:rPr>
        <w:t>T</w:t>
      </w:r>
      <w:r w:rsidRPr="00C547BF">
        <w:rPr>
          <w:rFonts w:ascii="Cambria" w:hAnsi="Cambria"/>
          <w:lang w:val="en-US"/>
        </w:rPr>
        <w:t xml:space="preserve">he IACHR </w:t>
      </w:r>
      <w:r w:rsidR="00E423A5" w:rsidRPr="00C547BF">
        <w:rPr>
          <w:rFonts w:ascii="Cambria" w:hAnsi="Cambria"/>
          <w:lang w:val="en-US"/>
        </w:rPr>
        <w:t>did</w:t>
      </w:r>
      <w:r w:rsidRPr="00C547BF">
        <w:rPr>
          <w:rFonts w:ascii="Cambria" w:hAnsi="Cambria"/>
          <w:lang w:val="en-US"/>
        </w:rPr>
        <w:t xml:space="preserve"> not receive a response from Cuba in relation to Report No. 357/22.</w:t>
      </w:r>
    </w:p>
    <w:p w14:paraId="392CCB50" w14:textId="77777777" w:rsidR="00E423A5" w:rsidRPr="00C547BF" w:rsidRDefault="00E423A5" w:rsidP="00E423A5">
      <w:pPr>
        <w:pStyle w:val="Prrafodelista"/>
        <w:pBdr>
          <w:top w:val="nil"/>
          <w:left w:val="nil"/>
          <w:bottom w:val="nil"/>
          <w:right w:val="nil"/>
          <w:between w:val="nil"/>
          <w:bar w:val="nil"/>
        </w:pBdr>
        <w:tabs>
          <w:tab w:val="left" w:pos="360"/>
        </w:tabs>
        <w:suppressAutoHyphens/>
        <w:spacing w:after="0"/>
        <w:ind w:left="1080" w:right="387"/>
        <w:contextualSpacing w:val="0"/>
        <w:rPr>
          <w:u w:color="000000"/>
          <w:lang w:eastAsia="es-ES"/>
        </w:rPr>
      </w:pPr>
      <w:bookmarkStart w:id="48" w:name="_Toc110398996"/>
    </w:p>
    <w:p w14:paraId="33D9EB0A" w14:textId="2A85F76E" w:rsidR="00E423A5" w:rsidRPr="00C547BF" w:rsidRDefault="00E423A5" w:rsidP="00E423A5">
      <w:pPr>
        <w:pStyle w:val="Ttulo1"/>
        <w:numPr>
          <w:ilvl w:val="0"/>
          <w:numId w:val="3"/>
        </w:numPr>
        <w:ind w:left="360"/>
        <w:rPr>
          <w:u w:color="000000"/>
          <w:lang w:eastAsia="es-ES"/>
        </w:rPr>
      </w:pPr>
      <w:bookmarkStart w:id="49" w:name="_Toc136860068"/>
      <w:r w:rsidRPr="00C547BF">
        <w:rPr>
          <w:u w:color="000000"/>
          <w:lang w:eastAsia="es-ES"/>
        </w:rPr>
        <w:t>actions subsequent to report no. 50/23 and information ON COMPLIANCE</w:t>
      </w:r>
      <w:bookmarkEnd w:id="49"/>
    </w:p>
    <w:p w14:paraId="4A1A9BA0" w14:textId="77777777" w:rsidR="00E423A5" w:rsidRPr="00C547BF" w:rsidRDefault="00E423A5" w:rsidP="00E423A5">
      <w:pPr>
        <w:pStyle w:val="Prrafodelista"/>
        <w:pBdr>
          <w:top w:val="nil"/>
          <w:left w:val="nil"/>
          <w:bottom w:val="nil"/>
          <w:right w:val="nil"/>
          <w:between w:val="nil"/>
          <w:bar w:val="nil"/>
        </w:pBdr>
        <w:tabs>
          <w:tab w:val="left" w:pos="360"/>
        </w:tabs>
        <w:suppressAutoHyphens/>
        <w:spacing w:after="0"/>
        <w:ind w:left="1080" w:right="387"/>
        <w:contextualSpacing w:val="0"/>
        <w:rPr>
          <w:lang w:val="en-US" w:eastAsia="es-ES"/>
        </w:rPr>
      </w:pPr>
    </w:p>
    <w:p w14:paraId="79D1346B" w14:textId="59E30E8B" w:rsidR="00E423A5" w:rsidRPr="00C547BF" w:rsidRDefault="00E423A5" w:rsidP="00DC38DE">
      <w:pPr>
        <w:pStyle w:val="parrafos"/>
        <w:numPr>
          <w:ilvl w:val="0"/>
          <w:numId w:val="62"/>
        </w:numPr>
        <w:tabs>
          <w:tab w:val="clear" w:pos="720"/>
          <w:tab w:val="num" w:pos="360"/>
          <w:tab w:val="left" w:pos="450"/>
        </w:tabs>
        <w:ind w:firstLine="0"/>
        <w:rPr>
          <w:rFonts w:ascii="Cambria" w:hAnsi="Cambria"/>
          <w:lang w:val="en-US" w:eastAsia="es-ES"/>
        </w:rPr>
      </w:pPr>
      <w:r w:rsidRPr="00C547BF">
        <w:rPr>
          <w:rFonts w:ascii="Cambria" w:hAnsi="Cambria"/>
          <w:lang w:val="en-US" w:eastAsia="es-ES"/>
        </w:rPr>
        <w:t>On May 11, 2023, the Commission adopted Admissibility and Merits Report No. 50/23 and transmitted it to the State and to the petitioning party on May 16 of the same year, granting them 15 days to inform the IACHR about the measures adopted to comply with its recommendations. To date, the Commission has not received a response from the State of Cuba with respect to Report No. 50/23.</w:t>
      </w:r>
    </w:p>
    <w:p w14:paraId="69D4F144" w14:textId="77777777" w:rsidR="00E423A5" w:rsidRPr="00C547BF" w:rsidRDefault="00E423A5" w:rsidP="00E423A5">
      <w:pPr>
        <w:pStyle w:val="Prrafodelista"/>
        <w:pBdr>
          <w:top w:val="nil"/>
          <w:left w:val="nil"/>
          <w:bottom w:val="nil"/>
          <w:right w:val="nil"/>
          <w:between w:val="nil"/>
          <w:bar w:val="nil"/>
        </w:pBdr>
        <w:tabs>
          <w:tab w:val="left" w:pos="360"/>
        </w:tabs>
        <w:suppressAutoHyphens/>
        <w:spacing w:after="0"/>
        <w:ind w:left="1080" w:right="387"/>
        <w:contextualSpacing w:val="0"/>
        <w:rPr>
          <w:lang w:val="en-US" w:eastAsia="es-ES"/>
        </w:rPr>
      </w:pPr>
    </w:p>
    <w:p w14:paraId="5EE3E84F" w14:textId="48DA8BE1" w:rsidR="00E423A5" w:rsidRPr="00C547BF" w:rsidRDefault="00E423A5" w:rsidP="00DC38DE">
      <w:pPr>
        <w:pStyle w:val="parrafos"/>
        <w:numPr>
          <w:ilvl w:val="0"/>
          <w:numId w:val="62"/>
        </w:numPr>
        <w:tabs>
          <w:tab w:val="clear" w:pos="720"/>
          <w:tab w:val="num" w:pos="360"/>
          <w:tab w:val="left" w:pos="450"/>
        </w:tabs>
        <w:ind w:firstLine="0"/>
        <w:rPr>
          <w:rFonts w:ascii="Cambria" w:hAnsi="Cambria"/>
          <w:lang w:val="en-US" w:eastAsia="es-ES"/>
        </w:rPr>
      </w:pPr>
      <w:r w:rsidRPr="00C547BF">
        <w:rPr>
          <w:rFonts w:ascii="Cambria" w:hAnsi="Cambria"/>
          <w:lang w:val="en-US" w:eastAsia="es-ES"/>
        </w:rPr>
        <w:t xml:space="preserve">On May 18, 2023, the petitioning party informed the IACHR that since the notification of the </w:t>
      </w:r>
      <w:proofErr w:type="gramStart"/>
      <w:r w:rsidRPr="00C547BF">
        <w:rPr>
          <w:rFonts w:ascii="Cambria" w:hAnsi="Cambria"/>
          <w:lang w:val="en-US" w:eastAsia="es-ES"/>
        </w:rPr>
        <w:t>aforementioned report</w:t>
      </w:r>
      <w:proofErr w:type="gramEnd"/>
      <w:r w:rsidRPr="00C547BF">
        <w:rPr>
          <w:rFonts w:ascii="Cambria" w:hAnsi="Cambria"/>
          <w:lang w:val="en-US" w:eastAsia="es-ES"/>
        </w:rPr>
        <w:t>, the State has not implemented any of the recommendations.</w:t>
      </w:r>
    </w:p>
    <w:p w14:paraId="24AD780B" w14:textId="77777777" w:rsidR="00DC38DE" w:rsidRPr="00C547BF" w:rsidRDefault="00DC38DE" w:rsidP="00DC38DE">
      <w:pPr>
        <w:pStyle w:val="parrafos"/>
        <w:tabs>
          <w:tab w:val="left" w:pos="450"/>
        </w:tabs>
        <w:ind w:left="0" w:firstLine="0"/>
        <w:rPr>
          <w:rFonts w:ascii="Cambria" w:hAnsi="Cambria"/>
          <w:lang w:val="en-US" w:eastAsia="es-ES"/>
        </w:rPr>
      </w:pPr>
    </w:p>
    <w:p w14:paraId="487951B4" w14:textId="35CA9E6F" w:rsidR="00171179" w:rsidRPr="00C547BF" w:rsidRDefault="00855559" w:rsidP="00563529">
      <w:pPr>
        <w:pStyle w:val="Ttulo1"/>
        <w:numPr>
          <w:ilvl w:val="0"/>
          <w:numId w:val="3"/>
        </w:numPr>
        <w:ind w:left="360"/>
        <w:rPr>
          <w:u w:color="000000"/>
          <w:lang w:eastAsia="es-ES"/>
        </w:rPr>
      </w:pPr>
      <w:bookmarkStart w:id="50" w:name="_Toc136860069"/>
      <w:r w:rsidRPr="00C547BF">
        <w:rPr>
          <w:u w:color="000000"/>
          <w:lang w:eastAsia="es-ES"/>
        </w:rPr>
        <w:t xml:space="preserve">FINAL </w:t>
      </w:r>
      <w:r w:rsidR="00171179" w:rsidRPr="00C547BF">
        <w:rPr>
          <w:u w:color="000000"/>
          <w:lang w:eastAsia="es-ES"/>
        </w:rPr>
        <w:t>CONCLUSIONS AND RECOMMENDATIONS</w:t>
      </w:r>
      <w:bookmarkEnd w:id="50"/>
      <w:r w:rsidR="00171179" w:rsidRPr="00C547BF">
        <w:rPr>
          <w:u w:color="000000"/>
          <w:lang w:eastAsia="es-ES"/>
        </w:rPr>
        <w:t xml:space="preserve"> </w:t>
      </w:r>
      <w:bookmarkEnd w:id="48"/>
    </w:p>
    <w:p w14:paraId="714030B8" w14:textId="77777777" w:rsidR="00171179" w:rsidRPr="00C547BF" w:rsidRDefault="00171179" w:rsidP="00E423A5">
      <w:pPr>
        <w:pStyle w:val="Prrafodelista"/>
        <w:pBdr>
          <w:top w:val="nil"/>
          <w:left w:val="nil"/>
          <w:bottom w:val="nil"/>
          <w:right w:val="nil"/>
          <w:between w:val="nil"/>
          <w:bar w:val="nil"/>
        </w:pBdr>
        <w:tabs>
          <w:tab w:val="left" w:pos="360"/>
        </w:tabs>
        <w:suppressAutoHyphens/>
        <w:spacing w:after="0"/>
        <w:ind w:left="1080" w:right="387"/>
        <w:contextualSpacing w:val="0"/>
        <w:rPr>
          <w:szCs w:val="20"/>
          <w:lang w:val="es-PE"/>
        </w:rPr>
      </w:pPr>
    </w:p>
    <w:p w14:paraId="18C7EAE9" w14:textId="2FED2890" w:rsidR="00171179" w:rsidRPr="00C547BF" w:rsidRDefault="00171179" w:rsidP="00DC38DE">
      <w:pPr>
        <w:pStyle w:val="parrafos"/>
        <w:numPr>
          <w:ilvl w:val="0"/>
          <w:numId w:val="62"/>
        </w:numPr>
        <w:tabs>
          <w:tab w:val="clear" w:pos="720"/>
          <w:tab w:val="num" w:pos="360"/>
          <w:tab w:val="left" w:pos="450"/>
        </w:tabs>
        <w:ind w:firstLine="0"/>
        <w:rPr>
          <w:rFonts w:ascii="Cambria" w:hAnsi="Cambria" w:cs="Cambria"/>
          <w:color w:val="000000"/>
          <w:u w:color="000000"/>
          <w:lang w:val="en-US" w:eastAsia="es-ES"/>
        </w:rPr>
      </w:pPr>
      <w:r w:rsidRPr="00C547BF">
        <w:rPr>
          <w:rFonts w:ascii="Cambria" w:hAnsi="Cambria"/>
          <w:lang w:val="en-US" w:eastAsia="es-ES"/>
        </w:rPr>
        <w:t>Based</w:t>
      </w:r>
      <w:r w:rsidRPr="00C547BF">
        <w:rPr>
          <w:rFonts w:ascii="Cambria" w:hAnsi="Cambria" w:cs="Cambria"/>
          <w:color w:val="000000"/>
          <w:u w:color="000000"/>
          <w:lang w:val="en-US" w:eastAsia="es-ES"/>
        </w:rPr>
        <w:t xml:space="preserve"> on the findings of fact and law, the Inter-American Commission on Human Rights concludes that the State of Cuba is responsible for the violation of the rights established in Articles I, IV, V, VIII, IX, X, XVIII, XXII, XXIV</w:t>
      </w:r>
      <w:r w:rsidR="00435671" w:rsidRPr="00C547BF">
        <w:rPr>
          <w:rFonts w:ascii="Cambria" w:hAnsi="Cambria" w:cs="Cambria"/>
          <w:color w:val="000000"/>
          <w:u w:color="000000"/>
          <w:lang w:val="en-US" w:eastAsia="es-ES"/>
        </w:rPr>
        <w:t xml:space="preserve"> and</w:t>
      </w:r>
      <w:r w:rsidRPr="00C547BF">
        <w:rPr>
          <w:rFonts w:ascii="Cambria" w:hAnsi="Cambria" w:cs="Cambria"/>
          <w:color w:val="000000"/>
          <w:u w:color="000000"/>
          <w:lang w:val="en-US" w:eastAsia="es-ES"/>
        </w:rPr>
        <w:t xml:space="preserve"> XXV of the American Declaration to the detriment of</w:t>
      </w:r>
      <w:r w:rsidR="00414A26" w:rsidRPr="00C547BF">
        <w:rPr>
          <w:rFonts w:ascii="Cambria" w:hAnsi="Cambria" w:cs="Cambria"/>
          <w:color w:val="000000"/>
          <w:u w:color="000000"/>
          <w:lang w:val="en-US" w:eastAsia="es-ES"/>
        </w:rPr>
        <w:t xml:space="preserve"> Oswaldo </w:t>
      </w:r>
      <w:proofErr w:type="spellStart"/>
      <w:r w:rsidR="00414A26" w:rsidRPr="00C547BF">
        <w:rPr>
          <w:rFonts w:ascii="Cambria" w:hAnsi="Cambria" w:cs="Cambria"/>
          <w:color w:val="000000"/>
          <w:u w:color="000000"/>
          <w:lang w:val="en-US" w:eastAsia="es-ES"/>
        </w:rPr>
        <w:t>Paýa</w:t>
      </w:r>
      <w:proofErr w:type="spellEnd"/>
      <w:r w:rsidR="00414A26" w:rsidRPr="00C547BF">
        <w:rPr>
          <w:rFonts w:ascii="Cambria" w:hAnsi="Cambria" w:cs="Cambria"/>
          <w:color w:val="000000"/>
          <w:u w:color="000000"/>
          <w:lang w:val="en-US" w:eastAsia="es-ES"/>
        </w:rPr>
        <w:t xml:space="preserve">; also is </w:t>
      </w:r>
      <w:r w:rsidR="00EB11F7" w:rsidRPr="00C547BF">
        <w:rPr>
          <w:rFonts w:ascii="Cambria" w:hAnsi="Cambria" w:cs="Cambria"/>
          <w:color w:val="000000"/>
          <w:u w:color="000000"/>
          <w:lang w:val="en-US" w:eastAsia="es-ES"/>
        </w:rPr>
        <w:t>responsible</w:t>
      </w:r>
      <w:r w:rsidR="00414A26" w:rsidRPr="00C547BF">
        <w:rPr>
          <w:rFonts w:ascii="Cambria" w:hAnsi="Cambria" w:cs="Cambria"/>
          <w:color w:val="000000"/>
          <w:u w:color="000000"/>
          <w:lang w:val="en-US" w:eastAsia="es-ES"/>
        </w:rPr>
        <w:t xml:space="preserve"> for the violations of the rights established in Articles I, IV, V, X</w:t>
      </w:r>
      <w:r w:rsidR="007E7BBB">
        <w:rPr>
          <w:rFonts w:ascii="Cambria" w:hAnsi="Cambria" w:cs="Cambria"/>
          <w:color w:val="000000"/>
          <w:u w:color="000000"/>
          <w:lang w:val="en-US" w:eastAsia="es-ES"/>
        </w:rPr>
        <w:t>X</w:t>
      </w:r>
      <w:r w:rsidR="00414A26" w:rsidRPr="00C547BF">
        <w:rPr>
          <w:rFonts w:ascii="Cambria" w:hAnsi="Cambria" w:cs="Cambria"/>
          <w:color w:val="000000"/>
          <w:u w:color="000000"/>
          <w:lang w:val="en-US" w:eastAsia="es-ES"/>
        </w:rPr>
        <w:t xml:space="preserve">II, XVIII and XXIV to the detriment of </w:t>
      </w:r>
      <w:r w:rsidR="00EB11F7" w:rsidRPr="00C547BF">
        <w:rPr>
          <w:rFonts w:ascii="Cambria" w:hAnsi="Cambria" w:cs="Cambria"/>
          <w:color w:val="000000"/>
          <w:u w:color="000000"/>
          <w:lang w:val="en-US" w:eastAsia="es-ES"/>
        </w:rPr>
        <w:t xml:space="preserve">Harold Cepero; also is responsible for the violation of the rights established in Articles </w:t>
      </w:r>
      <w:r w:rsidR="007E7BBB" w:rsidRPr="00B2698D">
        <w:rPr>
          <w:rFonts w:ascii="Cambria" w:hAnsi="Cambria" w:cs="Cambria"/>
          <w:color w:val="000000"/>
          <w:u w:color="000000"/>
          <w:lang w:val="es-PE" w:eastAsia="es-ES"/>
        </w:rPr>
        <w:t xml:space="preserve">I, </w:t>
      </w:r>
      <w:r w:rsidR="007E7BBB">
        <w:rPr>
          <w:rFonts w:ascii="Cambria" w:hAnsi="Cambria" w:cs="Cambria"/>
          <w:color w:val="000000"/>
          <w:u w:color="000000"/>
          <w:lang w:val="es-PE" w:eastAsia="es-ES"/>
        </w:rPr>
        <w:t>X</w:t>
      </w:r>
      <w:r w:rsidR="007E7BBB" w:rsidRPr="00B2698D">
        <w:rPr>
          <w:rFonts w:ascii="Cambria" w:hAnsi="Cambria" w:cs="Cambria"/>
          <w:color w:val="000000"/>
          <w:u w:color="000000"/>
          <w:lang w:val="es-PE" w:eastAsia="es-ES"/>
        </w:rPr>
        <w:t xml:space="preserve">XVI y XXV </w:t>
      </w:r>
      <w:r w:rsidR="007E7BBB">
        <w:rPr>
          <w:rFonts w:ascii="Cambria" w:hAnsi="Cambria" w:cs="Cambria"/>
          <w:color w:val="000000"/>
          <w:u w:color="000000"/>
          <w:lang w:val="es-PE" w:eastAsia="es-ES"/>
        </w:rPr>
        <w:t xml:space="preserve">to the detriment of </w:t>
      </w:r>
      <w:r w:rsidR="007E7BBB" w:rsidRPr="00B2698D">
        <w:rPr>
          <w:rFonts w:ascii="Cambria" w:hAnsi="Cambria" w:cs="Cambria"/>
          <w:color w:val="000000"/>
          <w:u w:color="000000"/>
          <w:lang w:val="es-PE" w:eastAsia="es-ES"/>
        </w:rPr>
        <w:t>Ángel Carromero</w:t>
      </w:r>
      <w:r w:rsidR="007E7BBB">
        <w:rPr>
          <w:rFonts w:ascii="Cambria" w:hAnsi="Cambria" w:cs="Cambria"/>
          <w:color w:val="000000"/>
          <w:u w:color="000000"/>
          <w:lang w:val="en-US" w:eastAsia="es-ES"/>
        </w:rPr>
        <w:t xml:space="preserve">; and responsible for the violation of the rights established in articles </w:t>
      </w:r>
      <w:r w:rsidR="00EB11F7" w:rsidRPr="00C547BF">
        <w:rPr>
          <w:rFonts w:ascii="Cambria" w:hAnsi="Cambria" w:cs="Cambria"/>
          <w:color w:val="000000"/>
          <w:u w:color="000000"/>
          <w:lang w:val="en-US" w:eastAsia="es-ES"/>
        </w:rPr>
        <w:t>VIII, IX and X in detriment of the relatives of Oswaldo Paya and Harold Cepero.</w:t>
      </w:r>
      <w:r w:rsidRPr="00C547BF">
        <w:rPr>
          <w:rFonts w:ascii="Cambria" w:hAnsi="Cambria" w:cs="Cambria"/>
          <w:color w:val="000000"/>
          <w:u w:color="000000"/>
          <w:lang w:val="en-US" w:eastAsia="es-ES"/>
        </w:rPr>
        <w:t xml:space="preserve"> </w:t>
      </w:r>
    </w:p>
    <w:p w14:paraId="48F2EBFB" w14:textId="77777777" w:rsidR="00DC38DE" w:rsidRPr="00C547BF" w:rsidRDefault="00DC38DE" w:rsidP="00DC38DE">
      <w:pPr>
        <w:pStyle w:val="parrafos"/>
        <w:tabs>
          <w:tab w:val="left" w:pos="450"/>
        </w:tabs>
        <w:ind w:left="0" w:firstLine="0"/>
        <w:rPr>
          <w:rFonts w:ascii="Cambria" w:hAnsi="Cambria" w:cs="Cambria"/>
          <w:color w:val="000000"/>
          <w:u w:color="000000"/>
          <w:lang w:val="en-US" w:eastAsia="es-ES"/>
        </w:rPr>
      </w:pPr>
    </w:p>
    <w:p w14:paraId="00B8F633" w14:textId="038C501C" w:rsidR="00171179" w:rsidRPr="00C547BF" w:rsidRDefault="00855559" w:rsidP="00855559">
      <w:pPr>
        <w:rPr>
          <w:b/>
          <w:bCs/>
          <w:szCs w:val="20"/>
          <w:lang w:val="en-US"/>
        </w:rPr>
      </w:pPr>
      <w:r w:rsidRPr="00C547BF">
        <w:rPr>
          <w:b/>
          <w:bCs/>
          <w:szCs w:val="20"/>
          <w:lang w:val="en-US"/>
        </w:rPr>
        <w:t>THE INTER-AMERICAN COMMISSION ON HUMAN RIGHTS REITERATES THAT THE STATE OF CUBA:</w:t>
      </w:r>
    </w:p>
    <w:p w14:paraId="52C9B567" w14:textId="67F2FBD1" w:rsidR="00171179" w:rsidRPr="00C547BF" w:rsidRDefault="00171179" w:rsidP="00A15327">
      <w:pPr>
        <w:pStyle w:val="Prrafodelista"/>
        <w:numPr>
          <w:ilvl w:val="3"/>
          <w:numId w:val="68"/>
        </w:numPr>
        <w:pBdr>
          <w:top w:val="nil"/>
          <w:left w:val="nil"/>
          <w:bottom w:val="nil"/>
          <w:right w:val="nil"/>
          <w:between w:val="nil"/>
          <w:bar w:val="nil"/>
        </w:pBdr>
        <w:tabs>
          <w:tab w:val="left" w:pos="360"/>
        </w:tabs>
        <w:suppressAutoHyphens/>
        <w:spacing w:after="0"/>
        <w:ind w:left="720" w:right="387"/>
        <w:rPr>
          <w:szCs w:val="20"/>
          <w:lang w:val="en-US"/>
        </w:rPr>
      </w:pPr>
      <w:r w:rsidRPr="00C547BF">
        <w:rPr>
          <w:szCs w:val="20"/>
          <w:lang w:val="en-US"/>
        </w:rPr>
        <w:t xml:space="preserve">Make full reparation for the human rights violations declared in this report, both in material and non-material aspects. The State shall adopt measures of economic compensation and satisfaction. The State shall disseminate the conclusions and recommendations of this report through the same </w:t>
      </w:r>
      <w:r w:rsidRPr="00C547BF">
        <w:rPr>
          <w:szCs w:val="20"/>
          <w:lang w:val="en-US"/>
        </w:rPr>
        <w:lastRenderedPageBreak/>
        <w:t xml:space="preserve">official media in which reference has been made to the facts of the case and generate the conditions for the return of all persons who, </w:t>
      </w:r>
      <w:proofErr w:type="gramStart"/>
      <w:r w:rsidRPr="00C547BF">
        <w:rPr>
          <w:szCs w:val="20"/>
          <w:lang w:val="en-US"/>
        </w:rPr>
        <w:t>as a consequence of</w:t>
      </w:r>
      <w:proofErr w:type="gramEnd"/>
      <w:r w:rsidRPr="00C547BF">
        <w:rPr>
          <w:szCs w:val="20"/>
          <w:lang w:val="en-US"/>
        </w:rPr>
        <w:t xml:space="preserve"> the facts, have been forced to rebuild their life projects in other places, if they so wish.</w:t>
      </w:r>
    </w:p>
    <w:p w14:paraId="1F411713" w14:textId="77777777" w:rsidR="00171179" w:rsidRPr="00C547BF" w:rsidRDefault="00171179" w:rsidP="00E423A5">
      <w:pPr>
        <w:pStyle w:val="Prrafodelista"/>
        <w:pBdr>
          <w:top w:val="nil"/>
          <w:left w:val="nil"/>
          <w:bottom w:val="nil"/>
          <w:right w:val="nil"/>
          <w:between w:val="nil"/>
          <w:bar w:val="nil"/>
        </w:pBdr>
        <w:tabs>
          <w:tab w:val="left" w:pos="360"/>
        </w:tabs>
        <w:suppressAutoHyphens/>
        <w:spacing w:after="0"/>
        <w:ind w:left="1080" w:right="387"/>
        <w:contextualSpacing w:val="0"/>
        <w:rPr>
          <w:szCs w:val="20"/>
          <w:lang w:val="en-US"/>
        </w:rPr>
      </w:pPr>
    </w:p>
    <w:p w14:paraId="1F1EED00" w14:textId="77777777" w:rsidR="00171179" w:rsidRPr="00C547BF" w:rsidRDefault="00171179" w:rsidP="00A15327">
      <w:pPr>
        <w:pStyle w:val="Prrafodelista"/>
        <w:numPr>
          <w:ilvl w:val="3"/>
          <w:numId w:val="68"/>
        </w:numPr>
        <w:pBdr>
          <w:top w:val="nil"/>
          <w:left w:val="nil"/>
          <w:bottom w:val="nil"/>
          <w:right w:val="nil"/>
          <w:between w:val="nil"/>
          <w:bar w:val="nil"/>
        </w:pBdr>
        <w:tabs>
          <w:tab w:val="left" w:pos="360"/>
        </w:tabs>
        <w:suppressAutoHyphens/>
        <w:spacing w:after="0"/>
        <w:ind w:left="720" w:right="387"/>
        <w:rPr>
          <w:szCs w:val="20"/>
          <w:lang w:val="en-US"/>
        </w:rPr>
      </w:pPr>
      <w:r w:rsidRPr="00C547BF">
        <w:rPr>
          <w:szCs w:val="20"/>
          <w:lang w:val="en-US"/>
        </w:rPr>
        <w:t xml:space="preserve">Initiate an investigation in the ordinary criminal jurisdiction diligently, effectively and within a reasonable time </w:t>
      </w:r>
      <w:proofErr w:type="gramStart"/>
      <w:r w:rsidRPr="00C547BF">
        <w:rPr>
          <w:szCs w:val="20"/>
          <w:lang w:val="en-US"/>
        </w:rPr>
        <w:t>in order to</w:t>
      </w:r>
      <w:proofErr w:type="gramEnd"/>
      <w:r w:rsidRPr="00C547BF">
        <w:rPr>
          <w:szCs w:val="20"/>
          <w:lang w:val="en-US"/>
        </w:rPr>
        <w:t xml:space="preserve"> clarify the facts completely, identify all possible responsibilities and impose the corresponding sanctions with respect to the human rights violations declared in this report. This investigation should be carried out </w:t>
      </w:r>
      <w:proofErr w:type="gramStart"/>
      <w:r w:rsidRPr="00C547BF">
        <w:rPr>
          <w:szCs w:val="20"/>
          <w:lang w:val="en-US"/>
        </w:rPr>
        <w:t>taking into account</w:t>
      </w:r>
      <w:proofErr w:type="gramEnd"/>
      <w:r w:rsidRPr="00C547BF">
        <w:rPr>
          <w:szCs w:val="20"/>
          <w:lang w:val="en-US"/>
        </w:rPr>
        <w:t xml:space="preserve"> the seriousness of the violations declared and inter-American standards in this regard. The Commission emphasizes that the State may not invoke the guarantee of </w:t>
      </w:r>
      <w:r w:rsidRPr="00C547BF">
        <w:rPr>
          <w:i/>
          <w:iCs/>
          <w:szCs w:val="20"/>
          <w:lang w:val="en-US"/>
        </w:rPr>
        <w:t>ne bis in idem</w:t>
      </w:r>
      <w:r w:rsidRPr="00C547BF">
        <w:rPr>
          <w:szCs w:val="20"/>
          <w:lang w:val="en-US"/>
        </w:rPr>
        <w:t>, res judicata or the statute of limitations to justify its failure to comply with this recommendation.</w:t>
      </w:r>
    </w:p>
    <w:p w14:paraId="0076DC37" w14:textId="77777777" w:rsidR="00171179" w:rsidRPr="00C547BF" w:rsidRDefault="00171179" w:rsidP="00171179">
      <w:pPr>
        <w:pStyle w:val="Prrafodelista"/>
        <w:rPr>
          <w:szCs w:val="20"/>
          <w:lang w:val="en-US"/>
        </w:rPr>
      </w:pPr>
    </w:p>
    <w:p w14:paraId="6AEADAD5" w14:textId="77777777" w:rsidR="00171179" w:rsidRPr="00C547BF" w:rsidRDefault="00171179" w:rsidP="00A15327">
      <w:pPr>
        <w:pStyle w:val="Prrafodelista"/>
        <w:numPr>
          <w:ilvl w:val="3"/>
          <w:numId w:val="68"/>
        </w:numPr>
        <w:pBdr>
          <w:top w:val="nil"/>
          <w:left w:val="nil"/>
          <w:bottom w:val="nil"/>
          <w:right w:val="nil"/>
          <w:between w:val="nil"/>
          <w:bar w:val="nil"/>
        </w:pBdr>
        <w:tabs>
          <w:tab w:val="left" w:pos="360"/>
        </w:tabs>
        <w:suppressAutoHyphens/>
        <w:spacing w:after="0"/>
        <w:ind w:left="720" w:right="387"/>
        <w:rPr>
          <w:szCs w:val="20"/>
          <w:lang w:val="en-US"/>
        </w:rPr>
      </w:pPr>
      <w:r w:rsidRPr="00C547BF">
        <w:rPr>
          <w:szCs w:val="20"/>
          <w:lang w:val="en-US"/>
        </w:rPr>
        <w:t xml:space="preserve">To order the corresponding administrative, </w:t>
      </w:r>
      <w:proofErr w:type="gramStart"/>
      <w:r w:rsidRPr="00C547BF">
        <w:rPr>
          <w:szCs w:val="20"/>
          <w:lang w:val="en-US"/>
        </w:rPr>
        <w:t>disciplinary</w:t>
      </w:r>
      <w:proofErr w:type="gramEnd"/>
      <w:r w:rsidRPr="00C547BF">
        <w:rPr>
          <w:szCs w:val="20"/>
          <w:lang w:val="en-US"/>
        </w:rPr>
        <w:t xml:space="preserve"> or criminal measures against the actions or omissions of state officials that contributed to the denial of justice and impunity in which the facts of the case are found. </w:t>
      </w:r>
    </w:p>
    <w:p w14:paraId="4EDA07B4" w14:textId="77777777" w:rsidR="00171179" w:rsidRPr="00C547BF" w:rsidRDefault="00171179" w:rsidP="00E423A5">
      <w:pPr>
        <w:pStyle w:val="Prrafodelista"/>
        <w:pBdr>
          <w:top w:val="nil"/>
          <w:left w:val="nil"/>
          <w:bottom w:val="nil"/>
          <w:right w:val="nil"/>
          <w:between w:val="nil"/>
          <w:bar w:val="nil"/>
        </w:pBdr>
        <w:tabs>
          <w:tab w:val="left" w:pos="360"/>
        </w:tabs>
        <w:suppressAutoHyphens/>
        <w:spacing w:after="0"/>
        <w:ind w:left="1080" w:right="387"/>
        <w:contextualSpacing w:val="0"/>
        <w:rPr>
          <w:szCs w:val="20"/>
          <w:lang w:val="en-US"/>
        </w:rPr>
      </w:pPr>
    </w:p>
    <w:p w14:paraId="1D66602E" w14:textId="77777777" w:rsidR="00171179" w:rsidRPr="00C547BF" w:rsidRDefault="00171179" w:rsidP="00A15327">
      <w:pPr>
        <w:pStyle w:val="Prrafodelista"/>
        <w:numPr>
          <w:ilvl w:val="3"/>
          <w:numId w:val="68"/>
        </w:numPr>
        <w:pBdr>
          <w:top w:val="nil"/>
          <w:left w:val="nil"/>
          <w:bottom w:val="nil"/>
          <w:right w:val="nil"/>
          <w:between w:val="nil"/>
          <w:bar w:val="nil"/>
        </w:pBdr>
        <w:tabs>
          <w:tab w:val="left" w:pos="360"/>
        </w:tabs>
        <w:suppressAutoHyphens/>
        <w:spacing w:after="0"/>
        <w:ind w:left="720" w:right="387"/>
        <w:rPr>
          <w:bCs/>
          <w:lang w:val="en-US"/>
        </w:rPr>
      </w:pPr>
      <w:r w:rsidRPr="00C547BF">
        <w:rPr>
          <w:szCs w:val="20"/>
          <w:lang w:val="en-US"/>
        </w:rPr>
        <w:t xml:space="preserve">Promote </w:t>
      </w:r>
      <w:r w:rsidRPr="00C547BF">
        <w:rPr>
          <w:bCs/>
          <w:lang w:val="en-US"/>
        </w:rPr>
        <w:t xml:space="preserve">mechanisms of non-repetition that </w:t>
      </w:r>
      <w:proofErr w:type="gramStart"/>
      <w:r w:rsidRPr="00C547BF">
        <w:rPr>
          <w:bCs/>
          <w:lang w:val="en-US"/>
        </w:rPr>
        <w:t>include</w:t>
      </w:r>
      <w:proofErr w:type="gramEnd"/>
    </w:p>
    <w:p w14:paraId="7B848BBD" w14:textId="77777777" w:rsidR="00171179" w:rsidRPr="00C547BF" w:rsidRDefault="00171179" w:rsidP="00171179">
      <w:pPr>
        <w:pStyle w:val="Prrafodelista"/>
        <w:rPr>
          <w:bCs/>
          <w:lang w:val="en-US"/>
        </w:rPr>
      </w:pPr>
    </w:p>
    <w:p w14:paraId="26F1D95B" w14:textId="78DCCB8C" w:rsidR="00171179" w:rsidRPr="00C547BF" w:rsidRDefault="00171179" w:rsidP="00A15327">
      <w:pPr>
        <w:pStyle w:val="Prrafodelista"/>
        <w:numPr>
          <w:ilvl w:val="1"/>
          <w:numId w:val="74"/>
        </w:numPr>
        <w:pBdr>
          <w:top w:val="nil"/>
          <w:left w:val="nil"/>
          <w:bottom w:val="nil"/>
          <w:right w:val="nil"/>
          <w:between w:val="nil"/>
          <w:bar w:val="nil"/>
        </w:pBdr>
        <w:tabs>
          <w:tab w:val="left" w:pos="360"/>
        </w:tabs>
        <w:suppressAutoHyphens/>
        <w:spacing w:after="0"/>
        <w:ind w:right="387"/>
        <w:rPr>
          <w:bCs/>
          <w:lang w:val="en-US"/>
        </w:rPr>
      </w:pPr>
      <w:r w:rsidRPr="00C547BF">
        <w:rPr>
          <w:bCs/>
          <w:lang w:val="en-US"/>
        </w:rPr>
        <w:t xml:space="preserve"> Adopt measures to strengthen the capacity to investigate acts of violence against </w:t>
      </w:r>
      <w:r w:rsidRPr="00C547BF">
        <w:rPr>
          <w:bCs/>
          <w:szCs w:val="20"/>
          <w:lang w:val="en-US"/>
        </w:rPr>
        <w:t xml:space="preserve">human </w:t>
      </w:r>
      <w:r w:rsidRPr="00C547BF">
        <w:rPr>
          <w:bCs/>
          <w:lang w:val="en-US"/>
        </w:rPr>
        <w:t xml:space="preserve">rights defenders in accordance with </w:t>
      </w:r>
      <w:r w:rsidRPr="00C547BF">
        <w:rPr>
          <w:bCs/>
          <w:szCs w:val="20"/>
          <w:lang w:val="en-US"/>
        </w:rPr>
        <w:t xml:space="preserve">Inter-American </w:t>
      </w:r>
      <w:proofErr w:type="gramStart"/>
      <w:r w:rsidRPr="00C547BF">
        <w:rPr>
          <w:bCs/>
          <w:szCs w:val="20"/>
          <w:lang w:val="en-US"/>
        </w:rPr>
        <w:t>standards;</w:t>
      </w:r>
      <w:proofErr w:type="gramEnd"/>
    </w:p>
    <w:p w14:paraId="272C501A" w14:textId="77777777" w:rsidR="00171179" w:rsidRPr="00C547BF" w:rsidRDefault="00171179" w:rsidP="00A15327">
      <w:pPr>
        <w:pStyle w:val="Prrafodelista"/>
        <w:numPr>
          <w:ilvl w:val="1"/>
          <w:numId w:val="74"/>
        </w:numPr>
        <w:pBdr>
          <w:top w:val="nil"/>
          <w:left w:val="nil"/>
          <w:bottom w:val="nil"/>
          <w:right w:val="nil"/>
          <w:between w:val="nil"/>
          <w:bar w:val="nil"/>
        </w:pBdr>
        <w:tabs>
          <w:tab w:val="left" w:pos="360"/>
        </w:tabs>
        <w:suppressAutoHyphens/>
        <w:spacing w:after="0"/>
        <w:ind w:right="387"/>
        <w:rPr>
          <w:bCs/>
          <w:lang w:val="en-US"/>
        </w:rPr>
      </w:pPr>
      <w:r w:rsidRPr="00C547BF">
        <w:rPr>
          <w:szCs w:val="20"/>
          <w:lang w:val="en-US"/>
        </w:rPr>
        <w:t xml:space="preserve"> Adopt legislative, administrative or other measures to carry out an adequate diagnosis of the context of violence faced by human rights defenders in Cuba, including the collection of disaggregated and systematic data on its prevalence, and establish a comprehensive policy for its prevention and effective eradication, addressing its structural </w:t>
      </w:r>
      <w:proofErr w:type="gramStart"/>
      <w:r w:rsidRPr="00C547BF">
        <w:rPr>
          <w:szCs w:val="20"/>
          <w:lang w:val="en-US"/>
        </w:rPr>
        <w:t>causes;</w:t>
      </w:r>
      <w:proofErr w:type="gramEnd"/>
      <w:r w:rsidRPr="00C547BF">
        <w:rPr>
          <w:szCs w:val="20"/>
          <w:lang w:val="en-US"/>
        </w:rPr>
        <w:t xml:space="preserve"> </w:t>
      </w:r>
    </w:p>
    <w:p w14:paraId="6A09B954" w14:textId="77777777" w:rsidR="00171179" w:rsidRPr="00C547BF" w:rsidRDefault="00171179" w:rsidP="00A15327">
      <w:pPr>
        <w:pStyle w:val="Prrafodelista"/>
        <w:numPr>
          <w:ilvl w:val="1"/>
          <w:numId w:val="74"/>
        </w:numPr>
        <w:pBdr>
          <w:top w:val="nil"/>
          <w:left w:val="nil"/>
          <w:bottom w:val="nil"/>
          <w:right w:val="nil"/>
          <w:between w:val="nil"/>
          <w:bar w:val="nil"/>
        </w:pBdr>
        <w:tabs>
          <w:tab w:val="left" w:pos="360"/>
        </w:tabs>
        <w:suppressAutoHyphens/>
        <w:spacing w:after="0"/>
        <w:ind w:right="387"/>
        <w:rPr>
          <w:bCs/>
          <w:lang w:val="en-US"/>
        </w:rPr>
      </w:pPr>
      <w:r w:rsidRPr="00C547BF">
        <w:rPr>
          <w:szCs w:val="20"/>
          <w:lang w:val="en-US"/>
        </w:rPr>
        <w:t xml:space="preserve">Design education, </w:t>
      </w:r>
      <w:proofErr w:type="gramStart"/>
      <w:r w:rsidRPr="00C547BF">
        <w:rPr>
          <w:szCs w:val="20"/>
          <w:lang w:val="en-US"/>
        </w:rPr>
        <w:t>awareness</w:t>
      </w:r>
      <w:proofErr w:type="gramEnd"/>
      <w:r w:rsidRPr="00C547BF">
        <w:rPr>
          <w:szCs w:val="20"/>
          <w:lang w:val="en-US"/>
        </w:rPr>
        <w:t xml:space="preserve"> and training programs for State security forces on the Inter-American human rights system, including the protection and prevention of violence against human rights defenders; and</w:t>
      </w:r>
    </w:p>
    <w:p w14:paraId="1217BB16" w14:textId="291E7208" w:rsidR="00171179" w:rsidRPr="00C547BF" w:rsidRDefault="00171179" w:rsidP="00A15327">
      <w:pPr>
        <w:pStyle w:val="Prrafodelista"/>
        <w:numPr>
          <w:ilvl w:val="1"/>
          <w:numId w:val="74"/>
        </w:numPr>
        <w:pBdr>
          <w:top w:val="nil"/>
          <w:left w:val="nil"/>
          <w:bottom w:val="nil"/>
          <w:right w:val="nil"/>
          <w:between w:val="nil"/>
          <w:bar w:val="nil"/>
        </w:pBdr>
        <w:tabs>
          <w:tab w:val="left" w:pos="360"/>
        </w:tabs>
        <w:suppressAutoHyphens/>
        <w:spacing w:after="0"/>
        <w:ind w:right="387"/>
        <w:rPr>
          <w:bCs/>
          <w:lang w:val="en-US"/>
        </w:rPr>
      </w:pPr>
      <w:r w:rsidRPr="00C547BF">
        <w:rPr>
          <w:szCs w:val="20"/>
          <w:lang w:val="en-US"/>
        </w:rPr>
        <w:t xml:space="preserve"> Cease criminalization of those exercising the right to freedom of expression and association, including political dissidents and human rights </w:t>
      </w:r>
      <w:proofErr w:type="gramStart"/>
      <w:r w:rsidR="00EE7E21" w:rsidRPr="00C547BF">
        <w:rPr>
          <w:szCs w:val="20"/>
          <w:lang w:val="en-US"/>
        </w:rPr>
        <w:t>defenders;</w:t>
      </w:r>
      <w:proofErr w:type="gramEnd"/>
    </w:p>
    <w:p w14:paraId="3371003A" w14:textId="77777777" w:rsidR="00171179" w:rsidRPr="00C547BF" w:rsidRDefault="00171179" w:rsidP="00A15327">
      <w:pPr>
        <w:pStyle w:val="Prrafodelista"/>
        <w:numPr>
          <w:ilvl w:val="1"/>
          <w:numId w:val="74"/>
        </w:numPr>
        <w:pBdr>
          <w:top w:val="nil"/>
          <w:left w:val="nil"/>
          <w:bottom w:val="nil"/>
          <w:right w:val="nil"/>
          <w:between w:val="nil"/>
          <w:bar w:val="nil"/>
        </w:pBdr>
        <w:tabs>
          <w:tab w:val="left" w:pos="360"/>
        </w:tabs>
        <w:suppressAutoHyphens/>
        <w:spacing w:after="0"/>
        <w:ind w:right="387"/>
        <w:rPr>
          <w:bCs/>
          <w:lang w:val="en-US"/>
        </w:rPr>
      </w:pPr>
      <w:r w:rsidRPr="00C547BF">
        <w:rPr>
          <w:szCs w:val="20"/>
          <w:lang w:val="en-US"/>
        </w:rPr>
        <w:t xml:space="preserve"> Ensure that human rights defenders </w:t>
      </w:r>
      <w:proofErr w:type="gramStart"/>
      <w:r w:rsidRPr="00C547BF">
        <w:rPr>
          <w:szCs w:val="20"/>
          <w:lang w:val="en-US"/>
        </w:rPr>
        <w:t>are able to</w:t>
      </w:r>
      <w:proofErr w:type="gramEnd"/>
      <w:r w:rsidRPr="00C547BF">
        <w:rPr>
          <w:szCs w:val="20"/>
          <w:lang w:val="en-US"/>
        </w:rPr>
        <w:t xml:space="preserve"> carry out their work and cooperate freely with human rights mechanisms without fear of intimidation or reprisals, and without undue restrictions; and</w:t>
      </w:r>
    </w:p>
    <w:p w14:paraId="1122849E" w14:textId="017E6D4E" w:rsidR="00171179" w:rsidRPr="00C547BF" w:rsidRDefault="00171179" w:rsidP="00A15327">
      <w:pPr>
        <w:pStyle w:val="Prrafodelista"/>
        <w:numPr>
          <w:ilvl w:val="1"/>
          <w:numId w:val="74"/>
        </w:numPr>
        <w:pBdr>
          <w:top w:val="nil"/>
          <w:left w:val="nil"/>
          <w:bottom w:val="nil"/>
          <w:right w:val="nil"/>
          <w:between w:val="nil"/>
          <w:bar w:val="nil"/>
        </w:pBdr>
        <w:tabs>
          <w:tab w:val="left" w:pos="360"/>
        </w:tabs>
        <w:suppressAutoHyphens/>
        <w:spacing w:after="0"/>
        <w:ind w:right="387"/>
        <w:rPr>
          <w:bCs/>
          <w:lang w:val="en-US"/>
        </w:rPr>
      </w:pPr>
      <w:r w:rsidRPr="00C547BF">
        <w:rPr>
          <w:szCs w:val="20"/>
          <w:lang w:val="en-US"/>
        </w:rPr>
        <w:t xml:space="preserve"> Adapt laws, </w:t>
      </w:r>
      <w:proofErr w:type="gramStart"/>
      <w:r w:rsidRPr="00C547BF">
        <w:rPr>
          <w:szCs w:val="20"/>
          <w:lang w:val="en-US"/>
        </w:rPr>
        <w:t>procedures</w:t>
      </w:r>
      <w:proofErr w:type="gramEnd"/>
      <w:r w:rsidRPr="00C547BF">
        <w:rPr>
          <w:szCs w:val="20"/>
          <w:lang w:val="en-US"/>
        </w:rPr>
        <w:t xml:space="preserve"> and practices to international human rights standards on due process, access to justice and freedom of expression within the framework of a plural, diverse and open conception of the public and media space, as well as in direct connection with the democratic principle. </w:t>
      </w:r>
    </w:p>
    <w:p w14:paraId="38039066" w14:textId="77777777" w:rsidR="00DC38DE" w:rsidRPr="00C547BF" w:rsidRDefault="00DC38DE" w:rsidP="00DC38DE">
      <w:pPr>
        <w:pStyle w:val="Prrafodelista"/>
        <w:pBdr>
          <w:top w:val="nil"/>
          <w:left w:val="nil"/>
          <w:bottom w:val="nil"/>
          <w:right w:val="nil"/>
          <w:between w:val="nil"/>
          <w:bar w:val="nil"/>
        </w:pBdr>
        <w:tabs>
          <w:tab w:val="left" w:pos="360"/>
        </w:tabs>
        <w:suppressAutoHyphens/>
        <w:spacing w:after="0"/>
        <w:ind w:left="1080" w:right="387"/>
        <w:rPr>
          <w:bCs/>
          <w:lang w:val="en-US"/>
        </w:rPr>
      </w:pPr>
    </w:p>
    <w:p w14:paraId="1036A371" w14:textId="0B323475" w:rsidR="00DC38DE" w:rsidRPr="00C547BF" w:rsidRDefault="00DC38DE" w:rsidP="00DC38DE">
      <w:pPr>
        <w:pStyle w:val="Ttulo1"/>
        <w:numPr>
          <w:ilvl w:val="0"/>
          <w:numId w:val="3"/>
        </w:numPr>
        <w:ind w:left="360"/>
        <w:rPr>
          <w:u w:color="000000"/>
          <w:lang w:eastAsia="es-ES"/>
        </w:rPr>
      </w:pPr>
      <w:bookmarkStart w:id="51" w:name="_Toc136860070"/>
      <w:r w:rsidRPr="00C547BF">
        <w:rPr>
          <w:u w:color="000000"/>
          <w:lang w:eastAsia="es-ES"/>
        </w:rPr>
        <w:t>PUBLICATION</w:t>
      </w:r>
      <w:bookmarkEnd w:id="51"/>
    </w:p>
    <w:p w14:paraId="1B28D87B" w14:textId="77777777" w:rsidR="00DC38DE" w:rsidRPr="00C547BF" w:rsidRDefault="00DC38DE" w:rsidP="00DC38DE">
      <w:pPr>
        <w:pStyle w:val="Prrafodelista"/>
        <w:pBdr>
          <w:top w:val="nil"/>
          <w:left w:val="nil"/>
          <w:bottom w:val="nil"/>
          <w:right w:val="nil"/>
          <w:between w:val="nil"/>
          <w:bar w:val="nil"/>
        </w:pBdr>
        <w:tabs>
          <w:tab w:val="left" w:pos="360"/>
        </w:tabs>
        <w:suppressAutoHyphens/>
        <w:spacing w:after="0"/>
        <w:ind w:left="1080" w:right="387"/>
        <w:contextualSpacing w:val="0"/>
        <w:rPr>
          <w:rFonts w:cs="Cambria"/>
          <w:color w:val="000000"/>
          <w:szCs w:val="20"/>
          <w:u w:color="000000"/>
          <w:lang w:val="en-US" w:eastAsia="es-ES"/>
        </w:rPr>
      </w:pPr>
    </w:p>
    <w:p w14:paraId="58702076" w14:textId="011C3A2D" w:rsidR="00171179" w:rsidRPr="00C547BF" w:rsidRDefault="00DC38DE" w:rsidP="00C547BF">
      <w:pPr>
        <w:pStyle w:val="Prrafodelista"/>
        <w:numPr>
          <w:ilvl w:val="0"/>
          <w:numId w:val="62"/>
        </w:numPr>
        <w:rPr>
          <w:rFonts w:cs="Cambria"/>
          <w:color w:val="000000"/>
          <w:szCs w:val="20"/>
          <w:u w:color="000000"/>
          <w:lang w:val="en-US" w:eastAsia="es-ES"/>
        </w:rPr>
      </w:pPr>
      <w:r w:rsidRPr="00C547BF">
        <w:rPr>
          <w:rFonts w:cs="Cambria"/>
          <w:color w:val="000000"/>
          <w:szCs w:val="20"/>
          <w:u w:color="000000"/>
          <w:lang w:val="en-US" w:eastAsia="es-ES"/>
        </w:rPr>
        <w:t>In view of the foregoing and in accordance with Article 47.3 of its Rules of Procedure, the IACHR decides to make this report public and include it in its Annual Report to the General Assembly of the Organization of American States. The Inter-American Commission, in accordance with the rules contained in the instruments governing its mandate, will continue to evaluate the measures adopted by Cuba with respect to the foregoing recommendations until it determines that they have been fully complied with.</w:t>
      </w:r>
    </w:p>
    <w:p w14:paraId="73FD17BC" w14:textId="77777777" w:rsidR="00C547BF" w:rsidRPr="00C547BF" w:rsidRDefault="00C547BF" w:rsidP="00C547BF">
      <w:pPr>
        <w:pStyle w:val="Prrafodelista"/>
        <w:pBdr>
          <w:top w:val="nil"/>
          <w:left w:val="nil"/>
          <w:bottom w:val="nil"/>
          <w:right w:val="nil"/>
          <w:between w:val="nil"/>
          <w:bar w:val="nil"/>
        </w:pBdr>
        <w:tabs>
          <w:tab w:val="left" w:pos="360"/>
        </w:tabs>
        <w:suppressAutoHyphens/>
        <w:spacing w:after="0"/>
        <w:ind w:left="1080" w:right="387"/>
        <w:contextualSpacing w:val="0"/>
        <w:rPr>
          <w:rFonts w:cs="Cambria"/>
          <w:color w:val="000000"/>
          <w:szCs w:val="20"/>
          <w:u w:color="000000"/>
          <w:lang w:val="en-US" w:eastAsia="es-ES"/>
        </w:rPr>
      </w:pPr>
    </w:p>
    <w:p w14:paraId="6C0B1B1E" w14:textId="3006D66E" w:rsidR="00C547BF" w:rsidRPr="00C547BF" w:rsidRDefault="00C547BF" w:rsidP="00C547BF">
      <w:pPr>
        <w:rPr>
          <w:rFonts w:cs="Cambria"/>
          <w:color w:val="000000"/>
          <w:szCs w:val="20"/>
          <w:u w:color="000000"/>
          <w:lang w:val="en-US" w:eastAsia="es-ES"/>
        </w:rPr>
      </w:pPr>
      <w:r w:rsidRPr="00C547BF">
        <w:rPr>
          <w:rFonts w:cs="Cambria"/>
          <w:color w:val="000000"/>
          <w:szCs w:val="20"/>
          <w:u w:color="000000"/>
          <w:lang w:val="en-US" w:eastAsia="es-ES"/>
        </w:rPr>
        <w:t xml:space="preserve">Approved by the Inter-American Commission on Human Rights on the </w:t>
      </w:r>
      <w:r>
        <w:rPr>
          <w:rFonts w:cs="Cambria"/>
          <w:color w:val="000000"/>
          <w:szCs w:val="20"/>
          <w:u w:color="000000"/>
          <w:lang w:val="en-US" w:eastAsia="es-ES"/>
        </w:rPr>
        <w:t>ninth</w:t>
      </w:r>
      <w:r w:rsidRPr="00C547BF">
        <w:rPr>
          <w:rFonts w:cs="Cambria"/>
          <w:color w:val="000000"/>
          <w:szCs w:val="20"/>
          <w:u w:color="000000"/>
          <w:lang w:val="en-US" w:eastAsia="es-ES"/>
        </w:rPr>
        <w:t xml:space="preserve"> day of the month of </w:t>
      </w:r>
      <w:proofErr w:type="gramStart"/>
      <w:r>
        <w:rPr>
          <w:rFonts w:cs="Cambria"/>
          <w:color w:val="000000"/>
          <w:szCs w:val="20"/>
          <w:u w:color="000000"/>
          <w:lang w:val="en-US" w:eastAsia="es-ES"/>
        </w:rPr>
        <w:t>June</w:t>
      </w:r>
      <w:r w:rsidRPr="00C547BF">
        <w:rPr>
          <w:rFonts w:cs="Cambria"/>
          <w:color w:val="000000"/>
          <w:szCs w:val="20"/>
          <w:u w:color="000000"/>
          <w:lang w:val="en-US" w:eastAsia="es-ES"/>
        </w:rPr>
        <w:t>,</w:t>
      </w:r>
      <w:proofErr w:type="gramEnd"/>
      <w:r w:rsidRPr="00C547BF">
        <w:rPr>
          <w:rFonts w:cs="Cambria"/>
          <w:color w:val="000000"/>
          <w:szCs w:val="20"/>
          <w:u w:color="000000"/>
          <w:lang w:val="en-US" w:eastAsia="es-ES"/>
        </w:rPr>
        <w:t xml:space="preserve"> 2023</w:t>
      </w:r>
      <w:r w:rsidRPr="00C547BF">
        <w:rPr>
          <w:rFonts w:cs="Calibri"/>
          <w:color w:val="000000"/>
          <w:szCs w:val="20"/>
          <w:bdr w:val="none" w:sz="0" w:space="0" w:color="auto" w:frame="1"/>
          <w:shd w:val="clear" w:color="auto" w:fill="FFFFFF"/>
        </w:rPr>
        <w:t>. (Signed:) Margarette May Macaulay, President; Esmeralda Arosemena de Troitiño, Vice President;</w:t>
      </w:r>
      <w:r>
        <w:rPr>
          <w:rFonts w:cs="Calibri"/>
          <w:color w:val="000000"/>
          <w:szCs w:val="20"/>
          <w:bdr w:val="none" w:sz="0" w:space="0" w:color="auto" w:frame="1"/>
          <w:shd w:val="clear" w:color="auto" w:fill="FFFFFF"/>
        </w:rPr>
        <w:t xml:space="preserve"> </w:t>
      </w:r>
      <w:r w:rsidRPr="00C547BF">
        <w:rPr>
          <w:rFonts w:cs="Calibri"/>
          <w:color w:val="000000"/>
          <w:szCs w:val="20"/>
          <w:bdr w:val="none" w:sz="0" w:space="0" w:color="auto" w:frame="1"/>
          <w:shd w:val="clear" w:color="auto" w:fill="FFFFFF"/>
        </w:rPr>
        <w:t>Roberta Clarke, Second Vice President; Joel Hernández García; Julissa Mantilla Falcón; Stuardo Ralón Orellana; and Carlos Bernal Pulido, Commissioners. </w:t>
      </w:r>
    </w:p>
    <w:p w14:paraId="7C94AF9D" w14:textId="77777777" w:rsidR="001C11B8" w:rsidRDefault="001C11B8" w:rsidP="00FB225E">
      <w:pPr>
        <w:pBdr>
          <w:top w:val="nil"/>
          <w:left w:val="nil"/>
          <w:bottom w:val="nil"/>
          <w:right w:val="nil"/>
          <w:between w:val="nil"/>
          <w:bar w:val="nil"/>
        </w:pBdr>
        <w:tabs>
          <w:tab w:val="center" w:pos="5400"/>
        </w:tabs>
        <w:suppressAutoHyphens/>
        <w:spacing w:after="0"/>
        <w:jc w:val="center"/>
        <w:rPr>
          <w:rFonts w:eastAsia="Arial Unicode MS" w:cs="Times New Roman"/>
          <w:b/>
          <w:szCs w:val="20"/>
          <w:bdr w:val="nil"/>
          <w:lang w:val="en-US"/>
        </w:rPr>
      </w:pPr>
    </w:p>
    <w:sectPr w:rsidR="001C11B8" w:rsidSect="0017117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A31BF" w14:textId="77777777" w:rsidR="00B02C40" w:rsidRDefault="00B02C40" w:rsidP="003C789A">
      <w:pPr>
        <w:spacing w:after="0"/>
      </w:pPr>
      <w:r>
        <w:separator/>
      </w:r>
    </w:p>
  </w:endnote>
  <w:endnote w:type="continuationSeparator" w:id="0">
    <w:p w14:paraId="622F1926" w14:textId="77777777" w:rsidR="00B02C40" w:rsidRDefault="00B02C40" w:rsidP="003C78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Univers">
    <w:panose1 w:val="020B0604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Headings CS)">
    <w:altName w:val="Times New Roman"/>
    <w:panose1 w:val="020B0604020202020204"/>
    <w:charset w:val="00"/>
    <w:family w:val="roman"/>
    <w:notTrueType/>
    <w:pitch w:val="default"/>
  </w:font>
  <w:font w:name="Times">
    <w:panose1 w:val="0200050000000000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4020202020204"/>
    <w:charset w:val="00"/>
    <w:family w:val="swiss"/>
    <w:pitch w:val="variable"/>
    <w:sig w:usb0="E00002EF" w:usb1="4000205B" w:usb2="00000028" w:usb3="00000000" w:csb0="0000019F" w:csb1="00000000"/>
  </w:font>
  <w:font w:name="Cambay Devanagari">
    <w:altName w:val="Cambay Devanagari"/>
    <w:panose1 w:val="020B0604020202020204"/>
    <w:charset w:val="4D"/>
    <w:family w:val="auto"/>
    <w:pitch w:val="variable"/>
    <w:sig w:usb0="00008007" w:usb1="00000000" w:usb2="00000000" w:usb3="00000000" w:csb0="00000093" w:csb1="00000000"/>
  </w:font>
  <w:font w:name="Univers,Italic">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39323365"/>
      <w:docPartObj>
        <w:docPartGallery w:val="Page Numbers (Bottom of Page)"/>
        <w:docPartUnique/>
      </w:docPartObj>
    </w:sdtPr>
    <w:sdtContent>
      <w:p w14:paraId="2F9630B8" w14:textId="03192D45" w:rsidR="001C11B8" w:rsidRDefault="001C11B8" w:rsidP="004543DB">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w:t>
        </w:r>
        <w:r>
          <w:rPr>
            <w:rStyle w:val="Nmerodepgina"/>
          </w:rPr>
          <w:fldChar w:fldCharType="end"/>
        </w:r>
      </w:p>
    </w:sdtContent>
  </w:sdt>
  <w:p w14:paraId="62508F81" w14:textId="77777777" w:rsidR="001C11B8" w:rsidRDefault="001C11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264679"/>
      <w:docPartObj>
        <w:docPartGallery w:val="Page Numbers (Bottom of Page)"/>
        <w:docPartUnique/>
      </w:docPartObj>
    </w:sdtPr>
    <w:sdtEndPr>
      <w:rPr>
        <w:noProof/>
      </w:rPr>
    </w:sdtEndPr>
    <w:sdtContent>
      <w:p w14:paraId="75754B65" w14:textId="676BE5A0" w:rsidR="00CE6125" w:rsidRDefault="00CE6125">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6F85E4C4" w14:textId="77777777" w:rsidR="00EF4615" w:rsidRDefault="00EF46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C68E" w14:textId="77777777" w:rsidR="00B02C40" w:rsidRDefault="00B02C40" w:rsidP="003C789A">
      <w:pPr>
        <w:spacing w:after="0"/>
      </w:pPr>
      <w:r>
        <w:separator/>
      </w:r>
    </w:p>
  </w:footnote>
  <w:footnote w:type="continuationSeparator" w:id="0">
    <w:p w14:paraId="6E4A5B19" w14:textId="77777777" w:rsidR="00B02C40" w:rsidRDefault="00B02C40" w:rsidP="003C789A">
      <w:pPr>
        <w:spacing w:after="0"/>
      </w:pPr>
      <w:r>
        <w:continuationSeparator/>
      </w:r>
    </w:p>
  </w:footnote>
  <w:footnote w:id="1">
    <w:p w14:paraId="609A2C3A" w14:textId="7B3E6B1A"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w:t>
      </w:r>
      <w:r w:rsidRPr="00C547BF">
        <w:rPr>
          <w:rFonts w:eastAsia="Cambria" w:cs="Cambria"/>
          <w:szCs w:val="16"/>
        </w:rPr>
        <w:t xml:space="preserve">Communication from the IACHR sent to the State of Cuba on October 20, </w:t>
      </w:r>
      <w:r w:rsidR="007415AC" w:rsidRPr="00C547BF">
        <w:rPr>
          <w:rFonts w:eastAsia="Cambria" w:cs="Cambria"/>
          <w:szCs w:val="16"/>
        </w:rPr>
        <w:t>2020,</w:t>
      </w:r>
      <w:r w:rsidRPr="00C547BF">
        <w:rPr>
          <w:rFonts w:eastAsia="Cambria" w:cs="Cambria"/>
          <w:szCs w:val="16"/>
        </w:rPr>
        <w:t xml:space="preserve"> by which it notifies its decision to implement Resolution 1/16 of October 18, 2016.</w:t>
      </w:r>
    </w:p>
  </w:footnote>
  <w:footnote w:id="2">
    <w:p w14:paraId="159FA1BD" w14:textId="77777777" w:rsidR="00171179" w:rsidRPr="00C547BF" w:rsidRDefault="00171179" w:rsidP="007415AC">
      <w:pPr>
        <w:suppressAutoHyphens/>
        <w:spacing w:after="0"/>
        <w:rPr>
          <w:sz w:val="16"/>
          <w:szCs w:val="16"/>
          <w:lang w:val="en-US"/>
        </w:rPr>
      </w:pPr>
      <w:r w:rsidRPr="00C547BF">
        <w:rPr>
          <w:rFonts w:eastAsia="Calibri" w:cs="Calibri"/>
          <w:sz w:val="16"/>
          <w:szCs w:val="16"/>
          <w:vertAlign w:val="superscript"/>
          <w:lang w:val="es-PE" w:eastAsia="es-ES"/>
        </w:rPr>
        <w:footnoteRef/>
      </w:r>
      <w:r w:rsidRPr="00C547BF">
        <w:rPr>
          <w:rFonts w:eastAsia="Calibri" w:cs="Calibri"/>
          <w:sz w:val="16"/>
          <w:szCs w:val="16"/>
          <w:vertAlign w:val="superscript"/>
          <w:lang w:val="en-US" w:eastAsia="es-ES"/>
        </w:rPr>
        <w:t xml:space="preserve"> </w:t>
      </w:r>
      <w:r w:rsidRPr="00C547BF">
        <w:rPr>
          <w:rFonts w:eastAsia="Calibri" w:cs="Calibri"/>
          <w:sz w:val="16"/>
          <w:szCs w:val="16"/>
          <w:lang w:val="en-US" w:eastAsia="es-ES"/>
        </w:rPr>
        <w:t xml:space="preserve">On April 23, 2019, the IACHR forwarded the relevant parts of the petition. The State did not submit observations on the petition, </w:t>
      </w:r>
      <w:proofErr w:type="gramStart"/>
      <w:r w:rsidRPr="00C547BF">
        <w:rPr>
          <w:rFonts w:eastAsia="Calibri" w:cs="Calibri"/>
          <w:sz w:val="16"/>
          <w:szCs w:val="16"/>
          <w:lang w:val="en-US" w:eastAsia="es-ES"/>
        </w:rPr>
        <w:t>despite the fact that</w:t>
      </w:r>
      <w:proofErr w:type="gramEnd"/>
      <w:r w:rsidRPr="00C547BF">
        <w:rPr>
          <w:rFonts w:eastAsia="Calibri" w:cs="Calibri"/>
          <w:sz w:val="16"/>
          <w:szCs w:val="16"/>
          <w:lang w:val="en-US" w:eastAsia="es-ES"/>
        </w:rPr>
        <w:t xml:space="preserve"> said request was reiterated. After the adoption and notification of Resolution 1/16, the State also did not submit observations on the admissibility or merits of the case.  On April 22, 2021, the petitioner submitted its observations on the merits.</w:t>
      </w:r>
    </w:p>
  </w:footnote>
  <w:footnote w:id="3">
    <w:p w14:paraId="280C7C05"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Report No. 71/16. Petition 765-09. Admissibility. </w:t>
      </w:r>
      <w:proofErr w:type="spellStart"/>
      <w:r w:rsidRPr="00C547BF">
        <w:rPr>
          <w:szCs w:val="16"/>
        </w:rPr>
        <w:t>Q'oq'ob</w:t>
      </w:r>
      <w:proofErr w:type="spellEnd"/>
      <w:r w:rsidRPr="00C547BF">
        <w:rPr>
          <w:szCs w:val="16"/>
        </w:rPr>
        <w:t xml:space="preserve"> Community of the Municipality of Santa María Nebaj. Guatemala. December 6, 2016, para. 27; IACHR. Report No. 77/20. Petition 1756-10. Inadmissibility. Ismael Estrada. United States of America. March 25, 2020, para. 8.</w:t>
      </w:r>
    </w:p>
  </w:footnote>
  <w:footnote w:id="4">
    <w:p w14:paraId="01FE93AD"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Report No. 297/21. Case 13.639. Admissibility and Merits (Publication). </w:t>
      </w:r>
      <w:proofErr w:type="spellStart"/>
      <w:r w:rsidRPr="00C547BF">
        <w:rPr>
          <w:szCs w:val="16"/>
        </w:rPr>
        <w:t>Yoani</w:t>
      </w:r>
      <w:proofErr w:type="spellEnd"/>
      <w:r w:rsidRPr="00C547BF">
        <w:rPr>
          <w:szCs w:val="16"/>
        </w:rPr>
        <w:t xml:space="preserve"> María Sánchez Cordero. Cuba. October 30, 2021; Report No. 67/06, Case 12,476, Merits, </w:t>
      </w:r>
      <w:r w:rsidRPr="00C547BF">
        <w:rPr>
          <w:i/>
          <w:szCs w:val="16"/>
        </w:rPr>
        <w:t>Oscar Elías Biscet et al. v. Cuba</w:t>
      </w:r>
      <w:r w:rsidRPr="00C547BF">
        <w:rPr>
          <w:szCs w:val="16"/>
        </w:rPr>
        <w:t xml:space="preserve">, October 21, 2006; Report No. 27/18, Case No. 12,127. </w:t>
      </w:r>
      <w:proofErr w:type="spellStart"/>
      <w:r w:rsidRPr="00C547BF">
        <w:rPr>
          <w:szCs w:val="16"/>
        </w:rPr>
        <w:t>Vladimiro</w:t>
      </w:r>
      <w:proofErr w:type="spellEnd"/>
      <w:r w:rsidRPr="00C547BF">
        <w:rPr>
          <w:szCs w:val="16"/>
        </w:rPr>
        <w:t xml:space="preserve"> Roca </w:t>
      </w:r>
      <w:proofErr w:type="spellStart"/>
      <w:r w:rsidRPr="00C547BF">
        <w:rPr>
          <w:szCs w:val="16"/>
        </w:rPr>
        <w:t>Antúnez</w:t>
      </w:r>
      <w:proofErr w:type="spellEnd"/>
      <w:r w:rsidRPr="00C547BF">
        <w:rPr>
          <w:szCs w:val="16"/>
        </w:rPr>
        <w:t xml:space="preserve"> and Others. Cuba. February 24, 2018; and Country Report 2020, Cuba. Situation of Human Rights in Cuba. </w:t>
      </w:r>
    </w:p>
  </w:footnote>
  <w:footnote w:id="5">
    <w:p w14:paraId="1E740EBE"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Country Report 2020, Cuba. Situation of Human Rights in Cuba. Para. 25. </w:t>
      </w:r>
    </w:p>
  </w:footnote>
  <w:footnote w:id="6">
    <w:p w14:paraId="65666005"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Annual Report 2018, Chapter IV.B, "Cuba," para. 20.</w:t>
      </w:r>
    </w:p>
  </w:footnote>
  <w:footnote w:id="7">
    <w:p w14:paraId="237E9E39"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Annual Report 1997, Chapter V, "Development of Human Rights in the Region," para. 5.</w:t>
      </w:r>
    </w:p>
  </w:footnote>
  <w:footnote w:id="8">
    <w:p w14:paraId="4B88B497" w14:textId="02840E02"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Office of the Special Rapporteur for Freedom of Expression, Special Country Report (2019), para. 246.</w:t>
      </w:r>
    </w:p>
  </w:footnote>
  <w:footnote w:id="9">
    <w:p w14:paraId="5684F46C" w14:textId="482705FB" w:rsidR="00171179" w:rsidRPr="00C547BF" w:rsidRDefault="00171179" w:rsidP="007415AC">
      <w:pPr>
        <w:spacing w:after="0"/>
        <w:rPr>
          <w:sz w:val="16"/>
          <w:szCs w:val="16"/>
          <w:lang w:val="en-US"/>
        </w:rPr>
      </w:pPr>
      <w:r w:rsidRPr="00C547BF">
        <w:rPr>
          <w:rStyle w:val="Refdenotaalpie"/>
          <w:sz w:val="16"/>
          <w:szCs w:val="16"/>
        </w:rPr>
        <w:footnoteRef/>
      </w:r>
      <w:r w:rsidRPr="00C547BF">
        <w:rPr>
          <w:sz w:val="16"/>
          <w:szCs w:val="16"/>
          <w:lang w:val="en-US"/>
        </w:rPr>
        <w:t xml:space="preserve"> IACHR Office of the Special Rapporteur for Freedom of Expression, Special Country Report, (2019), para. 147.</w:t>
      </w:r>
    </w:p>
  </w:footnote>
  <w:footnote w:id="10">
    <w:p w14:paraId="45A1BED5" w14:textId="77777777" w:rsidR="00171179" w:rsidRPr="00C547BF" w:rsidRDefault="00171179" w:rsidP="007415AC">
      <w:pPr>
        <w:spacing w:after="0"/>
        <w:rPr>
          <w:sz w:val="16"/>
          <w:szCs w:val="16"/>
          <w:lang w:val="en-US"/>
        </w:rPr>
      </w:pPr>
      <w:r w:rsidRPr="00C547BF">
        <w:rPr>
          <w:rStyle w:val="Refdenotaalpie"/>
          <w:sz w:val="16"/>
          <w:szCs w:val="16"/>
        </w:rPr>
        <w:footnoteRef/>
      </w:r>
      <w:r w:rsidRPr="00C547BF">
        <w:rPr>
          <w:sz w:val="16"/>
          <w:szCs w:val="16"/>
          <w:lang w:val="en-US"/>
        </w:rPr>
        <w:t xml:space="preserve"> IACHR, Report No. 67/06, Case 12.476, Merits, </w:t>
      </w:r>
      <w:r w:rsidRPr="00C547BF">
        <w:rPr>
          <w:i/>
          <w:sz w:val="16"/>
          <w:szCs w:val="16"/>
          <w:lang w:val="en-US"/>
        </w:rPr>
        <w:t>Oscar Elías Biscet et al. v. Cuba</w:t>
      </w:r>
      <w:r w:rsidRPr="00C547BF">
        <w:rPr>
          <w:sz w:val="16"/>
          <w:szCs w:val="16"/>
          <w:lang w:val="en-US"/>
        </w:rPr>
        <w:t>, October 21, 2006, para. 189.</w:t>
      </w:r>
    </w:p>
  </w:footnote>
  <w:footnote w:id="11">
    <w:p w14:paraId="6922C4EC" w14:textId="77777777" w:rsidR="00171179" w:rsidRPr="00C547BF" w:rsidRDefault="00171179" w:rsidP="007415AC">
      <w:pPr>
        <w:pStyle w:val="Textonotapie"/>
        <w:rPr>
          <w:szCs w:val="16"/>
        </w:rPr>
      </w:pPr>
      <w:r w:rsidRPr="00C547BF">
        <w:rPr>
          <w:rStyle w:val="Refdenotaalpie"/>
          <w:szCs w:val="16"/>
        </w:rPr>
        <w:footnoteRef/>
      </w:r>
      <w:r w:rsidRPr="00C547BF">
        <w:rPr>
          <w:i/>
          <w:szCs w:val="16"/>
        </w:rPr>
        <w:t xml:space="preserve"> See, for example</w:t>
      </w:r>
      <w:r w:rsidRPr="00C547BF">
        <w:rPr>
          <w:szCs w:val="16"/>
        </w:rPr>
        <w:t>, IACHR, Annual Report 2012, Chapter IV, "Cuba," para. 69.</w:t>
      </w:r>
    </w:p>
  </w:footnote>
  <w:footnote w:id="12">
    <w:p w14:paraId="75E97FE0"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Country Report 2020, Cuba. Situation of Human Rights in Cuba. Para.158.</w:t>
      </w:r>
    </w:p>
  </w:footnote>
  <w:footnote w:id="13">
    <w:p w14:paraId="19DBB508"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Report No. 67/06, Case 12.476, Merits, </w:t>
      </w:r>
      <w:r w:rsidRPr="00C547BF">
        <w:rPr>
          <w:i/>
          <w:szCs w:val="16"/>
        </w:rPr>
        <w:t>Oscar Elías Biscet et al. v. Cuba</w:t>
      </w:r>
      <w:r w:rsidRPr="00C547BF">
        <w:rPr>
          <w:szCs w:val="16"/>
        </w:rPr>
        <w:t>, October 21, 2006, para 129; IACHR, Annual Report 2012, Chapter IV, "Cuba," paras 42-43; IACHR Office of the Special Rapporteur for Freedom of Expression, Special Country Report (2019), para 445.</w:t>
      </w:r>
    </w:p>
  </w:footnote>
  <w:footnote w:id="14">
    <w:p w14:paraId="1CBCA2BD" w14:textId="262DDA93"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Office of the Special Rapporteur for Freedom of Expression, Special Country Report (2019), para. 446.</w:t>
      </w:r>
    </w:p>
  </w:footnote>
  <w:footnote w:id="15">
    <w:p w14:paraId="0BBBF44C"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CADAL and KAS Foundation, Oswaldo </w:t>
      </w:r>
      <w:proofErr w:type="spellStart"/>
      <w:r w:rsidRPr="00C547BF">
        <w:rPr>
          <w:szCs w:val="16"/>
        </w:rPr>
        <w:t>Payá</w:t>
      </w:r>
      <w:proofErr w:type="spellEnd"/>
      <w:r w:rsidRPr="00C547BF">
        <w:rPr>
          <w:szCs w:val="16"/>
        </w:rPr>
        <w:t xml:space="preserve"> </w:t>
      </w:r>
      <w:proofErr w:type="spellStart"/>
      <w:r w:rsidRPr="00C547BF">
        <w:rPr>
          <w:szCs w:val="16"/>
        </w:rPr>
        <w:t>Sardiñas</w:t>
      </w:r>
      <w:proofErr w:type="spellEnd"/>
      <w:r w:rsidRPr="00C547BF">
        <w:rPr>
          <w:szCs w:val="16"/>
        </w:rPr>
        <w:t xml:space="preserve"> and the Varela Project: The Peaceful Struggle for the Democratic Opening in Cuba, Annex 3 of the Expansion of the Petition, p. 17.</w:t>
      </w:r>
    </w:p>
  </w:footnote>
  <w:footnote w:id="16">
    <w:p w14:paraId="4497AD99" w14:textId="424F97EC" w:rsidR="00171179" w:rsidRPr="00C547BF" w:rsidRDefault="00171179" w:rsidP="007415AC">
      <w:pPr>
        <w:pStyle w:val="Textonotapie"/>
        <w:rPr>
          <w:szCs w:val="16"/>
          <w:lang w:val="es-CO" w:eastAsia="es-ES_tradnl"/>
        </w:rPr>
      </w:pPr>
      <w:r w:rsidRPr="00C547BF">
        <w:rPr>
          <w:rStyle w:val="Refdenotaalpie"/>
          <w:szCs w:val="16"/>
        </w:rPr>
        <w:footnoteRef/>
      </w:r>
      <w:r w:rsidRPr="00C547BF">
        <w:rPr>
          <w:szCs w:val="16"/>
        </w:rPr>
        <w:t xml:space="preserve"> New York Times. </w:t>
      </w:r>
      <w:r w:rsidRPr="00C547BF">
        <w:rPr>
          <w:szCs w:val="16"/>
          <w:lang w:eastAsia="es-ES_tradnl"/>
        </w:rPr>
        <w:t xml:space="preserve">Oswaldo </w:t>
      </w:r>
      <w:proofErr w:type="spellStart"/>
      <w:r w:rsidRPr="00C547BF">
        <w:rPr>
          <w:szCs w:val="16"/>
          <w:lang w:eastAsia="es-ES_tradnl"/>
        </w:rPr>
        <w:t>Payá</w:t>
      </w:r>
      <w:proofErr w:type="spellEnd"/>
      <w:r w:rsidRPr="00C547BF">
        <w:rPr>
          <w:szCs w:val="16"/>
          <w:lang w:eastAsia="es-ES_tradnl"/>
        </w:rPr>
        <w:t xml:space="preserve">, Cuban Leader of Petition Drive for Human Rights, Dies at 60. </w:t>
      </w:r>
      <w:proofErr w:type="spellStart"/>
      <w:r w:rsidRPr="00C547BF">
        <w:rPr>
          <w:szCs w:val="16"/>
          <w:lang w:val="es-CO" w:eastAsia="es-ES_tradnl"/>
        </w:rPr>
        <w:t>Available</w:t>
      </w:r>
      <w:proofErr w:type="spellEnd"/>
      <w:r w:rsidRPr="00C547BF">
        <w:rPr>
          <w:szCs w:val="16"/>
          <w:lang w:val="es-CO" w:eastAsia="es-ES_tradnl"/>
        </w:rPr>
        <w:t xml:space="preserve"> at: </w:t>
      </w:r>
      <w:hyperlink r:id="rId1" w:history="1">
        <w:r w:rsidRPr="00C547BF">
          <w:rPr>
            <w:rStyle w:val="Hipervnculo"/>
            <w:szCs w:val="16"/>
            <w:lang w:val="es-CO"/>
          </w:rPr>
          <w:t>https:</w:t>
        </w:r>
      </w:hyperlink>
      <w:r w:rsidRPr="00C547BF">
        <w:rPr>
          <w:szCs w:val="16"/>
          <w:lang w:val="es-CO"/>
        </w:rPr>
        <w:t xml:space="preserve">//www.nytimes.com/2012/07/23/world/americas/oswaldo-paya-60-cuban-human-rights-fighter-dies.html; and CADAL and KAS </w:t>
      </w:r>
      <w:proofErr w:type="spellStart"/>
      <w:r w:rsidRPr="00C547BF">
        <w:rPr>
          <w:szCs w:val="16"/>
          <w:lang w:val="es-CO"/>
        </w:rPr>
        <w:t>Foundation</w:t>
      </w:r>
      <w:proofErr w:type="spellEnd"/>
      <w:r w:rsidRPr="00C547BF">
        <w:rPr>
          <w:szCs w:val="16"/>
          <w:lang w:val="es-CO"/>
        </w:rPr>
        <w:t xml:space="preserve">, Oswaldo </w:t>
      </w:r>
      <w:proofErr w:type="spellStart"/>
      <w:r w:rsidRPr="00C547BF">
        <w:rPr>
          <w:szCs w:val="16"/>
          <w:lang w:val="es-CO"/>
        </w:rPr>
        <w:t>Payá</w:t>
      </w:r>
      <w:proofErr w:type="spellEnd"/>
      <w:r w:rsidRPr="00C547BF">
        <w:rPr>
          <w:szCs w:val="16"/>
          <w:lang w:val="es-CO"/>
        </w:rPr>
        <w:t xml:space="preserve"> </w:t>
      </w:r>
      <w:proofErr w:type="spellStart"/>
      <w:r w:rsidRPr="00C547BF">
        <w:rPr>
          <w:szCs w:val="16"/>
          <w:lang w:val="es-CO"/>
        </w:rPr>
        <w:t>Sardiñas</w:t>
      </w:r>
      <w:proofErr w:type="spellEnd"/>
      <w:r w:rsidRPr="00C547BF">
        <w:rPr>
          <w:szCs w:val="16"/>
          <w:lang w:val="es-CO"/>
        </w:rPr>
        <w:t xml:space="preserve"> y el Proyecto Varela: La lucha pacífica por la apertura democrática en Cuba</w:t>
      </w:r>
      <w:r w:rsidR="007415AC" w:rsidRPr="00C547BF">
        <w:rPr>
          <w:szCs w:val="16"/>
          <w:lang w:val="es-CO"/>
        </w:rPr>
        <w:t>.</w:t>
      </w:r>
    </w:p>
  </w:footnote>
  <w:footnote w:id="17">
    <w:p w14:paraId="20C6AE89"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Petitioner's written observations on the merits, April 21, 2021.</w:t>
      </w:r>
    </w:p>
  </w:footnote>
  <w:footnote w:id="18">
    <w:p w14:paraId="0122773E"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Oswaldo </w:t>
      </w:r>
      <w:proofErr w:type="spellStart"/>
      <w:r w:rsidRPr="00C547BF">
        <w:rPr>
          <w:szCs w:val="16"/>
        </w:rPr>
        <w:t>Payá</w:t>
      </w:r>
      <w:proofErr w:type="spellEnd"/>
      <w:r w:rsidRPr="00C547BF">
        <w:rPr>
          <w:szCs w:val="16"/>
        </w:rPr>
        <w:t xml:space="preserve"> </w:t>
      </w:r>
      <w:proofErr w:type="spellStart"/>
      <w:r w:rsidRPr="00C547BF">
        <w:rPr>
          <w:szCs w:val="16"/>
        </w:rPr>
        <w:t>Sardiñas</w:t>
      </w:r>
      <w:proofErr w:type="spellEnd"/>
      <w:r w:rsidRPr="00C547BF">
        <w:rPr>
          <w:szCs w:val="16"/>
        </w:rPr>
        <w:t xml:space="preserve"> and the Varela Project: The Peaceful Struggle for the Democratic Opening in Cuba, p. 18.</w:t>
      </w:r>
    </w:p>
  </w:footnote>
  <w:footnote w:id="19">
    <w:p w14:paraId="22454537"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Petitioner's written observations on the merits, April 21, 2021.</w:t>
      </w:r>
    </w:p>
  </w:footnote>
  <w:footnote w:id="20">
    <w:p w14:paraId="567D1198"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Oswaldo </w:t>
      </w:r>
      <w:proofErr w:type="spellStart"/>
      <w:r w:rsidRPr="00C547BF">
        <w:rPr>
          <w:szCs w:val="16"/>
        </w:rPr>
        <w:t>Payá</w:t>
      </w:r>
      <w:proofErr w:type="spellEnd"/>
      <w:r w:rsidRPr="00C547BF">
        <w:rPr>
          <w:szCs w:val="16"/>
        </w:rPr>
        <w:t xml:space="preserve"> </w:t>
      </w:r>
      <w:proofErr w:type="spellStart"/>
      <w:r w:rsidRPr="00C547BF">
        <w:rPr>
          <w:szCs w:val="16"/>
        </w:rPr>
        <w:t>Sardiñas</w:t>
      </w:r>
      <w:proofErr w:type="spellEnd"/>
      <w:r w:rsidRPr="00C547BF">
        <w:rPr>
          <w:szCs w:val="16"/>
        </w:rPr>
        <w:t xml:space="preserve"> and the Varela Project: The Peaceful Struggle for the Democratic Opening in Cuba, p. 18.</w:t>
      </w:r>
    </w:p>
  </w:footnote>
  <w:footnote w:id="21">
    <w:p w14:paraId="1718C58E" w14:textId="77777777" w:rsidR="00171179" w:rsidRPr="00C547BF" w:rsidRDefault="00171179" w:rsidP="007415AC">
      <w:pPr>
        <w:spacing w:after="0"/>
        <w:rPr>
          <w:sz w:val="16"/>
          <w:szCs w:val="16"/>
          <w:lang w:val="en-US"/>
        </w:rPr>
      </w:pPr>
      <w:r w:rsidRPr="00C547BF">
        <w:rPr>
          <w:rStyle w:val="Refdenotaalpie"/>
          <w:sz w:val="16"/>
          <w:szCs w:val="16"/>
        </w:rPr>
        <w:footnoteRef/>
      </w:r>
      <w:r w:rsidRPr="00C547BF">
        <w:rPr>
          <w:sz w:val="16"/>
          <w:szCs w:val="16"/>
          <w:lang w:val="en-US"/>
        </w:rPr>
        <w:t xml:space="preserve"> Oswaldo </w:t>
      </w:r>
      <w:proofErr w:type="spellStart"/>
      <w:r w:rsidRPr="00C547BF">
        <w:rPr>
          <w:sz w:val="16"/>
          <w:szCs w:val="16"/>
          <w:lang w:val="en-US"/>
        </w:rPr>
        <w:t>Payá</w:t>
      </w:r>
      <w:proofErr w:type="spellEnd"/>
      <w:r w:rsidRPr="00C547BF">
        <w:rPr>
          <w:sz w:val="16"/>
          <w:szCs w:val="16"/>
          <w:lang w:val="en-US"/>
        </w:rPr>
        <w:t xml:space="preserve"> </w:t>
      </w:r>
      <w:proofErr w:type="spellStart"/>
      <w:r w:rsidRPr="00C547BF">
        <w:rPr>
          <w:sz w:val="16"/>
          <w:szCs w:val="16"/>
          <w:lang w:val="en-US"/>
        </w:rPr>
        <w:t>Sardiñas</w:t>
      </w:r>
      <w:proofErr w:type="spellEnd"/>
      <w:r w:rsidRPr="00C547BF">
        <w:rPr>
          <w:sz w:val="16"/>
          <w:szCs w:val="16"/>
          <w:lang w:val="en-US"/>
        </w:rPr>
        <w:t xml:space="preserve"> and the Varela Project: The Peaceful Struggle for the Democratic Opening in Cuba, p. 19.</w:t>
      </w:r>
    </w:p>
  </w:footnote>
  <w:footnote w:id="22">
    <w:p w14:paraId="2C5FA5C3"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Oswaldo </w:t>
      </w:r>
      <w:proofErr w:type="spellStart"/>
      <w:r w:rsidRPr="00C547BF">
        <w:rPr>
          <w:szCs w:val="16"/>
        </w:rPr>
        <w:t>Payá</w:t>
      </w:r>
      <w:proofErr w:type="spellEnd"/>
      <w:r w:rsidRPr="00C547BF">
        <w:rPr>
          <w:szCs w:val="16"/>
        </w:rPr>
        <w:t xml:space="preserve"> </w:t>
      </w:r>
      <w:proofErr w:type="spellStart"/>
      <w:r w:rsidRPr="00C547BF">
        <w:rPr>
          <w:szCs w:val="16"/>
        </w:rPr>
        <w:t>Sardiñas</w:t>
      </w:r>
      <w:proofErr w:type="spellEnd"/>
      <w:r w:rsidRPr="00C547BF">
        <w:rPr>
          <w:szCs w:val="16"/>
        </w:rPr>
        <w:t xml:space="preserve"> and the Varela Project: The Peaceful Struggle for the Democratic Opening in Cuba, p. 19.</w:t>
      </w:r>
    </w:p>
  </w:footnote>
  <w:footnote w:id="23">
    <w:p w14:paraId="6C670720" w14:textId="77777777" w:rsidR="00171179" w:rsidRPr="00C547BF" w:rsidRDefault="00171179" w:rsidP="007415AC">
      <w:pPr>
        <w:spacing w:after="0"/>
        <w:rPr>
          <w:rFonts w:eastAsia="Times New Roman"/>
          <w:sz w:val="16"/>
          <w:szCs w:val="16"/>
          <w:lang w:val="en-US" w:eastAsia="es-ES_tradnl"/>
        </w:rPr>
      </w:pPr>
      <w:r w:rsidRPr="00C547BF">
        <w:rPr>
          <w:rStyle w:val="Refdenotaalpie"/>
          <w:sz w:val="16"/>
          <w:szCs w:val="16"/>
        </w:rPr>
        <w:footnoteRef/>
      </w:r>
      <w:r w:rsidRPr="00C547BF">
        <w:rPr>
          <w:sz w:val="16"/>
          <w:szCs w:val="16"/>
          <w:lang w:val="en-US"/>
        </w:rPr>
        <w:t xml:space="preserve"> IACHR. </w:t>
      </w:r>
      <w:r w:rsidRPr="00C547BF">
        <w:rPr>
          <w:rFonts w:eastAsia="Times New Roman"/>
          <w:sz w:val="16"/>
          <w:szCs w:val="16"/>
          <w:lang w:val="en-US" w:eastAsia="es-ES_tradnl"/>
        </w:rPr>
        <w:t>Annual Report 2002, Chapter IV Cuba. Available at: cidh.oas.org/</w:t>
      </w:r>
      <w:proofErr w:type="spellStart"/>
      <w:r w:rsidRPr="00C547BF">
        <w:rPr>
          <w:rFonts w:eastAsia="Times New Roman"/>
          <w:sz w:val="16"/>
          <w:szCs w:val="16"/>
          <w:lang w:val="en-US" w:eastAsia="es-ES_tradnl"/>
        </w:rPr>
        <w:t>annualrep</w:t>
      </w:r>
      <w:proofErr w:type="spellEnd"/>
      <w:r w:rsidRPr="00C547BF">
        <w:rPr>
          <w:rFonts w:eastAsia="Times New Roman"/>
          <w:sz w:val="16"/>
          <w:szCs w:val="16"/>
          <w:lang w:val="en-US" w:eastAsia="es-ES_tradnl"/>
        </w:rPr>
        <w:t xml:space="preserve">/2002sp/cap.4a.htm and </w:t>
      </w:r>
      <w:r w:rsidRPr="00C547BF">
        <w:rPr>
          <w:sz w:val="16"/>
          <w:szCs w:val="16"/>
          <w:lang w:val="en-US"/>
        </w:rPr>
        <w:t xml:space="preserve">IACHR, Report No. 67/06, Case 12.476, Merits, </w:t>
      </w:r>
      <w:r w:rsidRPr="00C547BF">
        <w:rPr>
          <w:i/>
          <w:sz w:val="16"/>
          <w:szCs w:val="16"/>
          <w:lang w:val="en-US"/>
        </w:rPr>
        <w:t>Oscar Elías Biscet and Others v. Cuba</w:t>
      </w:r>
      <w:r w:rsidRPr="00C547BF">
        <w:rPr>
          <w:sz w:val="16"/>
          <w:szCs w:val="16"/>
          <w:lang w:val="en-US"/>
        </w:rPr>
        <w:t>, October 21, 2006, para. 251-253.</w:t>
      </w:r>
    </w:p>
  </w:footnote>
  <w:footnote w:id="24">
    <w:p w14:paraId="478935EF"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Report No. 67/06, Case 12.476, Merits, </w:t>
      </w:r>
      <w:r w:rsidRPr="00C547BF">
        <w:rPr>
          <w:i/>
          <w:szCs w:val="16"/>
        </w:rPr>
        <w:t>Oscar Elías Biscet et al. v. Cuba</w:t>
      </w:r>
      <w:r w:rsidRPr="00C547BF">
        <w:rPr>
          <w:szCs w:val="16"/>
        </w:rPr>
        <w:t xml:space="preserve">, October 21, 2006, para. 251-253. </w:t>
      </w:r>
    </w:p>
  </w:footnote>
  <w:footnote w:id="25">
    <w:p w14:paraId="75E6ED75" w14:textId="66500071" w:rsidR="00171179" w:rsidRPr="00C547BF" w:rsidRDefault="00171179" w:rsidP="007415AC">
      <w:pPr>
        <w:spacing w:after="0"/>
        <w:ind w:right="657"/>
        <w:rPr>
          <w:sz w:val="16"/>
          <w:szCs w:val="16"/>
          <w:lang w:val="en-US"/>
        </w:rPr>
      </w:pPr>
      <w:r w:rsidRPr="00C547BF">
        <w:rPr>
          <w:rStyle w:val="Refdenotaalpie"/>
          <w:sz w:val="16"/>
          <w:szCs w:val="16"/>
        </w:rPr>
        <w:footnoteRef/>
      </w:r>
      <w:r w:rsidRPr="00C547BF">
        <w:rPr>
          <w:i/>
          <w:sz w:val="16"/>
          <w:szCs w:val="16"/>
          <w:lang w:val="en-US"/>
        </w:rPr>
        <w:t xml:space="preserve"> See</w:t>
      </w:r>
      <w:r w:rsidRPr="00C547BF">
        <w:rPr>
          <w:sz w:val="16"/>
          <w:szCs w:val="16"/>
          <w:lang w:val="en-US"/>
        </w:rPr>
        <w:t>, Christian Liberation Movement, "</w:t>
      </w:r>
      <w:r w:rsidRPr="00C547BF">
        <w:rPr>
          <w:i/>
          <w:sz w:val="16"/>
          <w:szCs w:val="16"/>
          <w:lang w:val="en-US"/>
        </w:rPr>
        <w:t>Strategic Initiatives</w:t>
      </w:r>
      <w:r w:rsidRPr="00C547BF">
        <w:rPr>
          <w:sz w:val="16"/>
          <w:szCs w:val="16"/>
          <w:lang w:val="en-US"/>
        </w:rPr>
        <w:t xml:space="preserve">," Available at: </w:t>
      </w:r>
      <w:hyperlink r:id="rId2">
        <w:r w:rsidRPr="00C547BF">
          <w:rPr>
            <w:sz w:val="16"/>
            <w:szCs w:val="16"/>
            <w:lang w:val="en-US"/>
          </w:rPr>
          <w:t>http://www.oswaldopaya.org/es/up/mcl-</w:t>
        </w:r>
      </w:hyperlink>
      <w:r w:rsidRPr="00C547BF">
        <w:rPr>
          <w:sz w:val="16"/>
          <w:szCs w:val="16"/>
          <w:lang w:val="en-US"/>
        </w:rPr>
        <w:t xml:space="preserve"> inic.pdf. (</w:t>
      </w:r>
      <w:r w:rsidR="007415AC" w:rsidRPr="00C547BF">
        <w:rPr>
          <w:sz w:val="16"/>
          <w:szCs w:val="16"/>
          <w:lang w:val="en-US"/>
        </w:rPr>
        <w:t>A</w:t>
      </w:r>
      <w:r w:rsidRPr="00C547BF">
        <w:rPr>
          <w:sz w:val="16"/>
          <w:szCs w:val="16"/>
          <w:lang w:val="en-US"/>
        </w:rPr>
        <w:t>ccessed April 22, 2021).</w:t>
      </w:r>
    </w:p>
  </w:footnote>
  <w:footnote w:id="26">
    <w:p w14:paraId="3730A754"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Paya </w:t>
      </w:r>
      <w:proofErr w:type="spellStart"/>
      <w:r w:rsidRPr="00C547BF">
        <w:rPr>
          <w:szCs w:val="16"/>
        </w:rPr>
        <w:t>Sardinas</w:t>
      </w:r>
      <w:proofErr w:type="spellEnd"/>
      <w:r w:rsidRPr="00C547BF">
        <w:rPr>
          <w:szCs w:val="16"/>
        </w:rPr>
        <w:t xml:space="preserve"> and Harold Cepero et al. v. Cuba</w:t>
      </w:r>
      <w:r w:rsidRPr="00C547BF">
        <w:rPr>
          <w:szCs w:val="16"/>
          <w:shd w:val="clear" w:color="auto" w:fill="F2F2F2"/>
        </w:rPr>
        <w:t xml:space="preserve">; </w:t>
      </w:r>
      <w:r w:rsidRPr="00C547BF">
        <w:rPr>
          <w:szCs w:val="16"/>
        </w:rPr>
        <w:t xml:space="preserve">Interview by Jorge Ramos with Oswaldo </w:t>
      </w:r>
      <w:proofErr w:type="spellStart"/>
      <w:r w:rsidRPr="00C547BF">
        <w:rPr>
          <w:szCs w:val="16"/>
        </w:rPr>
        <w:t>Payá</w:t>
      </w:r>
      <w:proofErr w:type="spellEnd"/>
      <w:r w:rsidRPr="00C547BF">
        <w:rPr>
          <w:szCs w:val="16"/>
        </w:rPr>
        <w:t xml:space="preserve"> in January 2003, Available at: </w:t>
      </w:r>
      <w:hyperlink r:id="rId3" w:history="1">
        <w:r w:rsidRPr="00C547BF">
          <w:rPr>
            <w:rStyle w:val="Hipervnculo"/>
            <w:szCs w:val="16"/>
          </w:rPr>
          <w:t>https://www.youtube.com/watch?v=q8BfmbEKvGs&amp;feature=emb_imp_woyt</w:t>
        </w:r>
      </w:hyperlink>
      <w:r w:rsidRPr="00C547BF">
        <w:rPr>
          <w:szCs w:val="16"/>
        </w:rPr>
        <w:t xml:space="preserve"> (last visited July 12, 2022) </w:t>
      </w:r>
      <w:r w:rsidRPr="00C547BF">
        <w:rPr>
          <w:szCs w:val="16"/>
          <w:shd w:val="clear" w:color="auto" w:fill="F2F2F2"/>
        </w:rPr>
        <w:t xml:space="preserve">and </w:t>
      </w:r>
      <w:r w:rsidRPr="00C547BF">
        <w:rPr>
          <w:szCs w:val="16"/>
        </w:rPr>
        <w:t xml:space="preserve">Oswaldo </w:t>
      </w:r>
      <w:proofErr w:type="spellStart"/>
      <w:r w:rsidRPr="00C547BF">
        <w:rPr>
          <w:szCs w:val="16"/>
        </w:rPr>
        <w:t>Payá</w:t>
      </w:r>
      <w:proofErr w:type="spellEnd"/>
      <w:r w:rsidRPr="00C547BF">
        <w:rPr>
          <w:szCs w:val="16"/>
        </w:rPr>
        <w:t xml:space="preserve"> </w:t>
      </w:r>
      <w:proofErr w:type="spellStart"/>
      <w:r w:rsidRPr="00C547BF">
        <w:rPr>
          <w:szCs w:val="16"/>
        </w:rPr>
        <w:t>Sardiñas</w:t>
      </w:r>
      <w:proofErr w:type="spellEnd"/>
      <w:r w:rsidRPr="00C547BF">
        <w:rPr>
          <w:szCs w:val="16"/>
        </w:rPr>
        <w:t xml:space="preserve"> y </w:t>
      </w:r>
      <w:proofErr w:type="spellStart"/>
      <w:r w:rsidRPr="00C547BF">
        <w:rPr>
          <w:szCs w:val="16"/>
        </w:rPr>
        <w:t>el</w:t>
      </w:r>
      <w:proofErr w:type="spellEnd"/>
      <w:r w:rsidRPr="00C547BF">
        <w:rPr>
          <w:szCs w:val="16"/>
        </w:rPr>
        <w:t xml:space="preserve"> Proyecto Varela: La </w:t>
      </w:r>
      <w:proofErr w:type="spellStart"/>
      <w:r w:rsidRPr="00C547BF">
        <w:rPr>
          <w:szCs w:val="16"/>
        </w:rPr>
        <w:t>lucha</w:t>
      </w:r>
      <w:proofErr w:type="spellEnd"/>
      <w:r w:rsidRPr="00C547BF">
        <w:rPr>
          <w:szCs w:val="16"/>
        </w:rPr>
        <w:t xml:space="preserve"> </w:t>
      </w:r>
      <w:proofErr w:type="spellStart"/>
      <w:r w:rsidRPr="00C547BF">
        <w:rPr>
          <w:szCs w:val="16"/>
        </w:rPr>
        <w:t>pacífica</w:t>
      </w:r>
      <w:proofErr w:type="spellEnd"/>
      <w:r w:rsidRPr="00C547BF">
        <w:rPr>
          <w:szCs w:val="16"/>
        </w:rPr>
        <w:t xml:space="preserve"> </w:t>
      </w:r>
      <w:proofErr w:type="spellStart"/>
      <w:r w:rsidRPr="00C547BF">
        <w:rPr>
          <w:szCs w:val="16"/>
        </w:rPr>
        <w:t>por</w:t>
      </w:r>
      <w:proofErr w:type="spellEnd"/>
      <w:r w:rsidRPr="00C547BF">
        <w:rPr>
          <w:szCs w:val="16"/>
        </w:rPr>
        <w:t xml:space="preserve"> la </w:t>
      </w:r>
      <w:proofErr w:type="spellStart"/>
      <w:r w:rsidRPr="00C547BF">
        <w:rPr>
          <w:szCs w:val="16"/>
        </w:rPr>
        <w:t>apertura</w:t>
      </w:r>
      <w:proofErr w:type="spellEnd"/>
      <w:r w:rsidRPr="00C547BF">
        <w:rPr>
          <w:szCs w:val="16"/>
        </w:rPr>
        <w:t xml:space="preserve"> </w:t>
      </w:r>
      <w:proofErr w:type="spellStart"/>
      <w:r w:rsidRPr="00C547BF">
        <w:rPr>
          <w:szCs w:val="16"/>
        </w:rPr>
        <w:t>democrática</w:t>
      </w:r>
      <w:proofErr w:type="spellEnd"/>
      <w:r w:rsidRPr="00C547BF">
        <w:rPr>
          <w:szCs w:val="16"/>
        </w:rPr>
        <w:t xml:space="preserve"> </w:t>
      </w:r>
      <w:proofErr w:type="spellStart"/>
      <w:r w:rsidRPr="00C547BF">
        <w:rPr>
          <w:szCs w:val="16"/>
        </w:rPr>
        <w:t>en</w:t>
      </w:r>
      <w:proofErr w:type="spellEnd"/>
      <w:r w:rsidRPr="00C547BF">
        <w:rPr>
          <w:szCs w:val="16"/>
        </w:rPr>
        <w:t xml:space="preserve"> Cuba, p. 16.</w:t>
      </w:r>
    </w:p>
  </w:footnote>
  <w:footnote w:id="27">
    <w:p w14:paraId="609004E0"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Political Prisoners in Cuba. </w:t>
      </w:r>
      <w:r w:rsidRPr="00C547BF">
        <w:rPr>
          <w:i/>
          <w:szCs w:val="16"/>
        </w:rPr>
        <w:t xml:space="preserve">Opposition leader Oswaldo </w:t>
      </w:r>
      <w:proofErr w:type="spellStart"/>
      <w:r w:rsidRPr="00C547BF">
        <w:rPr>
          <w:i/>
          <w:szCs w:val="16"/>
        </w:rPr>
        <w:t>Payá</w:t>
      </w:r>
      <w:proofErr w:type="spellEnd"/>
      <w:r w:rsidRPr="00C547BF">
        <w:rPr>
          <w:i/>
          <w:szCs w:val="16"/>
        </w:rPr>
        <w:t xml:space="preserve"> denounces an "increase in persecution </w:t>
      </w:r>
      <w:r w:rsidRPr="00C547BF">
        <w:rPr>
          <w:szCs w:val="16"/>
        </w:rPr>
        <w:t xml:space="preserve">in Cuba. March 12, 2007. Available at: </w:t>
      </w:r>
      <w:hyperlink r:id="rId4">
        <w:r w:rsidRPr="00C547BF">
          <w:rPr>
            <w:szCs w:val="16"/>
          </w:rPr>
          <w:t>http://cubapresospoliticos.impela.net/2007/03/el-opositor-oswaldo-paya-denuncia-un-"</w:t>
        </w:r>
      </w:hyperlink>
      <w:r w:rsidRPr="00C547BF">
        <w:rPr>
          <w:szCs w:val="16"/>
        </w:rPr>
        <w:t xml:space="preserve">aumento-de-la- </w:t>
      </w:r>
      <w:proofErr w:type="spellStart"/>
      <w:r w:rsidRPr="00C547BF">
        <w:rPr>
          <w:szCs w:val="16"/>
        </w:rPr>
        <w:t>persecucion</w:t>
      </w:r>
      <w:proofErr w:type="spellEnd"/>
      <w:r w:rsidRPr="00C547BF">
        <w:rPr>
          <w:szCs w:val="16"/>
        </w:rPr>
        <w:t>"-</w:t>
      </w:r>
      <w:proofErr w:type="spellStart"/>
      <w:r w:rsidRPr="00C547BF">
        <w:rPr>
          <w:szCs w:val="16"/>
        </w:rPr>
        <w:t>en-cuba</w:t>
      </w:r>
      <w:proofErr w:type="spellEnd"/>
      <w:r w:rsidRPr="00C547BF">
        <w:rPr>
          <w:szCs w:val="16"/>
        </w:rPr>
        <w:t>/.</w:t>
      </w:r>
    </w:p>
  </w:footnote>
  <w:footnote w:id="28">
    <w:p w14:paraId="1017EA88"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Report 2003. Ch. VI. Para. 21. See also: Radio Televisión Martí. </w:t>
      </w:r>
      <w:proofErr w:type="spellStart"/>
      <w:r w:rsidRPr="00C547BF">
        <w:rPr>
          <w:szCs w:val="16"/>
        </w:rPr>
        <w:t>Hace</w:t>
      </w:r>
      <w:proofErr w:type="spellEnd"/>
      <w:r w:rsidRPr="00C547BF">
        <w:rPr>
          <w:szCs w:val="16"/>
        </w:rPr>
        <w:t xml:space="preserve"> 19 </w:t>
      </w:r>
      <w:proofErr w:type="spellStart"/>
      <w:r w:rsidRPr="00C547BF">
        <w:rPr>
          <w:szCs w:val="16"/>
        </w:rPr>
        <w:t>años</w:t>
      </w:r>
      <w:proofErr w:type="spellEnd"/>
      <w:r w:rsidRPr="00C547BF">
        <w:rPr>
          <w:szCs w:val="16"/>
        </w:rPr>
        <w:t xml:space="preserve"> </w:t>
      </w:r>
      <w:proofErr w:type="spellStart"/>
      <w:r w:rsidRPr="00C547BF">
        <w:rPr>
          <w:szCs w:val="16"/>
        </w:rPr>
        <w:t>el</w:t>
      </w:r>
      <w:proofErr w:type="spellEnd"/>
      <w:r w:rsidRPr="00C547BF">
        <w:rPr>
          <w:szCs w:val="16"/>
        </w:rPr>
        <w:t xml:space="preserve"> Proyecto Varela </w:t>
      </w:r>
      <w:proofErr w:type="spellStart"/>
      <w:r w:rsidRPr="00C547BF">
        <w:rPr>
          <w:szCs w:val="16"/>
        </w:rPr>
        <w:t>hizo</w:t>
      </w:r>
      <w:proofErr w:type="spellEnd"/>
      <w:r w:rsidRPr="00C547BF">
        <w:rPr>
          <w:szCs w:val="16"/>
        </w:rPr>
        <w:t xml:space="preserve"> </w:t>
      </w:r>
      <w:proofErr w:type="spellStart"/>
      <w:r w:rsidRPr="00C547BF">
        <w:rPr>
          <w:szCs w:val="16"/>
        </w:rPr>
        <w:t>historia</w:t>
      </w:r>
      <w:proofErr w:type="spellEnd"/>
      <w:r w:rsidRPr="00C547BF">
        <w:rPr>
          <w:szCs w:val="16"/>
        </w:rPr>
        <w:t xml:space="preserve"> (The Varela Project made history 19 years ago). Available at: </w:t>
      </w:r>
      <w:hyperlink r:id="rId5" w:history="1">
        <w:r w:rsidRPr="00C547BF">
          <w:rPr>
            <w:rStyle w:val="Hipervnculo"/>
            <w:szCs w:val="16"/>
          </w:rPr>
          <w:t>https://www.radiotelevisionmarti.com/a/hace-19-a%C3%B1os-el-proyecto-varela-hizo-historia/294895.html</w:t>
        </w:r>
      </w:hyperlink>
      <w:r w:rsidRPr="00C547BF">
        <w:rPr>
          <w:szCs w:val="16"/>
        </w:rPr>
        <w:t xml:space="preserve"> (visited May 30, 2022).</w:t>
      </w:r>
    </w:p>
  </w:footnote>
  <w:footnote w:id="29">
    <w:p w14:paraId="008D1F21" w14:textId="66AB64AD" w:rsidR="00171179" w:rsidRPr="00C547BF" w:rsidRDefault="00171179" w:rsidP="007415AC">
      <w:pPr>
        <w:spacing w:after="0"/>
        <w:rPr>
          <w:rFonts w:eastAsia="Times New Roman"/>
          <w:sz w:val="16"/>
          <w:szCs w:val="16"/>
          <w:lang w:val="en-US" w:eastAsia="es-ES_tradnl"/>
        </w:rPr>
      </w:pPr>
      <w:r w:rsidRPr="00C547BF">
        <w:rPr>
          <w:rStyle w:val="Refdenotaalpie"/>
          <w:sz w:val="16"/>
          <w:szCs w:val="16"/>
        </w:rPr>
        <w:footnoteRef/>
      </w:r>
      <w:r w:rsidRPr="00C547BF">
        <w:rPr>
          <w:sz w:val="16"/>
          <w:szCs w:val="16"/>
          <w:lang w:val="en-US"/>
        </w:rPr>
        <w:t xml:space="preserve"> IACHR. Public Hearing. Case 14.196. Oswaldo </w:t>
      </w:r>
      <w:proofErr w:type="spellStart"/>
      <w:r w:rsidRPr="00C547BF">
        <w:rPr>
          <w:sz w:val="16"/>
          <w:szCs w:val="16"/>
          <w:lang w:val="en-US"/>
        </w:rPr>
        <w:t>Pay</w:t>
      </w:r>
      <w:r w:rsidR="007415AC" w:rsidRPr="00C547BF">
        <w:rPr>
          <w:sz w:val="16"/>
          <w:szCs w:val="16"/>
          <w:lang w:val="en-US"/>
        </w:rPr>
        <w:t>á</w:t>
      </w:r>
      <w:proofErr w:type="spellEnd"/>
      <w:r w:rsidRPr="00C547BF">
        <w:rPr>
          <w:sz w:val="16"/>
          <w:szCs w:val="16"/>
          <w:lang w:val="en-US"/>
        </w:rPr>
        <w:t xml:space="preserve"> </w:t>
      </w:r>
      <w:proofErr w:type="spellStart"/>
      <w:r w:rsidRPr="00C547BF">
        <w:rPr>
          <w:sz w:val="16"/>
          <w:szCs w:val="16"/>
          <w:lang w:val="en-US"/>
        </w:rPr>
        <w:t>Sardi</w:t>
      </w:r>
      <w:r w:rsidR="007415AC" w:rsidRPr="00C547BF">
        <w:rPr>
          <w:sz w:val="16"/>
          <w:szCs w:val="16"/>
          <w:lang w:val="en-US"/>
        </w:rPr>
        <w:t>ñ</w:t>
      </w:r>
      <w:r w:rsidRPr="00C547BF">
        <w:rPr>
          <w:sz w:val="16"/>
          <w:szCs w:val="16"/>
          <w:lang w:val="en-US"/>
        </w:rPr>
        <w:t>as</w:t>
      </w:r>
      <w:proofErr w:type="spellEnd"/>
      <w:r w:rsidRPr="00C547BF">
        <w:rPr>
          <w:sz w:val="16"/>
          <w:szCs w:val="16"/>
          <w:lang w:val="en-US"/>
        </w:rPr>
        <w:t xml:space="preserve"> and Harold Cepero et al. v. Cuba</w:t>
      </w:r>
      <w:r w:rsidRPr="00C547BF">
        <w:rPr>
          <w:sz w:val="16"/>
          <w:szCs w:val="16"/>
          <w:shd w:val="clear" w:color="auto" w:fill="F2F2F2"/>
          <w:lang w:val="en-US"/>
        </w:rPr>
        <w:t xml:space="preserve">; </w:t>
      </w:r>
      <w:r w:rsidRPr="00C547BF">
        <w:rPr>
          <w:sz w:val="16"/>
          <w:szCs w:val="16"/>
          <w:lang w:val="en-US"/>
        </w:rPr>
        <w:t xml:space="preserve">Interview by Jorge Ramos with Oswaldo </w:t>
      </w:r>
      <w:proofErr w:type="spellStart"/>
      <w:r w:rsidRPr="00C547BF">
        <w:rPr>
          <w:sz w:val="16"/>
          <w:szCs w:val="16"/>
          <w:lang w:val="en-US"/>
        </w:rPr>
        <w:t>Payá</w:t>
      </w:r>
      <w:proofErr w:type="spellEnd"/>
      <w:r w:rsidRPr="00C547BF">
        <w:rPr>
          <w:sz w:val="16"/>
          <w:szCs w:val="16"/>
          <w:lang w:val="en-US"/>
        </w:rPr>
        <w:t xml:space="preserve"> in January 2003, Available at: </w:t>
      </w:r>
      <w:hyperlink r:id="rId6" w:history="1">
        <w:r w:rsidRPr="00C547BF">
          <w:rPr>
            <w:rStyle w:val="Hipervnculo"/>
            <w:sz w:val="16"/>
            <w:szCs w:val="16"/>
            <w:lang w:val="en-US"/>
          </w:rPr>
          <w:t>https://www.youtube.com/watch?v=q8BfmbEKvGs&amp;feature=emb_imp_woyt</w:t>
        </w:r>
      </w:hyperlink>
      <w:r w:rsidRPr="00C547BF">
        <w:rPr>
          <w:sz w:val="16"/>
          <w:szCs w:val="16"/>
          <w:lang w:val="en-US"/>
        </w:rPr>
        <w:t xml:space="preserve"> (last visited July 12, 2022) </w:t>
      </w:r>
      <w:r w:rsidRPr="00C547BF">
        <w:rPr>
          <w:sz w:val="16"/>
          <w:szCs w:val="16"/>
          <w:shd w:val="clear" w:color="auto" w:fill="F2F2F2"/>
          <w:lang w:val="en-US"/>
        </w:rPr>
        <w:t xml:space="preserve">and </w:t>
      </w:r>
      <w:r w:rsidRPr="00C547BF">
        <w:rPr>
          <w:sz w:val="16"/>
          <w:szCs w:val="16"/>
          <w:lang w:val="en-US"/>
        </w:rPr>
        <w:t xml:space="preserve">Oswaldo </w:t>
      </w:r>
      <w:proofErr w:type="spellStart"/>
      <w:r w:rsidRPr="00C547BF">
        <w:rPr>
          <w:sz w:val="16"/>
          <w:szCs w:val="16"/>
          <w:lang w:val="en-US"/>
        </w:rPr>
        <w:t>Payá</w:t>
      </w:r>
      <w:proofErr w:type="spellEnd"/>
      <w:r w:rsidRPr="00C547BF">
        <w:rPr>
          <w:sz w:val="16"/>
          <w:szCs w:val="16"/>
          <w:lang w:val="en-US"/>
        </w:rPr>
        <w:t xml:space="preserve"> </w:t>
      </w:r>
      <w:proofErr w:type="spellStart"/>
      <w:r w:rsidRPr="00C547BF">
        <w:rPr>
          <w:sz w:val="16"/>
          <w:szCs w:val="16"/>
          <w:lang w:val="en-US"/>
        </w:rPr>
        <w:t>Sardiñas</w:t>
      </w:r>
      <w:proofErr w:type="spellEnd"/>
      <w:r w:rsidRPr="00C547BF">
        <w:rPr>
          <w:sz w:val="16"/>
          <w:szCs w:val="16"/>
          <w:lang w:val="en-US"/>
        </w:rPr>
        <w:t xml:space="preserve"> y </w:t>
      </w:r>
      <w:proofErr w:type="spellStart"/>
      <w:r w:rsidRPr="00C547BF">
        <w:rPr>
          <w:sz w:val="16"/>
          <w:szCs w:val="16"/>
          <w:lang w:val="en-US"/>
        </w:rPr>
        <w:t>el</w:t>
      </w:r>
      <w:proofErr w:type="spellEnd"/>
      <w:r w:rsidRPr="00C547BF">
        <w:rPr>
          <w:sz w:val="16"/>
          <w:szCs w:val="16"/>
          <w:lang w:val="en-US"/>
        </w:rPr>
        <w:t xml:space="preserve"> Proyecto Varela: La </w:t>
      </w:r>
      <w:proofErr w:type="spellStart"/>
      <w:r w:rsidRPr="00C547BF">
        <w:rPr>
          <w:sz w:val="16"/>
          <w:szCs w:val="16"/>
          <w:lang w:val="en-US"/>
        </w:rPr>
        <w:t>lucha</w:t>
      </w:r>
      <w:proofErr w:type="spellEnd"/>
      <w:r w:rsidRPr="00C547BF">
        <w:rPr>
          <w:sz w:val="16"/>
          <w:szCs w:val="16"/>
          <w:lang w:val="en-US"/>
        </w:rPr>
        <w:t xml:space="preserve"> </w:t>
      </w:r>
      <w:proofErr w:type="spellStart"/>
      <w:r w:rsidRPr="00C547BF">
        <w:rPr>
          <w:sz w:val="16"/>
          <w:szCs w:val="16"/>
          <w:lang w:val="en-US"/>
        </w:rPr>
        <w:t>pacífica</w:t>
      </w:r>
      <w:proofErr w:type="spellEnd"/>
      <w:r w:rsidRPr="00C547BF">
        <w:rPr>
          <w:sz w:val="16"/>
          <w:szCs w:val="16"/>
          <w:lang w:val="en-US"/>
        </w:rPr>
        <w:t xml:space="preserve"> </w:t>
      </w:r>
      <w:proofErr w:type="spellStart"/>
      <w:r w:rsidRPr="00C547BF">
        <w:rPr>
          <w:sz w:val="16"/>
          <w:szCs w:val="16"/>
          <w:lang w:val="en-US"/>
        </w:rPr>
        <w:t>por</w:t>
      </w:r>
      <w:proofErr w:type="spellEnd"/>
      <w:r w:rsidRPr="00C547BF">
        <w:rPr>
          <w:sz w:val="16"/>
          <w:szCs w:val="16"/>
          <w:lang w:val="en-US"/>
        </w:rPr>
        <w:t xml:space="preserve"> la </w:t>
      </w:r>
      <w:proofErr w:type="spellStart"/>
      <w:r w:rsidRPr="00C547BF">
        <w:rPr>
          <w:sz w:val="16"/>
          <w:szCs w:val="16"/>
          <w:lang w:val="en-US"/>
        </w:rPr>
        <w:t>apertura</w:t>
      </w:r>
      <w:proofErr w:type="spellEnd"/>
      <w:r w:rsidRPr="00C547BF">
        <w:rPr>
          <w:sz w:val="16"/>
          <w:szCs w:val="16"/>
          <w:lang w:val="en-US"/>
        </w:rPr>
        <w:t xml:space="preserve"> </w:t>
      </w:r>
      <w:proofErr w:type="spellStart"/>
      <w:r w:rsidRPr="00C547BF">
        <w:rPr>
          <w:sz w:val="16"/>
          <w:szCs w:val="16"/>
          <w:lang w:val="en-US"/>
        </w:rPr>
        <w:t>democrática</w:t>
      </w:r>
      <w:proofErr w:type="spellEnd"/>
      <w:r w:rsidRPr="00C547BF">
        <w:rPr>
          <w:sz w:val="16"/>
          <w:szCs w:val="16"/>
          <w:lang w:val="en-US"/>
        </w:rPr>
        <w:t xml:space="preserve"> </w:t>
      </w:r>
      <w:proofErr w:type="spellStart"/>
      <w:r w:rsidRPr="00C547BF">
        <w:rPr>
          <w:sz w:val="16"/>
          <w:szCs w:val="16"/>
          <w:lang w:val="en-US"/>
        </w:rPr>
        <w:t>en</w:t>
      </w:r>
      <w:proofErr w:type="spellEnd"/>
      <w:r w:rsidRPr="00C547BF">
        <w:rPr>
          <w:sz w:val="16"/>
          <w:szCs w:val="16"/>
          <w:lang w:val="en-US"/>
        </w:rPr>
        <w:t xml:space="preserve"> Cuba, p. 16; European Parliament, Video Reception of the </w:t>
      </w:r>
      <w:r w:rsidRPr="00C547BF">
        <w:rPr>
          <w:rFonts w:eastAsia="Times New Roman"/>
          <w:sz w:val="16"/>
          <w:szCs w:val="16"/>
          <w:lang w:val="en-US" w:eastAsia="es-ES_tradnl"/>
        </w:rPr>
        <w:t xml:space="preserve">Sakharov Human Rights Prize at the European Parliament. Strasbourg December 17, 2002, available at: </w:t>
      </w:r>
      <w:hyperlink r:id="rId7" w:history="1">
        <w:r w:rsidRPr="00C547BF">
          <w:rPr>
            <w:rStyle w:val="Hipervnculo"/>
            <w:rFonts w:eastAsia="Times New Roman"/>
            <w:sz w:val="16"/>
            <w:szCs w:val="16"/>
            <w:lang w:val="en-US" w:eastAsia="es-ES_tradnl"/>
          </w:rPr>
          <w:t>https://www.youtube.com/watch?v=TJx47JMd2O8</w:t>
        </w:r>
      </w:hyperlink>
      <w:r w:rsidRPr="00C547BF">
        <w:rPr>
          <w:rFonts w:eastAsia="Times New Roman"/>
          <w:sz w:val="16"/>
          <w:szCs w:val="16"/>
          <w:lang w:val="en-US" w:eastAsia="es-ES_tradnl"/>
        </w:rPr>
        <w:t xml:space="preserve"> (last visited July 22, 2022).</w:t>
      </w:r>
    </w:p>
  </w:footnote>
  <w:footnote w:id="30">
    <w:p w14:paraId="40EFDF8C"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Report 2003. Chap. VI. Para. 23.</w:t>
      </w:r>
    </w:p>
  </w:footnote>
  <w:footnote w:id="31">
    <w:p w14:paraId="4D5FDE4B" w14:textId="027561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7415AC" w:rsidRPr="00C547BF">
        <w:rPr>
          <w:szCs w:val="16"/>
        </w:rPr>
        <w:t>á</w:t>
      </w:r>
      <w:proofErr w:type="spellEnd"/>
      <w:r w:rsidRPr="00C547BF">
        <w:rPr>
          <w:szCs w:val="16"/>
        </w:rPr>
        <w:t xml:space="preserve"> </w:t>
      </w:r>
      <w:proofErr w:type="spellStart"/>
      <w:r w:rsidRPr="00C547BF">
        <w:rPr>
          <w:szCs w:val="16"/>
        </w:rPr>
        <w:t>Sardi</w:t>
      </w:r>
      <w:r w:rsidR="007415AC" w:rsidRPr="00C547BF">
        <w:rPr>
          <w:szCs w:val="16"/>
        </w:rPr>
        <w:t>ña</w:t>
      </w:r>
      <w:r w:rsidRPr="00C547BF">
        <w:rPr>
          <w:szCs w:val="16"/>
        </w:rPr>
        <w:t>s</w:t>
      </w:r>
      <w:proofErr w:type="spellEnd"/>
      <w:r w:rsidRPr="00C547BF">
        <w:rPr>
          <w:szCs w:val="16"/>
        </w:rPr>
        <w:t xml:space="preserve"> and Harold Cepero et al. v. Cuba </w:t>
      </w:r>
      <w:r w:rsidRPr="00C547BF">
        <w:rPr>
          <w:szCs w:val="16"/>
          <w:shd w:val="clear" w:color="auto" w:fill="F2F2F2"/>
        </w:rPr>
        <w:t xml:space="preserve">and </w:t>
      </w:r>
      <w:r w:rsidRPr="00C547BF">
        <w:rPr>
          <w:szCs w:val="16"/>
        </w:rPr>
        <w:t xml:space="preserve">Oswaldo </w:t>
      </w:r>
      <w:proofErr w:type="spellStart"/>
      <w:r w:rsidRPr="00C547BF">
        <w:rPr>
          <w:szCs w:val="16"/>
        </w:rPr>
        <w:t>Payá</w:t>
      </w:r>
      <w:proofErr w:type="spellEnd"/>
      <w:r w:rsidRPr="00C547BF">
        <w:rPr>
          <w:szCs w:val="16"/>
        </w:rPr>
        <w:t xml:space="preserve"> </w:t>
      </w:r>
      <w:proofErr w:type="spellStart"/>
      <w:r w:rsidRPr="00C547BF">
        <w:rPr>
          <w:szCs w:val="16"/>
        </w:rPr>
        <w:t>Sardiñas</w:t>
      </w:r>
      <w:proofErr w:type="spellEnd"/>
      <w:r w:rsidRPr="00C547BF">
        <w:rPr>
          <w:szCs w:val="16"/>
        </w:rPr>
        <w:t xml:space="preserve"> and the Varela Project: The Peaceful Struggle for Democratic Opening in Cuba, p. 16.</w:t>
      </w:r>
    </w:p>
  </w:footnote>
  <w:footnote w:id="32">
    <w:p w14:paraId="71DFBFC8" w14:textId="528713AC"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7415AC" w:rsidRPr="00C547BF">
        <w:rPr>
          <w:szCs w:val="16"/>
        </w:rPr>
        <w:t>á</w:t>
      </w:r>
      <w:proofErr w:type="spellEnd"/>
      <w:r w:rsidRPr="00C547BF">
        <w:rPr>
          <w:szCs w:val="16"/>
        </w:rPr>
        <w:t xml:space="preserve"> </w:t>
      </w:r>
      <w:proofErr w:type="spellStart"/>
      <w:r w:rsidRPr="00C547BF">
        <w:rPr>
          <w:szCs w:val="16"/>
        </w:rPr>
        <w:t>Sardi</w:t>
      </w:r>
      <w:r w:rsidR="007415AC" w:rsidRPr="00C547BF">
        <w:rPr>
          <w:szCs w:val="16"/>
        </w:rPr>
        <w:t>ñ</w:t>
      </w:r>
      <w:r w:rsidRPr="00C547BF">
        <w:rPr>
          <w:szCs w:val="16"/>
        </w:rPr>
        <w:t>as</w:t>
      </w:r>
      <w:proofErr w:type="spellEnd"/>
      <w:r w:rsidRPr="00C547BF">
        <w:rPr>
          <w:szCs w:val="16"/>
        </w:rPr>
        <w:t xml:space="preserve"> and Harold Cepero et al. v. Cuba</w:t>
      </w:r>
      <w:r w:rsidRPr="00C547BF">
        <w:rPr>
          <w:szCs w:val="16"/>
          <w:shd w:val="clear" w:color="auto" w:fill="F2F2F2"/>
        </w:rPr>
        <w:t xml:space="preserve">; </w:t>
      </w:r>
      <w:r w:rsidRPr="00C547BF">
        <w:rPr>
          <w:szCs w:val="16"/>
        </w:rPr>
        <w:t xml:space="preserve">Interview by Jorge Ramos with Oswaldo </w:t>
      </w:r>
      <w:proofErr w:type="spellStart"/>
      <w:r w:rsidRPr="00C547BF">
        <w:rPr>
          <w:szCs w:val="16"/>
        </w:rPr>
        <w:t>Payá</w:t>
      </w:r>
      <w:proofErr w:type="spellEnd"/>
      <w:r w:rsidRPr="00C547BF">
        <w:rPr>
          <w:szCs w:val="16"/>
        </w:rPr>
        <w:t xml:space="preserve"> in January 2003, Available at: </w:t>
      </w:r>
      <w:hyperlink r:id="rId8" w:history="1">
        <w:r w:rsidRPr="00C547BF">
          <w:rPr>
            <w:rStyle w:val="Hipervnculo"/>
            <w:szCs w:val="16"/>
          </w:rPr>
          <w:t>https://www.youtube.com/watch?v=q8BfmbEKvGs&amp;feature=emb_imp_woyt</w:t>
        </w:r>
      </w:hyperlink>
      <w:r w:rsidRPr="00C547BF">
        <w:rPr>
          <w:szCs w:val="16"/>
        </w:rPr>
        <w:t xml:space="preserve"> (last visited July 12, 2022) </w:t>
      </w:r>
      <w:r w:rsidRPr="00C547BF">
        <w:rPr>
          <w:szCs w:val="16"/>
          <w:shd w:val="clear" w:color="auto" w:fill="F2F2F2"/>
        </w:rPr>
        <w:t xml:space="preserve">and </w:t>
      </w:r>
      <w:r w:rsidRPr="00C547BF">
        <w:rPr>
          <w:szCs w:val="16"/>
        </w:rPr>
        <w:t xml:space="preserve">Oswaldo </w:t>
      </w:r>
      <w:proofErr w:type="spellStart"/>
      <w:r w:rsidRPr="00C547BF">
        <w:rPr>
          <w:szCs w:val="16"/>
        </w:rPr>
        <w:t>Payá</w:t>
      </w:r>
      <w:proofErr w:type="spellEnd"/>
      <w:r w:rsidRPr="00C547BF">
        <w:rPr>
          <w:szCs w:val="16"/>
        </w:rPr>
        <w:t xml:space="preserve"> </w:t>
      </w:r>
      <w:proofErr w:type="spellStart"/>
      <w:r w:rsidRPr="00C547BF">
        <w:rPr>
          <w:szCs w:val="16"/>
        </w:rPr>
        <w:t>Sardiñas</w:t>
      </w:r>
      <w:proofErr w:type="spellEnd"/>
      <w:r w:rsidRPr="00C547BF">
        <w:rPr>
          <w:szCs w:val="16"/>
        </w:rPr>
        <w:t xml:space="preserve"> y </w:t>
      </w:r>
      <w:proofErr w:type="spellStart"/>
      <w:r w:rsidRPr="00C547BF">
        <w:rPr>
          <w:szCs w:val="16"/>
        </w:rPr>
        <w:t>el</w:t>
      </w:r>
      <w:proofErr w:type="spellEnd"/>
      <w:r w:rsidRPr="00C547BF">
        <w:rPr>
          <w:szCs w:val="16"/>
        </w:rPr>
        <w:t xml:space="preserve"> Proyecto Varela: La </w:t>
      </w:r>
      <w:proofErr w:type="spellStart"/>
      <w:r w:rsidRPr="00C547BF">
        <w:rPr>
          <w:szCs w:val="16"/>
        </w:rPr>
        <w:t>lucha</w:t>
      </w:r>
      <w:proofErr w:type="spellEnd"/>
      <w:r w:rsidRPr="00C547BF">
        <w:rPr>
          <w:szCs w:val="16"/>
        </w:rPr>
        <w:t xml:space="preserve"> </w:t>
      </w:r>
      <w:proofErr w:type="spellStart"/>
      <w:r w:rsidRPr="00C547BF">
        <w:rPr>
          <w:szCs w:val="16"/>
        </w:rPr>
        <w:t>pacífica</w:t>
      </w:r>
      <w:proofErr w:type="spellEnd"/>
      <w:r w:rsidRPr="00C547BF">
        <w:rPr>
          <w:szCs w:val="16"/>
        </w:rPr>
        <w:t xml:space="preserve"> </w:t>
      </w:r>
      <w:proofErr w:type="spellStart"/>
      <w:r w:rsidRPr="00C547BF">
        <w:rPr>
          <w:szCs w:val="16"/>
        </w:rPr>
        <w:t>por</w:t>
      </w:r>
      <w:proofErr w:type="spellEnd"/>
      <w:r w:rsidRPr="00C547BF">
        <w:rPr>
          <w:szCs w:val="16"/>
        </w:rPr>
        <w:t xml:space="preserve"> la </w:t>
      </w:r>
      <w:proofErr w:type="spellStart"/>
      <w:r w:rsidRPr="00C547BF">
        <w:rPr>
          <w:szCs w:val="16"/>
        </w:rPr>
        <w:t>apertura</w:t>
      </w:r>
      <w:proofErr w:type="spellEnd"/>
      <w:r w:rsidRPr="00C547BF">
        <w:rPr>
          <w:szCs w:val="16"/>
        </w:rPr>
        <w:t xml:space="preserve"> </w:t>
      </w:r>
      <w:proofErr w:type="spellStart"/>
      <w:r w:rsidRPr="00C547BF">
        <w:rPr>
          <w:szCs w:val="16"/>
        </w:rPr>
        <w:t>democrática</w:t>
      </w:r>
      <w:proofErr w:type="spellEnd"/>
      <w:r w:rsidRPr="00C547BF">
        <w:rPr>
          <w:szCs w:val="16"/>
        </w:rPr>
        <w:t xml:space="preserve"> </w:t>
      </w:r>
      <w:proofErr w:type="spellStart"/>
      <w:r w:rsidRPr="00C547BF">
        <w:rPr>
          <w:szCs w:val="16"/>
        </w:rPr>
        <w:t>en</w:t>
      </w:r>
      <w:proofErr w:type="spellEnd"/>
      <w:r w:rsidRPr="00C547BF">
        <w:rPr>
          <w:szCs w:val="16"/>
        </w:rPr>
        <w:t xml:space="preserve"> Cuba, p. 16.</w:t>
      </w:r>
    </w:p>
  </w:footnote>
  <w:footnote w:id="33">
    <w:p w14:paraId="2FCD4202" w14:textId="77777777" w:rsidR="00171179" w:rsidRPr="00C547BF" w:rsidRDefault="00171179" w:rsidP="007415AC">
      <w:pPr>
        <w:spacing w:after="0"/>
        <w:rPr>
          <w:sz w:val="16"/>
          <w:szCs w:val="16"/>
        </w:rPr>
      </w:pPr>
      <w:r w:rsidRPr="00C547BF">
        <w:rPr>
          <w:rStyle w:val="Refdenotaalpie"/>
          <w:sz w:val="16"/>
          <w:szCs w:val="16"/>
        </w:rPr>
        <w:footnoteRef/>
      </w:r>
      <w:r w:rsidRPr="00C547BF">
        <w:rPr>
          <w:sz w:val="16"/>
          <w:szCs w:val="16"/>
          <w:lang w:val="en-US"/>
        </w:rPr>
        <w:t xml:space="preserve">  El Mundo. </w:t>
      </w:r>
      <w:proofErr w:type="spellStart"/>
      <w:r w:rsidRPr="00C547BF">
        <w:rPr>
          <w:sz w:val="16"/>
          <w:szCs w:val="16"/>
          <w:lang w:val="en-US"/>
        </w:rPr>
        <w:t>Payá</w:t>
      </w:r>
      <w:proofErr w:type="spellEnd"/>
      <w:r w:rsidRPr="00C547BF">
        <w:rPr>
          <w:sz w:val="16"/>
          <w:szCs w:val="16"/>
          <w:lang w:val="en-US"/>
        </w:rPr>
        <w:t xml:space="preserve"> denounced in 2008 that his vehicle had been the target of a "sabotage. </w:t>
      </w:r>
      <w:r w:rsidRPr="00C547BF">
        <w:rPr>
          <w:sz w:val="16"/>
          <w:szCs w:val="16"/>
        </w:rPr>
        <w:t xml:space="preserve">Available in: </w:t>
      </w:r>
    </w:p>
    <w:p w14:paraId="706A255C" w14:textId="77777777" w:rsidR="00171179" w:rsidRPr="00C547BF" w:rsidRDefault="00000000" w:rsidP="007415AC">
      <w:pPr>
        <w:pStyle w:val="Textonotapie"/>
        <w:rPr>
          <w:szCs w:val="16"/>
        </w:rPr>
      </w:pPr>
      <w:hyperlink r:id="rId9" w:history="1">
        <w:r w:rsidR="00171179" w:rsidRPr="00C547BF">
          <w:rPr>
            <w:rStyle w:val="Hipervnculo"/>
            <w:szCs w:val="16"/>
            <w:lang w:val="es-CO"/>
          </w:rPr>
          <w:t xml:space="preserve"> https://www.elmundo.es/america/2012/08/10/cuba/1344584364.html</w:t>
        </w:r>
      </w:hyperlink>
      <w:r w:rsidR="00171179" w:rsidRPr="00C547BF">
        <w:rPr>
          <w:szCs w:val="16"/>
          <w:lang w:val="es-CO"/>
        </w:rPr>
        <w:t xml:space="preserve"> and Oswaldo </w:t>
      </w:r>
      <w:proofErr w:type="spellStart"/>
      <w:r w:rsidR="00171179" w:rsidRPr="00C547BF">
        <w:rPr>
          <w:szCs w:val="16"/>
          <w:lang w:val="es-CO"/>
        </w:rPr>
        <w:t>Payá</w:t>
      </w:r>
      <w:proofErr w:type="spellEnd"/>
      <w:r w:rsidR="00171179" w:rsidRPr="00C547BF">
        <w:rPr>
          <w:szCs w:val="16"/>
          <w:lang w:val="es-CO"/>
        </w:rPr>
        <w:t xml:space="preserve"> </w:t>
      </w:r>
      <w:proofErr w:type="spellStart"/>
      <w:r w:rsidR="00171179" w:rsidRPr="00C547BF">
        <w:rPr>
          <w:szCs w:val="16"/>
          <w:lang w:val="es-CO"/>
        </w:rPr>
        <w:t>Sardiñas</w:t>
      </w:r>
      <w:proofErr w:type="spellEnd"/>
      <w:r w:rsidR="00171179" w:rsidRPr="00C547BF">
        <w:rPr>
          <w:szCs w:val="16"/>
          <w:lang w:val="es-CO"/>
        </w:rPr>
        <w:t xml:space="preserve">, Sabotaje al Auto en el que viajaban Oswaldo </w:t>
      </w:r>
      <w:proofErr w:type="spellStart"/>
      <w:r w:rsidR="00171179" w:rsidRPr="00C547BF">
        <w:rPr>
          <w:szCs w:val="16"/>
          <w:lang w:val="es-CO"/>
        </w:rPr>
        <w:t>Payá</w:t>
      </w:r>
      <w:proofErr w:type="spellEnd"/>
      <w:r w:rsidR="00171179" w:rsidRPr="00C547BF">
        <w:rPr>
          <w:szCs w:val="16"/>
          <w:lang w:val="es-CO"/>
        </w:rPr>
        <w:t xml:space="preserve"> y su Familia, </w:t>
      </w:r>
      <w:proofErr w:type="spellStart"/>
      <w:r w:rsidR="00171179" w:rsidRPr="00C547BF">
        <w:rPr>
          <w:szCs w:val="16"/>
          <w:lang w:val="es-CO"/>
        </w:rPr>
        <w:t>January</w:t>
      </w:r>
      <w:proofErr w:type="spellEnd"/>
      <w:r w:rsidR="00171179" w:rsidRPr="00C547BF">
        <w:rPr>
          <w:szCs w:val="16"/>
          <w:lang w:val="es-CO"/>
        </w:rPr>
        <w:t xml:space="preserve"> 30, 2008. </w:t>
      </w:r>
      <w:r w:rsidR="00171179" w:rsidRPr="00C547BF">
        <w:rPr>
          <w:bCs/>
          <w:szCs w:val="16"/>
        </w:rPr>
        <w:t xml:space="preserve">Annex to the </w:t>
      </w:r>
      <w:r w:rsidR="00171179" w:rsidRPr="00C547BF">
        <w:rPr>
          <w:szCs w:val="16"/>
        </w:rPr>
        <w:t xml:space="preserve">Petitioner's Brief of observations on the merits, April 21, 2021. Mr. </w:t>
      </w:r>
      <w:proofErr w:type="spellStart"/>
      <w:r w:rsidR="00171179" w:rsidRPr="00C547BF">
        <w:rPr>
          <w:szCs w:val="16"/>
        </w:rPr>
        <w:t>Payá</w:t>
      </w:r>
      <w:proofErr w:type="spellEnd"/>
      <w:r w:rsidR="00171179" w:rsidRPr="00C547BF">
        <w:rPr>
          <w:szCs w:val="16"/>
        </w:rPr>
        <w:t xml:space="preserve"> stated the following: On an almost permanent basis, State Security watches my house, pursues me when I travel on foot, by bicycle or by car, interferes with our telephones and listens to everything we </w:t>
      </w:r>
      <w:r w:rsidR="00171179" w:rsidRPr="00C547BF">
        <w:rPr>
          <w:spacing w:val="-1"/>
          <w:szCs w:val="16"/>
        </w:rPr>
        <w:t xml:space="preserve">talk about, completely interferes </w:t>
      </w:r>
      <w:r w:rsidR="00171179" w:rsidRPr="00C547BF">
        <w:rPr>
          <w:szCs w:val="16"/>
        </w:rPr>
        <w:t xml:space="preserve">with my </w:t>
      </w:r>
      <w:proofErr w:type="gramStart"/>
      <w:r w:rsidR="00171179" w:rsidRPr="00C547BF">
        <w:rPr>
          <w:szCs w:val="16"/>
        </w:rPr>
        <w:t>work</w:t>
      </w:r>
      <w:proofErr w:type="gramEnd"/>
      <w:r w:rsidR="00171179" w:rsidRPr="00C547BF">
        <w:rPr>
          <w:szCs w:val="16"/>
        </w:rPr>
        <w:t xml:space="preserve"> and also frequently disturbs many of our human relations. This persecution includes direct intrusion to disturb doctors and hospital institutions on some of the occasions when we have needed to attend to someone in the family, including my children. This last form of harassment is becoming more frequent and direct.</w:t>
      </w:r>
    </w:p>
  </w:footnote>
  <w:footnote w:id="34">
    <w:p w14:paraId="33282412" w14:textId="167B3581"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7415AC" w:rsidRPr="00C547BF">
        <w:rPr>
          <w:szCs w:val="16"/>
        </w:rPr>
        <w:t>á</w:t>
      </w:r>
      <w:proofErr w:type="spellEnd"/>
      <w:r w:rsidRPr="00C547BF">
        <w:rPr>
          <w:szCs w:val="16"/>
        </w:rPr>
        <w:t xml:space="preserve"> </w:t>
      </w:r>
      <w:proofErr w:type="spellStart"/>
      <w:r w:rsidRPr="00C547BF">
        <w:rPr>
          <w:szCs w:val="16"/>
        </w:rPr>
        <w:t>Sardi</w:t>
      </w:r>
      <w:r w:rsidR="00CD76E9" w:rsidRPr="00C547BF">
        <w:rPr>
          <w:szCs w:val="16"/>
        </w:rPr>
        <w:t>ñ</w:t>
      </w:r>
      <w:r w:rsidRPr="00C547BF">
        <w:rPr>
          <w:szCs w:val="16"/>
        </w:rPr>
        <w:t>as</w:t>
      </w:r>
      <w:proofErr w:type="spellEnd"/>
      <w:r w:rsidRPr="00C547BF">
        <w:rPr>
          <w:szCs w:val="16"/>
        </w:rPr>
        <w:t xml:space="preserve"> and Harold Cepero et al. v. Cuba</w:t>
      </w:r>
      <w:r w:rsidRPr="00C547BF">
        <w:rPr>
          <w:szCs w:val="16"/>
          <w:shd w:val="clear" w:color="auto" w:fill="F2F2F2"/>
        </w:rPr>
        <w:t xml:space="preserve">; </w:t>
      </w:r>
      <w:r w:rsidRPr="00C547BF">
        <w:rPr>
          <w:szCs w:val="16"/>
        </w:rPr>
        <w:t xml:space="preserve">Brief of observations on the merits of the petitioner, April 21, 2021; and Video: The Truth About the murder of Oswaldo </w:t>
      </w:r>
      <w:proofErr w:type="spellStart"/>
      <w:r w:rsidRPr="00C547BF">
        <w:rPr>
          <w:szCs w:val="16"/>
        </w:rPr>
        <w:t>Payá</w:t>
      </w:r>
      <w:proofErr w:type="spellEnd"/>
      <w:r w:rsidRPr="00C547BF">
        <w:rPr>
          <w:szCs w:val="16"/>
        </w:rPr>
        <w:t xml:space="preserve"> and Harold Cepero, May 19, 2022. Available at: </w:t>
      </w:r>
      <w:hyperlink r:id="rId10" w:history="1">
        <w:r w:rsidRPr="00C547BF">
          <w:rPr>
            <w:rStyle w:val="Hipervnculo"/>
            <w:szCs w:val="16"/>
          </w:rPr>
          <w:t>https://www.youtube.com/watch?v=-MaAb2d_Dc8&amp;t=160s</w:t>
        </w:r>
      </w:hyperlink>
      <w:r w:rsidRPr="00C547BF">
        <w:rPr>
          <w:szCs w:val="16"/>
        </w:rPr>
        <w:t xml:space="preserve"> /</w:t>
      </w:r>
    </w:p>
  </w:footnote>
  <w:footnote w:id="35">
    <w:p w14:paraId="25FCA4E0" w14:textId="1DBEF18B"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7415AC" w:rsidRPr="00C547BF">
        <w:rPr>
          <w:szCs w:val="16"/>
        </w:rPr>
        <w:t>á</w:t>
      </w:r>
      <w:proofErr w:type="spellEnd"/>
      <w:r w:rsidRPr="00C547BF">
        <w:rPr>
          <w:szCs w:val="16"/>
        </w:rPr>
        <w:t xml:space="preserve"> </w:t>
      </w:r>
      <w:proofErr w:type="spellStart"/>
      <w:r w:rsidRPr="00C547BF">
        <w:rPr>
          <w:szCs w:val="16"/>
        </w:rPr>
        <w:t>Sardi</w:t>
      </w:r>
      <w:r w:rsidR="00CD76E9" w:rsidRPr="00C547BF">
        <w:rPr>
          <w:szCs w:val="16"/>
        </w:rPr>
        <w:t>ñ</w:t>
      </w:r>
      <w:r w:rsidRPr="00C547BF">
        <w:rPr>
          <w:szCs w:val="16"/>
        </w:rPr>
        <w:t>as</w:t>
      </w:r>
      <w:proofErr w:type="spellEnd"/>
      <w:r w:rsidRPr="00C547BF">
        <w:rPr>
          <w:szCs w:val="16"/>
        </w:rPr>
        <w:t xml:space="preserve"> and Harold Cepero et al. v. Cuba, Europa Press, "</w:t>
      </w:r>
      <w:proofErr w:type="spellStart"/>
      <w:r w:rsidRPr="00C547BF">
        <w:rPr>
          <w:i/>
          <w:szCs w:val="16"/>
        </w:rPr>
        <w:t>Payá</w:t>
      </w:r>
      <w:proofErr w:type="spellEnd"/>
      <w:r w:rsidRPr="00C547BF">
        <w:rPr>
          <w:i/>
          <w:szCs w:val="16"/>
        </w:rPr>
        <w:t xml:space="preserve"> denounced in 2008 that his vehicle had been the target of a 'sabotage</w:t>
      </w:r>
      <w:r w:rsidRPr="00C547BF">
        <w:rPr>
          <w:szCs w:val="16"/>
        </w:rPr>
        <w:t xml:space="preserve">" </w:t>
      </w:r>
      <w:proofErr w:type="spellStart"/>
      <w:r w:rsidRPr="00C547BF">
        <w:rPr>
          <w:szCs w:val="16"/>
        </w:rPr>
        <w:t>Diario</w:t>
      </w:r>
      <w:proofErr w:type="spellEnd"/>
      <w:r w:rsidRPr="00C547BF">
        <w:rPr>
          <w:szCs w:val="16"/>
        </w:rPr>
        <w:t xml:space="preserve"> El Mundo. </w:t>
      </w:r>
      <w:r w:rsidRPr="00C547BF">
        <w:rPr>
          <w:szCs w:val="16"/>
          <w:lang w:val="es-CO"/>
        </w:rPr>
        <w:t xml:space="preserve">August 10, 2012. </w:t>
      </w:r>
      <w:proofErr w:type="spellStart"/>
      <w:r w:rsidRPr="00C547BF">
        <w:rPr>
          <w:szCs w:val="16"/>
          <w:lang w:val="es-CO"/>
        </w:rPr>
        <w:t>Available</w:t>
      </w:r>
      <w:proofErr w:type="spellEnd"/>
      <w:r w:rsidRPr="00C547BF">
        <w:rPr>
          <w:szCs w:val="16"/>
          <w:lang w:val="es-CO"/>
        </w:rPr>
        <w:t xml:space="preserve"> at: </w:t>
      </w:r>
      <w:hyperlink r:id="rId11">
        <w:r w:rsidRPr="00C547BF">
          <w:rPr>
            <w:szCs w:val="16"/>
            <w:lang w:val="es-CO"/>
          </w:rPr>
          <w:t>http://www.</w:t>
        </w:r>
      </w:hyperlink>
      <w:hyperlink r:id="rId12">
        <w:r w:rsidRPr="00C547BF">
          <w:rPr>
            <w:szCs w:val="16"/>
            <w:lang w:val="es-CO"/>
          </w:rPr>
          <w:t>elmundo.es/america/2012/08/10/cuba/1344584364.html.;</w:t>
        </w:r>
      </w:hyperlink>
      <w:r w:rsidRPr="00C547BF">
        <w:rPr>
          <w:szCs w:val="16"/>
          <w:lang w:val="es-CO"/>
        </w:rPr>
        <w:t xml:space="preserve"> and Oswaldo </w:t>
      </w:r>
      <w:proofErr w:type="spellStart"/>
      <w:r w:rsidRPr="00C547BF">
        <w:rPr>
          <w:szCs w:val="16"/>
          <w:lang w:val="es-CO"/>
        </w:rPr>
        <w:t>Payá</w:t>
      </w:r>
      <w:proofErr w:type="spellEnd"/>
      <w:r w:rsidRPr="00C547BF">
        <w:rPr>
          <w:szCs w:val="16"/>
          <w:lang w:val="es-CO"/>
        </w:rPr>
        <w:t xml:space="preserve"> </w:t>
      </w:r>
      <w:proofErr w:type="spellStart"/>
      <w:r w:rsidRPr="00C547BF">
        <w:rPr>
          <w:szCs w:val="16"/>
          <w:lang w:val="es-CO"/>
        </w:rPr>
        <w:t>Sardiñas</w:t>
      </w:r>
      <w:proofErr w:type="spellEnd"/>
      <w:r w:rsidRPr="00C547BF">
        <w:rPr>
          <w:szCs w:val="16"/>
          <w:lang w:val="es-CO"/>
        </w:rPr>
        <w:t xml:space="preserve">, Sabotaje al Auto en el que viajaban Oswaldo </w:t>
      </w:r>
      <w:proofErr w:type="spellStart"/>
      <w:r w:rsidRPr="00C547BF">
        <w:rPr>
          <w:szCs w:val="16"/>
          <w:lang w:val="es-CO"/>
        </w:rPr>
        <w:t>Payá</w:t>
      </w:r>
      <w:proofErr w:type="spellEnd"/>
      <w:r w:rsidRPr="00C547BF">
        <w:rPr>
          <w:szCs w:val="16"/>
          <w:lang w:val="es-CO"/>
        </w:rPr>
        <w:t xml:space="preserve"> y su Familia, </w:t>
      </w:r>
      <w:proofErr w:type="spellStart"/>
      <w:r w:rsidRPr="00C547BF">
        <w:rPr>
          <w:szCs w:val="16"/>
          <w:lang w:val="es-CO"/>
        </w:rPr>
        <w:t>January</w:t>
      </w:r>
      <w:proofErr w:type="spellEnd"/>
      <w:r w:rsidRPr="00C547BF">
        <w:rPr>
          <w:szCs w:val="16"/>
          <w:lang w:val="es-CO"/>
        </w:rPr>
        <w:t xml:space="preserve"> 30, 2008. </w:t>
      </w:r>
      <w:r w:rsidRPr="00C547BF">
        <w:rPr>
          <w:bCs/>
          <w:szCs w:val="16"/>
        </w:rPr>
        <w:t xml:space="preserve">Annex to the </w:t>
      </w:r>
      <w:r w:rsidRPr="00C547BF">
        <w:rPr>
          <w:szCs w:val="16"/>
        </w:rPr>
        <w:t>Petitioner's Brief of observations on the merits, April 21, 2021.</w:t>
      </w:r>
    </w:p>
  </w:footnote>
  <w:footnote w:id="36">
    <w:p w14:paraId="684DF326"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Petitioner's written observations on the merits, April 21, 2021.</w:t>
      </w:r>
    </w:p>
  </w:footnote>
  <w:footnote w:id="37">
    <w:p w14:paraId="1175E77A" w14:textId="6B35AEB5" w:rsidR="00171179" w:rsidRPr="00C547BF" w:rsidRDefault="00171179" w:rsidP="007415AC">
      <w:pPr>
        <w:spacing w:after="0"/>
        <w:ind w:right="335"/>
        <w:rPr>
          <w:sz w:val="16"/>
          <w:szCs w:val="16"/>
          <w:lang w:val="en-US"/>
        </w:rPr>
      </w:pPr>
      <w:r w:rsidRPr="00C547BF">
        <w:rPr>
          <w:rStyle w:val="Refdenotaalpie"/>
          <w:sz w:val="16"/>
          <w:szCs w:val="16"/>
        </w:rPr>
        <w:footnoteRef/>
      </w:r>
      <w:r w:rsidRPr="00C547BF">
        <w:rPr>
          <w:sz w:val="16"/>
          <w:szCs w:val="16"/>
          <w:lang w:val="en-US"/>
        </w:rPr>
        <w:t xml:space="preserve"> IACHR. Public Hearing. Case 14.196. Oswaldo </w:t>
      </w:r>
      <w:proofErr w:type="spellStart"/>
      <w:r w:rsidRPr="00C547BF">
        <w:rPr>
          <w:sz w:val="16"/>
          <w:szCs w:val="16"/>
          <w:lang w:val="en-US"/>
        </w:rPr>
        <w:t>Pay</w:t>
      </w:r>
      <w:r w:rsidR="007415AC" w:rsidRPr="00C547BF">
        <w:rPr>
          <w:sz w:val="16"/>
          <w:szCs w:val="16"/>
          <w:lang w:val="en-US"/>
        </w:rPr>
        <w:t>á</w:t>
      </w:r>
      <w:proofErr w:type="spellEnd"/>
      <w:r w:rsidRPr="00C547BF">
        <w:rPr>
          <w:sz w:val="16"/>
          <w:szCs w:val="16"/>
          <w:lang w:val="en-US"/>
        </w:rPr>
        <w:t xml:space="preserve"> </w:t>
      </w:r>
      <w:proofErr w:type="spellStart"/>
      <w:r w:rsidRPr="00C547BF">
        <w:rPr>
          <w:sz w:val="16"/>
          <w:szCs w:val="16"/>
          <w:lang w:val="en-US"/>
        </w:rPr>
        <w:t>Sardi</w:t>
      </w:r>
      <w:r w:rsidR="007415AC" w:rsidRPr="00C547BF">
        <w:rPr>
          <w:sz w:val="16"/>
          <w:szCs w:val="16"/>
          <w:lang w:val="en-US"/>
        </w:rPr>
        <w:t>ñ</w:t>
      </w:r>
      <w:r w:rsidRPr="00C547BF">
        <w:rPr>
          <w:sz w:val="16"/>
          <w:szCs w:val="16"/>
          <w:lang w:val="en-US"/>
        </w:rPr>
        <w:t>as</w:t>
      </w:r>
      <w:proofErr w:type="spellEnd"/>
      <w:r w:rsidRPr="00C547BF">
        <w:rPr>
          <w:sz w:val="16"/>
          <w:szCs w:val="16"/>
          <w:lang w:val="en-US"/>
        </w:rPr>
        <w:t xml:space="preserve"> and Harold Cepero et al. v. Cuba</w:t>
      </w:r>
      <w:r w:rsidRPr="00C547BF">
        <w:rPr>
          <w:sz w:val="16"/>
          <w:szCs w:val="16"/>
          <w:shd w:val="clear" w:color="auto" w:fill="F2F2F2"/>
          <w:lang w:val="en-US"/>
        </w:rPr>
        <w:t>.</w:t>
      </w:r>
    </w:p>
  </w:footnote>
  <w:footnote w:id="38">
    <w:p w14:paraId="733DF1A8" w14:textId="263541A8"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7415AC" w:rsidRPr="00C547BF">
        <w:rPr>
          <w:szCs w:val="16"/>
        </w:rPr>
        <w:t>á</w:t>
      </w:r>
      <w:proofErr w:type="spellEnd"/>
      <w:r w:rsidRPr="00C547BF">
        <w:rPr>
          <w:szCs w:val="16"/>
        </w:rPr>
        <w:t xml:space="preserve"> </w:t>
      </w:r>
      <w:proofErr w:type="spellStart"/>
      <w:r w:rsidRPr="00C547BF">
        <w:rPr>
          <w:szCs w:val="16"/>
        </w:rPr>
        <w:t>Sardi</w:t>
      </w:r>
      <w:r w:rsidR="007415AC" w:rsidRPr="00C547BF">
        <w:rPr>
          <w:szCs w:val="16"/>
        </w:rPr>
        <w:t>ñ</w:t>
      </w:r>
      <w:r w:rsidRPr="00C547BF">
        <w:rPr>
          <w:szCs w:val="16"/>
        </w:rPr>
        <w:t>as</w:t>
      </w:r>
      <w:proofErr w:type="spellEnd"/>
      <w:r w:rsidRPr="00C547BF">
        <w:rPr>
          <w:szCs w:val="16"/>
        </w:rPr>
        <w:t xml:space="preserve"> and Harold Cepero et al. v. Cuba, Declaration of Ofelia </w:t>
      </w:r>
      <w:proofErr w:type="gramStart"/>
      <w:r w:rsidRPr="00C547BF">
        <w:rPr>
          <w:szCs w:val="16"/>
        </w:rPr>
        <w:t>Acevedo</w:t>
      </w:r>
      <w:proofErr w:type="gramEnd"/>
      <w:r w:rsidRPr="00C547BF">
        <w:rPr>
          <w:szCs w:val="16"/>
        </w:rPr>
        <w:t xml:space="preserve"> and Brief of the petitioner on the merits, April 21, 2021.</w:t>
      </w:r>
    </w:p>
  </w:footnote>
  <w:footnote w:id="39">
    <w:p w14:paraId="2A6CBF08" w14:textId="487A55D9"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7415AC" w:rsidRPr="00C547BF">
        <w:rPr>
          <w:szCs w:val="16"/>
        </w:rPr>
        <w:t>á</w:t>
      </w:r>
      <w:proofErr w:type="spellEnd"/>
      <w:r w:rsidRPr="00C547BF">
        <w:rPr>
          <w:szCs w:val="16"/>
        </w:rPr>
        <w:t xml:space="preserve"> </w:t>
      </w:r>
      <w:proofErr w:type="spellStart"/>
      <w:r w:rsidRPr="00C547BF">
        <w:rPr>
          <w:szCs w:val="16"/>
        </w:rPr>
        <w:t>Sardi</w:t>
      </w:r>
      <w:r w:rsidR="007415AC" w:rsidRPr="00C547BF">
        <w:rPr>
          <w:szCs w:val="16"/>
        </w:rPr>
        <w:t>ñ</w:t>
      </w:r>
      <w:r w:rsidRPr="00C547BF">
        <w:rPr>
          <w:szCs w:val="16"/>
        </w:rPr>
        <w:t>as</w:t>
      </w:r>
      <w:proofErr w:type="spellEnd"/>
      <w:r w:rsidRPr="00C547BF">
        <w:rPr>
          <w:szCs w:val="16"/>
        </w:rPr>
        <w:t xml:space="preserve"> and Harold Cepero et al. v. Cuba, Declaration of Ofelia Acevedo.</w:t>
      </w:r>
    </w:p>
  </w:footnote>
  <w:footnote w:id="40">
    <w:p w14:paraId="28E95945" w14:textId="3D853E75" w:rsidR="00171179" w:rsidRPr="00C547BF" w:rsidRDefault="00171179" w:rsidP="007415AC">
      <w:pPr>
        <w:spacing w:after="0"/>
        <w:ind w:right="335"/>
        <w:rPr>
          <w:sz w:val="16"/>
          <w:szCs w:val="16"/>
          <w:lang w:val="en-US"/>
        </w:rPr>
      </w:pPr>
      <w:r w:rsidRPr="00C547BF">
        <w:rPr>
          <w:rStyle w:val="Refdenotaalpie"/>
          <w:sz w:val="16"/>
          <w:szCs w:val="16"/>
        </w:rPr>
        <w:footnoteRef/>
      </w:r>
      <w:r w:rsidRPr="00C547BF">
        <w:rPr>
          <w:sz w:val="16"/>
          <w:szCs w:val="16"/>
          <w:lang w:val="en-US"/>
        </w:rPr>
        <w:t xml:space="preserve"> IACHR. Public Hearing. Case 14.196. Oswaldo </w:t>
      </w:r>
      <w:proofErr w:type="spellStart"/>
      <w:r w:rsidRPr="00C547BF">
        <w:rPr>
          <w:sz w:val="16"/>
          <w:szCs w:val="16"/>
          <w:lang w:val="en-US"/>
        </w:rPr>
        <w:t>Pay</w:t>
      </w:r>
      <w:r w:rsidR="007415AC" w:rsidRPr="00C547BF">
        <w:rPr>
          <w:sz w:val="16"/>
          <w:szCs w:val="16"/>
          <w:lang w:val="en-US"/>
        </w:rPr>
        <w:t>á</w:t>
      </w:r>
      <w:proofErr w:type="spellEnd"/>
      <w:r w:rsidRPr="00C547BF">
        <w:rPr>
          <w:sz w:val="16"/>
          <w:szCs w:val="16"/>
          <w:lang w:val="en-US"/>
        </w:rPr>
        <w:t xml:space="preserve"> </w:t>
      </w:r>
      <w:proofErr w:type="spellStart"/>
      <w:r w:rsidRPr="00C547BF">
        <w:rPr>
          <w:sz w:val="16"/>
          <w:szCs w:val="16"/>
          <w:lang w:val="en-US"/>
        </w:rPr>
        <w:t>Sardi</w:t>
      </w:r>
      <w:r w:rsidR="007415AC" w:rsidRPr="00C547BF">
        <w:rPr>
          <w:sz w:val="16"/>
          <w:szCs w:val="16"/>
          <w:lang w:val="en-US"/>
        </w:rPr>
        <w:t>ñ</w:t>
      </w:r>
      <w:r w:rsidRPr="00C547BF">
        <w:rPr>
          <w:sz w:val="16"/>
          <w:szCs w:val="16"/>
          <w:lang w:val="en-US"/>
        </w:rPr>
        <w:t>as</w:t>
      </w:r>
      <w:proofErr w:type="spellEnd"/>
      <w:r w:rsidRPr="00C547BF">
        <w:rPr>
          <w:sz w:val="16"/>
          <w:szCs w:val="16"/>
          <w:lang w:val="en-US"/>
        </w:rPr>
        <w:t xml:space="preserve"> and Harold Cepero et al. v. Cuba, Declaration of Ofelia Acevedo; and Europa Press, "</w:t>
      </w:r>
      <w:proofErr w:type="spellStart"/>
      <w:r w:rsidRPr="00C547BF">
        <w:rPr>
          <w:i/>
          <w:sz w:val="16"/>
          <w:szCs w:val="16"/>
          <w:lang w:val="en-US"/>
        </w:rPr>
        <w:t>Payá</w:t>
      </w:r>
      <w:proofErr w:type="spellEnd"/>
      <w:r w:rsidRPr="00C547BF">
        <w:rPr>
          <w:i/>
          <w:sz w:val="16"/>
          <w:szCs w:val="16"/>
          <w:lang w:val="en-US"/>
        </w:rPr>
        <w:t xml:space="preserve"> denounced in 2008 that his vehicle had been the target of a 'sabotage</w:t>
      </w:r>
      <w:r w:rsidRPr="00C547BF">
        <w:rPr>
          <w:sz w:val="16"/>
          <w:szCs w:val="16"/>
          <w:lang w:val="en-US"/>
        </w:rPr>
        <w:t xml:space="preserve">" </w:t>
      </w:r>
      <w:proofErr w:type="spellStart"/>
      <w:r w:rsidRPr="00C547BF">
        <w:rPr>
          <w:sz w:val="16"/>
          <w:szCs w:val="16"/>
          <w:lang w:val="en-US"/>
        </w:rPr>
        <w:t>Diario</w:t>
      </w:r>
      <w:proofErr w:type="spellEnd"/>
      <w:r w:rsidRPr="00C547BF">
        <w:rPr>
          <w:sz w:val="16"/>
          <w:szCs w:val="16"/>
          <w:lang w:val="en-US"/>
        </w:rPr>
        <w:t xml:space="preserve"> El Mundo. August 10, 2012. Available at: </w:t>
      </w:r>
      <w:hyperlink r:id="rId13">
        <w:r w:rsidRPr="00C547BF">
          <w:rPr>
            <w:sz w:val="16"/>
            <w:szCs w:val="16"/>
            <w:lang w:val="en-US"/>
          </w:rPr>
          <w:t>http://www.elmundo.es/america/2012/08/10/cuba/1344584364.html.</w:t>
        </w:r>
      </w:hyperlink>
    </w:p>
  </w:footnote>
  <w:footnote w:id="41">
    <w:p w14:paraId="1B126ADC" w14:textId="178D10AD"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7415AC" w:rsidRPr="00C547BF">
        <w:rPr>
          <w:szCs w:val="16"/>
        </w:rPr>
        <w:t>á</w:t>
      </w:r>
      <w:proofErr w:type="spellEnd"/>
      <w:r w:rsidRPr="00C547BF">
        <w:rPr>
          <w:szCs w:val="16"/>
        </w:rPr>
        <w:t xml:space="preserve"> </w:t>
      </w:r>
      <w:proofErr w:type="spellStart"/>
      <w:r w:rsidRPr="00C547BF">
        <w:rPr>
          <w:szCs w:val="16"/>
        </w:rPr>
        <w:t>Sardi</w:t>
      </w:r>
      <w:r w:rsidR="007415AC" w:rsidRPr="00C547BF">
        <w:rPr>
          <w:szCs w:val="16"/>
        </w:rPr>
        <w:t>ñ</w:t>
      </w:r>
      <w:r w:rsidRPr="00C547BF">
        <w:rPr>
          <w:szCs w:val="16"/>
        </w:rPr>
        <w:t>as</w:t>
      </w:r>
      <w:proofErr w:type="spellEnd"/>
      <w:r w:rsidRPr="00C547BF">
        <w:rPr>
          <w:szCs w:val="16"/>
        </w:rPr>
        <w:t xml:space="preserve"> and Harold Cepero et al. v. Cuba</w:t>
      </w:r>
      <w:r w:rsidRPr="00C547BF">
        <w:rPr>
          <w:szCs w:val="16"/>
          <w:shd w:val="clear" w:color="auto" w:fill="F2F2F2"/>
        </w:rPr>
        <w:t xml:space="preserve">; </w:t>
      </w:r>
      <w:r w:rsidRPr="00C547BF">
        <w:rPr>
          <w:szCs w:val="16"/>
        </w:rPr>
        <w:t>Declaration of Ofelia Acevedo.</w:t>
      </w:r>
    </w:p>
  </w:footnote>
  <w:footnote w:id="42">
    <w:p w14:paraId="2C9A35A4"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Petitioner's Merits Brief, April 21, 2021, p. 26 and </w:t>
      </w:r>
      <w:proofErr w:type="spellStart"/>
      <w:r w:rsidRPr="00C547BF">
        <w:rPr>
          <w:i/>
          <w:iCs/>
          <w:szCs w:val="16"/>
        </w:rPr>
        <w:t>Atentado</w:t>
      </w:r>
      <w:proofErr w:type="spellEnd"/>
      <w:r w:rsidRPr="00C547BF">
        <w:rPr>
          <w:i/>
          <w:iCs/>
          <w:szCs w:val="16"/>
        </w:rPr>
        <w:t xml:space="preserve"> </w:t>
      </w:r>
      <w:proofErr w:type="spellStart"/>
      <w:r w:rsidRPr="00C547BF">
        <w:rPr>
          <w:i/>
          <w:iCs/>
          <w:szCs w:val="16"/>
        </w:rPr>
        <w:t>sorpresivo</w:t>
      </w:r>
      <w:proofErr w:type="spellEnd"/>
      <w:r w:rsidRPr="00C547BF">
        <w:rPr>
          <w:i/>
          <w:iCs/>
          <w:szCs w:val="16"/>
        </w:rPr>
        <w:t xml:space="preserve"> contra </w:t>
      </w:r>
      <w:proofErr w:type="spellStart"/>
      <w:r w:rsidRPr="00C547BF">
        <w:rPr>
          <w:i/>
          <w:iCs/>
          <w:szCs w:val="16"/>
        </w:rPr>
        <w:t>nuestro</w:t>
      </w:r>
      <w:proofErr w:type="spellEnd"/>
      <w:r w:rsidRPr="00C547BF">
        <w:rPr>
          <w:i/>
          <w:iCs/>
          <w:szCs w:val="16"/>
        </w:rPr>
        <w:t xml:space="preserve"> auto, </w:t>
      </w:r>
      <w:proofErr w:type="spellStart"/>
      <w:r w:rsidRPr="00C547BF">
        <w:rPr>
          <w:i/>
          <w:iCs/>
          <w:szCs w:val="16"/>
        </w:rPr>
        <w:t>Anotaciones</w:t>
      </w:r>
      <w:proofErr w:type="spellEnd"/>
      <w:r w:rsidRPr="00C547BF">
        <w:rPr>
          <w:i/>
          <w:iCs/>
          <w:szCs w:val="16"/>
        </w:rPr>
        <w:t xml:space="preserve"> </w:t>
      </w:r>
      <w:proofErr w:type="spellStart"/>
      <w:r w:rsidRPr="00C547BF">
        <w:rPr>
          <w:i/>
          <w:iCs/>
          <w:szCs w:val="16"/>
        </w:rPr>
        <w:t>por</w:t>
      </w:r>
      <w:proofErr w:type="spellEnd"/>
      <w:r w:rsidRPr="00C547BF">
        <w:rPr>
          <w:i/>
          <w:iCs/>
          <w:szCs w:val="16"/>
        </w:rPr>
        <w:t xml:space="preserve"> Oswaldo </w:t>
      </w:r>
      <w:proofErr w:type="spellStart"/>
      <w:r w:rsidRPr="00C547BF">
        <w:rPr>
          <w:i/>
          <w:iCs/>
          <w:szCs w:val="16"/>
        </w:rPr>
        <w:t>Payá</w:t>
      </w:r>
      <w:proofErr w:type="spellEnd"/>
      <w:r w:rsidRPr="00C547BF">
        <w:rPr>
          <w:i/>
          <w:iCs/>
          <w:szCs w:val="16"/>
        </w:rPr>
        <w:t xml:space="preserve"> </w:t>
      </w:r>
      <w:proofErr w:type="spellStart"/>
      <w:r w:rsidRPr="00C547BF">
        <w:rPr>
          <w:i/>
          <w:iCs/>
          <w:szCs w:val="16"/>
        </w:rPr>
        <w:t>Sardiñas</w:t>
      </w:r>
      <w:proofErr w:type="spellEnd"/>
      <w:r w:rsidRPr="00C547BF">
        <w:rPr>
          <w:szCs w:val="16"/>
        </w:rPr>
        <w:t>, transcribed by Ofelia Acevedo Maura, November 3, 2013. Annex C to the Closing Brief.</w:t>
      </w:r>
    </w:p>
  </w:footnote>
  <w:footnote w:id="43">
    <w:p w14:paraId="3308A580" w14:textId="5A8B2951"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7415AC" w:rsidRPr="00C547BF">
        <w:rPr>
          <w:szCs w:val="16"/>
        </w:rPr>
        <w:t>á</w:t>
      </w:r>
      <w:proofErr w:type="spellEnd"/>
      <w:r w:rsidRPr="00C547BF">
        <w:rPr>
          <w:szCs w:val="16"/>
        </w:rPr>
        <w:t xml:space="preserve"> </w:t>
      </w:r>
      <w:proofErr w:type="spellStart"/>
      <w:r w:rsidRPr="00C547BF">
        <w:rPr>
          <w:szCs w:val="16"/>
        </w:rPr>
        <w:t>Sardi</w:t>
      </w:r>
      <w:r w:rsidR="007415AC" w:rsidRPr="00C547BF">
        <w:rPr>
          <w:szCs w:val="16"/>
        </w:rPr>
        <w:t>ñ</w:t>
      </w:r>
      <w:r w:rsidRPr="00C547BF">
        <w:rPr>
          <w:szCs w:val="16"/>
        </w:rPr>
        <w:t>as</w:t>
      </w:r>
      <w:proofErr w:type="spellEnd"/>
      <w:r w:rsidRPr="00C547BF">
        <w:rPr>
          <w:szCs w:val="16"/>
        </w:rPr>
        <w:t xml:space="preserve"> and Harold Cepero et al. v. Cuba, Declaration of Ofelia Acevedo.</w:t>
      </w:r>
    </w:p>
  </w:footnote>
  <w:footnote w:id="44">
    <w:p w14:paraId="6DC1FFEE"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Petitioner's Merits Brief, April 21, 2021, p. 26; and </w:t>
      </w:r>
      <w:proofErr w:type="spellStart"/>
      <w:r w:rsidRPr="00C547BF">
        <w:rPr>
          <w:szCs w:val="16"/>
        </w:rPr>
        <w:t>Atentado</w:t>
      </w:r>
      <w:proofErr w:type="spellEnd"/>
      <w:r w:rsidRPr="00C547BF">
        <w:rPr>
          <w:szCs w:val="16"/>
        </w:rPr>
        <w:t xml:space="preserve"> </w:t>
      </w:r>
      <w:proofErr w:type="spellStart"/>
      <w:r w:rsidRPr="00C547BF">
        <w:rPr>
          <w:szCs w:val="16"/>
        </w:rPr>
        <w:t>sorpresivo</w:t>
      </w:r>
      <w:proofErr w:type="spellEnd"/>
      <w:r w:rsidRPr="00C547BF">
        <w:rPr>
          <w:szCs w:val="16"/>
        </w:rPr>
        <w:t xml:space="preserve"> contra </w:t>
      </w:r>
      <w:proofErr w:type="spellStart"/>
      <w:r w:rsidRPr="00C547BF">
        <w:rPr>
          <w:szCs w:val="16"/>
        </w:rPr>
        <w:t>nuestro</w:t>
      </w:r>
      <w:proofErr w:type="spellEnd"/>
      <w:r w:rsidRPr="00C547BF">
        <w:rPr>
          <w:szCs w:val="16"/>
        </w:rPr>
        <w:t xml:space="preserve"> auto, </w:t>
      </w:r>
      <w:proofErr w:type="spellStart"/>
      <w:r w:rsidRPr="00C547BF">
        <w:rPr>
          <w:szCs w:val="16"/>
        </w:rPr>
        <w:t>Anotaciones</w:t>
      </w:r>
      <w:proofErr w:type="spellEnd"/>
      <w:r w:rsidRPr="00C547BF">
        <w:rPr>
          <w:szCs w:val="16"/>
        </w:rPr>
        <w:t xml:space="preserve"> </w:t>
      </w:r>
      <w:proofErr w:type="spellStart"/>
      <w:r w:rsidRPr="00C547BF">
        <w:rPr>
          <w:szCs w:val="16"/>
        </w:rPr>
        <w:t>por</w:t>
      </w:r>
      <w:proofErr w:type="spellEnd"/>
      <w:r w:rsidRPr="00C547BF">
        <w:rPr>
          <w:szCs w:val="16"/>
        </w:rPr>
        <w:t xml:space="preserve"> Oswaldo </w:t>
      </w:r>
      <w:proofErr w:type="spellStart"/>
      <w:r w:rsidRPr="00C547BF">
        <w:rPr>
          <w:szCs w:val="16"/>
        </w:rPr>
        <w:t>Payá</w:t>
      </w:r>
      <w:proofErr w:type="spellEnd"/>
      <w:r w:rsidRPr="00C547BF">
        <w:rPr>
          <w:szCs w:val="16"/>
        </w:rPr>
        <w:t xml:space="preserve"> </w:t>
      </w:r>
      <w:proofErr w:type="spellStart"/>
      <w:r w:rsidRPr="00C547BF">
        <w:rPr>
          <w:szCs w:val="16"/>
        </w:rPr>
        <w:t>Sardiñas</w:t>
      </w:r>
      <w:proofErr w:type="spellEnd"/>
      <w:r w:rsidRPr="00C547BF">
        <w:rPr>
          <w:szCs w:val="16"/>
        </w:rPr>
        <w:t>, transcribed by Ofelia Acevedo Maura, November 3, 2013. Annex C to the Closing Brief.</w:t>
      </w:r>
    </w:p>
  </w:footnote>
  <w:footnote w:id="45">
    <w:p w14:paraId="468444E6" w14:textId="7B81CBC8" w:rsidR="00171179" w:rsidRPr="00C547BF" w:rsidRDefault="00171179" w:rsidP="007415AC">
      <w:pPr>
        <w:spacing w:after="0"/>
        <w:rPr>
          <w:sz w:val="16"/>
          <w:szCs w:val="16"/>
          <w:lang w:val="en-US"/>
        </w:rPr>
      </w:pPr>
      <w:r w:rsidRPr="00C547BF">
        <w:rPr>
          <w:rStyle w:val="Refdenotaalpie"/>
          <w:sz w:val="16"/>
          <w:szCs w:val="16"/>
        </w:rPr>
        <w:footnoteRef/>
      </w:r>
      <w:r w:rsidRPr="00C547BF">
        <w:rPr>
          <w:sz w:val="16"/>
          <w:szCs w:val="16"/>
          <w:lang w:val="en-US"/>
        </w:rPr>
        <w:t xml:space="preserve"> IACHR. Public Hearing. Case 14.196. Oswaldo </w:t>
      </w:r>
      <w:proofErr w:type="spellStart"/>
      <w:r w:rsidRPr="00C547BF">
        <w:rPr>
          <w:sz w:val="16"/>
          <w:szCs w:val="16"/>
          <w:lang w:val="en-US"/>
        </w:rPr>
        <w:t>Pay</w:t>
      </w:r>
      <w:r w:rsidR="008A2B6A" w:rsidRPr="00C547BF">
        <w:rPr>
          <w:sz w:val="16"/>
          <w:szCs w:val="16"/>
          <w:lang w:val="en-US"/>
        </w:rPr>
        <w:t>á</w:t>
      </w:r>
      <w:proofErr w:type="spellEnd"/>
      <w:r w:rsidRPr="00C547BF">
        <w:rPr>
          <w:sz w:val="16"/>
          <w:szCs w:val="16"/>
          <w:lang w:val="en-US"/>
        </w:rPr>
        <w:t xml:space="preserve"> </w:t>
      </w:r>
      <w:proofErr w:type="spellStart"/>
      <w:r w:rsidRPr="00C547BF">
        <w:rPr>
          <w:sz w:val="16"/>
          <w:szCs w:val="16"/>
          <w:lang w:val="en-US"/>
        </w:rPr>
        <w:t>Sardi</w:t>
      </w:r>
      <w:r w:rsidR="008A2B6A" w:rsidRPr="00C547BF">
        <w:rPr>
          <w:sz w:val="16"/>
          <w:szCs w:val="16"/>
          <w:lang w:val="en-US"/>
        </w:rPr>
        <w:t>ña</w:t>
      </w:r>
      <w:r w:rsidRPr="00C547BF">
        <w:rPr>
          <w:sz w:val="16"/>
          <w:szCs w:val="16"/>
          <w:lang w:val="en-US"/>
        </w:rPr>
        <w:t>s</w:t>
      </w:r>
      <w:proofErr w:type="spellEnd"/>
      <w:r w:rsidRPr="00C547BF">
        <w:rPr>
          <w:sz w:val="16"/>
          <w:szCs w:val="16"/>
          <w:lang w:val="en-US"/>
        </w:rPr>
        <w:t xml:space="preserve"> and Harold Cepero et al. v. Cuba. Declaration of </w:t>
      </w:r>
      <w:proofErr w:type="spellStart"/>
      <w:r w:rsidRPr="00C547BF">
        <w:rPr>
          <w:sz w:val="16"/>
          <w:szCs w:val="16"/>
          <w:lang w:val="en-US"/>
        </w:rPr>
        <w:t>Ángel</w:t>
      </w:r>
      <w:proofErr w:type="spellEnd"/>
      <w:r w:rsidRPr="00C547BF">
        <w:rPr>
          <w:sz w:val="16"/>
          <w:szCs w:val="16"/>
          <w:lang w:val="en-US"/>
        </w:rPr>
        <w:t xml:space="preserve"> </w:t>
      </w:r>
      <w:proofErr w:type="spellStart"/>
      <w:r w:rsidRPr="00C547BF">
        <w:rPr>
          <w:sz w:val="16"/>
          <w:szCs w:val="16"/>
          <w:lang w:val="en-US"/>
        </w:rPr>
        <w:t>Carromero</w:t>
      </w:r>
      <w:proofErr w:type="spellEnd"/>
      <w:r w:rsidRPr="00C547BF">
        <w:rPr>
          <w:sz w:val="16"/>
          <w:szCs w:val="16"/>
          <w:lang w:val="en-US"/>
        </w:rPr>
        <w:t xml:space="preserve">; Judgment against </w:t>
      </w:r>
      <w:proofErr w:type="spellStart"/>
      <w:r w:rsidRPr="00C547BF">
        <w:rPr>
          <w:sz w:val="16"/>
          <w:szCs w:val="16"/>
          <w:lang w:val="en-US"/>
        </w:rPr>
        <w:t>Ángel</w:t>
      </w:r>
      <w:proofErr w:type="spellEnd"/>
      <w:r w:rsidRPr="00C547BF">
        <w:rPr>
          <w:sz w:val="16"/>
          <w:szCs w:val="16"/>
          <w:lang w:val="en-US"/>
        </w:rPr>
        <w:t xml:space="preserve"> </w:t>
      </w:r>
      <w:proofErr w:type="spellStart"/>
      <w:r w:rsidRPr="00C547BF">
        <w:rPr>
          <w:sz w:val="16"/>
          <w:szCs w:val="16"/>
          <w:lang w:val="en-US"/>
        </w:rPr>
        <w:t>Carromero</w:t>
      </w:r>
      <w:proofErr w:type="spellEnd"/>
      <w:r w:rsidRPr="00C547BF">
        <w:rPr>
          <w:sz w:val="16"/>
          <w:szCs w:val="16"/>
          <w:lang w:val="en-US"/>
        </w:rPr>
        <w:t xml:space="preserve">. First Criminal Chamber of the People's Court of Granma. Judgment No. 573/2012 of October 12, 2012; See also: </w:t>
      </w:r>
      <w:r w:rsidRPr="00C547BF">
        <w:rPr>
          <w:i/>
          <w:sz w:val="16"/>
          <w:szCs w:val="16"/>
          <w:lang w:val="en-US"/>
        </w:rPr>
        <w:t xml:space="preserve">See also </w:t>
      </w:r>
      <w:r w:rsidRPr="00C547BF">
        <w:rPr>
          <w:iCs/>
          <w:sz w:val="16"/>
          <w:szCs w:val="16"/>
          <w:lang w:val="en-US"/>
        </w:rPr>
        <w:t xml:space="preserve">Cuba Debate </w:t>
      </w:r>
      <w:r w:rsidRPr="00C547BF">
        <w:rPr>
          <w:sz w:val="16"/>
          <w:szCs w:val="16"/>
          <w:lang w:val="en-US"/>
        </w:rPr>
        <w:t xml:space="preserve">In video, Press conference by Jens Aron </w:t>
      </w:r>
      <w:proofErr w:type="spellStart"/>
      <w:r w:rsidRPr="00C547BF">
        <w:rPr>
          <w:sz w:val="16"/>
          <w:szCs w:val="16"/>
          <w:lang w:val="en-US"/>
        </w:rPr>
        <w:t>Modig</w:t>
      </w:r>
      <w:proofErr w:type="spellEnd"/>
      <w:r w:rsidRPr="00C547BF">
        <w:rPr>
          <w:sz w:val="16"/>
          <w:szCs w:val="16"/>
          <w:lang w:val="en-US"/>
        </w:rPr>
        <w:t xml:space="preserve">, Available at: http://www.cubadebate.cu/noticias/2012/07/31/en-video- </w:t>
      </w:r>
      <w:proofErr w:type="spellStart"/>
      <w:r w:rsidRPr="00C547BF">
        <w:rPr>
          <w:sz w:val="16"/>
          <w:szCs w:val="16"/>
          <w:lang w:val="en-US"/>
        </w:rPr>
        <w:t>conferencia</w:t>
      </w:r>
      <w:proofErr w:type="spellEnd"/>
      <w:r w:rsidRPr="00C547BF">
        <w:rPr>
          <w:sz w:val="16"/>
          <w:szCs w:val="16"/>
          <w:lang w:val="en-US"/>
        </w:rPr>
        <w:t>-de-</w:t>
      </w:r>
      <w:proofErr w:type="spellStart"/>
      <w:r w:rsidRPr="00C547BF">
        <w:rPr>
          <w:sz w:val="16"/>
          <w:szCs w:val="16"/>
          <w:lang w:val="en-US"/>
        </w:rPr>
        <w:t>prensa</w:t>
      </w:r>
      <w:proofErr w:type="spellEnd"/>
      <w:r w:rsidRPr="00C547BF">
        <w:rPr>
          <w:sz w:val="16"/>
          <w:szCs w:val="16"/>
          <w:lang w:val="en-US"/>
        </w:rPr>
        <w:t>-de-</w:t>
      </w:r>
      <w:proofErr w:type="spellStart"/>
      <w:r w:rsidRPr="00C547BF">
        <w:rPr>
          <w:sz w:val="16"/>
          <w:szCs w:val="16"/>
          <w:lang w:val="en-US"/>
        </w:rPr>
        <w:t>jens</w:t>
      </w:r>
      <w:proofErr w:type="spellEnd"/>
      <w:r w:rsidRPr="00C547BF">
        <w:rPr>
          <w:sz w:val="16"/>
          <w:szCs w:val="16"/>
          <w:lang w:val="en-US"/>
        </w:rPr>
        <w:t>-</w:t>
      </w:r>
      <w:proofErr w:type="spellStart"/>
      <w:r w:rsidRPr="00C547BF">
        <w:rPr>
          <w:sz w:val="16"/>
          <w:szCs w:val="16"/>
          <w:lang w:val="en-US"/>
        </w:rPr>
        <w:t>aron-modig-fotos</w:t>
      </w:r>
      <w:proofErr w:type="spellEnd"/>
      <w:r w:rsidRPr="00C547BF">
        <w:rPr>
          <w:sz w:val="16"/>
          <w:szCs w:val="16"/>
          <w:lang w:val="en-US"/>
        </w:rPr>
        <w:t>/</w:t>
      </w:r>
      <w:proofErr w:type="gramStart"/>
      <w:r w:rsidRPr="00C547BF">
        <w:rPr>
          <w:sz w:val="16"/>
          <w:szCs w:val="16"/>
          <w:lang w:val="en-US"/>
        </w:rPr>
        <w:t>#.VDat</w:t>
      </w:r>
      <w:proofErr w:type="gramEnd"/>
      <w:r w:rsidRPr="00C547BF">
        <w:rPr>
          <w:sz w:val="16"/>
          <w:szCs w:val="16"/>
          <w:lang w:val="en-US"/>
        </w:rPr>
        <w:t>0fldXkU. (</w:t>
      </w:r>
      <w:proofErr w:type="gramStart"/>
      <w:r w:rsidRPr="00C547BF">
        <w:rPr>
          <w:sz w:val="16"/>
          <w:szCs w:val="16"/>
          <w:lang w:val="en-US"/>
        </w:rPr>
        <w:t>last</w:t>
      </w:r>
      <w:proofErr w:type="gramEnd"/>
      <w:r w:rsidRPr="00C547BF">
        <w:rPr>
          <w:sz w:val="16"/>
          <w:szCs w:val="16"/>
          <w:lang w:val="en-US"/>
        </w:rPr>
        <w:t xml:space="preserve"> visited May 30, 2022).</w:t>
      </w:r>
    </w:p>
  </w:footnote>
  <w:footnote w:id="46">
    <w:p w14:paraId="5B53F3B6"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Video: Jens Aron </w:t>
      </w:r>
      <w:proofErr w:type="spellStart"/>
      <w:r w:rsidRPr="00C547BF">
        <w:rPr>
          <w:szCs w:val="16"/>
        </w:rPr>
        <w:t>Modig</w:t>
      </w:r>
      <w:proofErr w:type="spellEnd"/>
      <w:r w:rsidRPr="00C547BF">
        <w:rPr>
          <w:szCs w:val="16"/>
        </w:rPr>
        <w:t xml:space="preserve"> press conference, Available at: http://www.cubadebate.cu/noticias/2012/07/31/en-video- press-conference-</w:t>
      </w:r>
      <w:proofErr w:type="spellStart"/>
      <w:r w:rsidRPr="00C547BF">
        <w:rPr>
          <w:szCs w:val="16"/>
        </w:rPr>
        <w:t>jens</w:t>
      </w:r>
      <w:proofErr w:type="spellEnd"/>
      <w:r w:rsidRPr="00C547BF">
        <w:rPr>
          <w:szCs w:val="16"/>
        </w:rPr>
        <w:t>-</w:t>
      </w:r>
      <w:proofErr w:type="spellStart"/>
      <w:r w:rsidRPr="00C547BF">
        <w:rPr>
          <w:szCs w:val="16"/>
        </w:rPr>
        <w:t>aron</w:t>
      </w:r>
      <w:proofErr w:type="spellEnd"/>
      <w:r w:rsidRPr="00C547BF">
        <w:rPr>
          <w:szCs w:val="16"/>
        </w:rPr>
        <w:t>-</w:t>
      </w:r>
      <w:proofErr w:type="spellStart"/>
      <w:r w:rsidRPr="00C547BF">
        <w:rPr>
          <w:szCs w:val="16"/>
        </w:rPr>
        <w:t>modig</w:t>
      </w:r>
      <w:proofErr w:type="spellEnd"/>
      <w:r w:rsidRPr="00C547BF">
        <w:rPr>
          <w:szCs w:val="16"/>
        </w:rPr>
        <w:t>-photos/</w:t>
      </w:r>
      <w:proofErr w:type="gramStart"/>
      <w:r w:rsidRPr="00C547BF">
        <w:rPr>
          <w:szCs w:val="16"/>
        </w:rPr>
        <w:t>#.VDat</w:t>
      </w:r>
      <w:proofErr w:type="gramEnd"/>
      <w:r w:rsidRPr="00C547BF">
        <w:rPr>
          <w:szCs w:val="16"/>
        </w:rPr>
        <w:t>0fldXkU. (</w:t>
      </w:r>
      <w:proofErr w:type="gramStart"/>
      <w:r w:rsidRPr="00C547BF">
        <w:rPr>
          <w:szCs w:val="16"/>
        </w:rPr>
        <w:t>last</w:t>
      </w:r>
      <w:proofErr w:type="gramEnd"/>
      <w:r w:rsidRPr="00C547BF">
        <w:rPr>
          <w:szCs w:val="16"/>
        </w:rPr>
        <w:t xml:space="preserve"> visited May 30, 2022).</w:t>
      </w:r>
    </w:p>
    <w:p w14:paraId="3EB963E2" w14:textId="77777777" w:rsidR="00171179" w:rsidRPr="00C547BF" w:rsidRDefault="00171179" w:rsidP="007415AC">
      <w:pPr>
        <w:pStyle w:val="Textonotapie"/>
        <w:rPr>
          <w:szCs w:val="16"/>
        </w:rPr>
      </w:pPr>
      <w:r w:rsidRPr="00C547BF">
        <w:rPr>
          <w:szCs w:val="16"/>
        </w:rPr>
        <w:t xml:space="preserve">Complaint filed by Ofelia Acevedo Maura and Rosa Maria </w:t>
      </w:r>
      <w:proofErr w:type="spellStart"/>
      <w:r w:rsidRPr="00C547BF">
        <w:rPr>
          <w:szCs w:val="16"/>
        </w:rPr>
        <w:t>Payá</w:t>
      </w:r>
      <w:proofErr w:type="spellEnd"/>
      <w:r w:rsidRPr="00C547BF">
        <w:rPr>
          <w:szCs w:val="16"/>
        </w:rPr>
        <w:t xml:space="preserve"> Acevedo before the National Court of Spain, August 14, 2013, p.11. Annex to the Petitioners' Petition. </w:t>
      </w:r>
    </w:p>
  </w:footnote>
  <w:footnote w:id="47">
    <w:p w14:paraId="6939BBFA" w14:textId="3082D464" w:rsidR="00171179" w:rsidRPr="00C547BF" w:rsidRDefault="00171179" w:rsidP="007415AC">
      <w:pPr>
        <w:spacing w:after="0"/>
        <w:rPr>
          <w:i/>
          <w:sz w:val="16"/>
          <w:szCs w:val="16"/>
          <w:lang w:val="en-US"/>
        </w:rPr>
      </w:pPr>
      <w:r w:rsidRPr="00C547BF">
        <w:rPr>
          <w:rStyle w:val="Refdenotaalpie"/>
          <w:sz w:val="16"/>
          <w:szCs w:val="16"/>
        </w:rPr>
        <w:footnoteRef/>
      </w:r>
      <w:r w:rsidRPr="00C547BF">
        <w:rPr>
          <w:sz w:val="16"/>
          <w:szCs w:val="16"/>
          <w:lang w:val="en-US"/>
        </w:rPr>
        <w:t xml:space="preserve"> IACHR. Public Hearing. Case 14.196. Oswaldo </w:t>
      </w:r>
      <w:proofErr w:type="spellStart"/>
      <w:r w:rsidRPr="00C547BF">
        <w:rPr>
          <w:sz w:val="16"/>
          <w:szCs w:val="16"/>
          <w:lang w:val="en-US"/>
        </w:rPr>
        <w:t>Pay</w:t>
      </w:r>
      <w:r w:rsidR="008A2B6A" w:rsidRPr="00C547BF">
        <w:rPr>
          <w:sz w:val="16"/>
          <w:szCs w:val="16"/>
          <w:lang w:val="en-US"/>
        </w:rPr>
        <w:t>á</w:t>
      </w:r>
      <w:proofErr w:type="spellEnd"/>
      <w:r w:rsidRPr="00C547BF">
        <w:rPr>
          <w:sz w:val="16"/>
          <w:szCs w:val="16"/>
          <w:lang w:val="en-US"/>
        </w:rPr>
        <w:t xml:space="preserve"> </w:t>
      </w:r>
      <w:proofErr w:type="spellStart"/>
      <w:r w:rsidRPr="00C547BF">
        <w:rPr>
          <w:sz w:val="16"/>
          <w:szCs w:val="16"/>
          <w:lang w:val="en-US"/>
        </w:rPr>
        <w:t>Sardi</w:t>
      </w:r>
      <w:r w:rsidR="008A2B6A" w:rsidRPr="00C547BF">
        <w:rPr>
          <w:sz w:val="16"/>
          <w:szCs w:val="16"/>
          <w:lang w:val="en-US"/>
        </w:rPr>
        <w:t>ña</w:t>
      </w:r>
      <w:r w:rsidRPr="00C547BF">
        <w:rPr>
          <w:sz w:val="16"/>
          <w:szCs w:val="16"/>
          <w:lang w:val="en-US"/>
        </w:rPr>
        <w:t>s</w:t>
      </w:r>
      <w:proofErr w:type="spellEnd"/>
      <w:r w:rsidRPr="00C547BF">
        <w:rPr>
          <w:sz w:val="16"/>
          <w:szCs w:val="16"/>
          <w:lang w:val="en-US"/>
        </w:rPr>
        <w:t xml:space="preserve"> and Harold Cepero et al. v. Cuba. Statement of </w:t>
      </w:r>
      <w:proofErr w:type="spellStart"/>
      <w:r w:rsidRPr="00C547BF">
        <w:rPr>
          <w:sz w:val="16"/>
          <w:szCs w:val="16"/>
          <w:lang w:val="en-US"/>
        </w:rPr>
        <w:t>Ángel</w:t>
      </w:r>
      <w:proofErr w:type="spellEnd"/>
      <w:r w:rsidRPr="00C547BF">
        <w:rPr>
          <w:sz w:val="16"/>
          <w:szCs w:val="16"/>
          <w:lang w:val="en-US"/>
        </w:rPr>
        <w:t xml:space="preserve"> </w:t>
      </w:r>
      <w:proofErr w:type="spellStart"/>
      <w:r w:rsidRPr="00C547BF">
        <w:rPr>
          <w:sz w:val="16"/>
          <w:szCs w:val="16"/>
          <w:lang w:val="en-US"/>
        </w:rPr>
        <w:t>Carromero</w:t>
      </w:r>
      <w:proofErr w:type="spellEnd"/>
      <w:r w:rsidRPr="00C547BF">
        <w:rPr>
          <w:sz w:val="16"/>
          <w:szCs w:val="16"/>
          <w:lang w:val="en-US"/>
        </w:rPr>
        <w:t xml:space="preserve">; Interview with Jens Aron </w:t>
      </w:r>
      <w:proofErr w:type="spellStart"/>
      <w:r w:rsidRPr="00C547BF">
        <w:rPr>
          <w:sz w:val="16"/>
          <w:szCs w:val="16"/>
          <w:lang w:val="en-US"/>
        </w:rPr>
        <w:t>Modig</w:t>
      </w:r>
      <w:proofErr w:type="spellEnd"/>
      <w:r w:rsidRPr="00C547BF">
        <w:rPr>
          <w:sz w:val="16"/>
          <w:szCs w:val="16"/>
          <w:lang w:val="en-US"/>
        </w:rPr>
        <w:t xml:space="preserve"> on Swedish Radio P1, 4 March 2013, by Maria Persson-</w:t>
      </w:r>
      <w:proofErr w:type="spellStart"/>
      <w:r w:rsidRPr="00C547BF">
        <w:rPr>
          <w:sz w:val="16"/>
          <w:szCs w:val="16"/>
          <w:lang w:val="en-US"/>
        </w:rPr>
        <w:t>Löfgren</w:t>
      </w:r>
      <w:proofErr w:type="spellEnd"/>
      <w:r w:rsidRPr="00C547BF">
        <w:rPr>
          <w:sz w:val="16"/>
          <w:szCs w:val="16"/>
          <w:lang w:val="en-US"/>
        </w:rPr>
        <w:t xml:space="preserve">, </w:t>
      </w:r>
      <w:r w:rsidRPr="00C547BF">
        <w:rPr>
          <w:i/>
          <w:sz w:val="16"/>
          <w:szCs w:val="16"/>
          <w:lang w:val="en-US"/>
        </w:rPr>
        <w:t>available at.</w:t>
      </w:r>
    </w:p>
    <w:p w14:paraId="66ED4EB8" w14:textId="77777777" w:rsidR="00171179" w:rsidRPr="00C547BF" w:rsidRDefault="00000000" w:rsidP="007415AC">
      <w:pPr>
        <w:spacing w:after="0"/>
        <w:rPr>
          <w:sz w:val="16"/>
          <w:szCs w:val="16"/>
          <w:lang w:val="en-US"/>
        </w:rPr>
      </w:pPr>
      <w:hyperlink r:id="rId14">
        <w:r w:rsidR="00171179" w:rsidRPr="00C547BF">
          <w:rPr>
            <w:sz w:val="16"/>
            <w:szCs w:val="16"/>
            <w:lang w:val="en-US"/>
          </w:rPr>
          <w:t>http://sverigesradio.se/sida/artikel.aspx?programid=1637&amp;artikel=5461993.</w:t>
        </w:r>
      </w:hyperlink>
    </w:p>
  </w:footnote>
  <w:footnote w:id="48">
    <w:p w14:paraId="38F1CE13" w14:textId="7B83E93C"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ña</w:t>
      </w:r>
      <w:r w:rsidRPr="00C547BF">
        <w:rPr>
          <w:szCs w:val="16"/>
        </w:rPr>
        <w:t>s</w:t>
      </w:r>
      <w:proofErr w:type="spellEnd"/>
      <w:r w:rsidRPr="00C547BF">
        <w:rPr>
          <w:szCs w:val="16"/>
        </w:rPr>
        <w:t xml:space="preserve"> and Harold Cepero et al. v. Cuba. Declaration of </w:t>
      </w:r>
      <w:proofErr w:type="spellStart"/>
      <w:r w:rsidRPr="00C547BF">
        <w:rPr>
          <w:szCs w:val="16"/>
        </w:rPr>
        <w:t>Ángel</w:t>
      </w:r>
      <w:proofErr w:type="spellEnd"/>
      <w:r w:rsidRPr="00C547BF">
        <w:rPr>
          <w:szCs w:val="16"/>
        </w:rPr>
        <w:t xml:space="preserve"> </w:t>
      </w:r>
      <w:proofErr w:type="spellStart"/>
      <w:proofErr w:type="gramStart"/>
      <w:r w:rsidRPr="00C547BF">
        <w:rPr>
          <w:szCs w:val="16"/>
        </w:rPr>
        <w:t>Carromero</w:t>
      </w:r>
      <w:proofErr w:type="spellEnd"/>
      <w:r w:rsidRPr="00C547BF">
        <w:rPr>
          <w:szCs w:val="16"/>
        </w:rPr>
        <w:t>;</w:t>
      </w:r>
      <w:proofErr w:type="gramEnd"/>
    </w:p>
  </w:footnote>
  <w:footnote w:id="49">
    <w:p w14:paraId="2F7B7197" w14:textId="1C791F4B" w:rsidR="00171179" w:rsidRPr="00C547BF" w:rsidRDefault="00171179" w:rsidP="007415AC">
      <w:pPr>
        <w:spacing w:after="0"/>
        <w:rPr>
          <w:sz w:val="16"/>
          <w:szCs w:val="16"/>
          <w:lang w:val="en-US" w:eastAsia="es-ES_tradnl"/>
        </w:rPr>
      </w:pPr>
      <w:r w:rsidRPr="00C547BF">
        <w:rPr>
          <w:rStyle w:val="Refdenotaalpie"/>
          <w:sz w:val="16"/>
          <w:szCs w:val="16"/>
        </w:rPr>
        <w:footnoteRef/>
      </w:r>
      <w:r w:rsidRPr="00C547BF">
        <w:rPr>
          <w:sz w:val="16"/>
          <w:szCs w:val="16"/>
          <w:lang w:val="en-US"/>
        </w:rPr>
        <w:t xml:space="preserve"> IACHR. Public Hearing. Case 14.196. Oswaldo </w:t>
      </w:r>
      <w:proofErr w:type="spellStart"/>
      <w:r w:rsidRPr="00C547BF">
        <w:rPr>
          <w:sz w:val="16"/>
          <w:szCs w:val="16"/>
          <w:lang w:val="en-US"/>
        </w:rPr>
        <w:t>Pay</w:t>
      </w:r>
      <w:r w:rsidR="008A2B6A" w:rsidRPr="00C547BF">
        <w:rPr>
          <w:sz w:val="16"/>
          <w:szCs w:val="16"/>
          <w:lang w:val="en-US"/>
        </w:rPr>
        <w:t>á</w:t>
      </w:r>
      <w:proofErr w:type="spellEnd"/>
      <w:r w:rsidRPr="00C547BF">
        <w:rPr>
          <w:sz w:val="16"/>
          <w:szCs w:val="16"/>
          <w:lang w:val="en-US"/>
        </w:rPr>
        <w:t xml:space="preserve"> </w:t>
      </w:r>
      <w:proofErr w:type="spellStart"/>
      <w:r w:rsidRPr="00C547BF">
        <w:rPr>
          <w:sz w:val="16"/>
          <w:szCs w:val="16"/>
          <w:lang w:val="en-US"/>
        </w:rPr>
        <w:t>Sardi</w:t>
      </w:r>
      <w:r w:rsidR="008A2B6A" w:rsidRPr="00C547BF">
        <w:rPr>
          <w:sz w:val="16"/>
          <w:szCs w:val="16"/>
          <w:lang w:val="en-US"/>
        </w:rPr>
        <w:t>ña</w:t>
      </w:r>
      <w:r w:rsidRPr="00C547BF">
        <w:rPr>
          <w:sz w:val="16"/>
          <w:szCs w:val="16"/>
          <w:lang w:val="en-US"/>
        </w:rPr>
        <w:t>s</w:t>
      </w:r>
      <w:proofErr w:type="spellEnd"/>
      <w:r w:rsidRPr="00C547BF">
        <w:rPr>
          <w:sz w:val="16"/>
          <w:szCs w:val="16"/>
          <w:lang w:val="en-US"/>
        </w:rPr>
        <w:t xml:space="preserve"> and Harold Cepero et al. v. Cuba. Declaration of </w:t>
      </w:r>
      <w:proofErr w:type="spellStart"/>
      <w:r w:rsidRPr="00C547BF">
        <w:rPr>
          <w:sz w:val="16"/>
          <w:szCs w:val="16"/>
          <w:lang w:val="en-US"/>
        </w:rPr>
        <w:t>Ángel</w:t>
      </w:r>
      <w:proofErr w:type="spellEnd"/>
      <w:r w:rsidRPr="00C547BF">
        <w:rPr>
          <w:sz w:val="16"/>
          <w:szCs w:val="16"/>
          <w:lang w:val="en-US"/>
        </w:rPr>
        <w:t xml:space="preserve"> </w:t>
      </w:r>
      <w:proofErr w:type="spellStart"/>
      <w:r w:rsidRPr="00C547BF">
        <w:rPr>
          <w:sz w:val="16"/>
          <w:szCs w:val="16"/>
          <w:lang w:val="en-US"/>
        </w:rPr>
        <w:t>Carromero</w:t>
      </w:r>
      <w:proofErr w:type="spellEnd"/>
      <w:r w:rsidRPr="00C547BF">
        <w:rPr>
          <w:sz w:val="16"/>
          <w:szCs w:val="16"/>
          <w:lang w:val="en-US"/>
        </w:rPr>
        <w:t xml:space="preserve">. See also: New York Times </w:t>
      </w:r>
      <w:r w:rsidRPr="00C547BF">
        <w:rPr>
          <w:sz w:val="16"/>
          <w:szCs w:val="16"/>
          <w:lang w:val="en-US" w:eastAsia="es-ES_tradnl"/>
        </w:rPr>
        <w:t xml:space="preserve">Inquiry Is Sought </w:t>
      </w:r>
      <w:proofErr w:type="gramStart"/>
      <w:r w:rsidRPr="00C547BF">
        <w:rPr>
          <w:sz w:val="16"/>
          <w:szCs w:val="16"/>
          <w:lang w:val="en-US" w:eastAsia="es-ES_tradnl"/>
        </w:rPr>
        <w:t>Into</w:t>
      </w:r>
      <w:proofErr w:type="gramEnd"/>
      <w:r w:rsidRPr="00C547BF">
        <w:rPr>
          <w:sz w:val="16"/>
          <w:szCs w:val="16"/>
          <w:lang w:val="en-US" w:eastAsia="es-ES_tradnl"/>
        </w:rPr>
        <w:t xml:space="preserve"> Death of Castro Critic. April 4, 2013. Available at: </w:t>
      </w:r>
    </w:p>
    <w:p w14:paraId="2DC17AA9" w14:textId="77777777" w:rsidR="00171179" w:rsidRPr="00C547BF" w:rsidRDefault="00000000" w:rsidP="007415AC">
      <w:pPr>
        <w:pStyle w:val="Textonotapie"/>
        <w:rPr>
          <w:szCs w:val="16"/>
        </w:rPr>
      </w:pPr>
      <w:hyperlink r:id="rId15" w:history="1">
        <w:r w:rsidR="00171179" w:rsidRPr="00C547BF">
          <w:rPr>
            <w:rStyle w:val="Hipervnculo"/>
            <w:szCs w:val="16"/>
          </w:rPr>
          <w:t>https://www.nytimes.com/2013/04/05/world/americas/inquiry-is-sought-into-death-of-oswaldo-paya-cuban-dissident.html?_r=1</w:t>
        </w:r>
      </w:hyperlink>
      <w:r w:rsidR="00171179" w:rsidRPr="00C547BF">
        <w:rPr>
          <w:szCs w:val="16"/>
        </w:rPr>
        <w:t xml:space="preserve"> (last visit July 20, 2022) The Washington Post, </w:t>
      </w:r>
      <w:proofErr w:type="spellStart"/>
      <w:r w:rsidR="00171179" w:rsidRPr="00C547BF">
        <w:rPr>
          <w:i/>
          <w:szCs w:val="16"/>
        </w:rPr>
        <w:t>Ángel</w:t>
      </w:r>
      <w:proofErr w:type="spellEnd"/>
      <w:r w:rsidR="00171179" w:rsidRPr="00C547BF">
        <w:rPr>
          <w:i/>
          <w:szCs w:val="16"/>
        </w:rPr>
        <w:t xml:space="preserve"> </w:t>
      </w:r>
      <w:proofErr w:type="spellStart"/>
      <w:r w:rsidR="00171179" w:rsidRPr="00C547BF">
        <w:rPr>
          <w:i/>
          <w:szCs w:val="16"/>
        </w:rPr>
        <w:t>Carromero</w:t>
      </w:r>
      <w:proofErr w:type="spellEnd"/>
      <w:r w:rsidR="00171179" w:rsidRPr="00C547BF">
        <w:rPr>
          <w:i/>
          <w:szCs w:val="16"/>
        </w:rPr>
        <w:t xml:space="preserve"> speaks out on Cuba crash that killed Oswaldo </w:t>
      </w:r>
      <w:proofErr w:type="spellStart"/>
      <w:r w:rsidR="00171179" w:rsidRPr="00C547BF">
        <w:rPr>
          <w:i/>
          <w:szCs w:val="16"/>
        </w:rPr>
        <w:t>Payá</w:t>
      </w:r>
      <w:proofErr w:type="spellEnd"/>
      <w:r w:rsidR="00171179" w:rsidRPr="00C547BF">
        <w:rPr>
          <w:b/>
          <w:szCs w:val="16"/>
        </w:rPr>
        <w:t xml:space="preserve">. </w:t>
      </w:r>
      <w:r w:rsidR="00171179" w:rsidRPr="00C547BF">
        <w:rPr>
          <w:szCs w:val="16"/>
        </w:rPr>
        <w:t>March 5, 2013. Available in English at</w:t>
      </w:r>
      <w:hyperlink r:id="rId16">
        <w:r w:rsidR="00171179" w:rsidRPr="00C547BF">
          <w:rPr>
            <w:szCs w:val="16"/>
          </w:rPr>
          <w:t>:https://www.washingtonpost.com/opinions/Ángel-carromero-speaks-out-on-cuba-crash-that-killed-oswaldo-</w:t>
        </w:r>
      </w:hyperlink>
      <w:r w:rsidR="00171179" w:rsidRPr="00C547BF">
        <w:rPr>
          <w:szCs w:val="16"/>
        </w:rPr>
        <w:t xml:space="preserve"> paya/2013/03/05/05/1080077a-85b6-11e2-98a3-b3db6b9ac586_story.html. and statement by </w:t>
      </w:r>
      <w:proofErr w:type="spellStart"/>
      <w:r w:rsidR="00171179" w:rsidRPr="00C547BF">
        <w:rPr>
          <w:szCs w:val="16"/>
        </w:rPr>
        <w:t>Ángel</w:t>
      </w:r>
      <w:proofErr w:type="spellEnd"/>
      <w:r w:rsidR="00171179" w:rsidRPr="00C547BF">
        <w:rPr>
          <w:szCs w:val="16"/>
        </w:rPr>
        <w:t xml:space="preserve"> </w:t>
      </w:r>
      <w:proofErr w:type="spellStart"/>
      <w:r w:rsidR="00171179" w:rsidRPr="00C547BF">
        <w:rPr>
          <w:szCs w:val="16"/>
        </w:rPr>
        <w:t>Carromero</w:t>
      </w:r>
      <w:proofErr w:type="spellEnd"/>
      <w:r w:rsidR="00171179" w:rsidRPr="00C547BF">
        <w:rPr>
          <w:szCs w:val="16"/>
        </w:rPr>
        <w:t xml:space="preserve"> on the Program "Al Punto" with Jorge Ramos on Univision. October 14, 2014. Available at </w:t>
      </w:r>
      <w:hyperlink r:id="rId17" w:history="1">
        <w:r w:rsidR="00171179" w:rsidRPr="00C547BF">
          <w:rPr>
            <w:rStyle w:val="Hipervnculo"/>
            <w:szCs w:val="16"/>
          </w:rPr>
          <w:t>https://www.youtube.com/watch?v=BSe2CDQCLnM</w:t>
        </w:r>
      </w:hyperlink>
      <w:r w:rsidR="00171179" w:rsidRPr="00C547BF">
        <w:rPr>
          <w:szCs w:val="16"/>
        </w:rPr>
        <w:t xml:space="preserve"> (last visited May 30, 2022).</w:t>
      </w:r>
    </w:p>
  </w:footnote>
  <w:footnote w:id="50">
    <w:p w14:paraId="728B5FD6" w14:textId="25CAE1D3"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ña</w:t>
      </w:r>
      <w:r w:rsidRPr="00C547BF">
        <w:rPr>
          <w:szCs w:val="16"/>
        </w:rPr>
        <w:t>s</w:t>
      </w:r>
      <w:proofErr w:type="spellEnd"/>
      <w:r w:rsidRPr="00C547BF">
        <w:rPr>
          <w:szCs w:val="16"/>
        </w:rPr>
        <w:t xml:space="preserve"> and Harold Cepero et al. v. Cuba. Declaration of </w:t>
      </w:r>
      <w:proofErr w:type="spellStart"/>
      <w:r w:rsidRPr="00C547BF">
        <w:rPr>
          <w:szCs w:val="16"/>
        </w:rPr>
        <w:t>Ángel</w:t>
      </w:r>
      <w:proofErr w:type="spellEnd"/>
      <w:r w:rsidRPr="00C547BF">
        <w:rPr>
          <w:szCs w:val="16"/>
        </w:rPr>
        <w:t xml:space="preserve"> </w:t>
      </w:r>
      <w:proofErr w:type="spellStart"/>
      <w:r w:rsidRPr="00C547BF">
        <w:rPr>
          <w:szCs w:val="16"/>
        </w:rPr>
        <w:t>Carromero</w:t>
      </w:r>
      <w:proofErr w:type="spellEnd"/>
      <w:r w:rsidRPr="00C547BF">
        <w:rPr>
          <w:szCs w:val="16"/>
        </w:rPr>
        <w:t xml:space="preserve"> and Brief of the Petitioners supplementing the Initial Petition of March 2, 2013, p. 15. Case file before the IACHR.</w:t>
      </w:r>
    </w:p>
  </w:footnote>
  <w:footnote w:id="51">
    <w:p w14:paraId="67E888A7"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The Washington Post, </w:t>
      </w:r>
      <w:proofErr w:type="spellStart"/>
      <w:r w:rsidRPr="00C547BF">
        <w:rPr>
          <w:i/>
          <w:szCs w:val="16"/>
        </w:rPr>
        <w:t>Ángel</w:t>
      </w:r>
      <w:proofErr w:type="spellEnd"/>
      <w:r w:rsidRPr="00C547BF">
        <w:rPr>
          <w:i/>
          <w:szCs w:val="16"/>
        </w:rPr>
        <w:t xml:space="preserve"> </w:t>
      </w:r>
      <w:proofErr w:type="spellStart"/>
      <w:r w:rsidRPr="00C547BF">
        <w:rPr>
          <w:i/>
          <w:szCs w:val="16"/>
        </w:rPr>
        <w:t>Carromero</w:t>
      </w:r>
      <w:proofErr w:type="spellEnd"/>
      <w:r w:rsidRPr="00C547BF">
        <w:rPr>
          <w:i/>
          <w:szCs w:val="16"/>
        </w:rPr>
        <w:t xml:space="preserve"> speaks out on Cuba crash that killed Oswaldo </w:t>
      </w:r>
      <w:proofErr w:type="spellStart"/>
      <w:r w:rsidRPr="00C547BF">
        <w:rPr>
          <w:i/>
          <w:szCs w:val="16"/>
        </w:rPr>
        <w:t>Payá</w:t>
      </w:r>
      <w:proofErr w:type="spellEnd"/>
      <w:r w:rsidRPr="00C547BF">
        <w:rPr>
          <w:b/>
          <w:szCs w:val="16"/>
        </w:rPr>
        <w:t xml:space="preserve">. </w:t>
      </w:r>
      <w:r w:rsidRPr="00C547BF">
        <w:rPr>
          <w:szCs w:val="16"/>
        </w:rPr>
        <w:t>March 5, 2013. Available in English at</w:t>
      </w:r>
      <w:hyperlink r:id="rId18">
        <w:r w:rsidRPr="00C547BF">
          <w:rPr>
            <w:szCs w:val="16"/>
          </w:rPr>
          <w:t>:https://www.washingtonpost.com/opinions/Ángel-carromero-speaks-out-on-cuba-crash-that-killed-oswaldo-</w:t>
        </w:r>
      </w:hyperlink>
      <w:r w:rsidRPr="00C547BF">
        <w:rPr>
          <w:szCs w:val="16"/>
        </w:rPr>
        <w:t xml:space="preserve"> paya/2013/03/05/05/1080077a-85b6-11e2-98a3-b3db6b9ac586_story.html.</w:t>
      </w:r>
    </w:p>
  </w:footnote>
  <w:footnote w:id="52">
    <w:p w14:paraId="5ECF6EDE" w14:textId="77777777" w:rsidR="00171179" w:rsidRPr="00C547BF" w:rsidRDefault="00171179" w:rsidP="007415AC">
      <w:pPr>
        <w:pStyle w:val="Textonotapie"/>
        <w:rPr>
          <w:szCs w:val="16"/>
          <w:lang w:val="es-CO"/>
        </w:rPr>
      </w:pPr>
      <w:r w:rsidRPr="00C547BF">
        <w:rPr>
          <w:rStyle w:val="Refdenotaalpie"/>
          <w:szCs w:val="16"/>
        </w:rPr>
        <w:footnoteRef/>
      </w:r>
      <w:r w:rsidRPr="00C547BF">
        <w:rPr>
          <w:szCs w:val="16"/>
        </w:rPr>
        <w:t xml:space="preserve"> Brief of the Petitioners supplementary to the Initial Petition of March 2, 2013, p. 15. </w:t>
      </w:r>
      <w:r w:rsidRPr="00C547BF">
        <w:rPr>
          <w:szCs w:val="16"/>
          <w:lang w:val="es-PE"/>
        </w:rPr>
        <w:t xml:space="preserve">Case file before the IACHR. </w:t>
      </w:r>
      <w:proofErr w:type="spellStart"/>
      <w:r w:rsidRPr="00C547BF">
        <w:rPr>
          <w:szCs w:val="16"/>
          <w:lang w:val="es-CO"/>
        </w:rPr>
        <w:t>See</w:t>
      </w:r>
      <w:proofErr w:type="spellEnd"/>
      <w:r w:rsidRPr="00C547BF">
        <w:rPr>
          <w:szCs w:val="16"/>
          <w:lang w:val="es-CO"/>
        </w:rPr>
        <w:t xml:space="preserve"> </w:t>
      </w:r>
      <w:proofErr w:type="spellStart"/>
      <w:r w:rsidRPr="00C547BF">
        <w:rPr>
          <w:szCs w:val="16"/>
          <w:lang w:val="es-CO"/>
        </w:rPr>
        <w:t>also</w:t>
      </w:r>
      <w:proofErr w:type="spellEnd"/>
      <w:r w:rsidRPr="00C547BF">
        <w:rPr>
          <w:szCs w:val="16"/>
          <w:lang w:val="es-CO"/>
        </w:rPr>
        <w:t xml:space="preserve"> Ángel Carromero, Muerte bajo sospecha: toda la verdad sobre el caso (Editorial Oberón 2014).</w:t>
      </w:r>
    </w:p>
  </w:footnote>
  <w:footnote w:id="53">
    <w:p w14:paraId="7EEE3CF6" w14:textId="62373D86" w:rsidR="00171179" w:rsidRPr="00C547BF" w:rsidRDefault="00171179" w:rsidP="007415AC">
      <w:pPr>
        <w:pStyle w:val="Textonotapie"/>
        <w:rPr>
          <w:szCs w:val="16"/>
          <w:lang w:val="es-CO"/>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ña</w:t>
      </w:r>
      <w:r w:rsidRPr="00C547BF">
        <w:rPr>
          <w:szCs w:val="16"/>
        </w:rPr>
        <w:t>s</w:t>
      </w:r>
      <w:proofErr w:type="spellEnd"/>
      <w:r w:rsidRPr="00C547BF">
        <w:rPr>
          <w:szCs w:val="16"/>
        </w:rPr>
        <w:t xml:space="preserve"> and Harold Cepero et al. v. Cuba. Declaration of </w:t>
      </w:r>
      <w:proofErr w:type="spellStart"/>
      <w:r w:rsidRPr="00C547BF">
        <w:rPr>
          <w:szCs w:val="16"/>
        </w:rPr>
        <w:t>Ángel</w:t>
      </w:r>
      <w:proofErr w:type="spellEnd"/>
      <w:r w:rsidRPr="00C547BF">
        <w:rPr>
          <w:szCs w:val="16"/>
        </w:rPr>
        <w:t xml:space="preserve"> </w:t>
      </w:r>
      <w:proofErr w:type="spellStart"/>
      <w:r w:rsidRPr="00C547BF">
        <w:rPr>
          <w:szCs w:val="16"/>
        </w:rPr>
        <w:t>Carromero</w:t>
      </w:r>
      <w:proofErr w:type="spellEnd"/>
      <w:r w:rsidRPr="00C547BF">
        <w:rPr>
          <w:szCs w:val="16"/>
        </w:rPr>
        <w:t xml:space="preserve">. Brief of the Petitioners supplementary to the Initial Petition of March 2, 2013, p. 15. </w:t>
      </w:r>
      <w:r w:rsidRPr="00C547BF">
        <w:rPr>
          <w:szCs w:val="16"/>
          <w:lang w:val="es-PE"/>
        </w:rPr>
        <w:t>Case file before the IACHR.</w:t>
      </w:r>
      <w:r w:rsidR="007415AC" w:rsidRPr="00C547BF">
        <w:rPr>
          <w:szCs w:val="16"/>
          <w:lang w:val="es-CO"/>
        </w:rPr>
        <w:t xml:space="preserve"> </w:t>
      </w:r>
      <w:proofErr w:type="spellStart"/>
      <w:r w:rsidRPr="00C547BF">
        <w:rPr>
          <w:szCs w:val="16"/>
          <w:lang w:val="es-CO"/>
        </w:rPr>
        <w:t>See</w:t>
      </w:r>
      <w:proofErr w:type="spellEnd"/>
      <w:r w:rsidRPr="00C547BF">
        <w:rPr>
          <w:szCs w:val="16"/>
          <w:lang w:val="es-CO"/>
        </w:rPr>
        <w:t xml:space="preserve"> </w:t>
      </w:r>
      <w:proofErr w:type="spellStart"/>
      <w:r w:rsidRPr="00C547BF">
        <w:rPr>
          <w:szCs w:val="16"/>
          <w:lang w:val="es-CO"/>
        </w:rPr>
        <w:t>also</w:t>
      </w:r>
      <w:proofErr w:type="spellEnd"/>
      <w:r w:rsidRPr="00C547BF">
        <w:rPr>
          <w:szCs w:val="16"/>
          <w:lang w:val="es-CO"/>
        </w:rPr>
        <w:t xml:space="preserve"> Ángel Carromero, Muerte bajo sospecha: toda la verdad sobre el caso (Editorial Oberón 2014).</w:t>
      </w:r>
    </w:p>
  </w:footnote>
  <w:footnote w:id="54">
    <w:p w14:paraId="14A59DF5" w14:textId="54613566"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ña</w:t>
      </w:r>
      <w:r w:rsidRPr="00C547BF">
        <w:rPr>
          <w:szCs w:val="16"/>
        </w:rPr>
        <w:t>s</w:t>
      </w:r>
      <w:proofErr w:type="spellEnd"/>
      <w:r w:rsidRPr="00C547BF">
        <w:rPr>
          <w:szCs w:val="16"/>
        </w:rPr>
        <w:t xml:space="preserve"> and Harold Cepero et al. v. Cuba. Declaration of </w:t>
      </w:r>
      <w:proofErr w:type="spellStart"/>
      <w:r w:rsidRPr="00C547BF">
        <w:rPr>
          <w:szCs w:val="16"/>
        </w:rPr>
        <w:t>Ángel</w:t>
      </w:r>
      <w:proofErr w:type="spellEnd"/>
      <w:r w:rsidRPr="00C547BF">
        <w:rPr>
          <w:szCs w:val="16"/>
        </w:rPr>
        <w:t xml:space="preserve"> </w:t>
      </w:r>
      <w:proofErr w:type="spellStart"/>
      <w:r w:rsidRPr="00C547BF">
        <w:rPr>
          <w:szCs w:val="16"/>
        </w:rPr>
        <w:t>Carromero</w:t>
      </w:r>
      <w:proofErr w:type="spellEnd"/>
      <w:r w:rsidRPr="00C547BF">
        <w:rPr>
          <w:szCs w:val="16"/>
        </w:rPr>
        <w:t xml:space="preserve"> and Brief of the Petitioners supplementing the Initial Petition of March 2, 2013, p. 15. Case file before the IACHR. </w:t>
      </w:r>
    </w:p>
  </w:footnote>
  <w:footnote w:id="55">
    <w:p w14:paraId="30A98BC2"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Sentence against </w:t>
      </w:r>
      <w:proofErr w:type="spellStart"/>
      <w:r w:rsidRPr="00C547BF">
        <w:rPr>
          <w:szCs w:val="16"/>
        </w:rPr>
        <w:t>Ángel</w:t>
      </w:r>
      <w:proofErr w:type="spellEnd"/>
      <w:r w:rsidRPr="00C547BF">
        <w:rPr>
          <w:szCs w:val="16"/>
        </w:rPr>
        <w:t xml:space="preserve"> </w:t>
      </w:r>
      <w:proofErr w:type="spellStart"/>
      <w:r w:rsidRPr="00C547BF">
        <w:rPr>
          <w:szCs w:val="16"/>
        </w:rPr>
        <w:t>Carromero</w:t>
      </w:r>
      <w:proofErr w:type="spellEnd"/>
      <w:r w:rsidRPr="00C547BF">
        <w:rPr>
          <w:szCs w:val="16"/>
        </w:rPr>
        <w:t>. First Criminal Chamber of the People's Court of Granma. Judgment No. 573/2012 of October 12, 2012. Annex to the initial petition.</w:t>
      </w:r>
    </w:p>
  </w:footnote>
  <w:footnote w:id="56">
    <w:p w14:paraId="73635D73" w14:textId="376885C9"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ña</w:t>
      </w:r>
      <w:r w:rsidRPr="00C547BF">
        <w:rPr>
          <w:szCs w:val="16"/>
        </w:rPr>
        <w:t>s</w:t>
      </w:r>
      <w:proofErr w:type="spellEnd"/>
      <w:r w:rsidRPr="00C547BF">
        <w:rPr>
          <w:szCs w:val="16"/>
        </w:rPr>
        <w:t xml:space="preserve"> and Harold Cepero et al. v. Cuba. Statement by </w:t>
      </w:r>
      <w:proofErr w:type="spellStart"/>
      <w:r w:rsidRPr="00C547BF">
        <w:rPr>
          <w:szCs w:val="16"/>
        </w:rPr>
        <w:t>Ángel</w:t>
      </w:r>
      <w:proofErr w:type="spellEnd"/>
      <w:r w:rsidRPr="00C547BF">
        <w:rPr>
          <w:szCs w:val="16"/>
        </w:rPr>
        <w:t xml:space="preserve"> </w:t>
      </w:r>
      <w:proofErr w:type="spellStart"/>
      <w:r w:rsidRPr="00C547BF">
        <w:rPr>
          <w:szCs w:val="16"/>
        </w:rPr>
        <w:t>Carromero</w:t>
      </w:r>
      <w:proofErr w:type="spellEnd"/>
      <w:r w:rsidRPr="00C547BF">
        <w:rPr>
          <w:szCs w:val="16"/>
        </w:rPr>
        <w:t xml:space="preserve">; Statement by </w:t>
      </w:r>
      <w:proofErr w:type="spellStart"/>
      <w:r w:rsidRPr="00C547BF">
        <w:rPr>
          <w:szCs w:val="16"/>
        </w:rPr>
        <w:t>Ángel</w:t>
      </w:r>
      <w:proofErr w:type="spellEnd"/>
      <w:r w:rsidRPr="00C547BF">
        <w:rPr>
          <w:szCs w:val="16"/>
        </w:rPr>
        <w:t xml:space="preserve"> </w:t>
      </w:r>
      <w:proofErr w:type="spellStart"/>
      <w:r w:rsidRPr="00C547BF">
        <w:rPr>
          <w:szCs w:val="16"/>
        </w:rPr>
        <w:t>Carromero</w:t>
      </w:r>
      <w:proofErr w:type="spellEnd"/>
      <w:r w:rsidRPr="00C547BF">
        <w:rPr>
          <w:szCs w:val="16"/>
        </w:rPr>
        <w:t xml:space="preserve"> on the Program "Al Punto" with Jorge Ramos on </w:t>
      </w:r>
      <w:proofErr w:type="spellStart"/>
      <w:r w:rsidRPr="00C547BF">
        <w:rPr>
          <w:szCs w:val="16"/>
        </w:rPr>
        <w:t>Univisión</w:t>
      </w:r>
      <w:proofErr w:type="spellEnd"/>
      <w:r w:rsidRPr="00C547BF">
        <w:rPr>
          <w:szCs w:val="16"/>
        </w:rPr>
        <w:t xml:space="preserve">. October 14, 2014. Available at </w:t>
      </w:r>
      <w:hyperlink r:id="rId19" w:history="1">
        <w:r w:rsidRPr="00C547BF">
          <w:rPr>
            <w:rStyle w:val="Hipervnculo"/>
            <w:szCs w:val="16"/>
          </w:rPr>
          <w:t>https://www.youtube.com/watch?v=BSe2CDQCLnM</w:t>
        </w:r>
      </w:hyperlink>
      <w:r w:rsidRPr="00C547BF">
        <w:rPr>
          <w:szCs w:val="16"/>
        </w:rPr>
        <w:t xml:space="preserve"> (last visited May 30, 2022); and Brief of the Petitioners supplemental to the Initial Petition of March 2, 2013, pp. 15 and 16. Case file before the IACHR. </w:t>
      </w:r>
    </w:p>
  </w:footnote>
  <w:footnote w:id="57">
    <w:p w14:paraId="46050C06" w14:textId="28311E73"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ña</w:t>
      </w:r>
      <w:r w:rsidRPr="00C547BF">
        <w:rPr>
          <w:szCs w:val="16"/>
        </w:rPr>
        <w:t>s</w:t>
      </w:r>
      <w:proofErr w:type="spellEnd"/>
      <w:r w:rsidRPr="00C547BF">
        <w:rPr>
          <w:szCs w:val="16"/>
        </w:rPr>
        <w:t xml:space="preserve"> and Harold Cepero et al. v. Cuba. Statement by </w:t>
      </w:r>
      <w:proofErr w:type="spellStart"/>
      <w:r w:rsidRPr="00C547BF">
        <w:rPr>
          <w:szCs w:val="16"/>
        </w:rPr>
        <w:t>Ángel</w:t>
      </w:r>
      <w:proofErr w:type="spellEnd"/>
      <w:r w:rsidRPr="00C547BF">
        <w:rPr>
          <w:szCs w:val="16"/>
        </w:rPr>
        <w:t xml:space="preserve"> </w:t>
      </w:r>
      <w:proofErr w:type="spellStart"/>
      <w:r w:rsidRPr="00C547BF">
        <w:rPr>
          <w:szCs w:val="16"/>
        </w:rPr>
        <w:t>Carromero</w:t>
      </w:r>
      <w:proofErr w:type="spellEnd"/>
      <w:r w:rsidRPr="00C547BF">
        <w:rPr>
          <w:szCs w:val="16"/>
        </w:rPr>
        <w:t xml:space="preserve">; and The Washington Post, </w:t>
      </w:r>
      <w:proofErr w:type="spellStart"/>
      <w:r w:rsidRPr="00C547BF">
        <w:rPr>
          <w:i/>
          <w:szCs w:val="16"/>
        </w:rPr>
        <w:t>Ángel</w:t>
      </w:r>
      <w:proofErr w:type="spellEnd"/>
      <w:r w:rsidRPr="00C547BF">
        <w:rPr>
          <w:i/>
          <w:szCs w:val="16"/>
        </w:rPr>
        <w:t xml:space="preserve"> </w:t>
      </w:r>
      <w:proofErr w:type="spellStart"/>
      <w:r w:rsidRPr="00C547BF">
        <w:rPr>
          <w:i/>
          <w:szCs w:val="16"/>
        </w:rPr>
        <w:t>Carromero</w:t>
      </w:r>
      <w:proofErr w:type="spellEnd"/>
      <w:r w:rsidRPr="00C547BF">
        <w:rPr>
          <w:i/>
          <w:szCs w:val="16"/>
        </w:rPr>
        <w:t xml:space="preserve"> speaks out on Cuba crash that killed Oswaldo </w:t>
      </w:r>
      <w:proofErr w:type="spellStart"/>
      <w:r w:rsidRPr="00C547BF">
        <w:rPr>
          <w:i/>
          <w:szCs w:val="16"/>
        </w:rPr>
        <w:t>Payá</w:t>
      </w:r>
      <w:proofErr w:type="spellEnd"/>
      <w:r w:rsidRPr="00C547BF">
        <w:rPr>
          <w:b/>
          <w:szCs w:val="16"/>
        </w:rPr>
        <w:t xml:space="preserve">. </w:t>
      </w:r>
      <w:r w:rsidRPr="00C547BF">
        <w:rPr>
          <w:szCs w:val="16"/>
        </w:rPr>
        <w:t>March 5, 2013. Available in English at</w:t>
      </w:r>
      <w:hyperlink r:id="rId20">
        <w:r w:rsidRPr="00C547BF">
          <w:rPr>
            <w:szCs w:val="16"/>
          </w:rPr>
          <w:t>:https://www.washingtonpost.com/opinions/Ángel-carromero-speaks-out-on-cuba-crash-that-killed-oswaldo-</w:t>
        </w:r>
      </w:hyperlink>
      <w:r w:rsidRPr="00C547BF">
        <w:rPr>
          <w:szCs w:val="16"/>
        </w:rPr>
        <w:t xml:space="preserve"> paya/2013/03/05/05/1080077a-85b6-11e2-98a3-b3db6b9ac586_story.html. </w:t>
      </w:r>
    </w:p>
  </w:footnote>
  <w:footnote w:id="58">
    <w:p w14:paraId="4AAB16C6" w14:textId="7B3398BB"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ña</w:t>
      </w:r>
      <w:r w:rsidRPr="00C547BF">
        <w:rPr>
          <w:szCs w:val="16"/>
        </w:rPr>
        <w:t>s</w:t>
      </w:r>
      <w:proofErr w:type="spellEnd"/>
      <w:r w:rsidRPr="00C547BF">
        <w:rPr>
          <w:szCs w:val="16"/>
        </w:rPr>
        <w:t xml:space="preserve"> and Harold Cepero et al. v. Cuba. Statement of </w:t>
      </w:r>
      <w:proofErr w:type="spellStart"/>
      <w:r w:rsidRPr="00C547BF">
        <w:rPr>
          <w:szCs w:val="16"/>
        </w:rPr>
        <w:t>Ángel</w:t>
      </w:r>
      <w:proofErr w:type="spellEnd"/>
      <w:r w:rsidRPr="00C547BF">
        <w:rPr>
          <w:szCs w:val="16"/>
        </w:rPr>
        <w:t xml:space="preserve"> </w:t>
      </w:r>
      <w:proofErr w:type="spellStart"/>
      <w:r w:rsidRPr="00C547BF">
        <w:rPr>
          <w:szCs w:val="16"/>
        </w:rPr>
        <w:t>Carromero</w:t>
      </w:r>
      <w:proofErr w:type="spellEnd"/>
      <w:r w:rsidRPr="00C547BF">
        <w:rPr>
          <w:szCs w:val="16"/>
        </w:rPr>
        <w:t xml:space="preserve"> Petitioners' Brief Supplemental to the Initial Petition of March 2, 2013, p. 16.</w:t>
      </w:r>
    </w:p>
  </w:footnote>
  <w:footnote w:id="59">
    <w:p w14:paraId="2095868B" w14:textId="148B868E"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ña</w:t>
      </w:r>
      <w:r w:rsidRPr="00C547BF">
        <w:rPr>
          <w:szCs w:val="16"/>
        </w:rPr>
        <w:t>s</w:t>
      </w:r>
      <w:proofErr w:type="spellEnd"/>
      <w:r w:rsidRPr="00C547BF">
        <w:rPr>
          <w:szCs w:val="16"/>
        </w:rPr>
        <w:t xml:space="preserve"> and Harold Cepero et al. v. Cuba. Declaration of </w:t>
      </w:r>
      <w:proofErr w:type="spellStart"/>
      <w:r w:rsidRPr="00C547BF">
        <w:rPr>
          <w:szCs w:val="16"/>
        </w:rPr>
        <w:t>Ángel</w:t>
      </w:r>
      <w:proofErr w:type="spellEnd"/>
      <w:r w:rsidRPr="00C547BF">
        <w:rPr>
          <w:szCs w:val="16"/>
        </w:rPr>
        <w:t xml:space="preserve"> </w:t>
      </w:r>
      <w:proofErr w:type="spellStart"/>
      <w:r w:rsidRPr="00C547BF">
        <w:rPr>
          <w:szCs w:val="16"/>
        </w:rPr>
        <w:t>Carromero</w:t>
      </w:r>
      <w:proofErr w:type="spellEnd"/>
      <w:r w:rsidRPr="00C547BF">
        <w:rPr>
          <w:szCs w:val="16"/>
        </w:rPr>
        <w:t>.</w:t>
      </w:r>
    </w:p>
  </w:footnote>
  <w:footnote w:id="60">
    <w:p w14:paraId="23574975" w14:textId="1B2FC8CD" w:rsidR="00171179" w:rsidRPr="00C547BF" w:rsidRDefault="00171179" w:rsidP="007415AC">
      <w:pPr>
        <w:spacing w:after="0"/>
        <w:rPr>
          <w:sz w:val="16"/>
          <w:szCs w:val="16"/>
          <w:lang w:val="en-US"/>
        </w:rPr>
      </w:pPr>
      <w:r w:rsidRPr="00C547BF">
        <w:rPr>
          <w:rStyle w:val="Refdenotaalpie"/>
          <w:sz w:val="16"/>
          <w:szCs w:val="16"/>
        </w:rPr>
        <w:footnoteRef/>
      </w:r>
      <w:r w:rsidRPr="00C547BF">
        <w:rPr>
          <w:sz w:val="16"/>
          <w:szCs w:val="16"/>
          <w:lang w:val="en-US"/>
        </w:rPr>
        <w:t xml:space="preserve"> IACHR. Public Hearing. Case 14.196. Oswaldo </w:t>
      </w:r>
      <w:proofErr w:type="spellStart"/>
      <w:r w:rsidRPr="00C547BF">
        <w:rPr>
          <w:sz w:val="16"/>
          <w:szCs w:val="16"/>
          <w:lang w:val="en-US"/>
        </w:rPr>
        <w:t>Pay</w:t>
      </w:r>
      <w:r w:rsidR="008A2B6A" w:rsidRPr="00C547BF">
        <w:rPr>
          <w:sz w:val="16"/>
          <w:szCs w:val="16"/>
          <w:lang w:val="en-US"/>
        </w:rPr>
        <w:t>á</w:t>
      </w:r>
      <w:proofErr w:type="spellEnd"/>
      <w:r w:rsidRPr="00C547BF">
        <w:rPr>
          <w:sz w:val="16"/>
          <w:szCs w:val="16"/>
          <w:lang w:val="en-US"/>
        </w:rPr>
        <w:t xml:space="preserve"> </w:t>
      </w:r>
      <w:proofErr w:type="spellStart"/>
      <w:r w:rsidRPr="00C547BF">
        <w:rPr>
          <w:sz w:val="16"/>
          <w:szCs w:val="16"/>
          <w:lang w:val="en-US"/>
        </w:rPr>
        <w:t>Sardi</w:t>
      </w:r>
      <w:r w:rsidR="008A2B6A" w:rsidRPr="00C547BF">
        <w:rPr>
          <w:sz w:val="16"/>
          <w:szCs w:val="16"/>
          <w:lang w:val="en-US"/>
        </w:rPr>
        <w:t>ña</w:t>
      </w:r>
      <w:r w:rsidRPr="00C547BF">
        <w:rPr>
          <w:sz w:val="16"/>
          <w:szCs w:val="16"/>
          <w:lang w:val="en-US"/>
        </w:rPr>
        <w:t>s</w:t>
      </w:r>
      <w:proofErr w:type="spellEnd"/>
      <w:r w:rsidRPr="00C547BF">
        <w:rPr>
          <w:sz w:val="16"/>
          <w:szCs w:val="16"/>
          <w:lang w:val="en-US"/>
        </w:rPr>
        <w:t xml:space="preserve"> and Harold Cepero et al. v. Cuba. Declaration of </w:t>
      </w:r>
      <w:proofErr w:type="spellStart"/>
      <w:r w:rsidRPr="00C547BF">
        <w:rPr>
          <w:sz w:val="16"/>
          <w:szCs w:val="16"/>
          <w:lang w:val="en-US"/>
        </w:rPr>
        <w:t>Ángel</w:t>
      </w:r>
      <w:proofErr w:type="spellEnd"/>
      <w:r w:rsidRPr="00C547BF">
        <w:rPr>
          <w:sz w:val="16"/>
          <w:szCs w:val="16"/>
          <w:lang w:val="en-US"/>
        </w:rPr>
        <w:t xml:space="preserve"> </w:t>
      </w:r>
      <w:proofErr w:type="spellStart"/>
      <w:r w:rsidRPr="00C547BF">
        <w:rPr>
          <w:sz w:val="16"/>
          <w:szCs w:val="16"/>
          <w:lang w:val="en-US"/>
        </w:rPr>
        <w:t>Carromero</w:t>
      </w:r>
      <w:proofErr w:type="spellEnd"/>
      <w:r w:rsidRPr="00C547BF">
        <w:rPr>
          <w:sz w:val="16"/>
          <w:szCs w:val="16"/>
          <w:lang w:val="en-US"/>
        </w:rPr>
        <w:t xml:space="preserve">; Brief of the Petitioners supplementary to the Initial Petition of March 2, 2013, p. 16. </w:t>
      </w:r>
      <w:r w:rsidRPr="00C547BF">
        <w:rPr>
          <w:sz w:val="16"/>
          <w:szCs w:val="16"/>
        </w:rPr>
        <w:t xml:space="preserve">See also Ángel Carromero, Muerte bajo sospecha: toda la verdad sobre el caso (Editorial Oberón 2014), p. 116. </w:t>
      </w:r>
      <w:proofErr w:type="gramStart"/>
      <w:r w:rsidRPr="00C547BF">
        <w:rPr>
          <w:sz w:val="16"/>
          <w:szCs w:val="16"/>
          <w:lang w:val="en-US"/>
        </w:rPr>
        <w:t>Also</w:t>
      </w:r>
      <w:proofErr w:type="gramEnd"/>
      <w:r w:rsidRPr="00C547BF">
        <w:rPr>
          <w:sz w:val="16"/>
          <w:szCs w:val="16"/>
          <w:lang w:val="en-US"/>
        </w:rPr>
        <w:t xml:space="preserve"> Statement by </w:t>
      </w:r>
      <w:proofErr w:type="spellStart"/>
      <w:r w:rsidRPr="00C547BF">
        <w:rPr>
          <w:sz w:val="16"/>
          <w:szCs w:val="16"/>
          <w:lang w:val="en-US"/>
        </w:rPr>
        <w:t>Ángel</w:t>
      </w:r>
      <w:proofErr w:type="spellEnd"/>
      <w:r w:rsidRPr="00C547BF">
        <w:rPr>
          <w:sz w:val="16"/>
          <w:szCs w:val="16"/>
          <w:lang w:val="en-US"/>
        </w:rPr>
        <w:t xml:space="preserve"> </w:t>
      </w:r>
      <w:proofErr w:type="spellStart"/>
      <w:r w:rsidRPr="00C547BF">
        <w:rPr>
          <w:sz w:val="16"/>
          <w:szCs w:val="16"/>
          <w:lang w:val="en-US"/>
        </w:rPr>
        <w:t>Carromero</w:t>
      </w:r>
      <w:proofErr w:type="spellEnd"/>
      <w:r w:rsidRPr="00C547BF">
        <w:rPr>
          <w:sz w:val="16"/>
          <w:szCs w:val="16"/>
          <w:lang w:val="en-US"/>
        </w:rPr>
        <w:t xml:space="preserve"> on the Program "Al Punto" with Jorge Ramos on </w:t>
      </w:r>
      <w:proofErr w:type="spellStart"/>
      <w:r w:rsidRPr="00C547BF">
        <w:rPr>
          <w:sz w:val="16"/>
          <w:szCs w:val="16"/>
          <w:lang w:val="en-US"/>
        </w:rPr>
        <w:t>Univisión</w:t>
      </w:r>
      <w:proofErr w:type="spellEnd"/>
      <w:r w:rsidRPr="00C547BF">
        <w:rPr>
          <w:sz w:val="16"/>
          <w:szCs w:val="16"/>
          <w:lang w:val="en-US"/>
        </w:rPr>
        <w:t xml:space="preserve">. October 14, 2014. Available at </w:t>
      </w:r>
      <w:hyperlink r:id="rId21" w:history="1">
        <w:r w:rsidRPr="00C547BF">
          <w:rPr>
            <w:rStyle w:val="Hipervnculo"/>
            <w:sz w:val="16"/>
            <w:szCs w:val="16"/>
            <w:lang w:val="en-US"/>
          </w:rPr>
          <w:t>https://www.youtube.com/watch?v=BSe2CDQCLnM</w:t>
        </w:r>
      </w:hyperlink>
      <w:r w:rsidRPr="00C547BF">
        <w:rPr>
          <w:sz w:val="16"/>
          <w:szCs w:val="16"/>
          <w:lang w:val="en-US"/>
        </w:rPr>
        <w:t xml:space="preserve"> (last visited May 30, 2022).</w:t>
      </w:r>
    </w:p>
  </w:footnote>
  <w:footnote w:id="61">
    <w:p w14:paraId="66A9C181" w14:textId="697FBC8A"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ña</w:t>
      </w:r>
      <w:r w:rsidRPr="00C547BF">
        <w:rPr>
          <w:szCs w:val="16"/>
        </w:rPr>
        <w:t>s</w:t>
      </w:r>
      <w:proofErr w:type="spellEnd"/>
      <w:r w:rsidRPr="00C547BF">
        <w:rPr>
          <w:szCs w:val="16"/>
        </w:rPr>
        <w:t xml:space="preserve"> and Harold Cepero et al. v. Cuba. Declaration of </w:t>
      </w:r>
      <w:proofErr w:type="spellStart"/>
      <w:r w:rsidRPr="00C547BF">
        <w:rPr>
          <w:szCs w:val="16"/>
        </w:rPr>
        <w:t>Ángel</w:t>
      </w:r>
      <w:proofErr w:type="spellEnd"/>
      <w:r w:rsidRPr="00C547BF">
        <w:rPr>
          <w:szCs w:val="16"/>
        </w:rPr>
        <w:t xml:space="preserve"> </w:t>
      </w:r>
      <w:proofErr w:type="spellStart"/>
      <w:r w:rsidRPr="00C547BF">
        <w:rPr>
          <w:szCs w:val="16"/>
        </w:rPr>
        <w:t>Carromero</w:t>
      </w:r>
      <w:proofErr w:type="spellEnd"/>
    </w:p>
  </w:footnote>
  <w:footnote w:id="62">
    <w:p w14:paraId="19714DF4" w14:textId="26544B35"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ña</w:t>
      </w:r>
      <w:r w:rsidRPr="00C547BF">
        <w:rPr>
          <w:szCs w:val="16"/>
        </w:rPr>
        <w:t>s</w:t>
      </w:r>
      <w:proofErr w:type="spellEnd"/>
      <w:r w:rsidRPr="00C547BF">
        <w:rPr>
          <w:szCs w:val="16"/>
        </w:rPr>
        <w:t xml:space="preserve"> and Harold Cepero et al. v. Cuba. Statement of </w:t>
      </w:r>
      <w:proofErr w:type="spellStart"/>
      <w:r w:rsidRPr="00C547BF">
        <w:rPr>
          <w:szCs w:val="16"/>
        </w:rPr>
        <w:t>Ángel</w:t>
      </w:r>
      <w:proofErr w:type="spellEnd"/>
      <w:r w:rsidRPr="00C547BF">
        <w:rPr>
          <w:szCs w:val="16"/>
        </w:rPr>
        <w:t xml:space="preserve"> </w:t>
      </w:r>
      <w:proofErr w:type="spellStart"/>
      <w:r w:rsidRPr="00C547BF">
        <w:rPr>
          <w:szCs w:val="16"/>
        </w:rPr>
        <w:t>Carromero</w:t>
      </w:r>
      <w:proofErr w:type="spellEnd"/>
      <w:r w:rsidRPr="00C547BF">
        <w:rPr>
          <w:szCs w:val="16"/>
        </w:rPr>
        <w:t xml:space="preserve"> Petitioners' Brief Supplemental to the Initial Petition of March 2, 2013, p. 16. See also: Cuba Debate. Statement by </w:t>
      </w:r>
      <w:proofErr w:type="spellStart"/>
      <w:r w:rsidRPr="00C547BF">
        <w:rPr>
          <w:szCs w:val="16"/>
        </w:rPr>
        <w:t>Ángel</w:t>
      </w:r>
      <w:proofErr w:type="spellEnd"/>
      <w:r w:rsidRPr="00C547BF">
        <w:rPr>
          <w:szCs w:val="16"/>
        </w:rPr>
        <w:t xml:space="preserve"> </w:t>
      </w:r>
      <w:proofErr w:type="spellStart"/>
      <w:r w:rsidRPr="00C547BF">
        <w:rPr>
          <w:szCs w:val="16"/>
        </w:rPr>
        <w:t>Camorrero</w:t>
      </w:r>
      <w:proofErr w:type="spellEnd"/>
      <w:r w:rsidRPr="00C547BF">
        <w:rPr>
          <w:szCs w:val="16"/>
        </w:rPr>
        <w:t xml:space="preserve"> to the media in Cuba. July 30, 2012. Available at: </w:t>
      </w:r>
      <w:hyperlink r:id="rId22" w:history="1">
        <w:r w:rsidRPr="00C547BF">
          <w:rPr>
            <w:rStyle w:val="Hipervnculo"/>
            <w:szCs w:val="16"/>
          </w:rPr>
          <w:t>https:</w:t>
        </w:r>
      </w:hyperlink>
      <w:r w:rsidRPr="00C547BF">
        <w:rPr>
          <w:szCs w:val="16"/>
        </w:rPr>
        <w:t xml:space="preserve">//www.youtube.com/watch?v=EBOphUw5RM8 </w:t>
      </w:r>
    </w:p>
  </w:footnote>
  <w:footnote w:id="63">
    <w:p w14:paraId="2AC8462F" w14:textId="40CE2E94" w:rsidR="00171179" w:rsidRPr="00C547BF" w:rsidRDefault="00171179" w:rsidP="007415AC">
      <w:pPr>
        <w:spacing w:after="0"/>
        <w:rPr>
          <w:sz w:val="16"/>
          <w:szCs w:val="16"/>
          <w:lang w:val="en-US"/>
        </w:rPr>
      </w:pPr>
      <w:r w:rsidRPr="00C547BF">
        <w:rPr>
          <w:rStyle w:val="Refdenotaalpie"/>
          <w:sz w:val="16"/>
          <w:szCs w:val="16"/>
        </w:rPr>
        <w:footnoteRef/>
      </w:r>
      <w:r w:rsidRPr="00C547BF">
        <w:rPr>
          <w:sz w:val="16"/>
          <w:szCs w:val="16"/>
          <w:lang w:val="en-US"/>
        </w:rPr>
        <w:t xml:space="preserve"> IACHR. Public Hearing. Case 14.196. Oswaldo </w:t>
      </w:r>
      <w:proofErr w:type="spellStart"/>
      <w:r w:rsidRPr="00C547BF">
        <w:rPr>
          <w:sz w:val="16"/>
          <w:szCs w:val="16"/>
          <w:lang w:val="en-US"/>
        </w:rPr>
        <w:t>Pay</w:t>
      </w:r>
      <w:r w:rsidR="008A2B6A" w:rsidRPr="00C547BF">
        <w:rPr>
          <w:sz w:val="16"/>
          <w:szCs w:val="16"/>
          <w:lang w:val="en-US"/>
        </w:rPr>
        <w:t>á</w:t>
      </w:r>
      <w:proofErr w:type="spellEnd"/>
      <w:r w:rsidRPr="00C547BF">
        <w:rPr>
          <w:sz w:val="16"/>
          <w:szCs w:val="16"/>
          <w:lang w:val="en-US"/>
        </w:rPr>
        <w:t xml:space="preserve"> </w:t>
      </w:r>
      <w:proofErr w:type="spellStart"/>
      <w:r w:rsidRPr="00C547BF">
        <w:rPr>
          <w:sz w:val="16"/>
          <w:szCs w:val="16"/>
          <w:lang w:val="en-US"/>
        </w:rPr>
        <w:t>Sardi</w:t>
      </w:r>
      <w:r w:rsidR="008A2B6A" w:rsidRPr="00C547BF">
        <w:rPr>
          <w:sz w:val="16"/>
          <w:szCs w:val="16"/>
          <w:lang w:val="en-US"/>
        </w:rPr>
        <w:t>ña</w:t>
      </w:r>
      <w:r w:rsidRPr="00C547BF">
        <w:rPr>
          <w:sz w:val="16"/>
          <w:szCs w:val="16"/>
          <w:lang w:val="en-US"/>
        </w:rPr>
        <w:t>s</w:t>
      </w:r>
      <w:proofErr w:type="spellEnd"/>
      <w:r w:rsidRPr="00C547BF">
        <w:rPr>
          <w:sz w:val="16"/>
          <w:szCs w:val="16"/>
          <w:lang w:val="en-US"/>
        </w:rPr>
        <w:t xml:space="preserve"> and Harold Cepero et al. v. Cuba. Statement by </w:t>
      </w:r>
      <w:proofErr w:type="spellStart"/>
      <w:r w:rsidRPr="00C547BF">
        <w:rPr>
          <w:sz w:val="16"/>
          <w:szCs w:val="16"/>
          <w:lang w:val="en-US"/>
        </w:rPr>
        <w:t>Ángel</w:t>
      </w:r>
      <w:proofErr w:type="spellEnd"/>
      <w:r w:rsidRPr="00C547BF">
        <w:rPr>
          <w:sz w:val="16"/>
          <w:szCs w:val="16"/>
          <w:lang w:val="en-US"/>
        </w:rPr>
        <w:t xml:space="preserve"> </w:t>
      </w:r>
      <w:proofErr w:type="spellStart"/>
      <w:r w:rsidRPr="00C547BF">
        <w:rPr>
          <w:sz w:val="16"/>
          <w:szCs w:val="16"/>
          <w:lang w:val="en-US"/>
        </w:rPr>
        <w:t>Carromero</w:t>
      </w:r>
      <w:proofErr w:type="spellEnd"/>
      <w:r w:rsidRPr="00C547BF">
        <w:rPr>
          <w:sz w:val="16"/>
          <w:szCs w:val="16"/>
          <w:lang w:val="en-US"/>
        </w:rPr>
        <w:t xml:space="preserve">.  See also Statement of </w:t>
      </w:r>
      <w:proofErr w:type="spellStart"/>
      <w:r w:rsidRPr="00C547BF">
        <w:rPr>
          <w:sz w:val="16"/>
          <w:szCs w:val="16"/>
          <w:lang w:val="en-US"/>
        </w:rPr>
        <w:t>Ángel</w:t>
      </w:r>
      <w:proofErr w:type="spellEnd"/>
      <w:r w:rsidRPr="00C547BF">
        <w:rPr>
          <w:sz w:val="16"/>
          <w:szCs w:val="16"/>
          <w:lang w:val="en-US"/>
        </w:rPr>
        <w:t xml:space="preserve"> </w:t>
      </w:r>
      <w:proofErr w:type="spellStart"/>
      <w:r w:rsidRPr="00C547BF">
        <w:rPr>
          <w:sz w:val="16"/>
          <w:szCs w:val="16"/>
          <w:lang w:val="en-US"/>
        </w:rPr>
        <w:t>Carromero</w:t>
      </w:r>
      <w:proofErr w:type="spellEnd"/>
      <w:r w:rsidRPr="00C547BF">
        <w:rPr>
          <w:sz w:val="16"/>
          <w:szCs w:val="16"/>
          <w:lang w:val="en-US"/>
        </w:rPr>
        <w:t xml:space="preserve"> on the Program "Al Punto" with Jorge Ramos on </w:t>
      </w:r>
      <w:proofErr w:type="spellStart"/>
      <w:r w:rsidRPr="00C547BF">
        <w:rPr>
          <w:sz w:val="16"/>
          <w:szCs w:val="16"/>
          <w:lang w:val="en-US"/>
        </w:rPr>
        <w:t>Univisión</w:t>
      </w:r>
      <w:proofErr w:type="spellEnd"/>
      <w:r w:rsidRPr="00C547BF">
        <w:rPr>
          <w:sz w:val="16"/>
          <w:szCs w:val="16"/>
          <w:lang w:val="en-US"/>
        </w:rPr>
        <w:t xml:space="preserve">. October 14, 2014. Available at </w:t>
      </w:r>
      <w:hyperlink r:id="rId23" w:history="1">
        <w:r w:rsidRPr="00C547BF">
          <w:rPr>
            <w:rStyle w:val="Hipervnculo"/>
            <w:sz w:val="16"/>
            <w:szCs w:val="16"/>
            <w:lang w:val="en-US"/>
          </w:rPr>
          <w:t>https://www.youtube.com/watch?v=BSe2CDQCLnM</w:t>
        </w:r>
      </w:hyperlink>
      <w:r w:rsidRPr="00C547BF">
        <w:rPr>
          <w:sz w:val="16"/>
          <w:szCs w:val="16"/>
          <w:lang w:val="en-US"/>
        </w:rPr>
        <w:t xml:space="preserve"> (last visited May 30, 2022).</w:t>
      </w:r>
    </w:p>
  </w:footnote>
  <w:footnote w:id="64">
    <w:p w14:paraId="603949EC" w14:textId="5CAFA2E5" w:rsidR="00171179" w:rsidRPr="00C547BF" w:rsidRDefault="00171179" w:rsidP="007415AC">
      <w:pPr>
        <w:pStyle w:val="Textonotapie"/>
        <w:rPr>
          <w:szCs w:val="16"/>
        </w:rPr>
      </w:pPr>
      <w:r w:rsidRPr="00C547BF">
        <w:rPr>
          <w:rStyle w:val="Refdenotaalpie"/>
          <w:szCs w:val="16"/>
        </w:rPr>
        <w:footnoteRef/>
      </w:r>
      <w:r w:rsidRPr="00C547BF">
        <w:rPr>
          <w:szCs w:val="16"/>
        </w:rPr>
        <w:t xml:space="preserve"> Photograph with images of text messages Annex Supplemental Brief of the Petitioners to the Initial Petition of March 2, 2013;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ña</w:t>
      </w:r>
      <w:r w:rsidRPr="00C547BF">
        <w:rPr>
          <w:szCs w:val="16"/>
        </w:rPr>
        <w:t>s</w:t>
      </w:r>
      <w:proofErr w:type="spellEnd"/>
      <w:r w:rsidRPr="00C547BF">
        <w:rPr>
          <w:szCs w:val="16"/>
        </w:rPr>
        <w:t xml:space="preserve"> and Harold Cepero et al. v. Cuba. Statement of </w:t>
      </w:r>
      <w:proofErr w:type="spellStart"/>
      <w:r w:rsidRPr="00C547BF">
        <w:rPr>
          <w:szCs w:val="16"/>
        </w:rPr>
        <w:t>Ángel</w:t>
      </w:r>
      <w:proofErr w:type="spellEnd"/>
      <w:r w:rsidRPr="00C547BF">
        <w:rPr>
          <w:szCs w:val="16"/>
        </w:rPr>
        <w:t xml:space="preserve"> </w:t>
      </w:r>
      <w:proofErr w:type="spellStart"/>
      <w:r w:rsidRPr="00C547BF">
        <w:rPr>
          <w:szCs w:val="16"/>
        </w:rPr>
        <w:t>Carromero</w:t>
      </w:r>
      <w:proofErr w:type="spellEnd"/>
      <w:r w:rsidRPr="00C547BF">
        <w:rPr>
          <w:szCs w:val="16"/>
        </w:rPr>
        <w:t xml:space="preserve"> Petitioners' Brief Supplemental to the Initial Petition of March 2, 2013, p. 16.</w:t>
      </w:r>
    </w:p>
  </w:footnote>
  <w:footnote w:id="65">
    <w:p w14:paraId="10D5BC34" w14:textId="5CDD5A1B"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w:t>
      </w:r>
      <w:r w:rsidR="008A2B6A" w:rsidRPr="00C547BF">
        <w:rPr>
          <w:szCs w:val="16"/>
        </w:rPr>
        <w:t>yá</w:t>
      </w:r>
      <w:proofErr w:type="spellEnd"/>
      <w:r w:rsidRPr="00C547BF">
        <w:rPr>
          <w:szCs w:val="16"/>
        </w:rPr>
        <w:t xml:space="preserve"> </w:t>
      </w:r>
      <w:proofErr w:type="spellStart"/>
      <w:r w:rsidRPr="00C547BF">
        <w:rPr>
          <w:szCs w:val="16"/>
        </w:rPr>
        <w:t>Sardi</w:t>
      </w:r>
      <w:r w:rsidR="008A2B6A" w:rsidRPr="00C547BF">
        <w:rPr>
          <w:szCs w:val="16"/>
        </w:rPr>
        <w:t>ñ</w:t>
      </w:r>
      <w:r w:rsidRPr="00C547BF">
        <w:rPr>
          <w:szCs w:val="16"/>
        </w:rPr>
        <w:t>as</w:t>
      </w:r>
      <w:proofErr w:type="spellEnd"/>
      <w:r w:rsidRPr="00C547BF">
        <w:rPr>
          <w:szCs w:val="16"/>
        </w:rPr>
        <w:t xml:space="preserve"> and Harold Cepero et al. v. Cuba</w:t>
      </w:r>
      <w:r w:rsidRPr="00C547BF">
        <w:rPr>
          <w:szCs w:val="16"/>
          <w:shd w:val="clear" w:color="auto" w:fill="F2F2F2"/>
        </w:rPr>
        <w:t xml:space="preserve">. </w:t>
      </w:r>
      <w:r w:rsidRPr="00C547BF">
        <w:rPr>
          <w:szCs w:val="16"/>
        </w:rPr>
        <w:t xml:space="preserve">Declaration of </w:t>
      </w:r>
      <w:proofErr w:type="spellStart"/>
      <w:r w:rsidRPr="00C547BF">
        <w:rPr>
          <w:szCs w:val="16"/>
        </w:rPr>
        <w:t>Ángel</w:t>
      </w:r>
      <w:proofErr w:type="spellEnd"/>
      <w:r w:rsidRPr="00C547BF">
        <w:rPr>
          <w:szCs w:val="16"/>
        </w:rPr>
        <w:t xml:space="preserve"> </w:t>
      </w:r>
      <w:proofErr w:type="spellStart"/>
      <w:r w:rsidRPr="00C547BF">
        <w:rPr>
          <w:szCs w:val="16"/>
        </w:rPr>
        <w:t>Carromero</w:t>
      </w:r>
      <w:proofErr w:type="spellEnd"/>
      <w:r w:rsidRPr="00C547BF">
        <w:rPr>
          <w:szCs w:val="16"/>
        </w:rPr>
        <w:t>; and Brief of Final Arguments of the Petitioners. Case file. Case file, p. 38.</w:t>
      </w:r>
    </w:p>
  </w:footnote>
  <w:footnote w:id="66">
    <w:p w14:paraId="72A1C5B8" w14:textId="26F6A33B"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ña</w:t>
      </w:r>
      <w:r w:rsidRPr="00C547BF">
        <w:rPr>
          <w:szCs w:val="16"/>
        </w:rPr>
        <w:t>s</w:t>
      </w:r>
      <w:proofErr w:type="spellEnd"/>
      <w:r w:rsidRPr="00C547BF">
        <w:rPr>
          <w:szCs w:val="16"/>
        </w:rPr>
        <w:t xml:space="preserve"> and Harold Cepero et al. v. Cuba. Declaration of </w:t>
      </w:r>
      <w:proofErr w:type="spellStart"/>
      <w:r w:rsidRPr="00C547BF">
        <w:rPr>
          <w:szCs w:val="16"/>
        </w:rPr>
        <w:t>Ángel</w:t>
      </w:r>
      <w:proofErr w:type="spellEnd"/>
      <w:r w:rsidRPr="00C547BF">
        <w:rPr>
          <w:szCs w:val="16"/>
        </w:rPr>
        <w:t xml:space="preserve"> </w:t>
      </w:r>
      <w:proofErr w:type="spellStart"/>
      <w:r w:rsidRPr="00C547BF">
        <w:rPr>
          <w:szCs w:val="16"/>
        </w:rPr>
        <w:t>Carromero</w:t>
      </w:r>
      <w:proofErr w:type="spellEnd"/>
      <w:r w:rsidRPr="00C547BF">
        <w:rPr>
          <w:szCs w:val="16"/>
        </w:rPr>
        <w:t>; Brief of the Petitioners supplementary to the Initial Petition of March 2, 2013, p. 16.</w:t>
      </w:r>
    </w:p>
  </w:footnote>
  <w:footnote w:id="67">
    <w:p w14:paraId="432B11D7" w14:textId="036DBC56"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ña</w:t>
      </w:r>
      <w:r w:rsidRPr="00C547BF">
        <w:rPr>
          <w:szCs w:val="16"/>
        </w:rPr>
        <w:t>s</w:t>
      </w:r>
      <w:proofErr w:type="spellEnd"/>
      <w:r w:rsidRPr="00C547BF">
        <w:rPr>
          <w:szCs w:val="16"/>
        </w:rPr>
        <w:t xml:space="preserve"> and Harold Cepero et al. v. Cuba. Statement by </w:t>
      </w:r>
      <w:proofErr w:type="spellStart"/>
      <w:r w:rsidRPr="00C547BF">
        <w:rPr>
          <w:szCs w:val="16"/>
        </w:rPr>
        <w:t>Ángel</w:t>
      </w:r>
      <w:proofErr w:type="spellEnd"/>
      <w:r w:rsidRPr="00C547BF">
        <w:rPr>
          <w:szCs w:val="16"/>
        </w:rPr>
        <w:t xml:space="preserve"> </w:t>
      </w:r>
      <w:proofErr w:type="spellStart"/>
      <w:r w:rsidRPr="00C547BF">
        <w:rPr>
          <w:szCs w:val="16"/>
        </w:rPr>
        <w:t>Carromero</w:t>
      </w:r>
      <w:proofErr w:type="spellEnd"/>
      <w:r w:rsidRPr="00C547BF">
        <w:rPr>
          <w:szCs w:val="16"/>
        </w:rPr>
        <w:t xml:space="preserve">; and The Washington Post, </w:t>
      </w:r>
      <w:proofErr w:type="spellStart"/>
      <w:r w:rsidRPr="00C547BF">
        <w:rPr>
          <w:i/>
          <w:szCs w:val="16"/>
        </w:rPr>
        <w:t>Ángel</w:t>
      </w:r>
      <w:proofErr w:type="spellEnd"/>
      <w:r w:rsidRPr="00C547BF">
        <w:rPr>
          <w:i/>
          <w:szCs w:val="16"/>
        </w:rPr>
        <w:t xml:space="preserve"> </w:t>
      </w:r>
      <w:proofErr w:type="spellStart"/>
      <w:r w:rsidRPr="00C547BF">
        <w:rPr>
          <w:i/>
          <w:szCs w:val="16"/>
        </w:rPr>
        <w:t>Carromero</w:t>
      </w:r>
      <w:proofErr w:type="spellEnd"/>
      <w:r w:rsidRPr="00C547BF">
        <w:rPr>
          <w:i/>
          <w:szCs w:val="16"/>
        </w:rPr>
        <w:t xml:space="preserve"> speaks out on Cuba crash that killed Oswaldo </w:t>
      </w:r>
      <w:proofErr w:type="spellStart"/>
      <w:r w:rsidRPr="00C547BF">
        <w:rPr>
          <w:i/>
          <w:szCs w:val="16"/>
        </w:rPr>
        <w:t>Payá</w:t>
      </w:r>
      <w:proofErr w:type="spellEnd"/>
      <w:r w:rsidRPr="00C547BF">
        <w:rPr>
          <w:b/>
          <w:szCs w:val="16"/>
        </w:rPr>
        <w:t xml:space="preserve">. </w:t>
      </w:r>
      <w:r w:rsidRPr="00C547BF">
        <w:rPr>
          <w:szCs w:val="16"/>
        </w:rPr>
        <w:t xml:space="preserve">March 5, 2013 </w:t>
      </w:r>
      <w:hyperlink r:id="rId24">
        <w:r w:rsidRPr="00C547BF">
          <w:rPr>
            <w:szCs w:val="16"/>
          </w:rPr>
          <w:t>https://www.washingtonpost.com/opinions/Ángel-carromero-speaks-out-on-cuba-crash-that-killed-oswaldo-</w:t>
        </w:r>
      </w:hyperlink>
      <w:r w:rsidRPr="00C547BF">
        <w:rPr>
          <w:szCs w:val="16"/>
        </w:rPr>
        <w:t xml:space="preserve"> paya/2013/03/05/05/1080077a-85b6-11e2-98a3-b3db6b9ac586_story.html.</w:t>
      </w:r>
    </w:p>
  </w:footnote>
  <w:footnote w:id="68">
    <w:p w14:paraId="66583175" w14:textId="6858825A"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ña</w:t>
      </w:r>
      <w:r w:rsidRPr="00C547BF">
        <w:rPr>
          <w:szCs w:val="16"/>
        </w:rPr>
        <w:t>s</w:t>
      </w:r>
      <w:proofErr w:type="spellEnd"/>
      <w:r w:rsidRPr="00C547BF">
        <w:rPr>
          <w:szCs w:val="16"/>
        </w:rPr>
        <w:t xml:space="preserve"> and Harold Cepero et al. v. Cuba. Declaration of </w:t>
      </w:r>
      <w:proofErr w:type="spellStart"/>
      <w:r w:rsidRPr="00C547BF">
        <w:rPr>
          <w:szCs w:val="16"/>
        </w:rPr>
        <w:t>Ángel</w:t>
      </w:r>
      <w:proofErr w:type="spellEnd"/>
      <w:r w:rsidRPr="00C547BF">
        <w:rPr>
          <w:szCs w:val="16"/>
        </w:rPr>
        <w:t xml:space="preserve"> </w:t>
      </w:r>
      <w:proofErr w:type="spellStart"/>
      <w:r w:rsidRPr="00C547BF">
        <w:rPr>
          <w:szCs w:val="16"/>
        </w:rPr>
        <w:t>Carromero</w:t>
      </w:r>
      <w:proofErr w:type="spellEnd"/>
      <w:r w:rsidRPr="00C547BF">
        <w:rPr>
          <w:szCs w:val="16"/>
        </w:rPr>
        <w:t xml:space="preserve"> and Brief of the Petitioners supplementary to the Initial Petition of March 2, 2013, p. 16.</w:t>
      </w:r>
    </w:p>
  </w:footnote>
  <w:footnote w:id="69">
    <w:p w14:paraId="606E32DD" w14:textId="0C18BB09"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ña</w:t>
      </w:r>
      <w:r w:rsidRPr="00C547BF">
        <w:rPr>
          <w:szCs w:val="16"/>
        </w:rPr>
        <w:t>s</w:t>
      </w:r>
      <w:proofErr w:type="spellEnd"/>
      <w:r w:rsidRPr="00C547BF">
        <w:rPr>
          <w:szCs w:val="16"/>
        </w:rPr>
        <w:t xml:space="preserve"> and Harold Cepero et al. v. Cuba. Statement by </w:t>
      </w:r>
      <w:proofErr w:type="spellStart"/>
      <w:r w:rsidRPr="00C547BF">
        <w:rPr>
          <w:szCs w:val="16"/>
        </w:rPr>
        <w:t>Ángel</w:t>
      </w:r>
      <w:proofErr w:type="spellEnd"/>
      <w:r w:rsidRPr="00C547BF">
        <w:rPr>
          <w:szCs w:val="16"/>
        </w:rPr>
        <w:t xml:space="preserve"> </w:t>
      </w:r>
      <w:proofErr w:type="spellStart"/>
      <w:r w:rsidRPr="00C547BF">
        <w:rPr>
          <w:szCs w:val="16"/>
        </w:rPr>
        <w:t>Carromero</w:t>
      </w:r>
      <w:proofErr w:type="spellEnd"/>
      <w:r w:rsidRPr="00C547BF">
        <w:rPr>
          <w:szCs w:val="16"/>
        </w:rPr>
        <w:t xml:space="preserve">; Statement by </w:t>
      </w:r>
      <w:proofErr w:type="spellStart"/>
      <w:r w:rsidRPr="00C547BF">
        <w:rPr>
          <w:szCs w:val="16"/>
        </w:rPr>
        <w:t>Ángel</w:t>
      </w:r>
      <w:proofErr w:type="spellEnd"/>
      <w:r w:rsidRPr="00C547BF">
        <w:rPr>
          <w:szCs w:val="16"/>
        </w:rPr>
        <w:t xml:space="preserve"> </w:t>
      </w:r>
      <w:proofErr w:type="spellStart"/>
      <w:r w:rsidRPr="00C547BF">
        <w:rPr>
          <w:szCs w:val="16"/>
        </w:rPr>
        <w:t>Carromero</w:t>
      </w:r>
      <w:proofErr w:type="spellEnd"/>
      <w:r w:rsidRPr="00C547BF">
        <w:rPr>
          <w:szCs w:val="16"/>
        </w:rPr>
        <w:t xml:space="preserve"> on the Program "Al Punto" with Jorge Ramos on </w:t>
      </w:r>
      <w:proofErr w:type="spellStart"/>
      <w:r w:rsidRPr="00C547BF">
        <w:rPr>
          <w:szCs w:val="16"/>
        </w:rPr>
        <w:t>Univisión</w:t>
      </w:r>
      <w:proofErr w:type="spellEnd"/>
      <w:r w:rsidRPr="00C547BF">
        <w:rPr>
          <w:szCs w:val="16"/>
        </w:rPr>
        <w:t xml:space="preserve">. October 14, 2014. Available at </w:t>
      </w:r>
      <w:hyperlink r:id="rId25" w:history="1">
        <w:r w:rsidRPr="00C547BF">
          <w:rPr>
            <w:rStyle w:val="Hipervnculo"/>
            <w:szCs w:val="16"/>
          </w:rPr>
          <w:t>https://www.youtube.com/watch?v=BSe2CDQCLnM</w:t>
        </w:r>
      </w:hyperlink>
      <w:r w:rsidRPr="00C547BF">
        <w:rPr>
          <w:szCs w:val="16"/>
        </w:rPr>
        <w:t xml:space="preserve"> (last visited May 30, 2022), and Brief of the Petitioners supplemental to the Initial Petition of March 2, 2013, p. 16. Case file before the IACHR.</w:t>
      </w:r>
    </w:p>
  </w:footnote>
  <w:footnote w:id="70">
    <w:p w14:paraId="7EA22E8F" w14:textId="77777777" w:rsidR="00171179" w:rsidRPr="00C547BF" w:rsidRDefault="00171179" w:rsidP="007415AC">
      <w:pPr>
        <w:spacing w:after="0"/>
        <w:rPr>
          <w:sz w:val="16"/>
          <w:szCs w:val="16"/>
          <w:lang w:val="en-US"/>
        </w:rPr>
      </w:pPr>
      <w:r w:rsidRPr="00C547BF">
        <w:rPr>
          <w:rStyle w:val="Refdenotaalpie"/>
          <w:sz w:val="16"/>
          <w:szCs w:val="16"/>
        </w:rPr>
        <w:footnoteRef/>
      </w:r>
      <w:r w:rsidRPr="00C547BF">
        <w:rPr>
          <w:sz w:val="16"/>
          <w:szCs w:val="16"/>
          <w:lang w:val="en-US"/>
        </w:rPr>
        <w:t xml:space="preserve"> Brief of the Petitioners supplementary to the Initial Petition of March 2, 2013, p. 16. </w:t>
      </w:r>
      <w:proofErr w:type="gramStart"/>
      <w:r w:rsidRPr="00C547BF">
        <w:rPr>
          <w:sz w:val="16"/>
          <w:szCs w:val="16"/>
          <w:lang w:val="en-US"/>
        </w:rPr>
        <w:t>Also</w:t>
      </w:r>
      <w:proofErr w:type="gramEnd"/>
      <w:r w:rsidRPr="00C547BF">
        <w:rPr>
          <w:sz w:val="16"/>
          <w:szCs w:val="16"/>
          <w:lang w:val="en-US"/>
        </w:rPr>
        <w:t xml:space="preserve"> Statement by </w:t>
      </w:r>
      <w:proofErr w:type="spellStart"/>
      <w:r w:rsidRPr="00C547BF">
        <w:rPr>
          <w:sz w:val="16"/>
          <w:szCs w:val="16"/>
          <w:lang w:val="en-US"/>
        </w:rPr>
        <w:t>Ángel</w:t>
      </w:r>
      <w:proofErr w:type="spellEnd"/>
      <w:r w:rsidRPr="00C547BF">
        <w:rPr>
          <w:sz w:val="16"/>
          <w:szCs w:val="16"/>
          <w:lang w:val="en-US"/>
        </w:rPr>
        <w:t xml:space="preserve"> </w:t>
      </w:r>
      <w:proofErr w:type="spellStart"/>
      <w:r w:rsidRPr="00C547BF">
        <w:rPr>
          <w:sz w:val="16"/>
          <w:szCs w:val="16"/>
          <w:lang w:val="en-US"/>
        </w:rPr>
        <w:t>Carromero</w:t>
      </w:r>
      <w:proofErr w:type="spellEnd"/>
      <w:r w:rsidRPr="00C547BF">
        <w:rPr>
          <w:sz w:val="16"/>
          <w:szCs w:val="16"/>
          <w:lang w:val="en-US"/>
        </w:rPr>
        <w:t xml:space="preserve"> on the Program "Al Punto" with Jorge Ramos on </w:t>
      </w:r>
      <w:proofErr w:type="spellStart"/>
      <w:r w:rsidRPr="00C547BF">
        <w:rPr>
          <w:sz w:val="16"/>
          <w:szCs w:val="16"/>
          <w:lang w:val="en-US"/>
        </w:rPr>
        <w:t>Univisión</w:t>
      </w:r>
      <w:proofErr w:type="spellEnd"/>
      <w:r w:rsidRPr="00C547BF">
        <w:rPr>
          <w:sz w:val="16"/>
          <w:szCs w:val="16"/>
          <w:lang w:val="en-US"/>
        </w:rPr>
        <w:t xml:space="preserve">. October 14, 2014. Available at </w:t>
      </w:r>
      <w:hyperlink r:id="rId26" w:history="1">
        <w:r w:rsidRPr="00C547BF">
          <w:rPr>
            <w:rStyle w:val="Hipervnculo"/>
            <w:sz w:val="16"/>
            <w:szCs w:val="16"/>
            <w:lang w:val="en-US"/>
          </w:rPr>
          <w:t>https://www.youtube.com/watch?v=BSe2CDQCLnM</w:t>
        </w:r>
      </w:hyperlink>
      <w:r w:rsidRPr="00C547BF">
        <w:rPr>
          <w:sz w:val="16"/>
          <w:szCs w:val="16"/>
          <w:lang w:val="en-US"/>
        </w:rPr>
        <w:t xml:space="preserve"> (last visited May 30, 2022).</w:t>
      </w:r>
    </w:p>
  </w:footnote>
  <w:footnote w:id="71">
    <w:p w14:paraId="2EE121D5"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Petitioners' Supplemental Brief to the Initial Petition of March 2, 2013, p. 16.</w:t>
      </w:r>
    </w:p>
  </w:footnote>
  <w:footnote w:id="72">
    <w:p w14:paraId="0DDBA1DA" w14:textId="2D16BDD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ña</w:t>
      </w:r>
      <w:r w:rsidRPr="00C547BF">
        <w:rPr>
          <w:szCs w:val="16"/>
        </w:rPr>
        <w:t>s</w:t>
      </w:r>
      <w:proofErr w:type="spellEnd"/>
      <w:r w:rsidRPr="00C547BF">
        <w:rPr>
          <w:szCs w:val="16"/>
        </w:rPr>
        <w:t xml:space="preserve"> and Harold Cepero et al. v. Cuba. Declaration of Ofelia Acevedo, and Brief of Final Arguments of the Petitioners of April 22, 2021. Case file. P. 33.</w:t>
      </w:r>
    </w:p>
  </w:footnote>
  <w:footnote w:id="73">
    <w:p w14:paraId="3DDCE7E3" w14:textId="41C6228A"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ña</w:t>
      </w:r>
      <w:r w:rsidRPr="00C547BF">
        <w:rPr>
          <w:szCs w:val="16"/>
        </w:rPr>
        <w:t>s</w:t>
      </w:r>
      <w:proofErr w:type="spellEnd"/>
      <w:r w:rsidRPr="00C547BF">
        <w:rPr>
          <w:szCs w:val="16"/>
        </w:rPr>
        <w:t xml:space="preserve"> and Harold Cepero et al. v. Cuba. Declaration of Ofelia Acevedo, Declaration of Rosa </w:t>
      </w:r>
      <w:proofErr w:type="spellStart"/>
      <w:r w:rsidRPr="00C547BF">
        <w:rPr>
          <w:szCs w:val="16"/>
        </w:rPr>
        <w:t>Matía</w:t>
      </w:r>
      <w:proofErr w:type="spellEnd"/>
      <w:r w:rsidRPr="00C547BF">
        <w:rPr>
          <w:szCs w:val="16"/>
        </w:rPr>
        <w:t xml:space="preserve"> </w:t>
      </w:r>
      <w:proofErr w:type="spellStart"/>
      <w:r w:rsidRPr="00C547BF">
        <w:rPr>
          <w:szCs w:val="16"/>
        </w:rPr>
        <w:t>Payá</w:t>
      </w:r>
      <w:proofErr w:type="spellEnd"/>
      <w:r w:rsidRPr="00C547BF">
        <w:rPr>
          <w:szCs w:val="16"/>
        </w:rPr>
        <w:t>; and Brief of Final Arguments of the Petitioners of April 22, 2021. Case file. P. 33.</w:t>
      </w:r>
    </w:p>
  </w:footnote>
  <w:footnote w:id="74">
    <w:p w14:paraId="5EB8B213" w14:textId="37364A2F" w:rsidR="00171179" w:rsidRPr="00C547BF" w:rsidRDefault="00171179" w:rsidP="007415AC">
      <w:pPr>
        <w:pStyle w:val="Textonotapie"/>
        <w:rPr>
          <w:szCs w:val="16"/>
        </w:rPr>
      </w:pPr>
      <w:r w:rsidRPr="00C547BF">
        <w:rPr>
          <w:rStyle w:val="Refdenotaalpie"/>
          <w:szCs w:val="16"/>
        </w:rPr>
        <w:footnoteRef/>
      </w:r>
      <w:r w:rsidRPr="00C547BF">
        <w:rPr>
          <w:szCs w:val="16"/>
        </w:rPr>
        <w:t xml:space="preserve"> Petitioners' Closing Brief. Case file. P. 34, and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ña</w:t>
      </w:r>
      <w:r w:rsidRPr="00C547BF">
        <w:rPr>
          <w:szCs w:val="16"/>
        </w:rPr>
        <w:t>s</w:t>
      </w:r>
      <w:proofErr w:type="spellEnd"/>
      <w:r w:rsidRPr="00C547BF">
        <w:rPr>
          <w:szCs w:val="16"/>
        </w:rPr>
        <w:t xml:space="preserve"> and Harold Cepero et al. v. Cuba. Declaration of Ofelia Acevedo</w:t>
      </w:r>
    </w:p>
  </w:footnote>
  <w:footnote w:id="75">
    <w:p w14:paraId="6E946F19"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Petitioner's written observations on the merits, April 21, 2021. P. 45.</w:t>
      </w:r>
    </w:p>
  </w:footnote>
  <w:footnote w:id="76">
    <w:p w14:paraId="4F76F703" w14:textId="73E6CA7B" w:rsidR="00171179" w:rsidRPr="00C547BF" w:rsidRDefault="00171179" w:rsidP="007415AC">
      <w:pPr>
        <w:pStyle w:val="Textonotapie"/>
        <w:rPr>
          <w:szCs w:val="16"/>
        </w:rPr>
      </w:pPr>
      <w:r w:rsidRPr="00C547BF">
        <w:rPr>
          <w:rStyle w:val="Refdenotaalpie"/>
          <w:szCs w:val="16"/>
        </w:rPr>
        <w:footnoteRef/>
      </w:r>
      <w:r w:rsidRPr="00C547BF">
        <w:rPr>
          <w:szCs w:val="16"/>
        </w:rPr>
        <w:t xml:space="preserve"> Petitioners' Closing Brief. Case file. P. 34, and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ña</w:t>
      </w:r>
      <w:r w:rsidRPr="00C547BF">
        <w:rPr>
          <w:szCs w:val="16"/>
        </w:rPr>
        <w:t>s</w:t>
      </w:r>
      <w:proofErr w:type="spellEnd"/>
      <w:r w:rsidRPr="00C547BF">
        <w:rPr>
          <w:szCs w:val="16"/>
        </w:rPr>
        <w:t xml:space="preserve"> and Harold Cepero et al. v. Cuba. Declaration of Ofelia Acevedo</w:t>
      </w:r>
    </w:p>
  </w:footnote>
  <w:footnote w:id="77">
    <w:p w14:paraId="21EEFB58" w14:textId="52096853"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ña</w:t>
      </w:r>
      <w:r w:rsidRPr="00C547BF">
        <w:rPr>
          <w:szCs w:val="16"/>
        </w:rPr>
        <w:t>s</w:t>
      </w:r>
      <w:proofErr w:type="spellEnd"/>
      <w:r w:rsidRPr="00C547BF">
        <w:rPr>
          <w:szCs w:val="16"/>
        </w:rPr>
        <w:t xml:space="preserve"> and Harold Cepero et al. v. Cuba. Declaration of Ofelia Acevedo and Brief of Final Arguments of the Petitioners. Case file. P. 35.</w:t>
      </w:r>
    </w:p>
  </w:footnote>
  <w:footnote w:id="78">
    <w:p w14:paraId="682D1CDB" w14:textId="195E1438"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ña</w:t>
      </w:r>
      <w:r w:rsidRPr="00C547BF">
        <w:rPr>
          <w:szCs w:val="16"/>
        </w:rPr>
        <w:t>s</w:t>
      </w:r>
      <w:proofErr w:type="spellEnd"/>
      <w:r w:rsidRPr="00C547BF">
        <w:rPr>
          <w:szCs w:val="16"/>
        </w:rPr>
        <w:t xml:space="preserve"> and Harold Cepero et al. v. Cuba. Statement of Ofelia Acevedo.</w:t>
      </w:r>
    </w:p>
  </w:footnote>
  <w:footnote w:id="79">
    <w:p w14:paraId="25B8FF1D"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Petitioners' Closing Brief. Case file. P. 35.</w:t>
      </w:r>
    </w:p>
  </w:footnote>
  <w:footnote w:id="80">
    <w:p w14:paraId="451FB12F"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Note from the Ministry of the Interior, July 28, 2012, reproduced at: </w:t>
      </w:r>
      <w:hyperlink r:id="rId27">
        <w:r w:rsidRPr="00C547BF">
          <w:rPr>
            <w:szCs w:val="16"/>
          </w:rPr>
          <w:t>http://www.cubadebate.cu/noticias/2012/07/27/nota-</w:t>
        </w:r>
      </w:hyperlink>
      <w:r w:rsidRPr="00C547BF">
        <w:rPr>
          <w:szCs w:val="16"/>
        </w:rPr>
        <w:t xml:space="preserve"> </w:t>
      </w:r>
      <w:proofErr w:type="spellStart"/>
      <w:r w:rsidRPr="00C547BF">
        <w:rPr>
          <w:szCs w:val="16"/>
        </w:rPr>
        <w:t>oficial</w:t>
      </w:r>
      <w:proofErr w:type="spellEnd"/>
      <w:r w:rsidRPr="00C547BF">
        <w:rPr>
          <w:szCs w:val="16"/>
        </w:rPr>
        <w:t>-del-</w:t>
      </w:r>
      <w:proofErr w:type="spellStart"/>
      <w:r w:rsidRPr="00C547BF">
        <w:rPr>
          <w:szCs w:val="16"/>
        </w:rPr>
        <w:t>ministerio</w:t>
      </w:r>
      <w:proofErr w:type="spellEnd"/>
      <w:r w:rsidRPr="00C547BF">
        <w:rPr>
          <w:szCs w:val="16"/>
        </w:rPr>
        <w:t>-del-interior/</w:t>
      </w:r>
      <w:proofErr w:type="gramStart"/>
      <w:r w:rsidRPr="00C547BF">
        <w:rPr>
          <w:szCs w:val="16"/>
        </w:rPr>
        <w:t>#.WMGLexIrJE</w:t>
      </w:r>
      <w:proofErr w:type="gramEnd"/>
      <w:r w:rsidRPr="00C547BF">
        <w:rPr>
          <w:szCs w:val="16"/>
        </w:rPr>
        <w:t>5.</w:t>
      </w:r>
    </w:p>
  </w:footnote>
  <w:footnote w:id="81">
    <w:p w14:paraId="6BDD3402" w14:textId="77777777" w:rsidR="00171179" w:rsidRPr="00C547BF" w:rsidRDefault="00171179" w:rsidP="007415AC">
      <w:pPr>
        <w:spacing w:after="0"/>
        <w:ind w:right="335"/>
        <w:rPr>
          <w:rFonts w:eastAsia="Calibri" w:cs="Calibri"/>
          <w:sz w:val="16"/>
          <w:szCs w:val="16"/>
          <w:lang w:val="en-US" w:eastAsia="es-ES"/>
        </w:rPr>
      </w:pPr>
      <w:r w:rsidRPr="00C547BF">
        <w:rPr>
          <w:rStyle w:val="Refdenotaalpie"/>
          <w:sz w:val="16"/>
          <w:szCs w:val="16"/>
        </w:rPr>
        <w:footnoteRef/>
      </w:r>
      <w:r w:rsidRPr="00C547BF">
        <w:rPr>
          <w:sz w:val="16"/>
          <w:szCs w:val="16"/>
          <w:lang w:val="en-US"/>
        </w:rPr>
        <w:t xml:space="preserve"> Sentence against </w:t>
      </w:r>
      <w:proofErr w:type="spellStart"/>
      <w:r w:rsidRPr="00C547BF">
        <w:rPr>
          <w:sz w:val="16"/>
          <w:szCs w:val="16"/>
          <w:lang w:val="en-US"/>
        </w:rPr>
        <w:t>Ángel</w:t>
      </w:r>
      <w:proofErr w:type="spellEnd"/>
      <w:r w:rsidRPr="00C547BF">
        <w:rPr>
          <w:sz w:val="16"/>
          <w:szCs w:val="16"/>
          <w:lang w:val="en-US"/>
        </w:rPr>
        <w:t xml:space="preserve"> </w:t>
      </w:r>
      <w:proofErr w:type="spellStart"/>
      <w:r w:rsidRPr="00C547BF">
        <w:rPr>
          <w:sz w:val="16"/>
          <w:szCs w:val="16"/>
          <w:lang w:val="en-US"/>
        </w:rPr>
        <w:t>Carromero</w:t>
      </w:r>
      <w:proofErr w:type="spellEnd"/>
      <w:r w:rsidRPr="00C547BF">
        <w:rPr>
          <w:sz w:val="16"/>
          <w:szCs w:val="16"/>
          <w:lang w:val="en-US"/>
        </w:rPr>
        <w:t xml:space="preserve">. First Criminal Chamber of the People's Court of Granma. Sentence No. 573/2012 of October 12, 2012; and </w:t>
      </w:r>
      <w:proofErr w:type="spellStart"/>
      <w:r w:rsidRPr="00C547BF">
        <w:rPr>
          <w:sz w:val="16"/>
          <w:szCs w:val="16"/>
          <w:lang w:val="en-US"/>
        </w:rPr>
        <w:t>CubaDebate</w:t>
      </w:r>
      <w:proofErr w:type="spellEnd"/>
      <w:r w:rsidRPr="00C547BF">
        <w:rPr>
          <w:sz w:val="16"/>
          <w:szCs w:val="16"/>
          <w:lang w:val="en-US"/>
        </w:rPr>
        <w:t xml:space="preserve">, </w:t>
      </w:r>
      <w:r w:rsidRPr="00C547BF">
        <w:rPr>
          <w:rFonts w:eastAsia="Calibri" w:cs="Calibri"/>
          <w:sz w:val="16"/>
          <w:szCs w:val="16"/>
          <w:lang w:val="en-US" w:eastAsia="es-ES"/>
        </w:rPr>
        <w:t xml:space="preserve">Official note from the Ministry of the Interior on the accident of last July 22 (+ Infographic and Video). July 27, 2012. Available at: http://www.cubadebate.cu/noticias/2012/07/27/nota-oficial-del-ministerio-del-interior/#.U5HuZi_TkoY </w:t>
      </w:r>
    </w:p>
  </w:footnote>
  <w:footnote w:id="82">
    <w:p w14:paraId="20212C10"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Sentence against </w:t>
      </w:r>
      <w:proofErr w:type="spellStart"/>
      <w:r w:rsidRPr="00C547BF">
        <w:rPr>
          <w:szCs w:val="16"/>
        </w:rPr>
        <w:t>Ángel</w:t>
      </w:r>
      <w:proofErr w:type="spellEnd"/>
      <w:r w:rsidRPr="00C547BF">
        <w:rPr>
          <w:szCs w:val="16"/>
        </w:rPr>
        <w:t xml:space="preserve"> </w:t>
      </w:r>
      <w:proofErr w:type="spellStart"/>
      <w:r w:rsidRPr="00C547BF">
        <w:rPr>
          <w:szCs w:val="16"/>
        </w:rPr>
        <w:t>Carromero</w:t>
      </w:r>
      <w:proofErr w:type="spellEnd"/>
      <w:r w:rsidRPr="00C547BF">
        <w:rPr>
          <w:szCs w:val="16"/>
        </w:rPr>
        <w:t>. First Criminal Chamber of the People's Court of Granma. Judgment No. 573/2012 of October 12, 2012.</w:t>
      </w:r>
    </w:p>
  </w:footnote>
  <w:footnote w:id="83">
    <w:p w14:paraId="33A414B1"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Petitioners' Closing Brief. Case File. P. 39, and Note from the Ministry of the Interior, July 28, 2012, reproduced at: </w:t>
      </w:r>
      <w:hyperlink r:id="rId28">
        <w:r w:rsidRPr="00C547BF">
          <w:rPr>
            <w:szCs w:val="16"/>
          </w:rPr>
          <w:t>http://www.cubadebate.cu/noticias/2012/07/27/nota-</w:t>
        </w:r>
      </w:hyperlink>
      <w:r w:rsidRPr="00C547BF">
        <w:rPr>
          <w:szCs w:val="16"/>
        </w:rPr>
        <w:t xml:space="preserve"> </w:t>
      </w:r>
      <w:proofErr w:type="spellStart"/>
      <w:r w:rsidRPr="00C547BF">
        <w:rPr>
          <w:szCs w:val="16"/>
        </w:rPr>
        <w:t>oficial</w:t>
      </w:r>
      <w:proofErr w:type="spellEnd"/>
      <w:r w:rsidRPr="00C547BF">
        <w:rPr>
          <w:szCs w:val="16"/>
        </w:rPr>
        <w:t>-del-</w:t>
      </w:r>
      <w:proofErr w:type="spellStart"/>
      <w:r w:rsidRPr="00C547BF">
        <w:rPr>
          <w:szCs w:val="16"/>
        </w:rPr>
        <w:t>ministerio</w:t>
      </w:r>
      <w:proofErr w:type="spellEnd"/>
      <w:r w:rsidRPr="00C547BF">
        <w:rPr>
          <w:szCs w:val="16"/>
        </w:rPr>
        <w:t xml:space="preserve">-del-interior/#.WMGLexIrJE5. </w:t>
      </w:r>
    </w:p>
  </w:footnote>
  <w:footnote w:id="84">
    <w:p w14:paraId="38BA8A97" w14:textId="020A24C9"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w:t>
      </w:r>
      <w:r w:rsidRPr="00C547BF">
        <w:rPr>
          <w:szCs w:val="16"/>
        </w:rPr>
        <w:t>as</w:t>
      </w:r>
      <w:proofErr w:type="spellEnd"/>
      <w:r w:rsidRPr="00C547BF">
        <w:rPr>
          <w:szCs w:val="16"/>
        </w:rPr>
        <w:t xml:space="preserve"> and Harold Cepero et al. v. Cuba. Statement of </w:t>
      </w:r>
      <w:proofErr w:type="spellStart"/>
      <w:r w:rsidRPr="00C547BF">
        <w:rPr>
          <w:szCs w:val="16"/>
        </w:rPr>
        <w:t>Ángel</w:t>
      </w:r>
      <w:proofErr w:type="spellEnd"/>
      <w:r w:rsidRPr="00C547BF">
        <w:rPr>
          <w:szCs w:val="16"/>
        </w:rPr>
        <w:t xml:space="preserve"> </w:t>
      </w:r>
      <w:proofErr w:type="spellStart"/>
      <w:r w:rsidRPr="00C547BF">
        <w:rPr>
          <w:szCs w:val="16"/>
        </w:rPr>
        <w:t>Carromero</w:t>
      </w:r>
      <w:proofErr w:type="spellEnd"/>
      <w:r w:rsidRPr="00C547BF">
        <w:rPr>
          <w:szCs w:val="16"/>
        </w:rPr>
        <w:t xml:space="preserve"> Petitioners' Brief Supplemental to the Initial Petition of March 2, 2013, p. 16. </w:t>
      </w:r>
    </w:p>
  </w:footnote>
  <w:footnote w:id="85">
    <w:p w14:paraId="676396D9" w14:textId="3C1E6F9F"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w:t>
      </w:r>
      <w:r w:rsidRPr="00C547BF">
        <w:rPr>
          <w:szCs w:val="16"/>
        </w:rPr>
        <w:t>as</w:t>
      </w:r>
      <w:proofErr w:type="spellEnd"/>
      <w:r w:rsidRPr="00C547BF">
        <w:rPr>
          <w:szCs w:val="16"/>
        </w:rPr>
        <w:t xml:space="preserve"> and Harold Cepero et al. v. Cuba</w:t>
      </w:r>
      <w:r w:rsidRPr="00C547BF">
        <w:rPr>
          <w:szCs w:val="16"/>
          <w:shd w:val="clear" w:color="auto" w:fill="F2F2F2"/>
        </w:rPr>
        <w:t>.</w:t>
      </w:r>
      <w:r w:rsidRPr="00C547BF">
        <w:rPr>
          <w:szCs w:val="16"/>
        </w:rPr>
        <w:t xml:space="preserve"> Declaration of </w:t>
      </w:r>
      <w:proofErr w:type="spellStart"/>
      <w:r w:rsidRPr="00C547BF">
        <w:rPr>
          <w:szCs w:val="16"/>
        </w:rPr>
        <w:t>Ángel</w:t>
      </w:r>
      <w:proofErr w:type="spellEnd"/>
      <w:r w:rsidRPr="00C547BF">
        <w:rPr>
          <w:szCs w:val="16"/>
        </w:rPr>
        <w:t xml:space="preserve"> </w:t>
      </w:r>
      <w:proofErr w:type="spellStart"/>
      <w:r w:rsidRPr="00C547BF">
        <w:rPr>
          <w:szCs w:val="16"/>
        </w:rPr>
        <w:t>Carromero</w:t>
      </w:r>
      <w:proofErr w:type="spellEnd"/>
      <w:r w:rsidRPr="00C547BF">
        <w:rPr>
          <w:szCs w:val="16"/>
        </w:rPr>
        <w:t>.</w:t>
      </w:r>
    </w:p>
  </w:footnote>
  <w:footnote w:id="86">
    <w:p w14:paraId="729EF46C"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Petitioners' Closing Brief. Case file. P. 38, contrasts Video in </w:t>
      </w:r>
      <w:proofErr w:type="spellStart"/>
      <w:r w:rsidRPr="00C547BF">
        <w:rPr>
          <w:szCs w:val="16"/>
        </w:rPr>
        <w:t>CubaDebate</w:t>
      </w:r>
      <w:proofErr w:type="spellEnd"/>
      <w:r w:rsidRPr="00C547BF">
        <w:rPr>
          <w:szCs w:val="16"/>
        </w:rPr>
        <w:t xml:space="preserve">, Official Note from the Ministry of the Interior on the accident of July 22 (+ Infographics and Video). July 27, </w:t>
      </w:r>
      <w:r w:rsidRPr="00C547BF">
        <w:rPr>
          <w:spacing w:val="-1"/>
          <w:szCs w:val="16"/>
        </w:rPr>
        <w:t xml:space="preserve">2012. Available </w:t>
      </w:r>
      <w:r w:rsidRPr="00C547BF">
        <w:rPr>
          <w:szCs w:val="16"/>
        </w:rPr>
        <w:t xml:space="preserve">at: </w:t>
      </w:r>
      <w:hyperlink r:id="rId29" w:anchor=".U5HuZi_TkoY%3B">
        <w:r w:rsidRPr="00C547BF">
          <w:rPr>
            <w:szCs w:val="16"/>
          </w:rPr>
          <w:t>http://www.cubadebate.cu/noticias/2012/07/27/nota-oficial-del-ministerio-del-interior/#.U5HuZi_TkoY;</w:t>
        </w:r>
      </w:hyperlink>
    </w:p>
    <w:p w14:paraId="5713BB29" w14:textId="77777777" w:rsidR="00171179" w:rsidRPr="00C547BF" w:rsidRDefault="00171179" w:rsidP="007415AC">
      <w:pPr>
        <w:autoSpaceDE w:val="0"/>
        <w:autoSpaceDN w:val="0"/>
        <w:adjustRightInd w:val="0"/>
        <w:spacing w:after="0"/>
        <w:rPr>
          <w:sz w:val="16"/>
          <w:szCs w:val="16"/>
          <w:lang w:val="en-US" w:eastAsia="es-ES"/>
        </w:rPr>
      </w:pPr>
      <w:r w:rsidRPr="00C547BF">
        <w:rPr>
          <w:sz w:val="16"/>
          <w:szCs w:val="16"/>
          <w:lang w:val="en-US" w:eastAsia="es-ES"/>
        </w:rPr>
        <w:t xml:space="preserve">Statement by </w:t>
      </w:r>
      <w:proofErr w:type="spellStart"/>
      <w:r w:rsidRPr="00C547BF">
        <w:rPr>
          <w:sz w:val="16"/>
          <w:szCs w:val="16"/>
          <w:lang w:val="en-US" w:eastAsia="es-ES"/>
        </w:rPr>
        <w:t>Ángel</w:t>
      </w:r>
      <w:proofErr w:type="spellEnd"/>
      <w:r w:rsidRPr="00C547BF">
        <w:rPr>
          <w:sz w:val="16"/>
          <w:szCs w:val="16"/>
          <w:lang w:val="en-US" w:eastAsia="es-ES"/>
        </w:rPr>
        <w:t xml:space="preserve"> </w:t>
      </w:r>
      <w:proofErr w:type="spellStart"/>
      <w:r w:rsidRPr="00C547BF">
        <w:rPr>
          <w:sz w:val="16"/>
          <w:szCs w:val="16"/>
          <w:lang w:val="en-US" w:eastAsia="es-ES"/>
        </w:rPr>
        <w:t>Carromero</w:t>
      </w:r>
      <w:proofErr w:type="spellEnd"/>
      <w:r w:rsidRPr="00C547BF">
        <w:rPr>
          <w:sz w:val="16"/>
          <w:szCs w:val="16"/>
          <w:lang w:val="en-US" w:eastAsia="es-ES"/>
        </w:rPr>
        <w:t>, speech to UN Watch, June 27, 2014, available at:</w:t>
      </w:r>
    </w:p>
    <w:p w14:paraId="2AFFEB56" w14:textId="77777777" w:rsidR="00171179" w:rsidRPr="00C547BF" w:rsidRDefault="00171179" w:rsidP="007415AC">
      <w:pPr>
        <w:pStyle w:val="Textonotapie"/>
        <w:rPr>
          <w:szCs w:val="16"/>
        </w:rPr>
      </w:pPr>
      <w:r w:rsidRPr="00C547BF">
        <w:rPr>
          <w:szCs w:val="16"/>
        </w:rPr>
        <w:t>https://www.youtube.com/watch?v=pmoGn8aojKA&amp;list=UU0BEdffpLEGzPtPD3O8-XgQ&amp;index=26</w:t>
      </w:r>
    </w:p>
  </w:footnote>
  <w:footnote w:id="87">
    <w:p w14:paraId="36F41B1C" w14:textId="77777777" w:rsidR="00171179" w:rsidRPr="00C547BF" w:rsidRDefault="00171179" w:rsidP="007415AC">
      <w:pPr>
        <w:autoSpaceDE w:val="0"/>
        <w:autoSpaceDN w:val="0"/>
        <w:adjustRightInd w:val="0"/>
        <w:spacing w:after="0"/>
        <w:rPr>
          <w:sz w:val="16"/>
          <w:szCs w:val="16"/>
          <w:lang w:val="en-US" w:eastAsia="es-ES"/>
        </w:rPr>
      </w:pPr>
      <w:r w:rsidRPr="00C547BF">
        <w:rPr>
          <w:rStyle w:val="Refdenotaalpie"/>
          <w:sz w:val="16"/>
          <w:szCs w:val="16"/>
        </w:rPr>
        <w:footnoteRef/>
      </w:r>
      <w:r w:rsidRPr="00C547BF">
        <w:rPr>
          <w:sz w:val="16"/>
          <w:szCs w:val="16"/>
          <w:lang w:val="en-US" w:eastAsia="es-ES"/>
        </w:rPr>
        <w:t xml:space="preserve"> </w:t>
      </w:r>
      <w:proofErr w:type="spellStart"/>
      <w:r w:rsidRPr="00C547BF">
        <w:rPr>
          <w:sz w:val="16"/>
          <w:szCs w:val="16"/>
          <w:lang w:val="en-US" w:eastAsia="es-ES"/>
        </w:rPr>
        <w:t>Ángel</w:t>
      </w:r>
      <w:proofErr w:type="spellEnd"/>
      <w:r w:rsidRPr="00C547BF">
        <w:rPr>
          <w:sz w:val="16"/>
          <w:szCs w:val="16"/>
          <w:lang w:val="en-US" w:eastAsia="es-ES"/>
        </w:rPr>
        <w:t xml:space="preserve"> </w:t>
      </w:r>
      <w:proofErr w:type="spellStart"/>
      <w:r w:rsidRPr="00C547BF">
        <w:rPr>
          <w:sz w:val="16"/>
          <w:szCs w:val="16"/>
          <w:lang w:val="en-US" w:eastAsia="es-ES"/>
        </w:rPr>
        <w:t>Carromero</w:t>
      </w:r>
      <w:proofErr w:type="spellEnd"/>
      <w:r w:rsidRPr="00C547BF">
        <w:rPr>
          <w:sz w:val="16"/>
          <w:szCs w:val="16"/>
          <w:lang w:val="en-US" w:eastAsia="es-ES"/>
        </w:rPr>
        <w:t>, speech before UN Watch, June 27, 2014, available at:</w:t>
      </w:r>
    </w:p>
    <w:p w14:paraId="4DC0C4FB" w14:textId="77777777" w:rsidR="00171179" w:rsidRPr="00C547BF" w:rsidRDefault="00171179" w:rsidP="007415AC">
      <w:pPr>
        <w:pStyle w:val="Textonotapie"/>
        <w:rPr>
          <w:szCs w:val="16"/>
        </w:rPr>
      </w:pPr>
      <w:r w:rsidRPr="00C547BF">
        <w:rPr>
          <w:szCs w:val="16"/>
        </w:rPr>
        <w:t>https://www.youtube.com/watch?v=pmoGn8aojKA&amp;list=UU0BEdffpLEGzPtPD3O8-XgQ&amp;index=26</w:t>
      </w:r>
    </w:p>
  </w:footnote>
  <w:footnote w:id="88">
    <w:p w14:paraId="7751B9C8"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Petitioners' Closing Brief. Case file. P. 39.</w:t>
      </w:r>
    </w:p>
  </w:footnote>
  <w:footnote w:id="89">
    <w:p w14:paraId="15511D61" w14:textId="13882EA5"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w:t>
      </w:r>
      <w:r w:rsidRPr="00C547BF">
        <w:rPr>
          <w:szCs w:val="16"/>
        </w:rPr>
        <w:t>as</w:t>
      </w:r>
      <w:proofErr w:type="spellEnd"/>
      <w:r w:rsidRPr="00C547BF">
        <w:rPr>
          <w:szCs w:val="16"/>
        </w:rPr>
        <w:t xml:space="preserve"> and Harold Cepero et al. v. Cuba. Statement of Rosa Ma</w:t>
      </w:r>
      <w:r w:rsidR="008A2B6A" w:rsidRPr="00C547BF">
        <w:rPr>
          <w:szCs w:val="16"/>
        </w:rPr>
        <w:t>r</w:t>
      </w:r>
      <w:r w:rsidRPr="00C547BF">
        <w:rPr>
          <w:szCs w:val="16"/>
        </w:rPr>
        <w:t xml:space="preserve">ía </w:t>
      </w:r>
      <w:proofErr w:type="spellStart"/>
      <w:r w:rsidRPr="00C547BF">
        <w:rPr>
          <w:szCs w:val="16"/>
        </w:rPr>
        <w:t>Payá</w:t>
      </w:r>
      <w:proofErr w:type="spellEnd"/>
      <w:r w:rsidRPr="00C547BF">
        <w:rPr>
          <w:szCs w:val="16"/>
        </w:rPr>
        <w:t>.</w:t>
      </w:r>
    </w:p>
  </w:footnote>
  <w:footnote w:id="90">
    <w:p w14:paraId="63E0BF1E"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Petitioner's written observations on the merits, April 21, 2021. P. 44.</w:t>
      </w:r>
    </w:p>
  </w:footnote>
  <w:footnote w:id="91">
    <w:p w14:paraId="4010DA89"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Petitioner's written observations on the merits, April 21, 2021. P. 45.</w:t>
      </w:r>
    </w:p>
  </w:footnote>
  <w:footnote w:id="92">
    <w:p w14:paraId="619C7E2D" w14:textId="77777777" w:rsidR="00171179" w:rsidRPr="00C547BF" w:rsidRDefault="00171179" w:rsidP="007415AC">
      <w:pPr>
        <w:pStyle w:val="Textonotapie"/>
        <w:rPr>
          <w:szCs w:val="16"/>
          <w:lang w:val="es-CO"/>
        </w:rPr>
      </w:pPr>
      <w:r w:rsidRPr="00C547BF">
        <w:rPr>
          <w:rStyle w:val="Refdenotaalpie"/>
          <w:szCs w:val="16"/>
        </w:rPr>
        <w:footnoteRef/>
      </w:r>
      <w:r w:rsidRPr="00C547BF">
        <w:rPr>
          <w:szCs w:val="16"/>
        </w:rPr>
        <w:t xml:space="preserve"> Petitioner's written observations on the merits, April 21, 2021. </w:t>
      </w:r>
      <w:r w:rsidRPr="00C547BF">
        <w:rPr>
          <w:szCs w:val="16"/>
          <w:lang w:val="es-CO"/>
        </w:rPr>
        <w:t>P. 45.</w:t>
      </w:r>
    </w:p>
    <w:p w14:paraId="4BA17E55" w14:textId="77777777" w:rsidR="00171179" w:rsidRPr="00C547BF" w:rsidRDefault="00171179" w:rsidP="007415AC">
      <w:pPr>
        <w:spacing w:after="0"/>
        <w:ind w:right="405"/>
        <w:rPr>
          <w:sz w:val="16"/>
          <w:szCs w:val="16"/>
          <w:lang w:val="en-US"/>
        </w:rPr>
      </w:pPr>
      <w:r w:rsidRPr="00C547BF">
        <w:rPr>
          <w:i/>
          <w:sz w:val="16"/>
          <w:szCs w:val="16"/>
        </w:rPr>
        <w:t xml:space="preserve">See for example </w:t>
      </w:r>
      <w:r w:rsidRPr="00C547BF">
        <w:rPr>
          <w:sz w:val="16"/>
          <w:szCs w:val="16"/>
        </w:rPr>
        <w:t>La Opinión, "</w:t>
      </w:r>
      <w:r w:rsidRPr="00C547BF">
        <w:rPr>
          <w:i/>
          <w:sz w:val="16"/>
          <w:szCs w:val="16"/>
        </w:rPr>
        <w:t>Impiden a hijos de Oswaldo Payá asistir a juicio de Carromero</w:t>
      </w:r>
      <w:r w:rsidRPr="00C547BF">
        <w:rPr>
          <w:sz w:val="16"/>
          <w:szCs w:val="16"/>
        </w:rPr>
        <w:t xml:space="preserve">," October 5, 2012. </w:t>
      </w:r>
      <w:r w:rsidRPr="00C547BF">
        <w:rPr>
          <w:sz w:val="16"/>
          <w:szCs w:val="16"/>
          <w:lang w:val="en-US"/>
        </w:rPr>
        <w:t xml:space="preserve">Available at: </w:t>
      </w:r>
      <w:hyperlink r:id="rId30">
        <w:r w:rsidRPr="00C547BF">
          <w:rPr>
            <w:sz w:val="16"/>
            <w:szCs w:val="16"/>
            <w:lang w:val="en-US"/>
          </w:rPr>
          <w:t>http://www.laopinion.com/Impiden_a_hijos_de_Oswaldo_Paya_asistir_juicio_Carromero</w:t>
        </w:r>
      </w:hyperlink>
    </w:p>
  </w:footnote>
  <w:footnote w:id="93">
    <w:p w14:paraId="0D7851A2"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Sentence against </w:t>
      </w:r>
      <w:proofErr w:type="spellStart"/>
      <w:r w:rsidRPr="00C547BF">
        <w:rPr>
          <w:szCs w:val="16"/>
        </w:rPr>
        <w:t>Ángel</w:t>
      </w:r>
      <w:proofErr w:type="spellEnd"/>
      <w:r w:rsidRPr="00C547BF">
        <w:rPr>
          <w:szCs w:val="16"/>
        </w:rPr>
        <w:t xml:space="preserve"> </w:t>
      </w:r>
      <w:proofErr w:type="spellStart"/>
      <w:r w:rsidRPr="00C547BF">
        <w:rPr>
          <w:szCs w:val="16"/>
        </w:rPr>
        <w:t>Carromero</w:t>
      </w:r>
      <w:proofErr w:type="spellEnd"/>
      <w:r w:rsidRPr="00C547BF">
        <w:rPr>
          <w:szCs w:val="16"/>
        </w:rPr>
        <w:t>. First Criminal Chamber of the People's Court of Granma. Judgment No. 573/2012 of October 12, 2012.</w:t>
      </w:r>
    </w:p>
  </w:footnote>
  <w:footnote w:id="94">
    <w:p w14:paraId="5BE063A8"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Petitioner's written observations on the merits, April 21, 2021. P. 44.</w:t>
      </w:r>
    </w:p>
  </w:footnote>
  <w:footnote w:id="95">
    <w:p w14:paraId="4A5BF986"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Agreement between the Kingdom of Spain and the Republic of Cuba on the Execution of Criminal Judgments, art. 3, November 7, 1998, BOE No. 267, 36387-89.</w:t>
      </w:r>
    </w:p>
  </w:footnote>
  <w:footnote w:id="96">
    <w:p w14:paraId="45806D2F" w14:textId="508E5EDE"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ña</w:t>
      </w:r>
      <w:r w:rsidRPr="00C547BF">
        <w:rPr>
          <w:szCs w:val="16"/>
        </w:rPr>
        <w:t>s</w:t>
      </w:r>
      <w:proofErr w:type="spellEnd"/>
      <w:r w:rsidRPr="00C547BF">
        <w:rPr>
          <w:szCs w:val="16"/>
        </w:rPr>
        <w:t xml:space="preserve"> and Harold Cepero et al. v. Cuba. Declaration of </w:t>
      </w:r>
      <w:proofErr w:type="spellStart"/>
      <w:r w:rsidRPr="00C547BF">
        <w:rPr>
          <w:szCs w:val="16"/>
        </w:rPr>
        <w:t>Ángel</w:t>
      </w:r>
      <w:proofErr w:type="spellEnd"/>
      <w:r w:rsidRPr="00C547BF">
        <w:rPr>
          <w:szCs w:val="16"/>
        </w:rPr>
        <w:t xml:space="preserve"> </w:t>
      </w:r>
      <w:proofErr w:type="spellStart"/>
      <w:r w:rsidRPr="00C547BF">
        <w:rPr>
          <w:szCs w:val="16"/>
        </w:rPr>
        <w:t>Carromero</w:t>
      </w:r>
      <w:proofErr w:type="spellEnd"/>
    </w:p>
  </w:footnote>
  <w:footnote w:id="97">
    <w:p w14:paraId="6AE9864E" w14:textId="77777777" w:rsidR="00171179" w:rsidRPr="00C547BF" w:rsidRDefault="00171179" w:rsidP="007415AC">
      <w:pPr>
        <w:spacing w:after="0"/>
        <w:ind w:right="451"/>
        <w:rPr>
          <w:sz w:val="16"/>
          <w:szCs w:val="16"/>
          <w:lang w:val="en-US"/>
        </w:rPr>
      </w:pPr>
      <w:r w:rsidRPr="00C547BF">
        <w:rPr>
          <w:rStyle w:val="Refdenotaalpie"/>
          <w:sz w:val="16"/>
          <w:szCs w:val="16"/>
        </w:rPr>
        <w:footnoteRef/>
      </w:r>
      <w:r w:rsidRPr="00C547BF">
        <w:rPr>
          <w:sz w:val="16"/>
          <w:szCs w:val="16"/>
          <w:lang w:val="en-US"/>
        </w:rPr>
        <w:t xml:space="preserve"> Petitioners' Closing Brief. Case file. P. 38.</w:t>
      </w:r>
    </w:p>
  </w:footnote>
  <w:footnote w:id="98">
    <w:p w14:paraId="1BD23D33"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Petitioner's written observations on the merits, April 21, 2021. P. 46.</w:t>
      </w:r>
    </w:p>
  </w:footnote>
  <w:footnote w:id="99">
    <w:p w14:paraId="6B827F81" w14:textId="2970DF26"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Public Hearing. Case 14.196. Oswaldo </w:t>
      </w:r>
      <w:proofErr w:type="spellStart"/>
      <w:r w:rsidRPr="00C547BF">
        <w:rPr>
          <w:szCs w:val="16"/>
        </w:rPr>
        <w:t>Pay</w:t>
      </w:r>
      <w:r w:rsidR="008A2B6A" w:rsidRPr="00C547BF">
        <w:rPr>
          <w:szCs w:val="16"/>
        </w:rPr>
        <w:t>á</w:t>
      </w:r>
      <w:proofErr w:type="spellEnd"/>
      <w:r w:rsidRPr="00C547BF">
        <w:rPr>
          <w:szCs w:val="16"/>
        </w:rPr>
        <w:t xml:space="preserve"> </w:t>
      </w:r>
      <w:proofErr w:type="spellStart"/>
      <w:r w:rsidRPr="00C547BF">
        <w:rPr>
          <w:szCs w:val="16"/>
        </w:rPr>
        <w:t>Sardi</w:t>
      </w:r>
      <w:r w:rsidR="008A2B6A" w:rsidRPr="00C547BF">
        <w:rPr>
          <w:szCs w:val="16"/>
        </w:rPr>
        <w:t>ñ</w:t>
      </w:r>
      <w:r w:rsidRPr="00C547BF">
        <w:rPr>
          <w:szCs w:val="16"/>
        </w:rPr>
        <w:t>as</w:t>
      </w:r>
      <w:proofErr w:type="spellEnd"/>
      <w:r w:rsidRPr="00C547BF">
        <w:rPr>
          <w:szCs w:val="16"/>
        </w:rPr>
        <w:t xml:space="preserve"> and Harold Cepero et al. v. Cuba, and Brief of observations on the merits of the petitioner, April 21, 2021. P. 46.</w:t>
      </w:r>
    </w:p>
  </w:footnote>
  <w:footnote w:id="100">
    <w:p w14:paraId="086257A0"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Ibid.</w:t>
      </w:r>
    </w:p>
  </w:footnote>
  <w:footnote w:id="101">
    <w:p w14:paraId="3FC84DFF" w14:textId="77777777" w:rsidR="00171179" w:rsidRPr="00C547BF" w:rsidRDefault="00171179" w:rsidP="007415AC">
      <w:pPr>
        <w:pStyle w:val="Textonotapie"/>
        <w:rPr>
          <w:szCs w:val="16"/>
        </w:rPr>
      </w:pPr>
      <w:r w:rsidRPr="00C547BF">
        <w:rPr>
          <w:rStyle w:val="Refdenotaalpie"/>
          <w:szCs w:val="16"/>
          <w:lang w:val="es-ES"/>
        </w:rPr>
        <w:footnoteRef/>
      </w:r>
      <w:r w:rsidRPr="00C547BF">
        <w:rPr>
          <w:szCs w:val="16"/>
        </w:rPr>
        <w:t xml:space="preserve"> IACHR Court. </w:t>
      </w:r>
      <w:r w:rsidRPr="00C547BF">
        <w:rPr>
          <w:i/>
          <w:szCs w:val="16"/>
        </w:rPr>
        <w:t>Interpretation of the American Declaration of the Rights and Duties of Man under Article 64 of the American Convention on Human Rights</w:t>
      </w:r>
      <w:r w:rsidRPr="00C547BF">
        <w:rPr>
          <w:szCs w:val="16"/>
        </w:rPr>
        <w:t>. Advisory Opinion OC-10/89 of July 14, 1989 [hereinafter "</w:t>
      </w:r>
      <w:r w:rsidRPr="00C547BF">
        <w:rPr>
          <w:i/>
          <w:szCs w:val="16"/>
        </w:rPr>
        <w:t>Interpretation of the American Declaration</w:t>
      </w:r>
      <w:r w:rsidRPr="00C547BF">
        <w:rPr>
          <w:szCs w:val="16"/>
        </w:rPr>
        <w:t>"], para. 47 ("the Member States have understood that the Declaration contains and defines those essential human rights to which the Charter refers, so that the Charter of the Organization cannot be interpreted and applied in the field of human rights without integrating the relevant norms of the Charter with the corresponding provisions of the Declaration, as is the practice followed by the organs of the OAS").</w:t>
      </w:r>
    </w:p>
  </w:footnote>
  <w:footnote w:id="102">
    <w:p w14:paraId="0265044F" w14:textId="27ECE5A6" w:rsidR="00171179" w:rsidRPr="00C547BF" w:rsidRDefault="00171179" w:rsidP="007415AC">
      <w:pPr>
        <w:pStyle w:val="Footnotes"/>
        <w:spacing w:after="0"/>
        <w:ind w:firstLine="0"/>
        <w:rPr>
          <w:b/>
          <w:sz w:val="16"/>
          <w:szCs w:val="16"/>
        </w:rPr>
      </w:pPr>
      <w:r w:rsidRPr="00C547BF">
        <w:rPr>
          <w:rStyle w:val="Refdenotaalpie"/>
          <w:rFonts w:eastAsia="Trebuchet MS"/>
          <w:sz w:val="16"/>
          <w:szCs w:val="16"/>
          <w:lang w:val="es-ES"/>
        </w:rPr>
        <w:footnoteRef/>
      </w:r>
      <w:r w:rsidRPr="00C547BF">
        <w:rPr>
          <w:sz w:val="16"/>
          <w:szCs w:val="16"/>
        </w:rPr>
        <w:t xml:space="preserve"> IACHR. Report No. 50/16, Case 12.834. Merits (Publication). </w:t>
      </w:r>
      <w:r w:rsidRPr="00C547BF">
        <w:rPr>
          <w:i/>
          <w:sz w:val="16"/>
          <w:szCs w:val="16"/>
        </w:rPr>
        <w:t xml:space="preserve">Undocumented workers. </w:t>
      </w:r>
      <w:r w:rsidRPr="00C547BF">
        <w:rPr>
          <w:sz w:val="16"/>
          <w:szCs w:val="16"/>
        </w:rPr>
        <w:t xml:space="preserve">United States of America, November 30, 2016, para. 68. See I/A Court H.R., </w:t>
      </w:r>
      <w:r w:rsidRPr="00C547BF">
        <w:rPr>
          <w:i/>
          <w:sz w:val="16"/>
          <w:szCs w:val="16"/>
        </w:rPr>
        <w:t>Interpretation of the American Declaration</w:t>
      </w:r>
      <w:r w:rsidRPr="00C547BF">
        <w:rPr>
          <w:sz w:val="16"/>
          <w:szCs w:val="16"/>
        </w:rPr>
        <w:t xml:space="preserve">. Advisory Opinion OC-10/89 of 14 July 1989, para. 37. See also ICJ, </w:t>
      </w:r>
      <w:r w:rsidRPr="00C547BF">
        <w:rPr>
          <w:i/>
          <w:sz w:val="16"/>
          <w:szCs w:val="16"/>
        </w:rPr>
        <w:t>Legal Consequences for States of the Continued Presence of South Africa in Namibia (</w:t>
      </w:r>
      <w:proofErr w:type="gramStart"/>
      <w:r w:rsidRPr="00C547BF">
        <w:rPr>
          <w:i/>
          <w:sz w:val="16"/>
          <w:szCs w:val="16"/>
        </w:rPr>
        <w:t>South West</w:t>
      </w:r>
      <w:proofErr w:type="gramEnd"/>
      <w:r w:rsidRPr="00C547BF">
        <w:rPr>
          <w:i/>
          <w:sz w:val="16"/>
          <w:szCs w:val="16"/>
        </w:rPr>
        <w:t xml:space="preserve"> Africa) Notwithstanding Security Council Resolution 276 (1970).</w:t>
      </w:r>
      <w:r w:rsidRPr="00C547BF">
        <w:rPr>
          <w:sz w:val="16"/>
          <w:szCs w:val="16"/>
        </w:rPr>
        <w:t xml:space="preserve"> Advisory Opinion, ICJ, Reports 1971, p. 16 a</w:t>
      </w:r>
      <w:r w:rsidR="008A2B6A" w:rsidRPr="00C547BF">
        <w:rPr>
          <w:sz w:val="16"/>
          <w:szCs w:val="16"/>
        </w:rPr>
        <w:t>n</w:t>
      </w:r>
      <w:r w:rsidRPr="00C547BF">
        <w:rPr>
          <w:sz w:val="16"/>
          <w:szCs w:val="16"/>
        </w:rPr>
        <w:t>d 31 (stating that "an international instrument must be interpreted and applied within the general framework of the legal system in force at the date of interpretation").</w:t>
      </w:r>
    </w:p>
  </w:footnote>
  <w:footnote w:id="103">
    <w:p w14:paraId="786307EA" w14:textId="77777777" w:rsidR="00171179" w:rsidRPr="00C547BF" w:rsidRDefault="00171179" w:rsidP="007415AC">
      <w:pPr>
        <w:pStyle w:val="Footnotes"/>
        <w:spacing w:after="0"/>
        <w:ind w:firstLine="0"/>
        <w:rPr>
          <w:sz w:val="16"/>
          <w:szCs w:val="16"/>
        </w:rPr>
      </w:pPr>
      <w:r w:rsidRPr="00C547BF">
        <w:rPr>
          <w:rStyle w:val="Refdenotaalpie"/>
          <w:rFonts w:eastAsia="Trebuchet MS"/>
          <w:sz w:val="16"/>
          <w:szCs w:val="16"/>
          <w:lang w:val="es-ES"/>
        </w:rPr>
        <w:footnoteRef/>
      </w:r>
      <w:r w:rsidRPr="00C547BF">
        <w:rPr>
          <w:sz w:val="16"/>
          <w:szCs w:val="16"/>
        </w:rPr>
        <w:t xml:space="preserve"> IACHR. </w:t>
      </w:r>
      <w:r w:rsidRPr="00C547BF">
        <w:rPr>
          <w:i/>
          <w:sz w:val="16"/>
          <w:szCs w:val="16"/>
        </w:rPr>
        <w:t>Report on the Human Rights Situation of Asylum Seekers under the Canadian Refugee Status Determination System (</w:t>
      </w:r>
      <w:r w:rsidRPr="00C547BF">
        <w:rPr>
          <w:sz w:val="16"/>
          <w:szCs w:val="16"/>
        </w:rPr>
        <w:t xml:space="preserve">2000), para. 38; IACHR. </w:t>
      </w:r>
      <w:r w:rsidRPr="00C547BF">
        <w:rPr>
          <w:i/>
          <w:sz w:val="16"/>
          <w:szCs w:val="16"/>
        </w:rPr>
        <w:t>Garza v. United States.</w:t>
      </w:r>
      <w:r w:rsidRPr="00C547BF">
        <w:rPr>
          <w:sz w:val="16"/>
          <w:szCs w:val="16"/>
        </w:rPr>
        <w:t xml:space="preserve"> Case No. 12.275. IACHR Annual Report 2000, paras. 88 and 89.</w:t>
      </w:r>
    </w:p>
  </w:footnote>
  <w:footnote w:id="104">
    <w:p w14:paraId="0A338537" w14:textId="77777777" w:rsidR="00171179" w:rsidRPr="00C547BF" w:rsidRDefault="00171179" w:rsidP="007415AC">
      <w:pPr>
        <w:pStyle w:val="Textonotapie"/>
        <w:rPr>
          <w:szCs w:val="16"/>
        </w:rPr>
      </w:pPr>
      <w:r w:rsidRPr="00C547BF">
        <w:rPr>
          <w:rStyle w:val="Refdenotaalpie"/>
          <w:szCs w:val="16"/>
          <w:lang w:val="es-CO"/>
        </w:rPr>
        <w:footnoteRef/>
      </w:r>
      <w:r w:rsidRPr="00C547BF">
        <w:rPr>
          <w:szCs w:val="16"/>
        </w:rPr>
        <w:t xml:space="preserve"> IACHR. Case 13.051. Report 157/18. Merits. Vicky Hernández and Family. Honduras. December 7, 2018, para. 48. </w:t>
      </w:r>
    </w:p>
  </w:footnote>
  <w:footnote w:id="105">
    <w:p w14:paraId="758A3411" w14:textId="77777777" w:rsidR="00171179" w:rsidRPr="00C547BF" w:rsidRDefault="00171179" w:rsidP="007415AC">
      <w:pPr>
        <w:pStyle w:val="Textonotapie"/>
        <w:rPr>
          <w:szCs w:val="16"/>
        </w:rPr>
      </w:pPr>
      <w:r w:rsidRPr="00C547BF">
        <w:rPr>
          <w:rStyle w:val="Refdenotaalpie"/>
          <w:szCs w:val="16"/>
          <w:lang w:val="es-CO"/>
        </w:rPr>
        <w:footnoteRef/>
      </w:r>
      <w:r w:rsidRPr="00C547BF">
        <w:rPr>
          <w:szCs w:val="16"/>
        </w:rPr>
        <w:t xml:space="preserve"> IACHR Court. </w:t>
      </w:r>
      <w:r w:rsidRPr="00C547BF">
        <w:rPr>
          <w:i/>
          <w:iCs/>
          <w:szCs w:val="16"/>
        </w:rPr>
        <w:t>Case of González Medina and family members v. Dominican Republic</w:t>
      </w:r>
      <w:r w:rsidRPr="00C547BF">
        <w:rPr>
          <w:szCs w:val="16"/>
        </w:rPr>
        <w:t xml:space="preserve">. Preliminary Objections, Merits, Reparations and Costs. Judgment of February 27, 2012. Series C No. 240, para. 133; I/A Court H.R., para. 133. </w:t>
      </w:r>
      <w:r w:rsidRPr="00C547BF">
        <w:rPr>
          <w:i/>
          <w:iCs/>
          <w:szCs w:val="16"/>
        </w:rPr>
        <w:t>Case of the Pueblo Bello Massacre v. Colombia</w:t>
      </w:r>
      <w:r w:rsidRPr="00C547BF">
        <w:rPr>
          <w:szCs w:val="16"/>
        </w:rPr>
        <w:t xml:space="preserve">, Judgment of January 31, 2006. Series C No. 140, para. 112.  </w:t>
      </w:r>
    </w:p>
  </w:footnote>
  <w:footnote w:id="106">
    <w:p w14:paraId="51FC6D01" w14:textId="77777777" w:rsidR="00171179" w:rsidRPr="00C547BF" w:rsidRDefault="00171179" w:rsidP="007415AC">
      <w:pPr>
        <w:pStyle w:val="Textonotapie"/>
        <w:rPr>
          <w:szCs w:val="16"/>
        </w:rPr>
      </w:pPr>
      <w:r w:rsidRPr="00C547BF">
        <w:rPr>
          <w:rStyle w:val="Refdenotaalpie"/>
          <w:szCs w:val="16"/>
          <w:lang w:val="es-CO"/>
        </w:rPr>
        <w:footnoteRef/>
      </w:r>
      <w:r w:rsidRPr="00C547BF">
        <w:rPr>
          <w:szCs w:val="16"/>
        </w:rPr>
        <w:t xml:space="preserve"> IACHR. Case 11.073. Report No 65/01. Merits. Juan Humberto Sánchez. Honduras. March 6, 2001, para. 88.</w:t>
      </w:r>
    </w:p>
  </w:footnote>
  <w:footnote w:id="107">
    <w:p w14:paraId="5BEEB0E1" w14:textId="77777777" w:rsidR="00171179" w:rsidRPr="00C547BF" w:rsidRDefault="00171179" w:rsidP="007415AC">
      <w:pPr>
        <w:pStyle w:val="Textonotapie"/>
        <w:rPr>
          <w:szCs w:val="16"/>
        </w:rPr>
      </w:pPr>
      <w:r w:rsidRPr="00C547BF">
        <w:rPr>
          <w:rStyle w:val="Refdenotaalpie"/>
          <w:szCs w:val="16"/>
          <w:lang w:val="es-CO"/>
        </w:rPr>
        <w:footnoteRef/>
      </w:r>
      <w:r w:rsidRPr="00C547BF">
        <w:rPr>
          <w:szCs w:val="16"/>
        </w:rPr>
        <w:t xml:space="preserve"> I/A Court H.R., Case of </w:t>
      </w:r>
      <w:proofErr w:type="spellStart"/>
      <w:r w:rsidRPr="00C547BF">
        <w:rPr>
          <w:szCs w:val="16"/>
        </w:rPr>
        <w:t>Velásquez</w:t>
      </w:r>
      <w:proofErr w:type="spellEnd"/>
      <w:r w:rsidRPr="00C547BF">
        <w:rPr>
          <w:szCs w:val="16"/>
        </w:rPr>
        <w:t xml:space="preserve"> Rodríguez v. Honduras. </w:t>
      </w:r>
      <w:r w:rsidRPr="00C547BF">
        <w:rPr>
          <w:i/>
          <w:iCs/>
          <w:szCs w:val="16"/>
          <w:lang w:val="es-CO"/>
        </w:rPr>
        <w:t xml:space="preserve">Case </w:t>
      </w:r>
      <w:proofErr w:type="spellStart"/>
      <w:r w:rsidRPr="00C547BF">
        <w:rPr>
          <w:i/>
          <w:iCs/>
          <w:szCs w:val="16"/>
          <w:lang w:val="es-CO"/>
        </w:rPr>
        <w:t>of</w:t>
      </w:r>
      <w:proofErr w:type="spellEnd"/>
      <w:r w:rsidRPr="00C547BF">
        <w:rPr>
          <w:i/>
          <w:iCs/>
          <w:szCs w:val="16"/>
          <w:lang w:val="es-CO"/>
        </w:rPr>
        <w:t xml:space="preserve"> Velásquez Rodríguez v. Honduras</w:t>
      </w:r>
      <w:r w:rsidRPr="00C547BF">
        <w:rPr>
          <w:szCs w:val="16"/>
          <w:lang w:val="es-CO"/>
        </w:rPr>
        <w:t xml:space="preserve">. </w:t>
      </w:r>
      <w:r w:rsidRPr="00C547BF">
        <w:rPr>
          <w:szCs w:val="16"/>
        </w:rPr>
        <w:t>Merits. Judgment of July 29, 1988. Series C No. 4, para. 166.</w:t>
      </w:r>
    </w:p>
  </w:footnote>
  <w:footnote w:id="108">
    <w:p w14:paraId="6F0488B1"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Cases 12.595, 12.596 and 12.621. Report No. 86/13, Merits. Ana Teresa </w:t>
      </w:r>
      <w:proofErr w:type="spellStart"/>
      <w:r w:rsidRPr="00C547BF">
        <w:rPr>
          <w:szCs w:val="16"/>
        </w:rPr>
        <w:t>Yarce</w:t>
      </w:r>
      <w:proofErr w:type="spellEnd"/>
      <w:r w:rsidRPr="00C547BF">
        <w:rPr>
          <w:szCs w:val="16"/>
        </w:rPr>
        <w:t xml:space="preserve"> and Others (</w:t>
      </w:r>
      <w:proofErr w:type="spellStart"/>
      <w:r w:rsidRPr="00C547BF">
        <w:rPr>
          <w:szCs w:val="16"/>
        </w:rPr>
        <w:t>Comuna</w:t>
      </w:r>
      <w:proofErr w:type="spellEnd"/>
      <w:r w:rsidRPr="00C547BF">
        <w:rPr>
          <w:szCs w:val="16"/>
        </w:rPr>
        <w:t xml:space="preserve"> 13), Colombia. November 4, 2013. Paras. 276. </w:t>
      </w:r>
    </w:p>
  </w:footnote>
  <w:footnote w:id="109">
    <w:p w14:paraId="1BFCF027"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Cases 12.595, 12.596 and 12.621. Report No. 86/13, Merits. Ana Teresa </w:t>
      </w:r>
      <w:proofErr w:type="spellStart"/>
      <w:r w:rsidRPr="00C547BF">
        <w:rPr>
          <w:szCs w:val="16"/>
        </w:rPr>
        <w:t>Yarce</w:t>
      </w:r>
      <w:proofErr w:type="spellEnd"/>
      <w:r w:rsidRPr="00C547BF">
        <w:rPr>
          <w:szCs w:val="16"/>
        </w:rPr>
        <w:t xml:space="preserve"> and Others (</w:t>
      </w:r>
      <w:proofErr w:type="spellStart"/>
      <w:r w:rsidRPr="00C547BF">
        <w:rPr>
          <w:szCs w:val="16"/>
        </w:rPr>
        <w:t>Comuna</w:t>
      </w:r>
      <w:proofErr w:type="spellEnd"/>
      <w:r w:rsidRPr="00C547BF">
        <w:rPr>
          <w:szCs w:val="16"/>
        </w:rPr>
        <w:t xml:space="preserve"> 13), Colombia. November 4, 2013. Paras. 276.</w:t>
      </w:r>
    </w:p>
  </w:footnote>
  <w:footnote w:id="110">
    <w:p w14:paraId="5195D9C4"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Report </w:t>
      </w:r>
      <w:proofErr w:type="gramStart"/>
      <w:r w:rsidRPr="00C547BF">
        <w:rPr>
          <w:szCs w:val="16"/>
        </w:rPr>
        <w:t>on the Situation of</w:t>
      </w:r>
      <w:proofErr w:type="gramEnd"/>
      <w:r w:rsidRPr="00C547BF">
        <w:rPr>
          <w:szCs w:val="16"/>
        </w:rPr>
        <w:t xml:space="preserve"> Human Rights Defenders in the Americas, OEA/</w:t>
      </w:r>
      <w:proofErr w:type="spellStart"/>
      <w:r w:rsidRPr="00C547BF">
        <w:rPr>
          <w:szCs w:val="16"/>
        </w:rPr>
        <w:t>Ser.L</w:t>
      </w:r>
      <w:proofErr w:type="spellEnd"/>
      <w:r w:rsidRPr="00C547BF">
        <w:rPr>
          <w:szCs w:val="16"/>
        </w:rPr>
        <w:t>/V/II.124 Doc. 5 rev. 1, March 7, 2006. Para. 47</w:t>
      </w:r>
    </w:p>
  </w:footnote>
  <w:footnote w:id="111">
    <w:p w14:paraId="7CD0069F" w14:textId="77777777" w:rsidR="00171179" w:rsidRPr="00C547BF" w:rsidRDefault="00171179" w:rsidP="007415AC">
      <w:pPr>
        <w:spacing w:after="0"/>
        <w:rPr>
          <w:rFonts w:eastAsia="Times New Roman"/>
          <w:sz w:val="16"/>
          <w:szCs w:val="16"/>
          <w:lang w:val="en-US"/>
        </w:rPr>
      </w:pPr>
      <w:r w:rsidRPr="00C547BF">
        <w:rPr>
          <w:rStyle w:val="Refdenotaalpie"/>
          <w:sz w:val="16"/>
          <w:szCs w:val="16"/>
        </w:rPr>
        <w:footnoteRef/>
      </w:r>
      <w:r w:rsidRPr="00C547BF">
        <w:rPr>
          <w:rFonts w:eastAsia="Times New Roman" w:cs="Open Sans"/>
          <w:sz w:val="16"/>
          <w:szCs w:val="16"/>
          <w:shd w:val="clear" w:color="auto" w:fill="FFFFFF"/>
          <w:lang w:val="en-US"/>
        </w:rPr>
        <w:t xml:space="preserve"> IACHR Court. </w:t>
      </w:r>
      <w:r w:rsidRPr="00C547BF">
        <w:rPr>
          <w:rFonts w:eastAsia="Times New Roman" w:cs="Open Sans"/>
          <w:i/>
          <w:iCs/>
          <w:sz w:val="16"/>
          <w:szCs w:val="16"/>
          <w:shd w:val="clear" w:color="auto" w:fill="FFFFFF"/>
          <w:lang w:val="en-US"/>
        </w:rPr>
        <w:t>Case of Digna Ochoa and family members v. Mexico</w:t>
      </w:r>
      <w:r w:rsidRPr="00C547BF">
        <w:rPr>
          <w:rFonts w:eastAsia="Times New Roman" w:cs="Open Sans"/>
          <w:sz w:val="16"/>
          <w:szCs w:val="16"/>
          <w:shd w:val="clear" w:color="auto" w:fill="FFFFFF"/>
          <w:lang w:val="en-US"/>
        </w:rPr>
        <w:t xml:space="preserve">. Preliminary Objections, Merits, Reparations and Costs. Judgment of November 25, 2021. Series C No. 447, para. 100. </w:t>
      </w:r>
    </w:p>
  </w:footnote>
  <w:footnote w:id="112">
    <w:p w14:paraId="539AFA78" w14:textId="77777777" w:rsidR="00171179" w:rsidRPr="00C547BF" w:rsidRDefault="00171179" w:rsidP="007415AC">
      <w:pPr>
        <w:spacing w:after="0"/>
        <w:rPr>
          <w:rFonts w:eastAsia="Times New Roman"/>
          <w:sz w:val="16"/>
          <w:szCs w:val="16"/>
          <w:lang w:val="en-US"/>
        </w:rPr>
      </w:pPr>
      <w:r w:rsidRPr="00C547BF">
        <w:rPr>
          <w:rStyle w:val="Refdenotaalpie"/>
          <w:sz w:val="16"/>
          <w:szCs w:val="16"/>
        </w:rPr>
        <w:footnoteRef/>
      </w:r>
      <w:r w:rsidRPr="00C547BF">
        <w:rPr>
          <w:sz w:val="16"/>
          <w:szCs w:val="16"/>
          <w:lang w:val="en-US"/>
        </w:rPr>
        <w:t xml:space="preserve"> IACHR Court. </w:t>
      </w:r>
      <w:r w:rsidRPr="00C547BF">
        <w:rPr>
          <w:rFonts w:eastAsia="Times New Roman"/>
          <w:i/>
          <w:iCs/>
          <w:sz w:val="16"/>
          <w:szCs w:val="16"/>
          <w:lang w:val="en-US"/>
        </w:rPr>
        <w:t>Case of the Guatemalan Forensic Anthropology Foundation</w:t>
      </w:r>
      <w:r w:rsidRPr="00C547BF">
        <w:rPr>
          <w:rFonts w:eastAsia="Times New Roman"/>
          <w:sz w:val="16"/>
          <w:szCs w:val="16"/>
          <w:lang w:val="en-US"/>
        </w:rPr>
        <w:t>. Provisional Measures. Resolution of the Inter-American Court of Human Rights of February 9, 2006, Twelfth Whereas.</w:t>
      </w:r>
    </w:p>
  </w:footnote>
  <w:footnote w:id="113">
    <w:p w14:paraId="7B87BF68" w14:textId="77777777" w:rsidR="00171179" w:rsidRPr="00C547BF" w:rsidRDefault="00171179" w:rsidP="007415AC">
      <w:pPr>
        <w:pStyle w:val="Textonotapie"/>
        <w:tabs>
          <w:tab w:val="left" w:pos="180"/>
        </w:tabs>
        <w:rPr>
          <w:szCs w:val="16"/>
        </w:rPr>
      </w:pPr>
      <w:r w:rsidRPr="00C547BF">
        <w:rPr>
          <w:rStyle w:val="Refdenotaalpie"/>
          <w:szCs w:val="16"/>
        </w:rPr>
        <w:footnoteRef/>
      </w:r>
      <w:r w:rsidRPr="00C547BF">
        <w:rPr>
          <w:szCs w:val="16"/>
        </w:rPr>
        <w:t xml:space="preserve"> IACHR. Report No. 33/13. Case 11.576. Admissibility and Merits. José Luis García Ibarra and family. Ecuador, July 10, 2013, para. 129. I/A Court H.R., Case of the "Street Children" (</w:t>
      </w:r>
      <w:proofErr w:type="spellStart"/>
      <w:r w:rsidRPr="00C547BF">
        <w:rPr>
          <w:szCs w:val="16"/>
        </w:rPr>
        <w:t>Villagrán</w:t>
      </w:r>
      <w:proofErr w:type="spellEnd"/>
      <w:r w:rsidRPr="00C547BF">
        <w:rPr>
          <w:szCs w:val="16"/>
        </w:rPr>
        <w:t xml:space="preserve"> Morales et al. v. Ecuador). </w:t>
      </w:r>
      <w:r w:rsidRPr="00C547BF">
        <w:rPr>
          <w:i/>
          <w:iCs/>
          <w:szCs w:val="16"/>
        </w:rPr>
        <w:t>Case of the "Street Children" (</w:t>
      </w:r>
      <w:proofErr w:type="spellStart"/>
      <w:r w:rsidRPr="00C547BF">
        <w:rPr>
          <w:i/>
          <w:iCs/>
          <w:szCs w:val="16"/>
        </w:rPr>
        <w:t>Villagrán</w:t>
      </w:r>
      <w:proofErr w:type="spellEnd"/>
      <w:r w:rsidRPr="00C547BF">
        <w:rPr>
          <w:i/>
          <w:iCs/>
          <w:szCs w:val="16"/>
        </w:rPr>
        <w:t xml:space="preserve"> Morales et al.) v. Guatemala</w:t>
      </w:r>
      <w:r w:rsidRPr="00C547BF">
        <w:rPr>
          <w:szCs w:val="16"/>
        </w:rPr>
        <w:t xml:space="preserve">. Merits. Judgment of November 19, 1999. Series C No. 63, para. 144. </w:t>
      </w:r>
    </w:p>
  </w:footnote>
  <w:footnote w:id="114">
    <w:p w14:paraId="21C6F59D" w14:textId="77777777" w:rsidR="00171179" w:rsidRPr="00C547BF" w:rsidRDefault="00171179" w:rsidP="007415AC">
      <w:pPr>
        <w:pStyle w:val="Textonotapie"/>
        <w:tabs>
          <w:tab w:val="left" w:pos="180"/>
        </w:tabs>
        <w:rPr>
          <w:szCs w:val="16"/>
        </w:rPr>
      </w:pPr>
      <w:r w:rsidRPr="00C547BF">
        <w:rPr>
          <w:rStyle w:val="Refdenotaalpie"/>
          <w:szCs w:val="16"/>
        </w:rPr>
        <w:footnoteRef/>
      </w:r>
      <w:r w:rsidRPr="00C547BF">
        <w:rPr>
          <w:szCs w:val="16"/>
        </w:rPr>
        <w:t xml:space="preserve"> I/A Court H.R., Case of Zambrano </w:t>
      </w:r>
      <w:proofErr w:type="spellStart"/>
      <w:r w:rsidRPr="00C547BF">
        <w:rPr>
          <w:szCs w:val="16"/>
        </w:rPr>
        <w:t>Vélez</w:t>
      </w:r>
      <w:proofErr w:type="spellEnd"/>
      <w:r w:rsidRPr="00C547BF">
        <w:rPr>
          <w:szCs w:val="16"/>
        </w:rPr>
        <w:t xml:space="preserve"> et al. v. Ecuador. </w:t>
      </w:r>
      <w:r w:rsidRPr="00C547BF">
        <w:rPr>
          <w:i/>
          <w:iCs/>
          <w:szCs w:val="16"/>
          <w:lang w:val="es-ES"/>
        </w:rPr>
        <w:t xml:space="preserve">Case </w:t>
      </w:r>
      <w:proofErr w:type="spellStart"/>
      <w:r w:rsidRPr="00C547BF">
        <w:rPr>
          <w:i/>
          <w:iCs/>
          <w:szCs w:val="16"/>
          <w:lang w:val="es-ES"/>
        </w:rPr>
        <w:t>of</w:t>
      </w:r>
      <w:proofErr w:type="spellEnd"/>
      <w:r w:rsidRPr="00C547BF">
        <w:rPr>
          <w:i/>
          <w:iCs/>
          <w:szCs w:val="16"/>
          <w:lang w:val="es-ES"/>
        </w:rPr>
        <w:t xml:space="preserve"> </w:t>
      </w:r>
      <w:r w:rsidRPr="00C547BF">
        <w:rPr>
          <w:i/>
          <w:iCs/>
          <w:szCs w:val="16"/>
          <w:lang w:val="es-ES_tradnl"/>
        </w:rPr>
        <w:t xml:space="preserve">Zambrano Vélez et al. v. Ecuador. </w:t>
      </w:r>
      <w:r w:rsidRPr="00C547BF">
        <w:rPr>
          <w:szCs w:val="16"/>
        </w:rPr>
        <w:t xml:space="preserve">Merits, Reparations and Costs. Judgment of July 4, 2007. Series C No. 166, para. 80; </w:t>
      </w:r>
      <w:r w:rsidRPr="00C547BF">
        <w:rPr>
          <w:i/>
          <w:iCs/>
          <w:szCs w:val="16"/>
        </w:rPr>
        <w:t>Case of the "Street Children" (</w:t>
      </w:r>
      <w:proofErr w:type="spellStart"/>
      <w:r w:rsidRPr="00C547BF">
        <w:rPr>
          <w:i/>
          <w:iCs/>
          <w:szCs w:val="16"/>
        </w:rPr>
        <w:t>Villagrán</w:t>
      </w:r>
      <w:proofErr w:type="spellEnd"/>
      <w:r w:rsidRPr="00C547BF">
        <w:rPr>
          <w:i/>
          <w:iCs/>
          <w:szCs w:val="16"/>
        </w:rPr>
        <w:t xml:space="preserve"> Morales et al.) v. Guatemala.</w:t>
      </w:r>
      <w:r w:rsidRPr="00C547BF">
        <w:rPr>
          <w:szCs w:val="16"/>
        </w:rPr>
        <w:t xml:space="preserve"> Judgment on the Merits, Reparations and Costs. Judgment of November 19, 1999. Series C No. 63, para. 144.</w:t>
      </w:r>
    </w:p>
  </w:footnote>
  <w:footnote w:id="115">
    <w:p w14:paraId="68C95330"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Court. </w:t>
      </w:r>
      <w:r w:rsidRPr="00C547BF">
        <w:rPr>
          <w:i/>
          <w:iCs/>
          <w:szCs w:val="16"/>
        </w:rPr>
        <w:t xml:space="preserve">Case of </w:t>
      </w:r>
      <w:proofErr w:type="spellStart"/>
      <w:r w:rsidRPr="00C547BF">
        <w:rPr>
          <w:i/>
          <w:iCs/>
          <w:szCs w:val="16"/>
        </w:rPr>
        <w:t>Tristán</w:t>
      </w:r>
      <w:proofErr w:type="spellEnd"/>
      <w:r w:rsidRPr="00C547BF">
        <w:rPr>
          <w:i/>
          <w:iCs/>
          <w:szCs w:val="16"/>
        </w:rPr>
        <w:t xml:space="preserve"> </w:t>
      </w:r>
      <w:proofErr w:type="spellStart"/>
      <w:r w:rsidRPr="00C547BF">
        <w:rPr>
          <w:i/>
          <w:iCs/>
          <w:szCs w:val="16"/>
        </w:rPr>
        <w:t>Donoso</w:t>
      </w:r>
      <w:proofErr w:type="spellEnd"/>
      <w:r w:rsidRPr="00C547BF">
        <w:rPr>
          <w:i/>
          <w:iCs/>
          <w:szCs w:val="16"/>
        </w:rPr>
        <w:t xml:space="preserve"> v. Panama</w:t>
      </w:r>
      <w:r w:rsidRPr="00C547BF">
        <w:rPr>
          <w:szCs w:val="16"/>
        </w:rPr>
        <w:t>. Preliminary Objection, Merits, Reparations and Costs. Judgment of January 27, 2009. Series C No. 193, para. 57.</w:t>
      </w:r>
    </w:p>
  </w:footnote>
  <w:footnote w:id="116">
    <w:p w14:paraId="0E893966" w14:textId="77777777" w:rsidR="00171179" w:rsidRPr="00C547BF" w:rsidRDefault="00171179" w:rsidP="007415AC">
      <w:pPr>
        <w:spacing w:after="0"/>
        <w:rPr>
          <w:sz w:val="16"/>
          <w:szCs w:val="16"/>
          <w:lang w:val="en-US"/>
        </w:rPr>
      </w:pPr>
      <w:r w:rsidRPr="00C547BF">
        <w:rPr>
          <w:rStyle w:val="Refdenotaalpie"/>
          <w:sz w:val="16"/>
          <w:szCs w:val="16"/>
        </w:rPr>
        <w:footnoteRef/>
      </w:r>
      <w:r w:rsidRPr="00C547BF">
        <w:rPr>
          <w:sz w:val="16"/>
          <w:szCs w:val="16"/>
          <w:lang w:val="en-US"/>
        </w:rPr>
        <w:t xml:space="preserve"> UN. Report of the Special Rapporteur </w:t>
      </w:r>
      <w:proofErr w:type="gramStart"/>
      <w:r w:rsidRPr="00C547BF">
        <w:rPr>
          <w:sz w:val="16"/>
          <w:szCs w:val="16"/>
          <w:lang w:val="en-US"/>
        </w:rPr>
        <w:t>on the situation of</w:t>
      </w:r>
      <w:proofErr w:type="gramEnd"/>
      <w:r w:rsidRPr="00C547BF">
        <w:rPr>
          <w:sz w:val="16"/>
          <w:szCs w:val="16"/>
          <w:lang w:val="en-US"/>
        </w:rPr>
        <w:t xml:space="preserve"> human rights defenders, A/HRC/40/60 of 10 January 2019, para. 37.</w:t>
      </w:r>
    </w:p>
  </w:footnote>
  <w:footnote w:id="117">
    <w:p w14:paraId="416BB32E" w14:textId="77777777" w:rsidR="00171179" w:rsidRPr="00C547BF" w:rsidRDefault="00171179" w:rsidP="007415AC">
      <w:pPr>
        <w:pStyle w:val="Sinespaciado"/>
        <w:spacing w:before="0" w:after="0"/>
        <w:ind w:firstLine="0"/>
        <w:rPr>
          <w:sz w:val="16"/>
          <w:szCs w:val="16"/>
        </w:rPr>
      </w:pPr>
      <w:r w:rsidRPr="00C547BF">
        <w:rPr>
          <w:rStyle w:val="Refdenotaalpie"/>
          <w:sz w:val="16"/>
          <w:szCs w:val="16"/>
        </w:rPr>
        <w:footnoteRef/>
      </w:r>
      <w:r w:rsidRPr="00C547BF">
        <w:rPr>
          <w:sz w:val="16"/>
          <w:szCs w:val="16"/>
        </w:rPr>
        <w:t xml:space="preserve"> IACHR. Basic Guidelines for the Investigation of Crimes against Human Rights Defenders in the Northern Triangle. June 1, 2021, para. 24.</w:t>
      </w:r>
    </w:p>
  </w:footnote>
  <w:footnote w:id="118">
    <w:p w14:paraId="5BC5BD3B"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 Court H.R., Case of </w:t>
      </w:r>
      <w:proofErr w:type="spellStart"/>
      <w:r w:rsidRPr="00C547BF">
        <w:rPr>
          <w:szCs w:val="16"/>
        </w:rPr>
        <w:t>Vélez</w:t>
      </w:r>
      <w:proofErr w:type="spellEnd"/>
      <w:r w:rsidRPr="00C547BF">
        <w:rPr>
          <w:szCs w:val="16"/>
        </w:rPr>
        <w:t xml:space="preserve"> Restrepo and family members v. Colombia. </w:t>
      </w:r>
      <w:r w:rsidRPr="00C547BF">
        <w:rPr>
          <w:i/>
          <w:iCs/>
          <w:szCs w:val="16"/>
        </w:rPr>
        <w:t xml:space="preserve">Case of </w:t>
      </w:r>
      <w:proofErr w:type="spellStart"/>
      <w:r w:rsidRPr="00C547BF">
        <w:rPr>
          <w:i/>
          <w:iCs/>
          <w:szCs w:val="16"/>
        </w:rPr>
        <w:t>Vélez</w:t>
      </w:r>
      <w:proofErr w:type="spellEnd"/>
      <w:r w:rsidRPr="00C547BF">
        <w:rPr>
          <w:i/>
          <w:iCs/>
          <w:szCs w:val="16"/>
        </w:rPr>
        <w:t xml:space="preserve"> Restrepo and family members v. Colombia</w:t>
      </w:r>
      <w:r w:rsidRPr="00C547BF">
        <w:rPr>
          <w:szCs w:val="16"/>
        </w:rPr>
        <w:t xml:space="preserve">. Preliminary Objection, Merits, Reparations and Costs. Judgment of September 3, 2012. Series C No. 248, para. 209.  </w:t>
      </w:r>
    </w:p>
  </w:footnote>
  <w:footnote w:id="119">
    <w:p w14:paraId="4BF97240" w14:textId="77777777" w:rsidR="00171179" w:rsidRPr="00C547BF" w:rsidRDefault="00171179" w:rsidP="007415AC">
      <w:pPr>
        <w:pStyle w:val="Textonotapie"/>
        <w:rPr>
          <w:szCs w:val="16"/>
        </w:rPr>
      </w:pPr>
      <w:r w:rsidRPr="00C547BF">
        <w:rPr>
          <w:rStyle w:val="Refdenotaalpie"/>
          <w:szCs w:val="16"/>
          <w:lang w:val="es-ES"/>
        </w:rPr>
        <w:footnoteRef/>
      </w:r>
      <w:r w:rsidRPr="00C547BF">
        <w:rPr>
          <w:szCs w:val="16"/>
        </w:rPr>
        <w:t xml:space="preserve"> IACHR. Second Report </w:t>
      </w:r>
      <w:proofErr w:type="gramStart"/>
      <w:r w:rsidRPr="00C547BF">
        <w:rPr>
          <w:szCs w:val="16"/>
        </w:rPr>
        <w:t>on the Situation of</w:t>
      </w:r>
      <w:proofErr w:type="gramEnd"/>
      <w:r w:rsidRPr="00C547BF">
        <w:rPr>
          <w:szCs w:val="16"/>
        </w:rPr>
        <w:t xml:space="preserve"> Human Rights Defenders in the Americas. December 31, 2011, para. 98.</w:t>
      </w:r>
    </w:p>
  </w:footnote>
  <w:footnote w:id="120">
    <w:p w14:paraId="3BA0D7B8" w14:textId="77777777" w:rsidR="00171179" w:rsidRPr="00C547BF" w:rsidRDefault="00171179" w:rsidP="007415AC">
      <w:pPr>
        <w:pStyle w:val="Textonotapie"/>
        <w:rPr>
          <w:rFonts w:cs="Cambay Devanagari"/>
          <w:szCs w:val="16"/>
        </w:rPr>
      </w:pPr>
      <w:r w:rsidRPr="00C547BF">
        <w:rPr>
          <w:rStyle w:val="Refdenotaalpie"/>
          <w:rFonts w:cs="Cambay Devanagari"/>
          <w:szCs w:val="16"/>
        </w:rPr>
        <w:footnoteRef/>
      </w:r>
      <w:r w:rsidRPr="00C547BF">
        <w:rPr>
          <w:rFonts w:cs="Cambay Devanagari"/>
          <w:szCs w:val="16"/>
        </w:rPr>
        <w:t xml:space="preserve"> I/A Court H.R., Case of Manuel Cepeda Vargas v. Colombia. </w:t>
      </w:r>
      <w:r w:rsidRPr="00C547BF">
        <w:rPr>
          <w:rFonts w:cs="Cambay Devanagari"/>
          <w:i/>
          <w:iCs/>
          <w:szCs w:val="16"/>
        </w:rPr>
        <w:t>Case of Manuel Cepeda Vargas v. Colombia</w:t>
      </w:r>
      <w:r w:rsidRPr="00C547BF">
        <w:rPr>
          <w:rFonts w:cs="Cambay Devanagari"/>
          <w:szCs w:val="16"/>
        </w:rPr>
        <w:t xml:space="preserve">. Preliminary Objections, Merits, Reparations and Costs. Judgment of May 26, 2010. Series C No. 213, paras. 172-173. </w:t>
      </w:r>
    </w:p>
  </w:footnote>
  <w:footnote w:id="121">
    <w:p w14:paraId="248078D9"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Court. </w:t>
      </w:r>
      <w:r w:rsidRPr="00C547BF">
        <w:rPr>
          <w:i/>
          <w:iCs/>
          <w:szCs w:val="16"/>
        </w:rPr>
        <w:t xml:space="preserve">Case of </w:t>
      </w:r>
      <w:proofErr w:type="spellStart"/>
      <w:r w:rsidRPr="00C547BF">
        <w:rPr>
          <w:i/>
          <w:iCs/>
          <w:szCs w:val="16"/>
        </w:rPr>
        <w:t>Huilca</w:t>
      </w:r>
      <w:proofErr w:type="spellEnd"/>
      <w:r w:rsidRPr="00C547BF">
        <w:rPr>
          <w:i/>
          <w:iCs/>
          <w:szCs w:val="16"/>
        </w:rPr>
        <w:t xml:space="preserve"> </w:t>
      </w:r>
      <w:proofErr w:type="spellStart"/>
      <w:r w:rsidRPr="00C547BF">
        <w:rPr>
          <w:i/>
          <w:iCs/>
          <w:szCs w:val="16"/>
        </w:rPr>
        <w:t>Tecse</w:t>
      </w:r>
      <w:proofErr w:type="spellEnd"/>
      <w:r w:rsidRPr="00C547BF">
        <w:rPr>
          <w:i/>
          <w:iCs/>
          <w:szCs w:val="16"/>
        </w:rPr>
        <w:t xml:space="preserve"> v. Peru</w:t>
      </w:r>
      <w:r w:rsidRPr="00C547BF">
        <w:rPr>
          <w:szCs w:val="16"/>
        </w:rPr>
        <w:t>. Merits, Reparations and Costs. Judgment of March 3, 2005, Series C No. 121, para. 6.</w:t>
      </w:r>
    </w:p>
  </w:footnote>
  <w:footnote w:id="122">
    <w:p w14:paraId="6FA8EFDA"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Report No. 56/12, Case 12.775, Merits, </w:t>
      </w:r>
      <w:proofErr w:type="spellStart"/>
      <w:r w:rsidRPr="00C547BF">
        <w:rPr>
          <w:szCs w:val="16"/>
        </w:rPr>
        <w:t>Florentín</w:t>
      </w:r>
      <w:proofErr w:type="spellEnd"/>
      <w:r w:rsidRPr="00C547BF">
        <w:rPr>
          <w:szCs w:val="16"/>
        </w:rPr>
        <w:t xml:space="preserve"> </w:t>
      </w:r>
      <w:proofErr w:type="spellStart"/>
      <w:r w:rsidRPr="00C547BF">
        <w:rPr>
          <w:szCs w:val="16"/>
        </w:rPr>
        <w:t>Gudiel</w:t>
      </w:r>
      <w:proofErr w:type="spellEnd"/>
      <w:r w:rsidRPr="00C547BF">
        <w:rPr>
          <w:szCs w:val="16"/>
        </w:rPr>
        <w:t xml:space="preserve"> et al, Guatemala, March 21, 2012, para. 21.</w:t>
      </w:r>
    </w:p>
  </w:footnote>
  <w:footnote w:id="123">
    <w:p w14:paraId="3F0661ED"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Court. Case of </w:t>
      </w:r>
      <w:proofErr w:type="spellStart"/>
      <w:r w:rsidRPr="00C547BF">
        <w:rPr>
          <w:szCs w:val="16"/>
        </w:rPr>
        <w:t>Yarce</w:t>
      </w:r>
      <w:proofErr w:type="spellEnd"/>
      <w:r w:rsidRPr="00C547BF">
        <w:rPr>
          <w:szCs w:val="16"/>
        </w:rPr>
        <w:t xml:space="preserve"> et al. v. Colombia. Preliminary Objection, Merits, Reparations and Costs. Judgment of November 22, 2016. Series C No. 325, para. 271.</w:t>
      </w:r>
    </w:p>
  </w:footnote>
  <w:footnote w:id="124">
    <w:p w14:paraId="72E791F1"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Report No. 120/10, Case 12.605, Merits, Joe Luis Castillo González, Venezuela, October 22, 2010, para. 109.</w:t>
      </w:r>
    </w:p>
  </w:footnote>
  <w:footnote w:id="125">
    <w:p w14:paraId="38D6CA61"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 Court H.R., Case of Kawas Fernández v. Honduras. Merits, Reparations and Costs. Judgment of April 3, </w:t>
      </w:r>
      <w:proofErr w:type="gramStart"/>
      <w:r w:rsidRPr="00C547BF">
        <w:rPr>
          <w:szCs w:val="16"/>
        </w:rPr>
        <w:t>2009</w:t>
      </w:r>
      <w:proofErr w:type="gramEnd"/>
      <w:r w:rsidRPr="00C547BF">
        <w:rPr>
          <w:szCs w:val="16"/>
        </w:rPr>
        <w:t xml:space="preserve"> Series C No. 196, para. 97.</w:t>
      </w:r>
    </w:p>
  </w:footnote>
  <w:footnote w:id="126">
    <w:p w14:paraId="231EC095" w14:textId="77777777" w:rsidR="00171179" w:rsidRPr="00C547BF" w:rsidRDefault="00171179" w:rsidP="007415AC">
      <w:pPr>
        <w:autoSpaceDE w:val="0"/>
        <w:autoSpaceDN w:val="0"/>
        <w:adjustRightInd w:val="0"/>
        <w:spacing w:after="0"/>
        <w:rPr>
          <w:b/>
          <w:bCs/>
          <w:sz w:val="16"/>
          <w:szCs w:val="16"/>
          <w:lang w:val="en-US"/>
        </w:rPr>
      </w:pPr>
      <w:r w:rsidRPr="00C547BF">
        <w:rPr>
          <w:rStyle w:val="Refdenotaalpie"/>
          <w:sz w:val="16"/>
          <w:szCs w:val="16"/>
        </w:rPr>
        <w:footnoteRef/>
      </w:r>
      <w:r w:rsidRPr="00C547BF">
        <w:rPr>
          <w:sz w:val="16"/>
          <w:szCs w:val="16"/>
          <w:lang w:val="en-US"/>
        </w:rPr>
        <w:t xml:space="preserve"> I/A Court H.R., Case of Valle Jaramillo et al. v. Colombia. </w:t>
      </w:r>
      <w:r w:rsidRPr="00C547BF">
        <w:rPr>
          <w:rFonts w:cs="Univers,Italic"/>
          <w:i/>
          <w:sz w:val="16"/>
          <w:szCs w:val="16"/>
        </w:rPr>
        <w:t>Case of Valle Jaramillo et al. v. Colombia</w:t>
      </w:r>
      <w:r w:rsidRPr="00C547BF">
        <w:rPr>
          <w:rFonts w:cs="Univers,Italic"/>
          <w:iCs/>
          <w:sz w:val="16"/>
          <w:szCs w:val="16"/>
        </w:rPr>
        <w:t xml:space="preserve">. </w:t>
      </w:r>
      <w:r w:rsidRPr="00C547BF">
        <w:rPr>
          <w:sz w:val="16"/>
          <w:szCs w:val="16"/>
          <w:lang w:val="en-US"/>
        </w:rPr>
        <w:t xml:space="preserve">Merits, Reparations and Costs. Judgment of November 27, 2008. Series C No. 192, para. 138. </w:t>
      </w:r>
    </w:p>
  </w:footnote>
  <w:footnote w:id="127">
    <w:p w14:paraId="6DCEE9B2" w14:textId="77777777" w:rsidR="00171179" w:rsidRPr="00C547BF" w:rsidRDefault="00171179" w:rsidP="007415AC">
      <w:pPr>
        <w:pStyle w:val="Textonotapie"/>
        <w:rPr>
          <w:rFonts w:cs="Arial"/>
          <w:szCs w:val="16"/>
        </w:rPr>
      </w:pPr>
      <w:r w:rsidRPr="00C547BF">
        <w:rPr>
          <w:rStyle w:val="Refdenotaalpie"/>
          <w:rFonts w:cs="Arial"/>
          <w:szCs w:val="16"/>
          <w:lang w:val="es-ES"/>
        </w:rPr>
        <w:footnoteRef/>
      </w:r>
      <w:r w:rsidRPr="00C547BF">
        <w:rPr>
          <w:rStyle w:val="Textoennegrita"/>
          <w:b w:val="0"/>
          <w:bCs w:val="0"/>
          <w:szCs w:val="16"/>
          <w:shd w:val="clear" w:color="auto" w:fill="FFFFFF"/>
        </w:rPr>
        <w:t xml:space="preserve"> I/A Court H.R., Case of </w:t>
      </w:r>
      <w:proofErr w:type="spellStart"/>
      <w:r w:rsidRPr="00C547BF">
        <w:rPr>
          <w:rStyle w:val="Textoennegrita"/>
          <w:b w:val="0"/>
          <w:bCs w:val="0"/>
          <w:szCs w:val="16"/>
          <w:shd w:val="clear" w:color="auto" w:fill="FFFFFF"/>
        </w:rPr>
        <w:t>Vélez</w:t>
      </w:r>
      <w:proofErr w:type="spellEnd"/>
      <w:r w:rsidRPr="00C547BF">
        <w:rPr>
          <w:rStyle w:val="Textoennegrita"/>
          <w:b w:val="0"/>
          <w:bCs w:val="0"/>
          <w:szCs w:val="16"/>
          <w:shd w:val="clear" w:color="auto" w:fill="FFFFFF"/>
        </w:rPr>
        <w:t xml:space="preserve"> Restrepo and family members v. Colombia. </w:t>
      </w:r>
      <w:r w:rsidRPr="00C547BF">
        <w:rPr>
          <w:rStyle w:val="Textoennegrita"/>
          <w:b w:val="0"/>
          <w:bCs w:val="0"/>
          <w:i/>
          <w:iCs/>
          <w:szCs w:val="16"/>
          <w:shd w:val="clear" w:color="auto" w:fill="FFFFFF"/>
        </w:rPr>
        <w:t xml:space="preserve">Case of </w:t>
      </w:r>
      <w:proofErr w:type="spellStart"/>
      <w:r w:rsidRPr="00C547BF">
        <w:rPr>
          <w:rStyle w:val="Textoennegrita"/>
          <w:b w:val="0"/>
          <w:bCs w:val="0"/>
          <w:i/>
          <w:iCs/>
          <w:szCs w:val="16"/>
          <w:shd w:val="clear" w:color="auto" w:fill="FFFFFF"/>
        </w:rPr>
        <w:t>Vélez</w:t>
      </w:r>
      <w:proofErr w:type="spellEnd"/>
      <w:r w:rsidRPr="00C547BF">
        <w:rPr>
          <w:rStyle w:val="Textoennegrita"/>
          <w:b w:val="0"/>
          <w:bCs w:val="0"/>
          <w:i/>
          <w:iCs/>
          <w:szCs w:val="16"/>
          <w:shd w:val="clear" w:color="auto" w:fill="FFFFFF"/>
        </w:rPr>
        <w:t xml:space="preserve"> Restrepo and family members v. Colombia</w:t>
      </w:r>
      <w:r w:rsidRPr="00C547BF">
        <w:rPr>
          <w:rStyle w:val="Textoennegrita"/>
          <w:b w:val="0"/>
          <w:bCs w:val="0"/>
          <w:szCs w:val="16"/>
          <w:shd w:val="clear" w:color="auto" w:fill="FFFFFF"/>
        </w:rPr>
        <w:t>. Preliminary Objection, Merits, Reparations and Costs. Judgment of September 3, 2012. Series C No. 248, para. 220.</w:t>
      </w:r>
    </w:p>
  </w:footnote>
  <w:footnote w:id="128">
    <w:p w14:paraId="35E83C23" w14:textId="77777777" w:rsidR="00171179" w:rsidRPr="00C547BF" w:rsidRDefault="00171179" w:rsidP="007415AC">
      <w:pPr>
        <w:pStyle w:val="Textonotapie"/>
        <w:rPr>
          <w:szCs w:val="16"/>
          <w:lang w:val="es-PE"/>
        </w:rPr>
      </w:pPr>
      <w:r w:rsidRPr="00C547BF">
        <w:rPr>
          <w:rStyle w:val="Refdenotaalpie"/>
          <w:szCs w:val="16"/>
        </w:rPr>
        <w:footnoteRef/>
      </w:r>
      <w:r w:rsidRPr="00C547BF">
        <w:rPr>
          <w:szCs w:val="16"/>
        </w:rPr>
        <w:t xml:space="preserve"> IACHR. Report No. 67/06. </w:t>
      </w:r>
      <w:r w:rsidRPr="00C547BF">
        <w:rPr>
          <w:szCs w:val="16"/>
          <w:lang w:val="es-US"/>
        </w:rPr>
        <w:t xml:space="preserve">Case No. 12.476. </w:t>
      </w:r>
      <w:r w:rsidRPr="00C547BF">
        <w:rPr>
          <w:szCs w:val="16"/>
          <w:lang w:val="es-PE"/>
        </w:rPr>
        <w:t>Merits. Oscar Elías Biscet et al. Cuba. October 21, 2006, para. 242.</w:t>
      </w:r>
    </w:p>
  </w:footnote>
  <w:footnote w:id="129">
    <w:p w14:paraId="2957E8E7"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Report No. 67/06. Case No. 12.476. </w:t>
      </w:r>
      <w:r w:rsidRPr="00C547BF">
        <w:rPr>
          <w:szCs w:val="16"/>
          <w:lang w:val="es-PE"/>
        </w:rPr>
        <w:t xml:space="preserve">Merits. Oscar Elías Biscet et al. Cuba. </w:t>
      </w:r>
      <w:r w:rsidRPr="00C547BF">
        <w:rPr>
          <w:szCs w:val="16"/>
        </w:rPr>
        <w:t xml:space="preserve">October 21, 2006, para. 242; IACHR. Office of the Special Rapporteur for Freedom of Expression. </w:t>
      </w:r>
      <w:hyperlink r:id="rId31">
        <w:r w:rsidRPr="00C547BF">
          <w:rPr>
            <w:rStyle w:val="EnlacedeInternet"/>
            <w:i/>
            <w:iCs/>
            <w:color w:val="auto"/>
            <w:szCs w:val="16"/>
          </w:rPr>
          <w:t xml:space="preserve">Standards for a free, </w:t>
        </w:r>
        <w:proofErr w:type="gramStart"/>
        <w:r w:rsidRPr="00C547BF">
          <w:rPr>
            <w:rStyle w:val="EnlacedeInternet"/>
            <w:i/>
            <w:iCs/>
            <w:color w:val="auto"/>
            <w:szCs w:val="16"/>
          </w:rPr>
          <w:t>open</w:t>
        </w:r>
        <w:proofErr w:type="gramEnd"/>
        <w:r w:rsidRPr="00C547BF">
          <w:rPr>
            <w:rStyle w:val="EnlacedeInternet"/>
            <w:i/>
            <w:iCs/>
            <w:color w:val="auto"/>
            <w:szCs w:val="16"/>
          </w:rPr>
          <w:t xml:space="preserve"> and inclusive Internet</w:t>
        </w:r>
      </w:hyperlink>
      <w:r w:rsidRPr="00C547BF">
        <w:rPr>
          <w:i/>
          <w:iCs/>
          <w:szCs w:val="16"/>
        </w:rPr>
        <w:t>.</w:t>
      </w:r>
      <w:r w:rsidRPr="00C547BF">
        <w:rPr>
          <w:szCs w:val="16"/>
        </w:rPr>
        <w:t xml:space="preserve"> March 5, 2017, paras. 189 and 191.</w:t>
      </w:r>
    </w:p>
  </w:footnote>
  <w:footnote w:id="130">
    <w:p w14:paraId="2C8EA5C2"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Office of the Special Rapporteur for Freedom of Expression. </w:t>
      </w:r>
      <w:hyperlink r:id="rId32">
        <w:r w:rsidRPr="00C547BF">
          <w:rPr>
            <w:rStyle w:val="EnlacedeInternet"/>
            <w:i/>
            <w:iCs/>
            <w:color w:val="auto"/>
            <w:szCs w:val="16"/>
          </w:rPr>
          <w:t xml:space="preserve">Standards for a free, </w:t>
        </w:r>
        <w:proofErr w:type="gramStart"/>
        <w:r w:rsidRPr="00C547BF">
          <w:rPr>
            <w:rStyle w:val="EnlacedeInternet"/>
            <w:i/>
            <w:iCs/>
            <w:color w:val="auto"/>
            <w:szCs w:val="16"/>
          </w:rPr>
          <w:t>open</w:t>
        </w:r>
        <w:proofErr w:type="gramEnd"/>
        <w:r w:rsidRPr="00C547BF">
          <w:rPr>
            <w:rStyle w:val="EnlacedeInternet"/>
            <w:i/>
            <w:iCs/>
            <w:color w:val="auto"/>
            <w:szCs w:val="16"/>
          </w:rPr>
          <w:t xml:space="preserve"> and inclusive Internet</w:t>
        </w:r>
      </w:hyperlink>
      <w:r w:rsidRPr="00C547BF">
        <w:rPr>
          <w:i/>
          <w:iCs/>
          <w:szCs w:val="16"/>
        </w:rPr>
        <w:t>.</w:t>
      </w:r>
      <w:r w:rsidRPr="00C547BF">
        <w:rPr>
          <w:szCs w:val="16"/>
        </w:rPr>
        <w:t xml:space="preserve"> March 5, 2017, para. 10; IACHR. Office of the Special Rapporteur for Freedom of Expression. </w:t>
      </w:r>
      <w:hyperlink r:id="rId33" w:history="1">
        <w:r w:rsidRPr="00C547BF">
          <w:rPr>
            <w:rStyle w:val="Hipervnculo"/>
            <w:i/>
            <w:iCs/>
            <w:szCs w:val="16"/>
          </w:rPr>
          <w:t xml:space="preserve">Special Report </w:t>
        </w:r>
        <w:proofErr w:type="gramStart"/>
        <w:r w:rsidRPr="00C547BF">
          <w:rPr>
            <w:rStyle w:val="Hipervnculo"/>
            <w:i/>
            <w:iCs/>
            <w:szCs w:val="16"/>
          </w:rPr>
          <w:t>on the Situation of</w:t>
        </w:r>
        <w:proofErr w:type="gramEnd"/>
        <w:r w:rsidRPr="00C547BF">
          <w:rPr>
            <w:rStyle w:val="Hipervnculo"/>
            <w:i/>
            <w:iCs/>
            <w:szCs w:val="16"/>
          </w:rPr>
          <w:t xml:space="preserve"> Freedom of Expression in Cuba</w:t>
        </w:r>
        <w:r w:rsidRPr="00C547BF">
          <w:rPr>
            <w:rStyle w:val="Hipervnculo"/>
            <w:szCs w:val="16"/>
          </w:rPr>
          <w:t>.</w:t>
        </w:r>
      </w:hyperlink>
      <w:r w:rsidRPr="00C547BF">
        <w:rPr>
          <w:szCs w:val="16"/>
        </w:rPr>
        <w:t xml:space="preserve"> December 31, 2018, para. 243.</w:t>
      </w:r>
    </w:p>
  </w:footnote>
  <w:footnote w:id="131">
    <w:p w14:paraId="7779D405"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UN. Human Rights Council. Report of the Special Rapporteur on the promotion and protection of the right to freedom of opinion and expression, Frank La Rue. UN Doc. A/HRC/23/40. April 17, 2013, para. 81.</w:t>
      </w:r>
    </w:p>
  </w:footnote>
  <w:footnote w:id="132">
    <w:p w14:paraId="17C7CE23"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Office of the Special Rapporteur for Freedom of Expression. </w:t>
      </w:r>
      <w:hyperlink r:id="rId34">
        <w:r w:rsidRPr="00C547BF">
          <w:rPr>
            <w:rStyle w:val="EnlacedeInternet"/>
            <w:i/>
            <w:iCs/>
            <w:color w:val="auto"/>
            <w:szCs w:val="16"/>
          </w:rPr>
          <w:t xml:space="preserve">Standards for a free, </w:t>
        </w:r>
        <w:proofErr w:type="gramStart"/>
        <w:r w:rsidRPr="00C547BF">
          <w:rPr>
            <w:rStyle w:val="EnlacedeInternet"/>
            <w:i/>
            <w:iCs/>
            <w:color w:val="auto"/>
            <w:szCs w:val="16"/>
          </w:rPr>
          <w:t>open</w:t>
        </w:r>
        <w:proofErr w:type="gramEnd"/>
        <w:r w:rsidRPr="00C547BF">
          <w:rPr>
            <w:rStyle w:val="EnlacedeInternet"/>
            <w:i/>
            <w:iCs/>
            <w:color w:val="auto"/>
            <w:szCs w:val="16"/>
          </w:rPr>
          <w:t xml:space="preserve"> and inclusive Internet</w:t>
        </w:r>
      </w:hyperlink>
      <w:r w:rsidRPr="00C547BF">
        <w:rPr>
          <w:i/>
          <w:iCs/>
          <w:szCs w:val="16"/>
        </w:rPr>
        <w:t xml:space="preserve">. </w:t>
      </w:r>
      <w:r w:rsidRPr="00C547BF">
        <w:rPr>
          <w:szCs w:val="16"/>
        </w:rPr>
        <w:t>March 5, 2017</w:t>
      </w:r>
      <w:r w:rsidRPr="00C547BF">
        <w:rPr>
          <w:i/>
          <w:szCs w:val="16"/>
        </w:rPr>
        <w:t xml:space="preserve">, </w:t>
      </w:r>
      <w:r w:rsidRPr="00C547BF">
        <w:rPr>
          <w:szCs w:val="16"/>
        </w:rPr>
        <w:t>para. 217.</w:t>
      </w:r>
    </w:p>
  </w:footnote>
  <w:footnote w:id="133">
    <w:p w14:paraId="673BD42D"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Office of the Special Rapporteur for Freedom of Expression. </w:t>
      </w:r>
      <w:hyperlink r:id="rId35">
        <w:r w:rsidRPr="00C547BF">
          <w:rPr>
            <w:rStyle w:val="EnlacedeInternet"/>
            <w:i/>
            <w:iCs/>
            <w:color w:val="auto"/>
            <w:szCs w:val="16"/>
          </w:rPr>
          <w:t xml:space="preserve">Standards for a free, </w:t>
        </w:r>
        <w:proofErr w:type="gramStart"/>
        <w:r w:rsidRPr="00C547BF">
          <w:rPr>
            <w:rStyle w:val="EnlacedeInternet"/>
            <w:i/>
            <w:iCs/>
            <w:color w:val="auto"/>
            <w:szCs w:val="16"/>
          </w:rPr>
          <w:t>open</w:t>
        </w:r>
        <w:proofErr w:type="gramEnd"/>
        <w:r w:rsidRPr="00C547BF">
          <w:rPr>
            <w:rStyle w:val="EnlacedeInternet"/>
            <w:i/>
            <w:iCs/>
            <w:color w:val="auto"/>
            <w:szCs w:val="16"/>
          </w:rPr>
          <w:t xml:space="preserve"> and inclusive Internet</w:t>
        </w:r>
      </w:hyperlink>
      <w:r w:rsidRPr="00C547BF">
        <w:rPr>
          <w:i/>
          <w:iCs/>
          <w:szCs w:val="16"/>
        </w:rPr>
        <w:t>.</w:t>
      </w:r>
      <w:r w:rsidRPr="00C547BF">
        <w:rPr>
          <w:szCs w:val="16"/>
        </w:rPr>
        <w:t xml:space="preserve"> March 5, 2017, para. 10; IACHR. Office of the Special Rapporteur for Freedom of Expression. </w:t>
      </w:r>
      <w:hyperlink r:id="rId36" w:history="1">
        <w:r w:rsidRPr="00C547BF">
          <w:rPr>
            <w:rStyle w:val="Hipervnculo"/>
            <w:i/>
            <w:iCs/>
            <w:szCs w:val="16"/>
          </w:rPr>
          <w:t xml:space="preserve">Special Report </w:t>
        </w:r>
        <w:proofErr w:type="gramStart"/>
        <w:r w:rsidRPr="00C547BF">
          <w:rPr>
            <w:rStyle w:val="Hipervnculo"/>
            <w:i/>
            <w:iCs/>
            <w:szCs w:val="16"/>
          </w:rPr>
          <w:t>on the Situation of</w:t>
        </w:r>
        <w:proofErr w:type="gramEnd"/>
        <w:r w:rsidRPr="00C547BF">
          <w:rPr>
            <w:rStyle w:val="Hipervnculo"/>
            <w:i/>
            <w:iCs/>
            <w:szCs w:val="16"/>
          </w:rPr>
          <w:t xml:space="preserve"> Freedom of Expression in Cuba</w:t>
        </w:r>
        <w:r w:rsidRPr="00C547BF">
          <w:rPr>
            <w:rStyle w:val="Hipervnculo"/>
            <w:szCs w:val="16"/>
          </w:rPr>
          <w:t>.</w:t>
        </w:r>
      </w:hyperlink>
      <w:r w:rsidRPr="00C547BF">
        <w:rPr>
          <w:szCs w:val="16"/>
        </w:rPr>
        <w:t xml:space="preserve"> December 31, 2018, para. 243.</w:t>
      </w:r>
    </w:p>
  </w:footnote>
  <w:footnote w:id="134">
    <w:p w14:paraId="7D47BCC7"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Report No. 102/21. Case 13.639. Admissibility and Merits. </w:t>
      </w:r>
      <w:proofErr w:type="spellStart"/>
      <w:r w:rsidRPr="00C547BF">
        <w:rPr>
          <w:szCs w:val="16"/>
        </w:rPr>
        <w:t>Yoani</w:t>
      </w:r>
      <w:proofErr w:type="spellEnd"/>
      <w:r w:rsidRPr="00C547BF">
        <w:rPr>
          <w:szCs w:val="16"/>
        </w:rPr>
        <w:t xml:space="preserve"> María Sánchez and family. Cuba. June 26, 2021. Paras. 157-161, and IACHR. Report No. 67/06. Case 12.476. Oscar Elías Biscet et al. Cuba. October 21, 2006, paras. 241-243.</w:t>
      </w:r>
    </w:p>
  </w:footnote>
  <w:footnote w:id="135">
    <w:p w14:paraId="442216DA" w14:textId="77777777" w:rsidR="00171179" w:rsidRPr="00C547BF" w:rsidRDefault="00171179" w:rsidP="007415AC">
      <w:pPr>
        <w:pStyle w:val="Textonotapie"/>
        <w:rPr>
          <w:szCs w:val="16"/>
        </w:rPr>
      </w:pPr>
      <w:r w:rsidRPr="00C547BF">
        <w:rPr>
          <w:rStyle w:val="Refdenotaalpie"/>
          <w:szCs w:val="16"/>
          <w:lang w:val="es-CO"/>
        </w:rPr>
        <w:footnoteRef/>
      </w:r>
      <w:r w:rsidRPr="00C547BF">
        <w:rPr>
          <w:szCs w:val="16"/>
        </w:rPr>
        <w:t xml:space="preserve"> IACHR Court. </w:t>
      </w:r>
      <w:r w:rsidRPr="00C547BF">
        <w:rPr>
          <w:i/>
          <w:iCs/>
          <w:szCs w:val="16"/>
        </w:rPr>
        <w:t>Case of Rodríguez Vera et al. (Disappeared from the Palace of Justice) v. Colombia</w:t>
      </w:r>
      <w:r w:rsidRPr="00C547BF">
        <w:rPr>
          <w:szCs w:val="16"/>
        </w:rPr>
        <w:t xml:space="preserve">. Preliminary Objections, Merits, Reparations and Costs. Judgment of November 14, 2014. Series C No. 287, para. 435.  </w:t>
      </w:r>
    </w:p>
  </w:footnote>
  <w:footnote w:id="136">
    <w:p w14:paraId="6AD38D13" w14:textId="77777777" w:rsidR="00171179" w:rsidRPr="00C547BF" w:rsidRDefault="00171179" w:rsidP="007415AC">
      <w:pPr>
        <w:pStyle w:val="Textonotapie"/>
        <w:rPr>
          <w:szCs w:val="16"/>
        </w:rPr>
      </w:pPr>
      <w:r w:rsidRPr="00C547BF">
        <w:rPr>
          <w:rStyle w:val="Refdenotaalpie"/>
          <w:szCs w:val="16"/>
          <w:lang w:val="es-CO"/>
        </w:rPr>
        <w:footnoteRef/>
      </w:r>
      <w:r w:rsidRPr="00C547BF">
        <w:rPr>
          <w:szCs w:val="16"/>
        </w:rPr>
        <w:t xml:space="preserve"> IACHR Court. </w:t>
      </w:r>
      <w:r w:rsidRPr="00C547BF">
        <w:rPr>
          <w:i/>
          <w:iCs/>
          <w:szCs w:val="16"/>
        </w:rPr>
        <w:t xml:space="preserve">Case of </w:t>
      </w:r>
      <w:proofErr w:type="spellStart"/>
      <w:r w:rsidRPr="00C547BF">
        <w:rPr>
          <w:i/>
          <w:iCs/>
          <w:szCs w:val="16"/>
        </w:rPr>
        <w:t>Velásquez</w:t>
      </w:r>
      <w:proofErr w:type="spellEnd"/>
      <w:r w:rsidRPr="00C547BF">
        <w:rPr>
          <w:i/>
          <w:iCs/>
          <w:szCs w:val="16"/>
        </w:rPr>
        <w:t xml:space="preserve"> Rodríguez v. Honduras</w:t>
      </w:r>
      <w:r w:rsidRPr="00C547BF">
        <w:rPr>
          <w:szCs w:val="16"/>
        </w:rPr>
        <w:t xml:space="preserve">. Merits. Judgment of July 29, 1988. Series C No. 4, para. 177.  </w:t>
      </w:r>
    </w:p>
  </w:footnote>
  <w:footnote w:id="137">
    <w:p w14:paraId="50D7F09C"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Court. </w:t>
      </w:r>
      <w:r w:rsidRPr="00C547BF">
        <w:rPr>
          <w:i/>
          <w:iCs/>
          <w:szCs w:val="16"/>
        </w:rPr>
        <w:t>Case of Digna Ochoa and family members v. Mexico</w:t>
      </w:r>
      <w:r w:rsidRPr="00C547BF">
        <w:rPr>
          <w:szCs w:val="16"/>
        </w:rPr>
        <w:t xml:space="preserve">. Preliminary Objections, Merits, Reparations and Costs. Judgment of November 25, 2021. Series C No. 447, para. 100. </w:t>
      </w:r>
    </w:p>
  </w:footnote>
  <w:footnote w:id="138">
    <w:p w14:paraId="0736814B" w14:textId="77777777" w:rsidR="00171179" w:rsidRPr="00C547BF" w:rsidRDefault="00171179" w:rsidP="007415AC">
      <w:pPr>
        <w:spacing w:after="0"/>
        <w:rPr>
          <w:rFonts w:eastAsia="Times New Roman"/>
          <w:sz w:val="16"/>
          <w:szCs w:val="16"/>
          <w:lang w:val="en-US"/>
        </w:rPr>
      </w:pPr>
      <w:r w:rsidRPr="00C547BF">
        <w:rPr>
          <w:rStyle w:val="Refdenotaalpie"/>
          <w:sz w:val="16"/>
          <w:szCs w:val="16"/>
        </w:rPr>
        <w:footnoteRef/>
      </w:r>
      <w:r w:rsidRPr="00C547BF">
        <w:rPr>
          <w:sz w:val="16"/>
          <w:szCs w:val="16"/>
          <w:lang w:val="en-US"/>
        </w:rPr>
        <w:t xml:space="preserve"> IACHR Court. </w:t>
      </w:r>
      <w:r w:rsidRPr="00C547BF">
        <w:rPr>
          <w:rFonts w:eastAsia="Times New Roman"/>
          <w:i/>
          <w:iCs/>
          <w:sz w:val="16"/>
          <w:szCs w:val="16"/>
          <w:lang w:val="en-US"/>
        </w:rPr>
        <w:t xml:space="preserve">Case of Defensor de derechos </w:t>
      </w:r>
      <w:proofErr w:type="spellStart"/>
      <w:r w:rsidRPr="00C547BF">
        <w:rPr>
          <w:rFonts w:eastAsia="Times New Roman"/>
          <w:i/>
          <w:iCs/>
          <w:sz w:val="16"/>
          <w:szCs w:val="16"/>
          <w:lang w:val="en-US"/>
        </w:rPr>
        <w:t>humanos</w:t>
      </w:r>
      <w:proofErr w:type="spellEnd"/>
      <w:r w:rsidRPr="00C547BF">
        <w:rPr>
          <w:rFonts w:eastAsia="Times New Roman"/>
          <w:i/>
          <w:iCs/>
          <w:sz w:val="16"/>
          <w:szCs w:val="16"/>
          <w:lang w:val="en-US"/>
        </w:rPr>
        <w:t xml:space="preserve"> et al. v. Guatemala</w:t>
      </w:r>
      <w:r w:rsidRPr="00C547BF">
        <w:rPr>
          <w:rFonts w:eastAsia="Times New Roman"/>
          <w:sz w:val="16"/>
          <w:szCs w:val="16"/>
          <w:lang w:val="en-US"/>
        </w:rPr>
        <w:t>. Preliminary Objections, Merits, Reparations and Costs. Judgment of August 28, 2014. Series C No. 283, paras. 131, 216, 219.</w:t>
      </w:r>
    </w:p>
  </w:footnote>
  <w:footnote w:id="139">
    <w:p w14:paraId="510ACDF2"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 Court H.R., Case of Gomes Lund et al. </w:t>
      </w:r>
      <w:r w:rsidRPr="00C547BF">
        <w:rPr>
          <w:i/>
          <w:iCs/>
          <w:szCs w:val="16"/>
        </w:rPr>
        <w:t>Case of Gomes Lund et al. ("</w:t>
      </w:r>
      <w:proofErr w:type="spellStart"/>
      <w:r w:rsidRPr="00C547BF">
        <w:rPr>
          <w:i/>
          <w:iCs/>
          <w:szCs w:val="16"/>
        </w:rPr>
        <w:t>Guerrilha</w:t>
      </w:r>
      <w:proofErr w:type="spellEnd"/>
      <w:r w:rsidRPr="00C547BF">
        <w:rPr>
          <w:i/>
          <w:iCs/>
          <w:szCs w:val="16"/>
        </w:rPr>
        <w:t xml:space="preserve"> do Araguaia") v. Brazil</w:t>
      </w:r>
      <w:r w:rsidRPr="00C547BF">
        <w:rPr>
          <w:szCs w:val="16"/>
        </w:rPr>
        <w:t>. Preliminary Objections, Merits, Reparations and Costs. Judgment of November 24, 2010. Series C No. 219, para. 211.</w:t>
      </w:r>
    </w:p>
  </w:footnote>
  <w:footnote w:id="140">
    <w:p w14:paraId="268BA37E"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 Court H.R., Case of the </w:t>
      </w:r>
      <w:proofErr w:type="spellStart"/>
      <w:r w:rsidRPr="00C547BF">
        <w:rPr>
          <w:szCs w:val="16"/>
        </w:rPr>
        <w:t>Kaliña</w:t>
      </w:r>
      <w:proofErr w:type="spellEnd"/>
      <w:r w:rsidRPr="00C547BF">
        <w:rPr>
          <w:szCs w:val="16"/>
        </w:rPr>
        <w:t xml:space="preserve"> and </w:t>
      </w:r>
      <w:proofErr w:type="spellStart"/>
      <w:r w:rsidRPr="00C547BF">
        <w:rPr>
          <w:szCs w:val="16"/>
        </w:rPr>
        <w:t>Lokono</w:t>
      </w:r>
      <w:proofErr w:type="spellEnd"/>
      <w:r w:rsidRPr="00C547BF">
        <w:rPr>
          <w:szCs w:val="16"/>
        </w:rPr>
        <w:t xml:space="preserve"> Peoples v. Suriname. </w:t>
      </w:r>
      <w:r w:rsidRPr="00C547BF">
        <w:rPr>
          <w:i/>
          <w:iCs/>
          <w:szCs w:val="16"/>
        </w:rPr>
        <w:t xml:space="preserve">Case of the </w:t>
      </w:r>
      <w:proofErr w:type="spellStart"/>
      <w:r w:rsidRPr="00C547BF">
        <w:rPr>
          <w:i/>
          <w:iCs/>
          <w:szCs w:val="16"/>
        </w:rPr>
        <w:t>Kaliña</w:t>
      </w:r>
      <w:proofErr w:type="spellEnd"/>
      <w:r w:rsidRPr="00C547BF">
        <w:rPr>
          <w:i/>
          <w:iCs/>
          <w:szCs w:val="16"/>
        </w:rPr>
        <w:t xml:space="preserve"> and </w:t>
      </w:r>
      <w:proofErr w:type="spellStart"/>
      <w:r w:rsidRPr="00C547BF">
        <w:rPr>
          <w:i/>
          <w:iCs/>
          <w:szCs w:val="16"/>
        </w:rPr>
        <w:t>Lokono</w:t>
      </w:r>
      <w:proofErr w:type="spellEnd"/>
      <w:r w:rsidRPr="00C547BF">
        <w:rPr>
          <w:i/>
          <w:iCs/>
          <w:szCs w:val="16"/>
        </w:rPr>
        <w:t xml:space="preserve"> Peoples v. Suriname</w:t>
      </w:r>
      <w:r w:rsidRPr="00C547BF">
        <w:rPr>
          <w:szCs w:val="16"/>
        </w:rPr>
        <w:t>. Merits, Reparations and Costs. Judgment of November 25, 2015. Series C No. 309, para. 265.</w:t>
      </w:r>
    </w:p>
  </w:footnote>
  <w:footnote w:id="141">
    <w:p w14:paraId="560BE5CC"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Court. </w:t>
      </w:r>
      <w:r w:rsidRPr="00C547BF">
        <w:rPr>
          <w:i/>
          <w:szCs w:val="16"/>
        </w:rPr>
        <w:t xml:space="preserve">Case of </w:t>
      </w:r>
      <w:proofErr w:type="spellStart"/>
      <w:r w:rsidRPr="00C547BF">
        <w:rPr>
          <w:i/>
          <w:szCs w:val="16"/>
        </w:rPr>
        <w:t>Palamara</w:t>
      </w:r>
      <w:proofErr w:type="spellEnd"/>
      <w:r w:rsidRPr="00C547BF">
        <w:rPr>
          <w:i/>
          <w:szCs w:val="16"/>
        </w:rPr>
        <w:t xml:space="preserve"> Iribarne v. Chile</w:t>
      </w:r>
      <w:r w:rsidRPr="00C547BF">
        <w:rPr>
          <w:szCs w:val="16"/>
        </w:rPr>
        <w:t>. Merits, Reparations and Costs. Judgment of November 22, 2005. Series C No. 135, paras. 174 and 175.</w:t>
      </w:r>
    </w:p>
  </w:footnote>
  <w:footnote w:id="142">
    <w:p w14:paraId="217BB8D3"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Court. </w:t>
      </w:r>
      <w:r w:rsidRPr="00C547BF">
        <w:rPr>
          <w:i/>
          <w:szCs w:val="16"/>
        </w:rPr>
        <w:t>Juridical Condition and Human Rights of the Child</w:t>
      </w:r>
      <w:r w:rsidRPr="00C547BF">
        <w:rPr>
          <w:szCs w:val="16"/>
        </w:rPr>
        <w:t>. Advisory Opinion OC-17/02 of August 28, 2002. Series A No. 17, para. 132.</w:t>
      </w:r>
    </w:p>
  </w:footnote>
  <w:footnote w:id="143">
    <w:p w14:paraId="226E37D8"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Report 67/06, Case 12.476. </w:t>
      </w:r>
      <w:r w:rsidRPr="00C547BF">
        <w:rPr>
          <w:szCs w:val="16"/>
          <w:lang w:val="es-419"/>
        </w:rPr>
        <w:t xml:space="preserve">Merits. Oscar Elías Biscet et al. Cuba. </w:t>
      </w:r>
      <w:r w:rsidRPr="00C547BF">
        <w:rPr>
          <w:szCs w:val="16"/>
        </w:rPr>
        <w:t>October 21, 2006, para. 171.</w:t>
      </w:r>
    </w:p>
  </w:footnote>
  <w:footnote w:id="144">
    <w:p w14:paraId="79610DFE"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w:t>
      </w:r>
      <w:hyperlink r:id="rId37" w:history="1">
        <w:r w:rsidRPr="00C547BF">
          <w:rPr>
            <w:rStyle w:val="Hipervnculo"/>
            <w:szCs w:val="16"/>
          </w:rPr>
          <w:t xml:space="preserve">Report </w:t>
        </w:r>
        <w:proofErr w:type="gramStart"/>
        <w:r w:rsidRPr="00C547BF">
          <w:rPr>
            <w:rStyle w:val="Hipervnculo"/>
            <w:szCs w:val="16"/>
          </w:rPr>
          <w:t>on the Situation of</w:t>
        </w:r>
        <w:proofErr w:type="gramEnd"/>
        <w:r w:rsidRPr="00C547BF">
          <w:rPr>
            <w:rStyle w:val="Hipervnculo"/>
            <w:szCs w:val="16"/>
          </w:rPr>
          <w:t xml:space="preserve"> Human Rights in Cuba</w:t>
        </w:r>
      </w:hyperlink>
      <w:r w:rsidRPr="00C547BF">
        <w:rPr>
          <w:szCs w:val="16"/>
        </w:rPr>
        <w:t xml:space="preserve">. February 3, 2020, chapter 4. </w:t>
      </w:r>
    </w:p>
  </w:footnote>
  <w:footnote w:id="145">
    <w:p w14:paraId="1B62AFC7" w14:textId="77777777" w:rsidR="00171179" w:rsidRPr="00C547BF" w:rsidRDefault="00171179" w:rsidP="007415AC">
      <w:pPr>
        <w:pBdr>
          <w:top w:val="none" w:sz="0" w:space="0" w:color="000000"/>
          <w:left w:val="none" w:sz="0" w:space="0" w:color="000000"/>
          <w:bottom w:val="none" w:sz="0" w:space="0" w:color="000000"/>
          <w:right w:val="none" w:sz="0" w:space="0" w:color="000000"/>
        </w:pBdr>
        <w:spacing w:after="0"/>
        <w:rPr>
          <w:rFonts w:eastAsia="Cambria" w:cs="Cambria"/>
          <w:b/>
          <w:bCs/>
          <w:sz w:val="16"/>
          <w:szCs w:val="16"/>
          <w:lang w:val="en-US"/>
        </w:rPr>
      </w:pPr>
      <w:r w:rsidRPr="00C547BF">
        <w:rPr>
          <w:rStyle w:val="Refdenotaalpie"/>
          <w:sz w:val="16"/>
          <w:szCs w:val="16"/>
        </w:rPr>
        <w:footnoteRef/>
      </w:r>
      <w:r w:rsidRPr="00C547BF">
        <w:rPr>
          <w:rFonts w:eastAsia="Cambria" w:cs="Cambria"/>
          <w:sz w:val="16"/>
          <w:szCs w:val="16"/>
          <w:lang w:val="en-US"/>
        </w:rPr>
        <w:t xml:space="preserve"> I/A Court H.R., Case of Cabrera García and Montiel Flores v. Mexico. </w:t>
      </w:r>
      <w:r w:rsidRPr="00C547BF">
        <w:rPr>
          <w:rFonts w:eastAsia="Cambria" w:cs="Cambria"/>
          <w:i/>
          <w:sz w:val="16"/>
          <w:szCs w:val="16"/>
          <w:lang w:val="en-US"/>
        </w:rPr>
        <w:t>Case of Cabrera García and Montiel Flores v. Mexico</w:t>
      </w:r>
      <w:r w:rsidRPr="00C547BF">
        <w:rPr>
          <w:rFonts w:eastAsia="Cambria" w:cs="Cambria"/>
          <w:sz w:val="16"/>
          <w:szCs w:val="16"/>
          <w:lang w:val="en-US"/>
        </w:rPr>
        <w:t xml:space="preserve">. Supervision of Compliance with Judgment. Judgment of the Inter-American Court of Human Rights of August 21, 2013, para. 166. </w:t>
      </w:r>
    </w:p>
  </w:footnote>
  <w:footnote w:id="146">
    <w:p w14:paraId="33FE2B5A" w14:textId="77777777" w:rsidR="00171179" w:rsidRPr="00C547BF" w:rsidRDefault="00171179" w:rsidP="007415AC">
      <w:pPr>
        <w:pStyle w:val="Textonotapie"/>
        <w:rPr>
          <w:b/>
          <w:bCs/>
          <w:szCs w:val="16"/>
        </w:rPr>
      </w:pPr>
      <w:r w:rsidRPr="00C547BF">
        <w:rPr>
          <w:rStyle w:val="Refdenotaalpie"/>
          <w:b/>
          <w:bCs/>
          <w:szCs w:val="16"/>
        </w:rPr>
        <w:footnoteRef/>
      </w:r>
      <w:r w:rsidRPr="00C547BF">
        <w:rPr>
          <w:rStyle w:val="Textoennegrita"/>
          <w:b w:val="0"/>
          <w:bCs w:val="0"/>
          <w:szCs w:val="16"/>
          <w:shd w:val="clear" w:color="auto" w:fill="FFFFFF"/>
        </w:rPr>
        <w:t xml:space="preserve"> I/A Court H.R., Case of Chaparro Álvarez and </w:t>
      </w:r>
      <w:proofErr w:type="spellStart"/>
      <w:r w:rsidRPr="00C547BF">
        <w:rPr>
          <w:rStyle w:val="Textoennegrita"/>
          <w:b w:val="0"/>
          <w:bCs w:val="0"/>
          <w:szCs w:val="16"/>
          <w:shd w:val="clear" w:color="auto" w:fill="FFFFFF"/>
        </w:rPr>
        <w:t>Lapo</w:t>
      </w:r>
      <w:proofErr w:type="spellEnd"/>
      <w:r w:rsidRPr="00C547BF">
        <w:rPr>
          <w:rStyle w:val="Textoennegrita"/>
          <w:b w:val="0"/>
          <w:bCs w:val="0"/>
          <w:szCs w:val="16"/>
          <w:shd w:val="clear" w:color="auto" w:fill="FFFFFF"/>
        </w:rPr>
        <w:t xml:space="preserve"> </w:t>
      </w:r>
      <w:proofErr w:type="spellStart"/>
      <w:r w:rsidRPr="00C547BF">
        <w:rPr>
          <w:rStyle w:val="Textoennegrita"/>
          <w:b w:val="0"/>
          <w:bCs w:val="0"/>
          <w:szCs w:val="16"/>
          <w:shd w:val="clear" w:color="auto" w:fill="FFFFFF"/>
        </w:rPr>
        <w:t>Iñiguez</w:t>
      </w:r>
      <w:proofErr w:type="spellEnd"/>
      <w:r w:rsidRPr="00C547BF">
        <w:rPr>
          <w:rStyle w:val="Textoennegrita"/>
          <w:b w:val="0"/>
          <w:bCs w:val="0"/>
          <w:szCs w:val="16"/>
          <w:shd w:val="clear" w:color="auto" w:fill="FFFFFF"/>
        </w:rPr>
        <w:t xml:space="preserve"> v. Ecuador. </w:t>
      </w:r>
      <w:r w:rsidRPr="00C547BF">
        <w:rPr>
          <w:rStyle w:val="Textoennegrita"/>
          <w:b w:val="0"/>
          <w:bCs w:val="0"/>
          <w:i/>
          <w:szCs w:val="16"/>
          <w:shd w:val="clear" w:color="auto" w:fill="FFFFFF"/>
        </w:rPr>
        <w:t xml:space="preserve">Case of Chaparro Álvarez and </w:t>
      </w:r>
      <w:proofErr w:type="spellStart"/>
      <w:r w:rsidRPr="00C547BF">
        <w:rPr>
          <w:rStyle w:val="Textoennegrita"/>
          <w:b w:val="0"/>
          <w:bCs w:val="0"/>
          <w:i/>
          <w:szCs w:val="16"/>
          <w:shd w:val="clear" w:color="auto" w:fill="FFFFFF"/>
        </w:rPr>
        <w:t>Lapo</w:t>
      </w:r>
      <w:proofErr w:type="spellEnd"/>
      <w:r w:rsidRPr="00C547BF">
        <w:rPr>
          <w:rStyle w:val="Textoennegrita"/>
          <w:b w:val="0"/>
          <w:bCs w:val="0"/>
          <w:i/>
          <w:szCs w:val="16"/>
          <w:shd w:val="clear" w:color="auto" w:fill="FFFFFF"/>
        </w:rPr>
        <w:t xml:space="preserve"> </w:t>
      </w:r>
      <w:proofErr w:type="spellStart"/>
      <w:r w:rsidRPr="00C547BF">
        <w:rPr>
          <w:rStyle w:val="Textoennegrita"/>
          <w:b w:val="0"/>
          <w:bCs w:val="0"/>
          <w:i/>
          <w:szCs w:val="16"/>
          <w:shd w:val="clear" w:color="auto" w:fill="FFFFFF"/>
        </w:rPr>
        <w:t>Iñiguez</w:t>
      </w:r>
      <w:proofErr w:type="spellEnd"/>
      <w:r w:rsidRPr="00C547BF">
        <w:rPr>
          <w:rStyle w:val="Textoennegrita"/>
          <w:b w:val="0"/>
          <w:bCs w:val="0"/>
          <w:i/>
          <w:szCs w:val="16"/>
          <w:shd w:val="clear" w:color="auto" w:fill="FFFFFF"/>
        </w:rPr>
        <w:t xml:space="preserve"> v. Ecuador</w:t>
      </w:r>
      <w:r w:rsidRPr="00C547BF">
        <w:rPr>
          <w:rStyle w:val="Textoennegrita"/>
          <w:b w:val="0"/>
          <w:bCs w:val="0"/>
          <w:szCs w:val="16"/>
          <w:shd w:val="clear" w:color="auto" w:fill="FFFFFF"/>
        </w:rPr>
        <w:t xml:space="preserve">. Preliminary Objections, Merits, Reparations and Costs. Judgment of November 21, 2007. Series C No. 170, para. 56. </w:t>
      </w:r>
    </w:p>
  </w:footnote>
  <w:footnote w:id="147">
    <w:p w14:paraId="38D1EF2B" w14:textId="77777777" w:rsidR="00171179" w:rsidRPr="00C547BF" w:rsidRDefault="00171179" w:rsidP="007415AC">
      <w:pPr>
        <w:pStyle w:val="Textonotapie"/>
        <w:rPr>
          <w:b/>
          <w:bCs/>
          <w:szCs w:val="16"/>
        </w:rPr>
      </w:pPr>
      <w:r w:rsidRPr="00C547BF">
        <w:rPr>
          <w:rStyle w:val="Refdenotaalpie"/>
          <w:b/>
          <w:bCs/>
          <w:szCs w:val="16"/>
        </w:rPr>
        <w:footnoteRef/>
      </w:r>
      <w:r w:rsidRPr="00C547BF">
        <w:rPr>
          <w:rStyle w:val="Textoennegrita"/>
          <w:b w:val="0"/>
          <w:bCs w:val="0"/>
          <w:szCs w:val="16"/>
          <w:shd w:val="clear" w:color="auto" w:fill="FFFFFF"/>
        </w:rPr>
        <w:t xml:space="preserve"> I/A Court H.R., Case of </w:t>
      </w:r>
      <w:proofErr w:type="spellStart"/>
      <w:r w:rsidRPr="00C547BF">
        <w:rPr>
          <w:rStyle w:val="Textoennegrita"/>
          <w:b w:val="0"/>
          <w:bCs w:val="0"/>
          <w:szCs w:val="16"/>
          <w:shd w:val="clear" w:color="auto" w:fill="FFFFFF"/>
        </w:rPr>
        <w:t>Gangaram</w:t>
      </w:r>
      <w:proofErr w:type="spellEnd"/>
      <w:r w:rsidRPr="00C547BF">
        <w:rPr>
          <w:rStyle w:val="Textoennegrita"/>
          <w:b w:val="0"/>
          <w:bCs w:val="0"/>
          <w:szCs w:val="16"/>
          <w:shd w:val="clear" w:color="auto" w:fill="FFFFFF"/>
        </w:rPr>
        <w:t xml:space="preserve"> Panday v. Suriname. </w:t>
      </w:r>
      <w:r w:rsidRPr="00C547BF">
        <w:rPr>
          <w:rStyle w:val="Textoennegrita"/>
          <w:b w:val="0"/>
          <w:bCs w:val="0"/>
          <w:i/>
          <w:szCs w:val="16"/>
          <w:shd w:val="clear" w:color="auto" w:fill="FFFFFF"/>
        </w:rPr>
        <w:t xml:space="preserve">Case of </w:t>
      </w:r>
      <w:proofErr w:type="spellStart"/>
      <w:r w:rsidRPr="00C547BF">
        <w:rPr>
          <w:rStyle w:val="Textoennegrita"/>
          <w:b w:val="0"/>
          <w:bCs w:val="0"/>
          <w:i/>
          <w:szCs w:val="16"/>
          <w:shd w:val="clear" w:color="auto" w:fill="FFFFFF"/>
        </w:rPr>
        <w:t>Gangaram</w:t>
      </w:r>
      <w:proofErr w:type="spellEnd"/>
      <w:r w:rsidRPr="00C547BF">
        <w:rPr>
          <w:rStyle w:val="Textoennegrita"/>
          <w:b w:val="0"/>
          <w:bCs w:val="0"/>
          <w:i/>
          <w:szCs w:val="16"/>
          <w:shd w:val="clear" w:color="auto" w:fill="FFFFFF"/>
        </w:rPr>
        <w:t xml:space="preserve"> Panday v. Suriname. </w:t>
      </w:r>
      <w:r w:rsidRPr="00C547BF">
        <w:rPr>
          <w:rStyle w:val="Textoennegrita"/>
          <w:b w:val="0"/>
          <w:bCs w:val="0"/>
          <w:szCs w:val="16"/>
          <w:shd w:val="clear" w:color="auto" w:fill="FFFFFF"/>
        </w:rPr>
        <w:t xml:space="preserve">Judgment of January 21, 1994. Series C No. 16, para. 47: and </w:t>
      </w:r>
      <w:r w:rsidRPr="00C547BF">
        <w:rPr>
          <w:rStyle w:val="Textoennegrita"/>
          <w:b w:val="0"/>
          <w:bCs w:val="0"/>
          <w:i/>
          <w:szCs w:val="16"/>
          <w:shd w:val="clear" w:color="auto" w:fill="FFFFFF"/>
        </w:rPr>
        <w:t xml:space="preserve">Case of López Álvarez v. Honduras. </w:t>
      </w:r>
      <w:r w:rsidRPr="00C547BF">
        <w:rPr>
          <w:rStyle w:val="Textoennegrita"/>
          <w:b w:val="0"/>
          <w:bCs w:val="0"/>
          <w:szCs w:val="16"/>
          <w:shd w:val="clear" w:color="auto" w:fill="FFFFFF"/>
        </w:rPr>
        <w:t>Judgment of February 1, 2006. Series C No. 141, para. 66.</w:t>
      </w:r>
    </w:p>
  </w:footnote>
  <w:footnote w:id="148">
    <w:p w14:paraId="68D1056F"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Report No. 76/11. Case 11.769 A. J. Peru. July 20, 2011, para. 166. I/A Court H.R., Case of Cabrera García and Montiel Flores v. Mexico. </w:t>
      </w:r>
      <w:r w:rsidRPr="00C547BF">
        <w:rPr>
          <w:bCs/>
          <w:i/>
          <w:szCs w:val="16"/>
        </w:rPr>
        <w:t>Case of Cabrera García and Montiel Flores v. Mexico</w:t>
      </w:r>
      <w:r w:rsidRPr="00C547BF">
        <w:rPr>
          <w:bCs/>
          <w:szCs w:val="16"/>
        </w:rPr>
        <w:t xml:space="preserve">. </w:t>
      </w:r>
      <w:r w:rsidRPr="00C547BF">
        <w:rPr>
          <w:szCs w:val="16"/>
        </w:rPr>
        <w:t xml:space="preserve">Preliminary Objection, Merits, Reparations and Costs. Judgment of November 26, 2010. Series C No. 220, para. 106. </w:t>
      </w:r>
    </w:p>
  </w:footnote>
  <w:footnote w:id="149">
    <w:p w14:paraId="35CA51BC" w14:textId="77777777" w:rsidR="00171179" w:rsidRPr="00C547BF" w:rsidRDefault="00171179" w:rsidP="007415AC">
      <w:pPr>
        <w:spacing w:after="0"/>
        <w:rPr>
          <w:sz w:val="16"/>
          <w:szCs w:val="16"/>
          <w:lang w:val="es-CO"/>
        </w:rPr>
      </w:pPr>
      <w:r w:rsidRPr="00C547BF">
        <w:rPr>
          <w:rStyle w:val="Refdenotaalpie"/>
          <w:sz w:val="16"/>
          <w:szCs w:val="16"/>
        </w:rPr>
        <w:footnoteRef/>
      </w:r>
      <w:r w:rsidRPr="00C547BF">
        <w:rPr>
          <w:sz w:val="16"/>
          <w:szCs w:val="16"/>
          <w:lang w:val="en-US"/>
        </w:rPr>
        <w:t xml:space="preserve"> IACHR. Report No. 76/11. Case 11.769. Merits. A. J. Peru. July 20, 2011, para. 166. I/A Court H.R. I/A Court H.R., Case of Juan Humberto Sánchez v. Honduras. </w:t>
      </w:r>
      <w:r w:rsidRPr="00C547BF">
        <w:rPr>
          <w:i/>
          <w:sz w:val="16"/>
          <w:szCs w:val="16"/>
          <w:lang w:val="en-US"/>
        </w:rPr>
        <w:t>Case of Juan Humberto Sánchez v. Honduras.</w:t>
      </w:r>
      <w:r w:rsidRPr="00C547BF">
        <w:rPr>
          <w:sz w:val="16"/>
          <w:szCs w:val="16"/>
          <w:lang w:val="en-US"/>
        </w:rPr>
        <w:t xml:space="preserve"> Judgment of June 7, 2003. Series C No. 99, para. 82; and </w:t>
      </w:r>
      <w:r w:rsidRPr="00C547BF">
        <w:rPr>
          <w:i/>
          <w:noProof/>
          <w:sz w:val="16"/>
          <w:szCs w:val="16"/>
          <w:lang w:val="en-US"/>
        </w:rPr>
        <w:t>Case of Yvon Neptune v. Haiti</w:t>
      </w:r>
      <w:r w:rsidRPr="00C547BF">
        <w:rPr>
          <w:noProof/>
          <w:sz w:val="16"/>
          <w:szCs w:val="16"/>
          <w:lang w:val="en-US"/>
        </w:rPr>
        <w:t xml:space="preserve">. Merits, Reparations and Costs. Judgment of May 6, 2008. Series C No. 180, para. </w:t>
      </w:r>
      <w:r w:rsidRPr="00C547BF">
        <w:rPr>
          <w:noProof/>
          <w:sz w:val="16"/>
          <w:szCs w:val="16"/>
        </w:rPr>
        <w:t xml:space="preserve">107. </w:t>
      </w:r>
    </w:p>
  </w:footnote>
  <w:footnote w:id="150">
    <w:p w14:paraId="2DAE6E0B" w14:textId="77777777" w:rsidR="00171179" w:rsidRPr="00C547BF" w:rsidRDefault="00171179" w:rsidP="007415AC">
      <w:pPr>
        <w:pStyle w:val="Textonotapie"/>
        <w:rPr>
          <w:szCs w:val="16"/>
        </w:rPr>
      </w:pPr>
      <w:r w:rsidRPr="00C547BF">
        <w:rPr>
          <w:rStyle w:val="Refdenotaalpie"/>
          <w:szCs w:val="16"/>
        </w:rPr>
        <w:footnoteRef/>
      </w:r>
      <w:r w:rsidRPr="00C547BF">
        <w:rPr>
          <w:szCs w:val="16"/>
          <w:lang w:val="es-ES"/>
        </w:rPr>
        <w:t xml:space="preserve"> IACHR. </w:t>
      </w:r>
      <w:proofErr w:type="spellStart"/>
      <w:r w:rsidRPr="00C547BF">
        <w:rPr>
          <w:szCs w:val="16"/>
          <w:lang w:val="es-ES"/>
        </w:rPr>
        <w:t>Report</w:t>
      </w:r>
      <w:proofErr w:type="spellEnd"/>
      <w:r w:rsidRPr="00C547BF">
        <w:rPr>
          <w:szCs w:val="16"/>
          <w:lang w:val="es-ES"/>
        </w:rPr>
        <w:t xml:space="preserve"> No. 40/14. Case 11.438. </w:t>
      </w:r>
      <w:proofErr w:type="spellStart"/>
      <w:r w:rsidRPr="00C547BF">
        <w:rPr>
          <w:szCs w:val="16"/>
          <w:lang w:val="es-ES"/>
        </w:rPr>
        <w:t>Merits</w:t>
      </w:r>
      <w:proofErr w:type="spellEnd"/>
      <w:r w:rsidRPr="00C547BF">
        <w:rPr>
          <w:szCs w:val="16"/>
          <w:lang w:val="es-ES"/>
        </w:rPr>
        <w:t xml:space="preserve">. Herrera Espinoza et al. Ecuador. </w:t>
      </w:r>
      <w:r w:rsidRPr="00C547BF">
        <w:rPr>
          <w:szCs w:val="16"/>
        </w:rPr>
        <w:t xml:space="preserve">July 17, 2004, para. 138. </w:t>
      </w:r>
    </w:p>
  </w:footnote>
  <w:footnote w:id="151">
    <w:p w14:paraId="17C0602F" w14:textId="77777777" w:rsidR="00171179" w:rsidRPr="00C547BF" w:rsidRDefault="00171179" w:rsidP="007415AC">
      <w:pPr>
        <w:pStyle w:val="Textonotapie"/>
        <w:rPr>
          <w:szCs w:val="16"/>
        </w:rPr>
      </w:pPr>
      <w:r w:rsidRPr="00C547BF">
        <w:rPr>
          <w:rStyle w:val="Refdenotaalpie"/>
          <w:szCs w:val="16"/>
          <w:lang w:val="es-ES"/>
        </w:rPr>
        <w:footnoteRef/>
      </w:r>
      <w:r w:rsidRPr="00C547BF">
        <w:rPr>
          <w:szCs w:val="16"/>
        </w:rPr>
        <w:t xml:space="preserve"> IACHR. Report No. 8/14. Case 12.617. Merits. Luis Pollo Rivera. Peru. April 2, 2014, para. 197.</w:t>
      </w:r>
    </w:p>
  </w:footnote>
  <w:footnote w:id="152">
    <w:p w14:paraId="4A36A9CA"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IACHR. Report No. 96/17. Case No. 12.818. Merits. José Luis Hernández. Argentina. September 5, 2017, para. 77. </w:t>
      </w:r>
    </w:p>
  </w:footnote>
  <w:footnote w:id="153">
    <w:p w14:paraId="2E1C857F" w14:textId="77777777" w:rsidR="00171179" w:rsidRPr="00C547BF" w:rsidRDefault="00171179" w:rsidP="007415AC">
      <w:pPr>
        <w:pStyle w:val="Textonotapie"/>
        <w:rPr>
          <w:szCs w:val="16"/>
        </w:rPr>
      </w:pPr>
      <w:r w:rsidRPr="00C547BF">
        <w:rPr>
          <w:rStyle w:val="Refdenotaalpie"/>
          <w:szCs w:val="16"/>
        </w:rPr>
        <w:footnoteRef/>
      </w:r>
      <w:r w:rsidRPr="00C547BF">
        <w:rPr>
          <w:szCs w:val="16"/>
        </w:rPr>
        <w:t xml:space="preserve"> European Committee for the Prevention of Torture and Inhuman, Cruel, Degrading and Inhuman Treatment, Third General Report on Activities during the period 1 January to December 1992. Ref: CPT/Inf (93) 12 (EN)- Issued 4 June 1993, para. 39. cited in: European Court of Human Rights, Case of </w:t>
      </w:r>
      <w:proofErr w:type="spellStart"/>
      <w:r w:rsidRPr="00C547BF">
        <w:rPr>
          <w:szCs w:val="16"/>
        </w:rPr>
        <w:t>Kudhobin</w:t>
      </w:r>
      <w:proofErr w:type="spellEnd"/>
      <w:r w:rsidRPr="00C547BF">
        <w:rPr>
          <w:szCs w:val="16"/>
        </w:rPr>
        <w:t xml:space="preserve"> v. Russia, decision of 6 October 2006, para. 56. </w:t>
      </w:r>
    </w:p>
  </w:footnote>
  <w:footnote w:id="154">
    <w:p w14:paraId="173A2E2F" w14:textId="77777777" w:rsidR="00171179" w:rsidRPr="00C547BF" w:rsidRDefault="00171179" w:rsidP="007415AC">
      <w:pPr>
        <w:pStyle w:val="Textonotapie"/>
        <w:rPr>
          <w:szCs w:val="16"/>
        </w:rPr>
      </w:pPr>
      <w:r w:rsidRPr="00C547BF">
        <w:rPr>
          <w:rStyle w:val="Refdenotaalpie"/>
          <w:rFonts w:cs="Arial"/>
          <w:szCs w:val="16"/>
          <w:lang w:val="es-SV"/>
        </w:rPr>
        <w:footnoteRef/>
      </w:r>
      <w:r w:rsidRPr="00C547BF">
        <w:rPr>
          <w:szCs w:val="16"/>
        </w:rPr>
        <w:t xml:space="preserve"> IACHR. Report No. 11/10. Case 12.488. Merits. Members of the Barrios Family. Venezuela. March 16, 2010, para. 91. IACHR. I/A Court H.R., Case of </w:t>
      </w:r>
      <w:proofErr w:type="spellStart"/>
      <w:r w:rsidRPr="00C547BF">
        <w:rPr>
          <w:szCs w:val="16"/>
        </w:rPr>
        <w:t>Cantoral</w:t>
      </w:r>
      <w:proofErr w:type="spellEnd"/>
      <w:r w:rsidRPr="00C547BF">
        <w:rPr>
          <w:szCs w:val="16"/>
        </w:rPr>
        <w:t xml:space="preserve"> </w:t>
      </w:r>
      <w:proofErr w:type="spellStart"/>
      <w:r w:rsidRPr="00C547BF">
        <w:rPr>
          <w:szCs w:val="16"/>
        </w:rPr>
        <w:t>Huamaní</w:t>
      </w:r>
      <w:proofErr w:type="spellEnd"/>
      <w:r w:rsidRPr="00C547BF">
        <w:rPr>
          <w:szCs w:val="16"/>
        </w:rPr>
        <w:t xml:space="preserve"> and García Santa Cruz v. Peru. </w:t>
      </w:r>
      <w:r w:rsidRPr="00C547BF">
        <w:rPr>
          <w:i/>
          <w:iCs/>
          <w:szCs w:val="16"/>
        </w:rPr>
        <w:t xml:space="preserve">Case of </w:t>
      </w:r>
      <w:proofErr w:type="spellStart"/>
      <w:r w:rsidRPr="00C547BF">
        <w:rPr>
          <w:i/>
          <w:iCs/>
          <w:szCs w:val="16"/>
        </w:rPr>
        <w:t>Cantoral</w:t>
      </w:r>
      <w:proofErr w:type="spellEnd"/>
      <w:r w:rsidRPr="00C547BF">
        <w:rPr>
          <w:i/>
          <w:iCs/>
          <w:szCs w:val="16"/>
        </w:rPr>
        <w:t xml:space="preserve"> </w:t>
      </w:r>
      <w:proofErr w:type="spellStart"/>
      <w:r w:rsidRPr="00C547BF">
        <w:rPr>
          <w:i/>
          <w:iCs/>
          <w:szCs w:val="16"/>
        </w:rPr>
        <w:t>Huamaní</w:t>
      </w:r>
      <w:proofErr w:type="spellEnd"/>
      <w:r w:rsidRPr="00C547BF">
        <w:rPr>
          <w:i/>
          <w:iCs/>
          <w:szCs w:val="16"/>
        </w:rPr>
        <w:t xml:space="preserve"> and García Santa Cruz v. Peru</w:t>
      </w:r>
      <w:r w:rsidRPr="00C547BF">
        <w:rPr>
          <w:szCs w:val="16"/>
        </w:rPr>
        <w:t>. Preliminary Objection, Merits, Reparations and Costs. Judgment of July 10, 2007. Series C No. 167. para. 112.</w:t>
      </w:r>
    </w:p>
  </w:footnote>
  <w:footnote w:id="155">
    <w:p w14:paraId="2E0A7AC5" w14:textId="77777777" w:rsidR="00171179" w:rsidRPr="00C547BF" w:rsidRDefault="00171179" w:rsidP="007415AC">
      <w:pPr>
        <w:pStyle w:val="Textonotapie"/>
        <w:rPr>
          <w:szCs w:val="16"/>
        </w:rPr>
      </w:pPr>
      <w:r w:rsidRPr="00C547BF">
        <w:rPr>
          <w:szCs w:val="16"/>
          <w:vertAlign w:val="superscript"/>
          <w:lang w:val="pt-BR"/>
        </w:rPr>
        <w:footnoteRef/>
      </w:r>
      <w:r w:rsidRPr="00C547BF">
        <w:rPr>
          <w:szCs w:val="16"/>
        </w:rPr>
        <w:t xml:space="preserve"> I/A Court H.R., Case of Vargas </w:t>
      </w:r>
      <w:proofErr w:type="spellStart"/>
      <w:r w:rsidRPr="00C547BF">
        <w:rPr>
          <w:szCs w:val="16"/>
        </w:rPr>
        <w:t>Areco</w:t>
      </w:r>
      <w:proofErr w:type="spellEnd"/>
      <w:r w:rsidRPr="00C547BF">
        <w:rPr>
          <w:szCs w:val="16"/>
        </w:rPr>
        <w:t xml:space="preserve"> v. Paraguay. </w:t>
      </w:r>
      <w:r w:rsidRPr="00C547BF">
        <w:rPr>
          <w:i/>
          <w:iCs/>
          <w:szCs w:val="16"/>
        </w:rPr>
        <w:t xml:space="preserve">Case of Vargas </w:t>
      </w:r>
      <w:proofErr w:type="spellStart"/>
      <w:r w:rsidRPr="00C547BF">
        <w:rPr>
          <w:i/>
          <w:iCs/>
          <w:szCs w:val="16"/>
        </w:rPr>
        <w:t>Areco</w:t>
      </w:r>
      <w:proofErr w:type="spellEnd"/>
      <w:r w:rsidRPr="00C547BF">
        <w:rPr>
          <w:i/>
          <w:iCs/>
          <w:szCs w:val="16"/>
        </w:rPr>
        <w:t xml:space="preserve"> v. Paraguay</w:t>
      </w:r>
      <w:r w:rsidRPr="00C547BF">
        <w:rPr>
          <w:szCs w:val="16"/>
        </w:rPr>
        <w:t>. Judgment of September 26, 2006. Series C No. 155. para. 96.</w:t>
      </w:r>
    </w:p>
  </w:footnote>
  <w:footnote w:id="156">
    <w:p w14:paraId="6314AC29" w14:textId="77777777" w:rsidR="00171179" w:rsidRPr="007415AC" w:rsidRDefault="00171179" w:rsidP="007415AC">
      <w:pPr>
        <w:pStyle w:val="Textonotapie"/>
        <w:rPr>
          <w:szCs w:val="16"/>
        </w:rPr>
      </w:pPr>
      <w:r w:rsidRPr="00C547BF">
        <w:rPr>
          <w:szCs w:val="16"/>
          <w:vertAlign w:val="superscript"/>
          <w:lang w:val="pt-BR"/>
        </w:rPr>
        <w:footnoteRef/>
      </w:r>
      <w:r w:rsidRPr="00C547BF">
        <w:rPr>
          <w:szCs w:val="16"/>
        </w:rPr>
        <w:t xml:space="preserve"> IACHR Court. </w:t>
      </w:r>
      <w:r w:rsidRPr="00C547BF">
        <w:rPr>
          <w:i/>
          <w:iCs/>
          <w:szCs w:val="16"/>
        </w:rPr>
        <w:t xml:space="preserve">Case of the </w:t>
      </w:r>
      <w:proofErr w:type="spellStart"/>
      <w:r w:rsidRPr="00C547BF">
        <w:rPr>
          <w:i/>
          <w:iCs/>
          <w:szCs w:val="16"/>
        </w:rPr>
        <w:t>Rochela</w:t>
      </w:r>
      <w:proofErr w:type="spellEnd"/>
      <w:r w:rsidRPr="00C547BF">
        <w:rPr>
          <w:i/>
          <w:iCs/>
          <w:szCs w:val="16"/>
        </w:rPr>
        <w:t xml:space="preserve"> Massacre v. Colombia</w:t>
      </w:r>
      <w:r w:rsidRPr="00C547BF">
        <w:rPr>
          <w:szCs w:val="16"/>
        </w:rPr>
        <w:t xml:space="preserve">. Merits, Reparations and Costs. Judgment of May 11, 2007, Series C No. 163, para. </w:t>
      </w:r>
      <w:r w:rsidRPr="00C547BF">
        <w:rPr>
          <w:szCs w:val="16"/>
          <w:lang w:val="pt-BR"/>
        </w:rPr>
        <w:t>195.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4C6A" w14:textId="14C2DAFD" w:rsidR="001C11B8" w:rsidRDefault="001C11B8" w:rsidP="001C11B8">
    <w:pPr>
      <w:pStyle w:val="Encabezado"/>
      <w:jc w:val="center"/>
    </w:pPr>
    <w:r>
      <w:rPr>
        <w:noProof/>
        <w:sz w:val="22"/>
      </w:rPr>
      <w:drawing>
        <wp:inline distT="0" distB="0" distL="0" distR="0" wp14:anchorId="1257E68B" wp14:editId="513412AD">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E10"/>
    <w:multiLevelType w:val="multilevel"/>
    <w:tmpl w:val="EAFA228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9A5F1C"/>
    <w:multiLevelType w:val="hybridMultilevel"/>
    <w:tmpl w:val="1F48536C"/>
    <w:styleLink w:val="ImportedStyle2"/>
    <w:lvl w:ilvl="0" w:tplc="C3341E82">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C96CB6C">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FD694F4">
      <w:start w:val="1"/>
      <w:numFmt w:val="lowerRoman"/>
      <w:lvlText w:val="%3."/>
      <w:lvlJc w:val="left"/>
      <w:pPr>
        <w:tabs>
          <w:tab w:val="left" w:pos="1440"/>
        </w:tabs>
        <w:ind w:left="2160" w:hanging="280"/>
      </w:pPr>
      <w:rPr>
        <w:rFonts w:hAnsi="Arial Unicode MS"/>
        <w:i/>
        <w:iCs/>
        <w:caps w:val="0"/>
        <w:smallCaps w:val="0"/>
        <w:strike w:val="0"/>
        <w:dstrike w:val="0"/>
        <w:outline w:val="0"/>
        <w:emboss w:val="0"/>
        <w:imprint w:val="0"/>
        <w:spacing w:val="0"/>
        <w:w w:val="100"/>
        <w:kern w:val="0"/>
        <w:position w:val="0"/>
        <w:highlight w:val="none"/>
        <w:vertAlign w:val="baseline"/>
      </w:rPr>
    </w:lvl>
    <w:lvl w:ilvl="3" w:tplc="C8C0286C">
      <w:start w:val="1"/>
      <w:numFmt w:val="decimal"/>
      <w:lvlText w:val="%4."/>
      <w:lvlJc w:val="left"/>
      <w:pPr>
        <w:tabs>
          <w:tab w:val="left" w:pos="144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4600D07E">
      <w:start w:val="1"/>
      <w:numFmt w:val="lowerLetter"/>
      <w:lvlText w:val="%5."/>
      <w:lvlJc w:val="left"/>
      <w:pPr>
        <w:tabs>
          <w:tab w:val="left" w:pos="1440"/>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1748E7A">
      <w:start w:val="1"/>
      <w:numFmt w:val="lowerRoman"/>
      <w:lvlText w:val="%6."/>
      <w:lvlJc w:val="left"/>
      <w:pPr>
        <w:tabs>
          <w:tab w:val="left" w:pos="1440"/>
        </w:tabs>
        <w:ind w:left="4320" w:hanging="280"/>
      </w:pPr>
      <w:rPr>
        <w:rFonts w:hAnsi="Arial Unicode MS"/>
        <w:i/>
        <w:iCs/>
        <w:caps w:val="0"/>
        <w:smallCaps w:val="0"/>
        <w:strike w:val="0"/>
        <w:dstrike w:val="0"/>
        <w:outline w:val="0"/>
        <w:emboss w:val="0"/>
        <w:imprint w:val="0"/>
        <w:spacing w:val="0"/>
        <w:w w:val="100"/>
        <w:kern w:val="0"/>
        <w:position w:val="0"/>
        <w:highlight w:val="none"/>
        <w:vertAlign w:val="baseline"/>
      </w:rPr>
    </w:lvl>
    <w:lvl w:ilvl="6" w:tplc="6D3C0194">
      <w:start w:val="1"/>
      <w:numFmt w:val="decimal"/>
      <w:lvlText w:val="%7."/>
      <w:lvlJc w:val="left"/>
      <w:pPr>
        <w:tabs>
          <w:tab w:val="left" w:pos="1440"/>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8E0A412">
      <w:start w:val="1"/>
      <w:numFmt w:val="lowerLetter"/>
      <w:lvlText w:val="%8."/>
      <w:lvlJc w:val="left"/>
      <w:pPr>
        <w:tabs>
          <w:tab w:val="left" w:pos="1440"/>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24658E2">
      <w:start w:val="1"/>
      <w:numFmt w:val="lowerRoman"/>
      <w:lvlText w:val="%9."/>
      <w:lvlJc w:val="left"/>
      <w:pPr>
        <w:tabs>
          <w:tab w:val="left" w:pos="1440"/>
        </w:tabs>
        <w:ind w:left="6480" w:hanging="28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A9C3AA0"/>
    <w:multiLevelType w:val="multilevel"/>
    <w:tmpl w:val="5AB41132"/>
    <w:styleLink w:val="CurrentList1"/>
    <w:lvl w:ilvl="0">
      <w:start w:val="1"/>
      <w:numFmt w:val="decimal"/>
      <w:lvlText w:val="%1."/>
      <w:lvlJc w:val="left"/>
      <w:pPr>
        <w:ind w:left="36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19E5A5C"/>
    <w:multiLevelType w:val="hybridMultilevel"/>
    <w:tmpl w:val="AA249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D29AF"/>
    <w:multiLevelType w:val="multilevel"/>
    <w:tmpl w:val="59CA1352"/>
    <w:styleLink w:val="CurrentList2"/>
    <w:lvl w:ilvl="0">
      <w:start w:val="1"/>
      <w:numFmt w:val="upperRoman"/>
      <w:lvlText w:val="%1."/>
      <w:lvlJc w:val="left"/>
      <w:pPr>
        <w:ind w:left="0" w:firstLine="0"/>
      </w:pPr>
      <w:rPr>
        <w:b/>
        <w:bCs/>
      </w:rPr>
    </w:lvl>
    <w:lvl w:ilvl="1">
      <w:start w:val="1"/>
      <w:numFmt w:val="upperLetter"/>
      <w:lvlText w:val="%2."/>
      <w:lvlJc w:val="left"/>
      <w:pPr>
        <w:ind w:left="72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9BC57C3"/>
    <w:multiLevelType w:val="hybridMultilevel"/>
    <w:tmpl w:val="BFAA81B6"/>
    <w:lvl w:ilvl="0" w:tplc="9FBC9E92">
      <w:start w:val="1"/>
      <w:numFmt w:val="decimal"/>
      <w:lvlText w:val="%1."/>
      <w:lvlJc w:val="left"/>
      <w:pPr>
        <w:tabs>
          <w:tab w:val="num" w:pos="720"/>
        </w:tabs>
        <w:ind w:left="0" w:firstLine="720"/>
      </w:pPr>
      <w:rPr>
        <w:rFonts w:asciiTheme="majorHAnsi" w:hAnsiTheme="majorHAnsi" w:hint="default"/>
        <w:b w:val="0"/>
        <w:bCs w:val="0"/>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D63325F"/>
    <w:multiLevelType w:val="hybridMultilevel"/>
    <w:tmpl w:val="6A1655E6"/>
    <w:lvl w:ilvl="0" w:tplc="0F50F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B17661F"/>
    <w:multiLevelType w:val="hybridMultilevel"/>
    <w:tmpl w:val="D64E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DB277EE"/>
    <w:multiLevelType w:val="multilevel"/>
    <w:tmpl w:val="5AD65B8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2F67696"/>
    <w:multiLevelType w:val="multilevel"/>
    <w:tmpl w:val="E06897B0"/>
    <w:lvl w:ilvl="0">
      <w:start w:val="5"/>
      <w:numFmt w:val="decimal"/>
      <w:lvlText w:val="%1"/>
      <w:lvlJc w:val="left"/>
      <w:pPr>
        <w:ind w:left="360" w:hanging="360"/>
      </w:pPr>
      <w:rPr>
        <w:rFonts w:hint="default"/>
      </w:rPr>
    </w:lvl>
    <w:lvl w:ilvl="1">
      <w:start w:val="1"/>
      <w:numFmt w:val="decimal"/>
      <w:pStyle w:val="Ttulo4"/>
      <w:lvlText w:val="%1.%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5001A34"/>
    <w:multiLevelType w:val="hybridMultilevel"/>
    <w:tmpl w:val="5414FEF4"/>
    <w:lvl w:ilvl="0" w:tplc="A3CAF77E">
      <w:start w:val="1"/>
      <w:numFmt w:val="lowerLetter"/>
      <w:pStyle w:val="Ttulo5"/>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AA54249"/>
    <w:multiLevelType w:val="multilevel"/>
    <w:tmpl w:val="04D6C598"/>
    <w:lvl w:ilvl="0">
      <w:start w:val="1"/>
      <w:numFmt w:val="upperRoman"/>
      <w:pStyle w:val="Ttulo1"/>
      <w:lvlText w:val="%1."/>
      <w:lvlJc w:val="left"/>
      <w:pPr>
        <w:ind w:left="0" w:firstLine="0"/>
      </w:pPr>
      <w:rPr>
        <w:b/>
        <w:bCs/>
      </w:rPr>
    </w:lvl>
    <w:lvl w:ilvl="1">
      <w:start w:val="1"/>
      <w:numFmt w:val="upperLetter"/>
      <w:lvlText w:val="%2."/>
      <w:lvlJc w:val="left"/>
      <w:pPr>
        <w:ind w:left="72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5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5CBE26E3"/>
    <w:multiLevelType w:val="hybridMultilevel"/>
    <w:tmpl w:val="3DA4234A"/>
    <w:lvl w:ilvl="0" w:tplc="36A847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6F3506E4"/>
    <w:multiLevelType w:val="multilevel"/>
    <w:tmpl w:val="E000E14C"/>
    <w:styleLink w:val="CurrentList3"/>
    <w:lvl w:ilvl="0">
      <w:start w:val="1"/>
      <w:numFmt w:val="upperRoman"/>
      <w:lvlText w:val="%1."/>
      <w:lvlJc w:val="left"/>
      <w:pPr>
        <w:ind w:left="0" w:firstLine="0"/>
      </w:pPr>
      <w:rPr>
        <w:b/>
        <w:bCs/>
      </w:rPr>
    </w:lvl>
    <w:lvl w:ilvl="1">
      <w:start w:val="1"/>
      <w:numFmt w:val="upperLetter"/>
      <w:lvlText w:val="%2."/>
      <w:lvlJc w:val="left"/>
      <w:pPr>
        <w:ind w:left="72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9" w15:restartNumberingAfterBreak="0">
    <w:nsid w:val="70786ED7"/>
    <w:multiLevelType w:val="hybridMultilevel"/>
    <w:tmpl w:val="D25465F0"/>
    <w:lvl w:ilvl="0" w:tplc="636A37C6">
      <w:start w:val="1"/>
      <w:numFmt w:val="upperRoman"/>
      <w:lvlText w:val="%1."/>
      <w:lvlJc w:val="left"/>
      <w:pPr>
        <w:ind w:left="990" w:hanging="360"/>
      </w:pPr>
      <w:rPr>
        <w:rFonts w:hint="default"/>
      </w:rPr>
    </w:lvl>
    <w:lvl w:ilvl="1" w:tplc="15FCD0B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144905"/>
    <w:multiLevelType w:val="hybridMultilevel"/>
    <w:tmpl w:val="0380A47E"/>
    <w:lvl w:ilvl="0" w:tplc="359AE160">
      <w:start w:val="1"/>
      <w:numFmt w:val="upperLetter"/>
      <w:pStyle w:val="Ttulo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69F705E"/>
    <w:multiLevelType w:val="hybridMultilevel"/>
    <w:tmpl w:val="1EE6A76A"/>
    <w:lvl w:ilvl="0" w:tplc="6D9A091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5" w15:restartNumberingAfterBreak="0">
    <w:nsid w:val="79B27C3D"/>
    <w:multiLevelType w:val="hybridMultilevel"/>
    <w:tmpl w:val="184C5CA2"/>
    <w:lvl w:ilvl="0" w:tplc="BA3E907A">
      <w:start w:val="2"/>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D8530F0"/>
    <w:multiLevelType w:val="multilevel"/>
    <w:tmpl w:val="2578C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ECC36F6"/>
    <w:multiLevelType w:val="hybridMultilevel"/>
    <w:tmpl w:val="2E3AC214"/>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880435751">
    <w:abstractNumId w:val="51"/>
  </w:num>
  <w:num w:numId="2" w16cid:durableId="139075235">
    <w:abstractNumId w:val="21"/>
  </w:num>
  <w:num w:numId="3" w16cid:durableId="1394154079">
    <w:abstractNumId w:val="59"/>
  </w:num>
  <w:num w:numId="4" w16cid:durableId="2015259455">
    <w:abstractNumId w:val="5"/>
  </w:num>
  <w:num w:numId="5" w16cid:durableId="1768962740">
    <w:abstractNumId w:val="15"/>
  </w:num>
  <w:num w:numId="6" w16cid:durableId="18316127">
    <w:abstractNumId w:val="49"/>
  </w:num>
  <w:num w:numId="7" w16cid:durableId="1437366027">
    <w:abstractNumId w:val="12"/>
  </w:num>
  <w:num w:numId="8" w16cid:durableId="426732689">
    <w:abstractNumId w:val="58"/>
  </w:num>
  <w:num w:numId="9" w16cid:durableId="1947300623">
    <w:abstractNumId w:val="60"/>
  </w:num>
  <w:num w:numId="10" w16cid:durableId="1401174207">
    <w:abstractNumId w:val="18"/>
  </w:num>
  <w:num w:numId="11" w16cid:durableId="211969496">
    <w:abstractNumId w:val="47"/>
  </w:num>
  <w:num w:numId="12" w16cid:durableId="797990096">
    <w:abstractNumId w:val="6"/>
  </w:num>
  <w:num w:numId="13" w16cid:durableId="489907065">
    <w:abstractNumId w:val="7"/>
  </w:num>
  <w:num w:numId="14" w16cid:durableId="177735791">
    <w:abstractNumId w:val="64"/>
  </w:num>
  <w:num w:numId="15" w16cid:durableId="19478444">
    <w:abstractNumId w:val="25"/>
  </w:num>
  <w:num w:numId="16" w16cid:durableId="1488404511">
    <w:abstractNumId w:val="55"/>
  </w:num>
  <w:num w:numId="17" w16cid:durableId="1504857027">
    <w:abstractNumId w:val="30"/>
  </w:num>
  <w:num w:numId="18" w16cid:durableId="2082679527">
    <w:abstractNumId w:val="8"/>
  </w:num>
  <w:num w:numId="19" w16cid:durableId="528303907">
    <w:abstractNumId w:val="48"/>
  </w:num>
  <w:num w:numId="20" w16cid:durableId="1063260961">
    <w:abstractNumId w:val="2"/>
  </w:num>
  <w:num w:numId="21" w16cid:durableId="347025556">
    <w:abstractNumId w:val="41"/>
  </w:num>
  <w:num w:numId="22" w16cid:durableId="519318639">
    <w:abstractNumId w:val="42"/>
  </w:num>
  <w:num w:numId="23" w16cid:durableId="2133282954">
    <w:abstractNumId w:val="50"/>
  </w:num>
  <w:num w:numId="24" w16cid:durableId="220096298">
    <w:abstractNumId w:val="3"/>
  </w:num>
  <w:num w:numId="25" w16cid:durableId="928545788">
    <w:abstractNumId w:val="4"/>
  </w:num>
  <w:num w:numId="26" w16cid:durableId="1788886218">
    <w:abstractNumId w:val="9"/>
  </w:num>
  <w:num w:numId="27" w16cid:durableId="1487819723">
    <w:abstractNumId w:val="10"/>
  </w:num>
  <w:num w:numId="28" w16cid:durableId="881401835">
    <w:abstractNumId w:val="11"/>
  </w:num>
  <w:num w:numId="29" w16cid:durableId="898056992">
    <w:abstractNumId w:val="13"/>
  </w:num>
  <w:num w:numId="30" w16cid:durableId="23531021">
    <w:abstractNumId w:val="16"/>
  </w:num>
  <w:num w:numId="31" w16cid:durableId="1653212420">
    <w:abstractNumId w:val="17"/>
  </w:num>
  <w:num w:numId="32" w16cid:durableId="71777307">
    <w:abstractNumId w:val="19"/>
  </w:num>
  <w:num w:numId="33" w16cid:durableId="287124820">
    <w:abstractNumId w:val="22"/>
  </w:num>
  <w:num w:numId="34" w16cid:durableId="1497764540">
    <w:abstractNumId w:val="23"/>
  </w:num>
  <w:num w:numId="35" w16cid:durableId="241305979">
    <w:abstractNumId w:val="26"/>
  </w:num>
  <w:num w:numId="36" w16cid:durableId="1012031234">
    <w:abstractNumId w:val="27"/>
  </w:num>
  <w:num w:numId="37" w16cid:durableId="907806665">
    <w:abstractNumId w:val="28"/>
  </w:num>
  <w:num w:numId="38" w16cid:durableId="206991530">
    <w:abstractNumId w:val="29"/>
  </w:num>
  <w:num w:numId="39" w16cid:durableId="1106267167">
    <w:abstractNumId w:val="31"/>
  </w:num>
  <w:num w:numId="40" w16cid:durableId="532037778">
    <w:abstractNumId w:val="33"/>
  </w:num>
  <w:num w:numId="41" w16cid:durableId="1812940560">
    <w:abstractNumId w:val="34"/>
  </w:num>
  <w:num w:numId="42" w16cid:durableId="524028207">
    <w:abstractNumId w:val="35"/>
  </w:num>
  <w:num w:numId="43" w16cid:durableId="1565263903">
    <w:abstractNumId w:val="36"/>
  </w:num>
  <w:num w:numId="44" w16cid:durableId="1561553086">
    <w:abstractNumId w:val="37"/>
  </w:num>
  <w:num w:numId="45" w16cid:durableId="1150026491">
    <w:abstractNumId w:val="38"/>
  </w:num>
  <w:num w:numId="46" w16cid:durableId="2066178012">
    <w:abstractNumId w:val="39"/>
  </w:num>
  <w:num w:numId="47" w16cid:durableId="857425918">
    <w:abstractNumId w:val="44"/>
  </w:num>
  <w:num w:numId="48" w16cid:durableId="1747267745">
    <w:abstractNumId w:val="45"/>
  </w:num>
  <w:num w:numId="49" w16cid:durableId="1674071094">
    <w:abstractNumId w:val="54"/>
  </w:num>
  <w:num w:numId="50" w16cid:durableId="41293782">
    <w:abstractNumId w:val="56"/>
  </w:num>
  <w:num w:numId="51" w16cid:durableId="1819105975">
    <w:abstractNumId w:val="57"/>
  </w:num>
  <w:num w:numId="52" w16cid:durableId="1262646454">
    <w:abstractNumId w:val="61"/>
  </w:num>
  <w:num w:numId="53" w16cid:durableId="1527984766">
    <w:abstractNumId w:val="63"/>
  </w:num>
  <w:num w:numId="54" w16cid:durableId="1246577557">
    <w:abstractNumId w:val="66"/>
  </w:num>
  <w:num w:numId="55" w16cid:durableId="1455949068">
    <w:abstractNumId w:val="67"/>
  </w:num>
  <w:num w:numId="56" w16cid:durableId="1730768437">
    <w:abstractNumId w:val="68"/>
  </w:num>
  <w:num w:numId="57" w16cid:durableId="2057704375">
    <w:abstractNumId w:val="70"/>
  </w:num>
  <w:num w:numId="58" w16cid:durableId="1670518579">
    <w:abstractNumId w:val="72"/>
  </w:num>
  <w:num w:numId="59" w16cid:durableId="2101558622">
    <w:abstractNumId w:val="24"/>
  </w:num>
  <w:num w:numId="60" w16cid:durableId="1716853684">
    <w:abstractNumId w:val="46"/>
  </w:num>
  <w:num w:numId="61" w16cid:durableId="1750887947">
    <w:abstractNumId w:val="52"/>
  </w:num>
  <w:num w:numId="62" w16cid:durableId="894388757">
    <w:abstractNumId w:val="20"/>
  </w:num>
  <w:num w:numId="63" w16cid:durableId="1229346848">
    <w:abstractNumId w:val="62"/>
  </w:num>
  <w:num w:numId="64" w16cid:durableId="1369454319">
    <w:abstractNumId w:val="1"/>
  </w:num>
  <w:num w:numId="65" w16cid:durableId="806316357">
    <w:abstractNumId w:val="53"/>
  </w:num>
  <w:num w:numId="66" w16cid:durableId="1947732950">
    <w:abstractNumId w:val="65"/>
  </w:num>
  <w:num w:numId="67" w16cid:durableId="713313387">
    <w:abstractNumId w:val="32"/>
  </w:num>
  <w:num w:numId="68" w16cid:durableId="417214926">
    <w:abstractNumId w:val="69"/>
  </w:num>
  <w:num w:numId="69" w16cid:durableId="1950040935">
    <w:abstractNumId w:val="71"/>
  </w:num>
  <w:num w:numId="70" w16cid:durableId="1688218715">
    <w:abstractNumId w:val="14"/>
  </w:num>
  <w:num w:numId="71" w16cid:durableId="1439374724">
    <w:abstractNumId w:val="40"/>
  </w:num>
  <w:num w:numId="72" w16cid:durableId="572157002">
    <w:abstractNumId w:val="43"/>
  </w:num>
  <w:num w:numId="73" w16cid:durableId="1049959611">
    <w:abstractNumId w:val="51"/>
  </w:num>
  <w:num w:numId="74" w16cid:durableId="50736650">
    <w:abstractNumId w:val="0"/>
  </w:num>
  <w:num w:numId="75" w16cid:durableId="1288926377">
    <w:abstractNumId w:val="51"/>
  </w:num>
  <w:num w:numId="76" w16cid:durableId="1410080942">
    <w:abstractNumId w:val="51"/>
  </w:num>
  <w:num w:numId="77" w16cid:durableId="382826503">
    <w:abstractNumId w:val="5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E3"/>
    <w:rsid w:val="00002B33"/>
    <w:rsid w:val="00002B81"/>
    <w:rsid w:val="0000422A"/>
    <w:rsid w:val="000059BC"/>
    <w:rsid w:val="00006904"/>
    <w:rsid w:val="0001047A"/>
    <w:rsid w:val="0001162B"/>
    <w:rsid w:val="000125E3"/>
    <w:rsid w:val="000127E2"/>
    <w:rsid w:val="000129DC"/>
    <w:rsid w:val="000155BF"/>
    <w:rsid w:val="000158FB"/>
    <w:rsid w:val="000161B7"/>
    <w:rsid w:val="00016DAA"/>
    <w:rsid w:val="0001793C"/>
    <w:rsid w:val="000216F2"/>
    <w:rsid w:val="00021D8C"/>
    <w:rsid w:val="00022970"/>
    <w:rsid w:val="00023C25"/>
    <w:rsid w:val="00023DB7"/>
    <w:rsid w:val="000249A6"/>
    <w:rsid w:val="000250DC"/>
    <w:rsid w:val="00025892"/>
    <w:rsid w:val="000274DD"/>
    <w:rsid w:val="00027DA6"/>
    <w:rsid w:val="000308FD"/>
    <w:rsid w:val="00031B5D"/>
    <w:rsid w:val="00032ACD"/>
    <w:rsid w:val="00032B4E"/>
    <w:rsid w:val="0003439A"/>
    <w:rsid w:val="00034566"/>
    <w:rsid w:val="000348E6"/>
    <w:rsid w:val="00034E1D"/>
    <w:rsid w:val="00042C9A"/>
    <w:rsid w:val="000431B0"/>
    <w:rsid w:val="0004368C"/>
    <w:rsid w:val="00044015"/>
    <w:rsid w:val="000441A5"/>
    <w:rsid w:val="000453AF"/>
    <w:rsid w:val="00046734"/>
    <w:rsid w:val="00046928"/>
    <w:rsid w:val="000469BC"/>
    <w:rsid w:val="000470FE"/>
    <w:rsid w:val="0005043F"/>
    <w:rsid w:val="0005141D"/>
    <w:rsid w:val="00051C3E"/>
    <w:rsid w:val="00052FAA"/>
    <w:rsid w:val="00053F24"/>
    <w:rsid w:val="00054A22"/>
    <w:rsid w:val="00054A73"/>
    <w:rsid w:val="00054E58"/>
    <w:rsid w:val="00060510"/>
    <w:rsid w:val="000606A2"/>
    <w:rsid w:val="00060BCE"/>
    <w:rsid w:val="000614C5"/>
    <w:rsid w:val="00062D3A"/>
    <w:rsid w:val="0006456C"/>
    <w:rsid w:val="00064774"/>
    <w:rsid w:val="0006547D"/>
    <w:rsid w:val="000659D2"/>
    <w:rsid w:val="00066580"/>
    <w:rsid w:val="00067812"/>
    <w:rsid w:val="000704FB"/>
    <w:rsid w:val="000713C7"/>
    <w:rsid w:val="0007158F"/>
    <w:rsid w:val="00071CBC"/>
    <w:rsid w:val="000727FC"/>
    <w:rsid w:val="00073E5B"/>
    <w:rsid w:val="0007581C"/>
    <w:rsid w:val="0007640E"/>
    <w:rsid w:val="00077AA3"/>
    <w:rsid w:val="00077AA9"/>
    <w:rsid w:val="000804ED"/>
    <w:rsid w:val="0008361F"/>
    <w:rsid w:val="0008528C"/>
    <w:rsid w:val="000857E7"/>
    <w:rsid w:val="000858F1"/>
    <w:rsid w:val="00087228"/>
    <w:rsid w:val="0009569D"/>
    <w:rsid w:val="00095AF4"/>
    <w:rsid w:val="00096B22"/>
    <w:rsid w:val="000A13CD"/>
    <w:rsid w:val="000A18E7"/>
    <w:rsid w:val="000A7A43"/>
    <w:rsid w:val="000A7EAD"/>
    <w:rsid w:val="000B09EC"/>
    <w:rsid w:val="000B0DA8"/>
    <w:rsid w:val="000B2F49"/>
    <w:rsid w:val="000B3291"/>
    <w:rsid w:val="000B363E"/>
    <w:rsid w:val="000B4428"/>
    <w:rsid w:val="000B46EB"/>
    <w:rsid w:val="000B4D0A"/>
    <w:rsid w:val="000B662D"/>
    <w:rsid w:val="000B6FA3"/>
    <w:rsid w:val="000C07E1"/>
    <w:rsid w:val="000C2D2E"/>
    <w:rsid w:val="000C2EC5"/>
    <w:rsid w:val="000D04D2"/>
    <w:rsid w:val="000D073E"/>
    <w:rsid w:val="000D31ED"/>
    <w:rsid w:val="000D398F"/>
    <w:rsid w:val="000D575A"/>
    <w:rsid w:val="000D5D0B"/>
    <w:rsid w:val="000D6DFB"/>
    <w:rsid w:val="000D6FD6"/>
    <w:rsid w:val="000E0330"/>
    <w:rsid w:val="000E081C"/>
    <w:rsid w:val="000E0AF9"/>
    <w:rsid w:val="000E2789"/>
    <w:rsid w:val="000E4FA7"/>
    <w:rsid w:val="000E69BB"/>
    <w:rsid w:val="000E720F"/>
    <w:rsid w:val="000E7964"/>
    <w:rsid w:val="000F04AF"/>
    <w:rsid w:val="000F1B5A"/>
    <w:rsid w:val="000F1E1A"/>
    <w:rsid w:val="000F2E22"/>
    <w:rsid w:val="000F3B0F"/>
    <w:rsid w:val="000F4230"/>
    <w:rsid w:val="000F5C2D"/>
    <w:rsid w:val="000F6C01"/>
    <w:rsid w:val="001011E9"/>
    <w:rsid w:val="00103FED"/>
    <w:rsid w:val="0010481B"/>
    <w:rsid w:val="00107557"/>
    <w:rsid w:val="00107BEA"/>
    <w:rsid w:val="001117E1"/>
    <w:rsid w:val="001137AA"/>
    <w:rsid w:val="00114C51"/>
    <w:rsid w:val="00114F11"/>
    <w:rsid w:val="001157AF"/>
    <w:rsid w:val="00116325"/>
    <w:rsid w:val="00116434"/>
    <w:rsid w:val="001200AB"/>
    <w:rsid w:val="001204A9"/>
    <w:rsid w:val="00120FC0"/>
    <w:rsid w:val="00125283"/>
    <w:rsid w:val="00127566"/>
    <w:rsid w:val="001301FB"/>
    <w:rsid w:val="00131B95"/>
    <w:rsid w:val="001330B6"/>
    <w:rsid w:val="00133B25"/>
    <w:rsid w:val="00134557"/>
    <w:rsid w:val="001350F4"/>
    <w:rsid w:val="001353BE"/>
    <w:rsid w:val="00136207"/>
    <w:rsid w:val="00137D94"/>
    <w:rsid w:val="00142FDE"/>
    <w:rsid w:val="001453C9"/>
    <w:rsid w:val="0014760C"/>
    <w:rsid w:val="00147B2B"/>
    <w:rsid w:val="0015113F"/>
    <w:rsid w:val="0015329B"/>
    <w:rsid w:val="001537E8"/>
    <w:rsid w:val="00154B25"/>
    <w:rsid w:val="00154FCC"/>
    <w:rsid w:val="00155985"/>
    <w:rsid w:val="00155F68"/>
    <w:rsid w:val="0015662E"/>
    <w:rsid w:val="00156BEC"/>
    <w:rsid w:val="0016025E"/>
    <w:rsid w:val="00161160"/>
    <w:rsid w:val="00162608"/>
    <w:rsid w:val="0016324C"/>
    <w:rsid w:val="00163A03"/>
    <w:rsid w:val="00163CE2"/>
    <w:rsid w:val="00164B21"/>
    <w:rsid w:val="001675A9"/>
    <w:rsid w:val="00171179"/>
    <w:rsid w:val="001712C7"/>
    <w:rsid w:val="00171879"/>
    <w:rsid w:val="001720F2"/>
    <w:rsid w:val="00172A1E"/>
    <w:rsid w:val="00173CEE"/>
    <w:rsid w:val="001745E6"/>
    <w:rsid w:val="00175951"/>
    <w:rsid w:val="00176059"/>
    <w:rsid w:val="00181BFC"/>
    <w:rsid w:val="00182FC7"/>
    <w:rsid w:val="00185AF8"/>
    <w:rsid w:val="0019109E"/>
    <w:rsid w:val="00192873"/>
    <w:rsid w:val="001A12FE"/>
    <w:rsid w:val="001A1956"/>
    <w:rsid w:val="001A2387"/>
    <w:rsid w:val="001A2623"/>
    <w:rsid w:val="001A38C7"/>
    <w:rsid w:val="001A7251"/>
    <w:rsid w:val="001B08C7"/>
    <w:rsid w:val="001B0AEC"/>
    <w:rsid w:val="001B26E2"/>
    <w:rsid w:val="001B3032"/>
    <w:rsid w:val="001B3BCB"/>
    <w:rsid w:val="001B41BA"/>
    <w:rsid w:val="001B4F50"/>
    <w:rsid w:val="001B5738"/>
    <w:rsid w:val="001B6EEA"/>
    <w:rsid w:val="001B720F"/>
    <w:rsid w:val="001B782A"/>
    <w:rsid w:val="001C028E"/>
    <w:rsid w:val="001C11B8"/>
    <w:rsid w:val="001C2584"/>
    <w:rsid w:val="001C3A50"/>
    <w:rsid w:val="001C51B9"/>
    <w:rsid w:val="001C75FE"/>
    <w:rsid w:val="001D0DB7"/>
    <w:rsid w:val="001D0E3E"/>
    <w:rsid w:val="001D27ED"/>
    <w:rsid w:val="001D4ED8"/>
    <w:rsid w:val="001D4FBE"/>
    <w:rsid w:val="001D6793"/>
    <w:rsid w:val="001D6F66"/>
    <w:rsid w:val="001E0323"/>
    <w:rsid w:val="001E1F5B"/>
    <w:rsid w:val="001E321D"/>
    <w:rsid w:val="001E398A"/>
    <w:rsid w:val="001E4E95"/>
    <w:rsid w:val="001E5A64"/>
    <w:rsid w:val="001F0189"/>
    <w:rsid w:val="001F02E2"/>
    <w:rsid w:val="001F1AC3"/>
    <w:rsid w:val="001F1EB4"/>
    <w:rsid w:val="001F21BD"/>
    <w:rsid w:val="001F45D8"/>
    <w:rsid w:val="001F4D3F"/>
    <w:rsid w:val="001F75A5"/>
    <w:rsid w:val="001F7CE7"/>
    <w:rsid w:val="00201E55"/>
    <w:rsid w:val="00205353"/>
    <w:rsid w:val="00210D4F"/>
    <w:rsid w:val="00212B2F"/>
    <w:rsid w:val="00214496"/>
    <w:rsid w:val="002161C4"/>
    <w:rsid w:val="00217892"/>
    <w:rsid w:val="002202B8"/>
    <w:rsid w:val="0022075A"/>
    <w:rsid w:val="002213B0"/>
    <w:rsid w:val="00223468"/>
    <w:rsid w:val="002267AA"/>
    <w:rsid w:val="00230AFE"/>
    <w:rsid w:val="00231781"/>
    <w:rsid w:val="00234070"/>
    <w:rsid w:val="002356D6"/>
    <w:rsid w:val="00236CFE"/>
    <w:rsid w:val="0023749F"/>
    <w:rsid w:val="00241CF2"/>
    <w:rsid w:val="002447A0"/>
    <w:rsid w:val="002476AB"/>
    <w:rsid w:val="0025206B"/>
    <w:rsid w:val="00256437"/>
    <w:rsid w:val="00256811"/>
    <w:rsid w:val="00257644"/>
    <w:rsid w:val="00257C6D"/>
    <w:rsid w:val="002644FD"/>
    <w:rsid w:val="002675F0"/>
    <w:rsid w:val="00270B30"/>
    <w:rsid w:val="00274E3B"/>
    <w:rsid w:val="00275110"/>
    <w:rsid w:val="00275945"/>
    <w:rsid w:val="00277DFA"/>
    <w:rsid w:val="00280752"/>
    <w:rsid w:val="002810FD"/>
    <w:rsid w:val="00281469"/>
    <w:rsid w:val="002826F7"/>
    <w:rsid w:val="002827D4"/>
    <w:rsid w:val="0028415C"/>
    <w:rsid w:val="00284399"/>
    <w:rsid w:val="0028508A"/>
    <w:rsid w:val="002852FC"/>
    <w:rsid w:val="0028565D"/>
    <w:rsid w:val="00287B3C"/>
    <w:rsid w:val="00290218"/>
    <w:rsid w:val="002909E9"/>
    <w:rsid w:val="00292138"/>
    <w:rsid w:val="0029272F"/>
    <w:rsid w:val="0029539F"/>
    <w:rsid w:val="00295EE2"/>
    <w:rsid w:val="00296A57"/>
    <w:rsid w:val="002A0D97"/>
    <w:rsid w:val="002A22AC"/>
    <w:rsid w:val="002A4C6E"/>
    <w:rsid w:val="002A4CDC"/>
    <w:rsid w:val="002A5903"/>
    <w:rsid w:val="002A75A9"/>
    <w:rsid w:val="002A7A64"/>
    <w:rsid w:val="002B045F"/>
    <w:rsid w:val="002B06CF"/>
    <w:rsid w:val="002B0F1E"/>
    <w:rsid w:val="002B2DF2"/>
    <w:rsid w:val="002B3FDB"/>
    <w:rsid w:val="002B46FE"/>
    <w:rsid w:val="002B585B"/>
    <w:rsid w:val="002B5961"/>
    <w:rsid w:val="002B5973"/>
    <w:rsid w:val="002B62ED"/>
    <w:rsid w:val="002B7594"/>
    <w:rsid w:val="002B77DD"/>
    <w:rsid w:val="002C0FC5"/>
    <w:rsid w:val="002C1BED"/>
    <w:rsid w:val="002C2E58"/>
    <w:rsid w:val="002C348E"/>
    <w:rsid w:val="002C47EA"/>
    <w:rsid w:val="002C4AAF"/>
    <w:rsid w:val="002C4BC2"/>
    <w:rsid w:val="002D28CB"/>
    <w:rsid w:val="002D2EED"/>
    <w:rsid w:val="002D3C50"/>
    <w:rsid w:val="002D3D72"/>
    <w:rsid w:val="002D67A4"/>
    <w:rsid w:val="002D6997"/>
    <w:rsid w:val="002D6F37"/>
    <w:rsid w:val="002D78BE"/>
    <w:rsid w:val="002E1ABD"/>
    <w:rsid w:val="002E259E"/>
    <w:rsid w:val="002E353E"/>
    <w:rsid w:val="002E3CE2"/>
    <w:rsid w:val="002E69C8"/>
    <w:rsid w:val="002E73D4"/>
    <w:rsid w:val="002F11F8"/>
    <w:rsid w:val="002F151B"/>
    <w:rsid w:val="002F1FD4"/>
    <w:rsid w:val="002F4793"/>
    <w:rsid w:val="002F482F"/>
    <w:rsid w:val="002F61F4"/>
    <w:rsid w:val="002F7082"/>
    <w:rsid w:val="003001B4"/>
    <w:rsid w:val="0030112B"/>
    <w:rsid w:val="003013B9"/>
    <w:rsid w:val="00301855"/>
    <w:rsid w:val="003037CC"/>
    <w:rsid w:val="0030537B"/>
    <w:rsid w:val="00305C7D"/>
    <w:rsid w:val="00306141"/>
    <w:rsid w:val="00307F0A"/>
    <w:rsid w:val="00312C6A"/>
    <w:rsid w:val="003144C5"/>
    <w:rsid w:val="00314B87"/>
    <w:rsid w:val="003159B3"/>
    <w:rsid w:val="00316161"/>
    <w:rsid w:val="00317563"/>
    <w:rsid w:val="003208AC"/>
    <w:rsid w:val="003214DF"/>
    <w:rsid w:val="00321EC5"/>
    <w:rsid w:val="00322135"/>
    <w:rsid w:val="003228C5"/>
    <w:rsid w:val="00323857"/>
    <w:rsid w:val="00323B9D"/>
    <w:rsid w:val="003252C6"/>
    <w:rsid w:val="00327D12"/>
    <w:rsid w:val="00330517"/>
    <w:rsid w:val="0033261C"/>
    <w:rsid w:val="003332F2"/>
    <w:rsid w:val="003338F1"/>
    <w:rsid w:val="003356E0"/>
    <w:rsid w:val="00340DD6"/>
    <w:rsid w:val="00341A85"/>
    <w:rsid w:val="00342473"/>
    <w:rsid w:val="00342776"/>
    <w:rsid w:val="00345094"/>
    <w:rsid w:val="003509CB"/>
    <w:rsid w:val="003513EF"/>
    <w:rsid w:val="00351450"/>
    <w:rsid w:val="003515DD"/>
    <w:rsid w:val="003517F5"/>
    <w:rsid w:val="00351BD2"/>
    <w:rsid w:val="0035285A"/>
    <w:rsid w:val="00353D90"/>
    <w:rsid w:val="00353F7D"/>
    <w:rsid w:val="003542DE"/>
    <w:rsid w:val="00354494"/>
    <w:rsid w:val="003556DD"/>
    <w:rsid w:val="00361F42"/>
    <w:rsid w:val="003657FC"/>
    <w:rsid w:val="003659A7"/>
    <w:rsid w:val="0036724D"/>
    <w:rsid w:val="00367AE5"/>
    <w:rsid w:val="00370271"/>
    <w:rsid w:val="0037130A"/>
    <w:rsid w:val="00371351"/>
    <w:rsid w:val="00373983"/>
    <w:rsid w:val="00373DE6"/>
    <w:rsid w:val="00377DBD"/>
    <w:rsid w:val="0038080B"/>
    <w:rsid w:val="00380A37"/>
    <w:rsid w:val="00382F25"/>
    <w:rsid w:val="00383E0B"/>
    <w:rsid w:val="00385469"/>
    <w:rsid w:val="00387045"/>
    <w:rsid w:val="00387EBD"/>
    <w:rsid w:val="0039017D"/>
    <w:rsid w:val="00390A59"/>
    <w:rsid w:val="003935A7"/>
    <w:rsid w:val="0039368D"/>
    <w:rsid w:val="00393BE7"/>
    <w:rsid w:val="003940FD"/>
    <w:rsid w:val="003952F5"/>
    <w:rsid w:val="00396DD6"/>
    <w:rsid w:val="003A064B"/>
    <w:rsid w:val="003A52F0"/>
    <w:rsid w:val="003A6472"/>
    <w:rsid w:val="003A6489"/>
    <w:rsid w:val="003B00C7"/>
    <w:rsid w:val="003B069D"/>
    <w:rsid w:val="003B1DF5"/>
    <w:rsid w:val="003B2CB0"/>
    <w:rsid w:val="003B3B04"/>
    <w:rsid w:val="003B53CA"/>
    <w:rsid w:val="003B5E27"/>
    <w:rsid w:val="003B6F51"/>
    <w:rsid w:val="003B7F57"/>
    <w:rsid w:val="003C0C36"/>
    <w:rsid w:val="003C34F0"/>
    <w:rsid w:val="003C4F1C"/>
    <w:rsid w:val="003C60AD"/>
    <w:rsid w:val="003C6A93"/>
    <w:rsid w:val="003C789A"/>
    <w:rsid w:val="003D1382"/>
    <w:rsid w:val="003D1AB5"/>
    <w:rsid w:val="003D213B"/>
    <w:rsid w:val="003D350D"/>
    <w:rsid w:val="003D3726"/>
    <w:rsid w:val="003D556F"/>
    <w:rsid w:val="003D6D40"/>
    <w:rsid w:val="003D7514"/>
    <w:rsid w:val="003E1DA9"/>
    <w:rsid w:val="003E2B35"/>
    <w:rsid w:val="003E3260"/>
    <w:rsid w:val="003E3A6F"/>
    <w:rsid w:val="003E3D10"/>
    <w:rsid w:val="003E412C"/>
    <w:rsid w:val="003E7030"/>
    <w:rsid w:val="003E7235"/>
    <w:rsid w:val="003E7D39"/>
    <w:rsid w:val="003F2563"/>
    <w:rsid w:val="003F4925"/>
    <w:rsid w:val="003F5D95"/>
    <w:rsid w:val="003F644D"/>
    <w:rsid w:val="003F6B1B"/>
    <w:rsid w:val="003F7395"/>
    <w:rsid w:val="00401121"/>
    <w:rsid w:val="004016CD"/>
    <w:rsid w:val="004020F4"/>
    <w:rsid w:val="00402855"/>
    <w:rsid w:val="00404041"/>
    <w:rsid w:val="0040597C"/>
    <w:rsid w:val="0040628E"/>
    <w:rsid w:val="004112F7"/>
    <w:rsid w:val="0041459A"/>
    <w:rsid w:val="00414A26"/>
    <w:rsid w:val="00414CD1"/>
    <w:rsid w:val="00415060"/>
    <w:rsid w:val="004158C0"/>
    <w:rsid w:val="00416EF9"/>
    <w:rsid w:val="00417A5F"/>
    <w:rsid w:val="004213B5"/>
    <w:rsid w:val="00422170"/>
    <w:rsid w:val="00423B33"/>
    <w:rsid w:val="00427AD3"/>
    <w:rsid w:val="0043081C"/>
    <w:rsid w:val="0043088F"/>
    <w:rsid w:val="00430F01"/>
    <w:rsid w:val="00431207"/>
    <w:rsid w:val="00431421"/>
    <w:rsid w:val="0043469D"/>
    <w:rsid w:val="004352B2"/>
    <w:rsid w:val="0043558C"/>
    <w:rsid w:val="00435671"/>
    <w:rsid w:val="00435FF9"/>
    <w:rsid w:val="0043671E"/>
    <w:rsid w:val="0043776E"/>
    <w:rsid w:val="00437E32"/>
    <w:rsid w:val="004402A7"/>
    <w:rsid w:val="00440F40"/>
    <w:rsid w:val="00441DB5"/>
    <w:rsid w:val="00443017"/>
    <w:rsid w:val="00446816"/>
    <w:rsid w:val="00447B19"/>
    <w:rsid w:val="00447F82"/>
    <w:rsid w:val="00450FC7"/>
    <w:rsid w:val="004514C1"/>
    <w:rsid w:val="0045159B"/>
    <w:rsid w:val="004542EA"/>
    <w:rsid w:val="004544D4"/>
    <w:rsid w:val="0045460D"/>
    <w:rsid w:val="00454D9C"/>
    <w:rsid w:val="00455044"/>
    <w:rsid w:val="00455DAD"/>
    <w:rsid w:val="00456AA2"/>
    <w:rsid w:val="0045767B"/>
    <w:rsid w:val="00460BEE"/>
    <w:rsid w:val="00460E31"/>
    <w:rsid w:val="00462231"/>
    <w:rsid w:val="00463A45"/>
    <w:rsid w:val="0046516F"/>
    <w:rsid w:val="004675B5"/>
    <w:rsid w:val="004705A5"/>
    <w:rsid w:val="00470847"/>
    <w:rsid w:val="00471763"/>
    <w:rsid w:val="00473474"/>
    <w:rsid w:val="004753ED"/>
    <w:rsid w:val="0047623E"/>
    <w:rsid w:val="004767BA"/>
    <w:rsid w:val="00476947"/>
    <w:rsid w:val="004809F1"/>
    <w:rsid w:val="00481229"/>
    <w:rsid w:val="00481635"/>
    <w:rsid w:val="00481C33"/>
    <w:rsid w:val="004826B8"/>
    <w:rsid w:val="0048634E"/>
    <w:rsid w:val="00486506"/>
    <w:rsid w:val="0048678F"/>
    <w:rsid w:val="0048714E"/>
    <w:rsid w:val="00487458"/>
    <w:rsid w:val="00490606"/>
    <w:rsid w:val="004925B4"/>
    <w:rsid w:val="00494A10"/>
    <w:rsid w:val="00495BA1"/>
    <w:rsid w:val="004A1B0E"/>
    <w:rsid w:val="004A2EB6"/>
    <w:rsid w:val="004A450E"/>
    <w:rsid w:val="004A47B0"/>
    <w:rsid w:val="004B0366"/>
    <w:rsid w:val="004B05F1"/>
    <w:rsid w:val="004B1BDF"/>
    <w:rsid w:val="004B2B95"/>
    <w:rsid w:val="004B352F"/>
    <w:rsid w:val="004C1D2D"/>
    <w:rsid w:val="004C2E5C"/>
    <w:rsid w:val="004C537B"/>
    <w:rsid w:val="004C5B8A"/>
    <w:rsid w:val="004C716A"/>
    <w:rsid w:val="004C7D74"/>
    <w:rsid w:val="004D1122"/>
    <w:rsid w:val="004D1D10"/>
    <w:rsid w:val="004D3378"/>
    <w:rsid w:val="004D4947"/>
    <w:rsid w:val="004D55FB"/>
    <w:rsid w:val="004D56CF"/>
    <w:rsid w:val="004E0DE6"/>
    <w:rsid w:val="004E57F3"/>
    <w:rsid w:val="004E5ED8"/>
    <w:rsid w:val="004E6B98"/>
    <w:rsid w:val="004E6FC6"/>
    <w:rsid w:val="004E77C0"/>
    <w:rsid w:val="004F0C5C"/>
    <w:rsid w:val="004F2812"/>
    <w:rsid w:val="004F2CE3"/>
    <w:rsid w:val="004F4DC6"/>
    <w:rsid w:val="004F6A9E"/>
    <w:rsid w:val="00503D68"/>
    <w:rsid w:val="00503DD4"/>
    <w:rsid w:val="005047A1"/>
    <w:rsid w:val="005078EE"/>
    <w:rsid w:val="005107BA"/>
    <w:rsid w:val="0051167E"/>
    <w:rsid w:val="005123AD"/>
    <w:rsid w:val="00512630"/>
    <w:rsid w:val="005145AD"/>
    <w:rsid w:val="005157BE"/>
    <w:rsid w:val="005177A3"/>
    <w:rsid w:val="00517964"/>
    <w:rsid w:val="00520217"/>
    <w:rsid w:val="0052513F"/>
    <w:rsid w:val="00525798"/>
    <w:rsid w:val="00525E6B"/>
    <w:rsid w:val="00530E0C"/>
    <w:rsid w:val="00531A42"/>
    <w:rsid w:val="00531DC7"/>
    <w:rsid w:val="00532DE8"/>
    <w:rsid w:val="0053301B"/>
    <w:rsid w:val="005330C6"/>
    <w:rsid w:val="005353A1"/>
    <w:rsid w:val="00535B36"/>
    <w:rsid w:val="00535C09"/>
    <w:rsid w:val="00545598"/>
    <w:rsid w:val="005467DB"/>
    <w:rsid w:val="00552695"/>
    <w:rsid w:val="005537A8"/>
    <w:rsid w:val="00554D38"/>
    <w:rsid w:val="00555538"/>
    <w:rsid w:val="00555EE5"/>
    <w:rsid w:val="0056049D"/>
    <w:rsid w:val="0056067F"/>
    <w:rsid w:val="0056148C"/>
    <w:rsid w:val="00561A94"/>
    <w:rsid w:val="00562CE9"/>
    <w:rsid w:val="0056348A"/>
    <w:rsid w:val="00563529"/>
    <w:rsid w:val="005637FF"/>
    <w:rsid w:val="00564512"/>
    <w:rsid w:val="00564642"/>
    <w:rsid w:val="00564F95"/>
    <w:rsid w:val="00565CDF"/>
    <w:rsid w:val="00566635"/>
    <w:rsid w:val="00570375"/>
    <w:rsid w:val="00571A8E"/>
    <w:rsid w:val="00571DB4"/>
    <w:rsid w:val="005733B6"/>
    <w:rsid w:val="005734F3"/>
    <w:rsid w:val="00573749"/>
    <w:rsid w:val="005746DC"/>
    <w:rsid w:val="00580EBC"/>
    <w:rsid w:val="005814CD"/>
    <w:rsid w:val="00581509"/>
    <w:rsid w:val="00582172"/>
    <w:rsid w:val="00582D55"/>
    <w:rsid w:val="00583D51"/>
    <w:rsid w:val="00583E53"/>
    <w:rsid w:val="0058451C"/>
    <w:rsid w:val="00584A0F"/>
    <w:rsid w:val="00586B2E"/>
    <w:rsid w:val="00593E1F"/>
    <w:rsid w:val="00593E94"/>
    <w:rsid w:val="00593F04"/>
    <w:rsid w:val="005941C5"/>
    <w:rsid w:val="00594FA1"/>
    <w:rsid w:val="0059603C"/>
    <w:rsid w:val="00596841"/>
    <w:rsid w:val="00596CFE"/>
    <w:rsid w:val="00596D65"/>
    <w:rsid w:val="00597D9C"/>
    <w:rsid w:val="005A0652"/>
    <w:rsid w:val="005A0A13"/>
    <w:rsid w:val="005A3DA2"/>
    <w:rsid w:val="005A4917"/>
    <w:rsid w:val="005A5437"/>
    <w:rsid w:val="005A72FA"/>
    <w:rsid w:val="005B069A"/>
    <w:rsid w:val="005B127F"/>
    <w:rsid w:val="005B1406"/>
    <w:rsid w:val="005B169F"/>
    <w:rsid w:val="005B227C"/>
    <w:rsid w:val="005B3EA1"/>
    <w:rsid w:val="005B44E2"/>
    <w:rsid w:val="005B4643"/>
    <w:rsid w:val="005B5558"/>
    <w:rsid w:val="005B60D8"/>
    <w:rsid w:val="005B65BF"/>
    <w:rsid w:val="005B6AE5"/>
    <w:rsid w:val="005B77AC"/>
    <w:rsid w:val="005B7C66"/>
    <w:rsid w:val="005C169C"/>
    <w:rsid w:val="005C43CB"/>
    <w:rsid w:val="005C4826"/>
    <w:rsid w:val="005C6155"/>
    <w:rsid w:val="005C6A94"/>
    <w:rsid w:val="005C7A0E"/>
    <w:rsid w:val="005D1880"/>
    <w:rsid w:val="005D2AA2"/>
    <w:rsid w:val="005D2B65"/>
    <w:rsid w:val="005D2C2E"/>
    <w:rsid w:val="005D532E"/>
    <w:rsid w:val="005D579C"/>
    <w:rsid w:val="005D5FC4"/>
    <w:rsid w:val="005D6852"/>
    <w:rsid w:val="005E1F7C"/>
    <w:rsid w:val="005E2446"/>
    <w:rsid w:val="005E26B8"/>
    <w:rsid w:val="005E3343"/>
    <w:rsid w:val="005E38D0"/>
    <w:rsid w:val="005E4DA8"/>
    <w:rsid w:val="005E658A"/>
    <w:rsid w:val="005E6E18"/>
    <w:rsid w:val="005E73B5"/>
    <w:rsid w:val="005F5C05"/>
    <w:rsid w:val="006016EE"/>
    <w:rsid w:val="00601B16"/>
    <w:rsid w:val="00601D83"/>
    <w:rsid w:val="00602C24"/>
    <w:rsid w:val="00603B92"/>
    <w:rsid w:val="006046A7"/>
    <w:rsid w:val="00605018"/>
    <w:rsid w:val="00605781"/>
    <w:rsid w:val="0060640E"/>
    <w:rsid w:val="00611B70"/>
    <w:rsid w:val="00611BA9"/>
    <w:rsid w:val="00612650"/>
    <w:rsid w:val="00612E38"/>
    <w:rsid w:val="00614EDE"/>
    <w:rsid w:val="006158A6"/>
    <w:rsid w:val="00615D68"/>
    <w:rsid w:val="00616505"/>
    <w:rsid w:val="00616E0E"/>
    <w:rsid w:val="0062012E"/>
    <w:rsid w:val="00621B87"/>
    <w:rsid w:val="00622729"/>
    <w:rsid w:val="00623016"/>
    <w:rsid w:val="006235F5"/>
    <w:rsid w:val="00623D40"/>
    <w:rsid w:val="006253C7"/>
    <w:rsid w:val="00627180"/>
    <w:rsid w:val="006314FF"/>
    <w:rsid w:val="0063189A"/>
    <w:rsid w:val="00631C11"/>
    <w:rsid w:val="0063280B"/>
    <w:rsid w:val="00635C28"/>
    <w:rsid w:val="006403E3"/>
    <w:rsid w:val="00640739"/>
    <w:rsid w:val="00641028"/>
    <w:rsid w:val="00641764"/>
    <w:rsid w:val="00642808"/>
    <w:rsid w:val="00645287"/>
    <w:rsid w:val="006453E4"/>
    <w:rsid w:val="00646B40"/>
    <w:rsid w:val="00646FFB"/>
    <w:rsid w:val="00650350"/>
    <w:rsid w:val="00652445"/>
    <w:rsid w:val="00653483"/>
    <w:rsid w:val="00653D14"/>
    <w:rsid w:val="00654D0A"/>
    <w:rsid w:val="0065632D"/>
    <w:rsid w:val="00656822"/>
    <w:rsid w:val="006635E6"/>
    <w:rsid w:val="00663D43"/>
    <w:rsid w:val="00663D97"/>
    <w:rsid w:val="0067123D"/>
    <w:rsid w:val="00672759"/>
    <w:rsid w:val="00674DE7"/>
    <w:rsid w:val="00675C36"/>
    <w:rsid w:val="006774D3"/>
    <w:rsid w:val="00677B06"/>
    <w:rsid w:val="00680C85"/>
    <w:rsid w:val="006828F0"/>
    <w:rsid w:val="006830BA"/>
    <w:rsid w:val="00684972"/>
    <w:rsid w:val="006863EE"/>
    <w:rsid w:val="00686C5A"/>
    <w:rsid w:val="0069021D"/>
    <w:rsid w:val="00691CF6"/>
    <w:rsid w:val="00692B4A"/>
    <w:rsid w:val="006930A1"/>
    <w:rsid w:val="00693D05"/>
    <w:rsid w:val="0069444E"/>
    <w:rsid w:val="00694D84"/>
    <w:rsid w:val="00695603"/>
    <w:rsid w:val="006963A5"/>
    <w:rsid w:val="00696827"/>
    <w:rsid w:val="00697FD9"/>
    <w:rsid w:val="006A12BE"/>
    <w:rsid w:val="006A1F0A"/>
    <w:rsid w:val="006A4C37"/>
    <w:rsid w:val="006A52A9"/>
    <w:rsid w:val="006B225B"/>
    <w:rsid w:val="006B4914"/>
    <w:rsid w:val="006B4D3B"/>
    <w:rsid w:val="006B4F5E"/>
    <w:rsid w:val="006B65BE"/>
    <w:rsid w:val="006B6AA1"/>
    <w:rsid w:val="006B6ED1"/>
    <w:rsid w:val="006C084A"/>
    <w:rsid w:val="006C2B98"/>
    <w:rsid w:val="006C3AD1"/>
    <w:rsid w:val="006C4933"/>
    <w:rsid w:val="006C65C3"/>
    <w:rsid w:val="006C7B09"/>
    <w:rsid w:val="006D5CF7"/>
    <w:rsid w:val="006D6E71"/>
    <w:rsid w:val="006E2152"/>
    <w:rsid w:val="006E2823"/>
    <w:rsid w:val="006E4389"/>
    <w:rsid w:val="006E4770"/>
    <w:rsid w:val="006E4BE8"/>
    <w:rsid w:val="006E733D"/>
    <w:rsid w:val="006E74DB"/>
    <w:rsid w:val="006E7F65"/>
    <w:rsid w:val="006F0F36"/>
    <w:rsid w:val="006F19DE"/>
    <w:rsid w:val="006F1C0C"/>
    <w:rsid w:val="006F354A"/>
    <w:rsid w:val="006F41EC"/>
    <w:rsid w:val="006F47C6"/>
    <w:rsid w:val="006F490C"/>
    <w:rsid w:val="006F63A2"/>
    <w:rsid w:val="006F7F97"/>
    <w:rsid w:val="00701F1B"/>
    <w:rsid w:val="00702213"/>
    <w:rsid w:val="00704BD2"/>
    <w:rsid w:val="00704BDB"/>
    <w:rsid w:val="007052ED"/>
    <w:rsid w:val="0070530E"/>
    <w:rsid w:val="0070569D"/>
    <w:rsid w:val="007059F4"/>
    <w:rsid w:val="00706B58"/>
    <w:rsid w:val="007077E3"/>
    <w:rsid w:val="00707F12"/>
    <w:rsid w:val="0071117C"/>
    <w:rsid w:val="00711965"/>
    <w:rsid w:val="00711EC4"/>
    <w:rsid w:val="007169A7"/>
    <w:rsid w:val="00717701"/>
    <w:rsid w:val="007205D9"/>
    <w:rsid w:val="00721784"/>
    <w:rsid w:val="00723711"/>
    <w:rsid w:val="00723EC8"/>
    <w:rsid w:val="0072459D"/>
    <w:rsid w:val="00724EF6"/>
    <w:rsid w:val="007274B5"/>
    <w:rsid w:val="00730705"/>
    <w:rsid w:val="00731003"/>
    <w:rsid w:val="007317A3"/>
    <w:rsid w:val="00733612"/>
    <w:rsid w:val="007338B6"/>
    <w:rsid w:val="00734CBC"/>
    <w:rsid w:val="00737309"/>
    <w:rsid w:val="00737B13"/>
    <w:rsid w:val="0074150B"/>
    <w:rsid w:val="007415AC"/>
    <w:rsid w:val="00741906"/>
    <w:rsid w:val="00741943"/>
    <w:rsid w:val="007425AF"/>
    <w:rsid w:val="0074278F"/>
    <w:rsid w:val="00742E39"/>
    <w:rsid w:val="007432A9"/>
    <w:rsid w:val="00743F2A"/>
    <w:rsid w:val="00747299"/>
    <w:rsid w:val="00750DC4"/>
    <w:rsid w:val="007524D7"/>
    <w:rsid w:val="00752E37"/>
    <w:rsid w:val="00753014"/>
    <w:rsid w:val="00757902"/>
    <w:rsid w:val="00760643"/>
    <w:rsid w:val="00760A38"/>
    <w:rsid w:val="00761D97"/>
    <w:rsid w:val="00763222"/>
    <w:rsid w:val="00763B58"/>
    <w:rsid w:val="007649A5"/>
    <w:rsid w:val="00767570"/>
    <w:rsid w:val="00770B95"/>
    <w:rsid w:val="00770EFF"/>
    <w:rsid w:val="00775BF5"/>
    <w:rsid w:val="00777410"/>
    <w:rsid w:val="007819FF"/>
    <w:rsid w:val="00781FC9"/>
    <w:rsid w:val="00782320"/>
    <w:rsid w:val="0078312B"/>
    <w:rsid w:val="00783B76"/>
    <w:rsid w:val="00783F63"/>
    <w:rsid w:val="007860F5"/>
    <w:rsid w:val="007902D0"/>
    <w:rsid w:val="007934DF"/>
    <w:rsid w:val="00793D21"/>
    <w:rsid w:val="007944B0"/>
    <w:rsid w:val="00795086"/>
    <w:rsid w:val="00797210"/>
    <w:rsid w:val="007A03BA"/>
    <w:rsid w:val="007A168C"/>
    <w:rsid w:val="007A18CA"/>
    <w:rsid w:val="007A1C1D"/>
    <w:rsid w:val="007A2952"/>
    <w:rsid w:val="007A3B85"/>
    <w:rsid w:val="007A6384"/>
    <w:rsid w:val="007A78A9"/>
    <w:rsid w:val="007A7DE1"/>
    <w:rsid w:val="007B099A"/>
    <w:rsid w:val="007B5DF1"/>
    <w:rsid w:val="007B6073"/>
    <w:rsid w:val="007B616B"/>
    <w:rsid w:val="007B64CE"/>
    <w:rsid w:val="007B71B4"/>
    <w:rsid w:val="007B7901"/>
    <w:rsid w:val="007C0ED5"/>
    <w:rsid w:val="007C3448"/>
    <w:rsid w:val="007D4EDF"/>
    <w:rsid w:val="007D53AC"/>
    <w:rsid w:val="007D5A30"/>
    <w:rsid w:val="007D674B"/>
    <w:rsid w:val="007E0592"/>
    <w:rsid w:val="007E0731"/>
    <w:rsid w:val="007E1186"/>
    <w:rsid w:val="007E3694"/>
    <w:rsid w:val="007E55BF"/>
    <w:rsid w:val="007E69F6"/>
    <w:rsid w:val="007E7343"/>
    <w:rsid w:val="007E79AE"/>
    <w:rsid w:val="007E7BBB"/>
    <w:rsid w:val="007F1127"/>
    <w:rsid w:val="007F217C"/>
    <w:rsid w:val="007F2A55"/>
    <w:rsid w:val="007F2D62"/>
    <w:rsid w:val="007F354D"/>
    <w:rsid w:val="007F4CFF"/>
    <w:rsid w:val="007F78C2"/>
    <w:rsid w:val="00803ECF"/>
    <w:rsid w:val="00810293"/>
    <w:rsid w:val="0081183F"/>
    <w:rsid w:val="0081302C"/>
    <w:rsid w:val="00814512"/>
    <w:rsid w:val="00815146"/>
    <w:rsid w:val="00815AD7"/>
    <w:rsid w:val="00817381"/>
    <w:rsid w:val="0082095C"/>
    <w:rsid w:val="008209F0"/>
    <w:rsid w:val="008211BC"/>
    <w:rsid w:val="0082136A"/>
    <w:rsid w:val="008213FF"/>
    <w:rsid w:val="00821BF2"/>
    <w:rsid w:val="00823416"/>
    <w:rsid w:val="008235E9"/>
    <w:rsid w:val="00823C0B"/>
    <w:rsid w:val="00823DCC"/>
    <w:rsid w:val="00825307"/>
    <w:rsid w:val="00830B94"/>
    <w:rsid w:val="00837A8C"/>
    <w:rsid w:val="008407D1"/>
    <w:rsid w:val="00844BBC"/>
    <w:rsid w:val="00844FAB"/>
    <w:rsid w:val="00847371"/>
    <w:rsid w:val="00850BBD"/>
    <w:rsid w:val="00851F3E"/>
    <w:rsid w:val="008521BC"/>
    <w:rsid w:val="008524EA"/>
    <w:rsid w:val="00852513"/>
    <w:rsid w:val="008530FE"/>
    <w:rsid w:val="00855559"/>
    <w:rsid w:val="00856DC9"/>
    <w:rsid w:val="00856EF2"/>
    <w:rsid w:val="008578FB"/>
    <w:rsid w:val="0086036D"/>
    <w:rsid w:val="008610AB"/>
    <w:rsid w:val="00861D36"/>
    <w:rsid w:val="008620C7"/>
    <w:rsid w:val="00863020"/>
    <w:rsid w:val="00866EDB"/>
    <w:rsid w:val="008731A0"/>
    <w:rsid w:val="00873A00"/>
    <w:rsid w:val="00873CFE"/>
    <w:rsid w:val="00874EAB"/>
    <w:rsid w:val="00875A67"/>
    <w:rsid w:val="00875D60"/>
    <w:rsid w:val="00875E61"/>
    <w:rsid w:val="00877AC6"/>
    <w:rsid w:val="00880918"/>
    <w:rsid w:val="00881370"/>
    <w:rsid w:val="00881FE6"/>
    <w:rsid w:val="008821AE"/>
    <w:rsid w:val="00882235"/>
    <w:rsid w:val="00884500"/>
    <w:rsid w:val="00885FCF"/>
    <w:rsid w:val="00887017"/>
    <w:rsid w:val="00890768"/>
    <w:rsid w:val="00890DE7"/>
    <w:rsid w:val="00891219"/>
    <w:rsid w:val="00891D01"/>
    <w:rsid w:val="008926A7"/>
    <w:rsid w:val="00896591"/>
    <w:rsid w:val="008966D0"/>
    <w:rsid w:val="00896A69"/>
    <w:rsid w:val="008A0887"/>
    <w:rsid w:val="008A201E"/>
    <w:rsid w:val="008A2A5B"/>
    <w:rsid w:val="008A2B6A"/>
    <w:rsid w:val="008A37DF"/>
    <w:rsid w:val="008A67D0"/>
    <w:rsid w:val="008B2C13"/>
    <w:rsid w:val="008B625F"/>
    <w:rsid w:val="008B7423"/>
    <w:rsid w:val="008C0197"/>
    <w:rsid w:val="008C0922"/>
    <w:rsid w:val="008C2180"/>
    <w:rsid w:val="008C4A90"/>
    <w:rsid w:val="008C642F"/>
    <w:rsid w:val="008D0E3F"/>
    <w:rsid w:val="008D2BD1"/>
    <w:rsid w:val="008D35A4"/>
    <w:rsid w:val="008D4C17"/>
    <w:rsid w:val="008E2DBE"/>
    <w:rsid w:val="008E2EF2"/>
    <w:rsid w:val="008E5657"/>
    <w:rsid w:val="008E5FEF"/>
    <w:rsid w:val="008E633A"/>
    <w:rsid w:val="008F060B"/>
    <w:rsid w:val="008F2703"/>
    <w:rsid w:val="008F344D"/>
    <w:rsid w:val="008F4BF4"/>
    <w:rsid w:val="008F5DF6"/>
    <w:rsid w:val="008F772C"/>
    <w:rsid w:val="00900FA7"/>
    <w:rsid w:val="00902375"/>
    <w:rsid w:val="00905544"/>
    <w:rsid w:val="00907A53"/>
    <w:rsid w:val="009123C0"/>
    <w:rsid w:val="00921797"/>
    <w:rsid w:val="00921F79"/>
    <w:rsid w:val="0092309B"/>
    <w:rsid w:val="009231D0"/>
    <w:rsid w:val="00923F63"/>
    <w:rsid w:val="00924FB1"/>
    <w:rsid w:val="009252F5"/>
    <w:rsid w:val="00925492"/>
    <w:rsid w:val="0092737A"/>
    <w:rsid w:val="00931E1E"/>
    <w:rsid w:val="0093207B"/>
    <w:rsid w:val="00932566"/>
    <w:rsid w:val="009345B9"/>
    <w:rsid w:val="00934837"/>
    <w:rsid w:val="00935E81"/>
    <w:rsid w:val="00937356"/>
    <w:rsid w:val="0094127E"/>
    <w:rsid w:val="00942CEE"/>
    <w:rsid w:val="009444C2"/>
    <w:rsid w:val="00946B83"/>
    <w:rsid w:val="00946FF1"/>
    <w:rsid w:val="00947484"/>
    <w:rsid w:val="009513D3"/>
    <w:rsid w:val="00957C91"/>
    <w:rsid w:val="00957CD1"/>
    <w:rsid w:val="009605FC"/>
    <w:rsid w:val="00960AFA"/>
    <w:rsid w:val="00964DA3"/>
    <w:rsid w:val="00965389"/>
    <w:rsid w:val="00965CD0"/>
    <w:rsid w:val="00967FF1"/>
    <w:rsid w:val="00972E4D"/>
    <w:rsid w:val="0097338C"/>
    <w:rsid w:val="009754CA"/>
    <w:rsid w:val="00981F80"/>
    <w:rsid w:val="00984A1A"/>
    <w:rsid w:val="00984BC6"/>
    <w:rsid w:val="009859EB"/>
    <w:rsid w:val="00986566"/>
    <w:rsid w:val="00987508"/>
    <w:rsid w:val="00991386"/>
    <w:rsid w:val="009936D6"/>
    <w:rsid w:val="00994B14"/>
    <w:rsid w:val="00995A30"/>
    <w:rsid w:val="0099744C"/>
    <w:rsid w:val="00997CB3"/>
    <w:rsid w:val="009A06B2"/>
    <w:rsid w:val="009A2249"/>
    <w:rsid w:val="009A2EC8"/>
    <w:rsid w:val="009A3FC0"/>
    <w:rsid w:val="009A4103"/>
    <w:rsid w:val="009A6298"/>
    <w:rsid w:val="009A6DCC"/>
    <w:rsid w:val="009A6EB5"/>
    <w:rsid w:val="009B0F37"/>
    <w:rsid w:val="009B25D1"/>
    <w:rsid w:val="009B2DD7"/>
    <w:rsid w:val="009B3250"/>
    <w:rsid w:val="009B4AFE"/>
    <w:rsid w:val="009B629F"/>
    <w:rsid w:val="009C28A1"/>
    <w:rsid w:val="009C45AA"/>
    <w:rsid w:val="009C4A5A"/>
    <w:rsid w:val="009C525E"/>
    <w:rsid w:val="009C61BE"/>
    <w:rsid w:val="009C6A7B"/>
    <w:rsid w:val="009D0135"/>
    <w:rsid w:val="009D1F96"/>
    <w:rsid w:val="009D33E9"/>
    <w:rsid w:val="009D3B08"/>
    <w:rsid w:val="009D465B"/>
    <w:rsid w:val="009D4A92"/>
    <w:rsid w:val="009D7AD8"/>
    <w:rsid w:val="009D7B39"/>
    <w:rsid w:val="009E0B2A"/>
    <w:rsid w:val="009E12E1"/>
    <w:rsid w:val="009E2D5D"/>
    <w:rsid w:val="009E5580"/>
    <w:rsid w:val="009E6827"/>
    <w:rsid w:val="009E6837"/>
    <w:rsid w:val="009F3293"/>
    <w:rsid w:val="009F44F8"/>
    <w:rsid w:val="009F6C77"/>
    <w:rsid w:val="009F77EE"/>
    <w:rsid w:val="00A03A5C"/>
    <w:rsid w:val="00A046C4"/>
    <w:rsid w:val="00A054DC"/>
    <w:rsid w:val="00A065C2"/>
    <w:rsid w:val="00A06D4F"/>
    <w:rsid w:val="00A07CBF"/>
    <w:rsid w:val="00A101CC"/>
    <w:rsid w:val="00A105C7"/>
    <w:rsid w:val="00A1083B"/>
    <w:rsid w:val="00A133E3"/>
    <w:rsid w:val="00A13427"/>
    <w:rsid w:val="00A15327"/>
    <w:rsid w:val="00A15A6B"/>
    <w:rsid w:val="00A16809"/>
    <w:rsid w:val="00A20484"/>
    <w:rsid w:val="00A22282"/>
    <w:rsid w:val="00A234EF"/>
    <w:rsid w:val="00A262D0"/>
    <w:rsid w:val="00A2689C"/>
    <w:rsid w:val="00A26ED1"/>
    <w:rsid w:val="00A30C5F"/>
    <w:rsid w:val="00A31362"/>
    <w:rsid w:val="00A35A34"/>
    <w:rsid w:val="00A37B76"/>
    <w:rsid w:val="00A4216C"/>
    <w:rsid w:val="00A42297"/>
    <w:rsid w:val="00A43295"/>
    <w:rsid w:val="00A448ED"/>
    <w:rsid w:val="00A45A5F"/>
    <w:rsid w:val="00A4776E"/>
    <w:rsid w:val="00A50A1B"/>
    <w:rsid w:val="00A53432"/>
    <w:rsid w:val="00A546C6"/>
    <w:rsid w:val="00A550BB"/>
    <w:rsid w:val="00A5755D"/>
    <w:rsid w:val="00A60697"/>
    <w:rsid w:val="00A62E92"/>
    <w:rsid w:val="00A70390"/>
    <w:rsid w:val="00A71A21"/>
    <w:rsid w:val="00A71E6F"/>
    <w:rsid w:val="00A73242"/>
    <w:rsid w:val="00A809D2"/>
    <w:rsid w:val="00A80E48"/>
    <w:rsid w:val="00A8180C"/>
    <w:rsid w:val="00A8258A"/>
    <w:rsid w:val="00A83852"/>
    <w:rsid w:val="00A8473F"/>
    <w:rsid w:val="00A90C98"/>
    <w:rsid w:val="00A9593A"/>
    <w:rsid w:val="00AA05BE"/>
    <w:rsid w:val="00AA22ED"/>
    <w:rsid w:val="00AA2D3C"/>
    <w:rsid w:val="00AA47FE"/>
    <w:rsid w:val="00AA5CC4"/>
    <w:rsid w:val="00AB069A"/>
    <w:rsid w:val="00AB3569"/>
    <w:rsid w:val="00AB417C"/>
    <w:rsid w:val="00AB6CD8"/>
    <w:rsid w:val="00AC3419"/>
    <w:rsid w:val="00AC382F"/>
    <w:rsid w:val="00AC3E25"/>
    <w:rsid w:val="00AC4A41"/>
    <w:rsid w:val="00AC5FDC"/>
    <w:rsid w:val="00AC6D2E"/>
    <w:rsid w:val="00AC6F37"/>
    <w:rsid w:val="00AD1DE7"/>
    <w:rsid w:val="00AD2610"/>
    <w:rsid w:val="00AD2698"/>
    <w:rsid w:val="00AD464B"/>
    <w:rsid w:val="00AD58DD"/>
    <w:rsid w:val="00AD731A"/>
    <w:rsid w:val="00AD777E"/>
    <w:rsid w:val="00AD77C1"/>
    <w:rsid w:val="00AE0A5E"/>
    <w:rsid w:val="00AE0BC6"/>
    <w:rsid w:val="00AE4334"/>
    <w:rsid w:val="00AE4FD8"/>
    <w:rsid w:val="00AE5D5E"/>
    <w:rsid w:val="00AF0743"/>
    <w:rsid w:val="00AF1379"/>
    <w:rsid w:val="00AF1F3B"/>
    <w:rsid w:val="00AF3188"/>
    <w:rsid w:val="00AF34FF"/>
    <w:rsid w:val="00AF4207"/>
    <w:rsid w:val="00AF4CC2"/>
    <w:rsid w:val="00AF587C"/>
    <w:rsid w:val="00AF6C7D"/>
    <w:rsid w:val="00B00EC5"/>
    <w:rsid w:val="00B01EC0"/>
    <w:rsid w:val="00B01FE0"/>
    <w:rsid w:val="00B02C40"/>
    <w:rsid w:val="00B02E80"/>
    <w:rsid w:val="00B07069"/>
    <w:rsid w:val="00B07301"/>
    <w:rsid w:val="00B07DA7"/>
    <w:rsid w:val="00B13269"/>
    <w:rsid w:val="00B13C01"/>
    <w:rsid w:val="00B13E1E"/>
    <w:rsid w:val="00B14088"/>
    <w:rsid w:val="00B1473A"/>
    <w:rsid w:val="00B17AFD"/>
    <w:rsid w:val="00B2070E"/>
    <w:rsid w:val="00B20BCF"/>
    <w:rsid w:val="00B244D6"/>
    <w:rsid w:val="00B24AAD"/>
    <w:rsid w:val="00B25BD8"/>
    <w:rsid w:val="00B25C5F"/>
    <w:rsid w:val="00B25D48"/>
    <w:rsid w:val="00B261D5"/>
    <w:rsid w:val="00B262D2"/>
    <w:rsid w:val="00B273D9"/>
    <w:rsid w:val="00B32B30"/>
    <w:rsid w:val="00B33692"/>
    <w:rsid w:val="00B345DA"/>
    <w:rsid w:val="00B364DB"/>
    <w:rsid w:val="00B3697B"/>
    <w:rsid w:val="00B42434"/>
    <w:rsid w:val="00B426D8"/>
    <w:rsid w:val="00B44CD8"/>
    <w:rsid w:val="00B45E74"/>
    <w:rsid w:val="00B47E8A"/>
    <w:rsid w:val="00B50CB6"/>
    <w:rsid w:val="00B51876"/>
    <w:rsid w:val="00B51E03"/>
    <w:rsid w:val="00B51E86"/>
    <w:rsid w:val="00B53A9B"/>
    <w:rsid w:val="00B57A98"/>
    <w:rsid w:val="00B60145"/>
    <w:rsid w:val="00B629B6"/>
    <w:rsid w:val="00B65472"/>
    <w:rsid w:val="00B657EC"/>
    <w:rsid w:val="00B65C6F"/>
    <w:rsid w:val="00B663AD"/>
    <w:rsid w:val="00B665C6"/>
    <w:rsid w:val="00B67846"/>
    <w:rsid w:val="00B67C9C"/>
    <w:rsid w:val="00B70EAC"/>
    <w:rsid w:val="00B7184D"/>
    <w:rsid w:val="00B75485"/>
    <w:rsid w:val="00B777DA"/>
    <w:rsid w:val="00B77D8D"/>
    <w:rsid w:val="00B80574"/>
    <w:rsid w:val="00B80F94"/>
    <w:rsid w:val="00B817E7"/>
    <w:rsid w:val="00B8199A"/>
    <w:rsid w:val="00B8248D"/>
    <w:rsid w:val="00B826D1"/>
    <w:rsid w:val="00B84651"/>
    <w:rsid w:val="00B8590D"/>
    <w:rsid w:val="00B86D8A"/>
    <w:rsid w:val="00B870AA"/>
    <w:rsid w:val="00B9057D"/>
    <w:rsid w:val="00B9122D"/>
    <w:rsid w:val="00B93DD2"/>
    <w:rsid w:val="00B96318"/>
    <w:rsid w:val="00BA1DDC"/>
    <w:rsid w:val="00BA2675"/>
    <w:rsid w:val="00BA2EA2"/>
    <w:rsid w:val="00BA4C0D"/>
    <w:rsid w:val="00BA53F8"/>
    <w:rsid w:val="00BA7587"/>
    <w:rsid w:val="00BB083C"/>
    <w:rsid w:val="00BB5421"/>
    <w:rsid w:val="00BB6E49"/>
    <w:rsid w:val="00BC0B42"/>
    <w:rsid w:val="00BC1889"/>
    <w:rsid w:val="00BC1CB7"/>
    <w:rsid w:val="00BD21BC"/>
    <w:rsid w:val="00BD3329"/>
    <w:rsid w:val="00BD4DDB"/>
    <w:rsid w:val="00BD4F5D"/>
    <w:rsid w:val="00BD5E57"/>
    <w:rsid w:val="00BD6007"/>
    <w:rsid w:val="00BD604A"/>
    <w:rsid w:val="00BD691D"/>
    <w:rsid w:val="00BD6E94"/>
    <w:rsid w:val="00BD78E2"/>
    <w:rsid w:val="00BE0E2C"/>
    <w:rsid w:val="00BE3BC4"/>
    <w:rsid w:val="00BE4CC1"/>
    <w:rsid w:val="00BE6FFD"/>
    <w:rsid w:val="00BF16C3"/>
    <w:rsid w:val="00BF222B"/>
    <w:rsid w:val="00BF3E7A"/>
    <w:rsid w:val="00BF6055"/>
    <w:rsid w:val="00BF64D7"/>
    <w:rsid w:val="00C0097D"/>
    <w:rsid w:val="00C01317"/>
    <w:rsid w:val="00C016B4"/>
    <w:rsid w:val="00C01797"/>
    <w:rsid w:val="00C026C2"/>
    <w:rsid w:val="00C077A0"/>
    <w:rsid w:val="00C10B69"/>
    <w:rsid w:val="00C10BB0"/>
    <w:rsid w:val="00C10C84"/>
    <w:rsid w:val="00C149EE"/>
    <w:rsid w:val="00C14BE3"/>
    <w:rsid w:val="00C15D3B"/>
    <w:rsid w:val="00C17FD1"/>
    <w:rsid w:val="00C21858"/>
    <w:rsid w:val="00C21B8F"/>
    <w:rsid w:val="00C2236B"/>
    <w:rsid w:val="00C23798"/>
    <w:rsid w:val="00C25328"/>
    <w:rsid w:val="00C26A23"/>
    <w:rsid w:val="00C276BF"/>
    <w:rsid w:val="00C33DD1"/>
    <w:rsid w:val="00C343EE"/>
    <w:rsid w:val="00C34B60"/>
    <w:rsid w:val="00C34F4C"/>
    <w:rsid w:val="00C35BBC"/>
    <w:rsid w:val="00C36A56"/>
    <w:rsid w:val="00C36B48"/>
    <w:rsid w:val="00C36F42"/>
    <w:rsid w:val="00C42005"/>
    <w:rsid w:val="00C42101"/>
    <w:rsid w:val="00C421B1"/>
    <w:rsid w:val="00C429C2"/>
    <w:rsid w:val="00C42DAD"/>
    <w:rsid w:val="00C43D8C"/>
    <w:rsid w:val="00C45E3A"/>
    <w:rsid w:val="00C45F65"/>
    <w:rsid w:val="00C5105D"/>
    <w:rsid w:val="00C547BF"/>
    <w:rsid w:val="00C56383"/>
    <w:rsid w:val="00C60E72"/>
    <w:rsid w:val="00C63316"/>
    <w:rsid w:val="00C645D5"/>
    <w:rsid w:val="00C649E7"/>
    <w:rsid w:val="00C6715D"/>
    <w:rsid w:val="00C67521"/>
    <w:rsid w:val="00C70EAA"/>
    <w:rsid w:val="00C73C19"/>
    <w:rsid w:val="00C7776F"/>
    <w:rsid w:val="00C8142D"/>
    <w:rsid w:val="00C82791"/>
    <w:rsid w:val="00C84057"/>
    <w:rsid w:val="00C84EA2"/>
    <w:rsid w:val="00C85A57"/>
    <w:rsid w:val="00C86939"/>
    <w:rsid w:val="00C90FF7"/>
    <w:rsid w:val="00C913FB"/>
    <w:rsid w:val="00C9175C"/>
    <w:rsid w:val="00C93DB6"/>
    <w:rsid w:val="00C95DAB"/>
    <w:rsid w:val="00C9647E"/>
    <w:rsid w:val="00C9702E"/>
    <w:rsid w:val="00C97874"/>
    <w:rsid w:val="00C97991"/>
    <w:rsid w:val="00CA16FB"/>
    <w:rsid w:val="00CA18D9"/>
    <w:rsid w:val="00CA2D9C"/>
    <w:rsid w:val="00CA50B8"/>
    <w:rsid w:val="00CB0395"/>
    <w:rsid w:val="00CB2074"/>
    <w:rsid w:val="00CB3F33"/>
    <w:rsid w:val="00CB4ACD"/>
    <w:rsid w:val="00CB78EE"/>
    <w:rsid w:val="00CC0C13"/>
    <w:rsid w:val="00CC0FCE"/>
    <w:rsid w:val="00CC13AD"/>
    <w:rsid w:val="00CC1B9E"/>
    <w:rsid w:val="00CC2B8F"/>
    <w:rsid w:val="00CC2DBA"/>
    <w:rsid w:val="00CC4EAF"/>
    <w:rsid w:val="00CC5CE0"/>
    <w:rsid w:val="00CC6AFE"/>
    <w:rsid w:val="00CC76DD"/>
    <w:rsid w:val="00CC7821"/>
    <w:rsid w:val="00CC7AAD"/>
    <w:rsid w:val="00CD0465"/>
    <w:rsid w:val="00CD1A3C"/>
    <w:rsid w:val="00CD3F3F"/>
    <w:rsid w:val="00CD6028"/>
    <w:rsid w:val="00CD76E9"/>
    <w:rsid w:val="00CE0297"/>
    <w:rsid w:val="00CE223F"/>
    <w:rsid w:val="00CE2B2D"/>
    <w:rsid w:val="00CE4B47"/>
    <w:rsid w:val="00CE582A"/>
    <w:rsid w:val="00CE5B80"/>
    <w:rsid w:val="00CE5E62"/>
    <w:rsid w:val="00CE6125"/>
    <w:rsid w:val="00CE6FDB"/>
    <w:rsid w:val="00CE77FA"/>
    <w:rsid w:val="00CF101B"/>
    <w:rsid w:val="00CF181F"/>
    <w:rsid w:val="00CF198E"/>
    <w:rsid w:val="00CF1B4E"/>
    <w:rsid w:val="00CF208D"/>
    <w:rsid w:val="00CF2AB8"/>
    <w:rsid w:val="00CF4AA1"/>
    <w:rsid w:val="00CF52C2"/>
    <w:rsid w:val="00CF706E"/>
    <w:rsid w:val="00CF76E4"/>
    <w:rsid w:val="00D00F7E"/>
    <w:rsid w:val="00D021B3"/>
    <w:rsid w:val="00D03039"/>
    <w:rsid w:val="00D05E02"/>
    <w:rsid w:val="00D0707F"/>
    <w:rsid w:val="00D0753D"/>
    <w:rsid w:val="00D078B4"/>
    <w:rsid w:val="00D07D48"/>
    <w:rsid w:val="00D1069C"/>
    <w:rsid w:val="00D128DB"/>
    <w:rsid w:val="00D12D4A"/>
    <w:rsid w:val="00D12F0A"/>
    <w:rsid w:val="00D1306F"/>
    <w:rsid w:val="00D13F4D"/>
    <w:rsid w:val="00D1490A"/>
    <w:rsid w:val="00D1711E"/>
    <w:rsid w:val="00D204E6"/>
    <w:rsid w:val="00D206C0"/>
    <w:rsid w:val="00D21879"/>
    <w:rsid w:val="00D24B6C"/>
    <w:rsid w:val="00D2586F"/>
    <w:rsid w:val="00D273EC"/>
    <w:rsid w:val="00D31C3C"/>
    <w:rsid w:val="00D31DFD"/>
    <w:rsid w:val="00D3221F"/>
    <w:rsid w:val="00D3287D"/>
    <w:rsid w:val="00D33D55"/>
    <w:rsid w:val="00D35697"/>
    <w:rsid w:val="00D35E03"/>
    <w:rsid w:val="00D36742"/>
    <w:rsid w:val="00D371CD"/>
    <w:rsid w:val="00D4126D"/>
    <w:rsid w:val="00D418CC"/>
    <w:rsid w:val="00D41A42"/>
    <w:rsid w:val="00D422CF"/>
    <w:rsid w:val="00D43C23"/>
    <w:rsid w:val="00D45E91"/>
    <w:rsid w:val="00D50AAB"/>
    <w:rsid w:val="00D5236F"/>
    <w:rsid w:val="00D53EEB"/>
    <w:rsid w:val="00D53F65"/>
    <w:rsid w:val="00D53FA0"/>
    <w:rsid w:val="00D54808"/>
    <w:rsid w:val="00D56942"/>
    <w:rsid w:val="00D608F3"/>
    <w:rsid w:val="00D618A4"/>
    <w:rsid w:val="00D632C8"/>
    <w:rsid w:val="00D63919"/>
    <w:rsid w:val="00D66EE9"/>
    <w:rsid w:val="00D70510"/>
    <w:rsid w:val="00D71626"/>
    <w:rsid w:val="00D71D2F"/>
    <w:rsid w:val="00D723FB"/>
    <w:rsid w:val="00D734FE"/>
    <w:rsid w:val="00D74ADB"/>
    <w:rsid w:val="00D75C1B"/>
    <w:rsid w:val="00D80DD7"/>
    <w:rsid w:val="00D81A7D"/>
    <w:rsid w:val="00D823D7"/>
    <w:rsid w:val="00D82FF9"/>
    <w:rsid w:val="00D836F3"/>
    <w:rsid w:val="00D83BC6"/>
    <w:rsid w:val="00D84CD0"/>
    <w:rsid w:val="00D854E7"/>
    <w:rsid w:val="00D85F79"/>
    <w:rsid w:val="00D86E0B"/>
    <w:rsid w:val="00D873B8"/>
    <w:rsid w:val="00D913BA"/>
    <w:rsid w:val="00D93AA3"/>
    <w:rsid w:val="00DA127D"/>
    <w:rsid w:val="00DA5F14"/>
    <w:rsid w:val="00DB0028"/>
    <w:rsid w:val="00DB5188"/>
    <w:rsid w:val="00DB752C"/>
    <w:rsid w:val="00DC03DC"/>
    <w:rsid w:val="00DC1AA8"/>
    <w:rsid w:val="00DC38DE"/>
    <w:rsid w:val="00DC6DBF"/>
    <w:rsid w:val="00DD239E"/>
    <w:rsid w:val="00DD257B"/>
    <w:rsid w:val="00DD5285"/>
    <w:rsid w:val="00DD7850"/>
    <w:rsid w:val="00DE0A36"/>
    <w:rsid w:val="00DE28C9"/>
    <w:rsid w:val="00DE2EC9"/>
    <w:rsid w:val="00DE4577"/>
    <w:rsid w:val="00DE577F"/>
    <w:rsid w:val="00DF0575"/>
    <w:rsid w:val="00DF0C67"/>
    <w:rsid w:val="00DF5E28"/>
    <w:rsid w:val="00DF65F1"/>
    <w:rsid w:val="00DF73B2"/>
    <w:rsid w:val="00DF7683"/>
    <w:rsid w:val="00E00520"/>
    <w:rsid w:val="00E01E80"/>
    <w:rsid w:val="00E02215"/>
    <w:rsid w:val="00E02519"/>
    <w:rsid w:val="00E0445C"/>
    <w:rsid w:val="00E04BBB"/>
    <w:rsid w:val="00E050C5"/>
    <w:rsid w:val="00E0520A"/>
    <w:rsid w:val="00E054E6"/>
    <w:rsid w:val="00E0627E"/>
    <w:rsid w:val="00E06603"/>
    <w:rsid w:val="00E06BA9"/>
    <w:rsid w:val="00E10BCE"/>
    <w:rsid w:val="00E114CE"/>
    <w:rsid w:val="00E14348"/>
    <w:rsid w:val="00E15BA0"/>
    <w:rsid w:val="00E16F00"/>
    <w:rsid w:val="00E20090"/>
    <w:rsid w:val="00E23969"/>
    <w:rsid w:val="00E23C64"/>
    <w:rsid w:val="00E246F1"/>
    <w:rsid w:val="00E25F8C"/>
    <w:rsid w:val="00E3124E"/>
    <w:rsid w:val="00E328F3"/>
    <w:rsid w:val="00E36E2A"/>
    <w:rsid w:val="00E4034E"/>
    <w:rsid w:val="00E41A9B"/>
    <w:rsid w:val="00E41F78"/>
    <w:rsid w:val="00E423A5"/>
    <w:rsid w:val="00E42758"/>
    <w:rsid w:val="00E435BD"/>
    <w:rsid w:val="00E455DA"/>
    <w:rsid w:val="00E4560E"/>
    <w:rsid w:val="00E5291A"/>
    <w:rsid w:val="00E529D7"/>
    <w:rsid w:val="00E52D9E"/>
    <w:rsid w:val="00E53A07"/>
    <w:rsid w:val="00E55321"/>
    <w:rsid w:val="00E558AC"/>
    <w:rsid w:val="00E57CE6"/>
    <w:rsid w:val="00E60783"/>
    <w:rsid w:val="00E60DC0"/>
    <w:rsid w:val="00E613F5"/>
    <w:rsid w:val="00E624E5"/>
    <w:rsid w:val="00E6301C"/>
    <w:rsid w:val="00E6719C"/>
    <w:rsid w:val="00E701CE"/>
    <w:rsid w:val="00E70D43"/>
    <w:rsid w:val="00E71196"/>
    <w:rsid w:val="00E80DDF"/>
    <w:rsid w:val="00E81380"/>
    <w:rsid w:val="00E821B5"/>
    <w:rsid w:val="00E82BC1"/>
    <w:rsid w:val="00E8320C"/>
    <w:rsid w:val="00E83637"/>
    <w:rsid w:val="00E83930"/>
    <w:rsid w:val="00E8455F"/>
    <w:rsid w:val="00E84EDF"/>
    <w:rsid w:val="00E86C9F"/>
    <w:rsid w:val="00E9005E"/>
    <w:rsid w:val="00E9091E"/>
    <w:rsid w:val="00E92539"/>
    <w:rsid w:val="00E93BFD"/>
    <w:rsid w:val="00E942C5"/>
    <w:rsid w:val="00E955BB"/>
    <w:rsid w:val="00EA250A"/>
    <w:rsid w:val="00EA2596"/>
    <w:rsid w:val="00EA2760"/>
    <w:rsid w:val="00EA427D"/>
    <w:rsid w:val="00EA4849"/>
    <w:rsid w:val="00EA764D"/>
    <w:rsid w:val="00EB097C"/>
    <w:rsid w:val="00EB0C3F"/>
    <w:rsid w:val="00EB0C45"/>
    <w:rsid w:val="00EB11F7"/>
    <w:rsid w:val="00EB2D59"/>
    <w:rsid w:val="00EB60D9"/>
    <w:rsid w:val="00EB7AC2"/>
    <w:rsid w:val="00EC04FC"/>
    <w:rsid w:val="00EC2B39"/>
    <w:rsid w:val="00EC2B4C"/>
    <w:rsid w:val="00EC3B85"/>
    <w:rsid w:val="00EC5116"/>
    <w:rsid w:val="00EC575C"/>
    <w:rsid w:val="00EC6250"/>
    <w:rsid w:val="00EC6367"/>
    <w:rsid w:val="00EC6BDD"/>
    <w:rsid w:val="00ED03E1"/>
    <w:rsid w:val="00ED0800"/>
    <w:rsid w:val="00ED1E52"/>
    <w:rsid w:val="00ED211C"/>
    <w:rsid w:val="00ED376E"/>
    <w:rsid w:val="00ED3C05"/>
    <w:rsid w:val="00ED4860"/>
    <w:rsid w:val="00ED6B06"/>
    <w:rsid w:val="00ED6CAE"/>
    <w:rsid w:val="00ED7870"/>
    <w:rsid w:val="00ED7CE8"/>
    <w:rsid w:val="00EE10EB"/>
    <w:rsid w:val="00EE1C9A"/>
    <w:rsid w:val="00EE1D3B"/>
    <w:rsid w:val="00EE4831"/>
    <w:rsid w:val="00EE4CD8"/>
    <w:rsid w:val="00EE5306"/>
    <w:rsid w:val="00EE57BB"/>
    <w:rsid w:val="00EE7E21"/>
    <w:rsid w:val="00EF0307"/>
    <w:rsid w:val="00EF2CC5"/>
    <w:rsid w:val="00EF3EBE"/>
    <w:rsid w:val="00EF4125"/>
    <w:rsid w:val="00EF4615"/>
    <w:rsid w:val="00EF51AF"/>
    <w:rsid w:val="00EF740A"/>
    <w:rsid w:val="00EF7BD2"/>
    <w:rsid w:val="00F03AA9"/>
    <w:rsid w:val="00F03E8D"/>
    <w:rsid w:val="00F0475D"/>
    <w:rsid w:val="00F072E2"/>
    <w:rsid w:val="00F0761F"/>
    <w:rsid w:val="00F103C5"/>
    <w:rsid w:val="00F10E9E"/>
    <w:rsid w:val="00F11B2F"/>
    <w:rsid w:val="00F11C87"/>
    <w:rsid w:val="00F15098"/>
    <w:rsid w:val="00F2010D"/>
    <w:rsid w:val="00F23D54"/>
    <w:rsid w:val="00F255FA"/>
    <w:rsid w:val="00F36BB3"/>
    <w:rsid w:val="00F4060E"/>
    <w:rsid w:val="00F4362E"/>
    <w:rsid w:val="00F45702"/>
    <w:rsid w:val="00F46C62"/>
    <w:rsid w:val="00F506C5"/>
    <w:rsid w:val="00F514D9"/>
    <w:rsid w:val="00F53369"/>
    <w:rsid w:val="00F5340B"/>
    <w:rsid w:val="00F56647"/>
    <w:rsid w:val="00F61318"/>
    <w:rsid w:val="00F63BFD"/>
    <w:rsid w:val="00F64A8C"/>
    <w:rsid w:val="00F71D51"/>
    <w:rsid w:val="00F80C93"/>
    <w:rsid w:val="00F814AD"/>
    <w:rsid w:val="00F81C08"/>
    <w:rsid w:val="00F831D2"/>
    <w:rsid w:val="00F8346C"/>
    <w:rsid w:val="00F83FA3"/>
    <w:rsid w:val="00F84A56"/>
    <w:rsid w:val="00F87B91"/>
    <w:rsid w:val="00F90798"/>
    <w:rsid w:val="00F91AEA"/>
    <w:rsid w:val="00F94D6B"/>
    <w:rsid w:val="00F96AD5"/>
    <w:rsid w:val="00FA1006"/>
    <w:rsid w:val="00FA3343"/>
    <w:rsid w:val="00FA48AA"/>
    <w:rsid w:val="00FA490B"/>
    <w:rsid w:val="00FA4C37"/>
    <w:rsid w:val="00FB225E"/>
    <w:rsid w:val="00FB2ADE"/>
    <w:rsid w:val="00FB2B8E"/>
    <w:rsid w:val="00FB3C0D"/>
    <w:rsid w:val="00FB4A61"/>
    <w:rsid w:val="00FB67C4"/>
    <w:rsid w:val="00FC0325"/>
    <w:rsid w:val="00FC260C"/>
    <w:rsid w:val="00FC524E"/>
    <w:rsid w:val="00FC5891"/>
    <w:rsid w:val="00FD134D"/>
    <w:rsid w:val="00FD29D7"/>
    <w:rsid w:val="00FD36E2"/>
    <w:rsid w:val="00FD47F8"/>
    <w:rsid w:val="00FD5F47"/>
    <w:rsid w:val="00FD7309"/>
    <w:rsid w:val="00FE02B8"/>
    <w:rsid w:val="00FE0DB7"/>
    <w:rsid w:val="00FE18E5"/>
    <w:rsid w:val="00FE2273"/>
    <w:rsid w:val="00FE24CF"/>
    <w:rsid w:val="00FE2CEB"/>
    <w:rsid w:val="00FE2F68"/>
    <w:rsid w:val="00FE480E"/>
    <w:rsid w:val="00FE524C"/>
    <w:rsid w:val="00FF18E9"/>
    <w:rsid w:val="00FF4815"/>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5FE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7A0"/>
    <w:pPr>
      <w:spacing w:line="240" w:lineRule="auto"/>
      <w:jc w:val="both"/>
    </w:pPr>
    <w:rPr>
      <w:rFonts w:ascii="Cambria" w:hAnsi="Cambria"/>
      <w:sz w:val="20"/>
    </w:rPr>
  </w:style>
  <w:style w:type="paragraph" w:styleId="Ttulo1">
    <w:name w:val="heading 1"/>
    <w:basedOn w:val="Normal"/>
    <w:next w:val="Normal"/>
    <w:link w:val="Ttulo1Car"/>
    <w:uiPriority w:val="9"/>
    <w:qFormat/>
    <w:rsid w:val="00054E58"/>
    <w:pPr>
      <w:keepNext/>
      <w:keepLines/>
      <w:numPr>
        <w:numId w:val="1"/>
      </w:numPr>
      <w:spacing w:after="0"/>
      <w:outlineLvl w:val="0"/>
    </w:pPr>
    <w:rPr>
      <w:rFonts w:eastAsiaTheme="majorEastAsia" w:cs="Times New Roman (Headings CS)"/>
      <w:b/>
      <w:caps/>
      <w:szCs w:val="32"/>
      <w:lang w:val="es-ES"/>
    </w:rPr>
  </w:style>
  <w:style w:type="paragraph" w:styleId="Ttulo2">
    <w:name w:val="heading 2"/>
    <w:basedOn w:val="Normal"/>
    <w:next w:val="Normal"/>
    <w:link w:val="Ttulo2Car"/>
    <w:unhideWhenUsed/>
    <w:qFormat/>
    <w:rsid w:val="00463A45"/>
    <w:pPr>
      <w:keepNext/>
      <w:keepLines/>
      <w:numPr>
        <w:numId w:val="9"/>
      </w:numPr>
      <w:spacing w:before="40" w:after="0"/>
      <w:ind w:left="360"/>
      <w:outlineLvl w:val="1"/>
    </w:pPr>
    <w:rPr>
      <w:rFonts w:eastAsiaTheme="majorEastAsia" w:cstheme="majorBidi"/>
      <w:b/>
      <w:color w:val="000000" w:themeColor="text1"/>
      <w:szCs w:val="26"/>
    </w:rPr>
  </w:style>
  <w:style w:type="paragraph" w:styleId="Ttulo3">
    <w:name w:val="heading 3"/>
    <w:basedOn w:val="Normal"/>
    <w:next w:val="Normal"/>
    <w:link w:val="Ttulo3Car"/>
    <w:unhideWhenUsed/>
    <w:qFormat/>
    <w:rsid w:val="00054E58"/>
    <w:pPr>
      <w:keepNext/>
      <w:keepLines/>
      <w:numPr>
        <w:ilvl w:val="2"/>
        <w:numId w:val="1"/>
      </w:numPr>
      <w:spacing w:before="40" w:after="0"/>
      <w:ind w:left="708"/>
      <w:outlineLvl w:val="2"/>
    </w:pPr>
    <w:rPr>
      <w:rFonts w:eastAsiaTheme="majorEastAsia" w:cstheme="majorBidi"/>
      <w:b/>
      <w:szCs w:val="24"/>
    </w:rPr>
  </w:style>
  <w:style w:type="paragraph" w:styleId="Ttulo4">
    <w:name w:val="heading 4"/>
    <w:basedOn w:val="Prrafodelista"/>
    <w:next w:val="Normal"/>
    <w:link w:val="Ttulo4Car"/>
    <w:uiPriority w:val="9"/>
    <w:unhideWhenUsed/>
    <w:qFormat/>
    <w:rsid w:val="008F4BF4"/>
    <w:pPr>
      <w:numPr>
        <w:ilvl w:val="1"/>
        <w:numId w:val="11"/>
      </w:numPr>
      <w:tabs>
        <w:tab w:val="left" w:pos="720"/>
      </w:tabs>
      <w:spacing w:after="0"/>
      <w:outlineLvl w:val="3"/>
    </w:pPr>
    <w:rPr>
      <w:b/>
      <w:bCs/>
      <w:i/>
      <w:iCs/>
    </w:rPr>
  </w:style>
  <w:style w:type="paragraph" w:styleId="Ttulo5">
    <w:name w:val="heading 5"/>
    <w:basedOn w:val="Normal"/>
    <w:next w:val="Normal"/>
    <w:link w:val="Ttulo5Car"/>
    <w:uiPriority w:val="9"/>
    <w:unhideWhenUsed/>
    <w:qFormat/>
    <w:rsid w:val="008C0922"/>
    <w:pPr>
      <w:keepNext/>
      <w:keepLines/>
      <w:numPr>
        <w:numId w:val="6"/>
      </w:numPr>
      <w:spacing w:before="40" w:after="0"/>
      <w:ind w:left="360"/>
      <w:outlineLvl w:val="4"/>
    </w:pPr>
    <w:rPr>
      <w:rFonts w:eastAsiaTheme="majorEastAsia" w:cstheme="majorBidi"/>
      <w:b/>
      <w:bCs/>
      <w:i/>
      <w:szCs w:val="20"/>
    </w:rPr>
  </w:style>
  <w:style w:type="paragraph" w:styleId="Ttulo6">
    <w:name w:val="heading 6"/>
    <w:basedOn w:val="Normal"/>
    <w:next w:val="Normal"/>
    <w:link w:val="Ttulo6Car"/>
    <w:uiPriority w:val="9"/>
    <w:unhideWhenUsed/>
    <w:qFormat/>
    <w:rsid w:val="00C077A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C077A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C077A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077A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1,List Paragraph1,List Paragraph11,List Paragraph2,Lista vistosa - Énfasis 11,Colorful List - Accent 11,Parrafos,Footnote,Medium Grid 1 - Accent 21,Colorful List - Accent 12,Subtle Emphasis1,Footnote1,Parragrap"/>
    <w:basedOn w:val="Normal"/>
    <w:link w:val="PrrafodelistaCar"/>
    <w:uiPriority w:val="34"/>
    <w:qFormat/>
    <w:rsid w:val="003C789A"/>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unhideWhenUsed/>
    <w:qFormat/>
    <w:rsid w:val="00A550BB"/>
    <w:pPr>
      <w:spacing w:after="0"/>
    </w:pPr>
    <w:rPr>
      <w:rFonts w:eastAsia="Calibri" w:cs="Times New Roman"/>
      <w:sz w:val="16"/>
      <w:szCs w:val="20"/>
      <w:lang w:val="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qFormat/>
    <w:rsid w:val="00A550BB"/>
    <w:rPr>
      <w:rFonts w:ascii="Cambria" w:eastAsia="Calibri" w:hAnsi="Cambria" w:cs="Times New Roman"/>
      <w:sz w:val="16"/>
      <w:szCs w:val="20"/>
      <w:lang w:val="en-US"/>
    </w:r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Ref. de nota al,Ref. de nota al pi,R"/>
    <w:link w:val="1"/>
    <w:unhideWhenUsed/>
    <w:qFormat/>
    <w:rsid w:val="003C789A"/>
    <w:rPr>
      <w:vertAlign w:val="superscript"/>
    </w:rPr>
  </w:style>
  <w:style w:type="paragraph" w:styleId="Encabezado">
    <w:name w:val="header"/>
    <w:aliases w:val="encabezado"/>
    <w:basedOn w:val="Normal"/>
    <w:link w:val="EncabezadoCar"/>
    <w:unhideWhenUsed/>
    <w:rsid w:val="00EF4615"/>
    <w:pPr>
      <w:tabs>
        <w:tab w:val="center" w:pos="4419"/>
        <w:tab w:val="right" w:pos="8838"/>
      </w:tabs>
      <w:spacing w:after="0"/>
    </w:pPr>
  </w:style>
  <w:style w:type="character" w:customStyle="1" w:styleId="EncabezadoCar">
    <w:name w:val="Encabezado Car"/>
    <w:aliases w:val="encabezado Car"/>
    <w:basedOn w:val="Fuentedeprrafopredeter"/>
    <w:link w:val="Encabezado"/>
    <w:rsid w:val="00EF4615"/>
  </w:style>
  <w:style w:type="paragraph" w:styleId="Piedepgina">
    <w:name w:val="footer"/>
    <w:basedOn w:val="Normal"/>
    <w:link w:val="PiedepginaCar"/>
    <w:uiPriority w:val="99"/>
    <w:unhideWhenUsed/>
    <w:rsid w:val="00EF4615"/>
    <w:pPr>
      <w:tabs>
        <w:tab w:val="center" w:pos="4419"/>
        <w:tab w:val="right" w:pos="8838"/>
      </w:tabs>
      <w:spacing w:after="0"/>
    </w:pPr>
  </w:style>
  <w:style w:type="character" w:customStyle="1" w:styleId="PiedepginaCar">
    <w:name w:val="Pie de página Car"/>
    <w:basedOn w:val="Fuentedeprrafopredeter"/>
    <w:link w:val="Piedepgina"/>
    <w:uiPriority w:val="99"/>
    <w:rsid w:val="00EF4615"/>
  </w:style>
  <w:style w:type="character" w:styleId="Refdecomentario">
    <w:name w:val="annotation reference"/>
    <w:basedOn w:val="Fuentedeprrafopredeter"/>
    <w:uiPriority w:val="99"/>
    <w:semiHidden/>
    <w:unhideWhenUsed/>
    <w:rsid w:val="0030112B"/>
    <w:rPr>
      <w:sz w:val="16"/>
      <w:szCs w:val="16"/>
    </w:rPr>
  </w:style>
  <w:style w:type="paragraph" w:styleId="Textocomentario">
    <w:name w:val="annotation text"/>
    <w:basedOn w:val="Normal"/>
    <w:link w:val="TextocomentarioCar"/>
    <w:uiPriority w:val="99"/>
    <w:unhideWhenUsed/>
    <w:rsid w:val="0030112B"/>
    <w:rPr>
      <w:szCs w:val="20"/>
    </w:rPr>
  </w:style>
  <w:style w:type="character" w:customStyle="1" w:styleId="TextocomentarioCar">
    <w:name w:val="Texto comentario Car"/>
    <w:basedOn w:val="Fuentedeprrafopredeter"/>
    <w:link w:val="Textocomentario"/>
    <w:uiPriority w:val="99"/>
    <w:rsid w:val="0030112B"/>
    <w:rPr>
      <w:sz w:val="20"/>
      <w:szCs w:val="20"/>
    </w:rPr>
  </w:style>
  <w:style w:type="paragraph" w:styleId="Asuntodelcomentario">
    <w:name w:val="annotation subject"/>
    <w:basedOn w:val="Textocomentario"/>
    <w:next w:val="Textocomentario"/>
    <w:link w:val="AsuntodelcomentarioCar"/>
    <w:uiPriority w:val="99"/>
    <w:semiHidden/>
    <w:unhideWhenUsed/>
    <w:rsid w:val="0030112B"/>
    <w:rPr>
      <w:b/>
      <w:bCs/>
    </w:rPr>
  </w:style>
  <w:style w:type="character" w:customStyle="1" w:styleId="AsuntodelcomentarioCar">
    <w:name w:val="Asunto del comentario Car"/>
    <w:basedOn w:val="TextocomentarioCar"/>
    <w:link w:val="Asuntodelcomentario"/>
    <w:uiPriority w:val="99"/>
    <w:semiHidden/>
    <w:rsid w:val="0030112B"/>
    <w:rPr>
      <w:b/>
      <w:bCs/>
      <w:sz w:val="20"/>
      <w:szCs w:val="20"/>
    </w:rPr>
  </w:style>
  <w:style w:type="character" w:styleId="Hipervnculo">
    <w:name w:val="Hyperlink"/>
    <w:basedOn w:val="Fuentedeprrafopredeter"/>
    <w:uiPriority w:val="99"/>
    <w:unhideWhenUsed/>
    <w:rsid w:val="0030112B"/>
    <w:rPr>
      <w:color w:val="0563C1" w:themeColor="hyperlink"/>
      <w:u w:val="single"/>
    </w:rPr>
  </w:style>
  <w:style w:type="character" w:styleId="Mencinsinresolver">
    <w:name w:val="Unresolved Mention"/>
    <w:basedOn w:val="Fuentedeprrafopredeter"/>
    <w:uiPriority w:val="99"/>
    <w:semiHidden/>
    <w:unhideWhenUsed/>
    <w:rsid w:val="0030112B"/>
    <w:rPr>
      <w:color w:val="605E5C"/>
      <w:shd w:val="clear" w:color="auto" w:fill="E1DFDD"/>
    </w:rPr>
  </w:style>
  <w:style w:type="character" w:customStyle="1" w:styleId="Ttulo1Car">
    <w:name w:val="Título 1 Car"/>
    <w:basedOn w:val="Fuentedeprrafopredeter"/>
    <w:link w:val="Ttulo1"/>
    <w:uiPriority w:val="9"/>
    <w:rsid w:val="00054E58"/>
    <w:rPr>
      <w:rFonts w:ascii="Cambria" w:eastAsiaTheme="majorEastAsia" w:hAnsi="Cambria" w:cs="Times New Roman (Headings CS)"/>
      <w:b/>
      <w:caps/>
      <w:sz w:val="20"/>
      <w:szCs w:val="32"/>
      <w:lang w:val="es-ES"/>
    </w:rPr>
  </w:style>
  <w:style w:type="numbering" w:customStyle="1" w:styleId="List35">
    <w:name w:val="List 35"/>
    <w:basedOn w:val="Sinlista"/>
    <w:rsid w:val="00C077A0"/>
    <w:pPr>
      <w:numPr>
        <w:numId w:val="2"/>
      </w:numPr>
    </w:pPr>
  </w:style>
  <w:style w:type="character" w:customStyle="1" w:styleId="Ttulo2Car">
    <w:name w:val="Título 2 Car"/>
    <w:basedOn w:val="Fuentedeprrafopredeter"/>
    <w:link w:val="Ttulo2"/>
    <w:rsid w:val="00463A45"/>
    <w:rPr>
      <w:rFonts w:ascii="Cambria" w:eastAsiaTheme="majorEastAsia" w:hAnsi="Cambria" w:cstheme="majorBidi"/>
      <w:b/>
      <w:color w:val="000000" w:themeColor="text1"/>
      <w:sz w:val="20"/>
      <w:szCs w:val="26"/>
    </w:rPr>
  </w:style>
  <w:style w:type="character" w:customStyle="1" w:styleId="Ttulo3Car">
    <w:name w:val="Título 3 Car"/>
    <w:basedOn w:val="Fuentedeprrafopredeter"/>
    <w:link w:val="Ttulo3"/>
    <w:rsid w:val="00054E58"/>
    <w:rPr>
      <w:rFonts w:ascii="Cambria" w:eastAsiaTheme="majorEastAsia" w:hAnsi="Cambria" w:cstheme="majorBidi"/>
      <w:b/>
      <w:sz w:val="20"/>
      <w:szCs w:val="24"/>
    </w:rPr>
  </w:style>
  <w:style w:type="character" w:customStyle="1" w:styleId="Ttulo4Car">
    <w:name w:val="Título 4 Car"/>
    <w:basedOn w:val="Fuentedeprrafopredeter"/>
    <w:link w:val="Ttulo4"/>
    <w:uiPriority w:val="9"/>
    <w:rsid w:val="008F4BF4"/>
    <w:rPr>
      <w:rFonts w:ascii="Cambria" w:hAnsi="Cambria"/>
      <w:b/>
      <w:bCs/>
      <w:i/>
      <w:iCs/>
      <w:sz w:val="20"/>
    </w:rPr>
  </w:style>
  <w:style w:type="character" w:customStyle="1" w:styleId="Ttulo5Car">
    <w:name w:val="Título 5 Car"/>
    <w:basedOn w:val="Fuentedeprrafopredeter"/>
    <w:link w:val="Ttulo5"/>
    <w:uiPriority w:val="9"/>
    <w:rsid w:val="008C0922"/>
    <w:rPr>
      <w:rFonts w:ascii="Cambria" w:eastAsiaTheme="majorEastAsia" w:hAnsi="Cambria" w:cstheme="majorBidi"/>
      <w:b/>
      <w:bCs/>
      <w:i/>
      <w:sz w:val="20"/>
      <w:szCs w:val="20"/>
    </w:rPr>
  </w:style>
  <w:style w:type="character" w:customStyle="1" w:styleId="Ttulo6Car">
    <w:name w:val="Título 6 Car"/>
    <w:basedOn w:val="Fuentedeprrafopredeter"/>
    <w:link w:val="Ttulo6"/>
    <w:uiPriority w:val="9"/>
    <w:rsid w:val="00C077A0"/>
    <w:rPr>
      <w:rFonts w:asciiTheme="majorHAnsi" w:eastAsiaTheme="majorEastAsia" w:hAnsiTheme="majorHAnsi" w:cstheme="majorBidi"/>
      <w:color w:val="1F3763" w:themeColor="accent1" w:themeShade="7F"/>
      <w:sz w:val="20"/>
    </w:rPr>
  </w:style>
  <w:style w:type="character" w:customStyle="1" w:styleId="Ttulo7Car">
    <w:name w:val="Título 7 Car"/>
    <w:basedOn w:val="Fuentedeprrafopredeter"/>
    <w:link w:val="Ttulo7"/>
    <w:uiPriority w:val="9"/>
    <w:semiHidden/>
    <w:rsid w:val="00C077A0"/>
    <w:rPr>
      <w:rFonts w:asciiTheme="majorHAnsi" w:eastAsiaTheme="majorEastAsia" w:hAnsiTheme="majorHAnsi" w:cstheme="majorBidi"/>
      <w:i/>
      <w:iCs/>
      <w:color w:val="1F3763" w:themeColor="accent1" w:themeShade="7F"/>
      <w:sz w:val="20"/>
    </w:rPr>
  </w:style>
  <w:style w:type="character" w:customStyle="1" w:styleId="Ttulo8Car">
    <w:name w:val="Título 8 Car"/>
    <w:basedOn w:val="Fuentedeprrafopredeter"/>
    <w:link w:val="Ttulo8"/>
    <w:uiPriority w:val="9"/>
    <w:semiHidden/>
    <w:rsid w:val="00C077A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077A0"/>
    <w:rPr>
      <w:rFonts w:asciiTheme="majorHAnsi" w:eastAsiaTheme="majorEastAsia" w:hAnsiTheme="majorHAnsi" w:cstheme="majorBidi"/>
      <w:i/>
      <w:iCs/>
      <w:color w:val="272727" w:themeColor="text1" w:themeTint="D8"/>
      <w:sz w:val="21"/>
      <w:szCs w:val="21"/>
    </w:rPr>
  </w:style>
  <w:style w:type="numbering" w:customStyle="1" w:styleId="CurrentList1">
    <w:name w:val="Current List1"/>
    <w:uiPriority w:val="99"/>
    <w:rsid w:val="00C077A0"/>
    <w:pPr>
      <w:numPr>
        <w:numId w:val="4"/>
      </w:numPr>
    </w:pPr>
  </w:style>
  <w:style w:type="paragraph" w:customStyle="1" w:styleId="1">
    <w:name w:val="1"/>
    <w:basedOn w:val="Normal"/>
    <w:link w:val="Refdenotaalpie"/>
    <w:uiPriority w:val="99"/>
    <w:rsid w:val="00FB4A61"/>
    <w:pPr>
      <w:spacing w:line="240" w:lineRule="exact"/>
      <w:jc w:val="left"/>
    </w:pPr>
    <w:rPr>
      <w:rFonts w:asciiTheme="minorHAnsi" w:hAnsiTheme="minorHAnsi"/>
      <w:sz w:val="22"/>
      <w:vertAlign w:val="superscript"/>
    </w:rPr>
  </w:style>
  <w:style w:type="paragraph" w:styleId="NormalWeb">
    <w:name w:val="Normal (Web)"/>
    <w:basedOn w:val="Normal"/>
    <w:uiPriority w:val="99"/>
    <w:unhideWhenUsed/>
    <w:rsid w:val="00FB4A61"/>
    <w:pPr>
      <w:spacing w:before="100" w:beforeAutospacing="1" w:after="100" w:afterAutospacing="1"/>
      <w:jc w:val="left"/>
    </w:pPr>
    <w:rPr>
      <w:rFonts w:ascii="Times" w:hAnsi="Times" w:cs="Times New Roman"/>
      <w:szCs w:val="20"/>
      <w:lang w:val="en-US"/>
    </w:rPr>
  </w:style>
  <w:style w:type="numbering" w:customStyle="1" w:styleId="List19">
    <w:name w:val="List 19"/>
    <w:basedOn w:val="Sinlista"/>
    <w:rsid w:val="00EC3B85"/>
    <w:pPr>
      <w:numPr>
        <w:numId w:val="7"/>
      </w:numPr>
    </w:pPr>
  </w:style>
  <w:style w:type="numbering" w:customStyle="1" w:styleId="CurrentList2">
    <w:name w:val="Current List2"/>
    <w:uiPriority w:val="99"/>
    <w:rsid w:val="008C0922"/>
    <w:pPr>
      <w:numPr>
        <w:numId w:val="5"/>
      </w:numPr>
    </w:pPr>
  </w:style>
  <w:style w:type="paragraph" w:customStyle="1" w:styleId="footnote">
    <w:name w:val="footnote"/>
    <w:basedOn w:val="NormalWeb"/>
    <w:autoRedefine/>
    <w:rsid w:val="00EC3B85"/>
    <w:pPr>
      <w:spacing w:before="0" w:beforeAutospacing="0" w:after="40" w:afterAutospacing="0"/>
      <w:jc w:val="both"/>
    </w:pPr>
    <w:rPr>
      <w:rFonts w:ascii="Calibri" w:eastAsia="Times New Roman" w:hAnsi="Calibri" w:cs="Univers"/>
      <w:sz w:val="16"/>
      <w:szCs w:val="16"/>
      <w:lang w:val="es-MX" w:eastAsia="zh-CN"/>
    </w:rPr>
  </w:style>
  <w:style w:type="character" w:customStyle="1" w:styleId="PrrafodelistaCar">
    <w:name w:val="Párrafo de lista Car"/>
    <w:aliases w:val="Párrafo de lista1 Car,List Paragraph1 Car,List Paragraph11 Car,List Paragraph2 Car,Lista vistosa - Énfasis 11 Car,Colorful List - Accent 11 Car,Parrafos Car,Footnote Car,Medium Grid 1 - Accent 21 Car,Colorful List - Accent 12 Car"/>
    <w:link w:val="Prrafodelista"/>
    <w:uiPriority w:val="99"/>
    <w:locked/>
    <w:rsid w:val="006403E3"/>
    <w:rPr>
      <w:rFonts w:ascii="Cambria" w:hAnsi="Cambria"/>
      <w:sz w:val="20"/>
    </w:rPr>
  </w:style>
  <w:style w:type="paragraph" w:styleId="Sinespaciado">
    <w:name w:val="No Spacing"/>
    <w:aliases w:val="Informes"/>
    <w:link w:val="SinespaciadoCar"/>
    <w:uiPriority w:val="99"/>
    <w:qFormat/>
    <w:rsid w:val="006403E3"/>
    <w:pPr>
      <w:widowControl w:val="0"/>
      <w:spacing w:before="120" w:after="120" w:line="240" w:lineRule="auto"/>
      <w:ind w:firstLine="720"/>
      <w:jc w:val="both"/>
    </w:pPr>
    <w:rPr>
      <w:rFonts w:ascii="Cambria" w:eastAsia="Calibri" w:hAnsi="Cambria" w:cs="Times New Roman"/>
      <w:sz w:val="20"/>
      <w:lang w:val="en-US"/>
    </w:rPr>
  </w:style>
  <w:style w:type="numbering" w:customStyle="1" w:styleId="CurrentList3">
    <w:name w:val="Current List3"/>
    <w:uiPriority w:val="99"/>
    <w:rsid w:val="00463A45"/>
    <w:pPr>
      <w:numPr>
        <w:numId w:val="8"/>
      </w:numPr>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23749F"/>
    <w:pPr>
      <w:spacing w:after="0"/>
    </w:pPr>
    <w:rPr>
      <w:rFonts w:asciiTheme="minorHAnsi" w:hAnsiTheme="minorHAnsi" w:cs="Times New Roman"/>
      <w:sz w:val="22"/>
      <w:vertAlign w:val="superscript"/>
      <w:lang w:val="es-VE"/>
    </w:rPr>
  </w:style>
  <w:style w:type="paragraph" w:styleId="Textoindependiente">
    <w:name w:val="Body Text"/>
    <w:basedOn w:val="Normal"/>
    <w:link w:val="TextoindependienteCar"/>
    <w:uiPriority w:val="99"/>
    <w:rsid w:val="0023749F"/>
    <w:pPr>
      <w:spacing w:after="120"/>
      <w:jc w:val="left"/>
    </w:pPr>
    <w:rPr>
      <w:rFonts w:ascii="Times New Roman" w:eastAsia="Times New Roman" w:hAnsi="Times New Roman" w:cs="Times New Roman"/>
      <w:sz w:val="24"/>
      <w:szCs w:val="24"/>
      <w:lang w:val="es-419" w:eastAsia="es-ES"/>
    </w:rPr>
  </w:style>
  <w:style w:type="character" w:customStyle="1" w:styleId="TextoindependienteCar">
    <w:name w:val="Texto independiente Car"/>
    <w:basedOn w:val="Fuentedeprrafopredeter"/>
    <w:link w:val="Textoindependiente"/>
    <w:uiPriority w:val="99"/>
    <w:rsid w:val="0023749F"/>
    <w:rPr>
      <w:rFonts w:ascii="Times New Roman" w:eastAsia="Times New Roman" w:hAnsi="Times New Roman" w:cs="Times New Roman"/>
      <w:sz w:val="24"/>
      <w:szCs w:val="24"/>
      <w:lang w:val="es-419" w:eastAsia="es-ES"/>
    </w:rPr>
  </w:style>
  <w:style w:type="paragraph" w:styleId="Sangra2detindependiente">
    <w:name w:val="Body Text Indent 2"/>
    <w:basedOn w:val="Normal"/>
    <w:link w:val="Sangra2detindependienteCar"/>
    <w:uiPriority w:val="99"/>
    <w:unhideWhenUsed/>
    <w:rsid w:val="002A75A9"/>
    <w:pPr>
      <w:spacing w:after="120" w:line="480" w:lineRule="auto"/>
      <w:ind w:left="360"/>
      <w:jc w:val="left"/>
    </w:pPr>
    <w:rPr>
      <w:rFonts w:ascii="Times New Roman" w:eastAsia="Times New Roman" w:hAnsi="Times New Roman" w:cs="Times New Roman"/>
      <w:sz w:val="24"/>
      <w:szCs w:val="24"/>
      <w:lang w:val="es-US" w:eastAsia="es-ES_tradnl"/>
    </w:rPr>
  </w:style>
  <w:style w:type="character" w:customStyle="1" w:styleId="Sangra2detindependienteCar">
    <w:name w:val="Sangría 2 de t. independiente Car"/>
    <w:basedOn w:val="Fuentedeprrafopredeter"/>
    <w:link w:val="Sangra2detindependiente"/>
    <w:uiPriority w:val="99"/>
    <w:rsid w:val="002A75A9"/>
    <w:rPr>
      <w:rFonts w:ascii="Times New Roman" w:eastAsia="Times New Roman" w:hAnsi="Times New Roman" w:cs="Times New Roman"/>
      <w:sz w:val="24"/>
      <w:szCs w:val="24"/>
      <w:lang w:val="es-US" w:eastAsia="es-ES_tradnl"/>
    </w:rPr>
  </w:style>
  <w:style w:type="paragraph" w:styleId="Sangradetextonormal">
    <w:name w:val="Body Text Indent"/>
    <w:basedOn w:val="Normal"/>
    <w:link w:val="SangradetextonormalCar"/>
    <w:unhideWhenUsed/>
    <w:rsid w:val="002A75A9"/>
    <w:pPr>
      <w:spacing w:after="120"/>
      <w:ind w:left="360"/>
    </w:pPr>
  </w:style>
  <w:style w:type="character" w:customStyle="1" w:styleId="SangradetextonormalCar">
    <w:name w:val="Sangría de texto normal Car"/>
    <w:basedOn w:val="Fuentedeprrafopredeter"/>
    <w:link w:val="Sangradetextonormal"/>
    <w:rsid w:val="002A75A9"/>
    <w:rPr>
      <w:rFonts w:ascii="Cambria" w:hAnsi="Cambria"/>
      <w:sz w:val="20"/>
    </w:rPr>
  </w:style>
  <w:style w:type="paragraph" w:styleId="Textoindependienteprimerasangra2">
    <w:name w:val="Body Text First Indent 2"/>
    <w:basedOn w:val="Sangradetextonormal"/>
    <w:link w:val="Textoindependienteprimerasangra2Car"/>
    <w:uiPriority w:val="99"/>
    <w:rsid w:val="002A75A9"/>
    <w:pPr>
      <w:spacing w:after="0"/>
      <w:ind w:firstLine="360"/>
      <w:jc w:val="left"/>
    </w:pPr>
    <w:rPr>
      <w:rFonts w:ascii="Times New Roman" w:eastAsia="Times New Roman" w:hAnsi="Times New Roman" w:cs="Times New Roman"/>
      <w:sz w:val="24"/>
      <w:szCs w:val="24"/>
      <w:lang w:val="es-419" w:eastAsia="es-ES"/>
    </w:rPr>
  </w:style>
  <w:style w:type="character" w:customStyle="1" w:styleId="Textoindependienteprimerasangra2Car">
    <w:name w:val="Texto independiente primera sangría 2 Car"/>
    <w:basedOn w:val="SangradetextonormalCar"/>
    <w:link w:val="Textoindependienteprimerasangra2"/>
    <w:uiPriority w:val="99"/>
    <w:rsid w:val="002A75A9"/>
    <w:rPr>
      <w:rFonts w:ascii="Times New Roman" w:eastAsia="Times New Roman" w:hAnsi="Times New Roman" w:cs="Times New Roman"/>
      <w:sz w:val="24"/>
      <w:szCs w:val="24"/>
      <w:lang w:val="es-419" w:eastAsia="es-ES"/>
    </w:rPr>
  </w:style>
  <w:style w:type="character" w:styleId="Hipervnculovisitado">
    <w:name w:val="FollowedHyperlink"/>
    <w:basedOn w:val="Fuentedeprrafopredeter"/>
    <w:uiPriority w:val="99"/>
    <w:semiHidden/>
    <w:unhideWhenUsed/>
    <w:rsid w:val="00844BBC"/>
    <w:rPr>
      <w:color w:val="954F72" w:themeColor="followedHyperlink"/>
      <w:u w:val="single"/>
    </w:rPr>
  </w:style>
  <w:style w:type="paragraph" w:styleId="Textodeglobo">
    <w:name w:val="Balloon Text"/>
    <w:basedOn w:val="Normal"/>
    <w:link w:val="TextodegloboCar"/>
    <w:uiPriority w:val="99"/>
    <w:semiHidden/>
    <w:unhideWhenUsed/>
    <w:rsid w:val="00DE577F"/>
    <w:pPr>
      <w:spacing w:after="0"/>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E577F"/>
    <w:rPr>
      <w:rFonts w:ascii="Times New Roman" w:hAnsi="Times New Roman" w:cs="Times New Roman"/>
      <w:sz w:val="18"/>
      <w:szCs w:val="18"/>
    </w:rPr>
  </w:style>
  <w:style w:type="paragraph" w:styleId="Cita">
    <w:name w:val="Quote"/>
    <w:basedOn w:val="Normal"/>
    <w:next w:val="Normal"/>
    <w:link w:val="CitaCar"/>
    <w:uiPriority w:val="29"/>
    <w:qFormat/>
    <w:rsid w:val="00EC6BDD"/>
    <w:pPr>
      <w:spacing w:after="0"/>
      <w:ind w:left="708"/>
    </w:pPr>
    <w:rPr>
      <w:rFonts w:ascii="Arial" w:eastAsia="Times New Roman" w:hAnsi="Arial" w:cs="Arial"/>
      <w:i/>
      <w:iCs/>
      <w:sz w:val="22"/>
      <w:lang w:val="es-US" w:eastAsia="es-ES_tradnl"/>
    </w:rPr>
  </w:style>
  <w:style w:type="character" w:customStyle="1" w:styleId="CitaCar">
    <w:name w:val="Cita Car"/>
    <w:basedOn w:val="Fuentedeprrafopredeter"/>
    <w:link w:val="Cita"/>
    <w:uiPriority w:val="29"/>
    <w:rsid w:val="00EC6BDD"/>
    <w:rPr>
      <w:rFonts w:ascii="Arial" w:eastAsia="Times New Roman" w:hAnsi="Arial" w:cs="Arial"/>
      <w:i/>
      <w:iCs/>
      <w:lang w:val="es-US" w:eastAsia="es-ES_tradnl"/>
    </w:rPr>
  </w:style>
  <w:style w:type="paragraph" w:styleId="Textonotaalfinal">
    <w:name w:val="endnote text"/>
    <w:basedOn w:val="Normal"/>
    <w:link w:val="TextonotaalfinalCar"/>
    <w:unhideWhenUsed/>
    <w:rsid w:val="00032ACD"/>
    <w:pPr>
      <w:spacing w:after="0"/>
    </w:pPr>
    <w:rPr>
      <w:szCs w:val="20"/>
    </w:rPr>
  </w:style>
  <w:style w:type="character" w:customStyle="1" w:styleId="TextonotaalfinalCar">
    <w:name w:val="Texto nota al final Car"/>
    <w:basedOn w:val="Fuentedeprrafopredeter"/>
    <w:link w:val="Textonotaalfinal"/>
    <w:rsid w:val="00032ACD"/>
    <w:rPr>
      <w:rFonts w:ascii="Cambria" w:hAnsi="Cambria"/>
      <w:sz w:val="20"/>
      <w:szCs w:val="20"/>
    </w:rPr>
  </w:style>
  <w:style w:type="character" w:styleId="Refdenotaalfinal">
    <w:name w:val="endnote reference"/>
    <w:basedOn w:val="Fuentedeprrafopredeter"/>
    <w:uiPriority w:val="99"/>
    <w:semiHidden/>
    <w:unhideWhenUsed/>
    <w:rsid w:val="00032ACD"/>
    <w:rPr>
      <w:vertAlign w:val="superscript"/>
    </w:rPr>
  </w:style>
  <w:style w:type="paragraph" w:customStyle="1" w:styleId="Default">
    <w:name w:val="Default"/>
    <w:link w:val="DefaultChar"/>
    <w:rsid w:val="004925B4"/>
    <w:pPr>
      <w:autoSpaceDE w:val="0"/>
      <w:autoSpaceDN w:val="0"/>
      <w:adjustRightInd w:val="0"/>
      <w:spacing w:after="0" w:line="240" w:lineRule="auto"/>
    </w:pPr>
    <w:rPr>
      <w:rFonts w:ascii="Times New Roman" w:eastAsia="Cambria" w:hAnsi="Times New Roman" w:cs="Times New Roman"/>
      <w:color w:val="000000"/>
      <w:sz w:val="24"/>
      <w:szCs w:val="24"/>
      <w:lang w:val="es-VE"/>
    </w:rPr>
  </w:style>
  <w:style w:type="character" w:styleId="Textoennegrita">
    <w:name w:val="Strong"/>
    <w:uiPriority w:val="22"/>
    <w:qFormat/>
    <w:rsid w:val="00535C09"/>
    <w:rPr>
      <w:b/>
      <w:bCs/>
    </w:rPr>
  </w:style>
  <w:style w:type="character" w:customStyle="1" w:styleId="Cuadrculamedia1-nfasis2Car">
    <w:name w:val="Cuadrícula media 1 - Énfasis 2 Car"/>
    <w:link w:val="Cuadrculamedia1-nfasis2"/>
    <w:uiPriority w:val="99"/>
    <w:rsid w:val="00A16809"/>
    <w:rPr>
      <w:rFonts w:eastAsia="Times New Roman"/>
      <w:spacing w:val="0"/>
      <w:lang w:eastAsia="es-CR"/>
    </w:rPr>
  </w:style>
  <w:style w:type="table" w:styleId="Cuadrculamedia1-nfasis2">
    <w:name w:val="Medium Grid 1 Accent 2"/>
    <w:basedOn w:val="Tablanormal"/>
    <w:link w:val="Cuadrculamedia1-nfasis2Car"/>
    <w:uiPriority w:val="99"/>
    <w:semiHidden/>
    <w:unhideWhenUsed/>
    <w:rsid w:val="00A16809"/>
    <w:pPr>
      <w:spacing w:after="0" w:line="240" w:lineRule="auto"/>
    </w:pPr>
    <w:rPr>
      <w:rFonts w:eastAsia="Times New Roman"/>
      <w:lang w:eastAsia="es-CR"/>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numbering" w:customStyle="1" w:styleId="List43">
    <w:name w:val="List 43"/>
    <w:basedOn w:val="Sinlista"/>
    <w:rsid w:val="00AB417C"/>
    <w:pPr>
      <w:numPr>
        <w:numId w:val="10"/>
      </w:numPr>
    </w:pPr>
  </w:style>
  <w:style w:type="paragraph" w:styleId="Revisin">
    <w:name w:val="Revision"/>
    <w:hidden/>
    <w:uiPriority w:val="99"/>
    <w:semiHidden/>
    <w:rsid w:val="006930A1"/>
    <w:pPr>
      <w:spacing w:after="0" w:line="240" w:lineRule="auto"/>
    </w:pPr>
    <w:rPr>
      <w:rFonts w:ascii="Cambria" w:hAnsi="Cambria"/>
      <w:sz w:val="20"/>
    </w:rPr>
  </w:style>
  <w:style w:type="character" w:styleId="Nmerodepgina">
    <w:name w:val="page number"/>
    <w:basedOn w:val="Fuentedeprrafopredeter"/>
    <w:rsid w:val="004D55FB"/>
  </w:style>
  <w:style w:type="paragraph" w:styleId="TtuloTDC">
    <w:name w:val="TOC Heading"/>
    <w:basedOn w:val="Ttulo1"/>
    <w:next w:val="Normal"/>
    <w:uiPriority w:val="39"/>
    <w:unhideWhenUsed/>
    <w:qFormat/>
    <w:rsid w:val="000A7A43"/>
    <w:pPr>
      <w:numPr>
        <w:numId w:val="0"/>
      </w:numPr>
      <w:spacing w:before="240" w:line="259" w:lineRule="auto"/>
      <w:jc w:val="left"/>
      <w:outlineLvl w:val="9"/>
    </w:pPr>
    <w:rPr>
      <w:rFonts w:asciiTheme="majorHAnsi" w:hAnsiTheme="majorHAnsi" w:cstheme="majorBidi"/>
      <w:b w:val="0"/>
      <w:caps w:val="0"/>
      <w:color w:val="2F5496" w:themeColor="accent1" w:themeShade="BF"/>
      <w:sz w:val="32"/>
      <w:lang w:val="es-MX" w:eastAsia="es-MX"/>
    </w:rPr>
  </w:style>
  <w:style w:type="paragraph" w:styleId="TDC1">
    <w:name w:val="toc 1"/>
    <w:basedOn w:val="Normal"/>
    <w:next w:val="Normal"/>
    <w:autoRedefine/>
    <w:uiPriority w:val="39"/>
    <w:unhideWhenUsed/>
    <w:rsid w:val="00BE3BC4"/>
    <w:pPr>
      <w:tabs>
        <w:tab w:val="left" w:pos="720"/>
        <w:tab w:val="right" w:leader="dot" w:pos="9350"/>
      </w:tabs>
      <w:spacing w:after="100"/>
    </w:pPr>
    <w:rPr>
      <w:noProof/>
      <w:lang w:val="es-ES_tradnl"/>
    </w:rPr>
  </w:style>
  <w:style w:type="paragraph" w:styleId="TDC2">
    <w:name w:val="toc 2"/>
    <w:basedOn w:val="Normal"/>
    <w:next w:val="Normal"/>
    <w:autoRedefine/>
    <w:uiPriority w:val="39"/>
    <w:unhideWhenUsed/>
    <w:rsid w:val="000A7A43"/>
    <w:pPr>
      <w:spacing w:after="100"/>
      <w:ind w:left="200"/>
    </w:pPr>
  </w:style>
  <w:style w:type="paragraph" w:styleId="TDC3">
    <w:name w:val="toc 3"/>
    <w:basedOn w:val="Normal"/>
    <w:next w:val="Normal"/>
    <w:autoRedefine/>
    <w:uiPriority w:val="39"/>
    <w:unhideWhenUsed/>
    <w:rsid w:val="000A7A43"/>
    <w:pPr>
      <w:spacing w:after="100"/>
      <w:ind w:left="400"/>
    </w:p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9091E"/>
    <w:pPr>
      <w:spacing w:line="240" w:lineRule="exact"/>
      <w:jc w:val="left"/>
    </w:pPr>
    <w:rPr>
      <w:rFonts w:ascii="Times New Roman" w:eastAsia="Arial Unicode MS" w:hAnsi="Times New Roman" w:cs="Times New Roman"/>
      <w:szCs w:val="20"/>
      <w:bdr w:val="nil"/>
      <w:vertAlign w:val="superscript"/>
      <w:lang w:val="es-ES" w:eastAsia="es-ES"/>
    </w:rPr>
  </w:style>
  <w:style w:type="paragraph" w:customStyle="1" w:styleId="parrafos">
    <w:name w:val="parrafos"/>
    <w:basedOn w:val="Normal"/>
    <w:link w:val="parrafosChar"/>
    <w:qFormat/>
    <w:rsid w:val="00E9091E"/>
    <w:pPr>
      <w:tabs>
        <w:tab w:val="left" w:pos="360"/>
      </w:tabs>
      <w:spacing w:after="0"/>
      <w:ind w:left="360" w:hanging="360"/>
    </w:pPr>
    <w:rPr>
      <w:rFonts w:asciiTheme="majorHAnsi" w:eastAsia="Arial Unicode MS" w:hAnsiTheme="majorHAnsi" w:cs="Times New Roman"/>
      <w:color w:val="000000" w:themeColor="text1"/>
      <w:szCs w:val="20"/>
      <w:bdr w:val="nil"/>
      <w:lang w:val="es-VE"/>
    </w:rPr>
  </w:style>
  <w:style w:type="character" w:customStyle="1" w:styleId="parrafosChar">
    <w:name w:val="parrafos Char"/>
    <w:basedOn w:val="Fuentedeprrafopredeter"/>
    <w:link w:val="parrafos"/>
    <w:rsid w:val="00E9091E"/>
    <w:rPr>
      <w:rFonts w:asciiTheme="majorHAnsi" w:eastAsia="Arial Unicode MS" w:hAnsiTheme="majorHAnsi" w:cs="Times New Roman"/>
      <w:color w:val="000000" w:themeColor="text1"/>
      <w:sz w:val="20"/>
      <w:szCs w:val="20"/>
      <w:bdr w:val="nil"/>
      <w:lang w:val="es-VE"/>
    </w:rPr>
  </w:style>
  <w:style w:type="paragraph" w:customStyle="1" w:styleId="Cabeceraypie">
    <w:name w:val="Cabecera y pie"/>
    <w:rsid w:val="0017117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s-ES" w:eastAsia="es-ES"/>
    </w:rPr>
  </w:style>
  <w:style w:type="paragraph" w:customStyle="1" w:styleId="Cuerpo">
    <w:name w:val="Cuerpo"/>
    <w:rsid w:val="0017117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 w:eastAsia="es-ES"/>
    </w:rPr>
  </w:style>
  <w:style w:type="numbering" w:customStyle="1" w:styleId="List0">
    <w:name w:val="List 0"/>
    <w:basedOn w:val="Sinlista"/>
    <w:rsid w:val="00171179"/>
    <w:pPr>
      <w:numPr>
        <w:numId w:val="39"/>
      </w:numPr>
    </w:pPr>
  </w:style>
  <w:style w:type="numbering" w:customStyle="1" w:styleId="List1">
    <w:name w:val="List 1"/>
    <w:basedOn w:val="Sinlista"/>
    <w:rsid w:val="00171179"/>
    <w:pPr>
      <w:numPr>
        <w:numId w:val="12"/>
      </w:numPr>
    </w:pPr>
  </w:style>
  <w:style w:type="numbering" w:customStyle="1" w:styleId="List21">
    <w:name w:val="List 21"/>
    <w:basedOn w:val="Sinlista"/>
    <w:rsid w:val="00171179"/>
    <w:pPr>
      <w:numPr>
        <w:numId w:val="60"/>
      </w:numPr>
    </w:pPr>
  </w:style>
  <w:style w:type="numbering" w:customStyle="1" w:styleId="List31">
    <w:name w:val="List 31"/>
    <w:basedOn w:val="Sinlista"/>
    <w:rsid w:val="00171179"/>
    <w:pPr>
      <w:numPr>
        <w:numId w:val="59"/>
      </w:numPr>
    </w:pPr>
  </w:style>
  <w:style w:type="numbering" w:customStyle="1" w:styleId="List41">
    <w:name w:val="List 41"/>
    <w:basedOn w:val="Sinlista"/>
    <w:rsid w:val="00171179"/>
    <w:pPr>
      <w:numPr>
        <w:numId w:val="13"/>
      </w:numPr>
    </w:pPr>
  </w:style>
  <w:style w:type="numbering" w:customStyle="1" w:styleId="List51">
    <w:name w:val="List 51"/>
    <w:basedOn w:val="Sinlista"/>
    <w:rsid w:val="00171179"/>
    <w:pPr>
      <w:numPr>
        <w:numId w:val="61"/>
      </w:numPr>
    </w:pPr>
  </w:style>
  <w:style w:type="numbering" w:customStyle="1" w:styleId="List6">
    <w:name w:val="List 6"/>
    <w:basedOn w:val="Sinlista"/>
    <w:rsid w:val="00171179"/>
    <w:pPr>
      <w:numPr>
        <w:numId w:val="14"/>
      </w:numPr>
    </w:pPr>
  </w:style>
  <w:style w:type="numbering" w:customStyle="1" w:styleId="List7">
    <w:name w:val="List 7"/>
    <w:basedOn w:val="Sinlista"/>
    <w:rsid w:val="00171179"/>
    <w:pPr>
      <w:numPr>
        <w:numId w:val="15"/>
      </w:numPr>
    </w:pPr>
  </w:style>
  <w:style w:type="numbering" w:customStyle="1" w:styleId="List8">
    <w:name w:val="List 8"/>
    <w:basedOn w:val="Sinlista"/>
    <w:rsid w:val="00171179"/>
    <w:pPr>
      <w:numPr>
        <w:numId w:val="16"/>
      </w:numPr>
    </w:pPr>
  </w:style>
  <w:style w:type="numbering" w:customStyle="1" w:styleId="List9">
    <w:name w:val="List 9"/>
    <w:basedOn w:val="Sinlista"/>
    <w:rsid w:val="00171179"/>
    <w:pPr>
      <w:numPr>
        <w:numId w:val="31"/>
      </w:numPr>
    </w:pPr>
  </w:style>
  <w:style w:type="numbering" w:customStyle="1" w:styleId="List10">
    <w:name w:val="List 10"/>
    <w:basedOn w:val="Sinlista"/>
    <w:rsid w:val="00171179"/>
    <w:pPr>
      <w:numPr>
        <w:numId w:val="17"/>
      </w:numPr>
    </w:pPr>
  </w:style>
  <w:style w:type="numbering" w:customStyle="1" w:styleId="List11">
    <w:name w:val="List 11"/>
    <w:basedOn w:val="Sinlista"/>
    <w:rsid w:val="00171179"/>
    <w:pPr>
      <w:numPr>
        <w:numId w:val="18"/>
      </w:numPr>
    </w:pPr>
  </w:style>
  <w:style w:type="numbering" w:customStyle="1" w:styleId="List12">
    <w:name w:val="List 12"/>
    <w:basedOn w:val="Sinlista"/>
    <w:rsid w:val="00171179"/>
    <w:pPr>
      <w:numPr>
        <w:numId w:val="44"/>
      </w:numPr>
    </w:pPr>
  </w:style>
  <w:style w:type="numbering" w:customStyle="1" w:styleId="List13">
    <w:name w:val="List 13"/>
    <w:basedOn w:val="Sinlista"/>
    <w:rsid w:val="00171179"/>
    <w:pPr>
      <w:numPr>
        <w:numId w:val="50"/>
      </w:numPr>
    </w:pPr>
  </w:style>
  <w:style w:type="numbering" w:customStyle="1" w:styleId="List14">
    <w:name w:val="List 14"/>
    <w:basedOn w:val="Sinlista"/>
    <w:rsid w:val="00171179"/>
    <w:pPr>
      <w:numPr>
        <w:numId w:val="27"/>
      </w:numPr>
    </w:pPr>
  </w:style>
  <w:style w:type="numbering" w:customStyle="1" w:styleId="List15">
    <w:name w:val="List 15"/>
    <w:basedOn w:val="Sinlista"/>
    <w:rsid w:val="00171179"/>
    <w:pPr>
      <w:numPr>
        <w:numId w:val="26"/>
      </w:numPr>
    </w:pPr>
  </w:style>
  <w:style w:type="numbering" w:customStyle="1" w:styleId="List16">
    <w:name w:val="List 16"/>
    <w:basedOn w:val="Sinlista"/>
    <w:rsid w:val="00171179"/>
    <w:pPr>
      <w:numPr>
        <w:numId w:val="20"/>
      </w:numPr>
    </w:pPr>
  </w:style>
  <w:style w:type="numbering" w:customStyle="1" w:styleId="List17">
    <w:name w:val="List 17"/>
    <w:basedOn w:val="Sinlista"/>
    <w:rsid w:val="00171179"/>
    <w:pPr>
      <w:numPr>
        <w:numId w:val="33"/>
      </w:numPr>
    </w:pPr>
  </w:style>
  <w:style w:type="numbering" w:customStyle="1" w:styleId="List18">
    <w:name w:val="List 18"/>
    <w:basedOn w:val="Sinlista"/>
    <w:rsid w:val="00171179"/>
    <w:pPr>
      <w:numPr>
        <w:numId w:val="35"/>
      </w:numPr>
    </w:pPr>
  </w:style>
  <w:style w:type="numbering" w:customStyle="1" w:styleId="List20">
    <w:name w:val="List 20"/>
    <w:basedOn w:val="Sinlista"/>
    <w:rsid w:val="00171179"/>
    <w:pPr>
      <w:numPr>
        <w:numId w:val="51"/>
      </w:numPr>
    </w:pPr>
  </w:style>
  <w:style w:type="numbering" w:customStyle="1" w:styleId="List211">
    <w:name w:val="List 211"/>
    <w:basedOn w:val="Sinlista"/>
    <w:rsid w:val="00171179"/>
    <w:pPr>
      <w:numPr>
        <w:numId w:val="46"/>
      </w:numPr>
    </w:pPr>
  </w:style>
  <w:style w:type="numbering" w:customStyle="1" w:styleId="List22">
    <w:name w:val="List 22"/>
    <w:basedOn w:val="Sinlista"/>
    <w:rsid w:val="00171179"/>
    <w:pPr>
      <w:numPr>
        <w:numId w:val="36"/>
      </w:numPr>
    </w:pPr>
  </w:style>
  <w:style w:type="numbering" w:customStyle="1" w:styleId="List23">
    <w:name w:val="List 23"/>
    <w:basedOn w:val="Sinlista"/>
    <w:rsid w:val="00171179"/>
    <w:pPr>
      <w:numPr>
        <w:numId w:val="28"/>
      </w:numPr>
    </w:pPr>
  </w:style>
  <w:style w:type="numbering" w:customStyle="1" w:styleId="List24">
    <w:name w:val="List 24"/>
    <w:basedOn w:val="Sinlista"/>
    <w:rsid w:val="00171179"/>
    <w:pPr>
      <w:numPr>
        <w:numId w:val="23"/>
      </w:numPr>
    </w:pPr>
  </w:style>
  <w:style w:type="numbering" w:customStyle="1" w:styleId="List25">
    <w:name w:val="List 25"/>
    <w:basedOn w:val="Sinlista"/>
    <w:rsid w:val="00171179"/>
    <w:pPr>
      <w:numPr>
        <w:numId w:val="25"/>
      </w:numPr>
    </w:pPr>
  </w:style>
  <w:style w:type="numbering" w:customStyle="1" w:styleId="List26">
    <w:name w:val="List 26"/>
    <w:basedOn w:val="Sinlista"/>
    <w:rsid w:val="00171179"/>
    <w:pPr>
      <w:numPr>
        <w:numId w:val="57"/>
      </w:numPr>
    </w:pPr>
  </w:style>
  <w:style w:type="numbering" w:customStyle="1" w:styleId="List27">
    <w:name w:val="List 27"/>
    <w:basedOn w:val="Sinlista"/>
    <w:rsid w:val="00171179"/>
    <w:pPr>
      <w:numPr>
        <w:numId w:val="49"/>
      </w:numPr>
    </w:pPr>
  </w:style>
  <w:style w:type="numbering" w:customStyle="1" w:styleId="List28">
    <w:name w:val="List 28"/>
    <w:basedOn w:val="Sinlista"/>
    <w:rsid w:val="00171179"/>
    <w:pPr>
      <w:numPr>
        <w:numId w:val="38"/>
      </w:numPr>
    </w:pPr>
  </w:style>
  <w:style w:type="numbering" w:customStyle="1" w:styleId="List29">
    <w:name w:val="List 29"/>
    <w:basedOn w:val="Sinlista"/>
    <w:rsid w:val="00171179"/>
    <w:pPr>
      <w:numPr>
        <w:numId w:val="42"/>
      </w:numPr>
    </w:pPr>
  </w:style>
  <w:style w:type="numbering" w:customStyle="1" w:styleId="List30">
    <w:name w:val="List 30"/>
    <w:basedOn w:val="Sinlista"/>
    <w:rsid w:val="00171179"/>
    <w:pPr>
      <w:numPr>
        <w:numId w:val="40"/>
      </w:numPr>
    </w:pPr>
  </w:style>
  <w:style w:type="numbering" w:customStyle="1" w:styleId="List311">
    <w:name w:val="List 311"/>
    <w:basedOn w:val="Sinlista"/>
    <w:rsid w:val="00171179"/>
    <w:pPr>
      <w:numPr>
        <w:numId w:val="53"/>
      </w:numPr>
    </w:pPr>
  </w:style>
  <w:style w:type="numbering" w:customStyle="1" w:styleId="List32">
    <w:name w:val="List 32"/>
    <w:basedOn w:val="Sinlista"/>
    <w:rsid w:val="00171179"/>
    <w:pPr>
      <w:numPr>
        <w:numId w:val="56"/>
      </w:numPr>
    </w:pPr>
  </w:style>
  <w:style w:type="numbering" w:customStyle="1" w:styleId="List33">
    <w:name w:val="List 33"/>
    <w:basedOn w:val="Sinlista"/>
    <w:rsid w:val="00171179"/>
    <w:pPr>
      <w:numPr>
        <w:numId w:val="34"/>
      </w:numPr>
    </w:pPr>
  </w:style>
  <w:style w:type="numbering" w:customStyle="1" w:styleId="List34">
    <w:name w:val="List 34"/>
    <w:basedOn w:val="Sinlista"/>
    <w:rsid w:val="00171179"/>
    <w:pPr>
      <w:numPr>
        <w:numId w:val="21"/>
      </w:numPr>
    </w:pPr>
  </w:style>
  <w:style w:type="numbering" w:customStyle="1" w:styleId="List36">
    <w:name w:val="List 36"/>
    <w:basedOn w:val="Sinlista"/>
    <w:rsid w:val="00171179"/>
    <w:pPr>
      <w:numPr>
        <w:numId w:val="24"/>
      </w:numPr>
    </w:pPr>
  </w:style>
  <w:style w:type="numbering" w:customStyle="1" w:styleId="List37">
    <w:name w:val="List 37"/>
    <w:basedOn w:val="Sinlista"/>
    <w:rsid w:val="00171179"/>
    <w:pPr>
      <w:numPr>
        <w:numId w:val="55"/>
      </w:numPr>
    </w:pPr>
  </w:style>
  <w:style w:type="numbering" w:customStyle="1" w:styleId="List38">
    <w:name w:val="List 38"/>
    <w:basedOn w:val="Sinlista"/>
    <w:rsid w:val="00171179"/>
    <w:pPr>
      <w:numPr>
        <w:numId w:val="43"/>
      </w:numPr>
    </w:pPr>
  </w:style>
  <w:style w:type="numbering" w:customStyle="1" w:styleId="List39">
    <w:name w:val="List 39"/>
    <w:basedOn w:val="Sinlista"/>
    <w:rsid w:val="00171179"/>
    <w:pPr>
      <w:numPr>
        <w:numId w:val="54"/>
      </w:numPr>
    </w:pPr>
  </w:style>
  <w:style w:type="numbering" w:customStyle="1" w:styleId="List40">
    <w:name w:val="List 40"/>
    <w:basedOn w:val="Sinlista"/>
    <w:rsid w:val="00171179"/>
    <w:pPr>
      <w:numPr>
        <w:numId w:val="30"/>
      </w:numPr>
    </w:pPr>
  </w:style>
  <w:style w:type="numbering" w:customStyle="1" w:styleId="List411">
    <w:name w:val="List 411"/>
    <w:basedOn w:val="Sinlista"/>
    <w:rsid w:val="00171179"/>
    <w:pPr>
      <w:numPr>
        <w:numId w:val="52"/>
      </w:numPr>
    </w:pPr>
  </w:style>
  <w:style w:type="numbering" w:customStyle="1" w:styleId="List42">
    <w:name w:val="List 42"/>
    <w:basedOn w:val="Sinlista"/>
    <w:rsid w:val="00171179"/>
    <w:pPr>
      <w:numPr>
        <w:numId w:val="22"/>
      </w:numPr>
    </w:pPr>
  </w:style>
  <w:style w:type="numbering" w:customStyle="1" w:styleId="List44">
    <w:name w:val="List 44"/>
    <w:basedOn w:val="Sinlista"/>
    <w:rsid w:val="00171179"/>
    <w:pPr>
      <w:numPr>
        <w:numId w:val="48"/>
      </w:numPr>
    </w:pPr>
  </w:style>
  <w:style w:type="numbering" w:customStyle="1" w:styleId="List45">
    <w:name w:val="List 45"/>
    <w:basedOn w:val="Sinlista"/>
    <w:rsid w:val="00171179"/>
    <w:pPr>
      <w:numPr>
        <w:numId w:val="29"/>
      </w:numPr>
    </w:pPr>
  </w:style>
  <w:style w:type="numbering" w:customStyle="1" w:styleId="List46">
    <w:name w:val="List 46"/>
    <w:basedOn w:val="Sinlista"/>
    <w:rsid w:val="00171179"/>
    <w:pPr>
      <w:numPr>
        <w:numId w:val="32"/>
      </w:numPr>
    </w:pPr>
  </w:style>
  <w:style w:type="numbering" w:customStyle="1" w:styleId="List47">
    <w:name w:val="List 47"/>
    <w:basedOn w:val="Sinlista"/>
    <w:rsid w:val="00171179"/>
    <w:pPr>
      <w:numPr>
        <w:numId w:val="37"/>
      </w:numPr>
    </w:pPr>
  </w:style>
  <w:style w:type="numbering" w:customStyle="1" w:styleId="List48">
    <w:name w:val="List 48"/>
    <w:basedOn w:val="Sinlista"/>
    <w:rsid w:val="00171179"/>
    <w:pPr>
      <w:numPr>
        <w:numId w:val="58"/>
      </w:numPr>
    </w:pPr>
  </w:style>
  <w:style w:type="numbering" w:customStyle="1" w:styleId="List49">
    <w:name w:val="List 49"/>
    <w:basedOn w:val="Sinlista"/>
    <w:rsid w:val="00171179"/>
    <w:pPr>
      <w:numPr>
        <w:numId w:val="47"/>
      </w:numPr>
    </w:pPr>
  </w:style>
  <w:style w:type="numbering" w:customStyle="1" w:styleId="List50">
    <w:name w:val="List 50"/>
    <w:basedOn w:val="Sinlista"/>
    <w:rsid w:val="00171179"/>
    <w:pPr>
      <w:numPr>
        <w:numId w:val="45"/>
      </w:numPr>
    </w:pPr>
  </w:style>
  <w:style w:type="numbering" w:customStyle="1" w:styleId="List511">
    <w:name w:val="List 511"/>
    <w:basedOn w:val="Sinlista"/>
    <w:rsid w:val="00171179"/>
    <w:pPr>
      <w:numPr>
        <w:numId w:val="41"/>
      </w:numPr>
    </w:pPr>
  </w:style>
  <w:style w:type="numbering" w:customStyle="1" w:styleId="List52">
    <w:name w:val="List 52"/>
    <w:basedOn w:val="Sinlista"/>
    <w:rsid w:val="00171179"/>
    <w:pPr>
      <w:numPr>
        <w:numId w:val="19"/>
      </w:numPr>
    </w:pPr>
  </w:style>
  <w:style w:type="table" w:styleId="Sombreadomedio1-nfasis1">
    <w:name w:val="Medium Shading 1 Accent 1"/>
    <w:basedOn w:val="Tablanormal"/>
    <w:uiPriority w:val="63"/>
    <w:rsid w:val="0017117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TDC4">
    <w:name w:val="toc 4"/>
    <w:basedOn w:val="Normal"/>
    <w:next w:val="Normal"/>
    <w:autoRedefine/>
    <w:uiPriority w:val="39"/>
    <w:unhideWhenUsed/>
    <w:rsid w:val="00171179"/>
    <w:pPr>
      <w:pBdr>
        <w:top w:val="nil"/>
        <w:left w:val="nil"/>
        <w:bottom w:val="nil"/>
        <w:right w:val="nil"/>
        <w:between w:val="nil"/>
        <w:bar w:val="nil"/>
      </w:pBdr>
      <w:spacing w:after="100"/>
      <w:ind w:left="720"/>
      <w:jc w:val="left"/>
    </w:pPr>
    <w:rPr>
      <w:rFonts w:ascii="Times New Roman" w:eastAsia="Arial Unicode MS" w:hAnsi="Times New Roman" w:cs="Times New Roman"/>
      <w:sz w:val="24"/>
      <w:szCs w:val="24"/>
      <w:bdr w:val="nil"/>
      <w:lang w:val="es-ES"/>
    </w:rPr>
  </w:style>
  <w:style w:type="character" w:customStyle="1" w:styleId="DefaultChar">
    <w:name w:val="Default Char"/>
    <w:link w:val="Default"/>
    <w:rsid w:val="00171179"/>
    <w:rPr>
      <w:rFonts w:ascii="Times New Roman" w:eastAsia="Cambria" w:hAnsi="Times New Roman" w:cs="Times New Roman"/>
      <w:color w:val="000000"/>
      <w:sz w:val="24"/>
      <w:szCs w:val="24"/>
      <w:lang w:val="es-VE"/>
    </w:rPr>
  </w:style>
  <w:style w:type="character" w:customStyle="1" w:styleId="apple-converted-space">
    <w:name w:val="apple-converted-space"/>
    <w:basedOn w:val="Fuentedeprrafopredeter"/>
    <w:rsid w:val="00171179"/>
  </w:style>
  <w:style w:type="character" w:styleId="Textodelmarcadordeposicin">
    <w:name w:val="Placeholder Text"/>
    <w:basedOn w:val="Fuentedeprrafopredeter"/>
    <w:uiPriority w:val="99"/>
    <w:semiHidden/>
    <w:rsid w:val="00171179"/>
    <w:rPr>
      <w:color w:val="808080"/>
    </w:rPr>
  </w:style>
  <w:style w:type="character" w:customStyle="1" w:styleId="Style1">
    <w:name w:val="Style1"/>
    <w:basedOn w:val="Fuentedeprrafopredeter"/>
    <w:uiPriority w:val="1"/>
    <w:rsid w:val="00171179"/>
    <w:rPr>
      <w:rFonts w:ascii="Cambria" w:hAnsi="Cambria"/>
      <w:b w:val="0"/>
      <w:i w:val="0"/>
      <w:caps/>
      <w:smallCaps w:val="0"/>
      <w:sz w:val="18"/>
    </w:rPr>
  </w:style>
  <w:style w:type="table" w:styleId="Tablaconcuadrcula">
    <w:name w:val="Table Grid"/>
    <w:basedOn w:val="Tablanormal"/>
    <w:uiPriority w:val="59"/>
    <w:rsid w:val="00171179"/>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1">
    <w:name w:val="f1"/>
    <w:basedOn w:val="Normal"/>
    <w:uiPriority w:val="99"/>
    <w:rsid w:val="00171179"/>
    <w:pPr>
      <w:spacing w:before="200" w:line="240" w:lineRule="exact"/>
      <w:jc w:val="left"/>
    </w:pPr>
    <w:rPr>
      <w:rFonts w:ascii="Times New Roman" w:eastAsia="Arial Unicode MS" w:hAnsi="Times New Roman" w:cs="Times New Roman"/>
      <w:szCs w:val="20"/>
      <w:bdr w:val="nil"/>
      <w:vertAlign w:val="superscript"/>
      <w:lang w:val="es-ES" w:eastAsia="es-ES"/>
    </w:rPr>
  </w:style>
  <w:style w:type="paragraph" w:customStyle="1" w:styleId="Footnotes">
    <w:name w:val="Footnotes"/>
    <w:basedOn w:val="Textonotapie"/>
    <w:qFormat/>
    <w:rsid w:val="00171179"/>
    <w:pPr>
      <w:spacing w:after="120"/>
      <w:ind w:firstLine="720"/>
    </w:pPr>
    <w:rPr>
      <w:rFonts w:eastAsia="Times New Roman"/>
      <w:sz w:val="18"/>
      <w:szCs w:val="18"/>
      <w:u w:color="000000"/>
    </w:rPr>
  </w:style>
  <w:style w:type="character" w:customStyle="1" w:styleId="UnresolvedMention1">
    <w:name w:val="Unresolved Mention1"/>
    <w:basedOn w:val="Fuentedeprrafopredeter"/>
    <w:uiPriority w:val="99"/>
    <w:semiHidden/>
    <w:unhideWhenUsed/>
    <w:rsid w:val="00171179"/>
    <w:rPr>
      <w:color w:val="605E5C"/>
      <w:shd w:val="clear" w:color="auto" w:fill="E1DFDD"/>
    </w:rPr>
  </w:style>
  <w:style w:type="character" w:customStyle="1" w:styleId="EnlacedeInternet">
    <w:name w:val="Enlace de Internet"/>
    <w:uiPriority w:val="99"/>
    <w:unhideWhenUsed/>
    <w:rsid w:val="00171179"/>
    <w:rPr>
      <w:color w:val="0000FF"/>
      <w:u w:val="single"/>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autoRedefine/>
    <w:rsid w:val="00171179"/>
    <w:pPr>
      <w:tabs>
        <w:tab w:val="num" w:pos="360"/>
      </w:tabs>
      <w:spacing w:before="200" w:line="240" w:lineRule="exact"/>
      <w:ind w:left="544" w:hanging="544"/>
    </w:pPr>
    <w:rPr>
      <w:rFonts w:asciiTheme="minorHAnsi" w:eastAsia="Times New Roman" w:hAnsiTheme="minorHAnsi" w:cs="Times New Roman"/>
      <w:sz w:val="22"/>
      <w:vertAlign w:val="superscript"/>
      <w:lang w:val="en-US"/>
    </w:rPr>
  </w:style>
  <w:style w:type="character" w:customStyle="1" w:styleId="Internetlink">
    <w:name w:val="Internet link"/>
    <w:rsid w:val="00171179"/>
    <w:rPr>
      <w:color w:val="0000FF"/>
      <w:u w:val="single"/>
    </w:rPr>
  </w:style>
  <w:style w:type="character" w:customStyle="1" w:styleId="SinespaciadoCar">
    <w:name w:val="Sin espaciado Car"/>
    <w:aliases w:val="Informes Car"/>
    <w:link w:val="Sinespaciado"/>
    <w:uiPriority w:val="99"/>
    <w:qFormat/>
    <w:locked/>
    <w:rsid w:val="00171179"/>
    <w:rPr>
      <w:rFonts w:ascii="Cambria" w:eastAsia="Calibri" w:hAnsi="Cambria" w:cs="Times New Roman"/>
      <w:sz w:val="20"/>
      <w:lang w:val="en-US"/>
    </w:rPr>
  </w:style>
  <w:style w:type="character" w:customStyle="1" w:styleId="Hyperlink1">
    <w:name w:val="Hyperlink.1"/>
    <w:basedOn w:val="Fuentedeprrafopredeter"/>
    <w:rsid w:val="00171179"/>
    <w:rPr>
      <w:rFonts w:ascii="Cambria" w:eastAsia="Cambria" w:hAnsi="Cambria" w:cs="Cambria"/>
      <w:outline w:val="0"/>
      <w:color w:val="0000FF"/>
      <w:sz w:val="16"/>
      <w:szCs w:val="16"/>
      <w:u w:val="single" w:color="0000FF"/>
      <w:lang w:val="es-ES_tradnl"/>
    </w:rPr>
  </w:style>
  <w:style w:type="character" w:customStyle="1" w:styleId="None">
    <w:name w:val="None"/>
    <w:rsid w:val="00171179"/>
  </w:style>
  <w:style w:type="paragraph" w:customStyle="1" w:styleId="Body">
    <w:name w:val="Body"/>
    <w:rsid w:val="0017117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numbering" w:customStyle="1" w:styleId="ImportedStyle2">
    <w:name w:val="Imported Style 2"/>
    <w:rsid w:val="00171179"/>
    <w:pPr>
      <w:numPr>
        <w:numId w:val="64"/>
      </w:numPr>
    </w:pPr>
  </w:style>
  <w:style w:type="character" w:customStyle="1" w:styleId="Hyperlink10">
    <w:name w:val="Hyperlink.10"/>
    <w:basedOn w:val="None"/>
    <w:rsid w:val="00171179"/>
    <w:rPr>
      <w:rFonts w:ascii="Cambria" w:eastAsia="Cambria" w:hAnsi="Cambria" w:cs="Cambria"/>
      <w:i/>
      <w:iCs/>
      <w:outline w:val="0"/>
      <w:color w:val="0000FF"/>
      <w:sz w:val="16"/>
      <w:szCs w:val="16"/>
      <w:u w:val="single" w:color="0000FF"/>
      <w:shd w:val="clear" w:color="auto" w:fill="00FF00"/>
      <w:lang w:val="es-ES_tradnl"/>
    </w:rPr>
  </w:style>
  <w:style w:type="character" w:styleId="MquinadeescribirHTML">
    <w:name w:val="HTML Typewriter"/>
    <w:basedOn w:val="Fuentedeprrafopredeter"/>
    <w:rsid w:val="00171179"/>
    <w:rPr>
      <w:rFonts w:ascii="Courier New" w:eastAsia="Times New Roman" w:hAnsi="Courier New" w:cs="Courier New"/>
      <w:sz w:val="20"/>
      <w:szCs w:val="20"/>
    </w:rPr>
  </w:style>
  <w:style w:type="paragraph" w:customStyle="1" w:styleId="Style2">
    <w:name w:val="Style2"/>
    <w:basedOn w:val="Normal"/>
    <w:qFormat/>
    <w:rsid w:val="00171179"/>
    <w:pPr>
      <w:numPr>
        <w:numId w:val="69"/>
      </w:numPr>
      <w:spacing w:after="0"/>
    </w:pPr>
    <w:rPr>
      <w:rFonts w:eastAsia="Arial Unicode MS" w:cs="Times New Roman"/>
      <w:szCs w:val="20"/>
      <w:bdr w:val="ni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45635">
      <w:bodyDiv w:val="1"/>
      <w:marLeft w:val="0"/>
      <w:marRight w:val="0"/>
      <w:marTop w:val="0"/>
      <w:marBottom w:val="0"/>
      <w:divBdr>
        <w:top w:val="none" w:sz="0" w:space="0" w:color="auto"/>
        <w:left w:val="none" w:sz="0" w:space="0" w:color="auto"/>
        <w:bottom w:val="none" w:sz="0" w:space="0" w:color="auto"/>
        <w:right w:val="none" w:sz="0" w:space="0" w:color="auto"/>
      </w:divBdr>
      <w:divsChild>
        <w:div w:id="297802307">
          <w:marLeft w:val="0"/>
          <w:marRight w:val="0"/>
          <w:marTop w:val="0"/>
          <w:marBottom w:val="0"/>
          <w:divBdr>
            <w:top w:val="none" w:sz="0" w:space="0" w:color="auto"/>
            <w:left w:val="none" w:sz="0" w:space="0" w:color="auto"/>
            <w:bottom w:val="none" w:sz="0" w:space="0" w:color="auto"/>
            <w:right w:val="none" w:sz="0" w:space="0" w:color="auto"/>
          </w:divBdr>
          <w:divsChild>
            <w:div w:id="529298874">
              <w:marLeft w:val="0"/>
              <w:marRight w:val="0"/>
              <w:marTop w:val="0"/>
              <w:marBottom w:val="0"/>
              <w:divBdr>
                <w:top w:val="none" w:sz="0" w:space="0" w:color="auto"/>
                <w:left w:val="none" w:sz="0" w:space="0" w:color="auto"/>
                <w:bottom w:val="none" w:sz="0" w:space="0" w:color="auto"/>
                <w:right w:val="none" w:sz="0" w:space="0" w:color="auto"/>
              </w:divBdr>
              <w:divsChild>
                <w:div w:id="4766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70474">
      <w:bodyDiv w:val="1"/>
      <w:marLeft w:val="0"/>
      <w:marRight w:val="0"/>
      <w:marTop w:val="0"/>
      <w:marBottom w:val="0"/>
      <w:divBdr>
        <w:top w:val="none" w:sz="0" w:space="0" w:color="auto"/>
        <w:left w:val="none" w:sz="0" w:space="0" w:color="auto"/>
        <w:bottom w:val="none" w:sz="0" w:space="0" w:color="auto"/>
        <w:right w:val="none" w:sz="0" w:space="0" w:color="auto"/>
      </w:divBdr>
    </w:div>
    <w:div w:id="428088008">
      <w:bodyDiv w:val="1"/>
      <w:marLeft w:val="0"/>
      <w:marRight w:val="0"/>
      <w:marTop w:val="0"/>
      <w:marBottom w:val="0"/>
      <w:divBdr>
        <w:top w:val="none" w:sz="0" w:space="0" w:color="auto"/>
        <w:left w:val="none" w:sz="0" w:space="0" w:color="auto"/>
        <w:bottom w:val="none" w:sz="0" w:space="0" w:color="auto"/>
        <w:right w:val="none" w:sz="0" w:space="0" w:color="auto"/>
      </w:divBdr>
    </w:div>
    <w:div w:id="567957445">
      <w:bodyDiv w:val="1"/>
      <w:marLeft w:val="0"/>
      <w:marRight w:val="0"/>
      <w:marTop w:val="0"/>
      <w:marBottom w:val="0"/>
      <w:divBdr>
        <w:top w:val="none" w:sz="0" w:space="0" w:color="auto"/>
        <w:left w:val="none" w:sz="0" w:space="0" w:color="auto"/>
        <w:bottom w:val="none" w:sz="0" w:space="0" w:color="auto"/>
        <w:right w:val="none" w:sz="0" w:space="0" w:color="auto"/>
      </w:divBdr>
      <w:divsChild>
        <w:div w:id="995035461">
          <w:marLeft w:val="0"/>
          <w:marRight w:val="0"/>
          <w:marTop w:val="0"/>
          <w:marBottom w:val="0"/>
          <w:divBdr>
            <w:top w:val="none" w:sz="0" w:space="0" w:color="auto"/>
            <w:left w:val="none" w:sz="0" w:space="0" w:color="auto"/>
            <w:bottom w:val="none" w:sz="0" w:space="0" w:color="auto"/>
            <w:right w:val="none" w:sz="0" w:space="0" w:color="auto"/>
          </w:divBdr>
          <w:divsChild>
            <w:div w:id="687407766">
              <w:marLeft w:val="0"/>
              <w:marRight w:val="0"/>
              <w:marTop w:val="0"/>
              <w:marBottom w:val="0"/>
              <w:divBdr>
                <w:top w:val="none" w:sz="0" w:space="0" w:color="auto"/>
                <w:left w:val="none" w:sz="0" w:space="0" w:color="auto"/>
                <w:bottom w:val="none" w:sz="0" w:space="0" w:color="auto"/>
                <w:right w:val="none" w:sz="0" w:space="0" w:color="auto"/>
              </w:divBdr>
              <w:divsChild>
                <w:div w:id="10242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72077">
      <w:bodyDiv w:val="1"/>
      <w:marLeft w:val="0"/>
      <w:marRight w:val="0"/>
      <w:marTop w:val="0"/>
      <w:marBottom w:val="0"/>
      <w:divBdr>
        <w:top w:val="none" w:sz="0" w:space="0" w:color="auto"/>
        <w:left w:val="none" w:sz="0" w:space="0" w:color="auto"/>
        <w:bottom w:val="none" w:sz="0" w:space="0" w:color="auto"/>
        <w:right w:val="none" w:sz="0" w:space="0" w:color="auto"/>
      </w:divBdr>
    </w:div>
    <w:div w:id="971711277">
      <w:bodyDiv w:val="1"/>
      <w:marLeft w:val="0"/>
      <w:marRight w:val="0"/>
      <w:marTop w:val="0"/>
      <w:marBottom w:val="0"/>
      <w:divBdr>
        <w:top w:val="none" w:sz="0" w:space="0" w:color="auto"/>
        <w:left w:val="none" w:sz="0" w:space="0" w:color="auto"/>
        <w:bottom w:val="none" w:sz="0" w:space="0" w:color="auto"/>
        <w:right w:val="none" w:sz="0" w:space="0" w:color="auto"/>
      </w:divBdr>
    </w:div>
    <w:div w:id="1003510416">
      <w:bodyDiv w:val="1"/>
      <w:marLeft w:val="0"/>
      <w:marRight w:val="0"/>
      <w:marTop w:val="0"/>
      <w:marBottom w:val="0"/>
      <w:divBdr>
        <w:top w:val="none" w:sz="0" w:space="0" w:color="auto"/>
        <w:left w:val="none" w:sz="0" w:space="0" w:color="auto"/>
        <w:bottom w:val="none" w:sz="0" w:space="0" w:color="auto"/>
        <w:right w:val="none" w:sz="0" w:space="0" w:color="auto"/>
      </w:divBdr>
    </w:div>
    <w:div w:id="1039204864">
      <w:bodyDiv w:val="1"/>
      <w:marLeft w:val="0"/>
      <w:marRight w:val="0"/>
      <w:marTop w:val="0"/>
      <w:marBottom w:val="0"/>
      <w:divBdr>
        <w:top w:val="none" w:sz="0" w:space="0" w:color="auto"/>
        <w:left w:val="none" w:sz="0" w:space="0" w:color="auto"/>
        <w:bottom w:val="none" w:sz="0" w:space="0" w:color="auto"/>
        <w:right w:val="none" w:sz="0" w:space="0" w:color="auto"/>
      </w:divBdr>
      <w:divsChild>
        <w:div w:id="1610161275">
          <w:marLeft w:val="0"/>
          <w:marRight w:val="0"/>
          <w:marTop w:val="0"/>
          <w:marBottom w:val="0"/>
          <w:divBdr>
            <w:top w:val="none" w:sz="0" w:space="0" w:color="auto"/>
            <w:left w:val="none" w:sz="0" w:space="0" w:color="auto"/>
            <w:bottom w:val="none" w:sz="0" w:space="0" w:color="auto"/>
            <w:right w:val="none" w:sz="0" w:space="0" w:color="auto"/>
          </w:divBdr>
          <w:divsChild>
            <w:div w:id="1775436305">
              <w:marLeft w:val="0"/>
              <w:marRight w:val="0"/>
              <w:marTop w:val="0"/>
              <w:marBottom w:val="0"/>
              <w:divBdr>
                <w:top w:val="none" w:sz="0" w:space="0" w:color="auto"/>
                <w:left w:val="none" w:sz="0" w:space="0" w:color="auto"/>
                <w:bottom w:val="none" w:sz="0" w:space="0" w:color="auto"/>
                <w:right w:val="none" w:sz="0" w:space="0" w:color="auto"/>
              </w:divBdr>
              <w:divsChild>
                <w:div w:id="2684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8172">
      <w:bodyDiv w:val="1"/>
      <w:marLeft w:val="0"/>
      <w:marRight w:val="0"/>
      <w:marTop w:val="0"/>
      <w:marBottom w:val="0"/>
      <w:divBdr>
        <w:top w:val="none" w:sz="0" w:space="0" w:color="auto"/>
        <w:left w:val="none" w:sz="0" w:space="0" w:color="auto"/>
        <w:bottom w:val="none" w:sz="0" w:space="0" w:color="auto"/>
        <w:right w:val="none" w:sz="0" w:space="0" w:color="auto"/>
      </w:divBdr>
      <w:divsChild>
        <w:div w:id="18359964">
          <w:marLeft w:val="0"/>
          <w:marRight w:val="0"/>
          <w:marTop w:val="0"/>
          <w:marBottom w:val="0"/>
          <w:divBdr>
            <w:top w:val="none" w:sz="0" w:space="0" w:color="auto"/>
            <w:left w:val="none" w:sz="0" w:space="0" w:color="auto"/>
            <w:bottom w:val="none" w:sz="0" w:space="0" w:color="auto"/>
            <w:right w:val="none" w:sz="0" w:space="0" w:color="auto"/>
          </w:divBdr>
          <w:divsChild>
            <w:div w:id="714237475">
              <w:marLeft w:val="0"/>
              <w:marRight w:val="0"/>
              <w:marTop w:val="0"/>
              <w:marBottom w:val="0"/>
              <w:divBdr>
                <w:top w:val="none" w:sz="0" w:space="0" w:color="auto"/>
                <w:left w:val="none" w:sz="0" w:space="0" w:color="auto"/>
                <w:bottom w:val="none" w:sz="0" w:space="0" w:color="auto"/>
                <w:right w:val="none" w:sz="0" w:space="0" w:color="auto"/>
              </w:divBdr>
              <w:divsChild>
                <w:div w:id="12769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75204">
      <w:bodyDiv w:val="1"/>
      <w:marLeft w:val="0"/>
      <w:marRight w:val="0"/>
      <w:marTop w:val="0"/>
      <w:marBottom w:val="0"/>
      <w:divBdr>
        <w:top w:val="none" w:sz="0" w:space="0" w:color="auto"/>
        <w:left w:val="none" w:sz="0" w:space="0" w:color="auto"/>
        <w:bottom w:val="none" w:sz="0" w:space="0" w:color="auto"/>
        <w:right w:val="none" w:sz="0" w:space="0" w:color="auto"/>
      </w:divBdr>
    </w:div>
    <w:div w:id="1679498561">
      <w:bodyDiv w:val="1"/>
      <w:marLeft w:val="0"/>
      <w:marRight w:val="0"/>
      <w:marTop w:val="0"/>
      <w:marBottom w:val="0"/>
      <w:divBdr>
        <w:top w:val="none" w:sz="0" w:space="0" w:color="auto"/>
        <w:left w:val="none" w:sz="0" w:space="0" w:color="auto"/>
        <w:bottom w:val="none" w:sz="0" w:space="0" w:color="auto"/>
        <w:right w:val="none" w:sz="0" w:space="0" w:color="auto"/>
      </w:divBdr>
    </w:div>
    <w:div w:id="1841575586">
      <w:bodyDiv w:val="1"/>
      <w:marLeft w:val="0"/>
      <w:marRight w:val="0"/>
      <w:marTop w:val="0"/>
      <w:marBottom w:val="0"/>
      <w:divBdr>
        <w:top w:val="none" w:sz="0" w:space="0" w:color="auto"/>
        <w:left w:val="none" w:sz="0" w:space="0" w:color="auto"/>
        <w:bottom w:val="none" w:sz="0" w:space="0" w:color="auto"/>
        <w:right w:val="none" w:sz="0" w:space="0" w:color="auto"/>
      </w:divBdr>
    </w:div>
    <w:div w:id="1895703296">
      <w:bodyDiv w:val="1"/>
      <w:marLeft w:val="0"/>
      <w:marRight w:val="0"/>
      <w:marTop w:val="0"/>
      <w:marBottom w:val="0"/>
      <w:divBdr>
        <w:top w:val="none" w:sz="0" w:space="0" w:color="auto"/>
        <w:left w:val="none" w:sz="0" w:space="0" w:color="auto"/>
        <w:bottom w:val="none" w:sz="0" w:space="0" w:color="auto"/>
        <w:right w:val="none" w:sz="0" w:space="0" w:color="auto"/>
      </w:divBdr>
      <w:divsChild>
        <w:div w:id="1534001201">
          <w:marLeft w:val="0"/>
          <w:marRight w:val="0"/>
          <w:marTop w:val="0"/>
          <w:marBottom w:val="0"/>
          <w:divBdr>
            <w:top w:val="none" w:sz="0" w:space="0" w:color="auto"/>
            <w:left w:val="none" w:sz="0" w:space="0" w:color="auto"/>
            <w:bottom w:val="none" w:sz="0" w:space="0" w:color="auto"/>
            <w:right w:val="none" w:sz="0" w:space="0" w:color="auto"/>
          </w:divBdr>
          <w:divsChild>
            <w:div w:id="1178928634">
              <w:marLeft w:val="0"/>
              <w:marRight w:val="0"/>
              <w:marTop w:val="0"/>
              <w:marBottom w:val="0"/>
              <w:divBdr>
                <w:top w:val="none" w:sz="0" w:space="0" w:color="auto"/>
                <w:left w:val="none" w:sz="0" w:space="0" w:color="auto"/>
                <w:bottom w:val="none" w:sz="0" w:space="0" w:color="auto"/>
                <w:right w:val="none" w:sz="0" w:space="0" w:color="auto"/>
              </w:divBdr>
              <w:divsChild>
                <w:div w:id="606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53395">
      <w:bodyDiv w:val="1"/>
      <w:marLeft w:val="0"/>
      <w:marRight w:val="0"/>
      <w:marTop w:val="0"/>
      <w:marBottom w:val="0"/>
      <w:divBdr>
        <w:top w:val="none" w:sz="0" w:space="0" w:color="auto"/>
        <w:left w:val="none" w:sz="0" w:space="0" w:color="auto"/>
        <w:bottom w:val="none" w:sz="0" w:space="0" w:color="auto"/>
        <w:right w:val="none" w:sz="0" w:space="0" w:color="auto"/>
      </w:divBdr>
    </w:div>
    <w:div w:id="2037348920">
      <w:bodyDiv w:val="1"/>
      <w:marLeft w:val="0"/>
      <w:marRight w:val="0"/>
      <w:marTop w:val="0"/>
      <w:marBottom w:val="0"/>
      <w:divBdr>
        <w:top w:val="none" w:sz="0" w:space="0" w:color="auto"/>
        <w:left w:val="none" w:sz="0" w:space="0" w:color="auto"/>
        <w:bottom w:val="none" w:sz="0" w:space="0" w:color="auto"/>
        <w:right w:val="none" w:sz="0" w:space="0" w:color="auto"/>
      </w:divBdr>
    </w:div>
    <w:div w:id="2129473520">
      <w:bodyDiv w:val="1"/>
      <w:marLeft w:val="0"/>
      <w:marRight w:val="0"/>
      <w:marTop w:val="0"/>
      <w:marBottom w:val="0"/>
      <w:divBdr>
        <w:top w:val="none" w:sz="0" w:space="0" w:color="auto"/>
        <w:left w:val="none" w:sz="0" w:space="0" w:color="auto"/>
        <w:bottom w:val="none" w:sz="0" w:space="0" w:color="auto"/>
        <w:right w:val="none" w:sz="0" w:space="0" w:color="auto"/>
      </w:divBdr>
      <w:divsChild>
        <w:div w:id="1652364619">
          <w:marLeft w:val="0"/>
          <w:marRight w:val="0"/>
          <w:marTop w:val="0"/>
          <w:marBottom w:val="0"/>
          <w:divBdr>
            <w:top w:val="none" w:sz="0" w:space="0" w:color="auto"/>
            <w:left w:val="none" w:sz="0" w:space="0" w:color="auto"/>
            <w:bottom w:val="none" w:sz="0" w:space="0" w:color="auto"/>
            <w:right w:val="none" w:sz="0" w:space="0" w:color="auto"/>
          </w:divBdr>
          <w:divsChild>
            <w:div w:id="638415943">
              <w:marLeft w:val="0"/>
              <w:marRight w:val="0"/>
              <w:marTop w:val="0"/>
              <w:marBottom w:val="0"/>
              <w:divBdr>
                <w:top w:val="none" w:sz="0" w:space="0" w:color="auto"/>
                <w:left w:val="none" w:sz="0" w:space="0" w:color="auto"/>
                <w:bottom w:val="none" w:sz="0" w:space="0" w:color="auto"/>
                <w:right w:val="none" w:sz="0" w:space="0" w:color="auto"/>
              </w:divBdr>
              <w:divsChild>
                <w:div w:id="12887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www.elmundo.es/america/2012/08/10/cuba/1344584364.html" TargetMode="External"/><Relationship Id="rId18" Type="http://schemas.openxmlformats.org/officeDocument/2006/relationships/hyperlink" Target="http://www.washingtonpost.com/opinions/angel-carromero-speaks-out-on-cuba-crash-that-killed-oswaldo-" TargetMode="External"/><Relationship Id="rId26" Type="http://schemas.openxmlformats.org/officeDocument/2006/relationships/hyperlink" Target="https://www.youtube.com/watch?v=BSe2CDQCLnM" TargetMode="External"/><Relationship Id="rId21" Type="http://schemas.openxmlformats.org/officeDocument/2006/relationships/hyperlink" Target="https://www.youtube.com/watch?v=BSe2CDQCLnM" TargetMode="External"/><Relationship Id="rId34" Type="http://schemas.openxmlformats.org/officeDocument/2006/relationships/hyperlink" Target="http://www.oas.org/es/cidh/expresion/docs/publicaciones/internet_2016_esp.pdf" TargetMode="External"/><Relationship Id="rId7" Type="http://schemas.openxmlformats.org/officeDocument/2006/relationships/hyperlink" Target="https://www.youtube.com/watch?v=TJx47JMd2O8" TargetMode="External"/><Relationship Id="rId12" Type="http://schemas.openxmlformats.org/officeDocument/2006/relationships/hyperlink" Target="http://www.elmundo.es/america/2012/08/10/cuba/1344584364.html" TargetMode="External"/><Relationship Id="rId17" Type="http://schemas.openxmlformats.org/officeDocument/2006/relationships/hyperlink" Target="https://www.youtube.com/watch?v=BSe2CDQCLnM" TargetMode="External"/><Relationship Id="rId25" Type="http://schemas.openxmlformats.org/officeDocument/2006/relationships/hyperlink" Target="https://www.youtube.com/watch?v=BSe2CDQCLnM" TargetMode="External"/><Relationship Id="rId33" Type="http://schemas.openxmlformats.org/officeDocument/2006/relationships/hyperlink" Target="http://www.oas.org/es/cidh/expresion/docs/informes/Cuba-es.pdf" TargetMode="External"/><Relationship Id="rId2" Type="http://schemas.openxmlformats.org/officeDocument/2006/relationships/hyperlink" Target="http://www.oswaldopaya.org/es/up/mcl-" TargetMode="External"/><Relationship Id="rId16" Type="http://schemas.openxmlformats.org/officeDocument/2006/relationships/hyperlink" Target="http://www.washingtonpost.com/opinions/angel-carromero-speaks-out-on-cuba-crash-that-killed-oswaldo-" TargetMode="External"/><Relationship Id="rId20" Type="http://schemas.openxmlformats.org/officeDocument/2006/relationships/hyperlink" Target="http://www.washingtonpost.com/opinions/angel-carromero-speaks-out-on-cuba-crash-that-killed-oswaldo-" TargetMode="External"/><Relationship Id="rId29" Type="http://schemas.openxmlformats.org/officeDocument/2006/relationships/hyperlink" Target="http://www.cubadebate.cu/noticias/2012/07/27/nota-oficial-del-ministerio-del-interior/" TargetMode="External"/><Relationship Id="rId1" Type="http://schemas.openxmlformats.org/officeDocument/2006/relationships/hyperlink" Target="https://www.nytimes.com/2012/07/23/world/americas/oswaldo-paya-60-cuban-human-rights-fighter-dies.html" TargetMode="External"/><Relationship Id="rId6" Type="http://schemas.openxmlformats.org/officeDocument/2006/relationships/hyperlink" Target="https://www.youtube.com/watch?v=q8BfmbEKvGs&amp;feature=emb_imp_woyt" TargetMode="External"/><Relationship Id="rId11" Type="http://schemas.openxmlformats.org/officeDocument/2006/relationships/hyperlink" Target="http://www.elmundo.es/america/2012/08/10/cuba/1344584364.html" TargetMode="External"/><Relationship Id="rId24" Type="http://schemas.openxmlformats.org/officeDocument/2006/relationships/hyperlink" Target="http://www.washingtonpost.com/opinions/angel-carromero-speaks-out-on-cuba-crash-that-killed-oswaldo-" TargetMode="External"/><Relationship Id="rId32" Type="http://schemas.openxmlformats.org/officeDocument/2006/relationships/hyperlink" Target="http://www.oas.org/es/cidh/expresion/docs/publicaciones/internet_2016_esp.pdf" TargetMode="External"/><Relationship Id="rId37" Type="http://schemas.openxmlformats.org/officeDocument/2006/relationships/hyperlink" Target="http://www.oas.org/es/cidh/informes/pdfs/Cuba2020-es.pdf" TargetMode="External"/><Relationship Id="rId5" Type="http://schemas.openxmlformats.org/officeDocument/2006/relationships/hyperlink" Target="https://www.radiotelevisionmarti.com/a/hace-19-a%C3%B1os-el-proyecto-varela-hizo-historia/294895.html" TargetMode="External"/><Relationship Id="rId15" Type="http://schemas.openxmlformats.org/officeDocument/2006/relationships/hyperlink" Target="https://www.nytimes.com/2013/04/05/world/americas/inquiry-is-sought-into-death-of-oswaldo-paya-cuban-dissident.html?_r=1" TargetMode="External"/><Relationship Id="rId23" Type="http://schemas.openxmlformats.org/officeDocument/2006/relationships/hyperlink" Target="https://www.youtube.com/watch?v=BSe2CDQCLnM" TargetMode="External"/><Relationship Id="rId28" Type="http://schemas.openxmlformats.org/officeDocument/2006/relationships/hyperlink" Target="http://www.cubadebate.cu/noticias/2012/07/27/nota-" TargetMode="External"/><Relationship Id="rId36" Type="http://schemas.openxmlformats.org/officeDocument/2006/relationships/hyperlink" Target="http://www.oas.org/es/cidh/expresion/docs/informes/Cuba-es.pdf" TargetMode="External"/><Relationship Id="rId10" Type="http://schemas.openxmlformats.org/officeDocument/2006/relationships/hyperlink" Target="https://www.youtube.com/watch?v=-MaAb2d_Dc8&amp;t=160s" TargetMode="External"/><Relationship Id="rId19" Type="http://schemas.openxmlformats.org/officeDocument/2006/relationships/hyperlink" Target="https://www.youtube.com/watch?v=BSe2CDQCLnM" TargetMode="External"/><Relationship Id="rId31" Type="http://schemas.openxmlformats.org/officeDocument/2006/relationships/hyperlink" Target="http://www.oas.org/es/cidh/expresion/docs/publicaciones/internet_2016_esp.pdf" TargetMode="External"/><Relationship Id="rId4" Type="http://schemas.openxmlformats.org/officeDocument/2006/relationships/hyperlink" Target="http://cubapresospoliticos.impela.net/2007/03/el-opositor-oswaldo-paya-denuncia-un-" TargetMode="External"/><Relationship Id="rId9" Type="http://schemas.openxmlformats.org/officeDocument/2006/relationships/hyperlink" Target="https://www.elmundo.es/america/2012/08/10/cuba/1344584364.html" TargetMode="External"/><Relationship Id="rId14" Type="http://schemas.openxmlformats.org/officeDocument/2006/relationships/hyperlink" Target="http://sverigesradio.se/sida/artikel.aspx?programid=1637&amp;artikel=5461993" TargetMode="External"/><Relationship Id="rId22" Type="http://schemas.openxmlformats.org/officeDocument/2006/relationships/hyperlink" Target="https://www.youtube.com/watch?v=EBOphUw5RM8" TargetMode="External"/><Relationship Id="rId27" Type="http://schemas.openxmlformats.org/officeDocument/2006/relationships/hyperlink" Target="http://www.cubadebate.cu/noticias/2012/07/27/nota-" TargetMode="External"/><Relationship Id="rId30" Type="http://schemas.openxmlformats.org/officeDocument/2006/relationships/hyperlink" Target="http://www.laopinion.com/Impiden_a_hijos_de_Oswaldo_Paya_asistir_juicio_Carromero" TargetMode="External"/><Relationship Id="rId35" Type="http://schemas.openxmlformats.org/officeDocument/2006/relationships/hyperlink" Target="http://www.oas.org/es/cidh/expresion/docs/publicaciones/internet_2016_esp.pdf" TargetMode="External"/><Relationship Id="rId8" Type="http://schemas.openxmlformats.org/officeDocument/2006/relationships/hyperlink" Target="https://www.youtube.com/watch?v=q8BfmbEKvGs&amp;feature=emb_imp_woyt" TargetMode="External"/><Relationship Id="rId3" Type="http://schemas.openxmlformats.org/officeDocument/2006/relationships/hyperlink" Target="https://www.youtube.com/watch?v=q8BfmbEKvGs&amp;feature=emb_imp_woy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685E1-F06C-4CC5-9F3A-E0C03B79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13459</Words>
  <Characters>74026</Characters>
  <Application>Microsoft Office Word</Application>
  <DocSecurity>0</DocSecurity>
  <Lines>616</Lines>
  <Paragraphs>174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2023-06-12T19:28:00Z</dcterms:created>
  <dcterms:modified xsi:type="dcterms:W3CDTF">2023-06-12T19:44:00Z</dcterms:modified>
</cp:coreProperties>
</file>