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8E3B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06C0F7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D5D12">
                              <w:rPr>
                                <w:rFonts w:asciiTheme="majorHAnsi" w:hAnsiTheme="majorHAnsi" w:cs="Arial"/>
                                <w:b/>
                                <w:bCs/>
                                <w:color w:val="0D0D0D" w:themeColor="text1" w:themeTint="F2"/>
                                <w:sz w:val="36"/>
                                <w:szCs w:val="40"/>
                              </w:rPr>
                              <w:t>232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03E46">
                              <w:rPr>
                                <w:rFonts w:asciiTheme="majorHAnsi" w:hAnsiTheme="majorHAnsi" w:cs="Arial"/>
                                <w:b/>
                                <w:bCs/>
                                <w:color w:val="0D0D0D" w:themeColor="text1" w:themeTint="F2"/>
                                <w:sz w:val="36"/>
                                <w:szCs w:val="40"/>
                              </w:rPr>
                              <w:t>2</w:t>
                            </w:r>
                          </w:p>
                          <w:p w14:paraId="081F51F3" w14:textId="1A10DD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83C23" w:rsidRPr="00283C23">
                              <w:rPr>
                                <w:rFonts w:asciiTheme="majorHAnsi" w:hAnsiTheme="majorHAnsi" w:cs="Arial"/>
                                <w:b/>
                                <w:bCs/>
                                <w:color w:val="0D0D0D" w:themeColor="text1" w:themeTint="F2"/>
                                <w:sz w:val="36"/>
                                <w:szCs w:val="40"/>
                              </w:rPr>
                              <w:t>2152</w:t>
                            </w:r>
                            <w:r w:rsidR="00F621C3">
                              <w:rPr>
                                <w:rFonts w:asciiTheme="majorHAnsi" w:hAnsiTheme="majorHAnsi" w:cs="Arial"/>
                                <w:b/>
                                <w:bCs/>
                                <w:color w:val="0D0D0D" w:themeColor="text1" w:themeTint="F2"/>
                                <w:sz w:val="36"/>
                                <w:szCs w:val="40"/>
                              </w:rPr>
                              <w:t>-</w:t>
                            </w:r>
                            <w:r w:rsidR="00A80A4F">
                              <w:rPr>
                                <w:rFonts w:asciiTheme="majorHAnsi" w:hAnsiTheme="majorHAnsi" w:cs="Arial"/>
                                <w:b/>
                                <w:bCs/>
                                <w:color w:val="0D0D0D" w:themeColor="text1" w:themeTint="F2"/>
                                <w:sz w:val="36"/>
                                <w:szCs w:val="40"/>
                              </w:rPr>
                              <w:t>15</w:t>
                            </w:r>
                          </w:p>
                          <w:p w14:paraId="34978E5A" w14:textId="45DDEED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E0BE378" w:rsidR="00F42B71" w:rsidRPr="004B625D" w:rsidRDefault="000232F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SANDRA BLAND </w:t>
                            </w:r>
                            <w:r w:rsidR="008C0F0E">
                              <w:rPr>
                                <w:rFonts w:ascii="Cambria" w:hAnsi="Cambria" w:cs="Arial"/>
                                <w:color w:val="0D0D0D"/>
                                <w:szCs w:val="22"/>
                              </w:rPr>
                              <w:t>ET AL.</w:t>
                            </w:r>
                          </w:p>
                          <w:p w14:paraId="17A89EFB" w14:textId="05A6AEAE" w:rsidR="005B52B0" w:rsidRPr="000C4365" w:rsidRDefault="000232F1"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306C0F7A"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0D5D12">
                        <w:rPr>
                          <w:rFonts w:asciiTheme="majorHAnsi" w:hAnsiTheme="majorHAnsi" w:cs="Arial"/>
                          <w:b/>
                          <w:bCs/>
                          <w:color w:val="0D0D0D" w:themeColor="text1" w:themeTint="F2"/>
                          <w:sz w:val="36"/>
                          <w:szCs w:val="40"/>
                        </w:rPr>
                        <w:t>232</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03E46">
                        <w:rPr>
                          <w:rFonts w:asciiTheme="majorHAnsi" w:hAnsiTheme="majorHAnsi" w:cs="Arial"/>
                          <w:b/>
                          <w:bCs/>
                          <w:color w:val="0D0D0D" w:themeColor="text1" w:themeTint="F2"/>
                          <w:sz w:val="36"/>
                          <w:szCs w:val="40"/>
                        </w:rPr>
                        <w:t>2</w:t>
                      </w:r>
                    </w:p>
                    <w:p w14:paraId="081F51F3" w14:textId="1A10DD7F"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283C23" w:rsidRPr="00283C23">
                        <w:rPr>
                          <w:rFonts w:asciiTheme="majorHAnsi" w:hAnsiTheme="majorHAnsi" w:cs="Arial"/>
                          <w:b/>
                          <w:bCs/>
                          <w:color w:val="0D0D0D" w:themeColor="text1" w:themeTint="F2"/>
                          <w:sz w:val="36"/>
                          <w:szCs w:val="40"/>
                        </w:rPr>
                        <w:t>2152</w:t>
                      </w:r>
                      <w:r w:rsidR="00F621C3">
                        <w:rPr>
                          <w:rFonts w:asciiTheme="majorHAnsi" w:hAnsiTheme="majorHAnsi" w:cs="Arial"/>
                          <w:b/>
                          <w:bCs/>
                          <w:color w:val="0D0D0D" w:themeColor="text1" w:themeTint="F2"/>
                          <w:sz w:val="36"/>
                          <w:szCs w:val="40"/>
                        </w:rPr>
                        <w:t>-</w:t>
                      </w:r>
                      <w:r w:rsidR="00A80A4F">
                        <w:rPr>
                          <w:rFonts w:asciiTheme="majorHAnsi" w:hAnsiTheme="majorHAnsi" w:cs="Arial"/>
                          <w:b/>
                          <w:bCs/>
                          <w:color w:val="0D0D0D" w:themeColor="text1" w:themeTint="F2"/>
                          <w:sz w:val="36"/>
                          <w:szCs w:val="40"/>
                        </w:rPr>
                        <w:t>15</w:t>
                      </w:r>
                    </w:p>
                    <w:p w14:paraId="34978E5A" w14:textId="45DDEED5"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E0BE378" w:rsidR="00F42B71" w:rsidRPr="004B625D" w:rsidRDefault="000232F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 xml:space="preserve">SANDRA BLAND </w:t>
                      </w:r>
                      <w:r w:rsidR="008C0F0E">
                        <w:rPr>
                          <w:rFonts w:ascii="Cambria" w:hAnsi="Cambria" w:cs="Arial"/>
                          <w:color w:val="0D0D0D"/>
                          <w:szCs w:val="22"/>
                        </w:rPr>
                        <w:t>ET AL.</w:t>
                      </w:r>
                    </w:p>
                    <w:p w14:paraId="17A89EFB" w14:textId="05A6AEAE" w:rsidR="005B52B0" w:rsidRPr="000C4365" w:rsidRDefault="000232F1"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E1E0D7A" w:rsidR="00627C9F" w:rsidRPr="008C0F0E" w:rsidRDefault="009E566A" w:rsidP="009E566A">
                            <w:pPr>
                              <w:jc w:val="right"/>
                              <w:rPr>
                                <w:rFonts w:asciiTheme="minorHAnsi" w:hAnsiTheme="minorHAnsi"/>
                                <w:color w:val="FFFFFF" w:themeColor="background1"/>
                                <w:sz w:val="22"/>
                              </w:rPr>
                            </w:pPr>
                            <w:r w:rsidRPr="008C0F0E">
                              <w:rPr>
                                <w:rFonts w:asciiTheme="minorHAnsi" w:hAnsiTheme="minorHAnsi"/>
                                <w:color w:val="FFFFFF" w:themeColor="background1"/>
                                <w:sz w:val="22"/>
                              </w:rPr>
                              <w:t>OEA/Ser.L/V/II</w:t>
                            </w:r>
                          </w:p>
                          <w:p w14:paraId="4AA08A8C" w14:textId="1F6AC541" w:rsidR="00627C9F" w:rsidRPr="00E542FC" w:rsidRDefault="00CA6577"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 xml:space="preserve">Doc. </w:t>
                            </w:r>
                            <w:r w:rsidR="00E542FC" w:rsidRPr="00E542FC">
                              <w:rPr>
                                <w:rFonts w:asciiTheme="minorHAnsi" w:hAnsiTheme="minorHAnsi"/>
                                <w:color w:val="FFFFFF" w:themeColor="background1"/>
                                <w:sz w:val="22"/>
                              </w:rPr>
                              <w:t>235</w:t>
                            </w:r>
                          </w:p>
                          <w:p w14:paraId="0BEFF61A" w14:textId="03EADCA0" w:rsidR="00627C9F" w:rsidRPr="00E542FC" w:rsidRDefault="00022CF5"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 xml:space="preserve"> </w:t>
                            </w:r>
                            <w:r w:rsidR="00E542FC" w:rsidRPr="00E542FC">
                              <w:rPr>
                                <w:rFonts w:asciiTheme="minorHAnsi" w:hAnsiTheme="minorHAnsi"/>
                                <w:color w:val="FFFFFF" w:themeColor="background1"/>
                                <w:sz w:val="22"/>
                              </w:rPr>
                              <w:t>28 August</w:t>
                            </w:r>
                            <w:r w:rsidR="000C4365" w:rsidRPr="00E542FC">
                              <w:rPr>
                                <w:rFonts w:asciiTheme="minorHAnsi" w:hAnsiTheme="minorHAnsi"/>
                                <w:color w:val="FFFFFF" w:themeColor="background1"/>
                                <w:sz w:val="22"/>
                              </w:rPr>
                              <w:t xml:space="preserve"> </w:t>
                            </w:r>
                            <w:r w:rsidR="00F42B71" w:rsidRPr="00E542FC">
                              <w:rPr>
                                <w:rFonts w:asciiTheme="minorHAnsi" w:hAnsiTheme="minorHAnsi"/>
                                <w:color w:val="FFFFFF" w:themeColor="background1"/>
                                <w:sz w:val="22"/>
                              </w:rPr>
                              <w:t>20</w:t>
                            </w:r>
                            <w:r w:rsidR="00E542FC" w:rsidRPr="00E542FC">
                              <w:rPr>
                                <w:rFonts w:asciiTheme="minorHAnsi" w:hAnsiTheme="minorHAnsi"/>
                                <w:color w:val="FFFFFF" w:themeColor="background1"/>
                                <w:sz w:val="22"/>
                              </w:rPr>
                              <w:t>22</w:t>
                            </w:r>
                          </w:p>
                          <w:p w14:paraId="0FC103BD" w14:textId="4FA19C13" w:rsidR="00627C9F" w:rsidRPr="00E542FC" w:rsidRDefault="00627C9F"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Original:</w:t>
                            </w:r>
                            <w:r w:rsidR="002C1641" w:rsidRPr="00E542FC">
                              <w:rPr>
                                <w:rFonts w:asciiTheme="minorHAnsi" w:hAnsiTheme="minorHAnsi"/>
                                <w:color w:val="FFFFFF" w:themeColor="background1"/>
                                <w:sz w:val="22"/>
                              </w:rPr>
                              <w:t xml:space="preserve"> </w:t>
                            </w:r>
                            <w:r w:rsidR="000C4365" w:rsidRPr="00E542FC">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5E1E0D7A" w:rsidR="00627C9F" w:rsidRPr="008C0F0E" w:rsidRDefault="009E566A" w:rsidP="009E566A">
                      <w:pPr>
                        <w:jc w:val="right"/>
                        <w:rPr>
                          <w:rFonts w:asciiTheme="minorHAnsi" w:hAnsiTheme="minorHAnsi"/>
                          <w:color w:val="FFFFFF" w:themeColor="background1"/>
                          <w:sz w:val="22"/>
                        </w:rPr>
                      </w:pPr>
                      <w:r w:rsidRPr="008C0F0E">
                        <w:rPr>
                          <w:rFonts w:asciiTheme="minorHAnsi" w:hAnsiTheme="minorHAnsi"/>
                          <w:color w:val="FFFFFF" w:themeColor="background1"/>
                          <w:sz w:val="22"/>
                        </w:rPr>
                        <w:t>OEA/Ser.L/V/II</w:t>
                      </w:r>
                    </w:p>
                    <w:p w14:paraId="4AA08A8C" w14:textId="1F6AC541" w:rsidR="00627C9F" w:rsidRPr="00E542FC" w:rsidRDefault="00CA6577"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 xml:space="preserve">Doc. </w:t>
                      </w:r>
                      <w:r w:rsidR="00E542FC" w:rsidRPr="00E542FC">
                        <w:rPr>
                          <w:rFonts w:asciiTheme="minorHAnsi" w:hAnsiTheme="minorHAnsi"/>
                          <w:color w:val="FFFFFF" w:themeColor="background1"/>
                          <w:sz w:val="22"/>
                        </w:rPr>
                        <w:t>235</w:t>
                      </w:r>
                    </w:p>
                    <w:p w14:paraId="0BEFF61A" w14:textId="03EADCA0" w:rsidR="00627C9F" w:rsidRPr="00E542FC" w:rsidRDefault="00022CF5"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 xml:space="preserve"> </w:t>
                      </w:r>
                      <w:r w:rsidR="00E542FC" w:rsidRPr="00E542FC">
                        <w:rPr>
                          <w:rFonts w:asciiTheme="minorHAnsi" w:hAnsiTheme="minorHAnsi"/>
                          <w:color w:val="FFFFFF" w:themeColor="background1"/>
                          <w:sz w:val="22"/>
                        </w:rPr>
                        <w:t>28 August</w:t>
                      </w:r>
                      <w:r w:rsidR="000C4365" w:rsidRPr="00E542FC">
                        <w:rPr>
                          <w:rFonts w:asciiTheme="minorHAnsi" w:hAnsiTheme="minorHAnsi"/>
                          <w:color w:val="FFFFFF" w:themeColor="background1"/>
                          <w:sz w:val="22"/>
                        </w:rPr>
                        <w:t xml:space="preserve"> </w:t>
                      </w:r>
                      <w:r w:rsidR="00F42B71" w:rsidRPr="00E542FC">
                        <w:rPr>
                          <w:rFonts w:asciiTheme="minorHAnsi" w:hAnsiTheme="minorHAnsi"/>
                          <w:color w:val="FFFFFF" w:themeColor="background1"/>
                          <w:sz w:val="22"/>
                        </w:rPr>
                        <w:t>20</w:t>
                      </w:r>
                      <w:r w:rsidR="00E542FC" w:rsidRPr="00E542FC">
                        <w:rPr>
                          <w:rFonts w:asciiTheme="minorHAnsi" w:hAnsiTheme="minorHAnsi"/>
                          <w:color w:val="FFFFFF" w:themeColor="background1"/>
                          <w:sz w:val="22"/>
                        </w:rPr>
                        <w:t>22</w:t>
                      </w:r>
                    </w:p>
                    <w:p w14:paraId="0FC103BD" w14:textId="4FA19C13" w:rsidR="00627C9F" w:rsidRPr="00E542FC" w:rsidRDefault="00627C9F" w:rsidP="009E566A">
                      <w:pPr>
                        <w:jc w:val="right"/>
                        <w:rPr>
                          <w:rFonts w:asciiTheme="minorHAnsi" w:hAnsiTheme="minorHAnsi"/>
                          <w:color w:val="FFFFFF" w:themeColor="background1"/>
                          <w:sz w:val="22"/>
                        </w:rPr>
                      </w:pPr>
                      <w:r w:rsidRPr="00E542FC">
                        <w:rPr>
                          <w:rFonts w:asciiTheme="minorHAnsi" w:hAnsiTheme="minorHAnsi"/>
                          <w:color w:val="FFFFFF" w:themeColor="background1"/>
                          <w:sz w:val="22"/>
                        </w:rPr>
                        <w:t>Original:</w:t>
                      </w:r>
                      <w:r w:rsidR="002C1641" w:rsidRPr="00E542FC">
                        <w:rPr>
                          <w:rFonts w:asciiTheme="minorHAnsi" w:hAnsiTheme="minorHAnsi"/>
                          <w:color w:val="FFFFFF" w:themeColor="background1"/>
                          <w:sz w:val="22"/>
                        </w:rPr>
                        <w:t xml:space="preserve"> </w:t>
                      </w:r>
                      <w:r w:rsidR="000C4365" w:rsidRPr="00E542FC">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97FB00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A1629B">
                              <w:rPr>
                                <w:rFonts w:asciiTheme="majorHAnsi" w:hAnsiTheme="majorHAnsi"/>
                                <w:color w:val="0D0D0D" w:themeColor="text1" w:themeTint="F2"/>
                                <w:sz w:val="18"/>
                                <w:szCs w:val="20"/>
                              </w:rPr>
                              <w:t xml:space="preserve"> </w:t>
                            </w:r>
                            <w:r w:rsidR="00A1629B"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A1629B">
                              <w:rPr>
                                <w:rFonts w:asciiTheme="majorHAnsi" w:hAnsiTheme="majorHAnsi"/>
                                <w:color w:val="0D0D0D" w:themeColor="text1" w:themeTint="F2"/>
                                <w:sz w:val="18"/>
                                <w:szCs w:val="20"/>
                              </w:rPr>
                              <w:t>August 28,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97FB00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A1629B">
                        <w:rPr>
                          <w:rFonts w:asciiTheme="majorHAnsi" w:hAnsiTheme="majorHAnsi"/>
                          <w:color w:val="0D0D0D" w:themeColor="text1" w:themeTint="F2"/>
                          <w:sz w:val="18"/>
                          <w:szCs w:val="20"/>
                        </w:rPr>
                        <w:t xml:space="preserve"> </w:t>
                      </w:r>
                      <w:r w:rsidR="00A1629B"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A1629B">
                        <w:rPr>
                          <w:rFonts w:asciiTheme="majorHAnsi" w:hAnsiTheme="majorHAnsi"/>
                          <w:color w:val="0D0D0D" w:themeColor="text1" w:themeTint="F2"/>
                          <w:sz w:val="18"/>
                          <w:szCs w:val="20"/>
                        </w:rPr>
                        <w:t>August 28,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1E0C9E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2715D">
                              <w:rPr>
                                <w:rFonts w:asciiTheme="majorHAnsi" w:hAnsiTheme="majorHAnsi"/>
                                <w:color w:val="595959" w:themeColor="text1" w:themeTint="A6"/>
                                <w:sz w:val="18"/>
                              </w:rPr>
                              <w:t>232</w:t>
                            </w:r>
                            <w:r w:rsidR="00022CF5">
                              <w:rPr>
                                <w:rFonts w:asciiTheme="majorHAnsi" w:hAnsiTheme="majorHAnsi"/>
                                <w:color w:val="595959" w:themeColor="text1" w:themeTint="A6"/>
                                <w:sz w:val="18"/>
                              </w:rPr>
                              <w:t>/</w:t>
                            </w:r>
                            <w:r w:rsidR="0042715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2715D">
                              <w:rPr>
                                <w:rFonts w:asciiTheme="majorHAnsi" w:hAnsiTheme="majorHAnsi"/>
                                <w:color w:val="595959" w:themeColor="text1" w:themeTint="A6"/>
                                <w:sz w:val="18"/>
                              </w:rPr>
                              <w:t>2152</w:t>
                            </w:r>
                            <w:r w:rsidR="00F621C3">
                              <w:rPr>
                                <w:rFonts w:asciiTheme="majorHAnsi" w:hAnsiTheme="majorHAnsi"/>
                                <w:color w:val="595959" w:themeColor="text1" w:themeTint="A6"/>
                                <w:sz w:val="18"/>
                              </w:rPr>
                              <w:t>-</w:t>
                            </w:r>
                            <w:r w:rsidR="0042715D">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AD3E6A">
                              <w:rPr>
                                <w:rFonts w:asciiTheme="majorHAnsi" w:hAnsiTheme="majorHAnsi"/>
                                <w:color w:val="595959" w:themeColor="text1" w:themeTint="A6"/>
                                <w:sz w:val="18"/>
                                <w:lang w:val="fr-CA"/>
                              </w:rPr>
                              <w:t>Admissibility</w:t>
                            </w:r>
                            <w:r w:rsidRPr="00AD3E6A">
                              <w:rPr>
                                <w:rFonts w:asciiTheme="majorHAnsi" w:hAnsiTheme="majorHAnsi"/>
                                <w:color w:val="595959" w:themeColor="text1" w:themeTint="A6"/>
                                <w:sz w:val="18"/>
                                <w:lang w:val="fr-CA"/>
                              </w:rPr>
                              <w:t xml:space="preserve">. </w:t>
                            </w:r>
                            <w:r w:rsidR="0042715D" w:rsidRPr="00AD3E6A">
                              <w:rPr>
                                <w:rFonts w:asciiTheme="majorHAnsi" w:hAnsiTheme="majorHAnsi"/>
                                <w:color w:val="595959" w:themeColor="text1" w:themeTint="A6"/>
                                <w:sz w:val="18"/>
                                <w:lang w:val="fr-CA"/>
                              </w:rPr>
                              <w:t xml:space="preserve">Sandra Bland </w:t>
                            </w:r>
                            <w:r w:rsidR="008C0F0E" w:rsidRPr="00AD3E6A">
                              <w:rPr>
                                <w:rFonts w:asciiTheme="majorHAnsi" w:hAnsiTheme="majorHAnsi"/>
                                <w:color w:val="595959" w:themeColor="text1" w:themeTint="A6"/>
                                <w:sz w:val="18"/>
                                <w:lang w:val="fr-CA"/>
                              </w:rPr>
                              <w:t>et al</w:t>
                            </w:r>
                            <w:r w:rsidRPr="00AD3E6A">
                              <w:rPr>
                                <w:rFonts w:asciiTheme="majorHAnsi" w:hAnsiTheme="majorHAnsi"/>
                                <w:color w:val="595959" w:themeColor="text1" w:themeTint="A6"/>
                                <w:sz w:val="18"/>
                                <w:lang w:val="fr-CA"/>
                              </w:rPr>
                              <w:t xml:space="preserve">. </w:t>
                            </w:r>
                            <w:r w:rsidR="0042715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33F0F">
                              <w:rPr>
                                <w:rFonts w:asciiTheme="majorHAnsi" w:hAnsiTheme="majorHAnsi"/>
                                <w:color w:val="595959" w:themeColor="text1" w:themeTint="A6"/>
                                <w:sz w:val="18"/>
                              </w:rPr>
                              <w:t>August 28,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21E0C9EC"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42715D">
                        <w:rPr>
                          <w:rFonts w:asciiTheme="majorHAnsi" w:hAnsiTheme="majorHAnsi"/>
                          <w:color w:val="595959" w:themeColor="text1" w:themeTint="A6"/>
                          <w:sz w:val="18"/>
                        </w:rPr>
                        <w:t>232</w:t>
                      </w:r>
                      <w:r w:rsidR="00022CF5">
                        <w:rPr>
                          <w:rFonts w:asciiTheme="majorHAnsi" w:hAnsiTheme="majorHAnsi"/>
                          <w:color w:val="595959" w:themeColor="text1" w:themeTint="A6"/>
                          <w:sz w:val="18"/>
                        </w:rPr>
                        <w:t>/</w:t>
                      </w:r>
                      <w:r w:rsidR="0042715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2715D">
                        <w:rPr>
                          <w:rFonts w:asciiTheme="majorHAnsi" w:hAnsiTheme="majorHAnsi"/>
                          <w:color w:val="595959" w:themeColor="text1" w:themeTint="A6"/>
                          <w:sz w:val="18"/>
                        </w:rPr>
                        <w:t>2152</w:t>
                      </w:r>
                      <w:r w:rsidR="00F621C3">
                        <w:rPr>
                          <w:rFonts w:asciiTheme="majorHAnsi" w:hAnsiTheme="majorHAnsi"/>
                          <w:color w:val="595959" w:themeColor="text1" w:themeTint="A6"/>
                          <w:sz w:val="18"/>
                        </w:rPr>
                        <w:t>-</w:t>
                      </w:r>
                      <w:r w:rsidR="0042715D">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AD3E6A">
                        <w:rPr>
                          <w:rFonts w:asciiTheme="majorHAnsi" w:hAnsiTheme="majorHAnsi"/>
                          <w:color w:val="595959" w:themeColor="text1" w:themeTint="A6"/>
                          <w:sz w:val="18"/>
                          <w:lang w:val="fr-CA"/>
                        </w:rPr>
                        <w:t>Admissibility</w:t>
                      </w:r>
                      <w:r w:rsidRPr="00AD3E6A">
                        <w:rPr>
                          <w:rFonts w:asciiTheme="majorHAnsi" w:hAnsiTheme="majorHAnsi"/>
                          <w:color w:val="595959" w:themeColor="text1" w:themeTint="A6"/>
                          <w:sz w:val="18"/>
                          <w:lang w:val="fr-CA"/>
                        </w:rPr>
                        <w:t xml:space="preserve">. </w:t>
                      </w:r>
                      <w:r w:rsidR="0042715D" w:rsidRPr="00AD3E6A">
                        <w:rPr>
                          <w:rFonts w:asciiTheme="majorHAnsi" w:hAnsiTheme="majorHAnsi"/>
                          <w:color w:val="595959" w:themeColor="text1" w:themeTint="A6"/>
                          <w:sz w:val="18"/>
                          <w:lang w:val="fr-CA"/>
                        </w:rPr>
                        <w:t xml:space="preserve">Sandra Bland </w:t>
                      </w:r>
                      <w:r w:rsidR="008C0F0E" w:rsidRPr="00AD3E6A">
                        <w:rPr>
                          <w:rFonts w:asciiTheme="majorHAnsi" w:hAnsiTheme="majorHAnsi"/>
                          <w:color w:val="595959" w:themeColor="text1" w:themeTint="A6"/>
                          <w:sz w:val="18"/>
                          <w:lang w:val="fr-CA"/>
                        </w:rPr>
                        <w:t>et al</w:t>
                      </w:r>
                      <w:r w:rsidRPr="00AD3E6A">
                        <w:rPr>
                          <w:rFonts w:asciiTheme="majorHAnsi" w:hAnsiTheme="majorHAnsi"/>
                          <w:color w:val="595959" w:themeColor="text1" w:themeTint="A6"/>
                          <w:sz w:val="18"/>
                          <w:lang w:val="fr-CA"/>
                        </w:rPr>
                        <w:t xml:space="preserve">. </w:t>
                      </w:r>
                      <w:r w:rsidR="0042715D">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133F0F">
                        <w:rPr>
                          <w:rFonts w:asciiTheme="majorHAnsi" w:hAnsiTheme="majorHAnsi"/>
                          <w:color w:val="595959" w:themeColor="text1" w:themeTint="A6"/>
                          <w:sz w:val="18"/>
                        </w:rPr>
                        <w:t>August 28,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38E11329" w:rsidR="003C32BC" w:rsidRPr="003C32BC" w:rsidRDefault="00133F0F"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99517FC" wp14:editId="11213AF9">
                <wp:simplePos x="0" y="0"/>
                <wp:positionH relativeFrom="column">
                  <wp:posOffset>1184910</wp:posOffset>
                </wp:positionH>
                <wp:positionV relativeFrom="paragraph">
                  <wp:posOffset>635272</wp:posOffset>
                </wp:positionV>
                <wp:extent cx="2085975" cy="576943"/>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76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7E02921C">
                                  <wp:extent cx="1897222" cy="4844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2518" cy="4883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3.3pt;margin-top:50pt;width:164.25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7egIAAGw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" fillcolor="white [3201]" stroked="f" strokeweight=".5pt">
                <v:textbox>
                  <w:txbxContent>
                    <w:p w14:paraId="5A8E7A7D" w14:textId="724F4485" w:rsidR="003C32BC" w:rsidRDefault="00946ACE">
                      <w:r>
                        <w:rPr>
                          <w:noProof/>
                        </w:rPr>
                        <w:drawing>
                          <wp:inline distT="0" distB="0" distL="0" distR="0" wp14:anchorId="6604A7E9" wp14:editId="7E02921C">
                            <wp:extent cx="1897222" cy="4844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2518" cy="488319"/>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96BCF47" wp14:editId="39243685">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213DBB8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33F0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213DBB8A"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133F0F">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3BD28C24" w:rsidR="00F621C3" w:rsidRPr="000B6B7A" w:rsidRDefault="000232F1" w:rsidP="009163FC">
            <w:pPr>
              <w:jc w:val="both"/>
              <w:rPr>
                <w:rFonts w:ascii="Cambria" w:hAnsi="Cambria"/>
                <w:bCs/>
                <w:sz w:val="20"/>
                <w:szCs w:val="20"/>
              </w:rPr>
            </w:pPr>
            <w:r w:rsidRPr="000232F1">
              <w:rPr>
                <w:rFonts w:ascii="Cambria" w:hAnsi="Cambria"/>
                <w:bCs/>
                <w:sz w:val="20"/>
                <w:szCs w:val="20"/>
              </w:rPr>
              <w:t>Veronica Patton</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3DFE3EF5" w:rsidR="00F621C3" w:rsidRPr="000B6B7A" w:rsidRDefault="003E549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C50791">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21B060F6" w:rsidR="00F621C3" w:rsidRPr="000B6B7A" w:rsidRDefault="00523F81" w:rsidP="009163FC">
            <w:pPr>
              <w:jc w:val="both"/>
              <w:rPr>
                <w:rFonts w:ascii="Cambria" w:hAnsi="Cambria"/>
                <w:bCs/>
                <w:sz w:val="20"/>
                <w:szCs w:val="20"/>
              </w:rPr>
            </w:pPr>
            <w:r w:rsidRPr="00523F81">
              <w:rPr>
                <w:rFonts w:ascii="Cambria" w:hAnsi="Cambria"/>
                <w:bCs/>
                <w:sz w:val="20"/>
                <w:szCs w:val="20"/>
              </w:rPr>
              <w:t xml:space="preserve">Sandra Bland, Natasha McKenna, Joyce Curnell, Alexis McGovern, Ralkina Jones, Kindra Chapman, </w:t>
            </w:r>
            <w:r w:rsidR="007E0AA1">
              <w:rPr>
                <w:rFonts w:ascii="Cambria" w:hAnsi="Cambria"/>
                <w:bCs/>
                <w:sz w:val="20"/>
                <w:szCs w:val="20"/>
              </w:rPr>
              <w:t xml:space="preserve">and </w:t>
            </w:r>
            <w:r w:rsidRPr="00523F81">
              <w:rPr>
                <w:rFonts w:ascii="Cambria" w:hAnsi="Cambria"/>
                <w:bCs/>
                <w:sz w:val="20"/>
                <w:szCs w:val="20"/>
              </w:rPr>
              <w:t>Raynetta Turner</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305DFC42" w:rsidR="00F621C3" w:rsidRPr="000B6B7A" w:rsidRDefault="00561623" w:rsidP="009163FC">
            <w:pPr>
              <w:jc w:val="both"/>
              <w:rPr>
                <w:rFonts w:ascii="Cambria" w:hAnsi="Cambria"/>
                <w:bCs/>
                <w:sz w:val="20"/>
                <w:szCs w:val="20"/>
              </w:rPr>
            </w:pPr>
            <w:r>
              <w:rPr>
                <w:rFonts w:ascii="Cambria" w:hAnsi="Cambria"/>
                <w:bCs/>
                <w:sz w:val="20"/>
                <w:szCs w:val="20"/>
              </w:rPr>
              <w:t>United States of America</w:t>
            </w:r>
            <w:r>
              <w:rPr>
                <w:rStyle w:val="FootnoteReference"/>
                <w:rFonts w:ascii="Cambria" w:hAnsi="Cambria"/>
                <w:bCs/>
                <w:sz w:val="20"/>
                <w:szCs w:val="20"/>
              </w:rPr>
              <w:footnoteReference w:id="2"/>
            </w:r>
            <w:r>
              <w:rPr>
                <w:rFonts w:ascii="Cambria" w:hAnsi="Cambria"/>
                <w:bCs/>
                <w:sz w:val="20"/>
                <w:szCs w:val="20"/>
              </w:rPr>
              <w:t xml:space="preserve"> </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D3A6187" w:rsidR="00E47F3D" w:rsidRPr="000B6B7A" w:rsidRDefault="003F53B9" w:rsidP="00CE5519">
            <w:pPr>
              <w:jc w:val="both"/>
              <w:rPr>
                <w:rFonts w:ascii="Cambria" w:hAnsi="Cambria"/>
                <w:bCs/>
                <w:sz w:val="20"/>
                <w:szCs w:val="20"/>
              </w:rPr>
            </w:pPr>
            <w:r w:rsidRPr="003F53B9">
              <w:rPr>
                <w:rFonts w:ascii="Cambria" w:hAnsi="Cambria"/>
                <w:bCs/>
                <w:sz w:val="20"/>
                <w:szCs w:val="20"/>
              </w:rPr>
              <w:t xml:space="preserve">Article </w:t>
            </w:r>
            <w:r>
              <w:rPr>
                <w:rFonts w:ascii="Cambria" w:hAnsi="Cambria"/>
                <w:bCs/>
                <w:sz w:val="20"/>
                <w:szCs w:val="20"/>
              </w:rPr>
              <w:t>II</w:t>
            </w:r>
            <w:r w:rsidRPr="003F53B9">
              <w:rPr>
                <w:rFonts w:ascii="Cambria" w:hAnsi="Cambria"/>
                <w:bCs/>
                <w:sz w:val="20"/>
                <w:szCs w:val="20"/>
              </w:rPr>
              <w:t xml:space="preserve"> of the 1948 United Nations Convention on Genocide</w:t>
            </w:r>
            <w:r>
              <w:rPr>
                <w:rFonts w:ascii="Cambria" w:hAnsi="Cambria"/>
                <w:bCs/>
                <w:sz w:val="20"/>
                <w:szCs w:val="20"/>
              </w:rPr>
              <w:t xml:space="preserve"> (</w:t>
            </w:r>
            <w:r w:rsidR="00530C56" w:rsidRPr="00530C56">
              <w:rPr>
                <w:rFonts w:ascii="Cambria" w:hAnsi="Cambria"/>
                <w:bCs/>
                <w:sz w:val="20"/>
                <w:szCs w:val="20"/>
              </w:rPr>
              <w:t>"1948 Genocide Convention")</w:t>
            </w:r>
            <w:r w:rsidR="00530C56">
              <w:rPr>
                <w:rFonts w:ascii="Cambria" w:hAnsi="Cambria"/>
                <w:bCs/>
                <w:sz w:val="20"/>
                <w:szCs w:val="20"/>
              </w:rPr>
              <w:t xml:space="preserve"> and </w:t>
            </w:r>
            <w:r w:rsidR="00CE5519" w:rsidRPr="00CE5519">
              <w:rPr>
                <w:rFonts w:ascii="Cambria" w:hAnsi="Cambria"/>
                <w:bCs/>
                <w:sz w:val="20"/>
                <w:szCs w:val="20"/>
              </w:rPr>
              <w:t xml:space="preserve">Articles </w:t>
            </w:r>
            <w:r w:rsidR="00CD371C">
              <w:rPr>
                <w:rFonts w:ascii="Cambria" w:hAnsi="Cambria"/>
                <w:bCs/>
                <w:sz w:val="20"/>
                <w:szCs w:val="20"/>
              </w:rPr>
              <w:t>7</w:t>
            </w:r>
            <w:r w:rsidR="00CE5519" w:rsidRPr="00CE5519">
              <w:rPr>
                <w:rFonts w:ascii="Cambria" w:hAnsi="Cambria"/>
                <w:bCs/>
                <w:sz w:val="20"/>
                <w:szCs w:val="20"/>
              </w:rPr>
              <w:t xml:space="preserve"> and </w:t>
            </w:r>
            <w:r w:rsidR="00CD371C">
              <w:rPr>
                <w:rFonts w:ascii="Cambria" w:hAnsi="Cambria"/>
                <w:bCs/>
                <w:sz w:val="20"/>
                <w:szCs w:val="20"/>
              </w:rPr>
              <w:t>9</w:t>
            </w:r>
            <w:r w:rsidR="00CE5519" w:rsidRPr="00CE5519">
              <w:rPr>
                <w:rFonts w:ascii="Cambria" w:hAnsi="Cambria"/>
                <w:bCs/>
                <w:sz w:val="20"/>
                <w:szCs w:val="20"/>
              </w:rPr>
              <w:t xml:space="preserve"> of the Inter-American</w:t>
            </w:r>
            <w:r w:rsidR="00CD371C">
              <w:rPr>
                <w:rFonts w:ascii="Cambria" w:hAnsi="Cambria"/>
                <w:bCs/>
                <w:sz w:val="20"/>
                <w:szCs w:val="20"/>
              </w:rPr>
              <w:t xml:space="preserve"> </w:t>
            </w:r>
            <w:r w:rsidR="00CE5519" w:rsidRPr="00CE5519">
              <w:rPr>
                <w:rFonts w:ascii="Cambria" w:hAnsi="Cambria"/>
                <w:bCs/>
                <w:sz w:val="20"/>
                <w:szCs w:val="20"/>
              </w:rPr>
              <w:t>Convention on the Prevention, Punishment, and Eradication of Violence Against Women</w:t>
            </w:r>
            <w:r w:rsidR="006965F6">
              <w:rPr>
                <w:rFonts w:ascii="Cambria" w:hAnsi="Cambria"/>
                <w:bCs/>
                <w:sz w:val="20"/>
                <w:szCs w:val="20"/>
              </w:rPr>
              <w:t xml:space="preserve"> (“</w:t>
            </w:r>
            <w:r w:rsidR="006965F6" w:rsidRPr="006965F6">
              <w:rPr>
                <w:rFonts w:ascii="Cambria" w:hAnsi="Cambria"/>
                <w:bCs/>
                <w:sz w:val="20"/>
                <w:szCs w:val="20"/>
              </w:rPr>
              <w:t>Belem do Para Convention</w:t>
            </w:r>
            <w:r w:rsidR="006965F6">
              <w:rPr>
                <w:rFonts w:ascii="Cambria" w:hAnsi="Cambria"/>
                <w:bCs/>
                <w:sz w:val="20"/>
                <w:szCs w:val="20"/>
              </w:rPr>
              <w:t xml:space="preserve">”) </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B4BE810" w:rsidR="00F621C3" w:rsidRPr="000B6B7A" w:rsidRDefault="008671BC" w:rsidP="009163FC">
            <w:pPr>
              <w:jc w:val="both"/>
              <w:rPr>
                <w:rFonts w:ascii="Cambria" w:hAnsi="Cambria"/>
                <w:bCs/>
                <w:sz w:val="20"/>
                <w:szCs w:val="20"/>
              </w:rPr>
            </w:pPr>
            <w:r w:rsidRPr="008671BC">
              <w:rPr>
                <w:rFonts w:ascii="Cambria" w:hAnsi="Cambria"/>
                <w:bCs/>
                <w:sz w:val="20"/>
                <w:szCs w:val="20"/>
              </w:rPr>
              <w:t>December 17, 2015</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0F7ECA32" w:rsidR="00F621C3" w:rsidRPr="000B6B7A" w:rsidRDefault="000C3677" w:rsidP="009163FC">
            <w:pPr>
              <w:jc w:val="both"/>
              <w:rPr>
                <w:rFonts w:ascii="Cambria" w:hAnsi="Cambria"/>
                <w:bCs/>
                <w:sz w:val="20"/>
                <w:szCs w:val="20"/>
              </w:rPr>
            </w:pPr>
            <w:r>
              <w:rPr>
                <w:rFonts w:ascii="Cambria" w:hAnsi="Cambria"/>
                <w:bCs/>
                <w:sz w:val="20"/>
                <w:szCs w:val="20"/>
              </w:rPr>
              <w:t xml:space="preserve">December 18, </w:t>
            </w:r>
            <w:r w:rsidR="0091361A">
              <w:rPr>
                <w:rFonts w:ascii="Cambria" w:hAnsi="Cambria"/>
                <w:bCs/>
                <w:sz w:val="20"/>
                <w:szCs w:val="20"/>
              </w:rPr>
              <w:t>2015,</w:t>
            </w:r>
            <w:r w:rsidR="00A15ED7">
              <w:rPr>
                <w:rFonts w:ascii="Cambria" w:hAnsi="Cambria"/>
                <w:bCs/>
                <w:sz w:val="20"/>
                <w:szCs w:val="20"/>
              </w:rPr>
              <w:t xml:space="preserve"> March 14, </w:t>
            </w:r>
            <w:r w:rsidR="00D16789">
              <w:rPr>
                <w:rFonts w:ascii="Cambria" w:hAnsi="Cambria"/>
                <w:bCs/>
                <w:sz w:val="20"/>
                <w:szCs w:val="20"/>
              </w:rPr>
              <w:t>2016, January</w:t>
            </w:r>
            <w:r w:rsidR="00C729D0" w:rsidRPr="00C729D0">
              <w:rPr>
                <w:rFonts w:ascii="Cambria" w:hAnsi="Cambria"/>
                <w:bCs/>
                <w:sz w:val="20"/>
                <w:szCs w:val="20"/>
              </w:rPr>
              <w:t xml:space="preserve"> 3</w:t>
            </w:r>
            <w:r w:rsidR="00C729D0">
              <w:rPr>
                <w:rFonts w:ascii="Cambria" w:hAnsi="Cambria"/>
                <w:bCs/>
                <w:sz w:val="20"/>
                <w:szCs w:val="20"/>
              </w:rPr>
              <w:t>,</w:t>
            </w:r>
            <w:r w:rsidR="00C729D0" w:rsidRPr="00C729D0">
              <w:rPr>
                <w:rFonts w:ascii="Cambria" w:hAnsi="Cambria"/>
                <w:bCs/>
                <w:sz w:val="20"/>
                <w:szCs w:val="20"/>
              </w:rPr>
              <w:t xml:space="preserve"> 2019</w:t>
            </w:r>
            <w:r w:rsidR="00C729D0">
              <w:rPr>
                <w:rFonts w:ascii="Cambria" w:hAnsi="Cambria"/>
                <w:bCs/>
                <w:sz w:val="20"/>
                <w:szCs w:val="20"/>
              </w:rPr>
              <w:t xml:space="preserve">, </w:t>
            </w:r>
            <w:r w:rsidR="00F55664">
              <w:rPr>
                <w:rFonts w:ascii="Cambria" w:hAnsi="Cambria"/>
                <w:bCs/>
                <w:sz w:val="20"/>
                <w:szCs w:val="20"/>
              </w:rPr>
              <w:t xml:space="preserve">and </w:t>
            </w:r>
            <w:r w:rsidR="00C729D0">
              <w:rPr>
                <w:rFonts w:ascii="Cambria" w:hAnsi="Cambria"/>
                <w:bCs/>
                <w:sz w:val="20"/>
                <w:szCs w:val="20"/>
              </w:rPr>
              <w:t xml:space="preserve">May </w:t>
            </w:r>
            <w:r w:rsidR="006A22C6">
              <w:rPr>
                <w:rFonts w:ascii="Cambria" w:hAnsi="Cambria"/>
                <w:bCs/>
                <w:sz w:val="20"/>
                <w:szCs w:val="20"/>
              </w:rPr>
              <w:t>8, 2019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3B8E90A" w:rsidR="00F621C3" w:rsidRPr="000B6B7A" w:rsidRDefault="0091361A" w:rsidP="009163FC">
            <w:pPr>
              <w:jc w:val="both"/>
              <w:rPr>
                <w:rFonts w:ascii="Cambria" w:hAnsi="Cambria"/>
                <w:bCs/>
                <w:sz w:val="20"/>
                <w:szCs w:val="20"/>
              </w:rPr>
            </w:pPr>
            <w:r w:rsidRPr="0091361A">
              <w:rPr>
                <w:rFonts w:ascii="Cambria" w:hAnsi="Cambria"/>
                <w:bCs/>
                <w:sz w:val="20"/>
                <w:szCs w:val="20"/>
              </w:rPr>
              <w:t>October 23,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2B00F102" w:rsidR="00F621C3" w:rsidRPr="000B6B7A" w:rsidRDefault="008671BC" w:rsidP="009163FC">
            <w:pPr>
              <w:jc w:val="both"/>
              <w:rPr>
                <w:rFonts w:ascii="Cambria" w:hAnsi="Cambria"/>
                <w:bCs/>
                <w:sz w:val="20"/>
                <w:szCs w:val="20"/>
              </w:rPr>
            </w:pPr>
            <w:r>
              <w:rPr>
                <w:rFonts w:ascii="Cambria" w:hAnsi="Cambria"/>
                <w:bCs/>
                <w:sz w:val="20"/>
                <w:szCs w:val="20"/>
              </w:rPr>
              <w:t>April 30,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299F325C" w:rsidR="003771A3" w:rsidRPr="000B6B7A" w:rsidRDefault="006A1B7A" w:rsidP="009163FC">
            <w:pPr>
              <w:jc w:val="both"/>
              <w:rPr>
                <w:rFonts w:ascii="Cambria" w:hAnsi="Cambria"/>
                <w:bCs/>
                <w:sz w:val="20"/>
                <w:szCs w:val="20"/>
              </w:rPr>
            </w:pPr>
            <w:r>
              <w:rPr>
                <w:rFonts w:ascii="Cambria" w:hAnsi="Cambria"/>
                <w:bCs/>
                <w:sz w:val="20"/>
                <w:szCs w:val="20"/>
              </w:rPr>
              <w:t xml:space="preserve">January 4, 2020, </w:t>
            </w:r>
            <w:r w:rsidR="00584C7C">
              <w:rPr>
                <w:rFonts w:ascii="Cambria" w:hAnsi="Cambria"/>
                <w:bCs/>
                <w:sz w:val="20"/>
                <w:szCs w:val="20"/>
              </w:rPr>
              <w:t>June</w:t>
            </w:r>
            <w:r>
              <w:rPr>
                <w:rFonts w:ascii="Cambria" w:hAnsi="Cambria"/>
                <w:bCs/>
                <w:sz w:val="20"/>
                <w:szCs w:val="20"/>
              </w:rPr>
              <w:t xml:space="preserve"> 6, </w:t>
            </w:r>
            <w:r w:rsidR="00A030DD">
              <w:rPr>
                <w:rFonts w:ascii="Cambria" w:hAnsi="Cambria"/>
                <w:bCs/>
                <w:sz w:val="20"/>
                <w:szCs w:val="20"/>
              </w:rPr>
              <w:t xml:space="preserve">2020, </w:t>
            </w:r>
            <w:r w:rsidR="00F55664">
              <w:rPr>
                <w:rFonts w:ascii="Cambria" w:hAnsi="Cambria"/>
                <w:bCs/>
                <w:sz w:val="20"/>
                <w:szCs w:val="20"/>
              </w:rPr>
              <w:t xml:space="preserve">and </w:t>
            </w:r>
            <w:r w:rsidR="00A030DD">
              <w:rPr>
                <w:rFonts w:ascii="Cambria" w:hAnsi="Cambria"/>
                <w:bCs/>
                <w:sz w:val="20"/>
                <w:szCs w:val="20"/>
              </w:rPr>
              <w:t>September</w:t>
            </w:r>
            <w:r w:rsidR="00C0362E">
              <w:rPr>
                <w:rFonts w:ascii="Cambria" w:hAnsi="Cambria"/>
                <w:bCs/>
                <w:sz w:val="20"/>
                <w:szCs w:val="20"/>
              </w:rPr>
              <w:t xml:space="preserve"> 25, 2020 </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7481D314" w:rsidR="00F621C3" w:rsidRPr="000B6B7A" w:rsidRDefault="005B4B8E"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8906CF7" w:rsidR="00F621C3" w:rsidRPr="000B6B7A" w:rsidRDefault="005B4B8E"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7079F8CD" w:rsidR="00F621C3" w:rsidRPr="000B6B7A" w:rsidRDefault="005B4B8E"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1B6AD3B3" w:rsidR="00F621C3" w:rsidRPr="000B6B7A" w:rsidRDefault="005B4B8E" w:rsidP="009163FC">
            <w:pPr>
              <w:jc w:val="both"/>
              <w:rPr>
                <w:rFonts w:asciiTheme="majorHAnsi" w:hAnsiTheme="majorHAnsi"/>
                <w:bCs/>
                <w:sz w:val="20"/>
                <w:szCs w:val="20"/>
              </w:rPr>
            </w:pPr>
            <w:r w:rsidRPr="005B4B8E">
              <w:rPr>
                <w:rFonts w:asciiTheme="majorHAnsi" w:hAnsiTheme="majorHAnsi"/>
                <w:bCs/>
                <w:sz w:val="20"/>
                <w:szCs w:val="20"/>
              </w:rPr>
              <w:t>Yes, American Declaration</w:t>
            </w:r>
            <w:r w:rsidR="00A35300">
              <w:rPr>
                <w:rFonts w:asciiTheme="majorHAnsi" w:hAnsiTheme="majorHAnsi"/>
                <w:bCs/>
                <w:sz w:val="20"/>
                <w:szCs w:val="20"/>
              </w:rPr>
              <w:t xml:space="preserve"> o</w:t>
            </w:r>
            <w:r w:rsidR="00557486">
              <w:rPr>
                <w:rFonts w:asciiTheme="majorHAnsi" w:hAnsiTheme="majorHAnsi"/>
                <w:bCs/>
                <w:sz w:val="20"/>
                <w:szCs w:val="20"/>
              </w:rPr>
              <w:t>f</w:t>
            </w:r>
            <w:r w:rsidR="00A35300">
              <w:rPr>
                <w:rFonts w:asciiTheme="majorHAnsi" w:hAnsiTheme="majorHAnsi"/>
                <w:bCs/>
                <w:sz w:val="20"/>
                <w:szCs w:val="20"/>
              </w:rPr>
              <w:t xml:space="preserve"> the Rights and Duties of Man</w:t>
            </w:r>
            <w:r w:rsidR="00557486">
              <w:rPr>
                <w:rStyle w:val="FootnoteReference"/>
                <w:rFonts w:asciiTheme="majorHAnsi" w:hAnsiTheme="majorHAnsi"/>
                <w:bCs/>
                <w:sz w:val="20"/>
                <w:szCs w:val="20"/>
              </w:rPr>
              <w:footnoteReference w:id="4"/>
            </w:r>
            <w:r w:rsidRPr="005B4B8E">
              <w:rPr>
                <w:rFonts w:asciiTheme="majorHAnsi" w:hAnsiTheme="majorHAnsi"/>
                <w:bCs/>
                <w:sz w:val="20"/>
                <w:szCs w:val="20"/>
              </w:rPr>
              <w:t xml:space="preserve">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6C7D63C" w:rsidR="00F621C3" w:rsidRPr="000B6B7A" w:rsidRDefault="005B4B8E"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C0B12CF" w:rsidR="00F621C3" w:rsidRPr="000B6B7A" w:rsidRDefault="005E0E19" w:rsidP="009163FC">
            <w:pPr>
              <w:jc w:val="both"/>
              <w:rPr>
                <w:rFonts w:ascii="Cambria" w:hAnsi="Cambria"/>
                <w:bCs/>
                <w:sz w:val="20"/>
                <w:szCs w:val="20"/>
              </w:rPr>
            </w:pPr>
            <w:r w:rsidRPr="005E0E19">
              <w:rPr>
                <w:rFonts w:ascii="Cambria" w:hAnsi="Cambria"/>
                <w:bCs/>
                <w:sz w:val="20"/>
                <w:szCs w:val="20"/>
                <w:lang w:val="en"/>
              </w:rPr>
              <w:t>Article</w:t>
            </w:r>
            <w:r>
              <w:rPr>
                <w:rFonts w:ascii="Cambria" w:hAnsi="Cambria"/>
                <w:bCs/>
                <w:sz w:val="20"/>
                <w:szCs w:val="20"/>
                <w:lang w:val="en"/>
              </w:rPr>
              <w:t>s</w:t>
            </w:r>
            <w:r w:rsidRPr="005E0E19">
              <w:rPr>
                <w:rFonts w:ascii="Cambria" w:hAnsi="Cambria"/>
                <w:bCs/>
                <w:sz w:val="20"/>
                <w:szCs w:val="20"/>
                <w:lang w:val="en"/>
              </w:rPr>
              <w:t xml:space="preserve"> I (right to liberty and security of the person); </w:t>
            </w:r>
            <w:r w:rsidR="00701E8C">
              <w:rPr>
                <w:rFonts w:ascii="Cambria" w:hAnsi="Cambria"/>
                <w:bCs/>
                <w:sz w:val="20"/>
                <w:szCs w:val="20"/>
                <w:lang w:val="en"/>
              </w:rPr>
              <w:t xml:space="preserve">II (right to equality before the law); </w:t>
            </w:r>
            <w:r w:rsidRPr="005E0E19">
              <w:rPr>
                <w:rFonts w:ascii="Cambria" w:hAnsi="Cambria"/>
                <w:bCs/>
                <w:sz w:val="20"/>
                <w:szCs w:val="20"/>
                <w:lang w:val="en"/>
              </w:rPr>
              <w:t>XXV (right to humane treatment); and XXVI (right to due process of law) of the American Declaration</w:t>
            </w:r>
            <w:r>
              <w:rPr>
                <w:rFonts w:ascii="Cambria" w:hAnsi="Cambria"/>
                <w:bCs/>
                <w:sz w:val="20"/>
                <w:szCs w:val="20"/>
                <w:lang w:val="en"/>
              </w:rPr>
              <w:t xml:space="preserve"> in relation to the alleged victims </w:t>
            </w:r>
            <w:r w:rsidRPr="005E0E19">
              <w:rPr>
                <w:rFonts w:ascii="Cambria" w:hAnsi="Cambria"/>
                <w:bCs/>
                <w:sz w:val="20"/>
                <w:szCs w:val="20"/>
              </w:rPr>
              <w:t xml:space="preserve">Natasha McKenna, Joyce Curnell, Alexis McGovern, Ralkina </w:t>
            </w:r>
            <w:r w:rsidR="00B35987" w:rsidRPr="005E0E19">
              <w:rPr>
                <w:rFonts w:ascii="Cambria" w:hAnsi="Cambria"/>
                <w:bCs/>
                <w:sz w:val="20"/>
                <w:szCs w:val="20"/>
              </w:rPr>
              <w:t xml:space="preserve">Jones, </w:t>
            </w:r>
            <w:r w:rsidR="00B35987">
              <w:rPr>
                <w:rFonts w:ascii="Cambria" w:hAnsi="Cambria"/>
                <w:bCs/>
                <w:sz w:val="20"/>
                <w:szCs w:val="20"/>
              </w:rPr>
              <w:t>and</w:t>
            </w:r>
            <w:r w:rsidR="000C3677">
              <w:rPr>
                <w:rFonts w:ascii="Cambria" w:hAnsi="Cambria"/>
                <w:bCs/>
                <w:sz w:val="20"/>
                <w:szCs w:val="20"/>
              </w:rPr>
              <w:t xml:space="preserve"> </w:t>
            </w:r>
            <w:r w:rsidRPr="005E0E19">
              <w:rPr>
                <w:rFonts w:ascii="Cambria" w:hAnsi="Cambria"/>
                <w:bCs/>
                <w:sz w:val="20"/>
                <w:szCs w:val="20"/>
              </w:rPr>
              <w:t>Kindra Chapman</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63E83AF0" w:rsidR="00F621C3" w:rsidRPr="000B6B7A" w:rsidRDefault="00C80414" w:rsidP="009163FC">
            <w:pPr>
              <w:rPr>
                <w:rFonts w:ascii="Cambria" w:hAnsi="Cambria"/>
                <w:bCs/>
                <w:sz w:val="20"/>
                <w:szCs w:val="20"/>
              </w:rPr>
            </w:pPr>
            <w:r w:rsidRPr="00C80414">
              <w:rPr>
                <w:rFonts w:ascii="Cambria" w:hAnsi="Cambria"/>
                <w:bCs/>
                <w:sz w:val="20"/>
                <w:szCs w:val="20"/>
              </w:rPr>
              <w:t xml:space="preserve">Yes, in </w:t>
            </w:r>
            <w:r w:rsidR="00114567">
              <w:rPr>
                <w:rFonts w:ascii="Cambria" w:hAnsi="Cambria"/>
                <w:bCs/>
                <w:sz w:val="20"/>
                <w:szCs w:val="20"/>
              </w:rPr>
              <w:t>terms of</w:t>
            </w:r>
            <w:r w:rsidRPr="00C80414">
              <w:rPr>
                <w:rFonts w:ascii="Cambria" w:hAnsi="Cambria"/>
                <w:bCs/>
                <w:sz w:val="20"/>
                <w:szCs w:val="20"/>
              </w:rPr>
              <w:t xml:space="preserve">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204894D" w:rsidR="00F621C3" w:rsidRPr="000B6B7A" w:rsidRDefault="00C80414" w:rsidP="009163FC">
            <w:pPr>
              <w:rPr>
                <w:rFonts w:asciiTheme="majorHAnsi" w:hAnsiTheme="majorHAnsi"/>
                <w:bCs/>
                <w:sz w:val="20"/>
                <w:szCs w:val="20"/>
              </w:rPr>
            </w:pPr>
            <w:r w:rsidRPr="00C80414">
              <w:rPr>
                <w:rFonts w:asciiTheme="majorHAnsi" w:hAnsiTheme="majorHAnsi"/>
                <w:bCs/>
                <w:sz w:val="20"/>
                <w:szCs w:val="20"/>
              </w:rPr>
              <w:t xml:space="preserve">Yes, in </w:t>
            </w:r>
            <w:r w:rsidR="00114567">
              <w:rPr>
                <w:rFonts w:asciiTheme="majorHAnsi" w:hAnsiTheme="majorHAnsi"/>
                <w:bCs/>
                <w:sz w:val="20"/>
                <w:szCs w:val="20"/>
              </w:rPr>
              <w:t>terms of</w:t>
            </w:r>
            <w:r w:rsidRPr="00C80414">
              <w:rPr>
                <w:rFonts w:asciiTheme="majorHAnsi" w:hAnsiTheme="majorHAnsi"/>
                <w:bCs/>
                <w:sz w:val="20"/>
                <w:szCs w:val="20"/>
              </w:rPr>
              <w:t xml:space="preserve"> section VI</w:t>
            </w:r>
          </w:p>
        </w:tc>
      </w:tr>
    </w:tbl>
    <w:p w14:paraId="5A48924B" w14:textId="77777777" w:rsidR="00966A23" w:rsidRDefault="00966A23" w:rsidP="00F621C3">
      <w:pPr>
        <w:spacing w:before="240" w:after="240"/>
        <w:ind w:firstLine="720"/>
        <w:jc w:val="both"/>
        <w:rPr>
          <w:rFonts w:asciiTheme="majorHAnsi" w:hAnsiTheme="majorHAnsi"/>
          <w:b/>
          <w:sz w:val="20"/>
          <w:szCs w:val="20"/>
        </w:rPr>
      </w:pPr>
    </w:p>
    <w:p w14:paraId="629E2DE8" w14:textId="0B6FC797" w:rsidR="00F621C3" w:rsidRPr="00C9342F" w:rsidRDefault="00F621C3" w:rsidP="00FB0050">
      <w:pPr>
        <w:spacing w:after="240"/>
        <w:ind w:firstLine="720"/>
        <w:jc w:val="both"/>
        <w:rPr>
          <w:rFonts w:asciiTheme="majorHAnsi" w:hAnsiTheme="majorHAnsi"/>
          <w:b/>
          <w:sz w:val="20"/>
          <w:szCs w:val="20"/>
        </w:rPr>
      </w:pPr>
      <w:r w:rsidRPr="00C9342F">
        <w:rPr>
          <w:rFonts w:asciiTheme="majorHAnsi" w:hAnsiTheme="majorHAnsi"/>
          <w:b/>
          <w:sz w:val="20"/>
          <w:szCs w:val="20"/>
        </w:rPr>
        <w:lastRenderedPageBreak/>
        <w:t xml:space="preserve">V. </w:t>
      </w:r>
      <w:r w:rsidRPr="00C9342F">
        <w:rPr>
          <w:rFonts w:asciiTheme="majorHAnsi" w:hAnsiTheme="majorHAnsi"/>
          <w:b/>
          <w:sz w:val="20"/>
          <w:szCs w:val="20"/>
        </w:rPr>
        <w:tab/>
      </w:r>
      <w:r w:rsidR="00706858" w:rsidRPr="00C9342F">
        <w:rPr>
          <w:rFonts w:asciiTheme="majorHAnsi" w:hAnsiTheme="majorHAnsi"/>
          <w:b/>
          <w:sz w:val="20"/>
          <w:szCs w:val="20"/>
        </w:rPr>
        <w:t xml:space="preserve">ALLEGED </w:t>
      </w:r>
      <w:r w:rsidRPr="00C9342F">
        <w:rPr>
          <w:rFonts w:asciiTheme="majorHAnsi" w:hAnsiTheme="majorHAnsi"/>
          <w:b/>
          <w:sz w:val="20"/>
          <w:szCs w:val="20"/>
        </w:rPr>
        <w:t xml:space="preserve">FACTS </w:t>
      </w:r>
    </w:p>
    <w:p w14:paraId="6953F7A4" w14:textId="2B607C45" w:rsidR="00F621C3" w:rsidRPr="00C9342F" w:rsidRDefault="00E35F82"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This petition alleges that between February and July 2015, seven </w:t>
      </w:r>
      <w:r w:rsidR="00FB0050" w:rsidRPr="00C9342F">
        <w:rPr>
          <w:rFonts w:ascii="Cambria" w:hAnsi="Cambria"/>
          <w:sz w:val="20"/>
          <w:szCs w:val="20"/>
        </w:rPr>
        <w:t>African</w:t>
      </w:r>
      <w:r w:rsidR="004F7DAA" w:rsidRPr="00C9342F">
        <w:rPr>
          <w:rFonts w:ascii="Cambria" w:hAnsi="Cambria"/>
          <w:sz w:val="20"/>
          <w:szCs w:val="20"/>
        </w:rPr>
        <w:t>-</w:t>
      </w:r>
      <w:r w:rsidR="00FB0050" w:rsidRPr="00C9342F">
        <w:rPr>
          <w:rFonts w:ascii="Cambria" w:hAnsi="Cambria"/>
          <w:sz w:val="20"/>
          <w:szCs w:val="20"/>
        </w:rPr>
        <w:t>American</w:t>
      </w:r>
      <w:r w:rsidRPr="00C9342F">
        <w:rPr>
          <w:rFonts w:ascii="Cambria" w:hAnsi="Cambria"/>
          <w:sz w:val="20"/>
          <w:szCs w:val="20"/>
        </w:rPr>
        <w:t xml:space="preserve"> women were arrested and subsequently died at the hands of police officers while in custody. The petition contends that these deaths represent a pattern of genocide against </w:t>
      </w:r>
      <w:r w:rsidR="00FB0050" w:rsidRPr="00C9342F">
        <w:rPr>
          <w:rFonts w:ascii="Cambria" w:hAnsi="Cambria"/>
          <w:sz w:val="20"/>
          <w:szCs w:val="20"/>
        </w:rPr>
        <w:t>African</w:t>
      </w:r>
      <w:r w:rsidR="004F7DAA" w:rsidRPr="00C9342F">
        <w:rPr>
          <w:rFonts w:ascii="Cambria" w:hAnsi="Cambria"/>
          <w:sz w:val="20"/>
          <w:szCs w:val="20"/>
        </w:rPr>
        <w:t>-</w:t>
      </w:r>
      <w:r w:rsidR="00FB0050" w:rsidRPr="00C9342F">
        <w:rPr>
          <w:rFonts w:ascii="Cambria" w:hAnsi="Cambria"/>
          <w:sz w:val="20"/>
          <w:szCs w:val="20"/>
        </w:rPr>
        <w:t>American</w:t>
      </w:r>
      <w:r w:rsidRPr="00C9342F">
        <w:rPr>
          <w:rFonts w:ascii="Cambria" w:hAnsi="Cambria"/>
          <w:sz w:val="20"/>
          <w:szCs w:val="20"/>
        </w:rPr>
        <w:t xml:space="preserve"> women of child-bearing age. The seven women named in the petition (hereafter “the alleged victims”) are Sandra Bland, Natasha McKenna, Joyce Curnell, Alexis McGovern, Ralkina Jones, Kindra Chapman, and Raynetta Turner</w:t>
      </w:r>
      <w:r w:rsidR="00843858" w:rsidRPr="00C9342F">
        <w:rPr>
          <w:rStyle w:val="FootnoteReference"/>
          <w:rFonts w:ascii="Cambria" w:hAnsi="Cambria"/>
          <w:sz w:val="20"/>
          <w:szCs w:val="20"/>
        </w:rPr>
        <w:footnoteReference w:id="5"/>
      </w:r>
      <w:r w:rsidRPr="00C9342F">
        <w:rPr>
          <w:rFonts w:ascii="Cambria" w:hAnsi="Cambria"/>
          <w:sz w:val="20"/>
          <w:szCs w:val="20"/>
        </w:rPr>
        <w:t>.</w:t>
      </w:r>
      <w:r w:rsidR="004F7DAA" w:rsidRPr="00C9342F">
        <w:rPr>
          <w:rFonts w:ascii="Cambria" w:hAnsi="Cambria"/>
          <w:sz w:val="20"/>
          <w:szCs w:val="20"/>
        </w:rPr>
        <w:t xml:space="preserve"> </w:t>
      </w:r>
      <w:r w:rsidRPr="00C9342F">
        <w:rPr>
          <w:rFonts w:ascii="Cambria" w:hAnsi="Cambria"/>
          <w:sz w:val="20"/>
          <w:szCs w:val="20"/>
        </w:rPr>
        <w:t>According to the petitioner, none of these deaths in 2015 has resulted in the indictment of any police officers.</w:t>
      </w:r>
    </w:p>
    <w:p w14:paraId="734E677C" w14:textId="6E955E69" w:rsidR="00C84D0A" w:rsidRPr="00C9342F" w:rsidRDefault="00D82934"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The petitioner provides the following information on each of the alleged victims. </w:t>
      </w:r>
    </w:p>
    <w:p w14:paraId="4DB1D9E9" w14:textId="4B04B234" w:rsidR="003654EA" w:rsidRPr="00C9342F" w:rsidRDefault="003654EA" w:rsidP="004F7D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Sandra Bland</w:t>
      </w:r>
    </w:p>
    <w:p w14:paraId="7353C3A0" w14:textId="3C5EEBB1" w:rsidR="00D82934" w:rsidRPr="00C9342F" w:rsidRDefault="003654EA"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On July 10, 2015, Sandra Bland (“Ms. Bland”) was pulled over by a police officer while driving a motorcar in Waller County Texas. The police officer stopped her because of an apparent minor traffic violation (improper lane use). Ms. Bland was subsequently charged with resisting arrest, and ultimately taken into police custody. Three days later (July 13, 2015), the police announced that Ms. Bland had died in her cell because of an apparent suicide. According to the petitioner, the supposed method of suicide was a clear plastic bag covering Ms. Bland’s head; and that the plastic bag was held in place by a “sturdy rope”. The petitioner contends that this was not a suicide (but a homicide). The petitioner submits the report of the autopsy conducted on Ms. Bland on July 22, </w:t>
      </w:r>
      <w:r w:rsidR="00497CD4" w:rsidRPr="00C9342F">
        <w:rPr>
          <w:rFonts w:ascii="Cambria" w:hAnsi="Cambria"/>
          <w:sz w:val="20"/>
          <w:szCs w:val="20"/>
        </w:rPr>
        <w:t>2015,</w:t>
      </w:r>
      <w:r w:rsidRPr="00C9342F">
        <w:rPr>
          <w:rFonts w:ascii="Cambria" w:hAnsi="Cambria"/>
          <w:sz w:val="20"/>
          <w:szCs w:val="20"/>
        </w:rPr>
        <w:t xml:space="preserve"> by Sara Doyle, MD, Assistant Medical Examiner. This report established that the cause of death was hanging, and that the manner of death was suicide. In this regard, the report found that there was ligature furrow around the neck, and that the ligature itself was a transparent white plastic trash bag.</w:t>
      </w:r>
    </w:p>
    <w:p w14:paraId="0EBF2DF9" w14:textId="77777777" w:rsidR="009E7C43" w:rsidRPr="00C9342F" w:rsidRDefault="009E7C43" w:rsidP="004F7D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Raynetta Turner</w:t>
      </w:r>
    </w:p>
    <w:p w14:paraId="3102AC1C" w14:textId="403F71B6" w:rsidR="003654EA" w:rsidRPr="00C9342F" w:rsidRDefault="009E7C43"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On July 25, 2015, Raynetta Turner (Ms. Turner) was arrested by the police in Mount Vernon, New York for two counts of theft. She was placed in custody and died 48 hours later. The petitioner submits a report of an investigation into the death of Ms. Turner conducted by the Office of the Attorney General of New York, on the orders of the Governor of New York. Based on available information, it appears that this investigation was initiated in August 2015 and was completed in March 2016. This report ultimately found that the police did not cause Ms. Turner’s death. The report also mentioned that</w:t>
      </w:r>
      <w:r w:rsidR="00401F06" w:rsidRPr="00C9342F">
        <w:rPr>
          <w:rFonts w:ascii="Cambria" w:hAnsi="Cambria"/>
          <w:sz w:val="20"/>
          <w:szCs w:val="20"/>
        </w:rPr>
        <w:t>:</w:t>
      </w:r>
      <w:r w:rsidRPr="00C9342F">
        <w:rPr>
          <w:rFonts w:ascii="Cambria" w:hAnsi="Cambria"/>
          <w:sz w:val="20"/>
          <w:szCs w:val="20"/>
        </w:rPr>
        <w:t xml:space="preserve"> (a) the Medical Examiner found that Ms. Turner’s death was caused by an enlarged heart, and that chronic cocaine and morphine use contributed to her death; (b) Ms. Turner’s medical records prior to her arrest included recording indicating drug use and chronic cardiac issues; and (c) The Medical Examiner found no physical trauma suggesting any form of physical abuse by the Mount Vernon Police Department. The report also noted that Ms. Turner’s confinement was monitored by video (and that that none of the video footage showed any evidence of physical abuse being inflicted on Ms. Turner.</w:t>
      </w:r>
    </w:p>
    <w:p w14:paraId="30569AB6" w14:textId="77777777" w:rsidR="0051341C" w:rsidRPr="00C9342F" w:rsidRDefault="0051341C" w:rsidP="00401F0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Natasha McKenna</w:t>
      </w:r>
    </w:p>
    <w:p w14:paraId="49728D95" w14:textId="57A6BEDC" w:rsidR="009E7C43" w:rsidRPr="00C9342F" w:rsidRDefault="0051341C"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Natasha McKenna (Ms. McKenna) was arrested by the police in Fairfax, Virginia on January 26, </w:t>
      </w:r>
      <w:r w:rsidR="00497CD4" w:rsidRPr="00C9342F">
        <w:rPr>
          <w:rFonts w:ascii="Cambria" w:hAnsi="Cambria"/>
          <w:sz w:val="20"/>
          <w:szCs w:val="20"/>
        </w:rPr>
        <w:t>2015,</w:t>
      </w:r>
      <w:r w:rsidRPr="00C9342F">
        <w:rPr>
          <w:rFonts w:ascii="Cambria" w:hAnsi="Cambria"/>
          <w:sz w:val="20"/>
          <w:szCs w:val="20"/>
        </w:rPr>
        <w:t xml:space="preserve"> for assaulting a police officer. She was placed in custody</w:t>
      </w:r>
      <w:r w:rsidR="00C73DBC" w:rsidRPr="00C9342F">
        <w:rPr>
          <w:rFonts w:ascii="Cambria" w:hAnsi="Cambria"/>
          <w:sz w:val="20"/>
          <w:szCs w:val="20"/>
        </w:rPr>
        <w:t>; and</w:t>
      </w:r>
      <w:r w:rsidRPr="00C9342F">
        <w:rPr>
          <w:rFonts w:ascii="Cambria" w:hAnsi="Cambria"/>
          <w:sz w:val="20"/>
          <w:szCs w:val="20"/>
        </w:rPr>
        <w:t xml:space="preserve"> died on February 3, </w:t>
      </w:r>
      <w:r w:rsidR="00497CD4" w:rsidRPr="00C9342F">
        <w:rPr>
          <w:rFonts w:ascii="Cambria" w:hAnsi="Cambria"/>
          <w:sz w:val="20"/>
          <w:szCs w:val="20"/>
        </w:rPr>
        <w:t>2015,</w:t>
      </w:r>
      <w:r w:rsidRPr="00C9342F">
        <w:rPr>
          <w:rFonts w:ascii="Cambria" w:hAnsi="Cambria"/>
          <w:sz w:val="20"/>
          <w:szCs w:val="20"/>
        </w:rPr>
        <w:t xml:space="preserve"> as a result of “</w:t>
      </w:r>
      <w:r w:rsidRPr="00C9342F">
        <w:rPr>
          <w:rFonts w:ascii="Cambria" w:hAnsi="Cambria"/>
          <w:i/>
          <w:iCs/>
          <w:sz w:val="20"/>
          <w:szCs w:val="20"/>
        </w:rPr>
        <w:t>an accident with a stun gun</w:t>
      </w:r>
      <w:r w:rsidRPr="00C9342F">
        <w:rPr>
          <w:rFonts w:ascii="Cambria" w:hAnsi="Cambria"/>
          <w:sz w:val="20"/>
          <w:szCs w:val="20"/>
        </w:rPr>
        <w:t>” while in custody. The petitioner also submits a YouTube video which she describes as “Natasha McKenna death captured on video”</w:t>
      </w:r>
      <w:r w:rsidRPr="00C9342F">
        <w:rPr>
          <w:rStyle w:val="FootnoteReference"/>
          <w:rFonts w:ascii="Cambria" w:hAnsi="Cambria"/>
          <w:sz w:val="20"/>
          <w:szCs w:val="20"/>
        </w:rPr>
        <w:footnoteReference w:id="6"/>
      </w:r>
      <w:r w:rsidRPr="00C9342F">
        <w:rPr>
          <w:rFonts w:ascii="Cambria" w:hAnsi="Cambria"/>
          <w:sz w:val="20"/>
          <w:szCs w:val="20"/>
        </w:rPr>
        <w:t xml:space="preserve"> .   </w:t>
      </w:r>
    </w:p>
    <w:p w14:paraId="6EE5BD00" w14:textId="0CA439A4" w:rsidR="0099410D" w:rsidRPr="00C9342F" w:rsidRDefault="0099410D" w:rsidP="00C73D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lastRenderedPageBreak/>
        <w:t>Joyce Curnell</w:t>
      </w:r>
    </w:p>
    <w:p w14:paraId="43CC9177" w14:textId="6F0A57F5" w:rsidR="007976EE" w:rsidRPr="00C9342F" w:rsidRDefault="0099410D"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On July 22, 2015, Joyce Curnell (“Ms. Curnell”) was arrested in Charleston, South Carolina for shoplifting. Ms. Curnell died in custody on July 24, 2015. According to the petitioner, this death in custody is “</w:t>
      </w:r>
      <w:r w:rsidRPr="00C9342F">
        <w:rPr>
          <w:rFonts w:ascii="Cambria" w:hAnsi="Cambria"/>
          <w:i/>
          <w:iCs/>
          <w:sz w:val="20"/>
          <w:szCs w:val="20"/>
        </w:rPr>
        <w:t>under investigation</w:t>
      </w:r>
      <w:r w:rsidRPr="00C9342F">
        <w:rPr>
          <w:rFonts w:ascii="Cambria" w:hAnsi="Cambria"/>
          <w:sz w:val="20"/>
          <w:szCs w:val="20"/>
        </w:rPr>
        <w:t>”.</w:t>
      </w:r>
      <w:r w:rsidR="00056D3F" w:rsidRPr="00C9342F">
        <w:rPr>
          <w:rFonts w:ascii="Cambria" w:hAnsi="Cambria"/>
          <w:sz w:val="20"/>
          <w:szCs w:val="20"/>
        </w:rPr>
        <w:t xml:space="preserve"> –</w:t>
      </w:r>
      <w:r w:rsidR="00056D3F" w:rsidRPr="00C9342F">
        <w:t xml:space="preserve"> </w:t>
      </w:r>
      <w:r w:rsidR="00056D3F" w:rsidRPr="00C9342F">
        <w:rPr>
          <w:rFonts w:ascii="Cambria" w:hAnsi="Cambria"/>
          <w:sz w:val="20"/>
          <w:szCs w:val="20"/>
        </w:rPr>
        <w:t>The petitioner provides no details on the cause or manner of Ms.Curnell’s death –.</w:t>
      </w:r>
    </w:p>
    <w:p w14:paraId="0BF6D8C6" w14:textId="0D7B071D" w:rsidR="007976EE" w:rsidRPr="00C9342F" w:rsidRDefault="007976EE" w:rsidP="00C73D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Alexis McGovern</w:t>
      </w:r>
    </w:p>
    <w:p w14:paraId="3376E7C2" w14:textId="665FF726" w:rsidR="0099410D" w:rsidRPr="00C9342F" w:rsidRDefault="007976EE"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In July 2015, Alexis McGovern (“Ms. McGovern) was arrested in St. Louis, Missouri for, or as result of a “</w:t>
      </w:r>
      <w:r w:rsidRPr="00C9342F">
        <w:rPr>
          <w:rFonts w:ascii="Cambria" w:hAnsi="Cambria"/>
          <w:i/>
          <w:iCs/>
          <w:sz w:val="20"/>
          <w:szCs w:val="20"/>
        </w:rPr>
        <w:t>mental health call</w:t>
      </w:r>
      <w:r w:rsidRPr="00C9342F">
        <w:rPr>
          <w:rFonts w:ascii="Cambria" w:hAnsi="Cambria"/>
          <w:sz w:val="20"/>
          <w:szCs w:val="20"/>
        </w:rPr>
        <w:t>”</w:t>
      </w:r>
      <w:r w:rsidR="007F03DD" w:rsidRPr="00C9342F">
        <w:rPr>
          <w:rFonts w:ascii="Cambria" w:hAnsi="Cambria"/>
          <w:sz w:val="20"/>
          <w:szCs w:val="20"/>
        </w:rPr>
        <w:t>. –The petitioner provides no details about this “</w:t>
      </w:r>
      <w:r w:rsidR="007F03DD" w:rsidRPr="00C9342F">
        <w:rPr>
          <w:rFonts w:ascii="Cambria" w:hAnsi="Cambria"/>
          <w:i/>
          <w:iCs/>
          <w:sz w:val="20"/>
          <w:szCs w:val="20"/>
        </w:rPr>
        <w:t>mental health call</w:t>
      </w:r>
      <w:r w:rsidR="007F03DD" w:rsidRPr="00C9342F">
        <w:rPr>
          <w:rFonts w:ascii="Cambria" w:hAnsi="Cambria"/>
          <w:sz w:val="20"/>
          <w:szCs w:val="20"/>
        </w:rPr>
        <w:t>”–</w:t>
      </w:r>
      <w:r w:rsidRPr="00C9342F">
        <w:rPr>
          <w:rFonts w:ascii="Cambria" w:hAnsi="Cambria"/>
          <w:sz w:val="20"/>
          <w:szCs w:val="20"/>
        </w:rPr>
        <w:t>. According to the petitioner, Ms. McGovern later died in police custody in July 2015, and that her death is “under investigation”.</w:t>
      </w:r>
      <w:r w:rsidR="00CA08CE" w:rsidRPr="00C9342F">
        <w:rPr>
          <w:rFonts w:ascii="Cambria" w:hAnsi="Cambria"/>
          <w:sz w:val="20"/>
          <w:szCs w:val="20"/>
        </w:rPr>
        <w:t xml:space="preserve"> –No specific dates were given–.</w:t>
      </w:r>
    </w:p>
    <w:p w14:paraId="5D2E9136" w14:textId="77777777" w:rsidR="00126C6F" w:rsidRPr="00C9342F" w:rsidRDefault="00126C6F" w:rsidP="00C73D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Ralkina Jones</w:t>
      </w:r>
    </w:p>
    <w:p w14:paraId="138C927B" w14:textId="21869FAD" w:rsidR="0011496C" w:rsidRPr="00C9342F" w:rsidRDefault="00126C6F" w:rsidP="00CA08C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In July 2015, Ralkina Jones (“Ms. Jones) was arrested in Cleveland, Ohio in relation to a “domestic disturbance”. She later died in police custody during July 2015. The petitioner states that Ms. Jones’ death is “under investigation”. </w:t>
      </w:r>
      <w:r w:rsidR="00CA08CE" w:rsidRPr="00C9342F">
        <w:rPr>
          <w:rFonts w:ascii="Cambria" w:hAnsi="Cambria"/>
          <w:sz w:val="20"/>
          <w:szCs w:val="20"/>
        </w:rPr>
        <w:t>–No specific dates were given–.</w:t>
      </w:r>
    </w:p>
    <w:p w14:paraId="2D482E78" w14:textId="12DC30CF" w:rsidR="0011496C" w:rsidRPr="00C9342F" w:rsidRDefault="0011496C" w:rsidP="009C56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C9342F">
        <w:rPr>
          <w:rFonts w:ascii="Cambria" w:hAnsi="Cambria"/>
          <w:i/>
          <w:iCs/>
          <w:sz w:val="20"/>
          <w:szCs w:val="20"/>
        </w:rPr>
        <w:t>Kindra Chapman</w:t>
      </w:r>
    </w:p>
    <w:p w14:paraId="3778C467" w14:textId="58B9B8F2" w:rsidR="009202B0" w:rsidRPr="00C9342F" w:rsidRDefault="0011496C"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In July 2015, Kindra Chapman (“Ms. Chapman”) was arrested in Homewood, Alabama on a charge of theft of a cellular phone. Ms. Chapman died in custody (during the month of July 2015), with the police reporting that she had committed suicide. </w:t>
      </w:r>
      <w:r w:rsidR="002B2F80" w:rsidRPr="00C9342F">
        <w:rPr>
          <w:rFonts w:ascii="Cambria" w:hAnsi="Cambria"/>
          <w:sz w:val="20"/>
          <w:szCs w:val="20"/>
        </w:rPr>
        <w:t>According to the petitioner</w:t>
      </w:r>
      <w:r w:rsidRPr="00C9342F">
        <w:rPr>
          <w:rFonts w:ascii="Cambria" w:hAnsi="Cambria"/>
          <w:sz w:val="20"/>
          <w:szCs w:val="20"/>
        </w:rPr>
        <w:t xml:space="preserve">, the police </w:t>
      </w:r>
      <w:r w:rsidR="002B2F80" w:rsidRPr="00C9342F">
        <w:rPr>
          <w:rFonts w:ascii="Cambria" w:hAnsi="Cambria"/>
          <w:sz w:val="20"/>
          <w:szCs w:val="20"/>
        </w:rPr>
        <w:t>reported</w:t>
      </w:r>
      <w:r w:rsidRPr="00C9342F">
        <w:rPr>
          <w:rFonts w:ascii="Cambria" w:hAnsi="Cambria"/>
          <w:sz w:val="20"/>
          <w:szCs w:val="20"/>
        </w:rPr>
        <w:t xml:space="preserve"> that Ms. Chapman hanged herself using bed sheets.</w:t>
      </w:r>
    </w:p>
    <w:p w14:paraId="67F910BA" w14:textId="3215A595" w:rsidR="000B069D" w:rsidRPr="00C9342F" w:rsidRDefault="000B069D" w:rsidP="000B06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rPr>
      </w:pPr>
      <w:r w:rsidRPr="00C9342F">
        <w:rPr>
          <w:rFonts w:ascii="Cambria" w:hAnsi="Cambria"/>
          <w:i/>
          <w:iCs/>
          <w:sz w:val="20"/>
          <w:szCs w:val="20"/>
        </w:rPr>
        <w:t>State´s response</w:t>
      </w:r>
    </w:p>
    <w:p w14:paraId="71879F23" w14:textId="30018966" w:rsidR="002B2F80" w:rsidRPr="00C9342F" w:rsidRDefault="00610F60"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The </w:t>
      </w:r>
      <w:r w:rsidR="00366945" w:rsidRPr="00C9342F">
        <w:rPr>
          <w:rFonts w:ascii="Cambria" w:hAnsi="Cambria"/>
          <w:sz w:val="20"/>
          <w:szCs w:val="20"/>
        </w:rPr>
        <w:t xml:space="preserve">United States in its response </w:t>
      </w:r>
      <w:r w:rsidRPr="00C9342F">
        <w:rPr>
          <w:rFonts w:ascii="Cambria" w:hAnsi="Cambria"/>
          <w:sz w:val="20"/>
          <w:szCs w:val="20"/>
        </w:rPr>
        <w:t xml:space="preserve">rejects </w:t>
      </w:r>
      <w:r w:rsidR="000B069D" w:rsidRPr="00C9342F">
        <w:rPr>
          <w:rFonts w:ascii="Cambria" w:hAnsi="Cambria"/>
          <w:sz w:val="20"/>
          <w:szCs w:val="20"/>
        </w:rPr>
        <w:t>the petition</w:t>
      </w:r>
      <w:r w:rsidRPr="00C9342F">
        <w:rPr>
          <w:rFonts w:ascii="Cambria" w:hAnsi="Cambria"/>
          <w:sz w:val="20"/>
          <w:szCs w:val="20"/>
        </w:rPr>
        <w:t xml:space="preserve"> as inadmissible principally on the grounds of failure to pursue and exhaust domestic remedies; failure to state facts that tend to establish a violation of the American Declaration; and that the petition is manifestly groundless.</w:t>
      </w:r>
    </w:p>
    <w:p w14:paraId="39ACF28E" w14:textId="3C97C482" w:rsidR="00610F60" w:rsidRPr="00C9342F" w:rsidRDefault="00610F60"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Regarding the issue of exhaustion of domestic remedies, the State contends that the petition contains no references as to whether and how petitioner attempted to invoke or exhaust domestic remedies related to the allegations in the petition, through criminal, civil, or administrative processes. The State further argues</w:t>
      </w:r>
      <w:r w:rsidR="009457D0" w:rsidRPr="00C9342F">
        <w:rPr>
          <w:rFonts w:ascii="Cambria" w:hAnsi="Cambria"/>
          <w:sz w:val="20"/>
          <w:szCs w:val="20"/>
        </w:rPr>
        <w:t xml:space="preserve"> that</w:t>
      </w:r>
      <w:r w:rsidRPr="00C9342F">
        <w:rPr>
          <w:rFonts w:ascii="Cambria" w:hAnsi="Cambria"/>
          <w:sz w:val="20"/>
          <w:szCs w:val="20"/>
        </w:rPr>
        <w:t xml:space="preserve"> </w:t>
      </w:r>
      <w:r w:rsidR="009457D0" w:rsidRPr="00C9342F">
        <w:rPr>
          <w:rFonts w:ascii="Cambria" w:hAnsi="Cambria"/>
          <w:sz w:val="20"/>
          <w:szCs w:val="20"/>
        </w:rPr>
        <w:t>i</w:t>
      </w:r>
      <w:r w:rsidRPr="00C9342F">
        <w:rPr>
          <w:rFonts w:ascii="Cambria" w:hAnsi="Cambria"/>
          <w:sz w:val="20"/>
          <w:szCs w:val="20"/>
        </w:rPr>
        <w:t>t was petitioner's duty to initiate judicial proceedings if she believed the United States needed to address the alleged violations, but nothing in the record indicates that petitioner did so. Additionally, the State contends that the petitioner provides no explanation or evidence of whether she attempted to pursue claims against those actors she alleges are responsible for the alleged violations; and the petitioner presents no indication of any attempt to litigate the violations alleged in the petition in U.S. courts at either the state or federal level; and there is no record of any domestic proceedings related to the abuses alleged to have been committed.</w:t>
      </w:r>
    </w:p>
    <w:p w14:paraId="419F8824" w14:textId="7426CFAD" w:rsidR="00610F60" w:rsidRPr="00C9342F" w:rsidRDefault="00C75E93"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The State contends that the petition fails to state facts that tend to establish a violation of the American Declaration and is otherwise manifestly groundless. In this regard, the State argues that the petitioner alleges without basis that several States in the U.S. have engaged in "</w:t>
      </w:r>
      <w:r w:rsidRPr="00C9342F">
        <w:rPr>
          <w:rFonts w:ascii="Cambria" w:hAnsi="Cambria"/>
          <w:i/>
          <w:iCs/>
          <w:sz w:val="20"/>
          <w:szCs w:val="20"/>
        </w:rPr>
        <w:t>the genocide of childbearing aged Black Women</w:t>
      </w:r>
      <w:r w:rsidRPr="00C9342F">
        <w:rPr>
          <w:rFonts w:ascii="Cambria" w:hAnsi="Cambria"/>
          <w:sz w:val="20"/>
          <w:szCs w:val="20"/>
        </w:rPr>
        <w:t xml:space="preserve">." Further, the State argues that the petition contains unfounded statements and opinions by petitioner about the deaths of seven women in 2015, which do not state facts that tend to establish a violation of the American Declaration.  </w:t>
      </w:r>
    </w:p>
    <w:p w14:paraId="0FB67DE9" w14:textId="1266D062" w:rsidR="00C84D0A" w:rsidRPr="00C9342F" w:rsidRDefault="00C75E93"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lastRenderedPageBreak/>
        <w:t xml:space="preserve">The State notes that the petition invokes the Inter-American Convention on the Prevention, Punishment, and Eradication of Violence Against Women (“Belém do Pará Convention”) and the Convention on the Prevention and Punishment of the Crime of Genocide (“1948 Genocide Convention"). The State indicates that it is not a party to the Belém do Pará Convention. The State also indicates that the Commission has no competence to apply the 1948 Genocide Convention, and more broadly, that it lacks the competence to apply any instrument to the United States other than the American Declaration. Ultimately, the State argues that each of these instruments (invoked by the petitioner) is outside the Commission's competence </w:t>
      </w:r>
      <w:r w:rsidRPr="00C9342F">
        <w:rPr>
          <w:rFonts w:ascii="Cambria" w:hAnsi="Cambria"/>
          <w:i/>
          <w:iCs/>
          <w:sz w:val="20"/>
          <w:szCs w:val="20"/>
        </w:rPr>
        <w:t>ratione materiae</w:t>
      </w:r>
      <w:r w:rsidRPr="00C9342F">
        <w:rPr>
          <w:rFonts w:ascii="Cambria" w:hAnsi="Cambria"/>
          <w:sz w:val="20"/>
          <w:szCs w:val="20"/>
        </w:rPr>
        <w:t>. Accordingly, any claims made by the petitioners' claims, which are based on such instruments, are inadmissible</w:t>
      </w:r>
    </w:p>
    <w:p w14:paraId="55505107" w14:textId="28153572" w:rsidR="00F621C3" w:rsidRPr="00C9342F" w:rsidRDefault="00F621C3" w:rsidP="00FB0050">
      <w:pPr>
        <w:spacing w:after="240"/>
        <w:ind w:firstLine="720"/>
        <w:jc w:val="both"/>
        <w:rPr>
          <w:rFonts w:ascii="Cambria" w:hAnsi="Cambria"/>
          <w:sz w:val="20"/>
          <w:szCs w:val="20"/>
        </w:rPr>
      </w:pPr>
      <w:r w:rsidRPr="00C9342F">
        <w:rPr>
          <w:rFonts w:asciiTheme="majorHAnsi" w:eastAsia="Cambria" w:hAnsiTheme="majorHAnsi" w:cs="Cambria"/>
          <w:b/>
          <w:bCs/>
          <w:color w:val="000000"/>
          <w:sz w:val="20"/>
          <w:szCs w:val="20"/>
          <w:u w:color="000000"/>
          <w:lang w:eastAsia="es-ES"/>
        </w:rPr>
        <w:t>VI.</w:t>
      </w:r>
      <w:r w:rsidRPr="00C9342F">
        <w:rPr>
          <w:rFonts w:asciiTheme="majorHAnsi" w:eastAsia="Cambria" w:hAnsiTheme="majorHAnsi" w:cs="Cambria"/>
          <w:b/>
          <w:bCs/>
          <w:color w:val="000000"/>
          <w:sz w:val="20"/>
          <w:szCs w:val="20"/>
          <w:u w:color="000000"/>
          <w:lang w:eastAsia="es-ES"/>
        </w:rPr>
        <w:tab/>
      </w:r>
      <w:r w:rsidR="001F1902" w:rsidRPr="00C9342F">
        <w:rPr>
          <w:rFonts w:asciiTheme="majorHAnsi" w:hAnsiTheme="majorHAnsi"/>
          <w:b/>
          <w:bCs/>
          <w:sz w:val="20"/>
          <w:szCs w:val="20"/>
        </w:rPr>
        <w:t xml:space="preserve">ANALYSIS OF </w:t>
      </w:r>
      <w:r w:rsidRPr="00C9342F">
        <w:rPr>
          <w:rFonts w:asciiTheme="majorHAnsi" w:hAnsiTheme="majorHAnsi"/>
          <w:b/>
          <w:sz w:val="20"/>
          <w:szCs w:val="20"/>
        </w:rPr>
        <w:t>EXHAUSTION OF DOMESTIC REMEDIES AND TIMELINESS OF THE PETITION</w:t>
      </w:r>
      <w:r w:rsidRPr="00C9342F">
        <w:rPr>
          <w:rFonts w:asciiTheme="majorHAnsi" w:eastAsia="Cambria" w:hAnsiTheme="majorHAnsi" w:cs="Cambria"/>
          <w:b/>
          <w:bCs/>
          <w:color w:val="000000"/>
          <w:sz w:val="20"/>
          <w:szCs w:val="20"/>
          <w:u w:color="000000"/>
          <w:lang w:eastAsia="es-ES"/>
        </w:rPr>
        <w:t xml:space="preserve"> </w:t>
      </w:r>
    </w:p>
    <w:p w14:paraId="3FAEDCFE" w14:textId="5CF19026" w:rsidR="00C84D0A" w:rsidRPr="00C9342F" w:rsidRDefault="00BC5C66"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This matter concerns allegations of extrajudicial killing of seven alleged victims while in police custody. In this regard</w:t>
      </w:r>
      <w:r w:rsidR="008A5AB4" w:rsidRPr="00C9342F">
        <w:rPr>
          <w:rFonts w:ascii="Cambria" w:hAnsi="Cambria"/>
          <w:sz w:val="20"/>
          <w:szCs w:val="20"/>
        </w:rPr>
        <w:t>,</w:t>
      </w:r>
      <w:r w:rsidRPr="00C9342F">
        <w:rPr>
          <w:rFonts w:ascii="Cambria" w:hAnsi="Cambria"/>
          <w:sz w:val="20"/>
          <w:szCs w:val="20"/>
        </w:rPr>
        <w:t xml:space="preserve"> the State contends that the petitioner has failed to invoke or exhaust domestic remedies. On the other hand, the petitioner generally claims that none of the deaths has resulted in the indictment of any police officer. Generally, the petitioner has not provided information concerning whether her petition meets the requirement of exhaustion of domestic remedies or whether an exception to this requirement is applicable.</w:t>
      </w:r>
    </w:p>
    <w:p w14:paraId="05415C74" w14:textId="421FFD61" w:rsidR="00F621C3" w:rsidRPr="00C9342F" w:rsidRDefault="008A5AB4"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However, a</w:t>
      </w:r>
      <w:r w:rsidR="00BC5C66" w:rsidRPr="00C9342F">
        <w:rPr>
          <w:rFonts w:ascii="Cambria" w:hAnsi="Cambria"/>
          <w:sz w:val="20"/>
          <w:szCs w:val="20"/>
        </w:rPr>
        <w:t>s a general principle, the Commission has established that in cases where persons die while in State custody, that the appropriate and effective remedy is for the State to conduct a serious, impartial, and effective investigation; and that such an investigation must be conducted within a reasonable time and not as a mere formality</w:t>
      </w:r>
      <w:r w:rsidR="00B67E82" w:rsidRPr="00C9342F">
        <w:rPr>
          <w:rStyle w:val="FootnoteReference"/>
          <w:rFonts w:ascii="Cambria" w:hAnsi="Cambria"/>
          <w:sz w:val="20"/>
          <w:szCs w:val="20"/>
        </w:rPr>
        <w:footnoteReference w:id="7"/>
      </w:r>
      <w:r w:rsidR="00BC5C66" w:rsidRPr="00C9342F">
        <w:rPr>
          <w:rFonts w:ascii="Cambria" w:hAnsi="Cambria"/>
          <w:sz w:val="20"/>
          <w:szCs w:val="20"/>
        </w:rPr>
        <w:t xml:space="preserve">.  </w:t>
      </w:r>
    </w:p>
    <w:p w14:paraId="08A569F5" w14:textId="1037FABF" w:rsidR="00B67E82" w:rsidRPr="00C9342F" w:rsidRDefault="0077642E"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As it relates to five of the alleged victims (Ms. McKenna, Ms. Curnell, Ms.  McGovern, Ms. Jones, and Ms. Chapman), there is no information on the record to indicate that any investigations were conducted or completed by the State into their deaths. The Commission notes more than five years have elapsed since the deaths of these alleged victims. The Commission considers that this lapse of time could, </w:t>
      </w:r>
      <w:r w:rsidRPr="00C9342F">
        <w:rPr>
          <w:rFonts w:ascii="Cambria" w:hAnsi="Cambria"/>
          <w:i/>
          <w:iCs/>
          <w:sz w:val="20"/>
          <w:szCs w:val="20"/>
        </w:rPr>
        <w:t>prima facie</w:t>
      </w:r>
      <w:r w:rsidRPr="00C9342F">
        <w:rPr>
          <w:rFonts w:ascii="Cambria" w:hAnsi="Cambria"/>
          <w:sz w:val="20"/>
          <w:szCs w:val="20"/>
        </w:rPr>
        <w:t xml:space="preserve">, constitute an unwarranted delay in rendering judgment; and that this would accordingly confer an exception to the requirement of exhaustion of domestic remedies pursuant to Article 31 (2) (c) of the Commission’s Rules of Procedure. </w:t>
      </w:r>
      <w:r w:rsidR="00A85C02" w:rsidRPr="00C9342F">
        <w:rPr>
          <w:rFonts w:ascii="Cambria" w:hAnsi="Cambria"/>
          <w:sz w:val="20"/>
          <w:szCs w:val="20"/>
        </w:rPr>
        <w:t>Moreover, t</w:t>
      </w:r>
      <w:r w:rsidRPr="00C9342F">
        <w:rPr>
          <w:rFonts w:ascii="Cambria" w:hAnsi="Cambria"/>
          <w:sz w:val="20"/>
          <w:szCs w:val="20"/>
        </w:rPr>
        <w:t>he Commission notes that the petition was filed on December 17, 2015. In view of the context and characteristics of the claims relating to these five alleged victims, the Commission considers that the petition was filed within a reasonable period of time and that the admissibility requirement regarding timeliness is satisfied.</w:t>
      </w:r>
      <w:r w:rsidR="00A85C02" w:rsidRPr="00C9342F">
        <w:rPr>
          <w:rFonts w:ascii="Cambria" w:hAnsi="Cambria"/>
          <w:sz w:val="20"/>
          <w:szCs w:val="20"/>
        </w:rPr>
        <w:t xml:space="preserve"> It is also important to note that this conclusion does not prejudge on the effectiveness of the domestic proceedings, which is a matter that must be assessed in the merits stage of this case. </w:t>
      </w:r>
    </w:p>
    <w:p w14:paraId="2D484135" w14:textId="4F9808B9" w:rsidR="0077642E" w:rsidRPr="00C9342F" w:rsidRDefault="004B64FC"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In relation to the remaining alleged victims (Ms. Bland and Ms. Turner), the petitioner has submitted documentation showing that the State investigated their deaths. Ultimately, these investigations established that neither Ms. Bland nor Ms. Turner were the victims of extrajudicial killing by the police. In the case of Ms. Bland, an autopsy report (conducted on July 22, 2015) established that she committed suicide (by hanging). In the case of Ms. Turner, an investigation was conducted by the Attorney General of the State of New York. This investigation commenced in August 2015 and was concluded in March 2016. The report of this investigation incorporated a finding by a medical examiner that Ms. Turner’s death was caused by an enlarged heart. There was also a finding that chronic cocaine and morphine use by Ms. Turner also contributed to her death.  </w:t>
      </w:r>
    </w:p>
    <w:p w14:paraId="0756D688" w14:textId="77777777" w:rsidR="00313E3D" w:rsidRPr="00C9342F" w:rsidRDefault="00313E3D" w:rsidP="00313E3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For the purpose of admissibility, the Commission considers that these investigations meet the requirement of exhaustion of domestic remedies; and that in this regard the State appears to have conducted these investigations promptly; and further, that in the absence of any contrary evidence, the </w:t>
      </w:r>
      <w:r w:rsidRPr="00C9342F">
        <w:rPr>
          <w:rFonts w:ascii="Cambria" w:hAnsi="Cambria"/>
          <w:sz w:val="20"/>
          <w:szCs w:val="20"/>
        </w:rPr>
        <w:lastRenderedPageBreak/>
        <w:t>investigations appear to meet the criteria of being serious, impartial, and effective.   Accordingly, in relation to Ms. Bland and Ms. Turner, the Commission consider that the petition was filed within the six-month deadline prescribed by Article 32 (1) of the Commission’s Rules of Procedure, as is therefore timely.</w:t>
      </w:r>
    </w:p>
    <w:p w14:paraId="749E366E" w14:textId="749B10CB" w:rsidR="00ED696B" w:rsidRPr="00C9342F" w:rsidRDefault="00F621C3" w:rsidP="00ED696B">
      <w:pPr>
        <w:pStyle w:val="ListParagraph"/>
        <w:spacing w:after="240"/>
        <w:ind w:left="0" w:firstLine="720"/>
        <w:jc w:val="both"/>
        <w:rPr>
          <w:rFonts w:asciiTheme="majorHAnsi" w:hAnsiTheme="majorHAnsi"/>
          <w:b/>
          <w:sz w:val="20"/>
          <w:szCs w:val="20"/>
        </w:rPr>
      </w:pPr>
      <w:r w:rsidRPr="00C9342F">
        <w:rPr>
          <w:rFonts w:asciiTheme="majorHAnsi" w:hAnsiTheme="majorHAnsi"/>
          <w:b/>
          <w:bCs/>
          <w:sz w:val="20"/>
          <w:szCs w:val="20"/>
        </w:rPr>
        <w:t>VII.</w:t>
      </w:r>
      <w:r w:rsidRPr="00C9342F">
        <w:rPr>
          <w:rFonts w:asciiTheme="majorHAnsi" w:hAnsiTheme="majorHAnsi"/>
          <w:b/>
          <w:bCs/>
          <w:sz w:val="20"/>
          <w:szCs w:val="20"/>
        </w:rPr>
        <w:tab/>
      </w:r>
      <w:r w:rsidR="001F1902" w:rsidRPr="00C9342F">
        <w:rPr>
          <w:rFonts w:asciiTheme="majorHAnsi" w:hAnsiTheme="majorHAnsi"/>
          <w:b/>
          <w:bCs/>
          <w:sz w:val="20"/>
          <w:szCs w:val="20"/>
        </w:rPr>
        <w:t xml:space="preserve">ANALYSIS OF </w:t>
      </w:r>
      <w:r w:rsidRPr="00C9342F">
        <w:rPr>
          <w:rFonts w:asciiTheme="majorHAnsi" w:hAnsiTheme="majorHAnsi"/>
          <w:b/>
          <w:bCs/>
          <w:sz w:val="20"/>
          <w:szCs w:val="20"/>
        </w:rPr>
        <w:t>COLORABLE CLAIM</w:t>
      </w:r>
    </w:p>
    <w:p w14:paraId="7C166675" w14:textId="36854B38" w:rsidR="007D2048" w:rsidRPr="00C9342F" w:rsidRDefault="00A3629D"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In relation to five of the alleged victims (Ms. McKenna, Ms. Curnell, Ms.  McGovern, Ms. Jones, and Ms. Chapman), the Commission has already noted that there is no indication in the record that the State conducted or completed investigations into these deaths. The absence of any investigation into these deaths, could, if proven, establish violations of Article I (right to liberty and security of the person); </w:t>
      </w:r>
      <w:r w:rsidR="00701E8C" w:rsidRPr="00C9342F">
        <w:rPr>
          <w:rFonts w:ascii="Cambria" w:hAnsi="Cambria"/>
          <w:sz w:val="20"/>
          <w:szCs w:val="20"/>
        </w:rPr>
        <w:t xml:space="preserve">Article II (right to equality before the law); </w:t>
      </w:r>
      <w:r w:rsidRPr="00C9342F">
        <w:rPr>
          <w:rFonts w:ascii="Cambria" w:hAnsi="Cambria"/>
          <w:sz w:val="20"/>
          <w:szCs w:val="20"/>
        </w:rPr>
        <w:t>Article XXV (right to humane treatment); and Article XXVI (right to due process of law) of the American Declaration.</w:t>
      </w:r>
    </w:p>
    <w:p w14:paraId="19E271A3" w14:textId="3566A560" w:rsidR="00C84D0A" w:rsidRPr="00C9342F" w:rsidRDefault="00834B69"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In relation to Ms. Bland and Ms. Turner, the investigations carried out by the State established that neither Ms. Bland nor Ms. Turner were victims of extrajudicial killing while in police custody.  The petitioner has not challenged the findings of these investigations</w:t>
      </w:r>
      <w:r w:rsidR="00ED696B" w:rsidRPr="00C9342F">
        <w:rPr>
          <w:rFonts w:ascii="Cambria" w:hAnsi="Cambria"/>
          <w:sz w:val="20"/>
          <w:szCs w:val="20"/>
        </w:rPr>
        <w:t>; or submitted evidence that they challenge these decisions of the authorities</w:t>
      </w:r>
      <w:r w:rsidRPr="00C9342F">
        <w:rPr>
          <w:rFonts w:ascii="Cambria" w:hAnsi="Cambria"/>
          <w:sz w:val="20"/>
          <w:szCs w:val="20"/>
        </w:rPr>
        <w:t xml:space="preserve">. In the circumstances, the Commission concludes that the claims are inadmissible for failure to state </w:t>
      </w:r>
      <w:r w:rsidR="00ED696B" w:rsidRPr="00C9342F">
        <w:rPr>
          <w:rFonts w:ascii="Cambria" w:hAnsi="Cambria"/>
          <w:i/>
          <w:iCs/>
          <w:sz w:val="20"/>
          <w:szCs w:val="20"/>
        </w:rPr>
        <w:t>prima facie</w:t>
      </w:r>
      <w:r w:rsidR="00ED696B" w:rsidRPr="00C9342F">
        <w:rPr>
          <w:rFonts w:ascii="Cambria" w:hAnsi="Cambria"/>
          <w:sz w:val="20"/>
          <w:szCs w:val="20"/>
        </w:rPr>
        <w:t xml:space="preserve"> </w:t>
      </w:r>
      <w:r w:rsidRPr="00C9342F">
        <w:rPr>
          <w:rFonts w:ascii="Cambria" w:hAnsi="Cambria"/>
          <w:sz w:val="20"/>
          <w:szCs w:val="20"/>
        </w:rPr>
        <w:t>facts that tend to establish a violation of the American Declaration</w:t>
      </w:r>
      <w:r w:rsidR="00E10D99" w:rsidRPr="00C9342F">
        <w:rPr>
          <w:rFonts w:ascii="Cambria" w:hAnsi="Cambria"/>
          <w:sz w:val="20"/>
          <w:szCs w:val="20"/>
        </w:rPr>
        <w:t xml:space="preserve">; in the terms of article </w:t>
      </w:r>
      <w:r w:rsidR="006D43EE" w:rsidRPr="00C9342F">
        <w:rPr>
          <w:rFonts w:ascii="Cambria" w:hAnsi="Cambria"/>
          <w:sz w:val="20"/>
          <w:szCs w:val="20"/>
        </w:rPr>
        <w:t>34(a) of the Rules of Procedure</w:t>
      </w:r>
      <w:r w:rsidRPr="00C9342F">
        <w:rPr>
          <w:rFonts w:ascii="Cambria" w:hAnsi="Cambria"/>
          <w:sz w:val="20"/>
          <w:szCs w:val="20"/>
        </w:rPr>
        <w:t xml:space="preserve">. </w:t>
      </w:r>
    </w:p>
    <w:p w14:paraId="61587BB1" w14:textId="2C3F9224" w:rsidR="006F4458" w:rsidRPr="00C9342F" w:rsidRDefault="00543302"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 xml:space="preserve">The Commission notes that in support of a general claim that African-American women are targeted by the police, the petitioner submits additional information that mentions (a) alleged incidents of sexual violence inflicted by police officers on various African-American women during traffic stops (between 2016 and 2019; (b) alleged extrajudicial killings of other African- American women (that alleged took place in 2020). </w:t>
      </w:r>
      <w:r w:rsidR="00E10D99" w:rsidRPr="00C9342F">
        <w:rPr>
          <w:rFonts w:ascii="Cambria" w:hAnsi="Cambria"/>
          <w:sz w:val="20"/>
          <w:szCs w:val="20"/>
        </w:rPr>
        <w:t>I</w:t>
      </w:r>
      <w:r w:rsidRPr="00C9342F">
        <w:rPr>
          <w:rFonts w:ascii="Cambria" w:hAnsi="Cambria"/>
          <w:sz w:val="20"/>
          <w:szCs w:val="20"/>
        </w:rPr>
        <w:t xml:space="preserve">n the Commission’s view none of this additional information relates to the specific claims </w:t>
      </w:r>
      <w:r w:rsidR="00E10D99" w:rsidRPr="00C9342F">
        <w:rPr>
          <w:rFonts w:ascii="Cambria" w:hAnsi="Cambria"/>
          <w:sz w:val="20"/>
          <w:szCs w:val="20"/>
        </w:rPr>
        <w:t>of</w:t>
      </w:r>
      <w:r w:rsidRPr="00C9342F">
        <w:rPr>
          <w:rFonts w:ascii="Cambria" w:hAnsi="Cambria"/>
          <w:sz w:val="20"/>
          <w:szCs w:val="20"/>
        </w:rPr>
        <w:t xml:space="preserve"> the seven alleged victims mentioned in the petition</w:t>
      </w:r>
      <w:r w:rsidR="00E10D99" w:rsidRPr="00C9342F">
        <w:rPr>
          <w:rFonts w:ascii="Cambria" w:hAnsi="Cambria"/>
          <w:sz w:val="20"/>
          <w:szCs w:val="20"/>
        </w:rPr>
        <w:t xml:space="preserve">; however, the </w:t>
      </w:r>
      <w:r w:rsidRPr="00C9342F">
        <w:rPr>
          <w:rFonts w:ascii="Cambria" w:hAnsi="Cambria"/>
          <w:sz w:val="20"/>
          <w:szCs w:val="20"/>
        </w:rPr>
        <w:t xml:space="preserve">Commission </w:t>
      </w:r>
      <w:r w:rsidR="00E10D99" w:rsidRPr="00C9342F">
        <w:rPr>
          <w:rFonts w:ascii="Cambria" w:hAnsi="Cambria"/>
          <w:sz w:val="20"/>
          <w:szCs w:val="20"/>
        </w:rPr>
        <w:t xml:space="preserve">could assess this information, and other provided the petitioner in the future, to understands the context in which the deaths of the alleged victims occurred. </w:t>
      </w:r>
    </w:p>
    <w:p w14:paraId="1F2E3975" w14:textId="624A3F10" w:rsidR="00C84D0A" w:rsidRPr="00C9342F" w:rsidRDefault="00E10D99"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Moreover, t</w:t>
      </w:r>
      <w:r w:rsidR="00543302" w:rsidRPr="00C9342F">
        <w:rPr>
          <w:rFonts w:ascii="Cambria" w:hAnsi="Cambria"/>
          <w:sz w:val="20"/>
          <w:szCs w:val="20"/>
        </w:rPr>
        <w:t xml:space="preserve">he petitioner has invoked the 1948 Genocide Convention and the Belem do Para Convention. In relation to the 1948 Genocide Convention the Commission lack competence </w:t>
      </w:r>
      <w:r w:rsidR="00543302" w:rsidRPr="00C9342F">
        <w:rPr>
          <w:rFonts w:ascii="Cambria" w:hAnsi="Cambria"/>
          <w:i/>
          <w:iCs/>
          <w:sz w:val="20"/>
          <w:szCs w:val="20"/>
        </w:rPr>
        <w:t>ratione materiae</w:t>
      </w:r>
      <w:r w:rsidR="00543302" w:rsidRPr="00C9342F">
        <w:rPr>
          <w:rFonts w:ascii="Cambria" w:hAnsi="Cambria"/>
          <w:sz w:val="20"/>
          <w:szCs w:val="20"/>
        </w:rPr>
        <w:t xml:space="preserve"> to declare violations of rights embodied in instruments that are not a part of the inter-American system of human rights. </w:t>
      </w:r>
      <w:r w:rsidR="006D43EE" w:rsidRPr="00C9342F">
        <w:rPr>
          <w:rFonts w:ascii="Cambria" w:hAnsi="Cambria"/>
          <w:sz w:val="20"/>
          <w:szCs w:val="20"/>
        </w:rPr>
        <w:t>Regarding</w:t>
      </w:r>
      <w:r w:rsidR="00543302" w:rsidRPr="00C9342F">
        <w:rPr>
          <w:rFonts w:ascii="Cambria" w:hAnsi="Cambria"/>
          <w:sz w:val="20"/>
          <w:szCs w:val="20"/>
        </w:rPr>
        <w:t xml:space="preserve"> the Belem do Para Convention, the </w:t>
      </w:r>
      <w:r w:rsidR="00C54E07" w:rsidRPr="00C9342F">
        <w:rPr>
          <w:rFonts w:ascii="Cambria" w:hAnsi="Cambria"/>
          <w:sz w:val="20"/>
          <w:szCs w:val="20"/>
        </w:rPr>
        <w:t>IACHR has</w:t>
      </w:r>
      <w:r w:rsidR="00543302" w:rsidRPr="00C9342F">
        <w:rPr>
          <w:rFonts w:ascii="Cambria" w:hAnsi="Cambria"/>
          <w:sz w:val="20"/>
          <w:szCs w:val="20"/>
        </w:rPr>
        <w:t xml:space="preserve"> no competence </w:t>
      </w:r>
      <w:r w:rsidR="00543302" w:rsidRPr="00C9342F">
        <w:rPr>
          <w:rFonts w:ascii="Cambria" w:hAnsi="Cambria"/>
          <w:i/>
          <w:iCs/>
          <w:sz w:val="20"/>
          <w:szCs w:val="20"/>
        </w:rPr>
        <w:t>ratione materiae</w:t>
      </w:r>
      <w:r w:rsidR="00543302" w:rsidRPr="00C9342F">
        <w:rPr>
          <w:rFonts w:ascii="Cambria" w:hAnsi="Cambria"/>
          <w:sz w:val="20"/>
          <w:szCs w:val="20"/>
        </w:rPr>
        <w:t xml:space="preserve"> to declare violations this Convention because the State has not ratified this instrument.</w:t>
      </w:r>
      <w:r w:rsidRPr="00C9342F">
        <w:rPr>
          <w:rFonts w:ascii="Cambria" w:hAnsi="Cambria"/>
          <w:sz w:val="20"/>
          <w:szCs w:val="20"/>
        </w:rPr>
        <w:t xml:space="preserve"> </w:t>
      </w:r>
      <w:r w:rsidR="00543302" w:rsidRPr="00C9342F">
        <w:rPr>
          <w:rFonts w:ascii="Cambria" w:hAnsi="Cambria"/>
          <w:sz w:val="20"/>
          <w:szCs w:val="20"/>
        </w:rPr>
        <w:t xml:space="preserve">However, in accordance </w:t>
      </w:r>
      <w:r w:rsidR="00C9342F">
        <w:rPr>
          <w:rFonts w:ascii="Cambria" w:hAnsi="Cambria"/>
          <w:sz w:val="20"/>
          <w:szCs w:val="20"/>
        </w:rPr>
        <w:t>to</w:t>
      </w:r>
      <w:r w:rsidR="00543302" w:rsidRPr="00C9342F">
        <w:rPr>
          <w:rFonts w:ascii="Cambria" w:hAnsi="Cambria"/>
          <w:sz w:val="20"/>
          <w:szCs w:val="20"/>
        </w:rPr>
        <w:t xml:space="preserve"> basic norms of interpretation, the Commission may consider </w:t>
      </w:r>
      <w:r w:rsidR="006D43EE" w:rsidRPr="00C9342F">
        <w:rPr>
          <w:rFonts w:ascii="Cambria" w:hAnsi="Cambria"/>
          <w:sz w:val="20"/>
          <w:szCs w:val="20"/>
        </w:rPr>
        <w:t>this</w:t>
      </w:r>
      <w:r w:rsidR="00543302" w:rsidRPr="00C9342F">
        <w:rPr>
          <w:rFonts w:ascii="Cambria" w:hAnsi="Cambria"/>
          <w:sz w:val="20"/>
          <w:szCs w:val="20"/>
        </w:rPr>
        <w:t xml:space="preserve"> </w:t>
      </w:r>
      <w:r w:rsidR="006D43EE" w:rsidRPr="00C9342F">
        <w:rPr>
          <w:rFonts w:ascii="Cambria" w:hAnsi="Cambria"/>
          <w:sz w:val="20"/>
          <w:szCs w:val="20"/>
        </w:rPr>
        <w:t xml:space="preserve">treaty, as well as </w:t>
      </w:r>
      <w:r w:rsidR="00C9342F">
        <w:rPr>
          <w:rFonts w:ascii="Cambria" w:hAnsi="Cambria"/>
          <w:sz w:val="20"/>
          <w:szCs w:val="20"/>
        </w:rPr>
        <w:t xml:space="preserve">any </w:t>
      </w:r>
      <w:r w:rsidR="006D43EE" w:rsidRPr="00C9342F">
        <w:rPr>
          <w:rFonts w:ascii="Cambria" w:hAnsi="Cambria"/>
          <w:sz w:val="20"/>
          <w:szCs w:val="20"/>
        </w:rPr>
        <w:t>other relevant international human rights standards,</w:t>
      </w:r>
      <w:r w:rsidR="00543302" w:rsidRPr="00C9342F">
        <w:rPr>
          <w:rFonts w:ascii="Cambria" w:hAnsi="Cambria"/>
          <w:sz w:val="20"/>
          <w:szCs w:val="20"/>
        </w:rPr>
        <w:t xml:space="preserve"> in applying the American Declaration. </w:t>
      </w:r>
    </w:p>
    <w:p w14:paraId="41613A94" w14:textId="5B90895A" w:rsidR="00E10D99" w:rsidRPr="00C9342F" w:rsidRDefault="00E10D99" w:rsidP="00FB00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Cambria" w:hAnsi="Cambria"/>
          <w:sz w:val="20"/>
          <w:szCs w:val="20"/>
        </w:rPr>
        <w:t>Finally, it is also pertinent to bear in mind that according to article 36(2) of the Rules of Procedure: “</w:t>
      </w:r>
      <w:r w:rsidRPr="00C9342F">
        <w:rPr>
          <w:rFonts w:ascii="Cambria" w:hAnsi="Cambria"/>
          <w:i/>
          <w:iCs/>
          <w:sz w:val="20"/>
          <w:szCs w:val="20"/>
        </w:rPr>
        <w:t>The adoption of an admissibility report does not constitute a prejudgment as to the merits of the matter</w:t>
      </w:r>
      <w:r w:rsidRPr="00C9342F">
        <w:rPr>
          <w:rFonts w:ascii="Cambria" w:hAnsi="Cambria"/>
          <w:sz w:val="20"/>
          <w:szCs w:val="20"/>
        </w:rPr>
        <w:t>.”</w:t>
      </w:r>
    </w:p>
    <w:p w14:paraId="5A70550C" w14:textId="77777777" w:rsidR="00F621C3" w:rsidRPr="00C9342F" w:rsidRDefault="00F621C3" w:rsidP="00E10D99">
      <w:pPr>
        <w:pStyle w:val="ListParagraph"/>
        <w:spacing w:after="240"/>
        <w:ind w:left="0" w:firstLine="720"/>
        <w:jc w:val="both"/>
        <w:rPr>
          <w:rFonts w:asciiTheme="majorHAnsi" w:hAnsiTheme="majorHAnsi"/>
          <w:b/>
          <w:bCs/>
          <w:sz w:val="20"/>
          <w:szCs w:val="20"/>
        </w:rPr>
      </w:pPr>
      <w:r w:rsidRPr="00C9342F">
        <w:rPr>
          <w:rFonts w:asciiTheme="majorHAnsi" w:hAnsiTheme="majorHAnsi"/>
          <w:b/>
          <w:bCs/>
          <w:sz w:val="20"/>
          <w:szCs w:val="20"/>
        </w:rPr>
        <w:t xml:space="preserve">VIII. </w:t>
      </w:r>
      <w:r w:rsidRPr="00C9342F">
        <w:rPr>
          <w:rFonts w:asciiTheme="majorHAnsi" w:hAnsiTheme="majorHAnsi"/>
          <w:b/>
          <w:bCs/>
          <w:sz w:val="20"/>
          <w:szCs w:val="20"/>
        </w:rPr>
        <w:tab/>
        <w:t>DECISION</w:t>
      </w:r>
    </w:p>
    <w:p w14:paraId="227B9B6E" w14:textId="11296C5F" w:rsidR="00F621C3" w:rsidRPr="00C9342F" w:rsidRDefault="00F621C3" w:rsidP="00FB005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Theme="majorHAnsi" w:hAnsiTheme="majorHAnsi"/>
          <w:sz w:val="20"/>
          <w:szCs w:val="20"/>
        </w:rPr>
        <w:t>To find the instant petition admissible in relation to Articles</w:t>
      </w:r>
      <w:r w:rsidR="00947798" w:rsidRPr="00C9342F">
        <w:rPr>
          <w:rFonts w:asciiTheme="majorHAnsi" w:hAnsiTheme="majorHAnsi"/>
          <w:sz w:val="20"/>
          <w:szCs w:val="20"/>
        </w:rPr>
        <w:t xml:space="preserve"> I,</w:t>
      </w:r>
      <w:r w:rsidR="00930DB3" w:rsidRPr="00C9342F">
        <w:rPr>
          <w:rFonts w:ascii="Cambria" w:hAnsi="Cambria"/>
          <w:sz w:val="20"/>
          <w:szCs w:val="20"/>
        </w:rPr>
        <w:t xml:space="preserve"> </w:t>
      </w:r>
      <w:r w:rsidR="00701E8C" w:rsidRPr="00C9342F">
        <w:rPr>
          <w:rFonts w:ascii="Cambria" w:hAnsi="Cambria"/>
          <w:sz w:val="20"/>
          <w:szCs w:val="20"/>
        </w:rPr>
        <w:t xml:space="preserve">II, </w:t>
      </w:r>
      <w:r w:rsidR="00930DB3" w:rsidRPr="00C9342F">
        <w:rPr>
          <w:rFonts w:asciiTheme="majorHAnsi" w:hAnsiTheme="majorHAnsi"/>
          <w:sz w:val="20"/>
          <w:szCs w:val="20"/>
        </w:rPr>
        <w:t>XXV</w:t>
      </w:r>
      <w:r w:rsidR="00947798" w:rsidRPr="00C9342F">
        <w:rPr>
          <w:rFonts w:asciiTheme="majorHAnsi" w:hAnsiTheme="majorHAnsi"/>
          <w:sz w:val="20"/>
          <w:szCs w:val="20"/>
        </w:rPr>
        <w:t xml:space="preserve"> </w:t>
      </w:r>
      <w:r w:rsidR="00E27497" w:rsidRPr="00C9342F">
        <w:rPr>
          <w:rFonts w:asciiTheme="majorHAnsi" w:hAnsiTheme="majorHAnsi"/>
          <w:sz w:val="20"/>
          <w:szCs w:val="20"/>
        </w:rPr>
        <w:t>and XXVI of the American Declaration in regard to the alleged victims Ms. McKenna, Ms. Curnell, Ms.  McGovern, Ms. Jones, and Ms. Chapman)</w:t>
      </w:r>
      <w:r w:rsidR="00393ED4">
        <w:rPr>
          <w:rFonts w:asciiTheme="majorHAnsi" w:hAnsiTheme="majorHAnsi"/>
          <w:sz w:val="20"/>
          <w:szCs w:val="20"/>
        </w:rPr>
        <w:t>;</w:t>
      </w:r>
    </w:p>
    <w:p w14:paraId="47F30965" w14:textId="35079BD6" w:rsidR="00F621C3" w:rsidRPr="00C9342F" w:rsidRDefault="00F621C3" w:rsidP="00FB0050">
      <w:pPr>
        <w:pStyle w:val="ListParagraph"/>
        <w:numPr>
          <w:ilvl w:val="0"/>
          <w:numId w:val="105"/>
        </w:numPr>
        <w:spacing w:after="240"/>
        <w:rPr>
          <w:rFonts w:eastAsia="Arial Unicode MS" w:cs="Times New Roman"/>
          <w:color w:val="auto"/>
          <w:sz w:val="20"/>
          <w:szCs w:val="20"/>
          <w:lang w:eastAsia="en-US"/>
        </w:rPr>
      </w:pPr>
      <w:r w:rsidRPr="00C9342F">
        <w:rPr>
          <w:rFonts w:asciiTheme="majorHAnsi" w:hAnsiTheme="majorHAnsi"/>
          <w:sz w:val="20"/>
          <w:szCs w:val="20"/>
        </w:rPr>
        <w:t xml:space="preserve">To find the instant petition </w:t>
      </w:r>
      <w:r w:rsidRPr="00C9342F">
        <w:rPr>
          <w:rFonts w:asciiTheme="majorHAnsi" w:hAnsiTheme="majorHAnsi"/>
          <w:color w:val="auto"/>
          <w:sz w:val="20"/>
          <w:szCs w:val="20"/>
        </w:rPr>
        <w:t>inadmissible</w:t>
      </w:r>
      <w:r w:rsidRPr="00C9342F">
        <w:rPr>
          <w:rFonts w:asciiTheme="majorHAnsi" w:hAnsiTheme="majorHAnsi"/>
          <w:color w:val="FF0000"/>
          <w:sz w:val="20"/>
          <w:szCs w:val="20"/>
        </w:rPr>
        <w:t xml:space="preserve"> </w:t>
      </w:r>
      <w:r w:rsidRPr="00C9342F">
        <w:rPr>
          <w:rFonts w:asciiTheme="majorHAnsi" w:hAnsiTheme="majorHAnsi"/>
          <w:sz w:val="20"/>
          <w:szCs w:val="20"/>
        </w:rPr>
        <w:t>in relation to</w:t>
      </w:r>
      <w:r w:rsidR="00226023" w:rsidRPr="00C9342F">
        <w:rPr>
          <w:rFonts w:asciiTheme="majorHAnsi" w:hAnsiTheme="majorHAnsi"/>
          <w:sz w:val="20"/>
          <w:szCs w:val="20"/>
        </w:rPr>
        <w:t xml:space="preserve"> </w:t>
      </w:r>
      <w:r w:rsidR="00366115" w:rsidRPr="00C9342F">
        <w:rPr>
          <w:rFonts w:asciiTheme="majorHAnsi" w:hAnsiTheme="majorHAnsi"/>
          <w:sz w:val="20"/>
          <w:szCs w:val="20"/>
        </w:rPr>
        <w:t xml:space="preserve">the </w:t>
      </w:r>
      <w:r w:rsidR="00226023" w:rsidRPr="00C9342F">
        <w:rPr>
          <w:rFonts w:asciiTheme="majorHAnsi" w:hAnsiTheme="majorHAnsi"/>
          <w:sz w:val="20"/>
          <w:szCs w:val="20"/>
        </w:rPr>
        <w:t>alleged victims</w:t>
      </w:r>
      <w:r w:rsidR="00226023" w:rsidRPr="00C9342F">
        <w:rPr>
          <w:rFonts w:eastAsia="Arial Unicode MS" w:cs="Times New Roman"/>
          <w:color w:val="auto"/>
          <w:sz w:val="20"/>
          <w:szCs w:val="20"/>
          <w:lang w:eastAsia="en-US"/>
        </w:rPr>
        <w:t xml:space="preserve"> </w:t>
      </w:r>
      <w:r w:rsidR="00226023" w:rsidRPr="00C9342F">
        <w:rPr>
          <w:rFonts w:asciiTheme="majorHAnsi" w:hAnsiTheme="majorHAnsi"/>
          <w:sz w:val="20"/>
          <w:szCs w:val="20"/>
        </w:rPr>
        <w:t xml:space="preserve">Ms. Bland and Ms. </w:t>
      </w:r>
      <w:r w:rsidR="00FE1ECC" w:rsidRPr="00C9342F">
        <w:rPr>
          <w:rFonts w:asciiTheme="majorHAnsi" w:hAnsiTheme="majorHAnsi"/>
          <w:sz w:val="20"/>
          <w:szCs w:val="20"/>
        </w:rPr>
        <w:t>Turner</w:t>
      </w:r>
      <w:r w:rsidR="00393ED4">
        <w:rPr>
          <w:rFonts w:asciiTheme="majorHAnsi" w:hAnsiTheme="majorHAnsi"/>
          <w:sz w:val="20"/>
          <w:szCs w:val="20"/>
        </w:rPr>
        <w:t>;</w:t>
      </w:r>
      <w:r w:rsidR="001F1902" w:rsidRPr="00C9342F">
        <w:rPr>
          <w:rFonts w:eastAsia="Arial Unicode MS" w:cs="Times New Roman"/>
          <w:color w:val="auto"/>
          <w:sz w:val="20"/>
          <w:szCs w:val="20"/>
          <w:lang w:eastAsia="en-US"/>
        </w:rPr>
        <w:t xml:space="preserve"> </w:t>
      </w:r>
      <w:r w:rsidR="00393ED4">
        <w:rPr>
          <w:rFonts w:eastAsia="Arial Unicode MS" w:cs="Times New Roman"/>
          <w:color w:val="auto"/>
          <w:sz w:val="20"/>
          <w:szCs w:val="20"/>
          <w:lang w:eastAsia="en-US"/>
        </w:rPr>
        <w:t>a</w:t>
      </w:r>
      <w:r w:rsidR="001F1902" w:rsidRPr="00C9342F">
        <w:rPr>
          <w:rFonts w:eastAsia="Arial Unicode MS" w:cs="Times New Roman"/>
          <w:color w:val="auto"/>
          <w:sz w:val="20"/>
          <w:szCs w:val="20"/>
          <w:lang w:eastAsia="en-US"/>
        </w:rPr>
        <w:t>nd</w:t>
      </w:r>
    </w:p>
    <w:p w14:paraId="2122B46A" w14:textId="0DCEE1EB" w:rsidR="00C55560" w:rsidRPr="00393ED4" w:rsidRDefault="00F621C3" w:rsidP="00FB005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342F">
        <w:rPr>
          <w:rFonts w:asciiTheme="majorHAnsi" w:hAnsiTheme="majorHAnsi"/>
          <w:sz w:val="20"/>
          <w:szCs w:val="20"/>
        </w:rPr>
        <w:t>To notify the parties of this decision;</w:t>
      </w:r>
      <w:r w:rsidR="001F1902" w:rsidRPr="00C9342F">
        <w:rPr>
          <w:rFonts w:asciiTheme="majorHAnsi" w:hAnsiTheme="majorHAnsi"/>
          <w:sz w:val="20"/>
          <w:szCs w:val="20"/>
        </w:rPr>
        <w:t xml:space="preserve"> t</w:t>
      </w:r>
      <w:r w:rsidRPr="00C9342F">
        <w:rPr>
          <w:rFonts w:asciiTheme="majorHAnsi" w:hAnsiTheme="majorHAnsi"/>
          <w:sz w:val="20"/>
          <w:szCs w:val="20"/>
        </w:rPr>
        <w:t xml:space="preserve">o continue with the analysis on the merits; and </w:t>
      </w:r>
      <w:r w:rsidR="001F1902" w:rsidRPr="00C9342F">
        <w:rPr>
          <w:rFonts w:asciiTheme="majorHAnsi" w:hAnsiTheme="majorHAnsi"/>
          <w:sz w:val="20"/>
          <w:szCs w:val="20"/>
        </w:rPr>
        <w:t>t</w:t>
      </w:r>
      <w:r w:rsidRPr="00C9342F">
        <w:rPr>
          <w:rFonts w:asciiTheme="majorHAnsi" w:hAnsiTheme="majorHAnsi"/>
          <w:sz w:val="20"/>
          <w:szCs w:val="20"/>
        </w:rPr>
        <w:t>o publish this decision and include it in its Annual Report to the General Assembly of the Organization of American States</w:t>
      </w:r>
      <w:r w:rsidR="00C9342F">
        <w:rPr>
          <w:rFonts w:asciiTheme="majorHAnsi" w:hAnsiTheme="majorHAnsi"/>
          <w:sz w:val="20"/>
          <w:szCs w:val="20"/>
        </w:rPr>
        <w:t>.</w:t>
      </w:r>
    </w:p>
    <w:p w14:paraId="0ACC9728" w14:textId="77777777" w:rsidR="00393ED4" w:rsidRDefault="00393ED4" w:rsidP="00393E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68FC3965" w14:textId="7B2271A0" w:rsidR="00393ED4" w:rsidRPr="00AD3E6A" w:rsidRDefault="00253990" w:rsidP="00AD3E6A">
      <w:pPr>
        <w:suppressAutoHyphens/>
        <w:ind w:firstLine="720"/>
        <w:jc w:val="both"/>
        <w:rPr>
          <w:rFonts w:ascii="Cambria" w:hAnsi="Cambria"/>
          <w:spacing w:val="-2"/>
          <w:sz w:val="20"/>
        </w:rPr>
      </w:pPr>
      <w:bookmarkStart w:id="0" w:name="_Hlk106882469"/>
      <w:r w:rsidRPr="006D25D7">
        <w:rPr>
          <w:rFonts w:ascii="Cambria" w:hAnsi="Cambria"/>
          <w:spacing w:val="-2"/>
          <w:sz w:val="20"/>
        </w:rPr>
        <w:lastRenderedPageBreak/>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2</w:t>
      </w:r>
      <w:r w:rsidR="0016565D">
        <w:rPr>
          <w:rFonts w:ascii="Cambria" w:hAnsi="Cambria"/>
          <w:spacing w:val="-2"/>
          <w:sz w:val="20"/>
        </w:rPr>
        <w:t>8</w:t>
      </w:r>
      <w:r w:rsidRPr="003C69E4">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r w:rsidRPr="006D25D7">
        <w:rPr>
          <w:rFonts w:ascii="Cambria" w:hAnsi="Cambria"/>
          <w:spacing w:val="-2"/>
          <w:sz w:val="20"/>
        </w:rPr>
        <w:t>.</w:t>
      </w:r>
      <w:bookmarkEnd w:id="0"/>
    </w:p>
    <w:sectPr w:rsidR="00393ED4" w:rsidRPr="00AD3E6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9FF8" w14:textId="77777777" w:rsidR="003D37CA" w:rsidRDefault="003D37CA" w:rsidP="00036A8A">
      <w:r>
        <w:separator/>
      </w:r>
    </w:p>
  </w:endnote>
  <w:endnote w:type="continuationSeparator" w:id="0">
    <w:p w14:paraId="6EF2CB69" w14:textId="77777777" w:rsidR="003D37CA" w:rsidRDefault="003D37C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75B9" w14:textId="77777777" w:rsidR="003D37CA" w:rsidRPr="00036A8A" w:rsidRDefault="003D37C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D742DB9" w14:textId="77777777" w:rsidR="003D37CA" w:rsidRPr="00036A8A" w:rsidRDefault="003D37CA" w:rsidP="00036A8A">
      <w:pPr>
        <w:rPr>
          <w:rFonts w:asciiTheme="majorHAnsi" w:hAnsiTheme="majorHAnsi"/>
          <w:sz w:val="16"/>
          <w:szCs w:val="16"/>
        </w:rPr>
      </w:pPr>
      <w:r w:rsidRPr="00036A8A">
        <w:rPr>
          <w:rFonts w:asciiTheme="majorHAnsi" w:hAnsiTheme="majorHAnsi"/>
          <w:sz w:val="16"/>
          <w:szCs w:val="16"/>
        </w:rPr>
        <w:separator/>
      </w:r>
    </w:p>
    <w:p w14:paraId="6D0B1721" w14:textId="77777777" w:rsidR="003D37CA" w:rsidRPr="00036A8A" w:rsidRDefault="003D37C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CCE553F" w14:textId="77777777" w:rsidR="003D37CA" w:rsidRPr="0093441A" w:rsidRDefault="003D37C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0A3342A" w14:textId="3966CC29" w:rsidR="00561623" w:rsidRPr="00FB0050" w:rsidRDefault="00561623"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Hereinafter “the United States”, “the U.S.” or “the State.”</w:t>
      </w:r>
    </w:p>
  </w:footnote>
  <w:footnote w:id="3">
    <w:p w14:paraId="6F51BDAF" w14:textId="5F4755E7" w:rsidR="00653EA6" w:rsidRPr="00FB0050" w:rsidRDefault="00653EA6"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The observations </w:t>
      </w:r>
      <w:r w:rsidR="00321AFD" w:rsidRPr="00FB0050">
        <w:rPr>
          <w:rFonts w:asciiTheme="majorHAnsi" w:hAnsiTheme="majorHAnsi"/>
          <w:sz w:val="16"/>
          <w:szCs w:val="16"/>
        </w:rPr>
        <w:t>submitted</w:t>
      </w:r>
      <w:r w:rsidRPr="00FB0050">
        <w:rPr>
          <w:rFonts w:asciiTheme="majorHAnsi" w:hAnsiTheme="majorHAnsi"/>
          <w:sz w:val="16"/>
          <w:szCs w:val="16"/>
        </w:rPr>
        <w:t xml:space="preserve"> by each party were duly transmitted to the opposing party.</w:t>
      </w:r>
    </w:p>
  </w:footnote>
  <w:footnote w:id="4">
    <w:p w14:paraId="6C4847F3" w14:textId="285BFB97" w:rsidR="00557486" w:rsidRPr="00FB0050" w:rsidRDefault="00557486"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Hereinafter “Declaration” or “American</w:t>
      </w:r>
      <w:r w:rsidR="00297DC1" w:rsidRPr="00FB0050">
        <w:rPr>
          <w:rFonts w:asciiTheme="majorHAnsi" w:hAnsiTheme="majorHAnsi"/>
          <w:sz w:val="16"/>
          <w:szCs w:val="16"/>
        </w:rPr>
        <w:t xml:space="preserve"> </w:t>
      </w:r>
      <w:r w:rsidRPr="00FB0050">
        <w:rPr>
          <w:rFonts w:asciiTheme="majorHAnsi" w:hAnsiTheme="majorHAnsi"/>
          <w:sz w:val="16"/>
          <w:szCs w:val="16"/>
        </w:rPr>
        <w:t>Declaration.”</w:t>
      </w:r>
    </w:p>
  </w:footnote>
  <w:footnote w:id="5">
    <w:p w14:paraId="01E0E46F" w14:textId="5CFA211E" w:rsidR="00843858" w:rsidRPr="00FB0050" w:rsidRDefault="00843858"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In support of the general claim that African-American women are targeted by the police, the petitioner submits additional information that mentions (a) alleged incidents of sexual violence inflicted by police officers on various African-American women during traffic stops (between 2016 and 2019; (b) alleged extrajudicial killings of other African- American women (that alleged took place in 2020).  None of this additional information is directly connected to the specific claims relating to the seven alleged victims mentioned in the petition. </w:t>
      </w:r>
    </w:p>
  </w:footnote>
  <w:footnote w:id="6">
    <w:p w14:paraId="0254003E" w14:textId="77F5152B" w:rsidR="0051341C" w:rsidRPr="00FB0050" w:rsidRDefault="0051341C"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w:t>
      </w:r>
      <w:r w:rsidR="002F664A" w:rsidRPr="00FB0050">
        <w:rPr>
          <w:rFonts w:asciiTheme="majorHAnsi" w:hAnsiTheme="majorHAnsi"/>
          <w:sz w:val="16"/>
          <w:szCs w:val="16"/>
        </w:rPr>
        <w:t xml:space="preserve">The video link submitted by the petitioner is </w:t>
      </w:r>
      <w:hyperlink r:id="rId1" w:history="1">
        <w:r w:rsidR="002F664A" w:rsidRPr="00FB0050">
          <w:rPr>
            <w:rStyle w:val="Hyperlink"/>
            <w:rFonts w:asciiTheme="majorHAnsi" w:hAnsiTheme="majorHAnsi"/>
            <w:sz w:val="16"/>
            <w:szCs w:val="16"/>
          </w:rPr>
          <w:t>https://www.youtube.com/watch?v=apWnT0ihtCk</w:t>
        </w:r>
      </w:hyperlink>
      <w:r w:rsidR="002F664A" w:rsidRPr="00FB0050">
        <w:rPr>
          <w:rFonts w:asciiTheme="majorHAnsi" w:hAnsiTheme="majorHAnsi"/>
          <w:sz w:val="16"/>
          <w:szCs w:val="16"/>
        </w:rPr>
        <w:t xml:space="preserve">  . The video shows a woman being restrained mainly by personnel wearing personal protective equipment.   It is not clear from the video whether a stun gun was used. Further there is no specific scene in the video that shows the person being restrained suffered death as a result of injuries from a stun gun.  Further, there is no information from the petitioner to corroborate the claim that the woman in the video is indeed Natasha McKenna</w:t>
      </w:r>
    </w:p>
  </w:footnote>
  <w:footnote w:id="7">
    <w:p w14:paraId="20F3C242" w14:textId="77777777" w:rsidR="00B67E82" w:rsidRPr="00FB0050" w:rsidRDefault="00B67E82" w:rsidP="00401F06">
      <w:pPr>
        <w:pStyle w:val="FootnoteText"/>
        <w:ind w:firstLine="720"/>
        <w:jc w:val="both"/>
        <w:rPr>
          <w:rFonts w:asciiTheme="majorHAnsi" w:hAnsiTheme="majorHAnsi"/>
          <w:sz w:val="16"/>
          <w:szCs w:val="16"/>
        </w:rPr>
      </w:pPr>
      <w:r w:rsidRPr="00FB0050">
        <w:rPr>
          <w:rStyle w:val="FootnoteReference"/>
          <w:rFonts w:asciiTheme="majorHAnsi" w:hAnsiTheme="majorHAnsi"/>
          <w:sz w:val="16"/>
          <w:szCs w:val="16"/>
        </w:rPr>
        <w:footnoteRef/>
      </w:r>
      <w:r w:rsidRPr="00FB0050">
        <w:rPr>
          <w:rFonts w:asciiTheme="majorHAnsi" w:hAnsiTheme="majorHAnsi"/>
          <w:sz w:val="16"/>
          <w:szCs w:val="16"/>
        </w:rPr>
        <w:t xml:space="preserve"> See IACHR, Report No. 110/17, Petition 802-07. Admissibility. Leonardo Vanegas and family. Colombia. September 7, 2017, para. 8. </w:t>
      </w:r>
    </w:p>
    <w:p w14:paraId="73A1E9CE" w14:textId="427022B0" w:rsidR="00B67E82" w:rsidRPr="00FB0050" w:rsidRDefault="00B67E82" w:rsidP="00401F06">
      <w:pPr>
        <w:pStyle w:val="FootnoteText"/>
        <w:ind w:firstLine="720"/>
        <w:jc w:val="both"/>
        <w:rPr>
          <w:rFonts w:asciiTheme="majorHAnsi" w:hAnsiTheme="maj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3E549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49063402">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84261908">
    <w:abstractNumId w:val="4"/>
  </w:num>
  <w:num w:numId="3" w16cid:durableId="2042244856">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797524270">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921015773">
    <w:abstractNumId w:val="6"/>
  </w:num>
  <w:num w:numId="6" w16cid:durableId="126052230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04174850">
    <w:abstractNumId w:val="57"/>
  </w:num>
  <w:num w:numId="8" w16cid:durableId="76027699">
    <w:abstractNumId w:val="22"/>
  </w:num>
  <w:num w:numId="9" w16cid:durableId="1856387274">
    <w:abstractNumId w:val="49"/>
  </w:num>
  <w:num w:numId="10" w16cid:durableId="115286656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741755162">
    <w:abstractNumId w:val="28"/>
  </w:num>
  <w:num w:numId="12" w16cid:durableId="456223045">
    <w:abstractNumId w:val="55"/>
  </w:num>
  <w:num w:numId="13" w16cid:durableId="92831982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258299188">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89057384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1929160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737899014">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3082678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884709721">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5127751">
    <w:abstractNumId w:val="7"/>
  </w:num>
  <w:num w:numId="21" w16cid:durableId="1772894879">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9752679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993795777">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014502509">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5182746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91917474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957033790">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108498305">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78726346">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69084237">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27297994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70917988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23385593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776901826">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450514567">
    <w:abstractNumId w:val="18"/>
  </w:num>
  <w:num w:numId="36" w16cid:durableId="671838520">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58513482">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9672837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89176654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208490102">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09663049">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202203984">
    <w:abstractNumId w:val="39"/>
  </w:num>
  <w:num w:numId="43" w16cid:durableId="157045418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47483227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50693635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292638031">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0959781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06036419">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369913146">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877106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24763376">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547839433">
    <w:abstractNumId w:val="43"/>
  </w:num>
  <w:num w:numId="53" w16cid:durableId="278806231">
    <w:abstractNumId w:val="0"/>
  </w:num>
  <w:num w:numId="54" w16cid:durableId="895815648">
    <w:abstractNumId w:val="38"/>
  </w:num>
  <w:num w:numId="55" w16cid:durableId="574701656">
    <w:abstractNumId w:val="39"/>
  </w:num>
  <w:num w:numId="56" w16cid:durableId="958688052">
    <w:abstractNumId w:val="45"/>
  </w:num>
  <w:num w:numId="57" w16cid:durableId="593513813">
    <w:abstractNumId w:val="1"/>
  </w:num>
  <w:num w:numId="58" w16cid:durableId="1835799352">
    <w:abstractNumId w:val="2"/>
  </w:num>
  <w:num w:numId="59" w16cid:durableId="2023584931">
    <w:abstractNumId w:val="8"/>
  </w:num>
  <w:num w:numId="60" w16cid:durableId="1845508405">
    <w:abstractNumId w:val="9"/>
  </w:num>
  <w:num w:numId="61" w16cid:durableId="1311515724">
    <w:abstractNumId w:val="10"/>
  </w:num>
  <w:num w:numId="62" w16cid:durableId="201091758">
    <w:abstractNumId w:val="12"/>
  </w:num>
  <w:num w:numId="63" w16cid:durableId="153645622">
    <w:abstractNumId w:val="13"/>
  </w:num>
  <w:num w:numId="64" w16cid:durableId="1103455309">
    <w:abstractNumId w:val="14"/>
  </w:num>
  <w:num w:numId="65" w16cid:durableId="1960866752">
    <w:abstractNumId w:val="15"/>
  </w:num>
  <w:num w:numId="66" w16cid:durableId="1125349374">
    <w:abstractNumId w:val="16"/>
  </w:num>
  <w:num w:numId="67" w16cid:durableId="1984045408">
    <w:abstractNumId w:val="17"/>
  </w:num>
  <w:num w:numId="68" w16cid:durableId="946430743">
    <w:abstractNumId w:val="19"/>
  </w:num>
  <w:num w:numId="69" w16cid:durableId="2094542973">
    <w:abstractNumId w:val="20"/>
  </w:num>
  <w:num w:numId="70" w16cid:durableId="1269772235">
    <w:abstractNumId w:val="23"/>
  </w:num>
  <w:num w:numId="71" w16cid:durableId="1460415846">
    <w:abstractNumId w:val="24"/>
  </w:num>
  <w:num w:numId="72" w16cid:durableId="1425342507">
    <w:abstractNumId w:val="25"/>
  </w:num>
  <w:num w:numId="73" w16cid:durableId="1676498768">
    <w:abstractNumId w:val="27"/>
  </w:num>
  <w:num w:numId="74" w16cid:durableId="1471825573">
    <w:abstractNumId w:val="29"/>
  </w:num>
  <w:num w:numId="75" w16cid:durableId="1627002562">
    <w:abstractNumId w:val="30"/>
  </w:num>
  <w:num w:numId="76" w16cid:durableId="256790004">
    <w:abstractNumId w:val="31"/>
  </w:num>
  <w:num w:numId="77" w16cid:durableId="118958419">
    <w:abstractNumId w:val="32"/>
  </w:num>
  <w:num w:numId="78" w16cid:durableId="1231497185">
    <w:abstractNumId w:val="33"/>
  </w:num>
  <w:num w:numId="79" w16cid:durableId="1817333002">
    <w:abstractNumId w:val="34"/>
  </w:num>
  <w:num w:numId="80" w16cid:durableId="1549489962">
    <w:abstractNumId w:val="35"/>
  </w:num>
  <w:num w:numId="81" w16cid:durableId="609901293">
    <w:abstractNumId w:val="36"/>
  </w:num>
  <w:num w:numId="82" w16cid:durableId="1616864419">
    <w:abstractNumId w:val="40"/>
  </w:num>
  <w:num w:numId="83" w16cid:durableId="652031823">
    <w:abstractNumId w:val="41"/>
  </w:num>
  <w:num w:numId="84" w16cid:durableId="2066487722">
    <w:abstractNumId w:val="47"/>
  </w:num>
  <w:num w:numId="85" w16cid:durableId="1694109209">
    <w:abstractNumId w:val="50"/>
  </w:num>
  <w:num w:numId="86" w16cid:durableId="581530045">
    <w:abstractNumId w:val="52"/>
  </w:num>
  <w:num w:numId="87" w16cid:durableId="688871360">
    <w:abstractNumId w:val="54"/>
  </w:num>
  <w:num w:numId="88" w16cid:durableId="656421508">
    <w:abstractNumId w:val="56"/>
  </w:num>
  <w:num w:numId="89" w16cid:durableId="1849442862">
    <w:abstractNumId w:val="58"/>
  </w:num>
  <w:num w:numId="90" w16cid:durableId="261034129">
    <w:abstractNumId w:val="59"/>
  </w:num>
  <w:num w:numId="91" w16cid:durableId="827133205">
    <w:abstractNumId w:val="60"/>
  </w:num>
  <w:num w:numId="92" w16cid:durableId="387730604">
    <w:abstractNumId w:val="61"/>
  </w:num>
  <w:num w:numId="93" w16cid:durableId="1637418329">
    <w:abstractNumId w:val="62"/>
  </w:num>
  <w:num w:numId="94" w16cid:durableId="1723289916">
    <w:abstractNumId w:val="21"/>
  </w:num>
  <w:num w:numId="95" w16cid:durableId="135882002">
    <w:abstractNumId w:val="42"/>
  </w:num>
  <w:num w:numId="96" w16cid:durableId="2005165844">
    <w:abstractNumId w:val="53"/>
  </w:num>
  <w:num w:numId="97" w16cid:durableId="923105675">
    <w:abstractNumId w:val="51"/>
  </w:num>
  <w:num w:numId="98" w16cid:durableId="360015321">
    <w:abstractNumId w:val="46"/>
  </w:num>
  <w:num w:numId="99" w16cid:durableId="228269376">
    <w:abstractNumId w:val="37"/>
  </w:num>
  <w:num w:numId="100" w16cid:durableId="211691652">
    <w:abstractNumId w:val="3"/>
  </w:num>
  <w:num w:numId="101" w16cid:durableId="1098136921">
    <w:abstractNumId w:val="26"/>
  </w:num>
  <w:num w:numId="102" w16cid:durableId="990446197">
    <w:abstractNumId w:val="48"/>
  </w:num>
  <w:num w:numId="103" w16cid:durableId="1316910967">
    <w:abstractNumId w:val="5"/>
  </w:num>
  <w:num w:numId="104" w16cid:durableId="99574283">
    <w:abstractNumId w:val="11"/>
  </w:num>
  <w:num w:numId="105" w16cid:durableId="211212517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3247"/>
    <w:rsid w:val="0001788C"/>
    <w:rsid w:val="00022CF5"/>
    <w:rsid w:val="000232F1"/>
    <w:rsid w:val="00036A8A"/>
    <w:rsid w:val="00040C3A"/>
    <w:rsid w:val="00056D3F"/>
    <w:rsid w:val="000639C0"/>
    <w:rsid w:val="00070F3A"/>
    <w:rsid w:val="000716C5"/>
    <w:rsid w:val="00072761"/>
    <w:rsid w:val="00075E23"/>
    <w:rsid w:val="00092F32"/>
    <w:rsid w:val="0009344A"/>
    <w:rsid w:val="000A575F"/>
    <w:rsid w:val="000B069D"/>
    <w:rsid w:val="000B2F51"/>
    <w:rsid w:val="000C3677"/>
    <w:rsid w:val="000C4365"/>
    <w:rsid w:val="000C50C0"/>
    <w:rsid w:val="000D10DB"/>
    <w:rsid w:val="000D5D12"/>
    <w:rsid w:val="00112457"/>
    <w:rsid w:val="00114567"/>
    <w:rsid w:val="0011496C"/>
    <w:rsid w:val="00124116"/>
    <w:rsid w:val="00126C6F"/>
    <w:rsid w:val="0013104F"/>
    <w:rsid w:val="00133F0F"/>
    <w:rsid w:val="00137EBA"/>
    <w:rsid w:val="00145EDC"/>
    <w:rsid w:val="00153084"/>
    <w:rsid w:val="0016565D"/>
    <w:rsid w:val="00167A34"/>
    <w:rsid w:val="001714B4"/>
    <w:rsid w:val="0018037F"/>
    <w:rsid w:val="001A5F27"/>
    <w:rsid w:val="001A65E4"/>
    <w:rsid w:val="001A7870"/>
    <w:rsid w:val="001B27CC"/>
    <w:rsid w:val="001C1B41"/>
    <w:rsid w:val="001E366B"/>
    <w:rsid w:val="001F1902"/>
    <w:rsid w:val="00210E0E"/>
    <w:rsid w:val="00210F4B"/>
    <w:rsid w:val="00226023"/>
    <w:rsid w:val="00230163"/>
    <w:rsid w:val="0023351C"/>
    <w:rsid w:val="00247403"/>
    <w:rsid w:val="00247542"/>
    <w:rsid w:val="00253990"/>
    <w:rsid w:val="00257893"/>
    <w:rsid w:val="00266092"/>
    <w:rsid w:val="00266B61"/>
    <w:rsid w:val="0026712A"/>
    <w:rsid w:val="002704DB"/>
    <w:rsid w:val="002760CE"/>
    <w:rsid w:val="00283C23"/>
    <w:rsid w:val="00297DC1"/>
    <w:rsid w:val="002B2F80"/>
    <w:rsid w:val="002B7A85"/>
    <w:rsid w:val="002C1641"/>
    <w:rsid w:val="002D7EA2"/>
    <w:rsid w:val="002E15DF"/>
    <w:rsid w:val="002E187C"/>
    <w:rsid w:val="002E6E57"/>
    <w:rsid w:val="002F664A"/>
    <w:rsid w:val="00301075"/>
    <w:rsid w:val="00302733"/>
    <w:rsid w:val="00311A4F"/>
    <w:rsid w:val="00313E3D"/>
    <w:rsid w:val="00314078"/>
    <w:rsid w:val="00321AFD"/>
    <w:rsid w:val="00322450"/>
    <w:rsid w:val="003246B5"/>
    <w:rsid w:val="0033169F"/>
    <w:rsid w:val="003414AC"/>
    <w:rsid w:val="00356185"/>
    <w:rsid w:val="00357777"/>
    <w:rsid w:val="00360380"/>
    <w:rsid w:val="003654EA"/>
    <w:rsid w:val="00366115"/>
    <w:rsid w:val="00366945"/>
    <w:rsid w:val="003771A3"/>
    <w:rsid w:val="00386CF0"/>
    <w:rsid w:val="00393ED4"/>
    <w:rsid w:val="003A4348"/>
    <w:rsid w:val="003B1B3F"/>
    <w:rsid w:val="003C32BC"/>
    <w:rsid w:val="003D102A"/>
    <w:rsid w:val="003D37CA"/>
    <w:rsid w:val="003E3E03"/>
    <w:rsid w:val="003E549F"/>
    <w:rsid w:val="003F1BBF"/>
    <w:rsid w:val="003F53B9"/>
    <w:rsid w:val="00401F06"/>
    <w:rsid w:val="004162B1"/>
    <w:rsid w:val="004165C2"/>
    <w:rsid w:val="0042715D"/>
    <w:rsid w:val="00450A4A"/>
    <w:rsid w:val="004666FB"/>
    <w:rsid w:val="00466D0B"/>
    <w:rsid w:val="00467B7E"/>
    <w:rsid w:val="0049419D"/>
    <w:rsid w:val="00497778"/>
    <w:rsid w:val="00497CD4"/>
    <w:rsid w:val="004B2762"/>
    <w:rsid w:val="004B64FC"/>
    <w:rsid w:val="004B7EB6"/>
    <w:rsid w:val="004C41DE"/>
    <w:rsid w:val="004C4B62"/>
    <w:rsid w:val="004D0405"/>
    <w:rsid w:val="004D6025"/>
    <w:rsid w:val="004D72BC"/>
    <w:rsid w:val="004F15BE"/>
    <w:rsid w:val="004F6B67"/>
    <w:rsid w:val="004F7DAA"/>
    <w:rsid w:val="00501399"/>
    <w:rsid w:val="00507BC4"/>
    <w:rsid w:val="005128E4"/>
    <w:rsid w:val="0051341C"/>
    <w:rsid w:val="00520468"/>
    <w:rsid w:val="00523F81"/>
    <w:rsid w:val="00525560"/>
    <w:rsid w:val="00530C56"/>
    <w:rsid w:val="005357A6"/>
    <w:rsid w:val="00543302"/>
    <w:rsid w:val="00544C49"/>
    <w:rsid w:val="00557486"/>
    <w:rsid w:val="00561623"/>
    <w:rsid w:val="0057402A"/>
    <w:rsid w:val="005771D0"/>
    <w:rsid w:val="005816E5"/>
    <w:rsid w:val="005834FA"/>
    <w:rsid w:val="00584C7C"/>
    <w:rsid w:val="0059191A"/>
    <w:rsid w:val="005921FF"/>
    <w:rsid w:val="00592718"/>
    <w:rsid w:val="005A6D0E"/>
    <w:rsid w:val="005B222D"/>
    <w:rsid w:val="005B25E9"/>
    <w:rsid w:val="005B4B8E"/>
    <w:rsid w:val="005B52B0"/>
    <w:rsid w:val="005B6806"/>
    <w:rsid w:val="005C00F9"/>
    <w:rsid w:val="005C4225"/>
    <w:rsid w:val="005E0E19"/>
    <w:rsid w:val="005F0F33"/>
    <w:rsid w:val="00600DEB"/>
    <w:rsid w:val="0060224D"/>
    <w:rsid w:val="00607136"/>
    <w:rsid w:val="00610F60"/>
    <w:rsid w:val="00613027"/>
    <w:rsid w:val="00627C9F"/>
    <w:rsid w:val="006311DA"/>
    <w:rsid w:val="006311E9"/>
    <w:rsid w:val="006318B2"/>
    <w:rsid w:val="00632354"/>
    <w:rsid w:val="00642810"/>
    <w:rsid w:val="00652333"/>
    <w:rsid w:val="00653EA6"/>
    <w:rsid w:val="00654522"/>
    <w:rsid w:val="0068009E"/>
    <w:rsid w:val="006965F6"/>
    <w:rsid w:val="006A17D2"/>
    <w:rsid w:val="006A1B7A"/>
    <w:rsid w:val="006A22C6"/>
    <w:rsid w:val="006A42ED"/>
    <w:rsid w:val="006A73E6"/>
    <w:rsid w:val="006B2D5C"/>
    <w:rsid w:val="006C4EB1"/>
    <w:rsid w:val="006D43EE"/>
    <w:rsid w:val="006D4707"/>
    <w:rsid w:val="006E0166"/>
    <w:rsid w:val="006E7B34"/>
    <w:rsid w:val="006F1022"/>
    <w:rsid w:val="006F4458"/>
    <w:rsid w:val="00701B24"/>
    <w:rsid w:val="00701E8C"/>
    <w:rsid w:val="00706858"/>
    <w:rsid w:val="0071495F"/>
    <w:rsid w:val="0073798E"/>
    <w:rsid w:val="00745899"/>
    <w:rsid w:val="007607C4"/>
    <w:rsid w:val="0076643F"/>
    <w:rsid w:val="0077642E"/>
    <w:rsid w:val="00781653"/>
    <w:rsid w:val="00792CC2"/>
    <w:rsid w:val="007976EE"/>
    <w:rsid w:val="007A2F70"/>
    <w:rsid w:val="007A4E36"/>
    <w:rsid w:val="007C2418"/>
    <w:rsid w:val="007C3334"/>
    <w:rsid w:val="007C52BB"/>
    <w:rsid w:val="007D2048"/>
    <w:rsid w:val="007D2B98"/>
    <w:rsid w:val="007E0AA1"/>
    <w:rsid w:val="007F03DD"/>
    <w:rsid w:val="007F2AED"/>
    <w:rsid w:val="007F4853"/>
    <w:rsid w:val="00803F1C"/>
    <w:rsid w:val="0080600E"/>
    <w:rsid w:val="008100F0"/>
    <w:rsid w:val="00814711"/>
    <w:rsid w:val="00817612"/>
    <w:rsid w:val="00834B69"/>
    <w:rsid w:val="00837C45"/>
    <w:rsid w:val="00843858"/>
    <w:rsid w:val="00853419"/>
    <w:rsid w:val="008671BC"/>
    <w:rsid w:val="008917BF"/>
    <w:rsid w:val="00897E12"/>
    <w:rsid w:val="008A5AB4"/>
    <w:rsid w:val="008C0F0E"/>
    <w:rsid w:val="008D43BA"/>
    <w:rsid w:val="008E3759"/>
    <w:rsid w:val="008E40F5"/>
    <w:rsid w:val="00902B6E"/>
    <w:rsid w:val="009041DC"/>
    <w:rsid w:val="009104B4"/>
    <w:rsid w:val="0091361A"/>
    <w:rsid w:val="009202B0"/>
    <w:rsid w:val="009228DA"/>
    <w:rsid w:val="00925FCD"/>
    <w:rsid w:val="00930DB3"/>
    <w:rsid w:val="0093441A"/>
    <w:rsid w:val="009457D0"/>
    <w:rsid w:val="00946ACE"/>
    <w:rsid w:val="00947798"/>
    <w:rsid w:val="00954BF7"/>
    <w:rsid w:val="009565DF"/>
    <w:rsid w:val="00966A23"/>
    <w:rsid w:val="0096706E"/>
    <w:rsid w:val="00981FBA"/>
    <w:rsid w:val="0098783D"/>
    <w:rsid w:val="0099410D"/>
    <w:rsid w:val="009B381B"/>
    <w:rsid w:val="009B58F0"/>
    <w:rsid w:val="009C56E1"/>
    <w:rsid w:val="009D7611"/>
    <w:rsid w:val="009E53DE"/>
    <w:rsid w:val="009E566A"/>
    <w:rsid w:val="009E7C43"/>
    <w:rsid w:val="00A030DD"/>
    <w:rsid w:val="00A03E46"/>
    <w:rsid w:val="00A12DBC"/>
    <w:rsid w:val="00A15ED7"/>
    <w:rsid w:val="00A1629B"/>
    <w:rsid w:val="00A27D67"/>
    <w:rsid w:val="00A35300"/>
    <w:rsid w:val="00A3629D"/>
    <w:rsid w:val="00A43458"/>
    <w:rsid w:val="00A528D1"/>
    <w:rsid w:val="00A5614D"/>
    <w:rsid w:val="00A66BE5"/>
    <w:rsid w:val="00A80A4F"/>
    <w:rsid w:val="00A85C02"/>
    <w:rsid w:val="00AD37C1"/>
    <w:rsid w:val="00AD3E6A"/>
    <w:rsid w:val="00AE66EC"/>
    <w:rsid w:val="00AE6F91"/>
    <w:rsid w:val="00AF5571"/>
    <w:rsid w:val="00B06BB7"/>
    <w:rsid w:val="00B15BA6"/>
    <w:rsid w:val="00B167E9"/>
    <w:rsid w:val="00B179ED"/>
    <w:rsid w:val="00B314DB"/>
    <w:rsid w:val="00B31EBE"/>
    <w:rsid w:val="00B35987"/>
    <w:rsid w:val="00B3718B"/>
    <w:rsid w:val="00B44B23"/>
    <w:rsid w:val="00B4632A"/>
    <w:rsid w:val="00B66165"/>
    <w:rsid w:val="00B67E82"/>
    <w:rsid w:val="00B77892"/>
    <w:rsid w:val="00B863F3"/>
    <w:rsid w:val="00B92E49"/>
    <w:rsid w:val="00B96304"/>
    <w:rsid w:val="00BA276C"/>
    <w:rsid w:val="00BB306F"/>
    <w:rsid w:val="00BC5C66"/>
    <w:rsid w:val="00BD232B"/>
    <w:rsid w:val="00BD2E42"/>
    <w:rsid w:val="00BD4B89"/>
    <w:rsid w:val="00C0362E"/>
    <w:rsid w:val="00C21762"/>
    <w:rsid w:val="00C24543"/>
    <w:rsid w:val="00C256A2"/>
    <w:rsid w:val="00C3492D"/>
    <w:rsid w:val="00C50791"/>
    <w:rsid w:val="00C54E07"/>
    <w:rsid w:val="00C55560"/>
    <w:rsid w:val="00C66B72"/>
    <w:rsid w:val="00C729D0"/>
    <w:rsid w:val="00C73DBC"/>
    <w:rsid w:val="00C75E93"/>
    <w:rsid w:val="00C80414"/>
    <w:rsid w:val="00C84D0A"/>
    <w:rsid w:val="00C9342F"/>
    <w:rsid w:val="00C9567A"/>
    <w:rsid w:val="00CA08CE"/>
    <w:rsid w:val="00CA6577"/>
    <w:rsid w:val="00CB2660"/>
    <w:rsid w:val="00CC5E90"/>
    <w:rsid w:val="00CD046C"/>
    <w:rsid w:val="00CD371C"/>
    <w:rsid w:val="00CE5199"/>
    <w:rsid w:val="00CE5519"/>
    <w:rsid w:val="00CE66D5"/>
    <w:rsid w:val="00D16789"/>
    <w:rsid w:val="00D3187F"/>
    <w:rsid w:val="00D34786"/>
    <w:rsid w:val="00D40A1E"/>
    <w:rsid w:val="00D533C0"/>
    <w:rsid w:val="00D712D3"/>
    <w:rsid w:val="00D71422"/>
    <w:rsid w:val="00D7145E"/>
    <w:rsid w:val="00D75084"/>
    <w:rsid w:val="00D7558D"/>
    <w:rsid w:val="00D81D92"/>
    <w:rsid w:val="00D82934"/>
    <w:rsid w:val="00D93446"/>
    <w:rsid w:val="00DA7B5F"/>
    <w:rsid w:val="00DB074B"/>
    <w:rsid w:val="00DF078B"/>
    <w:rsid w:val="00DF350D"/>
    <w:rsid w:val="00E10D99"/>
    <w:rsid w:val="00E227C1"/>
    <w:rsid w:val="00E27497"/>
    <w:rsid w:val="00E335FA"/>
    <w:rsid w:val="00E35F82"/>
    <w:rsid w:val="00E4110D"/>
    <w:rsid w:val="00E43157"/>
    <w:rsid w:val="00E4523F"/>
    <w:rsid w:val="00E47F3D"/>
    <w:rsid w:val="00E533FF"/>
    <w:rsid w:val="00E542FC"/>
    <w:rsid w:val="00E64636"/>
    <w:rsid w:val="00E709B3"/>
    <w:rsid w:val="00E7588C"/>
    <w:rsid w:val="00E7797F"/>
    <w:rsid w:val="00E850B6"/>
    <w:rsid w:val="00E8789F"/>
    <w:rsid w:val="00E97B71"/>
    <w:rsid w:val="00EB454D"/>
    <w:rsid w:val="00EB786F"/>
    <w:rsid w:val="00ED0D1B"/>
    <w:rsid w:val="00ED696B"/>
    <w:rsid w:val="00EE3522"/>
    <w:rsid w:val="00EF619B"/>
    <w:rsid w:val="00F00B55"/>
    <w:rsid w:val="00F1380F"/>
    <w:rsid w:val="00F14F0E"/>
    <w:rsid w:val="00F15A3B"/>
    <w:rsid w:val="00F24C29"/>
    <w:rsid w:val="00F253CC"/>
    <w:rsid w:val="00F42B71"/>
    <w:rsid w:val="00F55664"/>
    <w:rsid w:val="00F56BA5"/>
    <w:rsid w:val="00F621C3"/>
    <w:rsid w:val="00F644E6"/>
    <w:rsid w:val="00F84AFB"/>
    <w:rsid w:val="00F9653B"/>
    <w:rsid w:val="00FB0050"/>
    <w:rsid w:val="00FB62CF"/>
    <w:rsid w:val="00FC3EB4"/>
    <w:rsid w:val="00FC6C58"/>
    <w:rsid w:val="00FE1ECC"/>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UnresolvedMention">
    <w:name w:val="Unresolved Mention"/>
    <w:basedOn w:val="DefaultParagraphFont"/>
    <w:uiPriority w:val="99"/>
    <w:semiHidden/>
    <w:unhideWhenUsed/>
    <w:rsid w:val="002F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apWnT0iht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F1DDB"/>
    <w:rsid w:val="003748EB"/>
    <w:rsid w:val="0037569C"/>
    <w:rsid w:val="004108B1"/>
    <w:rsid w:val="006A3012"/>
    <w:rsid w:val="008B05D5"/>
    <w:rsid w:val="008E5B9D"/>
    <w:rsid w:val="00AA7336"/>
    <w:rsid w:val="00AB44F1"/>
    <w:rsid w:val="00AE54E1"/>
    <w:rsid w:val="00B93DE0"/>
    <w:rsid w:val="00BF5088"/>
    <w:rsid w:val="00C54669"/>
    <w:rsid w:val="00C74229"/>
    <w:rsid w:val="00E6117B"/>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2022-11-19T13:43:00Z</dcterms:created>
  <dcterms:modified xsi:type="dcterms:W3CDTF">2022-11-19T13:43:00Z</dcterms:modified>
</cp:coreProperties>
</file>