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E1D23" w14:textId="77777777" w:rsidR="00E10040" w:rsidRPr="00CB26E5" w:rsidRDefault="00E10040" w:rsidP="00E10040">
      <w:pPr>
        <w:jc w:val="both"/>
        <w:rPr>
          <w:rFonts w:ascii="Cambria" w:hAnsi="Cambria" w:cs="Univers"/>
          <w:b/>
          <w:bCs/>
          <w:sz w:val="22"/>
          <w:szCs w:val="22"/>
        </w:rPr>
      </w:pPr>
      <w:r w:rsidRPr="00CB26E5">
        <w:rPr>
          <w:rFonts w:ascii="Cambria" w:hAnsi="Cambria"/>
          <w:noProof/>
          <w:sz w:val="22"/>
          <w:szCs w:val="22"/>
        </w:rPr>
        <mc:AlternateContent>
          <mc:Choice Requires="wps">
            <w:drawing>
              <wp:anchor distT="0" distB="0" distL="114300" distR="114300" simplePos="0" relativeHeight="251659264" behindDoc="0" locked="0" layoutInCell="1" allowOverlap="1" wp14:anchorId="54B79C7D" wp14:editId="1921302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C54AA"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" fillcolor="#67ae3c" stroked="f" strokeweight="1pt"/>
            </w:pict>
          </mc:Fallback>
        </mc:AlternateContent>
      </w:r>
      <w:r w:rsidRPr="00CB26E5">
        <w:rPr>
          <w:rFonts w:ascii="Cambria" w:hAnsi="Cambria"/>
          <w:noProof/>
          <w:sz w:val="22"/>
          <w:szCs w:val="22"/>
        </w:rPr>
        <mc:AlternateContent>
          <mc:Choice Requires="wps">
            <w:drawing>
              <wp:anchor distT="0" distB="0" distL="114300" distR="114300" simplePos="0" relativeHeight="251663360" behindDoc="0" locked="0" layoutInCell="1" allowOverlap="1" wp14:anchorId="1D33B837" wp14:editId="642EE088">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700BA6" w14:textId="6AADB6FE" w:rsidR="00E10040" w:rsidRDefault="00E10040" w:rsidP="00E10040">
                            <w:r>
                              <w:rPr>
                                <w:noProof/>
                              </w:rPr>
                              <w:drawing>
                                <wp:inline distT="0" distB="0" distL="0" distR="0" wp14:anchorId="4DF85E62" wp14:editId="1C46F6B0">
                                  <wp:extent cx="2647666" cy="509675"/>
                                  <wp:effectExtent l="0" t="0" r="635"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647666" cy="50967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3B837"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5B700BA6" w14:textId="6AADB6FE" w:rsidR="00E10040" w:rsidRDefault="00E10040" w:rsidP="00E10040">
                      <w:r>
                        <w:rPr>
                          <w:noProof/>
                        </w:rPr>
                        <w:drawing>
                          <wp:inline distT="0" distB="0" distL="0" distR="0" wp14:anchorId="4DF85E62" wp14:editId="1C46F6B0">
                            <wp:extent cx="2647666" cy="509675"/>
                            <wp:effectExtent l="0" t="0" r="635"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647666" cy="509675"/>
                                    </a:xfrm>
                                    <a:prstGeom prst="rect">
                                      <a:avLst/>
                                    </a:prstGeom>
                                    <a:noFill/>
                                    <a:ln>
                                      <a:noFill/>
                                    </a:ln>
                                  </pic:spPr>
                                </pic:pic>
                              </a:graphicData>
                            </a:graphic>
                          </wp:inline>
                        </w:drawing>
                      </w:r>
                      <w:r>
                        <w:tab/>
                        <w:t xml:space="preserve"> </w:t>
                      </w:r>
                    </w:p>
                  </w:txbxContent>
                </v:textbox>
              </v:shape>
            </w:pict>
          </mc:Fallback>
        </mc:AlternateContent>
      </w:r>
      <w:r w:rsidRPr="00CB26E5">
        <w:rPr>
          <w:rFonts w:ascii="Cambria" w:hAnsi="Cambria" w:cs="Univers"/>
          <w:b/>
          <w:bCs/>
          <w:sz w:val="22"/>
          <w:szCs w:val="22"/>
        </w:rPr>
        <w:t xml:space="preserve"> </w:t>
      </w:r>
    </w:p>
    <w:p w14:paraId="568095CA" w14:textId="77777777" w:rsidR="00E10040" w:rsidRPr="00CB26E5" w:rsidRDefault="00E10040" w:rsidP="00E10040">
      <w:pPr>
        <w:tabs>
          <w:tab w:val="center" w:pos="5400"/>
        </w:tabs>
        <w:suppressAutoHyphens/>
        <w:jc w:val="both"/>
        <w:rPr>
          <w:rFonts w:ascii="Cambria" w:hAnsi="Cambria"/>
          <w:sz w:val="22"/>
          <w:szCs w:val="22"/>
        </w:rPr>
      </w:pPr>
    </w:p>
    <w:p w14:paraId="1DFF4A90" w14:textId="77777777" w:rsidR="00E10040" w:rsidRPr="00CB26E5" w:rsidRDefault="00E10040" w:rsidP="00E10040">
      <w:pPr>
        <w:tabs>
          <w:tab w:val="center" w:pos="5400"/>
        </w:tabs>
        <w:suppressAutoHyphens/>
        <w:jc w:val="both"/>
        <w:rPr>
          <w:rFonts w:ascii="Cambria" w:hAnsi="Cambria"/>
          <w:sz w:val="22"/>
          <w:szCs w:val="22"/>
        </w:rPr>
      </w:pPr>
    </w:p>
    <w:p w14:paraId="65DC4A88" w14:textId="77777777" w:rsidR="00E10040" w:rsidRPr="00CB26E5" w:rsidRDefault="00E10040" w:rsidP="00E10040">
      <w:pPr>
        <w:tabs>
          <w:tab w:val="center" w:pos="5400"/>
        </w:tabs>
        <w:suppressAutoHyphens/>
        <w:rPr>
          <w:rFonts w:ascii="Cambria" w:hAnsi="Cambria"/>
          <w:sz w:val="22"/>
          <w:szCs w:val="22"/>
        </w:rPr>
      </w:pPr>
    </w:p>
    <w:p w14:paraId="4F24238A" w14:textId="77777777" w:rsidR="00E10040" w:rsidRPr="00CB26E5" w:rsidRDefault="00E10040" w:rsidP="00E10040">
      <w:pPr>
        <w:tabs>
          <w:tab w:val="center" w:pos="5400"/>
        </w:tabs>
        <w:suppressAutoHyphens/>
        <w:rPr>
          <w:rFonts w:ascii="Cambria" w:hAnsi="Cambria"/>
          <w:sz w:val="22"/>
          <w:szCs w:val="22"/>
        </w:rPr>
      </w:pPr>
    </w:p>
    <w:p w14:paraId="387440B2" w14:textId="77777777" w:rsidR="00E10040" w:rsidRPr="00CB26E5" w:rsidRDefault="00E10040" w:rsidP="00E10040">
      <w:pPr>
        <w:tabs>
          <w:tab w:val="center" w:pos="5400"/>
        </w:tabs>
        <w:suppressAutoHyphens/>
        <w:rPr>
          <w:rFonts w:ascii="Cambria" w:hAnsi="Cambria"/>
          <w:sz w:val="22"/>
          <w:szCs w:val="22"/>
        </w:rPr>
      </w:pPr>
    </w:p>
    <w:p w14:paraId="5EE2C527" w14:textId="77777777" w:rsidR="00E10040" w:rsidRPr="00CB26E5" w:rsidRDefault="00E10040" w:rsidP="00E10040">
      <w:pPr>
        <w:tabs>
          <w:tab w:val="center" w:pos="5400"/>
        </w:tabs>
        <w:suppressAutoHyphens/>
        <w:jc w:val="center"/>
        <w:rPr>
          <w:rFonts w:ascii="Cambria" w:hAnsi="Cambria"/>
          <w:sz w:val="22"/>
          <w:szCs w:val="22"/>
        </w:rPr>
      </w:pPr>
    </w:p>
    <w:p w14:paraId="3CB256DD" w14:textId="77777777" w:rsidR="00E10040" w:rsidRPr="00CB26E5" w:rsidRDefault="00E10040" w:rsidP="00E10040">
      <w:pPr>
        <w:tabs>
          <w:tab w:val="center" w:pos="5400"/>
        </w:tabs>
        <w:suppressAutoHyphens/>
        <w:jc w:val="center"/>
        <w:rPr>
          <w:rFonts w:ascii="Cambria" w:hAnsi="Cambria"/>
          <w:sz w:val="22"/>
          <w:szCs w:val="22"/>
        </w:rPr>
      </w:pPr>
    </w:p>
    <w:p w14:paraId="20BB3321" w14:textId="77777777" w:rsidR="00E10040" w:rsidRPr="00CB26E5" w:rsidRDefault="00E10040" w:rsidP="00E10040">
      <w:pPr>
        <w:tabs>
          <w:tab w:val="center" w:pos="5400"/>
        </w:tabs>
        <w:suppressAutoHyphens/>
        <w:jc w:val="center"/>
        <w:rPr>
          <w:rFonts w:ascii="Cambria" w:hAnsi="Cambria"/>
          <w:sz w:val="22"/>
          <w:szCs w:val="22"/>
        </w:rPr>
      </w:pPr>
    </w:p>
    <w:p w14:paraId="48A54078" w14:textId="77777777" w:rsidR="00E10040" w:rsidRPr="00CB26E5" w:rsidRDefault="00E10040" w:rsidP="00E10040">
      <w:pPr>
        <w:tabs>
          <w:tab w:val="center" w:pos="5400"/>
        </w:tabs>
        <w:suppressAutoHyphens/>
        <w:jc w:val="center"/>
        <w:rPr>
          <w:rFonts w:ascii="Cambria" w:hAnsi="Cambria"/>
          <w:sz w:val="22"/>
          <w:szCs w:val="22"/>
        </w:rPr>
      </w:pPr>
    </w:p>
    <w:p w14:paraId="06A72060" w14:textId="77777777" w:rsidR="00E10040" w:rsidRPr="00CB26E5" w:rsidRDefault="00E10040" w:rsidP="00E10040">
      <w:pPr>
        <w:tabs>
          <w:tab w:val="center" w:pos="5400"/>
        </w:tabs>
        <w:suppressAutoHyphens/>
        <w:jc w:val="center"/>
        <w:rPr>
          <w:rFonts w:ascii="Cambria" w:hAnsi="Cambria"/>
          <w:sz w:val="22"/>
          <w:szCs w:val="22"/>
        </w:rPr>
      </w:pPr>
    </w:p>
    <w:p w14:paraId="5491C21D" w14:textId="77777777" w:rsidR="00E10040" w:rsidRPr="00CB26E5" w:rsidRDefault="00E10040" w:rsidP="00E10040">
      <w:pPr>
        <w:tabs>
          <w:tab w:val="center" w:pos="5400"/>
        </w:tabs>
        <w:suppressAutoHyphens/>
        <w:jc w:val="center"/>
        <w:rPr>
          <w:rFonts w:ascii="Cambria" w:hAnsi="Cambria"/>
          <w:sz w:val="22"/>
          <w:szCs w:val="22"/>
        </w:rPr>
      </w:pPr>
    </w:p>
    <w:p w14:paraId="76D0B80F" w14:textId="77777777" w:rsidR="00E10040" w:rsidRPr="00CB26E5" w:rsidRDefault="00E10040" w:rsidP="00E10040">
      <w:pPr>
        <w:tabs>
          <w:tab w:val="center" w:pos="5400"/>
        </w:tabs>
        <w:suppressAutoHyphens/>
        <w:jc w:val="center"/>
        <w:rPr>
          <w:rFonts w:ascii="Cambria" w:hAnsi="Cambria"/>
          <w:sz w:val="22"/>
          <w:szCs w:val="22"/>
        </w:rPr>
      </w:pPr>
    </w:p>
    <w:p w14:paraId="40321C5F" w14:textId="77777777" w:rsidR="00E10040" w:rsidRPr="00CB26E5" w:rsidRDefault="00E10040" w:rsidP="00E10040">
      <w:pPr>
        <w:tabs>
          <w:tab w:val="center" w:pos="5400"/>
        </w:tabs>
        <w:suppressAutoHyphens/>
        <w:jc w:val="center"/>
        <w:rPr>
          <w:rFonts w:ascii="Cambria" w:hAnsi="Cambria"/>
          <w:sz w:val="22"/>
          <w:szCs w:val="22"/>
        </w:rPr>
      </w:pPr>
      <w:r w:rsidRPr="00CB26E5">
        <w:rPr>
          <w:rFonts w:ascii="Cambria" w:hAnsi="Cambria"/>
          <w:noProof/>
          <w:sz w:val="22"/>
          <w:szCs w:val="22"/>
        </w:rPr>
        <mc:AlternateContent>
          <mc:Choice Requires="wps">
            <w:drawing>
              <wp:anchor distT="0" distB="0" distL="114300" distR="114300" simplePos="0" relativeHeight="251660288" behindDoc="0" locked="0" layoutInCell="1" allowOverlap="1" wp14:anchorId="7568B757" wp14:editId="4D4E8110">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554715" w14:textId="77777777" w:rsidR="00D53541" w:rsidRPr="004C0C1B" w:rsidRDefault="00D53541" w:rsidP="00D53541">
                            <w:pPr>
                              <w:spacing w:line="276" w:lineRule="auto"/>
                              <w:rPr>
                                <w:rFonts w:ascii="Cambria" w:hAnsi="Cambria" w:cs="Cambria"/>
                                <w:b/>
                                <w:bCs/>
                                <w:noProof/>
                                <w:color w:val="0D0D0D"/>
                                <w:sz w:val="36"/>
                                <w:szCs w:val="36"/>
                              </w:rPr>
                            </w:pPr>
                            <w:r w:rsidRPr="004C0C1B">
                              <w:rPr>
                                <w:rFonts w:ascii="Cambria" w:hAnsi="Cambria" w:cs="Cambria"/>
                                <w:b/>
                                <w:bCs/>
                                <w:noProof/>
                                <w:color w:val="0D0D0D"/>
                                <w:sz w:val="36"/>
                                <w:szCs w:val="36"/>
                              </w:rPr>
                              <w:t xml:space="preserve">REPORT No. </w:t>
                            </w:r>
                            <w:r>
                              <w:rPr>
                                <w:rFonts w:ascii="Cambria" w:hAnsi="Cambria" w:cs="Cambria"/>
                                <w:b/>
                                <w:bCs/>
                                <w:noProof/>
                                <w:color w:val="0D0D0D"/>
                                <w:sz w:val="36"/>
                                <w:szCs w:val="36"/>
                              </w:rPr>
                              <w:t>384</w:t>
                            </w:r>
                            <w:r w:rsidRPr="004C0C1B">
                              <w:rPr>
                                <w:rFonts w:ascii="Cambria" w:hAnsi="Cambria" w:cs="Cambria"/>
                                <w:b/>
                                <w:bCs/>
                                <w:noProof/>
                                <w:color w:val="0D0D0D"/>
                                <w:sz w:val="36"/>
                                <w:szCs w:val="36"/>
                              </w:rPr>
                              <w:t>/22</w:t>
                            </w:r>
                          </w:p>
                          <w:p w14:paraId="7394C598" w14:textId="77777777" w:rsidR="00D53541" w:rsidRPr="004C0C1B" w:rsidRDefault="00D53541" w:rsidP="00D53541">
                            <w:pPr>
                              <w:spacing w:line="276" w:lineRule="auto"/>
                              <w:rPr>
                                <w:rFonts w:ascii="Cambria" w:hAnsi="Cambria" w:cs="Cambria"/>
                                <w:b/>
                                <w:bCs/>
                                <w:noProof/>
                                <w:color w:val="0D0D0D"/>
                                <w:sz w:val="36"/>
                                <w:szCs w:val="36"/>
                              </w:rPr>
                            </w:pPr>
                            <w:r w:rsidRPr="004C0C1B">
                              <w:rPr>
                                <w:rFonts w:ascii="Cambria" w:hAnsi="Cambria" w:cs="Cambria"/>
                                <w:b/>
                                <w:bCs/>
                                <w:noProof/>
                                <w:color w:val="0D0D0D"/>
                                <w:sz w:val="36"/>
                                <w:szCs w:val="36"/>
                              </w:rPr>
                              <w:t xml:space="preserve">PETITION 1573-14 </w:t>
                            </w:r>
                          </w:p>
                          <w:p w14:paraId="2D6D57AC" w14:textId="77777777" w:rsidR="00D53541" w:rsidRPr="004C0C1B" w:rsidRDefault="00D53541" w:rsidP="00D53541">
                            <w:pPr>
                              <w:spacing w:line="276" w:lineRule="auto"/>
                              <w:rPr>
                                <w:rFonts w:ascii="Cambria" w:hAnsi="Cambria" w:cs="Cambria"/>
                                <w:noProof/>
                                <w:color w:val="0D0D0D"/>
                              </w:rPr>
                            </w:pPr>
                            <w:r w:rsidRPr="004C0C1B">
                              <w:rPr>
                                <w:rFonts w:ascii="Cambria" w:hAnsi="Cambria" w:cs="Cambria"/>
                                <w:noProof/>
                                <w:color w:val="0D0D0D"/>
                              </w:rPr>
                              <w:t xml:space="preserve">REPORT ON ADMISSIBILITY </w:t>
                            </w:r>
                          </w:p>
                          <w:p w14:paraId="56C93A46" w14:textId="77777777" w:rsidR="00D53541" w:rsidRPr="004C0C1B" w:rsidRDefault="00D53541" w:rsidP="00D53541">
                            <w:pPr>
                              <w:spacing w:line="276" w:lineRule="auto"/>
                              <w:rPr>
                                <w:rFonts w:ascii="Cambria" w:hAnsi="Cambria" w:cs="Cambria"/>
                                <w:noProof/>
                                <w:color w:val="0D0D0D"/>
                              </w:rPr>
                            </w:pPr>
                            <w:bookmarkStart w:id="0" w:name="_ftnref1"/>
                          </w:p>
                          <w:p w14:paraId="00CD72A4" w14:textId="77777777" w:rsidR="00D53541" w:rsidRPr="004C0C1B" w:rsidRDefault="00D53541" w:rsidP="00D53541">
                            <w:pPr>
                              <w:spacing w:line="276" w:lineRule="auto"/>
                              <w:rPr>
                                <w:rFonts w:ascii="Cambria" w:hAnsi="Cambria" w:cs="Cambria"/>
                                <w:noProof/>
                                <w:color w:val="0D0D0D"/>
                              </w:rPr>
                            </w:pPr>
                            <w:r w:rsidRPr="004C0C1B">
                              <w:rPr>
                                <w:rFonts w:ascii="Cambria" w:hAnsi="Cambria" w:cs="Cambria"/>
                                <w:noProof/>
                                <w:color w:val="0D0D0D"/>
                              </w:rPr>
                              <w:t>P.E.M.M</w:t>
                            </w:r>
                            <w:r>
                              <w:rPr>
                                <w:rFonts w:ascii="Cambria" w:hAnsi="Cambria" w:cs="Cambria"/>
                                <w:noProof/>
                                <w:color w:val="0D0D0D"/>
                              </w:rPr>
                              <w:t>.</w:t>
                            </w:r>
                          </w:p>
                          <w:bookmarkEnd w:id="0"/>
                          <w:p w14:paraId="1DA1F5CC" w14:textId="64B39D92" w:rsidR="00E10040" w:rsidRPr="00E10040" w:rsidRDefault="00D53541" w:rsidP="00D53541">
                            <w:pPr>
                              <w:rPr>
                                <w:rFonts w:ascii="Cambria" w:hAnsi="Cambria"/>
                                <w:color w:val="0D0D0D" w:themeColor="text1" w:themeTint="F2"/>
                                <w:lang w:val="es-ES_tradnl"/>
                              </w:rPr>
                            </w:pPr>
                            <w:r w:rsidRPr="004C0C1B">
                              <w:rPr>
                                <w:rFonts w:ascii="Cambria" w:hAnsi="Cambria" w:cs="Cambria"/>
                                <w:noProof/>
                                <w:color w:val="0D0D0D"/>
                              </w:rPr>
                              <w:t>PERU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8B757"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5554715" w14:textId="77777777" w:rsidR="00D53541" w:rsidRPr="004C0C1B" w:rsidRDefault="00D53541" w:rsidP="00D53541">
                      <w:pPr>
                        <w:spacing w:line="276" w:lineRule="auto"/>
                        <w:rPr>
                          <w:rFonts w:ascii="Cambria" w:hAnsi="Cambria" w:cs="Cambria"/>
                          <w:b/>
                          <w:bCs/>
                          <w:noProof/>
                          <w:color w:val="0D0D0D"/>
                          <w:sz w:val="36"/>
                          <w:szCs w:val="36"/>
                        </w:rPr>
                      </w:pPr>
                      <w:r w:rsidRPr="004C0C1B">
                        <w:rPr>
                          <w:rFonts w:ascii="Cambria" w:hAnsi="Cambria" w:cs="Cambria"/>
                          <w:b/>
                          <w:bCs/>
                          <w:noProof/>
                          <w:color w:val="0D0D0D"/>
                          <w:sz w:val="36"/>
                          <w:szCs w:val="36"/>
                        </w:rPr>
                        <w:t xml:space="preserve">REPORT No. </w:t>
                      </w:r>
                      <w:r>
                        <w:rPr>
                          <w:rFonts w:ascii="Cambria" w:hAnsi="Cambria" w:cs="Cambria"/>
                          <w:b/>
                          <w:bCs/>
                          <w:noProof/>
                          <w:color w:val="0D0D0D"/>
                          <w:sz w:val="36"/>
                          <w:szCs w:val="36"/>
                        </w:rPr>
                        <w:t>384</w:t>
                      </w:r>
                      <w:r w:rsidRPr="004C0C1B">
                        <w:rPr>
                          <w:rFonts w:ascii="Cambria" w:hAnsi="Cambria" w:cs="Cambria"/>
                          <w:b/>
                          <w:bCs/>
                          <w:noProof/>
                          <w:color w:val="0D0D0D"/>
                          <w:sz w:val="36"/>
                          <w:szCs w:val="36"/>
                        </w:rPr>
                        <w:t>/22</w:t>
                      </w:r>
                    </w:p>
                    <w:p w14:paraId="7394C598" w14:textId="77777777" w:rsidR="00D53541" w:rsidRPr="004C0C1B" w:rsidRDefault="00D53541" w:rsidP="00D53541">
                      <w:pPr>
                        <w:spacing w:line="276" w:lineRule="auto"/>
                        <w:rPr>
                          <w:rFonts w:ascii="Cambria" w:hAnsi="Cambria" w:cs="Cambria"/>
                          <w:b/>
                          <w:bCs/>
                          <w:noProof/>
                          <w:color w:val="0D0D0D"/>
                          <w:sz w:val="36"/>
                          <w:szCs w:val="36"/>
                        </w:rPr>
                      </w:pPr>
                      <w:r w:rsidRPr="004C0C1B">
                        <w:rPr>
                          <w:rFonts w:ascii="Cambria" w:hAnsi="Cambria" w:cs="Cambria"/>
                          <w:b/>
                          <w:bCs/>
                          <w:noProof/>
                          <w:color w:val="0D0D0D"/>
                          <w:sz w:val="36"/>
                          <w:szCs w:val="36"/>
                        </w:rPr>
                        <w:t xml:space="preserve">PETITION 1573-14 </w:t>
                      </w:r>
                    </w:p>
                    <w:p w14:paraId="2D6D57AC" w14:textId="77777777" w:rsidR="00D53541" w:rsidRPr="004C0C1B" w:rsidRDefault="00D53541" w:rsidP="00D53541">
                      <w:pPr>
                        <w:spacing w:line="276" w:lineRule="auto"/>
                        <w:rPr>
                          <w:rFonts w:ascii="Cambria" w:hAnsi="Cambria" w:cs="Cambria"/>
                          <w:noProof/>
                          <w:color w:val="0D0D0D"/>
                        </w:rPr>
                      </w:pPr>
                      <w:r w:rsidRPr="004C0C1B">
                        <w:rPr>
                          <w:rFonts w:ascii="Cambria" w:hAnsi="Cambria" w:cs="Cambria"/>
                          <w:noProof/>
                          <w:color w:val="0D0D0D"/>
                        </w:rPr>
                        <w:t xml:space="preserve">REPORT ON ADMISSIBILITY </w:t>
                      </w:r>
                    </w:p>
                    <w:p w14:paraId="56C93A46" w14:textId="77777777" w:rsidR="00D53541" w:rsidRPr="004C0C1B" w:rsidRDefault="00D53541" w:rsidP="00D53541">
                      <w:pPr>
                        <w:spacing w:line="276" w:lineRule="auto"/>
                        <w:rPr>
                          <w:rFonts w:ascii="Cambria" w:hAnsi="Cambria" w:cs="Cambria"/>
                          <w:noProof/>
                          <w:color w:val="0D0D0D"/>
                        </w:rPr>
                      </w:pPr>
                      <w:bookmarkStart w:id="1" w:name="_ftnref1"/>
                    </w:p>
                    <w:p w14:paraId="00CD72A4" w14:textId="77777777" w:rsidR="00D53541" w:rsidRPr="004C0C1B" w:rsidRDefault="00D53541" w:rsidP="00D53541">
                      <w:pPr>
                        <w:spacing w:line="276" w:lineRule="auto"/>
                        <w:rPr>
                          <w:rFonts w:ascii="Cambria" w:hAnsi="Cambria" w:cs="Cambria"/>
                          <w:noProof/>
                          <w:color w:val="0D0D0D"/>
                        </w:rPr>
                      </w:pPr>
                      <w:r w:rsidRPr="004C0C1B">
                        <w:rPr>
                          <w:rFonts w:ascii="Cambria" w:hAnsi="Cambria" w:cs="Cambria"/>
                          <w:noProof/>
                          <w:color w:val="0D0D0D"/>
                        </w:rPr>
                        <w:t>P.E.M.M</w:t>
                      </w:r>
                      <w:r>
                        <w:rPr>
                          <w:rFonts w:ascii="Cambria" w:hAnsi="Cambria" w:cs="Cambria"/>
                          <w:noProof/>
                          <w:color w:val="0D0D0D"/>
                        </w:rPr>
                        <w:t>.</w:t>
                      </w:r>
                    </w:p>
                    <w:bookmarkEnd w:id="1"/>
                    <w:p w14:paraId="1DA1F5CC" w14:textId="64B39D92" w:rsidR="00E10040" w:rsidRPr="00E10040" w:rsidRDefault="00D53541" w:rsidP="00D53541">
                      <w:pPr>
                        <w:rPr>
                          <w:rFonts w:ascii="Cambria" w:hAnsi="Cambria"/>
                          <w:color w:val="0D0D0D" w:themeColor="text1" w:themeTint="F2"/>
                          <w:lang w:val="es-ES_tradnl"/>
                        </w:rPr>
                      </w:pPr>
                      <w:r w:rsidRPr="004C0C1B">
                        <w:rPr>
                          <w:rFonts w:ascii="Cambria" w:hAnsi="Cambria" w:cs="Cambria"/>
                          <w:noProof/>
                          <w:color w:val="0D0D0D"/>
                        </w:rPr>
                        <w:t>PERU</w:t>
                      </w:r>
                    </w:p>
                  </w:txbxContent>
                </v:textbox>
              </v:shape>
            </w:pict>
          </mc:Fallback>
        </mc:AlternateContent>
      </w:r>
      <w:r w:rsidRPr="00CB26E5">
        <w:rPr>
          <w:rFonts w:ascii="Cambria" w:hAnsi="Cambria"/>
          <w:noProof/>
          <w:sz w:val="22"/>
          <w:szCs w:val="22"/>
        </w:rPr>
        <mc:AlternateContent>
          <mc:Choice Requires="wps">
            <w:drawing>
              <wp:anchor distT="0" distB="0" distL="114300" distR="114300" simplePos="0" relativeHeight="251662336" behindDoc="0" locked="0" layoutInCell="1" allowOverlap="1" wp14:anchorId="57BA1169" wp14:editId="183AD7BE">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5D3795" w14:textId="05D65463" w:rsidR="00E10040" w:rsidRPr="00042B62" w:rsidRDefault="00E10040" w:rsidP="00E10040">
                            <w:pPr>
                              <w:spacing w:line="276" w:lineRule="auto"/>
                              <w:jc w:val="right"/>
                              <w:rPr>
                                <w:rFonts w:asciiTheme="minorHAnsi" w:hAnsiTheme="minorHAnsi"/>
                                <w:color w:val="FFFFFF" w:themeColor="background1"/>
                                <w:sz w:val="22"/>
                                <w:lang w:val="pt-BR"/>
                              </w:rPr>
                            </w:pPr>
                            <w:r w:rsidRPr="00042B62">
                              <w:rPr>
                                <w:rFonts w:asciiTheme="minorHAnsi" w:hAnsiTheme="minorHAnsi"/>
                                <w:color w:val="FFFFFF" w:themeColor="background1"/>
                                <w:sz w:val="22"/>
                                <w:lang w:val="pt-BR"/>
                              </w:rPr>
                              <w:t>OA</w:t>
                            </w:r>
                            <w:r w:rsidR="00077182" w:rsidRPr="00042B62">
                              <w:rPr>
                                <w:rFonts w:asciiTheme="minorHAnsi" w:hAnsiTheme="minorHAnsi"/>
                                <w:color w:val="FFFFFF" w:themeColor="background1"/>
                                <w:sz w:val="22"/>
                                <w:lang w:val="pt-BR"/>
                              </w:rPr>
                              <w:t>S</w:t>
                            </w:r>
                            <w:r w:rsidRPr="00042B62">
                              <w:rPr>
                                <w:rFonts w:asciiTheme="minorHAnsi" w:hAnsiTheme="minorHAnsi"/>
                                <w:color w:val="FFFFFF" w:themeColor="background1"/>
                                <w:sz w:val="22"/>
                                <w:lang w:val="pt-BR"/>
                              </w:rPr>
                              <w:t>/Ser.L/V/II</w:t>
                            </w:r>
                          </w:p>
                          <w:p w14:paraId="1E29FC77" w14:textId="3F79520B" w:rsidR="00E10040" w:rsidRPr="00D53541" w:rsidRDefault="00E10040" w:rsidP="00E10040">
                            <w:pPr>
                              <w:spacing w:line="276" w:lineRule="auto"/>
                              <w:jc w:val="right"/>
                              <w:rPr>
                                <w:rFonts w:asciiTheme="minorHAnsi" w:hAnsiTheme="minorHAnsi"/>
                                <w:color w:val="FFFFFF" w:themeColor="background1"/>
                                <w:sz w:val="22"/>
                                <w:lang w:val="pt-BR"/>
                              </w:rPr>
                            </w:pPr>
                            <w:r w:rsidRPr="00D53541">
                              <w:rPr>
                                <w:rFonts w:asciiTheme="minorHAnsi" w:hAnsiTheme="minorHAnsi"/>
                                <w:color w:val="FFFFFF" w:themeColor="background1"/>
                                <w:sz w:val="22"/>
                                <w:lang w:val="pt-BR"/>
                              </w:rPr>
                              <w:t xml:space="preserve">Doc. </w:t>
                            </w:r>
                            <w:r w:rsidR="00C813A0" w:rsidRPr="00D53541">
                              <w:rPr>
                                <w:rFonts w:asciiTheme="minorHAnsi" w:hAnsiTheme="minorHAnsi"/>
                                <w:color w:val="FFFFFF" w:themeColor="background1"/>
                                <w:sz w:val="22"/>
                                <w:lang w:val="pt-BR"/>
                              </w:rPr>
                              <w:t>39</w:t>
                            </w:r>
                            <w:r w:rsidR="00D53541">
                              <w:rPr>
                                <w:rFonts w:asciiTheme="minorHAnsi" w:hAnsiTheme="minorHAnsi"/>
                                <w:color w:val="FFFFFF" w:themeColor="background1"/>
                                <w:sz w:val="22"/>
                                <w:lang w:val="pt-BR"/>
                              </w:rPr>
                              <w:t>3</w:t>
                            </w:r>
                          </w:p>
                          <w:p w14:paraId="6CFBD7B4" w14:textId="47AC63B5" w:rsidR="00D53541" w:rsidRPr="004C0C1B" w:rsidRDefault="0069173C" w:rsidP="00D53541">
                            <w:pPr>
                              <w:spacing w:line="276" w:lineRule="auto"/>
                              <w:jc w:val="right"/>
                              <w:rPr>
                                <w:rFonts w:ascii="Calibri" w:hAnsi="Calibri" w:cs="Calibri"/>
                                <w:noProof/>
                                <w:color w:val="FFFFFF"/>
                                <w:sz w:val="22"/>
                                <w:szCs w:val="22"/>
                              </w:rPr>
                            </w:pPr>
                            <w:r>
                              <w:rPr>
                                <w:rFonts w:ascii="Calibri" w:hAnsi="Calibri" w:cs="Calibri"/>
                                <w:noProof/>
                                <w:color w:val="FFFFFF"/>
                                <w:sz w:val="22"/>
                                <w:szCs w:val="22"/>
                              </w:rPr>
                              <w:t xml:space="preserve">17 </w:t>
                            </w:r>
                            <w:r w:rsidR="00D53541">
                              <w:rPr>
                                <w:rFonts w:ascii="Calibri" w:hAnsi="Calibri" w:cs="Calibri"/>
                                <w:noProof/>
                                <w:color w:val="FFFFFF"/>
                                <w:sz w:val="22"/>
                                <w:szCs w:val="22"/>
                              </w:rPr>
                              <w:t xml:space="preserve">December </w:t>
                            </w:r>
                            <w:r w:rsidR="00D53541" w:rsidRPr="004C0C1B">
                              <w:rPr>
                                <w:rFonts w:ascii="Calibri" w:hAnsi="Calibri" w:cs="Calibri"/>
                                <w:noProof/>
                                <w:color w:val="FFFFFF"/>
                                <w:sz w:val="22"/>
                                <w:szCs w:val="22"/>
                              </w:rPr>
                              <w:t>2022</w:t>
                            </w:r>
                          </w:p>
                          <w:p w14:paraId="2ED41C8A" w14:textId="762FB25B" w:rsidR="00E10040" w:rsidRPr="00E05B1A" w:rsidRDefault="00E10040" w:rsidP="00E10040">
                            <w:pPr>
                              <w:spacing w:line="276" w:lineRule="auto"/>
                              <w:jc w:val="right"/>
                              <w:rPr>
                                <w:rFonts w:asciiTheme="minorHAnsi" w:hAnsiTheme="minorHAnsi"/>
                                <w:color w:val="FFFFFF" w:themeColor="background1"/>
                                <w:sz w:val="22"/>
                              </w:rPr>
                            </w:pPr>
                            <w:r w:rsidRPr="00E05B1A">
                              <w:rPr>
                                <w:rFonts w:asciiTheme="minorHAnsi" w:hAnsiTheme="minorHAnsi"/>
                                <w:color w:val="FFFFFF" w:themeColor="background1"/>
                                <w:sz w:val="22"/>
                              </w:rPr>
                              <w:t xml:space="preserve">Original: </w:t>
                            </w:r>
                            <w:r w:rsidR="00077182" w:rsidRPr="00E05B1A">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A1169"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075D3795" w14:textId="05D65463" w:rsidR="00E10040" w:rsidRPr="00042B62" w:rsidRDefault="00E10040" w:rsidP="00E10040">
                      <w:pPr>
                        <w:spacing w:line="276" w:lineRule="auto"/>
                        <w:jc w:val="right"/>
                        <w:rPr>
                          <w:rFonts w:asciiTheme="minorHAnsi" w:hAnsiTheme="minorHAnsi"/>
                          <w:color w:val="FFFFFF" w:themeColor="background1"/>
                          <w:sz w:val="22"/>
                          <w:lang w:val="pt-BR"/>
                        </w:rPr>
                      </w:pPr>
                      <w:r w:rsidRPr="00042B62">
                        <w:rPr>
                          <w:rFonts w:asciiTheme="minorHAnsi" w:hAnsiTheme="minorHAnsi"/>
                          <w:color w:val="FFFFFF" w:themeColor="background1"/>
                          <w:sz w:val="22"/>
                          <w:lang w:val="pt-BR"/>
                        </w:rPr>
                        <w:t>OA</w:t>
                      </w:r>
                      <w:r w:rsidR="00077182" w:rsidRPr="00042B62">
                        <w:rPr>
                          <w:rFonts w:asciiTheme="minorHAnsi" w:hAnsiTheme="minorHAnsi"/>
                          <w:color w:val="FFFFFF" w:themeColor="background1"/>
                          <w:sz w:val="22"/>
                          <w:lang w:val="pt-BR"/>
                        </w:rPr>
                        <w:t>S</w:t>
                      </w:r>
                      <w:r w:rsidRPr="00042B62">
                        <w:rPr>
                          <w:rFonts w:asciiTheme="minorHAnsi" w:hAnsiTheme="minorHAnsi"/>
                          <w:color w:val="FFFFFF" w:themeColor="background1"/>
                          <w:sz w:val="22"/>
                          <w:lang w:val="pt-BR"/>
                        </w:rPr>
                        <w:t>/Ser.L/V/II</w:t>
                      </w:r>
                    </w:p>
                    <w:p w14:paraId="1E29FC77" w14:textId="3F79520B" w:rsidR="00E10040" w:rsidRPr="00D53541" w:rsidRDefault="00E10040" w:rsidP="00E10040">
                      <w:pPr>
                        <w:spacing w:line="276" w:lineRule="auto"/>
                        <w:jc w:val="right"/>
                        <w:rPr>
                          <w:rFonts w:asciiTheme="minorHAnsi" w:hAnsiTheme="minorHAnsi"/>
                          <w:color w:val="FFFFFF" w:themeColor="background1"/>
                          <w:sz w:val="22"/>
                          <w:lang w:val="pt-BR"/>
                        </w:rPr>
                      </w:pPr>
                      <w:r w:rsidRPr="00D53541">
                        <w:rPr>
                          <w:rFonts w:asciiTheme="minorHAnsi" w:hAnsiTheme="minorHAnsi"/>
                          <w:color w:val="FFFFFF" w:themeColor="background1"/>
                          <w:sz w:val="22"/>
                          <w:lang w:val="pt-BR"/>
                        </w:rPr>
                        <w:t xml:space="preserve">Doc. </w:t>
                      </w:r>
                      <w:r w:rsidR="00C813A0" w:rsidRPr="00D53541">
                        <w:rPr>
                          <w:rFonts w:asciiTheme="minorHAnsi" w:hAnsiTheme="minorHAnsi"/>
                          <w:color w:val="FFFFFF" w:themeColor="background1"/>
                          <w:sz w:val="22"/>
                          <w:lang w:val="pt-BR"/>
                        </w:rPr>
                        <w:t>39</w:t>
                      </w:r>
                      <w:r w:rsidR="00D53541">
                        <w:rPr>
                          <w:rFonts w:asciiTheme="minorHAnsi" w:hAnsiTheme="minorHAnsi"/>
                          <w:color w:val="FFFFFF" w:themeColor="background1"/>
                          <w:sz w:val="22"/>
                          <w:lang w:val="pt-BR"/>
                        </w:rPr>
                        <w:t>3</w:t>
                      </w:r>
                    </w:p>
                    <w:p w14:paraId="6CFBD7B4" w14:textId="47AC63B5" w:rsidR="00D53541" w:rsidRPr="004C0C1B" w:rsidRDefault="0069173C" w:rsidP="00D53541">
                      <w:pPr>
                        <w:spacing w:line="276" w:lineRule="auto"/>
                        <w:jc w:val="right"/>
                        <w:rPr>
                          <w:rFonts w:ascii="Calibri" w:hAnsi="Calibri" w:cs="Calibri"/>
                          <w:noProof/>
                          <w:color w:val="FFFFFF"/>
                          <w:sz w:val="22"/>
                          <w:szCs w:val="22"/>
                        </w:rPr>
                      </w:pPr>
                      <w:r>
                        <w:rPr>
                          <w:rFonts w:ascii="Calibri" w:hAnsi="Calibri" w:cs="Calibri"/>
                          <w:noProof/>
                          <w:color w:val="FFFFFF"/>
                          <w:sz w:val="22"/>
                          <w:szCs w:val="22"/>
                        </w:rPr>
                        <w:t xml:space="preserve">17 </w:t>
                      </w:r>
                      <w:r w:rsidR="00D53541">
                        <w:rPr>
                          <w:rFonts w:ascii="Calibri" w:hAnsi="Calibri" w:cs="Calibri"/>
                          <w:noProof/>
                          <w:color w:val="FFFFFF"/>
                          <w:sz w:val="22"/>
                          <w:szCs w:val="22"/>
                        </w:rPr>
                        <w:t xml:space="preserve">December </w:t>
                      </w:r>
                      <w:r w:rsidR="00D53541" w:rsidRPr="004C0C1B">
                        <w:rPr>
                          <w:rFonts w:ascii="Calibri" w:hAnsi="Calibri" w:cs="Calibri"/>
                          <w:noProof/>
                          <w:color w:val="FFFFFF"/>
                          <w:sz w:val="22"/>
                          <w:szCs w:val="22"/>
                        </w:rPr>
                        <w:t>2022</w:t>
                      </w:r>
                    </w:p>
                    <w:p w14:paraId="2ED41C8A" w14:textId="762FB25B" w:rsidR="00E10040" w:rsidRPr="00E05B1A" w:rsidRDefault="00E10040" w:rsidP="00E10040">
                      <w:pPr>
                        <w:spacing w:line="276" w:lineRule="auto"/>
                        <w:jc w:val="right"/>
                        <w:rPr>
                          <w:rFonts w:asciiTheme="minorHAnsi" w:hAnsiTheme="minorHAnsi"/>
                          <w:color w:val="FFFFFF" w:themeColor="background1"/>
                          <w:sz w:val="22"/>
                        </w:rPr>
                      </w:pPr>
                      <w:r w:rsidRPr="00E05B1A">
                        <w:rPr>
                          <w:rFonts w:asciiTheme="minorHAnsi" w:hAnsiTheme="minorHAnsi"/>
                          <w:color w:val="FFFFFF" w:themeColor="background1"/>
                          <w:sz w:val="22"/>
                        </w:rPr>
                        <w:t xml:space="preserve">Original: </w:t>
                      </w:r>
                      <w:r w:rsidR="00077182" w:rsidRPr="00E05B1A">
                        <w:rPr>
                          <w:rFonts w:asciiTheme="minorHAnsi" w:hAnsiTheme="minorHAnsi"/>
                          <w:color w:val="FFFFFF" w:themeColor="background1"/>
                          <w:sz w:val="22"/>
                        </w:rPr>
                        <w:t>Spanish</w:t>
                      </w:r>
                    </w:p>
                  </w:txbxContent>
                </v:textbox>
              </v:shape>
            </w:pict>
          </mc:Fallback>
        </mc:AlternateContent>
      </w:r>
    </w:p>
    <w:p w14:paraId="5D774B57" w14:textId="77777777" w:rsidR="00E10040" w:rsidRPr="00CB26E5" w:rsidRDefault="00E10040" w:rsidP="00E10040">
      <w:pPr>
        <w:tabs>
          <w:tab w:val="center" w:pos="5400"/>
        </w:tabs>
        <w:suppressAutoHyphens/>
        <w:jc w:val="center"/>
        <w:rPr>
          <w:rFonts w:ascii="Cambria" w:hAnsi="Cambria"/>
          <w:sz w:val="22"/>
          <w:szCs w:val="22"/>
        </w:rPr>
      </w:pPr>
    </w:p>
    <w:p w14:paraId="449238D9" w14:textId="77777777" w:rsidR="00E10040" w:rsidRPr="00CB26E5" w:rsidRDefault="00E10040" w:rsidP="00E10040">
      <w:pPr>
        <w:tabs>
          <w:tab w:val="center" w:pos="5400"/>
        </w:tabs>
        <w:suppressAutoHyphens/>
        <w:jc w:val="center"/>
        <w:rPr>
          <w:rFonts w:ascii="Cambria" w:hAnsi="Cambria"/>
          <w:sz w:val="22"/>
          <w:szCs w:val="22"/>
        </w:rPr>
      </w:pPr>
    </w:p>
    <w:p w14:paraId="389BBA6B" w14:textId="77777777" w:rsidR="00E10040" w:rsidRPr="00CB26E5" w:rsidRDefault="00E10040" w:rsidP="00E10040">
      <w:pPr>
        <w:tabs>
          <w:tab w:val="center" w:pos="5400"/>
        </w:tabs>
        <w:suppressAutoHyphens/>
        <w:jc w:val="center"/>
        <w:rPr>
          <w:rFonts w:ascii="Cambria" w:hAnsi="Cambria" w:cs="Arial"/>
          <w:sz w:val="22"/>
          <w:szCs w:val="22"/>
        </w:rPr>
      </w:pPr>
    </w:p>
    <w:p w14:paraId="494B6FB1" w14:textId="77777777" w:rsidR="00E10040" w:rsidRPr="00CB26E5" w:rsidRDefault="00E10040" w:rsidP="00E10040">
      <w:pPr>
        <w:tabs>
          <w:tab w:val="center" w:pos="5400"/>
        </w:tabs>
        <w:suppressAutoHyphens/>
        <w:jc w:val="center"/>
        <w:rPr>
          <w:rFonts w:ascii="Cambria" w:hAnsi="Cambria"/>
          <w:sz w:val="22"/>
          <w:szCs w:val="22"/>
        </w:rPr>
      </w:pPr>
    </w:p>
    <w:p w14:paraId="6E08A474" w14:textId="77777777" w:rsidR="00E10040" w:rsidRPr="00CB26E5" w:rsidRDefault="00E10040" w:rsidP="00E10040">
      <w:pPr>
        <w:tabs>
          <w:tab w:val="center" w:pos="5400"/>
        </w:tabs>
        <w:suppressAutoHyphens/>
        <w:jc w:val="center"/>
        <w:rPr>
          <w:rFonts w:ascii="Cambria" w:hAnsi="Cambria"/>
          <w:sz w:val="22"/>
          <w:szCs w:val="22"/>
        </w:rPr>
      </w:pPr>
    </w:p>
    <w:p w14:paraId="5C99D719" w14:textId="77777777" w:rsidR="00E10040" w:rsidRPr="00CB26E5" w:rsidRDefault="00E10040" w:rsidP="00E10040">
      <w:pPr>
        <w:tabs>
          <w:tab w:val="center" w:pos="5400"/>
        </w:tabs>
        <w:suppressAutoHyphens/>
        <w:jc w:val="center"/>
        <w:rPr>
          <w:rFonts w:ascii="Cambria" w:hAnsi="Cambria"/>
          <w:sz w:val="22"/>
          <w:szCs w:val="22"/>
        </w:rPr>
      </w:pPr>
    </w:p>
    <w:p w14:paraId="14DDB5B9" w14:textId="77777777" w:rsidR="00E10040" w:rsidRPr="00CB26E5" w:rsidRDefault="00E10040" w:rsidP="00E10040">
      <w:pPr>
        <w:tabs>
          <w:tab w:val="center" w:pos="5400"/>
        </w:tabs>
        <w:suppressAutoHyphens/>
        <w:jc w:val="center"/>
        <w:rPr>
          <w:rFonts w:ascii="Cambria" w:hAnsi="Cambria"/>
          <w:sz w:val="22"/>
          <w:szCs w:val="22"/>
        </w:rPr>
      </w:pPr>
    </w:p>
    <w:p w14:paraId="1891334E" w14:textId="77777777" w:rsidR="00E10040" w:rsidRPr="00CB26E5" w:rsidRDefault="00E10040" w:rsidP="00E10040">
      <w:pPr>
        <w:tabs>
          <w:tab w:val="center" w:pos="5400"/>
        </w:tabs>
        <w:suppressAutoHyphens/>
        <w:jc w:val="center"/>
        <w:rPr>
          <w:rFonts w:ascii="Cambria" w:hAnsi="Cambria"/>
          <w:sz w:val="22"/>
          <w:szCs w:val="22"/>
        </w:rPr>
      </w:pPr>
    </w:p>
    <w:p w14:paraId="1569FA8D" w14:textId="77777777" w:rsidR="00E10040" w:rsidRPr="00CB26E5" w:rsidRDefault="00E10040" w:rsidP="00E10040">
      <w:pPr>
        <w:tabs>
          <w:tab w:val="center" w:pos="5400"/>
        </w:tabs>
        <w:suppressAutoHyphens/>
        <w:jc w:val="center"/>
        <w:rPr>
          <w:rFonts w:ascii="Cambria" w:hAnsi="Cambria"/>
          <w:sz w:val="22"/>
          <w:szCs w:val="22"/>
        </w:rPr>
      </w:pPr>
    </w:p>
    <w:p w14:paraId="1DBDA414" w14:textId="77777777" w:rsidR="00E10040" w:rsidRPr="00CB26E5" w:rsidRDefault="00E10040" w:rsidP="00E10040">
      <w:pPr>
        <w:tabs>
          <w:tab w:val="center" w:pos="5400"/>
        </w:tabs>
        <w:suppressAutoHyphens/>
        <w:jc w:val="center"/>
        <w:rPr>
          <w:rFonts w:ascii="Cambria" w:hAnsi="Cambria"/>
          <w:sz w:val="22"/>
          <w:szCs w:val="22"/>
        </w:rPr>
      </w:pPr>
    </w:p>
    <w:p w14:paraId="0F4C573B" w14:textId="77777777" w:rsidR="00E10040" w:rsidRPr="00CB26E5" w:rsidRDefault="00E10040" w:rsidP="00E10040">
      <w:pPr>
        <w:tabs>
          <w:tab w:val="center" w:pos="5400"/>
        </w:tabs>
        <w:suppressAutoHyphens/>
        <w:jc w:val="center"/>
        <w:rPr>
          <w:rFonts w:ascii="Cambria" w:hAnsi="Cambria"/>
          <w:sz w:val="22"/>
          <w:szCs w:val="22"/>
        </w:rPr>
      </w:pPr>
    </w:p>
    <w:p w14:paraId="7EBB1C3D" w14:textId="77777777" w:rsidR="00E10040" w:rsidRPr="00CB26E5" w:rsidRDefault="00E10040" w:rsidP="00E10040">
      <w:pPr>
        <w:tabs>
          <w:tab w:val="center" w:pos="5400"/>
        </w:tabs>
        <w:suppressAutoHyphens/>
        <w:jc w:val="center"/>
        <w:rPr>
          <w:rFonts w:ascii="Cambria" w:hAnsi="Cambria"/>
          <w:sz w:val="22"/>
          <w:szCs w:val="22"/>
        </w:rPr>
      </w:pPr>
    </w:p>
    <w:p w14:paraId="6B375DFF" w14:textId="77777777" w:rsidR="00E10040" w:rsidRPr="00CB26E5" w:rsidRDefault="00E10040" w:rsidP="00E10040">
      <w:pPr>
        <w:tabs>
          <w:tab w:val="center" w:pos="5400"/>
        </w:tabs>
        <w:suppressAutoHyphens/>
        <w:jc w:val="center"/>
        <w:rPr>
          <w:rFonts w:ascii="Cambria" w:hAnsi="Cambria"/>
          <w:sz w:val="22"/>
          <w:szCs w:val="22"/>
        </w:rPr>
      </w:pPr>
    </w:p>
    <w:p w14:paraId="461DF9FF" w14:textId="77777777" w:rsidR="00E10040" w:rsidRPr="00CB26E5" w:rsidRDefault="00E10040" w:rsidP="00E10040">
      <w:pPr>
        <w:tabs>
          <w:tab w:val="center" w:pos="5400"/>
        </w:tabs>
        <w:suppressAutoHyphens/>
        <w:jc w:val="center"/>
        <w:rPr>
          <w:rFonts w:ascii="Cambria" w:hAnsi="Cambria"/>
          <w:sz w:val="22"/>
          <w:szCs w:val="22"/>
        </w:rPr>
      </w:pPr>
    </w:p>
    <w:p w14:paraId="070C76F2" w14:textId="77777777" w:rsidR="00E10040" w:rsidRPr="00CB26E5" w:rsidRDefault="00E10040" w:rsidP="00E10040">
      <w:pPr>
        <w:tabs>
          <w:tab w:val="center" w:pos="5400"/>
        </w:tabs>
        <w:suppressAutoHyphens/>
        <w:jc w:val="center"/>
        <w:rPr>
          <w:rFonts w:ascii="Cambria" w:hAnsi="Cambria"/>
          <w:sz w:val="18"/>
          <w:szCs w:val="22"/>
        </w:rPr>
      </w:pPr>
    </w:p>
    <w:p w14:paraId="043BC416" w14:textId="77777777" w:rsidR="00E10040" w:rsidRPr="00CB26E5" w:rsidRDefault="00E10040" w:rsidP="00E10040">
      <w:pPr>
        <w:tabs>
          <w:tab w:val="center" w:pos="5400"/>
        </w:tabs>
        <w:suppressAutoHyphens/>
        <w:jc w:val="center"/>
        <w:rPr>
          <w:rFonts w:ascii="Cambria" w:hAnsi="Cambria"/>
          <w:sz w:val="18"/>
          <w:szCs w:val="22"/>
        </w:rPr>
      </w:pPr>
    </w:p>
    <w:p w14:paraId="03DE2CE1" w14:textId="77777777" w:rsidR="00E10040" w:rsidRPr="00CB26E5" w:rsidRDefault="00E10040" w:rsidP="00E10040">
      <w:pPr>
        <w:tabs>
          <w:tab w:val="center" w:pos="5400"/>
        </w:tabs>
        <w:suppressAutoHyphens/>
        <w:jc w:val="center"/>
        <w:rPr>
          <w:rFonts w:ascii="Cambria" w:hAnsi="Cambria"/>
          <w:sz w:val="18"/>
          <w:szCs w:val="22"/>
        </w:rPr>
      </w:pPr>
    </w:p>
    <w:p w14:paraId="7D6C5FA5" w14:textId="77777777" w:rsidR="00E10040" w:rsidRPr="00CB26E5" w:rsidRDefault="00E10040" w:rsidP="00E10040">
      <w:pPr>
        <w:tabs>
          <w:tab w:val="center" w:pos="5400"/>
        </w:tabs>
        <w:suppressAutoHyphens/>
        <w:jc w:val="center"/>
        <w:rPr>
          <w:rFonts w:ascii="Cambria" w:hAnsi="Cambria"/>
          <w:sz w:val="18"/>
          <w:szCs w:val="22"/>
        </w:rPr>
      </w:pPr>
    </w:p>
    <w:p w14:paraId="419E27B7" w14:textId="77777777" w:rsidR="00E10040" w:rsidRPr="00CB26E5" w:rsidRDefault="00E10040" w:rsidP="00E10040">
      <w:pPr>
        <w:tabs>
          <w:tab w:val="center" w:pos="5400"/>
        </w:tabs>
        <w:suppressAutoHyphens/>
        <w:jc w:val="center"/>
        <w:rPr>
          <w:rFonts w:ascii="Cambria" w:hAnsi="Cambria"/>
          <w:sz w:val="18"/>
          <w:szCs w:val="22"/>
        </w:rPr>
      </w:pPr>
    </w:p>
    <w:p w14:paraId="6B666B2C" w14:textId="77777777" w:rsidR="00E10040" w:rsidRPr="00CB26E5" w:rsidRDefault="00E10040" w:rsidP="00E10040">
      <w:pPr>
        <w:tabs>
          <w:tab w:val="center" w:pos="5400"/>
        </w:tabs>
        <w:suppressAutoHyphens/>
        <w:jc w:val="center"/>
        <w:rPr>
          <w:rFonts w:ascii="Cambria" w:hAnsi="Cambria"/>
          <w:sz w:val="18"/>
          <w:szCs w:val="22"/>
        </w:rPr>
      </w:pPr>
    </w:p>
    <w:p w14:paraId="532A7311" w14:textId="77777777" w:rsidR="00E10040" w:rsidRPr="00CB26E5" w:rsidRDefault="00E10040" w:rsidP="00E10040">
      <w:pPr>
        <w:tabs>
          <w:tab w:val="center" w:pos="5400"/>
        </w:tabs>
        <w:suppressAutoHyphens/>
        <w:jc w:val="center"/>
        <w:rPr>
          <w:rFonts w:ascii="Cambria" w:hAnsi="Cambria"/>
          <w:sz w:val="18"/>
          <w:szCs w:val="22"/>
        </w:rPr>
      </w:pPr>
    </w:p>
    <w:p w14:paraId="1E8D253A" w14:textId="77777777" w:rsidR="00E10040" w:rsidRPr="00CB26E5" w:rsidRDefault="00E10040" w:rsidP="00E10040">
      <w:pPr>
        <w:tabs>
          <w:tab w:val="center" w:pos="5400"/>
        </w:tabs>
        <w:suppressAutoHyphens/>
        <w:jc w:val="center"/>
        <w:rPr>
          <w:rFonts w:ascii="Cambria" w:hAnsi="Cambria"/>
          <w:sz w:val="18"/>
          <w:szCs w:val="22"/>
        </w:rPr>
      </w:pPr>
    </w:p>
    <w:p w14:paraId="27D9D194" w14:textId="77777777" w:rsidR="00E10040" w:rsidRPr="00CB26E5" w:rsidRDefault="00E10040" w:rsidP="00E10040">
      <w:pPr>
        <w:tabs>
          <w:tab w:val="center" w:pos="5400"/>
        </w:tabs>
        <w:suppressAutoHyphens/>
        <w:jc w:val="center"/>
        <w:rPr>
          <w:rFonts w:ascii="Cambria" w:hAnsi="Cambria"/>
          <w:sz w:val="18"/>
          <w:szCs w:val="22"/>
        </w:rPr>
      </w:pPr>
    </w:p>
    <w:p w14:paraId="6A49D462" w14:textId="77777777" w:rsidR="00E10040" w:rsidRPr="00CB26E5" w:rsidRDefault="00E10040" w:rsidP="00E10040">
      <w:pPr>
        <w:tabs>
          <w:tab w:val="center" w:pos="5400"/>
        </w:tabs>
        <w:suppressAutoHyphens/>
        <w:jc w:val="center"/>
        <w:rPr>
          <w:rFonts w:ascii="Cambria" w:hAnsi="Cambria"/>
          <w:sz w:val="18"/>
          <w:szCs w:val="22"/>
        </w:rPr>
      </w:pPr>
    </w:p>
    <w:p w14:paraId="2D65A798" w14:textId="77777777" w:rsidR="00E10040" w:rsidRPr="00CB26E5" w:rsidRDefault="00E10040" w:rsidP="00E10040">
      <w:pPr>
        <w:tabs>
          <w:tab w:val="center" w:pos="5400"/>
        </w:tabs>
        <w:suppressAutoHyphens/>
        <w:jc w:val="center"/>
        <w:rPr>
          <w:rFonts w:ascii="Cambria" w:hAnsi="Cambria"/>
          <w:sz w:val="18"/>
          <w:szCs w:val="22"/>
        </w:rPr>
      </w:pPr>
    </w:p>
    <w:p w14:paraId="2FDB2C97" w14:textId="77777777" w:rsidR="00E10040" w:rsidRPr="00CB26E5" w:rsidRDefault="00E10040" w:rsidP="00E10040">
      <w:pPr>
        <w:tabs>
          <w:tab w:val="center" w:pos="5400"/>
        </w:tabs>
        <w:suppressAutoHyphens/>
        <w:jc w:val="center"/>
        <w:rPr>
          <w:rFonts w:ascii="Cambria" w:hAnsi="Cambria"/>
          <w:sz w:val="18"/>
          <w:szCs w:val="22"/>
        </w:rPr>
      </w:pPr>
    </w:p>
    <w:p w14:paraId="064A6371" w14:textId="77777777" w:rsidR="00E10040" w:rsidRPr="00CB26E5" w:rsidRDefault="00E10040" w:rsidP="00E10040">
      <w:pPr>
        <w:tabs>
          <w:tab w:val="center" w:pos="5400"/>
        </w:tabs>
        <w:suppressAutoHyphens/>
        <w:jc w:val="center"/>
        <w:rPr>
          <w:rFonts w:ascii="Cambria" w:hAnsi="Cambria"/>
          <w:sz w:val="18"/>
          <w:szCs w:val="22"/>
        </w:rPr>
      </w:pPr>
    </w:p>
    <w:p w14:paraId="6ED59D92" w14:textId="77777777" w:rsidR="00E10040" w:rsidRPr="00CB26E5" w:rsidRDefault="00E10040" w:rsidP="00E10040">
      <w:pPr>
        <w:tabs>
          <w:tab w:val="center" w:pos="5400"/>
        </w:tabs>
        <w:suppressAutoHyphens/>
        <w:jc w:val="center"/>
        <w:rPr>
          <w:rFonts w:ascii="Cambria" w:hAnsi="Cambria"/>
          <w:sz w:val="18"/>
          <w:szCs w:val="22"/>
        </w:rPr>
      </w:pPr>
    </w:p>
    <w:p w14:paraId="140ADABC" w14:textId="77777777" w:rsidR="00E10040" w:rsidRPr="00CB26E5" w:rsidRDefault="00E10040" w:rsidP="00E10040">
      <w:pPr>
        <w:tabs>
          <w:tab w:val="center" w:pos="5400"/>
        </w:tabs>
        <w:suppressAutoHyphens/>
        <w:jc w:val="center"/>
        <w:rPr>
          <w:rFonts w:ascii="Cambria" w:hAnsi="Cambria"/>
          <w:sz w:val="18"/>
          <w:szCs w:val="22"/>
        </w:rPr>
      </w:pPr>
      <w:r w:rsidRPr="00CB26E5">
        <w:rPr>
          <w:rFonts w:ascii="Cambria" w:hAnsi="Cambria"/>
          <w:noProof/>
          <w:sz w:val="22"/>
          <w:szCs w:val="22"/>
        </w:rPr>
        <mc:AlternateContent>
          <mc:Choice Requires="wps">
            <w:drawing>
              <wp:anchor distT="0" distB="0" distL="114300" distR="114300" simplePos="0" relativeHeight="251661312" behindDoc="0" locked="0" layoutInCell="1" allowOverlap="1" wp14:anchorId="24734B66" wp14:editId="76204472">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ECACB8" w14:textId="7C3F1967" w:rsidR="00E10040" w:rsidRPr="00D53541" w:rsidRDefault="00D53541" w:rsidP="00E10040">
                            <w:pPr>
                              <w:tabs>
                                <w:tab w:val="center" w:pos="5400"/>
                              </w:tabs>
                              <w:suppressAutoHyphens/>
                              <w:spacing w:before="60"/>
                              <w:rPr>
                                <w:rFonts w:ascii="Cambria" w:hAnsi="Cambria" w:cs="Cambria"/>
                                <w:noProof/>
                                <w:color w:val="0D0D0D"/>
                                <w:sz w:val="18"/>
                                <w:szCs w:val="18"/>
                              </w:rPr>
                            </w:pPr>
                            <w:r w:rsidRPr="004C0C1B">
                              <w:rPr>
                                <w:rFonts w:ascii="Cambria" w:hAnsi="Cambria" w:cs="Cambria"/>
                                <w:noProof/>
                                <w:color w:val="0D0D0D"/>
                                <w:sz w:val="18"/>
                                <w:szCs w:val="18"/>
                              </w:rPr>
                              <w:t xml:space="preserve">Approved electronically by the Commission on </w:t>
                            </w:r>
                            <w:r>
                              <w:rPr>
                                <w:rFonts w:ascii="Cambria" w:hAnsi="Cambria" w:cs="Cambria"/>
                                <w:noProof/>
                                <w:color w:val="0D0D0D"/>
                                <w:sz w:val="18"/>
                                <w:szCs w:val="18"/>
                              </w:rPr>
                              <w:t>December 17</w:t>
                            </w:r>
                            <w:r w:rsidRPr="004C0C1B">
                              <w:rPr>
                                <w:rFonts w:ascii="Cambria" w:hAnsi="Cambria" w:cs="Cambria"/>
                                <w:noProof/>
                                <w:color w:val="0D0D0D"/>
                                <w:sz w:val="18"/>
                                <w:szCs w:val="18"/>
                              </w:rPr>
                              <w:t>, 2022</w:t>
                            </w:r>
                            <w:r>
                              <w:rPr>
                                <w:rFonts w:ascii="Cambria" w:hAnsi="Cambria" w:cs="Cambria"/>
                                <w:noProof/>
                                <w:color w:val="0D0D0D"/>
                                <w:sz w:val="18"/>
                                <w:szCs w:val="18"/>
                              </w:rPr>
                              <w:t>.</w:t>
                            </w:r>
                          </w:p>
                          <w:p w14:paraId="5FAAD56D" w14:textId="77777777" w:rsidR="00E10040" w:rsidRPr="00BE5E9F" w:rsidRDefault="00E10040" w:rsidP="00E10040">
                            <w:pPr>
                              <w:tabs>
                                <w:tab w:val="center" w:pos="5400"/>
                              </w:tabs>
                              <w:suppressAutoHyphens/>
                              <w:spacing w:before="60"/>
                              <w:rPr>
                                <w:rFonts w:ascii="Cambria" w:hAnsi="Cambria"/>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34B66"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31ECACB8" w14:textId="7C3F1967" w:rsidR="00E10040" w:rsidRPr="00D53541" w:rsidRDefault="00D53541" w:rsidP="00E10040">
                      <w:pPr>
                        <w:tabs>
                          <w:tab w:val="center" w:pos="5400"/>
                        </w:tabs>
                        <w:suppressAutoHyphens/>
                        <w:spacing w:before="60"/>
                        <w:rPr>
                          <w:rFonts w:ascii="Cambria" w:hAnsi="Cambria" w:cs="Cambria"/>
                          <w:noProof/>
                          <w:color w:val="0D0D0D"/>
                          <w:sz w:val="18"/>
                          <w:szCs w:val="18"/>
                        </w:rPr>
                      </w:pPr>
                      <w:r w:rsidRPr="004C0C1B">
                        <w:rPr>
                          <w:rFonts w:ascii="Cambria" w:hAnsi="Cambria" w:cs="Cambria"/>
                          <w:noProof/>
                          <w:color w:val="0D0D0D"/>
                          <w:sz w:val="18"/>
                          <w:szCs w:val="18"/>
                        </w:rPr>
                        <w:t xml:space="preserve">Approved electronically by the Commission on </w:t>
                      </w:r>
                      <w:r>
                        <w:rPr>
                          <w:rFonts w:ascii="Cambria" w:hAnsi="Cambria" w:cs="Cambria"/>
                          <w:noProof/>
                          <w:color w:val="0D0D0D"/>
                          <w:sz w:val="18"/>
                          <w:szCs w:val="18"/>
                        </w:rPr>
                        <w:t>December 17</w:t>
                      </w:r>
                      <w:r w:rsidRPr="004C0C1B">
                        <w:rPr>
                          <w:rFonts w:ascii="Cambria" w:hAnsi="Cambria" w:cs="Cambria"/>
                          <w:noProof/>
                          <w:color w:val="0D0D0D"/>
                          <w:sz w:val="18"/>
                          <w:szCs w:val="18"/>
                        </w:rPr>
                        <w:t>, 2022</w:t>
                      </w:r>
                      <w:r>
                        <w:rPr>
                          <w:rFonts w:ascii="Cambria" w:hAnsi="Cambria" w:cs="Cambria"/>
                          <w:noProof/>
                          <w:color w:val="0D0D0D"/>
                          <w:sz w:val="18"/>
                          <w:szCs w:val="18"/>
                        </w:rPr>
                        <w:t>.</w:t>
                      </w:r>
                    </w:p>
                    <w:p w14:paraId="5FAAD56D" w14:textId="77777777" w:rsidR="00E10040" w:rsidRPr="00BE5E9F" w:rsidRDefault="00E10040" w:rsidP="00E10040">
                      <w:pPr>
                        <w:tabs>
                          <w:tab w:val="center" w:pos="5400"/>
                        </w:tabs>
                        <w:suppressAutoHyphens/>
                        <w:spacing w:before="60"/>
                        <w:rPr>
                          <w:rFonts w:ascii="Cambria" w:hAnsi="Cambria"/>
                          <w:color w:val="FFFFFF" w:themeColor="background1"/>
                          <w:spacing w:val="-2"/>
                          <w:sz w:val="16"/>
                        </w:rPr>
                      </w:pPr>
                    </w:p>
                  </w:txbxContent>
                </v:textbox>
              </v:shape>
            </w:pict>
          </mc:Fallback>
        </mc:AlternateContent>
      </w:r>
    </w:p>
    <w:p w14:paraId="7F7618F6" w14:textId="77777777" w:rsidR="00E10040" w:rsidRPr="00CB26E5" w:rsidRDefault="00E10040" w:rsidP="00E10040">
      <w:pPr>
        <w:tabs>
          <w:tab w:val="center" w:pos="5400"/>
        </w:tabs>
        <w:suppressAutoHyphens/>
        <w:jc w:val="center"/>
        <w:rPr>
          <w:rFonts w:ascii="Cambria" w:hAnsi="Cambria"/>
          <w:sz w:val="18"/>
          <w:szCs w:val="22"/>
        </w:rPr>
      </w:pPr>
    </w:p>
    <w:p w14:paraId="70A89E2F" w14:textId="77777777" w:rsidR="00E10040" w:rsidRPr="00CB26E5" w:rsidRDefault="00E10040" w:rsidP="00E10040">
      <w:pPr>
        <w:tabs>
          <w:tab w:val="center" w:pos="5400"/>
        </w:tabs>
        <w:suppressAutoHyphens/>
        <w:jc w:val="center"/>
        <w:rPr>
          <w:rFonts w:ascii="Cambria" w:hAnsi="Cambria"/>
          <w:sz w:val="18"/>
          <w:szCs w:val="22"/>
        </w:rPr>
      </w:pPr>
    </w:p>
    <w:p w14:paraId="0FC964FE" w14:textId="77777777" w:rsidR="00E10040" w:rsidRPr="00CB26E5" w:rsidRDefault="00E10040" w:rsidP="00E10040">
      <w:pPr>
        <w:tabs>
          <w:tab w:val="center" w:pos="5400"/>
        </w:tabs>
        <w:suppressAutoHyphens/>
        <w:jc w:val="center"/>
        <w:rPr>
          <w:rFonts w:ascii="Cambria" w:hAnsi="Cambria"/>
          <w:sz w:val="18"/>
          <w:szCs w:val="22"/>
        </w:rPr>
      </w:pPr>
    </w:p>
    <w:p w14:paraId="3C3417C0" w14:textId="77777777" w:rsidR="00E10040" w:rsidRPr="00CB26E5" w:rsidRDefault="00E10040" w:rsidP="00E10040">
      <w:pPr>
        <w:tabs>
          <w:tab w:val="center" w:pos="5400"/>
        </w:tabs>
        <w:suppressAutoHyphens/>
        <w:jc w:val="center"/>
        <w:rPr>
          <w:rFonts w:ascii="Cambria" w:hAnsi="Cambria"/>
          <w:sz w:val="18"/>
          <w:szCs w:val="22"/>
        </w:rPr>
      </w:pPr>
    </w:p>
    <w:p w14:paraId="357FF26C" w14:textId="77777777" w:rsidR="00E10040" w:rsidRPr="00CB26E5" w:rsidRDefault="00E10040" w:rsidP="00E10040">
      <w:pPr>
        <w:tabs>
          <w:tab w:val="center" w:pos="5400"/>
        </w:tabs>
        <w:suppressAutoHyphens/>
        <w:jc w:val="center"/>
        <w:rPr>
          <w:rFonts w:ascii="Cambria" w:hAnsi="Cambria"/>
          <w:sz w:val="18"/>
          <w:szCs w:val="22"/>
        </w:rPr>
      </w:pPr>
      <w:r w:rsidRPr="00CB26E5">
        <w:rPr>
          <w:rFonts w:ascii="Cambria" w:hAnsi="Cambria"/>
          <w:noProof/>
          <w:sz w:val="18"/>
          <w:szCs w:val="22"/>
        </w:rPr>
        <mc:AlternateContent>
          <mc:Choice Requires="wps">
            <w:drawing>
              <wp:anchor distT="0" distB="0" distL="114300" distR="114300" simplePos="0" relativeHeight="251664384" behindDoc="0" locked="0" layoutInCell="1" allowOverlap="1" wp14:anchorId="4EEEB2B0" wp14:editId="3649EBB8">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91110" w14:textId="77777777" w:rsidR="00D53541" w:rsidRDefault="00D53541" w:rsidP="00D53541">
                            <w:pPr>
                              <w:spacing w:line="276" w:lineRule="auto"/>
                              <w:rPr>
                                <w:rFonts w:ascii="Cambria" w:hAnsi="Cambria" w:cs="Cambria"/>
                                <w:noProof/>
                                <w:color w:val="595959"/>
                                <w:sz w:val="18"/>
                                <w:szCs w:val="18"/>
                              </w:rPr>
                            </w:pPr>
                            <w:r w:rsidRPr="004C0C1B">
                              <w:rPr>
                                <w:rFonts w:ascii="Cambria" w:hAnsi="Cambria" w:cs="Cambria"/>
                                <w:b/>
                                <w:bCs/>
                                <w:noProof/>
                                <w:color w:val="595959"/>
                                <w:sz w:val="18"/>
                                <w:szCs w:val="18"/>
                              </w:rPr>
                              <w:t xml:space="preserve">Cite as: </w:t>
                            </w:r>
                            <w:r w:rsidRPr="004C0C1B">
                              <w:rPr>
                                <w:rFonts w:ascii="Cambria" w:hAnsi="Cambria" w:cs="Cambria"/>
                                <w:noProof/>
                                <w:color w:val="595959"/>
                                <w:sz w:val="18"/>
                                <w:szCs w:val="18"/>
                              </w:rPr>
                              <w:t xml:space="preserve">IACHR, Report No. </w:t>
                            </w:r>
                            <w:r>
                              <w:rPr>
                                <w:rFonts w:ascii="Cambria" w:hAnsi="Cambria" w:cs="Cambria"/>
                                <w:noProof/>
                                <w:color w:val="595959"/>
                                <w:sz w:val="18"/>
                                <w:szCs w:val="18"/>
                              </w:rPr>
                              <w:t>384</w:t>
                            </w:r>
                            <w:r w:rsidRPr="004C0C1B">
                              <w:rPr>
                                <w:rFonts w:ascii="Cambria" w:hAnsi="Cambria" w:cs="Cambria"/>
                                <w:noProof/>
                                <w:color w:val="595959"/>
                                <w:sz w:val="18"/>
                                <w:szCs w:val="18"/>
                              </w:rPr>
                              <w:t>/</w:t>
                            </w:r>
                            <w:r>
                              <w:rPr>
                                <w:rFonts w:ascii="Cambria" w:hAnsi="Cambria" w:cs="Cambria"/>
                                <w:noProof/>
                                <w:color w:val="595959"/>
                                <w:sz w:val="18"/>
                                <w:szCs w:val="18"/>
                              </w:rPr>
                              <w:t>22</w:t>
                            </w:r>
                            <w:r w:rsidRPr="004C0C1B">
                              <w:rPr>
                                <w:rFonts w:ascii="Cambria" w:hAnsi="Cambria" w:cs="Cambria"/>
                                <w:noProof/>
                                <w:color w:val="595959"/>
                                <w:sz w:val="18"/>
                                <w:szCs w:val="18"/>
                              </w:rPr>
                              <w:t>. Petition 1573-14. Admissibility P.E.M.M. Per</w:t>
                            </w:r>
                            <w:r>
                              <w:rPr>
                                <w:rFonts w:ascii="Cambria" w:hAnsi="Cambria" w:cs="Cambria"/>
                                <w:noProof/>
                                <w:color w:val="595959"/>
                                <w:sz w:val="18"/>
                                <w:szCs w:val="18"/>
                              </w:rPr>
                              <w:t xml:space="preserve">u. </w:t>
                            </w:r>
                          </w:p>
                          <w:p w14:paraId="57607797" w14:textId="1A7C13E8" w:rsidR="00D53541" w:rsidRPr="004C0C1B" w:rsidRDefault="00D53541" w:rsidP="00D53541">
                            <w:pPr>
                              <w:spacing w:line="276" w:lineRule="auto"/>
                              <w:rPr>
                                <w:rFonts w:ascii="Cambria" w:hAnsi="Cambria" w:cs="Cambria"/>
                                <w:noProof/>
                                <w:color w:val="595959"/>
                                <w:sz w:val="18"/>
                                <w:szCs w:val="18"/>
                              </w:rPr>
                            </w:pPr>
                            <w:r>
                              <w:rPr>
                                <w:rFonts w:ascii="Cambria" w:hAnsi="Cambria" w:cs="Cambria"/>
                                <w:noProof/>
                                <w:color w:val="595959"/>
                                <w:sz w:val="18"/>
                                <w:szCs w:val="18"/>
                              </w:rPr>
                              <w:t>December 17, 2022</w:t>
                            </w:r>
                            <w:r w:rsidRPr="004C0C1B">
                              <w:rPr>
                                <w:rFonts w:ascii="Cambria" w:hAnsi="Cambria" w:cs="Cambria"/>
                                <w:noProof/>
                                <w:color w:val="595959"/>
                                <w:sz w:val="18"/>
                                <w:szCs w:val="18"/>
                              </w:rPr>
                              <w:t>.</w:t>
                            </w:r>
                          </w:p>
                          <w:p w14:paraId="71AF235F" w14:textId="086D0C99" w:rsidR="00E10040" w:rsidRPr="00BE5E9F" w:rsidRDefault="00E10040" w:rsidP="00E10040">
                            <w:pPr>
                              <w:spacing w:line="276" w:lineRule="auto"/>
                              <w:rPr>
                                <w:rFonts w:ascii="Cambria" w:hAnsi="Cambria"/>
                                <w:color w:val="595959" w:themeColor="text1" w:themeTint="A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EB2B0"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5A891110" w14:textId="77777777" w:rsidR="00D53541" w:rsidRDefault="00D53541" w:rsidP="00D53541">
                      <w:pPr>
                        <w:spacing w:line="276" w:lineRule="auto"/>
                        <w:rPr>
                          <w:rFonts w:ascii="Cambria" w:hAnsi="Cambria" w:cs="Cambria"/>
                          <w:noProof/>
                          <w:color w:val="595959"/>
                          <w:sz w:val="18"/>
                          <w:szCs w:val="18"/>
                        </w:rPr>
                      </w:pPr>
                      <w:r w:rsidRPr="004C0C1B">
                        <w:rPr>
                          <w:rFonts w:ascii="Cambria" w:hAnsi="Cambria" w:cs="Cambria"/>
                          <w:b/>
                          <w:bCs/>
                          <w:noProof/>
                          <w:color w:val="595959"/>
                          <w:sz w:val="18"/>
                          <w:szCs w:val="18"/>
                        </w:rPr>
                        <w:t xml:space="preserve">Cite as: </w:t>
                      </w:r>
                      <w:r w:rsidRPr="004C0C1B">
                        <w:rPr>
                          <w:rFonts w:ascii="Cambria" w:hAnsi="Cambria" w:cs="Cambria"/>
                          <w:noProof/>
                          <w:color w:val="595959"/>
                          <w:sz w:val="18"/>
                          <w:szCs w:val="18"/>
                        </w:rPr>
                        <w:t xml:space="preserve">IACHR, Report No. </w:t>
                      </w:r>
                      <w:r>
                        <w:rPr>
                          <w:rFonts w:ascii="Cambria" w:hAnsi="Cambria" w:cs="Cambria"/>
                          <w:noProof/>
                          <w:color w:val="595959"/>
                          <w:sz w:val="18"/>
                          <w:szCs w:val="18"/>
                        </w:rPr>
                        <w:t>384</w:t>
                      </w:r>
                      <w:r w:rsidRPr="004C0C1B">
                        <w:rPr>
                          <w:rFonts w:ascii="Cambria" w:hAnsi="Cambria" w:cs="Cambria"/>
                          <w:noProof/>
                          <w:color w:val="595959"/>
                          <w:sz w:val="18"/>
                          <w:szCs w:val="18"/>
                        </w:rPr>
                        <w:t>/</w:t>
                      </w:r>
                      <w:r>
                        <w:rPr>
                          <w:rFonts w:ascii="Cambria" w:hAnsi="Cambria" w:cs="Cambria"/>
                          <w:noProof/>
                          <w:color w:val="595959"/>
                          <w:sz w:val="18"/>
                          <w:szCs w:val="18"/>
                        </w:rPr>
                        <w:t>22</w:t>
                      </w:r>
                      <w:r w:rsidRPr="004C0C1B">
                        <w:rPr>
                          <w:rFonts w:ascii="Cambria" w:hAnsi="Cambria" w:cs="Cambria"/>
                          <w:noProof/>
                          <w:color w:val="595959"/>
                          <w:sz w:val="18"/>
                          <w:szCs w:val="18"/>
                        </w:rPr>
                        <w:t>. Petition 1573-14. Admissibility P.E.M.M. Per</w:t>
                      </w:r>
                      <w:r>
                        <w:rPr>
                          <w:rFonts w:ascii="Cambria" w:hAnsi="Cambria" w:cs="Cambria"/>
                          <w:noProof/>
                          <w:color w:val="595959"/>
                          <w:sz w:val="18"/>
                          <w:szCs w:val="18"/>
                        </w:rPr>
                        <w:t xml:space="preserve">u. </w:t>
                      </w:r>
                    </w:p>
                    <w:p w14:paraId="57607797" w14:textId="1A7C13E8" w:rsidR="00D53541" w:rsidRPr="004C0C1B" w:rsidRDefault="00D53541" w:rsidP="00D53541">
                      <w:pPr>
                        <w:spacing w:line="276" w:lineRule="auto"/>
                        <w:rPr>
                          <w:rFonts w:ascii="Cambria" w:hAnsi="Cambria" w:cs="Cambria"/>
                          <w:noProof/>
                          <w:color w:val="595959"/>
                          <w:sz w:val="18"/>
                          <w:szCs w:val="18"/>
                        </w:rPr>
                      </w:pPr>
                      <w:r>
                        <w:rPr>
                          <w:rFonts w:ascii="Cambria" w:hAnsi="Cambria" w:cs="Cambria"/>
                          <w:noProof/>
                          <w:color w:val="595959"/>
                          <w:sz w:val="18"/>
                          <w:szCs w:val="18"/>
                        </w:rPr>
                        <w:t>December 17, 2022</w:t>
                      </w:r>
                      <w:r w:rsidRPr="004C0C1B">
                        <w:rPr>
                          <w:rFonts w:ascii="Cambria" w:hAnsi="Cambria" w:cs="Cambria"/>
                          <w:noProof/>
                          <w:color w:val="595959"/>
                          <w:sz w:val="18"/>
                          <w:szCs w:val="18"/>
                        </w:rPr>
                        <w:t>.</w:t>
                      </w:r>
                    </w:p>
                    <w:p w14:paraId="71AF235F" w14:textId="086D0C99" w:rsidR="00E10040" w:rsidRPr="00BE5E9F" w:rsidRDefault="00E10040" w:rsidP="00E10040">
                      <w:pPr>
                        <w:spacing w:line="276" w:lineRule="auto"/>
                        <w:rPr>
                          <w:rFonts w:ascii="Cambria" w:hAnsi="Cambria"/>
                          <w:color w:val="595959" w:themeColor="text1" w:themeTint="A6"/>
                          <w:sz w:val="18"/>
                          <w:szCs w:val="18"/>
                        </w:rPr>
                      </w:pPr>
                    </w:p>
                  </w:txbxContent>
                </v:textbox>
              </v:shape>
            </w:pict>
          </mc:Fallback>
        </mc:AlternateContent>
      </w:r>
    </w:p>
    <w:p w14:paraId="0883F2A1" w14:textId="77777777" w:rsidR="00E10040" w:rsidRPr="00CB26E5" w:rsidRDefault="00E10040" w:rsidP="00E10040">
      <w:pPr>
        <w:tabs>
          <w:tab w:val="center" w:pos="5400"/>
        </w:tabs>
        <w:suppressAutoHyphens/>
        <w:jc w:val="center"/>
        <w:rPr>
          <w:rFonts w:ascii="Cambria" w:hAnsi="Cambria"/>
          <w:sz w:val="18"/>
          <w:szCs w:val="22"/>
        </w:rPr>
      </w:pPr>
    </w:p>
    <w:p w14:paraId="48FFB25A" w14:textId="77777777" w:rsidR="00E10040" w:rsidRPr="00CB26E5" w:rsidRDefault="00E10040" w:rsidP="00E10040">
      <w:pPr>
        <w:tabs>
          <w:tab w:val="center" w:pos="5400"/>
        </w:tabs>
        <w:suppressAutoHyphens/>
        <w:jc w:val="center"/>
        <w:rPr>
          <w:rFonts w:ascii="Cambria" w:hAnsi="Cambria"/>
          <w:b/>
          <w:sz w:val="20"/>
        </w:rPr>
      </w:pPr>
      <w:r w:rsidRPr="00CB26E5">
        <w:rPr>
          <w:rFonts w:ascii="Cambria" w:hAnsi="Cambria"/>
          <w:noProof/>
          <w:sz w:val="18"/>
          <w:szCs w:val="22"/>
        </w:rPr>
        <mc:AlternateContent>
          <mc:Choice Requires="wps">
            <w:drawing>
              <wp:anchor distT="0" distB="0" distL="114300" distR="114300" simplePos="0" relativeHeight="251665408" behindDoc="0" locked="0" layoutInCell="1" allowOverlap="1" wp14:anchorId="4CE4CD41" wp14:editId="00A32789">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6278D0" w14:textId="77777777" w:rsidR="00E10040" w:rsidRPr="00D72DC6" w:rsidRDefault="00E10040" w:rsidP="00E10040">
                            <w:pPr>
                              <w:rPr>
                                <w:color w:val="FFFFFF" w:themeColor="background1"/>
                                <w14:textFill>
                                  <w14:noFill/>
                                </w14:textFill>
                              </w:rPr>
                            </w:pPr>
                            <w:r>
                              <w:rPr>
                                <w:noProof/>
                                <w:color w:val="FFFFFF" w:themeColor="background1"/>
                              </w:rPr>
                              <w:drawing>
                                <wp:inline distT="0" distB="0" distL="0" distR="0" wp14:anchorId="15EE7389" wp14:editId="27D9BB0D">
                                  <wp:extent cx="1824355" cy="465913"/>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1824355" cy="46591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4CD41" id="Text Box 9" o:spid="_x0000_s1031" type="#_x0000_t202" style="position:absolute;left:0;text-align:left;margin-left:104.7pt;margin-top:50.3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2C6278D0" w14:textId="77777777" w:rsidR="00E10040" w:rsidRPr="00D72DC6" w:rsidRDefault="00E10040" w:rsidP="00E10040">
                      <w:pPr>
                        <w:rPr>
                          <w:color w:val="FFFFFF" w:themeColor="background1"/>
                          <w14:textFill>
                            <w14:noFill/>
                          </w14:textFill>
                        </w:rPr>
                      </w:pPr>
                      <w:r>
                        <w:rPr>
                          <w:noProof/>
                          <w:color w:val="FFFFFF" w:themeColor="background1"/>
                        </w:rPr>
                        <w:drawing>
                          <wp:inline distT="0" distB="0" distL="0" distR="0" wp14:anchorId="15EE7389" wp14:editId="27D9BB0D">
                            <wp:extent cx="1824355" cy="465913"/>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1824355" cy="465913"/>
                                    </a:xfrm>
                                    <a:prstGeom prst="rect">
                                      <a:avLst/>
                                    </a:prstGeom>
                                  </pic:spPr>
                                </pic:pic>
                              </a:graphicData>
                            </a:graphic>
                          </wp:inline>
                        </w:drawing>
                      </w:r>
                    </w:p>
                  </w:txbxContent>
                </v:textbox>
              </v:shape>
            </w:pict>
          </mc:Fallback>
        </mc:AlternateContent>
      </w:r>
      <w:r w:rsidRPr="00CB26E5">
        <w:rPr>
          <w:rFonts w:ascii="Cambria" w:hAnsi="Cambria"/>
          <w:noProof/>
          <w:sz w:val="22"/>
          <w:szCs w:val="22"/>
        </w:rPr>
        <mc:AlternateContent>
          <mc:Choice Requires="wps">
            <w:drawing>
              <wp:anchor distT="0" distB="0" distL="114300" distR="114300" simplePos="0" relativeHeight="251666432" behindDoc="0" locked="0" layoutInCell="1" allowOverlap="1" wp14:anchorId="0E305BFC" wp14:editId="70458246">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0FE7CF" w14:textId="44BDCEFF" w:rsidR="00E10040" w:rsidRPr="004B7EB6" w:rsidRDefault="00E10040" w:rsidP="00E10040">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C813A0">
                              <w:rPr>
                                <w:rFonts w:asciiTheme="minorHAnsi" w:hAnsiTheme="minorHAnsi"/>
                                <w:b/>
                                <w:color w:val="FFFFFF" w:themeColor="background1"/>
                                <w:lang w:val="pt-BR"/>
                              </w:rPr>
                              <w:t>cidh</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05BFC" id="Text Box 4" o:spid="_x0000_s1032"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40FE7CF" w14:textId="44BDCEFF" w:rsidR="00E10040" w:rsidRPr="004B7EB6" w:rsidRDefault="00E10040" w:rsidP="00E10040">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C813A0">
                        <w:rPr>
                          <w:rFonts w:asciiTheme="minorHAnsi" w:hAnsiTheme="minorHAnsi"/>
                          <w:b/>
                          <w:color w:val="FFFFFF" w:themeColor="background1"/>
                          <w:lang w:val="pt-BR"/>
                        </w:rPr>
                        <w:t>cidh</w:t>
                      </w:r>
                      <w:r w:rsidRPr="004B7EB6">
                        <w:rPr>
                          <w:rFonts w:asciiTheme="minorHAnsi" w:hAnsiTheme="minorHAnsi"/>
                          <w:b/>
                          <w:color w:val="FFFFFF" w:themeColor="background1"/>
                          <w:lang w:val="pt-BR"/>
                        </w:rPr>
                        <w:t>.org</w:t>
                      </w:r>
                    </w:p>
                  </w:txbxContent>
                </v:textbox>
              </v:shape>
            </w:pict>
          </mc:Fallback>
        </mc:AlternateContent>
      </w:r>
    </w:p>
    <w:p w14:paraId="1469F273" w14:textId="77777777" w:rsidR="00E10040" w:rsidRPr="00CB26E5" w:rsidRDefault="00E10040" w:rsidP="00E10040">
      <w:pPr>
        <w:tabs>
          <w:tab w:val="center" w:pos="5400"/>
        </w:tabs>
        <w:suppressAutoHyphens/>
        <w:jc w:val="center"/>
        <w:rPr>
          <w:rFonts w:ascii="Cambria" w:hAnsi="Cambria"/>
          <w:b/>
          <w:sz w:val="20"/>
        </w:rPr>
        <w:sectPr w:rsidR="00E10040" w:rsidRPr="00CB26E5" w:rsidSect="00E10040">
          <w:headerReference w:type="even" r:id="rId10"/>
          <w:headerReference w:type="default" r:id="rId11"/>
          <w:footerReference w:type="default" r:id="rId12"/>
          <w:footerReference w:type="first" r:id="rId13"/>
          <w:pgSz w:w="12240" w:h="15840"/>
          <w:pgMar w:top="1440" w:right="1440" w:bottom="1440" w:left="1440" w:header="720" w:footer="720" w:gutter="0"/>
          <w:pgNumType w:start="0"/>
          <w:cols w:space="720"/>
          <w:titlePg/>
          <w:docGrid w:linePitch="326"/>
        </w:sectPr>
      </w:pPr>
      <w:r w:rsidRPr="00CB26E5">
        <w:rPr>
          <w:rFonts w:ascii="Cambria" w:hAnsi="Cambria"/>
          <w:b/>
          <w:sz w:val="20"/>
        </w:rPr>
        <w:tab/>
      </w:r>
    </w:p>
    <w:p w14:paraId="77E59443" w14:textId="77777777" w:rsidR="00D53541" w:rsidRPr="00F36075" w:rsidRDefault="00D53541" w:rsidP="00D53541">
      <w:pPr>
        <w:spacing w:after="240"/>
        <w:ind w:firstLine="720"/>
        <w:jc w:val="both"/>
        <w:rPr>
          <w:rFonts w:ascii="Cambria" w:hAnsi="Cambria" w:cs="Cambria"/>
          <w:b/>
          <w:bCs/>
          <w:sz w:val="20"/>
          <w:szCs w:val="20"/>
        </w:rPr>
      </w:pPr>
      <w:r w:rsidRPr="00F36075">
        <w:rPr>
          <w:rFonts w:ascii="Cambria" w:hAnsi="Cambria" w:cs="Cambria"/>
          <w:b/>
          <w:bCs/>
          <w:sz w:val="20"/>
          <w:szCs w:val="20"/>
        </w:rPr>
        <w:lastRenderedPageBreak/>
        <w:t>I.</w:t>
      </w:r>
      <w:r w:rsidRPr="00F36075">
        <w:rPr>
          <w:rFonts w:ascii="Cambria" w:hAnsi="Cambria" w:cs="Cambria"/>
          <w:b/>
          <w:bCs/>
          <w:sz w:val="20"/>
          <w:szCs w:val="20"/>
        </w:rPr>
        <w:tab/>
        <w:t xml:space="preserve">INFORMATION ABOUT THE PETITION </w:t>
      </w:r>
    </w:p>
    <w:tbl>
      <w:tblPr>
        <w:tblW w:w="9247" w:type="dxa"/>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600"/>
        <w:gridCol w:w="5647"/>
      </w:tblGrid>
      <w:tr w:rsidR="00D53541" w:rsidRPr="005C7B2E" w14:paraId="71F67A75" w14:textId="77777777" w:rsidTr="006E5466">
        <w:tc>
          <w:tcPr>
            <w:tcW w:w="3600" w:type="dxa"/>
            <w:tcBorders>
              <w:top w:val="single" w:sz="4" w:space="0" w:color="auto"/>
            </w:tcBorders>
            <w:shd w:val="clear" w:color="auto" w:fill="73BF43"/>
            <w:vAlign w:val="center"/>
          </w:tcPr>
          <w:p w14:paraId="3D75B36B" w14:textId="77777777" w:rsidR="00D53541" w:rsidRPr="00F36075" w:rsidRDefault="00D53541" w:rsidP="006E5466">
            <w:pPr>
              <w:jc w:val="center"/>
              <w:rPr>
                <w:rFonts w:ascii="Cambria" w:hAnsi="Cambria" w:cs="Cambria"/>
                <w:b/>
                <w:bCs/>
                <w:color w:val="FFFFFF"/>
                <w:sz w:val="20"/>
                <w:szCs w:val="20"/>
              </w:rPr>
            </w:pPr>
            <w:r w:rsidRPr="00F36075">
              <w:rPr>
                <w:rFonts w:ascii="Cambria" w:hAnsi="Cambria" w:cs="Cambria"/>
                <w:b/>
                <w:bCs/>
                <w:color w:val="FFFFFF"/>
                <w:sz w:val="20"/>
                <w:szCs w:val="20"/>
              </w:rPr>
              <w:t>Petitioners:</w:t>
            </w:r>
          </w:p>
        </w:tc>
        <w:tc>
          <w:tcPr>
            <w:tcW w:w="5647" w:type="dxa"/>
            <w:tcBorders>
              <w:top w:val="single" w:sz="4" w:space="0" w:color="auto"/>
            </w:tcBorders>
            <w:vAlign w:val="center"/>
          </w:tcPr>
          <w:p w14:paraId="6770EB0F" w14:textId="77777777" w:rsidR="00D53541" w:rsidRPr="00256C9C" w:rsidRDefault="00D53541" w:rsidP="006E5466">
            <w:pPr>
              <w:jc w:val="both"/>
              <w:rPr>
                <w:rFonts w:ascii="Cambria" w:hAnsi="Cambria" w:cs="Cambria"/>
                <w:sz w:val="20"/>
                <w:szCs w:val="20"/>
                <w:lang w:val="es-US"/>
              </w:rPr>
            </w:pPr>
            <w:r w:rsidRPr="00256C9C">
              <w:rPr>
                <w:rFonts w:ascii="Cambria" w:hAnsi="Cambria" w:cs="Cambria"/>
                <w:sz w:val="20"/>
                <w:szCs w:val="20"/>
                <w:lang w:val="es-US"/>
              </w:rPr>
              <w:t>Aldo Enrique Araujo Neyra, Rafael Alonso Ynga Zevallos, and Asociación Civil LTGB</w:t>
            </w:r>
          </w:p>
        </w:tc>
      </w:tr>
      <w:tr w:rsidR="00D53541" w:rsidRPr="00F36075" w14:paraId="1A9D5ACD" w14:textId="77777777" w:rsidTr="006E5466">
        <w:tc>
          <w:tcPr>
            <w:tcW w:w="3600" w:type="dxa"/>
            <w:shd w:val="clear" w:color="auto" w:fill="73BF43"/>
            <w:vAlign w:val="center"/>
          </w:tcPr>
          <w:p w14:paraId="17C4DCCF" w14:textId="77777777" w:rsidR="00D53541" w:rsidRPr="00F36075" w:rsidRDefault="00D53541" w:rsidP="006E5466">
            <w:pPr>
              <w:jc w:val="center"/>
              <w:rPr>
                <w:rFonts w:ascii="Cambria" w:hAnsi="Cambria" w:cs="Cambria"/>
                <w:b/>
                <w:bCs/>
                <w:color w:val="FFFFFF"/>
                <w:sz w:val="20"/>
                <w:szCs w:val="20"/>
              </w:rPr>
            </w:pPr>
            <w:r w:rsidRPr="00F36075">
              <w:rPr>
                <w:rFonts w:ascii="Cambria" w:hAnsi="Cambria" w:cs="Cambria"/>
                <w:b/>
                <w:bCs/>
                <w:color w:val="FFFFFF"/>
                <w:sz w:val="20"/>
                <w:szCs w:val="20"/>
              </w:rPr>
              <w:t>Alleged victim:</w:t>
            </w:r>
          </w:p>
        </w:tc>
        <w:tc>
          <w:tcPr>
            <w:tcW w:w="5647" w:type="dxa"/>
            <w:vAlign w:val="center"/>
          </w:tcPr>
          <w:p w14:paraId="76579FE0" w14:textId="77777777" w:rsidR="00D53541" w:rsidRPr="00F36075" w:rsidRDefault="00D53541" w:rsidP="006E5466">
            <w:pPr>
              <w:jc w:val="both"/>
              <w:rPr>
                <w:rFonts w:ascii="Cambria" w:hAnsi="Cambria" w:cs="Cambria"/>
                <w:sz w:val="20"/>
                <w:szCs w:val="20"/>
              </w:rPr>
            </w:pPr>
            <w:r w:rsidRPr="00F36075">
              <w:rPr>
                <w:rFonts w:ascii="Cambria" w:hAnsi="Cambria" w:cs="Cambria"/>
                <w:sz w:val="20"/>
                <w:szCs w:val="20"/>
              </w:rPr>
              <w:t>P.E.M.M.</w:t>
            </w:r>
          </w:p>
        </w:tc>
      </w:tr>
      <w:tr w:rsidR="00D53541" w:rsidRPr="00F36075" w14:paraId="599A571A" w14:textId="77777777" w:rsidTr="006E5466">
        <w:tc>
          <w:tcPr>
            <w:tcW w:w="3600" w:type="dxa"/>
            <w:shd w:val="clear" w:color="auto" w:fill="73BF43"/>
            <w:vAlign w:val="center"/>
          </w:tcPr>
          <w:p w14:paraId="21B118DB" w14:textId="77777777" w:rsidR="00D53541" w:rsidRPr="00F36075" w:rsidRDefault="00D53541" w:rsidP="006E5466">
            <w:pPr>
              <w:jc w:val="center"/>
              <w:rPr>
                <w:rFonts w:ascii="Cambria" w:hAnsi="Cambria" w:cs="Cambria"/>
                <w:b/>
                <w:bCs/>
                <w:color w:val="FFFFFF"/>
                <w:sz w:val="20"/>
                <w:szCs w:val="20"/>
              </w:rPr>
            </w:pPr>
            <w:r w:rsidRPr="00F36075">
              <w:rPr>
                <w:rFonts w:ascii="Cambria" w:hAnsi="Cambria" w:cs="Cambria"/>
                <w:b/>
                <w:bCs/>
                <w:color w:val="FFFFFF"/>
                <w:sz w:val="20"/>
                <w:szCs w:val="20"/>
              </w:rPr>
              <w:t>Respondent State:</w:t>
            </w:r>
          </w:p>
        </w:tc>
        <w:tc>
          <w:tcPr>
            <w:tcW w:w="5647" w:type="dxa"/>
            <w:vAlign w:val="center"/>
          </w:tcPr>
          <w:p w14:paraId="22134DBF" w14:textId="77777777" w:rsidR="00D53541" w:rsidRPr="00F36075" w:rsidRDefault="00D53541" w:rsidP="006E5466">
            <w:pPr>
              <w:jc w:val="both"/>
              <w:rPr>
                <w:rFonts w:ascii="Cambria" w:hAnsi="Cambria" w:cs="Cambria"/>
                <w:sz w:val="20"/>
                <w:szCs w:val="20"/>
              </w:rPr>
            </w:pPr>
            <w:r w:rsidRPr="00F36075">
              <w:rPr>
                <w:rFonts w:ascii="Cambria" w:hAnsi="Cambria" w:cs="Cambria"/>
                <w:sz w:val="20"/>
                <w:szCs w:val="20"/>
              </w:rPr>
              <w:t>Peru</w:t>
            </w:r>
            <w:r w:rsidRPr="00F36075">
              <w:rPr>
                <w:rStyle w:val="FootnoteReference"/>
                <w:rFonts w:ascii="Cambria" w:hAnsi="Cambria" w:cs="Cambria"/>
                <w:sz w:val="20"/>
                <w:szCs w:val="20"/>
              </w:rPr>
              <w:footnoteReference w:id="1"/>
            </w:r>
          </w:p>
        </w:tc>
      </w:tr>
      <w:tr w:rsidR="00D53541" w:rsidRPr="00F36075" w14:paraId="73535D54" w14:textId="77777777" w:rsidTr="006E5466">
        <w:tc>
          <w:tcPr>
            <w:tcW w:w="3600" w:type="dxa"/>
            <w:tcBorders>
              <w:bottom w:val="single" w:sz="4" w:space="0" w:color="auto"/>
            </w:tcBorders>
            <w:shd w:val="clear" w:color="auto" w:fill="73BF43"/>
            <w:vAlign w:val="center"/>
          </w:tcPr>
          <w:p w14:paraId="110C5B90" w14:textId="77777777" w:rsidR="00D53541" w:rsidRPr="00F36075" w:rsidRDefault="00D53541" w:rsidP="006E5466">
            <w:pPr>
              <w:jc w:val="center"/>
              <w:rPr>
                <w:rFonts w:ascii="Cambria" w:hAnsi="Cambria" w:cs="Cambria"/>
                <w:b/>
                <w:bCs/>
                <w:color w:val="FFFFFF"/>
                <w:sz w:val="20"/>
                <w:szCs w:val="20"/>
              </w:rPr>
            </w:pPr>
            <w:r w:rsidRPr="00F36075">
              <w:rPr>
                <w:rFonts w:ascii="Cambria" w:hAnsi="Cambria" w:cs="Cambria"/>
                <w:b/>
                <w:bCs/>
                <w:color w:val="FFFFFF"/>
                <w:sz w:val="20"/>
                <w:szCs w:val="20"/>
              </w:rPr>
              <w:t>Rights invoked:</w:t>
            </w:r>
          </w:p>
        </w:tc>
        <w:tc>
          <w:tcPr>
            <w:tcW w:w="5647" w:type="dxa"/>
            <w:tcBorders>
              <w:bottom w:val="single" w:sz="4" w:space="0" w:color="auto"/>
            </w:tcBorders>
            <w:vAlign w:val="center"/>
          </w:tcPr>
          <w:p w14:paraId="222151FF" w14:textId="77777777" w:rsidR="00D53541" w:rsidRPr="00F36075" w:rsidRDefault="00D53541" w:rsidP="006E5466">
            <w:pPr>
              <w:jc w:val="both"/>
              <w:rPr>
                <w:rFonts w:ascii="Cambria" w:hAnsi="Cambria" w:cs="Cambria"/>
                <w:sz w:val="20"/>
                <w:szCs w:val="20"/>
              </w:rPr>
            </w:pPr>
            <w:r w:rsidRPr="00F36075">
              <w:rPr>
                <w:rFonts w:ascii="Cambria" w:hAnsi="Cambria" w:cs="Cambria"/>
                <w:sz w:val="20"/>
                <w:szCs w:val="20"/>
              </w:rPr>
              <w:t>Articles 4 (right to life), 8 (right to a fair trial), 11 (right to privacy), 24 (right to equal protection), and 25 (right to judicial protection) of the American Convention on Human Rights</w:t>
            </w:r>
            <w:r w:rsidRPr="00F36075">
              <w:rPr>
                <w:rStyle w:val="FootnoteReference"/>
                <w:rFonts w:ascii="Cambria" w:hAnsi="Cambria" w:cs="Cambria"/>
                <w:sz w:val="20"/>
                <w:szCs w:val="20"/>
              </w:rPr>
              <w:footnoteReference w:id="2"/>
            </w:r>
          </w:p>
        </w:tc>
      </w:tr>
    </w:tbl>
    <w:p w14:paraId="60305A79" w14:textId="77777777" w:rsidR="00D53541" w:rsidRPr="00F36075" w:rsidRDefault="00D53541" w:rsidP="00D53541">
      <w:pPr>
        <w:spacing w:before="240" w:after="240"/>
        <w:ind w:firstLine="720"/>
        <w:jc w:val="both"/>
        <w:rPr>
          <w:rFonts w:ascii="Cambria" w:hAnsi="Cambria" w:cs="Cambria"/>
          <w:b/>
          <w:bCs/>
          <w:sz w:val="20"/>
          <w:szCs w:val="20"/>
        </w:rPr>
      </w:pPr>
      <w:r w:rsidRPr="00F36075">
        <w:rPr>
          <w:rFonts w:ascii="Cambria" w:hAnsi="Cambria" w:cs="Cambria"/>
          <w:b/>
          <w:bCs/>
          <w:sz w:val="20"/>
          <w:szCs w:val="20"/>
        </w:rPr>
        <w:t>II.</w:t>
      </w:r>
      <w:r w:rsidRPr="00F36075">
        <w:rPr>
          <w:rFonts w:ascii="Cambria" w:hAnsi="Cambria" w:cs="Cambria"/>
          <w:b/>
          <w:bCs/>
          <w:sz w:val="20"/>
          <w:szCs w:val="20"/>
        </w:rPr>
        <w:tab/>
        <w:t>PROCEEDINGS BEFORE THE IACHR</w:t>
      </w:r>
      <w:r w:rsidRPr="00F36075">
        <w:rPr>
          <w:rFonts w:ascii="Cambria" w:hAnsi="Cambria" w:cs="Cambria"/>
          <w:b/>
          <w:bCs/>
          <w:sz w:val="20"/>
          <w:szCs w:val="20"/>
          <w:vertAlign w:val="superscript"/>
        </w:rPr>
        <w:footnoteReference w:id="3"/>
      </w:r>
    </w:p>
    <w:tbl>
      <w:tblPr>
        <w:tblW w:w="9247" w:type="dxa"/>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600"/>
        <w:gridCol w:w="5647"/>
      </w:tblGrid>
      <w:tr w:rsidR="00D53541" w:rsidRPr="00F36075" w14:paraId="0DF755E5" w14:textId="77777777" w:rsidTr="006E5466">
        <w:tc>
          <w:tcPr>
            <w:tcW w:w="3600" w:type="dxa"/>
            <w:tcBorders>
              <w:top w:val="single" w:sz="4" w:space="0" w:color="auto"/>
            </w:tcBorders>
            <w:shd w:val="clear" w:color="auto" w:fill="73BF43"/>
            <w:vAlign w:val="center"/>
          </w:tcPr>
          <w:p w14:paraId="3A0BB0A5" w14:textId="77777777" w:rsidR="00D53541" w:rsidRPr="00F36075" w:rsidRDefault="00D53541" w:rsidP="006E5466">
            <w:pPr>
              <w:jc w:val="center"/>
              <w:rPr>
                <w:rFonts w:ascii="Cambria" w:hAnsi="Cambria" w:cs="Cambria"/>
                <w:b/>
                <w:bCs/>
                <w:color w:val="FFFFFF"/>
                <w:sz w:val="20"/>
                <w:szCs w:val="20"/>
              </w:rPr>
            </w:pPr>
            <w:r w:rsidRPr="00F36075">
              <w:rPr>
                <w:rFonts w:ascii="Cambria" w:hAnsi="Cambria" w:cs="Cambria"/>
                <w:b/>
                <w:bCs/>
                <w:color w:val="FFFFFF"/>
                <w:sz w:val="20"/>
                <w:szCs w:val="20"/>
              </w:rPr>
              <w:t>Filing of the petition:</w:t>
            </w:r>
          </w:p>
        </w:tc>
        <w:tc>
          <w:tcPr>
            <w:tcW w:w="5647" w:type="dxa"/>
            <w:tcBorders>
              <w:top w:val="single" w:sz="4" w:space="0" w:color="auto"/>
            </w:tcBorders>
            <w:vAlign w:val="center"/>
          </w:tcPr>
          <w:p w14:paraId="6D8477DD" w14:textId="77777777" w:rsidR="00D53541" w:rsidRPr="00F36075" w:rsidRDefault="00D53541" w:rsidP="006E5466">
            <w:pPr>
              <w:jc w:val="both"/>
              <w:rPr>
                <w:rFonts w:ascii="Cambria" w:hAnsi="Cambria" w:cs="Cambria"/>
                <w:sz w:val="20"/>
                <w:szCs w:val="20"/>
              </w:rPr>
            </w:pPr>
            <w:r w:rsidRPr="00F36075">
              <w:rPr>
                <w:rFonts w:ascii="Cambria" w:hAnsi="Cambria" w:cs="Cambria"/>
                <w:sz w:val="20"/>
                <w:szCs w:val="20"/>
              </w:rPr>
              <w:t>November 3, 2014</w:t>
            </w:r>
          </w:p>
        </w:tc>
      </w:tr>
      <w:tr w:rsidR="00D53541" w:rsidRPr="00F36075" w14:paraId="47EA0333" w14:textId="77777777" w:rsidTr="006E5466">
        <w:tc>
          <w:tcPr>
            <w:tcW w:w="3600" w:type="dxa"/>
            <w:shd w:val="clear" w:color="auto" w:fill="73BF43"/>
            <w:vAlign w:val="center"/>
          </w:tcPr>
          <w:p w14:paraId="64A6E85D" w14:textId="77777777" w:rsidR="00D53541" w:rsidRPr="00F36075" w:rsidRDefault="00D53541" w:rsidP="006E5466">
            <w:pPr>
              <w:jc w:val="center"/>
              <w:rPr>
                <w:rFonts w:ascii="Cambria" w:hAnsi="Cambria" w:cs="Cambria"/>
                <w:b/>
                <w:bCs/>
                <w:color w:val="FFFFFF"/>
                <w:sz w:val="20"/>
                <w:szCs w:val="20"/>
              </w:rPr>
            </w:pPr>
            <w:r w:rsidRPr="00F36075">
              <w:rPr>
                <w:rFonts w:ascii="Cambria" w:hAnsi="Cambria" w:cs="Cambria"/>
                <w:b/>
                <w:bCs/>
                <w:color w:val="FFFFFF"/>
                <w:sz w:val="20"/>
                <w:szCs w:val="20"/>
              </w:rPr>
              <w:t>Additional information received at the stage of initial review:</w:t>
            </w:r>
          </w:p>
        </w:tc>
        <w:tc>
          <w:tcPr>
            <w:tcW w:w="5647" w:type="dxa"/>
            <w:vAlign w:val="center"/>
          </w:tcPr>
          <w:p w14:paraId="722D1E22" w14:textId="77777777" w:rsidR="00D53541" w:rsidRPr="00F36075" w:rsidRDefault="00D53541" w:rsidP="006E5466">
            <w:pPr>
              <w:jc w:val="both"/>
              <w:rPr>
                <w:rFonts w:ascii="Cambria" w:hAnsi="Cambria" w:cs="Cambria"/>
                <w:sz w:val="20"/>
                <w:szCs w:val="20"/>
              </w:rPr>
            </w:pPr>
            <w:r>
              <w:rPr>
                <w:rFonts w:ascii="Cambria" w:hAnsi="Cambria" w:cs="Cambria"/>
                <w:sz w:val="20"/>
                <w:szCs w:val="20"/>
              </w:rPr>
              <w:t>May 11, 2015</w:t>
            </w:r>
            <w:r w:rsidRPr="00F36075">
              <w:rPr>
                <w:rFonts w:ascii="Cambria" w:hAnsi="Cambria" w:cs="Cambria"/>
                <w:sz w:val="20"/>
                <w:szCs w:val="20"/>
              </w:rPr>
              <w:t>, and October 20, 2016</w:t>
            </w:r>
          </w:p>
        </w:tc>
      </w:tr>
      <w:tr w:rsidR="00D53541" w:rsidRPr="00F36075" w14:paraId="3E69FAD6" w14:textId="77777777" w:rsidTr="006E5466">
        <w:tc>
          <w:tcPr>
            <w:tcW w:w="3600" w:type="dxa"/>
            <w:shd w:val="clear" w:color="auto" w:fill="73BF43"/>
            <w:vAlign w:val="center"/>
          </w:tcPr>
          <w:p w14:paraId="77899750" w14:textId="77777777" w:rsidR="00D53541" w:rsidRPr="00F36075" w:rsidRDefault="00D53541" w:rsidP="006E5466">
            <w:pPr>
              <w:jc w:val="center"/>
              <w:rPr>
                <w:rFonts w:ascii="Cambria" w:hAnsi="Cambria" w:cs="Cambria"/>
                <w:b/>
                <w:bCs/>
                <w:color w:val="FFFFFF"/>
                <w:sz w:val="20"/>
                <w:szCs w:val="20"/>
              </w:rPr>
            </w:pPr>
            <w:r w:rsidRPr="00F36075">
              <w:rPr>
                <w:rFonts w:ascii="Cambria" w:hAnsi="Cambria" w:cs="Cambria"/>
                <w:b/>
                <w:bCs/>
                <w:color w:val="FFFFFF"/>
                <w:sz w:val="20"/>
                <w:szCs w:val="20"/>
              </w:rPr>
              <w:t>Notification of the petition to the State:</w:t>
            </w:r>
          </w:p>
        </w:tc>
        <w:tc>
          <w:tcPr>
            <w:tcW w:w="5647" w:type="dxa"/>
            <w:vAlign w:val="center"/>
          </w:tcPr>
          <w:p w14:paraId="747EC574" w14:textId="77777777" w:rsidR="00D53541" w:rsidRPr="00F36075" w:rsidRDefault="00D53541" w:rsidP="006E5466">
            <w:pPr>
              <w:jc w:val="both"/>
              <w:rPr>
                <w:rFonts w:ascii="Cambria" w:hAnsi="Cambria" w:cs="Cambria"/>
                <w:sz w:val="20"/>
                <w:szCs w:val="20"/>
              </w:rPr>
            </w:pPr>
            <w:r w:rsidRPr="00F36075">
              <w:rPr>
                <w:rFonts w:ascii="Cambria" w:hAnsi="Cambria" w:cs="Cambria"/>
                <w:sz w:val="20"/>
                <w:szCs w:val="20"/>
              </w:rPr>
              <w:t xml:space="preserve">October 22, 2021 </w:t>
            </w:r>
          </w:p>
        </w:tc>
      </w:tr>
      <w:tr w:rsidR="00D53541" w:rsidRPr="00F36075" w14:paraId="3DF97A7D" w14:textId="77777777" w:rsidTr="006E5466">
        <w:tc>
          <w:tcPr>
            <w:tcW w:w="3600" w:type="dxa"/>
            <w:shd w:val="clear" w:color="auto" w:fill="73BF43"/>
            <w:vAlign w:val="center"/>
          </w:tcPr>
          <w:p w14:paraId="02C8BBC9" w14:textId="77777777" w:rsidR="00D53541" w:rsidRPr="00F36075" w:rsidRDefault="00D53541" w:rsidP="006E5466">
            <w:pPr>
              <w:jc w:val="center"/>
              <w:rPr>
                <w:rFonts w:ascii="Cambria" w:hAnsi="Cambria" w:cs="Cambria"/>
                <w:b/>
                <w:bCs/>
                <w:color w:val="FFFFFF"/>
                <w:sz w:val="20"/>
                <w:szCs w:val="20"/>
              </w:rPr>
            </w:pPr>
            <w:r w:rsidRPr="00F36075">
              <w:rPr>
                <w:rFonts w:ascii="Cambria" w:hAnsi="Cambria" w:cs="Cambria"/>
                <w:b/>
                <w:bCs/>
                <w:color w:val="FFFFFF"/>
                <w:sz w:val="20"/>
                <w:szCs w:val="20"/>
              </w:rPr>
              <w:t>State’s first response:</w:t>
            </w:r>
          </w:p>
        </w:tc>
        <w:tc>
          <w:tcPr>
            <w:tcW w:w="5647" w:type="dxa"/>
            <w:vAlign w:val="center"/>
          </w:tcPr>
          <w:p w14:paraId="69D8D1E7" w14:textId="77777777" w:rsidR="00D53541" w:rsidRPr="00F36075" w:rsidRDefault="00D53541" w:rsidP="006E5466">
            <w:pPr>
              <w:jc w:val="both"/>
              <w:rPr>
                <w:rFonts w:ascii="Cambria" w:hAnsi="Cambria" w:cs="Cambria"/>
                <w:sz w:val="20"/>
                <w:szCs w:val="20"/>
              </w:rPr>
            </w:pPr>
            <w:r w:rsidRPr="00F36075">
              <w:rPr>
                <w:rFonts w:ascii="Cambria" w:hAnsi="Cambria" w:cs="Cambria"/>
                <w:sz w:val="20"/>
                <w:szCs w:val="20"/>
              </w:rPr>
              <w:t>February 17, 2022</w:t>
            </w:r>
          </w:p>
        </w:tc>
      </w:tr>
      <w:tr w:rsidR="00D53541" w:rsidRPr="00F36075" w14:paraId="018D9AA1" w14:textId="77777777" w:rsidTr="006E5466">
        <w:tc>
          <w:tcPr>
            <w:tcW w:w="3600" w:type="dxa"/>
            <w:shd w:val="clear" w:color="auto" w:fill="73BF43"/>
            <w:vAlign w:val="center"/>
          </w:tcPr>
          <w:p w14:paraId="26DCE9A6" w14:textId="77777777" w:rsidR="00D53541" w:rsidRPr="00F36075" w:rsidRDefault="00D53541" w:rsidP="006E5466">
            <w:pPr>
              <w:jc w:val="center"/>
              <w:rPr>
                <w:rFonts w:ascii="Cambria" w:hAnsi="Cambria" w:cs="Cambria"/>
                <w:b/>
                <w:bCs/>
                <w:color w:val="FFFFFF"/>
                <w:sz w:val="20"/>
                <w:szCs w:val="20"/>
              </w:rPr>
            </w:pPr>
            <w:r>
              <w:rPr>
                <w:rFonts w:ascii="Cambria" w:hAnsi="Cambria" w:cs="Cambria"/>
                <w:b/>
                <w:bCs/>
                <w:color w:val="FFFFFF"/>
                <w:sz w:val="20"/>
                <w:szCs w:val="20"/>
              </w:rPr>
              <w:t xml:space="preserve">Petitioners additional information </w:t>
            </w:r>
            <w:r w:rsidRPr="00F36075">
              <w:rPr>
                <w:rFonts w:ascii="Cambria" w:hAnsi="Cambria" w:cs="Cambria"/>
                <w:b/>
                <w:bCs/>
                <w:color w:val="FFFFFF"/>
                <w:sz w:val="20"/>
                <w:szCs w:val="20"/>
              </w:rPr>
              <w:t>:</w:t>
            </w:r>
          </w:p>
        </w:tc>
        <w:tc>
          <w:tcPr>
            <w:tcW w:w="5647" w:type="dxa"/>
            <w:vAlign w:val="center"/>
          </w:tcPr>
          <w:p w14:paraId="03FC4FCA" w14:textId="77777777" w:rsidR="00D53541" w:rsidRPr="00F36075" w:rsidRDefault="00D53541" w:rsidP="006E5466">
            <w:pPr>
              <w:jc w:val="both"/>
              <w:rPr>
                <w:rFonts w:ascii="Cambria" w:hAnsi="Cambria" w:cs="Cambria"/>
                <w:sz w:val="20"/>
                <w:szCs w:val="20"/>
              </w:rPr>
            </w:pPr>
            <w:r>
              <w:rPr>
                <w:rFonts w:ascii="Cambria" w:hAnsi="Cambria"/>
                <w:bCs/>
                <w:sz w:val="20"/>
                <w:szCs w:val="20"/>
                <w:lang w:val="es-ES"/>
              </w:rPr>
              <w:t>August 4, 2022</w:t>
            </w:r>
          </w:p>
        </w:tc>
      </w:tr>
      <w:tr w:rsidR="00D53541" w:rsidRPr="00F36075" w14:paraId="0BF973C4" w14:textId="77777777" w:rsidTr="006E5466">
        <w:tc>
          <w:tcPr>
            <w:tcW w:w="3600" w:type="dxa"/>
            <w:shd w:val="clear" w:color="auto" w:fill="73BF43"/>
            <w:vAlign w:val="center"/>
          </w:tcPr>
          <w:p w14:paraId="3071C657" w14:textId="77777777" w:rsidR="00D53541" w:rsidRPr="00F36075" w:rsidRDefault="00D53541" w:rsidP="006E5466">
            <w:pPr>
              <w:jc w:val="center"/>
              <w:rPr>
                <w:rFonts w:ascii="Cambria" w:hAnsi="Cambria" w:cs="Cambria"/>
                <w:b/>
                <w:bCs/>
                <w:color w:val="FFFFFF"/>
                <w:sz w:val="20"/>
                <w:szCs w:val="20"/>
              </w:rPr>
            </w:pPr>
            <w:r>
              <w:rPr>
                <w:rFonts w:ascii="Cambria" w:hAnsi="Cambria" w:cs="Cambria"/>
                <w:b/>
                <w:bCs/>
                <w:color w:val="FFFFFF"/>
                <w:sz w:val="20"/>
                <w:szCs w:val="20"/>
              </w:rPr>
              <w:t xml:space="preserve">States additional information </w:t>
            </w:r>
            <w:r w:rsidRPr="00F36075">
              <w:rPr>
                <w:rFonts w:ascii="Cambria" w:hAnsi="Cambria" w:cs="Cambria"/>
                <w:b/>
                <w:bCs/>
                <w:color w:val="FFFFFF"/>
                <w:sz w:val="20"/>
                <w:szCs w:val="20"/>
              </w:rPr>
              <w:t>:</w:t>
            </w:r>
          </w:p>
        </w:tc>
        <w:tc>
          <w:tcPr>
            <w:tcW w:w="5647" w:type="dxa"/>
            <w:vAlign w:val="center"/>
          </w:tcPr>
          <w:p w14:paraId="17D2C5C2" w14:textId="77777777" w:rsidR="00D53541" w:rsidRPr="00F36075" w:rsidRDefault="00D53541" w:rsidP="006E5466">
            <w:pPr>
              <w:jc w:val="both"/>
              <w:rPr>
                <w:rFonts w:ascii="Cambria" w:hAnsi="Cambria" w:cs="Cambria"/>
                <w:sz w:val="20"/>
                <w:szCs w:val="20"/>
              </w:rPr>
            </w:pPr>
            <w:r>
              <w:rPr>
                <w:rFonts w:ascii="Cambria" w:hAnsi="Cambria"/>
                <w:bCs/>
                <w:sz w:val="20"/>
                <w:szCs w:val="20"/>
                <w:lang w:val="es-ES"/>
              </w:rPr>
              <w:t>April 20, 2022</w:t>
            </w:r>
          </w:p>
        </w:tc>
      </w:tr>
      <w:tr w:rsidR="00D53541" w:rsidRPr="00F36075" w14:paraId="2D35045E" w14:textId="77777777" w:rsidTr="006E5466">
        <w:tc>
          <w:tcPr>
            <w:tcW w:w="3600" w:type="dxa"/>
            <w:shd w:val="clear" w:color="auto" w:fill="73BF43"/>
            <w:vAlign w:val="center"/>
          </w:tcPr>
          <w:p w14:paraId="7BDADE95" w14:textId="77777777" w:rsidR="00D53541" w:rsidRPr="00F36075" w:rsidRDefault="00D53541" w:rsidP="006E5466">
            <w:pPr>
              <w:jc w:val="center"/>
              <w:rPr>
                <w:rFonts w:ascii="Cambria" w:hAnsi="Cambria" w:cs="Cambria"/>
                <w:b/>
                <w:bCs/>
                <w:color w:val="FFFFFF"/>
                <w:sz w:val="20"/>
                <w:szCs w:val="20"/>
              </w:rPr>
            </w:pPr>
            <w:r w:rsidRPr="00F36075">
              <w:rPr>
                <w:rFonts w:ascii="Cambria" w:hAnsi="Cambria" w:cs="Cambria"/>
                <w:b/>
                <w:bCs/>
                <w:color w:val="FFFFFF"/>
                <w:sz w:val="20"/>
                <w:szCs w:val="20"/>
              </w:rPr>
              <w:t>Warning about possible archiving:</w:t>
            </w:r>
          </w:p>
        </w:tc>
        <w:tc>
          <w:tcPr>
            <w:tcW w:w="5647" w:type="dxa"/>
            <w:vAlign w:val="center"/>
          </w:tcPr>
          <w:p w14:paraId="169A016A" w14:textId="77777777" w:rsidR="00D53541" w:rsidRPr="00F36075" w:rsidRDefault="00D53541" w:rsidP="006E5466">
            <w:pPr>
              <w:jc w:val="both"/>
              <w:rPr>
                <w:rFonts w:ascii="Cambria" w:hAnsi="Cambria" w:cs="Cambria"/>
                <w:sz w:val="20"/>
                <w:szCs w:val="20"/>
              </w:rPr>
            </w:pPr>
            <w:r w:rsidRPr="00F36075">
              <w:rPr>
                <w:rFonts w:ascii="Cambria" w:hAnsi="Cambria" w:cs="Cambria"/>
                <w:sz w:val="20"/>
                <w:szCs w:val="20"/>
              </w:rPr>
              <w:t>September 24, 2020</w:t>
            </w:r>
          </w:p>
        </w:tc>
      </w:tr>
      <w:tr w:rsidR="00D53541" w:rsidRPr="00F36075" w14:paraId="28E78991" w14:textId="77777777" w:rsidTr="006E5466">
        <w:tc>
          <w:tcPr>
            <w:tcW w:w="3600" w:type="dxa"/>
            <w:tcBorders>
              <w:bottom w:val="single" w:sz="4" w:space="0" w:color="auto"/>
            </w:tcBorders>
            <w:shd w:val="clear" w:color="auto" w:fill="73BF43"/>
            <w:vAlign w:val="center"/>
          </w:tcPr>
          <w:p w14:paraId="65F56137" w14:textId="77777777" w:rsidR="00D53541" w:rsidRPr="00F36075" w:rsidRDefault="00D53541" w:rsidP="006E5466">
            <w:pPr>
              <w:jc w:val="center"/>
              <w:rPr>
                <w:rFonts w:ascii="Cambria" w:hAnsi="Cambria" w:cs="Cambria"/>
                <w:b/>
                <w:bCs/>
                <w:color w:val="FFFFFF"/>
                <w:sz w:val="20"/>
                <w:szCs w:val="20"/>
              </w:rPr>
            </w:pPr>
            <w:r w:rsidRPr="00F36075">
              <w:rPr>
                <w:rFonts w:ascii="Cambria" w:hAnsi="Cambria" w:cs="Cambria"/>
                <w:b/>
                <w:bCs/>
                <w:color w:val="FFFFFF"/>
                <w:sz w:val="20"/>
                <w:szCs w:val="20"/>
              </w:rPr>
              <w:t>Petitioner’s response to the warning of possible archiving:</w:t>
            </w:r>
          </w:p>
        </w:tc>
        <w:tc>
          <w:tcPr>
            <w:tcW w:w="5647" w:type="dxa"/>
            <w:tcBorders>
              <w:bottom w:val="single" w:sz="4" w:space="0" w:color="auto"/>
            </w:tcBorders>
            <w:vAlign w:val="center"/>
          </w:tcPr>
          <w:p w14:paraId="119F575F" w14:textId="77777777" w:rsidR="00D53541" w:rsidRPr="00F36075" w:rsidRDefault="00D53541" w:rsidP="006E5466">
            <w:pPr>
              <w:jc w:val="both"/>
              <w:rPr>
                <w:rFonts w:ascii="Cambria" w:hAnsi="Cambria" w:cs="Cambria"/>
                <w:sz w:val="20"/>
                <w:szCs w:val="20"/>
              </w:rPr>
            </w:pPr>
            <w:r w:rsidRPr="00F36075">
              <w:rPr>
                <w:rFonts w:ascii="Cambria" w:hAnsi="Cambria" w:cs="Cambria"/>
                <w:sz w:val="20"/>
                <w:szCs w:val="20"/>
              </w:rPr>
              <w:t>September 28, 2020</w:t>
            </w:r>
          </w:p>
        </w:tc>
      </w:tr>
    </w:tbl>
    <w:p w14:paraId="5595400A" w14:textId="77777777" w:rsidR="00D53541" w:rsidRPr="00F36075" w:rsidRDefault="00D53541" w:rsidP="00D53541">
      <w:pPr>
        <w:spacing w:before="240" w:after="240"/>
        <w:ind w:firstLine="720"/>
        <w:jc w:val="both"/>
        <w:rPr>
          <w:rFonts w:ascii="Cambria" w:hAnsi="Cambria" w:cs="Cambria"/>
          <w:b/>
          <w:bCs/>
          <w:sz w:val="20"/>
          <w:szCs w:val="20"/>
        </w:rPr>
      </w:pPr>
      <w:r w:rsidRPr="00F36075">
        <w:rPr>
          <w:rFonts w:ascii="Cambria" w:hAnsi="Cambria" w:cs="Cambria"/>
          <w:b/>
          <w:bCs/>
          <w:sz w:val="20"/>
          <w:szCs w:val="20"/>
        </w:rPr>
        <w:t xml:space="preserve">III. </w:t>
      </w:r>
      <w:r w:rsidRPr="00F36075">
        <w:rPr>
          <w:rFonts w:ascii="Cambria" w:hAnsi="Cambria" w:cs="Cambria"/>
          <w:b/>
          <w:bCs/>
          <w:sz w:val="20"/>
          <w:szCs w:val="20"/>
        </w:rPr>
        <w:tab/>
        <w:t xml:space="preserve">COMPETENCE </w:t>
      </w:r>
    </w:p>
    <w:tbl>
      <w:tblPr>
        <w:tblW w:w="0" w:type="auto"/>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600"/>
        <w:gridCol w:w="5760"/>
      </w:tblGrid>
      <w:tr w:rsidR="00D53541" w:rsidRPr="00F36075" w14:paraId="4678963D" w14:textId="77777777" w:rsidTr="006E5466">
        <w:trPr>
          <w:cantSplit/>
        </w:trPr>
        <w:tc>
          <w:tcPr>
            <w:tcW w:w="3600" w:type="dxa"/>
            <w:tcBorders>
              <w:top w:val="single" w:sz="4" w:space="0" w:color="auto"/>
            </w:tcBorders>
            <w:shd w:val="clear" w:color="auto" w:fill="73BF43"/>
            <w:vAlign w:val="center"/>
          </w:tcPr>
          <w:p w14:paraId="59C69A98" w14:textId="77777777" w:rsidR="00D53541" w:rsidRPr="00F36075" w:rsidRDefault="00D53541" w:rsidP="006E5466">
            <w:pPr>
              <w:jc w:val="center"/>
              <w:rPr>
                <w:rFonts w:ascii="Cambria" w:hAnsi="Cambria" w:cs="Cambria"/>
                <w:b/>
                <w:bCs/>
                <w:i/>
                <w:iCs/>
                <w:color w:val="FFFFFF"/>
                <w:sz w:val="20"/>
                <w:szCs w:val="20"/>
              </w:rPr>
            </w:pPr>
            <w:r w:rsidRPr="00F36075">
              <w:rPr>
                <w:rFonts w:ascii="Cambria" w:hAnsi="Cambria" w:cs="Cambria"/>
                <w:b/>
                <w:bCs/>
                <w:color w:val="FFFFFF"/>
                <w:sz w:val="20"/>
                <w:szCs w:val="20"/>
              </w:rPr>
              <w:t xml:space="preserve">Competence </w:t>
            </w:r>
            <w:r w:rsidRPr="00F36075">
              <w:rPr>
                <w:rFonts w:ascii="Cambria" w:hAnsi="Cambria" w:cs="Cambria"/>
                <w:b/>
                <w:bCs/>
                <w:i/>
                <w:iCs/>
                <w:color w:val="FFFFFF"/>
                <w:sz w:val="20"/>
                <w:szCs w:val="20"/>
              </w:rPr>
              <w:t>Ratione personae</w:t>
            </w:r>
            <w:r w:rsidRPr="00F36075">
              <w:rPr>
                <w:rFonts w:ascii="Cambria" w:hAnsi="Cambria" w:cs="Cambria"/>
                <w:b/>
                <w:bCs/>
                <w:color w:val="FFFFFF"/>
                <w:sz w:val="20"/>
                <w:szCs w:val="20"/>
              </w:rPr>
              <w:t>:</w:t>
            </w:r>
          </w:p>
        </w:tc>
        <w:tc>
          <w:tcPr>
            <w:tcW w:w="5760" w:type="dxa"/>
            <w:tcBorders>
              <w:top w:val="single" w:sz="4" w:space="0" w:color="auto"/>
            </w:tcBorders>
            <w:vAlign w:val="center"/>
          </w:tcPr>
          <w:p w14:paraId="3325A6B1" w14:textId="77777777" w:rsidR="00D53541" w:rsidRPr="00F36075" w:rsidRDefault="00D53541" w:rsidP="006E5466">
            <w:pPr>
              <w:rPr>
                <w:rFonts w:ascii="Cambria" w:hAnsi="Cambria" w:cs="Cambria"/>
                <w:sz w:val="20"/>
                <w:szCs w:val="20"/>
              </w:rPr>
            </w:pPr>
            <w:r w:rsidRPr="00F36075">
              <w:rPr>
                <w:rFonts w:ascii="Cambria" w:hAnsi="Cambria" w:cs="Cambria"/>
                <w:sz w:val="20"/>
                <w:szCs w:val="20"/>
              </w:rPr>
              <w:t>Yes</w:t>
            </w:r>
          </w:p>
        </w:tc>
      </w:tr>
      <w:tr w:rsidR="00D53541" w:rsidRPr="00F36075" w14:paraId="1A28D1A0" w14:textId="77777777" w:rsidTr="006E5466">
        <w:trPr>
          <w:cantSplit/>
        </w:trPr>
        <w:tc>
          <w:tcPr>
            <w:tcW w:w="3600" w:type="dxa"/>
            <w:shd w:val="clear" w:color="auto" w:fill="73BF43"/>
            <w:vAlign w:val="center"/>
          </w:tcPr>
          <w:p w14:paraId="1B287602" w14:textId="77777777" w:rsidR="00D53541" w:rsidRPr="00F36075" w:rsidRDefault="00D53541" w:rsidP="006E5466">
            <w:pPr>
              <w:jc w:val="center"/>
              <w:rPr>
                <w:rFonts w:ascii="Cambria" w:hAnsi="Cambria" w:cs="Cambria"/>
                <w:b/>
                <w:bCs/>
                <w:color w:val="FFFFFF"/>
                <w:sz w:val="20"/>
                <w:szCs w:val="20"/>
              </w:rPr>
            </w:pPr>
            <w:r w:rsidRPr="00F36075">
              <w:rPr>
                <w:rFonts w:ascii="Cambria" w:hAnsi="Cambria" w:cs="Cambria"/>
                <w:b/>
                <w:bCs/>
                <w:color w:val="FFFFFF"/>
                <w:sz w:val="20"/>
                <w:szCs w:val="20"/>
              </w:rPr>
              <w:t xml:space="preserve">Competence </w:t>
            </w:r>
            <w:r w:rsidRPr="00F36075">
              <w:rPr>
                <w:rFonts w:ascii="Cambria" w:hAnsi="Cambria" w:cs="Cambria"/>
                <w:b/>
                <w:bCs/>
                <w:i/>
                <w:iCs/>
                <w:color w:val="FFFFFF"/>
                <w:sz w:val="20"/>
                <w:szCs w:val="20"/>
              </w:rPr>
              <w:t>Ratione loci</w:t>
            </w:r>
            <w:r w:rsidRPr="00F36075">
              <w:rPr>
                <w:rFonts w:ascii="Cambria" w:hAnsi="Cambria" w:cs="Cambria"/>
                <w:b/>
                <w:bCs/>
                <w:color w:val="FFFFFF"/>
                <w:sz w:val="20"/>
                <w:szCs w:val="20"/>
              </w:rPr>
              <w:t>:</w:t>
            </w:r>
          </w:p>
        </w:tc>
        <w:tc>
          <w:tcPr>
            <w:tcW w:w="5760" w:type="dxa"/>
            <w:vAlign w:val="center"/>
          </w:tcPr>
          <w:p w14:paraId="7A43E804" w14:textId="77777777" w:rsidR="00D53541" w:rsidRPr="00F36075" w:rsidRDefault="00D53541" w:rsidP="006E5466">
            <w:pPr>
              <w:rPr>
                <w:rFonts w:ascii="Cambria" w:hAnsi="Cambria" w:cs="Cambria"/>
                <w:sz w:val="20"/>
                <w:szCs w:val="20"/>
              </w:rPr>
            </w:pPr>
            <w:r w:rsidRPr="00F36075">
              <w:rPr>
                <w:rFonts w:ascii="Cambria" w:hAnsi="Cambria" w:cs="Cambria"/>
                <w:sz w:val="20"/>
                <w:szCs w:val="20"/>
              </w:rPr>
              <w:t>Yes</w:t>
            </w:r>
          </w:p>
        </w:tc>
      </w:tr>
      <w:tr w:rsidR="00D53541" w:rsidRPr="00F36075" w14:paraId="53384261" w14:textId="77777777" w:rsidTr="006E5466">
        <w:trPr>
          <w:cantSplit/>
        </w:trPr>
        <w:tc>
          <w:tcPr>
            <w:tcW w:w="3600" w:type="dxa"/>
            <w:shd w:val="clear" w:color="auto" w:fill="73BF43"/>
            <w:vAlign w:val="center"/>
          </w:tcPr>
          <w:p w14:paraId="2AFE9775" w14:textId="77777777" w:rsidR="00D53541" w:rsidRPr="00F36075" w:rsidRDefault="00D53541" w:rsidP="006E5466">
            <w:pPr>
              <w:jc w:val="center"/>
              <w:rPr>
                <w:rFonts w:ascii="Cambria" w:hAnsi="Cambria" w:cs="Cambria"/>
                <w:b/>
                <w:bCs/>
                <w:color w:val="FFFFFF"/>
                <w:sz w:val="20"/>
                <w:szCs w:val="20"/>
              </w:rPr>
            </w:pPr>
            <w:r w:rsidRPr="00F36075">
              <w:rPr>
                <w:rFonts w:ascii="Cambria" w:hAnsi="Cambria" w:cs="Cambria"/>
                <w:b/>
                <w:bCs/>
                <w:color w:val="FFFFFF"/>
                <w:sz w:val="20"/>
                <w:szCs w:val="20"/>
              </w:rPr>
              <w:t xml:space="preserve">Competence </w:t>
            </w:r>
            <w:r w:rsidRPr="00F36075">
              <w:rPr>
                <w:rFonts w:ascii="Cambria" w:hAnsi="Cambria" w:cs="Cambria"/>
                <w:b/>
                <w:bCs/>
                <w:i/>
                <w:iCs/>
                <w:color w:val="FFFFFF"/>
                <w:sz w:val="20"/>
                <w:szCs w:val="20"/>
              </w:rPr>
              <w:t>Ratione temporis</w:t>
            </w:r>
            <w:r w:rsidRPr="00F36075">
              <w:rPr>
                <w:rFonts w:ascii="Cambria" w:hAnsi="Cambria" w:cs="Cambria"/>
                <w:b/>
                <w:bCs/>
                <w:color w:val="FFFFFF"/>
                <w:sz w:val="20"/>
                <w:szCs w:val="20"/>
              </w:rPr>
              <w:t>:</w:t>
            </w:r>
          </w:p>
        </w:tc>
        <w:tc>
          <w:tcPr>
            <w:tcW w:w="5760" w:type="dxa"/>
            <w:vAlign w:val="center"/>
          </w:tcPr>
          <w:p w14:paraId="04051D0E" w14:textId="77777777" w:rsidR="00D53541" w:rsidRPr="00F36075" w:rsidRDefault="00D53541" w:rsidP="006E5466">
            <w:pPr>
              <w:rPr>
                <w:rFonts w:ascii="Cambria" w:hAnsi="Cambria" w:cs="Cambria"/>
                <w:sz w:val="20"/>
                <w:szCs w:val="20"/>
              </w:rPr>
            </w:pPr>
            <w:r w:rsidRPr="00F36075">
              <w:rPr>
                <w:rFonts w:ascii="Cambria" w:hAnsi="Cambria" w:cs="Cambria"/>
                <w:sz w:val="20"/>
                <w:szCs w:val="20"/>
              </w:rPr>
              <w:t>Yes</w:t>
            </w:r>
          </w:p>
        </w:tc>
      </w:tr>
      <w:tr w:rsidR="00D53541" w:rsidRPr="00F36075" w14:paraId="727F3380" w14:textId="77777777" w:rsidTr="006E5466">
        <w:trPr>
          <w:cantSplit/>
        </w:trPr>
        <w:tc>
          <w:tcPr>
            <w:tcW w:w="3600" w:type="dxa"/>
            <w:tcBorders>
              <w:bottom w:val="single" w:sz="4" w:space="0" w:color="auto"/>
            </w:tcBorders>
            <w:shd w:val="clear" w:color="auto" w:fill="73BF43"/>
            <w:vAlign w:val="center"/>
          </w:tcPr>
          <w:p w14:paraId="30576818" w14:textId="77777777" w:rsidR="00D53541" w:rsidRPr="00F36075" w:rsidRDefault="00D53541" w:rsidP="006E5466">
            <w:pPr>
              <w:jc w:val="center"/>
              <w:rPr>
                <w:rFonts w:ascii="Cambria" w:hAnsi="Cambria" w:cs="Cambria"/>
                <w:b/>
                <w:bCs/>
                <w:color w:val="FFFFFF"/>
                <w:sz w:val="20"/>
                <w:szCs w:val="20"/>
              </w:rPr>
            </w:pPr>
            <w:r w:rsidRPr="00F36075">
              <w:rPr>
                <w:rFonts w:ascii="Cambria" w:hAnsi="Cambria" w:cs="Cambria"/>
                <w:b/>
                <w:bCs/>
                <w:color w:val="FFFFFF"/>
                <w:sz w:val="20"/>
                <w:szCs w:val="20"/>
              </w:rPr>
              <w:t xml:space="preserve">Competence </w:t>
            </w:r>
            <w:r w:rsidRPr="00F36075">
              <w:rPr>
                <w:rFonts w:ascii="Cambria" w:hAnsi="Cambria" w:cs="Cambria"/>
                <w:b/>
                <w:bCs/>
                <w:i/>
                <w:iCs/>
                <w:color w:val="FFFFFF"/>
                <w:sz w:val="20"/>
                <w:szCs w:val="20"/>
              </w:rPr>
              <w:t>Ratione materiae</w:t>
            </w:r>
            <w:r w:rsidRPr="00F36075">
              <w:rPr>
                <w:rFonts w:ascii="Cambria" w:hAnsi="Cambria" w:cs="Cambria"/>
                <w:b/>
                <w:bCs/>
                <w:color w:val="FFFFFF"/>
                <w:sz w:val="20"/>
                <w:szCs w:val="20"/>
              </w:rPr>
              <w:t>:</w:t>
            </w:r>
          </w:p>
        </w:tc>
        <w:tc>
          <w:tcPr>
            <w:tcW w:w="5760" w:type="dxa"/>
            <w:tcBorders>
              <w:bottom w:val="single" w:sz="4" w:space="0" w:color="auto"/>
            </w:tcBorders>
            <w:vAlign w:val="center"/>
          </w:tcPr>
          <w:p w14:paraId="244126EE" w14:textId="77777777" w:rsidR="00D53541" w:rsidRPr="00F36075" w:rsidRDefault="00D53541" w:rsidP="006E5466">
            <w:pPr>
              <w:jc w:val="both"/>
              <w:rPr>
                <w:rFonts w:ascii="Cambria" w:hAnsi="Cambria" w:cs="Cambria"/>
                <w:sz w:val="20"/>
                <w:szCs w:val="20"/>
              </w:rPr>
            </w:pPr>
            <w:r w:rsidRPr="00F36075">
              <w:rPr>
                <w:rFonts w:ascii="Cambria" w:hAnsi="Cambria" w:cs="Cambria"/>
                <w:sz w:val="20"/>
                <w:szCs w:val="20"/>
              </w:rPr>
              <w:t>Yes, American Convention (instrument of ratification deposited on July 28, 1978)</w:t>
            </w:r>
          </w:p>
        </w:tc>
      </w:tr>
    </w:tbl>
    <w:p w14:paraId="14E7BACD" w14:textId="77777777" w:rsidR="00D53541" w:rsidRPr="00F36075" w:rsidRDefault="00D53541" w:rsidP="00D53541">
      <w:pPr>
        <w:spacing w:before="240" w:after="240"/>
        <w:ind w:firstLine="720"/>
        <w:jc w:val="both"/>
        <w:rPr>
          <w:rFonts w:ascii="Cambria" w:hAnsi="Cambria" w:cs="Cambria"/>
          <w:b/>
          <w:bCs/>
          <w:sz w:val="20"/>
          <w:szCs w:val="20"/>
        </w:rPr>
      </w:pPr>
      <w:r w:rsidRPr="00F36075">
        <w:rPr>
          <w:rFonts w:ascii="Cambria" w:hAnsi="Cambria" w:cs="Cambria"/>
          <w:b/>
          <w:bCs/>
          <w:sz w:val="20"/>
          <w:szCs w:val="20"/>
        </w:rPr>
        <w:t xml:space="preserve">IV. </w:t>
      </w:r>
      <w:r w:rsidRPr="00F36075">
        <w:rPr>
          <w:rFonts w:ascii="Cambria" w:hAnsi="Cambria" w:cs="Cambria"/>
          <w:b/>
          <w:bCs/>
          <w:sz w:val="20"/>
          <w:szCs w:val="20"/>
        </w:rPr>
        <w:tab/>
        <w:t xml:space="preserve">DUPLICATION OF PROCEDURES AND INTERNATIONAL </w:t>
      </w:r>
      <w:r w:rsidRPr="00F36075">
        <w:rPr>
          <w:rFonts w:ascii="Cambria" w:hAnsi="Cambria" w:cs="Cambria"/>
          <w:b/>
          <w:bCs/>
          <w:i/>
          <w:iCs/>
          <w:sz w:val="20"/>
          <w:szCs w:val="20"/>
        </w:rPr>
        <w:t>RES JUDICATA</w:t>
      </w:r>
      <w:r w:rsidRPr="00F36075">
        <w:rPr>
          <w:rFonts w:ascii="Cambria" w:hAnsi="Cambria" w:cs="Cambria"/>
          <w:b/>
          <w:bCs/>
          <w:sz w:val="20"/>
          <w:szCs w:val="20"/>
        </w:rPr>
        <w:t xml:space="preserve">, COLORABLE CLAIM, EXHAUSTION OF DOMESTIC REMEDIES, AND TIMELINESS OF THE PETITION </w:t>
      </w:r>
    </w:p>
    <w:tbl>
      <w:tblPr>
        <w:tblW w:w="0" w:type="auto"/>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600"/>
        <w:gridCol w:w="5760"/>
      </w:tblGrid>
      <w:tr w:rsidR="00D53541" w:rsidRPr="00F36075" w14:paraId="46901FCB" w14:textId="77777777" w:rsidTr="006E5466">
        <w:trPr>
          <w:cantSplit/>
        </w:trPr>
        <w:tc>
          <w:tcPr>
            <w:tcW w:w="3600" w:type="dxa"/>
            <w:tcBorders>
              <w:top w:val="single" w:sz="4" w:space="0" w:color="auto"/>
            </w:tcBorders>
            <w:shd w:val="clear" w:color="auto" w:fill="73BF43"/>
            <w:vAlign w:val="center"/>
          </w:tcPr>
          <w:p w14:paraId="18F60359" w14:textId="77777777" w:rsidR="00D53541" w:rsidRPr="00F36075" w:rsidRDefault="00D53541" w:rsidP="006E5466">
            <w:pPr>
              <w:jc w:val="center"/>
              <w:rPr>
                <w:rFonts w:ascii="Cambria" w:hAnsi="Cambria" w:cs="Cambria"/>
                <w:b/>
                <w:bCs/>
                <w:color w:val="FFFFFF"/>
                <w:sz w:val="20"/>
                <w:szCs w:val="20"/>
              </w:rPr>
            </w:pPr>
            <w:r w:rsidRPr="00F36075">
              <w:rPr>
                <w:rFonts w:ascii="Cambria" w:hAnsi="Cambria" w:cs="Cambria"/>
                <w:b/>
                <w:bCs/>
                <w:color w:val="FFFFFF"/>
                <w:sz w:val="20"/>
                <w:szCs w:val="20"/>
              </w:rPr>
              <w:t xml:space="preserve">Duplication of procedures and international </w:t>
            </w:r>
            <w:r w:rsidRPr="00F36075">
              <w:rPr>
                <w:rFonts w:ascii="Cambria" w:hAnsi="Cambria" w:cs="Cambria"/>
                <w:b/>
                <w:bCs/>
                <w:i/>
                <w:iCs/>
                <w:color w:val="FFFFFF"/>
                <w:sz w:val="20"/>
                <w:szCs w:val="20"/>
              </w:rPr>
              <w:t>res judicata</w:t>
            </w:r>
            <w:r w:rsidRPr="00F36075">
              <w:rPr>
                <w:rFonts w:ascii="Cambria" w:hAnsi="Cambria" w:cs="Cambria"/>
                <w:b/>
                <w:bCs/>
                <w:color w:val="FFFFFF"/>
                <w:sz w:val="20"/>
                <w:szCs w:val="20"/>
              </w:rPr>
              <w:t>:</w:t>
            </w:r>
          </w:p>
        </w:tc>
        <w:tc>
          <w:tcPr>
            <w:tcW w:w="5760" w:type="dxa"/>
            <w:tcBorders>
              <w:top w:val="single" w:sz="4" w:space="0" w:color="auto"/>
            </w:tcBorders>
            <w:vAlign w:val="center"/>
          </w:tcPr>
          <w:p w14:paraId="30EB1BA4" w14:textId="77777777" w:rsidR="00D53541" w:rsidRPr="00F36075" w:rsidRDefault="00D53541" w:rsidP="006E5466">
            <w:pPr>
              <w:jc w:val="both"/>
              <w:rPr>
                <w:rFonts w:ascii="Cambria" w:hAnsi="Cambria" w:cs="Cambria"/>
                <w:sz w:val="20"/>
                <w:szCs w:val="20"/>
              </w:rPr>
            </w:pPr>
            <w:r w:rsidRPr="00F36075">
              <w:rPr>
                <w:rFonts w:ascii="Cambria" w:hAnsi="Cambria" w:cs="Cambria"/>
                <w:sz w:val="20"/>
                <w:szCs w:val="20"/>
              </w:rPr>
              <w:t>No</w:t>
            </w:r>
          </w:p>
        </w:tc>
      </w:tr>
      <w:tr w:rsidR="00D53541" w:rsidRPr="00F36075" w14:paraId="4A83543C" w14:textId="77777777" w:rsidTr="006E5466">
        <w:trPr>
          <w:cantSplit/>
        </w:trPr>
        <w:tc>
          <w:tcPr>
            <w:tcW w:w="3600" w:type="dxa"/>
            <w:tcBorders>
              <w:top w:val="single" w:sz="4" w:space="0" w:color="auto"/>
            </w:tcBorders>
            <w:shd w:val="clear" w:color="auto" w:fill="73BF43"/>
            <w:vAlign w:val="center"/>
          </w:tcPr>
          <w:p w14:paraId="222097F3" w14:textId="77777777" w:rsidR="00D53541" w:rsidRPr="00F36075" w:rsidRDefault="00D53541" w:rsidP="006E5466">
            <w:pPr>
              <w:jc w:val="center"/>
              <w:rPr>
                <w:rFonts w:ascii="Cambria" w:hAnsi="Cambria" w:cs="Cambria"/>
                <w:b/>
                <w:bCs/>
                <w:i/>
                <w:iCs/>
                <w:color w:val="FFFFFF"/>
                <w:sz w:val="20"/>
                <w:szCs w:val="20"/>
              </w:rPr>
            </w:pPr>
            <w:r w:rsidRPr="00F36075">
              <w:rPr>
                <w:rFonts w:ascii="Cambria" w:hAnsi="Cambria" w:cs="Cambria"/>
                <w:b/>
                <w:bCs/>
                <w:color w:val="FFFFFF"/>
                <w:sz w:val="20"/>
                <w:szCs w:val="20"/>
              </w:rPr>
              <w:t xml:space="preserve">Rights declared admissible: </w:t>
            </w:r>
          </w:p>
        </w:tc>
        <w:tc>
          <w:tcPr>
            <w:tcW w:w="5760" w:type="dxa"/>
            <w:vAlign w:val="center"/>
          </w:tcPr>
          <w:p w14:paraId="5771F9A7" w14:textId="77777777" w:rsidR="00D53541" w:rsidRPr="00F36075" w:rsidRDefault="00D53541" w:rsidP="006E5466">
            <w:pPr>
              <w:jc w:val="both"/>
              <w:rPr>
                <w:rFonts w:ascii="Cambria" w:hAnsi="Cambria" w:cs="Cambria"/>
                <w:sz w:val="20"/>
                <w:szCs w:val="20"/>
              </w:rPr>
            </w:pPr>
            <w:r w:rsidRPr="00F36075">
              <w:rPr>
                <w:rFonts w:ascii="Cambria" w:hAnsi="Cambria" w:cs="Cambria"/>
                <w:sz w:val="20"/>
                <w:szCs w:val="20"/>
              </w:rPr>
              <w:t>Articles 3 (right to juridical personality), 5 (right to humane treatment), 8 (right to a fair trial), 11 (right to privacy), 24 (right to equal protection), 25 (right to judicial protection), and 26 (economic, social, and cultural rights) of the American Convention.</w:t>
            </w:r>
          </w:p>
        </w:tc>
      </w:tr>
      <w:tr w:rsidR="00D53541" w:rsidRPr="00F36075" w14:paraId="3FA023B1" w14:textId="77777777" w:rsidTr="006E5466">
        <w:trPr>
          <w:cantSplit/>
        </w:trPr>
        <w:tc>
          <w:tcPr>
            <w:tcW w:w="3600" w:type="dxa"/>
            <w:shd w:val="clear" w:color="auto" w:fill="73BF43"/>
            <w:vAlign w:val="center"/>
          </w:tcPr>
          <w:p w14:paraId="2B435019" w14:textId="77777777" w:rsidR="00D53541" w:rsidRPr="00F36075" w:rsidRDefault="00D53541" w:rsidP="006E5466">
            <w:pPr>
              <w:jc w:val="center"/>
              <w:rPr>
                <w:rFonts w:ascii="Cambria" w:hAnsi="Cambria" w:cs="Cambria"/>
                <w:b/>
                <w:bCs/>
                <w:color w:val="FFFFFF"/>
                <w:sz w:val="20"/>
                <w:szCs w:val="20"/>
              </w:rPr>
            </w:pPr>
            <w:r w:rsidRPr="00F36075">
              <w:rPr>
                <w:rFonts w:ascii="Cambria" w:hAnsi="Cambria" w:cs="Cambria"/>
                <w:b/>
                <w:bCs/>
                <w:color w:val="FFFFFF"/>
                <w:sz w:val="20"/>
                <w:szCs w:val="20"/>
              </w:rPr>
              <w:t xml:space="preserve">Exhaustion of domestic remedies or applicability of an exception to the rule: </w:t>
            </w:r>
          </w:p>
        </w:tc>
        <w:tc>
          <w:tcPr>
            <w:tcW w:w="5760" w:type="dxa"/>
            <w:vAlign w:val="center"/>
          </w:tcPr>
          <w:p w14:paraId="5064A1CD" w14:textId="77777777" w:rsidR="00D53541" w:rsidRPr="00F36075" w:rsidRDefault="00D53541" w:rsidP="006E5466">
            <w:pPr>
              <w:rPr>
                <w:rFonts w:ascii="Cambria" w:hAnsi="Cambria" w:cs="Cambria"/>
                <w:sz w:val="20"/>
                <w:szCs w:val="20"/>
              </w:rPr>
            </w:pPr>
            <w:r w:rsidRPr="00F36075">
              <w:rPr>
                <w:rFonts w:ascii="Cambria" w:hAnsi="Cambria" w:cs="Cambria"/>
                <w:sz w:val="20"/>
                <w:szCs w:val="20"/>
              </w:rPr>
              <w:t>Yes, as indicated in section VI</w:t>
            </w:r>
          </w:p>
        </w:tc>
      </w:tr>
      <w:tr w:rsidR="00D53541" w:rsidRPr="00F36075" w14:paraId="00493F65" w14:textId="77777777" w:rsidTr="006E5466">
        <w:trPr>
          <w:cantSplit/>
        </w:trPr>
        <w:tc>
          <w:tcPr>
            <w:tcW w:w="3600" w:type="dxa"/>
            <w:tcBorders>
              <w:bottom w:val="single" w:sz="4" w:space="0" w:color="auto"/>
            </w:tcBorders>
            <w:shd w:val="clear" w:color="auto" w:fill="73BF43"/>
            <w:vAlign w:val="center"/>
          </w:tcPr>
          <w:p w14:paraId="7D861E8E" w14:textId="77777777" w:rsidR="00D53541" w:rsidRPr="00F36075" w:rsidRDefault="00D53541" w:rsidP="006E5466">
            <w:pPr>
              <w:jc w:val="center"/>
              <w:rPr>
                <w:rFonts w:ascii="Cambria" w:hAnsi="Cambria" w:cs="Cambria"/>
                <w:b/>
                <w:bCs/>
                <w:color w:val="FFFFFF"/>
                <w:sz w:val="20"/>
                <w:szCs w:val="20"/>
              </w:rPr>
            </w:pPr>
            <w:r w:rsidRPr="00F36075">
              <w:rPr>
                <w:rFonts w:ascii="Cambria" w:hAnsi="Cambria" w:cs="Cambria"/>
                <w:b/>
                <w:bCs/>
                <w:color w:val="FFFFFF"/>
                <w:sz w:val="20"/>
                <w:szCs w:val="20"/>
              </w:rPr>
              <w:t>Timeliness of the petition:</w:t>
            </w:r>
          </w:p>
        </w:tc>
        <w:tc>
          <w:tcPr>
            <w:tcW w:w="5760" w:type="dxa"/>
            <w:tcBorders>
              <w:bottom w:val="single" w:sz="4" w:space="0" w:color="auto"/>
            </w:tcBorders>
            <w:vAlign w:val="center"/>
          </w:tcPr>
          <w:p w14:paraId="1D4F24F3" w14:textId="77777777" w:rsidR="00D53541" w:rsidRPr="00F36075" w:rsidRDefault="00D53541" w:rsidP="006E5466">
            <w:pPr>
              <w:rPr>
                <w:rFonts w:ascii="Cambria" w:hAnsi="Cambria" w:cs="Cambria"/>
                <w:sz w:val="20"/>
                <w:szCs w:val="20"/>
              </w:rPr>
            </w:pPr>
            <w:r w:rsidRPr="00F36075">
              <w:rPr>
                <w:rFonts w:ascii="Cambria" w:hAnsi="Cambria" w:cs="Cambria"/>
                <w:sz w:val="20"/>
                <w:szCs w:val="20"/>
              </w:rPr>
              <w:t>Yes, as indicated in section VI</w:t>
            </w:r>
          </w:p>
        </w:tc>
      </w:tr>
    </w:tbl>
    <w:p w14:paraId="63166282" w14:textId="438ECAC2" w:rsidR="00D53541" w:rsidRDefault="00D53541" w:rsidP="0069173C">
      <w:pPr>
        <w:jc w:val="both"/>
        <w:rPr>
          <w:rFonts w:ascii="Cambria" w:hAnsi="Cambria" w:cs="Cambria"/>
          <w:b/>
          <w:bCs/>
          <w:sz w:val="20"/>
          <w:szCs w:val="20"/>
        </w:rPr>
      </w:pPr>
    </w:p>
    <w:p w14:paraId="58055189" w14:textId="77777777" w:rsidR="0069173C" w:rsidRDefault="0069173C" w:rsidP="0069173C">
      <w:pPr>
        <w:jc w:val="both"/>
        <w:rPr>
          <w:rFonts w:ascii="Cambria" w:hAnsi="Cambria" w:cs="Cambria"/>
          <w:b/>
          <w:bCs/>
          <w:sz w:val="20"/>
          <w:szCs w:val="20"/>
        </w:rPr>
      </w:pPr>
    </w:p>
    <w:p w14:paraId="6CCE0FA3" w14:textId="5F15E589" w:rsidR="00D53541" w:rsidRDefault="00D53541" w:rsidP="0069173C">
      <w:pPr>
        <w:ind w:firstLine="720"/>
        <w:jc w:val="both"/>
        <w:rPr>
          <w:rFonts w:ascii="Cambria" w:hAnsi="Cambria" w:cs="Cambria"/>
          <w:sz w:val="20"/>
          <w:szCs w:val="20"/>
        </w:rPr>
      </w:pPr>
      <w:r w:rsidRPr="00F36075">
        <w:rPr>
          <w:rFonts w:ascii="Cambria" w:hAnsi="Cambria" w:cs="Cambria"/>
          <w:b/>
          <w:bCs/>
          <w:sz w:val="20"/>
          <w:szCs w:val="20"/>
        </w:rPr>
        <w:lastRenderedPageBreak/>
        <w:t xml:space="preserve">V. </w:t>
      </w:r>
      <w:r w:rsidRPr="00F36075">
        <w:rPr>
          <w:rFonts w:ascii="Cambria" w:hAnsi="Cambria" w:cs="Cambria"/>
          <w:b/>
          <w:bCs/>
          <w:sz w:val="20"/>
          <w:szCs w:val="20"/>
        </w:rPr>
        <w:tab/>
        <w:t>FACTS ALLEGED</w:t>
      </w:r>
      <w:r w:rsidRPr="00F36075">
        <w:rPr>
          <w:rFonts w:ascii="Cambria" w:hAnsi="Cambria" w:cs="Cambria"/>
          <w:sz w:val="20"/>
          <w:szCs w:val="20"/>
        </w:rPr>
        <w:t xml:space="preserve"> </w:t>
      </w:r>
    </w:p>
    <w:p w14:paraId="6613A0C5" w14:textId="77777777" w:rsidR="0069173C" w:rsidRPr="00F36075" w:rsidRDefault="0069173C" w:rsidP="0069173C">
      <w:pPr>
        <w:ind w:firstLine="720"/>
        <w:jc w:val="both"/>
        <w:rPr>
          <w:rFonts w:ascii="Cambria" w:hAnsi="Cambria" w:cs="Cambria"/>
          <w:b/>
          <w:bCs/>
          <w:sz w:val="20"/>
          <w:szCs w:val="20"/>
        </w:rPr>
      </w:pPr>
    </w:p>
    <w:p w14:paraId="383AE0A5" w14:textId="77777777" w:rsidR="00D53541" w:rsidRPr="00F36075" w:rsidRDefault="00D53541" w:rsidP="00D53541">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Cambria"/>
          <w:sz w:val="20"/>
          <w:szCs w:val="20"/>
        </w:rPr>
      </w:pPr>
      <w:r w:rsidRPr="00F36075">
        <w:rPr>
          <w:rFonts w:ascii="Cambria" w:hAnsi="Cambria" w:cs="Cambria"/>
          <w:sz w:val="20"/>
          <w:szCs w:val="20"/>
        </w:rPr>
        <w:t>The petitioners allege that the State discriminated against the alleged victim as a trans woman when the administrative and judicial authorities rejected her request for gender recognition, because of which she does not to date have a national identity document (DNI)</w:t>
      </w:r>
      <w:r>
        <w:rPr>
          <w:rFonts w:ascii="Cambria" w:hAnsi="Cambria" w:cs="Cambria"/>
          <w:sz w:val="20"/>
          <w:szCs w:val="20"/>
        </w:rPr>
        <w:t xml:space="preserve"> that reflects</w:t>
      </w:r>
      <w:r w:rsidRPr="00F36075">
        <w:rPr>
          <w:rFonts w:ascii="Cambria" w:hAnsi="Cambria" w:cs="Cambria"/>
          <w:sz w:val="20"/>
          <w:szCs w:val="20"/>
        </w:rPr>
        <w:t xml:space="preserve"> her gender identity. </w:t>
      </w:r>
    </w:p>
    <w:p w14:paraId="45C8DA4E" w14:textId="77777777" w:rsidR="00D53541" w:rsidRPr="00F36075" w:rsidRDefault="00D53541" w:rsidP="00D53541">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Cambria"/>
          <w:sz w:val="20"/>
          <w:szCs w:val="20"/>
        </w:rPr>
      </w:pPr>
      <w:r w:rsidRPr="00F36075">
        <w:rPr>
          <w:rFonts w:ascii="Cambria" w:hAnsi="Cambria" w:cs="Cambria"/>
          <w:sz w:val="20"/>
          <w:szCs w:val="20"/>
        </w:rPr>
        <w:t>The petitioners explain that P.E.M.M., a dual Peruvian and Spanish national, succeeded in having her female name and gender recognized in Spain, after which she filed suit in Peru to have her name recognized in her country of origin as well. Accordingly, on October 20, 2009, the Specialized Civil Court of San Martín declared the action to be adequately grounded, finding that the plaintiff had reliably demonstrated that she identified as female. Since neither the Public Prosecution Service (MP) nor any other authority filed an appeal, on January 27, 2010, th</w:t>
      </w:r>
      <w:r>
        <w:rPr>
          <w:rFonts w:ascii="Cambria" w:hAnsi="Cambria" w:cs="Cambria"/>
          <w:sz w:val="20"/>
          <w:szCs w:val="20"/>
        </w:rPr>
        <w:t xml:space="preserve">at </w:t>
      </w:r>
      <w:r w:rsidRPr="00F36075">
        <w:rPr>
          <w:rFonts w:ascii="Cambria" w:hAnsi="Cambria" w:cs="Cambria"/>
          <w:sz w:val="20"/>
          <w:szCs w:val="20"/>
        </w:rPr>
        <w:t xml:space="preserve">decision became final. </w:t>
      </w:r>
    </w:p>
    <w:p w14:paraId="456BBD4D" w14:textId="77777777" w:rsidR="00D53541" w:rsidRPr="00F36075" w:rsidRDefault="00D53541" w:rsidP="00D53541">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Cambria"/>
          <w:sz w:val="20"/>
          <w:szCs w:val="20"/>
        </w:rPr>
      </w:pPr>
      <w:r w:rsidRPr="00F36075">
        <w:rPr>
          <w:rFonts w:ascii="Cambria" w:hAnsi="Cambria" w:cs="Cambria"/>
          <w:sz w:val="20"/>
          <w:szCs w:val="20"/>
        </w:rPr>
        <w:t>Based on that decision, the</w:t>
      </w:r>
      <w:r>
        <w:rPr>
          <w:rFonts w:ascii="Cambria" w:hAnsi="Cambria" w:cs="Cambria"/>
          <w:sz w:val="20"/>
          <w:szCs w:val="20"/>
        </w:rPr>
        <w:t xml:space="preserve"> petitioners indicate </w:t>
      </w:r>
      <w:r w:rsidRPr="00F36075">
        <w:rPr>
          <w:rFonts w:ascii="Cambria" w:hAnsi="Cambria" w:cs="Cambria"/>
          <w:sz w:val="20"/>
          <w:szCs w:val="20"/>
        </w:rPr>
        <w:t xml:space="preserve">that on August 23, 2010, the alleged victim filed a writ of </w:t>
      </w:r>
      <w:r w:rsidRPr="00F36075">
        <w:rPr>
          <w:rFonts w:ascii="Cambria" w:hAnsi="Cambria" w:cs="Cambria"/>
          <w:i/>
          <w:iCs/>
          <w:sz w:val="20"/>
          <w:szCs w:val="20"/>
        </w:rPr>
        <w:t xml:space="preserve">amparo </w:t>
      </w:r>
      <w:r w:rsidRPr="00F36075">
        <w:rPr>
          <w:rFonts w:ascii="Cambria" w:hAnsi="Cambria" w:cs="Cambria"/>
          <w:sz w:val="20"/>
          <w:szCs w:val="20"/>
        </w:rPr>
        <w:t xml:space="preserve">against the National Identification and Civil Status Registry (hereinafter, RENIEC), requesting the recognition of her female gender on her DNI, and that on May 3, 2012, the Civil Court of the Province of San Martín ruled the claim to be adequately grounded. However, they report that the RENIEC lodged an appeal against that decision, alleging that a constitutional remedy was not the correct channel to address P.E.M.M.’s claim, since the matter should have been heard by the regular civil courts. As a result, on September 10, 2012, the Decentralized Mixed Chamber of Tarapoto overturned the judgment against which the appeal was brought, declaring it inadmissible on the grounds that the matter should not be resolved through </w:t>
      </w:r>
      <w:r w:rsidRPr="00F36075">
        <w:rPr>
          <w:rFonts w:ascii="Cambria" w:hAnsi="Cambria" w:cs="Cambria"/>
          <w:i/>
          <w:iCs/>
          <w:sz w:val="20"/>
          <w:szCs w:val="20"/>
        </w:rPr>
        <w:t>amparo</w:t>
      </w:r>
      <w:r w:rsidRPr="00F36075">
        <w:rPr>
          <w:rFonts w:ascii="Cambria" w:hAnsi="Cambria" w:cs="Cambria"/>
          <w:sz w:val="20"/>
          <w:szCs w:val="20"/>
        </w:rPr>
        <w:t xml:space="preserve"> proceedings.</w:t>
      </w:r>
    </w:p>
    <w:p w14:paraId="5149FA14" w14:textId="77777777" w:rsidR="00D53541" w:rsidRPr="00F36075" w:rsidRDefault="00D53541" w:rsidP="00D53541">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Cambria"/>
          <w:color w:val="000000"/>
          <w:sz w:val="20"/>
          <w:szCs w:val="20"/>
        </w:rPr>
      </w:pPr>
      <w:r w:rsidRPr="00F36075">
        <w:rPr>
          <w:rFonts w:ascii="Cambria" w:hAnsi="Cambria" w:cs="Cambria"/>
          <w:sz w:val="20"/>
          <w:szCs w:val="20"/>
        </w:rPr>
        <w:t xml:space="preserve">In view of this, they state that the alleged victim filed a constitutional grievance; however, on March 18, 2014, the Constitutional Court, through a ruling in Case No. 00139-2013-PA/TC, declared that suit groundless. Among its findings, the Constitutional Court stated that: </w:t>
      </w:r>
    </w:p>
    <w:p w14:paraId="1E0BB991" w14:textId="3EA9018C" w:rsidR="00D53541" w:rsidRPr="00F36075" w:rsidRDefault="00D53541" w:rsidP="00D53541">
      <w:pPr>
        <w:pStyle w:val="ListParagraph"/>
        <w:suppressAutoHyphens/>
        <w:spacing w:after="240"/>
        <w:ind w:right="720"/>
        <w:jc w:val="both"/>
        <w:rPr>
          <w:i/>
          <w:iCs/>
          <w:sz w:val="18"/>
          <w:szCs w:val="18"/>
        </w:rPr>
      </w:pPr>
      <w:r w:rsidRPr="00F36075">
        <w:rPr>
          <w:i/>
          <w:iCs/>
          <w:sz w:val="18"/>
          <w:szCs w:val="18"/>
        </w:rPr>
        <w:t>For the law (...) sex means biological sex (…). The difference between the sexes thus responds to an extra-legal and biological reality that must be constitutionally respected because it is based on ‘the nature of things’ (…). In the case at hand, at no time does the appellant argue that P.E.M.M. is chromosomically, hormonally, gonadically, or morphologically of the female sex. The appellant supports P.E.M.M.’s sex change claim on purely psychological grounds (...).</w:t>
      </w:r>
      <w:r w:rsidRPr="00F36075">
        <w:rPr>
          <w:sz w:val="18"/>
          <w:szCs w:val="18"/>
        </w:rPr>
        <w:t xml:space="preserve"> </w:t>
      </w:r>
      <w:r w:rsidRPr="00F36075">
        <w:rPr>
          <w:i/>
          <w:iCs/>
          <w:sz w:val="18"/>
          <w:szCs w:val="18"/>
        </w:rPr>
        <w:t>It is clear that not identifying with the male biological sex or identifying with the female sex involves a psychological ‘pathology’ (as she herself calls it), as is also proven by her claim to have undergone a ‘thorough evaluation’ of a psychological nature to diagnose her with ‘</w:t>
      </w:r>
      <w:r>
        <w:rPr>
          <w:i/>
          <w:iCs/>
          <w:sz w:val="18"/>
          <w:szCs w:val="18"/>
        </w:rPr>
        <w:t>transsexualism’.</w:t>
      </w:r>
    </w:p>
    <w:p w14:paraId="42DAC385" w14:textId="77777777" w:rsidR="00D53541" w:rsidRPr="00F36075" w:rsidRDefault="00D53541" w:rsidP="00D53541">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Cambria"/>
          <w:color w:val="000000"/>
          <w:sz w:val="20"/>
          <w:szCs w:val="20"/>
        </w:rPr>
      </w:pPr>
      <w:r w:rsidRPr="00F36075">
        <w:rPr>
          <w:rFonts w:ascii="Cambria" w:hAnsi="Cambria" w:cs="Cambria"/>
          <w:color w:val="000000"/>
          <w:sz w:val="20"/>
          <w:szCs w:val="20"/>
        </w:rPr>
        <w:t xml:space="preserve">Furthermore, the Constitutional Court found that accepting P.E.M.M.’s request would cause a great impact and complications in the field of civil law and that, in particular, the following consequences would arise: </w:t>
      </w:r>
      <w:r w:rsidRPr="004441D5">
        <w:rPr>
          <w:rFonts w:ascii="Cambria" w:hAnsi="Cambria" w:cs="Cambria"/>
          <w:i/>
          <w:iCs/>
          <w:color w:val="000000"/>
          <w:sz w:val="20"/>
          <w:szCs w:val="20"/>
        </w:rPr>
        <w:t>“(1)</w:t>
      </w:r>
      <w:r w:rsidRPr="00F36075">
        <w:rPr>
          <w:rFonts w:ascii="Cambria" w:hAnsi="Cambria" w:cs="Cambria"/>
          <w:color w:val="000000"/>
          <w:sz w:val="20"/>
          <w:szCs w:val="20"/>
        </w:rPr>
        <w:t xml:space="preserve"> </w:t>
      </w:r>
      <w:r w:rsidRPr="00F36075">
        <w:rPr>
          <w:rFonts w:ascii="Cambria" w:hAnsi="Cambria" w:cs="Cambria"/>
          <w:i/>
          <w:iCs/>
          <w:color w:val="000000"/>
          <w:sz w:val="20"/>
          <w:szCs w:val="20"/>
        </w:rPr>
        <w:t>a person would be able to change his or her sex in the civil registry at will; (2) the marriage of persons of the same sex would be allowed, since an operated transsexual, despite the external change, continues to have the same chromosomal sex.</w:t>
      </w:r>
      <w:r w:rsidRPr="00F36075">
        <w:rPr>
          <w:rFonts w:ascii="Cambria" w:hAnsi="Cambria" w:cs="Cambria"/>
          <w:color w:val="000000"/>
          <w:sz w:val="20"/>
          <w:szCs w:val="20"/>
        </w:rPr>
        <w:t>” Accordingly, it stated that its decision constituted binding and obligatory constitutional doctrine for all the country</w:t>
      </w:r>
      <w:r>
        <w:rPr>
          <w:rFonts w:ascii="Cambria" w:hAnsi="Cambria" w:cs="Cambria"/>
          <w:color w:val="000000"/>
          <w:sz w:val="20"/>
          <w:szCs w:val="20"/>
        </w:rPr>
        <w:t xml:space="preserve">’s </w:t>
      </w:r>
      <w:r w:rsidRPr="00F36075">
        <w:rPr>
          <w:rFonts w:ascii="Cambria" w:hAnsi="Cambria" w:cs="Cambria"/>
          <w:color w:val="000000"/>
          <w:sz w:val="20"/>
          <w:szCs w:val="20"/>
        </w:rPr>
        <w:t xml:space="preserve">courts. </w:t>
      </w:r>
    </w:p>
    <w:p w14:paraId="5D8BA8F8" w14:textId="77777777" w:rsidR="00D53541" w:rsidRPr="00F36075" w:rsidRDefault="00D53541" w:rsidP="00D53541">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Cambria"/>
          <w:color w:val="000000"/>
          <w:sz w:val="20"/>
          <w:szCs w:val="20"/>
        </w:rPr>
      </w:pPr>
      <w:r w:rsidRPr="00F36075">
        <w:rPr>
          <w:rFonts w:ascii="Cambria" w:hAnsi="Cambria" w:cs="Cambria"/>
          <w:sz w:val="20"/>
          <w:szCs w:val="20"/>
        </w:rPr>
        <w:t>By virtue of the aforesaid considerations, the petitioners contend that the State primarily violated the alleged victim’s right to identity and equality</w:t>
      </w:r>
      <w:r>
        <w:rPr>
          <w:rFonts w:ascii="Cambria" w:hAnsi="Cambria" w:cs="Cambria"/>
          <w:sz w:val="20"/>
          <w:szCs w:val="20"/>
        </w:rPr>
        <w:t>,</w:t>
      </w:r>
      <w:r w:rsidRPr="00F36075">
        <w:rPr>
          <w:rFonts w:ascii="Cambria" w:hAnsi="Cambria" w:cs="Cambria"/>
          <w:sz w:val="20"/>
          <w:szCs w:val="20"/>
        </w:rPr>
        <w:t xml:space="preserve"> and that the refusal to recognize her gender identity has also implied other violations, since P.E.M.M. has had problems in the personal formalities she must carry out</w:t>
      </w:r>
      <w:r>
        <w:rPr>
          <w:rFonts w:ascii="Cambria" w:hAnsi="Cambria" w:cs="Cambria"/>
          <w:sz w:val="20"/>
          <w:szCs w:val="20"/>
        </w:rPr>
        <w:t>—</w:t>
      </w:r>
      <w:r w:rsidRPr="00F36075">
        <w:rPr>
          <w:rFonts w:ascii="Cambria" w:hAnsi="Cambria" w:cs="Cambria"/>
          <w:sz w:val="20"/>
          <w:szCs w:val="20"/>
        </w:rPr>
        <w:t>with banks, commercial b</w:t>
      </w:r>
      <w:r>
        <w:rPr>
          <w:rFonts w:ascii="Cambria" w:hAnsi="Cambria" w:cs="Cambria"/>
          <w:sz w:val="20"/>
          <w:szCs w:val="20"/>
        </w:rPr>
        <w:t>usinesses, and state entities—</w:t>
      </w:r>
      <w:r w:rsidRPr="00F36075">
        <w:rPr>
          <w:rFonts w:ascii="Cambria" w:hAnsi="Cambria" w:cs="Cambria"/>
          <w:sz w:val="20"/>
          <w:szCs w:val="20"/>
        </w:rPr>
        <w:t xml:space="preserve">preventing her from living a full life without fear of any kind of risk. Finally, they claim that Peru has no specific process for the recognition of gender identity and that the current procedures do not allow for a prompt decision to be adopted, since they involve evidentiary stages that are discriminatory for trans persons. They contend that this situation was aggravated by the Constitutional Court’s decision, which enshrined a discriminatory finding in constitutional doctrine. </w:t>
      </w:r>
    </w:p>
    <w:p w14:paraId="51DE2243" w14:textId="77777777" w:rsidR="00D53541" w:rsidRPr="00F36075" w:rsidRDefault="00D53541" w:rsidP="00D53541">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Cambria"/>
          <w:sz w:val="20"/>
          <w:szCs w:val="20"/>
        </w:rPr>
      </w:pPr>
      <w:r w:rsidRPr="00F36075">
        <w:rPr>
          <w:rFonts w:ascii="Cambria" w:hAnsi="Cambria" w:cs="Cambria"/>
          <w:sz w:val="20"/>
          <w:szCs w:val="20"/>
        </w:rPr>
        <w:t xml:space="preserve">For its part, the State argues that the petition is inadmissible. First, it raises the objection of a lack of material competence for the purported violation of the alleged victim’s right to identity, since </w:t>
      </w:r>
      <w:r>
        <w:rPr>
          <w:rFonts w:ascii="Cambria" w:hAnsi="Cambria" w:cs="Cambria"/>
          <w:sz w:val="20"/>
          <w:szCs w:val="20"/>
        </w:rPr>
        <w:t>that</w:t>
      </w:r>
      <w:r w:rsidRPr="00F36075">
        <w:rPr>
          <w:rFonts w:ascii="Cambria" w:hAnsi="Cambria" w:cs="Cambria"/>
          <w:sz w:val="20"/>
          <w:szCs w:val="20"/>
        </w:rPr>
        <w:t xml:space="preserve"> right is not expressly enshrined in any article of the American Convention, nor in any other instrument of the inter-</w:t>
      </w:r>
      <w:r w:rsidRPr="00F36075">
        <w:rPr>
          <w:rFonts w:ascii="Cambria" w:hAnsi="Cambria" w:cs="Cambria"/>
          <w:sz w:val="20"/>
          <w:szCs w:val="20"/>
        </w:rPr>
        <w:lastRenderedPageBreak/>
        <w:t>American system. Consequently, it contends that the alleged violation of that right cannot be discussed within the IACHR’</w:t>
      </w:r>
      <w:r>
        <w:rPr>
          <w:rFonts w:ascii="Cambria" w:hAnsi="Cambria" w:cs="Cambria"/>
          <w:sz w:val="20"/>
          <w:szCs w:val="20"/>
        </w:rPr>
        <w:t>s petition and case system</w:t>
      </w:r>
      <w:r w:rsidRPr="00F36075">
        <w:rPr>
          <w:rFonts w:ascii="Cambria" w:hAnsi="Cambria" w:cs="Cambria"/>
          <w:sz w:val="20"/>
          <w:szCs w:val="20"/>
        </w:rPr>
        <w:t>.</w:t>
      </w:r>
    </w:p>
    <w:p w14:paraId="51D53AF5" w14:textId="77777777" w:rsidR="00D53541" w:rsidRPr="00F36075" w:rsidRDefault="00D53541" w:rsidP="00D53541">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Cambria"/>
          <w:sz w:val="20"/>
          <w:szCs w:val="20"/>
        </w:rPr>
      </w:pPr>
      <w:r w:rsidRPr="00F36075">
        <w:rPr>
          <w:rFonts w:ascii="Cambria" w:hAnsi="Cambria" w:cs="Cambria"/>
          <w:sz w:val="20"/>
          <w:szCs w:val="20"/>
        </w:rPr>
        <w:t>Peru further states that the petitioners did not adequately exhaust domestic remedies. It indicates that under Article 5 of the Code of Constitutional Procedure then in force,</w:t>
      </w:r>
      <w:r w:rsidRPr="00F36075">
        <w:rPr>
          <w:rStyle w:val="FootnoteReference"/>
          <w:rFonts w:ascii="Cambria" w:hAnsi="Cambria" w:cs="Cambria"/>
          <w:sz w:val="20"/>
          <w:szCs w:val="20"/>
        </w:rPr>
        <w:footnoteReference w:id="4"/>
      </w:r>
      <w:r w:rsidRPr="00F36075">
        <w:rPr>
          <w:rFonts w:ascii="Cambria" w:hAnsi="Cambria" w:cs="Cambria"/>
          <w:sz w:val="20"/>
          <w:szCs w:val="20"/>
        </w:rPr>
        <w:t xml:space="preserve"> </w:t>
      </w:r>
      <w:r w:rsidRPr="00F36075">
        <w:rPr>
          <w:rFonts w:ascii="Cambria" w:hAnsi="Cambria" w:cs="Cambria"/>
          <w:i/>
          <w:iCs/>
          <w:sz w:val="20"/>
          <w:szCs w:val="20"/>
        </w:rPr>
        <w:t xml:space="preserve">amparo </w:t>
      </w:r>
      <w:r w:rsidRPr="00F36075">
        <w:rPr>
          <w:rFonts w:ascii="Cambria" w:hAnsi="Cambria" w:cs="Cambria"/>
          <w:sz w:val="20"/>
          <w:szCs w:val="20"/>
        </w:rPr>
        <w:t>was the appropriate remedy for the protection of fundamental rights, provided that there was no other equally satisfactory channel. It</w:t>
      </w:r>
      <w:r>
        <w:rPr>
          <w:rFonts w:ascii="Cambria" w:hAnsi="Cambria" w:cs="Cambria"/>
          <w:sz w:val="20"/>
          <w:szCs w:val="20"/>
        </w:rPr>
        <w:t xml:space="preserve"> notes</w:t>
      </w:r>
      <w:r w:rsidRPr="00F36075">
        <w:rPr>
          <w:rFonts w:ascii="Cambria" w:hAnsi="Cambria" w:cs="Cambria"/>
          <w:sz w:val="20"/>
          <w:szCs w:val="20"/>
        </w:rPr>
        <w:t xml:space="preserve"> that in the case at hand, both the Decentralized Mixed Chamber of Tarapoto and the Constitutional Court rejected the alleged victim’s claim, finding, among other arguments, that the matter should be resolved through regular civil proceedings. Likewise, it indicates that there are various national precedents like the present case that, </w:t>
      </w:r>
      <w:r>
        <w:rPr>
          <w:rFonts w:ascii="Cambria" w:hAnsi="Cambria" w:cs="Cambria"/>
          <w:sz w:val="20"/>
          <w:szCs w:val="20"/>
        </w:rPr>
        <w:t xml:space="preserve">since </w:t>
      </w:r>
      <w:r w:rsidRPr="00F36075">
        <w:rPr>
          <w:rFonts w:ascii="Cambria" w:hAnsi="Cambria" w:cs="Cambria"/>
          <w:sz w:val="20"/>
          <w:szCs w:val="20"/>
        </w:rPr>
        <w:t xml:space="preserve">they were processed through the appropriate channels, obtained the expected results. Specifically, the State cites three resolutions handed down by civil courts and chambers that ordered that the plaintiffs’ names and sexes be changed; and, based thereon, it concludes that since it has been established that there was an adequate and effective remedy that the alleged victim did not use, the petition at hand does not meet the requirement set out in Article 46.1.a of the American Convention. </w:t>
      </w:r>
    </w:p>
    <w:p w14:paraId="7C43A1F1" w14:textId="77777777" w:rsidR="00D53541" w:rsidRPr="00F36075" w:rsidRDefault="00D53541" w:rsidP="00D53541">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Cambria"/>
          <w:sz w:val="20"/>
          <w:szCs w:val="20"/>
        </w:rPr>
      </w:pPr>
      <w:r>
        <w:rPr>
          <w:rFonts w:ascii="Cambria" w:hAnsi="Cambria" w:cs="Cambria"/>
          <w:sz w:val="20"/>
          <w:szCs w:val="20"/>
        </w:rPr>
        <w:t>T</w:t>
      </w:r>
      <w:r w:rsidRPr="00F36075">
        <w:rPr>
          <w:rFonts w:ascii="Cambria" w:hAnsi="Cambria" w:cs="Cambria"/>
          <w:sz w:val="20"/>
          <w:szCs w:val="20"/>
        </w:rPr>
        <w:t xml:space="preserve">he State also contends that the alleged victim did not exhaust the remedy for challenging a possible violation of Article 24 of the American Convention. Thus, it notes that although Peruvian law provides for the possibility of challenging the constitutionality of a self-executing provision by means of </w:t>
      </w:r>
      <w:r w:rsidRPr="00F36075">
        <w:rPr>
          <w:rFonts w:ascii="Cambria" w:hAnsi="Cambria" w:cs="Cambria"/>
          <w:i/>
          <w:iCs/>
          <w:sz w:val="20"/>
          <w:szCs w:val="20"/>
        </w:rPr>
        <w:t>amparo</w:t>
      </w:r>
      <w:r w:rsidRPr="00F36075">
        <w:rPr>
          <w:rFonts w:ascii="Cambria" w:hAnsi="Cambria" w:cs="Cambria"/>
          <w:sz w:val="20"/>
          <w:szCs w:val="20"/>
        </w:rPr>
        <w:t xml:space="preserve">, P.E.M.M. neither challenged nor requested the non-application </w:t>
      </w:r>
      <w:r>
        <w:rPr>
          <w:rFonts w:ascii="Cambria" w:hAnsi="Cambria" w:cs="Cambria"/>
          <w:sz w:val="20"/>
          <w:szCs w:val="20"/>
        </w:rPr>
        <w:t>of the</w:t>
      </w:r>
      <w:r w:rsidRPr="00F36075">
        <w:rPr>
          <w:rFonts w:ascii="Cambria" w:hAnsi="Cambria" w:cs="Cambria"/>
          <w:sz w:val="20"/>
          <w:szCs w:val="20"/>
        </w:rPr>
        <w:t xml:space="preserve"> </w:t>
      </w:r>
      <w:r>
        <w:rPr>
          <w:rFonts w:ascii="Cambria" w:hAnsi="Cambria" w:cs="Cambria"/>
          <w:sz w:val="20"/>
          <w:szCs w:val="20"/>
        </w:rPr>
        <w:t xml:space="preserve">order </w:t>
      </w:r>
      <w:r w:rsidRPr="00F36075">
        <w:rPr>
          <w:rFonts w:ascii="Cambria" w:hAnsi="Cambria" w:cs="Cambria"/>
          <w:sz w:val="20"/>
          <w:szCs w:val="20"/>
        </w:rPr>
        <w:t xml:space="preserve">on the grounds that it was discriminatory. For that reason, the State holds that it did not have the opportunity to </w:t>
      </w:r>
      <w:r>
        <w:rPr>
          <w:rFonts w:ascii="Cambria" w:hAnsi="Cambria" w:cs="Cambria"/>
          <w:sz w:val="20"/>
          <w:szCs w:val="20"/>
        </w:rPr>
        <w:t>rule</w:t>
      </w:r>
      <w:r w:rsidRPr="00F36075">
        <w:rPr>
          <w:rFonts w:ascii="Cambria" w:hAnsi="Cambria" w:cs="Cambria"/>
          <w:sz w:val="20"/>
          <w:szCs w:val="20"/>
        </w:rPr>
        <w:t xml:space="preserve"> on this matter within domestic jurisdiction, so neither does this aspect of the petition meet the requirement set forth in Article 46.1.a of the Convention.</w:t>
      </w:r>
    </w:p>
    <w:p w14:paraId="49A88BB1" w14:textId="77777777" w:rsidR="00D53541" w:rsidRPr="00F36075" w:rsidRDefault="00D53541" w:rsidP="00D53541">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Cambria"/>
          <w:color w:val="000000"/>
          <w:sz w:val="20"/>
          <w:szCs w:val="20"/>
        </w:rPr>
      </w:pPr>
      <w:r w:rsidRPr="00F36075">
        <w:rPr>
          <w:rFonts w:ascii="Cambria" w:hAnsi="Cambria" w:cs="Cambria"/>
          <w:sz w:val="20"/>
          <w:szCs w:val="20"/>
        </w:rPr>
        <w:t xml:space="preserve">Finally, it argues that the alleged facts do not tend to establish a violation of human rights. It indicates that the first advances made by the agencies of the inter-American system with respect to differences in treatment, equality, and non-discrimination on the grounds of sexual orientation were made in 2012, through the judgment in the case of Atala Riffo and Daughters v. Chile. Consequently, it contends that when P.E.M.M. began her proceedings before the domestic courts, no international standard for the protection of the right to gender identity </w:t>
      </w:r>
      <w:r>
        <w:rPr>
          <w:rFonts w:ascii="Cambria" w:hAnsi="Cambria" w:cs="Cambria"/>
          <w:sz w:val="20"/>
          <w:szCs w:val="20"/>
        </w:rPr>
        <w:t xml:space="preserve">was </w:t>
      </w:r>
      <w:r w:rsidRPr="00F36075">
        <w:rPr>
          <w:rFonts w:ascii="Cambria" w:hAnsi="Cambria" w:cs="Cambria"/>
          <w:sz w:val="20"/>
          <w:szCs w:val="20"/>
        </w:rPr>
        <w:t xml:space="preserve">yet in force, and that it was not until 2017, through Advisory Opinion No. 24, that the Inter-American Court developed such a legal parameter. On that basis, the State requests that the IACHR consider that, given the lack of international consensus on the matter in dispute, the margin of appreciation doctrine is applicable. </w:t>
      </w:r>
    </w:p>
    <w:p w14:paraId="6203E9ED" w14:textId="7C80D27F" w:rsidR="00D53541" w:rsidRPr="00F36075" w:rsidRDefault="00D53541" w:rsidP="00D53541">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Cambria"/>
          <w:color w:val="000000"/>
          <w:sz w:val="20"/>
          <w:szCs w:val="20"/>
        </w:rPr>
      </w:pPr>
      <w:r w:rsidRPr="00F36075">
        <w:rPr>
          <w:rFonts w:ascii="Cambria" w:hAnsi="Cambria" w:cs="Cambria"/>
          <w:color w:val="000000"/>
          <w:sz w:val="20"/>
          <w:szCs w:val="20"/>
        </w:rPr>
        <w:t xml:space="preserve">As for the alleged infringement of the right to a fair trial and judicial protection, Peru argues that the fact that the outcome of the proceedings has not been satisfactory for P.E.M.M. does not mean that the remedies available under domestic law were illusory or that there were procedural irregularities. In addition, it reiterates that the alleged victim had another equally satisfactory avenue to assert the right she considers having been violated. </w:t>
      </w:r>
    </w:p>
    <w:p w14:paraId="4B322720" w14:textId="77777777" w:rsidR="00D53541" w:rsidRPr="00F36075" w:rsidRDefault="00D53541" w:rsidP="00D53541">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Cambria"/>
          <w:color w:val="000000"/>
          <w:sz w:val="20"/>
          <w:szCs w:val="20"/>
        </w:rPr>
      </w:pPr>
      <w:r w:rsidRPr="00F36075">
        <w:rPr>
          <w:rFonts w:ascii="Cambria" w:hAnsi="Cambria" w:cs="Cambria"/>
          <w:color w:val="000000"/>
          <w:sz w:val="20"/>
          <w:szCs w:val="20"/>
        </w:rPr>
        <w:t>Finally, the State notes that the petitioners detail to what extent there was a violation of P.E.M.M.’s rights to life, human treatment, and honor; and that there was no violation of the right to equality before the law, since internal rules exist regarding the protection of the rights of trans persons in the electoral and health fields. For the reasons given, Peru requests that the petition be declared inadmissible in accordance with Article 47.b of the American Convention, in that it believes that the petitioners’ aim is for the Commission to act as an appellate court, in contradiction to its complementary nature.</w:t>
      </w:r>
    </w:p>
    <w:p w14:paraId="5E13E465" w14:textId="77777777" w:rsidR="00D53541" w:rsidRPr="00F36075" w:rsidRDefault="00D53541" w:rsidP="00D53541">
      <w:pPr>
        <w:spacing w:before="240" w:after="240"/>
        <w:ind w:firstLine="720"/>
        <w:jc w:val="both"/>
        <w:rPr>
          <w:rFonts w:ascii="Cambria" w:hAnsi="Cambria" w:cs="Cambria"/>
          <w:b/>
          <w:bCs/>
          <w:color w:val="000000"/>
          <w:sz w:val="20"/>
          <w:szCs w:val="20"/>
          <w:u w:color="000000"/>
          <w:lang w:eastAsia="es-ES"/>
        </w:rPr>
      </w:pPr>
    </w:p>
    <w:p w14:paraId="3C2DD481" w14:textId="77777777" w:rsidR="00D53541" w:rsidRPr="00F36075" w:rsidRDefault="00D53541" w:rsidP="00D53541">
      <w:pPr>
        <w:spacing w:before="240" w:after="240"/>
        <w:ind w:firstLine="720"/>
        <w:jc w:val="both"/>
        <w:rPr>
          <w:rFonts w:ascii="Cambria" w:hAnsi="Cambria" w:cs="Cambria"/>
          <w:b/>
          <w:bCs/>
          <w:color w:val="000000"/>
          <w:sz w:val="20"/>
          <w:szCs w:val="20"/>
          <w:u w:color="000000"/>
          <w:lang w:eastAsia="es-ES"/>
        </w:rPr>
      </w:pPr>
    </w:p>
    <w:p w14:paraId="453E1C39" w14:textId="77777777" w:rsidR="00D53541" w:rsidRDefault="00D53541" w:rsidP="00D53541">
      <w:pPr>
        <w:spacing w:before="240" w:after="240"/>
        <w:ind w:firstLine="720"/>
        <w:jc w:val="both"/>
        <w:rPr>
          <w:rFonts w:ascii="Cambria" w:hAnsi="Cambria" w:cs="Cambria"/>
          <w:b/>
          <w:bCs/>
          <w:color w:val="000000"/>
          <w:sz w:val="20"/>
          <w:szCs w:val="20"/>
          <w:u w:color="000000"/>
          <w:lang w:eastAsia="es-ES"/>
        </w:rPr>
      </w:pPr>
      <w:r w:rsidRPr="00F36075">
        <w:rPr>
          <w:rFonts w:ascii="Cambria" w:hAnsi="Cambria" w:cs="Cambria"/>
          <w:b/>
          <w:bCs/>
          <w:color w:val="000000"/>
          <w:sz w:val="20"/>
          <w:szCs w:val="20"/>
          <w:u w:color="000000"/>
          <w:lang w:eastAsia="es-ES"/>
        </w:rPr>
        <w:lastRenderedPageBreak/>
        <w:t>VI.</w:t>
      </w:r>
      <w:r w:rsidRPr="00F36075">
        <w:rPr>
          <w:rFonts w:ascii="Cambria" w:hAnsi="Cambria" w:cs="Cambria"/>
          <w:b/>
          <w:bCs/>
          <w:color w:val="000000"/>
          <w:sz w:val="20"/>
          <w:szCs w:val="20"/>
          <w:u w:color="000000"/>
          <w:lang w:eastAsia="es-ES"/>
        </w:rPr>
        <w:tab/>
        <w:t xml:space="preserve">ANALYSIS OF EXHAUSTION OF DOMESTIC REMEDIES AND TIMELINESS OF THE PETITION </w:t>
      </w:r>
    </w:p>
    <w:p w14:paraId="7ACD9BDB" w14:textId="77777777" w:rsidR="00D53541" w:rsidRPr="004444BE" w:rsidRDefault="00D53541" w:rsidP="00D53541">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000000" w:themeColor="text1"/>
          <w:sz w:val="20"/>
          <w:szCs w:val="20"/>
        </w:rPr>
      </w:pPr>
      <w:r w:rsidRPr="004444BE">
        <w:rPr>
          <w:rFonts w:ascii="Cambria" w:hAnsi="Cambria"/>
          <w:color w:val="000000" w:themeColor="text1"/>
          <w:sz w:val="20"/>
          <w:szCs w:val="20"/>
        </w:rPr>
        <w:t>In the present matter, the Inter-American Commission observes that the alleged victim filed a writ of amparo and, in the face of its denial, presented a constitutional tort, which it´s final decision was issued on March 18, 2014, by the Constitutional Court, through a judgment handed down in the File No. 00139-2013-PA/TC. This judgement was notified on May 12 of that same year. In this regard, the IACHR considers that the alleged victim used a recursive procedure that, in principle, could have had a result that protected the rights that he considered violated, exhausting it until his last instance.</w:t>
      </w:r>
      <w:r w:rsidRPr="004444BE">
        <w:t xml:space="preserve"> </w:t>
      </w:r>
    </w:p>
    <w:p w14:paraId="3CE12901" w14:textId="77777777" w:rsidR="00D53541" w:rsidRPr="004444BE" w:rsidRDefault="00D53541" w:rsidP="00D53541">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000000" w:themeColor="text1"/>
          <w:sz w:val="20"/>
          <w:szCs w:val="20"/>
        </w:rPr>
      </w:pPr>
      <w:r w:rsidRPr="004444BE">
        <w:rPr>
          <w:rFonts w:ascii="Cambria" w:hAnsi="Cambria"/>
          <w:color w:val="000000" w:themeColor="text1"/>
          <w:sz w:val="20"/>
          <w:szCs w:val="20"/>
          <w:lang w:val="en"/>
        </w:rPr>
        <w:t>Likewise, although the State alleges that the alleged victim had civil remedies available to him, the Commission reiterates that the requirement of exhaustion of domestic remedies does not imply that the alleged victims have the obligation to exhaust all possible remedies available to them. In this sense, the IACHR has maintained that if the alleged victim raised the issue through any of the valid and adequate alternatives according to the domestic legal system and the State had the opportunity to remedy the matter in its jurisdiction, the purpose of the international standard is accomplished</w:t>
      </w:r>
      <w:r w:rsidRPr="004444BE">
        <w:rPr>
          <w:rStyle w:val="FootnoteReference"/>
          <w:rFonts w:ascii="Cambria" w:hAnsi="Cambria"/>
          <w:color w:val="000000" w:themeColor="text1"/>
          <w:sz w:val="20"/>
          <w:szCs w:val="20"/>
          <w:lang w:val="en"/>
        </w:rPr>
        <w:footnoteReference w:id="5"/>
      </w:r>
      <w:r w:rsidRPr="004444BE">
        <w:rPr>
          <w:rFonts w:ascii="Cambria" w:hAnsi="Cambria"/>
          <w:color w:val="000000" w:themeColor="text1"/>
          <w:sz w:val="20"/>
          <w:szCs w:val="20"/>
          <w:lang w:val="en"/>
        </w:rPr>
        <w:t xml:space="preserve">. </w:t>
      </w:r>
    </w:p>
    <w:p w14:paraId="24EEDC5D" w14:textId="77777777" w:rsidR="00D53541" w:rsidRPr="004444BE" w:rsidRDefault="00D53541" w:rsidP="00D53541">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000000" w:themeColor="text1"/>
          <w:sz w:val="20"/>
          <w:szCs w:val="20"/>
        </w:rPr>
      </w:pPr>
      <w:r w:rsidRPr="004444BE">
        <w:rPr>
          <w:rFonts w:ascii="Cambria" w:hAnsi="Cambria"/>
          <w:color w:val="000000" w:themeColor="text1"/>
          <w:sz w:val="20"/>
          <w:szCs w:val="20"/>
          <w:lang w:val="en"/>
        </w:rPr>
        <w:t xml:space="preserve">Based on this parameter, the Commission considers that the State's argument regarding the suitability and effectiveness of the ordinary civil remedy is inadmissible; given that </w:t>
      </w:r>
      <w:r w:rsidRPr="004444BE">
        <w:rPr>
          <w:rFonts w:ascii="Cambria" w:hAnsi="Cambria"/>
          <w:color w:val="000000" w:themeColor="text1"/>
          <w:sz w:val="20"/>
          <w:szCs w:val="20"/>
        </w:rPr>
        <w:t>even when the judgments forwarded as annexes by the State show the existence of decisions favorable to claims similar to those of the present case, at the domestic level –except in the second instance of the appeal for amparo– there was no warning of the existence of another proper way to resolve the dispute. In the first decision, it was concluded that, despite the exceptional nature of the amparo appeal, the action proceeded due to the legislative vacuum on the matter under debate. Later, the Constitutional Court directly analyzes the merits of the matter without identifying the existence of another resource and without directing it; correspondingly, the alleged victim to such mechanism. For this reason and given that the alleged victim had already exhausted the amparo and constitutional tort remedies, it would be disproportionate to require him to exhaust other mechanisms provided for at the domestic level.</w:t>
      </w:r>
    </w:p>
    <w:p w14:paraId="7A889CD2" w14:textId="77777777" w:rsidR="00D53541" w:rsidRPr="004444BE" w:rsidRDefault="00D53541" w:rsidP="00D53541">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000000" w:themeColor="text1"/>
          <w:sz w:val="20"/>
          <w:szCs w:val="20"/>
        </w:rPr>
      </w:pPr>
      <w:r w:rsidRPr="004444BE">
        <w:rPr>
          <w:rFonts w:ascii="Cambria" w:hAnsi="Cambria"/>
          <w:color w:val="000000" w:themeColor="text1"/>
          <w:sz w:val="20"/>
          <w:szCs w:val="20"/>
        </w:rPr>
        <w:t>Thus, the IACHR considers that for purposes of admissibility of this report, the petition formally complies with the requirement of exhaustion of domestic remedies provided in Article 46.1.a) of the American Convention. Likewise, regarding the requirement of the filing deadline, established in Article 46.1.b) of that treaty, the Commission observes that the aforementioned decision was notified on May 12, 2014 and the petition presented to the IACHR on November 3 that year, therefore within the period of six months established in said regulation. The State, for its part, has not disputed the exhaustion of domestic remedies.</w:t>
      </w:r>
    </w:p>
    <w:p w14:paraId="65F5179A" w14:textId="77777777" w:rsidR="00D53541" w:rsidRPr="004444BE" w:rsidRDefault="00D53541" w:rsidP="00D53541">
      <w:pPr>
        <w:pStyle w:val="ListParagraph"/>
        <w:spacing w:before="240" w:after="240"/>
        <w:jc w:val="both"/>
        <w:rPr>
          <w:b/>
          <w:bCs/>
          <w:sz w:val="20"/>
          <w:szCs w:val="20"/>
        </w:rPr>
      </w:pPr>
      <w:r w:rsidRPr="004444BE">
        <w:rPr>
          <w:b/>
          <w:bCs/>
          <w:sz w:val="20"/>
          <w:szCs w:val="20"/>
        </w:rPr>
        <w:t>VII.</w:t>
      </w:r>
      <w:r w:rsidRPr="004444BE">
        <w:rPr>
          <w:b/>
          <w:bCs/>
          <w:sz w:val="20"/>
          <w:szCs w:val="20"/>
        </w:rPr>
        <w:tab/>
        <w:t>ANALYSIS OF COLORABLE CLAIM</w:t>
      </w:r>
    </w:p>
    <w:p w14:paraId="06975DC5" w14:textId="77777777" w:rsidR="00D53541" w:rsidRPr="004444BE" w:rsidRDefault="00D53541" w:rsidP="00D53541">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Cambria"/>
          <w:sz w:val="20"/>
          <w:szCs w:val="20"/>
        </w:rPr>
      </w:pPr>
      <w:r w:rsidRPr="004444BE">
        <w:rPr>
          <w:rFonts w:ascii="Cambria" w:hAnsi="Cambria"/>
          <w:sz w:val="20"/>
          <w:szCs w:val="20"/>
        </w:rPr>
        <w:t xml:space="preserve">In the first place, the Commission reiterates that the evaluation criterion of the admissibility phase differs from that used to rule on the merits of a petition. at this stage, the IACHR must carry out a prima facie evaluation to determine whether the petition establishes grounds for the violation, possible or potential, of a right guaranteed by the Convention, but not to establish the existence of its violation. </w:t>
      </w:r>
      <w:r w:rsidRPr="004444BE">
        <w:rPr>
          <w:rFonts w:ascii="Cambria" w:hAnsi="Cambria" w:cs="Cambria"/>
          <w:sz w:val="20"/>
          <w:szCs w:val="20"/>
        </w:rPr>
        <w:t>This determination on the characterization of violations of the American Convention constitutes a primary analysis, which does not imply prejudging the merits of the matter. For purposes of admissibility, the Commission must decide whether the alleged facts may characterize a violation of rights, as stipulated in Article 47.b) of the American Convention or whether the petition is "manifestly unfounded" or is "obviously unfounded". total inadmissibility", according to 47.c) of the American Convention</w:t>
      </w:r>
      <w:r>
        <w:rPr>
          <w:rStyle w:val="FootnoteReference"/>
          <w:rFonts w:ascii="Cambria" w:hAnsi="Cambria" w:cs="Cambria"/>
          <w:sz w:val="20"/>
          <w:szCs w:val="20"/>
        </w:rPr>
        <w:footnoteReference w:id="6"/>
      </w:r>
      <w:r w:rsidRPr="004444BE">
        <w:rPr>
          <w:rFonts w:ascii="Cambria" w:hAnsi="Cambria" w:cs="Cambria"/>
          <w:sz w:val="20"/>
          <w:szCs w:val="20"/>
        </w:rPr>
        <w:t>.</w:t>
      </w:r>
    </w:p>
    <w:p w14:paraId="77F4F47A" w14:textId="77777777" w:rsidR="00D53541" w:rsidRPr="004444BE" w:rsidRDefault="00D53541" w:rsidP="00D53541">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Cambria"/>
          <w:sz w:val="20"/>
          <w:szCs w:val="20"/>
        </w:rPr>
      </w:pPr>
      <w:r w:rsidRPr="004444BE">
        <w:rPr>
          <w:rFonts w:ascii="Cambria" w:hAnsi="Cambria" w:cs="Cambria"/>
          <w:sz w:val="20"/>
          <w:szCs w:val="20"/>
        </w:rPr>
        <w:t xml:space="preserve">The Commission considers it pertinent to recall that neither the American Convention nor the IACHR Rules of Procedure require the petitioner to identify the specific rights allegedly violated by the State in the matter submitted to the Commission, although the petitioners may do so. It is up to the Commission, based </w:t>
      </w:r>
      <w:r w:rsidRPr="004444BE">
        <w:rPr>
          <w:rFonts w:ascii="Cambria" w:hAnsi="Cambria" w:cs="Cambria"/>
          <w:sz w:val="20"/>
          <w:szCs w:val="20"/>
        </w:rPr>
        <w:lastRenderedPageBreak/>
        <w:t>on the case law of the system, to determine in its admissibility reports, which provision of the relevant inter-American instruments is applicable, or its violation could be established, if the alleged facts are proven by means of sufficient elements</w:t>
      </w:r>
      <w:r w:rsidRPr="004444BE">
        <w:rPr>
          <w:rStyle w:val="FootnoteReference"/>
          <w:rFonts w:ascii="Cambria" w:hAnsi="Cambria" w:cs="Cambria"/>
          <w:sz w:val="20"/>
          <w:szCs w:val="20"/>
        </w:rPr>
        <w:footnoteReference w:id="7"/>
      </w:r>
      <w:r w:rsidRPr="004444BE">
        <w:rPr>
          <w:rFonts w:ascii="Cambria" w:hAnsi="Cambria" w:cs="Cambria"/>
          <w:sz w:val="20"/>
          <w:szCs w:val="20"/>
        </w:rPr>
        <w:t>.</w:t>
      </w:r>
    </w:p>
    <w:p w14:paraId="0B53E914" w14:textId="77777777" w:rsidR="00D53541" w:rsidRPr="004444BE" w:rsidRDefault="00D53541" w:rsidP="00D53541">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Cambria"/>
          <w:sz w:val="20"/>
          <w:szCs w:val="20"/>
        </w:rPr>
      </w:pPr>
      <w:r w:rsidRPr="004444BE">
        <w:rPr>
          <w:rFonts w:ascii="Cambria" w:hAnsi="Cambria" w:cs="Cambria"/>
          <w:sz w:val="20"/>
          <w:szCs w:val="20"/>
        </w:rPr>
        <w:t>Based on the facts raised by the petitioning party, and the determination already made in a similar precedent</w:t>
      </w:r>
      <w:r w:rsidRPr="004444BE">
        <w:rPr>
          <w:rStyle w:val="FootnoteReference"/>
          <w:rFonts w:ascii="Cambria" w:hAnsi="Cambria" w:cs="Cambria"/>
          <w:sz w:val="20"/>
          <w:szCs w:val="20"/>
        </w:rPr>
        <w:footnoteReference w:id="8"/>
      </w:r>
      <w:r w:rsidRPr="004444BE">
        <w:rPr>
          <w:rFonts w:ascii="Cambria" w:hAnsi="Cambria" w:cs="Cambria"/>
          <w:sz w:val="20"/>
          <w:szCs w:val="20"/>
        </w:rPr>
        <w:t>, the Commission observes that the petitioning party's allegations are not manifestly unfounded and require an in-depth study, considering the obligations established for the Peruvian State by the American Convention. In this sense, the Commission considers proceeding with the examination of the articles indicated at the end of this decision.</w:t>
      </w:r>
    </w:p>
    <w:p w14:paraId="2D216860" w14:textId="77777777" w:rsidR="00D53541" w:rsidRPr="004444BE" w:rsidRDefault="00D53541" w:rsidP="00D53541">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bCs/>
          <w:sz w:val="20"/>
          <w:szCs w:val="20"/>
        </w:rPr>
      </w:pPr>
      <w:r w:rsidRPr="004444BE">
        <w:rPr>
          <w:rFonts w:ascii="Cambria" w:hAnsi="Cambria"/>
          <w:sz w:val="20"/>
          <w:szCs w:val="20"/>
        </w:rPr>
        <w:t xml:space="preserve">Finally, and with respect to the argument of the “formula of the fourth instance”, the Commission underlines the complementary nature of the inter-American system and emphasizes that, as the Inter-American Court has indicated, in order for a “fourth instance” exception to proceed it would be necessary to “seek to review the ruling of a domestic court due to its incorrect assessment of the evidence, the facts or the domestic law, without, at the same time, alleging that such ruling incurred in a violation of international treaties […]” </w:t>
      </w:r>
      <w:r w:rsidRPr="004444BE">
        <w:rPr>
          <w:rStyle w:val="FootnoteReference"/>
          <w:rFonts w:ascii="Cambria" w:hAnsi="Cambria"/>
          <w:sz w:val="20"/>
          <w:szCs w:val="20"/>
        </w:rPr>
        <w:footnoteReference w:id="9"/>
      </w:r>
      <w:r w:rsidRPr="004444BE">
        <w:rPr>
          <w:rFonts w:ascii="Cambria" w:hAnsi="Cambria"/>
          <w:sz w:val="20"/>
          <w:szCs w:val="20"/>
        </w:rPr>
        <w:t>.  In the present case, the Commission considers that, as the Inter-American Court has indicated, “[it] is responsible for verifying whether or not the steps actually taken at the domestic level violated international obligations of the State derived from the inter-American instruments that grant it competition"</w:t>
      </w:r>
      <w:r w:rsidRPr="004444BE">
        <w:rPr>
          <w:rStyle w:val="FootnoteReference"/>
          <w:rFonts w:ascii="Cambria" w:hAnsi="Cambria"/>
          <w:sz w:val="20"/>
          <w:szCs w:val="20"/>
        </w:rPr>
        <w:footnoteReference w:id="10"/>
      </w:r>
      <w:r w:rsidRPr="004444BE">
        <w:rPr>
          <w:rFonts w:ascii="Cambria" w:hAnsi="Cambria"/>
          <w:sz w:val="20"/>
          <w:szCs w:val="20"/>
        </w:rPr>
        <w:t>. Likewise, it is responsible for examining “whether or not the actions of judicial bodies constitute a violation of the international obligations of the State, [which] may lead to […] examining the respective domestic processes to establish their compatibility with the Convention American”</w:t>
      </w:r>
      <w:r w:rsidRPr="004444BE">
        <w:rPr>
          <w:rStyle w:val="FootnoteReference"/>
          <w:rFonts w:ascii="Cambria" w:hAnsi="Cambria"/>
          <w:sz w:val="20"/>
          <w:szCs w:val="20"/>
        </w:rPr>
        <w:footnoteReference w:id="11"/>
      </w:r>
      <w:r w:rsidRPr="004444BE">
        <w:rPr>
          <w:rFonts w:ascii="Cambria" w:hAnsi="Cambria"/>
          <w:sz w:val="20"/>
          <w:szCs w:val="20"/>
        </w:rPr>
        <w:t>. In this sense, the analysis of whether the State incurred in violations of the American Convention is an issue that must be decided on the merits of this matter.</w:t>
      </w:r>
    </w:p>
    <w:p w14:paraId="75AE08FB" w14:textId="77777777" w:rsidR="00D53541" w:rsidRPr="00F36075" w:rsidRDefault="00D53541" w:rsidP="00D53541">
      <w:pPr>
        <w:pStyle w:val="ListParagraph"/>
        <w:spacing w:before="240" w:after="240"/>
        <w:jc w:val="both"/>
        <w:rPr>
          <w:b/>
          <w:bCs/>
          <w:sz w:val="20"/>
          <w:szCs w:val="20"/>
        </w:rPr>
      </w:pPr>
      <w:r w:rsidRPr="00F36075">
        <w:rPr>
          <w:b/>
          <w:bCs/>
          <w:sz w:val="20"/>
          <w:szCs w:val="20"/>
        </w:rPr>
        <w:t xml:space="preserve">VIII. </w:t>
      </w:r>
      <w:r w:rsidRPr="00F36075">
        <w:rPr>
          <w:b/>
          <w:bCs/>
          <w:sz w:val="20"/>
          <w:szCs w:val="20"/>
        </w:rPr>
        <w:tab/>
        <w:t>DECISION</w:t>
      </w:r>
    </w:p>
    <w:p w14:paraId="309B8AC8" w14:textId="77777777" w:rsidR="00D53541" w:rsidRPr="00F36075" w:rsidRDefault="00D53541" w:rsidP="00D5354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Cambria"/>
          <w:sz w:val="20"/>
          <w:szCs w:val="20"/>
        </w:rPr>
      </w:pPr>
      <w:r w:rsidRPr="00F36075">
        <w:rPr>
          <w:rFonts w:ascii="Cambria" w:hAnsi="Cambria" w:cs="Cambria"/>
          <w:sz w:val="20"/>
          <w:szCs w:val="20"/>
        </w:rPr>
        <w:t>To declare this petition admissible in relation to Articles 3, 5, 8, 11, 24, 25, and 26 of the American Convention; and</w:t>
      </w:r>
    </w:p>
    <w:p w14:paraId="5A27EF66" w14:textId="77777777" w:rsidR="00D53541" w:rsidRDefault="00D53541" w:rsidP="00D5354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Cambria"/>
          <w:sz w:val="20"/>
          <w:szCs w:val="20"/>
        </w:rPr>
      </w:pPr>
      <w:r w:rsidRPr="00F36075">
        <w:rPr>
          <w:rFonts w:ascii="Cambria" w:hAnsi="Cambria" w:cs="Cambria"/>
          <w:sz w:val="20"/>
          <w:szCs w:val="20"/>
        </w:rPr>
        <w:t>To notify the parties of this decision; to continue with the analysis on the merits; and to publish this decision and include it in its Annual Report to the General Assembly of the Organization of American States.</w:t>
      </w:r>
    </w:p>
    <w:p w14:paraId="4918069A" w14:textId="77777777" w:rsidR="00D53541" w:rsidRPr="00F36075" w:rsidRDefault="00D53541" w:rsidP="00D53541">
      <w:pPr>
        <w:suppressAutoHyphens/>
        <w:ind w:firstLine="720"/>
        <w:jc w:val="both"/>
        <w:rPr>
          <w:sz w:val="20"/>
          <w:szCs w:val="20"/>
        </w:rPr>
      </w:pPr>
      <w:r w:rsidRPr="006D25D7">
        <w:rPr>
          <w:rFonts w:ascii="Cambria" w:hAnsi="Cambria"/>
          <w:spacing w:val="-2"/>
          <w:sz w:val="20"/>
        </w:rPr>
        <w:t xml:space="preserve">Approved by the Inter-American Commission on Human Rights on the </w:t>
      </w:r>
      <w:r>
        <w:rPr>
          <w:rFonts w:ascii="Cambria" w:hAnsi="Cambria"/>
          <w:spacing w:val="-2"/>
          <w:sz w:val="20"/>
        </w:rPr>
        <w:t>17</w:t>
      </w:r>
      <w:r w:rsidRPr="00B46649">
        <w:rPr>
          <w:rFonts w:ascii="Cambria" w:hAnsi="Cambria"/>
          <w:spacing w:val="-2"/>
          <w:sz w:val="20"/>
          <w:vertAlign w:val="superscript"/>
        </w:rPr>
        <w:t>th</w:t>
      </w:r>
      <w:r>
        <w:rPr>
          <w:rFonts w:ascii="Cambria" w:hAnsi="Cambria"/>
          <w:spacing w:val="-2"/>
          <w:sz w:val="20"/>
        </w:rPr>
        <w:t xml:space="preserve"> </w:t>
      </w:r>
      <w:r w:rsidRPr="006D25D7">
        <w:rPr>
          <w:rFonts w:ascii="Cambria" w:hAnsi="Cambria"/>
          <w:spacing w:val="-2"/>
          <w:sz w:val="20"/>
        </w:rPr>
        <w:t>d</w:t>
      </w:r>
      <w:r>
        <w:rPr>
          <w:rFonts w:ascii="Cambria" w:hAnsi="Cambria"/>
          <w:spacing w:val="-2"/>
          <w:sz w:val="20"/>
        </w:rPr>
        <w:t>ay of the month of December, 2022</w:t>
      </w:r>
      <w:r w:rsidRPr="006D25D7">
        <w:rPr>
          <w:rFonts w:ascii="Cambria" w:hAnsi="Cambria"/>
          <w:spacing w:val="-2"/>
          <w:sz w:val="20"/>
        </w:rPr>
        <w:t xml:space="preserve">. </w:t>
      </w:r>
      <w:r>
        <w:rPr>
          <w:rFonts w:ascii="Cambria" w:hAnsi="Cambria"/>
          <w:spacing w:val="-2"/>
          <w:sz w:val="20"/>
        </w:rPr>
        <w:t xml:space="preserve"> </w:t>
      </w:r>
      <w:r w:rsidRPr="00CA3324">
        <w:rPr>
          <w:rFonts w:ascii="Cambria" w:hAnsi="Cambria"/>
          <w:spacing w:val="-2"/>
          <w:sz w:val="20"/>
        </w:rPr>
        <w:t xml:space="preserve">(Signed:) </w:t>
      </w:r>
      <w:r w:rsidRPr="00CA3324">
        <w:rPr>
          <w:rStyle w:val="normaltextrun"/>
          <w:rFonts w:ascii="Cambria" w:hAnsi="Cambria" w:cs="Segoe UI"/>
          <w:sz w:val="20"/>
          <w:szCs w:val="20"/>
        </w:rPr>
        <w:t>Stuardo Ralón Orellana</w:t>
      </w:r>
      <w:r>
        <w:rPr>
          <w:rStyle w:val="normaltextrun"/>
          <w:rFonts w:ascii="Cambria" w:hAnsi="Cambria" w:cs="Segoe UI"/>
          <w:sz w:val="20"/>
          <w:szCs w:val="20"/>
        </w:rPr>
        <w:t xml:space="preserve"> (dissident vote)</w:t>
      </w:r>
      <w:r w:rsidRPr="00CA3324">
        <w:rPr>
          <w:rStyle w:val="normaltextrun"/>
          <w:rFonts w:ascii="Cambria" w:hAnsi="Cambria" w:cs="Segoe UI"/>
          <w:sz w:val="20"/>
          <w:szCs w:val="20"/>
        </w:rPr>
        <w:t xml:space="preserve">, Vice </w:t>
      </w:r>
      <w:r>
        <w:rPr>
          <w:rStyle w:val="normaltextrun"/>
          <w:rFonts w:ascii="Cambria" w:hAnsi="Cambria" w:cs="Segoe UI"/>
          <w:sz w:val="20"/>
          <w:szCs w:val="20"/>
        </w:rPr>
        <w:t>Pr</w:t>
      </w:r>
      <w:r w:rsidRPr="00CA3324">
        <w:rPr>
          <w:rStyle w:val="normaltextrun"/>
          <w:rFonts w:ascii="Cambria" w:hAnsi="Cambria" w:cs="Segoe UI"/>
          <w:sz w:val="20"/>
          <w:szCs w:val="20"/>
        </w:rPr>
        <w:t>esident; Margarette May Macaulay, Se</w:t>
      </w:r>
      <w:r>
        <w:rPr>
          <w:rStyle w:val="normaltextrun"/>
          <w:rFonts w:ascii="Cambria" w:hAnsi="Cambria" w:cs="Segoe UI"/>
          <w:sz w:val="20"/>
          <w:szCs w:val="20"/>
        </w:rPr>
        <w:t>cond</w:t>
      </w:r>
      <w:r w:rsidRPr="00CA3324">
        <w:rPr>
          <w:rStyle w:val="normaltextrun"/>
          <w:rFonts w:ascii="Cambria" w:hAnsi="Cambria" w:cs="Segoe UI"/>
          <w:sz w:val="20"/>
          <w:szCs w:val="20"/>
        </w:rPr>
        <w:t xml:space="preserve"> Vice</w:t>
      </w:r>
      <w:r>
        <w:rPr>
          <w:rStyle w:val="normaltextrun"/>
          <w:rFonts w:ascii="Cambria" w:hAnsi="Cambria" w:cs="Segoe UI"/>
          <w:sz w:val="20"/>
          <w:szCs w:val="20"/>
        </w:rPr>
        <w:t xml:space="preserve"> P</w:t>
      </w:r>
      <w:r w:rsidRPr="00CA3324">
        <w:rPr>
          <w:rStyle w:val="normaltextrun"/>
          <w:rFonts w:ascii="Cambria" w:hAnsi="Cambria" w:cs="Segoe UI"/>
          <w:sz w:val="20"/>
          <w:szCs w:val="20"/>
        </w:rPr>
        <w:t xml:space="preserve">resident; Esmerald Arosemena de Troitiño, Joel Hernández, Roberta Clarke </w:t>
      </w:r>
      <w:r>
        <w:rPr>
          <w:rStyle w:val="normaltextrun"/>
          <w:rFonts w:ascii="Cambria" w:hAnsi="Cambria" w:cs="Segoe UI"/>
          <w:sz w:val="20"/>
          <w:szCs w:val="20"/>
        </w:rPr>
        <w:t xml:space="preserve">and </w:t>
      </w:r>
      <w:r w:rsidRPr="00CA3324">
        <w:rPr>
          <w:rStyle w:val="normaltextrun"/>
          <w:rFonts w:ascii="Cambria" w:hAnsi="Cambria" w:cs="Segoe UI"/>
          <w:sz w:val="20"/>
          <w:szCs w:val="20"/>
        </w:rPr>
        <w:t>Carlos Bernal, Commissioners</w:t>
      </w:r>
      <w:r>
        <w:rPr>
          <w:rStyle w:val="normaltextrun"/>
          <w:rFonts w:ascii="Cambria" w:hAnsi="Cambria" w:cs="Segoe UI"/>
          <w:sz w:val="20"/>
          <w:szCs w:val="20"/>
        </w:rPr>
        <w:t>.</w:t>
      </w:r>
    </w:p>
    <w:p w14:paraId="39C22706" w14:textId="77777777" w:rsidR="00D53541" w:rsidRPr="00F36075" w:rsidRDefault="00D53541" w:rsidP="00D53541">
      <w:pPr>
        <w:tabs>
          <w:tab w:val="center" w:pos="5400"/>
        </w:tabs>
        <w:suppressAutoHyphens/>
        <w:spacing w:line="276" w:lineRule="auto"/>
        <w:rPr>
          <w:rFonts w:ascii="Cambria" w:hAnsi="Cambria" w:cs="Cambria"/>
          <w:sz w:val="20"/>
          <w:szCs w:val="20"/>
        </w:rPr>
      </w:pPr>
    </w:p>
    <w:p w14:paraId="27224669" w14:textId="77777777" w:rsidR="00C813A0" w:rsidRPr="00CB26E5" w:rsidRDefault="00C813A0" w:rsidP="00D53541">
      <w:pPr>
        <w:spacing w:after="240"/>
        <w:jc w:val="both"/>
        <w:rPr>
          <w:rFonts w:ascii="Cambria" w:hAnsi="Cambria"/>
          <w:sz w:val="20"/>
          <w:szCs w:val="20"/>
        </w:rPr>
      </w:pPr>
    </w:p>
    <w:sectPr w:rsidR="00C813A0" w:rsidRPr="00CB26E5" w:rsidSect="00934A2C">
      <w:headerReference w:type="default" r:id="rId14"/>
      <w:footerReference w:type="default" r:id="rId15"/>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376DF" w14:textId="77777777" w:rsidR="00414DA2" w:rsidRDefault="00414DA2" w:rsidP="00E10040">
      <w:r>
        <w:separator/>
      </w:r>
    </w:p>
  </w:endnote>
  <w:endnote w:type="continuationSeparator" w:id="0">
    <w:p w14:paraId="0D50A039" w14:textId="77777777" w:rsidR="00414DA2" w:rsidRDefault="00414DA2" w:rsidP="00E1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45EDF4A5" w14:textId="77777777" w:rsidR="00E10040" w:rsidRPr="00934A2C" w:rsidRDefault="00E10040">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sdtContent>
  </w:sdt>
  <w:p w14:paraId="54CF4771" w14:textId="77777777" w:rsidR="00E10040" w:rsidRDefault="00E100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A740D" w14:textId="77777777" w:rsidR="00E10040" w:rsidRPr="00934A2C" w:rsidRDefault="00E10040">
    <w:pPr>
      <w:pStyle w:val="Footer"/>
      <w:jc w:val="center"/>
      <w:rPr>
        <w:sz w:val="16"/>
        <w:szCs w:val="22"/>
      </w:rPr>
    </w:pPr>
  </w:p>
  <w:p w14:paraId="6CF30CE2" w14:textId="77777777" w:rsidR="00E10040" w:rsidRDefault="00E100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B2315" w14:textId="77777777" w:rsidR="00A14EB8" w:rsidRPr="004C0C1B" w:rsidRDefault="00302C43">
    <w:pPr>
      <w:pStyle w:val="Footer"/>
      <w:jc w:val="center"/>
      <w:rPr>
        <w:noProof/>
        <w:sz w:val="16"/>
        <w:szCs w:val="16"/>
      </w:rPr>
    </w:pPr>
    <w:r w:rsidRPr="004C0C1B">
      <w:rPr>
        <w:noProof/>
        <w:sz w:val="16"/>
        <w:szCs w:val="16"/>
      </w:rPr>
      <w:fldChar w:fldCharType="begin"/>
    </w:r>
    <w:r w:rsidRPr="004C0C1B">
      <w:rPr>
        <w:noProof/>
        <w:sz w:val="16"/>
        <w:szCs w:val="16"/>
      </w:rPr>
      <w:instrText xml:space="preserve"> PAGE   \* MERGEFORMAT </w:instrText>
    </w:r>
    <w:r w:rsidRPr="004C0C1B">
      <w:rPr>
        <w:noProof/>
        <w:sz w:val="16"/>
        <w:szCs w:val="16"/>
      </w:rPr>
      <w:fldChar w:fldCharType="separate"/>
    </w:r>
    <w:r>
      <w:rPr>
        <w:noProof/>
        <w:sz w:val="16"/>
        <w:szCs w:val="16"/>
      </w:rPr>
      <w:t>5</w:t>
    </w:r>
    <w:r w:rsidRPr="004C0C1B">
      <w:rPr>
        <w:noProof/>
        <w:sz w:val="16"/>
        <w:szCs w:val="16"/>
      </w:rPr>
      <w:fldChar w:fldCharType="end"/>
    </w:r>
  </w:p>
  <w:p w14:paraId="61BDBE7C" w14:textId="77777777" w:rsidR="00A14EB8" w:rsidRPr="004C0C1B" w:rsidRDefault="00302C43">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727CD" w14:textId="77777777" w:rsidR="00414DA2" w:rsidRDefault="00414DA2" w:rsidP="00E10040">
      <w:r>
        <w:separator/>
      </w:r>
    </w:p>
  </w:footnote>
  <w:footnote w:type="continuationSeparator" w:id="0">
    <w:p w14:paraId="1CC66427" w14:textId="77777777" w:rsidR="00414DA2" w:rsidRDefault="00414DA2" w:rsidP="00E10040">
      <w:r>
        <w:continuationSeparator/>
      </w:r>
    </w:p>
  </w:footnote>
  <w:footnote w:id="1">
    <w:p w14:paraId="5E0ECCF0" w14:textId="77777777" w:rsidR="00D53541" w:rsidRDefault="00D53541" w:rsidP="00D53541">
      <w:pPr>
        <w:pStyle w:val="FootnoteText"/>
        <w:tabs>
          <w:tab w:val="left" w:pos="720"/>
        </w:tabs>
        <w:ind w:firstLine="360"/>
        <w:jc w:val="both"/>
        <w:rPr>
          <w:rFonts w:cs="Times New Roman"/>
        </w:rPr>
      </w:pPr>
      <w:r w:rsidRPr="00F36075">
        <w:rPr>
          <w:rStyle w:val="FootnoteReference"/>
          <w:rFonts w:ascii="Cambria" w:hAnsi="Cambria" w:cs="Cambria"/>
          <w:sz w:val="16"/>
          <w:szCs w:val="16"/>
        </w:rPr>
        <w:footnoteRef/>
      </w:r>
      <w:r w:rsidRPr="00F36075">
        <w:rPr>
          <w:rFonts w:ascii="Cambria" w:hAnsi="Cambria" w:cs="Cambria"/>
          <w:sz w:val="16"/>
          <w:szCs w:val="16"/>
        </w:rPr>
        <w:t xml:space="preserve"> </w:t>
      </w:r>
      <w:r w:rsidRPr="00F36075">
        <w:rPr>
          <w:rFonts w:ascii="Cambria" w:hAnsi="Cambria" w:cs="Cambria"/>
          <w:sz w:val="16"/>
          <w:szCs w:val="16"/>
        </w:rPr>
        <w:tab/>
        <w:t>In keeping with Article 17.2.a of the Commission’s Rules of Procedure, Commissioner Julissa Mantilla Falcón, a Peruvian national, did not participate in the debate or decision on this case.</w:t>
      </w:r>
    </w:p>
  </w:footnote>
  <w:footnote w:id="2">
    <w:p w14:paraId="78D90E24" w14:textId="77777777" w:rsidR="00D53541" w:rsidRDefault="00D53541" w:rsidP="00D53541">
      <w:pPr>
        <w:pStyle w:val="FootnoteText"/>
        <w:tabs>
          <w:tab w:val="left" w:pos="720"/>
        </w:tabs>
        <w:ind w:firstLine="360"/>
        <w:jc w:val="both"/>
        <w:rPr>
          <w:rFonts w:cs="Times New Roman"/>
        </w:rPr>
      </w:pPr>
      <w:r w:rsidRPr="00F36075">
        <w:rPr>
          <w:rStyle w:val="FootnoteReference"/>
          <w:rFonts w:ascii="Cambria" w:hAnsi="Cambria" w:cs="Cambria"/>
          <w:sz w:val="16"/>
          <w:szCs w:val="16"/>
        </w:rPr>
        <w:footnoteRef/>
      </w:r>
      <w:r w:rsidRPr="00F36075">
        <w:rPr>
          <w:rFonts w:ascii="Cambria" w:hAnsi="Cambria" w:cs="Cambria"/>
          <w:sz w:val="16"/>
          <w:szCs w:val="16"/>
        </w:rPr>
        <w:t xml:space="preserve"> </w:t>
      </w:r>
      <w:r w:rsidRPr="00F36075">
        <w:rPr>
          <w:rFonts w:ascii="Cambria" w:hAnsi="Cambria" w:cs="Cambria"/>
          <w:sz w:val="16"/>
          <w:szCs w:val="16"/>
        </w:rPr>
        <w:tab/>
        <w:t>Hereinafter “the Convention” or “the American Convention.”</w:t>
      </w:r>
    </w:p>
  </w:footnote>
  <w:footnote w:id="3">
    <w:p w14:paraId="3A007E0E" w14:textId="77777777" w:rsidR="00D53541" w:rsidRDefault="00D53541" w:rsidP="00D53541">
      <w:pPr>
        <w:pStyle w:val="FootnoteText"/>
        <w:tabs>
          <w:tab w:val="left" w:pos="720"/>
        </w:tabs>
        <w:ind w:firstLine="360"/>
        <w:jc w:val="both"/>
        <w:rPr>
          <w:rFonts w:cs="Times New Roman"/>
        </w:rPr>
      </w:pPr>
      <w:r w:rsidRPr="00F36075">
        <w:rPr>
          <w:rStyle w:val="FootnoteReference"/>
          <w:rFonts w:ascii="Cambria" w:hAnsi="Cambria" w:cs="Cambria"/>
          <w:sz w:val="16"/>
          <w:szCs w:val="16"/>
        </w:rPr>
        <w:footnoteRef/>
      </w:r>
      <w:r w:rsidRPr="00F36075">
        <w:rPr>
          <w:rFonts w:ascii="Cambria" w:hAnsi="Cambria" w:cs="Cambria"/>
          <w:sz w:val="16"/>
          <w:szCs w:val="16"/>
        </w:rPr>
        <w:t xml:space="preserve"> </w:t>
      </w:r>
      <w:r w:rsidRPr="00F36075">
        <w:rPr>
          <w:rFonts w:ascii="Cambria" w:hAnsi="Cambria" w:cs="Cambria"/>
          <w:sz w:val="16"/>
          <w:szCs w:val="16"/>
        </w:rPr>
        <w:tab/>
        <w:t>The observations submitted by each party were duly transmitted to the opposing party.</w:t>
      </w:r>
    </w:p>
  </w:footnote>
  <w:footnote w:id="4">
    <w:p w14:paraId="3FF0A60B" w14:textId="77777777" w:rsidR="00D53541" w:rsidRDefault="00D53541" w:rsidP="00D53541">
      <w:pPr>
        <w:pStyle w:val="Default"/>
        <w:tabs>
          <w:tab w:val="left" w:pos="720"/>
        </w:tabs>
        <w:ind w:firstLine="360"/>
        <w:jc w:val="both"/>
      </w:pPr>
      <w:r w:rsidRPr="00F36075">
        <w:rPr>
          <w:rStyle w:val="FootnoteReference"/>
          <w:rFonts w:ascii="Cambria" w:hAnsi="Cambria" w:cs="Cambria"/>
          <w:sz w:val="16"/>
          <w:szCs w:val="16"/>
        </w:rPr>
        <w:footnoteRef/>
      </w:r>
      <w:r w:rsidRPr="00F36075">
        <w:rPr>
          <w:rFonts w:ascii="Cambria" w:hAnsi="Cambria" w:cs="Cambria"/>
          <w:sz w:val="16"/>
          <w:szCs w:val="16"/>
        </w:rPr>
        <w:t xml:space="preserve"> </w:t>
      </w:r>
      <w:r w:rsidRPr="00F36075">
        <w:rPr>
          <w:rFonts w:ascii="Cambria" w:hAnsi="Cambria" w:cs="Cambria"/>
          <w:sz w:val="16"/>
          <w:szCs w:val="16"/>
        </w:rPr>
        <w:tab/>
        <w:t xml:space="preserve">Code of Constitutional Procedure. </w:t>
      </w:r>
      <w:r>
        <w:rPr>
          <w:rFonts w:ascii="Cambria" w:hAnsi="Cambria" w:cs="Cambria"/>
          <w:sz w:val="16"/>
          <w:szCs w:val="16"/>
        </w:rPr>
        <w:t>“</w:t>
      </w:r>
      <w:r w:rsidRPr="00F36075">
        <w:rPr>
          <w:rFonts w:ascii="Cambria" w:hAnsi="Cambria" w:cs="Cambria"/>
          <w:sz w:val="16"/>
          <w:szCs w:val="16"/>
        </w:rPr>
        <w:t>Article 5. Grounds for inadmissibility. Constitutional proceedings shall be inadmissible when: […] 2. There are specific, equally satisfactory procedural avenues for the protection of the threatened or violated constitutional right, except in the cas</w:t>
      </w:r>
      <w:r>
        <w:rPr>
          <w:rFonts w:ascii="Cambria" w:hAnsi="Cambria" w:cs="Cambria"/>
          <w:sz w:val="16"/>
          <w:szCs w:val="16"/>
        </w:rPr>
        <w:t>e of habeas corpus proceedings.”</w:t>
      </w:r>
    </w:p>
  </w:footnote>
  <w:footnote w:id="5">
    <w:p w14:paraId="0E1ECE5D" w14:textId="77777777" w:rsidR="00D53541" w:rsidRPr="00D53541" w:rsidRDefault="00D53541" w:rsidP="00D53541">
      <w:pPr>
        <w:pStyle w:val="FootnoteText"/>
        <w:ind w:firstLine="720"/>
        <w:jc w:val="both"/>
        <w:rPr>
          <w:rFonts w:ascii="Cambria" w:hAnsi="Cambria"/>
          <w:sz w:val="16"/>
          <w:szCs w:val="16"/>
        </w:rPr>
      </w:pPr>
      <w:r w:rsidRPr="00D53541">
        <w:rPr>
          <w:rStyle w:val="FootnoteReference"/>
          <w:rFonts w:ascii="Cambria" w:hAnsi="Cambria"/>
          <w:sz w:val="16"/>
          <w:szCs w:val="16"/>
        </w:rPr>
        <w:footnoteRef/>
      </w:r>
      <w:r w:rsidRPr="00D53541">
        <w:rPr>
          <w:rFonts w:ascii="Cambria" w:hAnsi="Cambria"/>
          <w:sz w:val="16"/>
          <w:szCs w:val="16"/>
        </w:rPr>
        <w:t xml:space="preserve"> IACHR. Report 70/04, Petition 667-01, Admissibility, Jesús Manuel Naranjo Cárdenas y otros, Jubilados de la empresa venezolana de aviación VIASA. Venezuela, October 15, 2004, para 52.</w:t>
      </w:r>
    </w:p>
  </w:footnote>
  <w:footnote w:id="6">
    <w:p w14:paraId="4EDF7B82" w14:textId="77777777" w:rsidR="00D53541" w:rsidRDefault="00D53541" w:rsidP="0069173C">
      <w:pPr>
        <w:pStyle w:val="FootnoteText"/>
        <w:ind w:firstLine="720"/>
        <w:jc w:val="both"/>
      </w:pPr>
      <w:r w:rsidRPr="00D53541">
        <w:rPr>
          <w:rStyle w:val="FootnoteReference"/>
          <w:rFonts w:ascii="Cambria" w:hAnsi="Cambria"/>
          <w:sz w:val="16"/>
          <w:szCs w:val="16"/>
        </w:rPr>
        <w:footnoteRef/>
      </w:r>
      <w:r w:rsidRPr="00D53541">
        <w:rPr>
          <w:rFonts w:ascii="Cambria" w:hAnsi="Cambria"/>
          <w:sz w:val="16"/>
          <w:szCs w:val="16"/>
        </w:rPr>
        <w:t xml:space="preserve"> IACHR, Report No. 69/08, Petition 681-00. Admissibility. </w:t>
      </w:r>
      <w:r w:rsidRPr="00D53541">
        <w:rPr>
          <w:rFonts w:ascii="Cambria" w:hAnsi="Cambria"/>
          <w:sz w:val="16"/>
          <w:szCs w:val="16"/>
          <w:lang w:val="es-US"/>
        </w:rPr>
        <w:t xml:space="preserve">Guillermo Patricio Lynn. Argentina. October 16, 2008, para. </w:t>
      </w:r>
      <w:r w:rsidRPr="00D53541">
        <w:rPr>
          <w:rFonts w:ascii="Cambria" w:hAnsi="Cambria"/>
          <w:sz w:val="16"/>
          <w:szCs w:val="16"/>
        </w:rPr>
        <w:t>48</w:t>
      </w:r>
    </w:p>
  </w:footnote>
  <w:footnote w:id="7">
    <w:p w14:paraId="6E920D21" w14:textId="77777777" w:rsidR="00D53541" w:rsidRPr="00D53541" w:rsidRDefault="00D53541" w:rsidP="00D53541">
      <w:pPr>
        <w:pStyle w:val="FootnoteText"/>
        <w:ind w:firstLine="360"/>
        <w:jc w:val="both"/>
        <w:rPr>
          <w:rFonts w:ascii="Cambria" w:hAnsi="Cambria"/>
          <w:sz w:val="16"/>
          <w:szCs w:val="16"/>
        </w:rPr>
      </w:pPr>
      <w:r w:rsidRPr="0069173C">
        <w:rPr>
          <w:rStyle w:val="FootnoteReference"/>
          <w:rFonts w:ascii="Cambria" w:hAnsi="Cambria"/>
          <w:sz w:val="16"/>
          <w:szCs w:val="16"/>
        </w:rPr>
        <w:footnoteRef/>
      </w:r>
      <w:r w:rsidRPr="0069173C">
        <w:rPr>
          <w:rFonts w:ascii="Cambria" w:hAnsi="Cambria"/>
          <w:sz w:val="16"/>
          <w:szCs w:val="16"/>
          <w:vertAlign w:val="superscript"/>
        </w:rPr>
        <w:t xml:space="preserve"> </w:t>
      </w:r>
      <w:r w:rsidRPr="00D53541">
        <w:rPr>
          <w:rFonts w:ascii="Cambria" w:hAnsi="Cambria"/>
          <w:sz w:val="16"/>
          <w:szCs w:val="16"/>
        </w:rPr>
        <w:tab/>
        <w:t>This is a criterion widely reiterated by the Commission, see, among others: IACHR, Report 7/12, Petition 609-98, Admissibility. Guillermo Armando Capo. Argentina. March 19, 2012, para. 26.</w:t>
      </w:r>
    </w:p>
  </w:footnote>
  <w:footnote w:id="8">
    <w:p w14:paraId="740EA232" w14:textId="77777777" w:rsidR="00D53541" w:rsidRPr="00D53541" w:rsidRDefault="00D53541" w:rsidP="00D53541">
      <w:pPr>
        <w:pStyle w:val="FootnoteText"/>
        <w:ind w:firstLine="360"/>
        <w:jc w:val="both"/>
        <w:rPr>
          <w:rFonts w:ascii="Cambria" w:hAnsi="Cambria"/>
          <w:sz w:val="16"/>
          <w:szCs w:val="16"/>
        </w:rPr>
      </w:pPr>
      <w:r w:rsidRPr="0069173C">
        <w:rPr>
          <w:rFonts w:ascii="Cambria" w:hAnsi="Cambria"/>
          <w:sz w:val="16"/>
          <w:szCs w:val="16"/>
          <w:vertAlign w:val="superscript"/>
        </w:rPr>
        <w:footnoteRef/>
      </w:r>
      <w:r w:rsidRPr="0069173C">
        <w:rPr>
          <w:rFonts w:ascii="Cambria" w:hAnsi="Cambria"/>
          <w:sz w:val="16"/>
          <w:szCs w:val="16"/>
          <w:vertAlign w:val="superscript"/>
        </w:rPr>
        <w:t xml:space="preserve"> </w:t>
      </w:r>
      <w:r w:rsidRPr="00D53541">
        <w:rPr>
          <w:rFonts w:ascii="Cambria" w:hAnsi="Cambria"/>
          <w:sz w:val="16"/>
          <w:szCs w:val="16"/>
        </w:rPr>
        <w:tab/>
        <w:t>IACHR, Report 57/18, Petition 969-07, Admissibility. Karen Manuca Quiroz Cabanillas. Peru. May 5, 2018, para. fifteen. Inter-American Court. Case of Cabrera García and Montiel Flores v. Mexico. Preliminary Objection, Merits, Reparations and Costs. Judgment of November 26, 2010. Series C No. 220, para. 18.</w:t>
      </w:r>
    </w:p>
  </w:footnote>
  <w:footnote w:id="9">
    <w:p w14:paraId="70715810" w14:textId="77777777" w:rsidR="00D53541" w:rsidRPr="00D53541" w:rsidRDefault="00D53541" w:rsidP="00D53541">
      <w:pPr>
        <w:pStyle w:val="FootnoteText"/>
        <w:ind w:firstLine="360"/>
        <w:jc w:val="both"/>
        <w:rPr>
          <w:rFonts w:ascii="Cambria" w:hAnsi="Cambria"/>
          <w:sz w:val="16"/>
          <w:szCs w:val="16"/>
        </w:rPr>
      </w:pPr>
      <w:r w:rsidRPr="0069173C">
        <w:rPr>
          <w:rStyle w:val="FootnoteReference"/>
          <w:rFonts w:ascii="Cambria" w:hAnsi="Cambria"/>
          <w:sz w:val="16"/>
          <w:szCs w:val="16"/>
        </w:rPr>
        <w:footnoteRef/>
      </w:r>
      <w:r w:rsidRPr="0069173C">
        <w:rPr>
          <w:rFonts w:ascii="Cambria" w:hAnsi="Cambria"/>
          <w:sz w:val="16"/>
          <w:szCs w:val="16"/>
          <w:vertAlign w:val="superscript"/>
        </w:rPr>
        <w:t xml:space="preserve"> </w:t>
      </w:r>
      <w:r w:rsidRPr="00D53541">
        <w:rPr>
          <w:rFonts w:ascii="Cambria" w:hAnsi="Cambria"/>
          <w:sz w:val="16"/>
          <w:szCs w:val="16"/>
        </w:rPr>
        <w:tab/>
        <w:t>Inter-American Court. Case of Cabrera García and Montiel Flores v. Mexico. Preliminary Objection, Merits, Reparations and Costs. Judgment of November 26, 2010. Series C No. 220, para. 18.</w:t>
      </w:r>
    </w:p>
  </w:footnote>
  <w:footnote w:id="10">
    <w:p w14:paraId="474C606A" w14:textId="77777777" w:rsidR="00D53541" w:rsidRPr="00D53541" w:rsidRDefault="00D53541" w:rsidP="00D53541">
      <w:pPr>
        <w:pStyle w:val="FootnoteText"/>
        <w:ind w:firstLine="360"/>
        <w:rPr>
          <w:rFonts w:ascii="Cambria" w:hAnsi="Cambria"/>
          <w:sz w:val="16"/>
          <w:szCs w:val="16"/>
        </w:rPr>
      </w:pPr>
      <w:r w:rsidRPr="0069173C">
        <w:rPr>
          <w:rStyle w:val="FootnoteReference"/>
          <w:rFonts w:ascii="Cambria" w:hAnsi="Cambria"/>
          <w:sz w:val="16"/>
          <w:szCs w:val="16"/>
        </w:rPr>
        <w:footnoteRef/>
      </w:r>
      <w:r w:rsidRPr="0069173C">
        <w:rPr>
          <w:rFonts w:ascii="Cambria" w:hAnsi="Cambria"/>
          <w:sz w:val="16"/>
          <w:szCs w:val="16"/>
          <w:vertAlign w:val="superscript"/>
        </w:rPr>
        <w:t xml:space="preserve"> </w:t>
      </w:r>
      <w:r w:rsidRPr="00D53541">
        <w:rPr>
          <w:rFonts w:ascii="Cambria" w:hAnsi="Cambria"/>
          <w:sz w:val="16"/>
          <w:szCs w:val="16"/>
        </w:rPr>
        <w:tab/>
        <w:t>Inter-American Court. Case of Cabrera García and Montiel Flores v. Mexico. Preliminary Objection, Merits, Reparations and Costs. Judgment of November 26, 2010. Series C No. 220, para. 19.</w:t>
      </w:r>
    </w:p>
  </w:footnote>
  <w:footnote w:id="11">
    <w:p w14:paraId="581B8D0F" w14:textId="77777777" w:rsidR="00D53541" w:rsidRPr="00EF3544" w:rsidRDefault="00D53541" w:rsidP="00D53541">
      <w:pPr>
        <w:pStyle w:val="FootnoteText"/>
        <w:ind w:firstLine="360"/>
        <w:jc w:val="both"/>
        <w:rPr>
          <w:rFonts w:asciiTheme="majorHAnsi" w:hAnsiTheme="majorHAnsi"/>
          <w:sz w:val="16"/>
          <w:szCs w:val="16"/>
          <w:lang w:val="es-ES"/>
        </w:rPr>
      </w:pPr>
      <w:r w:rsidRPr="0069173C">
        <w:rPr>
          <w:rStyle w:val="FootnoteReference"/>
          <w:rFonts w:ascii="Cambria" w:hAnsi="Cambria"/>
          <w:sz w:val="16"/>
          <w:szCs w:val="16"/>
        </w:rPr>
        <w:footnoteRef/>
      </w:r>
      <w:r w:rsidRPr="0069173C">
        <w:rPr>
          <w:rFonts w:ascii="Cambria" w:hAnsi="Cambria"/>
          <w:sz w:val="16"/>
          <w:szCs w:val="16"/>
          <w:vertAlign w:val="superscript"/>
        </w:rPr>
        <w:t xml:space="preserve"> </w:t>
      </w:r>
      <w:r w:rsidRPr="00D53541">
        <w:rPr>
          <w:rFonts w:ascii="Cambria" w:hAnsi="Cambria"/>
          <w:sz w:val="16"/>
          <w:szCs w:val="16"/>
        </w:rPr>
        <w:tab/>
        <w:t xml:space="preserve">Inter-American Court. </w:t>
      </w:r>
      <w:r w:rsidRPr="00D53541">
        <w:rPr>
          <w:rFonts w:ascii="Cambria" w:hAnsi="Cambria"/>
          <w:sz w:val="16"/>
          <w:szCs w:val="16"/>
          <w:lang w:val="es-US"/>
        </w:rPr>
        <w:t xml:space="preserve">Case of Palma Mendoza et al. v. Ecuador. </w:t>
      </w:r>
      <w:r w:rsidRPr="00D53541">
        <w:rPr>
          <w:rFonts w:ascii="Cambria" w:hAnsi="Cambria"/>
          <w:sz w:val="16"/>
          <w:szCs w:val="16"/>
        </w:rPr>
        <w:t>Preliminary Objection and Background. Judgment of September 3, 2012. Series C No. 247, para. 18; Inter-American Court. Case of Rosadio Villavicencio v. Peru. Preliminary Objections, Merits, Reparations and Costs. Judgment of October 14, 2019. Series C No. 388., para. 24; Inter-American Court. Case of Cabrera García and Montiel Flores v. Mexico. Preliminary Objection, Merits, Reparations and Costs. Judgment of November 26, 2010. Series C No. 220, para. 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E5F38" w14:textId="77777777" w:rsidR="00E10040" w:rsidRDefault="00E10040"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157AA7C" w14:textId="77777777" w:rsidR="00E10040" w:rsidRDefault="00E100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498E8" w14:textId="77777777" w:rsidR="00E10040" w:rsidRDefault="00E10040" w:rsidP="00A50FCF">
    <w:pPr>
      <w:pStyle w:val="Header"/>
      <w:tabs>
        <w:tab w:val="clear" w:pos="4320"/>
        <w:tab w:val="clear" w:pos="8640"/>
      </w:tabs>
      <w:jc w:val="center"/>
      <w:rPr>
        <w:sz w:val="22"/>
        <w:szCs w:val="22"/>
      </w:rPr>
    </w:pPr>
    <w:r>
      <w:rPr>
        <w:noProof/>
        <w:sz w:val="22"/>
        <w:szCs w:val="22"/>
      </w:rPr>
      <w:drawing>
        <wp:inline distT="0" distB="0" distL="0" distR="0" wp14:anchorId="5B98F88D" wp14:editId="5CA8C86B">
          <wp:extent cx="1972235" cy="104775"/>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2235" cy="104775"/>
                  </a:xfrm>
                  <a:prstGeom prst="rect">
                    <a:avLst/>
                  </a:prstGeom>
                  <a:noFill/>
                  <a:ln>
                    <a:noFill/>
                  </a:ln>
                </pic:spPr>
              </pic:pic>
            </a:graphicData>
          </a:graphic>
        </wp:inline>
      </w:drawing>
    </w:r>
  </w:p>
  <w:p w14:paraId="423ACC3B" w14:textId="77777777" w:rsidR="00E10040" w:rsidRPr="00EC7D62" w:rsidRDefault="00302C43" w:rsidP="00A50FCF">
    <w:pPr>
      <w:pStyle w:val="Header"/>
      <w:tabs>
        <w:tab w:val="clear" w:pos="4320"/>
        <w:tab w:val="clear" w:pos="8640"/>
      </w:tabs>
      <w:jc w:val="center"/>
      <w:rPr>
        <w:sz w:val="22"/>
        <w:szCs w:val="22"/>
      </w:rPr>
    </w:pPr>
    <w:r>
      <w:rPr>
        <w:sz w:val="22"/>
        <w:szCs w:val="22"/>
      </w:rPr>
      <w:pict w14:anchorId="1181CDBC">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28CC" w14:textId="77777777" w:rsidR="0069173C" w:rsidRDefault="0069173C" w:rsidP="0069173C">
    <w:pPr>
      <w:pStyle w:val="Header"/>
      <w:tabs>
        <w:tab w:val="clear" w:pos="4320"/>
        <w:tab w:val="clear" w:pos="8640"/>
      </w:tabs>
      <w:jc w:val="center"/>
      <w:rPr>
        <w:sz w:val="22"/>
        <w:szCs w:val="22"/>
      </w:rPr>
    </w:pPr>
    <w:r>
      <w:rPr>
        <w:noProof/>
        <w:sz w:val="22"/>
        <w:szCs w:val="22"/>
      </w:rPr>
      <w:drawing>
        <wp:inline distT="0" distB="0" distL="0" distR="0" wp14:anchorId="548EF846" wp14:editId="0BD7725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FF6E63" w14:textId="34EF1F42" w:rsidR="00A14EB8" w:rsidRPr="004C0C1B" w:rsidRDefault="00302C43" w:rsidP="0069173C">
    <w:pPr>
      <w:pStyle w:val="Header"/>
      <w:tabs>
        <w:tab w:val="clear" w:pos="4320"/>
        <w:tab w:val="clear" w:pos="8640"/>
      </w:tabs>
      <w:jc w:val="center"/>
      <w:rPr>
        <w:rFonts w:cs="Times New Roman"/>
        <w:noProof/>
        <w:sz w:val="22"/>
        <w:szCs w:val="22"/>
      </w:rPr>
    </w:pPr>
    <w:r>
      <w:rPr>
        <w:sz w:val="22"/>
        <w:szCs w:val="22"/>
      </w:rPr>
      <w:pict w14:anchorId="4E03A2CB">
        <v:rect id="_x0000_i1026" style="width:0;height:1.5pt" o:hralign="center" o:hrstd="t" o:hr="t" fillcolor="#a0a0a0" stroked="f"/>
      </w:pict>
    </w:r>
  </w:p>
  <w:p w14:paraId="693AA20E" w14:textId="77777777" w:rsidR="00A14EB8" w:rsidRPr="004C0C1B" w:rsidRDefault="00302C43" w:rsidP="00A50FCF">
    <w:pPr>
      <w:pStyle w:val="Header"/>
      <w:tabs>
        <w:tab w:val="clear" w:pos="4320"/>
        <w:tab w:val="clear" w:pos="8640"/>
      </w:tabs>
      <w:jc w:val="center"/>
      <w:rPr>
        <w:rFonts w:cs="Times New Roman"/>
        <w:noProof/>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63AB"/>
    <w:multiLevelType w:val="hybridMultilevel"/>
    <w:tmpl w:val="AA2492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1D2261"/>
    <w:multiLevelType w:val="hybridMultilevel"/>
    <w:tmpl w:val="CE6A69C2"/>
    <w:lvl w:ilvl="0" w:tplc="A3C42E7A">
      <w:start w:val="1"/>
      <w:numFmt w:val="decimal"/>
      <w:lvlText w:val="%1."/>
      <w:lvlJc w:val="left"/>
      <w:pPr>
        <w:tabs>
          <w:tab w:val="num" w:pos="720"/>
        </w:tabs>
        <w:ind w:left="0" w:firstLine="720"/>
      </w:pPr>
      <w:rPr>
        <w:rFonts w:ascii="Cambria" w:hAnsi="Cambria" w:hint="default"/>
        <w:color w:val="auto"/>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94F2C62"/>
    <w:multiLevelType w:val="hybridMultilevel"/>
    <w:tmpl w:val="BA748E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CF75AD"/>
    <w:multiLevelType w:val="hybridMultilevel"/>
    <w:tmpl w:val="DDC8CE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5715209">
    <w:abstractNumId w:val="6"/>
  </w:num>
  <w:num w:numId="2" w16cid:durableId="1815902377">
    <w:abstractNumId w:val="3"/>
  </w:num>
  <w:num w:numId="3" w16cid:durableId="989749763">
    <w:abstractNumId w:val="2"/>
  </w:num>
  <w:num w:numId="4" w16cid:durableId="1272127098">
    <w:abstractNumId w:val="5"/>
  </w:num>
  <w:num w:numId="5" w16cid:durableId="1014919517">
    <w:abstractNumId w:val="7"/>
  </w:num>
  <w:num w:numId="6" w16cid:durableId="430861788">
    <w:abstractNumId w:val="0"/>
  </w:num>
  <w:num w:numId="7" w16cid:durableId="1956250392">
    <w:abstractNumId w:val="4"/>
  </w:num>
  <w:num w:numId="8" w16cid:durableId="12679306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130969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SwMDAxNzIwMTWzNDFU0lEKTi0uzszPAykwqgUA2Jq85iwAAAA="/>
  </w:docVars>
  <w:rsids>
    <w:rsidRoot w:val="00E10040"/>
    <w:rsid w:val="00021D95"/>
    <w:rsid w:val="0002739B"/>
    <w:rsid w:val="00042B62"/>
    <w:rsid w:val="00077182"/>
    <w:rsid w:val="0009462E"/>
    <w:rsid w:val="000F55CC"/>
    <w:rsid w:val="00141B44"/>
    <w:rsid w:val="00196636"/>
    <w:rsid w:val="001A7ED0"/>
    <w:rsid w:val="001F69B9"/>
    <w:rsid w:val="00256CF4"/>
    <w:rsid w:val="00281A45"/>
    <w:rsid w:val="002D445E"/>
    <w:rsid w:val="002E711A"/>
    <w:rsid w:val="00302C43"/>
    <w:rsid w:val="00336821"/>
    <w:rsid w:val="00354760"/>
    <w:rsid w:val="003953DF"/>
    <w:rsid w:val="00414DA2"/>
    <w:rsid w:val="004353AC"/>
    <w:rsid w:val="0044790B"/>
    <w:rsid w:val="0053400C"/>
    <w:rsid w:val="00534F8D"/>
    <w:rsid w:val="00563455"/>
    <w:rsid w:val="005907E4"/>
    <w:rsid w:val="005A4E4B"/>
    <w:rsid w:val="005E1B1F"/>
    <w:rsid w:val="005F34C7"/>
    <w:rsid w:val="0061535C"/>
    <w:rsid w:val="00631B7F"/>
    <w:rsid w:val="0067540B"/>
    <w:rsid w:val="00680497"/>
    <w:rsid w:val="00686E41"/>
    <w:rsid w:val="00690F1E"/>
    <w:rsid w:val="0069173C"/>
    <w:rsid w:val="006A5B41"/>
    <w:rsid w:val="006E38DD"/>
    <w:rsid w:val="00746E3E"/>
    <w:rsid w:val="007543A1"/>
    <w:rsid w:val="00757BF8"/>
    <w:rsid w:val="00795197"/>
    <w:rsid w:val="007B6D25"/>
    <w:rsid w:val="007C2F3A"/>
    <w:rsid w:val="007F3B40"/>
    <w:rsid w:val="0084195B"/>
    <w:rsid w:val="00844AF5"/>
    <w:rsid w:val="008946B4"/>
    <w:rsid w:val="008A2658"/>
    <w:rsid w:val="008A6796"/>
    <w:rsid w:val="008B6962"/>
    <w:rsid w:val="008C7015"/>
    <w:rsid w:val="008F0E90"/>
    <w:rsid w:val="009006FA"/>
    <w:rsid w:val="00925DDA"/>
    <w:rsid w:val="009807E0"/>
    <w:rsid w:val="009B35CB"/>
    <w:rsid w:val="00A17DC3"/>
    <w:rsid w:val="00A201D9"/>
    <w:rsid w:val="00A357E9"/>
    <w:rsid w:val="00A436C6"/>
    <w:rsid w:val="00A43FE2"/>
    <w:rsid w:val="00A55098"/>
    <w:rsid w:val="00A83B3A"/>
    <w:rsid w:val="00AC2917"/>
    <w:rsid w:val="00B16535"/>
    <w:rsid w:val="00B170C0"/>
    <w:rsid w:val="00B832F8"/>
    <w:rsid w:val="00B9501E"/>
    <w:rsid w:val="00BE5E9F"/>
    <w:rsid w:val="00C813A0"/>
    <w:rsid w:val="00CA5E96"/>
    <w:rsid w:val="00CB26E5"/>
    <w:rsid w:val="00CD46E3"/>
    <w:rsid w:val="00CE7DE7"/>
    <w:rsid w:val="00D278A3"/>
    <w:rsid w:val="00D3169B"/>
    <w:rsid w:val="00D51E1B"/>
    <w:rsid w:val="00D53541"/>
    <w:rsid w:val="00D7565F"/>
    <w:rsid w:val="00DB087E"/>
    <w:rsid w:val="00DC63B4"/>
    <w:rsid w:val="00DC779E"/>
    <w:rsid w:val="00E05B1A"/>
    <w:rsid w:val="00E10040"/>
    <w:rsid w:val="00E11968"/>
    <w:rsid w:val="00E22C30"/>
    <w:rsid w:val="00E36FEB"/>
    <w:rsid w:val="00F42D1A"/>
    <w:rsid w:val="00F7012D"/>
    <w:rsid w:val="00FB61B6"/>
    <w:rsid w:val="00FF7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CDA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1004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E10040"/>
    <w:pPr>
      <w:pBdr>
        <w:top w:val="nil"/>
        <w:left w:val="nil"/>
        <w:bottom w:val="nil"/>
        <w:right w:val="nil"/>
        <w:between w:val="nil"/>
        <w:bar w:val="nil"/>
      </w:pBdr>
      <w:tabs>
        <w:tab w:val="center" w:pos="4513"/>
        <w:tab w:val="right" w:pos="9026"/>
      </w:tabs>
      <w:spacing w:after="0" w:line="240" w:lineRule="auto"/>
    </w:pPr>
    <w:rPr>
      <w:rFonts w:ascii="Cambria" w:eastAsia="Cambria" w:hAnsi="Cambria" w:cs="Cambria"/>
      <w:color w:val="000000"/>
      <w:sz w:val="24"/>
      <w:szCs w:val="24"/>
      <w:u w:color="000000"/>
      <w:bdr w:val="nil"/>
      <w:lang w:eastAsia="es-ES"/>
    </w:rPr>
  </w:style>
  <w:style w:type="character" w:customStyle="1" w:styleId="FooterChar">
    <w:name w:val="Footer Char"/>
    <w:basedOn w:val="DefaultParagraphFont"/>
    <w:link w:val="Footer"/>
    <w:uiPriority w:val="99"/>
    <w:rsid w:val="00E10040"/>
    <w:rPr>
      <w:rFonts w:ascii="Cambria" w:eastAsia="Cambria" w:hAnsi="Cambria" w:cs="Cambria"/>
      <w:color w:val="000000"/>
      <w:sz w:val="24"/>
      <w:szCs w:val="24"/>
      <w:u w:color="000000"/>
      <w:bdr w:val="nil"/>
      <w:lang w:eastAsia="es-ES"/>
    </w:rPr>
  </w:style>
  <w:style w:type="paragraph" w:styleId="ListParagraph">
    <w:name w:val="List Paragraph"/>
    <w:uiPriority w:val="34"/>
    <w:qFormat/>
    <w:rsid w:val="00E10040"/>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sid w:val="00E10040"/>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uiPriority w:val="99"/>
    <w:rsid w:val="00E10040"/>
    <w:rPr>
      <w:rFonts w:ascii="Calibri" w:eastAsia="Calibri" w:hAnsi="Calibri" w:cs="Calibri"/>
      <w:color w:val="000000"/>
      <w:sz w:val="20"/>
      <w:szCs w:val="20"/>
      <w:u w:color="000000"/>
      <w:bdr w:val="nil"/>
      <w:lang w:eastAsia="es-ES"/>
    </w:rPr>
  </w:style>
  <w:style w:type="paragraph" w:styleId="Header">
    <w:name w:val="header"/>
    <w:aliases w:val="encabezado"/>
    <w:basedOn w:val="Normal"/>
    <w:link w:val="HeaderChar"/>
    <w:uiPriority w:val="99"/>
    <w:rsid w:val="00E1004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E10040"/>
    <w:rPr>
      <w:rFonts w:ascii="Univers" w:eastAsia="Times New Roman" w:hAnsi="Univers" w:cs="Univers"/>
      <w:sz w:val="24"/>
      <w:szCs w:val="24"/>
    </w:rPr>
  </w:style>
  <w:style w:type="character" w:styleId="PageNumber">
    <w:name w:val="page number"/>
    <w:basedOn w:val="DefaultParagraphFont"/>
    <w:rsid w:val="00E10040"/>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E10040"/>
    <w:rPr>
      <w:vertAlign w:val="superscript"/>
    </w:rPr>
  </w:style>
  <w:style w:type="table" w:styleId="TableGrid">
    <w:name w:val="Table Grid"/>
    <w:basedOn w:val="TableNormal"/>
    <w:uiPriority w:val="59"/>
    <w:rsid w:val="00E100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46E3"/>
    <w:rPr>
      <w:color w:val="0563C1" w:themeColor="hyperlink"/>
      <w:u w:val="single"/>
    </w:rPr>
  </w:style>
  <w:style w:type="character" w:styleId="UnresolvedMention">
    <w:name w:val="Unresolved Mention"/>
    <w:basedOn w:val="DefaultParagraphFont"/>
    <w:uiPriority w:val="99"/>
    <w:semiHidden/>
    <w:unhideWhenUsed/>
    <w:rsid w:val="00CD46E3"/>
    <w:rPr>
      <w:color w:val="605E5C"/>
      <w:shd w:val="clear" w:color="auto" w:fill="E1DFDD"/>
    </w:rPr>
  </w:style>
  <w:style w:type="character" w:customStyle="1" w:styleId="normaltextrun">
    <w:name w:val="normaltextrun"/>
    <w:basedOn w:val="DefaultParagraphFont"/>
    <w:rsid w:val="008B6962"/>
  </w:style>
  <w:style w:type="paragraph" w:customStyle="1" w:styleId="Default">
    <w:name w:val="Default"/>
    <w:link w:val="DefaultChar"/>
    <w:uiPriority w:val="99"/>
    <w:rsid w:val="00D5354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Char">
    <w:name w:val="Default Char"/>
    <w:link w:val="Default"/>
    <w:uiPriority w:val="99"/>
    <w:locked/>
    <w:rsid w:val="00D53541"/>
    <w:rPr>
      <w:rFonts w:ascii="Times New Roman" w:eastAsia="Times New Roman" w:hAnsi="Times New Roman" w:cs="Times New Roman"/>
      <w:color w:val="000000"/>
      <w:sz w:val="24"/>
      <w:szCs w:val="24"/>
    </w:rPr>
  </w:style>
  <w:style w:type="paragraph" w:customStyle="1" w:styleId="Char2">
    <w:name w:val="Char2"/>
    <w:basedOn w:val="Normal"/>
    <w:link w:val="FootnoteReference"/>
    <w:uiPriority w:val="99"/>
    <w:rsid w:val="00D53541"/>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sz w:val="22"/>
      <w:szCs w:val="22"/>
      <w:bdr w:val="none" w:sz="0" w:space="0" w:color="auto"/>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82205">
      <w:bodyDiv w:val="1"/>
      <w:marLeft w:val="0"/>
      <w:marRight w:val="0"/>
      <w:marTop w:val="0"/>
      <w:marBottom w:val="0"/>
      <w:divBdr>
        <w:top w:val="none" w:sz="0" w:space="0" w:color="auto"/>
        <w:left w:val="none" w:sz="0" w:space="0" w:color="auto"/>
        <w:bottom w:val="none" w:sz="0" w:space="0" w:color="auto"/>
        <w:right w:val="none" w:sz="0" w:space="0" w:color="auto"/>
      </w:divBdr>
    </w:div>
    <w:div w:id="730234148">
      <w:bodyDiv w:val="1"/>
      <w:marLeft w:val="0"/>
      <w:marRight w:val="0"/>
      <w:marTop w:val="0"/>
      <w:marBottom w:val="0"/>
      <w:divBdr>
        <w:top w:val="none" w:sz="0" w:space="0" w:color="auto"/>
        <w:left w:val="none" w:sz="0" w:space="0" w:color="auto"/>
        <w:bottom w:val="none" w:sz="0" w:space="0" w:color="auto"/>
        <w:right w:val="none" w:sz="0" w:space="0" w:color="auto"/>
      </w:divBdr>
    </w:div>
    <w:div w:id="990062849">
      <w:bodyDiv w:val="1"/>
      <w:marLeft w:val="0"/>
      <w:marRight w:val="0"/>
      <w:marTop w:val="0"/>
      <w:marBottom w:val="0"/>
      <w:divBdr>
        <w:top w:val="none" w:sz="0" w:space="0" w:color="auto"/>
        <w:left w:val="none" w:sz="0" w:space="0" w:color="auto"/>
        <w:bottom w:val="none" w:sz="0" w:space="0" w:color="auto"/>
        <w:right w:val="none" w:sz="0" w:space="0" w:color="auto"/>
      </w:divBdr>
    </w:div>
    <w:div w:id="1550414101">
      <w:bodyDiv w:val="1"/>
      <w:marLeft w:val="0"/>
      <w:marRight w:val="0"/>
      <w:marTop w:val="0"/>
      <w:marBottom w:val="0"/>
      <w:divBdr>
        <w:top w:val="none" w:sz="0" w:space="0" w:color="auto"/>
        <w:left w:val="none" w:sz="0" w:space="0" w:color="auto"/>
        <w:bottom w:val="none" w:sz="0" w:space="0" w:color="auto"/>
        <w:right w:val="none" w:sz="0" w:space="0" w:color="auto"/>
      </w:divBdr>
    </w:div>
    <w:div w:id="201753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A4DAA-3CAD-4F99-A7C7-28792C851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2601</Words>
  <Characters>14826</Characters>
  <Application>Microsoft Office Word</Application>
  <DocSecurity>0</DocSecurity>
  <Lines>123</Lines>
  <Paragraphs>34</Paragraphs>
  <ScaleCrop>false</ScaleCrop>
  <Company/>
  <LinksUpToDate>false</LinksUpToDate>
  <CharactersWithSpaces>17393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2023-03-16T14:58:00Z</dcterms:created>
  <dcterms:modified xsi:type="dcterms:W3CDTF">2023-03-16T14:58:00Z</dcterms:modified>
</cp:coreProperties>
</file>