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F7467" w14:textId="77777777" w:rsidR="00B60BF6" w:rsidRPr="0090270B" w:rsidRDefault="00051692" w:rsidP="00627C9F">
      <w:pPr>
        <w:pBdr>
          <w:top w:val="none" w:sz="0" w:space="0" w:color="auto"/>
          <w:left w:val="none" w:sz="0" w:space="0" w:color="auto"/>
          <w:bottom w:val="none" w:sz="0" w:space="0" w:color="auto"/>
          <w:right w:val="none" w:sz="0" w:space="0" w:color="auto"/>
          <w:bar w:val="none" w:sz="0" w:color="auto"/>
        </w:pBdr>
        <w:jc w:val="both"/>
        <w:rPr>
          <w:rFonts w:ascii="Cambria" w:hAnsi="Cambria" w:cs="Univers"/>
          <w:b/>
          <w:bCs/>
          <w:sz w:val="22"/>
          <w:szCs w:val="22"/>
        </w:rPr>
      </w:pPr>
      <w:r>
        <w:rPr>
          <w:noProof/>
          <w:lang w:val="es-PA" w:eastAsia="es-PA"/>
        </w:rPr>
        <w:pict w14:anchorId="5DDF7510">
          <v:rect id="Rectangle 1" o:spid="_x0000_s2050" style="position:absolute;left:0;text-align:left;margin-left:-32.75pt;margin-top:-34.6pt;width:121.5pt;height:716.25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" fillcolor="#67ae3c" stroked="f" strokeweight="2pt"/>
        </w:pict>
      </w:r>
      <w:r>
        <w:rPr>
          <w:noProof/>
          <w:lang w:val="es-PA" w:eastAsia="es-PA"/>
        </w:rPr>
        <w:pict w14:anchorId="5DDF7512">
          <v:shapetype id="_x0000_t202" coordsize="21600,21600" o:spt="202" path="m,l,21600r21600,l21600,xe">
            <v:stroke joinstyle="miter"/>
            <v:path gradientshapeok="t" o:connecttype="rect"/>
          </v:shapetype>
          <v:shape id="Text Box 11" o:spid="_x0000_s2051" type="#_x0000_t202" style="position:absolute;left:0;text-align:left;margin-left:100.95pt;margin-top:-33.4pt;width:413.25pt;height:71.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5DDF752F" w14:textId="77777777" w:rsidR="00B60BF6" w:rsidRDefault="00051692" w:rsidP="00AE5488">
                  <w:pPr>
                    <w:pBdr>
                      <w:top w:val="none" w:sz="0" w:space="0" w:color="auto"/>
                      <w:left w:val="none" w:sz="0" w:space="0" w:color="auto"/>
                      <w:bottom w:val="none" w:sz="0" w:space="0" w:color="auto"/>
                      <w:right w:val="none" w:sz="0" w:space="0" w:color="auto"/>
                      <w:bar w:val="none" w:sz="0" w:color="auto"/>
                    </w:pBdr>
                  </w:pPr>
                  <w:r>
                    <w:rPr>
                      <w:noProof/>
                      <w:lang w:val="es-PA" w:eastAsia="es-PA"/>
                    </w:rPr>
                    <w:pict w14:anchorId="5DDF75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6" type="#_x0000_t75" style="width:208.5pt;height:39.75pt;visibility:visible">
                        <v:imagedata r:id="rId7" o:title=""/>
                      </v:shape>
                    </w:pict>
                  </w:r>
                  <w:r w:rsidR="00B60BF6">
                    <w:tab/>
                    <w:t xml:space="preserve">                              </w:t>
                  </w:r>
                </w:p>
              </w:txbxContent>
            </v:textbox>
          </v:shape>
        </w:pict>
      </w:r>
      <w:r w:rsidR="00B60BF6">
        <w:rPr>
          <w:rFonts w:ascii="Cambria" w:hAnsi="Cambria"/>
          <w:b/>
          <w:sz w:val="22"/>
        </w:rPr>
        <w:t xml:space="preserve"> </w:t>
      </w:r>
    </w:p>
    <w:p w14:paraId="5DDF7468" w14:textId="77777777" w:rsidR="00B60BF6" w:rsidRPr="0090270B" w:rsidRDefault="00B60BF6"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Cambria" w:hAnsi="Cambria"/>
          <w:sz w:val="22"/>
          <w:szCs w:val="22"/>
          <w:lang w:val="es-ES"/>
        </w:rPr>
      </w:pPr>
    </w:p>
    <w:p w14:paraId="5DDF7469" w14:textId="77777777" w:rsidR="00B60BF6" w:rsidRPr="0090270B" w:rsidRDefault="00B60BF6"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Cambria" w:hAnsi="Cambria"/>
          <w:sz w:val="22"/>
          <w:szCs w:val="22"/>
          <w:lang w:val="es-ES"/>
        </w:rPr>
      </w:pPr>
    </w:p>
    <w:p w14:paraId="5DDF746A" w14:textId="77777777" w:rsidR="00B60BF6" w:rsidRPr="0090270B" w:rsidRDefault="00B60BF6"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lang w:val="es-ES_tradnl"/>
        </w:rPr>
      </w:pPr>
    </w:p>
    <w:p w14:paraId="5DDF746B" w14:textId="77777777" w:rsidR="00B60BF6" w:rsidRPr="0090270B" w:rsidRDefault="00B60BF6"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lang w:val="es-ES_tradnl"/>
        </w:rPr>
      </w:pPr>
    </w:p>
    <w:p w14:paraId="5DDF746C" w14:textId="77777777" w:rsidR="00B60BF6" w:rsidRPr="0090270B" w:rsidRDefault="00B60BF6"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lang w:val="es-ES_tradnl"/>
        </w:rPr>
      </w:pPr>
    </w:p>
    <w:p w14:paraId="5DDF746D" w14:textId="77777777" w:rsidR="00B60BF6" w:rsidRPr="0090270B" w:rsidRDefault="00B60BF6"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5DDF746E" w14:textId="77777777" w:rsidR="00B60BF6" w:rsidRPr="0090270B" w:rsidRDefault="00B60BF6"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5DDF746F" w14:textId="77777777" w:rsidR="00B60BF6" w:rsidRPr="0090270B" w:rsidRDefault="00B60BF6"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5DDF7470" w14:textId="77777777" w:rsidR="00B60BF6" w:rsidRPr="0090270B" w:rsidRDefault="00B60BF6"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5DDF7471" w14:textId="77777777" w:rsidR="00B60BF6" w:rsidRPr="0090270B" w:rsidRDefault="00B60BF6"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5DDF7472" w14:textId="77777777" w:rsidR="00B60BF6" w:rsidRPr="0090270B" w:rsidRDefault="00B60BF6"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5DDF7473" w14:textId="77777777" w:rsidR="00B60BF6" w:rsidRPr="0090270B" w:rsidRDefault="00B60BF6"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5DDF7474" w14:textId="77777777" w:rsidR="00B60BF6" w:rsidRPr="0090270B" w:rsidRDefault="0005169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rPr>
      </w:pPr>
      <w:r>
        <w:rPr>
          <w:noProof/>
          <w:lang w:val="es-PA" w:eastAsia="es-PA"/>
        </w:rPr>
        <w:pict w14:anchorId="5DDF7513">
          <v:shape id="Text Box 5" o:spid="_x0000_s2052" type="#_x0000_t202" style="position:absolute;left:0;text-align:left;margin-left:106.5pt;margin-top:8.45pt;width:349.7pt;height:171.7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5DDF7530" w14:textId="40D392EC" w:rsidR="00B60BF6" w:rsidRPr="00641D4B" w:rsidRDefault="00B60BF6"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rPr>
                  </w:pPr>
                  <w:r w:rsidRPr="00641D4B">
                    <w:rPr>
                      <w:rFonts w:ascii="Cambria" w:hAnsi="Cambria"/>
                      <w:b/>
                      <w:color w:val="0D0D0D"/>
                      <w:sz w:val="36"/>
                    </w:rPr>
                    <w:t xml:space="preserve">REPORT No. </w:t>
                  </w:r>
                  <w:r w:rsidR="00D1100D">
                    <w:rPr>
                      <w:rFonts w:ascii="Cambria" w:hAnsi="Cambria"/>
                      <w:b/>
                      <w:color w:val="0D0D0D"/>
                      <w:sz w:val="36"/>
                    </w:rPr>
                    <w:t>247</w:t>
                  </w:r>
                  <w:r w:rsidRPr="00641D4B">
                    <w:rPr>
                      <w:rFonts w:ascii="Cambria" w:hAnsi="Cambria"/>
                      <w:b/>
                      <w:color w:val="0D0D0D"/>
                      <w:sz w:val="36"/>
                    </w:rPr>
                    <w:t>/22</w:t>
                  </w:r>
                </w:p>
                <w:p w14:paraId="5DDF7531" w14:textId="77777777" w:rsidR="00B60BF6" w:rsidRPr="00641D4B" w:rsidRDefault="00B60BF6"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rPr>
                  </w:pPr>
                  <w:r w:rsidRPr="00641D4B">
                    <w:rPr>
                      <w:rFonts w:ascii="Cambria" w:hAnsi="Cambria"/>
                      <w:b/>
                      <w:color w:val="0D0D0D"/>
                      <w:sz w:val="36"/>
                    </w:rPr>
                    <w:t xml:space="preserve">PETITION 1146-09 </w:t>
                  </w:r>
                </w:p>
                <w:p w14:paraId="5DDF7532" w14:textId="77777777" w:rsidR="00B60BF6" w:rsidRPr="00641D4B" w:rsidRDefault="00B60BF6"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641D4B">
                    <w:rPr>
                      <w:rFonts w:ascii="Cambria" w:hAnsi="Cambria"/>
                      <w:color w:val="0D0D0D"/>
                    </w:rPr>
                    <w:t xml:space="preserve">REPORT ON ADMISSIBILITY </w:t>
                  </w:r>
                </w:p>
                <w:p w14:paraId="5DDF7533" w14:textId="77777777" w:rsidR="00B60BF6" w:rsidRPr="00641D4B" w:rsidRDefault="00B60BF6"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bookmarkStart w:id="0" w:name="_ftnref1"/>
                </w:p>
                <w:p w14:paraId="5DDF7534" w14:textId="77777777" w:rsidR="00B60BF6" w:rsidRPr="00641D4B" w:rsidRDefault="00B60BF6"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641D4B">
                    <w:rPr>
                      <w:rFonts w:ascii="Cambria" w:hAnsi="Cambria"/>
                      <w:color w:val="0D0D0D"/>
                    </w:rPr>
                    <w:t>SAMMY SEGEBRE NARANJO</w:t>
                  </w:r>
                </w:p>
                <w:bookmarkEnd w:id="0"/>
                <w:p w14:paraId="5DDF7535" w14:textId="77777777" w:rsidR="00B60BF6" w:rsidRPr="00641D4B" w:rsidRDefault="00B60BF6" w:rsidP="00F56ECB">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smartTag w:uri="urn:schemas-microsoft-com:office:smarttags" w:element="country-region">
                    <w:smartTag w:uri="urn:schemas-microsoft-com:office:smarttags" w:element="place">
                      <w:r w:rsidRPr="00641D4B">
                        <w:rPr>
                          <w:rFonts w:ascii="Cambria" w:hAnsi="Cambria"/>
                          <w:color w:val="0D0D0D"/>
                        </w:rPr>
                        <w:t>PANAMA</w:t>
                      </w:r>
                    </w:smartTag>
                  </w:smartTag>
                </w:p>
              </w:txbxContent>
            </v:textbox>
          </v:shape>
        </w:pict>
      </w:r>
      <w:r>
        <w:rPr>
          <w:noProof/>
          <w:lang w:val="es-PA" w:eastAsia="es-PA"/>
        </w:rPr>
        <w:pict w14:anchorId="5DDF7514">
          <v:shape id="Text Box 8" o:spid="_x0000_s2053" type="#_x0000_t202" style="position:absolute;left:0;text-align:left;margin-left:-27pt;margin-top:12.95pt;width:109.5pt;height:108.4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5DDF7536" w14:textId="610B7ED8" w:rsidR="00B60BF6" w:rsidRPr="004A0DD5" w:rsidRDefault="00B60BF6"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rPr>
                  </w:pPr>
                  <w:r w:rsidRPr="004A0DD5">
                    <w:rPr>
                      <w:rFonts w:ascii="Calibri" w:hAnsi="Calibri"/>
                      <w:color w:val="FFFFFF"/>
                      <w:sz w:val="22"/>
                    </w:rPr>
                    <w:t>OEA/Ser.L/V/II</w:t>
                  </w:r>
                </w:p>
                <w:p w14:paraId="5DDF7537" w14:textId="2155C993" w:rsidR="00B60BF6" w:rsidRPr="004A0DD5" w:rsidRDefault="00B60BF6"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rPr>
                  </w:pPr>
                  <w:r w:rsidRPr="004A0DD5">
                    <w:rPr>
                      <w:rFonts w:ascii="Calibri" w:hAnsi="Calibri"/>
                      <w:color w:val="FFFFFF"/>
                      <w:sz w:val="22"/>
                    </w:rPr>
                    <w:t>Doc. 2</w:t>
                  </w:r>
                  <w:r w:rsidR="00A90C60" w:rsidRPr="004A0DD5">
                    <w:rPr>
                      <w:rFonts w:ascii="Calibri" w:hAnsi="Calibri"/>
                      <w:color w:val="FFFFFF"/>
                      <w:sz w:val="22"/>
                    </w:rPr>
                    <w:t>51</w:t>
                  </w:r>
                </w:p>
                <w:p w14:paraId="5DDF7538" w14:textId="2E868B41" w:rsidR="00B60BF6" w:rsidRPr="00641D4B" w:rsidRDefault="00A90C60"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rPr>
                  </w:pPr>
                  <w:r>
                    <w:rPr>
                      <w:rFonts w:ascii="Calibri" w:hAnsi="Calibri"/>
                      <w:color w:val="FFFFFF"/>
                      <w:sz w:val="22"/>
                    </w:rPr>
                    <w:t>28 August</w:t>
                  </w:r>
                  <w:r w:rsidR="00B60BF6" w:rsidRPr="00641D4B">
                    <w:rPr>
                      <w:rFonts w:ascii="Calibri" w:hAnsi="Calibri"/>
                      <w:color w:val="FFFFFF"/>
                      <w:sz w:val="22"/>
                    </w:rPr>
                    <w:t xml:space="preserve"> 2022</w:t>
                  </w:r>
                </w:p>
                <w:p w14:paraId="5DDF7539" w14:textId="77777777" w:rsidR="00B60BF6" w:rsidRPr="00641D4B" w:rsidRDefault="00B60BF6"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rPr>
                  </w:pPr>
                  <w:r w:rsidRPr="00641D4B">
                    <w:rPr>
                      <w:rFonts w:ascii="Calibri" w:hAnsi="Calibri"/>
                      <w:color w:val="FFFFFF"/>
                      <w:sz w:val="22"/>
                    </w:rPr>
                    <w:t>Original: Spanish</w:t>
                  </w:r>
                </w:p>
              </w:txbxContent>
            </v:textbox>
          </v:shape>
        </w:pict>
      </w:r>
    </w:p>
    <w:p w14:paraId="5DDF7475" w14:textId="77777777" w:rsidR="00B60BF6" w:rsidRPr="0090270B" w:rsidRDefault="00B60BF6"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5DDF7476" w14:textId="77777777" w:rsidR="00B60BF6" w:rsidRPr="0090270B" w:rsidRDefault="00B60BF6"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5DDF7477" w14:textId="77777777" w:rsidR="00B60BF6" w:rsidRPr="0090270B" w:rsidRDefault="00B60BF6"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Arial"/>
          <w:sz w:val="22"/>
          <w:szCs w:val="22"/>
          <w:lang w:val="es-ES_tradnl"/>
        </w:rPr>
      </w:pPr>
    </w:p>
    <w:p w14:paraId="5DDF7478" w14:textId="77777777" w:rsidR="00B60BF6" w:rsidRPr="0090270B" w:rsidRDefault="00B60BF6"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5DDF7479" w14:textId="77777777" w:rsidR="00B60BF6" w:rsidRPr="0090270B" w:rsidRDefault="00B60BF6"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5DDF747A" w14:textId="77777777" w:rsidR="00B60BF6" w:rsidRPr="0090270B" w:rsidRDefault="00B60BF6"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5DDF747B" w14:textId="77777777" w:rsidR="00B60BF6" w:rsidRPr="0090270B" w:rsidRDefault="00B60BF6"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5DDF747C" w14:textId="77777777" w:rsidR="00B60BF6" w:rsidRPr="0090270B" w:rsidRDefault="00B60BF6"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5DDF747D" w14:textId="77777777" w:rsidR="00B60BF6" w:rsidRPr="0090270B" w:rsidRDefault="00B60BF6"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5DDF747E" w14:textId="77777777" w:rsidR="00B60BF6" w:rsidRPr="0090270B" w:rsidRDefault="00B60BF6"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5DDF747F" w14:textId="77777777" w:rsidR="00B60BF6" w:rsidRPr="0090270B" w:rsidRDefault="00B60BF6"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5DDF7480" w14:textId="77777777" w:rsidR="00B60BF6" w:rsidRPr="0090270B" w:rsidRDefault="00B60BF6"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5DDF7481" w14:textId="77777777" w:rsidR="00B60BF6" w:rsidRPr="0090270B" w:rsidRDefault="00B60BF6"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5DDF7482" w14:textId="77777777" w:rsidR="00B60BF6" w:rsidRPr="0090270B" w:rsidRDefault="00B60BF6"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5DDF7483" w14:textId="77777777" w:rsidR="00B60BF6" w:rsidRPr="0090270B" w:rsidRDefault="00B60BF6"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5DDF7484" w14:textId="77777777" w:rsidR="00B60BF6" w:rsidRPr="0090270B" w:rsidRDefault="00B60BF6"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5DDF7485" w14:textId="77777777" w:rsidR="00B60BF6" w:rsidRPr="0090270B" w:rsidRDefault="00B60BF6"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5DDF7486" w14:textId="77777777" w:rsidR="00B60BF6" w:rsidRPr="0090270B" w:rsidRDefault="00B60BF6"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5DDF7487" w14:textId="77777777" w:rsidR="00B60BF6" w:rsidRPr="0090270B" w:rsidRDefault="00B60BF6"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5DDF7488" w14:textId="77777777" w:rsidR="00B60BF6" w:rsidRPr="0090270B" w:rsidRDefault="00B60BF6"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5DDF7489" w14:textId="77777777" w:rsidR="00B60BF6" w:rsidRPr="0090270B" w:rsidRDefault="00B60BF6"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5DDF748A" w14:textId="77777777" w:rsidR="00B60BF6" w:rsidRPr="0090270B" w:rsidRDefault="00B60BF6"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5DDF748B" w14:textId="77777777" w:rsidR="00B60BF6" w:rsidRPr="0090270B" w:rsidRDefault="00B60BF6"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5DDF748C" w14:textId="77777777" w:rsidR="00B60BF6" w:rsidRPr="0090270B" w:rsidRDefault="00B60BF6"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5DDF748D" w14:textId="77777777" w:rsidR="00B60BF6" w:rsidRPr="0090270B" w:rsidRDefault="00B60BF6"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5DDF748E" w14:textId="77777777" w:rsidR="00B60BF6" w:rsidRPr="0090270B" w:rsidRDefault="00B60BF6"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5DDF748F" w14:textId="77777777" w:rsidR="00B60BF6" w:rsidRPr="0090270B" w:rsidRDefault="00B60BF6"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5DDF7490" w14:textId="77777777" w:rsidR="00B60BF6" w:rsidRPr="0090270B" w:rsidRDefault="00B60BF6"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5DDF7491" w14:textId="77777777" w:rsidR="00B60BF6" w:rsidRPr="0090270B" w:rsidRDefault="0005169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r>
        <w:rPr>
          <w:noProof/>
          <w:lang w:val="es-PA" w:eastAsia="es-PA"/>
        </w:rPr>
        <w:pict w14:anchorId="5DDF7515">
          <v:shape id="Text Box 7" o:spid="_x0000_s2054" type="#_x0000_t202" style="position:absolute;left:0;text-align:left;margin-left:105.65pt;margin-top:1.8pt;width:388.5pt;height:52.3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5DDF753B" w14:textId="34C10A07" w:rsidR="00B60BF6" w:rsidRPr="00641D4B" w:rsidRDefault="00B60BF6" w:rsidP="00DD3D86">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mbria" w:hAnsi="Cambria"/>
                      <w:color w:val="0D0D0D"/>
                      <w:sz w:val="18"/>
                      <w:szCs w:val="22"/>
                    </w:rPr>
                  </w:pPr>
                  <w:r w:rsidRPr="00641D4B">
                    <w:rPr>
                      <w:rFonts w:ascii="Cambria" w:hAnsi="Cambria"/>
                      <w:color w:val="0D0D0D"/>
                      <w:sz w:val="18"/>
                    </w:rPr>
                    <w:t xml:space="preserve">Approved electronically by the Commission on </w:t>
                  </w:r>
                  <w:r w:rsidR="00A90C60">
                    <w:rPr>
                      <w:rFonts w:ascii="Cambria" w:hAnsi="Cambria"/>
                      <w:color w:val="0D0D0D"/>
                      <w:sz w:val="18"/>
                    </w:rPr>
                    <w:t>August 28,</w:t>
                  </w:r>
                  <w:r w:rsidRPr="00641D4B">
                    <w:rPr>
                      <w:rFonts w:ascii="Cambria" w:hAnsi="Cambria"/>
                      <w:color w:val="0D0D0D"/>
                      <w:sz w:val="18"/>
                    </w:rPr>
                    <w:t xml:space="preserve"> 2022.</w:t>
                  </w:r>
                </w:p>
                <w:p w14:paraId="5DDF753C" w14:textId="77777777" w:rsidR="00B60BF6" w:rsidRPr="00641D4B" w:rsidRDefault="00B60BF6" w:rsidP="00247403">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s="Univers"/>
                      <w:color w:val="0D0D0D"/>
                      <w:sz w:val="20"/>
                      <w:szCs w:val="20"/>
                    </w:rPr>
                  </w:pPr>
                </w:p>
                <w:p w14:paraId="5DDF753D" w14:textId="77777777" w:rsidR="00B60BF6" w:rsidRPr="00641D4B" w:rsidRDefault="00B60BF6" w:rsidP="0059191A">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olor w:val="FFFFFF"/>
                      <w:spacing w:val="-2"/>
                      <w:sz w:val="16"/>
                    </w:rPr>
                  </w:pPr>
                </w:p>
              </w:txbxContent>
            </v:textbox>
          </v:shape>
        </w:pict>
      </w:r>
    </w:p>
    <w:p w14:paraId="5DDF7492" w14:textId="77777777" w:rsidR="00B60BF6" w:rsidRPr="0090270B" w:rsidRDefault="00B60BF6"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5DDF7493" w14:textId="77777777" w:rsidR="00B60BF6" w:rsidRPr="0090270B" w:rsidRDefault="00B60BF6"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5DDF7494" w14:textId="77777777" w:rsidR="00B60BF6" w:rsidRPr="0090270B" w:rsidRDefault="00B60BF6"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5DDF7495" w14:textId="77777777" w:rsidR="00B60BF6" w:rsidRPr="0090270B" w:rsidRDefault="00B60BF6"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5DDF7496" w14:textId="77777777" w:rsidR="00B60BF6" w:rsidRPr="0090270B" w:rsidRDefault="0005169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r>
        <w:rPr>
          <w:noProof/>
          <w:lang w:val="es-PA" w:eastAsia="es-PA"/>
        </w:rPr>
        <w:pict w14:anchorId="5DDF7516">
          <v:shape id="Text Box 10" o:spid="_x0000_s2055" type="#_x0000_t202" style="position:absolute;left:0;text-align:left;margin-left:105pt;margin-top:.45pt;width:389.25pt;height:51.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5DDF753E" w14:textId="7EEFAE04" w:rsidR="00B60BF6" w:rsidRPr="00641D4B" w:rsidRDefault="00B60BF6" w:rsidP="00113F73">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olor w:val="595959"/>
                      <w:sz w:val="18"/>
                      <w:szCs w:val="18"/>
                    </w:rPr>
                  </w:pPr>
                  <w:r w:rsidRPr="00641D4B">
                    <w:rPr>
                      <w:rFonts w:ascii="Cambria" w:hAnsi="Cambria"/>
                      <w:b/>
                      <w:color w:val="595959"/>
                      <w:sz w:val="18"/>
                    </w:rPr>
                    <w:t>Cite as:</w:t>
                  </w:r>
                  <w:r w:rsidRPr="00641D4B">
                    <w:rPr>
                      <w:rFonts w:ascii="Cambria" w:hAnsi="Cambria"/>
                      <w:color w:val="595959"/>
                      <w:sz w:val="18"/>
                    </w:rPr>
                    <w:t xml:space="preserve"> IACHR, Report No. </w:t>
                  </w:r>
                  <w:r w:rsidR="00A90C60">
                    <w:rPr>
                      <w:rFonts w:ascii="Cambria" w:hAnsi="Cambria"/>
                      <w:color w:val="595959"/>
                      <w:sz w:val="18"/>
                    </w:rPr>
                    <w:t>247</w:t>
                  </w:r>
                  <w:r w:rsidRPr="00641D4B">
                    <w:rPr>
                      <w:rFonts w:ascii="Cambria" w:hAnsi="Cambria"/>
                      <w:color w:val="595959"/>
                      <w:sz w:val="18"/>
                    </w:rPr>
                    <w:t xml:space="preserve">/22. Petition 1146-09. </w:t>
                  </w:r>
                  <w:r w:rsidRPr="004A0DD5">
                    <w:rPr>
                      <w:rFonts w:ascii="Cambria" w:hAnsi="Cambria"/>
                      <w:color w:val="595959"/>
                      <w:sz w:val="18"/>
                      <w:lang w:val="pt-BR"/>
                    </w:rPr>
                    <w:t xml:space="preserve">Admissibility. Sammy Segebre Naranjo. Panama. </w:t>
                  </w:r>
                  <w:r w:rsidR="00591A9E">
                    <w:rPr>
                      <w:rFonts w:ascii="Cambria" w:hAnsi="Cambria"/>
                      <w:color w:val="595959"/>
                      <w:sz w:val="18"/>
                    </w:rPr>
                    <w:t>August 28, 2022</w:t>
                  </w:r>
                  <w:r w:rsidRPr="00641D4B">
                    <w:rPr>
                      <w:rFonts w:ascii="Cambria" w:hAnsi="Cambria"/>
                      <w:color w:val="595959"/>
                      <w:sz w:val="18"/>
                    </w:rPr>
                    <w:t>.</w:t>
                  </w:r>
                </w:p>
              </w:txbxContent>
            </v:textbox>
          </v:shape>
        </w:pict>
      </w:r>
    </w:p>
    <w:p w14:paraId="5DDF7497" w14:textId="77777777" w:rsidR="00B60BF6" w:rsidRPr="0090270B" w:rsidRDefault="00B60BF6"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5DDF7498" w14:textId="77777777" w:rsidR="00B60BF6" w:rsidRDefault="00051692" w:rsidP="005516A1">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b/>
          <w:sz w:val="20"/>
        </w:rPr>
      </w:pPr>
      <w:r>
        <w:rPr>
          <w:noProof/>
          <w:lang w:val="es-PA" w:eastAsia="es-PA"/>
        </w:rPr>
        <w:pict w14:anchorId="5DDF7517">
          <v:shape id="Text Box 9" o:spid="_x0000_s2056" type="#_x0000_t202" style="position:absolute;left:0;text-align:left;margin-left:104.7pt;margin-top:50.3pt;width:322.55pt;height:44.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stroked="f" strokeweight=".5pt">
            <v:textbox>
              <w:txbxContent>
                <w:p w14:paraId="5DDF753F" w14:textId="77777777" w:rsidR="00B60BF6" w:rsidRPr="00641D4B" w:rsidRDefault="00051692" w:rsidP="00F02AD1">
                  <w:pPr>
                    <w:pBdr>
                      <w:top w:val="none" w:sz="0" w:space="0" w:color="auto"/>
                      <w:left w:val="none" w:sz="0" w:space="0" w:color="auto"/>
                      <w:bottom w:val="none" w:sz="0" w:space="0" w:color="auto"/>
                      <w:right w:val="none" w:sz="0" w:space="0" w:color="auto"/>
                      <w:bar w:val="none" w:sz="0" w:color="auto"/>
                    </w:pBdr>
                    <w:rPr>
                      <w:color w:val="FFFFFF"/>
                    </w:rPr>
                  </w:pPr>
                  <w:r>
                    <w:rPr>
                      <w:noProof/>
                      <w:color w:val="FFFFFF"/>
                      <w:lang w:val="es-PA" w:eastAsia="es-PA"/>
                    </w:rPr>
                    <w:pict w14:anchorId="5DDF7542">
                      <v:shape id="Picture 2" o:spid="_x0000_i1028" type="#_x0000_t75" style="width:144.05pt;height:36pt;visibility:visible">
                        <v:imagedata r:id="rId8" o:title=""/>
                      </v:shape>
                    </w:pict>
                  </w:r>
                </w:p>
              </w:txbxContent>
            </v:textbox>
          </v:shape>
        </w:pict>
      </w:r>
      <w:r>
        <w:rPr>
          <w:noProof/>
          <w:lang w:val="es-PA" w:eastAsia="es-PA"/>
        </w:rPr>
        <w:pict w14:anchorId="5DDF7518">
          <v:shape id="Text Box 4" o:spid="_x0000_s2057" type="#_x0000_t202" style="position:absolute;left:0;text-align:left;margin-left:-21.45pt;margin-top:72.05pt;width:93pt;height:26.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5DDF7540" w14:textId="77777777" w:rsidR="00B60BF6" w:rsidRPr="00641D4B" w:rsidRDefault="00B60BF6" w:rsidP="00D306D1">
                  <w:pPr>
                    <w:pBdr>
                      <w:top w:val="none" w:sz="0" w:space="0" w:color="auto"/>
                      <w:left w:val="none" w:sz="0" w:space="0" w:color="auto"/>
                      <w:bottom w:val="none" w:sz="0" w:space="0" w:color="auto"/>
                      <w:right w:val="none" w:sz="0" w:space="0" w:color="auto"/>
                      <w:bar w:val="none" w:sz="0" w:color="auto"/>
                    </w:pBdr>
                    <w:jc w:val="center"/>
                    <w:rPr>
                      <w:rFonts w:ascii="Calibri" w:hAnsi="Calibri"/>
                      <w:b/>
                      <w:color w:val="FFFFFF"/>
                    </w:rPr>
                  </w:pPr>
                  <w:r w:rsidRPr="00641D4B">
                    <w:rPr>
                      <w:rFonts w:ascii="Calibri" w:hAnsi="Calibri"/>
                      <w:b/>
                      <w:color w:val="FFFFFF"/>
                    </w:rPr>
                    <w:t>www.iachr.org</w:t>
                  </w:r>
                </w:p>
              </w:txbxContent>
            </v:textbox>
          </v:shape>
        </w:pict>
      </w:r>
    </w:p>
    <w:p w14:paraId="5DDF7499" w14:textId="77777777" w:rsidR="00B60BF6" w:rsidRDefault="00B60BF6" w:rsidP="005516A1">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b/>
          <w:sz w:val="20"/>
        </w:rPr>
        <w:sectPr w:rsidR="00B60BF6"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rtlGutter/>
          <w:docGrid w:linePitch="326"/>
        </w:sectPr>
      </w:pPr>
      <w:r>
        <w:rPr>
          <w:rFonts w:ascii="Cambria" w:hAnsi="Cambria"/>
          <w:b/>
          <w:sz w:val="20"/>
        </w:rPr>
        <w:tab/>
      </w:r>
    </w:p>
    <w:p w14:paraId="5DDF749A" w14:textId="77777777" w:rsidR="00B60BF6" w:rsidRPr="000419AD" w:rsidRDefault="00B60BF6" w:rsidP="004A6A54">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bCs/>
          <w:sz w:val="20"/>
          <w:szCs w:val="20"/>
        </w:rPr>
      </w:pPr>
      <w:r>
        <w:rPr>
          <w:rFonts w:ascii="Cambria" w:hAnsi="Cambria"/>
          <w:b/>
          <w:sz w:val="20"/>
        </w:rPr>
        <w:lastRenderedPageBreak/>
        <w:t xml:space="preserve">I. </w:t>
      </w:r>
      <w:r>
        <w:rPr>
          <w:rFonts w:ascii="Cambria" w:hAnsi="Cambria"/>
          <w:b/>
          <w:sz w:val="20"/>
        </w:rPr>
        <w:tab/>
        <w:t xml:space="preserve">INFORMATION ABOUT THE PETITION </w:t>
      </w:r>
    </w:p>
    <w:tbl>
      <w:tblPr>
        <w:tblW w:w="9247"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600"/>
        <w:gridCol w:w="5647"/>
      </w:tblGrid>
      <w:tr w:rsidR="00B60BF6" w14:paraId="5DDF749D" w14:textId="77777777" w:rsidTr="00641D4B">
        <w:tc>
          <w:tcPr>
            <w:tcW w:w="3600" w:type="dxa"/>
            <w:tcBorders>
              <w:top w:val="single" w:sz="4" w:space="0" w:color="auto"/>
            </w:tcBorders>
            <w:shd w:val="clear" w:color="auto" w:fill="67AE3C"/>
            <w:vAlign w:val="center"/>
          </w:tcPr>
          <w:p w14:paraId="5DDF749B" w14:textId="77777777" w:rsidR="00B60BF6" w:rsidRPr="00641D4B" w:rsidRDefault="00B60BF6" w:rsidP="00641D4B">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641D4B">
              <w:rPr>
                <w:rFonts w:ascii="Cambria" w:hAnsi="Cambria"/>
                <w:b/>
                <w:color w:val="FFFFFF"/>
                <w:sz w:val="20"/>
              </w:rPr>
              <w:t>Petitioner:</w:t>
            </w:r>
          </w:p>
        </w:tc>
        <w:tc>
          <w:tcPr>
            <w:tcW w:w="5647" w:type="dxa"/>
            <w:tcBorders>
              <w:top w:val="single" w:sz="4" w:space="0" w:color="auto"/>
            </w:tcBorders>
            <w:vAlign w:val="center"/>
          </w:tcPr>
          <w:p w14:paraId="5DDF749C" w14:textId="77777777" w:rsidR="00B60BF6" w:rsidRPr="00641D4B" w:rsidRDefault="00B60BF6" w:rsidP="00641D4B">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r w:rsidRPr="00641D4B">
              <w:rPr>
                <w:rFonts w:ascii="Cambria" w:hAnsi="Cambria"/>
                <w:sz w:val="20"/>
              </w:rPr>
              <w:t>Ana Angulo</w:t>
            </w:r>
          </w:p>
        </w:tc>
      </w:tr>
      <w:tr w:rsidR="00B60BF6" w:rsidRPr="001E49E7" w14:paraId="5DDF74A0" w14:textId="77777777" w:rsidTr="00641D4B">
        <w:tc>
          <w:tcPr>
            <w:tcW w:w="3600" w:type="dxa"/>
            <w:shd w:val="clear" w:color="auto" w:fill="67AE3C"/>
            <w:vAlign w:val="center"/>
          </w:tcPr>
          <w:p w14:paraId="5DDF749E" w14:textId="77777777" w:rsidR="00B60BF6" w:rsidRPr="00641D4B" w:rsidRDefault="00B60BF6" w:rsidP="00641D4B">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641D4B">
              <w:rPr>
                <w:rFonts w:ascii="Cambria" w:hAnsi="Cambria"/>
                <w:b/>
                <w:color w:val="FFFFFF"/>
                <w:sz w:val="20"/>
              </w:rPr>
              <w:t>Alleged victim:</w:t>
            </w:r>
          </w:p>
        </w:tc>
        <w:tc>
          <w:tcPr>
            <w:tcW w:w="5647" w:type="dxa"/>
            <w:vAlign w:val="center"/>
          </w:tcPr>
          <w:p w14:paraId="5DDF749F" w14:textId="77777777" w:rsidR="00B60BF6" w:rsidRPr="00641D4B" w:rsidRDefault="00B60BF6" w:rsidP="00641D4B">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r w:rsidRPr="00641D4B">
              <w:rPr>
                <w:rFonts w:ascii="Cambria" w:hAnsi="Cambria"/>
                <w:sz w:val="20"/>
              </w:rPr>
              <w:t xml:space="preserve">Sammy Segebre Naranjo </w:t>
            </w:r>
          </w:p>
        </w:tc>
      </w:tr>
      <w:tr w:rsidR="00B60BF6" w14:paraId="5DDF74A3" w14:textId="77777777" w:rsidTr="00641D4B">
        <w:tc>
          <w:tcPr>
            <w:tcW w:w="3600" w:type="dxa"/>
            <w:shd w:val="clear" w:color="auto" w:fill="67AE3C"/>
            <w:vAlign w:val="center"/>
          </w:tcPr>
          <w:p w14:paraId="5DDF74A1" w14:textId="77777777" w:rsidR="00B60BF6" w:rsidRPr="00641D4B" w:rsidRDefault="00B60BF6" w:rsidP="00641D4B">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smartTag w:uri="urn:schemas-microsoft-com:office:smarttags" w:element="place">
              <w:smartTag w:uri="urn:schemas-microsoft-com:office:smarttags" w:element="PlaceName">
                <w:r w:rsidRPr="00641D4B">
                  <w:rPr>
                    <w:rFonts w:ascii="Cambria" w:hAnsi="Cambria"/>
                    <w:b/>
                    <w:color w:val="FFFFFF"/>
                    <w:sz w:val="20"/>
                  </w:rPr>
                  <w:t>Respondent</w:t>
                </w:r>
              </w:smartTag>
              <w:r w:rsidRPr="00641D4B">
                <w:rPr>
                  <w:rFonts w:ascii="Cambria" w:hAnsi="Cambria"/>
                  <w:b/>
                  <w:color w:val="FFFFFF"/>
                  <w:sz w:val="20"/>
                </w:rPr>
                <w:t xml:space="preserve"> </w:t>
              </w:r>
              <w:smartTag w:uri="urn:schemas-microsoft-com:office:smarttags" w:element="PlaceType">
                <w:r w:rsidRPr="00641D4B">
                  <w:rPr>
                    <w:rFonts w:ascii="Cambria" w:hAnsi="Cambria"/>
                    <w:b/>
                    <w:color w:val="FFFFFF"/>
                    <w:sz w:val="20"/>
                  </w:rPr>
                  <w:t>State</w:t>
                </w:r>
              </w:smartTag>
            </w:smartTag>
            <w:r w:rsidRPr="00641D4B">
              <w:rPr>
                <w:rFonts w:ascii="Cambria" w:hAnsi="Cambria"/>
                <w:b/>
                <w:color w:val="FFFFFF"/>
                <w:sz w:val="20"/>
              </w:rPr>
              <w:t>:</w:t>
            </w:r>
          </w:p>
        </w:tc>
        <w:tc>
          <w:tcPr>
            <w:tcW w:w="5647" w:type="dxa"/>
            <w:vAlign w:val="center"/>
          </w:tcPr>
          <w:p w14:paraId="5DDF74A2" w14:textId="77777777" w:rsidR="00B60BF6" w:rsidRPr="00641D4B" w:rsidRDefault="00B60BF6" w:rsidP="00641D4B">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smartTag w:uri="urn:schemas-microsoft-com:office:smarttags" w:element="country-region">
              <w:smartTag w:uri="urn:schemas-microsoft-com:office:smarttags" w:element="place">
                <w:r w:rsidRPr="00641D4B">
                  <w:rPr>
                    <w:rFonts w:ascii="Cambria" w:hAnsi="Cambria"/>
                    <w:sz w:val="20"/>
                  </w:rPr>
                  <w:t>Panama</w:t>
                </w:r>
              </w:smartTag>
            </w:smartTag>
            <w:r w:rsidRPr="00641D4B">
              <w:rPr>
                <w:rStyle w:val="FootnoteReference"/>
                <w:rFonts w:ascii="Cambria" w:hAnsi="Cambria"/>
                <w:bCs/>
                <w:sz w:val="20"/>
                <w:szCs w:val="20"/>
              </w:rPr>
              <w:footnoteReference w:id="2"/>
            </w:r>
          </w:p>
        </w:tc>
      </w:tr>
      <w:tr w:rsidR="00B60BF6" w:rsidRPr="007716CC" w14:paraId="5DDF74A6" w14:textId="77777777" w:rsidTr="00641D4B">
        <w:tc>
          <w:tcPr>
            <w:tcW w:w="3600" w:type="dxa"/>
            <w:tcBorders>
              <w:bottom w:val="single" w:sz="4" w:space="0" w:color="auto"/>
            </w:tcBorders>
            <w:shd w:val="clear" w:color="auto" w:fill="67AE3C"/>
            <w:vAlign w:val="center"/>
          </w:tcPr>
          <w:p w14:paraId="5DDF74A4" w14:textId="77777777" w:rsidR="00B60BF6" w:rsidRPr="00641D4B" w:rsidRDefault="00B60BF6" w:rsidP="00641D4B">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641D4B">
              <w:rPr>
                <w:rFonts w:ascii="Cambria" w:hAnsi="Cambria"/>
                <w:b/>
                <w:color w:val="FFFFFF"/>
                <w:sz w:val="20"/>
              </w:rPr>
              <w:t>Rights invoked:</w:t>
            </w:r>
          </w:p>
        </w:tc>
        <w:tc>
          <w:tcPr>
            <w:tcW w:w="5647" w:type="dxa"/>
            <w:tcBorders>
              <w:bottom w:val="single" w:sz="4" w:space="0" w:color="auto"/>
            </w:tcBorders>
            <w:vAlign w:val="center"/>
          </w:tcPr>
          <w:p w14:paraId="5DDF74A5" w14:textId="77777777" w:rsidR="00B60BF6" w:rsidRPr="00641D4B" w:rsidRDefault="00B60BF6" w:rsidP="00641D4B">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r w:rsidRPr="00641D4B">
              <w:rPr>
                <w:rFonts w:ascii="Cambria" w:hAnsi="Cambria"/>
                <w:sz w:val="20"/>
              </w:rPr>
              <w:t>The petition does not specifically invoke any international instrument. However, it denounces violations to the rights to  “presumption of innocence, to a defense, to liberty, to due process, disrespect for human dignity and physical integrity, right to health.”</w:t>
            </w:r>
          </w:p>
        </w:tc>
      </w:tr>
    </w:tbl>
    <w:p w14:paraId="5DDF74A7" w14:textId="77777777" w:rsidR="00B60BF6" w:rsidRPr="00E4118C" w:rsidRDefault="00B60BF6" w:rsidP="003239B8">
      <w:pPr>
        <w:pBdr>
          <w:top w:val="none" w:sz="0" w:space="0" w:color="auto"/>
          <w:left w:val="none" w:sz="0" w:space="0" w:color="auto"/>
          <w:bottom w:val="none" w:sz="0" w:space="0" w:color="auto"/>
          <w:right w:val="none" w:sz="0" w:space="0" w:color="auto"/>
          <w:bar w:val="none" w:sz="0" w:color="auto"/>
        </w:pBdr>
        <w:spacing w:before="240" w:after="240"/>
        <w:ind w:firstLine="720"/>
        <w:jc w:val="both"/>
        <w:rPr>
          <w:rFonts w:ascii="Cambria" w:hAnsi="Cambria"/>
          <w:b/>
          <w:bCs/>
          <w:sz w:val="20"/>
          <w:szCs w:val="20"/>
        </w:rPr>
      </w:pPr>
      <w:r>
        <w:rPr>
          <w:rFonts w:ascii="Cambria" w:hAnsi="Cambria"/>
          <w:b/>
          <w:sz w:val="20"/>
        </w:rPr>
        <w:t>II.</w:t>
      </w:r>
      <w:r>
        <w:rPr>
          <w:rFonts w:ascii="Cambria" w:hAnsi="Cambria"/>
          <w:b/>
          <w:sz w:val="20"/>
        </w:rPr>
        <w:tab/>
        <w:t>PROCEEDINGS BEFORE THE IACHR</w:t>
      </w:r>
      <w:r w:rsidRPr="008E3BFE">
        <w:rPr>
          <w:rStyle w:val="FootnoteReference"/>
          <w:rFonts w:ascii="Cambria" w:hAnsi="Cambria"/>
          <w:b/>
          <w:sz w:val="20"/>
          <w:szCs w:val="20"/>
        </w:rPr>
        <w:footnoteReference w:id="3"/>
      </w:r>
    </w:p>
    <w:tbl>
      <w:tblPr>
        <w:tblW w:w="9247"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600"/>
        <w:gridCol w:w="5647"/>
      </w:tblGrid>
      <w:tr w:rsidR="00B60BF6" w:rsidRPr="004A6A54" w14:paraId="5DDF74AA" w14:textId="77777777" w:rsidTr="00641D4B">
        <w:tc>
          <w:tcPr>
            <w:tcW w:w="3600" w:type="dxa"/>
            <w:tcBorders>
              <w:top w:val="single" w:sz="4" w:space="0" w:color="auto"/>
            </w:tcBorders>
            <w:shd w:val="clear" w:color="auto" w:fill="67AE3C"/>
            <w:vAlign w:val="center"/>
          </w:tcPr>
          <w:p w14:paraId="5DDF74A8" w14:textId="77777777" w:rsidR="00B60BF6" w:rsidRPr="00641D4B" w:rsidRDefault="00B60BF6" w:rsidP="00641D4B">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641D4B">
              <w:rPr>
                <w:rFonts w:ascii="Cambria" w:hAnsi="Cambria"/>
                <w:b/>
                <w:color w:val="FFFFFF"/>
                <w:sz w:val="20"/>
              </w:rPr>
              <w:t>Filing of the petition:</w:t>
            </w:r>
          </w:p>
        </w:tc>
        <w:tc>
          <w:tcPr>
            <w:tcW w:w="5647" w:type="dxa"/>
            <w:tcBorders>
              <w:top w:val="single" w:sz="4" w:space="0" w:color="auto"/>
            </w:tcBorders>
            <w:vAlign w:val="center"/>
          </w:tcPr>
          <w:p w14:paraId="5DDF74A9" w14:textId="77777777" w:rsidR="00B60BF6" w:rsidRPr="00641D4B" w:rsidRDefault="00B60BF6" w:rsidP="00641D4B">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r w:rsidRPr="00641D4B">
              <w:rPr>
                <w:rFonts w:ascii="Cambria" w:hAnsi="Cambria"/>
                <w:sz w:val="20"/>
              </w:rPr>
              <w:t>September 15, 2009</w:t>
            </w:r>
          </w:p>
        </w:tc>
      </w:tr>
      <w:tr w:rsidR="00B60BF6" w:rsidRPr="007716CC" w14:paraId="5DDF74AD" w14:textId="77777777" w:rsidTr="00641D4B">
        <w:tc>
          <w:tcPr>
            <w:tcW w:w="3600" w:type="dxa"/>
            <w:shd w:val="clear" w:color="auto" w:fill="67AE3C"/>
            <w:vAlign w:val="center"/>
          </w:tcPr>
          <w:p w14:paraId="5DDF74AB" w14:textId="77777777" w:rsidR="00B60BF6" w:rsidRPr="00641D4B" w:rsidRDefault="00B60BF6" w:rsidP="00641D4B">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641D4B">
              <w:rPr>
                <w:rFonts w:ascii="Cambria" w:hAnsi="Cambria"/>
                <w:b/>
                <w:color w:val="FFFFFF"/>
                <w:sz w:val="20"/>
              </w:rPr>
              <w:t>Additional information received at the stage of initial review:</w:t>
            </w:r>
          </w:p>
        </w:tc>
        <w:tc>
          <w:tcPr>
            <w:tcW w:w="5647" w:type="dxa"/>
            <w:vAlign w:val="center"/>
          </w:tcPr>
          <w:p w14:paraId="5DDF74AC" w14:textId="77777777" w:rsidR="00B60BF6" w:rsidRPr="00641D4B" w:rsidRDefault="00B60BF6" w:rsidP="00641D4B">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r w:rsidRPr="00641D4B">
              <w:rPr>
                <w:rFonts w:ascii="Cambria" w:hAnsi="Cambria"/>
                <w:sz w:val="20"/>
              </w:rPr>
              <w:t>August 22, 2012; November 28, 2017; July 7, 2020; and May 10, 2021</w:t>
            </w:r>
            <w:r w:rsidRPr="00641D4B">
              <w:rPr>
                <w:rStyle w:val="FootnoteReference"/>
                <w:rFonts w:ascii="Cambria" w:hAnsi="Cambria"/>
                <w:bCs/>
                <w:sz w:val="20"/>
                <w:szCs w:val="20"/>
                <w:lang w:val="es-ES"/>
              </w:rPr>
              <w:footnoteReference w:id="4"/>
            </w:r>
            <w:r w:rsidRPr="00641D4B">
              <w:rPr>
                <w:rFonts w:ascii="Cambria" w:hAnsi="Cambria"/>
                <w:sz w:val="20"/>
              </w:rPr>
              <w:t xml:space="preserve"> </w:t>
            </w:r>
          </w:p>
        </w:tc>
      </w:tr>
      <w:tr w:rsidR="00B60BF6" w:rsidRPr="000868AB" w14:paraId="5DDF74B0" w14:textId="77777777" w:rsidTr="00641D4B">
        <w:tc>
          <w:tcPr>
            <w:tcW w:w="3600" w:type="dxa"/>
            <w:shd w:val="clear" w:color="auto" w:fill="67AE3C"/>
            <w:vAlign w:val="center"/>
          </w:tcPr>
          <w:p w14:paraId="5DDF74AE" w14:textId="77777777" w:rsidR="00B60BF6" w:rsidRPr="00641D4B" w:rsidRDefault="00B60BF6" w:rsidP="00641D4B">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641D4B">
              <w:rPr>
                <w:rFonts w:ascii="Cambria" w:hAnsi="Cambria"/>
                <w:b/>
                <w:color w:val="FFFFFF"/>
                <w:sz w:val="20"/>
              </w:rPr>
              <w:t>Notification of the petition to the State:</w:t>
            </w:r>
          </w:p>
        </w:tc>
        <w:tc>
          <w:tcPr>
            <w:tcW w:w="5647" w:type="dxa"/>
            <w:vAlign w:val="center"/>
          </w:tcPr>
          <w:p w14:paraId="5DDF74AF" w14:textId="77777777" w:rsidR="00B60BF6" w:rsidRPr="00641D4B" w:rsidRDefault="00B60BF6" w:rsidP="00641D4B">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r w:rsidRPr="00641D4B">
              <w:rPr>
                <w:rFonts w:ascii="Cambria" w:hAnsi="Cambria"/>
                <w:sz w:val="20"/>
              </w:rPr>
              <w:t>December 23, 2021</w:t>
            </w:r>
          </w:p>
        </w:tc>
      </w:tr>
      <w:tr w:rsidR="00B60BF6" w:rsidRPr="004A6A54" w14:paraId="5DDF74B3" w14:textId="77777777" w:rsidTr="00641D4B">
        <w:tc>
          <w:tcPr>
            <w:tcW w:w="3600" w:type="dxa"/>
            <w:shd w:val="clear" w:color="auto" w:fill="67AE3C"/>
            <w:vAlign w:val="center"/>
          </w:tcPr>
          <w:p w14:paraId="5DDF74B1" w14:textId="77777777" w:rsidR="00B60BF6" w:rsidRPr="00641D4B" w:rsidRDefault="00B60BF6" w:rsidP="00641D4B">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641D4B">
              <w:rPr>
                <w:rFonts w:ascii="Cambria" w:hAnsi="Cambria"/>
                <w:b/>
                <w:color w:val="FFFFFF"/>
                <w:sz w:val="20"/>
              </w:rPr>
              <w:t>State’s first response:</w:t>
            </w:r>
          </w:p>
        </w:tc>
        <w:tc>
          <w:tcPr>
            <w:tcW w:w="5647" w:type="dxa"/>
            <w:vAlign w:val="center"/>
          </w:tcPr>
          <w:p w14:paraId="5DDF74B2" w14:textId="77777777" w:rsidR="00B60BF6" w:rsidRPr="00641D4B" w:rsidRDefault="00B60BF6" w:rsidP="00641D4B">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r w:rsidRPr="00641D4B">
              <w:rPr>
                <w:rFonts w:ascii="Cambria" w:hAnsi="Cambria"/>
                <w:sz w:val="20"/>
              </w:rPr>
              <w:t>April 21, 2022</w:t>
            </w:r>
          </w:p>
        </w:tc>
      </w:tr>
      <w:tr w:rsidR="00B60BF6" w:rsidRPr="000868AB" w14:paraId="5DDF74B6" w14:textId="77777777" w:rsidTr="00641D4B">
        <w:tc>
          <w:tcPr>
            <w:tcW w:w="3600" w:type="dxa"/>
            <w:tcBorders>
              <w:bottom w:val="single" w:sz="4" w:space="0" w:color="auto"/>
            </w:tcBorders>
            <w:shd w:val="clear" w:color="auto" w:fill="67AE3C"/>
            <w:vAlign w:val="center"/>
          </w:tcPr>
          <w:p w14:paraId="5DDF74B4" w14:textId="77777777" w:rsidR="00B60BF6" w:rsidRPr="00641D4B" w:rsidRDefault="00B60BF6" w:rsidP="00641D4B">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641D4B">
              <w:rPr>
                <w:rFonts w:ascii="Cambria" w:hAnsi="Cambria"/>
                <w:b/>
                <w:color w:val="FFFFFF"/>
                <w:sz w:val="20"/>
              </w:rPr>
              <w:t>Additional observations from the petitioner:</w:t>
            </w:r>
          </w:p>
        </w:tc>
        <w:tc>
          <w:tcPr>
            <w:tcW w:w="5647" w:type="dxa"/>
            <w:tcBorders>
              <w:bottom w:val="single" w:sz="4" w:space="0" w:color="auto"/>
            </w:tcBorders>
            <w:vAlign w:val="center"/>
          </w:tcPr>
          <w:p w14:paraId="5DDF74B5" w14:textId="77777777" w:rsidR="00B60BF6" w:rsidRPr="00641D4B" w:rsidRDefault="00B60BF6" w:rsidP="00641D4B">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r w:rsidRPr="00641D4B">
              <w:rPr>
                <w:rFonts w:ascii="Cambria" w:hAnsi="Cambria"/>
                <w:sz w:val="20"/>
              </w:rPr>
              <w:t>May 30, 2022</w:t>
            </w:r>
          </w:p>
        </w:tc>
      </w:tr>
    </w:tbl>
    <w:p w14:paraId="5DDF74B7" w14:textId="77777777" w:rsidR="00B60BF6" w:rsidRPr="003239B8" w:rsidRDefault="00B60BF6" w:rsidP="003239B8">
      <w:pPr>
        <w:pBdr>
          <w:top w:val="none" w:sz="0" w:space="0" w:color="auto"/>
          <w:left w:val="none" w:sz="0" w:space="0" w:color="auto"/>
          <w:bottom w:val="none" w:sz="0" w:space="0" w:color="auto"/>
          <w:right w:val="none" w:sz="0" w:space="0" w:color="auto"/>
          <w:bar w:val="none" w:sz="0" w:color="auto"/>
        </w:pBdr>
        <w:spacing w:before="240" w:after="240"/>
        <w:ind w:firstLine="720"/>
        <w:jc w:val="both"/>
        <w:rPr>
          <w:rFonts w:ascii="Cambria" w:hAnsi="Cambria"/>
          <w:b/>
          <w:bCs/>
          <w:sz w:val="20"/>
          <w:szCs w:val="20"/>
        </w:rPr>
      </w:pPr>
      <w:r>
        <w:rPr>
          <w:rFonts w:ascii="Cambria" w:hAnsi="Cambria"/>
          <w:b/>
          <w:sz w:val="20"/>
        </w:rPr>
        <w:t xml:space="preserve">III. </w:t>
      </w:r>
      <w:r>
        <w:rPr>
          <w:rFonts w:ascii="Cambria" w:hAnsi="Cambria"/>
          <w:b/>
          <w:sz w:val="20"/>
        </w:rPr>
        <w:tab/>
        <w:t xml:space="preserve">COMPETENCE </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600"/>
        <w:gridCol w:w="5760"/>
      </w:tblGrid>
      <w:tr w:rsidR="00B60BF6" w:rsidRPr="00540F17" w14:paraId="5DDF74BA" w14:textId="77777777" w:rsidTr="00641D4B">
        <w:trPr>
          <w:cantSplit/>
        </w:trPr>
        <w:tc>
          <w:tcPr>
            <w:tcW w:w="3600" w:type="dxa"/>
            <w:tcBorders>
              <w:top w:val="single" w:sz="4" w:space="0" w:color="auto"/>
            </w:tcBorders>
            <w:shd w:val="clear" w:color="auto" w:fill="67AE3C"/>
            <w:vAlign w:val="center"/>
          </w:tcPr>
          <w:p w14:paraId="5DDF74B8" w14:textId="77777777" w:rsidR="00B60BF6" w:rsidRPr="00641D4B" w:rsidRDefault="00B60BF6" w:rsidP="00641D4B">
            <w:pPr>
              <w:pBdr>
                <w:top w:val="none" w:sz="0" w:space="0" w:color="auto"/>
                <w:left w:val="none" w:sz="0" w:space="0" w:color="auto"/>
                <w:bottom w:val="none" w:sz="0" w:space="0" w:color="auto"/>
                <w:right w:val="none" w:sz="0" w:space="0" w:color="auto"/>
                <w:bar w:val="none" w:sz="0" w:color="auto"/>
              </w:pBdr>
              <w:jc w:val="center"/>
              <w:rPr>
                <w:rFonts w:ascii="Cambria" w:hAnsi="Cambria"/>
                <w:b/>
                <w:bCs/>
                <w:i/>
                <w:color w:val="FFFFFF"/>
                <w:sz w:val="20"/>
                <w:szCs w:val="20"/>
              </w:rPr>
            </w:pPr>
            <w:r w:rsidRPr="00641D4B">
              <w:rPr>
                <w:rFonts w:ascii="Cambria" w:hAnsi="Cambria"/>
                <w:b/>
                <w:color w:val="FFFFFF"/>
                <w:sz w:val="20"/>
              </w:rPr>
              <w:t xml:space="preserve">Competence </w:t>
            </w:r>
            <w:r w:rsidRPr="00641D4B">
              <w:rPr>
                <w:rFonts w:ascii="Cambria" w:hAnsi="Cambria"/>
                <w:b/>
                <w:i/>
                <w:color w:val="FFFFFF"/>
                <w:sz w:val="20"/>
              </w:rPr>
              <w:t>Ratione personae:</w:t>
            </w:r>
          </w:p>
        </w:tc>
        <w:tc>
          <w:tcPr>
            <w:tcW w:w="5760" w:type="dxa"/>
            <w:tcBorders>
              <w:top w:val="single" w:sz="4" w:space="0" w:color="auto"/>
            </w:tcBorders>
            <w:vAlign w:val="center"/>
          </w:tcPr>
          <w:p w14:paraId="5DDF74B9" w14:textId="77777777" w:rsidR="00B60BF6" w:rsidRPr="00641D4B" w:rsidRDefault="00B60BF6" w:rsidP="008D2290">
            <w:pPr>
              <w:pBdr>
                <w:top w:val="none" w:sz="0" w:space="0" w:color="auto"/>
                <w:left w:val="none" w:sz="0" w:space="0" w:color="auto"/>
                <w:bottom w:val="none" w:sz="0" w:space="0" w:color="auto"/>
                <w:right w:val="none" w:sz="0" w:space="0" w:color="auto"/>
                <w:bar w:val="none" w:sz="0" w:color="auto"/>
              </w:pBdr>
              <w:rPr>
                <w:rFonts w:ascii="Cambria" w:hAnsi="Cambria"/>
                <w:bCs/>
                <w:sz w:val="20"/>
                <w:szCs w:val="20"/>
              </w:rPr>
            </w:pPr>
            <w:r w:rsidRPr="00641D4B">
              <w:rPr>
                <w:rFonts w:ascii="Cambria" w:hAnsi="Cambria"/>
                <w:sz w:val="20"/>
              </w:rPr>
              <w:t>Yes</w:t>
            </w:r>
          </w:p>
        </w:tc>
      </w:tr>
      <w:tr w:rsidR="00B60BF6" w:rsidRPr="00540F17" w14:paraId="5DDF74BD" w14:textId="77777777" w:rsidTr="00641D4B">
        <w:trPr>
          <w:cantSplit/>
        </w:trPr>
        <w:tc>
          <w:tcPr>
            <w:tcW w:w="3600" w:type="dxa"/>
            <w:shd w:val="clear" w:color="auto" w:fill="67AE3C"/>
            <w:vAlign w:val="center"/>
          </w:tcPr>
          <w:p w14:paraId="5DDF74BB" w14:textId="77777777" w:rsidR="00B60BF6" w:rsidRPr="00641D4B" w:rsidRDefault="00B60BF6" w:rsidP="00641D4B">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641D4B">
              <w:rPr>
                <w:rFonts w:ascii="Cambria" w:hAnsi="Cambria"/>
                <w:b/>
                <w:color w:val="FFFFFF"/>
                <w:sz w:val="20"/>
              </w:rPr>
              <w:t xml:space="preserve">Competence </w:t>
            </w:r>
            <w:r w:rsidRPr="00641D4B">
              <w:rPr>
                <w:rFonts w:ascii="Cambria" w:hAnsi="Cambria"/>
                <w:b/>
                <w:i/>
                <w:color w:val="FFFFFF"/>
                <w:sz w:val="20"/>
              </w:rPr>
              <w:t>Ratione loci</w:t>
            </w:r>
            <w:r w:rsidRPr="00641D4B">
              <w:rPr>
                <w:rFonts w:ascii="Cambria" w:hAnsi="Cambria"/>
                <w:b/>
                <w:color w:val="FFFFFF"/>
                <w:sz w:val="20"/>
              </w:rPr>
              <w:t>:</w:t>
            </w:r>
          </w:p>
        </w:tc>
        <w:tc>
          <w:tcPr>
            <w:tcW w:w="5760" w:type="dxa"/>
            <w:vAlign w:val="center"/>
          </w:tcPr>
          <w:p w14:paraId="5DDF74BC" w14:textId="77777777" w:rsidR="00B60BF6" w:rsidRPr="00641D4B" w:rsidRDefault="00B60BF6" w:rsidP="008D2290">
            <w:pPr>
              <w:pBdr>
                <w:top w:val="none" w:sz="0" w:space="0" w:color="auto"/>
                <w:left w:val="none" w:sz="0" w:space="0" w:color="auto"/>
                <w:bottom w:val="none" w:sz="0" w:space="0" w:color="auto"/>
                <w:right w:val="none" w:sz="0" w:space="0" w:color="auto"/>
                <w:bar w:val="none" w:sz="0" w:color="auto"/>
              </w:pBdr>
              <w:rPr>
                <w:rFonts w:ascii="Cambria" w:hAnsi="Cambria"/>
                <w:bCs/>
                <w:sz w:val="20"/>
                <w:szCs w:val="20"/>
              </w:rPr>
            </w:pPr>
            <w:r w:rsidRPr="00641D4B">
              <w:rPr>
                <w:rFonts w:ascii="Cambria" w:hAnsi="Cambria"/>
                <w:sz w:val="20"/>
              </w:rPr>
              <w:t>Yes</w:t>
            </w:r>
          </w:p>
        </w:tc>
      </w:tr>
      <w:tr w:rsidR="00B60BF6" w:rsidRPr="00540F17" w14:paraId="5DDF74C0" w14:textId="77777777" w:rsidTr="00641D4B">
        <w:trPr>
          <w:cantSplit/>
        </w:trPr>
        <w:tc>
          <w:tcPr>
            <w:tcW w:w="3600" w:type="dxa"/>
            <w:shd w:val="clear" w:color="auto" w:fill="67AE3C"/>
            <w:vAlign w:val="center"/>
          </w:tcPr>
          <w:p w14:paraId="5DDF74BE" w14:textId="77777777" w:rsidR="00B60BF6" w:rsidRPr="00641D4B" w:rsidRDefault="00B60BF6" w:rsidP="00641D4B">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641D4B">
              <w:rPr>
                <w:rFonts w:ascii="Cambria" w:hAnsi="Cambria"/>
                <w:b/>
                <w:color w:val="FFFFFF"/>
                <w:sz w:val="20"/>
              </w:rPr>
              <w:t xml:space="preserve">Competence </w:t>
            </w:r>
            <w:r w:rsidRPr="00641D4B">
              <w:rPr>
                <w:rFonts w:ascii="Cambria" w:hAnsi="Cambria"/>
                <w:b/>
                <w:i/>
                <w:color w:val="FFFFFF"/>
                <w:sz w:val="20"/>
              </w:rPr>
              <w:t>Ratione temporis</w:t>
            </w:r>
            <w:r w:rsidRPr="00641D4B">
              <w:rPr>
                <w:rFonts w:ascii="Cambria" w:hAnsi="Cambria"/>
                <w:b/>
                <w:color w:val="FFFFFF"/>
                <w:sz w:val="20"/>
              </w:rPr>
              <w:t>:</w:t>
            </w:r>
          </w:p>
        </w:tc>
        <w:tc>
          <w:tcPr>
            <w:tcW w:w="5760" w:type="dxa"/>
            <w:vAlign w:val="center"/>
          </w:tcPr>
          <w:p w14:paraId="5DDF74BF" w14:textId="77777777" w:rsidR="00B60BF6" w:rsidRPr="00641D4B" w:rsidRDefault="00B60BF6" w:rsidP="008D2290">
            <w:pPr>
              <w:pBdr>
                <w:top w:val="none" w:sz="0" w:space="0" w:color="auto"/>
                <w:left w:val="none" w:sz="0" w:space="0" w:color="auto"/>
                <w:bottom w:val="none" w:sz="0" w:space="0" w:color="auto"/>
                <w:right w:val="none" w:sz="0" w:space="0" w:color="auto"/>
                <w:bar w:val="none" w:sz="0" w:color="auto"/>
              </w:pBdr>
              <w:rPr>
                <w:rFonts w:ascii="Cambria" w:hAnsi="Cambria"/>
                <w:bCs/>
                <w:sz w:val="20"/>
                <w:szCs w:val="20"/>
              </w:rPr>
            </w:pPr>
            <w:r w:rsidRPr="00641D4B">
              <w:rPr>
                <w:rFonts w:ascii="Cambria" w:hAnsi="Cambria"/>
                <w:sz w:val="20"/>
              </w:rPr>
              <w:t>Yes</w:t>
            </w:r>
          </w:p>
        </w:tc>
      </w:tr>
      <w:tr w:rsidR="00B60BF6" w:rsidRPr="007716CC" w14:paraId="5DDF74C3" w14:textId="77777777" w:rsidTr="00641D4B">
        <w:trPr>
          <w:cantSplit/>
        </w:trPr>
        <w:tc>
          <w:tcPr>
            <w:tcW w:w="3600" w:type="dxa"/>
            <w:tcBorders>
              <w:bottom w:val="single" w:sz="4" w:space="0" w:color="auto"/>
            </w:tcBorders>
            <w:shd w:val="clear" w:color="auto" w:fill="67AE3C"/>
            <w:vAlign w:val="center"/>
          </w:tcPr>
          <w:p w14:paraId="5DDF74C1" w14:textId="77777777" w:rsidR="00B60BF6" w:rsidRPr="00641D4B" w:rsidRDefault="00B60BF6" w:rsidP="00641D4B">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641D4B">
              <w:rPr>
                <w:rFonts w:ascii="Cambria" w:hAnsi="Cambria"/>
                <w:b/>
                <w:color w:val="FFFFFF"/>
                <w:sz w:val="20"/>
              </w:rPr>
              <w:t xml:space="preserve">Competence </w:t>
            </w:r>
            <w:r w:rsidRPr="00641D4B">
              <w:rPr>
                <w:rFonts w:ascii="Cambria" w:hAnsi="Cambria"/>
                <w:b/>
                <w:i/>
                <w:color w:val="FFFFFF"/>
                <w:sz w:val="20"/>
              </w:rPr>
              <w:t>Ratione materiae</w:t>
            </w:r>
            <w:r w:rsidRPr="00641D4B">
              <w:rPr>
                <w:rFonts w:ascii="Cambria" w:hAnsi="Cambria"/>
                <w:b/>
                <w:color w:val="FFFFFF"/>
                <w:sz w:val="20"/>
              </w:rPr>
              <w:t>:</w:t>
            </w:r>
          </w:p>
        </w:tc>
        <w:tc>
          <w:tcPr>
            <w:tcW w:w="5760" w:type="dxa"/>
            <w:tcBorders>
              <w:bottom w:val="single" w:sz="4" w:space="0" w:color="auto"/>
            </w:tcBorders>
            <w:vAlign w:val="center"/>
          </w:tcPr>
          <w:p w14:paraId="5DDF74C2" w14:textId="77777777" w:rsidR="00B60BF6" w:rsidRPr="00641D4B" w:rsidRDefault="00B60BF6" w:rsidP="00641D4B">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r w:rsidRPr="00641D4B">
              <w:rPr>
                <w:rFonts w:ascii="Cambria" w:hAnsi="Cambria"/>
                <w:sz w:val="20"/>
              </w:rPr>
              <w:t>Yes, American Convention on Human Rights</w:t>
            </w:r>
            <w:r w:rsidRPr="00641D4B">
              <w:rPr>
                <w:rStyle w:val="FootnoteReference"/>
                <w:rFonts w:ascii="Cambria" w:hAnsi="Cambria"/>
                <w:bCs/>
                <w:sz w:val="20"/>
                <w:szCs w:val="20"/>
                <w:lang w:val="es-ES"/>
              </w:rPr>
              <w:footnoteReference w:id="5"/>
            </w:r>
          </w:p>
        </w:tc>
      </w:tr>
    </w:tbl>
    <w:p w14:paraId="5DDF74C4" w14:textId="77777777" w:rsidR="00B60BF6" w:rsidRPr="003239B8" w:rsidRDefault="00B60BF6" w:rsidP="003239B8">
      <w:pPr>
        <w:pBdr>
          <w:top w:val="none" w:sz="0" w:space="0" w:color="auto"/>
          <w:left w:val="none" w:sz="0" w:space="0" w:color="auto"/>
          <w:bottom w:val="none" w:sz="0" w:space="0" w:color="auto"/>
          <w:right w:val="none" w:sz="0" w:space="0" w:color="auto"/>
          <w:bar w:val="none" w:sz="0" w:color="auto"/>
        </w:pBdr>
        <w:spacing w:before="240" w:after="240"/>
        <w:ind w:firstLine="720"/>
        <w:jc w:val="both"/>
        <w:rPr>
          <w:rFonts w:ascii="Cambria" w:hAnsi="Cambria"/>
          <w:b/>
          <w:bCs/>
          <w:sz w:val="20"/>
          <w:szCs w:val="20"/>
        </w:rPr>
      </w:pPr>
      <w:r>
        <w:rPr>
          <w:rFonts w:ascii="Cambria" w:hAnsi="Cambria"/>
          <w:b/>
          <w:sz w:val="20"/>
        </w:rPr>
        <w:t xml:space="preserve">IV. </w:t>
      </w:r>
      <w:r>
        <w:rPr>
          <w:rFonts w:ascii="Cambria" w:hAnsi="Cambria"/>
          <w:b/>
          <w:sz w:val="20"/>
        </w:rPr>
        <w:tab/>
        <w:t xml:space="preserve">DUPLICATION OF PROCEDURES AND INTERNATIONAL </w:t>
      </w:r>
      <w:r w:rsidRPr="001938F3">
        <w:rPr>
          <w:rFonts w:ascii="Cambria" w:hAnsi="Cambria"/>
          <w:b/>
          <w:i/>
          <w:iCs/>
          <w:sz w:val="20"/>
        </w:rPr>
        <w:t>RES JUDICATA</w:t>
      </w:r>
      <w:r>
        <w:rPr>
          <w:rFonts w:ascii="Cambria" w:hAnsi="Cambria"/>
          <w:b/>
          <w:sz w:val="20"/>
        </w:rPr>
        <w:t>, COLORABLE CLAIM, EXHAUSTION OF DOMESTIC REMEDIES AND TIMELINESS OF THE PETITION</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562"/>
        <w:gridCol w:w="5680"/>
      </w:tblGrid>
      <w:tr w:rsidR="00B60BF6" w:rsidRPr="000868AB" w14:paraId="5DDF74C7" w14:textId="77777777" w:rsidTr="00641D4B">
        <w:trPr>
          <w:cantSplit/>
        </w:trPr>
        <w:tc>
          <w:tcPr>
            <w:tcW w:w="3562" w:type="dxa"/>
            <w:tcBorders>
              <w:top w:val="single" w:sz="4" w:space="0" w:color="auto"/>
            </w:tcBorders>
            <w:shd w:val="clear" w:color="auto" w:fill="67AE3C"/>
            <w:vAlign w:val="center"/>
          </w:tcPr>
          <w:p w14:paraId="5DDF74C5" w14:textId="77777777" w:rsidR="00B60BF6" w:rsidRPr="00641D4B" w:rsidRDefault="00B60BF6" w:rsidP="00641D4B">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641D4B">
              <w:rPr>
                <w:rFonts w:ascii="Cambria" w:hAnsi="Cambria"/>
                <w:b/>
                <w:color w:val="FFFFFF"/>
                <w:sz w:val="20"/>
              </w:rPr>
              <w:t xml:space="preserve">Duplication of procedures and international </w:t>
            </w:r>
            <w:r w:rsidRPr="00641D4B">
              <w:rPr>
                <w:rFonts w:ascii="Cambria" w:hAnsi="Cambria"/>
                <w:b/>
                <w:i/>
                <w:iCs/>
                <w:color w:val="FFFFFF"/>
                <w:sz w:val="20"/>
              </w:rPr>
              <w:t>res judicata</w:t>
            </w:r>
            <w:r w:rsidRPr="00641D4B">
              <w:rPr>
                <w:rFonts w:ascii="Cambria" w:hAnsi="Cambria"/>
                <w:b/>
                <w:color w:val="FFFFFF"/>
                <w:sz w:val="20"/>
              </w:rPr>
              <w:t>:</w:t>
            </w:r>
          </w:p>
        </w:tc>
        <w:tc>
          <w:tcPr>
            <w:tcW w:w="5680" w:type="dxa"/>
            <w:tcBorders>
              <w:top w:val="single" w:sz="4" w:space="0" w:color="auto"/>
            </w:tcBorders>
            <w:vAlign w:val="center"/>
          </w:tcPr>
          <w:p w14:paraId="5DDF74C6" w14:textId="77777777" w:rsidR="00B60BF6" w:rsidRPr="00641D4B" w:rsidRDefault="00B60BF6" w:rsidP="00641D4B">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r w:rsidRPr="00641D4B">
              <w:rPr>
                <w:rFonts w:ascii="Cambria" w:hAnsi="Cambria"/>
                <w:sz w:val="20"/>
              </w:rPr>
              <w:t>No</w:t>
            </w:r>
          </w:p>
        </w:tc>
      </w:tr>
      <w:tr w:rsidR="00B60BF6" w:rsidRPr="00F93A0A" w14:paraId="5DDF74CA" w14:textId="77777777" w:rsidTr="00641D4B">
        <w:trPr>
          <w:cantSplit/>
        </w:trPr>
        <w:tc>
          <w:tcPr>
            <w:tcW w:w="3562" w:type="dxa"/>
            <w:shd w:val="clear" w:color="auto" w:fill="67AE3C"/>
            <w:vAlign w:val="center"/>
          </w:tcPr>
          <w:p w14:paraId="5DDF74C8" w14:textId="77777777" w:rsidR="00B60BF6" w:rsidRPr="00641D4B" w:rsidRDefault="00B60BF6" w:rsidP="00641D4B">
            <w:pPr>
              <w:pBdr>
                <w:top w:val="none" w:sz="0" w:space="0" w:color="auto"/>
                <w:left w:val="none" w:sz="0" w:space="0" w:color="auto"/>
                <w:bottom w:val="none" w:sz="0" w:space="0" w:color="auto"/>
                <w:right w:val="none" w:sz="0" w:space="0" w:color="auto"/>
                <w:bar w:val="none" w:sz="0" w:color="auto"/>
              </w:pBdr>
              <w:jc w:val="center"/>
              <w:rPr>
                <w:rFonts w:ascii="Cambria" w:hAnsi="Cambria"/>
                <w:b/>
                <w:bCs/>
                <w:i/>
                <w:color w:val="FFFFFF"/>
                <w:sz w:val="20"/>
                <w:szCs w:val="20"/>
              </w:rPr>
            </w:pPr>
            <w:r w:rsidRPr="00641D4B">
              <w:rPr>
                <w:rFonts w:ascii="Cambria" w:hAnsi="Cambria"/>
                <w:b/>
                <w:color w:val="FFFFFF"/>
                <w:sz w:val="20"/>
              </w:rPr>
              <w:t>Rights declared admissible</w:t>
            </w:r>
            <w:r w:rsidRPr="00641D4B">
              <w:rPr>
                <w:rFonts w:ascii="Cambria" w:hAnsi="Cambria"/>
                <w:b/>
                <w:i/>
                <w:color w:val="FFFFFF"/>
                <w:sz w:val="20"/>
              </w:rPr>
              <w:t>:</w:t>
            </w:r>
          </w:p>
        </w:tc>
        <w:tc>
          <w:tcPr>
            <w:tcW w:w="5680" w:type="dxa"/>
            <w:vAlign w:val="center"/>
          </w:tcPr>
          <w:p w14:paraId="5DDF74C9" w14:textId="77777777" w:rsidR="00B60BF6" w:rsidRPr="00641D4B" w:rsidRDefault="00B60BF6" w:rsidP="00641D4B">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r w:rsidRPr="00641D4B">
              <w:rPr>
                <w:rFonts w:ascii="Cambria" w:hAnsi="Cambria"/>
                <w:sz w:val="20"/>
              </w:rPr>
              <w:t>Articles 5 (personal integrity), 7 (personal liberty), 8 (right to a fair trial), 24 (equality before the law) and 25 (judicial protection) of the American Convention in relation to Article 1.1 (obligation to respect rights) thereof</w:t>
            </w:r>
          </w:p>
        </w:tc>
      </w:tr>
      <w:tr w:rsidR="00B60BF6" w:rsidRPr="000868AB" w14:paraId="5DDF74CD" w14:textId="77777777" w:rsidTr="00641D4B">
        <w:trPr>
          <w:cantSplit/>
        </w:trPr>
        <w:tc>
          <w:tcPr>
            <w:tcW w:w="3562" w:type="dxa"/>
            <w:shd w:val="clear" w:color="auto" w:fill="67AE3C"/>
            <w:vAlign w:val="center"/>
          </w:tcPr>
          <w:p w14:paraId="5DDF74CB" w14:textId="77777777" w:rsidR="00B60BF6" w:rsidRPr="00641D4B" w:rsidRDefault="00B60BF6" w:rsidP="00641D4B">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641D4B">
              <w:rPr>
                <w:rFonts w:ascii="Cambria" w:hAnsi="Cambria"/>
                <w:b/>
                <w:color w:val="FFFFFF"/>
                <w:sz w:val="20"/>
              </w:rPr>
              <w:t>Exhaustion of domestic remedies or applicability of an exception to the rule:</w:t>
            </w:r>
          </w:p>
        </w:tc>
        <w:tc>
          <w:tcPr>
            <w:tcW w:w="5680" w:type="dxa"/>
            <w:vAlign w:val="center"/>
          </w:tcPr>
          <w:p w14:paraId="5DDF74CC" w14:textId="77777777" w:rsidR="00B60BF6" w:rsidRPr="00641D4B" w:rsidRDefault="00B60BF6" w:rsidP="008D2290">
            <w:pPr>
              <w:pBdr>
                <w:top w:val="none" w:sz="0" w:space="0" w:color="auto"/>
                <w:left w:val="none" w:sz="0" w:space="0" w:color="auto"/>
                <w:bottom w:val="none" w:sz="0" w:space="0" w:color="auto"/>
                <w:right w:val="none" w:sz="0" w:space="0" w:color="auto"/>
                <w:bar w:val="none" w:sz="0" w:color="auto"/>
              </w:pBdr>
              <w:rPr>
                <w:rFonts w:ascii="Cambria" w:hAnsi="Cambria"/>
                <w:bCs/>
                <w:sz w:val="20"/>
                <w:szCs w:val="20"/>
              </w:rPr>
            </w:pPr>
            <w:r w:rsidRPr="00641D4B">
              <w:rPr>
                <w:rFonts w:ascii="Cambria" w:hAnsi="Cambria"/>
                <w:sz w:val="20"/>
              </w:rPr>
              <w:t>Yes, November 27, 2014</w:t>
            </w:r>
          </w:p>
        </w:tc>
      </w:tr>
      <w:tr w:rsidR="00B60BF6" w:rsidRPr="00B2155F" w14:paraId="5DDF74D0" w14:textId="77777777" w:rsidTr="00641D4B">
        <w:trPr>
          <w:cantSplit/>
        </w:trPr>
        <w:tc>
          <w:tcPr>
            <w:tcW w:w="3562" w:type="dxa"/>
            <w:tcBorders>
              <w:bottom w:val="single" w:sz="4" w:space="0" w:color="auto"/>
            </w:tcBorders>
            <w:shd w:val="clear" w:color="auto" w:fill="67AE3C"/>
            <w:vAlign w:val="center"/>
          </w:tcPr>
          <w:p w14:paraId="5DDF74CE" w14:textId="77777777" w:rsidR="00B60BF6" w:rsidRPr="00641D4B" w:rsidRDefault="00B60BF6" w:rsidP="00641D4B">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641D4B">
              <w:rPr>
                <w:rFonts w:ascii="Cambria" w:hAnsi="Cambria"/>
                <w:b/>
                <w:color w:val="FFFFFF"/>
                <w:sz w:val="20"/>
              </w:rPr>
              <w:t>Timeliness of the petition:</w:t>
            </w:r>
          </w:p>
        </w:tc>
        <w:tc>
          <w:tcPr>
            <w:tcW w:w="5680" w:type="dxa"/>
            <w:tcBorders>
              <w:bottom w:val="single" w:sz="4" w:space="0" w:color="auto"/>
            </w:tcBorders>
            <w:vAlign w:val="center"/>
          </w:tcPr>
          <w:p w14:paraId="5DDF74CF" w14:textId="77777777" w:rsidR="00B60BF6" w:rsidRPr="00641D4B" w:rsidRDefault="00B60BF6" w:rsidP="008D2290">
            <w:pPr>
              <w:pBdr>
                <w:top w:val="none" w:sz="0" w:space="0" w:color="auto"/>
                <w:left w:val="none" w:sz="0" w:space="0" w:color="auto"/>
                <w:bottom w:val="none" w:sz="0" w:space="0" w:color="auto"/>
                <w:right w:val="none" w:sz="0" w:space="0" w:color="auto"/>
                <w:bar w:val="none" w:sz="0" w:color="auto"/>
              </w:pBdr>
              <w:rPr>
                <w:rFonts w:ascii="Cambria" w:hAnsi="Cambria"/>
                <w:bCs/>
                <w:sz w:val="20"/>
                <w:szCs w:val="20"/>
              </w:rPr>
            </w:pPr>
            <w:r w:rsidRPr="00641D4B">
              <w:rPr>
                <w:rFonts w:ascii="Cambria" w:hAnsi="Cambria"/>
                <w:sz w:val="20"/>
              </w:rPr>
              <w:t>Yes</w:t>
            </w:r>
          </w:p>
        </w:tc>
      </w:tr>
    </w:tbl>
    <w:p w14:paraId="5DDF74D1" w14:textId="77777777" w:rsidR="00B60BF6" w:rsidRPr="000268EF" w:rsidRDefault="00B60BF6" w:rsidP="003239B8">
      <w:pPr>
        <w:pBdr>
          <w:top w:val="none" w:sz="0" w:space="0" w:color="auto"/>
          <w:left w:val="none" w:sz="0" w:space="0" w:color="auto"/>
          <w:bottom w:val="none" w:sz="0" w:space="0" w:color="auto"/>
          <w:right w:val="none" w:sz="0" w:space="0" w:color="auto"/>
          <w:bar w:val="none" w:sz="0" w:color="auto"/>
        </w:pBdr>
        <w:spacing w:before="240" w:after="240"/>
        <w:ind w:firstLine="720"/>
        <w:jc w:val="both"/>
        <w:rPr>
          <w:rFonts w:ascii="Cambria" w:hAnsi="Cambria"/>
          <w:b/>
          <w:sz w:val="20"/>
          <w:szCs w:val="20"/>
        </w:rPr>
      </w:pPr>
      <w:r w:rsidRPr="00CC0638">
        <w:rPr>
          <w:rFonts w:ascii="Cambria" w:hAnsi="Cambria"/>
          <w:b/>
          <w:sz w:val="20"/>
        </w:rPr>
        <w:t xml:space="preserve">V. </w:t>
      </w:r>
      <w:r w:rsidRPr="00CC0638">
        <w:rPr>
          <w:rFonts w:ascii="Cambria" w:hAnsi="Cambria"/>
          <w:b/>
          <w:sz w:val="20"/>
        </w:rPr>
        <w:tab/>
      </w:r>
      <w:r>
        <w:rPr>
          <w:rFonts w:ascii="Cambria" w:hAnsi="Cambria"/>
          <w:b/>
          <w:sz w:val="20"/>
        </w:rPr>
        <w:t xml:space="preserve">POSITION OF THE PARTIES </w:t>
      </w:r>
    </w:p>
    <w:p w14:paraId="5DDF74D2" w14:textId="77777777" w:rsidR="00B60BF6" w:rsidRPr="000268EF" w:rsidRDefault="00B60BF6" w:rsidP="00000F0E">
      <w:pPr>
        <w:pStyle w:val="ListParagraph"/>
        <w:numPr>
          <w:ilvl w:val="0"/>
          <w:numId w:val="59"/>
        </w:numPr>
        <w:pBdr>
          <w:top w:val="none" w:sz="0" w:space="0" w:color="auto"/>
          <w:left w:val="none" w:sz="0" w:space="0" w:color="auto"/>
          <w:bottom w:val="none" w:sz="0" w:space="0" w:color="auto"/>
          <w:right w:val="none" w:sz="0" w:space="0" w:color="auto"/>
          <w:bar w:val="none" w:sz="0" w:color="auto"/>
        </w:pBdr>
        <w:suppressAutoHyphens/>
        <w:ind w:left="0" w:firstLine="720"/>
        <w:jc w:val="both"/>
        <w:rPr>
          <w:b/>
          <w:bCs/>
          <w:sz w:val="20"/>
          <w:szCs w:val="20"/>
        </w:rPr>
      </w:pPr>
      <w:r>
        <w:rPr>
          <w:sz w:val="20"/>
        </w:rPr>
        <w:t xml:space="preserve">The petitioner alleges that her husband, Mr. Sammy Segebre Naranjo, was tried and convicted in criminal proceedings that were not compatible with the principles of presumption of innocence </w:t>
      </w:r>
      <w:r>
        <w:rPr>
          <w:sz w:val="20"/>
        </w:rPr>
        <w:lastRenderedPageBreak/>
        <w:t xml:space="preserve">and impartiality, and that he was convicted with the purpose of exculpating a politically influential person. She further alleges that Mr. Segebre was deprived of his liberty for eleven months without being brought before a judicial authority and that he has developed serious health problems as a consequence of being denied medical care while he was imprisoned. </w:t>
      </w:r>
    </w:p>
    <w:p w14:paraId="5DDF74D3" w14:textId="77777777" w:rsidR="00B60BF6" w:rsidRPr="001B42F2" w:rsidRDefault="00B60BF6" w:rsidP="00000F0E">
      <w:pPr>
        <w:pStyle w:val="ListParagraph"/>
        <w:pBdr>
          <w:top w:val="none" w:sz="0" w:space="0" w:color="auto"/>
          <w:left w:val="none" w:sz="0" w:space="0" w:color="auto"/>
          <w:bottom w:val="none" w:sz="0" w:space="0" w:color="auto"/>
          <w:right w:val="none" w:sz="0" w:space="0" w:color="auto"/>
          <w:bar w:val="none" w:sz="0" w:color="auto"/>
        </w:pBdr>
        <w:suppressAutoHyphens/>
        <w:jc w:val="both"/>
        <w:rPr>
          <w:b/>
          <w:bCs/>
          <w:sz w:val="20"/>
          <w:szCs w:val="20"/>
        </w:rPr>
      </w:pPr>
    </w:p>
    <w:p w14:paraId="5DDF74D4" w14:textId="77777777" w:rsidR="00B60BF6" w:rsidRPr="000268EF" w:rsidRDefault="00B60BF6" w:rsidP="00000F0E">
      <w:pPr>
        <w:pStyle w:val="ListParagraph"/>
        <w:numPr>
          <w:ilvl w:val="0"/>
          <w:numId w:val="59"/>
        </w:numPr>
        <w:pBdr>
          <w:top w:val="none" w:sz="0" w:space="0" w:color="auto"/>
          <w:left w:val="none" w:sz="0" w:space="0" w:color="auto"/>
          <w:bottom w:val="none" w:sz="0" w:space="0" w:color="auto"/>
          <w:right w:val="none" w:sz="0" w:space="0" w:color="auto"/>
          <w:bar w:val="none" w:sz="0" w:color="auto"/>
        </w:pBdr>
        <w:suppressAutoHyphens/>
        <w:ind w:left="0" w:firstLine="720"/>
        <w:jc w:val="both"/>
        <w:rPr>
          <w:b/>
          <w:bCs/>
          <w:sz w:val="20"/>
          <w:szCs w:val="20"/>
        </w:rPr>
      </w:pPr>
      <w:r>
        <w:rPr>
          <w:sz w:val="20"/>
        </w:rPr>
        <w:t xml:space="preserve">According to the petitioner, Mr. Segebre, a Colombian national, emigrated to </w:t>
      </w:r>
      <w:smartTag w:uri="urn:schemas-microsoft-com:office:smarttags" w:element="country-region">
        <w:smartTag w:uri="urn:schemas-microsoft-com:office:smarttags" w:element="place">
          <w:r>
            <w:rPr>
              <w:sz w:val="20"/>
            </w:rPr>
            <w:t>Panama</w:t>
          </w:r>
        </w:smartTag>
      </w:smartTag>
      <w:r>
        <w:rPr>
          <w:sz w:val="20"/>
        </w:rPr>
        <w:t xml:space="preserve">, where he began to work in a nightclub as a bar and cashier manager at nights. He performed this job while on an irregular migration status since his employer had promised to obtain a work permit for him. However, his employer never filed said request. In May 2007, this employer was detained under drug trafficking and money laundering charges. However, the petitioner’s husband continued to work in the nightclub, since he thought that this situation would not affect him because he was not involved in those activities. </w:t>
      </w:r>
    </w:p>
    <w:p w14:paraId="5DDF74D5" w14:textId="77777777" w:rsidR="00B60BF6" w:rsidRPr="001B42F2" w:rsidRDefault="00B60BF6" w:rsidP="00947B23">
      <w:pPr>
        <w:pStyle w:val="ListParagraph"/>
        <w:pBdr>
          <w:top w:val="none" w:sz="0" w:space="0" w:color="auto"/>
          <w:left w:val="none" w:sz="0" w:space="0" w:color="auto"/>
          <w:bottom w:val="none" w:sz="0" w:space="0" w:color="auto"/>
          <w:right w:val="none" w:sz="0" w:space="0" w:color="auto"/>
          <w:bar w:val="none" w:sz="0" w:color="auto"/>
        </w:pBdr>
        <w:rPr>
          <w:b/>
          <w:bCs/>
          <w:sz w:val="20"/>
          <w:szCs w:val="20"/>
        </w:rPr>
      </w:pPr>
    </w:p>
    <w:p w14:paraId="5DDF74D6" w14:textId="77777777" w:rsidR="00B60BF6" w:rsidRPr="000268EF" w:rsidRDefault="00B60BF6" w:rsidP="00000F0E">
      <w:pPr>
        <w:pStyle w:val="ListParagraph"/>
        <w:numPr>
          <w:ilvl w:val="0"/>
          <w:numId w:val="59"/>
        </w:numPr>
        <w:pBdr>
          <w:top w:val="none" w:sz="0" w:space="0" w:color="auto"/>
          <w:left w:val="none" w:sz="0" w:space="0" w:color="auto"/>
          <w:bottom w:val="none" w:sz="0" w:space="0" w:color="auto"/>
          <w:right w:val="none" w:sz="0" w:space="0" w:color="auto"/>
          <w:bar w:val="none" w:sz="0" w:color="auto"/>
        </w:pBdr>
        <w:suppressAutoHyphens/>
        <w:ind w:left="0" w:firstLine="720"/>
        <w:jc w:val="both"/>
        <w:rPr>
          <w:b/>
          <w:bCs/>
          <w:sz w:val="20"/>
          <w:szCs w:val="20"/>
        </w:rPr>
      </w:pPr>
      <w:r>
        <w:rPr>
          <w:sz w:val="20"/>
        </w:rPr>
        <w:t xml:space="preserve">On November 10, 2007, around </w:t>
      </w:r>
      <w:smartTag w:uri="urn:schemas-microsoft-com:office:smarttags" w:element="metricconverter">
        <w:smartTagPr>
          <w:attr w:name="ProductID" w:val="3 a"/>
        </w:smartTagPr>
        <w:r>
          <w:rPr>
            <w:sz w:val="20"/>
          </w:rPr>
          <w:t>3 a</w:t>
        </w:r>
      </w:smartTag>
      <w:r>
        <w:rPr>
          <w:sz w:val="20"/>
        </w:rPr>
        <w:t>.m., a search warrant</w:t>
      </w:r>
      <w:r w:rsidDel="00E346F1">
        <w:rPr>
          <w:sz w:val="20"/>
        </w:rPr>
        <w:t xml:space="preserve"> </w:t>
      </w:r>
      <w:r>
        <w:rPr>
          <w:sz w:val="20"/>
        </w:rPr>
        <w:t xml:space="preserve">was executed in the nightclub at the request of the Office of the Public Prosecutor. The petitioner argues that this search warrant was issued based on a series of previous undercover operations in which only one undercover purchase of drugs was recorded, and during which Mr. Segebre cooperated fully with the undercover agents, provided them with more than four bottles of alcohol, allowed them to sit in two tables placed strategically, and refrained from informing the rest of the nightclub staff about these operations. In spite of this, the petitioner’s husband, along with other nightclub employees, was arrested during the execution of the search warrant. </w:t>
      </w:r>
    </w:p>
    <w:p w14:paraId="5DDF74D7" w14:textId="77777777" w:rsidR="00B60BF6" w:rsidRPr="001B42F2" w:rsidRDefault="00B60BF6" w:rsidP="00584C1D">
      <w:pPr>
        <w:pStyle w:val="ListParagraph"/>
        <w:pBdr>
          <w:top w:val="none" w:sz="0" w:space="0" w:color="auto"/>
          <w:left w:val="none" w:sz="0" w:space="0" w:color="auto"/>
          <w:bottom w:val="none" w:sz="0" w:space="0" w:color="auto"/>
          <w:right w:val="none" w:sz="0" w:space="0" w:color="auto"/>
          <w:bar w:val="none" w:sz="0" w:color="auto"/>
        </w:pBdr>
        <w:rPr>
          <w:b/>
          <w:bCs/>
          <w:sz w:val="20"/>
          <w:szCs w:val="20"/>
        </w:rPr>
      </w:pPr>
    </w:p>
    <w:p w14:paraId="5DDF74D8" w14:textId="77777777" w:rsidR="00B60BF6" w:rsidRPr="000268EF" w:rsidRDefault="00B60BF6" w:rsidP="000A31B3">
      <w:pPr>
        <w:pStyle w:val="ListParagraph"/>
        <w:numPr>
          <w:ilvl w:val="0"/>
          <w:numId w:val="59"/>
        </w:numPr>
        <w:pBdr>
          <w:top w:val="none" w:sz="0" w:space="0" w:color="auto"/>
          <w:left w:val="none" w:sz="0" w:space="0" w:color="auto"/>
          <w:bottom w:val="none" w:sz="0" w:space="0" w:color="auto"/>
          <w:right w:val="none" w:sz="0" w:space="0" w:color="auto"/>
          <w:bar w:val="none" w:sz="0" w:color="auto"/>
        </w:pBdr>
        <w:suppressAutoHyphens/>
        <w:ind w:left="0" w:firstLine="720"/>
        <w:jc w:val="both"/>
        <w:rPr>
          <w:b/>
          <w:bCs/>
          <w:sz w:val="20"/>
          <w:szCs w:val="20"/>
        </w:rPr>
      </w:pPr>
      <w:r>
        <w:rPr>
          <w:sz w:val="20"/>
        </w:rPr>
        <w:t xml:space="preserve">The petitioner alleges that, after the execution of the search warrant, her husband was detained for a full month in the premises of the office of the drugs prosecutor, and that he was not informed of the reasons for his detention nor provided with any other type of information regarding his situation. The petitioner also indicates that her husband was held </w:t>
      </w:r>
      <w:r w:rsidRPr="001938F3">
        <w:rPr>
          <w:i/>
          <w:iCs/>
          <w:sz w:val="20"/>
        </w:rPr>
        <w:t>incommunicado</w:t>
      </w:r>
      <w:r>
        <w:rPr>
          <w:sz w:val="20"/>
        </w:rPr>
        <w:t xml:space="preserve"> for a month, except for a few minutes during which he was allowed to see a lawyer, so that he could sign a power of attorney. </w:t>
      </w:r>
      <w:r w:rsidRPr="00C931E9">
        <w:rPr>
          <w:sz w:val="20"/>
        </w:rPr>
        <w:t>He was finally called to testify afterward</w:t>
      </w:r>
      <w:r>
        <w:rPr>
          <w:sz w:val="20"/>
        </w:rPr>
        <w:t>s</w:t>
      </w:r>
      <w:r w:rsidRPr="00C931E9">
        <w:rPr>
          <w:sz w:val="20"/>
        </w:rPr>
        <w:t>,</w:t>
      </w:r>
      <w:r>
        <w:rPr>
          <w:sz w:val="20"/>
        </w:rPr>
        <w:t xml:space="preserve"> and he did so with the assistance of an inexperienced lawyer who had been assigned to him by the nightclub. After this, he was transferred to the La Joyita prison where, sometime later, he was informed that he was accused of being a member of a criminal gang. The petitioner indicates that the brief submitted by the prosecutor contained the false allegation that her husband was found with drugs and money in his possession. She further alleges that her husband was not brought before a judge until October 2008, eleven months after he had been arrested. </w:t>
      </w:r>
    </w:p>
    <w:p w14:paraId="5DDF74D9" w14:textId="77777777" w:rsidR="00B60BF6" w:rsidRPr="001B42F2" w:rsidRDefault="00B60BF6" w:rsidP="0026436D">
      <w:pPr>
        <w:pStyle w:val="ListParagraph"/>
        <w:pBdr>
          <w:top w:val="none" w:sz="0" w:space="0" w:color="auto"/>
          <w:left w:val="none" w:sz="0" w:space="0" w:color="auto"/>
          <w:bottom w:val="none" w:sz="0" w:space="0" w:color="auto"/>
          <w:right w:val="none" w:sz="0" w:space="0" w:color="auto"/>
          <w:bar w:val="none" w:sz="0" w:color="auto"/>
        </w:pBdr>
        <w:rPr>
          <w:b/>
          <w:bCs/>
          <w:sz w:val="20"/>
          <w:szCs w:val="20"/>
        </w:rPr>
      </w:pPr>
    </w:p>
    <w:p w14:paraId="5DDF74DA" w14:textId="77777777" w:rsidR="00B60BF6" w:rsidRPr="000268EF" w:rsidRDefault="00B60BF6" w:rsidP="00000F0E">
      <w:pPr>
        <w:pStyle w:val="ListParagraph"/>
        <w:numPr>
          <w:ilvl w:val="0"/>
          <w:numId w:val="59"/>
        </w:numPr>
        <w:pBdr>
          <w:top w:val="none" w:sz="0" w:space="0" w:color="auto"/>
          <w:left w:val="none" w:sz="0" w:space="0" w:color="auto"/>
          <w:bottom w:val="none" w:sz="0" w:space="0" w:color="auto"/>
          <w:right w:val="none" w:sz="0" w:space="0" w:color="auto"/>
          <w:bar w:val="none" w:sz="0" w:color="auto"/>
        </w:pBdr>
        <w:suppressAutoHyphens/>
        <w:ind w:left="0" w:firstLine="720"/>
        <w:jc w:val="both"/>
        <w:rPr>
          <w:b/>
          <w:bCs/>
          <w:sz w:val="20"/>
          <w:szCs w:val="20"/>
        </w:rPr>
      </w:pPr>
      <w:r>
        <w:rPr>
          <w:sz w:val="20"/>
        </w:rPr>
        <w:t xml:space="preserve">As a result of these proceedings, on January 30, 2009, the Fourteenth Circuit Court of Panama sentenced Mr. Segebre to one hundred months in prison for the crime of illicit sale of drugs. The petitioner argues that this judgement violated the principle of presumption of innocence since it was based solely on the testimony of a police officer who declared that he had seen her husband exchanging something with a co-accused, although the same witness also acknowledged that he had not been able to see if the exchanged items were drugs, and that he had seen this exchange from a great distance and while the lights were low. </w:t>
      </w:r>
      <w:r w:rsidRPr="002565CE">
        <w:rPr>
          <w:sz w:val="20"/>
        </w:rPr>
        <w:t>The petitioner add</w:t>
      </w:r>
      <w:r>
        <w:rPr>
          <w:sz w:val="20"/>
        </w:rPr>
        <w:t>s</w:t>
      </w:r>
      <w:r w:rsidRPr="002565CE">
        <w:rPr>
          <w:sz w:val="20"/>
        </w:rPr>
        <w:t xml:space="preserve"> that, according to the statements from the co-accused and the people questioned, her husband was not involved in the </w:t>
      </w:r>
      <w:r>
        <w:rPr>
          <w:sz w:val="20"/>
        </w:rPr>
        <w:t>fact</w:t>
      </w:r>
      <w:r w:rsidRPr="002565CE">
        <w:rPr>
          <w:sz w:val="20"/>
        </w:rPr>
        <w:t xml:space="preserve">s. On the contrary, these statements </w:t>
      </w:r>
      <w:r>
        <w:rPr>
          <w:sz w:val="20"/>
        </w:rPr>
        <w:t>releas</w:t>
      </w:r>
      <w:r w:rsidRPr="002565CE">
        <w:rPr>
          <w:sz w:val="20"/>
        </w:rPr>
        <w:t>ed him from any responsibility.</w:t>
      </w:r>
      <w:r>
        <w:rPr>
          <w:sz w:val="20"/>
        </w:rPr>
        <w:t xml:space="preserve"> She additionally complains that her husband’s lawyers submitted a request in which they asked to be informed of the identity of the undercover agents who were assisted by him before the execution of the search warrant. However, this request was never answered.</w:t>
      </w:r>
    </w:p>
    <w:p w14:paraId="5DDF74DB" w14:textId="77777777" w:rsidR="00B60BF6" w:rsidRPr="001B42F2" w:rsidRDefault="00B60BF6" w:rsidP="001B19C6">
      <w:pPr>
        <w:pBdr>
          <w:top w:val="none" w:sz="0" w:space="0" w:color="auto"/>
          <w:left w:val="none" w:sz="0" w:space="0" w:color="auto"/>
          <w:bottom w:val="none" w:sz="0" w:space="0" w:color="auto"/>
          <w:right w:val="none" w:sz="0" w:space="0" w:color="auto"/>
          <w:bar w:val="none" w:sz="0" w:color="auto"/>
        </w:pBdr>
        <w:suppressAutoHyphens/>
        <w:jc w:val="both"/>
        <w:rPr>
          <w:b/>
          <w:bCs/>
          <w:sz w:val="20"/>
          <w:szCs w:val="20"/>
        </w:rPr>
      </w:pPr>
    </w:p>
    <w:p w14:paraId="5DDF74DC" w14:textId="77777777" w:rsidR="00B60BF6" w:rsidRPr="00887D7D" w:rsidRDefault="00B60BF6" w:rsidP="00CD733A">
      <w:pPr>
        <w:pStyle w:val="ListParagraph"/>
        <w:numPr>
          <w:ilvl w:val="0"/>
          <w:numId w:val="59"/>
        </w:numPr>
        <w:pBdr>
          <w:top w:val="none" w:sz="0" w:space="0" w:color="auto"/>
          <w:left w:val="none" w:sz="0" w:space="0" w:color="auto"/>
          <w:bottom w:val="none" w:sz="0" w:space="0" w:color="auto"/>
          <w:right w:val="none" w:sz="0" w:space="0" w:color="auto"/>
          <w:bar w:val="none" w:sz="0" w:color="auto"/>
        </w:pBdr>
        <w:suppressAutoHyphens/>
        <w:ind w:left="0" w:firstLine="720"/>
        <w:jc w:val="both"/>
        <w:rPr>
          <w:bCs/>
          <w:sz w:val="20"/>
          <w:szCs w:val="20"/>
        </w:rPr>
      </w:pPr>
      <w:r>
        <w:rPr>
          <w:sz w:val="20"/>
        </w:rPr>
        <w:t xml:space="preserve">The petitioner also points out that her husband’s name had never been mentioned in the investigation file until after he was arrested during the execution of the search warrant. She claims that the investigation was opened against another person whose name and physical description were actually included in the file, unlike her husband’s. Nevertheless, according to the petitioner, that person had close ties with the Panamanian government and with officials from the Office of the General Prosecutor. For these reasons, Mr. Segebre was purpotedly used as a “scapegoat” to deflect the investigation from its original target. The petitioner highlights that the person against whom the investigation had been reportedly opened was never arrested or prosecuted and that, on the contrary, he was appointed as a consul while the criminal proceedings against her husband and his co-accused were ongoing. The petitioner adds that her husband’s lawyers submitted a request asking for access to another file that involved the person against whom the investigation had been </w:t>
      </w:r>
      <w:r w:rsidRPr="00887D7D">
        <w:rPr>
          <w:sz w:val="20"/>
        </w:rPr>
        <w:t>initially opened. However, this request was never answered.</w:t>
      </w:r>
    </w:p>
    <w:p w14:paraId="5DDF74DD" w14:textId="77777777" w:rsidR="00B60BF6" w:rsidRPr="001B42F2" w:rsidRDefault="00B60BF6" w:rsidP="001B19C6">
      <w:pPr>
        <w:pStyle w:val="ListParagraph"/>
        <w:pBdr>
          <w:top w:val="none" w:sz="0" w:space="0" w:color="auto"/>
          <w:left w:val="none" w:sz="0" w:space="0" w:color="auto"/>
          <w:bottom w:val="none" w:sz="0" w:space="0" w:color="auto"/>
          <w:right w:val="none" w:sz="0" w:space="0" w:color="auto"/>
          <w:bar w:val="none" w:sz="0" w:color="auto"/>
        </w:pBdr>
        <w:rPr>
          <w:sz w:val="20"/>
          <w:szCs w:val="20"/>
        </w:rPr>
      </w:pPr>
    </w:p>
    <w:p w14:paraId="5DDF74DE" w14:textId="77777777" w:rsidR="00B60BF6" w:rsidRPr="000268EF" w:rsidRDefault="00B60BF6" w:rsidP="00A37057">
      <w:pPr>
        <w:pStyle w:val="ListParagraph"/>
        <w:numPr>
          <w:ilvl w:val="0"/>
          <w:numId w:val="59"/>
        </w:numPr>
        <w:pBdr>
          <w:top w:val="none" w:sz="0" w:space="0" w:color="auto"/>
          <w:left w:val="none" w:sz="0" w:space="0" w:color="auto"/>
          <w:bottom w:val="none" w:sz="0" w:space="0" w:color="auto"/>
          <w:right w:val="none" w:sz="0" w:space="0" w:color="auto"/>
          <w:bar w:val="none" w:sz="0" w:color="auto"/>
        </w:pBdr>
        <w:suppressAutoHyphens/>
        <w:ind w:left="0" w:firstLine="720"/>
        <w:jc w:val="both"/>
        <w:rPr>
          <w:bCs/>
          <w:sz w:val="20"/>
          <w:szCs w:val="20"/>
        </w:rPr>
      </w:pPr>
      <w:r>
        <w:rPr>
          <w:sz w:val="20"/>
        </w:rPr>
        <w:t xml:space="preserve">The petitioner further contends that her husband’s conviction was motivated by the need of the Office of the General Prosecutor to justify an operation that involved more than eighty of their agents but yielded no results. She additionally argues that the conviction was as a result of the prejudices of the Panamanian criminal authorities and their tendency to equate having a Colombian nationality with being involved  in drug trafficking. </w:t>
      </w:r>
    </w:p>
    <w:p w14:paraId="5DDF74DF" w14:textId="77777777" w:rsidR="00B60BF6" w:rsidRPr="001B42F2" w:rsidRDefault="00B60BF6" w:rsidP="00640080">
      <w:pPr>
        <w:pStyle w:val="ListParagraph"/>
        <w:pBdr>
          <w:top w:val="none" w:sz="0" w:space="0" w:color="auto"/>
          <w:left w:val="none" w:sz="0" w:space="0" w:color="auto"/>
          <w:bottom w:val="none" w:sz="0" w:space="0" w:color="auto"/>
          <w:right w:val="none" w:sz="0" w:space="0" w:color="auto"/>
          <w:bar w:val="none" w:sz="0" w:color="auto"/>
        </w:pBdr>
        <w:suppressAutoHyphens/>
        <w:jc w:val="both"/>
        <w:rPr>
          <w:bCs/>
          <w:sz w:val="20"/>
          <w:szCs w:val="20"/>
        </w:rPr>
      </w:pPr>
    </w:p>
    <w:p w14:paraId="5DDF74E0" w14:textId="77777777" w:rsidR="00B60BF6" w:rsidRPr="000268EF" w:rsidRDefault="00B60BF6" w:rsidP="00BA73FB">
      <w:pPr>
        <w:pStyle w:val="ListParagraph"/>
        <w:numPr>
          <w:ilvl w:val="0"/>
          <w:numId w:val="59"/>
        </w:numPr>
        <w:pBdr>
          <w:top w:val="none" w:sz="0" w:space="0" w:color="auto"/>
          <w:left w:val="none" w:sz="0" w:space="0" w:color="auto"/>
          <w:bottom w:val="none" w:sz="0" w:space="0" w:color="auto"/>
          <w:right w:val="none" w:sz="0" w:space="0" w:color="auto"/>
          <w:bar w:val="none" w:sz="0" w:color="auto"/>
        </w:pBdr>
        <w:suppressAutoHyphens/>
        <w:ind w:left="0" w:firstLine="720"/>
        <w:jc w:val="both"/>
        <w:rPr>
          <w:bCs/>
          <w:sz w:val="20"/>
          <w:szCs w:val="20"/>
        </w:rPr>
      </w:pPr>
      <w:r>
        <w:rPr>
          <w:sz w:val="20"/>
        </w:rPr>
        <w:t xml:space="preserve">The petitioner’s husband appealed his conviction and, consequently, on January 19, 2010, the Second Court of the First Judicial District of Panama rendered a judgement in which he was acquitted of all the charges filed against him. The Court considered that the evidence against him was merely circumstantial; that there was uncertainty as to whether he had handed over drugs to the co-accused; and that he had not been found in the possession of any drugs, packaging equipment or marked bills. </w:t>
      </w:r>
    </w:p>
    <w:p w14:paraId="5DDF74E1" w14:textId="77777777" w:rsidR="00B60BF6" w:rsidRPr="001B42F2" w:rsidRDefault="00B60BF6" w:rsidP="00133D1B">
      <w:pPr>
        <w:pStyle w:val="ListParagraph"/>
        <w:pBdr>
          <w:top w:val="none" w:sz="0" w:space="0" w:color="auto"/>
          <w:left w:val="none" w:sz="0" w:space="0" w:color="auto"/>
          <w:bottom w:val="none" w:sz="0" w:space="0" w:color="auto"/>
          <w:right w:val="none" w:sz="0" w:space="0" w:color="auto"/>
          <w:bar w:val="none" w:sz="0" w:color="auto"/>
        </w:pBdr>
        <w:rPr>
          <w:bCs/>
          <w:sz w:val="20"/>
          <w:szCs w:val="20"/>
        </w:rPr>
      </w:pPr>
    </w:p>
    <w:p w14:paraId="5DDF74E2" w14:textId="77777777" w:rsidR="00B60BF6" w:rsidRPr="000268EF" w:rsidRDefault="00B60BF6" w:rsidP="00BA73FB">
      <w:pPr>
        <w:pStyle w:val="ListParagraph"/>
        <w:numPr>
          <w:ilvl w:val="0"/>
          <w:numId w:val="59"/>
        </w:numPr>
        <w:pBdr>
          <w:top w:val="none" w:sz="0" w:space="0" w:color="auto"/>
          <w:left w:val="none" w:sz="0" w:space="0" w:color="auto"/>
          <w:bottom w:val="none" w:sz="0" w:space="0" w:color="auto"/>
          <w:right w:val="none" w:sz="0" w:space="0" w:color="auto"/>
          <w:bar w:val="none" w:sz="0" w:color="auto"/>
        </w:pBdr>
        <w:suppressAutoHyphens/>
        <w:ind w:left="0" w:firstLine="720"/>
        <w:jc w:val="both"/>
        <w:rPr>
          <w:bCs/>
          <w:sz w:val="20"/>
          <w:szCs w:val="20"/>
        </w:rPr>
      </w:pPr>
      <w:r>
        <w:rPr>
          <w:sz w:val="20"/>
        </w:rPr>
        <w:t xml:space="preserve">The Office of the General Prosecutor filed a cassation appeal against the judgement of the appeals court which had acquitted Mr. Segebre. His defense opposed this appeal. On November 27, 2014, the Second Criminal Chamber of the Supreme Court of Justice ruled to overturn the appeals court’s decision and reinstate the conviction and sentence imposed by the lower court. The petitioner complains that Justice José Ayú Prado was part of the court that resolved the cassation appeal and that he was not impartial since he had been the general director of the Judicial Technical Police at the time of the investigations and operations that had led to the arrest of her husband. </w:t>
      </w:r>
    </w:p>
    <w:p w14:paraId="5DDF74E3" w14:textId="77777777" w:rsidR="00B60BF6" w:rsidRPr="001B42F2" w:rsidRDefault="00B60BF6" w:rsidP="00A14AB4">
      <w:pPr>
        <w:pStyle w:val="ListParagraph"/>
        <w:pBdr>
          <w:top w:val="none" w:sz="0" w:space="0" w:color="auto"/>
          <w:left w:val="none" w:sz="0" w:space="0" w:color="auto"/>
          <w:bottom w:val="none" w:sz="0" w:space="0" w:color="auto"/>
          <w:right w:val="none" w:sz="0" w:space="0" w:color="auto"/>
          <w:bar w:val="none" w:sz="0" w:color="auto"/>
        </w:pBdr>
        <w:rPr>
          <w:bCs/>
          <w:sz w:val="20"/>
          <w:szCs w:val="20"/>
        </w:rPr>
      </w:pPr>
    </w:p>
    <w:p w14:paraId="5DDF74E4" w14:textId="77777777" w:rsidR="00B60BF6" w:rsidRPr="000268EF" w:rsidRDefault="00B60BF6" w:rsidP="00BA73FB">
      <w:pPr>
        <w:pStyle w:val="ListParagraph"/>
        <w:numPr>
          <w:ilvl w:val="0"/>
          <w:numId w:val="59"/>
        </w:numPr>
        <w:pBdr>
          <w:top w:val="none" w:sz="0" w:space="0" w:color="auto"/>
          <w:left w:val="none" w:sz="0" w:space="0" w:color="auto"/>
          <w:bottom w:val="none" w:sz="0" w:space="0" w:color="auto"/>
          <w:right w:val="none" w:sz="0" w:space="0" w:color="auto"/>
          <w:bar w:val="none" w:sz="0" w:color="auto"/>
        </w:pBdr>
        <w:suppressAutoHyphens/>
        <w:ind w:left="0" w:firstLine="720"/>
        <w:jc w:val="both"/>
        <w:rPr>
          <w:bCs/>
          <w:sz w:val="20"/>
          <w:szCs w:val="20"/>
        </w:rPr>
      </w:pPr>
      <w:r>
        <w:rPr>
          <w:sz w:val="20"/>
        </w:rPr>
        <w:t xml:space="preserve">The petitioner also claims that her husband did not receive the medical care he needed while he was deprived of his liberty and that, as a consequence of this, he reportedly lost the vision of his left eye and suffered damages to his hearing, as well as episodes of anxiety and depression. The petitioner provided a copy of an urgent request for ophthalmologic medical care submitted by the lawyers of her husband to the Fourteenth Criminal Circuit Judge, which she alleges was never answered. </w:t>
      </w:r>
    </w:p>
    <w:p w14:paraId="5DDF74E5" w14:textId="77777777" w:rsidR="00B60BF6" w:rsidRPr="001B42F2" w:rsidRDefault="00B60BF6" w:rsidP="00335071">
      <w:pPr>
        <w:pStyle w:val="ListParagraph"/>
        <w:pBdr>
          <w:top w:val="none" w:sz="0" w:space="0" w:color="auto"/>
          <w:left w:val="none" w:sz="0" w:space="0" w:color="auto"/>
          <w:bottom w:val="none" w:sz="0" w:space="0" w:color="auto"/>
          <w:right w:val="none" w:sz="0" w:space="0" w:color="auto"/>
          <w:bar w:val="none" w:sz="0" w:color="auto"/>
        </w:pBdr>
        <w:rPr>
          <w:bCs/>
          <w:sz w:val="20"/>
          <w:szCs w:val="20"/>
        </w:rPr>
      </w:pPr>
    </w:p>
    <w:p w14:paraId="5DDF74E6" w14:textId="77777777" w:rsidR="00B60BF6" w:rsidRPr="000268EF" w:rsidRDefault="00B60BF6" w:rsidP="00732A6A">
      <w:pPr>
        <w:pStyle w:val="ListParagraph"/>
        <w:numPr>
          <w:ilvl w:val="0"/>
          <w:numId w:val="59"/>
        </w:numPr>
        <w:pBdr>
          <w:top w:val="none" w:sz="0" w:space="0" w:color="auto"/>
          <w:left w:val="none" w:sz="0" w:space="0" w:color="auto"/>
          <w:bottom w:val="none" w:sz="0" w:space="0" w:color="auto"/>
          <w:right w:val="none" w:sz="0" w:space="0" w:color="auto"/>
          <w:bar w:val="none" w:sz="0" w:color="auto"/>
        </w:pBdr>
        <w:suppressAutoHyphens/>
        <w:ind w:left="0" w:firstLine="720"/>
        <w:jc w:val="both"/>
        <w:rPr>
          <w:bCs/>
          <w:sz w:val="20"/>
          <w:szCs w:val="20"/>
        </w:rPr>
      </w:pPr>
      <w:r>
        <w:rPr>
          <w:sz w:val="20"/>
        </w:rPr>
        <w:t xml:space="preserve">The petitioner also alleges that after his arrest, the Panamanian authorities never notified her husband that he had the right to contact the Colombian consular authorities and to receive assistance from them. However, she explains that, on her own initiative, she informed the Consulate of Colombia in Panama and the Ministry of Foreign Affairs of Colombia of her husband’s situation, but these efforts did not yield major results. The petitioner also indicates that she reported the abuses perpetrated against her husband to the Office of the General Prosecutor of Panama, the Office of the Ombudsperson of Panama, and several Panamanian civil society organizations, but she did not obtain any results. </w:t>
      </w:r>
    </w:p>
    <w:p w14:paraId="5DDF74E7" w14:textId="77777777" w:rsidR="00B60BF6" w:rsidRPr="001B42F2" w:rsidRDefault="00B60BF6" w:rsidP="00732A6A">
      <w:pPr>
        <w:pStyle w:val="ListParagraph"/>
        <w:pBdr>
          <w:top w:val="none" w:sz="0" w:space="0" w:color="auto"/>
          <w:left w:val="none" w:sz="0" w:space="0" w:color="auto"/>
          <w:bottom w:val="none" w:sz="0" w:space="0" w:color="auto"/>
          <w:right w:val="none" w:sz="0" w:space="0" w:color="auto"/>
          <w:bar w:val="none" w:sz="0" w:color="auto"/>
        </w:pBdr>
        <w:rPr>
          <w:bCs/>
          <w:sz w:val="20"/>
          <w:szCs w:val="20"/>
        </w:rPr>
      </w:pPr>
    </w:p>
    <w:p w14:paraId="5DDF74E8" w14:textId="77777777" w:rsidR="00B60BF6" w:rsidRPr="000268EF" w:rsidRDefault="00B60BF6" w:rsidP="00732A6A">
      <w:pPr>
        <w:pStyle w:val="ListParagraph"/>
        <w:numPr>
          <w:ilvl w:val="0"/>
          <w:numId w:val="59"/>
        </w:numPr>
        <w:pBdr>
          <w:top w:val="none" w:sz="0" w:space="0" w:color="auto"/>
          <w:left w:val="none" w:sz="0" w:space="0" w:color="auto"/>
          <w:bottom w:val="none" w:sz="0" w:space="0" w:color="auto"/>
          <w:right w:val="none" w:sz="0" w:space="0" w:color="auto"/>
          <w:bar w:val="none" w:sz="0" w:color="auto"/>
        </w:pBdr>
        <w:suppressAutoHyphens/>
        <w:ind w:left="0" w:firstLine="720"/>
        <w:jc w:val="both"/>
        <w:rPr>
          <w:bCs/>
          <w:sz w:val="20"/>
          <w:szCs w:val="20"/>
        </w:rPr>
      </w:pPr>
      <w:r>
        <w:rPr>
          <w:sz w:val="20"/>
        </w:rPr>
        <w:t xml:space="preserve">For its part, the Panamanian State considers that the petition should be declared inadmissible since the domestic remedies were not exhausted, the petition is not timely, the petitioner incorrectly expects the IACHR to act as a “fourth instance court”, and because the judgement rendered on the cassation appeal filed by the Office of the Public Prosecutor did not violate the guarantee of impartiality. </w:t>
      </w:r>
    </w:p>
    <w:p w14:paraId="5DDF74E9" w14:textId="77777777" w:rsidR="00B60BF6" w:rsidRPr="001B42F2" w:rsidRDefault="00B60BF6" w:rsidP="00FF745E">
      <w:pPr>
        <w:pStyle w:val="ListParagraph"/>
        <w:pBdr>
          <w:top w:val="none" w:sz="0" w:space="0" w:color="auto"/>
          <w:left w:val="none" w:sz="0" w:space="0" w:color="auto"/>
          <w:bottom w:val="none" w:sz="0" w:space="0" w:color="auto"/>
          <w:right w:val="none" w:sz="0" w:space="0" w:color="auto"/>
          <w:bar w:val="none" w:sz="0" w:color="auto"/>
        </w:pBdr>
        <w:rPr>
          <w:bCs/>
          <w:sz w:val="20"/>
          <w:szCs w:val="20"/>
        </w:rPr>
      </w:pPr>
    </w:p>
    <w:p w14:paraId="5DDF74EA" w14:textId="77777777" w:rsidR="00B60BF6" w:rsidRPr="000268EF" w:rsidRDefault="00B60BF6" w:rsidP="00732A6A">
      <w:pPr>
        <w:pStyle w:val="ListParagraph"/>
        <w:numPr>
          <w:ilvl w:val="0"/>
          <w:numId w:val="59"/>
        </w:numPr>
        <w:pBdr>
          <w:top w:val="none" w:sz="0" w:space="0" w:color="auto"/>
          <w:left w:val="none" w:sz="0" w:space="0" w:color="auto"/>
          <w:bottom w:val="none" w:sz="0" w:space="0" w:color="auto"/>
          <w:right w:val="none" w:sz="0" w:space="0" w:color="auto"/>
          <w:bar w:val="none" w:sz="0" w:color="auto"/>
        </w:pBdr>
        <w:suppressAutoHyphens/>
        <w:ind w:left="0" w:firstLine="720"/>
        <w:jc w:val="both"/>
        <w:rPr>
          <w:bCs/>
          <w:sz w:val="20"/>
          <w:szCs w:val="20"/>
        </w:rPr>
      </w:pPr>
      <w:r>
        <w:rPr>
          <w:sz w:val="20"/>
        </w:rPr>
        <w:t xml:space="preserve">According to the State, Mr. Segebre Naranjo left La Joyita detention center on January 26, 2010, after the appeals court rendered the judgement acquitting him of all the charges filed against him. After that, he was remanded to the National Migration Service due to his status as a foreigner. The State did not provide any additional information with regards to what had happened to Mr. Segebre Naranjo after he was placed under the authority of the National Migration Service, that is, the State did not specify whether he was removed from Panama or not. However, the State indicated that, according to its records, Mr. Segebre Naranjo has not re-entered any Panamanian detention center, and that it has not been able to notify him in person of the judgement that reinstated his conviction, although he has been summoned and his defense lawyer has been notified. For the foregoing reason, on January 16, 2018 the Fourteenth Criminal Circuit Judge declared him in contempt, ordered his arrest and declared that the statute of limitations of his conviction was suspended. </w:t>
      </w:r>
    </w:p>
    <w:p w14:paraId="5DDF74EB" w14:textId="77777777" w:rsidR="00B60BF6" w:rsidRPr="001B42F2" w:rsidRDefault="00B60BF6" w:rsidP="00850C0C">
      <w:pPr>
        <w:pStyle w:val="ListParagraph"/>
        <w:pBdr>
          <w:top w:val="none" w:sz="0" w:space="0" w:color="auto"/>
          <w:left w:val="none" w:sz="0" w:space="0" w:color="auto"/>
          <w:bottom w:val="none" w:sz="0" w:space="0" w:color="auto"/>
          <w:right w:val="none" w:sz="0" w:space="0" w:color="auto"/>
          <w:bar w:val="none" w:sz="0" w:color="auto"/>
        </w:pBdr>
        <w:rPr>
          <w:bCs/>
          <w:sz w:val="20"/>
          <w:szCs w:val="20"/>
        </w:rPr>
      </w:pPr>
    </w:p>
    <w:p w14:paraId="5DDF74EC" w14:textId="77777777" w:rsidR="00B60BF6" w:rsidRPr="000268EF" w:rsidRDefault="00B60BF6" w:rsidP="00732A6A">
      <w:pPr>
        <w:pStyle w:val="ListParagraph"/>
        <w:numPr>
          <w:ilvl w:val="0"/>
          <w:numId w:val="59"/>
        </w:numPr>
        <w:pBdr>
          <w:top w:val="none" w:sz="0" w:space="0" w:color="auto"/>
          <w:left w:val="none" w:sz="0" w:space="0" w:color="auto"/>
          <w:bottom w:val="none" w:sz="0" w:space="0" w:color="auto"/>
          <w:right w:val="none" w:sz="0" w:space="0" w:color="auto"/>
          <w:bar w:val="none" w:sz="0" w:color="auto"/>
        </w:pBdr>
        <w:suppressAutoHyphens/>
        <w:ind w:left="0" w:firstLine="720"/>
        <w:jc w:val="both"/>
        <w:rPr>
          <w:bCs/>
          <w:sz w:val="20"/>
          <w:szCs w:val="20"/>
        </w:rPr>
      </w:pPr>
      <w:r>
        <w:rPr>
          <w:sz w:val="20"/>
        </w:rPr>
        <w:t>In its sole brief, submitted on April 21, 2022, the State indicated that the criminal proceedings against Mr. Segebre Naranjo had been suspended since he was</w:t>
      </w:r>
      <w:r w:rsidDel="00FA4389">
        <w:rPr>
          <w:sz w:val="20"/>
        </w:rPr>
        <w:t xml:space="preserve"> </w:t>
      </w:r>
      <w:r>
        <w:rPr>
          <w:sz w:val="20"/>
        </w:rPr>
        <w:t xml:space="preserve">declared to be in contempt for having failed to appear before the court. Likewise, the State indicated that Mr. Segebre Naranjo had not </w:t>
      </w:r>
      <w:r>
        <w:rPr>
          <w:sz w:val="20"/>
        </w:rPr>
        <w:lastRenderedPageBreak/>
        <w:t xml:space="preserve">exhausted his appeal for review which, despite being an extraordinary appeal, is an adequate and effective remedy for the specific situation denounced in the petition (alleged confusion of Mr. Segebre Naranjo with another person.) In addition, it alleged that the petition was filed when a decision by the appeals court was pending in the proceedings against Mr. Segebre Naranjo. For these reasons, the State considers that the petition does not meet the requirements of exhaustion of domestic remedies and timeliness set forth in Article 46.1.b of the American Convention and Article 32.2 of the Rules of Procedure of the Commission. </w:t>
      </w:r>
    </w:p>
    <w:p w14:paraId="5DDF74ED" w14:textId="77777777" w:rsidR="00B60BF6" w:rsidRPr="001B42F2" w:rsidRDefault="00B60BF6" w:rsidP="00C92290">
      <w:pPr>
        <w:pStyle w:val="ListParagraph"/>
        <w:pBdr>
          <w:top w:val="none" w:sz="0" w:space="0" w:color="auto"/>
          <w:left w:val="none" w:sz="0" w:space="0" w:color="auto"/>
          <w:bottom w:val="none" w:sz="0" w:space="0" w:color="auto"/>
          <w:right w:val="none" w:sz="0" w:space="0" w:color="auto"/>
          <w:bar w:val="none" w:sz="0" w:color="auto"/>
        </w:pBdr>
        <w:rPr>
          <w:bCs/>
          <w:sz w:val="20"/>
          <w:szCs w:val="20"/>
        </w:rPr>
      </w:pPr>
    </w:p>
    <w:p w14:paraId="5DDF74EE" w14:textId="77777777" w:rsidR="00B60BF6" w:rsidRPr="000268EF" w:rsidRDefault="00B60BF6" w:rsidP="00732A6A">
      <w:pPr>
        <w:pStyle w:val="ListParagraph"/>
        <w:numPr>
          <w:ilvl w:val="0"/>
          <w:numId w:val="59"/>
        </w:numPr>
        <w:pBdr>
          <w:top w:val="none" w:sz="0" w:space="0" w:color="auto"/>
          <w:left w:val="none" w:sz="0" w:space="0" w:color="auto"/>
          <w:bottom w:val="none" w:sz="0" w:space="0" w:color="auto"/>
          <w:right w:val="none" w:sz="0" w:space="0" w:color="auto"/>
          <w:bar w:val="none" w:sz="0" w:color="auto"/>
        </w:pBdr>
        <w:suppressAutoHyphens/>
        <w:ind w:left="0" w:firstLine="720"/>
        <w:jc w:val="both"/>
        <w:rPr>
          <w:bCs/>
          <w:sz w:val="20"/>
          <w:szCs w:val="20"/>
        </w:rPr>
      </w:pPr>
      <w:r>
        <w:rPr>
          <w:sz w:val="20"/>
        </w:rPr>
        <w:t xml:space="preserve">The State also alleges that the petition seeks to turn the inter-American system into a “fourth instance” in an effort to acquit Mr. Segebre Naranjo of a conviction that was imposed against him after a thorough investigation. In this regard, it indicates that the petition should be declared inadmissible since the petitioner has not shown that there were substantial breaches of the due process, discrimination, or violations to any other right recognized by the inter-American system in the proceedings against Mr. Segebre Naranjo. </w:t>
      </w:r>
    </w:p>
    <w:p w14:paraId="5DDF74EF" w14:textId="77777777" w:rsidR="00B60BF6" w:rsidRPr="001B42F2" w:rsidRDefault="00B60BF6" w:rsidP="007F1021">
      <w:pPr>
        <w:pStyle w:val="ListParagraph"/>
        <w:pBdr>
          <w:top w:val="none" w:sz="0" w:space="0" w:color="auto"/>
          <w:left w:val="none" w:sz="0" w:space="0" w:color="auto"/>
          <w:bottom w:val="none" w:sz="0" w:space="0" w:color="auto"/>
          <w:right w:val="none" w:sz="0" w:space="0" w:color="auto"/>
          <w:bar w:val="none" w:sz="0" w:color="auto"/>
        </w:pBdr>
        <w:rPr>
          <w:bCs/>
          <w:sz w:val="20"/>
          <w:szCs w:val="20"/>
        </w:rPr>
      </w:pPr>
    </w:p>
    <w:p w14:paraId="5DDF74F0" w14:textId="77777777" w:rsidR="00B60BF6" w:rsidRPr="000268EF" w:rsidRDefault="00B60BF6" w:rsidP="00AC1014">
      <w:pPr>
        <w:pStyle w:val="ListParagraph"/>
        <w:numPr>
          <w:ilvl w:val="0"/>
          <w:numId w:val="59"/>
        </w:numPr>
        <w:pBdr>
          <w:top w:val="none" w:sz="0" w:space="0" w:color="auto"/>
          <w:left w:val="none" w:sz="0" w:space="0" w:color="auto"/>
          <w:bottom w:val="none" w:sz="0" w:space="0" w:color="auto"/>
          <w:right w:val="none" w:sz="0" w:space="0" w:color="auto"/>
          <w:bar w:val="none" w:sz="0" w:color="auto"/>
        </w:pBdr>
        <w:suppressAutoHyphens/>
        <w:ind w:left="0" w:firstLine="720"/>
        <w:jc w:val="both"/>
        <w:rPr>
          <w:bCs/>
          <w:sz w:val="20"/>
          <w:szCs w:val="20"/>
        </w:rPr>
      </w:pPr>
      <w:r>
        <w:rPr>
          <w:sz w:val="20"/>
        </w:rPr>
        <w:t xml:space="preserve">With regard to the alleged lack of impartiality of Justice José Ayú Prado, the State explains that this justice expressed that there was a situation that rendered him unable to hear this case. However, the Second Criminal Chamber of the Supreme Court of Justice determined that the impediment expressed by the justice was not applicable because, although he had served as director of the Judicial Technical Police, he had not performed any actions that would justify his recusal in the extraordinary appeal. The State adds that another two justices also expressed that there were situations which rendered them unable to hear the cassation appeal filed against the judgement that acquitted Mr. Segebre Naranjo and that, in both cases, the justices were actually recused from the case. </w:t>
      </w:r>
    </w:p>
    <w:p w14:paraId="5DDF74F1" w14:textId="77777777" w:rsidR="00B60BF6" w:rsidRPr="001B42F2" w:rsidRDefault="00B60BF6" w:rsidP="00507F8B">
      <w:pPr>
        <w:pStyle w:val="ListParagraph"/>
        <w:pBdr>
          <w:top w:val="none" w:sz="0" w:space="0" w:color="auto"/>
          <w:left w:val="none" w:sz="0" w:space="0" w:color="auto"/>
          <w:bottom w:val="none" w:sz="0" w:space="0" w:color="auto"/>
          <w:right w:val="none" w:sz="0" w:space="0" w:color="auto"/>
          <w:bar w:val="none" w:sz="0" w:color="auto"/>
        </w:pBdr>
        <w:rPr>
          <w:bCs/>
          <w:sz w:val="20"/>
          <w:szCs w:val="20"/>
        </w:rPr>
      </w:pPr>
    </w:p>
    <w:p w14:paraId="5DDF74F2" w14:textId="77777777" w:rsidR="00B60BF6" w:rsidRPr="000268EF" w:rsidRDefault="00B60BF6" w:rsidP="00AC1014">
      <w:pPr>
        <w:pStyle w:val="ListParagraph"/>
        <w:numPr>
          <w:ilvl w:val="0"/>
          <w:numId w:val="59"/>
        </w:numPr>
        <w:pBdr>
          <w:top w:val="none" w:sz="0" w:space="0" w:color="auto"/>
          <w:left w:val="none" w:sz="0" w:space="0" w:color="auto"/>
          <w:bottom w:val="none" w:sz="0" w:space="0" w:color="auto"/>
          <w:right w:val="none" w:sz="0" w:space="0" w:color="auto"/>
          <w:bar w:val="none" w:sz="0" w:color="auto"/>
        </w:pBdr>
        <w:suppressAutoHyphens/>
        <w:ind w:left="0" w:firstLine="720"/>
        <w:jc w:val="both"/>
        <w:rPr>
          <w:bCs/>
          <w:sz w:val="20"/>
          <w:szCs w:val="20"/>
        </w:rPr>
      </w:pPr>
      <w:r>
        <w:rPr>
          <w:sz w:val="20"/>
        </w:rPr>
        <w:t>The State also informed that, according to the records of its Department of Prison Health Care, Mr. Segebre Naranjo was treated only once in the Virgen de la Merced Medical Center, on December 29, 2009.</w:t>
      </w:r>
    </w:p>
    <w:p w14:paraId="5DDF74F3" w14:textId="77777777" w:rsidR="00B60BF6" w:rsidRPr="000268EF" w:rsidRDefault="00B60BF6" w:rsidP="003239B8">
      <w:pPr>
        <w:pBdr>
          <w:top w:val="none" w:sz="0" w:space="0" w:color="auto"/>
          <w:left w:val="none" w:sz="0" w:space="0" w:color="auto"/>
          <w:bottom w:val="none" w:sz="0" w:space="0" w:color="auto"/>
          <w:right w:val="none" w:sz="0" w:space="0" w:color="auto"/>
          <w:bar w:val="none" w:sz="0" w:color="auto"/>
        </w:pBdr>
        <w:spacing w:before="240" w:after="240"/>
        <w:ind w:firstLine="720"/>
        <w:jc w:val="both"/>
        <w:rPr>
          <w:rFonts w:ascii="Cambria" w:hAnsi="Cambria"/>
          <w:sz w:val="20"/>
          <w:szCs w:val="20"/>
        </w:rPr>
      </w:pPr>
      <w:r>
        <w:rPr>
          <w:rFonts w:ascii="Cambria" w:hAnsi="Cambria"/>
          <w:b/>
          <w:color w:val="000000"/>
          <w:sz w:val="20"/>
          <w:u w:color="000000"/>
        </w:rPr>
        <w:t>VI.</w:t>
      </w:r>
      <w:r>
        <w:rPr>
          <w:rFonts w:ascii="Cambria" w:hAnsi="Cambria"/>
          <w:b/>
          <w:color w:val="000000"/>
          <w:sz w:val="20"/>
          <w:u w:color="000000"/>
        </w:rPr>
        <w:tab/>
      </w:r>
      <w:r>
        <w:rPr>
          <w:rFonts w:ascii="Cambria" w:hAnsi="Cambria"/>
          <w:b/>
          <w:sz w:val="20"/>
        </w:rPr>
        <w:t>ANALYSIS OF EXHAUSTION OF DOMESTIC REMEDIES AND TIMELINESS OF THE PETITION</w:t>
      </w:r>
      <w:r>
        <w:rPr>
          <w:rFonts w:ascii="Cambria" w:hAnsi="Cambria"/>
          <w:b/>
          <w:color w:val="000000"/>
          <w:sz w:val="20"/>
          <w:u w:color="000000"/>
        </w:rPr>
        <w:t xml:space="preserve"> </w:t>
      </w:r>
    </w:p>
    <w:p w14:paraId="5DDF74F4" w14:textId="77777777" w:rsidR="00B60BF6" w:rsidRPr="000268EF" w:rsidRDefault="00B60BF6" w:rsidP="00561341">
      <w:pPr>
        <w:pStyle w:val="ListParagraph"/>
        <w:numPr>
          <w:ilvl w:val="0"/>
          <w:numId w:val="59"/>
        </w:numPr>
        <w:pBdr>
          <w:top w:val="none" w:sz="0" w:space="0" w:color="auto"/>
          <w:left w:val="none" w:sz="0" w:space="0" w:color="auto"/>
          <w:bottom w:val="none" w:sz="0" w:space="0" w:color="auto"/>
          <w:right w:val="none" w:sz="0" w:space="0" w:color="auto"/>
          <w:bar w:val="none" w:sz="0" w:color="auto"/>
        </w:pBdr>
        <w:suppressAutoHyphens/>
        <w:ind w:left="0" w:firstLine="720"/>
        <w:jc w:val="both"/>
        <w:rPr>
          <w:bCs/>
          <w:sz w:val="20"/>
          <w:szCs w:val="20"/>
        </w:rPr>
      </w:pPr>
      <w:r>
        <w:rPr>
          <w:sz w:val="20"/>
        </w:rPr>
        <w:t xml:space="preserve">The petitioner has informed of the different stages in the criminal proceedings against Mr. Segebre Naranjo and of the different actions carried out to defend his rights. The State, for its part, argues that the petition does not meet the requirement on the exhaustion of domestic remedies since it was filed when a decision by the appeals court was pending in the criminal proceedings against Mr. Segebre Naranjo; because these proceedings were suspended pursuant to an order declaring  that Mr. Segebre Naranjo was  in contempt for having failed to appear before the court; and since Mr. Segebre Naranjo has not filed an extraordinary appeal for review. </w:t>
      </w:r>
    </w:p>
    <w:p w14:paraId="5DDF74F5" w14:textId="77777777" w:rsidR="00B60BF6" w:rsidRPr="001B42F2" w:rsidRDefault="00B60BF6" w:rsidP="00D3283A">
      <w:pPr>
        <w:pStyle w:val="ListParagraph"/>
        <w:pBdr>
          <w:top w:val="none" w:sz="0" w:space="0" w:color="auto"/>
          <w:left w:val="none" w:sz="0" w:space="0" w:color="auto"/>
          <w:bottom w:val="none" w:sz="0" w:space="0" w:color="auto"/>
          <w:right w:val="none" w:sz="0" w:space="0" w:color="auto"/>
          <w:bar w:val="none" w:sz="0" w:color="auto"/>
        </w:pBdr>
        <w:suppressAutoHyphens/>
        <w:jc w:val="both"/>
        <w:rPr>
          <w:bCs/>
          <w:sz w:val="20"/>
          <w:szCs w:val="20"/>
        </w:rPr>
      </w:pPr>
    </w:p>
    <w:p w14:paraId="5DDF74F6" w14:textId="77777777" w:rsidR="00B60BF6" w:rsidRPr="000268EF" w:rsidRDefault="00B60BF6" w:rsidP="00DA5C34">
      <w:pPr>
        <w:pStyle w:val="ListParagraph"/>
        <w:numPr>
          <w:ilvl w:val="0"/>
          <w:numId w:val="59"/>
        </w:numPr>
        <w:pBdr>
          <w:top w:val="none" w:sz="0" w:space="0" w:color="auto"/>
          <w:left w:val="none" w:sz="0" w:space="0" w:color="auto"/>
          <w:bottom w:val="none" w:sz="0" w:space="0" w:color="auto"/>
          <w:right w:val="none" w:sz="0" w:space="0" w:color="auto"/>
          <w:bar w:val="none" w:sz="0" w:color="auto"/>
        </w:pBdr>
        <w:suppressAutoHyphens/>
        <w:ind w:left="0" w:firstLine="720"/>
        <w:jc w:val="both"/>
        <w:rPr>
          <w:bCs/>
          <w:sz w:val="20"/>
          <w:szCs w:val="20"/>
        </w:rPr>
      </w:pPr>
      <w:r>
        <w:rPr>
          <w:sz w:val="20"/>
        </w:rPr>
        <w:t>With regard to the main issue of the petition, the criminal proceedings followed against Mr. Segebre Naranjo, the Commission notes that the Fourteenth Circuit Court of Panama rendered its judgement on January 30, 2009, and convicted him for the crime of illicit sale of drugs. This conviction was reversed on appeal by the Second Court of the First Judicial District of Panama on January 19, 2010. The Office of the General Prosecutor filed a cassation appeal against the judgement of the appeals court, and this led to a decision issued by the Second Criminal Chamber of the Supreme Court of Justice on November 27, 2014, which overturned the decision of the appeals court and reinstated the conviction against the alleged victim. In addition, the file shows that the lawyers of Mr. Segebre Naranjo requested urgent medical care for their client before the judge in charge of his case.</w:t>
      </w:r>
    </w:p>
    <w:p w14:paraId="5DDF74F7" w14:textId="77777777" w:rsidR="00B60BF6" w:rsidRPr="001B42F2" w:rsidRDefault="00B60BF6" w:rsidP="00EC09FB">
      <w:pPr>
        <w:pStyle w:val="ListParagraph"/>
        <w:pBdr>
          <w:top w:val="none" w:sz="0" w:space="0" w:color="auto"/>
          <w:left w:val="none" w:sz="0" w:space="0" w:color="auto"/>
          <w:bottom w:val="none" w:sz="0" w:space="0" w:color="auto"/>
          <w:right w:val="none" w:sz="0" w:space="0" w:color="auto"/>
          <w:bar w:val="none" w:sz="0" w:color="auto"/>
        </w:pBdr>
        <w:rPr>
          <w:bCs/>
          <w:sz w:val="20"/>
          <w:szCs w:val="20"/>
        </w:rPr>
      </w:pPr>
    </w:p>
    <w:p w14:paraId="5DDF74F8" w14:textId="77777777" w:rsidR="00B60BF6" w:rsidRPr="000268EF" w:rsidRDefault="00B60BF6" w:rsidP="00EC09FB">
      <w:pPr>
        <w:pStyle w:val="ListParagraph"/>
        <w:numPr>
          <w:ilvl w:val="0"/>
          <w:numId w:val="59"/>
        </w:numPr>
        <w:pBdr>
          <w:top w:val="none" w:sz="0" w:space="0" w:color="auto"/>
          <w:left w:val="none" w:sz="0" w:space="0" w:color="auto"/>
          <w:bottom w:val="none" w:sz="0" w:space="0" w:color="auto"/>
          <w:right w:val="none" w:sz="0" w:space="0" w:color="auto"/>
          <w:bar w:val="none" w:sz="0" w:color="auto"/>
        </w:pBdr>
        <w:suppressAutoHyphens/>
        <w:ind w:left="0" w:firstLine="720"/>
        <w:jc w:val="both"/>
        <w:rPr>
          <w:bCs/>
          <w:sz w:val="20"/>
          <w:szCs w:val="20"/>
        </w:rPr>
      </w:pPr>
      <w:r>
        <w:rPr>
          <w:sz w:val="20"/>
        </w:rPr>
        <w:t xml:space="preserve">The Commission considers that the decision on the cassation appeal issued on November 27, 2014, is the final decision in the criminal proceedings which gave rise to the petition. With respect to the State’s claim regarding the non-exhaustion of the extraordinary appeal for review, the Commission has already determined that, as a general rule, the requirement set forth in Article 46.1.a.of the American </w:t>
      </w:r>
      <w:r>
        <w:rPr>
          <w:sz w:val="20"/>
        </w:rPr>
        <w:lastRenderedPageBreak/>
        <w:t>Convention is fulfilled by exhausting ordinary remedies, not extraordinary ones.</w:t>
      </w:r>
      <w:r w:rsidRPr="000268EF">
        <w:rPr>
          <w:rStyle w:val="FootnoteReference"/>
          <w:rFonts w:cs="Calibri"/>
          <w:sz w:val="20"/>
          <w:szCs w:val="20"/>
          <w:lang w:val="es-ES_tradnl"/>
        </w:rPr>
        <w:footnoteReference w:id="6"/>
      </w:r>
      <w:r>
        <w:rPr>
          <w:sz w:val="20"/>
        </w:rPr>
        <w:t xml:space="preserve"> In the instant case, the Commission considers that the arguments advanced by the State do not provide sufficient grounds to conclude that the exhaustion of the extraordinary appeal for review could be required in the situation of Mr. Segebre Naranjo. </w:t>
      </w:r>
    </w:p>
    <w:p w14:paraId="5DDF74F9" w14:textId="77777777" w:rsidR="00B60BF6" w:rsidRPr="001B42F2" w:rsidRDefault="00B60BF6" w:rsidP="00E13F2C">
      <w:pPr>
        <w:pStyle w:val="ListParagraph"/>
        <w:pBdr>
          <w:top w:val="none" w:sz="0" w:space="0" w:color="auto"/>
          <w:left w:val="none" w:sz="0" w:space="0" w:color="auto"/>
          <w:bottom w:val="none" w:sz="0" w:space="0" w:color="auto"/>
          <w:right w:val="none" w:sz="0" w:space="0" w:color="auto"/>
          <w:bar w:val="none" w:sz="0" w:color="auto"/>
        </w:pBdr>
        <w:rPr>
          <w:bCs/>
          <w:sz w:val="20"/>
          <w:szCs w:val="20"/>
        </w:rPr>
      </w:pPr>
    </w:p>
    <w:p w14:paraId="5DDF74FA" w14:textId="77777777" w:rsidR="00B60BF6" w:rsidRPr="000268EF" w:rsidRDefault="00B60BF6" w:rsidP="00EC09FB">
      <w:pPr>
        <w:pStyle w:val="ListParagraph"/>
        <w:numPr>
          <w:ilvl w:val="0"/>
          <w:numId w:val="59"/>
        </w:numPr>
        <w:pBdr>
          <w:top w:val="none" w:sz="0" w:space="0" w:color="auto"/>
          <w:left w:val="none" w:sz="0" w:space="0" w:color="auto"/>
          <w:bottom w:val="none" w:sz="0" w:space="0" w:color="auto"/>
          <w:right w:val="none" w:sz="0" w:space="0" w:color="auto"/>
          <w:bar w:val="none" w:sz="0" w:color="auto"/>
        </w:pBdr>
        <w:suppressAutoHyphens/>
        <w:ind w:left="0" w:firstLine="720"/>
        <w:jc w:val="both"/>
        <w:rPr>
          <w:bCs/>
          <w:sz w:val="20"/>
          <w:szCs w:val="20"/>
        </w:rPr>
      </w:pPr>
      <w:r>
        <w:rPr>
          <w:sz w:val="20"/>
        </w:rPr>
        <w:t>The Commission takes note of the State’s indication that the judgement issued against Mr. Segebre Naranjo has not been executed and that he was declared to be in default for having failed to appear before the court. In this regard, the Commission notes that the State has not explained if Mr. Segebre Naranjo is in Panama and, if not, whether he left the country voluntarily or due to any other cause. In all circumstances, regardless of the fact that the sentence has not been served, the judgement that convicted Mr. Segebre Naranjo was the final decision in the criminal proceedings against him, which is ultimately the main issue raised by the petition.</w:t>
      </w:r>
    </w:p>
    <w:p w14:paraId="5DDF74FB" w14:textId="77777777" w:rsidR="00B60BF6" w:rsidRPr="001B42F2" w:rsidRDefault="00B60BF6" w:rsidP="007F5D45">
      <w:pPr>
        <w:pStyle w:val="ListParagraph"/>
        <w:pBdr>
          <w:top w:val="none" w:sz="0" w:space="0" w:color="auto"/>
          <w:left w:val="none" w:sz="0" w:space="0" w:color="auto"/>
          <w:bottom w:val="none" w:sz="0" w:space="0" w:color="auto"/>
          <w:right w:val="none" w:sz="0" w:space="0" w:color="auto"/>
          <w:bar w:val="none" w:sz="0" w:color="auto"/>
        </w:pBdr>
        <w:rPr>
          <w:bCs/>
          <w:sz w:val="20"/>
          <w:szCs w:val="20"/>
        </w:rPr>
      </w:pPr>
    </w:p>
    <w:p w14:paraId="5DDF74FC" w14:textId="77777777" w:rsidR="00B60BF6" w:rsidRPr="000268EF" w:rsidRDefault="00B60BF6" w:rsidP="007F5D45">
      <w:pPr>
        <w:pStyle w:val="ListParagraph"/>
        <w:numPr>
          <w:ilvl w:val="0"/>
          <w:numId w:val="59"/>
        </w:numPr>
        <w:pBdr>
          <w:top w:val="none" w:sz="0" w:space="0" w:color="auto"/>
          <w:left w:val="none" w:sz="0" w:space="0" w:color="auto"/>
          <w:bottom w:val="none" w:sz="0" w:space="0" w:color="auto"/>
          <w:right w:val="none" w:sz="0" w:space="0" w:color="auto"/>
          <w:bar w:val="none" w:sz="0" w:color="auto"/>
        </w:pBdr>
        <w:suppressAutoHyphens/>
        <w:ind w:left="0" w:firstLine="720"/>
        <w:jc w:val="both"/>
        <w:rPr>
          <w:bCs/>
          <w:sz w:val="20"/>
          <w:szCs w:val="20"/>
        </w:rPr>
      </w:pPr>
      <w:r>
        <w:rPr>
          <w:sz w:val="20"/>
        </w:rPr>
        <w:t>With regard to the State’s argument that domestic remedies were exhausted only after the petition had been filed, the IACHR reaffirms that what should be taken into account in determining whether domestic remedies have been exhausted is the situation at the time of the decision on admissibility.</w:t>
      </w:r>
    </w:p>
    <w:p w14:paraId="5DDF74FD" w14:textId="77777777" w:rsidR="00B60BF6" w:rsidRPr="001B42F2" w:rsidRDefault="00B60BF6" w:rsidP="001C7501">
      <w:pPr>
        <w:pStyle w:val="ListParagraph"/>
        <w:pBdr>
          <w:top w:val="none" w:sz="0" w:space="0" w:color="auto"/>
          <w:left w:val="none" w:sz="0" w:space="0" w:color="auto"/>
          <w:bottom w:val="none" w:sz="0" w:space="0" w:color="auto"/>
          <w:right w:val="none" w:sz="0" w:space="0" w:color="auto"/>
          <w:bar w:val="none" w:sz="0" w:color="auto"/>
        </w:pBdr>
        <w:rPr>
          <w:bCs/>
          <w:sz w:val="20"/>
          <w:szCs w:val="20"/>
        </w:rPr>
      </w:pPr>
    </w:p>
    <w:p w14:paraId="5DDF74FE" w14:textId="77777777" w:rsidR="00B60BF6" w:rsidRPr="000268EF" w:rsidRDefault="00B60BF6" w:rsidP="00DA5C34">
      <w:pPr>
        <w:pStyle w:val="ListParagraph"/>
        <w:numPr>
          <w:ilvl w:val="0"/>
          <w:numId w:val="59"/>
        </w:numPr>
        <w:pBdr>
          <w:top w:val="none" w:sz="0" w:space="0" w:color="auto"/>
          <w:left w:val="none" w:sz="0" w:space="0" w:color="auto"/>
          <w:bottom w:val="none" w:sz="0" w:space="0" w:color="auto"/>
          <w:right w:val="none" w:sz="0" w:space="0" w:color="auto"/>
          <w:bar w:val="none" w:sz="0" w:color="auto"/>
        </w:pBdr>
        <w:suppressAutoHyphens/>
        <w:ind w:left="0" w:firstLine="720"/>
        <w:jc w:val="both"/>
        <w:rPr>
          <w:bCs/>
          <w:sz w:val="20"/>
          <w:szCs w:val="20"/>
        </w:rPr>
      </w:pPr>
      <w:r>
        <w:rPr>
          <w:sz w:val="20"/>
        </w:rPr>
        <w:t>For these reasons, the Commission concludes that this petition meets the requirement set forth in Article 46.1.a of the American Convention. Since the final decision by the domestic legal system was issued on November 27, 2014, and the petition was filed on September 15, 2009, the Commission concludes that this petition also meets the requirement set forth in Article 46.1.b of the American Convention.</w:t>
      </w:r>
    </w:p>
    <w:p w14:paraId="5DDF74FF" w14:textId="77777777" w:rsidR="00B60BF6" w:rsidRPr="001B42F2" w:rsidRDefault="00B60BF6" w:rsidP="002616DB">
      <w:pPr>
        <w:pStyle w:val="ListParagraph"/>
        <w:pBdr>
          <w:top w:val="none" w:sz="0" w:space="0" w:color="auto"/>
          <w:left w:val="none" w:sz="0" w:space="0" w:color="auto"/>
          <w:bottom w:val="none" w:sz="0" w:space="0" w:color="auto"/>
          <w:right w:val="none" w:sz="0" w:space="0" w:color="auto"/>
          <w:bar w:val="none" w:sz="0" w:color="auto"/>
        </w:pBdr>
        <w:rPr>
          <w:bCs/>
          <w:sz w:val="20"/>
          <w:szCs w:val="20"/>
        </w:rPr>
      </w:pPr>
    </w:p>
    <w:p w14:paraId="5DDF7500" w14:textId="77777777" w:rsidR="00B60BF6" w:rsidRPr="000268EF" w:rsidRDefault="00B60BF6" w:rsidP="002616DB">
      <w:pPr>
        <w:pStyle w:val="Default"/>
        <w:ind w:left="720"/>
        <w:rPr>
          <w:rFonts w:ascii="Cambria" w:hAnsi="Cambria"/>
          <w:b/>
          <w:bCs/>
          <w:sz w:val="20"/>
          <w:szCs w:val="20"/>
        </w:rPr>
      </w:pPr>
      <w:r>
        <w:rPr>
          <w:rFonts w:ascii="Cambria" w:hAnsi="Cambria"/>
          <w:b/>
          <w:sz w:val="20"/>
        </w:rPr>
        <w:t>VII.</w:t>
      </w:r>
      <w:r>
        <w:rPr>
          <w:rFonts w:ascii="Cambria" w:hAnsi="Cambria"/>
          <w:b/>
          <w:sz w:val="20"/>
        </w:rPr>
        <w:tab/>
        <w:t>ANALYSIS OF COLORABLE CLAIM</w:t>
      </w:r>
    </w:p>
    <w:p w14:paraId="5DDF7501" w14:textId="77777777" w:rsidR="00B60BF6" w:rsidRPr="000268EF" w:rsidRDefault="00B60BF6" w:rsidP="002616DB">
      <w:pPr>
        <w:pStyle w:val="ListParagraph"/>
        <w:pBdr>
          <w:top w:val="none" w:sz="0" w:space="0" w:color="auto"/>
          <w:left w:val="none" w:sz="0" w:space="0" w:color="auto"/>
          <w:bottom w:val="none" w:sz="0" w:space="0" w:color="auto"/>
          <w:right w:val="none" w:sz="0" w:space="0" w:color="auto"/>
          <w:bar w:val="none" w:sz="0" w:color="auto"/>
        </w:pBdr>
        <w:rPr>
          <w:bCs/>
          <w:sz w:val="20"/>
          <w:szCs w:val="20"/>
          <w:lang w:val="es-ES_tradnl"/>
        </w:rPr>
      </w:pPr>
    </w:p>
    <w:p w14:paraId="5DDF7502" w14:textId="77777777" w:rsidR="00B60BF6" w:rsidRPr="000268EF" w:rsidRDefault="00B60BF6" w:rsidP="002616DB">
      <w:pPr>
        <w:pStyle w:val="ListParagraph"/>
        <w:numPr>
          <w:ilvl w:val="0"/>
          <w:numId w:val="59"/>
        </w:numPr>
        <w:pBdr>
          <w:top w:val="none" w:sz="0" w:space="0" w:color="auto"/>
          <w:left w:val="none" w:sz="0" w:space="0" w:color="auto"/>
          <w:bottom w:val="none" w:sz="0" w:space="0" w:color="auto"/>
          <w:right w:val="none" w:sz="0" w:space="0" w:color="auto"/>
          <w:bar w:val="none" w:sz="0" w:color="auto"/>
        </w:pBdr>
        <w:suppressAutoHyphens/>
        <w:ind w:left="0" w:firstLine="720"/>
        <w:jc w:val="both"/>
        <w:rPr>
          <w:bCs/>
          <w:sz w:val="20"/>
          <w:szCs w:val="20"/>
        </w:rPr>
      </w:pPr>
      <w:r>
        <w:rPr>
          <w:sz w:val="20"/>
        </w:rPr>
        <w:t xml:space="preserve">Preliminarily, and since the State has raised allegations about the Commission acting as a fourth instance, the Commission ratifies that, for purposes of admissibility, it must decide whether the facts alleged could characterize a violation of rights, according to the provisions of Article 47(b) of the American Convention, or whether the petition is “manifestly groundless” or “obviously out of order,” pursuant to subparagraph (c) of said article. The standard of appraisal of these extremes is different from the required to decide on the merits of a petition. Likewise, within the scope of its mandate, the Inter-American Commission is competent to declare a petition admissible if it refers to domestic proceedings which may violate rights guaranteed by the American Convention. In other words, pursuant to the aforementioned rules of the Convention, and in accordance with Article 34 of the Rules of Procedure, the analysis on admissibility is centered on the verification of such requirements, which refer to elements that, if proven, could </w:t>
      </w:r>
      <w:r>
        <w:rPr>
          <w:i/>
          <w:sz w:val="20"/>
        </w:rPr>
        <w:t>prima facie</w:t>
      </w:r>
      <w:r>
        <w:rPr>
          <w:sz w:val="20"/>
        </w:rPr>
        <w:t xml:space="preserve"> lead to determine violations of the American Convention.</w:t>
      </w:r>
      <w:r w:rsidRPr="000268EF">
        <w:rPr>
          <w:rStyle w:val="FootnoteReference"/>
          <w:rFonts w:cs="Calibri"/>
          <w:sz w:val="20"/>
          <w:szCs w:val="20"/>
          <w:lang w:val="es-ES_tradnl"/>
        </w:rPr>
        <w:footnoteReference w:id="7"/>
      </w:r>
    </w:p>
    <w:p w14:paraId="5DDF7503" w14:textId="77777777" w:rsidR="00B60BF6" w:rsidRPr="001B42F2" w:rsidRDefault="00B60BF6" w:rsidP="002616DB">
      <w:pPr>
        <w:pStyle w:val="ListParagraph"/>
        <w:pBdr>
          <w:top w:val="none" w:sz="0" w:space="0" w:color="auto"/>
          <w:left w:val="none" w:sz="0" w:space="0" w:color="auto"/>
          <w:bottom w:val="none" w:sz="0" w:space="0" w:color="auto"/>
          <w:right w:val="none" w:sz="0" w:space="0" w:color="auto"/>
          <w:bar w:val="none" w:sz="0" w:color="auto"/>
        </w:pBdr>
        <w:suppressAutoHyphens/>
        <w:jc w:val="both"/>
        <w:rPr>
          <w:bCs/>
          <w:sz w:val="20"/>
          <w:szCs w:val="20"/>
        </w:rPr>
      </w:pPr>
    </w:p>
    <w:p w14:paraId="5DDF7504" w14:textId="77777777" w:rsidR="00B60BF6" w:rsidRPr="000268EF" w:rsidRDefault="00B60BF6" w:rsidP="002616DB">
      <w:pPr>
        <w:pStyle w:val="ListParagraph"/>
        <w:numPr>
          <w:ilvl w:val="0"/>
          <w:numId w:val="59"/>
        </w:numPr>
        <w:pBdr>
          <w:top w:val="none" w:sz="0" w:space="0" w:color="auto"/>
          <w:left w:val="none" w:sz="0" w:space="0" w:color="auto"/>
          <w:bottom w:val="none" w:sz="0" w:space="0" w:color="auto"/>
          <w:right w:val="none" w:sz="0" w:space="0" w:color="auto"/>
          <w:bar w:val="none" w:sz="0" w:color="auto"/>
        </w:pBdr>
        <w:suppressAutoHyphens/>
        <w:ind w:left="0" w:firstLine="720"/>
        <w:jc w:val="both"/>
        <w:rPr>
          <w:bCs/>
          <w:sz w:val="20"/>
          <w:szCs w:val="20"/>
        </w:rPr>
      </w:pPr>
      <w:r>
        <w:rPr>
          <w:sz w:val="20"/>
        </w:rPr>
        <w:t xml:space="preserve">The petition at hand includes allegations according to which Mr. Segebre Naranjo was deprived of his liberty during the criminal proceedings followed against him without being brought promptly before a judicial authority or informed of the reasons for his detention or his right to contact the consular authorities of his country of nationality and request their assistance. The petitioner further alleges that Mr. Segebre Naranjo was denied the medical care he required while he was deprived of his liberty, and that he suffered from prejudice due to his nationality and was convicted by a court in which one of its members did not provide objective guarantees of impartiality. </w:t>
      </w:r>
    </w:p>
    <w:p w14:paraId="5DDF7505" w14:textId="77777777" w:rsidR="00B60BF6" w:rsidRPr="001B42F2" w:rsidRDefault="00B60BF6" w:rsidP="0089684A">
      <w:pPr>
        <w:pStyle w:val="ListParagraph"/>
        <w:pBdr>
          <w:top w:val="none" w:sz="0" w:space="0" w:color="auto"/>
          <w:left w:val="none" w:sz="0" w:space="0" w:color="auto"/>
          <w:bottom w:val="none" w:sz="0" w:space="0" w:color="auto"/>
          <w:right w:val="none" w:sz="0" w:space="0" w:color="auto"/>
          <w:bar w:val="none" w:sz="0" w:color="auto"/>
        </w:pBdr>
        <w:rPr>
          <w:bCs/>
          <w:sz w:val="20"/>
          <w:szCs w:val="20"/>
        </w:rPr>
      </w:pPr>
    </w:p>
    <w:p w14:paraId="5DDF7506" w14:textId="77777777" w:rsidR="00B60BF6" w:rsidRPr="000268EF" w:rsidRDefault="00B60BF6" w:rsidP="00A91855">
      <w:pPr>
        <w:pStyle w:val="ListParagraph"/>
        <w:numPr>
          <w:ilvl w:val="0"/>
          <w:numId w:val="59"/>
        </w:numPr>
        <w:pBdr>
          <w:top w:val="none" w:sz="0" w:space="0" w:color="auto"/>
          <w:left w:val="none" w:sz="0" w:space="0" w:color="auto"/>
          <w:bottom w:val="none" w:sz="0" w:space="0" w:color="auto"/>
          <w:right w:val="none" w:sz="0" w:space="0" w:color="auto"/>
          <w:bar w:val="none" w:sz="0" w:color="auto"/>
        </w:pBdr>
        <w:suppressAutoHyphens/>
        <w:ind w:left="0" w:firstLine="720"/>
        <w:jc w:val="both"/>
        <w:rPr>
          <w:bCs/>
          <w:sz w:val="20"/>
          <w:szCs w:val="20"/>
        </w:rPr>
      </w:pPr>
      <w:r w:rsidRPr="00536578">
        <w:rPr>
          <w:sz w:val="20"/>
        </w:rPr>
        <w:t xml:space="preserve">The State has not provided nor does the </w:t>
      </w:r>
      <w:r>
        <w:rPr>
          <w:sz w:val="20"/>
        </w:rPr>
        <w:t>file</w:t>
      </w:r>
      <w:r w:rsidRPr="00536578">
        <w:rPr>
          <w:sz w:val="20"/>
        </w:rPr>
        <w:t xml:space="preserve"> show any information that could </w:t>
      </w:r>
      <w:r w:rsidRPr="00536578">
        <w:rPr>
          <w:i/>
          <w:iCs/>
          <w:sz w:val="20"/>
        </w:rPr>
        <w:t>prima facie</w:t>
      </w:r>
      <w:r w:rsidRPr="00536578">
        <w:rPr>
          <w:sz w:val="20"/>
        </w:rPr>
        <w:t xml:space="preserve"> lead to conclude that the allegations raised by the petitioner</w:t>
      </w:r>
      <w:r>
        <w:rPr>
          <w:sz w:val="20"/>
        </w:rPr>
        <w:t xml:space="preserve"> [</w:t>
      </w:r>
      <w:r w:rsidRPr="00536578">
        <w:rPr>
          <w:sz w:val="20"/>
        </w:rPr>
        <w:t>according to which, after his arrest, Mr. Segebre Naranjo was not brought promptly before a judicial authority or informed of the reasons for his detention or his rights to receive consular assistance in a timely manner</w:t>
      </w:r>
      <w:r>
        <w:rPr>
          <w:sz w:val="20"/>
        </w:rPr>
        <w:t>]</w:t>
      </w:r>
      <w:r w:rsidRPr="00536578">
        <w:rPr>
          <w:sz w:val="20"/>
        </w:rPr>
        <w:t xml:space="preserve"> are manifestly groundless.</w:t>
      </w:r>
      <w:r>
        <w:rPr>
          <w:sz w:val="20"/>
        </w:rPr>
        <w:t xml:space="preserve"> With regard to the alleged denial of medical care, the State informed of one occasion in which Mr. Segebre Naranjo received medical care, but did not provide any further detail. The Commission considers that, at this stage, this </w:t>
      </w:r>
      <w:r>
        <w:rPr>
          <w:sz w:val="20"/>
        </w:rPr>
        <w:lastRenderedPageBreak/>
        <w:t xml:space="preserve">information does not provide sufficient grounds to determine that these allegations are manifestly groundless and, therefore, this issue should be discussed during the merits stage of this case. With respect to the alleged discrimination based on nationality, the Commission considers that, given the context in which the criminal proceedings were carried out, these allegations cannot </w:t>
      </w:r>
      <w:r w:rsidRPr="006806DE">
        <w:rPr>
          <w:i/>
          <w:iCs/>
          <w:sz w:val="20"/>
        </w:rPr>
        <w:t>prima facie</w:t>
      </w:r>
      <w:r>
        <w:rPr>
          <w:sz w:val="20"/>
        </w:rPr>
        <w:t xml:space="preserve"> be considered as manifestly groundless. </w:t>
      </w:r>
    </w:p>
    <w:p w14:paraId="5DDF7507" w14:textId="77777777" w:rsidR="00B60BF6" w:rsidRPr="001B42F2" w:rsidRDefault="00B60BF6" w:rsidP="00E20086">
      <w:pPr>
        <w:pStyle w:val="ListParagraph"/>
        <w:pBdr>
          <w:top w:val="none" w:sz="0" w:space="0" w:color="auto"/>
          <w:left w:val="none" w:sz="0" w:space="0" w:color="auto"/>
          <w:bottom w:val="none" w:sz="0" w:space="0" w:color="auto"/>
          <w:right w:val="none" w:sz="0" w:space="0" w:color="auto"/>
          <w:bar w:val="none" w:sz="0" w:color="auto"/>
        </w:pBdr>
        <w:rPr>
          <w:bCs/>
          <w:sz w:val="20"/>
          <w:szCs w:val="20"/>
        </w:rPr>
      </w:pPr>
    </w:p>
    <w:p w14:paraId="5DDF7508" w14:textId="77777777" w:rsidR="00B60BF6" w:rsidRPr="000268EF" w:rsidRDefault="00B60BF6" w:rsidP="00A91855">
      <w:pPr>
        <w:pStyle w:val="ListParagraph"/>
        <w:numPr>
          <w:ilvl w:val="0"/>
          <w:numId w:val="59"/>
        </w:numPr>
        <w:pBdr>
          <w:top w:val="none" w:sz="0" w:space="0" w:color="auto"/>
          <w:left w:val="none" w:sz="0" w:space="0" w:color="auto"/>
          <w:bottom w:val="none" w:sz="0" w:space="0" w:color="auto"/>
          <w:right w:val="none" w:sz="0" w:space="0" w:color="auto"/>
          <w:bar w:val="none" w:sz="0" w:color="auto"/>
        </w:pBdr>
        <w:suppressAutoHyphens/>
        <w:ind w:left="0" w:firstLine="720"/>
        <w:jc w:val="both"/>
        <w:rPr>
          <w:bCs/>
          <w:sz w:val="20"/>
          <w:szCs w:val="20"/>
        </w:rPr>
      </w:pPr>
      <w:r>
        <w:rPr>
          <w:sz w:val="20"/>
        </w:rPr>
        <w:t xml:space="preserve">With regard to the alleged violation of the right to be tried before an impartial court in its objective aspect, the petitioner supports these allegations on the fact that one member of the court that ultimately convicted Mr. Segebre Naranjo had served as director of the Judicial Technical Police at the time of the investigations and operations which led to his arrest and to the subsequent criminal proceedings followed against him. The Commission considers that these arguments need to be studied on the merits stage since they are not manifestly groundless. </w:t>
      </w:r>
    </w:p>
    <w:p w14:paraId="5DDF7509" w14:textId="77777777" w:rsidR="00B60BF6" w:rsidRPr="001B42F2" w:rsidRDefault="00B60BF6" w:rsidP="00E20086">
      <w:pPr>
        <w:pStyle w:val="ListParagraph"/>
        <w:pBdr>
          <w:top w:val="none" w:sz="0" w:space="0" w:color="auto"/>
          <w:left w:val="none" w:sz="0" w:space="0" w:color="auto"/>
          <w:bottom w:val="none" w:sz="0" w:space="0" w:color="auto"/>
          <w:right w:val="none" w:sz="0" w:space="0" w:color="auto"/>
          <w:bar w:val="none" w:sz="0" w:color="auto"/>
        </w:pBdr>
        <w:rPr>
          <w:bCs/>
          <w:sz w:val="20"/>
          <w:szCs w:val="20"/>
        </w:rPr>
      </w:pPr>
    </w:p>
    <w:p w14:paraId="5DDF750A" w14:textId="77777777" w:rsidR="00B60BF6" w:rsidRPr="000268EF" w:rsidRDefault="00B60BF6" w:rsidP="00BB1365">
      <w:pPr>
        <w:pStyle w:val="ListParagraph"/>
        <w:numPr>
          <w:ilvl w:val="0"/>
          <w:numId w:val="59"/>
        </w:numPr>
        <w:pBdr>
          <w:top w:val="none" w:sz="0" w:space="0" w:color="auto"/>
          <w:left w:val="none" w:sz="0" w:space="0" w:color="auto"/>
          <w:bottom w:val="none" w:sz="0" w:space="0" w:color="auto"/>
          <w:right w:val="none" w:sz="0" w:space="0" w:color="auto"/>
          <w:bar w:val="none" w:sz="0" w:color="auto"/>
        </w:pBdr>
        <w:suppressAutoHyphens/>
        <w:ind w:left="0" w:firstLine="720"/>
        <w:jc w:val="both"/>
        <w:rPr>
          <w:bCs/>
          <w:sz w:val="20"/>
          <w:szCs w:val="20"/>
        </w:rPr>
      </w:pPr>
      <w:r>
        <w:rPr>
          <w:sz w:val="20"/>
        </w:rPr>
        <w:t>In view of these considerations and after examining the elements of fact and law set forth by the parties, the Commission considers that the claims of the petitioner are not unfounded and need to be studied on the merits since the alleged facts, if corroborated, could imply violations of Articles 5 (personal integrity), 7 (personal liberty), 8 (right to a fair trial), 24 (equality before the law) and 25 (judicial protection) of the American Convention, in relation to Article 1.1 (obligation to respect rights) thereof, to the detriment of Mr. Segebre Naranjo.</w:t>
      </w:r>
    </w:p>
    <w:p w14:paraId="5DDF750B" w14:textId="77777777" w:rsidR="00B60BF6" w:rsidRPr="000268EF" w:rsidRDefault="00B60BF6" w:rsidP="003239B8">
      <w:pPr>
        <w:pStyle w:val="ListParagraph"/>
        <w:pBdr>
          <w:top w:val="none" w:sz="0" w:space="0" w:color="auto"/>
          <w:left w:val="none" w:sz="0" w:space="0" w:color="auto"/>
          <w:bottom w:val="none" w:sz="0" w:space="0" w:color="auto"/>
          <w:right w:val="none" w:sz="0" w:space="0" w:color="auto"/>
          <w:bar w:val="none" w:sz="0" w:color="auto"/>
        </w:pBdr>
        <w:spacing w:before="240" w:after="240"/>
        <w:jc w:val="both"/>
        <w:rPr>
          <w:b/>
          <w:bCs/>
          <w:sz w:val="20"/>
          <w:szCs w:val="20"/>
        </w:rPr>
      </w:pPr>
      <w:r>
        <w:rPr>
          <w:b/>
          <w:sz w:val="20"/>
        </w:rPr>
        <w:t xml:space="preserve">VIII. </w:t>
      </w:r>
      <w:r>
        <w:rPr>
          <w:b/>
          <w:sz w:val="20"/>
        </w:rPr>
        <w:tab/>
        <w:t>DECISION</w:t>
      </w:r>
    </w:p>
    <w:p w14:paraId="5DDF750C" w14:textId="77777777" w:rsidR="00B60BF6" w:rsidRPr="000268EF" w:rsidRDefault="00B60BF6" w:rsidP="00BB1365">
      <w:pPr>
        <w:pStyle w:val="ListParagraph"/>
        <w:numPr>
          <w:ilvl w:val="0"/>
          <w:numId w:val="55"/>
        </w:numPr>
        <w:pBdr>
          <w:top w:val="none" w:sz="0" w:space="0" w:color="auto"/>
          <w:left w:val="none" w:sz="0" w:space="0" w:color="auto"/>
          <w:bottom w:val="none" w:sz="0" w:space="0" w:color="auto"/>
          <w:right w:val="none" w:sz="0" w:space="0" w:color="auto"/>
          <w:bar w:val="none" w:sz="0" w:color="auto"/>
        </w:pBdr>
        <w:ind w:left="0"/>
        <w:jc w:val="both"/>
        <w:rPr>
          <w:rFonts w:cs="Times New Roman"/>
          <w:color w:val="auto"/>
          <w:sz w:val="20"/>
          <w:szCs w:val="20"/>
        </w:rPr>
      </w:pPr>
      <w:r>
        <w:rPr>
          <w:color w:val="auto"/>
          <w:sz w:val="20"/>
        </w:rPr>
        <w:t xml:space="preserve">To declare this petition admissible in relation to Articles 5, 7, 8, 24 and 25 of the American Convention in accordance with Article 1.1 thereof; </w:t>
      </w:r>
    </w:p>
    <w:p w14:paraId="5DDF750D" w14:textId="77777777" w:rsidR="00B60BF6" w:rsidRPr="001B42F2" w:rsidRDefault="00B60BF6" w:rsidP="000419AD">
      <w:pPr>
        <w:pStyle w:val="ListParagraph"/>
        <w:pBdr>
          <w:top w:val="none" w:sz="0" w:space="0" w:color="auto"/>
          <w:left w:val="none" w:sz="0" w:space="0" w:color="auto"/>
          <w:bottom w:val="none" w:sz="0" w:space="0" w:color="auto"/>
          <w:right w:val="none" w:sz="0" w:space="0" w:color="auto"/>
          <w:bar w:val="none" w:sz="0" w:color="auto"/>
        </w:pBdr>
        <w:rPr>
          <w:rFonts w:cs="Times New Roman"/>
          <w:color w:val="auto"/>
          <w:sz w:val="20"/>
          <w:szCs w:val="20"/>
          <w:lang w:eastAsia="en-US"/>
        </w:rPr>
      </w:pPr>
    </w:p>
    <w:p w14:paraId="60F354E6" w14:textId="77777777" w:rsidR="00A96359" w:rsidRPr="00A96359" w:rsidRDefault="00B60BF6" w:rsidP="0080426C">
      <w:pPr>
        <w:numPr>
          <w:ilvl w:val="0"/>
          <w:numId w:val="55"/>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pacing w:val="-2"/>
          <w:sz w:val="20"/>
        </w:rPr>
      </w:pPr>
      <w:r w:rsidRPr="00A96359">
        <w:rPr>
          <w:rFonts w:ascii="Cambria" w:hAnsi="Cambria"/>
          <w:sz w:val="20"/>
        </w:rPr>
        <w:t>To notify the parties of this decision; to proceed with the merits of the case; and to publish this decision and include it in its Annual Report to the General Assembly of the Organization of American States.</w:t>
      </w:r>
      <w:bookmarkStart w:id="1" w:name="_Hlk69908510"/>
    </w:p>
    <w:p w14:paraId="6D7AE06A" w14:textId="11576DBD" w:rsidR="00A96359" w:rsidRPr="00A96359" w:rsidRDefault="00A96359" w:rsidP="003A08C2">
      <w:pPr>
        <w:pBdr>
          <w:top w:val="none" w:sz="0" w:space="0" w:color="auto"/>
          <w:left w:val="none" w:sz="0" w:space="0" w:color="auto"/>
          <w:bottom w:val="none" w:sz="0" w:space="0" w:color="auto"/>
          <w:right w:val="none" w:sz="0" w:space="0" w:color="auto"/>
          <w:bar w:val="none" w:sz="0" w:color="auto"/>
        </w:pBdr>
        <w:suppressAutoHyphens/>
        <w:spacing w:after="240"/>
        <w:ind w:firstLine="720"/>
        <w:jc w:val="both"/>
        <w:rPr>
          <w:rFonts w:ascii="Cambria" w:hAnsi="Cambria"/>
          <w:spacing w:val="-2"/>
          <w:sz w:val="20"/>
        </w:rPr>
      </w:pPr>
      <w:r w:rsidRPr="00A96359">
        <w:rPr>
          <w:rFonts w:ascii="Cambria" w:hAnsi="Cambria"/>
          <w:spacing w:val="-2"/>
          <w:sz w:val="20"/>
        </w:rPr>
        <w:t xml:space="preserve">Approved by the Inter-American Commission on Human Rights on the </w:t>
      </w:r>
      <w:r w:rsidR="00D245AB">
        <w:rPr>
          <w:rFonts w:ascii="Cambria" w:hAnsi="Cambria"/>
          <w:spacing w:val="-2"/>
          <w:sz w:val="20"/>
        </w:rPr>
        <w:t>28</w:t>
      </w:r>
      <w:r w:rsidR="00D245AB" w:rsidRPr="00D245AB">
        <w:rPr>
          <w:rFonts w:ascii="Cambria" w:hAnsi="Cambria"/>
          <w:spacing w:val="-2"/>
          <w:sz w:val="20"/>
          <w:vertAlign w:val="superscript"/>
        </w:rPr>
        <w:t>th</w:t>
      </w:r>
      <w:r w:rsidR="00D245AB">
        <w:rPr>
          <w:rFonts w:ascii="Cambria" w:hAnsi="Cambria"/>
          <w:spacing w:val="-2"/>
          <w:sz w:val="20"/>
        </w:rPr>
        <w:t xml:space="preserve"> </w:t>
      </w:r>
      <w:r w:rsidRPr="00A96359">
        <w:rPr>
          <w:rFonts w:ascii="Cambria" w:hAnsi="Cambria"/>
          <w:spacing w:val="-2"/>
          <w:sz w:val="20"/>
        </w:rPr>
        <w:t xml:space="preserve">day of the month of </w:t>
      </w:r>
      <w:r w:rsidR="00D245AB">
        <w:rPr>
          <w:rFonts w:ascii="Cambria" w:hAnsi="Cambria"/>
          <w:spacing w:val="-2"/>
          <w:sz w:val="20"/>
        </w:rPr>
        <w:t>August</w:t>
      </w:r>
      <w:r w:rsidRPr="00A96359">
        <w:rPr>
          <w:rFonts w:ascii="Cambria" w:hAnsi="Cambria"/>
          <w:spacing w:val="-2"/>
          <w:sz w:val="20"/>
        </w:rPr>
        <w:t xml:space="preserve">, 2022. (Signed:) </w:t>
      </w:r>
      <w:r w:rsidRPr="00A96359">
        <w:rPr>
          <w:rFonts w:ascii="Cambria" w:hAnsi="Cambria" w:cs="Arial"/>
          <w:noProof/>
          <w:spacing w:val="-2"/>
          <w:sz w:val="20"/>
          <w:szCs w:val="20"/>
        </w:rPr>
        <w:t>Julissa Mantilla Falcón</w:t>
      </w:r>
      <w:r w:rsidRPr="00A96359">
        <w:rPr>
          <w:rFonts w:ascii="Cambria" w:hAnsi="Cambria"/>
          <w:sz w:val="20"/>
        </w:rPr>
        <w:t xml:space="preserve">, President; </w:t>
      </w:r>
      <w:r w:rsidRPr="00A96359">
        <w:rPr>
          <w:rFonts w:ascii="Cambria" w:hAnsi="Cambria" w:cs="Arial"/>
          <w:noProof/>
          <w:spacing w:val="-2"/>
          <w:sz w:val="20"/>
          <w:szCs w:val="20"/>
        </w:rPr>
        <w:t>Margarette May Macaulay</w:t>
      </w:r>
      <w:r w:rsidRPr="00A96359">
        <w:rPr>
          <w:rFonts w:ascii="Cambria" w:hAnsi="Cambria"/>
          <w:sz w:val="20"/>
        </w:rPr>
        <w:t xml:space="preserve">, Second Vice President; </w:t>
      </w:r>
      <w:r w:rsidRPr="00A96359">
        <w:rPr>
          <w:rFonts w:ascii="Cambria" w:hAnsi="Cambria" w:cs="Arial"/>
          <w:noProof/>
          <w:spacing w:val="-2"/>
          <w:sz w:val="20"/>
          <w:szCs w:val="20"/>
        </w:rPr>
        <w:t xml:space="preserve">Joel Hernández, </w:t>
      </w:r>
      <w:r w:rsidR="00D245AB">
        <w:rPr>
          <w:rFonts w:ascii="Cambria" w:hAnsi="Cambria" w:cs="Arial"/>
          <w:noProof/>
          <w:spacing w:val="-2"/>
          <w:sz w:val="20"/>
          <w:szCs w:val="20"/>
        </w:rPr>
        <w:t xml:space="preserve">and </w:t>
      </w:r>
      <w:r w:rsidRPr="00A96359">
        <w:rPr>
          <w:rFonts w:ascii="Cambria" w:hAnsi="Cambria" w:cs="Arial"/>
          <w:noProof/>
          <w:spacing w:val="-2"/>
          <w:sz w:val="20"/>
          <w:szCs w:val="20"/>
        </w:rPr>
        <w:t xml:space="preserve">Roberta Clarke, </w:t>
      </w:r>
      <w:r w:rsidRPr="00A96359">
        <w:rPr>
          <w:rFonts w:ascii="Cambria" w:hAnsi="Cambria" w:cs="Arial"/>
          <w:noProof/>
          <w:spacing w:val="-2"/>
          <w:sz w:val="20"/>
        </w:rPr>
        <w:t>Commissioners</w:t>
      </w:r>
      <w:r w:rsidRPr="00A96359">
        <w:rPr>
          <w:rFonts w:ascii="Cambria" w:hAnsi="Cambria"/>
          <w:spacing w:val="-2"/>
          <w:sz w:val="20"/>
        </w:rPr>
        <w:t>.</w:t>
      </w:r>
    </w:p>
    <w:bookmarkEnd w:id="1"/>
    <w:p w14:paraId="1E0029FC" w14:textId="77777777" w:rsidR="00A96359" w:rsidRDefault="00A96359" w:rsidP="00A96359">
      <w:pPr>
        <w:rPr>
          <w:rFonts w:ascii="Cambria" w:hAnsi="Cambria"/>
          <w:spacing w:val="-2"/>
          <w:sz w:val="20"/>
        </w:rPr>
      </w:pPr>
      <w:r>
        <w:rPr>
          <w:rFonts w:ascii="Cambria" w:hAnsi="Cambria"/>
          <w:spacing w:val="-2"/>
          <w:sz w:val="20"/>
        </w:rPr>
        <w:br w:type="page"/>
      </w:r>
    </w:p>
    <w:p w14:paraId="5DDF750F" w14:textId="77777777" w:rsidR="00B60BF6" w:rsidRPr="005A1750" w:rsidRDefault="00B60BF6" w:rsidP="009A56CE">
      <w:pPr>
        <w:pBdr>
          <w:top w:val="none" w:sz="0" w:space="0" w:color="auto"/>
          <w:left w:val="none" w:sz="0" w:space="0" w:color="auto"/>
          <w:bottom w:val="none" w:sz="0" w:space="0" w:color="auto"/>
          <w:right w:val="none" w:sz="0" w:space="0" w:color="auto"/>
          <w:bar w:val="none" w:sz="0" w:color="auto"/>
        </w:pBdr>
        <w:ind w:left="720"/>
        <w:jc w:val="both"/>
        <w:rPr>
          <w:rFonts w:ascii="Cambria" w:hAnsi="Cambria" w:cs="Calibri"/>
          <w:sz w:val="20"/>
          <w:szCs w:val="20"/>
        </w:rPr>
      </w:pPr>
    </w:p>
    <w:sectPr w:rsidR="00B60BF6" w:rsidRPr="005A1750" w:rsidSect="00934A2C">
      <w:type w:val="oddPage"/>
      <w:pgSz w:w="12240" w:h="15840"/>
      <w:pgMar w:top="1440" w:right="1440" w:bottom="1440" w:left="1440" w:header="720" w:footer="720" w:gutter="0"/>
      <w:pgNumType w:start="1"/>
      <w:cols w:space="720"/>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0F04A" w14:textId="77777777" w:rsidR="00130F8D" w:rsidRDefault="00130F8D">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3465F60F" w14:textId="77777777" w:rsidR="00130F8D" w:rsidRDefault="00130F8D">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F7523" w14:textId="77777777" w:rsidR="00B60BF6" w:rsidRPr="00934A2C" w:rsidRDefault="00B60BF6">
    <w:pPr>
      <w:pStyle w:val="Footer"/>
      <w:pBdr>
        <w:top w:val="none" w:sz="0" w:space="0" w:color="auto"/>
        <w:left w:val="none" w:sz="0" w:space="0" w:color="auto"/>
        <w:bottom w:val="none" w:sz="0" w:space="0" w:color="auto"/>
        <w:right w:val="none" w:sz="0" w:space="0" w:color="auto"/>
        <w:bar w:val="none" w:sz="0" w:color="auto"/>
      </w:pBdr>
      <w:jc w:val="center"/>
      <w:rPr>
        <w:sz w:val="16"/>
        <w:szCs w:val="22"/>
      </w:rPr>
    </w:pPr>
    <w:r w:rsidRPr="00934A2C">
      <w:rPr>
        <w:sz w:val="16"/>
      </w:rPr>
      <w:fldChar w:fldCharType="begin"/>
    </w:r>
    <w:r w:rsidRPr="00934A2C">
      <w:rPr>
        <w:sz w:val="16"/>
      </w:rPr>
      <w:instrText xml:space="preserve"> PAGE   \* MERGEFORMAT </w:instrText>
    </w:r>
    <w:r w:rsidRPr="00934A2C">
      <w:rPr>
        <w:sz w:val="16"/>
      </w:rPr>
      <w:fldChar w:fldCharType="separate"/>
    </w:r>
    <w:r>
      <w:rPr>
        <w:noProof/>
        <w:sz w:val="16"/>
      </w:rPr>
      <w:t>1</w:t>
    </w:r>
    <w:r w:rsidRPr="00934A2C">
      <w:rPr>
        <w:sz w:val="16"/>
      </w:rPr>
      <w:fldChar w:fldCharType="end"/>
    </w:r>
  </w:p>
  <w:p w14:paraId="5DDF7524" w14:textId="77777777" w:rsidR="00B60BF6" w:rsidRDefault="00B60BF6">
    <w:pPr>
      <w:pStyle w:val="Footer"/>
      <w:pBdr>
        <w:top w:val="none" w:sz="0" w:space="0" w:color="auto"/>
        <w:left w:val="none" w:sz="0" w:space="0" w:color="auto"/>
        <w:bottom w:val="none" w:sz="0" w:space="0" w:color="auto"/>
        <w:right w:val="none" w:sz="0" w:space="0" w:color="auto"/>
        <w:bar w:val="none" w:sz="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F7525" w14:textId="77777777" w:rsidR="00B60BF6" w:rsidRPr="00934A2C" w:rsidRDefault="00B60BF6">
    <w:pPr>
      <w:pStyle w:val="Footer"/>
      <w:pBdr>
        <w:top w:val="none" w:sz="0" w:space="0" w:color="auto"/>
        <w:left w:val="none" w:sz="0" w:space="0" w:color="auto"/>
        <w:bottom w:val="none" w:sz="0" w:space="0" w:color="auto"/>
        <w:right w:val="none" w:sz="0" w:space="0" w:color="auto"/>
        <w:bar w:val="none" w:sz="0" w:color="auto"/>
      </w:pBdr>
      <w:jc w:val="center"/>
      <w:rPr>
        <w:sz w:val="16"/>
        <w:szCs w:val="22"/>
      </w:rPr>
    </w:pPr>
  </w:p>
  <w:p w14:paraId="5DDF7526" w14:textId="77777777" w:rsidR="00B60BF6" w:rsidRDefault="00B60BF6">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43297" w14:textId="77777777" w:rsidR="00130F8D" w:rsidRPr="000F35ED" w:rsidRDefault="00130F8D">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r w:rsidRPr="000F35ED">
        <w:rPr>
          <w:rFonts w:ascii="Cambria" w:hAnsi="Cambria"/>
          <w:sz w:val="16"/>
          <w:szCs w:val="16"/>
        </w:rPr>
        <w:separator/>
      </w:r>
    </w:p>
  </w:footnote>
  <w:footnote w:type="continuationSeparator" w:id="0">
    <w:p w14:paraId="486AE7EB" w14:textId="77777777" w:rsidR="00130F8D" w:rsidRPr="000F35ED" w:rsidRDefault="00130F8D" w:rsidP="000F35ED">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r w:rsidRPr="000F35ED">
        <w:rPr>
          <w:rFonts w:ascii="Cambria" w:hAnsi="Cambria"/>
          <w:sz w:val="16"/>
          <w:szCs w:val="16"/>
        </w:rPr>
        <w:separator/>
      </w:r>
    </w:p>
    <w:p w14:paraId="484FF2C5" w14:textId="77777777" w:rsidR="00130F8D" w:rsidRPr="000F35ED" w:rsidRDefault="00130F8D" w:rsidP="000F35ED">
      <w:pPr>
        <w:pStyle w:val="Footer"/>
        <w:pBdr>
          <w:top w:val="none" w:sz="0" w:space="0" w:color="auto"/>
          <w:left w:val="none" w:sz="0" w:space="0" w:color="auto"/>
          <w:bottom w:val="none" w:sz="0" w:space="0" w:color="auto"/>
          <w:right w:val="none" w:sz="0" w:space="0" w:color="auto"/>
          <w:bar w:val="none" w:sz="0" w:color="auto"/>
        </w:pBdr>
        <w:rPr>
          <w:sz w:val="16"/>
          <w:szCs w:val="16"/>
        </w:rPr>
      </w:pPr>
      <w:r>
        <w:rPr>
          <w:sz w:val="16"/>
          <w:szCs w:val="16"/>
        </w:rPr>
        <w:t>[… c</w:t>
      </w:r>
      <w:r w:rsidRPr="000F35ED">
        <w:rPr>
          <w:sz w:val="16"/>
          <w:szCs w:val="16"/>
        </w:rPr>
        <w:t>ontinuación</w:t>
      </w:r>
      <w:r>
        <w:rPr>
          <w:sz w:val="16"/>
          <w:szCs w:val="16"/>
        </w:rPr>
        <w:t>]</w:t>
      </w:r>
    </w:p>
  </w:footnote>
  <w:footnote w:type="continuationNotice" w:id="1">
    <w:p w14:paraId="1D77530D" w14:textId="77777777" w:rsidR="00130F8D" w:rsidRPr="000F35ED" w:rsidRDefault="00130F8D" w:rsidP="000F35ED">
      <w:pPr>
        <w:pBdr>
          <w:top w:val="none" w:sz="0" w:space="0" w:color="auto"/>
          <w:left w:val="none" w:sz="0" w:space="0" w:color="auto"/>
          <w:bottom w:val="none" w:sz="0" w:space="0" w:color="auto"/>
          <w:right w:val="none" w:sz="0" w:space="0" w:color="auto"/>
          <w:bar w:val="none" w:sz="0" w:color="auto"/>
        </w:pBdr>
        <w:jc w:val="right"/>
        <w:rPr>
          <w:rFonts w:ascii="Cambria" w:hAnsi="Cambria"/>
          <w:sz w:val="16"/>
          <w:szCs w:val="16"/>
          <w:lang w:val="es-ES"/>
        </w:rPr>
      </w:pPr>
      <w:r>
        <w:rPr>
          <w:rFonts w:ascii="Cambria" w:hAnsi="Cambria"/>
          <w:sz w:val="16"/>
          <w:szCs w:val="16"/>
          <w:lang w:val="es-ES"/>
        </w:rPr>
        <w:t>[c</w:t>
      </w:r>
      <w:r w:rsidRPr="000F35ED">
        <w:rPr>
          <w:rFonts w:ascii="Cambria" w:hAnsi="Cambria"/>
          <w:sz w:val="16"/>
          <w:szCs w:val="16"/>
          <w:lang w:val="es-ES"/>
        </w:rPr>
        <w:t>ontinúa…</w:t>
      </w:r>
      <w:r>
        <w:rPr>
          <w:rFonts w:ascii="Cambria" w:hAnsi="Cambria"/>
          <w:sz w:val="16"/>
          <w:szCs w:val="16"/>
          <w:lang w:val="es-ES"/>
        </w:rPr>
        <w:t>]</w:t>
      </w:r>
    </w:p>
  </w:footnote>
  <w:footnote w:id="2">
    <w:p w14:paraId="5DDF7529" w14:textId="77777777" w:rsidR="00B60BF6" w:rsidRDefault="00B60BF6" w:rsidP="00DE2010">
      <w:pPr>
        <w:pStyle w:val="FootnoteText"/>
        <w:pBdr>
          <w:top w:val="none" w:sz="0" w:space="0" w:color="auto"/>
          <w:left w:val="none" w:sz="0" w:space="0" w:color="auto"/>
          <w:bottom w:val="none" w:sz="0" w:space="0" w:color="auto"/>
          <w:right w:val="none" w:sz="0" w:space="0" w:color="auto"/>
          <w:bar w:val="none" w:sz="0" w:color="auto"/>
        </w:pBdr>
        <w:ind w:firstLine="720"/>
        <w:jc w:val="both"/>
      </w:pPr>
      <w:r>
        <w:rPr>
          <w:rStyle w:val="FootnoteReference"/>
          <w:rFonts w:ascii="Cambria" w:hAnsi="Cambria"/>
          <w:sz w:val="16"/>
          <w:szCs w:val="16"/>
        </w:rPr>
        <w:footnoteRef/>
      </w:r>
      <w:r>
        <w:rPr>
          <w:rFonts w:ascii="Cambria" w:hAnsi="Cambria"/>
          <w:sz w:val="16"/>
        </w:rPr>
        <w:t xml:space="preserve"> In accordance with Article 17.2.a of the Rules of Procedure of the Commission, Commissioner Esmeralda Arosemena de Troitiño, a Panamanian national, did not participate in the discussion or decision of the instant case.</w:t>
      </w:r>
    </w:p>
  </w:footnote>
  <w:footnote w:id="3">
    <w:p w14:paraId="5DDF752A" w14:textId="77777777" w:rsidR="00B60BF6" w:rsidRDefault="00B60BF6" w:rsidP="00DE2010">
      <w:pPr>
        <w:pStyle w:val="FootnoteText"/>
        <w:pBdr>
          <w:top w:val="none" w:sz="0" w:space="0" w:color="auto"/>
          <w:left w:val="none" w:sz="0" w:space="0" w:color="auto"/>
          <w:bottom w:val="none" w:sz="0" w:space="0" w:color="auto"/>
          <w:right w:val="none" w:sz="0" w:space="0" w:color="auto"/>
          <w:bar w:val="none" w:sz="0" w:color="auto"/>
        </w:pBdr>
        <w:ind w:firstLine="720"/>
        <w:jc w:val="both"/>
      </w:pPr>
      <w:r>
        <w:rPr>
          <w:rStyle w:val="FootnoteReference"/>
          <w:rFonts w:ascii="Cambria" w:hAnsi="Cambria"/>
          <w:sz w:val="16"/>
          <w:szCs w:val="16"/>
        </w:rPr>
        <w:footnoteRef/>
      </w:r>
      <w:r>
        <w:rPr>
          <w:rFonts w:ascii="Cambria" w:hAnsi="Cambria"/>
          <w:sz w:val="16"/>
        </w:rPr>
        <w:t xml:space="preserve"> The observations submitted by each party were duly transmitted to the opposing party. </w:t>
      </w:r>
    </w:p>
  </w:footnote>
  <w:footnote w:id="4">
    <w:p w14:paraId="5DDF752B" w14:textId="77777777" w:rsidR="00B60BF6" w:rsidRDefault="00B60BF6" w:rsidP="00DE2010">
      <w:pPr>
        <w:pStyle w:val="FootnoteText"/>
        <w:pBdr>
          <w:top w:val="none" w:sz="0" w:space="0" w:color="auto"/>
          <w:left w:val="none" w:sz="0" w:space="0" w:color="auto"/>
          <w:bottom w:val="none" w:sz="0" w:space="0" w:color="auto"/>
          <w:right w:val="none" w:sz="0" w:space="0" w:color="auto"/>
          <w:bar w:val="none" w:sz="0" w:color="auto"/>
        </w:pBdr>
        <w:ind w:firstLine="720"/>
        <w:jc w:val="both"/>
      </w:pPr>
      <w:r>
        <w:rPr>
          <w:rStyle w:val="FootnoteReference"/>
          <w:rFonts w:ascii="Cambria" w:hAnsi="Cambria"/>
          <w:sz w:val="16"/>
          <w:szCs w:val="16"/>
        </w:rPr>
        <w:footnoteRef/>
      </w:r>
      <w:r>
        <w:rPr>
          <w:rFonts w:ascii="Cambria" w:hAnsi="Cambria"/>
          <w:sz w:val="16"/>
        </w:rPr>
        <w:t xml:space="preserve"> In addition to her communications with substantive information, the petitioner submitted several communications in which she requested information or the processing of her petition. </w:t>
      </w:r>
    </w:p>
  </w:footnote>
  <w:footnote w:id="5">
    <w:p w14:paraId="5DDF752C" w14:textId="77777777" w:rsidR="00B60BF6" w:rsidRDefault="00B60BF6" w:rsidP="00DE2010">
      <w:pPr>
        <w:pStyle w:val="FootnoteText"/>
        <w:pBdr>
          <w:top w:val="none" w:sz="0" w:space="0" w:color="auto"/>
          <w:left w:val="none" w:sz="0" w:space="0" w:color="auto"/>
          <w:bottom w:val="none" w:sz="0" w:space="0" w:color="auto"/>
          <w:right w:val="none" w:sz="0" w:space="0" w:color="auto"/>
          <w:bar w:val="none" w:sz="0" w:color="auto"/>
        </w:pBdr>
        <w:ind w:firstLine="720"/>
        <w:jc w:val="both"/>
      </w:pPr>
      <w:r>
        <w:rPr>
          <w:rStyle w:val="FootnoteReference"/>
          <w:rFonts w:ascii="Cambria" w:hAnsi="Cambria"/>
          <w:sz w:val="16"/>
          <w:szCs w:val="16"/>
        </w:rPr>
        <w:footnoteRef/>
      </w:r>
      <w:r>
        <w:rPr>
          <w:rFonts w:ascii="Cambria" w:hAnsi="Cambria"/>
          <w:sz w:val="16"/>
        </w:rPr>
        <w:t xml:space="preserve"> Hereinafter “the American Convention.”</w:t>
      </w:r>
    </w:p>
  </w:footnote>
  <w:footnote w:id="6">
    <w:p w14:paraId="5DDF752D" w14:textId="77777777" w:rsidR="00B60BF6" w:rsidRDefault="00B60BF6" w:rsidP="00236073">
      <w:pPr>
        <w:pStyle w:val="FootnoteText"/>
        <w:pBdr>
          <w:top w:val="none" w:sz="0" w:space="0" w:color="auto"/>
          <w:left w:val="none" w:sz="0" w:space="0" w:color="auto"/>
          <w:bottom w:val="none" w:sz="0" w:space="0" w:color="auto"/>
          <w:right w:val="none" w:sz="0" w:space="0" w:color="auto"/>
          <w:bar w:val="none" w:sz="0" w:color="auto"/>
        </w:pBdr>
        <w:jc w:val="both"/>
      </w:pPr>
      <w:r>
        <w:rPr>
          <w:rFonts w:ascii="Cambria" w:hAnsi="Cambria"/>
          <w:sz w:val="16"/>
        </w:rPr>
        <w:tab/>
      </w:r>
      <w:r>
        <w:rPr>
          <w:rStyle w:val="FootnoteReference"/>
          <w:rFonts w:ascii="Cambria" w:hAnsi="Cambria"/>
          <w:sz w:val="16"/>
          <w:szCs w:val="16"/>
        </w:rPr>
        <w:footnoteRef/>
      </w:r>
      <w:r>
        <w:rPr>
          <w:rFonts w:ascii="Cambria" w:hAnsi="Cambria"/>
          <w:sz w:val="16"/>
        </w:rPr>
        <w:t xml:space="preserve"> IACHR, Report No. 161/17. Petition 29-07. Admissibility. Andy Williams Garcés Suárez and family. </w:t>
      </w:r>
      <w:r w:rsidRPr="001B42F2">
        <w:rPr>
          <w:rFonts w:ascii="Cambria" w:hAnsi="Cambria"/>
          <w:sz w:val="16"/>
          <w:lang w:val="es-AR"/>
        </w:rPr>
        <w:t>Peru. November 30, 2017; para. 12.</w:t>
      </w:r>
    </w:p>
  </w:footnote>
  <w:footnote w:id="7">
    <w:p w14:paraId="5DDF752E" w14:textId="77777777" w:rsidR="00B60BF6" w:rsidRDefault="00B60BF6" w:rsidP="002616DB">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1B42F2">
        <w:rPr>
          <w:rStyle w:val="FootnoteReference"/>
          <w:rFonts w:ascii="Cambria" w:hAnsi="Cambria"/>
          <w:sz w:val="16"/>
          <w:szCs w:val="16"/>
        </w:rPr>
        <w:footnoteRef/>
      </w:r>
      <w:r w:rsidRPr="0051282B">
        <w:rPr>
          <w:rFonts w:ascii="Cambria" w:hAnsi="Cambria"/>
          <w:sz w:val="16"/>
          <w:lang w:val="es-ES"/>
        </w:rPr>
        <w:t xml:space="preserve"> IACHR, Report No. 143/18. Petition 940-08. Admissibility. Luis Américo Ayala Gonzáles v. Peru. </w:t>
      </w:r>
      <w:r w:rsidRPr="001B42F2">
        <w:rPr>
          <w:rFonts w:ascii="Cambria" w:hAnsi="Cambria"/>
          <w:sz w:val="16"/>
        </w:rPr>
        <w:t>December 04, 2018; para.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F751F" w14:textId="77777777" w:rsidR="00B60BF6" w:rsidRDefault="00B60BF6" w:rsidP="00B54CDF">
    <w:pPr>
      <w:pStyle w:val="Header"/>
      <w:framePr w:wrap="around" w:vAnchor="text" w:hAnchor="margin" w:xAlign="center" w:y="1"/>
      <w:rPr>
        <w:rStyle w:val="PageNumber"/>
        <w:rFonts w:cs="Univers"/>
      </w:rPr>
    </w:pPr>
    <w:r>
      <w:rPr>
        <w:rStyle w:val="PageNumber"/>
        <w:rFonts w:cs="Univers"/>
      </w:rPr>
      <w:fldChar w:fldCharType="begin"/>
    </w:r>
    <w:r>
      <w:rPr>
        <w:rStyle w:val="PageNumber"/>
        <w:rFonts w:cs="Univers"/>
      </w:rPr>
      <w:instrText xml:space="preserve">PAGE  </w:instrText>
    </w:r>
    <w:r>
      <w:rPr>
        <w:rStyle w:val="PageNumber"/>
        <w:rFonts w:cs="Univers"/>
      </w:rPr>
      <w:fldChar w:fldCharType="end"/>
    </w:r>
  </w:p>
  <w:p w14:paraId="5DDF7520" w14:textId="77777777" w:rsidR="00B60BF6" w:rsidRDefault="00B60B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F7521" w14:textId="77777777" w:rsidR="00B60BF6" w:rsidRDefault="00051692" w:rsidP="00A50FCF">
    <w:pPr>
      <w:pStyle w:val="Header"/>
      <w:tabs>
        <w:tab w:val="clear" w:pos="4320"/>
        <w:tab w:val="clear" w:pos="8640"/>
      </w:tabs>
      <w:jc w:val="center"/>
      <w:rPr>
        <w:sz w:val="22"/>
        <w:szCs w:val="22"/>
      </w:rPr>
    </w:pPr>
    <w:r>
      <w:rPr>
        <w:noProof/>
        <w:sz w:val="22"/>
        <w:lang w:val="es-PA" w:eastAsia="es-PA"/>
      </w:rPr>
      <w:pict w14:anchorId="5DDF75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i1029" type="#_x0000_t75" style="width:154.5pt;height:8.25pt;visibility:visible">
          <v:imagedata r:id="rId1" o:title=""/>
        </v:shape>
      </w:pict>
    </w:r>
  </w:p>
  <w:p w14:paraId="5DDF7522" w14:textId="77777777" w:rsidR="00B60BF6" w:rsidRPr="00EC7D62" w:rsidRDefault="00051692" w:rsidP="00A50FCF">
    <w:pPr>
      <w:pStyle w:val="Header"/>
      <w:tabs>
        <w:tab w:val="clear" w:pos="4320"/>
        <w:tab w:val="clear" w:pos="8640"/>
      </w:tabs>
      <w:jc w:val="center"/>
      <w:rPr>
        <w:sz w:val="22"/>
        <w:szCs w:val="22"/>
      </w:rPr>
    </w:pPr>
    <w:r>
      <w:rPr>
        <w:sz w:val="22"/>
      </w:rPr>
      <w:pict w14:anchorId="5DDF7528">
        <v:rect id="_x0000_i1030"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Times New Roman" w:hAnsi="Calibri" w:cs="Calibri"/>
        <w:b/>
        <w:bCs/>
        <w:color w:val="000000"/>
        <w:position w:val="0"/>
        <w:sz w:val="22"/>
        <w:szCs w:val="22"/>
        <w:u w:val="single" w:color="000000"/>
      </w:rPr>
    </w:lvl>
    <w:lvl w:ilvl="1">
      <w:start w:val="1"/>
      <w:numFmt w:val="decimal"/>
      <w:lvlText w:val="%1.%2."/>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val="single"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val="single"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val="single"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val="single"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val="single"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val="single"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val="single" w:color="000000"/>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4" w15:restartNumberingAfterBreak="0">
    <w:nsid w:val="12BA2819"/>
    <w:multiLevelType w:val="multilevel"/>
    <w:tmpl w:val="DE3EA646"/>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Trebuchet MS" w:eastAsia="Times New Roman" w:hAnsi="Trebuchet MS"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decimal"/>
      <w:lvlText w:val="%1.%2."/>
      <w:lvlJc w:val="left"/>
      <w:pPr>
        <w:tabs>
          <w:tab w:val="num" w:pos="690"/>
        </w:tabs>
        <w:ind w:left="690" w:hanging="330"/>
      </w:pPr>
      <w:rPr>
        <w:rFonts w:ascii="Calibri" w:eastAsia="Times New Roman" w:hAnsi="Calibri" w:cs="Calibri"/>
        <w:b/>
        <w:bCs/>
        <w:color w:val="000000"/>
        <w:position w:val="0"/>
        <w:sz w:val="22"/>
        <w:szCs w:val="22"/>
        <w:u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color="000000"/>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1" w15:restartNumberingAfterBreak="0">
    <w:nsid w:val="213364BF"/>
    <w:multiLevelType w:val="hybridMultilevel"/>
    <w:tmpl w:val="0E0648C6"/>
    <w:lvl w:ilvl="0" w:tplc="58C4C316">
      <w:start w:val="1"/>
      <w:numFmt w:val="decimal"/>
      <w:lvlText w:val="%1."/>
      <w:lvlJc w:val="left"/>
      <w:pPr>
        <w:ind w:left="1440" w:hanging="720"/>
      </w:pPr>
      <w:rPr>
        <w:rFonts w:cs="Times New Roman" w:hint="default"/>
        <w:b w:val="0"/>
        <w:bCs/>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9" w15:restartNumberingAfterBreak="0">
    <w:nsid w:val="31CB6708"/>
    <w:multiLevelType w:val="multilevel"/>
    <w:tmpl w:val="B6544A0C"/>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Trebuchet MS" w:eastAsia="Times New Roman" w:hAnsi="Trebuchet MS"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4"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6"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0" w15:restartNumberingAfterBreak="0">
    <w:nsid w:val="42DF19D7"/>
    <w:multiLevelType w:val="multilevel"/>
    <w:tmpl w:val="E7265BB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bullet"/>
      <w:lvlText w:val="•"/>
      <w:lvlJc w:val="left"/>
      <w:pPr>
        <w:tabs>
          <w:tab w:val="num" w:pos="1740"/>
        </w:tabs>
        <w:ind w:left="1740" w:hanging="660"/>
      </w:pPr>
      <w:rPr>
        <w:rFonts w:ascii="Calibri" w:eastAsia="Times New Roman" w:hAnsi="Calibri"/>
        <w:color w:val="000000"/>
        <w:position w:val="0"/>
        <w:sz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5" w15:restartNumberingAfterBreak="0">
    <w:nsid w:val="492723E7"/>
    <w:multiLevelType w:val="multilevel"/>
    <w:tmpl w:val="0CF8CC36"/>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6"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770"/>
        </w:tabs>
        <w:ind w:left="177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495"/>
        </w:tabs>
        <w:ind w:left="249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3210"/>
        </w:tabs>
        <w:ind w:left="321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930"/>
        </w:tabs>
        <w:ind w:left="393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655"/>
        </w:tabs>
        <w:ind w:left="465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370"/>
        </w:tabs>
        <w:ind w:left="537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6090"/>
        </w:tabs>
        <w:ind w:left="609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815"/>
        </w:tabs>
        <w:ind w:left="6815" w:hanging="271"/>
      </w:pPr>
      <w:rPr>
        <w:rFonts w:ascii="Calibri" w:eastAsia="Times New Roman" w:hAnsi="Calibri" w:cs="Calibri"/>
        <w:b/>
        <w:bCs/>
        <w:color w:val="000000"/>
        <w:position w:val="0"/>
        <w:sz w:val="22"/>
        <w:szCs w:val="22"/>
        <w:u w:val="single" w:color="000000"/>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Times New Roman" w:hAnsi="Calibri" w:cs="Calibri"/>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1"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firstLine="720"/>
      </w:pPr>
      <w:rPr>
        <w:rFonts w:cs="Times New Roman" w:hint="default"/>
        <w:i w:val="0"/>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abstractNum w:abstractNumId="45" w15:restartNumberingAfterBreak="0">
    <w:nsid w:val="5ACF75AD"/>
    <w:multiLevelType w:val="hybridMultilevel"/>
    <w:tmpl w:val="31865C40"/>
    <w:lvl w:ilvl="0" w:tplc="57CED0E8">
      <w:start w:val="1"/>
      <w:numFmt w:val="decimal"/>
      <w:lvlText w:val="%1."/>
      <w:lvlJc w:val="left"/>
      <w:pPr>
        <w:ind w:left="720" w:hanging="360"/>
      </w:pPr>
      <w:rPr>
        <w:rFonts w:ascii="Cambria" w:hAnsi="Cambria" w:cs="Times New Roman" w:hint="default"/>
        <w:b w:val="0"/>
        <w:bCs w:val="0"/>
        <w:sz w:val="20"/>
        <w:szCs w:val="2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Times New Roman" w:hAnsi="Calibri" w:cs="Calibri"/>
        <w:b/>
        <w:bCs/>
        <w:color w:val="000000"/>
        <w:position w:val="0"/>
        <w:sz w:val="22"/>
        <w:szCs w:val="22"/>
        <w:u w:val="single" w:color="000000"/>
      </w:rPr>
    </w:lvl>
    <w:lvl w:ilvl="1">
      <w:start w:val="2"/>
      <w:numFmt w:val="decimal"/>
      <w:lvlText w:val="%1.%2."/>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val="single"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val="single"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val="single"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val="single"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val="single"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val="single"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val="single" w:color="000000"/>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15:restartNumberingAfterBreak="0">
    <w:nsid w:val="745A711E"/>
    <w:multiLevelType w:val="multilevel"/>
    <w:tmpl w:val="ED88159C"/>
    <w:styleLink w:val="List41"/>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3" w15:restartNumberingAfterBreak="0">
    <w:nsid w:val="78C26FCF"/>
    <w:multiLevelType w:val="multilevel"/>
    <w:tmpl w:val="2FCAD168"/>
    <w:styleLink w:val="List31"/>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imes New Roman" w:hAnsi="Trebuchet MS"/>
        <w:b/>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b/>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b/>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b/>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b/>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b/>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b/>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b/>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b/>
        <w:color w:val="000000"/>
        <w:position w:val="0"/>
        <w:sz w:val="22"/>
        <w:u w:color="000000"/>
      </w:rPr>
    </w:lvl>
  </w:abstractNum>
  <w:abstractNum w:abstractNumId="5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6"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7"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8"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num w:numId="1" w16cid:durableId="1589149254">
    <w:abstractNumId w:val="3"/>
  </w:num>
  <w:num w:numId="2" w16cid:durableId="1745685590">
    <w:abstractNumId w:val="4"/>
  </w:num>
  <w:num w:numId="3" w16cid:durableId="329258945">
    <w:abstractNumId w:val="54"/>
  </w:num>
  <w:num w:numId="4" w16cid:durableId="1798252605">
    <w:abstractNumId w:val="20"/>
  </w:num>
  <w:num w:numId="5" w16cid:durableId="1000890081">
    <w:abstractNumId w:val="48"/>
  </w:num>
  <w:num w:numId="6" w16cid:durableId="984360320">
    <w:abstractNumId w:val="27"/>
  </w:num>
  <w:num w:numId="7" w16cid:durableId="2104716574">
    <w:abstractNumId w:val="5"/>
  </w:num>
  <w:num w:numId="8" w16cid:durableId="2040008738">
    <w:abstractNumId w:val="16"/>
  </w:num>
  <w:num w:numId="9" w16cid:durableId="541287759">
    <w:abstractNumId w:val="42"/>
  </w:num>
  <w:num w:numId="10" w16cid:durableId="1581789608">
    <w:abstractNumId w:val="0"/>
  </w:num>
  <w:num w:numId="11" w16cid:durableId="580259119">
    <w:abstractNumId w:val="37"/>
  </w:num>
  <w:num w:numId="12" w16cid:durableId="766345057">
    <w:abstractNumId w:val="38"/>
  </w:num>
  <w:num w:numId="13" w16cid:durableId="435441514">
    <w:abstractNumId w:val="44"/>
  </w:num>
  <w:num w:numId="14" w16cid:durableId="1067797393">
    <w:abstractNumId w:val="1"/>
  </w:num>
  <w:num w:numId="15" w16cid:durableId="10225094">
    <w:abstractNumId w:val="2"/>
  </w:num>
  <w:num w:numId="16" w16cid:durableId="1284382443">
    <w:abstractNumId w:val="6"/>
  </w:num>
  <w:num w:numId="17" w16cid:durableId="1218053386">
    <w:abstractNumId w:val="7"/>
  </w:num>
  <w:num w:numId="18" w16cid:durableId="1312560535">
    <w:abstractNumId w:val="8"/>
  </w:num>
  <w:num w:numId="19" w16cid:durableId="1412655091">
    <w:abstractNumId w:val="9"/>
  </w:num>
  <w:num w:numId="20" w16cid:durableId="1939945088">
    <w:abstractNumId w:val="10"/>
  </w:num>
  <w:num w:numId="21" w16cid:durableId="270479909">
    <w:abstractNumId w:val="12"/>
  </w:num>
  <w:num w:numId="22" w16cid:durableId="1782066025">
    <w:abstractNumId w:val="13"/>
  </w:num>
  <w:num w:numId="23" w16cid:durableId="1615474576">
    <w:abstractNumId w:val="14"/>
  </w:num>
  <w:num w:numId="24" w16cid:durableId="1697540507">
    <w:abstractNumId w:val="15"/>
  </w:num>
  <w:num w:numId="25" w16cid:durableId="393358642">
    <w:abstractNumId w:val="17"/>
  </w:num>
  <w:num w:numId="26" w16cid:durableId="763067488">
    <w:abstractNumId w:val="18"/>
  </w:num>
  <w:num w:numId="27" w16cid:durableId="1372218966">
    <w:abstractNumId w:val="21"/>
  </w:num>
  <w:num w:numId="28" w16cid:durableId="554856791">
    <w:abstractNumId w:val="22"/>
  </w:num>
  <w:num w:numId="29" w16cid:durableId="1952664595">
    <w:abstractNumId w:val="23"/>
  </w:num>
  <w:num w:numId="30" w16cid:durableId="371155691">
    <w:abstractNumId w:val="25"/>
  </w:num>
  <w:num w:numId="31" w16cid:durableId="1782991366">
    <w:abstractNumId w:val="28"/>
  </w:num>
  <w:num w:numId="32" w16cid:durableId="1796676853">
    <w:abstractNumId w:val="29"/>
  </w:num>
  <w:num w:numId="33" w16cid:durableId="70275134">
    <w:abstractNumId w:val="30"/>
  </w:num>
  <w:num w:numId="34" w16cid:durableId="1926182050">
    <w:abstractNumId w:val="31"/>
  </w:num>
  <w:num w:numId="35" w16cid:durableId="981078396">
    <w:abstractNumId w:val="32"/>
  </w:num>
  <w:num w:numId="36" w16cid:durableId="193423246">
    <w:abstractNumId w:val="33"/>
  </w:num>
  <w:num w:numId="37" w16cid:durableId="382799142">
    <w:abstractNumId w:val="34"/>
  </w:num>
  <w:num w:numId="38" w16cid:durableId="881598501">
    <w:abstractNumId w:val="35"/>
  </w:num>
  <w:num w:numId="39" w16cid:durableId="953749917">
    <w:abstractNumId w:val="39"/>
  </w:num>
  <w:num w:numId="40" w16cid:durableId="1854488824">
    <w:abstractNumId w:val="40"/>
  </w:num>
  <w:num w:numId="41" w16cid:durableId="1953707815">
    <w:abstractNumId w:val="47"/>
  </w:num>
  <w:num w:numId="42" w16cid:durableId="1195196897">
    <w:abstractNumId w:val="49"/>
  </w:num>
  <w:num w:numId="43" w16cid:durableId="2025284304">
    <w:abstractNumId w:val="50"/>
  </w:num>
  <w:num w:numId="44" w16cid:durableId="1711295578">
    <w:abstractNumId w:val="52"/>
  </w:num>
  <w:num w:numId="45" w16cid:durableId="681590347">
    <w:abstractNumId w:val="53"/>
  </w:num>
  <w:num w:numId="46" w16cid:durableId="346953284">
    <w:abstractNumId w:val="55"/>
  </w:num>
  <w:num w:numId="47" w16cid:durableId="2088651728">
    <w:abstractNumId w:val="56"/>
  </w:num>
  <w:num w:numId="48" w16cid:durableId="578715278">
    <w:abstractNumId w:val="57"/>
  </w:num>
  <w:num w:numId="49" w16cid:durableId="963124382">
    <w:abstractNumId w:val="58"/>
  </w:num>
  <w:num w:numId="50" w16cid:durableId="2030133588">
    <w:abstractNumId w:val="59"/>
  </w:num>
  <w:num w:numId="51" w16cid:durableId="913975104">
    <w:abstractNumId w:val="19"/>
  </w:num>
  <w:num w:numId="52" w16cid:durableId="1320227678">
    <w:abstractNumId w:val="41"/>
  </w:num>
  <w:num w:numId="53" w16cid:durableId="1106969389">
    <w:abstractNumId w:val="51"/>
  </w:num>
  <w:num w:numId="54" w16cid:durableId="503400635">
    <w:abstractNumId w:val="46"/>
  </w:num>
  <w:num w:numId="55" w16cid:durableId="1403597438">
    <w:abstractNumId w:val="43"/>
  </w:num>
  <w:num w:numId="56" w16cid:durableId="1257902479">
    <w:abstractNumId w:val="26"/>
  </w:num>
  <w:num w:numId="57" w16cid:durableId="1627546813">
    <w:abstractNumId w:val="24"/>
  </w:num>
  <w:num w:numId="58" w16cid:durableId="942348029">
    <w:abstractNumId w:val="36"/>
  </w:num>
  <w:num w:numId="59" w16cid:durableId="9187357">
    <w:abstractNumId w:val="45"/>
  </w:num>
  <w:num w:numId="60" w16cid:durableId="1195194396">
    <w:abstractNumId w:val="1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TrackMoves/>
  <w:defaultTabStop w:val="720"/>
  <w:hyphenationZone w:val="425"/>
  <w:characterSpacingControl w:val="doNotCompress"/>
  <w:hdrShapeDefaults>
    <o:shapedefaults v:ext="edit" spidmax="2061"/>
  </w:hdrShapeDefaults>
  <w:footnotePr>
    <w:footnote w:id="-1"/>
    <w:footnote w:id="0"/>
    <w:footnote w:id="1"/>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B2D5C"/>
    <w:rsid w:val="0000036F"/>
    <w:rsid w:val="00000CDA"/>
    <w:rsid w:val="00000F0E"/>
    <w:rsid w:val="00001639"/>
    <w:rsid w:val="00002D32"/>
    <w:rsid w:val="00006E1F"/>
    <w:rsid w:val="000070D7"/>
    <w:rsid w:val="00011284"/>
    <w:rsid w:val="0001788C"/>
    <w:rsid w:val="00023CC3"/>
    <w:rsid w:val="000268EF"/>
    <w:rsid w:val="000337EF"/>
    <w:rsid w:val="00035644"/>
    <w:rsid w:val="00035A69"/>
    <w:rsid w:val="00040C3A"/>
    <w:rsid w:val="000419AD"/>
    <w:rsid w:val="000423FC"/>
    <w:rsid w:val="000433C9"/>
    <w:rsid w:val="00051692"/>
    <w:rsid w:val="00071174"/>
    <w:rsid w:val="000716C5"/>
    <w:rsid w:val="00075161"/>
    <w:rsid w:val="00075E23"/>
    <w:rsid w:val="00077E8B"/>
    <w:rsid w:val="000841A3"/>
    <w:rsid w:val="000868AB"/>
    <w:rsid w:val="00086B6C"/>
    <w:rsid w:val="0009344A"/>
    <w:rsid w:val="00097C9F"/>
    <w:rsid w:val="000A1243"/>
    <w:rsid w:val="000A2918"/>
    <w:rsid w:val="000A31B3"/>
    <w:rsid w:val="000A3442"/>
    <w:rsid w:val="000A392E"/>
    <w:rsid w:val="000A575F"/>
    <w:rsid w:val="000A5A03"/>
    <w:rsid w:val="000B437E"/>
    <w:rsid w:val="000B7426"/>
    <w:rsid w:val="000D05CB"/>
    <w:rsid w:val="000D10DB"/>
    <w:rsid w:val="000E5EB5"/>
    <w:rsid w:val="000F35ED"/>
    <w:rsid w:val="001004FE"/>
    <w:rsid w:val="00107131"/>
    <w:rsid w:val="0010736F"/>
    <w:rsid w:val="00113F73"/>
    <w:rsid w:val="00116A44"/>
    <w:rsid w:val="00121549"/>
    <w:rsid w:val="00121CC2"/>
    <w:rsid w:val="0012359D"/>
    <w:rsid w:val="001235AD"/>
    <w:rsid w:val="00123950"/>
    <w:rsid w:val="00130F8D"/>
    <w:rsid w:val="00131425"/>
    <w:rsid w:val="00133D1B"/>
    <w:rsid w:val="00133EE5"/>
    <w:rsid w:val="00153F5A"/>
    <w:rsid w:val="00167A34"/>
    <w:rsid w:val="001938F3"/>
    <w:rsid w:val="001A170B"/>
    <w:rsid w:val="001A520D"/>
    <w:rsid w:val="001A7870"/>
    <w:rsid w:val="001B012F"/>
    <w:rsid w:val="001B19C6"/>
    <w:rsid w:val="001B3A00"/>
    <w:rsid w:val="001B42F2"/>
    <w:rsid w:val="001B478B"/>
    <w:rsid w:val="001C1B41"/>
    <w:rsid w:val="001C7501"/>
    <w:rsid w:val="001D19E6"/>
    <w:rsid w:val="001D48D8"/>
    <w:rsid w:val="001D65EF"/>
    <w:rsid w:val="001D7F96"/>
    <w:rsid w:val="001E0BFF"/>
    <w:rsid w:val="001E49E7"/>
    <w:rsid w:val="001F7201"/>
    <w:rsid w:val="00201B92"/>
    <w:rsid w:val="00223A29"/>
    <w:rsid w:val="002250A3"/>
    <w:rsid w:val="0023321E"/>
    <w:rsid w:val="00235217"/>
    <w:rsid w:val="00236073"/>
    <w:rsid w:val="00242F26"/>
    <w:rsid w:val="002433C0"/>
    <w:rsid w:val="00246227"/>
    <w:rsid w:val="00246AA7"/>
    <w:rsid w:val="00246D1F"/>
    <w:rsid w:val="00247403"/>
    <w:rsid w:val="00247542"/>
    <w:rsid w:val="002565CE"/>
    <w:rsid w:val="002616DB"/>
    <w:rsid w:val="0026436D"/>
    <w:rsid w:val="00266B61"/>
    <w:rsid w:val="0026712A"/>
    <w:rsid w:val="002704DB"/>
    <w:rsid w:val="00281451"/>
    <w:rsid w:val="00287B6B"/>
    <w:rsid w:val="00296961"/>
    <w:rsid w:val="00297EA9"/>
    <w:rsid w:val="002A0AAE"/>
    <w:rsid w:val="002A5820"/>
    <w:rsid w:val="002D2B26"/>
    <w:rsid w:val="002D7EA2"/>
    <w:rsid w:val="002E187C"/>
    <w:rsid w:val="002F08B2"/>
    <w:rsid w:val="00302733"/>
    <w:rsid w:val="00305835"/>
    <w:rsid w:val="00306F33"/>
    <w:rsid w:val="00314078"/>
    <w:rsid w:val="0031535D"/>
    <w:rsid w:val="003239B8"/>
    <w:rsid w:val="003264E4"/>
    <w:rsid w:val="0033102B"/>
    <w:rsid w:val="0033169F"/>
    <w:rsid w:val="00332AE8"/>
    <w:rsid w:val="00335071"/>
    <w:rsid w:val="0033628D"/>
    <w:rsid w:val="00344977"/>
    <w:rsid w:val="00346C95"/>
    <w:rsid w:val="00347C78"/>
    <w:rsid w:val="00356185"/>
    <w:rsid w:val="00360380"/>
    <w:rsid w:val="00362AEE"/>
    <w:rsid w:val="0037519E"/>
    <w:rsid w:val="00382D2C"/>
    <w:rsid w:val="00386701"/>
    <w:rsid w:val="00386CF0"/>
    <w:rsid w:val="00394073"/>
    <w:rsid w:val="00396BC0"/>
    <w:rsid w:val="003A08C2"/>
    <w:rsid w:val="003A7660"/>
    <w:rsid w:val="003B70FB"/>
    <w:rsid w:val="003C676B"/>
    <w:rsid w:val="003D3BC2"/>
    <w:rsid w:val="003E6CA1"/>
    <w:rsid w:val="003F0D07"/>
    <w:rsid w:val="003F5154"/>
    <w:rsid w:val="00401DB8"/>
    <w:rsid w:val="00405F9C"/>
    <w:rsid w:val="004065A8"/>
    <w:rsid w:val="004150C8"/>
    <w:rsid w:val="004165C2"/>
    <w:rsid w:val="004241A0"/>
    <w:rsid w:val="00441ECB"/>
    <w:rsid w:val="00445193"/>
    <w:rsid w:val="00445E18"/>
    <w:rsid w:val="004544BF"/>
    <w:rsid w:val="00455188"/>
    <w:rsid w:val="00462C1B"/>
    <w:rsid w:val="00463804"/>
    <w:rsid w:val="00467B7E"/>
    <w:rsid w:val="004716D0"/>
    <w:rsid w:val="00473BB4"/>
    <w:rsid w:val="00473DE7"/>
    <w:rsid w:val="00477592"/>
    <w:rsid w:val="00485B2F"/>
    <w:rsid w:val="00486F1C"/>
    <w:rsid w:val="0049419D"/>
    <w:rsid w:val="004A057B"/>
    <w:rsid w:val="004A0DD5"/>
    <w:rsid w:val="004A6A54"/>
    <w:rsid w:val="004B421C"/>
    <w:rsid w:val="004B4FA1"/>
    <w:rsid w:val="004B761A"/>
    <w:rsid w:val="004C1C4A"/>
    <w:rsid w:val="004C20D2"/>
    <w:rsid w:val="004C2312"/>
    <w:rsid w:val="004C4B62"/>
    <w:rsid w:val="004C54C9"/>
    <w:rsid w:val="004C6C81"/>
    <w:rsid w:val="004D0CEE"/>
    <w:rsid w:val="004D4ABA"/>
    <w:rsid w:val="004D6025"/>
    <w:rsid w:val="004E2649"/>
    <w:rsid w:val="004E2BB2"/>
    <w:rsid w:val="004F626F"/>
    <w:rsid w:val="004F6537"/>
    <w:rsid w:val="004F71AD"/>
    <w:rsid w:val="00501399"/>
    <w:rsid w:val="005047ED"/>
    <w:rsid w:val="0050633D"/>
    <w:rsid w:val="00507BC4"/>
    <w:rsid w:val="00507F8B"/>
    <w:rsid w:val="0051282B"/>
    <w:rsid w:val="005128E4"/>
    <w:rsid w:val="005133DB"/>
    <w:rsid w:val="00514504"/>
    <w:rsid w:val="00521E1F"/>
    <w:rsid w:val="00525560"/>
    <w:rsid w:val="00536578"/>
    <w:rsid w:val="00540F17"/>
    <w:rsid w:val="00544C49"/>
    <w:rsid w:val="00547E0C"/>
    <w:rsid w:val="005516A1"/>
    <w:rsid w:val="00551CA8"/>
    <w:rsid w:val="005559EF"/>
    <w:rsid w:val="00561341"/>
    <w:rsid w:val="00563557"/>
    <w:rsid w:val="0057402A"/>
    <w:rsid w:val="005771D0"/>
    <w:rsid w:val="00584C1D"/>
    <w:rsid w:val="0059191A"/>
    <w:rsid w:val="00591A9E"/>
    <w:rsid w:val="005921FF"/>
    <w:rsid w:val="005A1750"/>
    <w:rsid w:val="005A24ED"/>
    <w:rsid w:val="005A62E7"/>
    <w:rsid w:val="005A6D0E"/>
    <w:rsid w:val="005B52B0"/>
    <w:rsid w:val="005B6806"/>
    <w:rsid w:val="005C4225"/>
    <w:rsid w:val="005C44B9"/>
    <w:rsid w:val="005F0DAD"/>
    <w:rsid w:val="005F0F33"/>
    <w:rsid w:val="005F7574"/>
    <w:rsid w:val="00600DEB"/>
    <w:rsid w:val="00613022"/>
    <w:rsid w:val="00623000"/>
    <w:rsid w:val="00627AD4"/>
    <w:rsid w:val="00627C9F"/>
    <w:rsid w:val="006311E9"/>
    <w:rsid w:val="00632354"/>
    <w:rsid w:val="00634299"/>
    <w:rsid w:val="00634923"/>
    <w:rsid w:val="00635421"/>
    <w:rsid w:val="00640080"/>
    <w:rsid w:val="006414E0"/>
    <w:rsid w:val="00641D4B"/>
    <w:rsid w:val="00642810"/>
    <w:rsid w:val="00642BCF"/>
    <w:rsid w:val="00652333"/>
    <w:rsid w:val="006540B3"/>
    <w:rsid w:val="0066042B"/>
    <w:rsid w:val="0066622E"/>
    <w:rsid w:val="00667F35"/>
    <w:rsid w:val="0067228B"/>
    <w:rsid w:val="0068009E"/>
    <w:rsid w:val="006806DE"/>
    <w:rsid w:val="00692219"/>
    <w:rsid w:val="006A17D2"/>
    <w:rsid w:val="006A2219"/>
    <w:rsid w:val="006A73E6"/>
    <w:rsid w:val="006B05D6"/>
    <w:rsid w:val="006B2D5C"/>
    <w:rsid w:val="006C0ECF"/>
    <w:rsid w:val="006C4EB1"/>
    <w:rsid w:val="006D57BE"/>
    <w:rsid w:val="006E0166"/>
    <w:rsid w:val="006E2FFB"/>
    <w:rsid w:val="006E7B34"/>
    <w:rsid w:val="006F0B16"/>
    <w:rsid w:val="006F7F7C"/>
    <w:rsid w:val="0070697F"/>
    <w:rsid w:val="00706D87"/>
    <w:rsid w:val="007071DB"/>
    <w:rsid w:val="007103C4"/>
    <w:rsid w:val="007111C1"/>
    <w:rsid w:val="0072199C"/>
    <w:rsid w:val="00722C9F"/>
    <w:rsid w:val="007253B8"/>
    <w:rsid w:val="00732A6A"/>
    <w:rsid w:val="0073741F"/>
    <w:rsid w:val="007416DB"/>
    <w:rsid w:val="00753973"/>
    <w:rsid w:val="00766241"/>
    <w:rsid w:val="0076643F"/>
    <w:rsid w:val="007716CC"/>
    <w:rsid w:val="007747DA"/>
    <w:rsid w:val="00777F63"/>
    <w:rsid w:val="007829B5"/>
    <w:rsid w:val="007866B1"/>
    <w:rsid w:val="0078799E"/>
    <w:rsid w:val="007A5817"/>
    <w:rsid w:val="007A636C"/>
    <w:rsid w:val="007B05C4"/>
    <w:rsid w:val="007B4840"/>
    <w:rsid w:val="007B58BB"/>
    <w:rsid w:val="007B60E9"/>
    <w:rsid w:val="007B6CC3"/>
    <w:rsid w:val="007B76D3"/>
    <w:rsid w:val="007C3334"/>
    <w:rsid w:val="007C7C54"/>
    <w:rsid w:val="007D2B98"/>
    <w:rsid w:val="007E21BC"/>
    <w:rsid w:val="007E7C82"/>
    <w:rsid w:val="007F1021"/>
    <w:rsid w:val="007F2260"/>
    <w:rsid w:val="007F2AA1"/>
    <w:rsid w:val="007F3AEA"/>
    <w:rsid w:val="007F588D"/>
    <w:rsid w:val="007F5D45"/>
    <w:rsid w:val="008012E2"/>
    <w:rsid w:val="00803F1C"/>
    <w:rsid w:val="0080600E"/>
    <w:rsid w:val="00814688"/>
    <w:rsid w:val="00817612"/>
    <w:rsid w:val="0082666F"/>
    <w:rsid w:val="008268BF"/>
    <w:rsid w:val="008338A4"/>
    <w:rsid w:val="00834D49"/>
    <w:rsid w:val="00837C45"/>
    <w:rsid w:val="00844730"/>
    <w:rsid w:val="008457C2"/>
    <w:rsid w:val="00850C0C"/>
    <w:rsid w:val="00857A82"/>
    <w:rsid w:val="00872FC5"/>
    <w:rsid w:val="00873836"/>
    <w:rsid w:val="00874F3E"/>
    <w:rsid w:val="00877A19"/>
    <w:rsid w:val="00880661"/>
    <w:rsid w:val="00885737"/>
    <w:rsid w:val="00887D7D"/>
    <w:rsid w:val="00890650"/>
    <w:rsid w:val="008944DC"/>
    <w:rsid w:val="0089684A"/>
    <w:rsid w:val="00897BD6"/>
    <w:rsid w:val="00897E12"/>
    <w:rsid w:val="008A7E0F"/>
    <w:rsid w:val="008B12F5"/>
    <w:rsid w:val="008B5D11"/>
    <w:rsid w:val="008C5E2D"/>
    <w:rsid w:val="008D0D1D"/>
    <w:rsid w:val="008D2290"/>
    <w:rsid w:val="008D3FB3"/>
    <w:rsid w:val="008D768D"/>
    <w:rsid w:val="008E3759"/>
    <w:rsid w:val="008E3BFE"/>
    <w:rsid w:val="008F1912"/>
    <w:rsid w:val="0090270B"/>
    <w:rsid w:val="009041DC"/>
    <w:rsid w:val="009120DD"/>
    <w:rsid w:val="00917B5A"/>
    <w:rsid w:val="00920A58"/>
    <w:rsid w:val="00920A8C"/>
    <w:rsid w:val="00932166"/>
    <w:rsid w:val="009340A4"/>
    <w:rsid w:val="00934A2C"/>
    <w:rsid w:val="00937ECF"/>
    <w:rsid w:val="00946656"/>
    <w:rsid w:val="00947B23"/>
    <w:rsid w:val="00951E08"/>
    <w:rsid w:val="00953158"/>
    <w:rsid w:val="00955A57"/>
    <w:rsid w:val="0096706E"/>
    <w:rsid w:val="00970929"/>
    <w:rsid w:val="00974491"/>
    <w:rsid w:val="00975C4E"/>
    <w:rsid w:val="00981FBA"/>
    <w:rsid w:val="00982495"/>
    <w:rsid w:val="00986A69"/>
    <w:rsid w:val="00997BC5"/>
    <w:rsid w:val="009A4F41"/>
    <w:rsid w:val="009A56CE"/>
    <w:rsid w:val="009A763B"/>
    <w:rsid w:val="009B381B"/>
    <w:rsid w:val="009D02E0"/>
    <w:rsid w:val="009D1753"/>
    <w:rsid w:val="009D7611"/>
    <w:rsid w:val="009E0B61"/>
    <w:rsid w:val="009E2DBA"/>
    <w:rsid w:val="009E53DE"/>
    <w:rsid w:val="009E695A"/>
    <w:rsid w:val="00A07334"/>
    <w:rsid w:val="00A11212"/>
    <w:rsid w:val="00A11E44"/>
    <w:rsid w:val="00A13457"/>
    <w:rsid w:val="00A14AB4"/>
    <w:rsid w:val="00A15562"/>
    <w:rsid w:val="00A30100"/>
    <w:rsid w:val="00A328B3"/>
    <w:rsid w:val="00A37057"/>
    <w:rsid w:val="00A43B34"/>
    <w:rsid w:val="00A50FCF"/>
    <w:rsid w:val="00A528D1"/>
    <w:rsid w:val="00A54570"/>
    <w:rsid w:val="00A610CD"/>
    <w:rsid w:val="00A758AA"/>
    <w:rsid w:val="00A85E57"/>
    <w:rsid w:val="00A90C60"/>
    <w:rsid w:val="00A91855"/>
    <w:rsid w:val="00A96359"/>
    <w:rsid w:val="00AA09A2"/>
    <w:rsid w:val="00AA0BF0"/>
    <w:rsid w:val="00AA7996"/>
    <w:rsid w:val="00AB0F9C"/>
    <w:rsid w:val="00AB7037"/>
    <w:rsid w:val="00AC1014"/>
    <w:rsid w:val="00AC19CB"/>
    <w:rsid w:val="00AD7DDA"/>
    <w:rsid w:val="00AE5488"/>
    <w:rsid w:val="00AE6F91"/>
    <w:rsid w:val="00AF5571"/>
    <w:rsid w:val="00B04818"/>
    <w:rsid w:val="00B07341"/>
    <w:rsid w:val="00B2155F"/>
    <w:rsid w:val="00B22D6B"/>
    <w:rsid w:val="00B25914"/>
    <w:rsid w:val="00B30539"/>
    <w:rsid w:val="00B30F7C"/>
    <w:rsid w:val="00B314DB"/>
    <w:rsid w:val="00B361F2"/>
    <w:rsid w:val="00B3718B"/>
    <w:rsid w:val="00B37191"/>
    <w:rsid w:val="00B3745F"/>
    <w:rsid w:val="00B4559E"/>
    <w:rsid w:val="00B4632A"/>
    <w:rsid w:val="00B521BD"/>
    <w:rsid w:val="00B530F1"/>
    <w:rsid w:val="00B54CDF"/>
    <w:rsid w:val="00B54EF6"/>
    <w:rsid w:val="00B5582F"/>
    <w:rsid w:val="00B60BF6"/>
    <w:rsid w:val="00B60C68"/>
    <w:rsid w:val="00B72AF7"/>
    <w:rsid w:val="00B7464A"/>
    <w:rsid w:val="00B869D0"/>
    <w:rsid w:val="00B93D7F"/>
    <w:rsid w:val="00BA276C"/>
    <w:rsid w:val="00BA73FB"/>
    <w:rsid w:val="00BB019D"/>
    <w:rsid w:val="00BB1365"/>
    <w:rsid w:val="00BB306F"/>
    <w:rsid w:val="00BB6240"/>
    <w:rsid w:val="00BD0FF5"/>
    <w:rsid w:val="00BD4B89"/>
    <w:rsid w:val="00BD5922"/>
    <w:rsid w:val="00BE66B8"/>
    <w:rsid w:val="00BF02CB"/>
    <w:rsid w:val="00BF6FD8"/>
    <w:rsid w:val="00C0027F"/>
    <w:rsid w:val="00C03680"/>
    <w:rsid w:val="00C054DF"/>
    <w:rsid w:val="00C075AF"/>
    <w:rsid w:val="00C10816"/>
    <w:rsid w:val="00C16783"/>
    <w:rsid w:val="00C21762"/>
    <w:rsid w:val="00C21FEF"/>
    <w:rsid w:val="00C22755"/>
    <w:rsid w:val="00C23BA4"/>
    <w:rsid w:val="00C24543"/>
    <w:rsid w:val="00C256A2"/>
    <w:rsid w:val="00C25ADB"/>
    <w:rsid w:val="00C34B75"/>
    <w:rsid w:val="00C37EBF"/>
    <w:rsid w:val="00C5121B"/>
    <w:rsid w:val="00C51515"/>
    <w:rsid w:val="00C5660B"/>
    <w:rsid w:val="00C6287B"/>
    <w:rsid w:val="00C66B72"/>
    <w:rsid w:val="00C67782"/>
    <w:rsid w:val="00C87AC4"/>
    <w:rsid w:val="00C92290"/>
    <w:rsid w:val="00C931E9"/>
    <w:rsid w:val="00C9567A"/>
    <w:rsid w:val="00CA01EC"/>
    <w:rsid w:val="00CB212D"/>
    <w:rsid w:val="00CB2660"/>
    <w:rsid w:val="00CC0638"/>
    <w:rsid w:val="00CC5E90"/>
    <w:rsid w:val="00CC79B9"/>
    <w:rsid w:val="00CD046C"/>
    <w:rsid w:val="00CD1247"/>
    <w:rsid w:val="00CD733A"/>
    <w:rsid w:val="00CD7B4E"/>
    <w:rsid w:val="00CE076C"/>
    <w:rsid w:val="00CE5199"/>
    <w:rsid w:val="00CE66D5"/>
    <w:rsid w:val="00CF4C3B"/>
    <w:rsid w:val="00CF637A"/>
    <w:rsid w:val="00CF6DAA"/>
    <w:rsid w:val="00D059DE"/>
    <w:rsid w:val="00D05ABD"/>
    <w:rsid w:val="00D1100D"/>
    <w:rsid w:val="00D13FCE"/>
    <w:rsid w:val="00D245AB"/>
    <w:rsid w:val="00D26A0E"/>
    <w:rsid w:val="00D306D1"/>
    <w:rsid w:val="00D30800"/>
    <w:rsid w:val="00D3283A"/>
    <w:rsid w:val="00D343C7"/>
    <w:rsid w:val="00D34786"/>
    <w:rsid w:val="00D37BFC"/>
    <w:rsid w:val="00D40E17"/>
    <w:rsid w:val="00D47A8E"/>
    <w:rsid w:val="00D47F78"/>
    <w:rsid w:val="00D52D14"/>
    <w:rsid w:val="00D712D3"/>
    <w:rsid w:val="00D71422"/>
    <w:rsid w:val="00D7256A"/>
    <w:rsid w:val="00D72DC6"/>
    <w:rsid w:val="00D7558D"/>
    <w:rsid w:val="00D80B83"/>
    <w:rsid w:val="00D81D92"/>
    <w:rsid w:val="00D876F9"/>
    <w:rsid w:val="00DA5C34"/>
    <w:rsid w:val="00DA7B5F"/>
    <w:rsid w:val="00DC11E7"/>
    <w:rsid w:val="00DC24E3"/>
    <w:rsid w:val="00DC7023"/>
    <w:rsid w:val="00DC769A"/>
    <w:rsid w:val="00DD3D86"/>
    <w:rsid w:val="00DD4AD2"/>
    <w:rsid w:val="00DD7A97"/>
    <w:rsid w:val="00DE2010"/>
    <w:rsid w:val="00DE2862"/>
    <w:rsid w:val="00DE5879"/>
    <w:rsid w:val="00DF1EC4"/>
    <w:rsid w:val="00E0340B"/>
    <w:rsid w:val="00E04A90"/>
    <w:rsid w:val="00E0551F"/>
    <w:rsid w:val="00E13F2C"/>
    <w:rsid w:val="00E20086"/>
    <w:rsid w:val="00E219C7"/>
    <w:rsid w:val="00E3355F"/>
    <w:rsid w:val="00E3375E"/>
    <w:rsid w:val="00E346F1"/>
    <w:rsid w:val="00E4118C"/>
    <w:rsid w:val="00E43157"/>
    <w:rsid w:val="00E461CE"/>
    <w:rsid w:val="00E469DB"/>
    <w:rsid w:val="00E55558"/>
    <w:rsid w:val="00E573E4"/>
    <w:rsid w:val="00E64C3D"/>
    <w:rsid w:val="00E64D05"/>
    <w:rsid w:val="00E720CA"/>
    <w:rsid w:val="00E73402"/>
    <w:rsid w:val="00E84EB5"/>
    <w:rsid w:val="00E85662"/>
    <w:rsid w:val="00E8789F"/>
    <w:rsid w:val="00E97B71"/>
    <w:rsid w:val="00EA3D34"/>
    <w:rsid w:val="00EB3F06"/>
    <w:rsid w:val="00EB411F"/>
    <w:rsid w:val="00EB454D"/>
    <w:rsid w:val="00EB5F7B"/>
    <w:rsid w:val="00EC09FB"/>
    <w:rsid w:val="00EC7D62"/>
    <w:rsid w:val="00ED549D"/>
    <w:rsid w:val="00ED5E10"/>
    <w:rsid w:val="00ED76BE"/>
    <w:rsid w:val="00EE00E9"/>
    <w:rsid w:val="00EE4F62"/>
    <w:rsid w:val="00EF1AAA"/>
    <w:rsid w:val="00EF619B"/>
    <w:rsid w:val="00F00B55"/>
    <w:rsid w:val="00F02AD1"/>
    <w:rsid w:val="00F20836"/>
    <w:rsid w:val="00F253CC"/>
    <w:rsid w:val="00F37106"/>
    <w:rsid w:val="00F44E25"/>
    <w:rsid w:val="00F519CF"/>
    <w:rsid w:val="00F55989"/>
    <w:rsid w:val="00F56BA5"/>
    <w:rsid w:val="00F56ECB"/>
    <w:rsid w:val="00F60AC6"/>
    <w:rsid w:val="00F60E22"/>
    <w:rsid w:val="00F6598E"/>
    <w:rsid w:val="00F81395"/>
    <w:rsid w:val="00F81BB8"/>
    <w:rsid w:val="00F90C64"/>
    <w:rsid w:val="00F917D1"/>
    <w:rsid w:val="00F93A0A"/>
    <w:rsid w:val="00F9653B"/>
    <w:rsid w:val="00FA4389"/>
    <w:rsid w:val="00FB0361"/>
    <w:rsid w:val="00FB62CF"/>
    <w:rsid w:val="00FB72DF"/>
    <w:rsid w:val="00FD3C3B"/>
    <w:rsid w:val="00FD61EC"/>
    <w:rsid w:val="00FE07DD"/>
    <w:rsid w:val="00FE2ED7"/>
    <w:rsid w:val="00FE6B45"/>
    <w:rsid w:val="00FF55F3"/>
    <w:rsid w:val="00FF5851"/>
    <w:rsid w:val="00FF5E31"/>
    <w:rsid w:val="00FF745E"/>
    <w:rsid w:val="00FF7B79"/>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61"/>
    <o:shapelayout v:ext="edit">
      <o:idmap v:ext="edit" data="2"/>
    </o:shapelayout>
  </w:shapeDefaults>
  <w:decimalSymbol w:val="."/>
  <w:listSeparator w:val=","/>
  <w14:docId w14:val="5DDF7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2E2"/>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paragraph" w:styleId="Heading1">
    <w:name w:val="heading 1"/>
    <w:basedOn w:val="Normal"/>
    <w:next w:val="Normal"/>
    <w:link w:val="Heading1Char"/>
    <w:uiPriority w:val="99"/>
    <w:qFormat/>
    <w:rsid w:val="00D81D92"/>
    <w:pPr>
      <w:keepNext/>
      <w:keepLines/>
      <w:numPr>
        <w:numId w:val="53"/>
      </w:numPr>
      <w:spacing w:before="48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9"/>
    <w:qFormat/>
    <w:rsid w:val="00DF1EC4"/>
    <w:pPr>
      <w:keepNext/>
      <w:pBdr>
        <w:top w:val="none" w:sz="0" w:space="0" w:color="auto"/>
        <w:left w:val="none" w:sz="0" w:space="0" w:color="auto"/>
        <w:bottom w:val="none" w:sz="0" w:space="0" w:color="auto"/>
        <w:right w:val="none" w:sz="0" w:space="0" w:color="auto"/>
        <w:bar w:val="none" w:sz="0" w:color="auto"/>
      </w:pBdr>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9"/>
    <w:qFormat/>
    <w:rsid w:val="00DF1EC4"/>
    <w:pPr>
      <w:keepNext/>
      <w:pBdr>
        <w:top w:val="none" w:sz="0" w:space="0" w:color="auto"/>
        <w:left w:val="none" w:sz="0" w:space="0" w:color="auto"/>
        <w:bottom w:val="none" w:sz="0" w:space="0" w:color="auto"/>
        <w:right w:val="none" w:sz="0" w:space="0" w:color="auto"/>
        <w:bar w:val="none" w:sz="0" w:color="auto"/>
      </w:pBdr>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81D92"/>
    <w:rPr>
      <w:rFonts w:ascii="Cambria" w:eastAsia="MS Gothic" w:hAnsi="Cambria" w:cs="Times New Roman"/>
      <w:b/>
      <w:bCs/>
      <w:color w:val="365F91"/>
      <w:sz w:val="28"/>
      <w:szCs w:val="28"/>
      <w:lang w:val="en-US" w:eastAsia="en-US"/>
    </w:rPr>
  </w:style>
  <w:style w:type="character" w:customStyle="1" w:styleId="Heading2Char">
    <w:name w:val="Heading 2 Char"/>
    <w:link w:val="Heading2"/>
    <w:uiPriority w:val="99"/>
    <w:locked/>
    <w:rsid w:val="00DF1EC4"/>
    <w:rPr>
      <w:rFonts w:ascii="Arial" w:hAnsi="Arial" w:cs="Arial"/>
      <w:b/>
      <w:bCs/>
      <w:i/>
      <w:iCs/>
      <w:sz w:val="28"/>
      <w:szCs w:val="28"/>
      <w:lang w:val="en-US" w:eastAsia="en-US"/>
    </w:rPr>
  </w:style>
  <w:style w:type="character" w:customStyle="1" w:styleId="Heading3Char">
    <w:name w:val="Heading 3 Char"/>
    <w:link w:val="Heading3"/>
    <w:uiPriority w:val="99"/>
    <w:locked/>
    <w:rsid w:val="00DF1EC4"/>
    <w:rPr>
      <w:rFonts w:ascii="Arial" w:hAnsi="Arial" w:cs="Arial"/>
      <w:b/>
      <w:bCs/>
      <w:sz w:val="26"/>
      <w:szCs w:val="26"/>
      <w:lang w:val="en-US" w:eastAsia="en-US"/>
    </w:rPr>
  </w:style>
  <w:style w:type="character" w:styleId="Hyperlink">
    <w:name w:val="Hyperlink"/>
    <w:uiPriority w:val="99"/>
    <w:rsid w:val="008012E2"/>
    <w:rPr>
      <w:rFonts w:cs="Times New Roman"/>
      <w:u w:val="single"/>
    </w:rPr>
  </w:style>
  <w:style w:type="paragraph" w:customStyle="1" w:styleId="Cabeceraypie">
    <w:name w:val="Cabecera y pie"/>
    <w:uiPriority w:val="99"/>
    <w:rsid w:val="008012E2"/>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Arial Unicode MS"/>
      <w:color w:val="000000"/>
      <w:sz w:val="24"/>
      <w:szCs w:val="24"/>
      <w:lang w:eastAsia="es-ES"/>
    </w:rPr>
  </w:style>
  <w:style w:type="paragraph" w:styleId="Footer">
    <w:name w:val="footer"/>
    <w:basedOn w:val="Normal"/>
    <w:link w:val="FooterChar"/>
    <w:uiPriority w:val="99"/>
    <w:rsid w:val="008012E2"/>
    <w:pPr>
      <w:tabs>
        <w:tab w:val="center" w:pos="4513"/>
        <w:tab w:val="right" w:pos="9026"/>
      </w:tabs>
    </w:pPr>
    <w:rPr>
      <w:rFonts w:ascii="Cambria" w:hAnsi="Cambria" w:cs="Cambria"/>
      <w:color w:val="000000"/>
      <w:u w:color="000000"/>
      <w:lang w:eastAsia="es-ES"/>
    </w:rPr>
  </w:style>
  <w:style w:type="character" w:customStyle="1" w:styleId="FooterChar">
    <w:name w:val="Footer Char"/>
    <w:link w:val="Footer"/>
    <w:uiPriority w:val="99"/>
    <w:locked/>
    <w:rsid w:val="00A50FCF"/>
    <w:rPr>
      <w:rFonts w:ascii="Cambria" w:eastAsia="Times New Roman" w:hAnsi="Cambria" w:cs="Cambria"/>
      <w:color w:val="000000"/>
      <w:sz w:val="24"/>
      <w:szCs w:val="24"/>
      <w:u w:color="000000"/>
      <w:lang w:val="en-US" w:eastAsia="es-ES" w:bidi="ar-SA"/>
    </w:rPr>
  </w:style>
  <w:style w:type="paragraph" w:customStyle="1" w:styleId="Cuerpo">
    <w:name w:val="Cuerpo"/>
    <w:uiPriority w:val="99"/>
    <w:rsid w:val="008012E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mbria" w:hAnsi="Cambria" w:cs="Cambria"/>
      <w:color w:val="000000"/>
      <w:sz w:val="24"/>
      <w:szCs w:val="24"/>
      <w:u w:color="000000"/>
      <w:lang w:eastAsia="es-ES"/>
    </w:rPr>
  </w:style>
  <w:style w:type="paragraph" w:styleId="BodyTextIndent">
    <w:name w:val="Body Text Indent"/>
    <w:basedOn w:val="Normal"/>
    <w:link w:val="BodyTextIndentChar"/>
    <w:uiPriority w:val="99"/>
    <w:rsid w:val="008012E2"/>
    <w:pPr>
      <w:ind w:left="2160" w:hanging="720"/>
    </w:pPr>
    <w:rPr>
      <w:rFonts w:eastAsia="Times New Roman"/>
      <w:color w:val="000000"/>
      <w:u w:color="000000"/>
      <w:lang w:eastAsia="es-ES"/>
    </w:rPr>
  </w:style>
  <w:style w:type="character" w:customStyle="1" w:styleId="BodyTextIndentChar">
    <w:name w:val="Body Text Indent Char"/>
    <w:link w:val="BodyTextIndent"/>
    <w:uiPriority w:val="99"/>
    <w:semiHidden/>
    <w:rsid w:val="00530BA0"/>
    <w:rPr>
      <w:sz w:val="24"/>
      <w:szCs w:val="24"/>
      <w:lang w:val="en-US" w:eastAsia="en-US"/>
    </w:rPr>
  </w:style>
  <w:style w:type="paragraph" w:styleId="ListParagraph">
    <w:name w:val="List Paragraph"/>
    <w:basedOn w:val="Normal"/>
    <w:uiPriority w:val="99"/>
    <w:qFormat/>
    <w:rsid w:val="008012E2"/>
    <w:pPr>
      <w:ind w:left="720"/>
    </w:pPr>
    <w:rPr>
      <w:rFonts w:ascii="Cambria" w:hAnsi="Cambria" w:cs="Cambria"/>
      <w:color w:val="000000"/>
      <w:u w:color="000000"/>
      <w:lang w:eastAsia="es-ES"/>
    </w:rPr>
  </w:style>
  <w:style w:type="character" w:styleId="CommentReference">
    <w:name w:val="annotation reference"/>
    <w:uiPriority w:val="99"/>
    <w:semiHidden/>
    <w:rsid w:val="007A636C"/>
    <w:rPr>
      <w:rFonts w:cs="Times New Roman"/>
      <w:sz w:val="16"/>
      <w:szCs w:val="16"/>
    </w:rPr>
  </w:style>
  <w:style w:type="paragraph" w:styleId="CommentText">
    <w:name w:val="annotation text"/>
    <w:basedOn w:val="Normal"/>
    <w:link w:val="CommentTextChar"/>
    <w:uiPriority w:val="99"/>
    <w:rsid w:val="007A636C"/>
    <w:rPr>
      <w:sz w:val="20"/>
      <w:szCs w:val="20"/>
    </w:rPr>
  </w:style>
  <w:style w:type="character" w:customStyle="1" w:styleId="CommentTextChar">
    <w:name w:val="Comment Text Char"/>
    <w:link w:val="CommentText"/>
    <w:uiPriority w:val="99"/>
    <w:locked/>
    <w:rsid w:val="007A636C"/>
    <w:rPr>
      <w:rFonts w:cs="Times New Roman"/>
      <w:lang w:val="en-US" w:eastAsia="en-US"/>
    </w:rPr>
  </w:style>
  <w:style w:type="paragraph" w:styleId="CommentSubject">
    <w:name w:val="annotation subject"/>
    <w:basedOn w:val="CommentText"/>
    <w:next w:val="CommentText"/>
    <w:link w:val="CommentSubjectChar"/>
    <w:uiPriority w:val="99"/>
    <w:semiHidden/>
    <w:rsid w:val="007A636C"/>
    <w:rPr>
      <w:b/>
      <w:bCs/>
    </w:rPr>
  </w:style>
  <w:style w:type="character" w:customStyle="1" w:styleId="CommentSubjectChar">
    <w:name w:val="Comment Subject Char"/>
    <w:link w:val="CommentSubject"/>
    <w:uiPriority w:val="99"/>
    <w:semiHidden/>
    <w:locked/>
    <w:rsid w:val="007A636C"/>
    <w:rPr>
      <w:rFonts w:cs="Times New Roman"/>
      <w:b/>
      <w:bCs/>
      <w:lang w:val="en-US" w:eastAsia="en-U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
    <w:basedOn w:val="Normal"/>
    <w:link w:val="FootnoteTextChar"/>
    <w:uiPriority w:val="99"/>
    <w:rsid w:val="008012E2"/>
    <w:rPr>
      <w:rFonts w:ascii="Calibri" w:hAnsi="Calibri"/>
      <w:color w:val="000000"/>
      <w:sz w:val="20"/>
      <w:szCs w:val="20"/>
      <w:u w:color="000000"/>
      <w:lang w:eastAsia="es-PA"/>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locked/>
    <w:rsid w:val="0031535D"/>
    <w:rPr>
      <w:rFonts w:ascii="Calibri" w:eastAsia="Times New Roman" w:hAnsi="Calibri"/>
      <w:color w:val="000000"/>
      <w:u w:color="000000"/>
      <w:lang w:val="en-US"/>
    </w:rPr>
  </w:style>
  <w:style w:type="paragraph" w:styleId="BalloonText">
    <w:name w:val="Balloon Text"/>
    <w:basedOn w:val="Normal"/>
    <w:link w:val="BalloonTextChar"/>
    <w:uiPriority w:val="99"/>
    <w:semiHidden/>
    <w:rsid w:val="009B381B"/>
    <w:rPr>
      <w:rFonts w:ascii="Tahoma" w:hAnsi="Tahoma" w:cs="Tahoma"/>
      <w:sz w:val="16"/>
      <w:szCs w:val="16"/>
    </w:rPr>
  </w:style>
  <w:style w:type="character" w:customStyle="1" w:styleId="BalloonTextChar">
    <w:name w:val="Balloon Text Char"/>
    <w:link w:val="BalloonText"/>
    <w:uiPriority w:val="99"/>
    <w:semiHidden/>
    <w:locked/>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ar w:val="none" w:sz="0" w:color="auto"/>
      </w:pBdr>
      <w:tabs>
        <w:tab w:val="center" w:pos="4320"/>
        <w:tab w:val="right" w:pos="8640"/>
      </w:tabs>
      <w:snapToGrid w:val="0"/>
    </w:pPr>
    <w:rPr>
      <w:rFonts w:ascii="Univers" w:eastAsia="Times New Roman" w:hAnsi="Univers" w:cs="Univers"/>
    </w:rPr>
  </w:style>
  <w:style w:type="character" w:customStyle="1" w:styleId="HeaderChar">
    <w:name w:val="Header Char"/>
    <w:aliases w:val="encabezado Char"/>
    <w:link w:val="Header"/>
    <w:uiPriority w:val="99"/>
    <w:locked/>
    <w:rsid w:val="00D81D92"/>
    <w:rPr>
      <w:rFonts w:ascii="Univers" w:hAnsi="Univers" w:cs="Univers"/>
      <w:sz w:val="24"/>
      <w:szCs w:val="24"/>
      <w:lang w:val="en-US" w:eastAsia="en-US"/>
    </w:rPr>
  </w:style>
  <w:style w:type="table" w:styleId="MediumShading1-Accent1">
    <w:name w:val="Medium Shading 1 Accent 1"/>
    <w:basedOn w:val="TableNormal"/>
    <w:uiPriority w:val="99"/>
    <w:rsid w:val="006A17D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TOC2">
    <w:name w:val="toc 2"/>
    <w:basedOn w:val="Normal"/>
    <w:next w:val="Normal"/>
    <w:autoRedefine/>
    <w:uiPriority w:val="99"/>
    <w:rsid w:val="005C4225"/>
    <w:pPr>
      <w:tabs>
        <w:tab w:val="left" w:pos="1440"/>
        <w:tab w:val="right" w:leader="dot" w:pos="9350"/>
      </w:tabs>
      <w:spacing w:after="100"/>
      <w:ind w:left="1440" w:hanging="720"/>
    </w:pPr>
  </w:style>
  <w:style w:type="paragraph" w:styleId="TOC1">
    <w:name w:val="toc 1"/>
    <w:basedOn w:val="Normal"/>
    <w:next w:val="Normal"/>
    <w:autoRedefine/>
    <w:uiPriority w:val="99"/>
    <w:rsid w:val="005C4225"/>
    <w:pPr>
      <w:spacing w:after="100"/>
    </w:pPr>
    <w:rPr>
      <w:rFonts w:ascii="Calibri" w:hAnsi="Calibri"/>
      <w:sz w:val="22"/>
    </w:rPr>
  </w:style>
  <w:style w:type="paragraph" w:styleId="TOC3">
    <w:name w:val="toc 3"/>
    <w:basedOn w:val="Normal"/>
    <w:next w:val="Normal"/>
    <w:autoRedefine/>
    <w:uiPriority w:val="99"/>
    <w:rsid w:val="005C4225"/>
    <w:pPr>
      <w:tabs>
        <w:tab w:val="left" w:pos="880"/>
        <w:tab w:val="right" w:leader="dot" w:pos="9350"/>
      </w:tabs>
      <w:spacing w:after="100"/>
      <w:ind w:left="2160" w:hanging="720"/>
    </w:pPr>
  </w:style>
  <w:style w:type="paragraph" w:styleId="TOC4">
    <w:name w:val="toc 4"/>
    <w:basedOn w:val="Normal"/>
    <w:next w:val="Normal"/>
    <w:autoRedefine/>
    <w:uiPriority w:val="99"/>
    <w:rsid w:val="005C4225"/>
    <w:pPr>
      <w:spacing w:after="100"/>
      <w:ind w:left="720"/>
    </w:pPr>
  </w:style>
  <w:style w:type="character" w:styleId="PageNumber">
    <w:name w:val="page number"/>
    <w:uiPriority w:val="99"/>
    <w:rsid w:val="00040C3A"/>
    <w:rPr>
      <w:rFonts w:cs="Times New Roman"/>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link w:val="4GChar"/>
    <w:uiPriority w:val="99"/>
    <w:locked/>
    <w:rsid w:val="000F35ED"/>
    <w:rPr>
      <w:rFonts w:cs="Times New Roman"/>
      <w:vertAlign w:val="superscript"/>
    </w:rPr>
  </w:style>
  <w:style w:type="paragraph" w:styleId="BodyTextIndent2">
    <w:name w:val="Body Text Indent 2"/>
    <w:basedOn w:val="Normal"/>
    <w:link w:val="BodyTextIndent2Char"/>
    <w:uiPriority w:val="99"/>
    <w:semiHidden/>
    <w:rsid w:val="000F35ED"/>
    <w:pPr>
      <w:spacing w:after="120" w:line="480" w:lineRule="auto"/>
      <w:ind w:left="360"/>
    </w:pPr>
  </w:style>
  <w:style w:type="character" w:customStyle="1" w:styleId="BodyTextIndent2Char">
    <w:name w:val="Body Text Indent 2 Char"/>
    <w:link w:val="BodyTextIndent2"/>
    <w:uiPriority w:val="99"/>
    <w:semiHidden/>
    <w:locked/>
    <w:rsid w:val="000F35ED"/>
    <w:rPr>
      <w:rFonts w:cs="Times New Roman"/>
      <w:sz w:val="24"/>
      <w:szCs w:val="24"/>
      <w:lang w:val="en-US" w:eastAsia="en-US"/>
    </w:rPr>
  </w:style>
  <w:style w:type="paragraph" w:styleId="BodyText">
    <w:name w:val="Body Text"/>
    <w:basedOn w:val="Normal"/>
    <w:link w:val="BodyTextChar"/>
    <w:uiPriority w:val="99"/>
    <w:semiHidden/>
    <w:rsid w:val="0031535D"/>
    <w:pPr>
      <w:spacing w:after="120"/>
    </w:pPr>
  </w:style>
  <w:style w:type="character" w:customStyle="1" w:styleId="BodyTextChar">
    <w:name w:val="Body Text Char"/>
    <w:link w:val="BodyText"/>
    <w:uiPriority w:val="99"/>
    <w:semiHidden/>
    <w:locked/>
    <w:rsid w:val="0031535D"/>
    <w:rPr>
      <w:rFonts w:cs="Times New Roman"/>
      <w:sz w:val="24"/>
      <w:szCs w:val="24"/>
      <w:lang w:val="en-US" w:eastAsia="en-US"/>
    </w:rPr>
  </w:style>
  <w:style w:type="paragraph" w:customStyle="1" w:styleId="Default">
    <w:name w:val="Default"/>
    <w:link w:val="DefaultChar"/>
    <w:uiPriority w:val="99"/>
    <w:rsid w:val="00DF1EC4"/>
    <w:pPr>
      <w:autoSpaceDE w:val="0"/>
      <w:autoSpaceDN w:val="0"/>
      <w:adjustRightInd w:val="0"/>
    </w:pPr>
    <w:rPr>
      <w:rFonts w:eastAsia="Times New Roman"/>
      <w:color w:val="000000"/>
      <w:sz w:val="24"/>
      <w:szCs w:val="24"/>
    </w:rPr>
  </w:style>
  <w:style w:type="paragraph" w:styleId="EndnoteText">
    <w:name w:val="endnote text"/>
    <w:basedOn w:val="Normal"/>
    <w:link w:val="EndnoteTextChar"/>
    <w:uiPriority w:val="99"/>
    <w:rsid w:val="00DF1EC4"/>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eastAsia="Times New Roman"/>
    </w:rPr>
  </w:style>
  <w:style w:type="character" w:customStyle="1" w:styleId="EndnoteTextChar">
    <w:name w:val="Endnote Text Char"/>
    <w:link w:val="EndnoteText"/>
    <w:uiPriority w:val="99"/>
    <w:locked/>
    <w:rsid w:val="00DF1EC4"/>
    <w:rPr>
      <w:rFonts w:eastAsia="Times New Roman" w:cs="Times New Roman"/>
      <w:sz w:val="24"/>
      <w:szCs w:val="24"/>
      <w:lang w:val="en-US" w:eastAsia="en-US"/>
    </w:rPr>
  </w:style>
  <w:style w:type="character" w:customStyle="1" w:styleId="DefaultChar">
    <w:name w:val="Default Char"/>
    <w:link w:val="Default"/>
    <w:uiPriority w:val="99"/>
    <w:locked/>
    <w:rsid w:val="00DF1EC4"/>
    <w:rPr>
      <w:rFonts w:eastAsia="Times New Roman"/>
      <w:color w:val="000000"/>
      <w:sz w:val="24"/>
      <w:lang w:val="en-US" w:eastAsia="en-US"/>
    </w:rPr>
  </w:style>
  <w:style w:type="table" w:styleId="TableGrid">
    <w:name w:val="Table Grid"/>
    <w:basedOn w:val="TableNormal"/>
    <w:uiPriority w:val="9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000F0E"/>
    <w:pPr>
      <w:pBdr>
        <w:top w:val="none" w:sz="0" w:space="0" w:color="auto"/>
        <w:left w:val="none" w:sz="0" w:space="0" w:color="auto"/>
        <w:bottom w:val="none" w:sz="0" w:space="0" w:color="auto"/>
        <w:right w:val="none" w:sz="0" w:space="0" w:color="auto"/>
        <w:bar w:val="none" w:sz="0" w:color="auto"/>
      </w:pBdr>
      <w:jc w:val="both"/>
    </w:pPr>
    <w:rPr>
      <w:sz w:val="20"/>
      <w:szCs w:val="20"/>
      <w:vertAlign w:val="superscript"/>
      <w:lang w:eastAsia="es-ES"/>
    </w:rPr>
  </w:style>
  <w:style w:type="paragraph" w:styleId="Revision">
    <w:name w:val="Revision"/>
    <w:hidden/>
    <w:uiPriority w:val="99"/>
    <w:semiHidden/>
    <w:rsid w:val="006F7F7C"/>
    <w:rPr>
      <w:sz w:val="24"/>
      <w:szCs w:val="24"/>
    </w:rPr>
  </w:style>
  <w:style w:type="numbering" w:customStyle="1" w:styleId="List16">
    <w:name w:val="List 16"/>
    <w:rsid w:val="00530BA0"/>
    <w:pPr>
      <w:numPr>
        <w:numId w:val="10"/>
      </w:numPr>
    </w:pPr>
  </w:style>
  <w:style w:type="numbering" w:customStyle="1" w:styleId="List36">
    <w:name w:val="List 36"/>
    <w:rsid w:val="00530BA0"/>
    <w:pPr>
      <w:numPr>
        <w:numId w:val="14"/>
      </w:numPr>
    </w:pPr>
  </w:style>
  <w:style w:type="numbering" w:customStyle="1" w:styleId="List25">
    <w:name w:val="List 25"/>
    <w:rsid w:val="00530BA0"/>
    <w:pPr>
      <w:numPr>
        <w:numId w:val="15"/>
      </w:numPr>
    </w:pPr>
  </w:style>
  <w:style w:type="numbering" w:customStyle="1" w:styleId="List1">
    <w:name w:val="List 1"/>
    <w:rsid w:val="00530BA0"/>
    <w:pPr>
      <w:numPr>
        <w:numId w:val="1"/>
      </w:numPr>
    </w:pPr>
  </w:style>
  <w:style w:type="numbering" w:customStyle="1" w:styleId="List11">
    <w:name w:val="List 11"/>
    <w:rsid w:val="00530BA0"/>
    <w:pPr>
      <w:numPr>
        <w:numId w:val="7"/>
      </w:numPr>
    </w:pPr>
  </w:style>
  <w:style w:type="numbering" w:customStyle="1" w:styleId="List15">
    <w:name w:val="List 15"/>
    <w:rsid w:val="00530BA0"/>
    <w:pPr>
      <w:numPr>
        <w:numId w:val="16"/>
      </w:numPr>
    </w:pPr>
  </w:style>
  <w:style w:type="numbering" w:customStyle="1" w:styleId="List14">
    <w:name w:val="List 14"/>
    <w:rsid w:val="00530BA0"/>
    <w:pPr>
      <w:numPr>
        <w:numId w:val="17"/>
      </w:numPr>
    </w:pPr>
  </w:style>
  <w:style w:type="numbering" w:customStyle="1" w:styleId="List23">
    <w:name w:val="List 23"/>
    <w:rsid w:val="00530BA0"/>
    <w:pPr>
      <w:numPr>
        <w:numId w:val="18"/>
      </w:numPr>
    </w:pPr>
  </w:style>
  <w:style w:type="numbering" w:customStyle="1" w:styleId="List19">
    <w:name w:val="List 19"/>
    <w:rsid w:val="00530BA0"/>
    <w:pPr>
      <w:numPr>
        <w:numId w:val="19"/>
      </w:numPr>
    </w:pPr>
  </w:style>
  <w:style w:type="numbering" w:customStyle="1" w:styleId="List45">
    <w:name w:val="List 45"/>
    <w:rsid w:val="00530BA0"/>
    <w:pPr>
      <w:numPr>
        <w:numId w:val="20"/>
      </w:numPr>
    </w:pPr>
  </w:style>
  <w:style w:type="numbering" w:customStyle="1" w:styleId="List40">
    <w:name w:val="List 40"/>
    <w:rsid w:val="00530BA0"/>
    <w:pPr>
      <w:numPr>
        <w:numId w:val="21"/>
      </w:numPr>
    </w:pPr>
  </w:style>
  <w:style w:type="numbering" w:customStyle="1" w:styleId="List9">
    <w:name w:val="List 9"/>
    <w:rsid w:val="00530BA0"/>
    <w:pPr>
      <w:numPr>
        <w:numId w:val="22"/>
      </w:numPr>
    </w:pPr>
  </w:style>
  <w:style w:type="numbering" w:customStyle="1" w:styleId="List43">
    <w:name w:val="List 43"/>
    <w:rsid w:val="00530BA0"/>
    <w:pPr>
      <w:numPr>
        <w:numId w:val="23"/>
      </w:numPr>
    </w:pPr>
  </w:style>
  <w:style w:type="numbering" w:customStyle="1" w:styleId="List46">
    <w:name w:val="List 46"/>
    <w:rsid w:val="00530BA0"/>
    <w:pPr>
      <w:numPr>
        <w:numId w:val="24"/>
      </w:numPr>
    </w:pPr>
  </w:style>
  <w:style w:type="numbering" w:customStyle="1" w:styleId="List35">
    <w:name w:val="List 35"/>
    <w:rsid w:val="00530BA0"/>
    <w:pPr>
      <w:numPr>
        <w:numId w:val="8"/>
      </w:numPr>
    </w:pPr>
  </w:style>
  <w:style w:type="numbering" w:customStyle="1" w:styleId="List17">
    <w:name w:val="List 17"/>
    <w:rsid w:val="00530BA0"/>
    <w:pPr>
      <w:numPr>
        <w:numId w:val="25"/>
      </w:numPr>
    </w:pPr>
  </w:style>
  <w:style w:type="numbering" w:customStyle="1" w:styleId="List33">
    <w:name w:val="List 33"/>
    <w:rsid w:val="00530BA0"/>
    <w:pPr>
      <w:numPr>
        <w:numId w:val="26"/>
      </w:numPr>
    </w:pPr>
  </w:style>
  <w:style w:type="numbering" w:customStyle="1" w:styleId="List7">
    <w:name w:val="List 7"/>
    <w:rsid w:val="00530BA0"/>
    <w:pPr>
      <w:numPr>
        <w:numId w:val="4"/>
      </w:numPr>
    </w:pPr>
  </w:style>
  <w:style w:type="numbering" w:customStyle="1" w:styleId="List18">
    <w:name w:val="List 18"/>
    <w:rsid w:val="00530BA0"/>
    <w:pPr>
      <w:numPr>
        <w:numId w:val="27"/>
      </w:numPr>
    </w:pPr>
  </w:style>
  <w:style w:type="numbering" w:customStyle="1" w:styleId="List22">
    <w:name w:val="List 22"/>
    <w:rsid w:val="00530BA0"/>
    <w:pPr>
      <w:numPr>
        <w:numId w:val="28"/>
      </w:numPr>
    </w:pPr>
  </w:style>
  <w:style w:type="numbering" w:customStyle="1" w:styleId="List47">
    <w:name w:val="List 47"/>
    <w:rsid w:val="00530BA0"/>
    <w:pPr>
      <w:numPr>
        <w:numId w:val="29"/>
      </w:numPr>
    </w:pPr>
  </w:style>
  <w:style w:type="numbering" w:customStyle="1" w:styleId="List28">
    <w:name w:val="List 28"/>
    <w:rsid w:val="00530BA0"/>
    <w:pPr>
      <w:numPr>
        <w:numId w:val="30"/>
      </w:numPr>
    </w:pPr>
  </w:style>
  <w:style w:type="numbering" w:customStyle="1" w:styleId="List10">
    <w:name w:val="List 10"/>
    <w:rsid w:val="00530BA0"/>
    <w:pPr>
      <w:numPr>
        <w:numId w:val="6"/>
      </w:numPr>
    </w:pPr>
  </w:style>
  <w:style w:type="numbering" w:customStyle="1" w:styleId="List0">
    <w:name w:val="List 0"/>
    <w:rsid w:val="00530BA0"/>
    <w:pPr>
      <w:numPr>
        <w:numId w:val="31"/>
      </w:numPr>
    </w:pPr>
  </w:style>
  <w:style w:type="numbering" w:customStyle="1" w:styleId="List30">
    <w:name w:val="List 30"/>
    <w:rsid w:val="00530BA0"/>
    <w:pPr>
      <w:numPr>
        <w:numId w:val="32"/>
      </w:numPr>
    </w:pPr>
  </w:style>
  <w:style w:type="numbering" w:customStyle="1" w:styleId="List29">
    <w:name w:val="List 29"/>
    <w:rsid w:val="00530BA0"/>
    <w:pPr>
      <w:numPr>
        <w:numId w:val="34"/>
      </w:numPr>
    </w:pPr>
  </w:style>
  <w:style w:type="numbering" w:customStyle="1" w:styleId="List38">
    <w:name w:val="List 38"/>
    <w:rsid w:val="00530BA0"/>
    <w:pPr>
      <w:numPr>
        <w:numId w:val="35"/>
      </w:numPr>
    </w:pPr>
  </w:style>
  <w:style w:type="numbering" w:customStyle="1" w:styleId="List12">
    <w:name w:val="List 12"/>
    <w:rsid w:val="00530BA0"/>
    <w:pPr>
      <w:numPr>
        <w:numId w:val="36"/>
      </w:numPr>
    </w:pPr>
  </w:style>
  <w:style w:type="numbering" w:customStyle="1" w:styleId="List50">
    <w:name w:val="List 50"/>
    <w:rsid w:val="00530BA0"/>
    <w:pPr>
      <w:numPr>
        <w:numId w:val="37"/>
      </w:numPr>
    </w:pPr>
  </w:style>
  <w:style w:type="numbering" w:customStyle="1" w:styleId="List34">
    <w:name w:val="List 34"/>
    <w:rsid w:val="00530BA0"/>
    <w:pPr>
      <w:numPr>
        <w:numId w:val="11"/>
      </w:numPr>
    </w:pPr>
  </w:style>
  <w:style w:type="numbering" w:customStyle="1" w:styleId="List42">
    <w:name w:val="List 42"/>
    <w:rsid w:val="00530BA0"/>
    <w:pPr>
      <w:numPr>
        <w:numId w:val="12"/>
      </w:numPr>
    </w:pPr>
  </w:style>
  <w:style w:type="numbering" w:customStyle="1" w:styleId="List49">
    <w:name w:val="List 49"/>
    <w:rsid w:val="00530BA0"/>
    <w:pPr>
      <w:numPr>
        <w:numId w:val="39"/>
      </w:numPr>
    </w:pPr>
  </w:style>
  <w:style w:type="numbering" w:customStyle="1" w:styleId="List44">
    <w:name w:val="List 44"/>
    <w:rsid w:val="00530BA0"/>
    <w:pPr>
      <w:numPr>
        <w:numId w:val="40"/>
      </w:numPr>
    </w:pPr>
  </w:style>
  <w:style w:type="numbering" w:customStyle="1" w:styleId="List21">
    <w:name w:val="List 21"/>
    <w:rsid w:val="00530BA0"/>
    <w:pPr>
      <w:numPr>
        <w:numId w:val="52"/>
      </w:numPr>
    </w:pPr>
  </w:style>
  <w:style w:type="numbering" w:customStyle="1" w:styleId="List52">
    <w:name w:val="List 52"/>
    <w:rsid w:val="00530BA0"/>
    <w:pPr>
      <w:numPr>
        <w:numId w:val="9"/>
      </w:numPr>
    </w:pPr>
  </w:style>
  <w:style w:type="numbering" w:customStyle="1" w:styleId="List24">
    <w:name w:val="List 24"/>
    <w:rsid w:val="00530BA0"/>
    <w:pPr>
      <w:numPr>
        <w:numId w:val="13"/>
      </w:numPr>
    </w:pPr>
  </w:style>
  <w:style w:type="numbering" w:customStyle="1" w:styleId="List51">
    <w:name w:val="List 51"/>
    <w:rsid w:val="00530BA0"/>
    <w:pPr>
      <w:numPr>
        <w:numId w:val="54"/>
      </w:numPr>
    </w:pPr>
  </w:style>
  <w:style w:type="numbering" w:customStyle="1" w:styleId="List27">
    <w:name w:val="List 27"/>
    <w:rsid w:val="00530BA0"/>
    <w:pPr>
      <w:numPr>
        <w:numId w:val="41"/>
      </w:numPr>
    </w:pPr>
  </w:style>
  <w:style w:type="numbering" w:customStyle="1" w:styleId="List8">
    <w:name w:val="List 8"/>
    <w:rsid w:val="00530BA0"/>
    <w:pPr>
      <w:numPr>
        <w:numId w:val="5"/>
      </w:numPr>
    </w:pPr>
  </w:style>
  <w:style w:type="numbering" w:customStyle="1" w:styleId="List13">
    <w:name w:val="List 13"/>
    <w:rsid w:val="00530BA0"/>
    <w:pPr>
      <w:numPr>
        <w:numId w:val="42"/>
      </w:numPr>
    </w:pPr>
  </w:style>
  <w:style w:type="numbering" w:customStyle="1" w:styleId="List20">
    <w:name w:val="List 20"/>
    <w:rsid w:val="00530BA0"/>
    <w:pPr>
      <w:numPr>
        <w:numId w:val="43"/>
      </w:numPr>
    </w:pPr>
  </w:style>
  <w:style w:type="numbering" w:customStyle="1" w:styleId="List41">
    <w:name w:val="List 41"/>
    <w:rsid w:val="00530BA0"/>
    <w:pPr>
      <w:numPr>
        <w:numId w:val="44"/>
      </w:numPr>
    </w:pPr>
  </w:style>
  <w:style w:type="numbering" w:customStyle="1" w:styleId="List31">
    <w:name w:val="List 31"/>
    <w:rsid w:val="00530BA0"/>
    <w:pPr>
      <w:numPr>
        <w:numId w:val="45"/>
      </w:numPr>
    </w:pPr>
  </w:style>
  <w:style w:type="numbering" w:customStyle="1" w:styleId="List6">
    <w:name w:val="List 6"/>
    <w:rsid w:val="00530BA0"/>
    <w:pPr>
      <w:numPr>
        <w:numId w:val="3"/>
      </w:numPr>
    </w:pPr>
  </w:style>
  <w:style w:type="numbering" w:customStyle="1" w:styleId="List39">
    <w:name w:val="List 39"/>
    <w:rsid w:val="00530BA0"/>
    <w:pPr>
      <w:numPr>
        <w:numId w:val="46"/>
      </w:numPr>
    </w:pPr>
  </w:style>
  <w:style w:type="numbering" w:customStyle="1" w:styleId="List37">
    <w:name w:val="List 37"/>
    <w:rsid w:val="00530BA0"/>
    <w:pPr>
      <w:numPr>
        <w:numId w:val="47"/>
      </w:numPr>
    </w:pPr>
  </w:style>
  <w:style w:type="numbering" w:customStyle="1" w:styleId="List32">
    <w:name w:val="List 32"/>
    <w:rsid w:val="00530BA0"/>
    <w:pPr>
      <w:numPr>
        <w:numId w:val="48"/>
      </w:numPr>
    </w:pPr>
  </w:style>
  <w:style w:type="numbering" w:customStyle="1" w:styleId="List26">
    <w:name w:val="List 26"/>
    <w:rsid w:val="00530BA0"/>
    <w:pPr>
      <w:numPr>
        <w:numId w:val="49"/>
      </w:numPr>
    </w:pPr>
  </w:style>
  <w:style w:type="numbering" w:customStyle="1" w:styleId="List48">
    <w:name w:val="List 48"/>
    <w:rsid w:val="00530BA0"/>
    <w:pPr>
      <w:numPr>
        <w:numId w:val="50"/>
      </w:numPr>
    </w:pPr>
  </w:style>
  <w:style w:type="character" w:customStyle="1" w:styleId="normaltextrun">
    <w:name w:val="normaltextrun"/>
    <w:basedOn w:val="DefaultParagraphFont"/>
    <w:rsid w:val="00613022"/>
  </w:style>
  <w:style w:type="character" w:customStyle="1" w:styleId="eop">
    <w:name w:val="eop"/>
    <w:basedOn w:val="DefaultParagraphFont"/>
    <w:rsid w:val="00613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144890">
      <w:marLeft w:val="0"/>
      <w:marRight w:val="0"/>
      <w:marTop w:val="0"/>
      <w:marBottom w:val="0"/>
      <w:divBdr>
        <w:top w:val="none" w:sz="0" w:space="0" w:color="auto"/>
        <w:left w:val="none" w:sz="0" w:space="0" w:color="auto"/>
        <w:bottom w:val="none" w:sz="0" w:space="0" w:color="auto"/>
        <w:right w:val="none" w:sz="0" w:space="0" w:color="auto"/>
      </w:divBdr>
    </w:div>
    <w:div w:id="8311448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3286</Words>
  <Characters>18736</Characters>
  <Application>Microsoft Office Word</Application>
  <DocSecurity>0</DocSecurity>
  <Lines>156</Lines>
  <Paragraphs>43</Paragraphs>
  <ScaleCrop>false</ScaleCrop>
  <Company/>
  <LinksUpToDate>false</LinksUpToDate>
  <CharactersWithSpaces>21979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2023-01-25T16:58:00Z</dcterms:created>
  <dcterms:modified xsi:type="dcterms:W3CDTF">2023-01-25T16:58:00Z</dcterms:modified>
</cp:coreProperties>
</file>