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9E046" w14:textId="3513303D" w:rsidR="00276B48" w:rsidRPr="00320918" w:rsidRDefault="00E65974" w:rsidP="00C51DEF">
      <w:pPr>
        <w:jc w:val="both"/>
        <w:rPr>
          <w:rFonts w:ascii="Cambria" w:hAnsi="Cambria" w:cs="Cambria"/>
          <w:b/>
          <w:bCs/>
          <w:sz w:val="22"/>
          <w:szCs w:val="22"/>
        </w:rPr>
      </w:pPr>
      <w:r>
        <w:rPr>
          <w:noProof/>
        </w:rPr>
        <mc:AlternateContent>
          <mc:Choice Requires="wps">
            <w:drawing>
              <wp:anchor distT="0" distB="0" distL="114300" distR="114300" simplePos="0" relativeHeight="251654144" behindDoc="0" locked="0" layoutInCell="1" allowOverlap="1" wp14:anchorId="62009859" wp14:editId="0AFA080A">
                <wp:simplePos x="0" y="0"/>
                <wp:positionH relativeFrom="column">
                  <wp:posOffset>-415925</wp:posOffset>
                </wp:positionH>
                <wp:positionV relativeFrom="paragraph">
                  <wp:posOffset>-439420</wp:posOffset>
                </wp:positionV>
                <wp:extent cx="1543050" cy="9096375"/>
                <wp:effectExtent l="3175" t="0" r="0" b="1270"/>
                <wp:wrapNone/>
                <wp:docPr id="1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9096375"/>
                        </a:xfrm>
                        <a:prstGeom prst="rect">
                          <a:avLst/>
                        </a:prstGeom>
                        <a:solidFill>
                          <a:srgbClr val="67AE3C"/>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2D01D01" id="Rectangle 1" o:spid="_x0000_s1026" style="position:absolute;margin-left:-32.75pt;margin-top:-34.6pt;width:121.5pt;height:71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" fillcolor="#67ae3c" stroked="f" strokeweight="2pt"/>
            </w:pict>
          </mc:Fallback>
        </mc:AlternateContent>
      </w:r>
      <w:r>
        <w:rPr>
          <w:noProof/>
        </w:rPr>
        <mc:AlternateContent>
          <mc:Choice Requires="wps">
            <w:drawing>
              <wp:anchor distT="0" distB="0" distL="114300" distR="114300" simplePos="0" relativeHeight="251658240" behindDoc="0" locked="0" layoutInCell="1" allowOverlap="1" wp14:anchorId="4BE18B0D" wp14:editId="45863C7C">
                <wp:simplePos x="0" y="0"/>
                <wp:positionH relativeFrom="column">
                  <wp:posOffset>1282065</wp:posOffset>
                </wp:positionH>
                <wp:positionV relativeFrom="paragraph">
                  <wp:posOffset>-424180</wp:posOffset>
                </wp:positionV>
                <wp:extent cx="5248275" cy="902335"/>
                <wp:effectExtent l="0" t="4445" r="3810" b="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902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6D46291" w14:textId="0C58FEF3" w:rsidR="00276B48" w:rsidRPr="00C51DEF" w:rsidRDefault="00276B48" w:rsidP="00C51DEF">
                            <w:pPr>
                              <w:rPr>
                                <w:noProof/>
                              </w:rPr>
                            </w:pPr>
                            <w:r w:rsidRPr="00C51DEF">
                              <w:rPr>
                                <w:noProof/>
                              </w:rPr>
                              <w:tab/>
                              <w:t xml:space="preserve"> </w:t>
                            </w:r>
                            <w:r w:rsidR="00E65974">
                              <w:rPr>
                                <w:noProof/>
                              </w:rPr>
                              <w:drawing>
                                <wp:inline distT="0" distB="0" distL="0" distR="0" wp14:anchorId="799C595C" wp14:editId="40F183C5">
                                  <wp:extent cx="2520315" cy="469265"/>
                                  <wp:effectExtent l="0" t="0" r="0"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0315" cy="4692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E18B0D"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" filled="f" stroked="f" strokeweight=".5pt">
                <v:textbox>
                  <w:txbxContent>
                    <w:p w14:paraId="76D46291" w14:textId="0C58FEF3" w:rsidR="00276B48" w:rsidRPr="00C51DEF" w:rsidRDefault="00276B48" w:rsidP="00C51DEF">
                      <w:pPr>
                        <w:rPr>
                          <w:noProof/>
                        </w:rPr>
                      </w:pPr>
                      <w:r w:rsidRPr="00C51DEF">
                        <w:rPr>
                          <w:noProof/>
                        </w:rPr>
                        <w:tab/>
                        <w:t xml:space="preserve"> </w:t>
                      </w:r>
                      <w:r w:rsidR="00E65974">
                        <w:rPr>
                          <w:noProof/>
                        </w:rPr>
                        <w:drawing>
                          <wp:inline distT="0" distB="0" distL="0" distR="0" wp14:anchorId="799C595C" wp14:editId="40F183C5">
                            <wp:extent cx="2520315" cy="469265"/>
                            <wp:effectExtent l="0" t="0" r="0"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0315" cy="469265"/>
                                    </a:xfrm>
                                    <a:prstGeom prst="rect">
                                      <a:avLst/>
                                    </a:prstGeom>
                                    <a:noFill/>
                                    <a:ln>
                                      <a:noFill/>
                                    </a:ln>
                                  </pic:spPr>
                                </pic:pic>
                              </a:graphicData>
                            </a:graphic>
                          </wp:inline>
                        </w:drawing>
                      </w:r>
                    </w:p>
                  </w:txbxContent>
                </v:textbox>
              </v:shape>
            </w:pict>
          </mc:Fallback>
        </mc:AlternateContent>
      </w:r>
    </w:p>
    <w:p w14:paraId="466DBBB0" w14:textId="77777777" w:rsidR="00276B48" w:rsidRPr="00320918" w:rsidRDefault="00276B48" w:rsidP="00C51DEF">
      <w:pPr>
        <w:tabs>
          <w:tab w:val="center" w:pos="5400"/>
        </w:tabs>
        <w:suppressAutoHyphens/>
        <w:jc w:val="both"/>
        <w:rPr>
          <w:rFonts w:ascii="Cambria" w:hAnsi="Cambria" w:cs="Cambria"/>
          <w:sz w:val="22"/>
          <w:szCs w:val="22"/>
        </w:rPr>
      </w:pPr>
    </w:p>
    <w:p w14:paraId="7AC63C1B" w14:textId="77777777" w:rsidR="00276B48" w:rsidRPr="00320918" w:rsidRDefault="00276B48" w:rsidP="00C51DEF">
      <w:pPr>
        <w:tabs>
          <w:tab w:val="center" w:pos="5400"/>
        </w:tabs>
        <w:suppressAutoHyphens/>
        <w:jc w:val="both"/>
        <w:rPr>
          <w:rFonts w:ascii="Cambria" w:hAnsi="Cambria" w:cs="Cambria"/>
          <w:sz w:val="22"/>
          <w:szCs w:val="22"/>
        </w:rPr>
      </w:pPr>
    </w:p>
    <w:p w14:paraId="21FCCA9A" w14:textId="77777777" w:rsidR="00276B48" w:rsidRPr="00320918" w:rsidRDefault="00276B48" w:rsidP="00C51DEF">
      <w:pPr>
        <w:tabs>
          <w:tab w:val="center" w:pos="5400"/>
        </w:tabs>
        <w:suppressAutoHyphens/>
        <w:rPr>
          <w:rFonts w:ascii="Cambria" w:hAnsi="Cambria" w:cs="Cambria"/>
          <w:sz w:val="22"/>
          <w:szCs w:val="22"/>
        </w:rPr>
      </w:pPr>
    </w:p>
    <w:p w14:paraId="79F533E8" w14:textId="77777777" w:rsidR="00276B48" w:rsidRPr="00320918" w:rsidRDefault="00276B48" w:rsidP="00C51DEF">
      <w:pPr>
        <w:tabs>
          <w:tab w:val="center" w:pos="5400"/>
        </w:tabs>
        <w:suppressAutoHyphens/>
        <w:rPr>
          <w:rFonts w:ascii="Cambria" w:hAnsi="Cambria" w:cs="Cambria"/>
          <w:sz w:val="22"/>
          <w:szCs w:val="22"/>
        </w:rPr>
      </w:pPr>
    </w:p>
    <w:p w14:paraId="4ED553CD" w14:textId="77777777" w:rsidR="00276B48" w:rsidRPr="00320918" w:rsidRDefault="00276B48" w:rsidP="00C51DEF">
      <w:pPr>
        <w:tabs>
          <w:tab w:val="center" w:pos="5400"/>
        </w:tabs>
        <w:suppressAutoHyphens/>
        <w:rPr>
          <w:rFonts w:ascii="Cambria" w:hAnsi="Cambria" w:cs="Cambria"/>
          <w:sz w:val="22"/>
          <w:szCs w:val="22"/>
        </w:rPr>
      </w:pPr>
    </w:p>
    <w:p w14:paraId="68FCB783" w14:textId="77777777" w:rsidR="00276B48" w:rsidRPr="00320918" w:rsidRDefault="00276B48" w:rsidP="00C51DEF">
      <w:pPr>
        <w:tabs>
          <w:tab w:val="center" w:pos="5400"/>
        </w:tabs>
        <w:suppressAutoHyphens/>
        <w:jc w:val="center"/>
        <w:rPr>
          <w:rFonts w:ascii="Cambria" w:hAnsi="Cambria" w:cs="Cambria"/>
          <w:sz w:val="22"/>
          <w:szCs w:val="22"/>
        </w:rPr>
      </w:pPr>
    </w:p>
    <w:p w14:paraId="421906D7" w14:textId="77777777" w:rsidR="00276B48" w:rsidRPr="00320918" w:rsidRDefault="00276B48" w:rsidP="00C51DEF">
      <w:pPr>
        <w:tabs>
          <w:tab w:val="center" w:pos="5400"/>
        </w:tabs>
        <w:suppressAutoHyphens/>
        <w:jc w:val="center"/>
        <w:rPr>
          <w:rFonts w:ascii="Cambria" w:hAnsi="Cambria" w:cs="Cambria"/>
          <w:sz w:val="22"/>
          <w:szCs w:val="22"/>
        </w:rPr>
      </w:pPr>
    </w:p>
    <w:p w14:paraId="55282F4F" w14:textId="77777777" w:rsidR="00276B48" w:rsidRPr="00320918" w:rsidRDefault="00276B48" w:rsidP="00C51DEF">
      <w:pPr>
        <w:tabs>
          <w:tab w:val="center" w:pos="5400"/>
        </w:tabs>
        <w:suppressAutoHyphens/>
        <w:jc w:val="center"/>
        <w:rPr>
          <w:rFonts w:ascii="Cambria" w:hAnsi="Cambria" w:cs="Cambria"/>
          <w:sz w:val="22"/>
          <w:szCs w:val="22"/>
        </w:rPr>
      </w:pPr>
    </w:p>
    <w:p w14:paraId="01ABD54D" w14:textId="77777777" w:rsidR="00276B48" w:rsidRPr="00320918" w:rsidRDefault="00276B48" w:rsidP="00C51DEF">
      <w:pPr>
        <w:tabs>
          <w:tab w:val="center" w:pos="5400"/>
        </w:tabs>
        <w:suppressAutoHyphens/>
        <w:jc w:val="center"/>
        <w:rPr>
          <w:rFonts w:ascii="Cambria" w:hAnsi="Cambria" w:cs="Cambria"/>
          <w:sz w:val="22"/>
          <w:szCs w:val="22"/>
        </w:rPr>
      </w:pPr>
    </w:p>
    <w:p w14:paraId="38229828" w14:textId="77777777" w:rsidR="00276B48" w:rsidRPr="00320918" w:rsidRDefault="00276B48" w:rsidP="00C51DEF">
      <w:pPr>
        <w:tabs>
          <w:tab w:val="center" w:pos="5400"/>
        </w:tabs>
        <w:suppressAutoHyphens/>
        <w:jc w:val="center"/>
        <w:rPr>
          <w:rFonts w:ascii="Cambria" w:hAnsi="Cambria" w:cs="Cambria"/>
          <w:sz w:val="22"/>
          <w:szCs w:val="22"/>
        </w:rPr>
      </w:pPr>
    </w:p>
    <w:p w14:paraId="2233FE51" w14:textId="77777777" w:rsidR="00276B48" w:rsidRPr="00320918" w:rsidRDefault="00276B48" w:rsidP="00C51DEF">
      <w:pPr>
        <w:tabs>
          <w:tab w:val="center" w:pos="5400"/>
        </w:tabs>
        <w:suppressAutoHyphens/>
        <w:jc w:val="center"/>
        <w:rPr>
          <w:rFonts w:ascii="Cambria" w:hAnsi="Cambria" w:cs="Cambria"/>
          <w:sz w:val="22"/>
          <w:szCs w:val="22"/>
        </w:rPr>
      </w:pPr>
    </w:p>
    <w:p w14:paraId="3FB0345B" w14:textId="77777777" w:rsidR="00276B48" w:rsidRPr="00320918" w:rsidRDefault="00276B48" w:rsidP="00C51DEF">
      <w:pPr>
        <w:tabs>
          <w:tab w:val="center" w:pos="5400"/>
        </w:tabs>
        <w:suppressAutoHyphens/>
        <w:jc w:val="center"/>
        <w:rPr>
          <w:rFonts w:ascii="Cambria" w:hAnsi="Cambria" w:cs="Cambria"/>
          <w:sz w:val="22"/>
          <w:szCs w:val="22"/>
        </w:rPr>
      </w:pPr>
    </w:p>
    <w:p w14:paraId="65D5531C" w14:textId="5962E380" w:rsidR="00276B48" w:rsidRPr="00320918" w:rsidRDefault="00E65974" w:rsidP="00C51DEF">
      <w:pPr>
        <w:tabs>
          <w:tab w:val="center" w:pos="5400"/>
        </w:tabs>
        <w:suppressAutoHyphens/>
        <w:jc w:val="center"/>
        <w:rPr>
          <w:rFonts w:ascii="Cambria" w:hAnsi="Cambria" w:cs="Cambria"/>
          <w:sz w:val="22"/>
          <w:szCs w:val="22"/>
        </w:rPr>
      </w:pPr>
      <w:r>
        <w:rPr>
          <w:noProof/>
        </w:rPr>
        <mc:AlternateContent>
          <mc:Choice Requires="wps">
            <w:drawing>
              <wp:anchor distT="0" distB="0" distL="114300" distR="114300" simplePos="0" relativeHeight="251655168" behindDoc="0" locked="0" layoutInCell="1" allowOverlap="1" wp14:anchorId="26A0457F" wp14:editId="43C78C6C">
                <wp:simplePos x="0" y="0"/>
                <wp:positionH relativeFrom="column">
                  <wp:posOffset>1352550</wp:posOffset>
                </wp:positionH>
                <wp:positionV relativeFrom="paragraph">
                  <wp:posOffset>107315</wp:posOffset>
                </wp:positionV>
                <wp:extent cx="4441190" cy="2181225"/>
                <wp:effectExtent l="0" t="0" r="0" b="1905"/>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1190" cy="2181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3EADFD9" w14:textId="320DDD78" w:rsidR="00276B48" w:rsidRPr="00C51DEF" w:rsidRDefault="00276B48" w:rsidP="00C51DEF">
                            <w:pPr>
                              <w:spacing w:line="276" w:lineRule="auto"/>
                              <w:rPr>
                                <w:rFonts w:ascii="Cambria" w:hAnsi="Cambria" w:cs="Cambria"/>
                                <w:b/>
                                <w:bCs/>
                                <w:noProof/>
                                <w:color w:val="0D0D0D"/>
                                <w:sz w:val="36"/>
                                <w:szCs w:val="36"/>
                              </w:rPr>
                            </w:pPr>
                            <w:r w:rsidRPr="00C51DEF">
                              <w:rPr>
                                <w:rFonts w:ascii="Cambria" w:hAnsi="Cambria" w:cs="Cambria"/>
                                <w:b/>
                                <w:bCs/>
                                <w:noProof/>
                                <w:color w:val="0D0D0D"/>
                                <w:sz w:val="36"/>
                                <w:szCs w:val="36"/>
                              </w:rPr>
                              <w:t xml:space="preserve">REPORT No. </w:t>
                            </w:r>
                            <w:r w:rsidR="00B84F98">
                              <w:rPr>
                                <w:rFonts w:ascii="Cambria" w:hAnsi="Cambria" w:cs="Cambria"/>
                                <w:b/>
                                <w:bCs/>
                                <w:noProof/>
                                <w:color w:val="0D0D0D"/>
                                <w:sz w:val="36"/>
                                <w:szCs w:val="36"/>
                              </w:rPr>
                              <w:t>187</w:t>
                            </w:r>
                            <w:r w:rsidRPr="00C51DEF">
                              <w:rPr>
                                <w:rFonts w:ascii="Cambria" w:hAnsi="Cambria" w:cs="Cambria"/>
                                <w:b/>
                                <w:bCs/>
                                <w:noProof/>
                                <w:color w:val="0D0D0D"/>
                                <w:sz w:val="36"/>
                                <w:szCs w:val="36"/>
                              </w:rPr>
                              <w:t>/22</w:t>
                            </w:r>
                          </w:p>
                          <w:p w14:paraId="749A71ED" w14:textId="77777777" w:rsidR="00276B48" w:rsidRPr="00C51DEF" w:rsidRDefault="00276B48" w:rsidP="00C51DEF">
                            <w:pPr>
                              <w:spacing w:line="276" w:lineRule="auto"/>
                              <w:rPr>
                                <w:rFonts w:ascii="Cambria" w:hAnsi="Cambria" w:cs="Cambria"/>
                                <w:b/>
                                <w:bCs/>
                                <w:noProof/>
                                <w:color w:val="0D0D0D"/>
                                <w:sz w:val="36"/>
                                <w:szCs w:val="36"/>
                              </w:rPr>
                            </w:pPr>
                            <w:r w:rsidRPr="00C51DEF">
                              <w:rPr>
                                <w:rFonts w:ascii="Cambria" w:hAnsi="Cambria" w:cs="Cambria"/>
                                <w:b/>
                                <w:bCs/>
                                <w:noProof/>
                                <w:color w:val="0D0D0D"/>
                                <w:sz w:val="36"/>
                                <w:szCs w:val="36"/>
                              </w:rPr>
                              <w:t xml:space="preserve">PETITION 1038-17 </w:t>
                            </w:r>
                          </w:p>
                          <w:p w14:paraId="64119917" w14:textId="77777777" w:rsidR="00276B48" w:rsidRPr="00C51DEF" w:rsidRDefault="00276B48" w:rsidP="00C51DEF">
                            <w:pPr>
                              <w:spacing w:line="276" w:lineRule="auto"/>
                              <w:rPr>
                                <w:rFonts w:ascii="Cambria" w:hAnsi="Cambria" w:cs="Cambria"/>
                                <w:noProof/>
                                <w:color w:val="0D0D0D"/>
                              </w:rPr>
                            </w:pPr>
                            <w:r w:rsidRPr="00C51DEF">
                              <w:rPr>
                                <w:rFonts w:ascii="Cambria" w:hAnsi="Cambria" w:cs="Cambria"/>
                                <w:noProof/>
                                <w:color w:val="0D0D0D"/>
                              </w:rPr>
                              <w:t xml:space="preserve">REPORT ON ADMISSIBILITY </w:t>
                            </w:r>
                          </w:p>
                          <w:p w14:paraId="122AFB46" w14:textId="77777777" w:rsidR="00276B48" w:rsidRPr="00C51DEF" w:rsidRDefault="00276B48" w:rsidP="00C51DEF">
                            <w:pPr>
                              <w:spacing w:line="276" w:lineRule="auto"/>
                              <w:rPr>
                                <w:rFonts w:ascii="Cambria" w:hAnsi="Cambria" w:cs="Cambria"/>
                                <w:noProof/>
                                <w:color w:val="0D0D0D"/>
                              </w:rPr>
                            </w:pPr>
                            <w:bookmarkStart w:id="0" w:name="_ftnref1"/>
                          </w:p>
                          <w:p w14:paraId="15F65FD5" w14:textId="72AEEFBD" w:rsidR="00276B48" w:rsidRPr="00996C75" w:rsidRDefault="001F21A3" w:rsidP="00C51DEF">
                            <w:pPr>
                              <w:spacing w:line="276" w:lineRule="auto"/>
                              <w:rPr>
                                <w:rFonts w:ascii="Cambria" w:hAnsi="Cambria" w:cs="Cambria"/>
                                <w:noProof/>
                                <w:color w:val="0D0D0D"/>
                                <w:lang w:val="es-AR"/>
                              </w:rPr>
                            </w:pPr>
                            <w:r w:rsidRPr="00996C75">
                              <w:rPr>
                                <w:rFonts w:ascii="Cambria" w:hAnsi="Cambria" w:cs="Cambria"/>
                                <w:bCs/>
                                <w:noProof/>
                                <w:color w:val="0D0D0D"/>
                                <w:lang w:val="es-AR"/>
                              </w:rPr>
                              <w:t>G.S.M.E.S.C</w:t>
                            </w:r>
                            <w:r w:rsidR="00ED5C6E" w:rsidRPr="00996C75">
                              <w:rPr>
                                <w:rFonts w:ascii="Cambria" w:hAnsi="Cambria" w:cs="Cambria"/>
                                <w:bCs/>
                                <w:noProof/>
                                <w:color w:val="0D0D0D"/>
                                <w:lang w:val="es-AR"/>
                              </w:rPr>
                              <w:t>.</w:t>
                            </w:r>
                          </w:p>
                          <w:bookmarkEnd w:id="0"/>
                          <w:p w14:paraId="27C73916" w14:textId="77777777" w:rsidR="00276B48" w:rsidRPr="001F21A3" w:rsidRDefault="00276B48" w:rsidP="00C51DEF">
                            <w:pPr>
                              <w:spacing w:line="276" w:lineRule="auto"/>
                              <w:rPr>
                                <w:rFonts w:ascii="Cambria" w:hAnsi="Cambria" w:cs="Cambria"/>
                                <w:noProof/>
                                <w:color w:val="0D0D0D"/>
                                <w:lang w:val="es-US"/>
                              </w:rPr>
                            </w:pPr>
                            <w:r w:rsidRPr="001F21A3">
                              <w:rPr>
                                <w:rFonts w:ascii="Cambria" w:hAnsi="Cambria" w:cs="Cambria"/>
                                <w:noProof/>
                                <w:color w:val="0D0D0D"/>
                                <w:lang w:val="es-US"/>
                              </w:rPr>
                              <w:t>MEXICO</w:t>
                            </w:r>
                          </w:p>
                          <w:p w14:paraId="20E5B824" w14:textId="77777777" w:rsidR="00276B48" w:rsidRPr="001F21A3" w:rsidRDefault="00276B48" w:rsidP="00C51DEF">
                            <w:pPr>
                              <w:rPr>
                                <w:noProof/>
                                <w:color w:val="0D0D0D"/>
                                <w:lang w:val="es-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0457F" id="Text Box 5" o:spid="_x0000_s1027" type="#_x0000_t202" style="position:absolute;left:0;text-align:left;margin-left:106.5pt;margin-top:8.45pt;width:349.7pt;height:17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" filled="f" stroked="f" strokeweight=".5pt">
                <v:textbox>
                  <w:txbxContent>
                    <w:p w14:paraId="53EADFD9" w14:textId="320DDD78" w:rsidR="00276B48" w:rsidRPr="00C51DEF" w:rsidRDefault="00276B48" w:rsidP="00C51DEF">
                      <w:pPr>
                        <w:spacing w:line="276" w:lineRule="auto"/>
                        <w:rPr>
                          <w:rFonts w:ascii="Cambria" w:hAnsi="Cambria" w:cs="Cambria"/>
                          <w:b/>
                          <w:bCs/>
                          <w:noProof/>
                          <w:color w:val="0D0D0D"/>
                          <w:sz w:val="36"/>
                          <w:szCs w:val="36"/>
                        </w:rPr>
                      </w:pPr>
                      <w:r w:rsidRPr="00C51DEF">
                        <w:rPr>
                          <w:rFonts w:ascii="Cambria" w:hAnsi="Cambria" w:cs="Cambria"/>
                          <w:b/>
                          <w:bCs/>
                          <w:noProof/>
                          <w:color w:val="0D0D0D"/>
                          <w:sz w:val="36"/>
                          <w:szCs w:val="36"/>
                        </w:rPr>
                        <w:t xml:space="preserve">REPORT No. </w:t>
                      </w:r>
                      <w:r w:rsidR="00B84F98">
                        <w:rPr>
                          <w:rFonts w:ascii="Cambria" w:hAnsi="Cambria" w:cs="Cambria"/>
                          <w:b/>
                          <w:bCs/>
                          <w:noProof/>
                          <w:color w:val="0D0D0D"/>
                          <w:sz w:val="36"/>
                          <w:szCs w:val="36"/>
                        </w:rPr>
                        <w:t>187</w:t>
                      </w:r>
                      <w:r w:rsidRPr="00C51DEF">
                        <w:rPr>
                          <w:rFonts w:ascii="Cambria" w:hAnsi="Cambria" w:cs="Cambria"/>
                          <w:b/>
                          <w:bCs/>
                          <w:noProof/>
                          <w:color w:val="0D0D0D"/>
                          <w:sz w:val="36"/>
                          <w:szCs w:val="36"/>
                        </w:rPr>
                        <w:t>/22</w:t>
                      </w:r>
                    </w:p>
                    <w:p w14:paraId="749A71ED" w14:textId="77777777" w:rsidR="00276B48" w:rsidRPr="00C51DEF" w:rsidRDefault="00276B48" w:rsidP="00C51DEF">
                      <w:pPr>
                        <w:spacing w:line="276" w:lineRule="auto"/>
                        <w:rPr>
                          <w:rFonts w:ascii="Cambria" w:hAnsi="Cambria" w:cs="Cambria"/>
                          <w:b/>
                          <w:bCs/>
                          <w:noProof/>
                          <w:color w:val="0D0D0D"/>
                          <w:sz w:val="36"/>
                          <w:szCs w:val="36"/>
                        </w:rPr>
                      </w:pPr>
                      <w:r w:rsidRPr="00C51DEF">
                        <w:rPr>
                          <w:rFonts w:ascii="Cambria" w:hAnsi="Cambria" w:cs="Cambria"/>
                          <w:b/>
                          <w:bCs/>
                          <w:noProof/>
                          <w:color w:val="0D0D0D"/>
                          <w:sz w:val="36"/>
                          <w:szCs w:val="36"/>
                        </w:rPr>
                        <w:t xml:space="preserve">PETITION 1038-17 </w:t>
                      </w:r>
                    </w:p>
                    <w:p w14:paraId="64119917" w14:textId="77777777" w:rsidR="00276B48" w:rsidRPr="00C51DEF" w:rsidRDefault="00276B48" w:rsidP="00C51DEF">
                      <w:pPr>
                        <w:spacing w:line="276" w:lineRule="auto"/>
                        <w:rPr>
                          <w:rFonts w:ascii="Cambria" w:hAnsi="Cambria" w:cs="Cambria"/>
                          <w:noProof/>
                          <w:color w:val="0D0D0D"/>
                        </w:rPr>
                      </w:pPr>
                      <w:r w:rsidRPr="00C51DEF">
                        <w:rPr>
                          <w:rFonts w:ascii="Cambria" w:hAnsi="Cambria" w:cs="Cambria"/>
                          <w:noProof/>
                          <w:color w:val="0D0D0D"/>
                        </w:rPr>
                        <w:t xml:space="preserve">REPORT ON ADMISSIBILITY </w:t>
                      </w:r>
                    </w:p>
                    <w:p w14:paraId="122AFB46" w14:textId="77777777" w:rsidR="00276B48" w:rsidRPr="00C51DEF" w:rsidRDefault="00276B48" w:rsidP="00C51DEF">
                      <w:pPr>
                        <w:spacing w:line="276" w:lineRule="auto"/>
                        <w:rPr>
                          <w:rFonts w:ascii="Cambria" w:hAnsi="Cambria" w:cs="Cambria"/>
                          <w:noProof/>
                          <w:color w:val="0D0D0D"/>
                        </w:rPr>
                      </w:pPr>
                      <w:bookmarkStart w:id="1" w:name="_ftnref1"/>
                    </w:p>
                    <w:p w14:paraId="15F65FD5" w14:textId="72AEEFBD" w:rsidR="00276B48" w:rsidRPr="00996C75" w:rsidRDefault="001F21A3" w:rsidP="00C51DEF">
                      <w:pPr>
                        <w:spacing w:line="276" w:lineRule="auto"/>
                        <w:rPr>
                          <w:rFonts w:ascii="Cambria" w:hAnsi="Cambria" w:cs="Cambria"/>
                          <w:noProof/>
                          <w:color w:val="0D0D0D"/>
                          <w:lang w:val="es-AR"/>
                        </w:rPr>
                      </w:pPr>
                      <w:r w:rsidRPr="00996C75">
                        <w:rPr>
                          <w:rFonts w:ascii="Cambria" w:hAnsi="Cambria" w:cs="Cambria"/>
                          <w:bCs/>
                          <w:noProof/>
                          <w:color w:val="0D0D0D"/>
                          <w:lang w:val="es-AR"/>
                        </w:rPr>
                        <w:t>G.S.M.E.S.C</w:t>
                      </w:r>
                      <w:r w:rsidR="00ED5C6E" w:rsidRPr="00996C75">
                        <w:rPr>
                          <w:rFonts w:ascii="Cambria" w:hAnsi="Cambria" w:cs="Cambria"/>
                          <w:bCs/>
                          <w:noProof/>
                          <w:color w:val="0D0D0D"/>
                          <w:lang w:val="es-AR"/>
                        </w:rPr>
                        <w:t>.</w:t>
                      </w:r>
                    </w:p>
                    <w:bookmarkEnd w:id="1"/>
                    <w:p w14:paraId="27C73916" w14:textId="77777777" w:rsidR="00276B48" w:rsidRPr="001F21A3" w:rsidRDefault="00276B48" w:rsidP="00C51DEF">
                      <w:pPr>
                        <w:spacing w:line="276" w:lineRule="auto"/>
                        <w:rPr>
                          <w:rFonts w:ascii="Cambria" w:hAnsi="Cambria" w:cs="Cambria"/>
                          <w:noProof/>
                          <w:color w:val="0D0D0D"/>
                          <w:lang w:val="es-US"/>
                        </w:rPr>
                      </w:pPr>
                      <w:r w:rsidRPr="001F21A3">
                        <w:rPr>
                          <w:rFonts w:ascii="Cambria" w:hAnsi="Cambria" w:cs="Cambria"/>
                          <w:noProof/>
                          <w:color w:val="0D0D0D"/>
                          <w:lang w:val="es-US"/>
                        </w:rPr>
                        <w:t>MEXICO</w:t>
                      </w:r>
                    </w:p>
                    <w:p w14:paraId="20E5B824" w14:textId="77777777" w:rsidR="00276B48" w:rsidRPr="001F21A3" w:rsidRDefault="00276B48" w:rsidP="00C51DEF">
                      <w:pPr>
                        <w:rPr>
                          <w:noProof/>
                          <w:color w:val="0D0D0D"/>
                          <w:lang w:val="es-US"/>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6D96CF75" wp14:editId="3AB45B04">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37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96E1BBC" w14:textId="77BC7BC1" w:rsidR="00276B48" w:rsidRPr="00996C75" w:rsidRDefault="00276B48" w:rsidP="00C51DEF">
                            <w:pPr>
                              <w:spacing w:line="276" w:lineRule="auto"/>
                              <w:jc w:val="right"/>
                              <w:rPr>
                                <w:rFonts w:ascii="Calibri" w:hAnsi="Calibri" w:cs="Calibri"/>
                                <w:noProof/>
                                <w:color w:val="FFFFFF"/>
                                <w:sz w:val="22"/>
                                <w:szCs w:val="22"/>
                                <w:lang w:val="es-AR"/>
                              </w:rPr>
                            </w:pPr>
                            <w:r w:rsidRPr="00996C75">
                              <w:rPr>
                                <w:rFonts w:ascii="Calibri" w:hAnsi="Calibri" w:cs="Calibri"/>
                                <w:noProof/>
                                <w:color w:val="FFFFFF"/>
                                <w:sz w:val="22"/>
                                <w:szCs w:val="22"/>
                                <w:lang w:val="es-AR"/>
                              </w:rPr>
                              <w:t>OEA/Ser.L/V/II</w:t>
                            </w:r>
                          </w:p>
                          <w:p w14:paraId="702ADBE0" w14:textId="1C771292" w:rsidR="00276B48" w:rsidRPr="00996C75" w:rsidRDefault="00276B48" w:rsidP="00C51DEF">
                            <w:pPr>
                              <w:spacing w:line="276" w:lineRule="auto"/>
                              <w:jc w:val="right"/>
                              <w:rPr>
                                <w:rFonts w:ascii="Calibri" w:hAnsi="Calibri" w:cs="Calibri"/>
                                <w:noProof/>
                                <w:color w:val="FFFFFF"/>
                                <w:sz w:val="22"/>
                                <w:szCs w:val="22"/>
                                <w:lang w:val="es-AR"/>
                              </w:rPr>
                            </w:pPr>
                            <w:r w:rsidRPr="00996C75">
                              <w:rPr>
                                <w:rFonts w:ascii="Calibri" w:hAnsi="Calibri" w:cs="Calibri"/>
                                <w:noProof/>
                                <w:color w:val="FFFFFF"/>
                                <w:sz w:val="22"/>
                                <w:szCs w:val="22"/>
                                <w:lang w:val="es-AR"/>
                              </w:rPr>
                              <w:t xml:space="preserve">Doc. </w:t>
                            </w:r>
                            <w:r w:rsidR="00190D2C" w:rsidRPr="00996C75">
                              <w:rPr>
                                <w:rFonts w:ascii="Calibri" w:hAnsi="Calibri" w:cs="Calibri"/>
                                <w:noProof/>
                                <w:color w:val="FFFFFF"/>
                                <w:sz w:val="22"/>
                                <w:szCs w:val="22"/>
                                <w:lang w:val="es-AR"/>
                              </w:rPr>
                              <w:t>190</w:t>
                            </w:r>
                          </w:p>
                          <w:p w14:paraId="374225C0" w14:textId="5DB48DC0" w:rsidR="00276B48" w:rsidRPr="00996C75" w:rsidRDefault="00ED5C6E" w:rsidP="00C51DEF">
                            <w:pPr>
                              <w:spacing w:line="276" w:lineRule="auto"/>
                              <w:jc w:val="right"/>
                              <w:rPr>
                                <w:rFonts w:ascii="Calibri" w:hAnsi="Calibri" w:cs="Calibri"/>
                                <w:noProof/>
                                <w:color w:val="FFFFFF"/>
                                <w:sz w:val="22"/>
                                <w:szCs w:val="22"/>
                                <w:lang w:val="es-AR"/>
                              </w:rPr>
                            </w:pPr>
                            <w:r w:rsidRPr="00996C75">
                              <w:rPr>
                                <w:rFonts w:ascii="Calibri" w:hAnsi="Calibri" w:cs="Calibri"/>
                                <w:noProof/>
                                <w:color w:val="FFFFFF"/>
                                <w:sz w:val="22"/>
                                <w:szCs w:val="22"/>
                                <w:lang w:val="es-AR"/>
                              </w:rPr>
                              <w:t>14 June</w:t>
                            </w:r>
                            <w:r w:rsidR="00276B48" w:rsidRPr="00996C75">
                              <w:rPr>
                                <w:rFonts w:ascii="Calibri" w:hAnsi="Calibri" w:cs="Calibri"/>
                                <w:noProof/>
                                <w:color w:val="FFFFFF"/>
                                <w:sz w:val="22"/>
                                <w:szCs w:val="22"/>
                                <w:lang w:val="es-AR"/>
                              </w:rPr>
                              <w:t xml:space="preserve"> 2022</w:t>
                            </w:r>
                          </w:p>
                          <w:p w14:paraId="7FAEF683" w14:textId="77777777" w:rsidR="00276B48" w:rsidRPr="00320918" w:rsidRDefault="00276B48" w:rsidP="00C51DEF">
                            <w:pPr>
                              <w:spacing w:line="276" w:lineRule="auto"/>
                              <w:jc w:val="right"/>
                              <w:rPr>
                                <w:rFonts w:ascii="Calibri" w:hAnsi="Calibri" w:cs="Calibri"/>
                                <w:noProof/>
                                <w:color w:val="FFFFFF"/>
                                <w:sz w:val="22"/>
                                <w:szCs w:val="22"/>
                              </w:rPr>
                            </w:pPr>
                            <w:r w:rsidRPr="00320918">
                              <w:rPr>
                                <w:rFonts w:ascii="Calibri" w:hAnsi="Calibri" w:cs="Calibri"/>
                                <w:noProof/>
                                <w:color w:val="FFFFFF"/>
                                <w:sz w:val="22"/>
                                <w:szCs w:val="22"/>
                              </w:rPr>
                              <w:t>Original: Spanish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6CF75" id="Text Box 8" o:spid="_x0000_s1028" type="#_x0000_t202" style="position:absolute;left:0;text-align:left;margin-left:-27pt;margin-top:12.95pt;width:109.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" filled="f" stroked="f" strokeweight=".5pt">
                <v:textbox>
                  <w:txbxContent>
                    <w:p w14:paraId="596E1BBC" w14:textId="77BC7BC1" w:rsidR="00276B48" w:rsidRPr="00996C75" w:rsidRDefault="00276B48" w:rsidP="00C51DEF">
                      <w:pPr>
                        <w:spacing w:line="276" w:lineRule="auto"/>
                        <w:jc w:val="right"/>
                        <w:rPr>
                          <w:rFonts w:ascii="Calibri" w:hAnsi="Calibri" w:cs="Calibri"/>
                          <w:noProof/>
                          <w:color w:val="FFFFFF"/>
                          <w:sz w:val="22"/>
                          <w:szCs w:val="22"/>
                          <w:lang w:val="es-AR"/>
                        </w:rPr>
                      </w:pPr>
                      <w:r w:rsidRPr="00996C75">
                        <w:rPr>
                          <w:rFonts w:ascii="Calibri" w:hAnsi="Calibri" w:cs="Calibri"/>
                          <w:noProof/>
                          <w:color w:val="FFFFFF"/>
                          <w:sz w:val="22"/>
                          <w:szCs w:val="22"/>
                          <w:lang w:val="es-AR"/>
                        </w:rPr>
                        <w:t>OEA/Ser.L/V/II</w:t>
                      </w:r>
                    </w:p>
                    <w:p w14:paraId="702ADBE0" w14:textId="1C771292" w:rsidR="00276B48" w:rsidRPr="00996C75" w:rsidRDefault="00276B48" w:rsidP="00C51DEF">
                      <w:pPr>
                        <w:spacing w:line="276" w:lineRule="auto"/>
                        <w:jc w:val="right"/>
                        <w:rPr>
                          <w:rFonts w:ascii="Calibri" w:hAnsi="Calibri" w:cs="Calibri"/>
                          <w:noProof/>
                          <w:color w:val="FFFFFF"/>
                          <w:sz w:val="22"/>
                          <w:szCs w:val="22"/>
                          <w:lang w:val="es-AR"/>
                        </w:rPr>
                      </w:pPr>
                      <w:r w:rsidRPr="00996C75">
                        <w:rPr>
                          <w:rFonts w:ascii="Calibri" w:hAnsi="Calibri" w:cs="Calibri"/>
                          <w:noProof/>
                          <w:color w:val="FFFFFF"/>
                          <w:sz w:val="22"/>
                          <w:szCs w:val="22"/>
                          <w:lang w:val="es-AR"/>
                        </w:rPr>
                        <w:t xml:space="preserve">Doc. </w:t>
                      </w:r>
                      <w:r w:rsidR="00190D2C" w:rsidRPr="00996C75">
                        <w:rPr>
                          <w:rFonts w:ascii="Calibri" w:hAnsi="Calibri" w:cs="Calibri"/>
                          <w:noProof/>
                          <w:color w:val="FFFFFF"/>
                          <w:sz w:val="22"/>
                          <w:szCs w:val="22"/>
                          <w:lang w:val="es-AR"/>
                        </w:rPr>
                        <w:t>190</w:t>
                      </w:r>
                    </w:p>
                    <w:p w14:paraId="374225C0" w14:textId="5DB48DC0" w:rsidR="00276B48" w:rsidRPr="00996C75" w:rsidRDefault="00ED5C6E" w:rsidP="00C51DEF">
                      <w:pPr>
                        <w:spacing w:line="276" w:lineRule="auto"/>
                        <w:jc w:val="right"/>
                        <w:rPr>
                          <w:rFonts w:ascii="Calibri" w:hAnsi="Calibri" w:cs="Calibri"/>
                          <w:noProof/>
                          <w:color w:val="FFFFFF"/>
                          <w:sz w:val="22"/>
                          <w:szCs w:val="22"/>
                          <w:lang w:val="es-AR"/>
                        </w:rPr>
                      </w:pPr>
                      <w:r w:rsidRPr="00996C75">
                        <w:rPr>
                          <w:rFonts w:ascii="Calibri" w:hAnsi="Calibri" w:cs="Calibri"/>
                          <w:noProof/>
                          <w:color w:val="FFFFFF"/>
                          <w:sz w:val="22"/>
                          <w:szCs w:val="22"/>
                          <w:lang w:val="es-AR"/>
                        </w:rPr>
                        <w:t>14 June</w:t>
                      </w:r>
                      <w:r w:rsidR="00276B48" w:rsidRPr="00996C75">
                        <w:rPr>
                          <w:rFonts w:ascii="Calibri" w:hAnsi="Calibri" w:cs="Calibri"/>
                          <w:noProof/>
                          <w:color w:val="FFFFFF"/>
                          <w:sz w:val="22"/>
                          <w:szCs w:val="22"/>
                          <w:lang w:val="es-AR"/>
                        </w:rPr>
                        <w:t xml:space="preserve"> 2022</w:t>
                      </w:r>
                    </w:p>
                    <w:p w14:paraId="7FAEF683" w14:textId="77777777" w:rsidR="00276B48" w:rsidRPr="00320918" w:rsidRDefault="00276B48" w:rsidP="00C51DEF">
                      <w:pPr>
                        <w:spacing w:line="276" w:lineRule="auto"/>
                        <w:jc w:val="right"/>
                        <w:rPr>
                          <w:rFonts w:ascii="Calibri" w:hAnsi="Calibri" w:cs="Calibri"/>
                          <w:noProof/>
                          <w:color w:val="FFFFFF"/>
                          <w:sz w:val="22"/>
                          <w:szCs w:val="22"/>
                        </w:rPr>
                      </w:pPr>
                      <w:r w:rsidRPr="00320918">
                        <w:rPr>
                          <w:rFonts w:ascii="Calibri" w:hAnsi="Calibri" w:cs="Calibri"/>
                          <w:noProof/>
                          <w:color w:val="FFFFFF"/>
                          <w:sz w:val="22"/>
                          <w:szCs w:val="22"/>
                        </w:rPr>
                        <w:t>Original: Spanish</w:t>
                      </w:r>
                    </w:p>
                  </w:txbxContent>
                </v:textbox>
              </v:shape>
            </w:pict>
          </mc:Fallback>
        </mc:AlternateContent>
      </w:r>
    </w:p>
    <w:p w14:paraId="43E24106" w14:textId="77777777" w:rsidR="00276B48" w:rsidRPr="00320918" w:rsidRDefault="00276B48" w:rsidP="00C51DEF">
      <w:pPr>
        <w:tabs>
          <w:tab w:val="center" w:pos="5400"/>
        </w:tabs>
        <w:suppressAutoHyphens/>
        <w:jc w:val="center"/>
        <w:rPr>
          <w:rFonts w:ascii="Cambria" w:hAnsi="Cambria" w:cs="Cambria"/>
          <w:sz w:val="22"/>
          <w:szCs w:val="22"/>
        </w:rPr>
      </w:pPr>
    </w:p>
    <w:p w14:paraId="59E55394" w14:textId="77777777" w:rsidR="00276B48" w:rsidRPr="00320918" w:rsidRDefault="00276B48" w:rsidP="00C51DEF">
      <w:pPr>
        <w:tabs>
          <w:tab w:val="center" w:pos="5400"/>
        </w:tabs>
        <w:suppressAutoHyphens/>
        <w:jc w:val="center"/>
        <w:rPr>
          <w:rFonts w:ascii="Cambria" w:hAnsi="Cambria" w:cs="Cambria"/>
          <w:sz w:val="22"/>
          <w:szCs w:val="22"/>
        </w:rPr>
      </w:pPr>
    </w:p>
    <w:p w14:paraId="4DC42AC8" w14:textId="77777777" w:rsidR="00276B48" w:rsidRPr="00320918" w:rsidRDefault="00276B48" w:rsidP="00C51DEF">
      <w:pPr>
        <w:tabs>
          <w:tab w:val="center" w:pos="5400"/>
        </w:tabs>
        <w:suppressAutoHyphens/>
        <w:jc w:val="center"/>
        <w:rPr>
          <w:rFonts w:ascii="Cambria" w:hAnsi="Cambria" w:cs="Cambria"/>
          <w:sz w:val="22"/>
          <w:szCs w:val="22"/>
        </w:rPr>
      </w:pPr>
    </w:p>
    <w:p w14:paraId="79AA2893" w14:textId="77777777" w:rsidR="00276B48" w:rsidRPr="00320918" w:rsidRDefault="00276B48" w:rsidP="00C51DEF">
      <w:pPr>
        <w:tabs>
          <w:tab w:val="center" w:pos="5400"/>
        </w:tabs>
        <w:suppressAutoHyphens/>
        <w:jc w:val="center"/>
        <w:rPr>
          <w:rFonts w:ascii="Cambria" w:hAnsi="Cambria" w:cs="Cambria"/>
          <w:sz w:val="22"/>
          <w:szCs w:val="22"/>
        </w:rPr>
      </w:pPr>
    </w:p>
    <w:p w14:paraId="0FE37B27" w14:textId="77777777" w:rsidR="00276B48" w:rsidRPr="00320918" w:rsidRDefault="00276B48" w:rsidP="00C51DEF">
      <w:pPr>
        <w:tabs>
          <w:tab w:val="center" w:pos="5400"/>
        </w:tabs>
        <w:suppressAutoHyphens/>
        <w:jc w:val="center"/>
        <w:rPr>
          <w:rFonts w:ascii="Cambria" w:hAnsi="Cambria" w:cs="Cambria"/>
          <w:sz w:val="22"/>
          <w:szCs w:val="22"/>
        </w:rPr>
      </w:pPr>
    </w:p>
    <w:p w14:paraId="24F84270" w14:textId="77777777" w:rsidR="00276B48" w:rsidRPr="00320918" w:rsidRDefault="00276B48" w:rsidP="00C51DEF">
      <w:pPr>
        <w:tabs>
          <w:tab w:val="center" w:pos="5400"/>
        </w:tabs>
        <w:suppressAutoHyphens/>
        <w:jc w:val="center"/>
        <w:rPr>
          <w:rFonts w:ascii="Cambria" w:hAnsi="Cambria" w:cs="Cambria"/>
          <w:sz w:val="22"/>
          <w:szCs w:val="22"/>
        </w:rPr>
      </w:pPr>
    </w:p>
    <w:p w14:paraId="63199029" w14:textId="77777777" w:rsidR="00276B48" w:rsidRPr="00320918" w:rsidRDefault="00276B48" w:rsidP="00C51DEF">
      <w:pPr>
        <w:tabs>
          <w:tab w:val="center" w:pos="5400"/>
        </w:tabs>
        <w:suppressAutoHyphens/>
        <w:jc w:val="center"/>
        <w:rPr>
          <w:rFonts w:ascii="Cambria" w:hAnsi="Cambria" w:cs="Cambria"/>
          <w:sz w:val="22"/>
          <w:szCs w:val="22"/>
        </w:rPr>
      </w:pPr>
    </w:p>
    <w:p w14:paraId="66BC6E0D" w14:textId="77777777" w:rsidR="00276B48" w:rsidRPr="00320918" w:rsidRDefault="00276B48" w:rsidP="00C51DEF">
      <w:pPr>
        <w:tabs>
          <w:tab w:val="center" w:pos="5400"/>
        </w:tabs>
        <w:suppressAutoHyphens/>
        <w:jc w:val="center"/>
        <w:rPr>
          <w:rFonts w:ascii="Cambria" w:hAnsi="Cambria" w:cs="Cambria"/>
          <w:sz w:val="22"/>
          <w:szCs w:val="22"/>
        </w:rPr>
      </w:pPr>
    </w:p>
    <w:p w14:paraId="65D6DDE9" w14:textId="77777777" w:rsidR="00276B48" w:rsidRPr="00320918" w:rsidRDefault="00276B48" w:rsidP="00C51DEF">
      <w:pPr>
        <w:tabs>
          <w:tab w:val="center" w:pos="5400"/>
        </w:tabs>
        <w:suppressAutoHyphens/>
        <w:jc w:val="center"/>
        <w:rPr>
          <w:rFonts w:ascii="Cambria" w:hAnsi="Cambria" w:cs="Cambria"/>
          <w:sz w:val="22"/>
          <w:szCs w:val="22"/>
        </w:rPr>
      </w:pPr>
    </w:p>
    <w:p w14:paraId="7F0C10C7" w14:textId="77777777" w:rsidR="00276B48" w:rsidRPr="00320918" w:rsidRDefault="00276B48" w:rsidP="00C51DEF">
      <w:pPr>
        <w:tabs>
          <w:tab w:val="center" w:pos="5400"/>
        </w:tabs>
        <w:suppressAutoHyphens/>
        <w:jc w:val="center"/>
        <w:rPr>
          <w:rFonts w:ascii="Cambria" w:hAnsi="Cambria" w:cs="Cambria"/>
          <w:sz w:val="22"/>
          <w:szCs w:val="22"/>
        </w:rPr>
      </w:pPr>
    </w:p>
    <w:p w14:paraId="0CEC9A08" w14:textId="77777777" w:rsidR="00276B48" w:rsidRPr="00320918" w:rsidRDefault="00276B48" w:rsidP="00C51DEF">
      <w:pPr>
        <w:tabs>
          <w:tab w:val="center" w:pos="5400"/>
        </w:tabs>
        <w:suppressAutoHyphens/>
        <w:jc w:val="center"/>
        <w:rPr>
          <w:rFonts w:ascii="Cambria" w:hAnsi="Cambria" w:cs="Cambria"/>
          <w:sz w:val="22"/>
          <w:szCs w:val="22"/>
        </w:rPr>
      </w:pPr>
    </w:p>
    <w:p w14:paraId="6BDDE292" w14:textId="77777777" w:rsidR="00276B48" w:rsidRPr="00320918" w:rsidRDefault="00276B48" w:rsidP="00C51DEF">
      <w:pPr>
        <w:tabs>
          <w:tab w:val="center" w:pos="5400"/>
        </w:tabs>
        <w:suppressAutoHyphens/>
        <w:jc w:val="center"/>
        <w:rPr>
          <w:rFonts w:ascii="Cambria" w:hAnsi="Cambria" w:cs="Cambria"/>
          <w:sz w:val="22"/>
          <w:szCs w:val="22"/>
        </w:rPr>
      </w:pPr>
    </w:p>
    <w:p w14:paraId="3A49E7B0" w14:textId="77777777" w:rsidR="00276B48" w:rsidRPr="00320918" w:rsidRDefault="00276B48" w:rsidP="00C51DEF">
      <w:pPr>
        <w:tabs>
          <w:tab w:val="center" w:pos="5400"/>
        </w:tabs>
        <w:suppressAutoHyphens/>
        <w:jc w:val="center"/>
        <w:rPr>
          <w:rFonts w:ascii="Cambria" w:hAnsi="Cambria" w:cs="Cambria"/>
          <w:sz w:val="22"/>
          <w:szCs w:val="22"/>
        </w:rPr>
      </w:pPr>
    </w:p>
    <w:p w14:paraId="404A0D19" w14:textId="77777777" w:rsidR="00276B48" w:rsidRPr="00320918" w:rsidRDefault="00276B48" w:rsidP="00C51DEF">
      <w:pPr>
        <w:tabs>
          <w:tab w:val="center" w:pos="5400"/>
        </w:tabs>
        <w:suppressAutoHyphens/>
        <w:jc w:val="center"/>
        <w:rPr>
          <w:rFonts w:ascii="Cambria" w:hAnsi="Cambria" w:cs="Cambria"/>
          <w:sz w:val="22"/>
          <w:szCs w:val="22"/>
        </w:rPr>
      </w:pPr>
    </w:p>
    <w:p w14:paraId="73E560D4" w14:textId="77777777" w:rsidR="00276B48" w:rsidRPr="00320918" w:rsidRDefault="00276B48" w:rsidP="00C51DEF">
      <w:pPr>
        <w:tabs>
          <w:tab w:val="center" w:pos="5400"/>
        </w:tabs>
        <w:suppressAutoHyphens/>
        <w:jc w:val="center"/>
        <w:rPr>
          <w:rFonts w:ascii="Cambria" w:hAnsi="Cambria" w:cs="Cambria"/>
          <w:sz w:val="18"/>
          <w:szCs w:val="18"/>
        </w:rPr>
      </w:pPr>
    </w:p>
    <w:p w14:paraId="41C0A2AC" w14:textId="77777777" w:rsidR="00276B48" w:rsidRPr="00320918" w:rsidRDefault="00276B48" w:rsidP="00C51DEF">
      <w:pPr>
        <w:tabs>
          <w:tab w:val="center" w:pos="5400"/>
        </w:tabs>
        <w:suppressAutoHyphens/>
        <w:jc w:val="center"/>
        <w:rPr>
          <w:rFonts w:ascii="Cambria" w:hAnsi="Cambria" w:cs="Cambria"/>
          <w:sz w:val="18"/>
          <w:szCs w:val="18"/>
        </w:rPr>
      </w:pPr>
    </w:p>
    <w:p w14:paraId="162D6B7E" w14:textId="77777777" w:rsidR="00276B48" w:rsidRPr="00320918" w:rsidRDefault="00276B48" w:rsidP="00C51DEF">
      <w:pPr>
        <w:tabs>
          <w:tab w:val="center" w:pos="5400"/>
        </w:tabs>
        <w:suppressAutoHyphens/>
        <w:jc w:val="center"/>
        <w:rPr>
          <w:rFonts w:ascii="Cambria" w:hAnsi="Cambria" w:cs="Cambria"/>
          <w:sz w:val="18"/>
          <w:szCs w:val="18"/>
        </w:rPr>
      </w:pPr>
    </w:p>
    <w:p w14:paraId="67816D6E" w14:textId="77777777" w:rsidR="00276B48" w:rsidRPr="00320918" w:rsidRDefault="00276B48" w:rsidP="00C51DEF">
      <w:pPr>
        <w:tabs>
          <w:tab w:val="center" w:pos="5400"/>
        </w:tabs>
        <w:suppressAutoHyphens/>
        <w:jc w:val="center"/>
        <w:rPr>
          <w:rFonts w:ascii="Cambria" w:hAnsi="Cambria" w:cs="Cambria"/>
          <w:sz w:val="18"/>
          <w:szCs w:val="18"/>
        </w:rPr>
      </w:pPr>
    </w:p>
    <w:p w14:paraId="6B4FF8B0" w14:textId="77777777" w:rsidR="00276B48" w:rsidRPr="00320918" w:rsidRDefault="00276B48" w:rsidP="00C51DEF">
      <w:pPr>
        <w:tabs>
          <w:tab w:val="center" w:pos="5400"/>
        </w:tabs>
        <w:suppressAutoHyphens/>
        <w:jc w:val="center"/>
        <w:rPr>
          <w:rFonts w:ascii="Cambria" w:hAnsi="Cambria" w:cs="Cambria"/>
          <w:sz w:val="18"/>
          <w:szCs w:val="18"/>
        </w:rPr>
      </w:pPr>
    </w:p>
    <w:p w14:paraId="76046F12" w14:textId="77777777" w:rsidR="00276B48" w:rsidRPr="00320918" w:rsidRDefault="00276B48" w:rsidP="00C51DEF">
      <w:pPr>
        <w:tabs>
          <w:tab w:val="center" w:pos="5400"/>
        </w:tabs>
        <w:suppressAutoHyphens/>
        <w:jc w:val="center"/>
        <w:rPr>
          <w:rFonts w:ascii="Cambria" w:hAnsi="Cambria" w:cs="Cambria"/>
          <w:sz w:val="18"/>
          <w:szCs w:val="18"/>
        </w:rPr>
      </w:pPr>
    </w:p>
    <w:p w14:paraId="2325FE8D" w14:textId="77777777" w:rsidR="00276B48" w:rsidRPr="00320918" w:rsidRDefault="00276B48" w:rsidP="00C51DEF">
      <w:pPr>
        <w:tabs>
          <w:tab w:val="center" w:pos="5400"/>
        </w:tabs>
        <w:suppressAutoHyphens/>
        <w:jc w:val="center"/>
        <w:rPr>
          <w:rFonts w:ascii="Cambria" w:hAnsi="Cambria" w:cs="Cambria"/>
          <w:sz w:val="18"/>
          <w:szCs w:val="18"/>
        </w:rPr>
      </w:pPr>
    </w:p>
    <w:p w14:paraId="03A32831" w14:textId="77777777" w:rsidR="00276B48" w:rsidRPr="00320918" w:rsidRDefault="00276B48" w:rsidP="00C51DEF">
      <w:pPr>
        <w:tabs>
          <w:tab w:val="center" w:pos="5400"/>
        </w:tabs>
        <w:suppressAutoHyphens/>
        <w:jc w:val="center"/>
        <w:rPr>
          <w:rFonts w:ascii="Cambria" w:hAnsi="Cambria" w:cs="Cambria"/>
          <w:sz w:val="18"/>
          <w:szCs w:val="18"/>
        </w:rPr>
      </w:pPr>
    </w:p>
    <w:p w14:paraId="25497F6C" w14:textId="77777777" w:rsidR="00276B48" w:rsidRPr="00320918" w:rsidRDefault="00276B48" w:rsidP="00C51DEF">
      <w:pPr>
        <w:tabs>
          <w:tab w:val="center" w:pos="5400"/>
        </w:tabs>
        <w:suppressAutoHyphens/>
        <w:jc w:val="center"/>
        <w:rPr>
          <w:rFonts w:ascii="Cambria" w:hAnsi="Cambria" w:cs="Cambria"/>
          <w:sz w:val="18"/>
          <w:szCs w:val="18"/>
        </w:rPr>
      </w:pPr>
    </w:p>
    <w:p w14:paraId="0FAA1EBD" w14:textId="77777777" w:rsidR="00276B48" w:rsidRPr="00320918" w:rsidRDefault="00276B48" w:rsidP="00C51DEF">
      <w:pPr>
        <w:tabs>
          <w:tab w:val="center" w:pos="5400"/>
        </w:tabs>
        <w:suppressAutoHyphens/>
        <w:jc w:val="center"/>
        <w:rPr>
          <w:rFonts w:ascii="Cambria" w:hAnsi="Cambria" w:cs="Cambria"/>
          <w:sz w:val="18"/>
          <w:szCs w:val="18"/>
        </w:rPr>
      </w:pPr>
    </w:p>
    <w:p w14:paraId="0C69FD99" w14:textId="77777777" w:rsidR="00276B48" w:rsidRPr="00320918" w:rsidRDefault="00276B48" w:rsidP="00C51DEF">
      <w:pPr>
        <w:tabs>
          <w:tab w:val="center" w:pos="5400"/>
        </w:tabs>
        <w:suppressAutoHyphens/>
        <w:jc w:val="center"/>
        <w:rPr>
          <w:rFonts w:ascii="Cambria" w:hAnsi="Cambria" w:cs="Cambria"/>
          <w:sz w:val="18"/>
          <w:szCs w:val="18"/>
        </w:rPr>
      </w:pPr>
    </w:p>
    <w:p w14:paraId="59328E41" w14:textId="77777777" w:rsidR="00276B48" w:rsidRPr="00320918" w:rsidRDefault="00276B48" w:rsidP="00C51DEF">
      <w:pPr>
        <w:tabs>
          <w:tab w:val="center" w:pos="5400"/>
        </w:tabs>
        <w:suppressAutoHyphens/>
        <w:jc w:val="center"/>
        <w:rPr>
          <w:rFonts w:ascii="Cambria" w:hAnsi="Cambria" w:cs="Cambria"/>
          <w:sz w:val="18"/>
          <w:szCs w:val="18"/>
        </w:rPr>
      </w:pPr>
    </w:p>
    <w:p w14:paraId="03882BE2" w14:textId="77777777" w:rsidR="00276B48" w:rsidRPr="00320918" w:rsidRDefault="00276B48" w:rsidP="00C51DEF">
      <w:pPr>
        <w:tabs>
          <w:tab w:val="center" w:pos="5400"/>
        </w:tabs>
        <w:suppressAutoHyphens/>
        <w:jc w:val="center"/>
        <w:rPr>
          <w:rFonts w:ascii="Cambria" w:hAnsi="Cambria" w:cs="Cambria"/>
          <w:sz w:val="18"/>
          <w:szCs w:val="18"/>
        </w:rPr>
      </w:pPr>
    </w:p>
    <w:p w14:paraId="1A082F88" w14:textId="77777777" w:rsidR="00276B48" w:rsidRPr="00320918" w:rsidRDefault="00276B48" w:rsidP="00C51DEF">
      <w:pPr>
        <w:tabs>
          <w:tab w:val="center" w:pos="5400"/>
        </w:tabs>
        <w:suppressAutoHyphens/>
        <w:jc w:val="center"/>
        <w:rPr>
          <w:rFonts w:ascii="Cambria" w:hAnsi="Cambria" w:cs="Cambria"/>
          <w:sz w:val="18"/>
          <w:szCs w:val="18"/>
        </w:rPr>
      </w:pPr>
    </w:p>
    <w:p w14:paraId="4714313F" w14:textId="187088B2" w:rsidR="00276B48" w:rsidRPr="00320918" w:rsidRDefault="00E65974" w:rsidP="00C51DEF">
      <w:pPr>
        <w:tabs>
          <w:tab w:val="center" w:pos="5400"/>
        </w:tabs>
        <w:suppressAutoHyphens/>
        <w:jc w:val="center"/>
        <w:rPr>
          <w:rFonts w:ascii="Cambria" w:hAnsi="Cambria" w:cs="Cambria"/>
          <w:sz w:val="18"/>
          <w:szCs w:val="18"/>
        </w:rPr>
      </w:pPr>
      <w:r>
        <w:rPr>
          <w:noProof/>
        </w:rPr>
        <mc:AlternateContent>
          <mc:Choice Requires="wps">
            <w:drawing>
              <wp:anchor distT="0" distB="0" distL="114300" distR="114300" simplePos="0" relativeHeight="251656192" behindDoc="0" locked="0" layoutInCell="1" allowOverlap="1" wp14:anchorId="4DA1AFCB" wp14:editId="7ED3A511">
                <wp:simplePos x="0" y="0"/>
                <wp:positionH relativeFrom="column">
                  <wp:posOffset>1341755</wp:posOffset>
                </wp:positionH>
                <wp:positionV relativeFrom="paragraph">
                  <wp:posOffset>22860</wp:posOffset>
                </wp:positionV>
                <wp:extent cx="4933950" cy="664845"/>
                <wp:effectExtent l="0" t="0" r="1270" b="381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664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E4C3FCD" w14:textId="70323A3B" w:rsidR="00276B48" w:rsidRPr="00C51DEF" w:rsidRDefault="00276B48" w:rsidP="00C51DEF">
                            <w:pPr>
                              <w:tabs>
                                <w:tab w:val="center" w:pos="5400"/>
                              </w:tabs>
                              <w:suppressAutoHyphens/>
                              <w:spacing w:before="60"/>
                              <w:rPr>
                                <w:rFonts w:ascii="Cambria" w:hAnsi="Cambria" w:cs="Cambria"/>
                                <w:noProof/>
                                <w:color w:val="0D0D0D"/>
                                <w:sz w:val="18"/>
                                <w:szCs w:val="18"/>
                              </w:rPr>
                            </w:pPr>
                            <w:r w:rsidRPr="00C51DEF">
                              <w:rPr>
                                <w:rFonts w:ascii="Cambria" w:hAnsi="Cambria" w:cs="Cambria"/>
                                <w:noProof/>
                                <w:color w:val="0D0D0D"/>
                                <w:sz w:val="18"/>
                                <w:szCs w:val="18"/>
                              </w:rPr>
                              <w:t xml:space="preserve">Approved electronically by the Commission on </w:t>
                            </w:r>
                            <w:r w:rsidR="00ED5C6E">
                              <w:rPr>
                                <w:rFonts w:ascii="Cambria" w:hAnsi="Cambria" w:cs="Cambria"/>
                                <w:noProof/>
                                <w:color w:val="0D0D0D"/>
                                <w:sz w:val="18"/>
                                <w:szCs w:val="18"/>
                              </w:rPr>
                              <w:t>June 14</w:t>
                            </w:r>
                            <w:r w:rsidRPr="00C51DEF">
                              <w:rPr>
                                <w:rFonts w:ascii="Cambria" w:hAnsi="Cambria" w:cs="Cambria"/>
                                <w:noProof/>
                                <w:color w:val="0D0D0D"/>
                                <w:sz w:val="18"/>
                                <w:szCs w:val="18"/>
                              </w:rPr>
                              <w:t>, 2022</w:t>
                            </w:r>
                            <w:r w:rsidR="00ED5C6E">
                              <w:rPr>
                                <w:rFonts w:ascii="Cambria" w:hAnsi="Cambria" w:cs="Cambria"/>
                                <w:noProof/>
                                <w:color w:val="0D0D0D"/>
                                <w:sz w:val="18"/>
                                <w:szCs w:val="18"/>
                              </w:rPr>
                              <w:t>.</w:t>
                            </w:r>
                          </w:p>
                          <w:p w14:paraId="2E388A38" w14:textId="77777777" w:rsidR="00276B48" w:rsidRPr="00C51DEF" w:rsidRDefault="00276B48" w:rsidP="00C51DEF">
                            <w:pPr>
                              <w:tabs>
                                <w:tab w:val="center" w:pos="5400"/>
                              </w:tabs>
                              <w:suppressAutoHyphens/>
                              <w:spacing w:before="60"/>
                              <w:rPr>
                                <w:rFonts w:ascii="Calibri" w:hAnsi="Calibri" w:cs="Calibri"/>
                                <w:noProof/>
                                <w:color w:val="0D0D0D"/>
                                <w:sz w:val="20"/>
                                <w:szCs w:val="20"/>
                              </w:rPr>
                            </w:pPr>
                          </w:p>
                          <w:p w14:paraId="4A1B4BA7" w14:textId="77777777" w:rsidR="00276B48" w:rsidRPr="00C51DEF" w:rsidRDefault="00276B48" w:rsidP="00C51DEF">
                            <w:pPr>
                              <w:tabs>
                                <w:tab w:val="center" w:pos="5400"/>
                              </w:tabs>
                              <w:suppressAutoHyphens/>
                              <w:spacing w:before="60"/>
                              <w:rPr>
                                <w:rFonts w:ascii="Calibri" w:hAnsi="Calibri" w:cs="Calibri"/>
                                <w:noProof/>
                                <w:color w:val="FFFFFF"/>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1AFCB" id="Text Box 7" o:spid="_x0000_s1029" type="#_x0000_t202" style="position:absolute;left:0;text-align:left;margin-left:105.65pt;margin-top:1.8pt;width:388.5pt;height:5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" filled="f" stroked="f" strokeweight=".5pt">
                <v:textbox>
                  <w:txbxContent>
                    <w:p w14:paraId="5E4C3FCD" w14:textId="70323A3B" w:rsidR="00276B48" w:rsidRPr="00C51DEF" w:rsidRDefault="00276B48" w:rsidP="00C51DEF">
                      <w:pPr>
                        <w:tabs>
                          <w:tab w:val="center" w:pos="5400"/>
                        </w:tabs>
                        <w:suppressAutoHyphens/>
                        <w:spacing w:before="60"/>
                        <w:rPr>
                          <w:rFonts w:ascii="Cambria" w:hAnsi="Cambria" w:cs="Cambria"/>
                          <w:noProof/>
                          <w:color w:val="0D0D0D"/>
                          <w:sz w:val="18"/>
                          <w:szCs w:val="18"/>
                        </w:rPr>
                      </w:pPr>
                      <w:r w:rsidRPr="00C51DEF">
                        <w:rPr>
                          <w:rFonts w:ascii="Cambria" w:hAnsi="Cambria" w:cs="Cambria"/>
                          <w:noProof/>
                          <w:color w:val="0D0D0D"/>
                          <w:sz w:val="18"/>
                          <w:szCs w:val="18"/>
                        </w:rPr>
                        <w:t xml:space="preserve">Approved electronically by the Commission on </w:t>
                      </w:r>
                      <w:r w:rsidR="00ED5C6E">
                        <w:rPr>
                          <w:rFonts w:ascii="Cambria" w:hAnsi="Cambria" w:cs="Cambria"/>
                          <w:noProof/>
                          <w:color w:val="0D0D0D"/>
                          <w:sz w:val="18"/>
                          <w:szCs w:val="18"/>
                        </w:rPr>
                        <w:t>June 14</w:t>
                      </w:r>
                      <w:r w:rsidRPr="00C51DEF">
                        <w:rPr>
                          <w:rFonts w:ascii="Cambria" w:hAnsi="Cambria" w:cs="Cambria"/>
                          <w:noProof/>
                          <w:color w:val="0D0D0D"/>
                          <w:sz w:val="18"/>
                          <w:szCs w:val="18"/>
                        </w:rPr>
                        <w:t>, 2022</w:t>
                      </w:r>
                      <w:r w:rsidR="00ED5C6E">
                        <w:rPr>
                          <w:rFonts w:ascii="Cambria" w:hAnsi="Cambria" w:cs="Cambria"/>
                          <w:noProof/>
                          <w:color w:val="0D0D0D"/>
                          <w:sz w:val="18"/>
                          <w:szCs w:val="18"/>
                        </w:rPr>
                        <w:t>.</w:t>
                      </w:r>
                    </w:p>
                    <w:p w14:paraId="2E388A38" w14:textId="77777777" w:rsidR="00276B48" w:rsidRPr="00C51DEF" w:rsidRDefault="00276B48" w:rsidP="00C51DEF">
                      <w:pPr>
                        <w:tabs>
                          <w:tab w:val="center" w:pos="5400"/>
                        </w:tabs>
                        <w:suppressAutoHyphens/>
                        <w:spacing w:before="60"/>
                        <w:rPr>
                          <w:rFonts w:ascii="Calibri" w:hAnsi="Calibri" w:cs="Calibri"/>
                          <w:noProof/>
                          <w:color w:val="0D0D0D"/>
                          <w:sz w:val="20"/>
                          <w:szCs w:val="20"/>
                        </w:rPr>
                      </w:pPr>
                    </w:p>
                    <w:p w14:paraId="4A1B4BA7" w14:textId="77777777" w:rsidR="00276B48" w:rsidRPr="00C51DEF" w:rsidRDefault="00276B48" w:rsidP="00C51DEF">
                      <w:pPr>
                        <w:tabs>
                          <w:tab w:val="center" w:pos="5400"/>
                        </w:tabs>
                        <w:suppressAutoHyphens/>
                        <w:spacing w:before="60"/>
                        <w:rPr>
                          <w:rFonts w:ascii="Calibri" w:hAnsi="Calibri" w:cs="Calibri"/>
                          <w:noProof/>
                          <w:color w:val="FFFFFF"/>
                          <w:sz w:val="16"/>
                          <w:szCs w:val="16"/>
                        </w:rPr>
                      </w:pPr>
                    </w:p>
                  </w:txbxContent>
                </v:textbox>
              </v:shape>
            </w:pict>
          </mc:Fallback>
        </mc:AlternateContent>
      </w:r>
    </w:p>
    <w:p w14:paraId="6CB22A9B" w14:textId="77777777" w:rsidR="00276B48" w:rsidRPr="00320918" w:rsidRDefault="00276B48" w:rsidP="00C51DEF">
      <w:pPr>
        <w:tabs>
          <w:tab w:val="center" w:pos="5400"/>
        </w:tabs>
        <w:suppressAutoHyphens/>
        <w:jc w:val="center"/>
        <w:rPr>
          <w:rFonts w:ascii="Cambria" w:hAnsi="Cambria" w:cs="Cambria"/>
          <w:sz w:val="18"/>
          <w:szCs w:val="18"/>
        </w:rPr>
      </w:pPr>
    </w:p>
    <w:p w14:paraId="0A196BA8" w14:textId="77777777" w:rsidR="00276B48" w:rsidRPr="00320918" w:rsidRDefault="00276B48" w:rsidP="00C51DEF">
      <w:pPr>
        <w:tabs>
          <w:tab w:val="center" w:pos="5400"/>
        </w:tabs>
        <w:suppressAutoHyphens/>
        <w:jc w:val="center"/>
        <w:rPr>
          <w:rFonts w:ascii="Cambria" w:hAnsi="Cambria" w:cs="Cambria"/>
          <w:sz w:val="18"/>
          <w:szCs w:val="18"/>
        </w:rPr>
      </w:pPr>
    </w:p>
    <w:p w14:paraId="0C43BC83" w14:textId="77777777" w:rsidR="00276B48" w:rsidRPr="00320918" w:rsidRDefault="00276B48" w:rsidP="00C51DEF">
      <w:pPr>
        <w:tabs>
          <w:tab w:val="center" w:pos="5400"/>
        </w:tabs>
        <w:suppressAutoHyphens/>
        <w:jc w:val="center"/>
        <w:rPr>
          <w:rFonts w:ascii="Cambria" w:hAnsi="Cambria" w:cs="Cambria"/>
          <w:sz w:val="18"/>
          <w:szCs w:val="18"/>
        </w:rPr>
      </w:pPr>
    </w:p>
    <w:p w14:paraId="1DA3B513" w14:textId="77777777" w:rsidR="00276B48" w:rsidRPr="00320918" w:rsidRDefault="00276B48" w:rsidP="00C51DEF">
      <w:pPr>
        <w:tabs>
          <w:tab w:val="center" w:pos="5400"/>
        </w:tabs>
        <w:suppressAutoHyphens/>
        <w:jc w:val="center"/>
        <w:rPr>
          <w:rFonts w:ascii="Cambria" w:hAnsi="Cambria" w:cs="Cambria"/>
          <w:sz w:val="18"/>
          <w:szCs w:val="18"/>
        </w:rPr>
      </w:pPr>
    </w:p>
    <w:p w14:paraId="2C665852" w14:textId="2B7AC477" w:rsidR="00276B48" w:rsidRPr="00320918" w:rsidRDefault="00E65974" w:rsidP="00C51DEF">
      <w:pPr>
        <w:tabs>
          <w:tab w:val="center" w:pos="5400"/>
        </w:tabs>
        <w:suppressAutoHyphens/>
        <w:jc w:val="center"/>
        <w:rPr>
          <w:rFonts w:ascii="Cambria" w:hAnsi="Cambria" w:cs="Cambria"/>
          <w:sz w:val="18"/>
          <w:szCs w:val="18"/>
        </w:rPr>
      </w:pPr>
      <w:r>
        <w:rPr>
          <w:noProof/>
        </w:rPr>
        <mc:AlternateContent>
          <mc:Choice Requires="wps">
            <w:drawing>
              <wp:anchor distT="0" distB="0" distL="114300" distR="114300" simplePos="0" relativeHeight="251659264" behindDoc="0" locked="0" layoutInCell="1" allowOverlap="1" wp14:anchorId="4EE1D4FD" wp14:editId="3078F5CF">
                <wp:simplePos x="0" y="0"/>
                <wp:positionH relativeFrom="column">
                  <wp:posOffset>1333500</wp:posOffset>
                </wp:positionH>
                <wp:positionV relativeFrom="paragraph">
                  <wp:posOffset>5715</wp:posOffset>
                </wp:positionV>
                <wp:extent cx="4943475" cy="657225"/>
                <wp:effectExtent l="0" t="3175" r="0" b="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715EEAC" w14:textId="77777777" w:rsidR="00ED5C6E" w:rsidRDefault="00276B48" w:rsidP="00C51DEF">
                            <w:pPr>
                              <w:spacing w:line="276" w:lineRule="auto"/>
                              <w:rPr>
                                <w:rFonts w:ascii="Cambria" w:hAnsi="Cambria" w:cs="Cambria"/>
                                <w:noProof/>
                                <w:color w:val="595959"/>
                                <w:sz w:val="18"/>
                                <w:szCs w:val="18"/>
                              </w:rPr>
                            </w:pPr>
                            <w:r w:rsidRPr="00C51DEF">
                              <w:rPr>
                                <w:rFonts w:ascii="Cambria" w:hAnsi="Cambria" w:cs="Cambria"/>
                                <w:b/>
                                <w:bCs/>
                                <w:noProof/>
                                <w:color w:val="595959"/>
                                <w:sz w:val="18"/>
                                <w:szCs w:val="18"/>
                              </w:rPr>
                              <w:t xml:space="preserve">Cite as: </w:t>
                            </w:r>
                            <w:r w:rsidRPr="00C51DEF">
                              <w:rPr>
                                <w:rFonts w:ascii="Cambria" w:hAnsi="Cambria" w:cs="Cambria"/>
                                <w:noProof/>
                                <w:color w:val="595959"/>
                                <w:sz w:val="18"/>
                                <w:szCs w:val="18"/>
                              </w:rPr>
                              <w:t xml:space="preserve">IACHR, Report No. </w:t>
                            </w:r>
                            <w:r w:rsidR="00ED5C6E">
                              <w:rPr>
                                <w:rFonts w:ascii="Cambria" w:hAnsi="Cambria" w:cs="Cambria"/>
                                <w:noProof/>
                                <w:color w:val="595959"/>
                                <w:sz w:val="18"/>
                                <w:szCs w:val="18"/>
                              </w:rPr>
                              <w:t>187</w:t>
                            </w:r>
                            <w:r w:rsidRPr="00C51DEF">
                              <w:rPr>
                                <w:rFonts w:ascii="Cambria" w:hAnsi="Cambria" w:cs="Cambria"/>
                                <w:noProof/>
                                <w:color w:val="595959"/>
                                <w:sz w:val="18"/>
                                <w:szCs w:val="18"/>
                              </w:rPr>
                              <w:t>/</w:t>
                            </w:r>
                            <w:r w:rsidR="00ED5C6E">
                              <w:rPr>
                                <w:rFonts w:ascii="Cambria" w:hAnsi="Cambria" w:cs="Cambria"/>
                                <w:noProof/>
                                <w:color w:val="595959"/>
                                <w:sz w:val="18"/>
                                <w:szCs w:val="18"/>
                              </w:rPr>
                              <w:t>22</w:t>
                            </w:r>
                            <w:r w:rsidRPr="00C51DEF">
                              <w:rPr>
                                <w:rFonts w:ascii="Cambria" w:hAnsi="Cambria" w:cs="Cambria"/>
                                <w:noProof/>
                                <w:color w:val="595959"/>
                                <w:sz w:val="18"/>
                                <w:szCs w:val="18"/>
                              </w:rPr>
                              <w:t xml:space="preserve">. Petition 1038-17. Admissibility. </w:t>
                            </w:r>
                            <w:r w:rsidR="001F21A3" w:rsidRPr="00B84F98">
                              <w:rPr>
                                <w:rFonts w:ascii="Cambria" w:hAnsi="Cambria" w:cs="Cambria"/>
                                <w:bCs/>
                                <w:noProof/>
                                <w:color w:val="595959"/>
                                <w:sz w:val="18"/>
                                <w:szCs w:val="18"/>
                              </w:rPr>
                              <w:t>G.S.M.E.S.C</w:t>
                            </w:r>
                            <w:r w:rsidR="00ED5C6E">
                              <w:rPr>
                                <w:rFonts w:ascii="Cambria" w:hAnsi="Cambria" w:cs="Cambria"/>
                                <w:noProof/>
                                <w:color w:val="595959"/>
                                <w:sz w:val="18"/>
                                <w:szCs w:val="18"/>
                              </w:rPr>
                              <w:t>.</w:t>
                            </w:r>
                            <w:r w:rsidRPr="00C51DEF">
                              <w:rPr>
                                <w:rFonts w:ascii="Cambria" w:hAnsi="Cambria" w:cs="Cambria"/>
                                <w:noProof/>
                                <w:color w:val="595959"/>
                                <w:sz w:val="18"/>
                                <w:szCs w:val="18"/>
                              </w:rPr>
                              <w:t xml:space="preserve"> </w:t>
                            </w:r>
                          </w:p>
                          <w:p w14:paraId="62096EBC" w14:textId="4752BFA0" w:rsidR="00276B48" w:rsidRPr="00C51DEF" w:rsidRDefault="00276B48" w:rsidP="00C51DEF">
                            <w:pPr>
                              <w:spacing w:line="276" w:lineRule="auto"/>
                              <w:rPr>
                                <w:rFonts w:ascii="Cambria" w:hAnsi="Cambria" w:cs="Cambria"/>
                                <w:noProof/>
                                <w:color w:val="595959"/>
                                <w:sz w:val="18"/>
                                <w:szCs w:val="18"/>
                              </w:rPr>
                            </w:pPr>
                            <w:r w:rsidRPr="00C51DEF">
                              <w:rPr>
                                <w:rFonts w:ascii="Cambria" w:hAnsi="Cambria" w:cs="Cambria"/>
                                <w:noProof/>
                                <w:color w:val="595959"/>
                                <w:sz w:val="18"/>
                                <w:szCs w:val="18"/>
                              </w:rPr>
                              <w:t xml:space="preserve">Mexico. </w:t>
                            </w:r>
                            <w:r w:rsidR="00ED5C6E">
                              <w:rPr>
                                <w:rFonts w:ascii="Cambria" w:hAnsi="Cambria" w:cs="Cambria"/>
                                <w:noProof/>
                                <w:color w:val="595959"/>
                                <w:sz w:val="18"/>
                                <w:szCs w:val="18"/>
                              </w:rPr>
                              <w:t>June 14, 2022</w:t>
                            </w:r>
                            <w:r w:rsidRPr="00C51DEF">
                              <w:rPr>
                                <w:rFonts w:ascii="Cambria" w:hAnsi="Cambria" w:cs="Cambria"/>
                                <w:noProof/>
                                <w:color w:val="595959"/>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1D4FD" id="Text Box 10" o:spid="_x0000_s1030" type="#_x0000_t202" style="position:absolute;left:0;text-align:left;margin-left:105pt;margin-top:.45pt;width:389.2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" filled="f" stroked="f" strokeweight=".5pt">
                <v:textbox>
                  <w:txbxContent>
                    <w:p w14:paraId="0715EEAC" w14:textId="77777777" w:rsidR="00ED5C6E" w:rsidRDefault="00276B48" w:rsidP="00C51DEF">
                      <w:pPr>
                        <w:spacing w:line="276" w:lineRule="auto"/>
                        <w:rPr>
                          <w:rFonts w:ascii="Cambria" w:hAnsi="Cambria" w:cs="Cambria"/>
                          <w:noProof/>
                          <w:color w:val="595959"/>
                          <w:sz w:val="18"/>
                          <w:szCs w:val="18"/>
                        </w:rPr>
                      </w:pPr>
                      <w:r w:rsidRPr="00C51DEF">
                        <w:rPr>
                          <w:rFonts w:ascii="Cambria" w:hAnsi="Cambria" w:cs="Cambria"/>
                          <w:b/>
                          <w:bCs/>
                          <w:noProof/>
                          <w:color w:val="595959"/>
                          <w:sz w:val="18"/>
                          <w:szCs w:val="18"/>
                        </w:rPr>
                        <w:t xml:space="preserve">Cite as: </w:t>
                      </w:r>
                      <w:r w:rsidRPr="00C51DEF">
                        <w:rPr>
                          <w:rFonts w:ascii="Cambria" w:hAnsi="Cambria" w:cs="Cambria"/>
                          <w:noProof/>
                          <w:color w:val="595959"/>
                          <w:sz w:val="18"/>
                          <w:szCs w:val="18"/>
                        </w:rPr>
                        <w:t xml:space="preserve">IACHR, Report No. </w:t>
                      </w:r>
                      <w:r w:rsidR="00ED5C6E">
                        <w:rPr>
                          <w:rFonts w:ascii="Cambria" w:hAnsi="Cambria" w:cs="Cambria"/>
                          <w:noProof/>
                          <w:color w:val="595959"/>
                          <w:sz w:val="18"/>
                          <w:szCs w:val="18"/>
                        </w:rPr>
                        <w:t>187</w:t>
                      </w:r>
                      <w:r w:rsidRPr="00C51DEF">
                        <w:rPr>
                          <w:rFonts w:ascii="Cambria" w:hAnsi="Cambria" w:cs="Cambria"/>
                          <w:noProof/>
                          <w:color w:val="595959"/>
                          <w:sz w:val="18"/>
                          <w:szCs w:val="18"/>
                        </w:rPr>
                        <w:t>/</w:t>
                      </w:r>
                      <w:r w:rsidR="00ED5C6E">
                        <w:rPr>
                          <w:rFonts w:ascii="Cambria" w:hAnsi="Cambria" w:cs="Cambria"/>
                          <w:noProof/>
                          <w:color w:val="595959"/>
                          <w:sz w:val="18"/>
                          <w:szCs w:val="18"/>
                        </w:rPr>
                        <w:t>22</w:t>
                      </w:r>
                      <w:r w:rsidRPr="00C51DEF">
                        <w:rPr>
                          <w:rFonts w:ascii="Cambria" w:hAnsi="Cambria" w:cs="Cambria"/>
                          <w:noProof/>
                          <w:color w:val="595959"/>
                          <w:sz w:val="18"/>
                          <w:szCs w:val="18"/>
                        </w:rPr>
                        <w:t xml:space="preserve">. Petition 1038-17. Admissibility. </w:t>
                      </w:r>
                      <w:r w:rsidR="001F21A3" w:rsidRPr="00B84F98">
                        <w:rPr>
                          <w:rFonts w:ascii="Cambria" w:hAnsi="Cambria" w:cs="Cambria"/>
                          <w:bCs/>
                          <w:noProof/>
                          <w:color w:val="595959"/>
                          <w:sz w:val="18"/>
                          <w:szCs w:val="18"/>
                        </w:rPr>
                        <w:t>G.S.M.E.S.C</w:t>
                      </w:r>
                      <w:r w:rsidR="00ED5C6E">
                        <w:rPr>
                          <w:rFonts w:ascii="Cambria" w:hAnsi="Cambria" w:cs="Cambria"/>
                          <w:noProof/>
                          <w:color w:val="595959"/>
                          <w:sz w:val="18"/>
                          <w:szCs w:val="18"/>
                        </w:rPr>
                        <w:t>.</w:t>
                      </w:r>
                      <w:r w:rsidRPr="00C51DEF">
                        <w:rPr>
                          <w:rFonts w:ascii="Cambria" w:hAnsi="Cambria" w:cs="Cambria"/>
                          <w:noProof/>
                          <w:color w:val="595959"/>
                          <w:sz w:val="18"/>
                          <w:szCs w:val="18"/>
                        </w:rPr>
                        <w:t xml:space="preserve"> </w:t>
                      </w:r>
                    </w:p>
                    <w:p w14:paraId="62096EBC" w14:textId="4752BFA0" w:rsidR="00276B48" w:rsidRPr="00C51DEF" w:rsidRDefault="00276B48" w:rsidP="00C51DEF">
                      <w:pPr>
                        <w:spacing w:line="276" w:lineRule="auto"/>
                        <w:rPr>
                          <w:rFonts w:ascii="Cambria" w:hAnsi="Cambria" w:cs="Cambria"/>
                          <w:noProof/>
                          <w:color w:val="595959"/>
                          <w:sz w:val="18"/>
                          <w:szCs w:val="18"/>
                        </w:rPr>
                      </w:pPr>
                      <w:r w:rsidRPr="00C51DEF">
                        <w:rPr>
                          <w:rFonts w:ascii="Cambria" w:hAnsi="Cambria" w:cs="Cambria"/>
                          <w:noProof/>
                          <w:color w:val="595959"/>
                          <w:sz w:val="18"/>
                          <w:szCs w:val="18"/>
                        </w:rPr>
                        <w:t xml:space="preserve">Mexico. </w:t>
                      </w:r>
                      <w:r w:rsidR="00ED5C6E">
                        <w:rPr>
                          <w:rFonts w:ascii="Cambria" w:hAnsi="Cambria" w:cs="Cambria"/>
                          <w:noProof/>
                          <w:color w:val="595959"/>
                          <w:sz w:val="18"/>
                          <w:szCs w:val="18"/>
                        </w:rPr>
                        <w:t>June 14, 2022</w:t>
                      </w:r>
                      <w:r w:rsidRPr="00C51DEF">
                        <w:rPr>
                          <w:rFonts w:ascii="Cambria" w:hAnsi="Cambria" w:cs="Cambria"/>
                          <w:noProof/>
                          <w:color w:val="595959"/>
                          <w:sz w:val="18"/>
                          <w:szCs w:val="18"/>
                        </w:rPr>
                        <w:t>.</w:t>
                      </w:r>
                    </w:p>
                  </w:txbxContent>
                </v:textbox>
              </v:shape>
            </w:pict>
          </mc:Fallback>
        </mc:AlternateContent>
      </w:r>
    </w:p>
    <w:p w14:paraId="6D570107" w14:textId="77777777" w:rsidR="00276B48" w:rsidRPr="00320918" w:rsidRDefault="00276B48" w:rsidP="00C51DEF">
      <w:pPr>
        <w:tabs>
          <w:tab w:val="center" w:pos="5400"/>
        </w:tabs>
        <w:suppressAutoHyphens/>
        <w:jc w:val="center"/>
        <w:rPr>
          <w:rFonts w:ascii="Cambria" w:hAnsi="Cambria" w:cs="Cambria"/>
          <w:sz w:val="18"/>
          <w:szCs w:val="18"/>
        </w:rPr>
      </w:pPr>
    </w:p>
    <w:p w14:paraId="3DCF4F12" w14:textId="79A2B631" w:rsidR="00276B48" w:rsidRPr="00320918" w:rsidRDefault="00E65974" w:rsidP="00C51DEF">
      <w:pPr>
        <w:tabs>
          <w:tab w:val="center" w:pos="5400"/>
        </w:tabs>
        <w:suppressAutoHyphens/>
        <w:jc w:val="center"/>
        <w:rPr>
          <w:rFonts w:ascii="Cambria" w:hAnsi="Cambria" w:cs="Cambria"/>
          <w:b/>
          <w:bCs/>
          <w:sz w:val="20"/>
          <w:szCs w:val="20"/>
        </w:rPr>
      </w:pPr>
      <w:r>
        <w:rPr>
          <w:noProof/>
        </w:rPr>
        <mc:AlternateContent>
          <mc:Choice Requires="wps">
            <w:drawing>
              <wp:anchor distT="0" distB="0" distL="114300" distR="114300" simplePos="0" relativeHeight="251660288" behindDoc="0" locked="0" layoutInCell="1" allowOverlap="1" wp14:anchorId="48B4CA5F" wp14:editId="0C3573A8">
                <wp:simplePos x="0" y="0"/>
                <wp:positionH relativeFrom="column">
                  <wp:posOffset>-272415</wp:posOffset>
                </wp:positionH>
                <wp:positionV relativeFrom="paragraph">
                  <wp:posOffset>915035</wp:posOffset>
                </wp:positionV>
                <wp:extent cx="1181100" cy="332740"/>
                <wp:effectExtent l="3810" t="0" r="0" b="127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19A3AF8" w14:textId="6AA5592F" w:rsidR="00276B48" w:rsidRPr="00320918" w:rsidRDefault="00276B48" w:rsidP="00C51DEF">
                            <w:pPr>
                              <w:jc w:val="center"/>
                              <w:rPr>
                                <w:rFonts w:ascii="Calibri" w:hAnsi="Calibri" w:cs="Calibri"/>
                                <w:b/>
                                <w:bCs/>
                                <w:noProof/>
                                <w:color w:val="FFFFFF"/>
                              </w:rPr>
                            </w:pPr>
                            <w:r w:rsidRPr="00320918">
                              <w:rPr>
                                <w:rFonts w:ascii="Calibri" w:hAnsi="Calibri" w:cs="Calibri"/>
                                <w:b/>
                                <w:bCs/>
                                <w:noProof/>
                                <w:color w:val="FFFFFF"/>
                              </w:rPr>
                              <w:t>www.</w:t>
                            </w:r>
                            <w:r w:rsidR="00EF33D6">
                              <w:rPr>
                                <w:rFonts w:ascii="Calibri" w:hAnsi="Calibri" w:cs="Calibri"/>
                                <w:b/>
                                <w:bCs/>
                                <w:noProof/>
                                <w:color w:val="FFFFFF"/>
                              </w:rPr>
                              <w:t>iachr</w:t>
                            </w:r>
                            <w:r w:rsidRPr="00320918">
                              <w:rPr>
                                <w:rFonts w:ascii="Calibri" w:hAnsi="Calibri" w:cs="Calibri"/>
                                <w:b/>
                                <w:bCs/>
                                <w:noProof/>
                                <w:color w:val="FFFFFF"/>
                              </w:rPr>
                              <w:t>.org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4CA5F" id="Text Box 4" o:spid="_x0000_s1031" type="#_x0000_t202" style="position:absolute;left:0;text-align:left;margin-left:-21.45pt;margin-top:72.05pt;width:93pt;height:2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" filled="f" stroked="f" strokeweight=".5pt">
                <v:textbox>
                  <w:txbxContent>
                    <w:p w14:paraId="119A3AF8" w14:textId="6AA5592F" w:rsidR="00276B48" w:rsidRPr="00320918" w:rsidRDefault="00276B48" w:rsidP="00C51DEF">
                      <w:pPr>
                        <w:jc w:val="center"/>
                        <w:rPr>
                          <w:rFonts w:ascii="Calibri" w:hAnsi="Calibri" w:cs="Calibri"/>
                          <w:b/>
                          <w:bCs/>
                          <w:noProof/>
                          <w:color w:val="FFFFFF"/>
                        </w:rPr>
                      </w:pPr>
                      <w:r w:rsidRPr="00320918">
                        <w:rPr>
                          <w:rFonts w:ascii="Calibri" w:hAnsi="Calibri" w:cs="Calibri"/>
                          <w:b/>
                          <w:bCs/>
                          <w:noProof/>
                          <w:color w:val="FFFFFF"/>
                        </w:rPr>
                        <w:t>www.</w:t>
                      </w:r>
                      <w:r w:rsidR="00EF33D6">
                        <w:rPr>
                          <w:rFonts w:ascii="Calibri" w:hAnsi="Calibri" w:cs="Calibri"/>
                          <w:b/>
                          <w:bCs/>
                          <w:noProof/>
                          <w:color w:val="FFFFFF"/>
                        </w:rPr>
                        <w:t>iachr</w:t>
                      </w:r>
                      <w:r w:rsidRPr="00320918">
                        <w:rPr>
                          <w:rFonts w:ascii="Calibri" w:hAnsi="Calibri" w:cs="Calibri"/>
                          <w:b/>
                          <w:bCs/>
                          <w:noProof/>
                          <w:color w:val="FFFFFF"/>
                        </w:rPr>
                        <w:t>.org</w:t>
                      </w:r>
                    </w:p>
                  </w:txbxContent>
                </v:textbox>
              </v:shape>
            </w:pict>
          </mc:Fallback>
        </mc:AlternateContent>
      </w:r>
    </w:p>
    <w:p w14:paraId="5519442C" w14:textId="40E63E9F" w:rsidR="00276B48" w:rsidRPr="00320918" w:rsidRDefault="00E65974" w:rsidP="00C51DEF">
      <w:pPr>
        <w:tabs>
          <w:tab w:val="center" w:pos="5400"/>
        </w:tabs>
        <w:suppressAutoHyphens/>
        <w:jc w:val="center"/>
        <w:rPr>
          <w:rFonts w:ascii="Cambria" w:hAnsi="Cambria" w:cs="Cambria"/>
          <w:b/>
          <w:bCs/>
          <w:sz w:val="20"/>
          <w:szCs w:val="20"/>
        </w:rPr>
        <w:sectPr w:rsidR="00276B48" w:rsidRPr="00320918" w:rsidSect="00C054DF">
          <w:headerReference w:type="default" r:id="rId9"/>
          <w:footerReference w:type="default" r:id="rId10"/>
          <w:footerReference w:type="first" r:id="rId11"/>
          <w:type w:val="oddPage"/>
          <w:pgSz w:w="12240" w:h="15840"/>
          <w:pgMar w:top="1440" w:right="1440" w:bottom="1440" w:left="1440" w:header="720" w:footer="720" w:gutter="0"/>
          <w:pgNumType w:start="0"/>
          <w:cols w:space="720"/>
          <w:titlePg/>
          <w:docGrid w:linePitch="326"/>
        </w:sectPr>
      </w:pPr>
      <w:r>
        <w:rPr>
          <w:noProof/>
        </w:rPr>
        <mc:AlternateContent>
          <mc:Choice Requires="wps">
            <w:drawing>
              <wp:anchor distT="0" distB="0" distL="114300" distR="114300" simplePos="0" relativeHeight="251661312" behindDoc="0" locked="0" layoutInCell="1" allowOverlap="1" wp14:anchorId="5AC47DE5" wp14:editId="34B939AC">
                <wp:simplePos x="0" y="0"/>
                <wp:positionH relativeFrom="column">
                  <wp:posOffset>1208405</wp:posOffset>
                </wp:positionH>
                <wp:positionV relativeFrom="paragraph">
                  <wp:posOffset>573405</wp:posOffset>
                </wp:positionV>
                <wp:extent cx="2085975" cy="485775"/>
                <wp:effectExtent l="0" t="0" r="127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4857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6DAF283" w14:textId="79BA14EB" w:rsidR="00276B48" w:rsidRDefault="00E30943" w:rsidP="00320918">
                            <w:r>
                              <w:rPr>
                                <w:noProof/>
                              </w:rPr>
                              <w:drawing>
                                <wp:inline distT="0" distB="0" distL="0" distR="0" wp14:anchorId="72C18550" wp14:editId="05243757">
                                  <wp:extent cx="1513840" cy="387985"/>
                                  <wp:effectExtent l="0" t="0" r="0" b="0"/>
                                  <wp:docPr id="12" name="Imagen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4" descr="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1513840" cy="38798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47DE5" id="Text Box 2" o:spid="_x0000_s1032" type="#_x0000_t202" style="position:absolute;left:0;text-align:left;margin-left:95.15pt;margin-top:45.15pt;width:164.25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" stroked="f" strokeweight=".5pt">
                <v:textbox>
                  <w:txbxContent>
                    <w:p w14:paraId="56DAF283" w14:textId="79BA14EB" w:rsidR="00276B48" w:rsidRDefault="00E30943" w:rsidP="00320918">
                      <w:r>
                        <w:rPr>
                          <w:noProof/>
                        </w:rPr>
                        <w:drawing>
                          <wp:inline distT="0" distB="0" distL="0" distR="0" wp14:anchorId="72C18550" wp14:editId="05243757">
                            <wp:extent cx="1513840" cy="387985"/>
                            <wp:effectExtent l="0" t="0" r="0" b="0"/>
                            <wp:docPr id="12" name="Imagen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4" descr="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1513840" cy="387985"/>
                                    </a:xfrm>
                                    <a:prstGeom prst="rect">
                                      <a:avLst/>
                                    </a:prstGeom>
                                    <a:noFill/>
                                    <a:ln>
                                      <a:noFill/>
                                    </a:ln>
                                  </pic:spPr>
                                </pic:pic>
                              </a:graphicData>
                            </a:graphic>
                          </wp:inline>
                        </w:drawing>
                      </w:r>
                    </w:p>
                  </w:txbxContent>
                </v:textbox>
              </v:shape>
            </w:pict>
          </mc:Fallback>
        </mc:AlternateContent>
      </w:r>
      <w:r w:rsidR="00276B48" w:rsidRPr="00320918">
        <w:rPr>
          <w:rFonts w:ascii="Cambria" w:hAnsi="Cambria" w:cs="Cambria"/>
          <w:b/>
          <w:bCs/>
          <w:sz w:val="20"/>
          <w:szCs w:val="20"/>
        </w:rPr>
        <w:tab/>
      </w:r>
    </w:p>
    <w:p w14:paraId="455935A2" w14:textId="77777777" w:rsidR="00276B48" w:rsidRPr="00320918" w:rsidRDefault="00276B48" w:rsidP="00C51DEF">
      <w:pPr>
        <w:spacing w:after="240"/>
        <w:ind w:firstLine="720"/>
        <w:jc w:val="both"/>
        <w:rPr>
          <w:rFonts w:ascii="Cambria" w:hAnsi="Cambria" w:cs="Cambria"/>
          <w:b/>
          <w:bCs/>
          <w:sz w:val="20"/>
          <w:szCs w:val="20"/>
        </w:rPr>
      </w:pPr>
      <w:r w:rsidRPr="00320918">
        <w:rPr>
          <w:rFonts w:ascii="Cambria" w:hAnsi="Cambria" w:cs="Cambria"/>
          <w:b/>
          <w:bCs/>
          <w:sz w:val="20"/>
          <w:szCs w:val="20"/>
        </w:rPr>
        <w:lastRenderedPageBreak/>
        <w:t>I.</w:t>
      </w:r>
      <w:r w:rsidRPr="00320918">
        <w:rPr>
          <w:rFonts w:ascii="Cambria" w:hAnsi="Cambria" w:cs="Cambria"/>
          <w:b/>
          <w:bCs/>
          <w:sz w:val="20"/>
          <w:szCs w:val="20"/>
        </w:rPr>
        <w:tab/>
        <w:t xml:space="preserve">INFORMATION ABOUT THE PETITION </w:t>
      </w:r>
    </w:p>
    <w:tbl>
      <w:tblPr>
        <w:tblW w:w="9247" w:type="dxa"/>
        <w:tblInd w:w="-1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600"/>
        <w:gridCol w:w="5647"/>
      </w:tblGrid>
      <w:tr w:rsidR="00276B48" w:rsidRPr="00320918" w14:paraId="1F46EB82" w14:textId="77777777">
        <w:tc>
          <w:tcPr>
            <w:tcW w:w="3600" w:type="dxa"/>
            <w:tcBorders>
              <w:top w:val="single" w:sz="4" w:space="0" w:color="auto"/>
            </w:tcBorders>
            <w:shd w:val="clear" w:color="auto" w:fill="67AE3C"/>
            <w:vAlign w:val="center"/>
          </w:tcPr>
          <w:p w14:paraId="0A6B660A" w14:textId="77777777" w:rsidR="00276B48" w:rsidRPr="00320918" w:rsidRDefault="00276B48" w:rsidP="00BB517F">
            <w:pPr>
              <w:jc w:val="center"/>
              <w:rPr>
                <w:rFonts w:ascii="Cambria" w:hAnsi="Cambria" w:cs="Cambria"/>
                <w:b/>
                <w:bCs/>
                <w:color w:val="FFFFFF"/>
                <w:sz w:val="20"/>
                <w:szCs w:val="20"/>
              </w:rPr>
            </w:pPr>
            <w:r w:rsidRPr="00320918">
              <w:rPr>
                <w:rFonts w:ascii="Cambria" w:hAnsi="Cambria" w:cs="Cambria"/>
                <w:b/>
                <w:bCs/>
                <w:color w:val="FFFFFF"/>
                <w:sz w:val="20"/>
                <w:szCs w:val="20"/>
              </w:rPr>
              <w:t>Petitioner:</w:t>
            </w:r>
          </w:p>
        </w:tc>
        <w:tc>
          <w:tcPr>
            <w:tcW w:w="5647" w:type="dxa"/>
            <w:tcBorders>
              <w:top w:val="single" w:sz="4" w:space="0" w:color="auto"/>
            </w:tcBorders>
            <w:vAlign w:val="center"/>
          </w:tcPr>
          <w:p w14:paraId="55364D79" w14:textId="2AE5D93F" w:rsidR="00276B48" w:rsidRPr="00320918" w:rsidRDefault="001F21A3" w:rsidP="00320918">
            <w:pPr>
              <w:rPr>
                <w:rFonts w:ascii="Cambria" w:hAnsi="Cambria" w:cs="Cambria"/>
                <w:sz w:val="20"/>
                <w:szCs w:val="20"/>
              </w:rPr>
            </w:pPr>
            <w:r>
              <w:rPr>
                <w:rFonts w:ascii="Cambria" w:hAnsi="Cambria"/>
                <w:bCs/>
                <w:sz w:val="20"/>
                <w:szCs w:val="20"/>
                <w:lang w:val="es-ES_tradnl"/>
              </w:rPr>
              <w:t>G.S.M.E.S.C</w:t>
            </w:r>
          </w:p>
        </w:tc>
      </w:tr>
      <w:tr w:rsidR="00276B48" w:rsidRPr="00320918" w14:paraId="1CFC8A85" w14:textId="77777777">
        <w:tc>
          <w:tcPr>
            <w:tcW w:w="3600" w:type="dxa"/>
            <w:shd w:val="clear" w:color="auto" w:fill="67AE3C"/>
            <w:vAlign w:val="center"/>
          </w:tcPr>
          <w:p w14:paraId="7EC597D0" w14:textId="77777777" w:rsidR="00276B48" w:rsidRPr="00320918" w:rsidRDefault="00276B48" w:rsidP="00BB517F">
            <w:pPr>
              <w:jc w:val="center"/>
              <w:rPr>
                <w:rFonts w:ascii="Cambria" w:hAnsi="Cambria" w:cs="Cambria"/>
                <w:b/>
                <w:bCs/>
                <w:color w:val="FFFFFF"/>
                <w:sz w:val="20"/>
                <w:szCs w:val="20"/>
              </w:rPr>
            </w:pPr>
            <w:r w:rsidRPr="00320918">
              <w:rPr>
                <w:rFonts w:ascii="Cambria" w:hAnsi="Cambria" w:cs="Cambria"/>
                <w:b/>
                <w:bCs/>
                <w:color w:val="FFFFFF"/>
                <w:sz w:val="20"/>
                <w:szCs w:val="20"/>
              </w:rPr>
              <w:t>Alleged victim:</w:t>
            </w:r>
          </w:p>
        </w:tc>
        <w:tc>
          <w:tcPr>
            <w:tcW w:w="5647" w:type="dxa"/>
            <w:vAlign w:val="center"/>
          </w:tcPr>
          <w:p w14:paraId="7D5E129A" w14:textId="4F4AB356" w:rsidR="00276B48" w:rsidRPr="00320918" w:rsidRDefault="001F21A3" w:rsidP="00320918">
            <w:pPr>
              <w:rPr>
                <w:rFonts w:ascii="Cambria" w:hAnsi="Cambria" w:cs="Cambria"/>
                <w:sz w:val="20"/>
                <w:szCs w:val="20"/>
              </w:rPr>
            </w:pPr>
            <w:r>
              <w:rPr>
                <w:rFonts w:ascii="Cambria" w:hAnsi="Cambria"/>
                <w:bCs/>
                <w:sz w:val="20"/>
                <w:szCs w:val="20"/>
                <w:lang w:val="es-ES_tradnl"/>
              </w:rPr>
              <w:t>G.S.M.E.S.C</w:t>
            </w:r>
            <w:r w:rsidR="0056460B">
              <w:rPr>
                <w:rStyle w:val="FootnoteReference"/>
                <w:rFonts w:ascii="Cambria" w:hAnsi="Cambria"/>
                <w:bCs/>
                <w:sz w:val="20"/>
                <w:szCs w:val="20"/>
                <w:lang w:val="es-ES_tradnl"/>
              </w:rPr>
              <w:footnoteReference w:id="2"/>
            </w:r>
          </w:p>
        </w:tc>
      </w:tr>
      <w:tr w:rsidR="00276B48" w:rsidRPr="00320918" w14:paraId="7228571B" w14:textId="77777777">
        <w:tc>
          <w:tcPr>
            <w:tcW w:w="3600" w:type="dxa"/>
            <w:shd w:val="clear" w:color="auto" w:fill="67AE3C"/>
            <w:vAlign w:val="center"/>
          </w:tcPr>
          <w:p w14:paraId="1F5ACB70" w14:textId="77777777" w:rsidR="00276B48" w:rsidRPr="00320918" w:rsidRDefault="00276B48" w:rsidP="00BB517F">
            <w:pPr>
              <w:jc w:val="center"/>
              <w:rPr>
                <w:rFonts w:ascii="Cambria" w:hAnsi="Cambria" w:cs="Cambria"/>
                <w:b/>
                <w:bCs/>
                <w:color w:val="FFFFFF"/>
                <w:sz w:val="20"/>
                <w:szCs w:val="20"/>
              </w:rPr>
            </w:pPr>
            <w:r w:rsidRPr="00320918">
              <w:rPr>
                <w:rFonts w:ascii="Cambria" w:hAnsi="Cambria" w:cs="Cambria"/>
                <w:b/>
                <w:bCs/>
                <w:color w:val="FFFFFF"/>
                <w:sz w:val="20"/>
                <w:szCs w:val="20"/>
              </w:rPr>
              <w:t>Respondent State:</w:t>
            </w:r>
          </w:p>
        </w:tc>
        <w:tc>
          <w:tcPr>
            <w:tcW w:w="5647" w:type="dxa"/>
            <w:vAlign w:val="center"/>
          </w:tcPr>
          <w:p w14:paraId="793B4739" w14:textId="77777777" w:rsidR="00276B48" w:rsidRPr="00320918" w:rsidRDefault="00276B48" w:rsidP="00320918">
            <w:pPr>
              <w:rPr>
                <w:rFonts w:ascii="Cambria" w:hAnsi="Cambria" w:cs="Cambria"/>
                <w:sz w:val="20"/>
                <w:szCs w:val="20"/>
              </w:rPr>
            </w:pPr>
            <w:r w:rsidRPr="00320918">
              <w:rPr>
                <w:rFonts w:ascii="Cambria" w:hAnsi="Cambria" w:cs="Cambria"/>
                <w:sz w:val="20"/>
                <w:szCs w:val="20"/>
              </w:rPr>
              <w:t>Mexico</w:t>
            </w:r>
            <w:r w:rsidRPr="00320918">
              <w:rPr>
                <w:rStyle w:val="FootnoteReference"/>
                <w:rFonts w:ascii="Cambria" w:hAnsi="Cambria" w:cs="Cambria"/>
                <w:sz w:val="20"/>
                <w:szCs w:val="20"/>
              </w:rPr>
              <w:footnoteReference w:id="3"/>
            </w:r>
          </w:p>
        </w:tc>
      </w:tr>
      <w:tr w:rsidR="00276B48" w:rsidRPr="00320918" w14:paraId="722E3E27" w14:textId="77777777">
        <w:tc>
          <w:tcPr>
            <w:tcW w:w="3600" w:type="dxa"/>
            <w:tcBorders>
              <w:bottom w:val="single" w:sz="4" w:space="0" w:color="auto"/>
            </w:tcBorders>
            <w:shd w:val="clear" w:color="auto" w:fill="67AE3C"/>
            <w:vAlign w:val="center"/>
          </w:tcPr>
          <w:p w14:paraId="10A29B53" w14:textId="77777777" w:rsidR="00276B48" w:rsidRPr="00320918" w:rsidRDefault="00276B48" w:rsidP="00BB517F">
            <w:pPr>
              <w:jc w:val="center"/>
              <w:rPr>
                <w:rFonts w:ascii="Cambria" w:hAnsi="Cambria" w:cs="Cambria"/>
                <w:b/>
                <w:bCs/>
                <w:color w:val="FFFFFF"/>
                <w:sz w:val="20"/>
                <w:szCs w:val="20"/>
              </w:rPr>
            </w:pPr>
            <w:r w:rsidRPr="00320918">
              <w:rPr>
                <w:rFonts w:ascii="Cambria" w:hAnsi="Cambria" w:cs="Cambria"/>
                <w:b/>
                <w:bCs/>
                <w:color w:val="FFFFFF"/>
                <w:sz w:val="20"/>
                <w:szCs w:val="20"/>
              </w:rPr>
              <w:t>Rights invoked:</w:t>
            </w:r>
          </w:p>
        </w:tc>
        <w:tc>
          <w:tcPr>
            <w:tcW w:w="5647" w:type="dxa"/>
            <w:tcBorders>
              <w:bottom w:val="single" w:sz="4" w:space="0" w:color="auto"/>
            </w:tcBorders>
            <w:vAlign w:val="center"/>
          </w:tcPr>
          <w:p w14:paraId="492D8403" w14:textId="77777777" w:rsidR="00276B48" w:rsidRPr="00320918" w:rsidRDefault="00276B48" w:rsidP="00320918">
            <w:pPr>
              <w:rPr>
                <w:rFonts w:ascii="Cambria" w:hAnsi="Cambria" w:cs="Cambria"/>
                <w:sz w:val="20"/>
                <w:szCs w:val="20"/>
              </w:rPr>
            </w:pPr>
            <w:r w:rsidRPr="00320918">
              <w:rPr>
                <w:rFonts w:ascii="Cambria" w:hAnsi="Cambria" w:cs="Cambria"/>
                <w:sz w:val="20"/>
                <w:szCs w:val="20"/>
              </w:rPr>
              <w:t>Articles 8 (right to a fair trial) and 25 (right to judicial protection) of the American Convention on Human Rights</w:t>
            </w:r>
            <w:r w:rsidRPr="00320918">
              <w:rPr>
                <w:rStyle w:val="FootnoteReference"/>
                <w:rFonts w:ascii="Cambria" w:hAnsi="Cambria" w:cs="Cambria"/>
                <w:sz w:val="20"/>
                <w:szCs w:val="20"/>
              </w:rPr>
              <w:footnoteReference w:id="4"/>
            </w:r>
            <w:r w:rsidRPr="00320918">
              <w:rPr>
                <w:rFonts w:ascii="Cambria" w:hAnsi="Cambria" w:cs="Cambria"/>
                <w:sz w:val="20"/>
                <w:szCs w:val="20"/>
              </w:rPr>
              <w:t xml:space="preserve"> </w:t>
            </w:r>
          </w:p>
        </w:tc>
      </w:tr>
    </w:tbl>
    <w:p w14:paraId="731360EA" w14:textId="77777777" w:rsidR="00276B48" w:rsidRPr="00320918" w:rsidRDefault="00276B48" w:rsidP="00C51DEF">
      <w:pPr>
        <w:spacing w:before="240" w:after="240"/>
        <w:ind w:firstLine="720"/>
        <w:jc w:val="both"/>
        <w:rPr>
          <w:rFonts w:ascii="Cambria" w:hAnsi="Cambria" w:cs="Cambria"/>
          <w:b/>
          <w:bCs/>
          <w:sz w:val="20"/>
          <w:szCs w:val="20"/>
        </w:rPr>
      </w:pPr>
      <w:r w:rsidRPr="00320918">
        <w:rPr>
          <w:rFonts w:ascii="Cambria" w:hAnsi="Cambria" w:cs="Cambria"/>
          <w:b/>
          <w:bCs/>
          <w:sz w:val="20"/>
          <w:szCs w:val="20"/>
        </w:rPr>
        <w:t>II.</w:t>
      </w:r>
      <w:r w:rsidRPr="00320918">
        <w:rPr>
          <w:rFonts w:ascii="Cambria" w:hAnsi="Cambria" w:cs="Cambria"/>
          <w:b/>
          <w:bCs/>
          <w:sz w:val="20"/>
          <w:szCs w:val="20"/>
        </w:rPr>
        <w:tab/>
        <w:t>PROCEEDINGS BEFORE THE IACHR</w:t>
      </w:r>
      <w:r w:rsidRPr="00320918">
        <w:rPr>
          <w:rFonts w:ascii="Cambria" w:hAnsi="Cambria" w:cs="Cambria"/>
          <w:b/>
          <w:bCs/>
          <w:sz w:val="20"/>
          <w:szCs w:val="20"/>
          <w:vertAlign w:val="superscript"/>
        </w:rPr>
        <w:footnoteReference w:id="5"/>
      </w:r>
    </w:p>
    <w:tbl>
      <w:tblPr>
        <w:tblW w:w="9247" w:type="dxa"/>
        <w:tblInd w:w="-1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600"/>
        <w:gridCol w:w="5647"/>
      </w:tblGrid>
      <w:tr w:rsidR="00276B48" w:rsidRPr="00320918" w14:paraId="52013C1C" w14:textId="77777777">
        <w:tc>
          <w:tcPr>
            <w:tcW w:w="3600" w:type="dxa"/>
            <w:tcBorders>
              <w:top w:val="single" w:sz="4" w:space="0" w:color="auto"/>
            </w:tcBorders>
            <w:shd w:val="clear" w:color="auto" w:fill="67AE3C"/>
            <w:vAlign w:val="center"/>
          </w:tcPr>
          <w:p w14:paraId="4979EFDC" w14:textId="77777777" w:rsidR="00276B48" w:rsidRPr="00320918" w:rsidRDefault="00276B48" w:rsidP="00BB517F">
            <w:pPr>
              <w:jc w:val="center"/>
              <w:rPr>
                <w:rFonts w:ascii="Cambria" w:hAnsi="Cambria" w:cs="Cambria"/>
                <w:b/>
                <w:bCs/>
                <w:color w:val="FFFFFF"/>
                <w:sz w:val="20"/>
                <w:szCs w:val="20"/>
              </w:rPr>
            </w:pPr>
            <w:r w:rsidRPr="00320918">
              <w:rPr>
                <w:rFonts w:ascii="Cambria" w:hAnsi="Cambria" w:cs="Cambria"/>
                <w:b/>
                <w:bCs/>
                <w:color w:val="FFFFFF"/>
                <w:sz w:val="20"/>
                <w:szCs w:val="20"/>
              </w:rPr>
              <w:t>Filing of the petition:</w:t>
            </w:r>
          </w:p>
        </w:tc>
        <w:tc>
          <w:tcPr>
            <w:tcW w:w="5647" w:type="dxa"/>
            <w:tcBorders>
              <w:top w:val="single" w:sz="4" w:space="0" w:color="auto"/>
            </w:tcBorders>
            <w:vAlign w:val="center"/>
          </w:tcPr>
          <w:p w14:paraId="65F3B8B1" w14:textId="77777777" w:rsidR="00276B48" w:rsidRPr="00320918" w:rsidRDefault="00276B48" w:rsidP="00320918">
            <w:pPr>
              <w:rPr>
                <w:rFonts w:ascii="Cambria" w:hAnsi="Cambria" w:cs="Cambria"/>
                <w:sz w:val="20"/>
                <w:szCs w:val="20"/>
              </w:rPr>
            </w:pPr>
            <w:r w:rsidRPr="00320918">
              <w:rPr>
                <w:rFonts w:ascii="Cambria" w:hAnsi="Cambria" w:cs="Cambria"/>
                <w:sz w:val="20"/>
                <w:szCs w:val="20"/>
              </w:rPr>
              <w:t>June 6, 2017</w:t>
            </w:r>
          </w:p>
        </w:tc>
      </w:tr>
      <w:tr w:rsidR="00276B48" w:rsidRPr="00320918" w14:paraId="08880F0E" w14:textId="77777777">
        <w:tc>
          <w:tcPr>
            <w:tcW w:w="3600" w:type="dxa"/>
            <w:shd w:val="clear" w:color="auto" w:fill="67AE3C"/>
            <w:vAlign w:val="center"/>
          </w:tcPr>
          <w:p w14:paraId="146BE7E6" w14:textId="77777777" w:rsidR="00276B48" w:rsidRPr="00320918" w:rsidRDefault="00276B48" w:rsidP="00BB517F">
            <w:pPr>
              <w:jc w:val="center"/>
              <w:rPr>
                <w:rFonts w:ascii="Cambria" w:hAnsi="Cambria" w:cs="Cambria"/>
                <w:b/>
                <w:bCs/>
                <w:color w:val="FFFFFF"/>
                <w:sz w:val="20"/>
                <w:szCs w:val="20"/>
              </w:rPr>
            </w:pPr>
            <w:r w:rsidRPr="00320918">
              <w:rPr>
                <w:rFonts w:ascii="Cambria" w:hAnsi="Cambria" w:cs="Cambria"/>
                <w:b/>
                <w:bCs/>
                <w:color w:val="FFFFFF"/>
                <w:sz w:val="20"/>
                <w:szCs w:val="20"/>
              </w:rPr>
              <w:t>Additional information received at the stage of initial review:</w:t>
            </w:r>
          </w:p>
        </w:tc>
        <w:tc>
          <w:tcPr>
            <w:tcW w:w="5647" w:type="dxa"/>
            <w:vAlign w:val="center"/>
          </w:tcPr>
          <w:p w14:paraId="0AAC2159" w14:textId="77777777" w:rsidR="00276B48" w:rsidRPr="00320918" w:rsidRDefault="00276B48" w:rsidP="00320918">
            <w:pPr>
              <w:rPr>
                <w:rFonts w:ascii="Cambria" w:hAnsi="Cambria" w:cs="Cambria"/>
                <w:sz w:val="20"/>
                <w:szCs w:val="20"/>
              </w:rPr>
            </w:pPr>
            <w:r w:rsidRPr="00320918">
              <w:rPr>
                <w:rFonts w:ascii="Cambria" w:hAnsi="Cambria" w:cs="Cambria"/>
                <w:sz w:val="20"/>
                <w:szCs w:val="20"/>
              </w:rPr>
              <w:t>January 25, 2019; February 25, 2019; July 3, 2020; July 7, 2020.</w:t>
            </w:r>
          </w:p>
        </w:tc>
      </w:tr>
      <w:tr w:rsidR="00276B48" w:rsidRPr="00320918" w14:paraId="018E8BF4" w14:textId="77777777">
        <w:tc>
          <w:tcPr>
            <w:tcW w:w="3600" w:type="dxa"/>
            <w:shd w:val="clear" w:color="auto" w:fill="67AE3C"/>
            <w:vAlign w:val="center"/>
          </w:tcPr>
          <w:p w14:paraId="66B636A5" w14:textId="77777777" w:rsidR="00276B48" w:rsidRPr="00320918" w:rsidRDefault="00276B48" w:rsidP="00BB517F">
            <w:pPr>
              <w:jc w:val="center"/>
              <w:rPr>
                <w:rFonts w:ascii="Cambria" w:hAnsi="Cambria" w:cs="Cambria"/>
                <w:b/>
                <w:bCs/>
                <w:color w:val="FFFFFF"/>
                <w:sz w:val="20"/>
                <w:szCs w:val="20"/>
              </w:rPr>
            </w:pPr>
            <w:r w:rsidRPr="00320918">
              <w:rPr>
                <w:rFonts w:ascii="Cambria" w:hAnsi="Cambria" w:cs="Cambria"/>
                <w:b/>
                <w:bCs/>
                <w:color w:val="FFFFFF"/>
                <w:sz w:val="20"/>
                <w:szCs w:val="20"/>
              </w:rPr>
              <w:t>Notification of the petition to the State:</w:t>
            </w:r>
          </w:p>
        </w:tc>
        <w:tc>
          <w:tcPr>
            <w:tcW w:w="5647" w:type="dxa"/>
            <w:vAlign w:val="center"/>
          </w:tcPr>
          <w:p w14:paraId="775B385F" w14:textId="77777777" w:rsidR="00276B48" w:rsidRPr="00320918" w:rsidRDefault="00276B48" w:rsidP="00320918">
            <w:pPr>
              <w:rPr>
                <w:rFonts w:ascii="Cambria" w:hAnsi="Cambria" w:cs="Cambria"/>
                <w:sz w:val="20"/>
                <w:szCs w:val="20"/>
              </w:rPr>
            </w:pPr>
            <w:r w:rsidRPr="00320918">
              <w:rPr>
                <w:rFonts w:ascii="Cambria" w:hAnsi="Cambria" w:cs="Cambria"/>
                <w:sz w:val="20"/>
                <w:szCs w:val="20"/>
              </w:rPr>
              <w:t>April 20, 2020</w:t>
            </w:r>
          </w:p>
        </w:tc>
      </w:tr>
      <w:tr w:rsidR="00276B48" w:rsidRPr="00320918" w14:paraId="43A652B2" w14:textId="77777777">
        <w:tc>
          <w:tcPr>
            <w:tcW w:w="3600" w:type="dxa"/>
            <w:tcBorders>
              <w:bottom w:val="single" w:sz="4" w:space="0" w:color="auto"/>
            </w:tcBorders>
            <w:shd w:val="clear" w:color="auto" w:fill="67AE3C"/>
            <w:vAlign w:val="center"/>
          </w:tcPr>
          <w:p w14:paraId="549BB16F" w14:textId="77777777" w:rsidR="00276B48" w:rsidRPr="00320918" w:rsidRDefault="00276B48" w:rsidP="00BB517F">
            <w:pPr>
              <w:jc w:val="center"/>
              <w:rPr>
                <w:rFonts w:ascii="Cambria" w:hAnsi="Cambria" w:cs="Cambria"/>
                <w:b/>
                <w:bCs/>
                <w:color w:val="FFFFFF"/>
                <w:sz w:val="20"/>
                <w:szCs w:val="20"/>
              </w:rPr>
            </w:pPr>
            <w:r w:rsidRPr="00320918">
              <w:rPr>
                <w:rFonts w:ascii="Cambria" w:hAnsi="Cambria" w:cs="Cambria"/>
                <w:b/>
                <w:bCs/>
                <w:color w:val="FFFFFF"/>
                <w:sz w:val="20"/>
                <w:szCs w:val="20"/>
              </w:rPr>
              <w:t>State’s first response:</w:t>
            </w:r>
          </w:p>
        </w:tc>
        <w:tc>
          <w:tcPr>
            <w:tcW w:w="5647" w:type="dxa"/>
            <w:tcBorders>
              <w:bottom w:val="single" w:sz="4" w:space="0" w:color="auto"/>
            </w:tcBorders>
            <w:vAlign w:val="center"/>
          </w:tcPr>
          <w:p w14:paraId="73F2C617" w14:textId="77777777" w:rsidR="00276B48" w:rsidRPr="00320918" w:rsidRDefault="00276B48" w:rsidP="00320918">
            <w:pPr>
              <w:rPr>
                <w:rFonts w:ascii="Cambria" w:hAnsi="Cambria" w:cs="Cambria"/>
                <w:sz w:val="20"/>
                <w:szCs w:val="20"/>
              </w:rPr>
            </w:pPr>
            <w:r w:rsidRPr="00320918">
              <w:rPr>
                <w:rFonts w:ascii="Cambria" w:hAnsi="Cambria" w:cs="Cambria"/>
                <w:sz w:val="20"/>
                <w:szCs w:val="20"/>
              </w:rPr>
              <w:t>March 29, 2022</w:t>
            </w:r>
          </w:p>
        </w:tc>
      </w:tr>
    </w:tbl>
    <w:p w14:paraId="5EBF57B2" w14:textId="77777777" w:rsidR="00276B48" w:rsidRPr="00320918" w:rsidRDefault="00276B48" w:rsidP="00C51DEF">
      <w:pPr>
        <w:spacing w:before="240" w:after="240"/>
        <w:ind w:firstLine="720"/>
        <w:jc w:val="both"/>
        <w:rPr>
          <w:rFonts w:ascii="Cambria" w:hAnsi="Cambria" w:cs="Cambria"/>
          <w:b/>
          <w:bCs/>
          <w:sz w:val="20"/>
          <w:szCs w:val="20"/>
        </w:rPr>
      </w:pPr>
      <w:r w:rsidRPr="00320918">
        <w:rPr>
          <w:rFonts w:ascii="Cambria" w:hAnsi="Cambria" w:cs="Cambria"/>
          <w:b/>
          <w:bCs/>
          <w:sz w:val="20"/>
          <w:szCs w:val="20"/>
        </w:rPr>
        <w:t xml:space="preserve">III. </w:t>
      </w:r>
      <w:r w:rsidRPr="00320918">
        <w:rPr>
          <w:rFonts w:ascii="Cambria" w:hAnsi="Cambria" w:cs="Cambria"/>
          <w:b/>
          <w:bCs/>
          <w:sz w:val="20"/>
          <w:szCs w:val="20"/>
        </w:rPr>
        <w:tab/>
        <w:t xml:space="preserve">COMPETENCE </w:t>
      </w:r>
    </w:p>
    <w:tbl>
      <w:tblPr>
        <w:tblW w:w="0" w:type="auto"/>
        <w:tblInd w:w="-1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600"/>
        <w:gridCol w:w="5681"/>
      </w:tblGrid>
      <w:tr w:rsidR="00276B48" w:rsidRPr="00320918" w14:paraId="49BFA9A9" w14:textId="77777777" w:rsidTr="003D25D6">
        <w:trPr>
          <w:cantSplit/>
        </w:trPr>
        <w:tc>
          <w:tcPr>
            <w:tcW w:w="3600" w:type="dxa"/>
            <w:tcBorders>
              <w:top w:val="single" w:sz="4" w:space="0" w:color="auto"/>
            </w:tcBorders>
            <w:shd w:val="clear" w:color="auto" w:fill="67AE3C"/>
            <w:vAlign w:val="center"/>
          </w:tcPr>
          <w:p w14:paraId="6D942A1E" w14:textId="77777777" w:rsidR="00276B48" w:rsidRPr="00320918" w:rsidRDefault="00276B48" w:rsidP="00BB517F">
            <w:pPr>
              <w:jc w:val="center"/>
              <w:rPr>
                <w:rFonts w:ascii="Cambria" w:hAnsi="Cambria" w:cs="Cambria"/>
                <w:b/>
                <w:bCs/>
                <w:i/>
                <w:iCs/>
                <w:color w:val="FFFFFF"/>
                <w:sz w:val="20"/>
                <w:szCs w:val="20"/>
              </w:rPr>
            </w:pPr>
            <w:r w:rsidRPr="00320918">
              <w:rPr>
                <w:rFonts w:ascii="Cambria" w:hAnsi="Cambria" w:cs="Cambria"/>
                <w:b/>
                <w:bCs/>
                <w:color w:val="FFFFFF"/>
                <w:sz w:val="20"/>
                <w:szCs w:val="20"/>
              </w:rPr>
              <w:t xml:space="preserve">Competence </w:t>
            </w:r>
            <w:r w:rsidRPr="00320918">
              <w:rPr>
                <w:rFonts w:ascii="Cambria" w:hAnsi="Cambria" w:cs="Cambria"/>
                <w:b/>
                <w:bCs/>
                <w:i/>
                <w:iCs/>
                <w:color w:val="FFFFFF"/>
                <w:sz w:val="20"/>
                <w:szCs w:val="20"/>
              </w:rPr>
              <w:t>ratione personae</w:t>
            </w:r>
            <w:r w:rsidRPr="00320918">
              <w:rPr>
                <w:rFonts w:ascii="Cambria" w:hAnsi="Cambria" w:cs="Cambria"/>
                <w:b/>
                <w:bCs/>
                <w:color w:val="FFFFFF"/>
                <w:sz w:val="20"/>
                <w:szCs w:val="20"/>
              </w:rPr>
              <w:t>:</w:t>
            </w:r>
          </w:p>
        </w:tc>
        <w:tc>
          <w:tcPr>
            <w:tcW w:w="5681" w:type="dxa"/>
            <w:tcBorders>
              <w:top w:val="single" w:sz="4" w:space="0" w:color="auto"/>
            </w:tcBorders>
            <w:vAlign w:val="center"/>
          </w:tcPr>
          <w:p w14:paraId="6820B4A9" w14:textId="77777777" w:rsidR="00276B48" w:rsidRPr="00320918" w:rsidRDefault="00276B48" w:rsidP="00320918">
            <w:pPr>
              <w:rPr>
                <w:rFonts w:ascii="Cambria" w:hAnsi="Cambria" w:cs="Cambria"/>
                <w:sz w:val="20"/>
                <w:szCs w:val="20"/>
              </w:rPr>
            </w:pPr>
            <w:r w:rsidRPr="00320918">
              <w:rPr>
                <w:rFonts w:ascii="Cambria" w:hAnsi="Cambria" w:cs="Cambria"/>
                <w:sz w:val="20"/>
                <w:szCs w:val="20"/>
              </w:rPr>
              <w:t>Yes</w:t>
            </w:r>
          </w:p>
        </w:tc>
      </w:tr>
      <w:tr w:rsidR="00276B48" w:rsidRPr="00320918" w14:paraId="280413E0" w14:textId="77777777" w:rsidTr="003D25D6">
        <w:trPr>
          <w:cantSplit/>
        </w:trPr>
        <w:tc>
          <w:tcPr>
            <w:tcW w:w="3600" w:type="dxa"/>
            <w:shd w:val="clear" w:color="auto" w:fill="67AE3C"/>
            <w:vAlign w:val="center"/>
          </w:tcPr>
          <w:p w14:paraId="58DC924F" w14:textId="77777777" w:rsidR="00276B48" w:rsidRPr="00320918" w:rsidRDefault="00276B48" w:rsidP="00BB517F">
            <w:pPr>
              <w:jc w:val="center"/>
              <w:rPr>
                <w:rFonts w:ascii="Cambria" w:hAnsi="Cambria" w:cs="Cambria"/>
                <w:b/>
                <w:bCs/>
                <w:color w:val="FFFFFF"/>
                <w:sz w:val="20"/>
                <w:szCs w:val="20"/>
              </w:rPr>
            </w:pPr>
            <w:r w:rsidRPr="00320918">
              <w:rPr>
                <w:rFonts w:ascii="Cambria" w:hAnsi="Cambria" w:cs="Cambria"/>
                <w:b/>
                <w:bCs/>
                <w:color w:val="FFFFFF"/>
                <w:sz w:val="20"/>
                <w:szCs w:val="20"/>
              </w:rPr>
              <w:t xml:space="preserve">Competence </w:t>
            </w:r>
            <w:r w:rsidRPr="00320918">
              <w:rPr>
                <w:rFonts w:ascii="Cambria" w:hAnsi="Cambria" w:cs="Cambria"/>
                <w:b/>
                <w:bCs/>
                <w:i/>
                <w:iCs/>
                <w:color w:val="FFFFFF"/>
                <w:sz w:val="20"/>
                <w:szCs w:val="20"/>
              </w:rPr>
              <w:t>ratione loci</w:t>
            </w:r>
            <w:r w:rsidRPr="00320918">
              <w:rPr>
                <w:rFonts w:ascii="Cambria" w:hAnsi="Cambria" w:cs="Cambria"/>
                <w:b/>
                <w:bCs/>
                <w:color w:val="FFFFFF"/>
                <w:sz w:val="20"/>
                <w:szCs w:val="20"/>
              </w:rPr>
              <w:t>:</w:t>
            </w:r>
          </w:p>
        </w:tc>
        <w:tc>
          <w:tcPr>
            <w:tcW w:w="5681" w:type="dxa"/>
            <w:vAlign w:val="center"/>
          </w:tcPr>
          <w:p w14:paraId="20E5B957" w14:textId="77777777" w:rsidR="00276B48" w:rsidRPr="00320918" w:rsidRDefault="00276B48" w:rsidP="00320918">
            <w:pPr>
              <w:rPr>
                <w:rFonts w:ascii="Cambria" w:hAnsi="Cambria" w:cs="Cambria"/>
                <w:sz w:val="20"/>
                <w:szCs w:val="20"/>
              </w:rPr>
            </w:pPr>
            <w:r w:rsidRPr="00320918">
              <w:rPr>
                <w:rFonts w:ascii="Cambria" w:hAnsi="Cambria" w:cs="Cambria"/>
                <w:sz w:val="20"/>
                <w:szCs w:val="20"/>
              </w:rPr>
              <w:t>Yes</w:t>
            </w:r>
          </w:p>
        </w:tc>
      </w:tr>
      <w:tr w:rsidR="00276B48" w:rsidRPr="00320918" w14:paraId="0621A976" w14:textId="77777777" w:rsidTr="003D25D6">
        <w:trPr>
          <w:cantSplit/>
        </w:trPr>
        <w:tc>
          <w:tcPr>
            <w:tcW w:w="3600" w:type="dxa"/>
            <w:shd w:val="clear" w:color="auto" w:fill="67AE3C"/>
            <w:vAlign w:val="center"/>
          </w:tcPr>
          <w:p w14:paraId="3F7B46FA" w14:textId="77777777" w:rsidR="00276B48" w:rsidRPr="00320918" w:rsidRDefault="00276B48" w:rsidP="00BB517F">
            <w:pPr>
              <w:jc w:val="center"/>
              <w:rPr>
                <w:rFonts w:ascii="Cambria" w:hAnsi="Cambria" w:cs="Cambria"/>
                <w:b/>
                <w:bCs/>
                <w:color w:val="FFFFFF"/>
                <w:sz w:val="20"/>
                <w:szCs w:val="20"/>
              </w:rPr>
            </w:pPr>
            <w:r w:rsidRPr="00320918">
              <w:rPr>
                <w:rFonts w:ascii="Cambria" w:hAnsi="Cambria" w:cs="Cambria"/>
                <w:b/>
                <w:bCs/>
                <w:color w:val="FFFFFF"/>
                <w:sz w:val="20"/>
                <w:szCs w:val="20"/>
              </w:rPr>
              <w:t xml:space="preserve">Competence </w:t>
            </w:r>
            <w:r w:rsidRPr="00320918">
              <w:rPr>
                <w:rFonts w:ascii="Cambria" w:hAnsi="Cambria" w:cs="Cambria"/>
                <w:b/>
                <w:bCs/>
                <w:i/>
                <w:iCs/>
                <w:color w:val="FFFFFF"/>
                <w:sz w:val="20"/>
                <w:szCs w:val="20"/>
              </w:rPr>
              <w:t>ratione temporis</w:t>
            </w:r>
            <w:r w:rsidRPr="00320918">
              <w:rPr>
                <w:rFonts w:ascii="Cambria" w:hAnsi="Cambria" w:cs="Cambria"/>
                <w:b/>
                <w:bCs/>
                <w:color w:val="FFFFFF"/>
                <w:sz w:val="20"/>
                <w:szCs w:val="20"/>
              </w:rPr>
              <w:t>:</w:t>
            </w:r>
          </w:p>
        </w:tc>
        <w:tc>
          <w:tcPr>
            <w:tcW w:w="5681" w:type="dxa"/>
            <w:vAlign w:val="center"/>
          </w:tcPr>
          <w:p w14:paraId="775EAD0C" w14:textId="77777777" w:rsidR="00276B48" w:rsidRPr="00320918" w:rsidRDefault="00276B48" w:rsidP="00320918">
            <w:pPr>
              <w:rPr>
                <w:rFonts w:ascii="Cambria" w:hAnsi="Cambria" w:cs="Cambria"/>
                <w:sz w:val="20"/>
                <w:szCs w:val="20"/>
              </w:rPr>
            </w:pPr>
            <w:r w:rsidRPr="00320918">
              <w:rPr>
                <w:rFonts w:ascii="Cambria" w:hAnsi="Cambria" w:cs="Cambria"/>
                <w:sz w:val="20"/>
                <w:szCs w:val="20"/>
              </w:rPr>
              <w:t>Yes</w:t>
            </w:r>
          </w:p>
        </w:tc>
      </w:tr>
      <w:tr w:rsidR="00276B48" w:rsidRPr="00320918" w14:paraId="0DA4ABDA" w14:textId="77777777" w:rsidTr="003D25D6">
        <w:trPr>
          <w:cantSplit/>
        </w:trPr>
        <w:tc>
          <w:tcPr>
            <w:tcW w:w="3600" w:type="dxa"/>
            <w:tcBorders>
              <w:bottom w:val="single" w:sz="4" w:space="0" w:color="auto"/>
            </w:tcBorders>
            <w:shd w:val="clear" w:color="auto" w:fill="67AE3C"/>
            <w:vAlign w:val="center"/>
          </w:tcPr>
          <w:p w14:paraId="546ED055" w14:textId="77777777" w:rsidR="00276B48" w:rsidRPr="00320918" w:rsidRDefault="00276B48" w:rsidP="00BB517F">
            <w:pPr>
              <w:jc w:val="center"/>
              <w:rPr>
                <w:rFonts w:ascii="Cambria" w:hAnsi="Cambria" w:cs="Cambria"/>
                <w:b/>
                <w:bCs/>
                <w:color w:val="FFFFFF"/>
                <w:sz w:val="20"/>
                <w:szCs w:val="20"/>
              </w:rPr>
            </w:pPr>
            <w:r w:rsidRPr="00320918">
              <w:rPr>
                <w:rFonts w:ascii="Cambria" w:hAnsi="Cambria" w:cs="Cambria"/>
                <w:b/>
                <w:bCs/>
                <w:color w:val="FFFFFF"/>
                <w:sz w:val="20"/>
                <w:szCs w:val="20"/>
              </w:rPr>
              <w:t xml:space="preserve">Competence </w:t>
            </w:r>
            <w:r w:rsidRPr="00320918">
              <w:rPr>
                <w:rFonts w:ascii="Cambria" w:hAnsi="Cambria" w:cs="Cambria"/>
                <w:b/>
                <w:bCs/>
                <w:i/>
                <w:iCs/>
                <w:color w:val="FFFFFF"/>
                <w:sz w:val="20"/>
                <w:szCs w:val="20"/>
              </w:rPr>
              <w:t>ratione materiae</w:t>
            </w:r>
            <w:r w:rsidRPr="00320918">
              <w:rPr>
                <w:rFonts w:ascii="Cambria" w:hAnsi="Cambria" w:cs="Cambria"/>
                <w:b/>
                <w:bCs/>
                <w:color w:val="FFFFFF"/>
                <w:sz w:val="20"/>
                <w:szCs w:val="20"/>
              </w:rPr>
              <w:t>:</w:t>
            </w:r>
          </w:p>
        </w:tc>
        <w:tc>
          <w:tcPr>
            <w:tcW w:w="5681" w:type="dxa"/>
            <w:tcBorders>
              <w:bottom w:val="single" w:sz="4" w:space="0" w:color="auto"/>
            </w:tcBorders>
            <w:vAlign w:val="center"/>
          </w:tcPr>
          <w:p w14:paraId="3A3B3D1F" w14:textId="77777777" w:rsidR="00276B48" w:rsidRPr="00320918" w:rsidRDefault="00276B48" w:rsidP="00320918">
            <w:pPr>
              <w:rPr>
                <w:rFonts w:ascii="Cambria" w:hAnsi="Cambria" w:cs="Cambria"/>
                <w:sz w:val="20"/>
                <w:szCs w:val="20"/>
              </w:rPr>
            </w:pPr>
            <w:r w:rsidRPr="00320918">
              <w:rPr>
                <w:rFonts w:ascii="Cambria" w:hAnsi="Cambria" w:cs="Cambria"/>
                <w:sz w:val="20"/>
                <w:szCs w:val="20"/>
              </w:rPr>
              <w:t>Yes, American Convention (instrument of ratification deposited on March 24, 1981)</w:t>
            </w:r>
          </w:p>
        </w:tc>
      </w:tr>
    </w:tbl>
    <w:p w14:paraId="016178A8" w14:textId="77777777" w:rsidR="00276B48" w:rsidRPr="00320918" w:rsidRDefault="00276B48" w:rsidP="00222E12">
      <w:pPr>
        <w:spacing w:before="240" w:after="240"/>
        <w:ind w:left="1440" w:hanging="720"/>
        <w:jc w:val="both"/>
        <w:rPr>
          <w:rFonts w:ascii="Cambria" w:hAnsi="Cambria" w:cs="Cambria"/>
          <w:b/>
          <w:bCs/>
          <w:sz w:val="20"/>
          <w:szCs w:val="20"/>
        </w:rPr>
      </w:pPr>
      <w:r w:rsidRPr="00320918">
        <w:rPr>
          <w:rFonts w:ascii="Cambria" w:hAnsi="Cambria" w:cs="Cambria"/>
          <w:b/>
          <w:bCs/>
          <w:sz w:val="20"/>
          <w:szCs w:val="20"/>
        </w:rPr>
        <w:t xml:space="preserve">IV. </w:t>
      </w:r>
      <w:r w:rsidRPr="00320918">
        <w:rPr>
          <w:rFonts w:ascii="Cambria" w:hAnsi="Cambria" w:cs="Cambria"/>
          <w:b/>
          <w:bCs/>
          <w:sz w:val="20"/>
          <w:szCs w:val="20"/>
        </w:rPr>
        <w:tab/>
        <w:t xml:space="preserve">DUPLICATION OF PROCEEDINGS AND INTERNATIONAL </w:t>
      </w:r>
      <w:r w:rsidRPr="00320918">
        <w:rPr>
          <w:rFonts w:ascii="Cambria" w:hAnsi="Cambria" w:cs="Cambria"/>
          <w:b/>
          <w:bCs/>
          <w:i/>
          <w:iCs/>
          <w:sz w:val="20"/>
          <w:szCs w:val="20"/>
        </w:rPr>
        <w:t>RES JUDICATA</w:t>
      </w:r>
      <w:r w:rsidRPr="00320918">
        <w:rPr>
          <w:rFonts w:ascii="Cambria" w:hAnsi="Cambria" w:cs="Cambria"/>
          <w:b/>
          <w:bCs/>
          <w:sz w:val="20"/>
          <w:szCs w:val="20"/>
        </w:rPr>
        <w:t xml:space="preserve">, COLORABLE CLAIM, EXHAUSTION OF DOMESTIC REMEDIES, AND TIMELINESS OF THE PETITION </w:t>
      </w:r>
    </w:p>
    <w:tbl>
      <w:tblPr>
        <w:tblW w:w="0" w:type="auto"/>
        <w:tblInd w:w="-1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600"/>
        <w:gridCol w:w="5760"/>
      </w:tblGrid>
      <w:tr w:rsidR="00276B48" w:rsidRPr="00320918" w14:paraId="4F0E1DE0" w14:textId="77777777">
        <w:trPr>
          <w:cantSplit/>
        </w:trPr>
        <w:tc>
          <w:tcPr>
            <w:tcW w:w="3600" w:type="dxa"/>
            <w:tcBorders>
              <w:top w:val="single" w:sz="4" w:space="0" w:color="auto"/>
            </w:tcBorders>
            <w:shd w:val="clear" w:color="auto" w:fill="67AE3C"/>
            <w:vAlign w:val="center"/>
          </w:tcPr>
          <w:p w14:paraId="135E69D3" w14:textId="77777777" w:rsidR="00276B48" w:rsidRPr="00320918" w:rsidRDefault="00276B48" w:rsidP="00BB517F">
            <w:pPr>
              <w:jc w:val="center"/>
              <w:rPr>
                <w:rFonts w:ascii="Cambria" w:hAnsi="Cambria" w:cs="Cambria"/>
                <w:b/>
                <w:bCs/>
                <w:color w:val="FFFFFF"/>
                <w:sz w:val="20"/>
                <w:szCs w:val="20"/>
              </w:rPr>
            </w:pPr>
            <w:r w:rsidRPr="00320918">
              <w:rPr>
                <w:rFonts w:ascii="Cambria" w:hAnsi="Cambria" w:cs="Cambria"/>
                <w:b/>
                <w:bCs/>
                <w:color w:val="FFFFFF"/>
                <w:sz w:val="20"/>
                <w:szCs w:val="20"/>
              </w:rPr>
              <w:t xml:space="preserve">Duplication of procedures and international </w:t>
            </w:r>
            <w:r w:rsidRPr="00320918">
              <w:rPr>
                <w:rFonts w:ascii="Cambria" w:hAnsi="Cambria" w:cs="Cambria"/>
                <w:b/>
                <w:bCs/>
                <w:i/>
                <w:iCs/>
                <w:color w:val="FFFFFF"/>
                <w:sz w:val="20"/>
                <w:szCs w:val="20"/>
              </w:rPr>
              <w:t>res judicata</w:t>
            </w:r>
            <w:r w:rsidRPr="00320918">
              <w:rPr>
                <w:rFonts w:ascii="Cambria" w:hAnsi="Cambria" w:cs="Cambria"/>
                <w:b/>
                <w:bCs/>
                <w:color w:val="FFFFFF"/>
                <w:sz w:val="20"/>
                <w:szCs w:val="20"/>
              </w:rPr>
              <w:t>:</w:t>
            </w:r>
          </w:p>
        </w:tc>
        <w:tc>
          <w:tcPr>
            <w:tcW w:w="5760" w:type="dxa"/>
            <w:tcBorders>
              <w:top w:val="single" w:sz="4" w:space="0" w:color="auto"/>
            </w:tcBorders>
            <w:vAlign w:val="center"/>
          </w:tcPr>
          <w:p w14:paraId="280E7E40" w14:textId="77777777" w:rsidR="00276B48" w:rsidRPr="00320918" w:rsidRDefault="00276B48" w:rsidP="00320918">
            <w:pPr>
              <w:rPr>
                <w:rFonts w:ascii="Cambria" w:hAnsi="Cambria" w:cs="Cambria"/>
                <w:sz w:val="20"/>
                <w:szCs w:val="20"/>
              </w:rPr>
            </w:pPr>
            <w:r w:rsidRPr="00320918">
              <w:rPr>
                <w:rFonts w:ascii="Cambria" w:hAnsi="Cambria" w:cs="Cambria"/>
                <w:sz w:val="20"/>
                <w:szCs w:val="20"/>
              </w:rPr>
              <w:t>No</w:t>
            </w:r>
          </w:p>
        </w:tc>
      </w:tr>
      <w:tr w:rsidR="00276B48" w:rsidRPr="00320918" w14:paraId="62A26AE2" w14:textId="77777777">
        <w:trPr>
          <w:cantSplit/>
        </w:trPr>
        <w:tc>
          <w:tcPr>
            <w:tcW w:w="3600" w:type="dxa"/>
            <w:shd w:val="clear" w:color="auto" w:fill="67AE3C"/>
            <w:vAlign w:val="center"/>
          </w:tcPr>
          <w:p w14:paraId="6B9CFA8B" w14:textId="77777777" w:rsidR="00276B48" w:rsidRPr="00320918" w:rsidRDefault="00276B48" w:rsidP="00BB517F">
            <w:pPr>
              <w:jc w:val="center"/>
              <w:rPr>
                <w:rFonts w:ascii="Cambria" w:hAnsi="Cambria" w:cs="Cambria"/>
                <w:b/>
                <w:bCs/>
                <w:i/>
                <w:iCs/>
                <w:color w:val="FFFFFF"/>
                <w:sz w:val="20"/>
                <w:szCs w:val="20"/>
              </w:rPr>
            </w:pPr>
            <w:r w:rsidRPr="00320918">
              <w:rPr>
                <w:rFonts w:ascii="Cambria" w:hAnsi="Cambria" w:cs="Cambria"/>
                <w:b/>
                <w:bCs/>
                <w:color w:val="FFFFFF"/>
                <w:sz w:val="20"/>
                <w:szCs w:val="20"/>
              </w:rPr>
              <w:t xml:space="preserve">Rights declared admissible: </w:t>
            </w:r>
          </w:p>
        </w:tc>
        <w:tc>
          <w:tcPr>
            <w:tcW w:w="5760" w:type="dxa"/>
            <w:vAlign w:val="center"/>
          </w:tcPr>
          <w:p w14:paraId="004498B1" w14:textId="77777777" w:rsidR="00276B48" w:rsidRPr="00320918" w:rsidRDefault="00276B48" w:rsidP="00320918">
            <w:pPr>
              <w:rPr>
                <w:rFonts w:ascii="Cambria" w:hAnsi="Cambria" w:cs="Cambria"/>
                <w:sz w:val="20"/>
                <w:szCs w:val="20"/>
              </w:rPr>
            </w:pPr>
            <w:r w:rsidRPr="00320918">
              <w:rPr>
                <w:rFonts w:ascii="Cambria" w:hAnsi="Cambria" w:cs="Cambria"/>
                <w:sz w:val="20"/>
                <w:szCs w:val="20"/>
              </w:rPr>
              <w:t>Articles 5 (humane treatment), 8 (fair trial), 24 (equal protection), and 25 (judicial protection) of the American Convention, in conjunction with Article 1.1 thereof (obligation to respect rights); and Article 7 of the Inter-American Convention on the Prevention, Punishment</w:t>
            </w:r>
            <w:r>
              <w:rPr>
                <w:rFonts w:ascii="Cambria" w:hAnsi="Cambria" w:cs="Cambria"/>
                <w:sz w:val="20"/>
                <w:szCs w:val="20"/>
              </w:rPr>
              <w:t>,</w:t>
            </w:r>
            <w:r w:rsidRPr="00320918">
              <w:rPr>
                <w:rFonts w:ascii="Cambria" w:hAnsi="Cambria" w:cs="Cambria"/>
                <w:sz w:val="20"/>
                <w:szCs w:val="20"/>
              </w:rPr>
              <w:t xml:space="preserve"> and Eradication of Violence against Women (Convention of Belém do Pará).</w:t>
            </w:r>
          </w:p>
        </w:tc>
      </w:tr>
      <w:tr w:rsidR="00276B48" w:rsidRPr="00320918" w14:paraId="19FD0101" w14:textId="77777777">
        <w:trPr>
          <w:cantSplit/>
        </w:trPr>
        <w:tc>
          <w:tcPr>
            <w:tcW w:w="3600" w:type="dxa"/>
            <w:shd w:val="clear" w:color="auto" w:fill="67AE3C"/>
            <w:vAlign w:val="center"/>
          </w:tcPr>
          <w:p w14:paraId="0BEB3CDE" w14:textId="77777777" w:rsidR="00276B48" w:rsidRPr="00320918" w:rsidRDefault="00276B48" w:rsidP="00BB517F">
            <w:pPr>
              <w:jc w:val="center"/>
              <w:rPr>
                <w:rFonts w:ascii="Cambria" w:hAnsi="Cambria" w:cs="Cambria"/>
                <w:b/>
                <w:bCs/>
                <w:color w:val="FFFFFF"/>
                <w:sz w:val="20"/>
                <w:szCs w:val="20"/>
              </w:rPr>
            </w:pPr>
            <w:r w:rsidRPr="00320918">
              <w:rPr>
                <w:rFonts w:ascii="Cambria" w:hAnsi="Cambria" w:cs="Cambria"/>
                <w:b/>
                <w:bCs/>
                <w:color w:val="FFFFFF"/>
                <w:sz w:val="20"/>
                <w:szCs w:val="20"/>
              </w:rPr>
              <w:t xml:space="preserve">Exhaustion of domestic remedies or applicability of an exception to the rule: </w:t>
            </w:r>
          </w:p>
        </w:tc>
        <w:tc>
          <w:tcPr>
            <w:tcW w:w="5760" w:type="dxa"/>
            <w:vAlign w:val="center"/>
          </w:tcPr>
          <w:p w14:paraId="5A8ACD90" w14:textId="77777777" w:rsidR="00276B48" w:rsidRPr="00320918" w:rsidRDefault="00276B48" w:rsidP="00320918">
            <w:pPr>
              <w:rPr>
                <w:rFonts w:ascii="Cambria" w:hAnsi="Cambria" w:cs="Cambria"/>
                <w:sz w:val="20"/>
                <w:szCs w:val="20"/>
              </w:rPr>
            </w:pPr>
            <w:r w:rsidRPr="00320918">
              <w:rPr>
                <w:rFonts w:ascii="Cambria" w:hAnsi="Cambria" w:cs="Cambria"/>
                <w:sz w:val="20"/>
                <w:szCs w:val="20"/>
              </w:rPr>
              <w:t>Yes, as indicated in section VI</w:t>
            </w:r>
          </w:p>
        </w:tc>
      </w:tr>
      <w:tr w:rsidR="00276B48" w:rsidRPr="00320918" w14:paraId="37B14D51" w14:textId="77777777">
        <w:trPr>
          <w:cantSplit/>
        </w:trPr>
        <w:tc>
          <w:tcPr>
            <w:tcW w:w="3600" w:type="dxa"/>
            <w:tcBorders>
              <w:bottom w:val="single" w:sz="4" w:space="0" w:color="auto"/>
            </w:tcBorders>
            <w:shd w:val="clear" w:color="auto" w:fill="67AE3C"/>
            <w:vAlign w:val="center"/>
          </w:tcPr>
          <w:p w14:paraId="1A1C483A" w14:textId="77777777" w:rsidR="00276B48" w:rsidRPr="00320918" w:rsidRDefault="00276B48" w:rsidP="00BB517F">
            <w:pPr>
              <w:jc w:val="center"/>
              <w:rPr>
                <w:rFonts w:ascii="Cambria" w:hAnsi="Cambria" w:cs="Cambria"/>
                <w:b/>
                <w:bCs/>
                <w:color w:val="FFFFFF"/>
                <w:sz w:val="20"/>
                <w:szCs w:val="20"/>
              </w:rPr>
            </w:pPr>
            <w:r w:rsidRPr="00320918">
              <w:rPr>
                <w:rFonts w:ascii="Cambria" w:hAnsi="Cambria" w:cs="Cambria"/>
                <w:b/>
                <w:bCs/>
                <w:color w:val="FFFFFF"/>
                <w:sz w:val="20"/>
                <w:szCs w:val="20"/>
              </w:rPr>
              <w:t>Timeliness of the petition:</w:t>
            </w:r>
          </w:p>
        </w:tc>
        <w:tc>
          <w:tcPr>
            <w:tcW w:w="5760" w:type="dxa"/>
            <w:tcBorders>
              <w:bottom w:val="single" w:sz="4" w:space="0" w:color="auto"/>
            </w:tcBorders>
            <w:vAlign w:val="center"/>
          </w:tcPr>
          <w:p w14:paraId="4A0B89C6" w14:textId="77777777" w:rsidR="00276B48" w:rsidRPr="00320918" w:rsidRDefault="00276B48" w:rsidP="00320918">
            <w:pPr>
              <w:rPr>
                <w:rFonts w:ascii="Cambria" w:hAnsi="Cambria" w:cs="Cambria"/>
                <w:sz w:val="20"/>
                <w:szCs w:val="20"/>
              </w:rPr>
            </w:pPr>
            <w:r w:rsidRPr="00320918">
              <w:rPr>
                <w:rFonts w:ascii="Cambria" w:hAnsi="Cambria" w:cs="Cambria"/>
                <w:sz w:val="20"/>
                <w:szCs w:val="20"/>
              </w:rPr>
              <w:t>Yes, as indicated in section VI</w:t>
            </w:r>
          </w:p>
        </w:tc>
      </w:tr>
    </w:tbl>
    <w:p w14:paraId="27EFF4D8" w14:textId="77777777" w:rsidR="00276B48" w:rsidRPr="00320918" w:rsidRDefault="00276B48" w:rsidP="00C51DEF">
      <w:pPr>
        <w:spacing w:before="240" w:after="240"/>
        <w:ind w:firstLine="720"/>
        <w:jc w:val="both"/>
        <w:rPr>
          <w:rFonts w:ascii="Cambria" w:hAnsi="Cambria" w:cs="Cambria"/>
          <w:b/>
          <w:bCs/>
          <w:sz w:val="20"/>
          <w:szCs w:val="20"/>
        </w:rPr>
      </w:pPr>
      <w:r w:rsidRPr="00320918">
        <w:rPr>
          <w:rFonts w:ascii="Cambria" w:hAnsi="Cambria" w:cs="Cambria"/>
          <w:b/>
          <w:bCs/>
          <w:sz w:val="20"/>
          <w:szCs w:val="20"/>
        </w:rPr>
        <w:t xml:space="preserve">V. </w:t>
      </w:r>
      <w:r w:rsidRPr="00320918">
        <w:rPr>
          <w:rFonts w:ascii="Cambria" w:hAnsi="Cambria" w:cs="Cambria"/>
          <w:b/>
          <w:bCs/>
          <w:sz w:val="20"/>
          <w:szCs w:val="20"/>
        </w:rPr>
        <w:tab/>
        <w:t>FACTS ALLEGED</w:t>
      </w:r>
      <w:r w:rsidRPr="00320918">
        <w:rPr>
          <w:rFonts w:ascii="Cambria" w:hAnsi="Cambria" w:cs="Cambria"/>
          <w:sz w:val="20"/>
          <w:szCs w:val="20"/>
        </w:rPr>
        <w:t xml:space="preserve"> </w:t>
      </w:r>
    </w:p>
    <w:p w14:paraId="3B90C2D5" w14:textId="77DFAAB5" w:rsidR="00276B48" w:rsidRPr="00320918" w:rsidRDefault="001F21A3" w:rsidP="00C51DEF">
      <w:pPr>
        <w:numPr>
          <w:ilvl w:val="0"/>
          <w:numId w:val="51"/>
        </w:numPr>
        <w:suppressAutoHyphens/>
        <w:spacing w:after="240"/>
        <w:jc w:val="both"/>
        <w:rPr>
          <w:rFonts w:ascii="Cambria" w:hAnsi="Cambria" w:cs="Cambria"/>
          <w:sz w:val="20"/>
          <w:szCs w:val="20"/>
        </w:rPr>
      </w:pPr>
      <w:r w:rsidRPr="001F21A3">
        <w:rPr>
          <w:rFonts w:ascii="Cambria" w:hAnsi="Cambria"/>
          <w:bCs/>
          <w:sz w:val="20"/>
          <w:szCs w:val="20"/>
        </w:rPr>
        <w:t>G.S.M.E.S.C</w:t>
      </w:r>
      <w:r w:rsidR="00276B48" w:rsidRPr="00320918">
        <w:rPr>
          <w:rFonts w:ascii="Cambria" w:hAnsi="Cambria" w:cs="Cambria"/>
          <w:sz w:val="20"/>
          <w:szCs w:val="20"/>
        </w:rPr>
        <w:t xml:space="preserve">, the alleged victim and petitioner, </w:t>
      </w:r>
      <w:r w:rsidR="00276B48">
        <w:rPr>
          <w:rFonts w:ascii="Cambria" w:hAnsi="Cambria" w:cs="Cambria"/>
          <w:sz w:val="20"/>
          <w:szCs w:val="20"/>
        </w:rPr>
        <w:t xml:space="preserve">contends </w:t>
      </w:r>
      <w:r w:rsidR="00276B48" w:rsidRPr="00320918">
        <w:rPr>
          <w:rFonts w:ascii="Cambria" w:hAnsi="Cambria" w:cs="Cambria"/>
          <w:sz w:val="20"/>
          <w:szCs w:val="20"/>
        </w:rPr>
        <w:t>that the State discriminated against her as a trans woman</w:t>
      </w:r>
      <w:r w:rsidR="00276B48">
        <w:rPr>
          <w:rFonts w:ascii="Cambria" w:hAnsi="Cambria" w:cs="Cambria"/>
          <w:sz w:val="20"/>
          <w:szCs w:val="20"/>
        </w:rPr>
        <w:t xml:space="preserve"> when </w:t>
      </w:r>
      <w:r w:rsidR="00276B48" w:rsidRPr="00320918">
        <w:rPr>
          <w:rFonts w:ascii="Cambria" w:hAnsi="Cambria" w:cs="Cambria"/>
          <w:sz w:val="20"/>
          <w:szCs w:val="20"/>
        </w:rPr>
        <w:t xml:space="preserve">authorities of the Yucatán State Prosecution Service </w:t>
      </w:r>
      <w:r w:rsidR="00276B48">
        <w:rPr>
          <w:rFonts w:ascii="Cambria" w:hAnsi="Cambria" w:cs="Cambria"/>
          <w:sz w:val="20"/>
          <w:szCs w:val="20"/>
        </w:rPr>
        <w:t xml:space="preserve">(FGE) failed to investigate with due diligence </w:t>
      </w:r>
      <w:r w:rsidR="00276B48" w:rsidRPr="00320918">
        <w:rPr>
          <w:rFonts w:ascii="Cambria" w:hAnsi="Cambria" w:cs="Cambria"/>
          <w:sz w:val="20"/>
          <w:szCs w:val="20"/>
        </w:rPr>
        <w:t xml:space="preserve">the acts of sexual violence committed against her by a third party. She </w:t>
      </w:r>
      <w:r w:rsidR="00276B48">
        <w:rPr>
          <w:rFonts w:ascii="Cambria" w:hAnsi="Cambria" w:cs="Cambria"/>
          <w:sz w:val="20"/>
          <w:szCs w:val="20"/>
        </w:rPr>
        <w:t xml:space="preserve">further claims </w:t>
      </w:r>
      <w:r w:rsidR="00276B48" w:rsidRPr="00320918">
        <w:rPr>
          <w:rFonts w:ascii="Cambria" w:hAnsi="Cambria" w:cs="Cambria"/>
          <w:sz w:val="20"/>
          <w:szCs w:val="20"/>
        </w:rPr>
        <w:t>that her case remains unpunished</w:t>
      </w:r>
      <w:r w:rsidR="00276B48" w:rsidRPr="00CE3B99">
        <w:rPr>
          <w:rFonts w:ascii="Cambria" w:hAnsi="Cambria" w:cs="Cambria"/>
          <w:sz w:val="20"/>
          <w:szCs w:val="20"/>
        </w:rPr>
        <w:t xml:space="preserve"> </w:t>
      </w:r>
      <w:r w:rsidR="00276B48" w:rsidRPr="00320918">
        <w:rPr>
          <w:rFonts w:ascii="Cambria" w:hAnsi="Cambria" w:cs="Cambria"/>
          <w:sz w:val="20"/>
          <w:szCs w:val="20"/>
        </w:rPr>
        <w:t xml:space="preserve">to date. </w:t>
      </w:r>
    </w:p>
    <w:p w14:paraId="3B8F4058" w14:textId="77777777" w:rsidR="00276B48" w:rsidRPr="00320918" w:rsidRDefault="00276B48" w:rsidP="00C51DEF">
      <w:pPr>
        <w:numPr>
          <w:ilvl w:val="0"/>
          <w:numId w:val="51"/>
        </w:numPr>
        <w:suppressAutoHyphens/>
        <w:spacing w:after="240"/>
        <w:jc w:val="both"/>
        <w:rPr>
          <w:rFonts w:ascii="Cambria" w:hAnsi="Cambria" w:cs="Cambria"/>
          <w:sz w:val="20"/>
          <w:szCs w:val="20"/>
        </w:rPr>
      </w:pPr>
      <w:r w:rsidRPr="00320918">
        <w:rPr>
          <w:rFonts w:ascii="Cambria" w:hAnsi="Cambria" w:cs="Cambria"/>
          <w:sz w:val="20"/>
          <w:szCs w:val="20"/>
        </w:rPr>
        <w:lastRenderedPageBreak/>
        <w:t>The petitioner states that on March 20, 2014, between around 9:00 p.m. and 9:30 p.m., an individual (for the purposes of this report referred to as “H.T.”) sexually and physically assaulted her</w:t>
      </w:r>
      <w:r>
        <w:rPr>
          <w:rFonts w:ascii="Cambria" w:hAnsi="Cambria" w:cs="Cambria"/>
          <w:sz w:val="20"/>
          <w:szCs w:val="20"/>
        </w:rPr>
        <w:t xml:space="preserve"> and that</w:t>
      </w:r>
      <w:r w:rsidRPr="00320918">
        <w:rPr>
          <w:rFonts w:ascii="Cambria" w:hAnsi="Cambria" w:cs="Cambria"/>
          <w:sz w:val="20"/>
          <w:szCs w:val="20"/>
        </w:rPr>
        <w:t xml:space="preserve">, as a result of </w:t>
      </w:r>
      <w:r>
        <w:rPr>
          <w:rFonts w:ascii="Cambria" w:hAnsi="Cambria" w:cs="Cambria"/>
          <w:sz w:val="20"/>
          <w:szCs w:val="20"/>
        </w:rPr>
        <w:t xml:space="preserve">the attack, </w:t>
      </w:r>
      <w:r w:rsidRPr="00320918">
        <w:rPr>
          <w:rFonts w:ascii="Cambria" w:hAnsi="Cambria" w:cs="Cambria"/>
          <w:sz w:val="20"/>
          <w:szCs w:val="20"/>
        </w:rPr>
        <w:t xml:space="preserve">she suffered injuries to her face that later required reconstructive surgery. She further contends that the incident caused her physical and psychological consequences </w:t>
      </w:r>
      <w:r>
        <w:rPr>
          <w:rFonts w:ascii="Cambria" w:hAnsi="Cambria" w:cs="Cambria"/>
          <w:sz w:val="20"/>
          <w:szCs w:val="20"/>
        </w:rPr>
        <w:t>with which she still has to deal up to the present</w:t>
      </w:r>
      <w:r w:rsidRPr="00320918">
        <w:rPr>
          <w:rFonts w:ascii="Cambria" w:hAnsi="Cambria" w:cs="Cambria"/>
          <w:sz w:val="20"/>
          <w:szCs w:val="20"/>
        </w:rPr>
        <w:t xml:space="preserve">. </w:t>
      </w:r>
    </w:p>
    <w:p w14:paraId="01A43714" w14:textId="77777777" w:rsidR="00276B48" w:rsidRPr="00320918" w:rsidRDefault="00276B48" w:rsidP="00C51DEF">
      <w:pPr>
        <w:numPr>
          <w:ilvl w:val="0"/>
          <w:numId w:val="51"/>
        </w:numPr>
        <w:suppressAutoHyphens/>
        <w:spacing w:after="240"/>
        <w:jc w:val="both"/>
        <w:rPr>
          <w:rFonts w:ascii="Cambria" w:hAnsi="Cambria" w:cs="Cambria"/>
          <w:sz w:val="20"/>
          <w:szCs w:val="20"/>
        </w:rPr>
      </w:pPr>
      <w:r>
        <w:rPr>
          <w:rFonts w:ascii="Cambria" w:hAnsi="Cambria" w:cs="Cambria"/>
          <w:sz w:val="20"/>
          <w:szCs w:val="20"/>
        </w:rPr>
        <w:t>S</w:t>
      </w:r>
      <w:r w:rsidRPr="00320918">
        <w:rPr>
          <w:rFonts w:ascii="Cambria" w:hAnsi="Cambria" w:cs="Cambria"/>
          <w:sz w:val="20"/>
          <w:szCs w:val="20"/>
        </w:rPr>
        <w:t>he states that she reported the incident in July 2015 and</w:t>
      </w:r>
      <w:r>
        <w:rPr>
          <w:rFonts w:ascii="Cambria" w:hAnsi="Cambria" w:cs="Cambria"/>
          <w:sz w:val="20"/>
          <w:szCs w:val="20"/>
        </w:rPr>
        <w:t xml:space="preserve"> that</w:t>
      </w:r>
      <w:r w:rsidRPr="00320918">
        <w:rPr>
          <w:rFonts w:ascii="Cambria" w:hAnsi="Cambria" w:cs="Cambria"/>
          <w:sz w:val="20"/>
          <w:szCs w:val="20"/>
        </w:rPr>
        <w:t xml:space="preserve">, on July 10 of that year, the Specialized Investigation and Litigation Unit for Sexual Crimes of the Yucatán </w:t>
      </w:r>
      <w:r>
        <w:rPr>
          <w:rFonts w:ascii="Cambria" w:hAnsi="Cambria" w:cs="Cambria"/>
          <w:sz w:val="20"/>
          <w:szCs w:val="20"/>
        </w:rPr>
        <w:t xml:space="preserve">State </w:t>
      </w:r>
      <w:r w:rsidRPr="00320918">
        <w:rPr>
          <w:rFonts w:ascii="Cambria" w:hAnsi="Cambria" w:cs="Cambria"/>
          <w:sz w:val="20"/>
          <w:szCs w:val="20"/>
        </w:rPr>
        <w:t xml:space="preserve">Prosecution Service opened investigation file S1/323/2015. However, on January 23, 2018, the Prosecution Service resolved not to pursue </w:t>
      </w:r>
      <w:r>
        <w:rPr>
          <w:rFonts w:ascii="Cambria" w:hAnsi="Cambria" w:cs="Cambria"/>
          <w:sz w:val="20"/>
          <w:szCs w:val="20"/>
        </w:rPr>
        <w:t xml:space="preserve">the </w:t>
      </w:r>
      <w:r w:rsidRPr="00320918">
        <w:rPr>
          <w:rFonts w:ascii="Cambria" w:hAnsi="Cambria" w:cs="Cambria"/>
          <w:sz w:val="20"/>
          <w:szCs w:val="20"/>
        </w:rPr>
        <w:t xml:space="preserve">criminal </w:t>
      </w:r>
      <w:r>
        <w:rPr>
          <w:rFonts w:ascii="Cambria" w:hAnsi="Cambria" w:cs="Cambria"/>
          <w:sz w:val="20"/>
          <w:szCs w:val="20"/>
        </w:rPr>
        <w:t xml:space="preserve">prosecution of </w:t>
      </w:r>
      <w:r w:rsidRPr="00320918">
        <w:rPr>
          <w:rFonts w:ascii="Cambria" w:hAnsi="Cambria" w:cs="Cambria"/>
          <w:sz w:val="20"/>
          <w:szCs w:val="20"/>
        </w:rPr>
        <w:t xml:space="preserve">her assailant on the grounds that there was no evidence to establish the alleged facts. </w:t>
      </w:r>
    </w:p>
    <w:p w14:paraId="13E1BC35" w14:textId="77777777" w:rsidR="00276B48" w:rsidRPr="00320918" w:rsidRDefault="00276B48" w:rsidP="00C51DEF">
      <w:pPr>
        <w:numPr>
          <w:ilvl w:val="0"/>
          <w:numId w:val="51"/>
        </w:numPr>
        <w:suppressAutoHyphens/>
        <w:spacing w:after="240"/>
        <w:jc w:val="both"/>
        <w:rPr>
          <w:rFonts w:ascii="Cambria" w:hAnsi="Cambria" w:cs="Cambria"/>
          <w:sz w:val="20"/>
          <w:szCs w:val="20"/>
        </w:rPr>
      </w:pPr>
      <w:r w:rsidRPr="00320918">
        <w:rPr>
          <w:rFonts w:ascii="Cambria" w:hAnsi="Cambria" w:cs="Cambria"/>
          <w:sz w:val="20"/>
          <w:szCs w:val="20"/>
        </w:rPr>
        <w:t xml:space="preserve">She </w:t>
      </w:r>
      <w:r>
        <w:rPr>
          <w:rFonts w:ascii="Cambria" w:hAnsi="Cambria" w:cs="Cambria"/>
          <w:sz w:val="20"/>
          <w:szCs w:val="20"/>
        </w:rPr>
        <w:t xml:space="preserve">reports </w:t>
      </w:r>
      <w:r w:rsidRPr="00320918">
        <w:rPr>
          <w:rFonts w:ascii="Cambria" w:hAnsi="Cambria" w:cs="Cambria"/>
          <w:sz w:val="20"/>
          <w:szCs w:val="20"/>
        </w:rPr>
        <w:t xml:space="preserve">that she filed an appeal against that resolution but that on February 27, 2018, the Second Control Judge of the First Judicial District of the Accusatory and Oral Criminal Justice System of the state of Yucatán confirmed that </w:t>
      </w:r>
      <w:r>
        <w:rPr>
          <w:rFonts w:ascii="Cambria" w:hAnsi="Cambria" w:cs="Cambria"/>
          <w:sz w:val="20"/>
          <w:szCs w:val="20"/>
        </w:rPr>
        <w:t xml:space="preserve">no </w:t>
      </w:r>
      <w:r w:rsidRPr="00320918">
        <w:rPr>
          <w:rFonts w:ascii="Cambria" w:hAnsi="Cambria" w:cs="Cambria"/>
          <w:sz w:val="20"/>
          <w:szCs w:val="20"/>
        </w:rPr>
        <w:t xml:space="preserve">criminal action would be brought. As a result, on March 20, 2018, she lodged an application for </w:t>
      </w:r>
      <w:r w:rsidRPr="00320918">
        <w:rPr>
          <w:rFonts w:ascii="Cambria" w:hAnsi="Cambria" w:cs="Cambria"/>
          <w:i/>
          <w:iCs/>
          <w:sz w:val="20"/>
          <w:szCs w:val="20"/>
        </w:rPr>
        <w:t>amparo</w:t>
      </w:r>
      <w:r w:rsidRPr="00320918">
        <w:rPr>
          <w:rFonts w:ascii="Cambria" w:hAnsi="Cambria" w:cs="Cambria"/>
          <w:sz w:val="20"/>
          <w:szCs w:val="20"/>
        </w:rPr>
        <w:t xml:space="preserve"> relief, requesting judicial protection in view of the possibility that the alleged facts could go unpunished. Subsequently, on September 5, 2018, the First District Court of the state of Yucatán granted the </w:t>
      </w:r>
      <w:r w:rsidRPr="00320918">
        <w:rPr>
          <w:rFonts w:ascii="Cambria" w:hAnsi="Cambria" w:cs="Cambria"/>
          <w:i/>
          <w:iCs/>
          <w:sz w:val="20"/>
          <w:szCs w:val="20"/>
        </w:rPr>
        <w:t xml:space="preserve">amparo </w:t>
      </w:r>
      <w:r w:rsidRPr="00320918">
        <w:rPr>
          <w:rFonts w:ascii="Cambria" w:hAnsi="Cambria" w:cs="Cambria"/>
          <w:sz w:val="20"/>
          <w:szCs w:val="20"/>
        </w:rPr>
        <w:t xml:space="preserve">and ordered the Second Control Judge to vacate his decision and set a new date for another authority to </w:t>
      </w:r>
      <w:r>
        <w:rPr>
          <w:rFonts w:ascii="Cambria" w:hAnsi="Cambria" w:cs="Cambria"/>
          <w:sz w:val="20"/>
          <w:szCs w:val="20"/>
        </w:rPr>
        <w:t xml:space="preserve">examine </w:t>
      </w:r>
      <w:r w:rsidRPr="00320918">
        <w:rPr>
          <w:rFonts w:ascii="Cambria" w:hAnsi="Cambria" w:cs="Cambria"/>
          <w:sz w:val="20"/>
          <w:szCs w:val="20"/>
        </w:rPr>
        <w:t xml:space="preserve">the case afresh. </w:t>
      </w:r>
    </w:p>
    <w:p w14:paraId="55FDEABC" w14:textId="77777777" w:rsidR="00276B48" w:rsidRPr="00320918" w:rsidRDefault="00276B48" w:rsidP="00C51DEF">
      <w:pPr>
        <w:numPr>
          <w:ilvl w:val="0"/>
          <w:numId w:val="51"/>
        </w:numPr>
        <w:suppressAutoHyphens/>
        <w:spacing w:after="240"/>
        <w:jc w:val="both"/>
        <w:rPr>
          <w:rFonts w:ascii="Cambria" w:hAnsi="Cambria" w:cs="Cambria"/>
          <w:sz w:val="20"/>
          <w:szCs w:val="20"/>
        </w:rPr>
      </w:pPr>
      <w:r w:rsidRPr="00320918">
        <w:rPr>
          <w:rFonts w:ascii="Cambria" w:hAnsi="Cambria" w:cs="Cambria"/>
          <w:sz w:val="20"/>
          <w:szCs w:val="20"/>
        </w:rPr>
        <w:t xml:space="preserve">In compliance with that decision, the petitioner reports that on October 22, 2018, the Control Judge of the First Judicial District of the Accusatory and Oral Criminal Justice System of the state of Yucatán, after a hearing with the parties involved, overturned the decision not to pursue criminal action so that the facts could be effectively investigated. </w:t>
      </w:r>
    </w:p>
    <w:p w14:paraId="09231D75" w14:textId="77777777" w:rsidR="00276B48" w:rsidRPr="00320918" w:rsidRDefault="00276B48" w:rsidP="00C51DEF">
      <w:pPr>
        <w:numPr>
          <w:ilvl w:val="0"/>
          <w:numId w:val="51"/>
        </w:numPr>
        <w:suppressAutoHyphens/>
        <w:spacing w:after="240"/>
        <w:jc w:val="both"/>
        <w:rPr>
          <w:rFonts w:ascii="Cambria" w:hAnsi="Cambria" w:cs="Cambria"/>
          <w:sz w:val="20"/>
          <w:szCs w:val="20"/>
        </w:rPr>
      </w:pPr>
      <w:r w:rsidRPr="00320918">
        <w:rPr>
          <w:rFonts w:ascii="Cambria" w:hAnsi="Cambria" w:cs="Cambria"/>
          <w:sz w:val="20"/>
          <w:szCs w:val="20"/>
        </w:rPr>
        <w:t xml:space="preserve">In spite of this, she states that on March 21, 2020, the Yucatán Prosecution Service again resolved not to pursue criminal action, using the same grounds as the initial decision and adding that the complaint against the alleged attacker was filed when statutory limitations for the </w:t>
      </w:r>
      <w:r>
        <w:rPr>
          <w:rFonts w:ascii="Cambria" w:hAnsi="Cambria" w:cs="Cambria"/>
          <w:sz w:val="20"/>
          <w:szCs w:val="20"/>
        </w:rPr>
        <w:t>purported</w:t>
      </w:r>
      <w:r w:rsidRPr="00320918">
        <w:rPr>
          <w:rFonts w:ascii="Cambria" w:hAnsi="Cambria" w:cs="Cambria"/>
          <w:sz w:val="20"/>
          <w:szCs w:val="20"/>
        </w:rPr>
        <w:t xml:space="preserve"> crimes had already expired.</w:t>
      </w:r>
      <w:r>
        <w:rPr>
          <w:rFonts w:ascii="Cambria" w:hAnsi="Cambria" w:cs="Cambria"/>
          <w:sz w:val="20"/>
          <w:szCs w:val="20"/>
        </w:rPr>
        <w:t xml:space="preserve"> T</w:t>
      </w:r>
      <w:r w:rsidRPr="00320918">
        <w:rPr>
          <w:rFonts w:ascii="Cambria" w:hAnsi="Cambria" w:cs="Cambria"/>
          <w:sz w:val="20"/>
          <w:szCs w:val="20"/>
        </w:rPr>
        <w:t xml:space="preserve">he petitioner filed a fresh appeal against that decision and, on June 11, 2020, the Mérida Justice Center overturned the decision not to prosecute so that the investigation of the alleged facts could continue (the petitioner does not provide further details on the grounds for this decision). Despite this, she maintains that to date the incident remains unpunished. </w:t>
      </w:r>
    </w:p>
    <w:p w14:paraId="232DC38F" w14:textId="77777777" w:rsidR="00276B48" w:rsidRPr="00320918" w:rsidRDefault="00276B48" w:rsidP="00C51DEF">
      <w:pPr>
        <w:numPr>
          <w:ilvl w:val="0"/>
          <w:numId w:val="51"/>
        </w:numPr>
        <w:suppressAutoHyphens/>
        <w:spacing w:after="240"/>
        <w:jc w:val="both"/>
        <w:rPr>
          <w:rFonts w:ascii="Cambria" w:hAnsi="Cambria" w:cs="Cambria"/>
          <w:sz w:val="20"/>
          <w:szCs w:val="20"/>
        </w:rPr>
      </w:pPr>
      <w:r>
        <w:rPr>
          <w:rFonts w:ascii="Cambria" w:hAnsi="Cambria" w:cs="Cambria"/>
          <w:sz w:val="20"/>
          <w:szCs w:val="20"/>
        </w:rPr>
        <w:t>In accordance with the above claims</w:t>
      </w:r>
      <w:r w:rsidRPr="00320918">
        <w:rPr>
          <w:rFonts w:ascii="Cambria" w:hAnsi="Cambria" w:cs="Cambria"/>
          <w:sz w:val="20"/>
          <w:szCs w:val="20"/>
        </w:rPr>
        <w:t xml:space="preserve">, the petitioner contends that the State discriminated against her </w:t>
      </w:r>
      <w:r>
        <w:rPr>
          <w:rFonts w:ascii="Cambria" w:hAnsi="Cambria" w:cs="Cambria"/>
          <w:sz w:val="20"/>
          <w:szCs w:val="20"/>
        </w:rPr>
        <w:t xml:space="preserve">as regards </w:t>
      </w:r>
      <w:r w:rsidRPr="00320918">
        <w:rPr>
          <w:rFonts w:ascii="Cambria" w:hAnsi="Cambria" w:cs="Cambria"/>
          <w:sz w:val="20"/>
          <w:szCs w:val="20"/>
        </w:rPr>
        <w:t xml:space="preserve">the right of access to justice, causing new violations of her rights. She claims that throughout the investigation she was revictimized by the authorities, who on more than one occasion requested ridiculous and incongruous evidence to support her accusations. In addition, the investigation file of her case has been halted on several occasions, under the </w:t>
      </w:r>
      <w:r>
        <w:rPr>
          <w:rFonts w:ascii="Cambria" w:hAnsi="Cambria" w:cs="Cambria"/>
          <w:sz w:val="20"/>
          <w:szCs w:val="20"/>
        </w:rPr>
        <w:t xml:space="preserve">argument </w:t>
      </w:r>
      <w:r w:rsidRPr="00320918">
        <w:rPr>
          <w:rFonts w:ascii="Cambria" w:hAnsi="Cambria" w:cs="Cambria"/>
          <w:sz w:val="20"/>
          <w:szCs w:val="20"/>
        </w:rPr>
        <w:t xml:space="preserve">that priority should be given to other investigations into acts of violence against underage girls. In the alleged victim’s opinion, these practices demonstrate that she suffered discrimination on account of her gender identity. </w:t>
      </w:r>
    </w:p>
    <w:p w14:paraId="2DB40550" w14:textId="77777777" w:rsidR="00276B48" w:rsidRPr="00320918" w:rsidRDefault="00276B48" w:rsidP="00C51DEF">
      <w:pPr>
        <w:numPr>
          <w:ilvl w:val="0"/>
          <w:numId w:val="51"/>
        </w:numPr>
        <w:suppressAutoHyphens/>
        <w:spacing w:after="240"/>
        <w:jc w:val="both"/>
        <w:rPr>
          <w:rFonts w:ascii="Cambria" w:hAnsi="Cambria" w:cs="Cambria"/>
          <w:sz w:val="20"/>
          <w:szCs w:val="20"/>
        </w:rPr>
      </w:pPr>
      <w:r w:rsidRPr="00320918">
        <w:rPr>
          <w:rFonts w:ascii="Cambria" w:hAnsi="Cambria" w:cs="Cambria"/>
          <w:sz w:val="20"/>
          <w:szCs w:val="20"/>
        </w:rPr>
        <w:t xml:space="preserve">Finally, she reports that on January 25, 2016, she filed a complaint with the Yucatán Human Rights Commission against the officials of the </w:t>
      </w:r>
      <w:r>
        <w:rPr>
          <w:rFonts w:ascii="Cambria" w:hAnsi="Cambria" w:cs="Cambria"/>
          <w:sz w:val="20"/>
          <w:szCs w:val="20"/>
        </w:rPr>
        <w:t>s</w:t>
      </w:r>
      <w:r w:rsidRPr="00320918">
        <w:rPr>
          <w:rFonts w:ascii="Cambria" w:hAnsi="Cambria" w:cs="Cambria"/>
          <w:sz w:val="20"/>
          <w:szCs w:val="20"/>
        </w:rPr>
        <w:t>tate</w:t>
      </w:r>
      <w:r>
        <w:rPr>
          <w:rFonts w:ascii="Cambria" w:hAnsi="Cambria" w:cs="Cambria"/>
          <w:sz w:val="20"/>
          <w:szCs w:val="20"/>
        </w:rPr>
        <w:t>’s</w:t>
      </w:r>
      <w:r w:rsidRPr="00320918">
        <w:rPr>
          <w:rFonts w:ascii="Cambria" w:hAnsi="Cambria" w:cs="Cambria"/>
          <w:sz w:val="20"/>
          <w:szCs w:val="20"/>
        </w:rPr>
        <w:t xml:space="preserve"> Prosecution Service and other authorities. On October 16, 2018, however, Human Rights Commission closed the file, concluding that there was an evident lack of grounds to continue with the investigation since the case was still being processed by the criminal justice system. The alleged victim contends that this decision aggravated her situation by leaving her helpless against the purported arbitrary actions of the Mexican justice system.</w:t>
      </w:r>
    </w:p>
    <w:p w14:paraId="6E3CA906" w14:textId="27EBD3FC" w:rsidR="00276B48" w:rsidRPr="00320918" w:rsidRDefault="00276B48" w:rsidP="00C51DEF">
      <w:pPr>
        <w:numPr>
          <w:ilvl w:val="0"/>
          <w:numId w:val="51"/>
        </w:numPr>
        <w:suppressAutoHyphens/>
        <w:spacing w:after="240"/>
        <w:jc w:val="both"/>
        <w:rPr>
          <w:rFonts w:ascii="Cambria" w:hAnsi="Cambria" w:cs="Cambria"/>
          <w:sz w:val="20"/>
          <w:szCs w:val="20"/>
        </w:rPr>
      </w:pPr>
      <w:r w:rsidRPr="00320918">
        <w:rPr>
          <w:rFonts w:ascii="Cambria" w:hAnsi="Cambria" w:cs="Cambria"/>
          <w:sz w:val="20"/>
          <w:szCs w:val="20"/>
        </w:rPr>
        <w:t xml:space="preserve">In turn, the Mexican State offers clarifications and an additional series of facts for the IACHR to assess in deciding on the case at hand. It contends that after it was apprised of the complaint, the Yucatán State Prosecution Service informed </w:t>
      </w:r>
      <w:r w:rsidR="001F21A3" w:rsidRPr="001F21A3">
        <w:rPr>
          <w:rFonts w:ascii="Cambria" w:hAnsi="Cambria"/>
          <w:bCs/>
          <w:sz w:val="20"/>
          <w:szCs w:val="20"/>
        </w:rPr>
        <w:t>G.S.M.E.S.C</w:t>
      </w:r>
      <w:r w:rsidRPr="00320918">
        <w:rPr>
          <w:rFonts w:ascii="Cambria" w:hAnsi="Cambria" w:cs="Cambria"/>
          <w:sz w:val="20"/>
          <w:szCs w:val="20"/>
        </w:rPr>
        <w:t xml:space="preserve"> of the need for forensic physicians to conduct medical examinations</w:t>
      </w:r>
      <w:r>
        <w:rPr>
          <w:rFonts w:ascii="Cambria" w:hAnsi="Cambria" w:cs="Cambria"/>
          <w:sz w:val="20"/>
          <w:szCs w:val="20"/>
        </w:rPr>
        <w:t>;</w:t>
      </w:r>
      <w:r w:rsidRPr="00320918">
        <w:rPr>
          <w:rFonts w:ascii="Cambria" w:hAnsi="Cambria" w:cs="Cambria"/>
          <w:sz w:val="20"/>
          <w:szCs w:val="20"/>
        </w:rPr>
        <w:t xml:space="preserve"> </w:t>
      </w:r>
      <w:r>
        <w:rPr>
          <w:rFonts w:ascii="Cambria" w:hAnsi="Cambria" w:cs="Cambria"/>
          <w:sz w:val="20"/>
          <w:szCs w:val="20"/>
        </w:rPr>
        <w:t>h</w:t>
      </w:r>
      <w:r w:rsidRPr="00320918">
        <w:rPr>
          <w:rFonts w:ascii="Cambria" w:hAnsi="Cambria" w:cs="Cambria"/>
          <w:sz w:val="20"/>
          <w:szCs w:val="20"/>
        </w:rPr>
        <w:t>owever, the petitioner replied that she did not wish to have such examinations performed, since the events had occurred more than a year previously and she therefore did not consider those formalities necessary.</w:t>
      </w:r>
    </w:p>
    <w:p w14:paraId="282D38A7" w14:textId="44FEE12E" w:rsidR="00276B48" w:rsidRPr="00320918" w:rsidRDefault="00276B48" w:rsidP="00C51DEF">
      <w:pPr>
        <w:numPr>
          <w:ilvl w:val="0"/>
          <w:numId w:val="51"/>
        </w:numPr>
        <w:suppressAutoHyphens/>
        <w:spacing w:after="240"/>
        <w:jc w:val="both"/>
        <w:rPr>
          <w:rFonts w:ascii="Cambria" w:hAnsi="Cambria" w:cs="Cambria"/>
          <w:sz w:val="20"/>
          <w:szCs w:val="20"/>
        </w:rPr>
      </w:pPr>
      <w:r w:rsidRPr="00320918">
        <w:rPr>
          <w:rFonts w:ascii="Cambria" w:hAnsi="Cambria" w:cs="Cambria"/>
          <w:sz w:val="20"/>
          <w:szCs w:val="20"/>
        </w:rPr>
        <w:lastRenderedPageBreak/>
        <w:t xml:space="preserve">That notwithstanding, the State indicates that two years after the incident, the petitioner agreed to undergo the </w:t>
      </w:r>
      <w:r>
        <w:rPr>
          <w:rFonts w:ascii="Cambria" w:hAnsi="Cambria" w:cs="Cambria"/>
          <w:sz w:val="20"/>
          <w:szCs w:val="20"/>
        </w:rPr>
        <w:t xml:space="preserve">proposed </w:t>
      </w:r>
      <w:r w:rsidRPr="00320918">
        <w:rPr>
          <w:rFonts w:ascii="Cambria" w:hAnsi="Cambria" w:cs="Cambria"/>
          <w:sz w:val="20"/>
          <w:szCs w:val="20"/>
        </w:rPr>
        <w:t xml:space="preserve">medical examinations. As a result, the forensic physician responsible for the </w:t>
      </w:r>
      <w:r>
        <w:rPr>
          <w:rFonts w:ascii="Cambria" w:hAnsi="Cambria" w:cs="Cambria"/>
          <w:sz w:val="20"/>
          <w:szCs w:val="20"/>
        </w:rPr>
        <w:t xml:space="preserve">examination </w:t>
      </w:r>
      <w:r w:rsidRPr="00320918">
        <w:rPr>
          <w:rFonts w:ascii="Cambria" w:hAnsi="Cambria" w:cs="Cambria"/>
          <w:sz w:val="20"/>
          <w:szCs w:val="20"/>
        </w:rPr>
        <w:t xml:space="preserve">concluded that </w:t>
      </w:r>
      <w:r w:rsidR="001F21A3" w:rsidRPr="001F21A3">
        <w:rPr>
          <w:rFonts w:ascii="Cambria" w:hAnsi="Cambria"/>
          <w:bCs/>
          <w:sz w:val="20"/>
          <w:szCs w:val="20"/>
        </w:rPr>
        <w:t>G.S.M.E.S.C</w:t>
      </w:r>
      <w:r w:rsidRPr="00320918">
        <w:rPr>
          <w:rFonts w:ascii="Cambria" w:hAnsi="Cambria" w:cs="Cambria"/>
          <w:sz w:val="20"/>
          <w:szCs w:val="20"/>
        </w:rPr>
        <w:t xml:space="preserve"> did not show signs of any external injuries and that the lesions to her nose were due to a range of etiological factors. In addition, in a later expert opinion, another doctor confirmed that it was not possible to establish the physical condition of her nose prior to the aggression, or after her first surgery. </w:t>
      </w:r>
    </w:p>
    <w:p w14:paraId="69E320AD" w14:textId="62E8D3AC" w:rsidR="00276B48" w:rsidRPr="00320918" w:rsidRDefault="00276B48" w:rsidP="00C51DEF">
      <w:pPr>
        <w:numPr>
          <w:ilvl w:val="0"/>
          <w:numId w:val="51"/>
        </w:numPr>
        <w:suppressAutoHyphens/>
        <w:spacing w:after="240"/>
        <w:jc w:val="both"/>
        <w:rPr>
          <w:rFonts w:ascii="Cambria" w:hAnsi="Cambria" w:cs="Cambria"/>
          <w:sz w:val="20"/>
          <w:szCs w:val="20"/>
        </w:rPr>
      </w:pPr>
      <w:r w:rsidRPr="00320918">
        <w:rPr>
          <w:rFonts w:ascii="Cambria" w:hAnsi="Cambria" w:cs="Cambria"/>
          <w:sz w:val="20"/>
          <w:szCs w:val="20"/>
        </w:rPr>
        <w:t xml:space="preserve">Mexico further reports that on December 9, 2015, </w:t>
      </w:r>
      <w:r w:rsidR="001F21A3" w:rsidRPr="001F21A3">
        <w:rPr>
          <w:rFonts w:ascii="Cambria" w:hAnsi="Cambria"/>
          <w:bCs/>
          <w:sz w:val="20"/>
          <w:szCs w:val="20"/>
        </w:rPr>
        <w:t>G.S.M.E.S.C</w:t>
      </w:r>
      <w:r w:rsidRPr="00320918">
        <w:rPr>
          <w:rFonts w:ascii="Cambria" w:hAnsi="Cambria" w:cs="Cambria"/>
          <w:sz w:val="20"/>
          <w:szCs w:val="20"/>
        </w:rPr>
        <w:t xml:space="preserve"> appeared before the Institute for Gender Equity of the state of Yucatán to request that she be assigned a legal advisor to provide guidance or to participate in her representation. It notes that in order to comply with the right of all victims to receive legal advice from the State, the Institute proceeded to appoint a legal advisor, assigned to the Directorate of Victim Attention of the</w:t>
      </w:r>
      <w:r>
        <w:rPr>
          <w:rFonts w:ascii="Cambria" w:hAnsi="Cambria" w:cs="Cambria"/>
          <w:sz w:val="20"/>
          <w:szCs w:val="20"/>
        </w:rPr>
        <w:t xml:space="preserve"> Nayarit State</w:t>
      </w:r>
      <w:r w:rsidRPr="00320918">
        <w:rPr>
          <w:rFonts w:ascii="Cambria" w:hAnsi="Cambria" w:cs="Cambria"/>
          <w:sz w:val="20"/>
          <w:szCs w:val="20"/>
        </w:rPr>
        <w:t xml:space="preserve"> Prosecution Service</w:t>
      </w:r>
      <w:r>
        <w:rPr>
          <w:rFonts w:ascii="Cambria" w:hAnsi="Cambria" w:cs="Cambria"/>
          <w:sz w:val="20"/>
          <w:szCs w:val="20"/>
        </w:rPr>
        <w:t xml:space="preserve"> </w:t>
      </w:r>
      <w:r w:rsidRPr="00320918">
        <w:rPr>
          <w:rFonts w:ascii="Cambria" w:hAnsi="Cambria" w:cs="Cambria"/>
          <w:sz w:val="20"/>
          <w:szCs w:val="20"/>
        </w:rPr>
        <w:t xml:space="preserve">as it was at the time. It also contends that </w:t>
      </w:r>
      <w:r w:rsidR="001F21A3" w:rsidRPr="001F21A3">
        <w:rPr>
          <w:rFonts w:ascii="Cambria" w:hAnsi="Cambria"/>
          <w:bCs/>
          <w:sz w:val="20"/>
          <w:szCs w:val="20"/>
        </w:rPr>
        <w:t>G.S.M.E.S.C</w:t>
      </w:r>
      <w:r w:rsidRPr="00320918">
        <w:rPr>
          <w:rFonts w:ascii="Cambria" w:hAnsi="Cambria" w:cs="Cambria"/>
          <w:sz w:val="20"/>
          <w:szCs w:val="20"/>
        </w:rPr>
        <w:t xml:space="preserve"> received attention from the Institute and other state agencies whenever she requested it.</w:t>
      </w:r>
    </w:p>
    <w:p w14:paraId="49698E06" w14:textId="3E2D39B3" w:rsidR="00276B48" w:rsidRPr="00320918" w:rsidRDefault="00276B48" w:rsidP="00C51DEF">
      <w:pPr>
        <w:numPr>
          <w:ilvl w:val="0"/>
          <w:numId w:val="51"/>
        </w:numPr>
        <w:suppressAutoHyphens/>
        <w:spacing w:after="240"/>
        <w:jc w:val="both"/>
        <w:rPr>
          <w:rFonts w:ascii="Cambria" w:hAnsi="Cambria" w:cs="Cambria"/>
          <w:sz w:val="20"/>
          <w:szCs w:val="20"/>
        </w:rPr>
      </w:pPr>
      <w:r w:rsidRPr="00320918">
        <w:rPr>
          <w:rFonts w:ascii="Cambria" w:hAnsi="Cambria" w:cs="Cambria"/>
          <w:sz w:val="20"/>
          <w:szCs w:val="20"/>
        </w:rPr>
        <w:t>Finally, Mexico reports that on August 21, 2015, H.T. appeared before the Prosecution Service, accompanied by his private defense counsel, and stated that: “</w:t>
      </w:r>
      <w:r>
        <w:rPr>
          <w:rFonts w:ascii="Cambria" w:hAnsi="Cambria" w:cs="Cambria"/>
          <w:i/>
          <w:iCs/>
          <w:sz w:val="20"/>
          <w:szCs w:val="20"/>
        </w:rPr>
        <w:t>T</w:t>
      </w:r>
      <w:r w:rsidRPr="00320918">
        <w:rPr>
          <w:rFonts w:ascii="Cambria" w:hAnsi="Cambria" w:cs="Cambria"/>
          <w:i/>
          <w:iCs/>
          <w:sz w:val="20"/>
          <w:szCs w:val="20"/>
        </w:rPr>
        <w:t xml:space="preserve">he facts </w:t>
      </w:r>
      <w:r>
        <w:rPr>
          <w:rFonts w:ascii="Cambria" w:hAnsi="Cambria" w:cs="Cambria"/>
          <w:i/>
          <w:iCs/>
          <w:sz w:val="20"/>
          <w:szCs w:val="20"/>
        </w:rPr>
        <w:t xml:space="preserve">narrated </w:t>
      </w:r>
      <w:r w:rsidRPr="00320918">
        <w:rPr>
          <w:rFonts w:ascii="Cambria" w:hAnsi="Cambria" w:cs="Cambria"/>
          <w:i/>
          <w:iCs/>
          <w:sz w:val="20"/>
          <w:szCs w:val="20"/>
        </w:rPr>
        <w:t>by [</w:t>
      </w:r>
      <w:r w:rsidR="001F21A3" w:rsidRPr="001F21A3">
        <w:rPr>
          <w:rFonts w:ascii="Cambria" w:hAnsi="Cambria" w:cs="Cambria"/>
          <w:bCs/>
          <w:i/>
          <w:iCs/>
          <w:sz w:val="20"/>
          <w:szCs w:val="20"/>
        </w:rPr>
        <w:t>G.S.M.E.S.C</w:t>
      </w:r>
      <w:r w:rsidRPr="00320918">
        <w:rPr>
          <w:rFonts w:ascii="Cambria" w:hAnsi="Cambria" w:cs="Cambria"/>
          <w:i/>
          <w:iCs/>
          <w:sz w:val="20"/>
          <w:szCs w:val="20"/>
        </w:rPr>
        <w:t>] in the investigation are partially true (…) However, the facts did not occur as he describes. I have never abused him and neither did I cause the nose injuries to which he refers; if that had been the case, he would have made the complaint at the time and not a year later.</w:t>
      </w:r>
      <w:r w:rsidRPr="00320918">
        <w:rPr>
          <w:rFonts w:ascii="Cambria" w:hAnsi="Cambria" w:cs="Cambria"/>
          <w:sz w:val="20"/>
          <w:szCs w:val="20"/>
        </w:rPr>
        <w:t xml:space="preserve">” It explains that the Prosecution Service took this information into consideration, in addition to the expert medical reports, in deciding not to prosecute. </w:t>
      </w:r>
    </w:p>
    <w:p w14:paraId="717A5BB6" w14:textId="77777777" w:rsidR="00276B48" w:rsidRPr="00320918" w:rsidRDefault="00276B48" w:rsidP="00C51DEF">
      <w:pPr>
        <w:numPr>
          <w:ilvl w:val="0"/>
          <w:numId w:val="51"/>
        </w:numPr>
        <w:suppressAutoHyphens/>
        <w:spacing w:after="240"/>
        <w:jc w:val="both"/>
        <w:rPr>
          <w:rFonts w:ascii="Cambria" w:hAnsi="Cambria" w:cs="Cambria"/>
          <w:sz w:val="20"/>
          <w:szCs w:val="20"/>
        </w:rPr>
      </w:pPr>
      <w:r w:rsidRPr="00320918">
        <w:rPr>
          <w:rFonts w:ascii="Cambria" w:hAnsi="Cambria" w:cs="Cambria"/>
          <w:sz w:val="20"/>
          <w:szCs w:val="20"/>
        </w:rPr>
        <w:t xml:space="preserve">Based on the aforesaid considerations of fact, the State contends that the petition is inadmissible, since it is clear that domestic remedies have not been exhausted. It notes that the petitioner filed an </w:t>
      </w:r>
      <w:r w:rsidRPr="00320918">
        <w:rPr>
          <w:rFonts w:ascii="Cambria" w:hAnsi="Cambria" w:cs="Cambria"/>
          <w:i/>
          <w:iCs/>
          <w:sz w:val="20"/>
          <w:szCs w:val="20"/>
        </w:rPr>
        <w:t>amparo</w:t>
      </w:r>
      <w:r w:rsidRPr="00320918">
        <w:rPr>
          <w:rFonts w:ascii="Cambria" w:hAnsi="Cambria" w:cs="Cambria"/>
          <w:sz w:val="20"/>
          <w:szCs w:val="20"/>
        </w:rPr>
        <w:t xml:space="preserve"> suit to challenge the decisions resolving not to pursue criminal action against H.T., as a result of which the investigation file currently remains at the initial investigation stage, awaiting a response from another medical specialist requested by the Yucatán Prosecution Service. In the State’s opinion, this shows that the petitioner lodged the petition before the investigation was reopened and that therefore the requirement contained in Article 46.1.a of the American Convention was not met. </w:t>
      </w:r>
    </w:p>
    <w:p w14:paraId="7E1D45A8" w14:textId="77777777" w:rsidR="00276B48" w:rsidRPr="00320918" w:rsidRDefault="00276B48" w:rsidP="00C51DEF">
      <w:pPr>
        <w:numPr>
          <w:ilvl w:val="0"/>
          <w:numId w:val="51"/>
        </w:numPr>
        <w:suppressAutoHyphens/>
        <w:spacing w:after="240"/>
        <w:jc w:val="both"/>
        <w:rPr>
          <w:rFonts w:ascii="Cambria" w:hAnsi="Cambria" w:cs="Cambria"/>
          <w:sz w:val="20"/>
          <w:szCs w:val="20"/>
        </w:rPr>
      </w:pPr>
      <w:r w:rsidRPr="00320918">
        <w:rPr>
          <w:rFonts w:ascii="Cambria" w:hAnsi="Cambria" w:cs="Cambria"/>
          <w:sz w:val="20"/>
          <w:szCs w:val="20"/>
        </w:rPr>
        <w:t xml:space="preserve">Mexico </w:t>
      </w:r>
      <w:r>
        <w:rPr>
          <w:rFonts w:ascii="Cambria" w:hAnsi="Cambria" w:cs="Cambria"/>
          <w:sz w:val="20"/>
          <w:szCs w:val="20"/>
        </w:rPr>
        <w:t xml:space="preserve">further </w:t>
      </w:r>
      <w:r w:rsidRPr="00320918">
        <w:rPr>
          <w:rFonts w:ascii="Cambria" w:hAnsi="Cambria" w:cs="Cambria"/>
          <w:sz w:val="20"/>
          <w:szCs w:val="20"/>
        </w:rPr>
        <w:t xml:space="preserve">argues that the alleged facts do not tend to establish human rights violations. It contends that although the purported acts of violence occurred in March 2014, the alleged victim did not file a criminal complaint until July 2015. It argues that according to the provisions of the Criminal Code of the state of Yucatán, since more than one year had elapsed between the commission of the </w:t>
      </w:r>
      <w:r>
        <w:rPr>
          <w:rFonts w:ascii="Cambria" w:hAnsi="Cambria" w:cs="Cambria"/>
          <w:sz w:val="20"/>
          <w:szCs w:val="20"/>
        </w:rPr>
        <w:t xml:space="preserve">purported </w:t>
      </w:r>
      <w:r w:rsidRPr="00320918">
        <w:rPr>
          <w:rFonts w:ascii="Cambria" w:hAnsi="Cambria" w:cs="Cambria"/>
          <w:sz w:val="20"/>
          <w:szCs w:val="20"/>
        </w:rPr>
        <w:t xml:space="preserve">crime and the filing of the complaint, statutory limitations had been triggered with respect to the </w:t>
      </w:r>
      <w:r>
        <w:rPr>
          <w:rFonts w:ascii="Cambria" w:hAnsi="Cambria" w:cs="Cambria"/>
          <w:sz w:val="20"/>
          <w:szCs w:val="20"/>
        </w:rPr>
        <w:t>alleged</w:t>
      </w:r>
      <w:r w:rsidRPr="00320918">
        <w:rPr>
          <w:rFonts w:ascii="Cambria" w:hAnsi="Cambria" w:cs="Cambria"/>
          <w:sz w:val="20"/>
          <w:szCs w:val="20"/>
        </w:rPr>
        <w:t xml:space="preserve"> facts. </w:t>
      </w:r>
    </w:p>
    <w:p w14:paraId="440637A4" w14:textId="7A36969D" w:rsidR="00276B48" w:rsidRPr="00320918" w:rsidRDefault="00276B48" w:rsidP="00C51DEF">
      <w:pPr>
        <w:numPr>
          <w:ilvl w:val="0"/>
          <w:numId w:val="51"/>
        </w:numPr>
        <w:suppressAutoHyphens/>
        <w:spacing w:after="240"/>
        <w:jc w:val="both"/>
        <w:rPr>
          <w:rFonts w:ascii="Cambria" w:hAnsi="Cambria" w:cs="Cambria"/>
          <w:sz w:val="20"/>
          <w:szCs w:val="20"/>
        </w:rPr>
      </w:pPr>
      <w:r w:rsidRPr="00320918">
        <w:rPr>
          <w:rFonts w:ascii="Cambria" w:hAnsi="Cambria" w:cs="Cambria"/>
          <w:sz w:val="20"/>
          <w:szCs w:val="20"/>
        </w:rPr>
        <w:t xml:space="preserve">In spite of this, Mexico maintains that an investigation was conducted and that the procedures established by law were carried out. It emphasizes that throughout those proceedings, the authorities took account of the alleged victim’s gender identity and that the investigations were carried out with gender awareness. It also states that </w:t>
      </w:r>
      <w:r w:rsidR="001F21A3" w:rsidRPr="001F21A3">
        <w:rPr>
          <w:rFonts w:ascii="Cambria" w:hAnsi="Cambria"/>
          <w:bCs/>
          <w:sz w:val="20"/>
          <w:szCs w:val="20"/>
        </w:rPr>
        <w:t>G.S.M.E.S.C</w:t>
      </w:r>
      <w:r w:rsidRPr="00320918">
        <w:rPr>
          <w:rFonts w:ascii="Cambria" w:hAnsi="Cambria" w:cs="Cambria"/>
          <w:sz w:val="20"/>
          <w:szCs w:val="20"/>
        </w:rPr>
        <w:t xml:space="preserve"> was provided with legal advice and psychological support by the Directorate for Victim Attention attached to the Prosecution Service, by the Institute for Gender Equity (as it was styled at the time), and by the Executive Commission for Victim Attention, all agencies of the state of Yucatán</w:t>
      </w:r>
      <w:r>
        <w:rPr>
          <w:rFonts w:ascii="Cambria" w:hAnsi="Cambria" w:cs="Cambria"/>
          <w:sz w:val="20"/>
          <w:szCs w:val="20"/>
        </w:rPr>
        <w:t xml:space="preserve">; thus, </w:t>
      </w:r>
      <w:r w:rsidRPr="00320918">
        <w:rPr>
          <w:rFonts w:ascii="Cambria" w:hAnsi="Cambria" w:cs="Cambria"/>
          <w:sz w:val="20"/>
          <w:szCs w:val="20"/>
        </w:rPr>
        <w:t>it emphasizes</w:t>
      </w:r>
      <w:r>
        <w:rPr>
          <w:rFonts w:ascii="Cambria" w:hAnsi="Cambria" w:cs="Cambria"/>
          <w:sz w:val="20"/>
          <w:szCs w:val="20"/>
        </w:rPr>
        <w:t xml:space="preserve"> that</w:t>
      </w:r>
      <w:r w:rsidRPr="00320918">
        <w:rPr>
          <w:rFonts w:ascii="Cambria" w:hAnsi="Cambria" w:cs="Cambria"/>
          <w:sz w:val="20"/>
          <w:szCs w:val="20"/>
        </w:rPr>
        <w:t xml:space="preserve"> the petitioner was at all times treated in a friendly, efficient, empathetic, nonstereotypical</w:t>
      </w:r>
      <w:r>
        <w:rPr>
          <w:rFonts w:ascii="Cambria" w:hAnsi="Cambria" w:cs="Cambria"/>
          <w:sz w:val="20"/>
          <w:szCs w:val="20"/>
        </w:rPr>
        <w:t xml:space="preserve">, </w:t>
      </w:r>
      <w:r w:rsidRPr="00320918">
        <w:rPr>
          <w:rFonts w:ascii="Cambria" w:hAnsi="Cambria" w:cs="Cambria"/>
          <w:sz w:val="20"/>
          <w:szCs w:val="20"/>
        </w:rPr>
        <w:t>and nondiscriminatory manner.</w:t>
      </w:r>
    </w:p>
    <w:p w14:paraId="3D9160ED" w14:textId="77777777" w:rsidR="00276B48" w:rsidRPr="00320918" w:rsidRDefault="00276B48" w:rsidP="00C51DEF">
      <w:pPr>
        <w:numPr>
          <w:ilvl w:val="0"/>
          <w:numId w:val="51"/>
        </w:numPr>
        <w:suppressAutoHyphens/>
        <w:spacing w:after="240"/>
        <w:jc w:val="both"/>
        <w:rPr>
          <w:rFonts w:ascii="Cambria" w:hAnsi="Cambria" w:cs="Cambria"/>
          <w:sz w:val="20"/>
          <w:szCs w:val="20"/>
        </w:rPr>
      </w:pPr>
      <w:r w:rsidRPr="00320918">
        <w:rPr>
          <w:rFonts w:ascii="Cambria" w:hAnsi="Cambria" w:cs="Cambria"/>
          <w:sz w:val="20"/>
          <w:szCs w:val="20"/>
        </w:rPr>
        <w:t xml:space="preserve">In view of the foregoing, the Mexican State maintains that the facts set out in the instant petition do not constitute human rights violations, given that the Mexican authorities guaranteed the petitioner’s human rights in accordance with the guiding principles of nondiscrimination, judicial guarantees, and due process. In consideration whereof, it requests that the IACHR declare the claim at hand inadmissible and send it to the archive. </w:t>
      </w:r>
    </w:p>
    <w:p w14:paraId="0D402F7B" w14:textId="77777777" w:rsidR="00276B48" w:rsidRPr="00320918" w:rsidRDefault="00276B48" w:rsidP="00222E12">
      <w:pPr>
        <w:spacing w:before="240" w:after="240"/>
        <w:ind w:left="1440" w:hanging="720"/>
        <w:jc w:val="both"/>
        <w:rPr>
          <w:rFonts w:ascii="Cambria" w:hAnsi="Cambria" w:cs="Cambria"/>
          <w:b/>
          <w:bCs/>
          <w:sz w:val="20"/>
          <w:szCs w:val="20"/>
        </w:rPr>
      </w:pPr>
      <w:r w:rsidRPr="00320918">
        <w:rPr>
          <w:rFonts w:ascii="Cambria" w:hAnsi="Cambria" w:cs="Cambria"/>
          <w:b/>
          <w:bCs/>
          <w:color w:val="000000"/>
          <w:sz w:val="20"/>
          <w:szCs w:val="20"/>
          <w:u w:color="000000"/>
          <w:lang w:eastAsia="es-ES"/>
        </w:rPr>
        <w:t>VI.</w:t>
      </w:r>
      <w:r w:rsidRPr="00320918">
        <w:rPr>
          <w:rFonts w:ascii="Cambria" w:hAnsi="Cambria" w:cs="Cambria"/>
          <w:b/>
          <w:bCs/>
          <w:color w:val="000000"/>
          <w:sz w:val="20"/>
          <w:szCs w:val="20"/>
          <w:u w:color="000000"/>
          <w:lang w:eastAsia="es-ES"/>
        </w:rPr>
        <w:tab/>
        <w:t xml:space="preserve">ANALYSIS OF EXHAUSTION OF DOMESTIC REMEDIES AND TIMELINESS OF THE PETITION </w:t>
      </w:r>
    </w:p>
    <w:p w14:paraId="726A2AD1" w14:textId="77777777" w:rsidR="00276B48" w:rsidRPr="00320918" w:rsidRDefault="00276B48" w:rsidP="00C51DEF">
      <w:pPr>
        <w:numPr>
          <w:ilvl w:val="0"/>
          <w:numId w:val="51"/>
        </w:numPr>
        <w:suppressAutoHyphens/>
        <w:spacing w:after="240"/>
        <w:jc w:val="both"/>
        <w:rPr>
          <w:rFonts w:ascii="Cambria" w:hAnsi="Cambria" w:cs="Cambria"/>
          <w:sz w:val="20"/>
          <w:szCs w:val="20"/>
        </w:rPr>
      </w:pPr>
      <w:r w:rsidRPr="00320918">
        <w:rPr>
          <w:rFonts w:ascii="Cambria" w:hAnsi="Cambria" w:cs="Cambria"/>
          <w:sz w:val="20"/>
          <w:szCs w:val="20"/>
        </w:rPr>
        <w:t xml:space="preserve">The IACHR again states that whenever evidence exists that a sexual attack has been </w:t>
      </w:r>
      <w:r>
        <w:rPr>
          <w:rFonts w:ascii="Cambria" w:hAnsi="Cambria" w:cs="Cambria"/>
          <w:sz w:val="20"/>
          <w:szCs w:val="20"/>
        </w:rPr>
        <w:t>committed</w:t>
      </w:r>
      <w:r w:rsidRPr="00320918">
        <w:rPr>
          <w:rFonts w:ascii="Cambria" w:hAnsi="Cambria" w:cs="Cambria"/>
          <w:sz w:val="20"/>
          <w:szCs w:val="20"/>
        </w:rPr>
        <w:t xml:space="preserve">, the ideal remedy for clarifying the facts, prosecuting those responsible, and affording other forms </w:t>
      </w:r>
      <w:r w:rsidRPr="00320918">
        <w:rPr>
          <w:rFonts w:ascii="Cambria" w:hAnsi="Cambria" w:cs="Cambria"/>
          <w:sz w:val="20"/>
          <w:szCs w:val="20"/>
        </w:rPr>
        <w:lastRenderedPageBreak/>
        <w:t>of redress is a criminal trial.</w:t>
      </w:r>
      <w:r w:rsidRPr="00320918">
        <w:rPr>
          <w:rFonts w:ascii="Cambria" w:eastAsia="Batang" w:hAnsi="Cambria"/>
          <w:sz w:val="20"/>
          <w:szCs w:val="20"/>
          <w:vertAlign w:val="superscript"/>
        </w:rPr>
        <w:footnoteReference w:id="6"/>
      </w:r>
      <w:r w:rsidRPr="00320918">
        <w:rPr>
          <w:rFonts w:ascii="Cambria" w:hAnsi="Cambria" w:cs="Cambria"/>
          <w:sz w:val="20"/>
          <w:szCs w:val="20"/>
        </w:rPr>
        <w:t xml:space="preserve"> It also notes that </w:t>
      </w:r>
      <w:r>
        <w:rPr>
          <w:rFonts w:ascii="Cambria" w:hAnsi="Cambria" w:cs="Cambria"/>
          <w:sz w:val="20"/>
          <w:szCs w:val="20"/>
        </w:rPr>
        <w:t xml:space="preserve">such sexual attacks </w:t>
      </w:r>
      <w:r w:rsidRPr="00320918">
        <w:rPr>
          <w:rFonts w:ascii="Cambria" w:hAnsi="Cambria" w:cs="Cambria"/>
          <w:sz w:val="20"/>
          <w:szCs w:val="20"/>
        </w:rPr>
        <w:t>constitute violence against women, for which reason the State must not only pursue a criminal investigation but also proceed with due diligence and adopt specific measures that take into account the victim’s situation of vulnerability. Moreover, in cases involving violence against trans women, the Inter-American Court has already held that such acts are gender-based and respond to a specific pattern of discrimination and that, as such, their particularities must be taken into account in dealing with them in order to ensure an appropriate and effective response.</w:t>
      </w:r>
      <w:r w:rsidRPr="00320918">
        <w:rPr>
          <w:rFonts w:ascii="Cambria" w:hAnsi="Cambria" w:cs="Cambria"/>
          <w:sz w:val="20"/>
          <w:szCs w:val="20"/>
          <w:vertAlign w:val="superscript"/>
        </w:rPr>
        <w:footnoteReference w:id="7"/>
      </w:r>
    </w:p>
    <w:p w14:paraId="6DF98969" w14:textId="41A4A695" w:rsidR="00276B48" w:rsidRPr="00320918" w:rsidRDefault="00276B48" w:rsidP="00C51DEF">
      <w:pPr>
        <w:numPr>
          <w:ilvl w:val="0"/>
          <w:numId w:val="51"/>
        </w:numPr>
        <w:suppressAutoHyphens/>
        <w:spacing w:after="240"/>
        <w:jc w:val="both"/>
        <w:rPr>
          <w:rFonts w:ascii="Cambria" w:hAnsi="Cambria" w:cs="Cambria"/>
          <w:sz w:val="20"/>
          <w:szCs w:val="20"/>
        </w:rPr>
      </w:pPr>
      <w:r w:rsidRPr="00320918">
        <w:rPr>
          <w:rFonts w:ascii="Cambria" w:hAnsi="Cambria" w:cs="Cambria"/>
          <w:sz w:val="20"/>
          <w:szCs w:val="20"/>
        </w:rPr>
        <w:t xml:space="preserve">In the case at hand, the Commission notes that although </w:t>
      </w:r>
      <w:r w:rsidR="001F21A3" w:rsidRPr="001F21A3">
        <w:rPr>
          <w:rFonts w:ascii="Cambria" w:hAnsi="Cambria"/>
          <w:bCs/>
          <w:sz w:val="20"/>
          <w:szCs w:val="20"/>
        </w:rPr>
        <w:t>G.S.M.E.S.C</w:t>
      </w:r>
      <w:r w:rsidRPr="00320918">
        <w:rPr>
          <w:rFonts w:ascii="Cambria" w:hAnsi="Cambria" w:cs="Cambria"/>
          <w:sz w:val="20"/>
          <w:szCs w:val="20"/>
        </w:rPr>
        <w:t xml:space="preserve"> reported that she was a victim of sexual violence in 2015, to date the investigations have not yet been completed, since the courts found, on two occasions, that the Prosecution Service authorities had not investigated the facts appropriately by failing to adopt an </w:t>
      </w:r>
      <w:r>
        <w:rPr>
          <w:rFonts w:ascii="Cambria" w:hAnsi="Cambria" w:cs="Cambria"/>
          <w:sz w:val="20"/>
          <w:szCs w:val="20"/>
        </w:rPr>
        <w:t>appropriate</w:t>
      </w:r>
      <w:r w:rsidRPr="00320918">
        <w:rPr>
          <w:rFonts w:ascii="Cambria" w:hAnsi="Cambria" w:cs="Cambria"/>
          <w:sz w:val="20"/>
          <w:szCs w:val="20"/>
        </w:rPr>
        <w:t xml:space="preserve"> gender perspective. Therefore, since the delay in resolving the case is attributable to officials of the State, the Commission believes that the exception provided for in Article 46.2.c. of the American Convention is applicable. Likewise, since the petitioner filed </w:t>
      </w:r>
      <w:r>
        <w:rPr>
          <w:rFonts w:ascii="Cambria" w:hAnsi="Cambria" w:cs="Cambria"/>
          <w:sz w:val="20"/>
          <w:szCs w:val="20"/>
        </w:rPr>
        <w:t>her</w:t>
      </w:r>
      <w:r w:rsidRPr="00320918">
        <w:rPr>
          <w:rFonts w:ascii="Cambria" w:hAnsi="Cambria" w:cs="Cambria"/>
          <w:sz w:val="20"/>
          <w:szCs w:val="20"/>
        </w:rPr>
        <w:t xml:space="preserve"> petition on June 6, 2017, the Commission finds that the complaint was lodged within a reasonable period of time, thus meeting the requirement contained in Article 32.2 of its Rules of Procedure. </w:t>
      </w:r>
    </w:p>
    <w:p w14:paraId="19197A28" w14:textId="77777777" w:rsidR="00276B48" w:rsidRPr="00320918" w:rsidRDefault="00276B48" w:rsidP="00C51DEF">
      <w:pPr>
        <w:pStyle w:val="ListParagraph"/>
        <w:spacing w:before="240" w:after="240"/>
        <w:jc w:val="both"/>
        <w:rPr>
          <w:b/>
          <w:bCs/>
          <w:sz w:val="20"/>
          <w:szCs w:val="20"/>
        </w:rPr>
      </w:pPr>
      <w:r w:rsidRPr="00320918">
        <w:rPr>
          <w:b/>
          <w:bCs/>
          <w:sz w:val="20"/>
          <w:szCs w:val="20"/>
        </w:rPr>
        <w:t>VII.</w:t>
      </w:r>
      <w:r w:rsidRPr="00320918">
        <w:rPr>
          <w:b/>
          <w:bCs/>
          <w:sz w:val="20"/>
          <w:szCs w:val="20"/>
        </w:rPr>
        <w:tab/>
        <w:t>ANALYSIS OF COLORABLE CLAIM</w:t>
      </w:r>
    </w:p>
    <w:p w14:paraId="01701180" w14:textId="686CE90F" w:rsidR="00276B48" w:rsidRPr="00320918" w:rsidRDefault="00276B48" w:rsidP="00C51DEF">
      <w:pPr>
        <w:numPr>
          <w:ilvl w:val="0"/>
          <w:numId w:val="51"/>
        </w:numPr>
        <w:suppressAutoHyphens/>
        <w:spacing w:after="240"/>
        <w:jc w:val="both"/>
        <w:rPr>
          <w:rFonts w:ascii="Cambria" w:hAnsi="Cambria" w:cs="Cambria"/>
          <w:sz w:val="20"/>
          <w:szCs w:val="20"/>
        </w:rPr>
      </w:pPr>
      <w:r w:rsidRPr="00320918">
        <w:rPr>
          <w:rFonts w:ascii="Cambria" w:hAnsi="Cambria" w:cs="Cambria"/>
          <w:sz w:val="20"/>
          <w:szCs w:val="20"/>
        </w:rPr>
        <w:t xml:space="preserve">In light of the elements of fact and law set out by the parties and of the nature of the matter placed before it, the Commission believes that the alleged delay and lack of an effective investigation into the acts of sexual violence reported by </w:t>
      </w:r>
      <w:r w:rsidR="001F21A3" w:rsidRPr="001F21A3">
        <w:rPr>
          <w:rFonts w:ascii="Cambria" w:hAnsi="Cambria"/>
          <w:bCs/>
          <w:sz w:val="20"/>
          <w:szCs w:val="20"/>
        </w:rPr>
        <w:t>G.S.M.E.S.C</w:t>
      </w:r>
      <w:r w:rsidRPr="00320918">
        <w:rPr>
          <w:rFonts w:ascii="Cambria" w:hAnsi="Cambria" w:cs="Cambria"/>
          <w:sz w:val="20"/>
          <w:szCs w:val="20"/>
        </w:rPr>
        <w:t xml:space="preserve"> could, if proven, tend to establish possible violations of the rights recognized in Articles 8 (right to a fair trial), 24 (equality before the law), and 25 (judicial protection) of the American Convention, in conjunction with Articles 5 (humane treatment) and 1.1 (obligation to respect rights) thereof. Similarly, following its </w:t>
      </w:r>
      <w:r>
        <w:rPr>
          <w:rFonts w:ascii="Cambria" w:hAnsi="Cambria" w:cs="Cambria"/>
          <w:sz w:val="20"/>
          <w:szCs w:val="20"/>
        </w:rPr>
        <w:t xml:space="preserve">own </w:t>
      </w:r>
      <w:r w:rsidRPr="00320918">
        <w:rPr>
          <w:rFonts w:ascii="Cambria" w:hAnsi="Cambria" w:cs="Cambria"/>
          <w:sz w:val="20"/>
          <w:szCs w:val="20"/>
        </w:rPr>
        <w:t>precedents</w:t>
      </w:r>
      <w:r w:rsidRPr="00320918">
        <w:rPr>
          <w:rFonts w:ascii="Cambria" w:hAnsi="Cambria" w:cs="Cambria"/>
          <w:sz w:val="20"/>
          <w:szCs w:val="20"/>
          <w:vertAlign w:val="superscript"/>
        </w:rPr>
        <w:footnoteReference w:id="8"/>
      </w:r>
      <w:r w:rsidRPr="00320918">
        <w:rPr>
          <w:rFonts w:ascii="Cambria" w:hAnsi="Cambria" w:cs="Cambria"/>
          <w:sz w:val="20"/>
          <w:szCs w:val="20"/>
        </w:rPr>
        <w:t xml:space="preserve"> and the case law of the Inter-American Court,</w:t>
      </w:r>
      <w:r w:rsidRPr="00320918">
        <w:rPr>
          <w:rStyle w:val="FootnoteReference"/>
          <w:rFonts w:ascii="Cambria" w:hAnsi="Cambria" w:cs="Cambria"/>
          <w:sz w:val="20"/>
          <w:szCs w:val="20"/>
        </w:rPr>
        <w:footnoteReference w:id="9"/>
      </w:r>
      <w:r w:rsidRPr="00320918">
        <w:rPr>
          <w:rFonts w:ascii="Cambria" w:hAnsi="Cambria" w:cs="Cambria"/>
          <w:sz w:val="20"/>
          <w:szCs w:val="20"/>
        </w:rPr>
        <w:t xml:space="preserve"> at the merits stage the IACHR will analyze whether the facts presented could </w:t>
      </w:r>
      <w:r>
        <w:rPr>
          <w:rFonts w:ascii="Cambria" w:hAnsi="Cambria" w:cs="Cambria"/>
          <w:sz w:val="20"/>
          <w:szCs w:val="20"/>
        </w:rPr>
        <w:t xml:space="preserve">also </w:t>
      </w:r>
      <w:r w:rsidRPr="00320918">
        <w:rPr>
          <w:rFonts w:ascii="Cambria" w:hAnsi="Cambria" w:cs="Cambria"/>
          <w:sz w:val="20"/>
          <w:szCs w:val="20"/>
        </w:rPr>
        <w:t>constitute a violation of Article 7 of the Convention of Belém do Pará.</w:t>
      </w:r>
    </w:p>
    <w:p w14:paraId="435BFB1F" w14:textId="77777777" w:rsidR="00276B48" w:rsidRPr="00320918" w:rsidRDefault="00276B48" w:rsidP="00C51DEF">
      <w:pPr>
        <w:pStyle w:val="ListParagraph"/>
        <w:spacing w:before="240" w:after="240"/>
        <w:jc w:val="both"/>
        <w:rPr>
          <w:b/>
          <w:bCs/>
          <w:sz w:val="20"/>
          <w:szCs w:val="20"/>
        </w:rPr>
      </w:pPr>
      <w:r w:rsidRPr="00320918">
        <w:rPr>
          <w:b/>
          <w:bCs/>
          <w:sz w:val="20"/>
          <w:szCs w:val="20"/>
        </w:rPr>
        <w:t xml:space="preserve">VIII. </w:t>
      </w:r>
      <w:r w:rsidRPr="00320918">
        <w:rPr>
          <w:b/>
          <w:bCs/>
          <w:sz w:val="20"/>
          <w:szCs w:val="20"/>
        </w:rPr>
        <w:tab/>
        <w:t>DECISION</w:t>
      </w:r>
    </w:p>
    <w:p w14:paraId="3ABDA0C4" w14:textId="77777777" w:rsidR="00276B48" w:rsidRPr="00320918" w:rsidRDefault="00276B48" w:rsidP="00C51DEF">
      <w:pPr>
        <w:numPr>
          <w:ilvl w:val="0"/>
          <w:numId w:val="52"/>
        </w:numPr>
        <w:suppressAutoHyphens/>
        <w:spacing w:after="240"/>
        <w:jc w:val="both"/>
        <w:rPr>
          <w:rFonts w:ascii="Cambria" w:hAnsi="Cambria" w:cs="Cambria"/>
          <w:sz w:val="20"/>
          <w:szCs w:val="20"/>
        </w:rPr>
      </w:pPr>
      <w:r w:rsidRPr="00320918">
        <w:rPr>
          <w:rFonts w:ascii="Cambria" w:hAnsi="Cambria" w:cs="Cambria"/>
          <w:sz w:val="20"/>
          <w:szCs w:val="20"/>
        </w:rPr>
        <w:t>To declare this petition admissible in relation to Articles 5, 8, 24, and 25 of the American Convention, in conjunction with Article 1.1 thereof, and in relation to Article 7 of the Convention of Belém do Pará.</w:t>
      </w:r>
    </w:p>
    <w:p w14:paraId="17CD4F9B" w14:textId="77777777" w:rsidR="00276B48" w:rsidRPr="00320918" w:rsidRDefault="00276B48" w:rsidP="00C51DEF">
      <w:pPr>
        <w:numPr>
          <w:ilvl w:val="0"/>
          <w:numId w:val="52"/>
        </w:numPr>
        <w:suppressAutoHyphens/>
        <w:spacing w:after="240"/>
        <w:jc w:val="both"/>
        <w:rPr>
          <w:rFonts w:ascii="Cambria" w:hAnsi="Cambria" w:cs="Cambria"/>
          <w:sz w:val="20"/>
          <w:szCs w:val="20"/>
        </w:rPr>
      </w:pPr>
      <w:r w:rsidRPr="00320918">
        <w:rPr>
          <w:rFonts w:ascii="Cambria" w:hAnsi="Cambria" w:cs="Cambria"/>
          <w:sz w:val="20"/>
          <w:szCs w:val="20"/>
        </w:rPr>
        <w:t>To notify the parties of this decision; to continue with the analysis on the merits; and to publish this decision and include it in its Annual Report to the General Assembly of the Organization of American States.</w:t>
      </w:r>
    </w:p>
    <w:p w14:paraId="3A739CF7" w14:textId="5A76C3E1" w:rsidR="00276B48" w:rsidRPr="00320918" w:rsidRDefault="00CF7CEB" w:rsidP="00CF7CEB">
      <w:pPr>
        <w:pStyle w:val="ListParagraph"/>
        <w:suppressAutoHyphens/>
        <w:spacing w:before="240" w:after="240"/>
        <w:ind w:left="0" w:firstLine="720"/>
        <w:jc w:val="both"/>
        <w:rPr>
          <w:sz w:val="20"/>
          <w:szCs w:val="20"/>
        </w:rPr>
      </w:pPr>
      <w:r w:rsidRPr="00CF7CEB">
        <w:rPr>
          <w:sz w:val="20"/>
          <w:szCs w:val="20"/>
        </w:rPr>
        <w:t xml:space="preserve">Approved by the Inter-American Commission on Human Rights on the </w:t>
      </w:r>
      <w:r w:rsidR="00027714">
        <w:rPr>
          <w:sz w:val="20"/>
          <w:szCs w:val="20"/>
        </w:rPr>
        <w:t>14</w:t>
      </w:r>
      <w:r w:rsidR="00027714" w:rsidRPr="00027714">
        <w:rPr>
          <w:sz w:val="20"/>
          <w:szCs w:val="20"/>
          <w:vertAlign w:val="superscript"/>
        </w:rPr>
        <w:t>th</w:t>
      </w:r>
      <w:r w:rsidR="00027714">
        <w:rPr>
          <w:sz w:val="20"/>
          <w:szCs w:val="20"/>
        </w:rPr>
        <w:t xml:space="preserve"> </w:t>
      </w:r>
      <w:r w:rsidRPr="00CF7CEB">
        <w:rPr>
          <w:sz w:val="20"/>
          <w:szCs w:val="20"/>
        </w:rPr>
        <w:t xml:space="preserve">day of the month of </w:t>
      </w:r>
      <w:r w:rsidR="00027714">
        <w:rPr>
          <w:sz w:val="20"/>
          <w:szCs w:val="20"/>
        </w:rPr>
        <w:t>June</w:t>
      </w:r>
      <w:r w:rsidRPr="00CF7CEB">
        <w:rPr>
          <w:sz w:val="20"/>
          <w:szCs w:val="20"/>
        </w:rPr>
        <w:t>, 2022.</w:t>
      </w:r>
      <w:r w:rsidR="00996C75">
        <w:rPr>
          <w:sz w:val="20"/>
          <w:szCs w:val="20"/>
        </w:rPr>
        <w:t xml:space="preserve"> </w:t>
      </w:r>
      <w:r w:rsidRPr="00CF7CEB">
        <w:rPr>
          <w:sz w:val="20"/>
          <w:szCs w:val="20"/>
        </w:rPr>
        <w:t>(Signed:) Julissa Mantilla Falcón, President; Stuardo Ralón Orellana, Vice President; Margarette May Macaulay, Second Vice President; Esmeralda E. Arosemena Bernal de Troitiño, Roberta Clarke and Carlos Bernal, Commissioners.</w:t>
      </w:r>
    </w:p>
    <w:p w14:paraId="0059774B" w14:textId="77777777" w:rsidR="00276B48" w:rsidRPr="00320918" w:rsidRDefault="00276B48" w:rsidP="00C51DEF">
      <w:pPr>
        <w:tabs>
          <w:tab w:val="center" w:pos="5400"/>
        </w:tabs>
        <w:suppressAutoHyphens/>
        <w:spacing w:line="276" w:lineRule="auto"/>
        <w:rPr>
          <w:rFonts w:ascii="Cambria" w:hAnsi="Cambria" w:cs="Cambria"/>
          <w:sz w:val="20"/>
          <w:szCs w:val="20"/>
        </w:rPr>
      </w:pPr>
    </w:p>
    <w:p w14:paraId="03421745" w14:textId="77777777" w:rsidR="00276B48" w:rsidRPr="00320918" w:rsidRDefault="00276B48" w:rsidP="00C51DEF">
      <w:pPr>
        <w:tabs>
          <w:tab w:val="center" w:pos="5400"/>
        </w:tabs>
        <w:suppressAutoHyphens/>
        <w:spacing w:line="276" w:lineRule="auto"/>
        <w:rPr>
          <w:rFonts w:ascii="Cambria" w:hAnsi="Cambria" w:cs="Cambria"/>
          <w:sz w:val="20"/>
          <w:szCs w:val="20"/>
        </w:rPr>
      </w:pPr>
    </w:p>
    <w:p w14:paraId="19836D30" w14:textId="77777777" w:rsidR="00276B48" w:rsidRPr="00320918" w:rsidRDefault="00276B48" w:rsidP="00C51DEF">
      <w:pPr>
        <w:rPr>
          <w:rFonts w:ascii="Cambria" w:hAnsi="Cambria" w:cs="Cambria"/>
          <w:sz w:val="20"/>
          <w:szCs w:val="20"/>
        </w:rPr>
      </w:pPr>
    </w:p>
    <w:sectPr w:rsidR="00276B48" w:rsidRPr="00320918" w:rsidSect="00934A2C">
      <w:headerReference w:type="default" r:id="rId13"/>
      <w:footerReference w:type="default" r:id="rId14"/>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81A90" w14:textId="77777777" w:rsidR="00863722" w:rsidRDefault="00863722" w:rsidP="003056F8">
      <w:r>
        <w:separator/>
      </w:r>
    </w:p>
  </w:endnote>
  <w:endnote w:type="continuationSeparator" w:id="0">
    <w:p w14:paraId="7091715B" w14:textId="77777777" w:rsidR="00863722" w:rsidRDefault="00863722" w:rsidP="00305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92564" w14:textId="77777777" w:rsidR="00276B48" w:rsidRPr="00C51DEF" w:rsidRDefault="00276B48">
    <w:pPr>
      <w:pStyle w:val="Footer"/>
      <w:jc w:val="center"/>
      <w:rPr>
        <w:noProof/>
        <w:sz w:val="16"/>
        <w:szCs w:val="16"/>
      </w:rPr>
    </w:pPr>
    <w:r w:rsidRPr="00C51DEF">
      <w:rPr>
        <w:noProof/>
        <w:sz w:val="16"/>
        <w:szCs w:val="16"/>
      </w:rPr>
      <w:fldChar w:fldCharType="begin"/>
    </w:r>
    <w:r w:rsidRPr="00C51DEF">
      <w:rPr>
        <w:noProof/>
        <w:sz w:val="16"/>
        <w:szCs w:val="16"/>
      </w:rPr>
      <w:instrText xml:space="preserve"> PAGE   \* MERGEFORMAT </w:instrText>
    </w:r>
    <w:r w:rsidRPr="00C51DEF">
      <w:rPr>
        <w:noProof/>
        <w:sz w:val="16"/>
        <w:szCs w:val="16"/>
      </w:rPr>
      <w:fldChar w:fldCharType="separate"/>
    </w:r>
    <w:r w:rsidRPr="00C51DEF">
      <w:rPr>
        <w:noProof/>
        <w:sz w:val="16"/>
        <w:szCs w:val="16"/>
      </w:rPr>
      <w:t>1</w:t>
    </w:r>
    <w:r w:rsidRPr="00C51DEF">
      <w:rPr>
        <w:noProof/>
        <w:sz w:val="16"/>
        <w:szCs w:val="16"/>
      </w:rPr>
      <w:fldChar w:fldCharType="end"/>
    </w:r>
  </w:p>
  <w:p w14:paraId="262C3663" w14:textId="77777777" w:rsidR="00276B48" w:rsidRPr="00C51DEF" w:rsidRDefault="00276B48">
    <w:pPr>
      <w:pStyle w:val="Footer"/>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B8520" w14:textId="77777777" w:rsidR="00276B48" w:rsidRPr="00C51DEF" w:rsidRDefault="00276B48">
    <w:pPr>
      <w:pStyle w:val="Footer"/>
      <w:jc w:val="center"/>
      <w:rPr>
        <w:noProof/>
        <w:sz w:val="16"/>
        <w:szCs w:val="16"/>
      </w:rPr>
    </w:pPr>
  </w:p>
  <w:p w14:paraId="764F0A04" w14:textId="77777777" w:rsidR="00276B48" w:rsidRPr="00C51DEF" w:rsidRDefault="00276B48">
    <w:pPr>
      <w:pStyle w:val="Footer"/>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60C07" w14:textId="77777777" w:rsidR="00276B48" w:rsidRPr="00C51DEF" w:rsidRDefault="00276B48">
    <w:pPr>
      <w:pStyle w:val="Footer"/>
      <w:jc w:val="center"/>
      <w:rPr>
        <w:noProof/>
        <w:sz w:val="16"/>
        <w:szCs w:val="16"/>
      </w:rPr>
    </w:pPr>
    <w:r w:rsidRPr="00C51DEF">
      <w:rPr>
        <w:noProof/>
        <w:sz w:val="16"/>
        <w:szCs w:val="16"/>
      </w:rPr>
      <w:fldChar w:fldCharType="begin"/>
    </w:r>
    <w:r w:rsidRPr="00C51DEF">
      <w:rPr>
        <w:noProof/>
        <w:sz w:val="16"/>
        <w:szCs w:val="16"/>
      </w:rPr>
      <w:instrText xml:space="preserve"> PAGE   \* MERGEFORMAT </w:instrText>
    </w:r>
    <w:r w:rsidRPr="00C51DEF">
      <w:rPr>
        <w:noProof/>
        <w:sz w:val="16"/>
        <w:szCs w:val="16"/>
      </w:rPr>
      <w:fldChar w:fldCharType="separate"/>
    </w:r>
    <w:r>
      <w:rPr>
        <w:noProof/>
        <w:sz w:val="16"/>
        <w:szCs w:val="16"/>
      </w:rPr>
      <w:t>1</w:t>
    </w:r>
    <w:r w:rsidRPr="00C51DEF">
      <w:rPr>
        <w:noProof/>
        <w:sz w:val="16"/>
        <w:szCs w:val="16"/>
      </w:rPr>
      <w:fldChar w:fldCharType="end"/>
    </w:r>
  </w:p>
  <w:p w14:paraId="4468696B" w14:textId="77777777" w:rsidR="00276B48" w:rsidRPr="00C51DEF" w:rsidRDefault="00276B48">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BE33E" w14:textId="77777777" w:rsidR="00863722" w:rsidRPr="00C51DEF" w:rsidRDefault="00863722">
      <w:pPr>
        <w:rPr>
          <w:rFonts w:ascii="Cambria" w:hAnsi="Cambria" w:cs="Cambria"/>
          <w:noProof/>
          <w:sz w:val="16"/>
          <w:szCs w:val="16"/>
        </w:rPr>
      </w:pPr>
      <w:r w:rsidRPr="00C51DEF">
        <w:rPr>
          <w:rFonts w:ascii="Cambria" w:hAnsi="Cambria" w:cs="Cambria"/>
          <w:noProof/>
          <w:sz w:val="16"/>
          <w:szCs w:val="16"/>
        </w:rPr>
        <w:separator/>
      </w:r>
    </w:p>
  </w:footnote>
  <w:footnote w:type="continuationSeparator" w:id="0">
    <w:p w14:paraId="243BB11B" w14:textId="77777777" w:rsidR="00863722" w:rsidRPr="00C51DEF" w:rsidRDefault="00863722" w:rsidP="000F35ED">
      <w:pPr>
        <w:rPr>
          <w:rFonts w:ascii="Cambria" w:hAnsi="Cambria" w:cs="Cambria"/>
          <w:noProof/>
          <w:sz w:val="16"/>
          <w:szCs w:val="16"/>
        </w:rPr>
      </w:pPr>
      <w:r w:rsidRPr="00C51DEF">
        <w:rPr>
          <w:rFonts w:ascii="Cambria" w:hAnsi="Cambria" w:cs="Cambria"/>
          <w:noProof/>
          <w:sz w:val="16"/>
          <w:szCs w:val="16"/>
        </w:rPr>
        <w:separator/>
      </w:r>
    </w:p>
    <w:p w14:paraId="21062071" w14:textId="77777777" w:rsidR="00863722" w:rsidRPr="00C51DEF" w:rsidRDefault="00863722" w:rsidP="000F35ED">
      <w:pPr>
        <w:pStyle w:val="Footer"/>
        <w:rPr>
          <w:noProof/>
          <w:sz w:val="16"/>
          <w:szCs w:val="16"/>
        </w:rPr>
      </w:pPr>
      <w:r w:rsidRPr="00C51DEF">
        <w:rPr>
          <w:noProof/>
          <w:sz w:val="16"/>
          <w:szCs w:val="16"/>
        </w:rPr>
        <w:t>[… continuación]</w:t>
      </w:r>
    </w:p>
  </w:footnote>
  <w:footnote w:type="continuationNotice" w:id="1">
    <w:p w14:paraId="321A5BC8" w14:textId="77777777" w:rsidR="00863722" w:rsidRPr="00C51DEF" w:rsidRDefault="00863722" w:rsidP="000F35ED">
      <w:pPr>
        <w:jc w:val="right"/>
        <w:rPr>
          <w:rFonts w:ascii="Cambria" w:hAnsi="Cambria" w:cs="Cambria"/>
          <w:noProof/>
          <w:sz w:val="16"/>
          <w:szCs w:val="16"/>
        </w:rPr>
      </w:pPr>
      <w:r w:rsidRPr="00C51DEF">
        <w:rPr>
          <w:rFonts w:ascii="Cambria" w:hAnsi="Cambria" w:cs="Cambria"/>
          <w:noProof/>
          <w:sz w:val="16"/>
          <w:szCs w:val="16"/>
        </w:rPr>
        <w:t>[continúa…]</w:t>
      </w:r>
    </w:p>
  </w:footnote>
  <w:footnote w:id="2">
    <w:p w14:paraId="7FCEC9D9" w14:textId="4553B35B" w:rsidR="0056460B" w:rsidRPr="0056460B" w:rsidRDefault="0056460B" w:rsidP="0056460B">
      <w:pPr>
        <w:pStyle w:val="FootnoteText"/>
        <w:ind w:firstLine="360"/>
        <w:rPr>
          <w:rFonts w:asciiTheme="majorHAnsi" w:hAnsiTheme="majorHAnsi"/>
          <w:sz w:val="16"/>
          <w:szCs w:val="16"/>
        </w:rPr>
      </w:pPr>
      <w:r w:rsidRPr="0056460B">
        <w:rPr>
          <w:rStyle w:val="FootnoteReference"/>
          <w:rFonts w:asciiTheme="majorHAnsi" w:hAnsiTheme="majorHAnsi"/>
          <w:sz w:val="16"/>
          <w:szCs w:val="16"/>
        </w:rPr>
        <w:footnoteRef/>
      </w:r>
      <w:r>
        <w:rPr>
          <w:rFonts w:asciiTheme="majorHAnsi" w:hAnsiTheme="majorHAnsi"/>
          <w:sz w:val="16"/>
          <w:szCs w:val="16"/>
        </w:rPr>
        <w:t xml:space="preserve"> </w:t>
      </w:r>
      <w:r>
        <w:rPr>
          <w:rFonts w:asciiTheme="majorHAnsi" w:hAnsiTheme="majorHAnsi"/>
          <w:sz w:val="16"/>
          <w:szCs w:val="16"/>
        </w:rPr>
        <w:tab/>
        <w:t xml:space="preserve">Given the nature of the facts denounced, the IACHR will keep the identity of the alleged victim restricted. </w:t>
      </w:r>
      <w:r w:rsidRPr="0056460B">
        <w:rPr>
          <w:rFonts w:asciiTheme="majorHAnsi" w:hAnsiTheme="majorHAnsi"/>
          <w:sz w:val="16"/>
          <w:szCs w:val="16"/>
        </w:rPr>
        <w:t xml:space="preserve"> </w:t>
      </w:r>
    </w:p>
  </w:footnote>
  <w:footnote w:id="3">
    <w:p w14:paraId="77E85FC4" w14:textId="77777777" w:rsidR="00276B48" w:rsidRDefault="00276B48" w:rsidP="00C51DEF">
      <w:pPr>
        <w:pStyle w:val="FootnoteText"/>
        <w:tabs>
          <w:tab w:val="left" w:pos="720"/>
        </w:tabs>
        <w:ind w:firstLine="360"/>
        <w:jc w:val="both"/>
      </w:pPr>
      <w:r w:rsidRPr="00723750">
        <w:rPr>
          <w:rStyle w:val="FootnoteReference"/>
          <w:rFonts w:ascii="Cambria" w:hAnsi="Cambria" w:cs="Cambria"/>
          <w:sz w:val="16"/>
          <w:szCs w:val="16"/>
        </w:rPr>
        <w:footnoteRef/>
      </w:r>
      <w:r w:rsidRPr="00723750">
        <w:rPr>
          <w:rFonts w:ascii="Cambria" w:hAnsi="Cambria" w:cs="Cambria"/>
          <w:sz w:val="16"/>
          <w:szCs w:val="16"/>
        </w:rPr>
        <w:t xml:space="preserve"> </w:t>
      </w:r>
      <w:r w:rsidRPr="00723750">
        <w:rPr>
          <w:rFonts w:ascii="Cambria" w:hAnsi="Cambria" w:cs="Cambria"/>
          <w:sz w:val="16"/>
          <w:szCs w:val="16"/>
        </w:rPr>
        <w:tab/>
        <w:t>In keeping with Article 17.2.a of the Commission’s Rules of Procedure, Commissioner Joel Hernández, a Mexican national, did not participate in the debate or decision on this case.</w:t>
      </w:r>
    </w:p>
  </w:footnote>
  <w:footnote w:id="4">
    <w:p w14:paraId="28AED4B2" w14:textId="77777777" w:rsidR="00276B48" w:rsidRDefault="00276B48" w:rsidP="00C51DEF">
      <w:pPr>
        <w:pStyle w:val="FootnoteText"/>
        <w:tabs>
          <w:tab w:val="left" w:pos="720"/>
        </w:tabs>
        <w:ind w:firstLine="360"/>
        <w:jc w:val="both"/>
      </w:pPr>
      <w:r w:rsidRPr="00723750">
        <w:rPr>
          <w:rStyle w:val="FootnoteReference"/>
          <w:rFonts w:ascii="Cambria" w:hAnsi="Cambria" w:cs="Cambria"/>
          <w:sz w:val="16"/>
          <w:szCs w:val="16"/>
        </w:rPr>
        <w:footnoteRef/>
      </w:r>
      <w:r w:rsidRPr="00723750">
        <w:rPr>
          <w:rFonts w:ascii="Cambria" w:hAnsi="Cambria" w:cs="Cambria"/>
          <w:sz w:val="16"/>
          <w:szCs w:val="16"/>
        </w:rPr>
        <w:t xml:space="preserve"> </w:t>
      </w:r>
      <w:r w:rsidRPr="00723750">
        <w:rPr>
          <w:rFonts w:ascii="Cambria" w:hAnsi="Cambria" w:cs="Cambria"/>
          <w:sz w:val="16"/>
          <w:szCs w:val="16"/>
        </w:rPr>
        <w:tab/>
        <w:t>Hereinafter “the Convention” or “the American Convention.”</w:t>
      </w:r>
    </w:p>
  </w:footnote>
  <w:footnote w:id="5">
    <w:p w14:paraId="5622791E" w14:textId="77777777" w:rsidR="00276B48" w:rsidRDefault="00276B48" w:rsidP="00C51DEF">
      <w:pPr>
        <w:pStyle w:val="FootnoteText"/>
        <w:tabs>
          <w:tab w:val="left" w:pos="720"/>
        </w:tabs>
        <w:ind w:firstLine="360"/>
        <w:jc w:val="both"/>
      </w:pPr>
      <w:r w:rsidRPr="00723750">
        <w:rPr>
          <w:rStyle w:val="FootnoteReference"/>
          <w:rFonts w:ascii="Cambria" w:hAnsi="Cambria" w:cs="Cambria"/>
          <w:sz w:val="16"/>
          <w:szCs w:val="16"/>
        </w:rPr>
        <w:footnoteRef/>
      </w:r>
      <w:r w:rsidRPr="00723750">
        <w:rPr>
          <w:rFonts w:ascii="Cambria" w:hAnsi="Cambria" w:cs="Cambria"/>
          <w:sz w:val="16"/>
          <w:szCs w:val="16"/>
        </w:rPr>
        <w:t xml:space="preserve"> </w:t>
      </w:r>
      <w:r w:rsidRPr="00723750">
        <w:rPr>
          <w:rFonts w:ascii="Cambria" w:hAnsi="Cambria" w:cs="Cambria"/>
          <w:sz w:val="16"/>
          <w:szCs w:val="16"/>
        </w:rPr>
        <w:tab/>
        <w:t>The observations submitted by each party were duly transmitted to the opposing party.</w:t>
      </w:r>
    </w:p>
  </w:footnote>
  <w:footnote w:id="6">
    <w:p w14:paraId="038D668B" w14:textId="77777777" w:rsidR="00276B48" w:rsidRDefault="00276B48" w:rsidP="00C51DEF">
      <w:pPr>
        <w:pStyle w:val="FootnoteText"/>
        <w:tabs>
          <w:tab w:val="left" w:pos="720"/>
        </w:tabs>
        <w:ind w:firstLine="360"/>
        <w:jc w:val="both"/>
      </w:pPr>
      <w:r w:rsidRPr="00723750">
        <w:rPr>
          <w:rFonts w:ascii="Cambria" w:hAnsi="Cambria" w:cs="Cambria"/>
          <w:color w:val="auto"/>
          <w:sz w:val="16"/>
          <w:szCs w:val="16"/>
          <w:vertAlign w:val="superscript"/>
        </w:rPr>
        <w:footnoteRef/>
      </w:r>
      <w:r w:rsidRPr="00723750">
        <w:rPr>
          <w:rFonts w:ascii="Cambria" w:hAnsi="Cambria" w:cs="Cambria"/>
          <w:color w:val="auto"/>
          <w:sz w:val="16"/>
          <w:szCs w:val="16"/>
        </w:rPr>
        <w:t xml:space="preserve"> </w:t>
      </w:r>
      <w:r w:rsidRPr="00723750">
        <w:rPr>
          <w:rFonts w:ascii="Cambria" w:hAnsi="Cambria" w:cs="Cambria"/>
          <w:color w:val="auto"/>
          <w:sz w:val="16"/>
          <w:szCs w:val="16"/>
        </w:rPr>
        <w:tab/>
        <w:t xml:space="preserve">IACHR, Report No. 154/10. Petition 1462-07. Admissibility. Linda Loaiza López Soto and Next of Kin. </w:t>
      </w:r>
      <w:r w:rsidRPr="00E65974">
        <w:rPr>
          <w:rFonts w:ascii="Cambria" w:hAnsi="Cambria" w:cs="Cambria"/>
          <w:color w:val="auto"/>
          <w:sz w:val="16"/>
          <w:szCs w:val="16"/>
          <w:lang w:val="es-ES"/>
        </w:rPr>
        <w:t xml:space="preserve">Venezuela. November 1, 2019, para. 49; IACHR, Report No. 129/99. Ana, Beatriz, and Celia González Pérez. Mexico. </w:t>
      </w:r>
      <w:r w:rsidRPr="00723750">
        <w:rPr>
          <w:rFonts w:ascii="Cambria" w:hAnsi="Cambria" w:cs="Cambria"/>
          <w:color w:val="auto"/>
          <w:sz w:val="16"/>
          <w:szCs w:val="16"/>
        </w:rPr>
        <w:t>November 19, 1999, paras. 26-29.</w:t>
      </w:r>
    </w:p>
  </w:footnote>
  <w:footnote w:id="7">
    <w:p w14:paraId="62A39286" w14:textId="77777777" w:rsidR="00276B48" w:rsidRDefault="00276B48" w:rsidP="00C51DEF">
      <w:pPr>
        <w:pStyle w:val="FootnoteText"/>
        <w:tabs>
          <w:tab w:val="left" w:pos="720"/>
        </w:tabs>
        <w:ind w:firstLine="360"/>
        <w:jc w:val="both"/>
      </w:pPr>
      <w:r w:rsidRPr="00723750">
        <w:rPr>
          <w:rStyle w:val="FootnoteReference"/>
          <w:rFonts w:ascii="Cambria" w:hAnsi="Cambria" w:cs="Cambria"/>
          <w:sz w:val="16"/>
          <w:szCs w:val="16"/>
        </w:rPr>
        <w:footnoteRef/>
      </w:r>
      <w:r w:rsidRPr="00723750">
        <w:rPr>
          <w:rFonts w:ascii="Cambria" w:hAnsi="Cambria" w:cs="Cambria"/>
          <w:sz w:val="16"/>
          <w:szCs w:val="16"/>
        </w:rPr>
        <w:t xml:space="preserve"> </w:t>
      </w:r>
      <w:r w:rsidRPr="00723750">
        <w:rPr>
          <w:rFonts w:ascii="Cambria" w:hAnsi="Cambria" w:cs="Cambria"/>
          <w:sz w:val="16"/>
          <w:szCs w:val="16"/>
        </w:rPr>
        <w:tab/>
        <w:t xml:space="preserve">I/A Court H.R. </w:t>
      </w:r>
      <w:r w:rsidRPr="00723750">
        <w:rPr>
          <w:rFonts w:ascii="Cambria" w:hAnsi="Cambria" w:cs="Cambria"/>
          <w:i/>
          <w:iCs/>
          <w:sz w:val="16"/>
          <w:szCs w:val="16"/>
        </w:rPr>
        <w:t>Case of Vicky Hernández et al. v. Honduras.</w:t>
      </w:r>
      <w:r w:rsidRPr="00723750">
        <w:rPr>
          <w:rFonts w:ascii="Cambria" w:hAnsi="Cambria" w:cs="Cambria"/>
          <w:sz w:val="16"/>
          <w:szCs w:val="16"/>
        </w:rPr>
        <w:t xml:space="preserve"> Merits, Reparations, and Costs. Judgment of March 26, 2021. Series C No. 422, para. 128.</w:t>
      </w:r>
    </w:p>
  </w:footnote>
  <w:footnote w:id="8">
    <w:p w14:paraId="38390914" w14:textId="77777777" w:rsidR="00276B48" w:rsidRDefault="00276B48" w:rsidP="00C51DEF">
      <w:pPr>
        <w:pStyle w:val="FootnoteText"/>
        <w:tabs>
          <w:tab w:val="left" w:pos="720"/>
        </w:tabs>
        <w:ind w:firstLine="360"/>
        <w:jc w:val="both"/>
      </w:pPr>
      <w:r w:rsidRPr="00723750">
        <w:rPr>
          <w:rStyle w:val="FootnoteReference"/>
          <w:rFonts w:ascii="Cambria" w:hAnsi="Cambria" w:cs="Cambria"/>
          <w:sz w:val="16"/>
          <w:szCs w:val="16"/>
        </w:rPr>
        <w:footnoteRef/>
      </w:r>
      <w:r w:rsidRPr="00723750">
        <w:rPr>
          <w:rFonts w:ascii="Cambria" w:hAnsi="Cambria" w:cs="Cambria"/>
          <w:sz w:val="16"/>
          <w:szCs w:val="16"/>
        </w:rPr>
        <w:t xml:space="preserve"> </w:t>
      </w:r>
      <w:r w:rsidRPr="00723750">
        <w:rPr>
          <w:rFonts w:ascii="Cambria" w:hAnsi="Cambria" w:cs="Cambria"/>
          <w:sz w:val="16"/>
          <w:szCs w:val="16"/>
        </w:rPr>
        <w:tab/>
        <w:t>IACHR, Report No. 46/18. Petition 1638-12. Admissibility. Raiza Isabela Salazar. Colombia. May 4, 2018, para. 14.</w:t>
      </w:r>
    </w:p>
  </w:footnote>
  <w:footnote w:id="9">
    <w:p w14:paraId="7F1E1B67" w14:textId="77777777" w:rsidR="00276B48" w:rsidRPr="00723750" w:rsidRDefault="00276B48" w:rsidP="00C51DEF">
      <w:pPr>
        <w:pStyle w:val="FootnoteText"/>
        <w:tabs>
          <w:tab w:val="left" w:pos="720"/>
        </w:tabs>
        <w:ind w:firstLine="360"/>
        <w:jc w:val="both"/>
        <w:rPr>
          <w:rFonts w:ascii="Cambria" w:hAnsi="Cambria" w:cs="Cambria"/>
          <w:sz w:val="16"/>
          <w:szCs w:val="16"/>
        </w:rPr>
      </w:pPr>
      <w:r w:rsidRPr="00723750">
        <w:rPr>
          <w:rStyle w:val="FootnoteReference"/>
          <w:rFonts w:ascii="Cambria" w:hAnsi="Cambria" w:cs="Cambria"/>
          <w:sz w:val="16"/>
          <w:szCs w:val="16"/>
        </w:rPr>
        <w:footnoteRef/>
      </w:r>
      <w:r w:rsidRPr="00723750">
        <w:rPr>
          <w:rFonts w:ascii="Cambria" w:hAnsi="Cambria" w:cs="Cambria"/>
          <w:sz w:val="16"/>
          <w:szCs w:val="16"/>
        </w:rPr>
        <w:t xml:space="preserve"> </w:t>
      </w:r>
      <w:r w:rsidRPr="00723750">
        <w:rPr>
          <w:rFonts w:ascii="Cambria" w:hAnsi="Cambria" w:cs="Cambria"/>
          <w:sz w:val="16"/>
          <w:szCs w:val="16"/>
        </w:rPr>
        <w:tab/>
        <w:t xml:space="preserve">I/A Court H.R., </w:t>
      </w:r>
      <w:r w:rsidRPr="00723750">
        <w:rPr>
          <w:rFonts w:ascii="Cambria" w:hAnsi="Cambria" w:cs="Cambria"/>
          <w:i/>
          <w:iCs/>
          <w:sz w:val="16"/>
          <w:szCs w:val="16"/>
        </w:rPr>
        <w:t>Case of Vicky Hernández et al. v. Honduras</w:t>
      </w:r>
      <w:r w:rsidRPr="00723750">
        <w:rPr>
          <w:rFonts w:ascii="Cambria" w:hAnsi="Cambria" w:cs="Cambria"/>
          <w:sz w:val="16"/>
          <w:szCs w:val="16"/>
        </w:rPr>
        <w:t>. Merits, Reparations, and Costs. Judgment of March 26, 2021. Series C No. 422, paras. 126-136.</w:t>
      </w:r>
    </w:p>
    <w:p w14:paraId="410E4823" w14:textId="77777777" w:rsidR="00276B48" w:rsidRDefault="00276B48" w:rsidP="00C51DEF">
      <w:pPr>
        <w:pStyle w:val="FootnoteText"/>
        <w:tabs>
          <w:tab w:val="left" w:pos="720"/>
        </w:tabs>
        <w:ind w:firstLine="360"/>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63EEB" w14:textId="77777777" w:rsidR="00276B48" w:rsidRPr="00C51DEF" w:rsidRDefault="00276B48" w:rsidP="00A50FCF">
    <w:pPr>
      <w:pStyle w:val="Header"/>
      <w:tabs>
        <w:tab w:val="clear" w:pos="4320"/>
        <w:tab w:val="clear" w:pos="8640"/>
      </w:tabs>
      <w:jc w:val="center"/>
      <w:rPr>
        <w:rFonts w:cs="Times New Roman"/>
        <w:noProof/>
        <w:sz w:val="22"/>
        <w:szCs w:val="22"/>
      </w:rPr>
    </w:pPr>
  </w:p>
  <w:p w14:paraId="6548A585" w14:textId="77777777" w:rsidR="00276B48" w:rsidRPr="00C51DEF" w:rsidRDefault="00276B48" w:rsidP="00A50FCF">
    <w:pPr>
      <w:pStyle w:val="Header"/>
      <w:tabs>
        <w:tab w:val="clear" w:pos="4320"/>
        <w:tab w:val="clear" w:pos="8640"/>
      </w:tabs>
      <w:jc w:val="center"/>
      <w:rPr>
        <w:rFonts w:cs="Times New Roman"/>
        <w:noProof/>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CE0D9" w14:textId="68804F39" w:rsidR="00276B48" w:rsidRDefault="00E65974" w:rsidP="00320918">
    <w:pPr>
      <w:pStyle w:val="Header"/>
      <w:tabs>
        <w:tab w:val="clear" w:pos="4320"/>
        <w:tab w:val="clear" w:pos="8640"/>
      </w:tabs>
      <w:jc w:val="center"/>
      <w:rPr>
        <w:rFonts w:cs="Times New Roman"/>
        <w:sz w:val="22"/>
        <w:szCs w:val="22"/>
      </w:rPr>
    </w:pPr>
    <w:r>
      <w:rPr>
        <w:rFonts w:cs="Times New Roman"/>
        <w:noProof/>
        <w:sz w:val="22"/>
        <w:szCs w:val="22"/>
      </w:rPr>
      <w:drawing>
        <wp:inline distT="0" distB="0" distL="0" distR="0" wp14:anchorId="2528514F" wp14:editId="0CB074DF">
          <wp:extent cx="2138680" cy="119380"/>
          <wp:effectExtent l="0" t="0" r="0" b="0"/>
          <wp:docPr id="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8680" cy="119380"/>
                  </a:xfrm>
                  <a:prstGeom prst="rect">
                    <a:avLst/>
                  </a:prstGeom>
                  <a:noFill/>
                  <a:ln>
                    <a:noFill/>
                  </a:ln>
                </pic:spPr>
              </pic:pic>
            </a:graphicData>
          </a:graphic>
        </wp:inline>
      </w:drawing>
    </w:r>
  </w:p>
  <w:p w14:paraId="6B2AA8B7" w14:textId="77777777" w:rsidR="00276B48" w:rsidRPr="00C51DEF" w:rsidRDefault="004E15E0" w:rsidP="00A50FCF">
    <w:pPr>
      <w:pStyle w:val="Header"/>
      <w:tabs>
        <w:tab w:val="clear" w:pos="4320"/>
        <w:tab w:val="clear" w:pos="8640"/>
      </w:tabs>
      <w:jc w:val="center"/>
      <w:rPr>
        <w:rFonts w:cs="Times New Roman"/>
        <w:noProof/>
        <w:sz w:val="22"/>
        <w:szCs w:val="22"/>
      </w:rPr>
    </w:pPr>
    <w:r>
      <w:rPr>
        <w:rFonts w:cs="Times New Roman"/>
        <w:sz w:val="22"/>
        <w:szCs w:val="22"/>
      </w:rPr>
      <w:pict w14:anchorId="16C3FDB2">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Times New Roman" w:hAnsi="Calibri"/>
        <w:b/>
        <w:bCs/>
        <w:color w:val="000000"/>
        <w:position w:val="0"/>
        <w:sz w:val="22"/>
        <w:szCs w:val="22"/>
        <w:u w:val="single"/>
      </w:rPr>
    </w:lvl>
    <w:lvl w:ilvl="1">
      <w:start w:val="1"/>
      <w:numFmt w:val="decimal"/>
      <w:lvlText w:val="%1.%2."/>
      <w:lvlJc w:val="left"/>
      <w:pPr>
        <w:tabs>
          <w:tab w:val="num" w:pos="720"/>
        </w:tabs>
        <w:ind w:left="720" w:hanging="360"/>
      </w:pPr>
      <w:rPr>
        <w:rFonts w:ascii="Trebuchet MS" w:eastAsia="Times New Roman" w:hAnsi="Trebuchet MS"/>
        <w:b/>
        <w:bCs/>
        <w:color w:val="000000"/>
        <w:position w:val="0"/>
        <w:sz w:val="22"/>
        <w:szCs w:val="22"/>
        <w:u w:val="single"/>
      </w:rPr>
    </w:lvl>
    <w:lvl w:ilvl="2">
      <w:start w:val="1"/>
      <w:numFmt w:val="decimal"/>
      <w:lvlText w:val="%1.%2.%3."/>
      <w:lvlJc w:val="left"/>
      <w:pPr>
        <w:tabs>
          <w:tab w:val="num" w:pos="1020"/>
        </w:tabs>
        <w:ind w:left="1020" w:hanging="660"/>
      </w:pPr>
      <w:rPr>
        <w:rFonts w:ascii="Calibri" w:eastAsia="Times New Roman" w:hAnsi="Calibri"/>
        <w:b/>
        <w:bCs/>
        <w:color w:val="000000"/>
        <w:position w:val="0"/>
        <w:sz w:val="22"/>
        <w:szCs w:val="22"/>
        <w:u w:val="single"/>
      </w:rPr>
    </w:lvl>
    <w:lvl w:ilvl="3">
      <w:start w:val="1"/>
      <w:numFmt w:val="decimal"/>
      <w:lvlText w:val="%1.%2.%3.%4."/>
      <w:lvlJc w:val="left"/>
      <w:pPr>
        <w:tabs>
          <w:tab w:val="num" w:pos="1020"/>
        </w:tabs>
        <w:ind w:left="1020" w:hanging="660"/>
      </w:pPr>
      <w:rPr>
        <w:rFonts w:ascii="Calibri" w:eastAsia="Times New Roman" w:hAnsi="Calibri"/>
        <w:b/>
        <w:bCs/>
        <w:color w:val="000000"/>
        <w:position w:val="0"/>
        <w:sz w:val="22"/>
        <w:szCs w:val="22"/>
        <w:u w:val="single"/>
      </w:rPr>
    </w:lvl>
    <w:lvl w:ilvl="4">
      <w:start w:val="1"/>
      <w:numFmt w:val="decimal"/>
      <w:lvlText w:val="%1.%2.%3.%4.%5."/>
      <w:lvlJc w:val="left"/>
      <w:pPr>
        <w:tabs>
          <w:tab w:val="num" w:pos="1350"/>
        </w:tabs>
        <w:ind w:left="1350" w:hanging="990"/>
      </w:pPr>
      <w:rPr>
        <w:rFonts w:ascii="Calibri" w:eastAsia="Times New Roman" w:hAnsi="Calibri"/>
        <w:b/>
        <w:bCs/>
        <w:color w:val="000000"/>
        <w:position w:val="0"/>
        <w:sz w:val="22"/>
        <w:szCs w:val="22"/>
        <w:u w:val="single"/>
      </w:rPr>
    </w:lvl>
    <w:lvl w:ilvl="5">
      <w:start w:val="1"/>
      <w:numFmt w:val="decimal"/>
      <w:lvlText w:val="%1.%2.%3.%4.%5.%6."/>
      <w:lvlJc w:val="left"/>
      <w:pPr>
        <w:tabs>
          <w:tab w:val="num" w:pos="1350"/>
        </w:tabs>
        <w:ind w:left="1350" w:hanging="990"/>
      </w:pPr>
      <w:rPr>
        <w:rFonts w:ascii="Calibri" w:eastAsia="Times New Roman" w:hAnsi="Calibri"/>
        <w:b/>
        <w:bCs/>
        <w:color w:val="000000"/>
        <w:position w:val="0"/>
        <w:sz w:val="22"/>
        <w:szCs w:val="22"/>
        <w:u w:val="single"/>
      </w:rPr>
    </w:lvl>
    <w:lvl w:ilvl="6">
      <w:start w:val="1"/>
      <w:numFmt w:val="decimal"/>
      <w:lvlText w:val="%1.%2.%3.%4.%5.%6.%7."/>
      <w:lvlJc w:val="left"/>
      <w:pPr>
        <w:tabs>
          <w:tab w:val="num" w:pos="1680"/>
        </w:tabs>
        <w:ind w:left="1680" w:hanging="1320"/>
      </w:pPr>
      <w:rPr>
        <w:rFonts w:ascii="Calibri" w:eastAsia="Times New Roman" w:hAnsi="Calibri"/>
        <w:b/>
        <w:bCs/>
        <w:color w:val="000000"/>
        <w:position w:val="0"/>
        <w:sz w:val="22"/>
        <w:szCs w:val="22"/>
        <w:u w:val="single"/>
      </w:rPr>
    </w:lvl>
    <w:lvl w:ilvl="7">
      <w:start w:val="1"/>
      <w:numFmt w:val="decimal"/>
      <w:lvlText w:val="%1.%2.%3.%4.%5.%6.%7.%8."/>
      <w:lvlJc w:val="left"/>
      <w:pPr>
        <w:tabs>
          <w:tab w:val="num" w:pos="1680"/>
        </w:tabs>
        <w:ind w:left="1680" w:hanging="1320"/>
      </w:pPr>
      <w:rPr>
        <w:rFonts w:ascii="Calibri" w:eastAsia="Times New Roman" w:hAnsi="Calibri"/>
        <w:b/>
        <w:bCs/>
        <w:color w:val="000000"/>
        <w:position w:val="0"/>
        <w:sz w:val="22"/>
        <w:szCs w:val="22"/>
        <w:u w:val="single"/>
      </w:rPr>
    </w:lvl>
    <w:lvl w:ilvl="8">
      <w:start w:val="1"/>
      <w:numFmt w:val="decimal"/>
      <w:lvlText w:val="%1.%2.%3.%4.%5.%6.%7.%8.%9."/>
      <w:lvlJc w:val="left"/>
      <w:pPr>
        <w:tabs>
          <w:tab w:val="num" w:pos="2010"/>
        </w:tabs>
        <w:ind w:left="2010" w:hanging="1650"/>
      </w:pPr>
      <w:rPr>
        <w:rFonts w:ascii="Calibri" w:eastAsia="Times New Roman" w:hAnsi="Calibri"/>
        <w:b/>
        <w:bCs/>
        <w:color w:val="000000"/>
        <w:position w:val="0"/>
        <w:sz w:val="22"/>
        <w:szCs w:val="22"/>
        <w:u w:val="single"/>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imes New Roman" w:hAnsi="Trebuchet MS"/>
        <w:color w:val="000000"/>
        <w:position w:val="0"/>
        <w:sz w:val="24"/>
        <w:szCs w:val="24"/>
      </w:rPr>
    </w:lvl>
    <w:lvl w:ilvl="1">
      <w:start w:val="1"/>
      <w:numFmt w:val="bullet"/>
      <w:lvlText w:val="o"/>
      <w:lvlJc w:val="left"/>
      <w:pPr>
        <w:tabs>
          <w:tab w:val="num" w:pos="1410"/>
        </w:tabs>
        <w:ind w:left="1410" w:hanging="330"/>
      </w:pPr>
      <w:rPr>
        <w:rFonts w:ascii="Calibri" w:eastAsia="Times New Roman" w:hAnsi="Calibri"/>
        <w:color w:val="000000"/>
        <w:position w:val="0"/>
        <w:sz w:val="22"/>
        <w:szCs w:val="22"/>
      </w:rPr>
    </w:lvl>
    <w:lvl w:ilvl="2">
      <w:start w:val="1"/>
      <w:numFmt w:val="bullet"/>
      <w:lvlText w:val="▪"/>
      <w:lvlJc w:val="left"/>
      <w:pPr>
        <w:tabs>
          <w:tab w:val="num" w:pos="2130"/>
        </w:tabs>
        <w:ind w:left="2130" w:hanging="330"/>
      </w:pPr>
      <w:rPr>
        <w:rFonts w:ascii="Calibri" w:eastAsia="Times New Roman" w:hAnsi="Calibri"/>
        <w:color w:val="000000"/>
        <w:position w:val="0"/>
        <w:sz w:val="22"/>
        <w:szCs w:val="22"/>
      </w:rPr>
    </w:lvl>
    <w:lvl w:ilvl="3">
      <w:start w:val="1"/>
      <w:numFmt w:val="bullet"/>
      <w:lvlText w:val="•"/>
      <w:lvlJc w:val="left"/>
      <w:pPr>
        <w:tabs>
          <w:tab w:val="num" w:pos="2850"/>
        </w:tabs>
        <w:ind w:left="2850" w:hanging="330"/>
      </w:pPr>
      <w:rPr>
        <w:rFonts w:ascii="Calibri" w:eastAsia="Times New Roman" w:hAnsi="Calibri"/>
        <w:color w:val="000000"/>
        <w:position w:val="0"/>
        <w:sz w:val="22"/>
        <w:szCs w:val="22"/>
      </w:rPr>
    </w:lvl>
    <w:lvl w:ilvl="4">
      <w:start w:val="1"/>
      <w:numFmt w:val="bullet"/>
      <w:lvlText w:val="o"/>
      <w:lvlJc w:val="left"/>
      <w:pPr>
        <w:tabs>
          <w:tab w:val="num" w:pos="3570"/>
        </w:tabs>
        <w:ind w:left="3570" w:hanging="330"/>
      </w:pPr>
      <w:rPr>
        <w:rFonts w:ascii="Calibri" w:eastAsia="Times New Roman" w:hAnsi="Calibri"/>
        <w:color w:val="000000"/>
        <w:position w:val="0"/>
        <w:sz w:val="22"/>
        <w:szCs w:val="22"/>
      </w:rPr>
    </w:lvl>
    <w:lvl w:ilvl="5">
      <w:start w:val="1"/>
      <w:numFmt w:val="bullet"/>
      <w:lvlText w:val="▪"/>
      <w:lvlJc w:val="left"/>
      <w:pPr>
        <w:tabs>
          <w:tab w:val="num" w:pos="4290"/>
        </w:tabs>
        <w:ind w:left="4290" w:hanging="330"/>
      </w:pPr>
      <w:rPr>
        <w:rFonts w:ascii="Calibri" w:eastAsia="Times New Roman" w:hAnsi="Calibri"/>
        <w:color w:val="000000"/>
        <w:position w:val="0"/>
        <w:sz w:val="22"/>
        <w:szCs w:val="22"/>
      </w:rPr>
    </w:lvl>
    <w:lvl w:ilvl="6">
      <w:start w:val="1"/>
      <w:numFmt w:val="bullet"/>
      <w:lvlText w:val="•"/>
      <w:lvlJc w:val="left"/>
      <w:pPr>
        <w:tabs>
          <w:tab w:val="num" w:pos="5010"/>
        </w:tabs>
        <w:ind w:left="5010" w:hanging="330"/>
      </w:pPr>
      <w:rPr>
        <w:rFonts w:ascii="Calibri" w:eastAsia="Times New Roman" w:hAnsi="Calibri"/>
        <w:color w:val="000000"/>
        <w:position w:val="0"/>
        <w:sz w:val="22"/>
        <w:szCs w:val="22"/>
      </w:rPr>
    </w:lvl>
    <w:lvl w:ilvl="7">
      <w:start w:val="1"/>
      <w:numFmt w:val="bullet"/>
      <w:lvlText w:val="o"/>
      <w:lvlJc w:val="left"/>
      <w:pPr>
        <w:tabs>
          <w:tab w:val="num" w:pos="5730"/>
        </w:tabs>
        <w:ind w:left="5730" w:hanging="330"/>
      </w:pPr>
      <w:rPr>
        <w:rFonts w:ascii="Calibri" w:eastAsia="Times New Roman" w:hAnsi="Calibri"/>
        <w:color w:val="000000"/>
        <w:position w:val="0"/>
        <w:sz w:val="22"/>
        <w:szCs w:val="22"/>
      </w:rPr>
    </w:lvl>
    <w:lvl w:ilvl="8">
      <w:start w:val="1"/>
      <w:numFmt w:val="bullet"/>
      <w:lvlText w:val="▪"/>
      <w:lvlJc w:val="left"/>
      <w:pPr>
        <w:tabs>
          <w:tab w:val="num" w:pos="6450"/>
        </w:tabs>
        <w:ind w:left="6450" w:hanging="330"/>
      </w:pPr>
      <w:rPr>
        <w:rFonts w:ascii="Calibri" w:eastAsia="Times New Roman" w:hAnsi="Calibri"/>
        <w:color w:val="000000"/>
        <w:position w:val="0"/>
        <w:sz w:val="22"/>
        <w:szCs w:val="22"/>
      </w:rPr>
    </w:lvl>
  </w:abstractNum>
  <w:abstractNum w:abstractNumId="4" w15:restartNumberingAfterBreak="0">
    <w:nsid w:val="0E1D2261"/>
    <w:multiLevelType w:val="hybridMultilevel"/>
    <w:tmpl w:val="FD10D654"/>
    <w:lvl w:ilvl="0" w:tplc="CCD808E6">
      <w:start w:val="1"/>
      <w:numFmt w:val="decimal"/>
      <w:lvlText w:val="%1."/>
      <w:lvlJc w:val="left"/>
      <w:pPr>
        <w:tabs>
          <w:tab w:val="num" w:pos="720"/>
        </w:tabs>
        <w:ind w:firstLine="720"/>
      </w:pPr>
      <w:rPr>
        <w:rFonts w:hint="default"/>
        <w:vanish w:val="0"/>
        <w:color w:val="auto"/>
      </w:rPr>
    </w:lvl>
    <w:lvl w:ilvl="1" w:tplc="D1A2BF32">
      <w:start w:val="1"/>
      <w:numFmt w:val="lowerLetter"/>
      <w:lvlText w:val="%2."/>
      <w:lvlJc w:val="left"/>
      <w:pPr>
        <w:tabs>
          <w:tab w:val="num" w:pos="1440"/>
        </w:tabs>
        <w:ind w:left="1440" w:hanging="360"/>
      </w:pPr>
    </w:lvl>
    <w:lvl w:ilvl="2" w:tplc="73BEBED2">
      <w:start w:val="1"/>
      <w:numFmt w:val="lowerRoman"/>
      <w:lvlText w:val="%3."/>
      <w:lvlJc w:val="right"/>
      <w:pPr>
        <w:tabs>
          <w:tab w:val="num" w:pos="2160"/>
        </w:tabs>
        <w:ind w:left="2160" w:hanging="180"/>
      </w:pPr>
    </w:lvl>
    <w:lvl w:ilvl="3" w:tplc="ED9C1E2E">
      <w:start w:val="1"/>
      <w:numFmt w:val="decimal"/>
      <w:lvlText w:val="%4."/>
      <w:lvlJc w:val="left"/>
      <w:pPr>
        <w:tabs>
          <w:tab w:val="num" w:pos="2880"/>
        </w:tabs>
        <w:ind w:left="2880" w:hanging="360"/>
      </w:pPr>
    </w:lvl>
    <w:lvl w:ilvl="4" w:tplc="52785C62">
      <w:start w:val="1"/>
      <w:numFmt w:val="lowerLetter"/>
      <w:lvlText w:val="%5."/>
      <w:lvlJc w:val="left"/>
      <w:pPr>
        <w:tabs>
          <w:tab w:val="num" w:pos="3600"/>
        </w:tabs>
        <w:ind w:left="3600" w:hanging="360"/>
      </w:pPr>
    </w:lvl>
    <w:lvl w:ilvl="5" w:tplc="A4EA3702">
      <w:start w:val="1"/>
      <w:numFmt w:val="lowerRoman"/>
      <w:lvlText w:val="%6."/>
      <w:lvlJc w:val="right"/>
      <w:pPr>
        <w:tabs>
          <w:tab w:val="num" w:pos="4320"/>
        </w:tabs>
        <w:ind w:left="4320" w:hanging="180"/>
      </w:pPr>
    </w:lvl>
    <w:lvl w:ilvl="6" w:tplc="A1D61500">
      <w:start w:val="1"/>
      <w:numFmt w:val="decimal"/>
      <w:lvlText w:val="%7."/>
      <w:lvlJc w:val="left"/>
      <w:pPr>
        <w:tabs>
          <w:tab w:val="num" w:pos="5040"/>
        </w:tabs>
        <w:ind w:left="5040" w:hanging="360"/>
      </w:pPr>
    </w:lvl>
    <w:lvl w:ilvl="7" w:tplc="1FC62FDA">
      <w:start w:val="1"/>
      <w:numFmt w:val="lowerLetter"/>
      <w:lvlText w:val="%8."/>
      <w:lvlJc w:val="left"/>
      <w:pPr>
        <w:tabs>
          <w:tab w:val="num" w:pos="5760"/>
        </w:tabs>
        <w:ind w:left="5760" w:hanging="360"/>
      </w:pPr>
    </w:lvl>
    <w:lvl w:ilvl="8" w:tplc="4D5C3096">
      <w:start w:val="1"/>
      <w:numFmt w:val="lowerRoman"/>
      <w:lvlText w:val="%9."/>
      <w:lvlJc w:val="right"/>
      <w:pPr>
        <w:tabs>
          <w:tab w:val="num" w:pos="6480"/>
        </w:tabs>
        <w:ind w:left="6480" w:hanging="180"/>
      </w:p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Times New Roman" w:hAnsi="Calibri"/>
        <w:color w:val="000000"/>
        <w:position w:val="0"/>
        <w:sz w:val="22"/>
        <w:szCs w:val="22"/>
      </w:rPr>
    </w:lvl>
    <w:lvl w:ilvl="1">
      <w:start w:val="1"/>
      <w:numFmt w:val="lowerLetter"/>
      <w:lvlText w:val="%2."/>
      <w:lvlJc w:val="left"/>
      <w:pPr>
        <w:tabs>
          <w:tab w:val="num" w:pos="1440"/>
        </w:tabs>
        <w:ind w:left="1440" w:hanging="360"/>
      </w:pPr>
      <w:rPr>
        <w:rFonts w:ascii="Trebuchet MS" w:eastAsia="Times New Roman" w:hAnsi="Trebuchet M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690"/>
        </w:tabs>
        <w:ind w:left="69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imes New Roman" w:hAnsi="Trebuchet MS"/>
        <w:b/>
        <w:bCs/>
        <w:color w:val="000000"/>
        <w:position w:val="0"/>
        <w:sz w:val="22"/>
        <w:szCs w:val="22"/>
      </w:rPr>
    </w:lvl>
    <w:lvl w:ilvl="1">
      <w:start w:val="1"/>
      <w:numFmt w:val="decimal"/>
      <w:lvlText w:val="%1.%2."/>
      <w:lvlJc w:val="left"/>
      <w:pPr>
        <w:tabs>
          <w:tab w:val="num" w:pos="690"/>
        </w:tabs>
        <w:ind w:left="690" w:hanging="330"/>
      </w:pPr>
      <w:rPr>
        <w:rFonts w:ascii="Calibri" w:eastAsia="Times New Roman" w:hAnsi="Calibri"/>
        <w:b/>
        <w:bCs/>
        <w:color w:val="000000"/>
        <w:position w:val="0"/>
        <w:sz w:val="22"/>
        <w:szCs w:val="22"/>
      </w:rPr>
    </w:lvl>
    <w:lvl w:ilvl="2">
      <w:start w:val="1"/>
      <w:numFmt w:val="decimal"/>
      <w:lvlText w:val="%1.%2.%3."/>
      <w:lvlJc w:val="left"/>
      <w:pPr>
        <w:tabs>
          <w:tab w:val="num" w:pos="1020"/>
        </w:tabs>
        <w:ind w:left="1020" w:hanging="660"/>
      </w:pPr>
      <w:rPr>
        <w:rFonts w:ascii="Calibri" w:eastAsia="Times New Roman" w:hAnsi="Calibri"/>
        <w:b/>
        <w:bCs/>
        <w:color w:val="000000"/>
        <w:position w:val="0"/>
        <w:sz w:val="22"/>
        <w:szCs w:val="22"/>
      </w:rPr>
    </w:lvl>
    <w:lvl w:ilvl="3">
      <w:start w:val="1"/>
      <w:numFmt w:val="decimal"/>
      <w:lvlText w:val="%1.%2.%3.%4."/>
      <w:lvlJc w:val="left"/>
      <w:pPr>
        <w:tabs>
          <w:tab w:val="num" w:pos="1020"/>
        </w:tabs>
        <w:ind w:left="1020" w:hanging="660"/>
      </w:pPr>
      <w:rPr>
        <w:rFonts w:ascii="Calibri" w:eastAsia="Times New Roman" w:hAnsi="Calibri"/>
        <w:b/>
        <w:bCs/>
        <w:color w:val="000000"/>
        <w:position w:val="0"/>
        <w:sz w:val="22"/>
        <w:szCs w:val="22"/>
      </w:rPr>
    </w:lvl>
    <w:lvl w:ilvl="4">
      <w:start w:val="1"/>
      <w:numFmt w:val="decimal"/>
      <w:lvlText w:val="%1.%2.%3.%4.%5."/>
      <w:lvlJc w:val="left"/>
      <w:pPr>
        <w:tabs>
          <w:tab w:val="num" w:pos="1350"/>
        </w:tabs>
        <w:ind w:left="1350" w:hanging="990"/>
      </w:pPr>
      <w:rPr>
        <w:rFonts w:ascii="Calibri" w:eastAsia="Times New Roman" w:hAnsi="Calibri"/>
        <w:b/>
        <w:bCs/>
        <w:color w:val="000000"/>
        <w:position w:val="0"/>
        <w:sz w:val="22"/>
        <w:szCs w:val="22"/>
      </w:rPr>
    </w:lvl>
    <w:lvl w:ilvl="5">
      <w:start w:val="1"/>
      <w:numFmt w:val="decimal"/>
      <w:lvlText w:val="%1.%2.%3.%4.%5.%6."/>
      <w:lvlJc w:val="left"/>
      <w:pPr>
        <w:tabs>
          <w:tab w:val="num" w:pos="1350"/>
        </w:tabs>
        <w:ind w:left="1350" w:hanging="990"/>
      </w:pPr>
      <w:rPr>
        <w:rFonts w:ascii="Calibri" w:eastAsia="Times New Roman" w:hAnsi="Calibri"/>
        <w:b/>
        <w:bCs/>
        <w:color w:val="000000"/>
        <w:position w:val="0"/>
        <w:sz w:val="22"/>
        <w:szCs w:val="22"/>
      </w:rPr>
    </w:lvl>
    <w:lvl w:ilvl="6">
      <w:start w:val="1"/>
      <w:numFmt w:val="decimal"/>
      <w:lvlText w:val="%1.%2.%3.%4.%5.%6.%7."/>
      <w:lvlJc w:val="left"/>
      <w:pPr>
        <w:tabs>
          <w:tab w:val="num" w:pos="1680"/>
        </w:tabs>
        <w:ind w:left="1680" w:hanging="1320"/>
      </w:pPr>
      <w:rPr>
        <w:rFonts w:ascii="Calibri" w:eastAsia="Times New Roman" w:hAnsi="Calibri"/>
        <w:b/>
        <w:bCs/>
        <w:color w:val="000000"/>
        <w:position w:val="0"/>
        <w:sz w:val="22"/>
        <w:szCs w:val="22"/>
      </w:rPr>
    </w:lvl>
    <w:lvl w:ilvl="7">
      <w:start w:val="1"/>
      <w:numFmt w:val="decimal"/>
      <w:lvlText w:val="%1.%2.%3.%4.%5.%6.%7.%8."/>
      <w:lvlJc w:val="left"/>
      <w:pPr>
        <w:tabs>
          <w:tab w:val="num" w:pos="1680"/>
        </w:tabs>
        <w:ind w:left="1680" w:hanging="1320"/>
      </w:pPr>
      <w:rPr>
        <w:rFonts w:ascii="Calibri" w:eastAsia="Times New Roman" w:hAnsi="Calibri"/>
        <w:b/>
        <w:bCs/>
        <w:color w:val="000000"/>
        <w:position w:val="0"/>
        <w:sz w:val="22"/>
        <w:szCs w:val="22"/>
      </w:rPr>
    </w:lvl>
    <w:lvl w:ilvl="8">
      <w:start w:val="1"/>
      <w:numFmt w:val="decimal"/>
      <w:lvlText w:val="%1.%2.%3.%4.%5.%6.%7.%8.%9."/>
      <w:lvlJc w:val="left"/>
      <w:pPr>
        <w:tabs>
          <w:tab w:val="num" w:pos="2010"/>
        </w:tabs>
        <w:ind w:left="2010" w:hanging="1650"/>
      </w:pPr>
      <w:rPr>
        <w:rFonts w:ascii="Calibri" w:eastAsia="Times New Roman" w:hAnsi="Calibri"/>
        <w:b/>
        <w:bCs/>
        <w:color w:val="000000"/>
        <w:position w:val="0"/>
        <w:sz w:val="22"/>
        <w:szCs w:val="22"/>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18"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19"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0"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Times New Roman" w:hAnsi="Calibri"/>
        <w:color w:val="000000"/>
        <w:position w:val="0"/>
        <w:sz w:val="22"/>
        <w:szCs w:val="22"/>
      </w:rPr>
    </w:lvl>
    <w:lvl w:ilvl="1">
      <w:start w:val="1"/>
      <w:numFmt w:val="lowerLetter"/>
      <w:lvlText w:val="%2."/>
      <w:lvlJc w:val="left"/>
      <w:pPr>
        <w:tabs>
          <w:tab w:val="num" w:pos="1440"/>
        </w:tabs>
        <w:ind w:left="1440" w:hanging="360"/>
      </w:pPr>
      <w:rPr>
        <w:rFonts w:ascii="Trebuchet MS" w:eastAsia="Times New Roman" w:hAnsi="Trebuchet M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1"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2"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3"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imes New Roman" w:hAnsi="Trebuchet MS"/>
        <w:color w:val="000000"/>
        <w:position w:val="0"/>
        <w:sz w:val="24"/>
        <w:szCs w:val="24"/>
      </w:rPr>
    </w:lvl>
    <w:lvl w:ilvl="1">
      <w:start w:val="1"/>
      <w:numFmt w:val="bullet"/>
      <w:lvlText w:val="o"/>
      <w:lvlJc w:val="left"/>
      <w:pPr>
        <w:tabs>
          <w:tab w:val="num" w:pos="1410"/>
        </w:tabs>
        <w:ind w:left="1410" w:hanging="330"/>
      </w:pPr>
      <w:rPr>
        <w:rFonts w:ascii="Calibri" w:eastAsia="Times New Roman" w:hAnsi="Calibri"/>
        <w:color w:val="000000"/>
        <w:position w:val="0"/>
        <w:sz w:val="22"/>
        <w:szCs w:val="22"/>
      </w:rPr>
    </w:lvl>
    <w:lvl w:ilvl="2">
      <w:start w:val="1"/>
      <w:numFmt w:val="bullet"/>
      <w:lvlText w:val="▪"/>
      <w:lvlJc w:val="left"/>
      <w:pPr>
        <w:tabs>
          <w:tab w:val="num" w:pos="2130"/>
        </w:tabs>
        <w:ind w:left="2130" w:hanging="330"/>
      </w:pPr>
      <w:rPr>
        <w:rFonts w:ascii="Calibri" w:eastAsia="Times New Roman" w:hAnsi="Calibri"/>
        <w:color w:val="000000"/>
        <w:position w:val="0"/>
        <w:sz w:val="22"/>
        <w:szCs w:val="22"/>
      </w:rPr>
    </w:lvl>
    <w:lvl w:ilvl="3">
      <w:start w:val="1"/>
      <w:numFmt w:val="bullet"/>
      <w:lvlText w:val="•"/>
      <w:lvlJc w:val="left"/>
      <w:pPr>
        <w:tabs>
          <w:tab w:val="num" w:pos="2850"/>
        </w:tabs>
        <w:ind w:left="2850" w:hanging="330"/>
      </w:pPr>
      <w:rPr>
        <w:rFonts w:ascii="Calibri" w:eastAsia="Times New Roman" w:hAnsi="Calibri"/>
        <w:color w:val="000000"/>
        <w:position w:val="0"/>
        <w:sz w:val="22"/>
        <w:szCs w:val="22"/>
      </w:rPr>
    </w:lvl>
    <w:lvl w:ilvl="4">
      <w:start w:val="1"/>
      <w:numFmt w:val="bullet"/>
      <w:lvlText w:val="o"/>
      <w:lvlJc w:val="left"/>
      <w:pPr>
        <w:tabs>
          <w:tab w:val="num" w:pos="3570"/>
        </w:tabs>
        <w:ind w:left="3570" w:hanging="330"/>
      </w:pPr>
      <w:rPr>
        <w:rFonts w:ascii="Calibri" w:eastAsia="Times New Roman" w:hAnsi="Calibri"/>
        <w:color w:val="000000"/>
        <w:position w:val="0"/>
        <w:sz w:val="22"/>
        <w:szCs w:val="22"/>
      </w:rPr>
    </w:lvl>
    <w:lvl w:ilvl="5">
      <w:start w:val="1"/>
      <w:numFmt w:val="bullet"/>
      <w:lvlText w:val="▪"/>
      <w:lvlJc w:val="left"/>
      <w:pPr>
        <w:tabs>
          <w:tab w:val="num" w:pos="4290"/>
        </w:tabs>
        <w:ind w:left="4290" w:hanging="330"/>
      </w:pPr>
      <w:rPr>
        <w:rFonts w:ascii="Calibri" w:eastAsia="Times New Roman" w:hAnsi="Calibri"/>
        <w:color w:val="000000"/>
        <w:position w:val="0"/>
        <w:sz w:val="22"/>
        <w:szCs w:val="22"/>
      </w:rPr>
    </w:lvl>
    <w:lvl w:ilvl="6">
      <w:start w:val="1"/>
      <w:numFmt w:val="bullet"/>
      <w:lvlText w:val="•"/>
      <w:lvlJc w:val="left"/>
      <w:pPr>
        <w:tabs>
          <w:tab w:val="num" w:pos="5010"/>
        </w:tabs>
        <w:ind w:left="5010" w:hanging="330"/>
      </w:pPr>
      <w:rPr>
        <w:rFonts w:ascii="Calibri" w:eastAsia="Times New Roman" w:hAnsi="Calibri"/>
        <w:color w:val="000000"/>
        <w:position w:val="0"/>
        <w:sz w:val="22"/>
        <w:szCs w:val="22"/>
      </w:rPr>
    </w:lvl>
    <w:lvl w:ilvl="7">
      <w:start w:val="1"/>
      <w:numFmt w:val="bullet"/>
      <w:lvlText w:val="o"/>
      <w:lvlJc w:val="left"/>
      <w:pPr>
        <w:tabs>
          <w:tab w:val="num" w:pos="5730"/>
        </w:tabs>
        <w:ind w:left="5730" w:hanging="330"/>
      </w:pPr>
      <w:rPr>
        <w:rFonts w:ascii="Calibri" w:eastAsia="Times New Roman" w:hAnsi="Calibri"/>
        <w:color w:val="000000"/>
        <w:position w:val="0"/>
        <w:sz w:val="22"/>
        <w:szCs w:val="22"/>
      </w:rPr>
    </w:lvl>
    <w:lvl w:ilvl="8">
      <w:start w:val="1"/>
      <w:numFmt w:val="bullet"/>
      <w:lvlText w:val="▪"/>
      <w:lvlJc w:val="left"/>
      <w:pPr>
        <w:tabs>
          <w:tab w:val="num" w:pos="6450"/>
        </w:tabs>
        <w:ind w:left="6450" w:hanging="330"/>
      </w:pPr>
      <w:rPr>
        <w:rFonts w:ascii="Calibri" w:eastAsia="Times New Roman" w:hAnsi="Calibri"/>
        <w:color w:val="000000"/>
        <w:position w:val="0"/>
        <w:sz w:val="22"/>
        <w:szCs w:val="22"/>
      </w:rPr>
    </w:lvl>
  </w:abstractNum>
  <w:abstractNum w:abstractNumId="24"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25"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6"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7"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bullet"/>
      <w:lvlText w:val="•"/>
      <w:lvlJc w:val="left"/>
      <w:pPr>
        <w:tabs>
          <w:tab w:val="num" w:pos="1740"/>
        </w:tabs>
        <w:ind w:left="1740" w:hanging="66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8"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9"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3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imes New Roman" w:hAnsi="Trebuchet MS"/>
        <w:b/>
        <w:bCs/>
        <w:color w:val="000000"/>
        <w:position w:val="0"/>
        <w:sz w:val="22"/>
        <w:szCs w:val="22"/>
        <w:u w:val="single"/>
      </w:rPr>
    </w:lvl>
    <w:lvl w:ilvl="1">
      <w:start w:val="1"/>
      <w:numFmt w:val="lowerLetter"/>
      <w:lvlText w:val="%2."/>
      <w:lvlJc w:val="left"/>
      <w:pPr>
        <w:tabs>
          <w:tab w:val="num" w:pos="1770"/>
        </w:tabs>
        <w:ind w:left="1770" w:hanging="330"/>
      </w:pPr>
      <w:rPr>
        <w:rFonts w:ascii="Calibri" w:eastAsia="Times New Roman" w:hAnsi="Calibri"/>
        <w:b/>
        <w:bCs/>
        <w:color w:val="000000"/>
        <w:position w:val="0"/>
        <w:sz w:val="22"/>
        <w:szCs w:val="22"/>
        <w:u w:val="single"/>
      </w:rPr>
    </w:lvl>
    <w:lvl w:ilvl="2">
      <w:start w:val="1"/>
      <w:numFmt w:val="lowerRoman"/>
      <w:lvlText w:val="%3."/>
      <w:lvlJc w:val="left"/>
      <w:pPr>
        <w:tabs>
          <w:tab w:val="num" w:pos="2495"/>
        </w:tabs>
        <w:ind w:left="2495" w:hanging="271"/>
      </w:pPr>
      <w:rPr>
        <w:rFonts w:ascii="Calibri" w:eastAsia="Times New Roman" w:hAnsi="Calibri"/>
        <w:b/>
        <w:bCs/>
        <w:color w:val="000000"/>
        <w:position w:val="0"/>
        <w:sz w:val="22"/>
        <w:szCs w:val="22"/>
        <w:u w:val="single"/>
      </w:rPr>
    </w:lvl>
    <w:lvl w:ilvl="3">
      <w:start w:val="1"/>
      <w:numFmt w:val="decimal"/>
      <w:lvlText w:val="%4."/>
      <w:lvlJc w:val="left"/>
      <w:pPr>
        <w:tabs>
          <w:tab w:val="num" w:pos="3210"/>
        </w:tabs>
        <w:ind w:left="3210" w:hanging="330"/>
      </w:pPr>
      <w:rPr>
        <w:rFonts w:ascii="Calibri" w:eastAsia="Times New Roman" w:hAnsi="Calibri"/>
        <w:b/>
        <w:bCs/>
        <w:color w:val="000000"/>
        <w:position w:val="0"/>
        <w:sz w:val="22"/>
        <w:szCs w:val="22"/>
        <w:u w:val="single"/>
      </w:rPr>
    </w:lvl>
    <w:lvl w:ilvl="4">
      <w:start w:val="1"/>
      <w:numFmt w:val="lowerLetter"/>
      <w:lvlText w:val="%5."/>
      <w:lvlJc w:val="left"/>
      <w:pPr>
        <w:tabs>
          <w:tab w:val="num" w:pos="3930"/>
        </w:tabs>
        <w:ind w:left="3930" w:hanging="330"/>
      </w:pPr>
      <w:rPr>
        <w:rFonts w:ascii="Calibri" w:eastAsia="Times New Roman" w:hAnsi="Calibri"/>
        <w:b/>
        <w:bCs/>
        <w:color w:val="000000"/>
        <w:position w:val="0"/>
        <w:sz w:val="22"/>
        <w:szCs w:val="22"/>
        <w:u w:val="single"/>
      </w:rPr>
    </w:lvl>
    <w:lvl w:ilvl="5">
      <w:start w:val="1"/>
      <w:numFmt w:val="lowerRoman"/>
      <w:lvlText w:val="%6."/>
      <w:lvlJc w:val="left"/>
      <w:pPr>
        <w:tabs>
          <w:tab w:val="num" w:pos="4655"/>
        </w:tabs>
        <w:ind w:left="4655" w:hanging="271"/>
      </w:pPr>
      <w:rPr>
        <w:rFonts w:ascii="Calibri" w:eastAsia="Times New Roman" w:hAnsi="Calibri"/>
        <w:b/>
        <w:bCs/>
        <w:color w:val="000000"/>
        <w:position w:val="0"/>
        <w:sz w:val="22"/>
        <w:szCs w:val="22"/>
        <w:u w:val="single"/>
      </w:rPr>
    </w:lvl>
    <w:lvl w:ilvl="6">
      <w:start w:val="1"/>
      <w:numFmt w:val="decimal"/>
      <w:lvlText w:val="%7."/>
      <w:lvlJc w:val="left"/>
      <w:pPr>
        <w:tabs>
          <w:tab w:val="num" w:pos="5370"/>
        </w:tabs>
        <w:ind w:left="5370" w:hanging="330"/>
      </w:pPr>
      <w:rPr>
        <w:rFonts w:ascii="Calibri" w:eastAsia="Times New Roman" w:hAnsi="Calibri"/>
        <w:b/>
        <w:bCs/>
        <w:color w:val="000000"/>
        <w:position w:val="0"/>
        <w:sz w:val="22"/>
        <w:szCs w:val="22"/>
        <w:u w:val="single"/>
      </w:rPr>
    </w:lvl>
    <w:lvl w:ilvl="7">
      <w:start w:val="1"/>
      <w:numFmt w:val="lowerLetter"/>
      <w:lvlText w:val="%8."/>
      <w:lvlJc w:val="left"/>
      <w:pPr>
        <w:tabs>
          <w:tab w:val="num" w:pos="6090"/>
        </w:tabs>
        <w:ind w:left="6090" w:hanging="330"/>
      </w:pPr>
      <w:rPr>
        <w:rFonts w:ascii="Calibri" w:eastAsia="Times New Roman" w:hAnsi="Calibri"/>
        <w:b/>
        <w:bCs/>
        <w:color w:val="000000"/>
        <w:position w:val="0"/>
        <w:sz w:val="22"/>
        <w:szCs w:val="22"/>
        <w:u w:val="single"/>
      </w:rPr>
    </w:lvl>
    <w:lvl w:ilvl="8">
      <w:start w:val="1"/>
      <w:numFmt w:val="lowerRoman"/>
      <w:lvlText w:val="%9."/>
      <w:lvlJc w:val="left"/>
      <w:pPr>
        <w:tabs>
          <w:tab w:val="num" w:pos="6815"/>
        </w:tabs>
        <w:ind w:left="6815" w:hanging="271"/>
      </w:pPr>
      <w:rPr>
        <w:rFonts w:ascii="Calibri" w:eastAsia="Times New Roman" w:hAnsi="Calibri"/>
        <w:b/>
        <w:bCs/>
        <w:color w:val="000000"/>
        <w:position w:val="0"/>
        <w:sz w:val="22"/>
        <w:szCs w:val="22"/>
        <w:u w:val="single"/>
      </w:rPr>
    </w:lvl>
  </w:abstractNum>
  <w:abstractNum w:abstractNumId="3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Times New Roman" w:hAnsi="Calibri"/>
        <w:b/>
        <w:bCs/>
        <w:color w:val="000000"/>
        <w:position w:val="0"/>
        <w:sz w:val="22"/>
        <w:szCs w:val="22"/>
        <w:u w:val="single"/>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u w:val="single"/>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u w:val="single"/>
      </w:rPr>
    </w:lvl>
    <w:lvl w:ilvl="3">
      <w:start w:val="1"/>
      <w:numFmt w:val="decimal"/>
      <w:lvlText w:val="%4."/>
      <w:lvlJc w:val="left"/>
      <w:pPr>
        <w:tabs>
          <w:tab w:val="num" w:pos="720"/>
        </w:tabs>
        <w:ind w:left="720" w:hanging="360"/>
      </w:pPr>
      <w:rPr>
        <w:rFonts w:ascii="Trebuchet MS" w:eastAsia="Times New Roman" w:hAnsi="Trebuchet MS"/>
        <w:b/>
        <w:bCs/>
        <w:color w:val="000000"/>
        <w:position w:val="0"/>
        <w:sz w:val="22"/>
        <w:szCs w:val="22"/>
        <w:u w:val="single"/>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u w:val="single"/>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u w:val="single"/>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u w:val="single"/>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u w:val="single"/>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u w:val="single"/>
      </w:rPr>
    </w:lvl>
  </w:abstractNum>
  <w:abstractNum w:abstractNumId="3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3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34"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3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36" w15:restartNumberingAfterBreak="0">
    <w:nsid w:val="560E281B"/>
    <w:multiLevelType w:val="hybridMultilevel"/>
    <w:tmpl w:val="34482E5C"/>
    <w:lvl w:ilvl="0" w:tplc="DD406542">
      <w:start w:val="1"/>
      <w:numFmt w:val="decimal"/>
      <w:lvlText w:val="%1."/>
      <w:lvlJc w:val="left"/>
      <w:pPr>
        <w:tabs>
          <w:tab w:val="num" w:pos="720"/>
        </w:tabs>
        <w:ind w:firstLine="720"/>
      </w:pPr>
      <w:rPr>
        <w:rFonts w:hint="default"/>
        <w:i w:val="0"/>
        <w:iCs w:val="0"/>
        <w:vanish w:val="0"/>
        <w:color w:val="auto"/>
      </w:rPr>
    </w:lvl>
    <w:lvl w:ilvl="1" w:tplc="143A62D0">
      <w:start w:val="1"/>
      <w:numFmt w:val="lowerLetter"/>
      <w:lvlText w:val="%2."/>
      <w:lvlJc w:val="left"/>
      <w:pPr>
        <w:tabs>
          <w:tab w:val="num" w:pos="1440"/>
        </w:tabs>
        <w:ind w:left="1440" w:hanging="360"/>
      </w:pPr>
    </w:lvl>
    <w:lvl w:ilvl="2" w:tplc="46F48B78">
      <w:start w:val="1"/>
      <w:numFmt w:val="lowerRoman"/>
      <w:lvlText w:val="%3."/>
      <w:lvlJc w:val="right"/>
      <w:pPr>
        <w:tabs>
          <w:tab w:val="num" w:pos="2160"/>
        </w:tabs>
        <w:ind w:left="2160" w:hanging="180"/>
      </w:pPr>
    </w:lvl>
    <w:lvl w:ilvl="3" w:tplc="E040B50E">
      <w:start w:val="1"/>
      <w:numFmt w:val="decimal"/>
      <w:lvlText w:val="%4."/>
      <w:lvlJc w:val="left"/>
      <w:pPr>
        <w:tabs>
          <w:tab w:val="num" w:pos="2880"/>
        </w:tabs>
        <w:ind w:left="2880" w:hanging="360"/>
      </w:pPr>
    </w:lvl>
    <w:lvl w:ilvl="4" w:tplc="8738D710">
      <w:start w:val="1"/>
      <w:numFmt w:val="lowerLetter"/>
      <w:lvlText w:val="%5."/>
      <w:lvlJc w:val="left"/>
      <w:pPr>
        <w:tabs>
          <w:tab w:val="num" w:pos="3600"/>
        </w:tabs>
        <w:ind w:left="3600" w:hanging="360"/>
      </w:pPr>
    </w:lvl>
    <w:lvl w:ilvl="5" w:tplc="0240AD76">
      <w:start w:val="1"/>
      <w:numFmt w:val="lowerRoman"/>
      <w:lvlText w:val="%6."/>
      <w:lvlJc w:val="right"/>
      <w:pPr>
        <w:tabs>
          <w:tab w:val="num" w:pos="4320"/>
        </w:tabs>
        <w:ind w:left="4320" w:hanging="180"/>
      </w:pPr>
    </w:lvl>
    <w:lvl w:ilvl="6" w:tplc="2FBCA724">
      <w:start w:val="1"/>
      <w:numFmt w:val="decimal"/>
      <w:lvlText w:val="%7."/>
      <w:lvlJc w:val="left"/>
      <w:pPr>
        <w:tabs>
          <w:tab w:val="num" w:pos="5040"/>
        </w:tabs>
        <w:ind w:left="5040" w:hanging="360"/>
      </w:pPr>
    </w:lvl>
    <w:lvl w:ilvl="7" w:tplc="A3C2B6DA">
      <w:start w:val="1"/>
      <w:numFmt w:val="lowerLetter"/>
      <w:lvlText w:val="%8."/>
      <w:lvlJc w:val="left"/>
      <w:pPr>
        <w:tabs>
          <w:tab w:val="num" w:pos="5760"/>
        </w:tabs>
        <w:ind w:left="5760" w:hanging="360"/>
      </w:pPr>
    </w:lvl>
    <w:lvl w:ilvl="8" w:tplc="575494EC">
      <w:start w:val="1"/>
      <w:numFmt w:val="lowerRoman"/>
      <w:lvlText w:val="%9."/>
      <w:lvlJc w:val="right"/>
      <w:pPr>
        <w:tabs>
          <w:tab w:val="num" w:pos="6480"/>
        </w:tabs>
        <w:ind w:left="6480" w:hanging="180"/>
      </w:pPr>
    </w:lvl>
  </w:abstractNum>
  <w:abstractNum w:abstractNumId="3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imes New Roman" w:hAnsi="Trebuchet MS"/>
        <w:b/>
        <w:bCs/>
        <w:color w:val="000000"/>
        <w:position w:val="0"/>
        <w:sz w:val="22"/>
        <w:szCs w:val="22"/>
        <w:u w:val="single"/>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u w:val="single"/>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u w:val="single"/>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u w:val="single"/>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u w:val="single"/>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u w:val="single"/>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u w:val="single"/>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u w:val="single"/>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u w:val="single"/>
      </w:rPr>
    </w:lvl>
  </w:abstractNum>
  <w:abstractNum w:abstractNumId="38"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3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4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4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Times New Roman" w:hAnsi="Calibri"/>
        <w:b/>
        <w:bCs/>
        <w:color w:val="000000"/>
        <w:position w:val="0"/>
        <w:sz w:val="22"/>
        <w:szCs w:val="22"/>
        <w:u w:val="single"/>
      </w:rPr>
    </w:lvl>
    <w:lvl w:ilvl="1">
      <w:start w:val="2"/>
      <w:numFmt w:val="decimal"/>
      <w:lvlText w:val="%1.%2."/>
      <w:lvlJc w:val="left"/>
      <w:pPr>
        <w:tabs>
          <w:tab w:val="num" w:pos="720"/>
        </w:tabs>
        <w:ind w:left="720" w:hanging="360"/>
      </w:pPr>
      <w:rPr>
        <w:rFonts w:ascii="Trebuchet MS" w:eastAsia="Times New Roman" w:hAnsi="Trebuchet MS"/>
        <w:b/>
        <w:bCs/>
        <w:color w:val="000000"/>
        <w:position w:val="0"/>
        <w:sz w:val="22"/>
        <w:szCs w:val="22"/>
        <w:u w:val="single"/>
      </w:rPr>
    </w:lvl>
    <w:lvl w:ilvl="2">
      <w:start w:val="1"/>
      <w:numFmt w:val="decimal"/>
      <w:lvlText w:val="%1.%2.%3."/>
      <w:lvlJc w:val="left"/>
      <w:pPr>
        <w:tabs>
          <w:tab w:val="num" w:pos="1020"/>
        </w:tabs>
        <w:ind w:left="1020" w:hanging="660"/>
      </w:pPr>
      <w:rPr>
        <w:rFonts w:ascii="Calibri" w:eastAsia="Times New Roman" w:hAnsi="Calibri"/>
        <w:b/>
        <w:bCs/>
        <w:color w:val="000000"/>
        <w:position w:val="0"/>
        <w:sz w:val="22"/>
        <w:szCs w:val="22"/>
        <w:u w:val="single"/>
      </w:rPr>
    </w:lvl>
    <w:lvl w:ilvl="3">
      <w:start w:val="1"/>
      <w:numFmt w:val="decimal"/>
      <w:lvlText w:val="%1.%2.%3.%4."/>
      <w:lvlJc w:val="left"/>
      <w:pPr>
        <w:tabs>
          <w:tab w:val="num" w:pos="1020"/>
        </w:tabs>
        <w:ind w:left="1020" w:hanging="660"/>
      </w:pPr>
      <w:rPr>
        <w:rFonts w:ascii="Calibri" w:eastAsia="Times New Roman" w:hAnsi="Calibri"/>
        <w:b/>
        <w:bCs/>
        <w:color w:val="000000"/>
        <w:position w:val="0"/>
        <w:sz w:val="22"/>
        <w:szCs w:val="22"/>
        <w:u w:val="single"/>
      </w:rPr>
    </w:lvl>
    <w:lvl w:ilvl="4">
      <w:start w:val="1"/>
      <w:numFmt w:val="decimal"/>
      <w:lvlText w:val="%1.%2.%3.%4.%5."/>
      <w:lvlJc w:val="left"/>
      <w:pPr>
        <w:tabs>
          <w:tab w:val="num" w:pos="1350"/>
        </w:tabs>
        <w:ind w:left="1350" w:hanging="990"/>
      </w:pPr>
      <w:rPr>
        <w:rFonts w:ascii="Calibri" w:eastAsia="Times New Roman" w:hAnsi="Calibri"/>
        <w:b/>
        <w:bCs/>
        <w:color w:val="000000"/>
        <w:position w:val="0"/>
        <w:sz w:val="22"/>
        <w:szCs w:val="22"/>
        <w:u w:val="single"/>
      </w:rPr>
    </w:lvl>
    <w:lvl w:ilvl="5">
      <w:start w:val="1"/>
      <w:numFmt w:val="decimal"/>
      <w:lvlText w:val="%1.%2.%3.%4.%5.%6."/>
      <w:lvlJc w:val="left"/>
      <w:pPr>
        <w:tabs>
          <w:tab w:val="num" w:pos="1350"/>
        </w:tabs>
        <w:ind w:left="1350" w:hanging="990"/>
      </w:pPr>
      <w:rPr>
        <w:rFonts w:ascii="Calibri" w:eastAsia="Times New Roman" w:hAnsi="Calibri"/>
        <w:b/>
        <w:bCs/>
        <w:color w:val="000000"/>
        <w:position w:val="0"/>
        <w:sz w:val="22"/>
        <w:szCs w:val="22"/>
        <w:u w:val="single"/>
      </w:rPr>
    </w:lvl>
    <w:lvl w:ilvl="6">
      <w:start w:val="1"/>
      <w:numFmt w:val="decimal"/>
      <w:lvlText w:val="%1.%2.%3.%4.%5.%6.%7."/>
      <w:lvlJc w:val="left"/>
      <w:pPr>
        <w:tabs>
          <w:tab w:val="num" w:pos="1680"/>
        </w:tabs>
        <w:ind w:left="1680" w:hanging="1320"/>
      </w:pPr>
      <w:rPr>
        <w:rFonts w:ascii="Calibri" w:eastAsia="Times New Roman" w:hAnsi="Calibri"/>
        <w:b/>
        <w:bCs/>
        <w:color w:val="000000"/>
        <w:position w:val="0"/>
        <w:sz w:val="22"/>
        <w:szCs w:val="22"/>
        <w:u w:val="single"/>
      </w:rPr>
    </w:lvl>
    <w:lvl w:ilvl="7">
      <w:start w:val="1"/>
      <w:numFmt w:val="decimal"/>
      <w:lvlText w:val="%1.%2.%3.%4.%5.%6.%7.%8."/>
      <w:lvlJc w:val="left"/>
      <w:pPr>
        <w:tabs>
          <w:tab w:val="num" w:pos="1680"/>
        </w:tabs>
        <w:ind w:left="1680" w:hanging="1320"/>
      </w:pPr>
      <w:rPr>
        <w:rFonts w:ascii="Calibri" w:eastAsia="Times New Roman" w:hAnsi="Calibri"/>
        <w:b/>
        <w:bCs/>
        <w:color w:val="000000"/>
        <w:position w:val="0"/>
        <w:sz w:val="22"/>
        <w:szCs w:val="22"/>
        <w:u w:val="single"/>
      </w:rPr>
    </w:lvl>
    <w:lvl w:ilvl="8">
      <w:start w:val="1"/>
      <w:numFmt w:val="decimal"/>
      <w:lvlText w:val="%1.%2.%3.%4.%5.%6.%7.%8.%9."/>
      <w:lvlJc w:val="left"/>
      <w:pPr>
        <w:tabs>
          <w:tab w:val="num" w:pos="2010"/>
        </w:tabs>
        <w:ind w:left="2010" w:hanging="1650"/>
      </w:pPr>
      <w:rPr>
        <w:rFonts w:ascii="Calibri" w:eastAsia="Times New Roman" w:hAnsi="Calibri"/>
        <w:b/>
        <w:bCs/>
        <w:color w:val="000000"/>
        <w:position w:val="0"/>
        <w:sz w:val="22"/>
        <w:szCs w:val="22"/>
        <w:u w:val="single"/>
      </w:rPr>
    </w:lvl>
  </w:abstractNum>
  <w:abstractNum w:abstractNumId="4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690"/>
        </w:tabs>
        <w:ind w:left="69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43" w15:restartNumberingAfterBreak="0">
    <w:nsid w:val="70786ED7"/>
    <w:multiLevelType w:val="hybridMultilevel"/>
    <w:tmpl w:val="0004DB54"/>
    <w:lvl w:ilvl="0" w:tplc="D0EC6E06">
      <w:start w:val="1"/>
      <w:numFmt w:val="upperRoman"/>
      <w:pStyle w:val="Heading1"/>
      <w:lvlText w:val="%1."/>
      <w:lvlJc w:val="left"/>
      <w:pPr>
        <w:ind w:left="720" w:hanging="360"/>
      </w:pPr>
      <w:rPr>
        <w:rFonts w:hint="default"/>
      </w:rPr>
    </w:lvl>
    <w:lvl w:ilvl="1" w:tplc="5E6CC2D6">
      <w:start w:val="1"/>
      <w:numFmt w:val="lowerLetter"/>
      <w:lvlText w:val="%2."/>
      <w:lvlJc w:val="left"/>
      <w:pPr>
        <w:ind w:left="1440" w:hanging="360"/>
      </w:pPr>
    </w:lvl>
    <w:lvl w:ilvl="2" w:tplc="004A68C8">
      <w:start w:val="1"/>
      <w:numFmt w:val="lowerRoman"/>
      <w:lvlText w:val="%3."/>
      <w:lvlJc w:val="right"/>
      <w:pPr>
        <w:ind w:left="2160" w:hanging="180"/>
      </w:pPr>
    </w:lvl>
    <w:lvl w:ilvl="3" w:tplc="3880DCA2">
      <w:start w:val="1"/>
      <w:numFmt w:val="decimal"/>
      <w:lvlText w:val="%4."/>
      <w:lvlJc w:val="left"/>
      <w:pPr>
        <w:ind w:left="2880" w:hanging="360"/>
      </w:pPr>
    </w:lvl>
    <w:lvl w:ilvl="4" w:tplc="C4D81C2E">
      <w:start w:val="1"/>
      <w:numFmt w:val="lowerLetter"/>
      <w:lvlText w:val="%5."/>
      <w:lvlJc w:val="left"/>
      <w:pPr>
        <w:ind w:left="3600" w:hanging="360"/>
      </w:pPr>
    </w:lvl>
    <w:lvl w:ilvl="5" w:tplc="86201646">
      <w:start w:val="1"/>
      <w:numFmt w:val="lowerRoman"/>
      <w:lvlText w:val="%6."/>
      <w:lvlJc w:val="right"/>
      <w:pPr>
        <w:ind w:left="4320" w:hanging="180"/>
      </w:pPr>
    </w:lvl>
    <w:lvl w:ilvl="6" w:tplc="C204AF62">
      <w:start w:val="1"/>
      <w:numFmt w:val="decimal"/>
      <w:lvlText w:val="%7."/>
      <w:lvlJc w:val="left"/>
      <w:pPr>
        <w:ind w:left="5040" w:hanging="360"/>
      </w:pPr>
    </w:lvl>
    <w:lvl w:ilvl="7" w:tplc="F3360690">
      <w:start w:val="1"/>
      <w:numFmt w:val="lowerLetter"/>
      <w:lvlText w:val="%8."/>
      <w:lvlJc w:val="left"/>
      <w:pPr>
        <w:ind w:left="5760" w:hanging="360"/>
      </w:pPr>
    </w:lvl>
    <w:lvl w:ilvl="8" w:tplc="26026E44">
      <w:start w:val="1"/>
      <w:numFmt w:val="lowerRoman"/>
      <w:lvlText w:val="%9."/>
      <w:lvlJc w:val="right"/>
      <w:pPr>
        <w:ind w:left="6480" w:hanging="180"/>
      </w:pPr>
    </w:lvl>
  </w:abstractNum>
  <w:abstractNum w:abstractNumId="44" w15:restartNumberingAfterBreak="0">
    <w:nsid w:val="745A711E"/>
    <w:multiLevelType w:val="multilevel"/>
    <w:tmpl w:val="ED88159C"/>
    <w:styleLink w:val="List41"/>
    <w:lvl w:ilvl="0">
      <w:start w:val="1"/>
      <w:numFmt w:val="decimal"/>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45" w15:restartNumberingAfterBreak="0">
    <w:nsid w:val="78C26FCF"/>
    <w:multiLevelType w:val="multilevel"/>
    <w:tmpl w:val="2FCAD168"/>
    <w:styleLink w:val="List31"/>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4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imes New Roman" w:hAnsi="Trebuchet MS"/>
        <w:b/>
        <w:bCs/>
        <w:color w:val="000000"/>
        <w:position w:val="0"/>
        <w:sz w:val="24"/>
        <w:szCs w:val="24"/>
      </w:rPr>
    </w:lvl>
    <w:lvl w:ilvl="1">
      <w:start w:val="1"/>
      <w:numFmt w:val="bullet"/>
      <w:lvlText w:val="o"/>
      <w:lvlJc w:val="left"/>
      <w:pPr>
        <w:tabs>
          <w:tab w:val="num" w:pos="1410"/>
        </w:tabs>
        <w:ind w:left="1410" w:hanging="330"/>
      </w:pPr>
      <w:rPr>
        <w:rFonts w:ascii="Calibri" w:eastAsia="Times New Roman" w:hAnsi="Calibri"/>
        <w:b/>
        <w:bCs/>
        <w:color w:val="000000"/>
        <w:position w:val="0"/>
        <w:sz w:val="22"/>
        <w:szCs w:val="22"/>
      </w:rPr>
    </w:lvl>
    <w:lvl w:ilvl="2">
      <w:start w:val="1"/>
      <w:numFmt w:val="bullet"/>
      <w:lvlText w:val="▪"/>
      <w:lvlJc w:val="left"/>
      <w:pPr>
        <w:tabs>
          <w:tab w:val="num" w:pos="2130"/>
        </w:tabs>
        <w:ind w:left="2130" w:hanging="330"/>
      </w:pPr>
      <w:rPr>
        <w:rFonts w:ascii="Calibri" w:eastAsia="Times New Roman" w:hAnsi="Calibri"/>
        <w:b/>
        <w:bCs/>
        <w:color w:val="000000"/>
        <w:position w:val="0"/>
        <w:sz w:val="22"/>
        <w:szCs w:val="22"/>
      </w:rPr>
    </w:lvl>
    <w:lvl w:ilvl="3">
      <w:start w:val="1"/>
      <w:numFmt w:val="bullet"/>
      <w:lvlText w:val="•"/>
      <w:lvlJc w:val="left"/>
      <w:pPr>
        <w:tabs>
          <w:tab w:val="num" w:pos="2850"/>
        </w:tabs>
        <w:ind w:left="2850" w:hanging="330"/>
      </w:pPr>
      <w:rPr>
        <w:rFonts w:ascii="Calibri" w:eastAsia="Times New Roman" w:hAnsi="Calibri"/>
        <w:b/>
        <w:bCs/>
        <w:color w:val="000000"/>
        <w:position w:val="0"/>
        <w:sz w:val="22"/>
        <w:szCs w:val="22"/>
      </w:rPr>
    </w:lvl>
    <w:lvl w:ilvl="4">
      <w:start w:val="1"/>
      <w:numFmt w:val="bullet"/>
      <w:lvlText w:val="o"/>
      <w:lvlJc w:val="left"/>
      <w:pPr>
        <w:tabs>
          <w:tab w:val="num" w:pos="3570"/>
        </w:tabs>
        <w:ind w:left="3570" w:hanging="330"/>
      </w:pPr>
      <w:rPr>
        <w:rFonts w:ascii="Calibri" w:eastAsia="Times New Roman" w:hAnsi="Calibri"/>
        <w:b/>
        <w:bCs/>
        <w:color w:val="000000"/>
        <w:position w:val="0"/>
        <w:sz w:val="22"/>
        <w:szCs w:val="22"/>
      </w:rPr>
    </w:lvl>
    <w:lvl w:ilvl="5">
      <w:start w:val="1"/>
      <w:numFmt w:val="bullet"/>
      <w:lvlText w:val="▪"/>
      <w:lvlJc w:val="left"/>
      <w:pPr>
        <w:tabs>
          <w:tab w:val="num" w:pos="4290"/>
        </w:tabs>
        <w:ind w:left="4290" w:hanging="330"/>
      </w:pPr>
      <w:rPr>
        <w:rFonts w:ascii="Calibri" w:eastAsia="Times New Roman" w:hAnsi="Calibri"/>
        <w:b/>
        <w:bCs/>
        <w:color w:val="000000"/>
        <w:position w:val="0"/>
        <w:sz w:val="22"/>
        <w:szCs w:val="22"/>
      </w:rPr>
    </w:lvl>
    <w:lvl w:ilvl="6">
      <w:start w:val="1"/>
      <w:numFmt w:val="bullet"/>
      <w:lvlText w:val="•"/>
      <w:lvlJc w:val="left"/>
      <w:pPr>
        <w:tabs>
          <w:tab w:val="num" w:pos="5010"/>
        </w:tabs>
        <w:ind w:left="5010" w:hanging="330"/>
      </w:pPr>
      <w:rPr>
        <w:rFonts w:ascii="Calibri" w:eastAsia="Times New Roman" w:hAnsi="Calibri"/>
        <w:b/>
        <w:bCs/>
        <w:color w:val="000000"/>
        <w:position w:val="0"/>
        <w:sz w:val="22"/>
        <w:szCs w:val="22"/>
      </w:rPr>
    </w:lvl>
    <w:lvl w:ilvl="7">
      <w:start w:val="1"/>
      <w:numFmt w:val="bullet"/>
      <w:lvlText w:val="o"/>
      <w:lvlJc w:val="left"/>
      <w:pPr>
        <w:tabs>
          <w:tab w:val="num" w:pos="5730"/>
        </w:tabs>
        <w:ind w:left="5730" w:hanging="330"/>
      </w:pPr>
      <w:rPr>
        <w:rFonts w:ascii="Calibri" w:eastAsia="Times New Roman" w:hAnsi="Calibri"/>
        <w:b/>
        <w:bCs/>
        <w:color w:val="000000"/>
        <w:position w:val="0"/>
        <w:sz w:val="22"/>
        <w:szCs w:val="22"/>
      </w:rPr>
    </w:lvl>
    <w:lvl w:ilvl="8">
      <w:start w:val="1"/>
      <w:numFmt w:val="bullet"/>
      <w:lvlText w:val="▪"/>
      <w:lvlJc w:val="left"/>
      <w:pPr>
        <w:tabs>
          <w:tab w:val="num" w:pos="6450"/>
        </w:tabs>
        <w:ind w:left="6450" w:hanging="330"/>
      </w:pPr>
      <w:rPr>
        <w:rFonts w:ascii="Calibri" w:eastAsia="Times New Roman" w:hAnsi="Calibri"/>
        <w:b/>
        <w:bCs/>
        <w:color w:val="000000"/>
        <w:position w:val="0"/>
        <w:sz w:val="22"/>
        <w:szCs w:val="22"/>
      </w:rPr>
    </w:lvl>
  </w:abstractNum>
  <w:abstractNum w:abstractNumId="4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4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4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5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5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imes New Roman" w:hAnsi="Trebuchet MS"/>
        <w:b/>
        <w:bCs/>
        <w:color w:val="000000"/>
        <w:position w:val="0"/>
        <w:sz w:val="22"/>
        <w:szCs w:val="22"/>
        <w:u w:val="single"/>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u w:val="single"/>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u w:val="single"/>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u w:val="single"/>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u w:val="single"/>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u w:val="single"/>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u w:val="single"/>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u w:val="single"/>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u w:val="single"/>
      </w:rPr>
    </w:lvl>
  </w:abstractNum>
  <w:num w:numId="1" w16cid:durableId="1901206374">
    <w:abstractNumId w:val="3"/>
  </w:num>
  <w:num w:numId="2" w16cid:durableId="106170031">
    <w:abstractNumId w:val="46"/>
  </w:num>
  <w:num w:numId="3" w16cid:durableId="1084766719">
    <w:abstractNumId w:val="18"/>
  </w:num>
  <w:num w:numId="4" w16cid:durableId="269943503">
    <w:abstractNumId w:val="40"/>
  </w:num>
  <w:num w:numId="5" w16cid:durableId="873536852">
    <w:abstractNumId w:val="23"/>
  </w:num>
  <w:num w:numId="6" w16cid:durableId="758526029">
    <w:abstractNumId w:val="5"/>
  </w:num>
  <w:num w:numId="7" w16cid:durableId="1397512077">
    <w:abstractNumId w:val="15"/>
  </w:num>
  <w:num w:numId="8" w16cid:durableId="930312766">
    <w:abstractNumId w:val="31"/>
  </w:num>
  <w:num w:numId="9" w16cid:durableId="615717266">
    <w:abstractNumId w:val="35"/>
  </w:num>
  <w:num w:numId="10" w16cid:durableId="480923792">
    <w:abstractNumId w:val="0"/>
  </w:num>
  <w:num w:numId="11" w16cid:durableId="2123646790">
    <w:abstractNumId w:val="30"/>
  </w:num>
  <w:num w:numId="12" w16cid:durableId="1669405607">
    <w:abstractNumId w:val="37"/>
  </w:num>
  <w:num w:numId="13" w16cid:durableId="1348562184">
    <w:abstractNumId w:val="1"/>
  </w:num>
  <w:num w:numId="14" w16cid:durableId="246765249">
    <w:abstractNumId w:val="2"/>
  </w:num>
  <w:num w:numId="15" w16cid:durableId="1067604226">
    <w:abstractNumId w:val="6"/>
  </w:num>
  <w:num w:numId="16" w16cid:durableId="243760910">
    <w:abstractNumId w:val="7"/>
  </w:num>
  <w:num w:numId="17" w16cid:durableId="1484394805">
    <w:abstractNumId w:val="8"/>
  </w:num>
  <w:num w:numId="18" w16cid:durableId="1893156282">
    <w:abstractNumId w:val="9"/>
  </w:num>
  <w:num w:numId="19" w16cid:durableId="678823006">
    <w:abstractNumId w:val="10"/>
  </w:num>
  <w:num w:numId="20" w16cid:durableId="1001588734">
    <w:abstractNumId w:val="11"/>
  </w:num>
  <w:num w:numId="21" w16cid:durableId="1745567202">
    <w:abstractNumId w:val="12"/>
  </w:num>
  <w:num w:numId="22" w16cid:durableId="212039681">
    <w:abstractNumId w:val="13"/>
  </w:num>
  <w:num w:numId="23" w16cid:durableId="1212503575">
    <w:abstractNumId w:val="14"/>
  </w:num>
  <w:num w:numId="24" w16cid:durableId="585963297">
    <w:abstractNumId w:val="16"/>
  </w:num>
  <w:num w:numId="25" w16cid:durableId="725447802">
    <w:abstractNumId w:val="17"/>
  </w:num>
  <w:num w:numId="26" w16cid:durableId="142238894">
    <w:abstractNumId w:val="19"/>
  </w:num>
  <w:num w:numId="27" w16cid:durableId="1431856288">
    <w:abstractNumId w:val="20"/>
  </w:num>
  <w:num w:numId="28" w16cid:durableId="1609845818">
    <w:abstractNumId w:val="21"/>
  </w:num>
  <w:num w:numId="29" w16cid:durableId="1060595026">
    <w:abstractNumId w:val="22"/>
  </w:num>
  <w:num w:numId="30" w16cid:durableId="1775051058">
    <w:abstractNumId w:val="24"/>
  </w:num>
  <w:num w:numId="31" w16cid:durableId="1957637334">
    <w:abstractNumId w:val="25"/>
  </w:num>
  <w:num w:numId="32" w16cid:durableId="1578057690">
    <w:abstractNumId w:val="26"/>
  </w:num>
  <w:num w:numId="33" w16cid:durableId="540017319">
    <w:abstractNumId w:val="27"/>
  </w:num>
  <w:num w:numId="34" w16cid:durableId="994331786">
    <w:abstractNumId w:val="28"/>
  </w:num>
  <w:num w:numId="35" w16cid:durableId="2111774843">
    <w:abstractNumId w:val="29"/>
  </w:num>
  <w:num w:numId="36" w16cid:durableId="235020025">
    <w:abstractNumId w:val="32"/>
  </w:num>
  <w:num w:numId="37" w16cid:durableId="766659862">
    <w:abstractNumId w:val="33"/>
  </w:num>
  <w:num w:numId="38" w16cid:durableId="1259483569">
    <w:abstractNumId w:val="39"/>
  </w:num>
  <w:num w:numId="39" w16cid:durableId="671950358">
    <w:abstractNumId w:val="41"/>
  </w:num>
  <w:num w:numId="40" w16cid:durableId="125007955">
    <w:abstractNumId w:val="42"/>
  </w:num>
  <w:num w:numId="41" w16cid:durableId="1558659882">
    <w:abstractNumId w:val="44"/>
  </w:num>
  <w:num w:numId="42" w16cid:durableId="1557007532">
    <w:abstractNumId w:val="45"/>
  </w:num>
  <w:num w:numId="43" w16cid:durableId="827131844">
    <w:abstractNumId w:val="47"/>
  </w:num>
  <w:num w:numId="44" w16cid:durableId="41944920">
    <w:abstractNumId w:val="48"/>
  </w:num>
  <w:num w:numId="45" w16cid:durableId="2067289553">
    <w:abstractNumId w:val="49"/>
  </w:num>
  <w:num w:numId="46" w16cid:durableId="2023504566">
    <w:abstractNumId w:val="50"/>
  </w:num>
  <w:num w:numId="47" w16cid:durableId="784157418">
    <w:abstractNumId w:val="51"/>
  </w:num>
  <w:num w:numId="48" w16cid:durableId="235021651">
    <w:abstractNumId w:val="34"/>
  </w:num>
  <w:num w:numId="49" w16cid:durableId="106237851">
    <w:abstractNumId w:val="43"/>
  </w:num>
  <w:num w:numId="50" w16cid:durableId="1026979672">
    <w:abstractNumId w:val="38"/>
  </w:num>
  <w:num w:numId="51" w16cid:durableId="1776516984">
    <w:abstractNumId w:val="4"/>
  </w:num>
  <w:num w:numId="52" w16cid:durableId="1964992959">
    <w:abstractNumId w:val="3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90"/>
  <w:removePersonalInformation/>
  <w:removeDateAndTime/>
  <w:embedSystemFonts/>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788C"/>
    <w:rsid w:val="00027714"/>
    <w:rsid w:val="000337EF"/>
    <w:rsid w:val="00040C3A"/>
    <w:rsid w:val="000419AD"/>
    <w:rsid w:val="000433C9"/>
    <w:rsid w:val="000716C5"/>
    <w:rsid w:val="00075E23"/>
    <w:rsid w:val="0009344A"/>
    <w:rsid w:val="0009504E"/>
    <w:rsid w:val="000A392E"/>
    <w:rsid w:val="000A575F"/>
    <w:rsid w:val="000D05CB"/>
    <w:rsid w:val="000D10DB"/>
    <w:rsid w:val="000E5EB5"/>
    <w:rsid w:val="000F35ED"/>
    <w:rsid w:val="00107131"/>
    <w:rsid w:val="0010736F"/>
    <w:rsid w:val="00113F73"/>
    <w:rsid w:val="00121CC2"/>
    <w:rsid w:val="00131425"/>
    <w:rsid w:val="001314D9"/>
    <w:rsid w:val="00133EE5"/>
    <w:rsid w:val="00145DBB"/>
    <w:rsid w:val="00167A34"/>
    <w:rsid w:val="00185E24"/>
    <w:rsid w:val="00190D2C"/>
    <w:rsid w:val="001A15A9"/>
    <w:rsid w:val="001A7870"/>
    <w:rsid w:val="001B3A00"/>
    <w:rsid w:val="001C1B41"/>
    <w:rsid w:val="001D65EF"/>
    <w:rsid w:val="001E10E6"/>
    <w:rsid w:val="001E49E7"/>
    <w:rsid w:val="001F21A3"/>
    <w:rsid w:val="001F5237"/>
    <w:rsid w:val="001F7201"/>
    <w:rsid w:val="00222E12"/>
    <w:rsid w:val="00223A29"/>
    <w:rsid w:val="002250A3"/>
    <w:rsid w:val="00235217"/>
    <w:rsid w:val="00246D1F"/>
    <w:rsid w:val="00247403"/>
    <w:rsid w:val="00247542"/>
    <w:rsid w:val="002532B1"/>
    <w:rsid w:val="00254A24"/>
    <w:rsid w:val="00266B61"/>
    <w:rsid w:val="0026712A"/>
    <w:rsid w:val="002704DB"/>
    <w:rsid w:val="00276B48"/>
    <w:rsid w:val="002A0AAE"/>
    <w:rsid w:val="002A5820"/>
    <w:rsid w:val="002D2B26"/>
    <w:rsid w:val="002D7EA2"/>
    <w:rsid w:val="002E187C"/>
    <w:rsid w:val="00302733"/>
    <w:rsid w:val="00303241"/>
    <w:rsid w:val="003056F8"/>
    <w:rsid w:val="00305AFC"/>
    <w:rsid w:val="00314078"/>
    <w:rsid w:val="0031535D"/>
    <w:rsid w:val="00320918"/>
    <w:rsid w:val="003239B8"/>
    <w:rsid w:val="003249CC"/>
    <w:rsid w:val="0033169F"/>
    <w:rsid w:val="003372CC"/>
    <w:rsid w:val="00343DA0"/>
    <w:rsid w:val="00344977"/>
    <w:rsid w:val="00346C95"/>
    <w:rsid w:val="00356185"/>
    <w:rsid w:val="00360380"/>
    <w:rsid w:val="00373711"/>
    <w:rsid w:val="0037519E"/>
    <w:rsid w:val="00386CF0"/>
    <w:rsid w:val="003917DB"/>
    <w:rsid w:val="003B70FB"/>
    <w:rsid w:val="003C676B"/>
    <w:rsid w:val="003D25D6"/>
    <w:rsid w:val="003D3BC2"/>
    <w:rsid w:val="003E4566"/>
    <w:rsid w:val="003E6CA1"/>
    <w:rsid w:val="00405F9C"/>
    <w:rsid w:val="004065A8"/>
    <w:rsid w:val="0040738C"/>
    <w:rsid w:val="004165C2"/>
    <w:rsid w:val="00430899"/>
    <w:rsid w:val="00440FAE"/>
    <w:rsid w:val="00441ECB"/>
    <w:rsid w:val="00442D71"/>
    <w:rsid w:val="00445193"/>
    <w:rsid w:val="00462C1B"/>
    <w:rsid w:val="00467B7E"/>
    <w:rsid w:val="00473BB4"/>
    <w:rsid w:val="00477592"/>
    <w:rsid w:val="00486F1C"/>
    <w:rsid w:val="0049419D"/>
    <w:rsid w:val="004A1245"/>
    <w:rsid w:val="004A3738"/>
    <w:rsid w:val="004A6A54"/>
    <w:rsid w:val="004C20D2"/>
    <w:rsid w:val="004C2312"/>
    <w:rsid w:val="004C4B62"/>
    <w:rsid w:val="004C4BF1"/>
    <w:rsid w:val="004C54C9"/>
    <w:rsid w:val="004D4ABA"/>
    <w:rsid w:val="004D6025"/>
    <w:rsid w:val="004E15E0"/>
    <w:rsid w:val="004E2649"/>
    <w:rsid w:val="004E3F82"/>
    <w:rsid w:val="004F423B"/>
    <w:rsid w:val="004F5308"/>
    <w:rsid w:val="004F626F"/>
    <w:rsid w:val="00501399"/>
    <w:rsid w:val="0050633D"/>
    <w:rsid w:val="00507BC4"/>
    <w:rsid w:val="005128E4"/>
    <w:rsid w:val="005133DB"/>
    <w:rsid w:val="00514504"/>
    <w:rsid w:val="00525560"/>
    <w:rsid w:val="00540F17"/>
    <w:rsid w:val="00544C49"/>
    <w:rsid w:val="005516A1"/>
    <w:rsid w:val="00552202"/>
    <w:rsid w:val="005559EF"/>
    <w:rsid w:val="00563557"/>
    <w:rsid w:val="0056460B"/>
    <w:rsid w:val="005646D5"/>
    <w:rsid w:val="0057402A"/>
    <w:rsid w:val="005771D0"/>
    <w:rsid w:val="005860FB"/>
    <w:rsid w:val="0058683C"/>
    <w:rsid w:val="0059191A"/>
    <w:rsid w:val="005921FF"/>
    <w:rsid w:val="005A24ED"/>
    <w:rsid w:val="005A6D0E"/>
    <w:rsid w:val="005B52B0"/>
    <w:rsid w:val="005B6806"/>
    <w:rsid w:val="005C4225"/>
    <w:rsid w:val="005D38F9"/>
    <w:rsid w:val="005D5506"/>
    <w:rsid w:val="005F0DAD"/>
    <w:rsid w:val="005F0F33"/>
    <w:rsid w:val="005F7A05"/>
    <w:rsid w:val="00600DEB"/>
    <w:rsid w:val="00627C9F"/>
    <w:rsid w:val="006311E9"/>
    <w:rsid w:val="00631440"/>
    <w:rsid w:val="006314E0"/>
    <w:rsid w:val="00632354"/>
    <w:rsid w:val="00635421"/>
    <w:rsid w:val="00642810"/>
    <w:rsid w:val="00642F99"/>
    <w:rsid w:val="00652333"/>
    <w:rsid w:val="0068009E"/>
    <w:rsid w:val="00692219"/>
    <w:rsid w:val="00692328"/>
    <w:rsid w:val="00694264"/>
    <w:rsid w:val="006A17D2"/>
    <w:rsid w:val="006A73E6"/>
    <w:rsid w:val="006B2D5C"/>
    <w:rsid w:val="006C2BC9"/>
    <w:rsid w:val="006C4EB1"/>
    <w:rsid w:val="006D5A58"/>
    <w:rsid w:val="006E0166"/>
    <w:rsid w:val="006E2FFB"/>
    <w:rsid w:val="006E76B9"/>
    <w:rsid w:val="006E7B34"/>
    <w:rsid w:val="0070697F"/>
    <w:rsid w:val="00707D18"/>
    <w:rsid w:val="0071314F"/>
    <w:rsid w:val="0072167C"/>
    <w:rsid w:val="0072199C"/>
    <w:rsid w:val="00722C9F"/>
    <w:rsid w:val="00723750"/>
    <w:rsid w:val="007253B8"/>
    <w:rsid w:val="0073741F"/>
    <w:rsid w:val="00754171"/>
    <w:rsid w:val="0076643F"/>
    <w:rsid w:val="00773891"/>
    <w:rsid w:val="00777F63"/>
    <w:rsid w:val="007816A5"/>
    <w:rsid w:val="0078770A"/>
    <w:rsid w:val="007A5817"/>
    <w:rsid w:val="007A71A1"/>
    <w:rsid w:val="007B05C4"/>
    <w:rsid w:val="007B60E9"/>
    <w:rsid w:val="007B6CC3"/>
    <w:rsid w:val="007B76D3"/>
    <w:rsid w:val="007C3334"/>
    <w:rsid w:val="007D2502"/>
    <w:rsid w:val="007D258B"/>
    <w:rsid w:val="007D2B98"/>
    <w:rsid w:val="007E21BC"/>
    <w:rsid w:val="007E5176"/>
    <w:rsid w:val="007E7C82"/>
    <w:rsid w:val="007F2AA1"/>
    <w:rsid w:val="007F588D"/>
    <w:rsid w:val="00803F1C"/>
    <w:rsid w:val="0080600E"/>
    <w:rsid w:val="00814688"/>
    <w:rsid w:val="00817612"/>
    <w:rsid w:val="008338A4"/>
    <w:rsid w:val="008349BA"/>
    <w:rsid w:val="00834D49"/>
    <w:rsid w:val="00837C45"/>
    <w:rsid w:val="00844730"/>
    <w:rsid w:val="008457C2"/>
    <w:rsid w:val="00857A82"/>
    <w:rsid w:val="00863722"/>
    <w:rsid w:val="00873836"/>
    <w:rsid w:val="00885737"/>
    <w:rsid w:val="00890650"/>
    <w:rsid w:val="00897E12"/>
    <w:rsid w:val="008A7E0F"/>
    <w:rsid w:val="008B094E"/>
    <w:rsid w:val="008B12F5"/>
    <w:rsid w:val="008B23BE"/>
    <w:rsid w:val="008C5E2D"/>
    <w:rsid w:val="008D2290"/>
    <w:rsid w:val="008D5519"/>
    <w:rsid w:val="008D768D"/>
    <w:rsid w:val="008E1C97"/>
    <w:rsid w:val="008E239D"/>
    <w:rsid w:val="008E3759"/>
    <w:rsid w:val="008E3BFE"/>
    <w:rsid w:val="008E782D"/>
    <w:rsid w:val="008F1912"/>
    <w:rsid w:val="008F74B0"/>
    <w:rsid w:val="0090097A"/>
    <w:rsid w:val="0090270B"/>
    <w:rsid w:val="009041DC"/>
    <w:rsid w:val="00917B5A"/>
    <w:rsid w:val="00920A58"/>
    <w:rsid w:val="00920A8C"/>
    <w:rsid w:val="00934A2C"/>
    <w:rsid w:val="009448D0"/>
    <w:rsid w:val="0095501B"/>
    <w:rsid w:val="0096706E"/>
    <w:rsid w:val="00974491"/>
    <w:rsid w:val="00975C4E"/>
    <w:rsid w:val="009768A1"/>
    <w:rsid w:val="00981FBA"/>
    <w:rsid w:val="00996C75"/>
    <w:rsid w:val="00997BC5"/>
    <w:rsid w:val="009A4F41"/>
    <w:rsid w:val="009B027F"/>
    <w:rsid w:val="009B13E3"/>
    <w:rsid w:val="009B381B"/>
    <w:rsid w:val="009B7794"/>
    <w:rsid w:val="009D1753"/>
    <w:rsid w:val="009D7611"/>
    <w:rsid w:val="009E0B61"/>
    <w:rsid w:val="009E53DE"/>
    <w:rsid w:val="00A11212"/>
    <w:rsid w:val="00A11E44"/>
    <w:rsid w:val="00A15895"/>
    <w:rsid w:val="00A30100"/>
    <w:rsid w:val="00A328B3"/>
    <w:rsid w:val="00A368B8"/>
    <w:rsid w:val="00A50FCF"/>
    <w:rsid w:val="00A528D1"/>
    <w:rsid w:val="00A610CD"/>
    <w:rsid w:val="00A758AA"/>
    <w:rsid w:val="00AA09A2"/>
    <w:rsid w:val="00AA7996"/>
    <w:rsid w:val="00AC19CB"/>
    <w:rsid w:val="00AE5488"/>
    <w:rsid w:val="00AE6F91"/>
    <w:rsid w:val="00AF4716"/>
    <w:rsid w:val="00AF5571"/>
    <w:rsid w:val="00AF791E"/>
    <w:rsid w:val="00B03C3C"/>
    <w:rsid w:val="00B07341"/>
    <w:rsid w:val="00B15D59"/>
    <w:rsid w:val="00B17555"/>
    <w:rsid w:val="00B30539"/>
    <w:rsid w:val="00B314DB"/>
    <w:rsid w:val="00B361F2"/>
    <w:rsid w:val="00B3718B"/>
    <w:rsid w:val="00B3745F"/>
    <w:rsid w:val="00B4632A"/>
    <w:rsid w:val="00B530F1"/>
    <w:rsid w:val="00B54CDF"/>
    <w:rsid w:val="00B6410F"/>
    <w:rsid w:val="00B840B7"/>
    <w:rsid w:val="00B84F98"/>
    <w:rsid w:val="00BA276C"/>
    <w:rsid w:val="00BB306F"/>
    <w:rsid w:val="00BB517F"/>
    <w:rsid w:val="00BC2BFE"/>
    <w:rsid w:val="00BD4B89"/>
    <w:rsid w:val="00BD5922"/>
    <w:rsid w:val="00BE7CEC"/>
    <w:rsid w:val="00BF02CB"/>
    <w:rsid w:val="00BF6FD8"/>
    <w:rsid w:val="00C03680"/>
    <w:rsid w:val="00C054DF"/>
    <w:rsid w:val="00C068E1"/>
    <w:rsid w:val="00C21762"/>
    <w:rsid w:val="00C21FEF"/>
    <w:rsid w:val="00C23BA4"/>
    <w:rsid w:val="00C24543"/>
    <w:rsid w:val="00C256A2"/>
    <w:rsid w:val="00C25ADB"/>
    <w:rsid w:val="00C338DE"/>
    <w:rsid w:val="00C51515"/>
    <w:rsid w:val="00C51DEF"/>
    <w:rsid w:val="00C5660B"/>
    <w:rsid w:val="00C66B72"/>
    <w:rsid w:val="00C87AC4"/>
    <w:rsid w:val="00C9567A"/>
    <w:rsid w:val="00CA3688"/>
    <w:rsid w:val="00CA4429"/>
    <w:rsid w:val="00CB212D"/>
    <w:rsid w:val="00CB2660"/>
    <w:rsid w:val="00CB3E1F"/>
    <w:rsid w:val="00CB6331"/>
    <w:rsid w:val="00CC5E90"/>
    <w:rsid w:val="00CD046C"/>
    <w:rsid w:val="00CE076C"/>
    <w:rsid w:val="00CE2B02"/>
    <w:rsid w:val="00CE3B99"/>
    <w:rsid w:val="00CE5199"/>
    <w:rsid w:val="00CE66D5"/>
    <w:rsid w:val="00CF637A"/>
    <w:rsid w:val="00CF69F6"/>
    <w:rsid w:val="00CF7CEB"/>
    <w:rsid w:val="00D033F9"/>
    <w:rsid w:val="00D059DE"/>
    <w:rsid w:val="00D05ABD"/>
    <w:rsid w:val="00D10FB8"/>
    <w:rsid w:val="00D11C0D"/>
    <w:rsid w:val="00D13FCE"/>
    <w:rsid w:val="00D306D1"/>
    <w:rsid w:val="00D30800"/>
    <w:rsid w:val="00D33A79"/>
    <w:rsid w:val="00D34786"/>
    <w:rsid w:val="00D36B17"/>
    <w:rsid w:val="00D37B71"/>
    <w:rsid w:val="00D37BFC"/>
    <w:rsid w:val="00D47A8E"/>
    <w:rsid w:val="00D5194D"/>
    <w:rsid w:val="00D51FBD"/>
    <w:rsid w:val="00D52D14"/>
    <w:rsid w:val="00D65183"/>
    <w:rsid w:val="00D712D3"/>
    <w:rsid w:val="00D71422"/>
    <w:rsid w:val="00D72DC6"/>
    <w:rsid w:val="00D7558D"/>
    <w:rsid w:val="00D81D92"/>
    <w:rsid w:val="00D876F9"/>
    <w:rsid w:val="00D961B6"/>
    <w:rsid w:val="00DA7B5F"/>
    <w:rsid w:val="00DC11E7"/>
    <w:rsid w:val="00DC24E3"/>
    <w:rsid w:val="00DC7023"/>
    <w:rsid w:val="00DC769A"/>
    <w:rsid w:val="00DD3D86"/>
    <w:rsid w:val="00DD4AD2"/>
    <w:rsid w:val="00DF1EC4"/>
    <w:rsid w:val="00DF2D8C"/>
    <w:rsid w:val="00E0340B"/>
    <w:rsid w:val="00E04A90"/>
    <w:rsid w:val="00E0551F"/>
    <w:rsid w:val="00E07D87"/>
    <w:rsid w:val="00E219C7"/>
    <w:rsid w:val="00E30943"/>
    <w:rsid w:val="00E4118C"/>
    <w:rsid w:val="00E43157"/>
    <w:rsid w:val="00E461CE"/>
    <w:rsid w:val="00E573E4"/>
    <w:rsid w:val="00E64C3D"/>
    <w:rsid w:val="00E65974"/>
    <w:rsid w:val="00E720CA"/>
    <w:rsid w:val="00E84EB5"/>
    <w:rsid w:val="00E85662"/>
    <w:rsid w:val="00E8789F"/>
    <w:rsid w:val="00E8793B"/>
    <w:rsid w:val="00E97B71"/>
    <w:rsid w:val="00EA3D34"/>
    <w:rsid w:val="00EB454D"/>
    <w:rsid w:val="00EC7D62"/>
    <w:rsid w:val="00ED549D"/>
    <w:rsid w:val="00ED5C6E"/>
    <w:rsid w:val="00ED76BE"/>
    <w:rsid w:val="00EE00E9"/>
    <w:rsid w:val="00EF1AAA"/>
    <w:rsid w:val="00EF33D6"/>
    <w:rsid w:val="00EF619B"/>
    <w:rsid w:val="00F00B55"/>
    <w:rsid w:val="00F02AD1"/>
    <w:rsid w:val="00F22C47"/>
    <w:rsid w:val="00F253CC"/>
    <w:rsid w:val="00F37106"/>
    <w:rsid w:val="00F44E25"/>
    <w:rsid w:val="00F519CF"/>
    <w:rsid w:val="00F56BA5"/>
    <w:rsid w:val="00F60E22"/>
    <w:rsid w:val="00F62425"/>
    <w:rsid w:val="00F6399B"/>
    <w:rsid w:val="00F7421B"/>
    <w:rsid w:val="00F7796B"/>
    <w:rsid w:val="00F81395"/>
    <w:rsid w:val="00F81BB8"/>
    <w:rsid w:val="00F90C64"/>
    <w:rsid w:val="00F917D1"/>
    <w:rsid w:val="00F9653B"/>
    <w:rsid w:val="00FB62CF"/>
    <w:rsid w:val="00FC572F"/>
    <w:rsid w:val="00FD3C3B"/>
    <w:rsid w:val="00FE07DD"/>
    <w:rsid w:val="00FE6B45"/>
    <w:rsid w:val="00FF4851"/>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48E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FBD"/>
    <w:rPr>
      <w:sz w:val="24"/>
      <w:szCs w:val="24"/>
    </w:rPr>
  </w:style>
  <w:style w:type="paragraph" w:styleId="Heading1">
    <w:name w:val="heading 1"/>
    <w:basedOn w:val="Normal"/>
    <w:next w:val="Normal"/>
    <w:link w:val="Heading1Char"/>
    <w:uiPriority w:val="99"/>
    <w:qFormat/>
    <w:rsid w:val="00D81D92"/>
    <w:pPr>
      <w:keepNext/>
      <w:keepLines/>
      <w:numPr>
        <w:numId w:val="49"/>
      </w:numPr>
      <w:spacing w:before="480"/>
      <w:outlineLvl w:val="0"/>
    </w:pPr>
    <w:rPr>
      <w:rFonts w:ascii="Cambria" w:eastAsia="MS Gothic" w:hAnsi="Cambria" w:cs="Cambria"/>
      <w:b/>
      <w:bCs/>
      <w:color w:val="365F91"/>
      <w:sz w:val="28"/>
      <w:szCs w:val="28"/>
    </w:rPr>
  </w:style>
  <w:style w:type="paragraph" w:styleId="Heading2">
    <w:name w:val="heading 2"/>
    <w:basedOn w:val="Normal"/>
    <w:next w:val="Normal"/>
    <w:link w:val="Heading2Char"/>
    <w:uiPriority w:val="99"/>
    <w:qFormat/>
    <w:rsid w:val="00DF1EC4"/>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9"/>
    <w:qFormat/>
    <w:rsid w:val="00DF1EC4"/>
    <w:pPr>
      <w:keepNext/>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1D92"/>
    <w:rPr>
      <w:rFonts w:ascii="Cambria" w:eastAsia="MS Gothic" w:hAnsi="Cambria" w:cs="Cambria"/>
      <w:b/>
      <w:bCs/>
      <w:color w:val="365F91"/>
      <w:sz w:val="28"/>
      <w:szCs w:val="28"/>
      <w:lang w:val="en-US" w:eastAsia="en-US"/>
    </w:rPr>
  </w:style>
  <w:style w:type="character" w:customStyle="1" w:styleId="Heading2Char">
    <w:name w:val="Heading 2 Char"/>
    <w:basedOn w:val="DefaultParagraphFont"/>
    <w:link w:val="Heading2"/>
    <w:uiPriority w:val="99"/>
    <w:locked/>
    <w:rsid w:val="00DF1EC4"/>
    <w:rPr>
      <w:rFonts w:ascii="Arial" w:hAnsi="Arial" w:cs="Arial"/>
      <w:b/>
      <w:bCs/>
      <w:i/>
      <w:iCs/>
      <w:sz w:val="28"/>
      <w:szCs w:val="28"/>
      <w:lang w:val="en-US" w:eastAsia="en-US"/>
    </w:rPr>
  </w:style>
  <w:style w:type="character" w:customStyle="1" w:styleId="Heading3Char">
    <w:name w:val="Heading 3 Char"/>
    <w:basedOn w:val="DefaultParagraphFont"/>
    <w:link w:val="Heading3"/>
    <w:uiPriority w:val="99"/>
    <w:locked/>
    <w:rsid w:val="00DF1EC4"/>
    <w:rPr>
      <w:rFonts w:ascii="Arial" w:hAnsi="Arial" w:cs="Arial"/>
      <w:b/>
      <w:bCs/>
      <w:sz w:val="26"/>
      <w:szCs w:val="26"/>
      <w:lang w:val="en-US" w:eastAsia="en-US"/>
    </w:rPr>
  </w:style>
  <w:style w:type="character" w:styleId="Hyperlink">
    <w:name w:val="Hyperlink"/>
    <w:basedOn w:val="DefaultParagraphFont"/>
    <w:uiPriority w:val="99"/>
    <w:rsid w:val="00D51FBD"/>
    <w:rPr>
      <w:u w:val="single"/>
    </w:rPr>
  </w:style>
  <w:style w:type="paragraph" w:customStyle="1" w:styleId="Cabeceraypie">
    <w:name w:val="Cabecera y pie"/>
    <w:uiPriority w:val="99"/>
    <w:rsid w:val="00D51FBD"/>
    <w:pPr>
      <w:tabs>
        <w:tab w:val="right" w:pos="9020"/>
      </w:tabs>
    </w:pPr>
    <w:rPr>
      <w:rFonts w:ascii="Helvetica" w:eastAsia="Times New Roman" w:hAnsi="Arial Unicode MS" w:cs="Helvetica"/>
      <w:color w:val="000000"/>
      <w:sz w:val="24"/>
      <w:szCs w:val="24"/>
      <w:lang w:val="es-ES" w:eastAsia="es-ES"/>
    </w:rPr>
  </w:style>
  <w:style w:type="paragraph" w:styleId="Footer">
    <w:name w:val="footer"/>
    <w:basedOn w:val="Normal"/>
    <w:link w:val="FooterChar"/>
    <w:uiPriority w:val="99"/>
    <w:rsid w:val="00D51FBD"/>
    <w:pPr>
      <w:tabs>
        <w:tab w:val="center" w:pos="4513"/>
        <w:tab w:val="right" w:pos="9026"/>
      </w:tabs>
    </w:pPr>
    <w:rPr>
      <w:rFonts w:ascii="Cambria" w:hAnsi="Cambria" w:cs="Cambria"/>
      <w:color w:val="000000"/>
      <w:u w:color="000000"/>
      <w:lang w:eastAsia="es-ES"/>
    </w:rPr>
  </w:style>
  <w:style w:type="character" w:customStyle="1" w:styleId="FooterChar">
    <w:name w:val="Footer Char"/>
    <w:basedOn w:val="DefaultParagraphFont"/>
    <w:link w:val="Footer"/>
    <w:uiPriority w:val="99"/>
    <w:locked/>
    <w:rsid w:val="00A50FCF"/>
    <w:rPr>
      <w:rFonts w:ascii="Cambria" w:hAnsi="Cambria" w:cs="Cambria"/>
      <w:color w:val="000000"/>
      <w:sz w:val="24"/>
      <w:szCs w:val="24"/>
      <w:u w:color="000000"/>
      <w:lang w:val="en-US" w:eastAsia="es-ES"/>
    </w:rPr>
  </w:style>
  <w:style w:type="paragraph" w:customStyle="1" w:styleId="Cuerpo">
    <w:name w:val="Cuerpo"/>
    <w:uiPriority w:val="99"/>
    <w:rsid w:val="00D51FBD"/>
    <w:rPr>
      <w:rFonts w:ascii="Cambria" w:hAnsi="Cambria" w:cs="Cambria"/>
      <w:color w:val="000000"/>
      <w:sz w:val="24"/>
      <w:szCs w:val="24"/>
      <w:u w:color="000000"/>
      <w:lang w:val="es-ES" w:eastAsia="es-ES"/>
    </w:rPr>
  </w:style>
  <w:style w:type="paragraph" w:styleId="BodyTextIndent">
    <w:name w:val="Body Text Indent"/>
    <w:basedOn w:val="Normal"/>
    <w:link w:val="BodyTextIndentChar"/>
    <w:uiPriority w:val="99"/>
    <w:rsid w:val="00D51FBD"/>
    <w:pPr>
      <w:ind w:left="2160" w:hanging="720"/>
    </w:pPr>
    <w:rPr>
      <w:rFonts w:eastAsia="Times New Roman"/>
      <w:color w:val="000000"/>
      <w:u w:color="000000"/>
      <w:lang w:val="es-ES_tradnl" w:eastAsia="es-ES"/>
    </w:rPr>
  </w:style>
  <w:style w:type="character" w:customStyle="1" w:styleId="BodyTextIndentChar">
    <w:name w:val="Body Text Indent Char"/>
    <w:basedOn w:val="DefaultParagraphFont"/>
    <w:link w:val="BodyTextIndent"/>
    <w:uiPriority w:val="99"/>
    <w:semiHidden/>
    <w:locked/>
    <w:rsid w:val="00430899"/>
    <w:rPr>
      <w:sz w:val="24"/>
      <w:szCs w:val="24"/>
    </w:rPr>
  </w:style>
  <w:style w:type="paragraph" w:styleId="ListParagraph">
    <w:name w:val="List Paragraph"/>
    <w:basedOn w:val="Normal"/>
    <w:uiPriority w:val="99"/>
    <w:qFormat/>
    <w:rsid w:val="00D51FBD"/>
    <w:pPr>
      <w:ind w:left="720"/>
    </w:pPr>
    <w:rPr>
      <w:rFonts w:ascii="Cambria" w:hAnsi="Cambria" w:cs="Cambria"/>
      <w:color w:val="000000"/>
      <w:u w:color="000000"/>
      <w:lang w:eastAsia="es-ES"/>
    </w:rPr>
  </w:style>
  <w:style w:type="paragraph" w:styleId="FootnoteText">
    <w:name w:val="footnote text"/>
    <w:aliases w:val="Ca,FA Fu,FA Fußnotentext,FA Fuﬂnotentext,Footnote Text Cha,Footnote Text Char Char,Footnote Text Char Char Char,Footnote Text Char Char Char Char,Footnote Text Char Char Char Char Char,Footnote reference,Texto nota pie Car,f"/>
    <w:basedOn w:val="Normal"/>
    <w:link w:val="FootnoteTextChar1"/>
    <w:uiPriority w:val="99"/>
    <w:semiHidden/>
    <w:rsid w:val="00D51FBD"/>
    <w:rPr>
      <w:rFonts w:ascii="Calibri" w:hAnsi="Calibri" w:cs="Calibri"/>
      <w:color w:val="000000"/>
      <w:sz w:val="20"/>
      <w:szCs w:val="20"/>
      <w:u w:color="000000"/>
    </w:rPr>
  </w:style>
  <w:style w:type="character" w:customStyle="1" w:styleId="FootnoteTextChar">
    <w:name w:val="Footnote Text Char"/>
    <w:aliases w:val="Ca Char,FA Fu Char,FA Fußnotentext Char,FA Fuﬂnotentext Char,Footnote Text Cha Char,Footnote Text Char Char Char1,Footnote Text Char Char Char Char1,Footnote Text Char Char Char Char Char1,Footnote Text Char Char Char Char Char Char"/>
    <w:basedOn w:val="DefaultParagraphFont"/>
    <w:uiPriority w:val="99"/>
    <w:semiHidden/>
    <w:locked/>
    <w:rsid w:val="00D11C0D"/>
    <w:rPr>
      <w:sz w:val="20"/>
      <w:szCs w:val="20"/>
    </w:rPr>
  </w:style>
  <w:style w:type="character" w:customStyle="1" w:styleId="FootnoteTextChar2">
    <w:name w:val="Footnote Text Char2"/>
    <w:aliases w:val="Ca Char2,FA Fu Char2,FA Fußnotentext Char2,FA Fuﬂnotentext Char2,Footnote Text Cha Char2,Footnote Text Char Char Char Char Char Char1,Footnote Text Char Char Char Char Char11,Footnote Text Char Char Char Char11,f Char"/>
    <w:basedOn w:val="DefaultParagraphFont"/>
    <w:uiPriority w:val="99"/>
    <w:semiHidden/>
    <w:locked/>
    <w:rsid w:val="00430899"/>
    <w:rPr>
      <w:sz w:val="20"/>
      <w:szCs w:val="20"/>
    </w:rPr>
  </w:style>
  <w:style w:type="paragraph" w:styleId="BalloonText">
    <w:name w:val="Balloon Text"/>
    <w:basedOn w:val="Normal"/>
    <w:link w:val="BalloonTextChar"/>
    <w:uiPriority w:val="99"/>
    <w:semiHidden/>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tabs>
        <w:tab w:val="center" w:pos="4320"/>
        <w:tab w:val="right" w:pos="8640"/>
      </w:tabs>
      <w:snapToGrid w:val="0"/>
    </w:pPr>
    <w:rPr>
      <w:rFonts w:ascii="Univers" w:eastAsia="Times New Roman" w:hAnsi="Univers" w:cs="Univers"/>
    </w:rPr>
  </w:style>
  <w:style w:type="character" w:customStyle="1" w:styleId="HeaderChar">
    <w:name w:val="Header Char"/>
    <w:aliases w:val="encabezado Char"/>
    <w:basedOn w:val="DefaultParagraphFont"/>
    <w:link w:val="Header"/>
    <w:uiPriority w:val="99"/>
    <w:locked/>
    <w:rsid w:val="00D81D92"/>
    <w:rPr>
      <w:rFonts w:ascii="Univers" w:hAnsi="Univers" w:cs="Univers"/>
      <w:sz w:val="24"/>
      <w:szCs w:val="24"/>
      <w:lang w:val="en-US" w:eastAsia="en-US"/>
    </w:rPr>
  </w:style>
  <w:style w:type="table" w:styleId="MediumShading1-Accent1">
    <w:name w:val="Medium Shading 1 Accent 1"/>
    <w:basedOn w:val="TableNormal"/>
    <w:uiPriority w:val="99"/>
    <w:rsid w:val="006A17D2"/>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99"/>
    <w:semiHidden/>
    <w:rsid w:val="005C4225"/>
    <w:pPr>
      <w:tabs>
        <w:tab w:val="left" w:pos="1440"/>
        <w:tab w:val="right" w:leader="dot" w:pos="9350"/>
      </w:tabs>
      <w:spacing w:after="100"/>
      <w:ind w:left="1440" w:hanging="720"/>
    </w:pPr>
  </w:style>
  <w:style w:type="paragraph" w:styleId="TOC1">
    <w:name w:val="toc 1"/>
    <w:basedOn w:val="Normal"/>
    <w:next w:val="Normal"/>
    <w:autoRedefine/>
    <w:uiPriority w:val="99"/>
    <w:semiHidden/>
    <w:rsid w:val="005C4225"/>
    <w:pPr>
      <w:spacing w:after="100"/>
    </w:pPr>
    <w:rPr>
      <w:rFonts w:ascii="Calibri" w:hAnsi="Calibri" w:cs="Calibri"/>
      <w:sz w:val="22"/>
      <w:szCs w:val="22"/>
    </w:rPr>
  </w:style>
  <w:style w:type="paragraph" w:styleId="TOC3">
    <w:name w:val="toc 3"/>
    <w:basedOn w:val="Normal"/>
    <w:next w:val="Normal"/>
    <w:autoRedefine/>
    <w:uiPriority w:val="99"/>
    <w:semiHidden/>
    <w:rsid w:val="005C4225"/>
    <w:pPr>
      <w:tabs>
        <w:tab w:val="left" w:pos="880"/>
        <w:tab w:val="right" w:leader="dot" w:pos="9350"/>
      </w:tabs>
      <w:spacing w:after="100"/>
      <w:ind w:left="2160" w:hanging="720"/>
    </w:pPr>
  </w:style>
  <w:style w:type="paragraph" w:styleId="TOC4">
    <w:name w:val="toc 4"/>
    <w:basedOn w:val="Normal"/>
    <w:next w:val="Normal"/>
    <w:autoRedefine/>
    <w:uiPriority w:val="99"/>
    <w:semiHidden/>
    <w:rsid w:val="005C4225"/>
    <w:pPr>
      <w:spacing w:after="100"/>
      <w:ind w:left="720"/>
    </w:pPr>
  </w:style>
  <w:style w:type="character" w:styleId="PageNumber">
    <w:name w:val="page number"/>
    <w:basedOn w:val="DefaultParagraphFont"/>
    <w:uiPriority w:val="99"/>
    <w:rsid w:val="00040C3A"/>
  </w:style>
  <w:style w:type="character" w:styleId="FootnoteReference">
    <w:name w:val="footnote reference"/>
    <w:aliases w:val="16 Point,4_G,Appel note de bas de page,BVI fnr,Footnote,Footnote number,Footnote symbol,Footnotes refss,Ref,Ref. de nota al pie.,Superscript 6 Point,Texto de nota al pie,Texto nota al pie,de nota al pie,f1,norm,referencia nota al pie"/>
    <w:basedOn w:val="DefaultParagraphFont"/>
    <w:link w:val="Char2"/>
    <w:uiPriority w:val="99"/>
    <w:semiHidden/>
    <w:locked/>
    <w:rsid w:val="000F35ED"/>
    <w:rPr>
      <w:vertAlign w:val="superscript"/>
    </w:rPr>
  </w:style>
  <w:style w:type="paragraph" w:styleId="BodyTextIndent2">
    <w:name w:val="Body Text Indent 2"/>
    <w:basedOn w:val="Normal"/>
    <w:link w:val="BodyTextIndent2Char"/>
    <w:uiPriority w:val="99"/>
    <w:semiHidden/>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0F35ED"/>
    <w:rPr>
      <w:sz w:val="24"/>
      <w:szCs w:val="24"/>
      <w:lang w:val="en-US" w:eastAsia="en-US"/>
    </w:rPr>
  </w:style>
  <w:style w:type="paragraph" w:styleId="BodyText">
    <w:name w:val="Body Text"/>
    <w:basedOn w:val="Normal"/>
    <w:link w:val="BodyTextChar"/>
    <w:uiPriority w:val="99"/>
    <w:semiHidden/>
    <w:rsid w:val="0031535D"/>
    <w:pPr>
      <w:spacing w:after="120"/>
    </w:pPr>
  </w:style>
  <w:style w:type="character" w:customStyle="1" w:styleId="BodyTextChar">
    <w:name w:val="Body Text Char"/>
    <w:basedOn w:val="DefaultParagraphFont"/>
    <w:link w:val="BodyText"/>
    <w:uiPriority w:val="99"/>
    <w:semiHidden/>
    <w:locked/>
    <w:rsid w:val="0031535D"/>
    <w:rPr>
      <w:sz w:val="24"/>
      <w:szCs w:val="24"/>
      <w:lang w:val="en-US" w:eastAsia="en-US"/>
    </w:rPr>
  </w:style>
  <w:style w:type="character" w:customStyle="1" w:styleId="FootnoteTextChar1">
    <w:name w:val="Footnote Text Char1"/>
    <w:aliases w:val="Ca Char1,FA Fu Char1,FA Fußnotentext Char1,FA Fuﬂnotentext Char1,Footnote Text Cha Char1,Footnote Text Char Char Char2,Footnote Text Char Char Char Char2,Footnote Text Char Char Char Char Char2,Footnote reference Char,f Char1"/>
    <w:link w:val="FootnoteText"/>
    <w:uiPriority w:val="99"/>
    <w:locked/>
    <w:rsid w:val="0031535D"/>
    <w:rPr>
      <w:rFonts w:ascii="Calibri" w:hAnsi="Calibri" w:cs="Calibri"/>
      <w:color w:val="000000"/>
      <w:u w:color="000000"/>
      <w:lang w:val="en-US"/>
    </w:rPr>
  </w:style>
  <w:style w:type="paragraph" w:customStyle="1" w:styleId="Default">
    <w:name w:val="Default"/>
    <w:link w:val="DefaultChar"/>
    <w:uiPriority w:val="99"/>
    <w:rsid w:val="00DF1EC4"/>
    <w:pPr>
      <w:autoSpaceDE w:val="0"/>
      <w:autoSpaceDN w:val="0"/>
      <w:adjustRightInd w:val="0"/>
    </w:pPr>
    <w:rPr>
      <w:rFonts w:eastAsia="Times New Roman"/>
      <w:color w:val="000000"/>
      <w:sz w:val="24"/>
      <w:szCs w:val="24"/>
    </w:rPr>
  </w:style>
  <w:style w:type="paragraph" w:styleId="EndnoteText">
    <w:name w:val="endnote text"/>
    <w:basedOn w:val="Normal"/>
    <w:link w:val="EndnoteTextChar"/>
    <w:uiPriority w:val="99"/>
    <w:semiHidden/>
    <w:rsid w:val="00DF1EC4"/>
    <w:pPr>
      <w:spacing w:before="100" w:beforeAutospacing="1" w:after="100" w:afterAutospacing="1"/>
    </w:pPr>
    <w:rPr>
      <w:rFonts w:eastAsia="Times New Roman"/>
    </w:rPr>
  </w:style>
  <w:style w:type="character" w:customStyle="1" w:styleId="EndnoteTextChar">
    <w:name w:val="Endnote Text Char"/>
    <w:basedOn w:val="DefaultParagraphFont"/>
    <w:link w:val="EndnoteText"/>
    <w:uiPriority w:val="99"/>
    <w:locked/>
    <w:rsid w:val="00DF1EC4"/>
    <w:rPr>
      <w:rFonts w:eastAsia="Times New Roman"/>
      <w:sz w:val="24"/>
      <w:szCs w:val="24"/>
      <w:lang w:val="en-US" w:eastAsia="en-US"/>
    </w:rPr>
  </w:style>
  <w:style w:type="character" w:customStyle="1" w:styleId="DefaultChar">
    <w:name w:val="Default Char"/>
    <w:link w:val="Default"/>
    <w:uiPriority w:val="99"/>
    <w:locked/>
    <w:rsid w:val="00DF1EC4"/>
    <w:rPr>
      <w:rFonts w:eastAsia="Times New Roman"/>
      <w:color w:val="000000"/>
      <w:sz w:val="24"/>
      <w:szCs w:val="24"/>
      <w:lang w:val="en-US" w:eastAsia="en-US"/>
    </w:rPr>
  </w:style>
  <w:style w:type="table" w:styleId="TableGrid">
    <w:name w:val="Table Grid"/>
    <w:basedOn w:val="TableNormal"/>
    <w:uiPriority w:val="99"/>
    <w:rsid w:val="003239B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3E4566"/>
    <w:pPr>
      <w:spacing w:after="160" w:line="240" w:lineRule="exact"/>
    </w:pPr>
    <w:rPr>
      <w:sz w:val="20"/>
      <w:szCs w:val="20"/>
      <w:vertAlign w:val="superscript"/>
      <w:lang w:val="es-ES" w:eastAsia="es-ES"/>
    </w:rPr>
  </w:style>
  <w:style w:type="numbering" w:customStyle="1" w:styleId="List16">
    <w:name w:val="List 16"/>
    <w:rsid w:val="006B5F3C"/>
    <w:pPr>
      <w:numPr>
        <w:numId w:val="10"/>
      </w:numPr>
    </w:pPr>
  </w:style>
  <w:style w:type="numbering" w:customStyle="1" w:styleId="List36">
    <w:name w:val="List 36"/>
    <w:rsid w:val="006B5F3C"/>
    <w:pPr>
      <w:numPr>
        <w:numId w:val="13"/>
      </w:numPr>
    </w:pPr>
  </w:style>
  <w:style w:type="numbering" w:customStyle="1" w:styleId="List25">
    <w:name w:val="List 25"/>
    <w:rsid w:val="006B5F3C"/>
    <w:pPr>
      <w:numPr>
        <w:numId w:val="14"/>
      </w:numPr>
    </w:pPr>
  </w:style>
  <w:style w:type="numbering" w:customStyle="1" w:styleId="List1">
    <w:name w:val="List 1"/>
    <w:rsid w:val="006B5F3C"/>
    <w:pPr>
      <w:numPr>
        <w:numId w:val="1"/>
      </w:numPr>
    </w:pPr>
  </w:style>
  <w:style w:type="numbering" w:customStyle="1" w:styleId="List11">
    <w:name w:val="List 11"/>
    <w:rsid w:val="006B5F3C"/>
    <w:pPr>
      <w:numPr>
        <w:numId w:val="6"/>
      </w:numPr>
    </w:pPr>
  </w:style>
  <w:style w:type="numbering" w:customStyle="1" w:styleId="List15">
    <w:name w:val="List 15"/>
    <w:rsid w:val="006B5F3C"/>
    <w:pPr>
      <w:numPr>
        <w:numId w:val="15"/>
      </w:numPr>
    </w:pPr>
  </w:style>
  <w:style w:type="numbering" w:customStyle="1" w:styleId="List14">
    <w:name w:val="List 14"/>
    <w:rsid w:val="006B5F3C"/>
    <w:pPr>
      <w:numPr>
        <w:numId w:val="16"/>
      </w:numPr>
    </w:pPr>
  </w:style>
  <w:style w:type="numbering" w:customStyle="1" w:styleId="List23">
    <w:name w:val="List 23"/>
    <w:rsid w:val="006B5F3C"/>
    <w:pPr>
      <w:numPr>
        <w:numId w:val="17"/>
      </w:numPr>
    </w:pPr>
  </w:style>
  <w:style w:type="numbering" w:customStyle="1" w:styleId="List19">
    <w:name w:val="List 19"/>
    <w:rsid w:val="006B5F3C"/>
    <w:pPr>
      <w:numPr>
        <w:numId w:val="18"/>
      </w:numPr>
    </w:pPr>
  </w:style>
  <w:style w:type="numbering" w:customStyle="1" w:styleId="List45">
    <w:name w:val="List 45"/>
    <w:rsid w:val="006B5F3C"/>
    <w:pPr>
      <w:numPr>
        <w:numId w:val="19"/>
      </w:numPr>
    </w:pPr>
  </w:style>
  <w:style w:type="numbering" w:customStyle="1" w:styleId="List40">
    <w:name w:val="List 40"/>
    <w:rsid w:val="006B5F3C"/>
    <w:pPr>
      <w:numPr>
        <w:numId w:val="20"/>
      </w:numPr>
    </w:pPr>
  </w:style>
  <w:style w:type="numbering" w:customStyle="1" w:styleId="List9">
    <w:name w:val="List 9"/>
    <w:rsid w:val="006B5F3C"/>
    <w:pPr>
      <w:numPr>
        <w:numId w:val="21"/>
      </w:numPr>
    </w:pPr>
  </w:style>
  <w:style w:type="numbering" w:customStyle="1" w:styleId="List43">
    <w:name w:val="List 43"/>
    <w:rsid w:val="006B5F3C"/>
    <w:pPr>
      <w:numPr>
        <w:numId w:val="22"/>
      </w:numPr>
    </w:pPr>
  </w:style>
  <w:style w:type="numbering" w:customStyle="1" w:styleId="List46">
    <w:name w:val="List 46"/>
    <w:rsid w:val="006B5F3C"/>
    <w:pPr>
      <w:numPr>
        <w:numId w:val="23"/>
      </w:numPr>
    </w:pPr>
  </w:style>
  <w:style w:type="numbering" w:customStyle="1" w:styleId="List35">
    <w:name w:val="List 35"/>
    <w:rsid w:val="006B5F3C"/>
    <w:pPr>
      <w:numPr>
        <w:numId w:val="7"/>
      </w:numPr>
    </w:pPr>
  </w:style>
  <w:style w:type="numbering" w:customStyle="1" w:styleId="List17">
    <w:name w:val="List 17"/>
    <w:rsid w:val="006B5F3C"/>
    <w:pPr>
      <w:numPr>
        <w:numId w:val="24"/>
      </w:numPr>
    </w:pPr>
  </w:style>
  <w:style w:type="numbering" w:customStyle="1" w:styleId="List33">
    <w:name w:val="List 33"/>
    <w:rsid w:val="006B5F3C"/>
    <w:pPr>
      <w:numPr>
        <w:numId w:val="25"/>
      </w:numPr>
    </w:pPr>
  </w:style>
  <w:style w:type="numbering" w:customStyle="1" w:styleId="List7">
    <w:name w:val="List 7"/>
    <w:rsid w:val="006B5F3C"/>
    <w:pPr>
      <w:numPr>
        <w:numId w:val="3"/>
      </w:numPr>
    </w:pPr>
  </w:style>
  <w:style w:type="numbering" w:customStyle="1" w:styleId="List18">
    <w:name w:val="List 18"/>
    <w:rsid w:val="006B5F3C"/>
    <w:pPr>
      <w:numPr>
        <w:numId w:val="26"/>
      </w:numPr>
    </w:pPr>
  </w:style>
  <w:style w:type="numbering" w:customStyle="1" w:styleId="List22">
    <w:name w:val="List 22"/>
    <w:rsid w:val="006B5F3C"/>
    <w:pPr>
      <w:numPr>
        <w:numId w:val="27"/>
      </w:numPr>
    </w:pPr>
  </w:style>
  <w:style w:type="numbering" w:customStyle="1" w:styleId="List47">
    <w:name w:val="List 47"/>
    <w:rsid w:val="006B5F3C"/>
    <w:pPr>
      <w:numPr>
        <w:numId w:val="28"/>
      </w:numPr>
    </w:pPr>
  </w:style>
  <w:style w:type="numbering" w:customStyle="1" w:styleId="List28">
    <w:name w:val="List 28"/>
    <w:rsid w:val="006B5F3C"/>
    <w:pPr>
      <w:numPr>
        <w:numId w:val="29"/>
      </w:numPr>
    </w:pPr>
  </w:style>
  <w:style w:type="numbering" w:customStyle="1" w:styleId="List10">
    <w:name w:val="List 10"/>
    <w:rsid w:val="006B5F3C"/>
    <w:pPr>
      <w:numPr>
        <w:numId w:val="5"/>
      </w:numPr>
    </w:pPr>
  </w:style>
  <w:style w:type="numbering" w:customStyle="1" w:styleId="List0">
    <w:name w:val="List 0"/>
    <w:rsid w:val="006B5F3C"/>
    <w:pPr>
      <w:numPr>
        <w:numId w:val="30"/>
      </w:numPr>
    </w:pPr>
  </w:style>
  <w:style w:type="numbering" w:customStyle="1" w:styleId="List30">
    <w:name w:val="List 30"/>
    <w:rsid w:val="006B5F3C"/>
    <w:pPr>
      <w:numPr>
        <w:numId w:val="31"/>
      </w:numPr>
    </w:pPr>
  </w:style>
  <w:style w:type="numbering" w:customStyle="1" w:styleId="List29">
    <w:name w:val="List 29"/>
    <w:rsid w:val="006B5F3C"/>
    <w:pPr>
      <w:numPr>
        <w:numId w:val="32"/>
      </w:numPr>
    </w:pPr>
  </w:style>
  <w:style w:type="numbering" w:customStyle="1" w:styleId="List38">
    <w:name w:val="List 38"/>
    <w:rsid w:val="006B5F3C"/>
    <w:pPr>
      <w:numPr>
        <w:numId w:val="33"/>
      </w:numPr>
    </w:pPr>
  </w:style>
  <w:style w:type="numbering" w:customStyle="1" w:styleId="List12">
    <w:name w:val="List 12"/>
    <w:rsid w:val="006B5F3C"/>
    <w:pPr>
      <w:numPr>
        <w:numId w:val="34"/>
      </w:numPr>
    </w:pPr>
  </w:style>
  <w:style w:type="numbering" w:customStyle="1" w:styleId="List50">
    <w:name w:val="List 50"/>
    <w:rsid w:val="006B5F3C"/>
    <w:pPr>
      <w:numPr>
        <w:numId w:val="35"/>
      </w:numPr>
    </w:pPr>
  </w:style>
  <w:style w:type="numbering" w:customStyle="1" w:styleId="List34">
    <w:name w:val="List 34"/>
    <w:rsid w:val="006B5F3C"/>
    <w:pPr>
      <w:numPr>
        <w:numId w:val="11"/>
      </w:numPr>
    </w:pPr>
  </w:style>
  <w:style w:type="numbering" w:customStyle="1" w:styleId="List42">
    <w:name w:val="List 42"/>
    <w:rsid w:val="006B5F3C"/>
    <w:pPr>
      <w:numPr>
        <w:numId w:val="8"/>
      </w:numPr>
    </w:pPr>
  </w:style>
  <w:style w:type="numbering" w:customStyle="1" w:styleId="List49">
    <w:name w:val="List 49"/>
    <w:rsid w:val="006B5F3C"/>
    <w:pPr>
      <w:numPr>
        <w:numId w:val="36"/>
      </w:numPr>
    </w:pPr>
  </w:style>
  <w:style w:type="numbering" w:customStyle="1" w:styleId="List44">
    <w:name w:val="List 44"/>
    <w:rsid w:val="006B5F3C"/>
    <w:pPr>
      <w:numPr>
        <w:numId w:val="37"/>
      </w:numPr>
    </w:pPr>
  </w:style>
  <w:style w:type="numbering" w:customStyle="1" w:styleId="List21">
    <w:name w:val="List 21"/>
    <w:rsid w:val="006B5F3C"/>
    <w:pPr>
      <w:numPr>
        <w:numId w:val="48"/>
      </w:numPr>
    </w:pPr>
  </w:style>
  <w:style w:type="numbering" w:customStyle="1" w:styleId="List52">
    <w:name w:val="List 52"/>
    <w:rsid w:val="006B5F3C"/>
    <w:pPr>
      <w:numPr>
        <w:numId w:val="9"/>
      </w:numPr>
    </w:pPr>
  </w:style>
  <w:style w:type="numbering" w:customStyle="1" w:styleId="List24">
    <w:name w:val="List 24"/>
    <w:rsid w:val="006B5F3C"/>
    <w:pPr>
      <w:numPr>
        <w:numId w:val="12"/>
      </w:numPr>
    </w:pPr>
  </w:style>
  <w:style w:type="numbering" w:customStyle="1" w:styleId="List51">
    <w:name w:val="List 51"/>
    <w:rsid w:val="006B5F3C"/>
    <w:pPr>
      <w:numPr>
        <w:numId w:val="50"/>
      </w:numPr>
    </w:pPr>
  </w:style>
  <w:style w:type="numbering" w:customStyle="1" w:styleId="List27">
    <w:name w:val="List 27"/>
    <w:rsid w:val="006B5F3C"/>
    <w:pPr>
      <w:numPr>
        <w:numId w:val="38"/>
      </w:numPr>
    </w:pPr>
  </w:style>
  <w:style w:type="numbering" w:customStyle="1" w:styleId="List8">
    <w:name w:val="List 8"/>
    <w:rsid w:val="006B5F3C"/>
    <w:pPr>
      <w:numPr>
        <w:numId w:val="4"/>
      </w:numPr>
    </w:pPr>
  </w:style>
  <w:style w:type="numbering" w:customStyle="1" w:styleId="List13">
    <w:name w:val="List 13"/>
    <w:rsid w:val="006B5F3C"/>
    <w:pPr>
      <w:numPr>
        <w:numId w:val="39"/>
      </w:numPr>
    </w:pPr>
  </w:style>
  <w:style w:type="numbering" w:customStyle="1" w:styleId="List20">
    <w:name w:val="List 20"/>
    <w:rsid w:val="006B5F3C"/>
    <w:pPr>
      <w:numPr>
        <w:numId w:val="40"/>
      </w:numPr>
    </w:pPr>
  </w:style>
  <w:style w:type="numbering" w:customStyle="1" w:styleId="List41">
    <w:name w:val="List 41"/>
    <w:rsid w:val="006B5F3C"/>
    <w:pPr>
      <w:numPr>
        <w:numId w:val="41"/>
      </w:numPr>
    </w:pPr>
  </w:style>
  <w:style w:type="numbering" w:customStyle="1" w:styleId="List31">
    <w:name w:val="List 31"/>
    <w:rsid w:val="006B5F3C"/>
    <w:pPr>
      <w:numPr>
        <w:numId w:val="42"/>
      </w:numPr>
    </w:pPr>
  </w:style>
  <w:style w:type="numbering" w:customStyle="1" w:styleId="List6">
    <w:name w:val="List 6"/>
    <w:rsid w:val="006B5F3C"/>
    <w:pPr>
      <w:numPr>
        <w:numId w:val="2"/>
      </w:numPr>
    </w:pPr>
  </w:style>
  <w:style w:type="numbering" w:customStyle="1" w:styleId="List39">
    <w:name w:val="List 39"/>
    <w:rsid w:val="006B5F3C"/>
    <w:pPr>
      <w:numPr>
        <w:numId w:val="43"/>
      </w:numPr>
    </w:pPr>
  </w:style>
  <w:style w:type="numbering" w:customStyle="1" w:styleId="List37">
    <w:name w:val="List 37"/>
    <w:rsid w:val="006B5F3C"/>
    <w:pPr>
      <w:numPr>
        <w:numId w:val="44"/>
      </w:numPr>
    </w:pPr>
  </w:style>
  <w:style w:type="numbering" w:customStyle="1" w:styleId="List32">
    <w:name w:val="List 32"/>
    <w:rsid w:val="006B5F3C"/>
    <w:pPr>
      <w:numPr>
        <w:numId w:val="45"/>
      </w:numPr>
    </w:pPr>
  </w:style>
  <w:style w:type="numbering" w:customStyle="1" w:styleId="List26">
    <w:name w:val="List 26"/>
    <w:rsid w:val="006B5F3C"/>
    <w:pPr>
      <w:numPr>
        <w:numId w:val="46"/>
      </w:numPr>
    </w:pPr>
  </w:style>
  <w:style w:type="numbering" w:customStyle="1" w:styleId="List48">
    <w:name w:val="List 48"/>
    <w:rsid w:val="006B5F3C"/>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B6F95-07A5-4D0C-8E53-FAC6CC136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2096</Words>
  <Characters>11953</Characters>
  <Application>Microsoft Office Word</Application>
  <DocSecurity>0</DocSecurity>
  <Lines>99</Lines>
  <Paragraphs>28</Paragraphs>
  <ScaleCrop>false</ScaleCrop>
  <Company/>
  <LinksUpToDate>false</LinksUpToDate>
  <CharactersWithSpaces>14021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2023-02-03T14:39:00Z</dcterms:created>
  <dcterms:modified xsi:type="dcterms:W3CDTF">2023-02-03T14:39:00Z</dcterms:modified>
</cp:coreProperties>
</file>