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2C5B" w14:textId="77777777" w:rsidR="00040C3A" w:rsidRPr="00707803" w:rsidRDefault="006311DA" w:rsidP="00627C9F">
      <w:pPr>
        <w:jc w:val="both"/>
        <w:rPr>
          <w:rFonts w:asciiTheme="majorHAnsi" w:hAnsiTheme="majorHAnsi" w:cs="Univers"/>
          <w:b/>
          <w:bCs/>
          <w:sz w:val="22"/>
          <w:szCs w:val="22"/>
        </w:rPr>
      </w:pPr>
      <w:r w:rsidRPr="0070780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69F816" wp14:editId="1D5F1C9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26A03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70780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D79F78" wp14:editId="3F0DB2A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A930E" w14:textId="77777777" w:rsidR="00CB2660" w:rsidRDefault="002C1641">
                            <w:r>
                              <w:rPr>
                                <w:noProof/>
                              </w:rPr>
                              <w:drawing>
                                <wp:inline distT="0" distB="0" distL="0" distR="0" wp14:anchorId="73DCEDC1" wp14:editId="7D99EE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4D79F7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AFA930E" w14:textId="77777777" w:rsidR="00CB2660" w:rsidRDefault="002C1641">
                      <w:r>
                        <w:rPr>
                          <w:noProof/>
                        </w:rPr>
                        <w:drawing>
                          <wp:inline distT="0" distB="0" distL="0" distR="0" wp14:anchorId="73DCEDC1" wp14:editId="7D99EE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DFC662B" w14:textId="77777777" w:rsidR="00040C3A" w:rsidRPr="00707803" w:rsidRDefault="00040C3A" w:rsidP="00040C3A">
      <w:pPr>
        <w:tabs>
          <w:tab w:val="center" w:pos="5400"/>
        </w:tabs>
        <w:suppressAutoHyphens/>
        <w:jc w:val="both"/>
        <w:rPr>
          <w:rFonts w:asciiTheme="majorHAnsi" w:hAnsiTheme="majorHAnsi"/>
          <w:sz w:val="22"/>
          <w:szCs w:val="22"/>
        </w:rPr>
      </w:pPr>
    </w:p>
    <w:p w14:paraId="46E8418F" w14:textId="77777777" w:rsidR="00040C3A" w:rsidRPr="00707803" w:rsidRDefault="00040C3A" w:rsidP="00040C3A">
      <w:pPr>
        <w:tabs>
          <w:tab w:val="center" w:pos="5400"/>
        </w:tabs>
        <w:suppressAutoHyphens/>
        <w:jc w:val="both"/>
        <w:rPr>
          <w:rFonts w:asciiTheme="majorHAnsi" w:hAnsiTheme="majorHAnsi"/>
          <w:sz w:val="22"/>
          <w:szCs w:val="22"/>
        </w:rPr>
      </w:pPr>
    </w:p>
    <w:p w14:paraId="5727DECB" w14:textId="77777777" w:rsidR="005128E4" w:rsidRPr="00707803" w:rsidRDefault="005128E4" w:rsidP="00040C3A">
      <w:pPr>
        <w:tabs>
          <w:tab w:val="center" w:pos="5400"/>
        </w:tabs>
        <w:suppressAutoHyphens/>
        <w:rPr>
          <w:rFonts w:asciiTheme="majorHAnsi" w:hAnsiTheme="majorHAnsi"/>
          <w:sz w:val="22"/>
          <w:szCs w:val="22"/>
        </w:rPr>
      </w:pPr>
    </w:p>
    <w:p w14:paraId="2F9AF567" w14:textId="77777777" w:rsidR="005128E4" w:rsidRPr="00707803" w:rsidRDefault="005128E4" w:rsidP="00040C3A">
      <w:pPr>
        <w:tabs>
          <w:tab w:val="center" w:pos="5400"/>
        </w:tabs>
        <w:suppressAutoHyphens/>
        <w:rPr>
          <w:rFonts w:asciiTheme="majorHAnsi" w:hAnsiTheme="majorHAnsi"/>
          <w:sz w:val="22"/>
          <w:szCs w:val="22"/>
        </w:rPr>
      </w:pPr>
    </w:p>
    <w:p w14:paraId="66C53A38" w14:textId="77777777" w:rsidR="005128E4" w:rsidRPr="00707803" w:rsidRDefault="005128E4" w:rsidP="00040C3A">
      <w:pPr>
        <w:tabs>
          <w:tab w:val="center" w:pos="5400"/>
        </w:tabs>
        <w:suppressAutoHyphens/>
        <w:rPr>
          <w:rFonts w:asciiTheme="majorHAnsi" w:hAnsiTheme="majorHAnsi"/>
          <w:sz w:val="22"/>
          <w:szCs w:val="22"/>
        </w:rPr>
      </w:pPr>
    </w:p>
    <w:p w14:paraId="37577353" w14:textId="77777777" w:rsidR="00040C3A" w:rsidRPr="00707803" w:rsidRDefault="00040C3A" w:rsidP="005128E4">
      <w:pPr>
        <w:tabs>
          <w:tab w:val="center" w:pos="5400"/>
        </w:tabs>
        <w:suppressAutoHyphens/>
        <w:jc w:val="center"/>
        <w:rPr>
          <w:rFonts w:asciiTheme="majorHAnsi" w:hAnsiTheme="majorHAnsi"/>
          <w:sz w:val="22"/>
          <w:szCs w:val="22"/>
        </w:rPr>
      </w:pPr>
    </w:p>
    <w:p w14:paraId="30F01018" w14:textId="77777777" w:rsidR="00040C3A" w:rsidRPr="00707803" w:rsidRDefault="00040C3A" w:rsidP="005128E4">
      <w:pPr>
        <w:tabs>
          <w:tab w:val="center" w:pos="5400"/>
        </w:tabs>
        <w:suppressAutoHyphens/>
        <w:jc w:val="center"/>
        <w:rPr>
          <w:rFonts w:asciiTheme="majorHAnsi" w:hAnsiTheme="majorHAnsi"/>
          <w:sz w:val="22"/>
          <w:szCs w:val="22"/>
        </w:rPr>
      </w:pPr>
    </w:p>
    <w:p w14:paraId="04A63380" w14:textId="77777777" w:rsidR="005B52B0" w:rsidRPr="00707803" w:rsidRDefault="005B52B0" w:rsidP="005128E4">
      <w:pPr>
        <w:tabs>
          <w:tab w:val="center" w:pos="5400"/>
        </w:tabs>
        <w:suppressAutoHyphens/>
        <w:jc w:val="center"/>
        <w:rPr>
          <w:rFonts w:asciiTheme="majorHAnsi" w:hAnsiTheme="majorHAnsi"/>
          <w:sz w:val="22"/>
          <w:szCs w:val="22"/>
        </w:rPr>
      </w:pPr>
    </w:p>
    <w:p w14:paraId="7712739D" w14:textId="77777777" w:rsidR="005B52B0" w:rsidRPr="00707803" w:rsidRDefault="005B52B0" w:rsidP="005128E4">
      <w:pPr>
        <w:tabs>
          <w:tab w:val="center" w:pos="5400"/>
        </w:tabs>
        <w:suppressAutoHyphens/>
        <w:jc w:val="center"/>
        <w:rPr>
          <w:rFonts w:asciiTheme="majorHAnsi" w:hAnsiTheme="majorHAnsi"/>
          <w:sz w:val="22"/>
          <w:szCs w:val="22"/>
        </w:rPr>
      </w:pPr>
    </w:p>
    <w:p w14:paraId="19EA3E21" w14:textId="77777777" w:rsidR="005B52B0" w:rsidRPr="00707803" w:rsidRDefault="005B52B0" w:rsidP="005128E4">
      <w:pPr>
        <w:tabs>
          <w:tab w:val="center" w:pos="5400"/>
        </w:tabs>
        <w:suppressAutoHyphens/>
        <w:jc w:val="center"/>
        <w:rPr>
          <w:rFonts w:asciiTheme="majorHAnsi" w:hAnsiTheme="majorHAnsi"/>
          <w:sz w:val="22"/>
          <w:szCs w:val="22"/>
        </w:rPr>
      </w:pPr>
    </w:p>
    <w:p w14:paraId="4A5E47A3" w14:textId="77777777" w:rsidR="00040C3A" w:rsidRPr="00707803" w:rsidRDefault="00040C3A" w:rsidP="00040C3A">
      <w:pPr>
        <w:tabs>
          <w:tab w:val="center" w:pos="5400"/>
        </w:tabs>
        <w:suppressAutoHyphens/>
        <w:jc w:val="center"/>
        <w:rPr>
          <w:rFonts w:asciiTheme="majorHAnsi" w:hAnsiTheme="majorHAnsi"/>
          <w:sz w:val="22"/>
          <w:szCs w:val="22"/>
        </w:rPr>
      </w:pPr>
    </w:p>
    <w:p w14:paraId="1DEF1547" w14:textId="77777777" w:rsidR="00040C3A" w:rsidRPr="00707803" w:rsidRDefault="00040C3A" w:rsidP="00040C3A">
      <w:pPr>
        <w:tabs>
          <w:tab w:val="center" w:pos="5400"/>
        </w:tabs>
        <w:suppressAutoHyphens/>
        <w:jc w:val="center"/>
        <w:rPr>
          <w:rFonts w:asciiTheme="majorHAnsi" w:hAnsiTheme="majorHAnsi"/>
          <w:sz w:val="22"/>
          <w:szCs w:val="22"/>
        </w:rPr>
      </w:pPr>
    </w:p>
    <w:p w14:paraId="78100F32" w14:textId="77777777" w:rsidR="00040C3A" w:rsidRPr="00707803" w:rsidRDefault="00040C3A" w:rsidP="00040C3A">
      <w:pPr>
        <w:tabs>
          <w:tab w:val="center" w:pos="5400"/>
        </w:tabs>
        <w:suppressAutoHyphens/>
        <w:jc w:val="center"/>
        <w:rPr>
          <w:rFonts w:asciiTheme="majorHAnsi" w:hAnsiTheme="majorHAnsi"/>
          <w:sz w:val="22"/>
          <w:szCs w:val="22"/>
        </w:rPr>
      </w:pPr>
    </w:p>
    <w:p w14:paraId="1B23D92B" w14:textId="77777777" w:rsidR="00040C3A" w:rsidRPr="00707803" w:rsidRDefault="00E533FF" w:rsidP="00040C3A">
      <w:pPr>
        <w:tabs>
          <w:tab w:val="center" w:pos="5400"/>
        </w:tabs>
        <w:suppressAutoHyphens/>
        <w:jc w:val="center"/>
        <w:rPr>
          <w:rFonts w:asciiTheme="majorHAnsi" w:hAnsiTheme="majorHAnsi"/>
          <w:sz w:val="22"/>
          <w:szCs w:val="22"/>
        </w:rPr>
      </w:pPr>
      <w:r w:rsidRPr="0070780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8BBEBC" wp14:editId="0B20F4C3">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B9F64" w14:textId="4D1DB5A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2115">
                              <w:rPr>
                                <w:rFonts w:asciiTheme="majorHAnsi" w:hAnsiTheme="majorHAnsi" w:cs="Arial"/>
                                <w:b/>
                                <w:bCs/>
                                <w:color w:val="0D0D0D" w:themeColor="text1" w:themeTint="F2"/>
                                <w:sz w:val="36"/>
                                <w:szCs w:val="40"/>
                              </w:rPr>
                              <w:t>68</w:t>
                            </w:r>
                            <w:r w:rsidRPr="004B7EB6">
                              <w:rPr>
                                <w:rFonts w:asciiTheme="majorHAnsi" w:hAnsiTheme="majorHAnsi" w:cs="Arial"/>
                                <w:b/>
                                <w:bCs/>
                                <w:color w:val="0D0D0D" w:themeColor="text1" w:themeTint="F2"/>
                                <w:sz w:val="36"/>
                                <w:szCs w:val="40"/>
                              </w:rPr>
                              <w:t>/</w:t>
                            </w:r>
                            <w:r w:rsidR="00DF2115">
                              <w:rPr>
                                <w:rFonts w:asciiTheme="majorHAnsi" w:hAnsiTheme="majorHAnsi" w:cs="Arial"/>
                                <w:b/>
                                <w:bCs/>
                                <w:color w:val="0D0D0D" w:themeColor="text1" w:themeTint="F2"/>
                                <w:sz w:val="36"/>
                                <w:szCs w:val="40"/>
                              </w:rPr>
                              <w:t>22</w:t>
                            </w:r>
                          </w:p>
                          <w:p w14:paraId="18AE8756" w14:textId="633EC74E"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17B2E">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317B2E">
                              <w:rPr>
                                <w:rFonts w:asciiTheme="majorHAnsi" w:hAnsiTheme="majorHAnsi" w:cs="Arial"/>
                                <w:b/>
                                <w:bCs/>
                                <w:color w:val="0D0D0D" w:themeColor="text1" w:themeTint="F2"/>
                                <w:sz w:val="36"/>
                                <w:szCs w:val="40"/>
                              </w:rPr>
                              <w:t>125</w:t>
                            </w:r>
                          </w:p>
                          <w:p w14:paraId="6ABE4141" w14:textId="53E2371A"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1FDA4DDB" w14:textId="77777777" w:rsidR="00450A4A" w:rsidRPr="004B7EB6" w:rsidRDefault="00450A4A" w:rsidP="004B7EB6">
                            <w:pPr>
                              <w:spacing w:line="276" w:lineRule="auto"/>
                              <w:rPr>
                                <w:rFonts w:asciiTheme="majorHAnsi" w:hAnsiTheme="majorHAnsi" w:cs="Arial"/>
                                <w:color w:val="0D0D0D" w:themeColor="text1" w:themeTint="F2"/>
                                <w:szCs w:val="22"/>
                              </w:rPr>
                            </w:pPr>
                          </w:p>
                          <w:p w14:paraId="30EE1FD8" w14:textId="08001F1B" w:rsidR="00317B2E" w:rsidRPr="007B21D7" w:rsidRDefault="00317B2E" w:rsidP="00317B2E">
                            <w:pPr>
                              <w:spacing w:line="276" w:lineRule="auto"/>
                              <w:rPr>
                                <w:rFonts w:asciiTheme="majorHAnsi" w:hAnsiTheme="majorHAnsi" w:cs="Arial"/>
                                <w:color w:val="0D0D0D" w:themeColor="text1" w:themeTint="F2"/>
                                <w:szCs w:val="22"/>
                              </w:rPr>
                            </w:pPr>
                            <w:r w:rsidRPr="007B21D7">
                              <w:rPr>
                                <w:rFonts w:asciiTheme="majorHAnsi" w:hAnsiTheme="majorHAnsi" w:cs="Arial"/>
                                <w:color w:val="0D0D0D" w:themeColor="text1" w:themeTint="F2"/>
                                <w:szCs w:val="22"/>
                              </w:rPr>
                              <w:t xml:space="preserve">RICARDO ANTONIO ELÍAS AND FAMILY </w:t>
                            </w:r>
                          </w:p>
                          <w:p w14:paraId="3A486E45" w14:textId="77777777" w:rsidR="00317B2E" w:rsidRDefault="00317B2E" w:rsidP="00317B2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EAB98E3" w14:textId="5641AF47" w:rsidR="005B52B0" w:rsidRPr="004B7EB6" w:rsidRDefault="005B52B0" w:rsidP="00317B2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8BBEB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2CB9F64" w14:textId="4D1DB5A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2115">
                        <w:rPr>
                          <w:rFonts w:asciiTheme="majorHAnsi" w:hAnsiTheme="majorHAnsi" w:cs="Arial"/>
                          <w:b/>
                          <w:bCs/>
                          <w:color w:val="0D0D0D" w:themeColor="text1" w:themeTint="F2"/>
                          <w:sz w:val="36"/>
                          <w:szCs w:val="40"/>
                        </w:rPr>
                        <w:t>68</w:t>
                      </w:r>
                      <w:r w:rsidRPr="004B7EB6">
                        <w:rPr>
                          <w:rFonts w:asciiTheme="majorHAnsi" w:hAnsiTheme="majorHAnsi" w:cs="Arial"/>
                          <w:b/>
                          <w:bCs/>
                          <w:color w:val="0D0D0D" w:themeColor="text1" w:themeTint="F2"/>
                          <w:sz w:val="36"/>
                          <w:szCs w:val="40"/>
                        </w:rPr>
                        <w:t>/</w:t>
                      </w:r>
                      <w:r w:rsidR="00DF2115">
                        <w:rPr>
                          <w:rFonts w:asciiTheme="majorHAnsi" w:hAnsiTheme="majorHAnsi" w:cs="Arial"/>
                          <w:b/>
                          <w:bCs/>
                          <w:color w:val="0D0D0D" w:themeColor="text1" w:themeTint="F2"/>
                          <w:sz w:val="36"/>
                          <w:szCs w:val="40"/>
                        </w:rPr>
                        <w:t>22</w:t>
                      </w:r>
                    </w:p>
                    <w:p w14:paraId="18AE8756" w14:textId="633EC74E"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17B2E">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317B2E">
                        <w:rPr>
                          <w:rFonts w:asciiTheme="majorHAnsi" w:hAnsiTheme="majorHAnsi" w:cs="Arial"/>
                          <w:b/>
                          <w:bCs/>
                          <w:color w:val="0D0D0D" w:themeColor="text1" w:themeTint="F2"/>
                          <w:sz w:val="36"/>
                          <w:szCs w:val="40"/>
                        </w:rPr>
                        <w:t>125</w:t>
                      </w:r>
                    </w:p>
                    <w:p w14:paraId="6ABE4141" w14:textId="53E2371A"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1FDA4DDB" w14:textId="77777777" w:rsidR="00450A4A" w:rsidRPr="004B7EB6" w:rsidRDefault="00450A4A" w:rsidP="004B7EB6">
                      <w:pPr>
                        <w:spacing w:line="276" w:lineRule="auto"/>
                        <w:rPr>
                          <w:rFonts w:asciiTheme="majorHAnsi" w:hAnsiTheme="majorHAnsi" w:cs="Arial"/>
                          <w:color w:val="0D0D0D" w:themeColor="text1" w:themeTint="F2"/>
                          <w:szCs w:val="22"/>
                        </w:rPr>
                      </w:pPr>
                    </w:p>
                    <w:p w14:paraId="30EE1FD8" w14:textId="08001F1B" w:rsidR="00317B2E" w:rsidRPr="007B21D7" w:rsidRDefault="00317B2E" w:rsidP="00317B2E">
                      <w:pPr>
                        <w:spacing w:line="276" w:lineRule="auto"/>
                        <w:rPr>
                          <w:rFonts w:asciiTheme="majorHAnsi" w:hAnsiTheme="majorHAnsi" w:cs="Arial"/>
                          <w:color w:val="0D0D0D" w:themeColor="text1" w:themeTint="F2"/>
                          <w:szCs w:val="22"/>
                        </w:rPr>
                      </w:pPr>
                      <w:r w:rsidRPr="007B21D7">
                        <w:rPr>
                          <w:rFonts w:asciiTheme="majorHAnsi" w:hAnsiTheme="majorHAnsi" w:cs="Arial"/>
                          <w:color w:val="0D0D0D" w:themeColor="text1" w:themeTint="F2"/>
                          <w:szCs w:val="22"/>
                        </w:rPr>
                        <w:t xml:space="preserve">RICARDO ANTONIO ELÍAS AND FAMILY </w:t>
                      </w:r>
                    </w:p>
                    <w:p w14:paraId="3A486E45" w14:textId="77777777" w:rsidR="00317B2E" w:rsidRDefault="00317B2E" w:rsidP="00317B2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EAB98E3" w14:textId="5641AF47" w:rsidR="005B52B0" w:rsidRPr="004B7EB6" w:rsidRDefault="005B52B0" w:rsidP="00317B2E">
                      <w:pPr>
                        <w:spacing w:line="276" w:lineRule="auto"/>
                        <w:rPr>
                          <w:rFonts w:asciiTheme="majorHAnsi" w:hAnsiTheme="majorHAnsi"/>
                          <w:color w:val="0D0D0D" w:themeColor="text1" w:themeTint="F2"/>
                          <w:lang w:val="es-ES_tradnl"/>
                        </w:rPr>
                      </w:pPr>
                    </w:p>
                  </w:txbxContent>
                </v:textbox>
              </v:shape>
            </w:pict>
          </mc:Fallback>
        </mc:AlternateContent>
      </w:r>
      <w:r w:rsidR="004B7EB6" w:rsidRPr="0070780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A5A94BD" wp14:editId="5008DD7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0FF7D" w14:textId="4A768FB1"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317B2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13264DD5" w14:textId="7B77DD09" w:rsidR="00627C9F" w:rsidRPr="007B21D7" w:rsidRDefault="00627C9F" w:rsidP="002C1641">
                            <w:pPr>
                              <w:jc w:val="right"/>
                              <w:rPr>
                                <w:rFonts w:asciiTheme="minorHAnsi" w:hAnsiTheme="minorHAnsi"/>
                                <w:color w:val="FFFFFF" w:themeColor="background1"/>
                                <w:sz w:val="22"/>
                              </w:rPr>
                            </w:pPr>
                            <w:r w:rsidRPr="007B21D7">
                              <w:rPr>
                                <w:rFonts w:asciiTheme="minorHAnsi" w:hAnsiTheme="minorHAnsi"/>
                                <w:color w:val="FFFFFF" w:themeColor="background1"/>
                                <w:sz w:val="22"/>
                              </w:rPr>
                              <w:t xml:space="preserve">Doc. </w:t>
                            </w:r>
                            <w:r w:rsidR="00DF2115">
                              <w:rPr>
                                <w:rFonts w:asciiTheme="minorHAnsi" w:hAnsiTheme="minorHAnsi"/>
                                <w:color w:val="FFFFFF" w:themeColor="background1"/>
                                <w:sz w:val="22"/>
                              </w:rPr>
                              <w:t>71</w:t>
                            </w:r>
                          </w:p>
                          <w:p w14:paraId="28AF6926" w14:textId="117CAC01" w:rsidR="007A09EF" w:rsidRPr="007B21D7" w:rsidRDefault="00DF2115" w:rsidP="007A09EF">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2B56A5">
                              <w:rPr>
                                <w:rFonts w:asciiTheme="minorHAnsi" w:hAnsiTheme="minorHAnsi"/>
                                <w:color w:val="FFFFFF" w:themeColor="background1"/>
                                <w:sz w:val="22"/>
                              </w:rPr>
                              <w:t>May</w:t>
                            </w:r>
                            <w:r>
                              <w:rPr>
                                <w:rFonts w:asciiTheme="minorHAnsi" w:hAnsiTheme="minorHAnsi"/>
                                <w:color w:val="FFFFFF" w:themeColor="background1"/>
                                <w:sz w:val="22"/>
                              </w:rPr>
                              <w:t xml:space="preserve"> 2022</w:t>
                            </w:r>
                          </w:p>
                          <w:p w14:paraId="5D5517A2" w14:textId="7032577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7B2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94B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C10FF7D" w14:textId="4A768FB1"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317B2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13264DD5" w14:textId="7B77DD09" w:rsidR="00627C9F" w:rsidRPr="007B21D7" w:rsidRDefault="00627C9F" w:rsidP="002C1641">
                      <w:pPr>
                        <w:jc w:val="right"/>
                        <w:rPr>
                          <w:rFonts w:asciiTheme="minorHAnsi" w:hAnsiTheme="minorHAnsi"/>
                          <w:color w:val="FFFFFF" w:themeColor="background1"/>
                          <w:sz w:val="22"/>
                        </w:rPr>
                      </w:pPr>
                      <w:r w:rsidRPr="007B21D7">
                        <w:rPr>
                          <w:rFonts w:asciiTheme="minorHAnsi" w:hAnsiTheme="minorHAnsi"/>
                          <w:color w:val="FFFFFF" w:themeColor="background1"/>
                          <w:sz w:val="22"/>
                        </w:rPr>
                        <w:t xml:space="preserve">Doc. </w:t>
                      </w:r>
                      <w:r w:rsidR="00DF2115">
                        <w:rPr>
                          <w:rFonts w:asciiTheme="minorHAnsi" w:hAnsiTheme="minorHAnsi"/>
                          <w:color w:val="FFFFFF" w:themeColor="background1"/>
                          <w:sz w:val="22"/>
                        </w:rPr>
                        <w:t>71</w:t>
                      </w:r>
                    </w:p>
                    <w:p w14:paraId="28AF6926" w14:textId="117CAC01" w:rsidR="007A09EF" w:rsidRPr="007B21D7" w:rsidRDefault="00DF2115" w:rsidP="007A09EF">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2B56A5">
                        <w:rPr>
                          <w:rFonts w:asciiTheme="minorHAnsi" w:hAnsiTheme="minorHAnsi"/>
                          <w:color w:val="FFFFFF" w:themeColor="background1"/>
                          <w:sz w:val="22"/>
                        </w:rPr>
                        <w:t>May</w:t>
                      </w:r>
                      <w:r>
                        <w:rPr>
                          <w:rFonts w:asciiTheme="minorHAnsi" w:hAnsiTheme="minorHAnsi"/>
                          <w:color w:val="FFFFFF" w:themeColor="background1"/>
                          <w:sz w:val="22"/>
                        </w:rPr>
                        <w:t xml:space="preserve"> 2022</w:t>
                      </w:r>
                    </w:p>
                    <w:p w14:paraId="5D5517A2" w14:textId="7032577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7B2E">
                        <w:rPr>
                          <w:rFonts w:asciiTheme="minorHAnsi" w:hAnsiTheme="minorHAnsi"/>
                          <w:color w:val="FFFFFF" w:themeColor="background1"/>
                          <w:sz w:val="22"/>
                        </w:rPr>
                        <w:t>Spanish</w:t>
                      </w:r>
                    </w:p>
                  </w:txbxContent>
                </v:textbox>
              </v:shape>
            </w:pict>
          </mc:Fallback>
        </mc:AlternateContent>
      </w:r>
    </w:p>
    <w:p w14:paraId="494EFE98" w14:textId="77777777" w:rsidR="00040C3A" w:rsidRPr="00707803" w:rsidRDefault="00040C3A" w:rsidP="00040C3A">
      <w:pPr>
        <w:tabs>
          <w:tab w:val="center" w:pos="5400"/>
        </w:tabs>
        <w:suppressAutoHyphens/>
        <w:jc w:val="center"/>
        <w:rPr>
          <w:rFonts w:asciiTheme="majorHAnsi" w:hAnsiTheme="majorHAnsi"/>
          <w:sz w:val="22"/>
          <w:szCs w:val="22"/>
        </w:rPr>
      </w:pPr>
    </w:p>
    <w:p w14:paraId="7689DAFE" w14:textId="77777777" w:rsidR="00040C3A" w:rsidRPr="00707803" w:rsidRDefault="00040C3A" w:rsidP="00040C3A">
      <w:pPr>
        <w:tabs>
          <w:tab w:val="center" w:pos="5400"/>
        </w:tabs>
        <w:suppressAutoHyphens/>
        <w:jc w:val="center"/>
        <w:rPr>
          <w:rFonts w:asciiTheme="majorHAnsi" w:hAnsiTheme="majorHAnsi" w:cs="Arial"/>
          <w:sz w:val="22"/>
          <w:szCs w:val="22"/>
        </w:rPr>
      </w:pPr>
    </w:p>
    <w:p w14:paraId="21A330F2" w14:textId="77777777" w:rsidR="00040C3A" w:rsidRPr="00707803" w:rsidRDefault="00040C3A" w:rsidP="00040C3A">
      <w:pPr>
        <w:tabs>
          <w:tab w:val="center" w:pos="5400"/>
        </w:tabs>
        <w:suppressAutoHyphens/>
        <w:jc w:val="center"/>
        <w:rPr>
          <w:rFonts w:asciiTheme="majorHAnsi" w:hAnsiTheme="majorHAnsi"/>
          <w:sz w:val="22"/>
          <w:szCs w:val="22"/>
        </w:rPr>
      </w:pPr>
    </w:p>
    <w:p w14:paraId="0C997255" w14:textId="77777777" w:rsidR="00040C3A" w:rsidRPr="00707803" w:rsidRDefault="00040C3A" w:rsidP="00040C3A">
      <w:pPr>
        <w:tabs>
          <w:tab w:val="center" w:pos="5400"/>
        </w:tabs>
        <w:suppressAutoHyphens/>
        <w:jc w:val="center"/>
        <w:rPr>
          <w:rFonts w:asciiTheme="majorHAnsi" w:hAnsiTheme="majorHAnsi"/>
          <w:sz w:val="22"/>
          <w:szCs w:val="22"/>
        </w:rPr>
      </w:pPr>
    </w:p>
    <w:p w14:paraId="75C3E61E" w14:textId="77777777" w:rsidR="00040C3A" w:rsidRPr="00707803" w:rsidRDefault="00040C3A" w:rsidP="00040C3A">
      <w:pPr>
        <w:tabs>
          <w:tab w:val="center" w:pos="5400"/>
        </w:tabs>
        <w:suppressAutoHyphens/>
        <w:jc w:val="center"/>
        <w:rPr>
          <w:rFonts w:asciiTheme="majorHAnsi" w:hAnsiTheme="majorHAnsi"/>
          <w:sz w:val="22"/>
          <w:szCs w:val="22"/>
        </w:rPr>
      </w:pPr>
    </w:p>
    <w:p w14:paraId="775FF26C" w14:textId="77777777" w:rsidR="00040C3A" w:rsidRPr="00707803" w:rsidRDefault="00040C3A" w:rsidP="00040C3A">
      <w:pPr>
        <w:tabs>
          <w:tab w:val="center" w:pos="5400"/>
        </w:tabs>
        <w:suppressAutoHyphens/>
        <w:jc w:val="center"/>
        <w:rPr>
          <w:rFonts w:asciiTheme="majorHAnsi" w:hAnsiTheme="majorHAnsi"/>
          <w:sz w:val="22"/>
          <w:szCs w:val="22"/>
        </w:rPr>
      </w:pPr>
    </w:p>
    <w:p w14:paraId="36E41E3C" w14:textId="77777777" w:rsidR="005128E4" w:rsidRPr="00707803" w:rsidRDefault="005128E4" w:rsidP="00040C3A">
      <w:pPr>
        <w:tabs>
          <w:tab w:val="center" w:pos="5400"/>
        </w:tabs>
        <w:suppressAutoHyphens/>
        <w:jc w:val="center"/>
        <w:rPr>
          <w:rFonts w:asciiTheme="majorHAnsi" w:hAnsiTheme="majorHAnsi"/>
          <w:sz w:val="22"/>
          <w:szCs w:val="22"/>
        </w:rPr>
      </w:pPr>
    </w:p>
    <w:p w14:paraId="6868A728" w14:textId="77777777" w:rsidR="00040C3A" w:rsidRPr="00707803" w:rsidRDefault="00040C3A" w:rsidP="00040C3A">
      <w:pPr>
        <w:tabs>
          <w:tab w:val="center" w:pos="5400"/>
        </w:tabs>
        <w:suppressAutoHyphens/>
        <w:jc w:val="center"/>
        <w:rPr>
          <w:rFonts w:asciiTheme="majorHAnsi" w:hAnsiTheme="majorHAnsi"/>
          <w:sz w:val="22"/>
          <w:szCs w:val="22"/>
        </w:rPr>
      </w:pPr>
    </w:p>
    <w:p w14:paraId="11E18EB0" w14:textId="77777777" w:rsidR="005128E4" w:rsidRPr="00707803" w:rsidRDefault="005128E4" w:rsidP="00040C3A">
      <w:pPr>
        <w:tabs>
          <w:tab w:val="center" w:pos="5400"/>
        </w:tabs>
        <w:suppressAutoHyphens/>
        <w:jc w:val="center"/>
        <w:rPr>
          <w:rFonts w:asciiTheme="majorHAnsi" w:hAnsiTheme="majorHAnsi"/>
          <w:sz w:val="22"/>
          <w:szCs w:val="22"/>
        </w:rPr>
      </w:pPr>
    </w:p>
    <w:p w14:paraId="152BB1A9" w14:textId="77777777" w:rsidR="005128E4" w:rsidRPr="00707803" w:rsidRDefault="005128E4" w:rsidP="00040C3A">
      <w:pPr>
        <w:tabs>
          <w:tab w:val="center" w:pos="5400"/>
        </w:tabs>
        <w:suppressAutoHyphens/>
        <w:jc w:val="center"/>
        <w:rPr>
          <w:rFonts w:asciiTheme="majorHAnsi" w:hAnsiTheme="majorHAnsi"/>
          <w:sz w:val="22"/>
          <w:szCs w:val="22"/>
        </w:rPr>
      </w:pPr>
    </w:p>
    <w:p w14:paraId="484B4AF4" w14:textId="77777777" w:rsidR="005128E4" w:rsidRPr="00707803" w:rsidRDefault="005128E4" w:rsidP="00040C3A">
      <w:pPr>
        <w:tabs>
          <w:tab w:val="center" w:pos="5400"/>
        </w:tabs>
        <w:suppressAutoHyphens/>
        <w:jc w:val="center"/>
        <w:rPr>
          <w:rFonts w:asciiTheme="majorHAnsi" w:hAnsiTheme="majorHAnsi"/>
          <w:sz w:val="22"/>
          <w:szCs w:val="22"/>
        </w:rPr>
      </w:pPr>
    </w:p>
    <w:p w14:paraId="0B875314" w14:textId="77777777" w:rsidR="00040C3A" w:rsidRPr="00707803" w:rsidRDefault="00040C3A" w:rsidP="00040C3A">
      <w:pPr>
        <w:tabs>
          <w:tab w:val="center" w:pos="5400"/>
        </w:tabs>
        <w:suppressAutoHyphens/>
        <w:jc w:val="center"/>
        <w:rPr>
          <w:rFonts w:asciiTheme="majorHAnsi" w:hAnsiTheme="majorHAnsi"/>
          <w:sz w:val="22"/>
          <w:szCs w:val="22"/>
        </w:rPr>
      </w:pPr>
    </w:p>
    <w:p w14:paraId="618AD0F9" w14:textId="77777777" w:rsidR="00040C3A" w:rsidRPr="00707803" w:rsidRDefault="00040C3A" w:rsidP="00040C3A">
      <w:pPr>
        <w:tabs>
          <w:tab w:val="center" w:pos="5400"/>
        </w:tabs>
        <w:suppressAutoHyphens/>
        <w:jc w:val="center"/>
        <w:rPr>
          <w:rFonts w:asciiTheme="majorHAnsi" w:hAnsiTheme="majorHAnsi"/>
          <w:sz w:val="22"/>
          <w:szCs w:val="22"/>
        </w:rPr>
      </w:pPr>
    </w:p>
    <w:p w14:paraId="257FCED4" w14:textId="77777777" w:rsidR="002C1641" w:rsidRPr="00707803" w:rsidRDefault="002C1641" w:rsidP="00040C3A">
      <w:pPr>
        <w:tabs>
          <w:tab w:val="center" w:pos="5400"/>
        </w:tabs>
        <w:suppressAutoHyphens/>
        <w:jc w:val="center"/>
        <w:rPr>
          <w:rFonts w:asciiTheme="majorHAnsi" w:hAnsiTheme="majorHAnsi"/>
          <w:sz w:val="18"/>
          <w:szCs w:val="22"/>
        </w:rPr>
      </w:pPr>
    </w:p>
    <w:p w14:paraId="332E63D9" w14:textId="77777777" w:rsidR="002C1641" w:rsidRPr="00707803" w:rsidRDefault="002C1641" w:rsidP="00040C3A">
      <w:pPr>
        <w:tabs>
          <w:tab w:val="center" w:pos="5400"/>
        </w:tabs>
        <w:suppressAutoHyphens/>
        <w:jc w:val="center"/>
        <w:rPr>
          <w:rFonts w:asciiTheme="majorHAnsi" w:hAnsiTheme="majorHAnsi"/>
          <w:sz w:val="18"/>
          <w:szCs w:val="22"/>
        </w:rPr>
      </w:pPr>
    </w:p>
    <w:p w14:paraId="15B94497" w14:textId="77777777" w:rsidR="002C1641" w:rsidRPr="00707803" w:rsidRDefault="002C1641" w:rsidP="00040C3A">
      <w:pPr>
        <w:tabs>
          <w:tab w:val="center" w:pos="5400"/>
        </w:tabs>
        <w:suppressAutoHyphens/>
        <w:jc w:val="center"/>
        <w:rPr>
          <w:rFonts w:asciiTheme="majorHAnsi" w:hAnsiTheme="majorHAnsi"/>
          <w:sz w:val="18"/>
          <w:szCs w:val="22"/>
        </w:rPr>
      </w:pPr>
    </w:p>
    <w:p w14:paraId="7F8916A4" w14:textId="77777777" w:rsidR="002C1641" w:rsidRPr="00707803" w:rsidRDefault="002C1641" w:rsidP="00040C3A">
      <w:pPr>
        <w:tabs>
          <w:tab w:val="center" w:pos="5400"/>
        </w:tabs>
        <w:suppressAutoHyphens/>
        <w:jc w:val="center"/>
        <w:rPr>
          <w:rFonts w:asciiTheme="majorHAnsi" w:hAnsiTheme="majorHAnsi"/>
          <w:sz w:val="18"/>
          <w:szCs w:val="22"/>
        </w:rPr>
      </w:pPr>
    </w:p>
    <w:p w14:paraId="49367DD9" w14:textId="77777777" w:rsidR="002C1641" w:rsidRPr="00707803" w:rsidRDefault="002C1641" w:rsidP="00040C3A">
      <w:pPr>
        <w:tabs>
          <w:tab w:val="center" w:pos="5400"/>
        </w:tabs>
        <w:suppressAutoHyphens/>
        <w:jc w:val="center"/>
        <w:rPr>
          <w:rFonts w:asciiTheme="majorHAnsi" w:hAnsiTheme="majorHAnsi"/>
          <w:sz w:val="18"/>
          <w:szCs w:val="22"/>
        </w:rPr>
      </w:pPr>
    </w:p>
    <w:p w14:paraId="4A86D9CE" w14:textId="77777777" w:rsidR="002C1641" w:rsidRPr="00707803" w:rsidRDefault="002C1641" w:rsidP="00040C3A">
      <w:pPr>
        <w:tabs>
          <w:tab w:val="center" w:pos="5400"/>
        </w:tabs>
        <w:suppressAutoHyphens/>
        <w:jc w:val="center"/>
        <w:rPr>
          <w:rFonts w:asciiTheme="majorHAnsi" w:hAnsiTheme="majorHAnsi"/>
          <w:sz w:val="18"/>
          <w:szCs w:val="22"/>
        </w:rPr>
      </w:pPr>
    </w:p>
    <w:p w14:paraId="325E83DC" w14:textId="77777777" w:rsidR="002C1641" w:rsidRPr="00707803" w:rsidRDefault="002C1641" w:rsidP="00040C3A">
      <w:pPr>
        <w:tabs>
          <w:tab w:val="center" w:pos="5400"/>
        </w:tabs>
        <w:suppressAutoHyphens/>
        <w:jc w:val="center"/>
        <w:rPr>
          <w:rFonts w:asciiTheme="majorHAnsi" w:hAnsiTheme="majorHAnsi"/>
          <w:sz w:val="18"/>
          <w:szCs w:val="22"/>
        </w:rPr>
      </w:pPr>
    </w:p>
    <w:p w14:paraId="6EF56875" w14:textId="77777777" w:rsidR="002C1641" w:rsidRPr="00707803" w:rsidRDefault="002C1641" w:rsidP="00040C3A">
      <w:pPr>
        <w:tabs>
          <w:tab w:val="center" w:pos="5400"/>
        </w:tabs>
        <w:suppressAutoHyphens/>
        <w:jc w:val="center"/>
        <w:rPr>
          <w:rFonts w:asciiTheme="majorHAnsi" w:hAnsiTheme="majorHAnsi"/>
          <w:sz w:val="18"/>
          <w:szCs w:val="22"/>
        </w:rPr>
      </w:pPr>
    </w:p>
    <w:p w14:paraId="57B55307" w14:textId="77777777" w:rsidR="002C1641" w:rsidRPr="00707803" w:rsidRDefault="002C1641" w:rsidP="00040C3A">
      <w:pPr>
        <w:tabs>
          <w:tab w:val="center" w:pos="5400"/>
        </w:tabs>
        <w:suppressAutoHyphens/>
        <w:jc w:val="center"/>
        <w:rPr>
          <w:rFonts w:asciiTheme="majorHAnsi" w:hAnsiTheme="majorHAnsi"/>
          <w:sz w:val="18"/>
          <w:szCs w:val="22"/>
        </w:rPr>
      </w:pPr>
    </w:p>
    <w:p w14:paraId="623F1D91" w14:textId="77777777" w:rsidR="002C1641" w:rsidRPr="00707803" w:rsidRDefault="002C1641" w:rsidP="00040C3A">
      <w:pPr>
        <w:tabs>
          <w:tab w:val="center" w:pos="5400"/>
        </w:tabs>
        <w:suppressAutoHyphens/>
        <w:jc w:val="center"/>
        <w:rPr>
          <w:rFonts w:asciiTheme="majorHAnsi" w:hAnsiTheme="majorHAnsi"/>
          <w:sz w:val="18"/>
          <w:szCs w:val="22"/>
        </w:rPr>
      </w:pPr>
    </w:p>
    <w:p w14:paraId="2A5E1E57" w14:textId="77777777" w:rsidR="002C1641" w:rsidRPr="00707803" w:rsidRDefault="002C1641" w:rsidP="00040C3A">
      <w:pPr>
        <w:tabs>
          <w:tab w:val="center" w:pos="5400"/>
        </w:tabs>
        <w:suppressAutoHyphens/>
        <w:jc w:val="center"/>
        <w:rPr>
          <w:rFonts w:asciiTheme="majorHAnsi" w:hAnsiTheme="majorHAnsi"/>
          <w:sz w:val="18"/>
          <w:szCs w:val="22"/>
        </w:rPr>
      </w:pPr>
    </w:p>
    <w:p w14:paraId="77BEC133" w14:textId="77777777" w:rsidR="002C1641" w:rsidRPr="00707803" w:rsidRDefault="002C1641" w:rsidP="00040C3A">
      <w:pPr>
        <w:tabs>
          <w:tab w:val="center" w:pos="5400"/>
        </w:tabs>
        <w:suppressAutoHyphens/>
        <w:jc w:val="center"/>
        <w:rPr>
          <w:rFonts w:asciiTheme="majorHAnsi" w:hAnsiTheme="majorHAnsi"/>
          <w:sz w:val="18"/>
          <w:szCs w:val="22"/>
        </w:rPr>
      </w:pPr>
    </w:p>
    <w:p w14:paraId="6C06BA4F" w14:textId="77777777" w:rsidR="002C1641" w:rsidRPr="00707803" w:rsidRDefault="003C32BC" w:rsidP="00040C3A">
      <w:pPr>
        <w:tabs>
          <w:tab w:val="center" w:pos="5400"/>
        </w:tabs>
        <w:suppressAutoHyphens/>
        <w:jc w:val="center"/>
        <w:rPr>
          <w:rFonts w:asciiTheme="majorHAnsi" w:hAnsiTheme="majorHAnsi"/>
          <w:sz w:val="18"/>
          <w:szCs w:val="22"/>
        </w:rPr>
      </w:pPr>
      <w:r w:rsidRPr="0070780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F251104" wp14:editId="4C0AD12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84D50" w14:textId="647D5E4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DF2115">
                              <w:rPr>
                                <w:rFonts w:asciiTheme="majorHAnsi" w:hAnsiTheme="majorHAnsi"/>
                                <w:color w:val="0D0D0D" w:themeColor="text1" w:themeTint="F2"/>
                                <w:sz w:val="18"/>
                                <w:szCs w:val="22"/>
                              </w:rPr>
                              <w:t>May 10,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25110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7984D50" w14:textId="647D5E4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DF2115">
                        <w:rPr>
                          <w:rFonts w:asciiTheme="majorHAnsi" w:hAnsiTheme="majorHAnsi"/>
                          <w:color w:val="0D0D0D" w:themeColor="text1" w:themeTint="F2"/>
                          <w:sz w:val="18"/>
                          <w:szCs w:val="22"/>
                        </w:rPr>
                        <w:t>May 10, 2022.</w:t>
                      </w:r>
                    </w:p>
                  </w:txbxContent>
                </v:textbox>
              </v:shape>
            </w:pict>
          </mc:Fallback>
        </mc:AlternateContent>
      </w:r>
    </w:p>
    <w:p w14:paraId="59266168" w14:textId="77777777" w:rsidR="002C1641" w:rsidRPr="00707803" w:rsidRDefault="002C1641" w:rsidP="00040C3A">
      <w:pPr>
        <w:tabs>
          <w:tab w:val="center" w:pos="5400"/>
        </w:tabs>
        <w:suppressAutoHyphens/>
        <w:jc w:val="center"/>
        <w:rPr>
          <w:rFonts w:asciiTheme="majorHAnsi" w:hAnsiTheme="majorHAnsi"/>
          <w:sz w:val="18"/>
          <w:szCs w:val="22"/>
        </w:rPr>
      </w:pPr>
    </w:p>
    <w:p w14:paraId="3073C499" w14:textId="77777777" w:rsidR="002C1641" w:rsidRPr="00707803" w:rsidRDefault="002C1641" w:rsidP="00040C3A">
      <w:pPr>
        <w:tabs>
          <w:tab w:val="center" w:pos="5400"/>
        </w:tabs>
        <w:suppressAutoHyphens/>
        <w:jc w:val="center"/>
        <w:rPr>
          <w:rFonts w:asciiTheme="majorHAnsi" w:hAnsiTheme="majorHAnsi"/>
          <w:sz w:val="18"/>
          <w:szCs w:val="22"/>
        </w:rPr>
      </w:pPr>
    </w:p>
    <w:p w14:paraId="6449F80C" w14:textId="77777777" w:rsidR="002C1641" w:rsidRPr="00707803" w:rsidRDefault="002C1641" w:rsidP="00040C3A">
      <w:pPr>
        <w:tabs>
          <w:tab w:val="center" w:pos="5400"/>
        </w:tabs>
        <w:suppressAutoHyphens/>
        <w:jc w:val="center"/>
        <w:rPr>
          <w:rFonts w:asciiTheme="majorHAnsi" w:hAnsiTheme="majorHAnsi"/>
          <w:sz w:val="18"/>
          <w:szCs w:val="22"/>
        </w:rPr>
      </w:pPr>
    </w:p>
    <w:p w14:paraId="04BDD5BB" w14:textId="77777777" w:rsidR="002C1641" w:rsidRPr="00707803" w:rsidRDefault="002C1641" w:rsidP="00040C3A">
      <w:pPr>
        <w:tabs>
          <w:tab w:val="center" w:pos="5400"/>
        </w:tabs>
        <w:suppressAutoHyphens/>
        <w:jc w:val="center"/>
        <w:rPr>
          <w:rFonts w:asciiTheme="majorHAnsi" w:hAnsiTheme="majorHAnsi"/>
          <w:sz w:val="18"/>
          <w:szCs w:val="22"/>
        </w:rPr>
      </w:pPr>
    </w:p>
    <w:p w14:paraId="01BD1398" w14:textId="77777777" w:rsidR="002C1641" w:rsidRPr="00707803" w:rsidRDefault="003C32BC" w:rsidP="00040C3A">
      <w:pPr>
        <w:tabs>
          <w:tab w:val="center" w:pos="5400"/>
        </w:tabs>
        <w:suppressAutoHyphens/>
        <w:jc w:val="center"/>
        <w:rPr>
          <w:rFonts w:asciiTheme="majorHAnsi" w:hAnsiTheme="majorHAnsi"/>
          <w:sz w:val="18"/>
          <w:szCs w:val="22"/>
        </w:rPr>
      </w:pPr>
      <w:r w:rsidRPr="0070780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6065AAC" wp14:editId="4CD1575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11483" w14:textId="630D382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F2115">
                              <w:rPr>
                                <w:rFonts w:asciiTheme="majorHAnsi" w:hAnsiTheme="majorHAnsi"/>
                                <w:color w:val="595959" w:themeColor="text1" w:themeTint="A6"/>
                                <w:sz w:val="18"/>
                              </w:rPr>
                              <w:t>68/22</w:t>
                            </w:r>
                            <w:r w:rsidRPr="003C32BC">
                              <w:rPr>
                                <w:rFonts w:asciiTheme="majorHAnsi" w:hAnsiTheme="majorHAnsi"/>
                                <w:color w:val="595959" w:themeColor="text1" w:themeTint="A6"/>
                                <w:sz w:val="18"/>
                              </w:rPr>
                              <w:t xml:space="preserve">, Case </w:t>
                            </w:r>
                            <w:r w:rsidR="00F43FD1">
                              <w:rPr>
                                <w:rFonts w:asciiTheme="majorHAnsi" w:hAnsiTheme="majorHAnsi"/>
                                <w:color w:val="595959" w:themeColor="text1" w:themeTint="A6"/>
                                <w:sz w:val="18"/>
                              </w:rPr>
                              <w:t xml:space="preserve">13.125 </w:t>
                            </w:r>
                            <w:r w:rsidRPr="003C32BC">
                              <w:rPr>
                                <w:rFonts w:asciiTheme="majorHAnsi" w:hAnsiTheme="majorHAnsi"/>
                                <w:color w:val="595959" w:themeColor="text1" w:themeTint="A6"/>
                                <w:sz w:val="18"/>
                              </w:rPr>
                              <w:t xml:space="preserve">Friendly Settlement. </w:t>
                            </w:r>
                            <w:r w:rsidR="00F43FD1" w:rsidRPr="00F43FD1">
                              <w:rPr>
                                <w:rFonts w:asciiTheme="majorHAnsi" w:hAnsiTheme="majorHAnsi"/>
                                <w:color w:val="595959" w:themeColor="text1" w:themeTint="A6"/>
                                <w:sz w:val="18"/>
                              </w:rPr>
                              <w:t xml:space="preserve">Ricardo Antonio Elías </w:t>
                            </w:r>
                            <w:r w:rsidR="00F43FD1">
                              <w:rPr>
                                <w:rFonts w:asciiTheme="majorHAnsi" w:hAnsiTheme="majorHAnsi"/>
                                <w:color w:val="595959" w:themeColor="text1" w:themeTint="A6"/>
                                <w:sz w:val="18"/>
                              </w:rPr>
                              <w:t>and</w:t>
                            </w:r>
                            <w:r w:rsidR="00F43FD1" w:rsidRPr="00F43FD1">
                              <w:rPr>
                                <w:rFonts w:asciiTheme="majorHAnsi" w:hAnsiTheme="majorHAnsi"/>
                                <w:color w:val="595959" w:themeColor="text1" w:themeTint="A6"/>
                                <w:sz w:val="18"/>
                              </w:rPr>
                              <w:t xml:space="preserve"> Famil</w:t>
                            </w:r>
                            <w:r w:rsidR="00F43FD1">
                              <w:rPr>
                                <w:rFonts w:asciiTheme="majorHAnsi" w:hAnsiTheme="majorHAnsi"/>
                                <w:color w:val="595959" w:themeColor="text1" w:themeTint="A6"/>
                                <w:sz w:val="18"/>
                              </w:rPr>
                              <w:t>y</w:t>
                            </w:r>
                            <w:r w:rsidR="00F43FD1" w:rsidRPr="00F43FD1">
                              <w:rPr>
                                <w:rFonts w:asciiTheme="majorHAnsi" w:hAnsiTheme="majorHAnsi"/>
                                <w:color w:val="595959" w:themeColor="text1" w:themeTint="A6"/>
                                <w:sz w:val="18"/>
                              </w:rPr>
                              <w:t>. Colombia</w:t>
                            </w:r>
                            <w:r w:rsidRPr="007607C4">
                              <w:rPr>
                                <w:rFonts w:asciiTheme="majorHAnsi" w:hAnsiTheme="majorHAnsi"/>
                                <w:color w:val="595959" w:themeColor="text1" w:themeTint="A6"/>
                                <w:sz w:val="18"/>
                              </w:rPr>
                              <w:t xml:space="preserve">. </w:t>
                            </w:r>
                            <w:r w:rsidR="00DF2115">
                              <w:rPr>
                                <w:rFonts w:asciiTheme="majorHAnsi" w:hAnsiTheme="majorHAnsi"/>
                                <w:color w:val="595959" w:themeColor="text1" w:themeTint="A6"/>
                                <w:sz w:val="18"/>
                              </w:rPr>
                              <w:t>May 10,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065AA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9111483" w14:textId="630D382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F2115">
                        <w:rPr>
                          <w:rFonts w:asciiTheme="majorHAnsi" w:hAnsiTheme="majorHAnsi"/>
                          <w:color w:val="595959" w:themeColor="text1" w:themeTint="A6"/>
                          <w:sz w:val="18"/>
                        </w:rPr>
                        <w:t>68/22</w:t>
                      </w:r>
                      <w:r w:rsidRPr="003C32BC">
                        <w:rPr>
                          <w:rFonts w:asciiTheme="majorHAnsi" w:hAnsiTheme="majorHAnsi"/>
                          <w:color w:val="595959" w:themeColor="text1" w:themeTint="A6"/>
                          <w:sz w:val="18"/>
                        </w:rPr>
                        <w:t xml:space="preserve">, Case </w:t>
                      </w:r>
                      <w:r w:rsidR="00F43FD1">
                        <w:rPr>
                          <w:rFonts w:asciiTheme="majorHAnsi" w:hAnsiTheme="majorHAnsi"/>
                          <w:color w:val="595959" w:themeColor="text1" w:themeTint="A6"/>
                          <w:sz w:val="18"/>
                        </w:rPr>
                        <w:t xml:space="preserve">13.125 </w:t>
                      </w:r>
                      <w:r w:rsidRPr="003C32BC">
                        <w:rPr>
                          <w:rFonts w:asciiTheme="majorHAnsi" w:hAnsiTheme="majorHAnsi"/>
                          <w:color w:val="595959" w:themeColor="text1" w:themeTint="A6"/>
                          <w:sz w:val="18"/>
                        </w:rPr>
                        <w:t xml:space="preserve">Friendly Settlement. </w:t>
                      </w:r>
                      <w:r w:rsidR="00F43FD1" w:rsidRPr="00F43FD1">
                        <w:rPr>
                          <w:rFonts w:asciiTheme="majorHAnsi" w:hAnsiTheme="majorHAnsi"/>
                          <w:color w:val="595959" w:themeColor="text1" w:themeTint="A6"/>
                          <w:sz w:val="18"/>
                        </w:rPr>
                        <w:t xml:space="preserve">Ricardo Antonio Elías </w:t>
                      </w:r>
                      <w:r w:rsidR="00F43FD1">
                        <w:rPr>
                          <w:rFonts w:asciiTheme="majorHAnsi" w:hAnsiTheme="majorHAnsi"/>
                          <w:color w:val="595959" w:themeColor="text1" w:themeTint="A6"/>
                          <w:sz w:val="18"/>
                        </w:rPr>
                        <w:t>and</w:t>
                      </w:r>
                      <w:r w:rsidR="00F43FD1" w:rsidRPr="00F43FD1">
                        <w:rPr>
                          <w:rFonts w:asciiTheme="majorHAnsi" w:hAnsiTheme="majorHAnsi"/>
                          <w:color w:val="595959" w:themeColor="text1" w:themeTint="A6"/>
                          <w:sz w:val="18"/>
                        </w:rPr>
                        <w:t xml:space="preserve"> Famil</w:t>
                      </w:r>
                      <w:r w:rsidR="00F43FD1">
                        <w:rPr>
                          <w:rFonts w:asciiTheme="majorHAnsi" w:hAnsiTheme="majorHAnsi"/>
                          <w:color w:val="595959" w:themeColor="text1" w:themeTint="A6"/>
                          <w:sz w:val="18"/>
                        </w:rPr>
                        <w:t>y</w:t>
                      </w:r>
                      <w:r w:rsidR="00F43FD1" w:rsidRPr="00F43FD1">
                        <w:rPr>
                          <w:rFonts w:asciiTheme="majorHAnsi" w:hAnsiTheme="majorHAnsi"/>
                          <w:color w:val="595959" w:themeColor="text1" w:themeTint="A6"/>
                          <w:sz w:val="18"/>
                        </w:rPr>
                        <w:t>. Colombia</w:t>
                      </w:r>
                      <w:r w:rsidRPr="007607C4">
                        <w:rPr>
                          <w:rFonts w:asciiTheme="majorHAnsi" w:hAnsiTheme="majorHAnsi"/>
                          <w:color w:val="595959" w:themeColor="text1" w:themeTint="A6"/>
                          <w:sz w:val="18"/>
                        </w:rPr>
                        <w:t xml:space="preserve">. </w:t>
                      </w:r>
                      <w:r w:rsidR="00DF2115">
                        <w:rPr>
                          <w:rFonts w:asciiTheme="majorHAnsi" w:hAnsiTheme="majorHAnsi"/>
                          <w:color w:val="595959" w:themeColor="text1" w:themeTint="A6"/>
                          <w:sz w:val="18"/>
                        </w:rPr>
                        <w:t>May 10, 2022</w:t>
                      </w:r>
                      <w:r w:rsidRPr="007607C4">
                        <w:rPr>
                          <w:rFonts w:asciiTheme="majorHAnsi" w:hAnsiTheme="majorHAnsi"/>
                          <w:color w:val="595959" w:themeColor="text1" w:themeTint="A6"/>
                          <w:sz w:val="18"/>
                        </w:rPr>
                        <w:t>.</w:t>
                      </w:r>
                    </w:p>
                  </w:txbxContent>
                </v:textbox>
              </v:shape>
            </w:pict>
          </mc:Fallback>
        </mc:AlternateContent>
      </w:r>
    </w:p>
    <w:p w14:paraId="4DA56B96" w14:textId="77777777" w:rsidR="002C1641" w:rsidRPr="00707803" w:rsidRDefault="002C1641" w:rsidP="00040C3A">
      <w:pPr>
        <w:tabs>
          <w:tab w:val="center" w:pos="5400"/>
        </w:tabs>
        <w:suppressAutoHyphens/>
        <w:jc w:val="center"/>
        <w:rPr>
          <w:rFonts w:asciiTheme="majorHAnsi" w:hAnsiTheme="majorHAnsi"/>
          <w:sz w:val="18"/>
          <w:szCs w:val="22"/>
        </w:rPr>
      </w:pPr>
    </w:p>
    <w:p w14:paraId="5E1D2A44" w14:textId="77777777" w:rsidR="002C1641" w:rsidRPr="00707803" w:rsidRDefault="002C1641" w:rsidP="00040C3A">
      <w:pPr>
        <w:tabs>
          <w:tab w:val="center" w:pos="5400"/>
        </w:tabs>
        <w:suppressAutoHyphens/>
        <w:jc w:val="center"/>
        <w:rPr>
          <w:rFonts w:asciiTheme="majorHAnsi" w:hAnsiTheme="majorHAnsi"/>
          <w:sz w:val="18"/>
          <w:szCs w:val="22"/>
        </w:rPr>
      </w:pPr>
    </w:p>
    <w:p w14:paraId="1FEB5C34" w14:textId="77777777" w:rsidR="003C32BC" w:rsidRPr="00707803" w:rsidRDefault="003C32BC" w:rsidP="003C32BC">
      <w:pPr>
        <w:tabs>
          <w:tab w:val="center" w:pos="5400"/>
        </w:tabs>
        <w:suppressAutoHyphens/>
        <w:jc w:val="center"/>
        <w:rPr>
          <w:rFonts w:asciiTheme="majorHAnsi" w:hAnsiTheme="majorHAnsi"/>
          <w:sz w:val="18"/>
          <w:szCs w:val="22"/>
        </w:rPr>
      </w:pPr>
    </w:p>
    <w:p w14:paraId="233D0724" w14:textId="77777777" w:rsidR="003C32BC" w:rsidRPr="00707803" w:rsidRDefault="006311DA" w:rsidP="003C32BC">
      <w:pPr>
        <w:tabs>
          <w:tab w:val="center" w:pos="5400"/>
        </w:tabs>
        <w:suppressAutoHyphens/>
        <w:jc w:val="center"/>
        <w:rPr>
          <w:rFonts w:asciiTheme="majorHAnsi" w:hAnsiTheme="majorHAnsi"/>
          <w:sz w:val="18"/>
          <w:szCs w:val="22"/>
        </w:rPr>
      </w:pPr>
      <w:r w:rsidRPr="0070780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610A32A" wp14:editId="17502DB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3D4D7" w14:textId="0448A1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43FD1">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43FD1">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10A32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B33D4D7" w14:textId="0448A1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43FD1">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43FD1">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r w:rsidRPr="0070780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F6ACCE" wp14:editId="0750473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2EFCA" w14:textId="77777777" w:rsidR="003C32BC" w:rsidRDefault="003815A8">
                            <w:r>
                              <w:rPr>
                                <w:noProof/>
                              </w:rPr>
                              <w:drawing>
                                <wp:inline distT="0" distB="0" distL="0" distR="0" wp14:anchorId="154CCE52" wp14:editId="3E93E28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F6ACC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C72EFCA" w14:textId="77777777" w:rsidR="003C32BC" w:rsidRDefault="003815A8">
                      <w:r>
                        <w:rPr>
                          <w:noProof/>
                        </w:rPr>
                        <w:drawing>
                          <wp:inline distT="0" distB="0" distL="0" distR="0" wp14:anchorId="154CCE52" wp14:editId="3E93E28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747B828" w14:textId="77777777" w:rsidR="007607C4" w:rsidRPr="00707803" w:rsidRDefault="007607C4" w:rsidP="003C32BC">
      <w:pPr>
        <w:tabs>
          <w:tab w:val="center" w:pos="5400"/>
        </w:tabs>
        <w:suppressAutoHyphens/>
        <w:jc w:val="center"/>
        <w:rPr>
          <w:rFonts w:asciiTheme="majorHAnsi" w:hAnsiTheme="majorHAnsi"/>
          <w:sz w:val="18"/>
          <w:szCs w:val="22"/>
        </w:rPr>
        <w:sectPr w:rsidR="007607C4" w:rsidRPr="00707803"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7EC76EC8" w14:textId="0D378A64" w:rsidR="00976590" w:rsidRPr="00707803" w:rsidRDefault="00976590" w:rsidP="00FB7B58">
      <w:pPr>
        <w:tabs>
          <w:tab w:val="left" w:pos="2820"/>
        </w:tabs>
        <w:suppressAutoHyphens/>
        <w:spacing w:line="276" w:lineRule="auto"/>
        <w:jc w:val="center"/>
        <w:rPr>
          <w:rFonts w:asciiTheme="majorHAnsi" w:hAnsiTheme="majorHAnsi"/>
          <w:b/>
          <w:sz w:val="18"/>
          <w:szCs w:val="18"/>
        </w:rPr>
      </w:pPr>
      <w:r w:rsidRPr="00707803">
        <w:rPr>
          <w:rFonts w:asciiTheme="majorHAnsi" w:hAnsiTheme="majorHAnsi"/>
          <w:b/>
          <w:sz w:val="18"/>
          <w:szCs w:val="18"/>
        </w:rPr>
        <w:lastRenderedPageBreak/>
        <w:t xml:space="preserve">REPORT No. </w:t>
      </w:r>
      <w:r w:rsidR="00DF2115">
        <w:rPr>
          <w:rFonts w:asciiTheme="majorHAnsi" w:hAnsiTheme="majorHAnsi"/>
          <w:b/>
          <w:sz w:val="18"/>
          <w:szCs w:val="18"/>
        </w:rPr>
        <w:t>68/22</w:t>
      </w:r>
    </w:p>
    <w:p w14:paraId="43F1E0EC" w14:textId="77777777" w:rsidR="00976590" w:rsidRPr="00707803" w:rsidRDefault="00976590" w:rsidP="00976590">
      <w:pPr>
        <w:tabs>
          <w:tab w:val="center" w:pos="5400"/>
        </w:tabs>
        <w:suppressAutoHyphens/>
        <w:spacing w:line="276" w:lineRule="auto"/>
        <w:jc w:val="center"/>
        <w:rPr>
          <w:rFonts w:asciiTheme="majorHAnsi" w:hAnsiTheme="majorHAnsi"/>
          <w:b/>
          <w:sz w:val="18"/>
          <w:szCs w:val="18"/>
        </w:rPr>
      </w:pPr>
      <w:r w:rsidRPr="00707803">
        <w:rPr>
          <w:rFonts w:asciiTheme="majorHAnsi" w:hAnsiTheme="majorHAnsi"/>
          <w:b/>
          <w:sz w:val="18"/>
          <w:szCs w:val="18"/>
        </w:rPr>
        <w:t>CASE 13.125</w:t>
      </w:r>
    </w:p>
    <w:p w14:paraId="314E97B9" w14:textId="77777777" w:rsidR="00976590" w:rsidRPr="00707803" w:rsidRDefault="00976590" w:rsidP="00976590">
      <w:pPr>
        <w:tabs>
          <w:tab w:val="center" w:pos="5400"/>
        </w:tabs>
        <w:suppressAutoHyphens/>
        <w:spacing w:line="276" w:lineRule="auto"/>
        <w:jc w:val="center"/>
        <w:rPr>
          <w:rFonts w:asciiTheme="majorHAnsi" w:hAnsiTheme="majorHAnsi"/>
          <w:bCs/>
          <w:sz w:val="18"/>
          <w:szCs w:val="18"/>
        </w:rPr>
      </w:pPr>
      <w:r w:rsidRPr="00707803">
        <w:rPr>
          <w:rFonts w:asciiTheme="majorHAnsi" w:hAnsiTheme="majorHAnsi"/>
          <w:bCs/>
          <w:sz w:val="18"/>
          <w:szCs w:val="18"/>
        </w:rPr>
        <w:t>FRIENDLY SETTLEMENT</w:t>
      </w:r>
    </w:p>
    <w:p w14:paraId="2F1F73D1" w14:textId="77777777" w:rsidR="00976590" w:rsidRPr="00707803" w:rsidRDefault="00976590" w:rsidP="00976590">
      <w:pPr>
        <w:tabs>
          <w:tab w:val="center" w:pos="5400"/>
        </w:tabs>
        <w:suppressAutoHyphens/>
        <w:spacing w:line="276" w:lineRule="auto"/>
        <w:jc w:val="center"/>
        <w:rPr>
          <w:rFonts w:asciiTheme="majorHAnsi" w:hAnsiTheme="majorHAnsi"/>
          <w:bCs/>
          <w:sz w:val="18"/>
          <w:szCs w:val="18"/>
        </w:rPr>
      </w:pPr>
      <w:r w:rsidRPr="00707803">
        <w:rPr>
          <w:rFonts w:asciiTheme="majorHAnsi" w:hAnsiTheme="majorHAnsi"/>
          <w:bCs/>
          <w:sz w:val="18"/>
          <w:szCs w:val="18"/>
        </w:rPr>
        <w:t>RICARDO ANTONIO ELÍAS AND FAMILY</w:t>
      </w:r>
    </w:p>
    <w:p w14:paraId="5445E614" w14:textId="1F0186DF" w:rsidR="007A2F70" w:rsidRPr="00707803" w:rsidRDefault="00976590" w:rsidP="00976590">
      <w:pPr>
        <w:tabs>
          <w:tab w:val="center" w:pos="5400"/>
        </w:tabs>
        <w:suppressAutoHyphens/>
        <w:spacing w:line="276" w:lineRule="auto"/>
        <w:jc w:val="center"/>
        <w:rPr>
          <w:rFonts w:asciiTheme="majorHAnsi" w:hAnsiTheme="majorHAnsi"/>
          <w:sz w:val="18"/>
          <w:szCs w:val="18"/>
        </w:rPr>
      </w:pPr>
      <w:r w:rsidRPr="00707803">
        <w:rPr>
          <w:rFonts w:asciiTheme="majorHAnsi" w:hAnsiTheme="majorHAnsi"/>
          <w:bCs/>
          <w:sz w:val="18"/>
          <w:szCs w:val="18"/>
        </w:rPr>
        <w:t>COLOMBIA</w:t>
      </w:r>
      <w:r w:rsidR="007B21D7" w:rsidRPr="00707803">
        <w:rPr>
          <w:rStyle w:val="FootnoteReference"/>
          <w:rFonts w:asciiTheme="majorHAnsi" w:hAnsiTheme="majorHAnsi"/>
          <w:bCs/>
          <w:sz w:val="18"/>
          <w:szCs w:val="18"/>
        </w:rPr>
        <w:footnoteReference w:id="2"/>
      </w:r>
      <w:r w:rsidR="003414AC" w:rsidRPr="00707803">
        <w:rPr>
          <w:rFonts w:asciiTheme="majorHAnsi" w:hAnsiTheme="majorHAnsi"/>
          <w:sz w:val="18"/>
          <w:szCs w:val="18"/>
        </w:rPr>
        <w:br/>
      </w:r>
      <w:r w:rsidR="00DF2115">
        <w:rPr>
          <w:rFonts w:asciiTheme="majorHAnsi" w:hAnsiTheme="majorHAnsi"/>
          <w:sz w:val="18"/>
          <w:szCs w:val="18"/>
        </w:rPr>
        <w:t>MAY 10, 2022</w:t>
      </w:r>
    </w:p>
    <w:p w14:paraId="7F2D0F41" w14:textId="77777777" w:rsidR="00D36716" w:rsidRPr="00707803" w:rsidRDefault="00D36716" w:rsidP="00145EDC">
      <w:pPr>
        <w:tabs>
          <w:tab w:val="center" w:pos="5400"/>
        </w:tabs>
        <w:suppressAutoHyphens/>
        <w:spacing w:line="276" w:lineRule="auto"/>
        <w:rPr>
          <w:rFonts w:asciiTheme="majorHAnsi" w:hAnsiTheme="majorHAnsi"/>
          <w:sz w:val="20"/>
          <w:szCs w:val="20"/>
        </w:rPr>
      </w:pPr>
    </w:p>
    <w:p w14:paraId="27C058D2" w14:textId="77777777" w:rsidR="00C55560" w:rsidRPr="00707803" w:rsidRDefault="00C55560" w:rsidP="00145EDC">
      <w:pPr>
        <w:tabs>
          <w:tab w:val="center" w:pos="5400"/>
        </w:tabs>
        <w:suppressAutoHyphens/>
        <w:spacing w:line="276" w:lineRule="auto"/>
        <w:rPr>
          <w:rFonts w:asciiTheme="majorHAnsi" w:hAnsiTheme="majorHAnsi"/>
          <w:sz w:val="20"/>
          <w:szCs w:val="20"/>
        </w:rPr>
      </w:pPr>
    </w:p>
    <w:p w14:paraId="2502D7D7" w14:textId="77777777" w:rsidR="00473ECE" w:rsidRPr="00707803" w:rsidRDefault="00473ECE" w:rsidP="00473ECE">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07803">
        <w:rPr>
          <w:rFonts w:eastAsia="Times New Roman"/>
          <w:b/>
          <w:bCs/>
          <w:kern w:val="36"/>
          <w:sz w:val="20"/>
          <w:szCs w:val="20"/>
          <w:lang w:eastAsia="es-BO"/>
        </w:rPr>
        <w:t xml:space="preserve">SUMMARY </w:t>
      </w:r>
      <w:r w:rsidRPr="00707803">
        <w:rPr>
          <w:b/>
          <w:bCs/>
          <w:sz w:val="20"/>
          <w:szCs w:val="20"/>
        </w:rPr>
        <w:t>AND RELEVANT PROCEEDINGS OF THE FRIENDLY SETTLEMENT PROCESS</w:t>
      </w:r>
      <w:r w:rsidRPr="00707803">
        <w:rPr>
          <w:rFonts w:eastAsia="MS Mincho" w:cstheme="minorHAnsi"/>
          <w:b/>
          <w:color w:val="000000" w:themeColor="text1"/>
          <w:sz w:val="20"/>
          <w:szCs w:val="20"/>
        </w:rPr>
        <w:t xml:space="preserve"> </w:t>
      </w:r>
    </w:p>
    <w:p w14:paraId="36A84FAA" w14:textId="77777777" w:rsidR="00473ECE" w:rsidRPr="00707803" w:rsidRDefault="00473ECE" w:rsidP="00FB7B58">
      <w:pPr>
        <w:jc w:val="both"/>
        <w:rPr>
          <w:rFonts w:ascii="Cambria" w:eastAsia="MS Mincho" w:hAnsi="Cambria" w:cstheme="minorHAnsi"/>
          <w:color w:val="000000" w:themeColor="text1"/>
          <w:sz w:val="20"/>
          <w:szCs w:val="20"/>
        </w:rPr>
      </w:pPr>
    </w:p>
    <w:p w14:paraId="7204F583" w14:textId="5DF6718C"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707803">
        <w:rPr>
          <w:rFonts w:ascii="Cambria" w:eastAsia="Times New Roman" w:hAnsi="Cambria" w:cstheme="minorHAnsi"/>
          <w:color w:val="000000" w:themeColor="text1"/>
          <w:sz w:val="20"/>
          <w:szCs w:val="20"/>
        </w:rPr>
        <w:t xml:space="preserve">On June 29, 2007, the Inter-American Commission on Human Rights (hereinafter "the Commission" or "IACHR") received a petition presented by Soraya </w:t>
      </w:r>
      <w:proofErr w:type="spellStart"/>
      <w:r w:rsidRPr="00707803">
        <w:rPr>
          <w:rFonts w:ascii="Cambria" w:eastAsia="Times New Roman" w:hAnsi="Cambria" w:cstheme="minorHAnsi"/>
          <w:color w:val="000000" w:themeColor="text1"/>
          <w:sz w:val="20"/>
          <w:szCs w:val="20"/>
        </w:rPr>
        <w:t>Adalgiza</w:t>
      </w:r>
      <w:proofErr w:type="spellEnd"/>
      <w:r w:rsidRPr="00707803">
        <w:rPr>
          <w:rFonts w:ascii="Cambria" w:eastAsia="Times New Roman" w:hAnsi="Cambria" w:cstheme="minorHAnsi"/>
          <w:color w:val="000000" w:themeColor="text1"/>
          <w:sz w:val="20"/>
          <w:szCs w:val="20"/>
        </w:rPr>
        <w:t xml:space="preserve"> Elías Puente (hereinafter "the petitioner", "petitioner party" or "the petitioners"), alleging the international responsibility of the Republic of Colombia (hereinafter "the State" or "the Colombian State"), for the violation of the rights enshrined in Articles 4 (life) and 24 (equality before the law) of the American Convention on Human Rights, (hereinafter "Convention", "ACHR" or "American Convention"), derived from the alleged murder of her brother Mr. Ricardo Antonio Elías Puente (hereinafter "alleged victim"), by members of the </w:t>
      </w:r>
      <w:r w:rsidR="00E654DF" w:rsidRPr="00707803">
        <w:rPr>
          <w:rFonts w:ascii="Cambria" w:eastAsia="Times New Roman" w:hAnsi="Cambria" w:cstheme="minorHAnsi"/>
          <w:color w:val="000000" w:themeColor="text1"/>
          <w:sz w:val="20"/>
          <w:szCs w:val="20"/>
        </w:rPr>
        <w:t xml:space="preserve">self-proclaimed </w:t>
      </w:r>
      <w:r w:rsidRPr="00707803">
        <w:rPr>
          <w:rFonts w:ascii="Cambria" w:eastAsia="Times New Roman" w:hAnsi="Cambria" w:cstheme="minorHAnsi"/>
          <w:color w:val="000000" w:themeColor="text1"/>
          <w:sz w:val="20"/>
          <w:szCs w:val="20"/>
        </w:rPr>
        <w:t>guerrilla group  National Liberation Army (ELN)</w:t>
      </w:r>
      <w:r w:rsidRPr="00707803">
        <w:rPr>
          <w:rFonts w:ascii="Cambria" w:eastAsia="Times New Roman" w:hAnsi="Cambria"/>
          <w:sz w:val="20"/>
          <w:szCs w:val="20"/>
          <w:bdr w:val="none" w:sz="0" w:space="0" w:color="auto" w:frame="1"/>
        </w:rPr>
        <w:t xml:space="preserve">. </w:t>
      </w:r>
    </w:p>
    <w:p w14:paraId="434B8ABE" w14:textId="77777777" w:rsidR="00473ECE" w:rsidRPr="00707803" w:rsidRDefault="00473ECE" w:rsidP="00473ECE">
      <w:pP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44166115" w14:textId="77777777"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707803">
        <w:rPr>
          <w:rFonts w:ascii="Cambria" w:eastAsia="Times New Roman" w:hAnsi="Cambria"/>
          <w:sz w:val="20"/>
          <w:szCs w:val="20"/>
          <w:bdr w:val="none" w:sz="0" w:space="0" w:color="auto" w:frame="1"/>
        </w:rPr>
        <w:t xml:space="preserve">On April 27, 2017, the Commission approved Admissibility Report No. 37/17, in which it declared the petition admissible and its competence to hear the claim presented by the petitioner regarding the alleged violation of the rights recognized in Articles 4 (life), 5 (humane treatment), 8 (fair trial) and 25 (judicial protection) of the American Convention in relation to its Article 1.1 (obligation to respect rights). </w:t>
      </w:r>
    </w:p>
    <w:p w14:paraId="2997361A" w14:textId="77777777" w:rsidR="00473ECE" w:rsidRPr="00707803" w:rsidRDefault="00473ECE" w:rsidP="62E17D95">
      <w:pPr>
        <w:jc w:val="both"/>
        <w:rPr>
          <w:rFonts w:ascii="Cambria" w:eastAsia="Times New Roman" w:hAnsi="Cambria"/>
          <w:sz w:val="20"/>
          <w:szCs w:val="20"/>
          <w:bdr w:val="none" w:sz="0" w:space="0" w:color="auto" w:frame="1"/>
        </w:rPr>
      </w:pPr>
    </w:p>
    <w:p w14:paraId="29034443" w14:textId="7A3FC2FF"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MS Mincho" w:cstheme="minorHAnsi"/>
          <w:color w:val="000000" w:themeColor="text1"/>
          <w:sz w:val="20"/>
          <w:szCs w:val="20"/>
        </w:rPr>
      </w:pPr>
      <w:r w:rsidRPr="00707803">
        <w:rPr>
          <w:rFonts w:eastAsia="Times New Roman" w:cstheme="minorHAnsi"/>
          <w:color w:val="000000" w:themeColor="text1"/>
          <w:sz w:val="20"/>
          <w:szCs w:val="20"/>
        </w:rPr>
        <w:t>On December 20, 2021, the parties signed a Memorandum of Understanding for the search for a</w:t>
      </w:r>
      <w:r w:rsidR="00E654DF" w:rsidRPr="00707803">
        <w:rPr>
          <w:rFonts w:eastAsia="Times New Roman" w:cstheme="minorHAnsi"/>
          <w:color w:val="000000" w:themeColor="text1"/>
          <w:sz w:val="20"/>
          <w:szCs w:val="20"/>
        </w:rPr>
        <w:t xml:space="preserve"> friendly settlement, </w:t>
      </w:r>
      <w:r w:rsidRPr="00707803">
        <w:rPr>
          <w:rFonts w:eastAsia="Times New Roman" w:cstheme="minorHAnsi"/>
          <w:color w:val="000000" w:themeColor="text1"/>
          <w:sz w:val="20"/>
          <w:szCs w:val="20"/>
        </w:rPr>
        <w:t>together with a work schedule to advance in the negotiations. On January 11, 2022, the Commission formally notified the parties of the initiation of the friendly settlement process, which materialized with the signing of the friendly settlement agreement (hereinafter FSA) on March 1, 2022, in the city of Bogotá D.C. On April 1, 2022, the parties submitted a joint report on the progress of compliance with the FSA and requested the IACHR to homologate it</w:t>
      </w:r>
      <w:r w:rsidRPr="00707803">
        <w:rPr>
          <w:rFonts w:eastAsia="Times New Roman"/>
          <w:sz w:val="20"/>
          <w:szCs w:val="20"/>
          <w:bdr w:val="none" w:sz="0" w:space="0" w:color="auto" w:frame="1"/>
          <w:shd w:val="clear" w:color="auto" w:fill="FFFFFF"/>
        </w:rPr>
        <w:t xml:space="preserve">. </w:t>
      </w:r>
    </w:p>
    <w:p w14:paraId="7D5E7662" w14:textId="77777777" w:rsidR="00473ECE" w:rsidRPr="00707803" w:rsidRDefault="00473ECE" w:rsidP="62E17D95">
      <w:pPr>
        <w:pStyle w:val="ListParagraph"/>
        <w:jc w:val="both"/>
        <w:rPr>
          <w:rFonts w:eastAsia="Times New Roman"/>
          <w:sz w:val="20"/>
          <w:szCs w:val="20"/>
        </w:rPr>
      </w:pPr>
    </w:p>
    <w:p w14:paraId="2BF088B6" w14:textId="77777777"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MS Mincho" w:cstheme="minorHAnsi"/>
          <w:color w:val="000000" w:themeColor="text1"/>
          <w:sz w:val="20"/>
          <w:szCs w:val="20"/>
        </w:rPr>
      </w:pPr>
      <w:r w:rsidRPr="00707803">
        <w:rPr>
          <w:rFonts w:eastAsia="Times New Roman"/>
          <w:sz w:val="20"/>
          <w:szCs w:val="20"/>
        </w:rPr>
        <w:t>This friendly settlement report, in accordance with Article 49 of the Convention and Article 40.5 of the Commission's Rules of Procedure, contains a summary of the facts alleged by the petitioner and transcribes the friendly settlement agreement signed on March 1, 2022, by the petitioner and representatives of the Colombian State. Likewise, the agreement signed between the parties is approved and it is agreed that this report will be published in the Annual Report of the IACHR to the General Assembly of the Organization of American States.</w:t>
      </w:r>
    </w:p>
    <w:p w14:paraId="7665B8EB" w14:textId="77777777" w:rsidR="00473ECE" w:rsidRPr="00707803" w:rsidRDefault="00473ECE" w:rsidP="00FB7B5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37740CBA" w14:textId="77777777" w:rsidR="00473ECE" w:rsidRPr="00707803" w:rsidRDefault="00473ECE" w:rsidP="00473ECE">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07803">
        <w:rPr>
          <w:rFonts w:eastAsia="Times New Roman"/>
          <w:b/>
          <w:bCs/>
          <w:kern w:val="36"/>
          <w:sz w:val="20"/>
          <w:szCs w:val="20"/>
          <w:lang w:eastAsia="es-BO"/>
        </w:rPr>
        <w:t>THE FACTS ALLEGED</w:t>
      </w:r>
      <w:r w:rsidRPr="00707803">
        <w:rPr>
          <w:rFonts w:eastAsia="MS Mincho" w:cstheme="minorHAnsi"/>
          <w:b/>
          <w:color w:val="000000" w:themeColor="text1"/>
          <w:sz w:val="20"/>
          <w:szCs w:val="20"/>
        </w:rPr>
        <w:t xml:space="preserve"> </w:t>
      </w:r>
    </w:p>
    <w:p w14:paraId="7A19110F" w14:textId="77777777" w:rsidR="00473ECE" w:rsidRPr="00707803" w:rsidRDefault="00473ECE" w:rsidP="00473EC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EB07652" w14:textId="5FEA5E52"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707803">
        <w:rPr>
          <w:rFonts w:ascii="Cambria" w:eastAsia="Times New Roman" w:hAnsi="Cambria"/>
          <w:color w:val="000000"/>
          <w:sz w:val="20"/>
          <w:szCs w:val="20"/>
          <w:bdr w:val="none" w:sz="0" w:space="0" w:color="auto" w:frame="1"/>
          <w:shd w:val="clear" w:color="auto" w:fill="FFFFFF"/>
        </w:rPr>
        <w:t xml:space="preserve">The petitioner held that Mr. Ricardo Antonio Elías Puente, who was head of the El </w:t>
      </w:r>
      <w:proofErr w:type="spellStart"/>
      <w:r w:rsidRPr="00707803">
        <w:rPr>
          <w:rFonts w:ascii="Cambria" w:eastAsia="Times New Roman" w:hAnsi="Cambria"/>
          <w:color w:val="000000"/>
          <w:sz w:val="20"/>
          <w:szCs w:val="20"/>
          <w:bdr w:val="none" w:sz="0" w:space="0" w:color="auto" w:frame="1"/>
          <w:shd w:val="clear" w:color="auto" w:fill="FFFFFF"/>
        </w:rPr>
        <w:t>Cocuy</w:t>
      </w:r>
      <w:proofErr w:type="spellEnd"/>
      <w:r w:rsidRPr="00707803">
        <w:rPr>
          <w:rFonts w:ascii="Cambria" w:eastAsia="Times New Roman" w:hAnsi="Cambria"/>
          <w:color w:val="000000"/>
          <w:sz w:val="20"/>
          <w:szCs w:val="20"/>
          <w:bdr w:val="none" w:sz="0" w:space="0" w:color="auto" w:frame="1"/>
          <w:shd w:val="clear" w:color="auto" w:fill="FFFFFF"/>
        </w:rPr>
        <w:t xml:space="preserve"> National Park and </w:t>
      </w:r>
      <w:proofErr w:type="gramStart"/>
      <w:r w:rsidRPr="00707803">
        <w:rPr>
          <w:rFonts w:ascii="Cambria" w:eastAsia="Times New Roman" w:hAnsi="Cambria"/>
          <w:color w:val="000000"/>
          <w:sz w:val="20"/>
          <w:szCs w:val="20"/>
          <w:bdr w:val="none" w:sz="0" w:space="0" w:color="auto" w:frame="1"/>
          <w:shd w:val="clear" w:color="auto" w:fill="FFFFFF"/>
        </w:rPr>
        <w:t>was in charge of</w:t>
      </w:r>
      <w:proofErr w:type="gramEnd"/>
      <w:r w:rsidRPr="00707803">
        <w:rPr>
          <w:rFonts w:ascii="Cambria" w:eastAsia="Times New Roman" w:hAnsi="Cambria"/>
          <w:color w:val="000000"/>
          <w:sz w:val="20"/>
          <w:szCs w:val="20"/>
          <w:bdr w:val="none" w:sz="0" w:space="0" w:color="auto" w:frame="1"/>
          <w:shd w:val="clear" w:color="auto" w:fill="FFFFFF"/>
        </w:rPr>
        <w:t xml:space="preserve"> the government entity INDERENA, was allegedly murdered by members of the </w:t>
      </w:r>
      <w:r w:rsidR="00E654DF" w:rsidRPr="00707803">
        <w:rPr>
          <w:rFonts w:ascii="Cambria" w:eastAsia="Times New Roman" w:hAnsi="Cambria"/>
          <w:color w:val="000000"/>
          <w:sz w:val="20"/>
          <w:szCs w:val="20"/>
          <w:bdr w:val="none" w:sz="0" w:space="0" w:color="auto" w:frame="1"/>
          <w:shd w:val="clear" w:color="auto" w:fill="FFFFFF"/>
        </w:rPr>
        <w:t xml:space="preserve">self-proclaimed </w:t>
      </w:r>
      <w:r w:rsidRPr="00707803">
        <w:rPr>
          <w:rFonts w:ascii="Cambria" w:eastAsia="Times New Roman" w:hAnsi="Cambria"/>
          <w:color w:val="000000"/>
          <w:sz w:val="20"/>
          <w:szCs w:val="20"/>
          <w:bdr w:val="none" w:sz="0" w:space="0" w:color="auto" w:frame="1"/>
          <w:shd w:val="clear" w:color="auto" w:fill="FFFFFF"/>
        </w:rPr>
        <w:t xml:space="preserve">guerrilla group National Liberation Army (ELN) on November 13, 1988, during a guerrilla takeover in the </w:t>
      </w:r>
      <w:proofErr w:type="spellStart"/>
      <w:r w:rsidRPr="00707803">
        <w:rPr>
          <w:rFonts w:ascii="Cambria" w:eastAsia="Times New Roman" w:hAnsi="Cambria"/>
          <w:color w:val="000000"/>
          <w:sz w:val="20"/>
          <w:szCs w:val="20"/>
          <w:bdr w:val="none" w:sz="0" w:space="0" w:color="auto" w:frame="1"/>
          <w:shd w:val="clear" w:color="auto" w:fill="FFFFFF"/>
        </w:rPr>
        <w:t>Cocuy</w:t>
      </w:r>
      <w:proofErr w:type="spellEnd"/>
      <w:r w:rsidRPr="00707803">
        <w:rPr>
          <w:rFonts w:ascii="Cambria" w:eastAsia="Times New Roman" w:hAnsi="Cambria"/>
          <w:color w:val="000000"/>
          <w:sz w:val="20"/>
          <w:szCs w:val="20"/>
          <w:bdr w:val="none" w:sz="0" w:space="0" w:color="auto" w:frame="1"/>
          <w:shd w:val="clear" w:color="auto" w:fill="FFFFFF"/>
        </w:rPr>
        <w:t xml:space="preserve"> area in the department of Boyacá. In this regard, the petitioner claimed that the State had full knowledge of the threats against the life of Mr. Ricardo Antonio Elías Puente prior to his assassination. </w:t>
      </w:r>
    </w:p>
    <w:p w14:paraId="42B7E3A8" w14:textId="77777777" w:rsidR="00473ECE" w:rsidRPr="00707803" w:rsidRDefault="00473ECE" w:rsidP="00473ECE">
      <w:pP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23A582E4" w14:textId="3D315B76"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proofErr w:type="gramStart"/>
      <w:r w:rsidRPr="00707803">
        <w:rPr>
          <w:rFonts w:asciiTheme="majorHAnsi" w:hAnsiTheme="majorHAnsi" w:cs="Arial"/>
          <w:sz w:val="20"/>
          <w:szCs w:val="20"/>
        </w:rPr>
        <w:t>With regard to</w:t>
      </w:r>
      <w:proofErr w:type="gramEnd"/>
      <w:r w:rsidRPr="00707803">
        <w:rPr>
          <w:rFonts w:asciiTheme="majorHAnsi" w:hAnsiTheme="majorHAnsi" w:cs="Arial"/>
          <w:sz w:val="20"/>
          <w:szCs w:val="20"/>
        </w:rPr>
        <w:t xml:space="preserve"> the criminal investigation, on November 21, 1988, the petitioner reportedly requested the Attorney General of the Nation to investigate the death of Mr. Elías Puente. On May 15, 2007, the Attorney General's Office reportedly informed that the investigation had been conducted by Prosecutor 14 Delegate before the Circuit Judges of </w:t>
      </w:r>
      <w:proofErr w:type="spellStart"/>
      <w:r w:rsidRPr="00707803">
        <w:rPr>
          <w:rFonts w:asciiTheme="majorHAnsi" w:hAnsiTheme="majorHAnsi" w:cs="Arial"/>
          <w:sz w:val="20"/>
          <w:szCs w:val="20"/>
        </w:rPr>
        <w:t>Cocuy</w:t>
      </w:r>
      <w:proofErr w:type="spellEnd"/>
      <w:r w:rsidRPr="00707803">
        <w:rPr>
          <w:rFonts w:asciiTheme="majorHAnsi" w:hAnsiTheme="majorHAnsi" w:cs="Arial"/>
          <w:sz w:val="20"/>
          <w:szCs w:val="20"/>
        </w:rPr>
        <w:t>. The petitioners claimed that, in 1994, the files had been</w:t>
      </w:r>
      <w:r w:rsidR="00E654DF" w:rsidRPr="00707803">
        <w:rPr>
          <w:rFonts w:asciiTheme="majorHAnsi" w:hAnsiTheme="majorHAnsi" w:cs="Arial"/>
          <w:sz w:val="20"/>
          <w:szCs w:val="20"/>
        </w:rPr>
        <w:t xml:space="preserve"> allegedly</w:t>
      </w:r>
      <w:r w:rsidRPr="00707803">
        <w:rPr>
          <w:rFonts w:asciiTheme="majorHAnsi" w:hAnsiTheme="majorHAnsi" w:cs="Arial"/>
          <w:sz w:val="20"/>
          <w:szCs w:val="20"/>
        </w:rPr>
        <w:t xml:space="preserve"> burned during a guerrilla raid, which is why the records prior to that date were not available. </w:t>
      </w:r>
    </w:p>
    <w:p w14:paraId="1F9B3D05" w14:textId="77777777" w:rsidR="00473ECE" w:rsidRPr="00707803" w:rsidRDefault="00473ECE" w:rsidP="62E17D95">
      <w:pPr>
        <w:pStyle w:val="ListParagraph"/>
        <w:jc w:val="both"/>
        <w:rPr>
          <w:rFonts w:asciiTheme="majorHAnsi" w:hAnsiTheme="majorHAnsi" w:cs="Arial"/>
          <w:sz w:val="20"/>
          <w:szCs w:val="20"/>
          <w:bdr w:val="none" w:sz="0" w:space="0" w:color="auto"/>
        </w:rPr>
      </w:pPr>
    </w:p>
    <w:p w14:paraId="2180BAA4" w14:textId="77777777"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707803">
        <w:rPr>
          <w:rFonts w:asciiTheme="majorHAnsi" w:hAnsiTheme="majorHAnsi" w:cs="Arial"/>
          <w:sz w:val="20"/>
          <w:szCs w:val="20"/>
        </w:rPr>
        <w:lastRenderedPageBreak/>
        <w:t xml:space="preserve">According to the allegations, on November 28, 1990, the Full Chamber of the Administrative Court of Boyacá admitted an action for direct reparations filed by the petitioner and Ms. </w:t>
      </w:r>
      <w:proofErr w:type="spellStart"/>
      <w:r w:rsidRPr="00707803">
        <w:rPr>
          <w:rFonts w:asciiTheme="majorHAnsi" w:hAnsiTheme="majorHAnsi" w:cs="Arial"/>
          <w:sz w:val="20"/>
          <w:szCs w:val="20"/>
        </w:rPr>
        <w:t>Adalgiza</w:t>
      </w:r>
      <w:proofErr w:type="spellEnd"/>
      <w:r w:rsidRPr="00707803">
        <w:rPr>
          <w:rFonts w:asciiTheme="majorHAnsi" w:hAnsiTheme="majorHAnsi" w:cs="Arial"/>
          <w:sz w:val="20"/>
          <w:szCs w:val="20"/>
        </w:rPr>
        <w:t xml:space="preserve"> Puente and Ms. </w:t>
      </w:r>
      <w:proofErr w:type="spellStart"/>
      <w:r w:rsidRPr="00707803">
        <w:rPr>
          <w:rFonts w:asciiTheme="majorHAnsi" w:hAnsiTheme="majorHAnsi" w:cs="Arial"/>
          <w:sz w:val="20"/>
          <w:szCs w:val="20"/>
        </w:rPr>
        <w:t>Sayde</w:t>
      </w:r>
      <w:proofErr w:type="spellEnd"/>
      <w:r w:rsidRPr="00707803">
        <w:rPr>
          <w:rFonts w:asciiTheme="majorHAnsi" w:hAnsiTheme="majorHAnsi" w:cs="Arial"/>
          <w:sz w:val="20"/>
          <w:szCs w:val="20"/>
        </w:rPr>
        <w:t xml:space="preserve"> María Elías, mother and sister respectively of the alleged victim, against the Ministry of National Defense (MDN) and INDERENA for non-pecuniary and pecuniary damages caused by the death of Mr. Elías Puente. On May 7, 1997, the Plenary Chamber ruled in favor of the plaintiffs and ordered the defendants to pay 1,000 grams of gold to </w:t>
      </w:r>
      <w:proofErr w:type="spellStart"/>
      <w:r w:rsidRPr="00707803">
        <w:rPr>
          <w:rFonts w:asciiTheme="majorHAnsi" w:hAnsiTheme="majorHAnsi" w:cs="Arial"/>
          <w:sz w:val="20"/>
          <w:szCs w:val="20"/>
        </w:rPr>
        <w:t>Adalgiza</w:t>
      </w:r>
      <w:proofErr w:type="spellEnd"/>
      <w:r w:rsidRPr="00707803">
        <w:rPr>
          <w:rFonts w:asciiTheme="majorHAnsi" w:hAnsiTheme="majorHAnsi" w:cs="Arial"/>
          <w:sz w:val="20"/>
          <w:szCs w:val="20"/>
        </w:rPr>
        <w:t xml:space="preserve"> Puente and 500 grams to the alleged victim's sisters for moral damages, as well as to pay compensation for loss of earnings to the mother. Subsequently, on June 26, 1997, the Ministry of National Defense filed an appeal against said judgment, which was decided on December 11, 2003, by the Third Section of the Contentious Administrative Court of the Council of State, which resolved to "revoke the appealed judgment, which partially granted the defendant's claims and, instead, denied them on the grounds that in the present case there is a cause for exoneration of liability, which is the act of a third party".</w:t>
      </w:r>
    </w:p>
    <w:p w14:paraId="6284E68A" w14:textId="77777777" w:rsidR="00473ECE" w:rsidRPr="00707803" w:rsidRDefault="00473ECE" w:rsidP="00473EC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bdr w:val="none" w:sz="0" w:space="0" w:color="auto" w:frame="1"/>
          <w:lang w:eastAsia="es-ES"/>
        </w:rPr>
      </w:pPr>
    </w:p>
    <w:p w14:paraId="1F8D287B" w14:textId="77777777" w:rsidR="00473ECE" w:rsidRPr="00707803" w:rsidRDefault="00473ECE" w:rsidP="00473E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eastAsia="es-ES"/>
        </w:rPr>
      </w:pPr>
      <w:r w:rsidRPr="00707803">
        <w:rPr>
          <w:rFonts w:asciiTheme="majorHAnsi" w:hAnsiTheme="majorHAnsi" w:cs="Arial"/>
          <w:sz w:val="20"/>
          <w:szCs w:val="20"/>
        </w:rPr>
        <w:t xml:space="preserve">The petitioner claimed that, following that judgment, she continued to seek "compensation and a response" from various agencies. The documentation provided shows that, on April 5, 2005, the Director of the Presidential Program for Human Rights and International Humanitarian Law reportedly informed her that, once the second instance judgment had been handed down by the Council of State, no further appeal was allowed. On the other hand, on July 11, 2006, the Fourth Delegate Attorney General's Office before the Council of State reportedly informed the petitioner that, since there was a final judicial decision adverse to her claims, it was impossible to take any other action. Likewise, on July 18, 2006, the National Unit for Justice and Peace of the Office of the Attorney General of the Nation reportedly informed the petitioner that the petition filed with the National Commission for Reparation and Reconciliation was forwarded to the Santa Rosa de </w:t>
      </w:r>
      <w:proofErr w:type="spellStart"/>
      <w:r w:rsidRPr="00707803">
        <w:rPr>
          <w:rFonts w:asciiTheme="majorHAnsi" w:hAnsiTheme="majorHAnsi" w:cs="Arial"/>
          <w:sz w:val="20"/>
          <w:szCs w:val="20"/>
        </w:rPr>
        <w:t>Viterbo</w:t>
      </w:r>
      <w:proofErr w:type="spellEnd"/>
      <w:r w:rsidRPr="00707803">
        <w:rPr>
          <w:rFonts w:asciiTheme="majorHAnsi" w:hAnsiTheme="majorHAnsi" w:cs="Arial"/>
          <w:sz w:val="20"/>
          <w:szCs w:val="20"/>
        </w:rPr>
        <w:t xml:space="preserve"> Regional Prosecutor's Office for its corresponding processing pursuant to Law 975 of 2005.</w:t>
      </w:r>
    </w:p>
    <w:p w14:paraId="6C8ACD5E" w14:textId="77777777" w:rsidR="00473ECE" w:rsidRPr="00707803" w:rsidRDefault="00473ECE" w:rsidP="0070780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Cambria" w:eastAsia="Times New Roman" w:hAnsi="Cambria" w:cs="Cambria"/>
          <w:color w:val="000000"/>
          <w:sz w:val="20"/>
          <w:szCs w:val="20"/>
          <w:bdr w:val="none" w:sz="0" w:space="0" w:color="auto" w:frame="1"/>
          <w:lang w:eastAsia="es-ES"/>
        </w:rPr>
      </w:pPr>
    </w:p>
    <w:p w14:paraId="23F5938C" w14:textId="77777777" w:rsidR="00473ECE" w:rsidRPr="00707803" w:rsidRDefault="00473ECE" w:rsidP="00473EC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707803">
        <w:rPr>
          <w:rFonts w:ascii="Cambria" w:eastAsia="MS Mincho" w:hAnsi="Cambria" w:cstheme="minorHAnsi"/>
          <w:b/>
          <w:color w:val="000000" w:themeColor="text1"/>
          <w:sz w:val="20"/>
          <w:szCs w:val="20"/>
        </w:rPr>
        <w:t>FRIENDLY SETTLEMENT</w:t>
      </w:r>
    </w:p>
    <w:p w14:paraId="1F2A3A34" w14:textId="77777777" w:rsidR="00473ECE" w:rsidRPr="00707803" w:rsidRDefault="00473ECE" w:rsidP="00473EC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32079649" w14:textId="77777777" w:rsidR="00473ECE" w:rsidRPr="00707803" w:rsidRDefault="00473ECE" w:rsidP="00473ECE">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rPr>
          <w:rFonts w:ascii="Cambria" w:hAnsi="Cambria"/>
          <w:sz w:val="20"/>
          <w:szCs w:val="20"/>
        </w:rPr>
      </w:pPr>
      <w:r w:rsidRPr="00707803">
        <w:rPr>
          <w:rFonts w:ascii="Cambria" w:eastAsia="Times New Roman" w:hAnsi="Cambria" w:cstheme="minorHAnsi"/>
          <w:color w:val="000000" w:themeColor="text1"/>
          <w:sz w:val="20"/>
          <w:szCs w:val="20"/>
        </w:rPr>
        <w:t>On March 1, 2022, the parties entered into a friendly settlement agreement, the text of which reads as follows:</w:t>
      </w:r>
    </w:p>
    <w:p w14:paraId="681D4D9A" w14:textId="298E9862" w:rsidR="00473ECE" w:rsidRPr="00707803" w:rsidRDefault="00E654DF" w:rsidP="00473ECE">
      <w:pPr>
        <w:tabs>
          <w:tab w:val="center" w:pos="5400"/>
        </w:tabs>
        <w:suppressAutoHyphens/>
        <w:ind w:left="720" w:right="720"/>
        <w:jc w:val="center"/>
        <w:rPr>
          <w:rFonts w:ascii="Cambria" w:eastAsia="MS Mincho" w:hAnsi="Cambria"/>
          <w:b/>
          <w:sz w:val="20"/>
          <w:szCs w:val="20"/>
        </w:rPr>
      </w:pPr>
      <w:r w:rsidRPr="00707803">
        <w:rPr>
          <w:rFonts w:ascii="Cambria" w:eastAsia="MS Mincho" w:hAnsi="Cambria"/>
          <w:b/>
          <w:sz w:val="20"/>
          <w:szCs w:val="20"/>
        </w:rPr>
        <w:t>FRIENDLY SETTLEMENT</w:t>
      </w:r>
      <w:r w:rsidR="00473ECE" w:rsidRPr="00707803">
        <w:rPr>
          <w:rFonts w:ascii="Cambria" w:eastAsia="MS Mincho" w:hAnsi="Cambria"/>
          <w:b/>
          <w:sz w:val="20"/>
          <w:szCs w:val="20"/>
        </w:rPr>
        <w:t xml:space="preserve"> AGREEMENT</w:t>
      </w:r>
    </w:p>
    <w:p w14:paraId="4736FA0A" w14:textId="77777777" w:rsidR="00473ECE" w:rsidRPr="00707803" w:rsidRDefault="00473ECE" w:rsidP="00473ECE">
      <w:pPr>
        <w:tabs>
          <w:tab w:val="center" w:pos="5400"/>
        </w:tabs>
        <w:suppressAutoHyphens/>
        <w:ind w:left="720" w:right="720"/>
        <w:jc w:val="center"/>
        <w:rPr>
          <w:rFonts w:ascii="Cambria" w:hAnsi="Cambria"/>
          <w:b/>
          <w:sz w:val="20"/>
          <w:szCs w:val="20"/>
        </w:rPr>
      </w:pPr>
      <w:r w:rsidRPr="00707803">
        <w:rPr>
          <w:rFonts w:ascii="Cambria" w:eastAsia="MS Mincho" w:hAnsi="Cambria"/>
          <w:b/>
          <w:sz w:val="20"/>
          <w:szCs w:val="20"/>
        </w:rPr>
        <w:t>CASE No. 13.125 - RICARDO ANTONIO ELÍAS PUENTE &amp; FAMILY</w:t>
      </w:r>
    </w:p>
    <w:p w14:paraId="23233D75" w14:textId="77777777" w:rsidR="00473ECE" w:rsidRPr="00707803" w:rsidRDefault="00473ECE" w:rsidP="00473ECE">
      <w:pPr>
        <w:pStyle w:val="BodyText"/>
        <w:spacing w:after="0"/>
        <w:ind w:left="720" w:right="720"/>
        <w:rPr>
          <w:rFonts w:ascii="Cambria" w:hAnsi="Cambria"/>
          <w:sz w:val="20"/>
          <w:szCs w:val="20"/>
          <w:highlight w:val="yellow"/>
        </w:rPr>
      </w:pPr>
    </w:p>
    <w:p w14:paraId="19F97398" w14:textId="77777777" w:rsidR="00473ECE" w:rsidRPr="00707803" w:rsidRDefault="00473ECE" w:rsidP="00473ECE">
      <w:pPr>
        <w:pStyle w:val="ListParagraph"/>
        <w:ind w:right="720"/>
        <w:jc w:val="both"/>
        <w:rPr>
          <w:rFonts w:eastAsia="MS Mincho"/>
          <w:sz w:val="20"/>
          <w:szCs w:val="20"/>
        </w:rPr>
      </w:pPr>
      <w:r w:rsidRPr="00707803">
        <w:rPr>
          <w:rFonts w:eastAsia="MS Mincho"/>
          <w:sz w:val="20"/>
          <w:szCs w:val="20"/>
        </w:rPr>
        <w:t xml:space="preserve">On March 1, 2022, the following met in the city of Bogotá D.C., on the one hand, Ana María </w:t>
      </w:r>
      <w:proofErr w:type="spellStart"/>
      <w:r w:rsidRPr="00707803">
        <w:rPr>
          <w:rFonts w:eastAsia="MS Mincho"/>
          <w:sz w:val="20"/>
          <w:szCs w:val="20"/>
        </w:rPr>
        <w:t>Ordoñez</w:t>
      </w:r>
      <w:proofErr w:type="spellEnd"/>
      <w:r w:rsidRPr="00707803">
        <w:rPr>
          <w:rFonts w:eastAsia="MS Mincho"/>
          <w:sz w:val="20"/>
          <w:szCs w:val="20"/>
        </w:rPr>
        <w:t xml:space="preserve"> Puentes, Director of the Directorate of International Legal Defense of the National Agency for the Legal Defense of the State, acting with due authorization on behalf and in representation of the Colombian State, hereinafter referred to as the "State" or the "Colombian State”, and on the other hand, Mrs. Soraya </w:t>
      </w:r>
      <w:proofErr w:type="spellStart"/>
      <w:r w:rsidRPr="00707803">
        <w:rPr>
          <w:rFonts w:eastAsia="MS Mincho"/>
          <w:sz w:val="20"/>
          <w:szCs w:val="20"/>
        </w:rPr>
        <w:t>Adalgiza</w:t>
      </w:r>
      <w:proofErr w:type="spellEnd"/>
      <w:r w:rsidRPr="00707803">
        <w:rPr>
          <w:rFonts w:eastAsia="MS Mincho"/>
          <w:sz w:val="20"/>
          <w:szCs w:val="20"/>
        </w:rPr>
        <w:t xml:space="preserve"> Elías Puente, acting on her own behalf and on behalf of her family, hereinafter referred to as "the petitioner", in order to enter into this Friendly Settlement Agreement within Case No. 13.125, Ricardo Antonio Elías Puente and Family, pending before the Inter-American Commission on Human Rights. </w:t>
      </w:r>
    </w:p>
    <w:p w14:paraId="11D449A4" w14:textId="77777777" w:rsidR="00473ECE" w:rsidRPr="00707803" w:rsidRDefault="00473ECE" w:rsidP="00473ECE">
      <w:pPr>
        <w:pStyle w:val="ListParagraph"/>
        <w:ind w:right="720"/>
        <w:jc w:val="both"/>
        <w:rPr>
          <w:rFonts w:eastAsia="MS Mincho"/>
          <w:sz w:val="20"/>
          <w:szCs w:val="20"/>
        </w:rPr>
      </w:pPr>
    </w:p>
    <w:p w14:paraId="1819CDA1" w14:textId="77777777" w:rsidR="00473ECE" w:rsidRPr="00707803" w:rsidRDefault="00473ECE" w:rsidP="00473ECE">
      <w:pPr>
        <w:pStyle w:val="ListParagraph"/>
        <w:ind w:right="720"/>
        <w:jc w:val="center"/>
        <w:rPr>
          <w:rFonts w:eastAsia="MS Mincho"/>
          <w:b/>
          <w:bCs/>
          <w:sz w:val="20"/>
          <w:szCs w:val="20"/>
        </w:rPr>
      </w:pPr>
      <w:r w:rsidRPr="00707803">
        <w:rPr>
          <w:rFonts w:eastAsia="MS Mincho"/>
          <w:b/>
          <w:bCs/>
          <w:sz w:val="20"/>
          <w:szCs w:val="20"/>
        </w:rPr>
        <w:t>FIRST PART: CONCEPTS</w:t>
      </w:r>
    </w:p>
    <w:p w14:paraId="30F2640B" w14:textId="77777777" w:rsidR="00473ECE" w:rsidRPr="00707803" w:rsidRDefault="00473ECE" w:rsidP="62E17D95">
      <w:pPr>
        <w:pStyle w:val="ListParagraph"/>
        <w:ind w:right="720"/>
        <w:jc w:val="both"/>
        <w:rPr>
          <w:rFonts w:eastAsia="MS Mincho"/>
          <w:b/>
          <w:bCs/>
          <w:sz w:val="20"/>
          <w:szCs w:val="20"/>
        </w:rPr>
      </w:pPr>
    </w:p>
    <w:p w14:paraId="5DF4C992"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sz w:val="20"/>
          <w:szCs w:val="20"/>
        </w:rPr>
        <w:t>For the purposes of this Agreement, the following definitions shall apply</w:t>
      </w:r>
      <w:r w:rsidRPr="00707803">
        <w:rPr>
          <w:rFonts w:ascii="Cambria" w:eastAsia="MS Mincho" w:hAnsi="Cambria"/>
          <w:sz w:val="20"/>
          <w:szCs w:val="20"/>
        </w:rPr>
        <w:t xml:space="preserve">: </w:t>
      </w:r>
    </w:p>
    <w:p w14:paraId="12E5BC22" w14:textId="77777777" w:rsidR="00473ECE" w:rsidRPr="00707803" w:rsidRDefault="00473ECE" w:rsidP="00473ECE">
      <w:pPr>
        <w:ind w:left="720" w:right="720"/>
        <w:jc w:val="both"/>
        <w:rPr>
          <w:rFonts w:ascii="Cambria" w:eastAsia="MS Mincho" w:hAnsi="Cambria"/>
          <w:sz w:val="20"/>
          <w:szCs w:val="20"/>
        </w:rPr>
      </w:pPr>
    </w:p>
    <w:p w14:paraId="126F32E1"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IACHR or Inter-American Commission:</w:t>
      </w:r>
      <w:r w:rsidRPr="00707803">
        <w:rPr>
          <w:rFonts w:asciiTheme="majorHAnsi" w:hAnsiTheme="majorHAnsi" w:cstheme="minorHAnsi"/>
          <w:sz w:val="20"/>
          <w:szCs w:val="20"/>
        </w:rPr>
        <w:t xml:space="preserve"> Inter-American Commission on Human Rights.</w:t>
      </w:r>
    </w:p>
    <w:p w14:paraId="4EFFA300"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401D18DB"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Moral damage:</w:t>
      </w:r>
      <w:r w:rsidRPr="00707803">
        <w:rPr>
          <w:rFonts w:asciiTheme="majorHAnsi" w:hAnsiTheme="majorHAnsi" w:cstheme="minorHAnsi"/>
          <w:sz w:val="20"/>
          <w:szCs w:val="20"/>
        </w:rPr>
        <w:t xml:space="preserve"> Harmful effects of the facts of the case that are not of an economic or patrimonial nature, which are manifested through the pain, affliction, sadness, </w:t>
      </w:r>
      <w:proofErr w:type="gramStart"/>
      <w:r w:rsidRPr="00707803">
        <w:rPr>
          <w:rFonts w:asciiTheme="majorHAnsi" w:hAnsiTheme="majorHAnsi" w:cstheme="minorHAnsi"/>
          <w:sz w:val="20"/>
          <w:szCs w:val="20"/>
        </w:rPr>
        <w:t>distress</w:t>
      </w:r>
      <w:proofErr w:type="gramEnd"/>
      <w:r w:rsidRPr="00707803">
        <w:rPr>
          <w:rFonts w:asciiTheme="majorHAnsi" w:hAnsiTheme="majorHAnsi" w:cstheme="minorHAnsi"/>
          <w:sz w:val="20"/>
          <w:szCs w:val="20"/>
        </w:rPr>
        <w:t xml:space="preserve"> and anxiety of the victims. </w:t>
      </w:r>
    </w:p>
    <w:p w14:paraId="374F6BF1"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7CECC2FB"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Non-pecuniary damage:</w:t>
      </w:r>
      <w:r w:rsidRPr="00707803">
        <w:rPr>
          <w:rFonts w:asciiTheme="majorHAnsi" w:hAnsiTheme="majorHAnsi" w:cstheme="minorHAnsi"/>
          <w:sz w:val="20"/>
          <w:szCs w:val="20"/>
        </w:rPr>
        <w:t xml:space="preserve"> It includes both the suffering and affliction caused to the victims, the impairment of very significant values for the persons, as well as the alterations of a non-pecuniary nature in the life conditions of the victim or his or her family</w:t>
      </w:r>
      <w:r w:rsidRPr="00707803">
        <w:rPr>
          <w:rStyle w:val="FootnoteReference"/>
          <w:rFonts w:asciiTheme="majorHAnsi" w:hAnsiTheme="majorHAnsi" w:cstheme="minorHAnsi"/>
          <w:sz w:val="20"/>
          <w:szCs w:val="20"/>
        </w:rPr>
        <w:footnoteReference w:id="3"/>
      </w:r>
      <w:r w:rsidRPr="00707803">
        <w:rPr>
          <w:rFonts w:asciiTheme="majorHAnsi" w:hAnsiTheme="majorHAnsi" w:cstheme="minorHAnsi"/>
          <w:sz w:val="20"/>
          <w:szCs w:val="20"/>
        </w:rPr>
        <w:t>.</w:t>
      </w:r>
    </w:p>
    <w:p w14:paraId="22010D7F"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1D6F93C9"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State or Colombian State:</w:t>
      </w:r>
      <w:r w:rsidRPr="00707803">
        <w:rPr>
          <w:rFonts w:asciiTheme="majorHAnsi" w:hAnsiTheme="majorHAnsi" w:cstheme="minorHAnsi"/>
          <w:sz w:val="20"/>
          <w:szCs w:val="20"/>
        </w:rPr>
        <w:t xml:space="preserve"> In accordance with Public International Law, it shall be understood as the signatory subject of the American Convention on Human Rights, hereinafter "American Convention" or "IACHR". </w:t>
      </w:r>
    </w:p>
    <w:p w14:paraId="5C8546E8"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7FFE17A8"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Satisfaction measures:</w:t>
      </w:r>
      <w:r w:rsidRPr="00707803">
        <w:rPr>
          <w:rFonts w:asciiTheme="majorHAnsi" w:hAnsiTheme="majorHAnsi" w:cstheme="minorHAnsi"/>
          <w:b/>
          <w:bCs/>
          <w:sz w:val="20"/>
          <w:szCs w:val="20"/>
        </w:rPr>
        <w:t xml:space="preserve"> </w:t>
      </w:r>
      <w:proofErr w:type="gramStart"/>
      <w:r w:rsidRPr="00707803">
        <w:rPr>
          <w:rFonts w:asciiTheme="majorHAnsi" w:hAnsiTheme="majorHAnsi" w:cstheme="minorHAnsi"/>
          <w:sz w:val="20"/>
          <w:szCs w:val="20"/>
        </w:rPr>
        <w:t>Non-pecuniary</w:t>
      </w:r>
      <w:proofErr w:type="gramEnd"/>
      <w:r w:rsidRPr="00707803">
        <w:rPr>
          <w:rFonts w:asciiTheme="majorHAnsi" w:hAnsiTheme="majorHAnsi" w:cstheme="minorHAnsi"/>
          <w:sz w:val="20"/>
          <w:szCs w:val="20"/>
        </w:rPr>
        <w:t xml:space="preserve"> measures intended to seek the recovery of victims from the harm which has been caused to them. Some examples of this type of measures </w:t>
      </w:r>
      <w:proofErr w:type="gramStart"/>
      <w:r w:rsidRPr="00707803">
        <w:rPr>
          <w:rFonts w:asciiTheme="majorHAnsi" w:hAnsiTheme="majorHAnsi" w:cstheme="minorHAnsi"/>
          <w:sz w:val="20"/>
          <w:szCs w:val="20"/>
        </w:rPr>
        <w:t>are:</w:t>
      </w:r>
      <w:proofErr w:type="gramEnd"/>
      <w:r w:rsidRPr="00707803">
        <w:rPr>
          <w:rFonts w:asciiTheme="majorHAnsi" w:hAnsiTheme="majorHAnsi" w:cstheme="minorHAnsi"/>
          <w:sz w:val="20"/>
          <w:szCs w:val="20"/>
        </w:rPr>
        <w:t xml:space="preserve"> public knowledge of the truth and acts of atonement. </w:t>
      </w:r>
    </w:p>
    <w:p w14:paraId="51DE7F04"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5FBBA760"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b/>
          <w:bCs/>
          <w:sz w:val="20"/>
          <w:szCs w:val="20"/>
          <w:u w:val="single"/>
        </w:rPr>
        <w:t>Parties:</w:t>
      </w:r>
      <w:r w:rsidRPr="00707803">
        <w:rPr>
          <w:rFonts w:asciiTheme="majorHAnsi" w:hAnsiTheme="majorHAnsi" w:cstheme="minorHAnsi"/>
          <w:sz w:val="20"/>
          <w:szCs w:val="20"/>
        </w:rPr>
        <w:t xml:space="preserve"> State of Colombia, the victim's relatives, as well as their representatives.</w:t>
      </w:r>
    </w:p>
    <w:p w14:paraId="3D10EF6F" w14:textId="77777777" w:rsidR="00473ECE" w:rsidRPr="00707803" w:rsidRDefault="00473ECE" w:rsidP="62E17D95">
      <w:pPr>
        <w:tabs>
          <w:tab w:val="left" w:pos="560"/>
        </w:tabs>
        <w:ind w:left="737" w:right="737"/>
        <w:jc w:val="both"/>
        <w:rPr>
          <w:rFonts w:asciiTheme="majorHAnsi" w:hAnsiTheme="majorHAnsi" w:cstheme="minorBidi"/>
          <w:sz w:val="20"/>
          <w:szCs w:val="20"/>
        </w:rPr>
      </w:pPr>
    </w:p>
    <w:p w14:paraId="4DBE3BD5"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b/>
          <w:bCs/>
          <w:sz w:val="20"/>
          <w:szCs w:val="20"/>
          <w:u w:val="single"/>
        </w:rPr>
        <w:t>Acknowledgment of responsibility:</w:t>
      </w:r>
      <w:r w:rsidRPr="00707803">
        <w:rPr>
          <w:rFonts w:asciiTheme="majorHAnsi" w:hAnsiTheme="majorHAnsi" w:cstheme="minorHAnsi"/>
          <w:sz w:val="20"/>
          <w:szCs w:val="20"/>
        </w:rPr>
        <w:t xml:space="preserve"> Acceptance of the facts and human rights violations attributed to the state</w:t>
      </w:r>
      <w:r w:rsidRPr="00707803">
        <w:rPr>
          <w:rFonts w:ascii="Cambria" w:eastAsia="MS Mincho" w:hAnsi="Cambria"/>
          <w:sz w:val="20"/>
          <w:szCs w:val="20"/>
        </w:rPr>
        <w:t xml:space="preserve">. </w:t>
      </w:r>
    </w:p>
    <w:p w14:paraId="160A314C" w14:textId="77777777" w:rsidR="00473ECE" w:rsidRPr="00707803" w:rsidRDefault="00473ECE" w:rsidP="00473ECE">
      <w:pPr>
        <w:ind w:left="720" w:right="720"/>
        <w:jc w:val="both"/>
        <w:rPr>
          <w:rFonts w:ascii="Cambria" w:eastAsia="MS Mincho" w:hAnsi="Cambria"/>
          <w:sz w:val="20"/>
          <w:szCs w:val="20"/>
        </w:rPr>
      </w:pPr>
    </w:p>
    <w:p w14:paraId="2011FF10" w14:textId="77777777" w:rsidR="00473ECE" w:rsidRPr="00707803" w:rsidRDefault="00473ECE" w:rsidP="00473ECE">
      <w:pPr>
        <w:ind w:left="720" w:right="720"/>
        <w:jc w:val="both"/>
        <w:rPr>
          <w:rFonts w:ascii="Cambria" w:eastAsia="MS Mincho" w:hAnsi="Cambria"/>
          <w:b/>
          <w:bCs/>
          <w:sz w:val="20"/>
          <w:szCs w:val="20"/>
        </w:rPr>
      </w:pPr>
      <w:r w:rsidRPr="00707803">
        <w:rPr>
          <w:rFonts w:asciiTheme="majorHAnsi" w:hAnsiTheme="majorHAnsi" w:cstheme="minorHAnsi"/>
          <w:b/>
          <w:bCs/>
          <w:sz w:val="20"/>
          <w:szCs w:val="20"/>
          <w:u w:val="single"/>
        </w:rPr>
        <w:t>Comprehensive repair:</w:t>
      </w:r>
      <w:r w:rsidRPr="00707803">
        <w:rPr>
          <w:rFonts w:asciiTheme="majorHAnsi" w:hAnsiTheme="majorHAnsi" w:cstheme="minorHAnsi"/>
          <w:sz w:val="20"/>
          <w:szCs w:val="20"/>
        </w:rPr>
        <w:t xml:space="preserve"> All those measures which objectively and symbolically restore the victim to the state prior to the commission of the damage</w:t>
      </w:r>
      <w:r w:rsidRPr="00707803">
        <w:rPr>
          <w:rFonts w:ascii="Cambria" w:eastAsia="MS Mincho" w:hAnsi="Cambria"/>
          <w:sz w:val="20"/>
          <w:szCs w:val="20"/>
        </w:rPr>
        <w:t>.</w:t>
      </w:r>
      <w:r w:rsidRPr="00707803">
        <w:rPr>
          <w:rFonts w:ascii="Cambria" w:eastAsia="MS Mincho" w:hAnsi="Cambria"/>
          <w:b/>
          <w:bCs/>
          <w:sz w:val="20"/>
          <w:szCs w:val="20"/>
        </w:rPr>
        <w:t xml:space="preserve"> </w:t>
      </w:r>
    </w:p>
    <w:p w14:paraId="6D72C31B" w14:textId="77777777" w:rsidR="00473ECE" w:rsidRPr="00707803" w:rsidRDefault="00473ECE" w:rsidP="00473ECE">
      <w:pPr>
        <w:ind w:left="720" w:right="720"/>
        <w:jc w:val="both"/>
        <w:rPr>
          <w:rFonts w:ascii="Cambria" w:eastAsia="MS Mincho" w:hAnsi="Cambria"/>
          <w:b/>
          <w:bCs/>
          <w:sz w:val="20"/>
          <w:szCs w:val="20"/>
        </w:rPr>
      </w:pPr>
    </w:p>
    <w:p w14:paraId="66B3C8C9" w14:textId="77777777" w:rsidR="00473ECE" w:rsidRPr="00DF2115" w:rsidRDefault="00473ECE" w:rsidP="00473ECE">
      <w:pPr>
        <w:ind w:left="720" w:right="720"/>
        <w:jc w:val="both"/>
        <w:rPr>
          <w:rFonts w:ascii="Cambria" w:eastAsia="MS Mincho" w:hAnsi="Cambria"/>
          <w:sz w:val="20"/>
          <w:szCs w:val="20"/>
          <w:lang w:val="es-419"/>
        </w:rPr>
      </w:pPr>
      <w:proofErr w:type="spellStart"/>
      <w:r w:rsidRPr="62E17D95">
        <w:rPr>
          <w:rFonts w:ascii="Cambria" w:eastAsia="MS Mincho" w:hAnsi="Cambria"/>
          <w:b/>
          <w:bCs/>
          <w:sz w:val="20"/>
          <w:szCs w:val="20"/>
          <w:u w:val="single"/>
          <w:lang w:val="es-419"/>
        </w:rPr>
        <w:t>Petitioner</w:t>
      </w:r>
      <w:proofErr w:type="spellEnd"/>
      <w:r w:rsidRPr="62E17D95">
        <w:rPr>
          <w:rFonts w:ascii="Cambria" w:eastAsia="MS Mincho" w:hAnsi="Cambria"/>
          <w:b/>
          <w:bCs/>
          <w:sz w:val="20"/>
          <w:szCs w:val="20"/>
          <w:u w:val="single"/>
          <w:lang w:val="es-419"/>
        </w:rPr>
        <w:t>:</w:t>
      </w:r>
      <w:r w:rsidRPr="62E17D95">
        <w:rPr>
          <w:rFonts w:ascii="Cambria" w:eastAsia="MS Mincho" w:hAnsi="Cambria"/>
          <w:b/>
          <w:bCs/>
          <w:sz w:val="20"/>
          <w:szCs w:val="20"/>
          <w:lang w:val="es-419"/>
        </w:rPr>
        <w:t xml:space="preserve"> </w:t>
      </w:r>
      <w:r w:rsidRPr="62E17D95">
        <w:rPr>
          <w:rFonts w:ascii="Cambria" w:eastAsia="MS Mincho" w:hAnsi="Cambria"/>
          <w:sz w:val="20"/>
          <w:szCs w:val="20"/>
          <w:lang w:val="es-419"/>
        </w:rPr>
        <w:t xml:space="preserve">Soraya </w:t>
      </w:r>
      <w:proofErr w:type="spellStart"/>
      <w:r w:rsidRPr="62E17D95">
        <w:rPr>
          <w:rFonts w:ascii="Cambria" w:eastAsia="MS Mincho" w:hAnsi="Cambria"/>
          <w:sz w:val="20"/>
          <w:szCs w:val="20"/>
          <w:lang w:val="es-419"/>
        </w:rPr>
        <w:t>Adalgiza</w:t>
      </w:r>
      <w:proofErr w:type="spellEnd"/>
      <w:r w:rsidRPr="62E17D95">
        <w:rPr>
          <w:rFonts w:ascii="Cambria" w:eastAsia="MS Mincho" w:hAnsi="Cambria"/>
          <w:sz w:val="20"/>
          <w:szCs w:val="20"/>
          <w:lang w:val="es-419"/>
        </w:rPr>
        <w:t xml:space="preserve"> Elías Puente. </w:t>
      </w:r>
    </w:p>
    <w:p w14:paraId="1A2AA91A" w14:textId="77777777" w:rsidR="00473ECE" w:rsidRPr="00DF2115" w:rsidRDefault="00473ECE" w:rsidP="00473ECE">
      <w:pPr>
        <w:ind w:left="720" w:right="720"/>
        <w:jc w:val="both"/>
        <w:rPr>
          <w:rFonts w:ascii="Cambria" w:eastAsia="MS Mincho" w:hAnsi="Cambria"/>
          <w:sz w:val="20"/>
          <w:szCs w:val="20"/>
          <w:lang w:val="es-419"/>
        </w:rPr>
      </w:pPr>
    </w:p>
    <w:p w14:paraId="71A61B5D"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b/>
          <w:bCs/>
          <w:sz w:val="20"/>
          <w:szCs w:val="20"/>
          <w:u w:val="single"/>
        </w:rPr>
        <w:t>Friendly Settlement:</w:t>
      </w:r>
      <w:r w:rsidRPr="00707803">
        <w:rPr>
          <w:rFonts w:asciiTheme="majorHAnsi" w:hAnsiTheme="majorHAnsi" w:cstheme="minorHAnsi"/>
          <w:sz w:val="20"/>
          <w:szCs w:val="20"/>
        </w:rPr>
        <w:t xml:space="preserve"> Alternative dispute resolution mechanism, used for peaceful and consensual settlement before the Inter-American Commission</w:t>
      </w:r>
      <w:r w:rsidRPr="00707803">
        <w:rPr>
          <w:rFonts w:ascii="Cambria" w:eastAsia="MS Mincho" w:hAnsi="Cambria"/>
          <w:sz w:val="20"/>
          <w:szCs w:val="20"/>
        </w:rPr>
        <w:t xml:space="preserve">. </w:t>
      </w:r>
    </w:p>
    <w:p w14:paraId="0C74C596" w14:textId="77777777" w:rsidR="00473ECE" w:rsidRPr="00707803" w:rsidRDefault="00473ECE" w:rsidP="00473ECE">
      <w:pPr>
        <w:ind w:left="720" w:right="720"/>
        <w:jc w:val="both"/>
        <w:rPr>
          <w:rFonts w:ascii="Cambria" w:eastAsia="MS Mincho" w:hAnsi="Cambria"/>
          <w:sz w:val="20"/>
          <w:szCs w:val="20"/>
        </w:rPr>
      </w:pPr>
    </w:p>
    <w:p w14:paraId="76CCB646"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b/>
          <w:bCs/>
          <w:sz w:val="20"/>
          <w:szCs w:val="20"/>
          <w:u w:val="single"/>
        </w:rPr>
        <w:t>Victims:</w:t>
      </w:r>
      <w:r w:rsidRPr="00707803">
        <w:rPr>
          <w:rFonts w:ascii="Cambria" w:eastAsia="MS Mincho" w:hAnsi="Cambria"/>
          <w:b/>
          <w:bCs/>
          <w:sz w:val="20"/>
          <w:szCs w:val="20"/>
        </w:rPr>
        <w:t xml:space="preserve"> </w:t>
      </w:r>
      <w:r w:rsidRPr="00707803">
        <w:rPr>
          <w:rFonts w:ascii="Cambria" w:eastAsia="MS Mincho" w:hAnsi="Cambria"/>
          <w:sz w:val="20"/>
          <w:szCs w:val="20"/>
        </w:rPr>
        <w:t xml:space="preserve">Relatives of Mr. Ricardo Antonio Elías Puente. </w:t>
      </w:r>
    </w:p>
    <w:p w14:paraId="267990C5" w14:textId="77777777" w:rsidR="00473ECE" w:rsidRPr="00707803" w:rsidRDefault="00473ECE" w:rsidP="00473ECE">
      <w:pPr>
        <w:ind w:left="720" w:right="720"/>
        <w:jc w:val="both"/>
        <w:rPr>
          <w:rFonts w:ascii="Cambria" w:eastAsia="MS Mincho" w:hAnsi="Cambria"/>
          <w:b/>
          <w:bCs/>
          <w:sz w:val="20"/>
          <w:szCs w:val="20"/>
        </w:rPr>
      </w:pPr>
    </w:p>
    <w:p w14:paraId="20B39A6E" w14:textId="77777777" w:rsidR="00473ECE" w:rsidRPr="00707803" w:rsidRDefault="00473ECE" w:rsidP="00473ECE">
      <w:pPr>
        <w:ind w:left="720" w:right="720"/>
        <w:jc w:val="center"/>
        <w:rPr>
          <w:rFonts w:asciiTheme="majorHAnsi" w:hAnsiTheme="majorHAnsi" w:cstheme="minorHAnsi"/>
          <w:b/>
          <w:bCs/>
          <w:sz w:val="20"/>
          <w:szCs w:val="20"/>
        </w:rPr>
      </w:pPr>
      <w:r w:rsidRPr="00707803">
        <w:rPr>
          <w:rFonts w:asciiTheme="majorHAnsi" w:hAnsiTheme="majorHAnsi" w:cstheme="minorHAnsi"/>
          <w:b/>
          <w:bCs/>
          <w:sz w:val="20"/>
          <w:szCs w:val="20"/>
        </w:rPr>
        <w:t>SECOND PART: BACKGROUND BEFORE THE INTER-AMERICAN HUMAN RIGHTS SYSTEM</w:t>
      </w:r>
    </w:p>
    <w:p w14:paraId="25381EAB" w14:textId="77777777" w:rsidR="00473ECE" w:rsidRPr="00707803" w:rsidRDefault="00473ECE" w:rsidP="00473ECE">
      <w:pPr>
        <w:ind w:left="720" w:right="720"/>
        <w:jc w:val="center"/>
        <w:rPr>
          <w:rFonts w:ascii="Cambria" w:eastAsia="MS Mincho" w:hAnsi="Cambria"/>
          <w:b/>
          <w:bCs/>
          <w:sz w:val="20"/>
          <w:szCs w:val="20"/>
        </w:rPr>
      </w:pPr>
    </w:p>
    <w:p w14:paraId="74FD3C24"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 xml:space="preserve">On June 29, 2007, the Inter-American Commission on Human Rights received a petition presented by Mrs. Soraya </w:t>
      </w:r>
      <w:proofErr w:type="spellStart"/>
      <w:r w:rsidRPr="00707803">
        <w:rPr>
          <w:rFonts w:eastAsia="MS Mincho"/>
          <w:sz w:val="20"/>
          <w:szCs w:val="20"/>
        </w:rPr>
        <w:t>Adalgiza</w:t>
      </w:r>
      <w:proofErr w:type="spellEnd"/>
      <w:r w:rsidRPr="00707803">
        <w:rPr>
          <w:rFonts w:eastAsia="MS Mincho"/>
          <w:sz w:val="20"/>
          <w:szCs w:val="20"/>
        </w:rPr>
        <w:t xml:space="preserve"> Elías Puente for the murder of her brother, Mr. Ricardo Antonio Elías Puente. According to the facts of the petition, Mr. Elías Puente was the victim of homicide by members of the National Liberation Army (ELN) guerrilla group while he was serving as the chief of a national park. </w:t>
      </w:r>
    </w:p>
    <w:p w14:paraId="31F92FDC" w14:textId="77777777" w:rsidR="00473ECE" w:rsidRPr="00707803" w:rsidRDefault="00473ECE" w:rsidP="00473ECE">
      <w:pPr>
        <w:pStyle w:val="ListParagraph"/>
        <w:ind w:right="720"/>
        <w:jc w:val="both"/>
        <w:rPr>
          <w:rFonts w:eastAsia="MS Mincho"/>
          <w:sz w:val="20"/>
          <w:szCs w:val="20"/>
        </w:rPr>
      </w:pPr>
    </w:p>
    <w:p w14:paraId="3FADCB49"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 xml:space="preserve">On December 7, 1988, under file No. 032, an investigation was initiated into the facts of the case. Then, on May 25, 1989, the Sole District Court of Santa Rosa de </w:t>
      </w:r>
      <w:proofErr w:type="spellStart"/>
      <w:r w:rsidRPr="00707803">
        <w:rPr>
          <w:rFonts w:eastAsia="MS Mincho"/>
          <w:sz w:val="20"/>
          <w:szCs w:val="20"/>
        </w:rPr>
        <w:t>Viterbo</w:t>
      </w:r>
      <w:proofErr w:type="spellEnd"/>
      <w:r w:rsidRPr="00707803">
        <w:rPr>
          <w:rFonts w:eastAsia="MS Mincho"/>
          <w:sz w:val="20"/>
          <w:szCs w:val="20"/>
        </w:rPr>
        <w:t xml:space="preserve">, decided not to take cognizance and ordered to forward the preliminary proceedings to the Criminal Investigation Judge of </w:t>
      </w:r>
      <w:proofErr w:type="spellStart"/>
      <w:r w:rsidRPr="00707803">
        <w:rPr>
          <w:rFonts w:eastAsia="MS Mincho"/>
          <w:sz w:val="20"/>
          <w:szCs w:val="20"/>
        </w:rPr>
        <w:t>Cocuy</w:t>
      </w:r>
      <w:proofErr w:type="spellEnd"/>
      <w:r w:rsidRPr="00707803">
        <w:rPr>
          <w:rFonts w:eastAsia="MS Mincho"/>
          <w:sz w:val="20"/>
          <w:szCs w:val="20"/>
        </w:rPr>
        <w:t xml:space="preserve">, Department of Boyacá, which, by designation, corresponded to the 14th Criminal Investigation Court of </w:t>
      </w:r>
      <w:proofErr w:type="spellStart"/>
      <w:r w:rsidRPr="00707803">
        <w:rPr>
          <w:rFonts w:eastAsia="MS Mincho"/>
          <w:sz w:val="20"/>
          <w:szCs w:val="20"/>
        </w:rPr>
        <w:t>Cocuy</w:t>
      </w:r>
      <w:proofErr w:type="spellEnd"/>
      <w:r w:rsidRPr="00707803">
        <w:rPr>
          <w:rStyle w:val="FootnoteReference"/>
          <w:rFonts w:eastAsia="MS Mincho"/>
          <w:sz w:val="20"/>
          <w:szCs w:val="20"/>
        </w:rPr>
        <w:footnoteReference w:id="4"/>
      </w:r>
      <w:r w:rsidRPr="00707803">
        <w:rPr>
          <w:rFonts w:eastAsia="MS Mincho"/>
          <w:sz w:val="20"/>
          <w:szCs w:val="20"/>
        </w:rPr>
        <w:t>.</w:t>
      </w:r>
    </w:p>
    <w:p w14:paraId="095C8A7C" w14:textId="77777777" w:rsidR="00473ECE" w:rsidRPr="00707803" w:rsidRDefault="00473ECE" w:rsidP="00473ECE">
      <w:pPr>
        <w:ind w:right="720"/>
        <w:jc w:val="both"/>
        <w:rPr>
          <w:rFonts w:eastAsia="MS Mincho"/>
          <w:sz w:val="20"/>
          <w:szCs w:val="20"/>
        </w:rPr>
      </w:pPr>
    </w:p>
    <w:p w14:paraId="3E397E27" w14:textId="65C6B256"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On August 4, 1989, the 14</w:t>
      </w:r>
      <w:r w:rsidRPr="00707803">
        <w:rPr>
          <w:rFonts w:eastAsia="MS Mincho"/>
          <w:sz w:val="20"/>
          <w:szCs w:val="20"/>
          <w:vertAlign w:val="superscript"/>
        </w:rPr>
        <w:t>th</w:t>
      </w:r>
      <w:r w:rsidRPr="00707803">
        <w:rPr>
          <w:rFonts w:eastAsia="MS Mincho"/>
          <w:sz w:val="20"/>
          <w:szCs w:val="20"/>
        </w:rPr>
        <w:t xml:space="preserve"> Court of Criminal Instruction declared the nullity of the proceedings, except for the removal of the corpse and the autopsy </w:t>
      </w:r>
      <w:r w:rsidR="00707803" w:rsidRPr="00707803">
        <w:rPr>
          <w:rFonts w:eastAsia="MS Mincho"/>
          <w:sz w:val="20"/>
          <w:szCs w:val="20"/>
        </w:rPr>
        <w:t>procedures and</w:t>
      </w:r>
      <w:r w:rsidRPr="00707803">
        <w:rPr>
          <w:rFonts w:eastAsia="MS Mincho"/>
          <w:sz w:val="20"/>
          <w:szCs w:val="20"/>
        </w:rPr>
        <w:t xml:space="preserve"> ordered the opening of the preliminary investigation</w:t>
      </w:r>
      <w:r w:rsidRPr="00707803">
        <w:rPr>
          <w:rStyle w:val="FootnoteReference"/>
          <w:rFonts w:eastAsia="MS Mincho"/>
          <w:sz w:val="20"/>
          <w:szCs w:val="20"/>
        </w:rPr>
        <w:footnoteReference w:id="5"/>
      </w:r>
      <w:r w:rsidRPr="00707803">
        <w:rPr>
          <w:rFonts w:eastAsia="MS Mincho"/>
          <w:sz w:val="20"/>
          <w:szCs w:val="20"/>
        </w:rPr>
        <w:t>.</w:t>
      </w:r>
    </w:p>
    <w:p w14:paraId="3EA98678" w14:textId="77777777" w:rsidR="00473ECE" w:rsidRPr="00707803" w:rsidRDefault="00473ECE" w:rsidP="00473ECE">
      <w:pPr>
        <w:ind w:right="720"/>
        <w:jc w:val="both"/>
        <w:rPr>
          <w:rFonts w:eastAsia="MS Mincho"/>
          <w:sz w:val="20"/>
          <w:szCs w:val="20"/>
        </w:rPr>
      </w:pPr>
    </w:p>
    <w:p w14:paraId="08987D71"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Subsequently, on February 20, 1992, the 17</w:t>
      </w:r>
      <w:r w:rsidRPr="00707803">
        <w:rPr>
          <w:rFonts w:eastAsia="MS Mincho"/>
          <w:sz w:val="20"/>
          <w:szCs w:val="20"/>
          <w:vertAlign w:val="superscript"/>
        </w:rPr>
        <w:t>th</w:t>
      </w:r>
      <w:r w:rsidRPr="00707803">
        <w:rPr>
          <w:rFonts w:eastAsia="MS Mincho"/>
          <w:sz w:val="20"/>
          <w:szCs w:val="20"/>
        </w:rPr>
        <w:t xml:space="preserve"> Court of Criminal Instruction of </w:t>
      </w:r>
      <w:proofErr w:type="spellStart"/>
      <w:r w:rsidRPr="00707803">
        <w:rPr>
          <w:rFonts w:eastAsia="MS Mincho"/>
          <w:sz w:val="20"/>
          <w:szCs w:val="20"/>
        </w:rPr>
        <w:t>Cocuy</w:t>
      </w:r>
      <w:proofErr w:type="spellEnd"/>
      <w:r w:rsidRPr="00707803">
        <w:rPr>
          <w:rFonts w:eastAsia="MS Mincho"/>
          <w:sz w:val="20"/>
          <w:szCs w:val="20"/>
        </w:rPr>
        <w:t>, found that the preliminary proceedings had been initiated by the 14</w:t>
      </w:r>
      <w:r w:rsidRPr="00707803">
        <w:rPr>
          <w:rFonts w:eastAsia="MS Mincho"/>
          <w:sz w:val="20"/>
          <w:szCs w:val="20"/>
          <w:vertAlign w:val="superscript"/>
        </w:rPr>
        <w:t>th</w:t>
      </w:r>
      <w:r w:rsidRPr="00707803">
        <w:rPr>
          <w:rFonts w:eastAsia="MS Mincho"/>
          <w:sz w:val="20"/>
          <w:szCs w:val="20"/>
        </w:rPr>
        <w:t xml:space="preserve"> Court of Criminal Investigation for more than two years, without having been able to identify and individualize the perpetrators of the crime, for which reason it decided not to continue with the proceedings in accordance with the provisions of Article 118 of Law 23 of 1991</w:t>
      </w:r>
      <w:r w:rsidRPr="00707803">
        <w:rPr>
          <w:rStyle w:val="FootnoteReference"/>
          <w:rFonts w:eastAsia="MS Mincho"/>
          <w:sz w:val="20"/>
          <w:szCs w:val="20"/>
        </w:rPr>
        <w:footnoteReference w:id="6"/>
      </w:r>
      <w:r w:rsidRPr="00707803">
        <w:rPr>
          <w:rFonts w:eastAsia="MS Mincho"/>
          <w:sz w:val="20"/>
          <w:szCs w:val="20"/>
        </w:rPr>
        <w:t>.</w:t>
      </w:r>
    </w:p>
    <w:p w14:paraId="5D111557" w14:textId="77777777" w:rsidR="00473ECE" w:rsidRPr="00707803" w:rsidRDefault="00473ECE" w:rsidP="00473ECE">
      <w:pPr>
        <w:ind w:right="720"/>
        <w:jc w:val="both"/>
        <w:rPr>
          <w:rFonts w:eastAsia="MS Mincho"/>
          <w:sz w:val="20"/>
          <w:szCs w:val="20"/>
        </w:rPr>
      </w:pPr>
    </w:p>
    <w:p w14:paraId="736C9AC5"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On December 26, 2011, the Office of the Attorney General of the Nation initiated the investigation ex officio, assigning it to the 14</w:t>
      </w:r>
      <w:r w:rsidRPr="00707803">
        <w:rPr>
          <w:rFonts w:eastAsia="MS Mincho"/>
          <w:sz w:val="20"/>
          <w:szCs w:val="20"/>
          <w:vertAlign w:val="superscript"/>
        </w:rPr>
        <w:t>th</w:t>
      </w:r>
      <w:r w:rsidRPr="00707803">
        <w:rPr>
          <w:rFonts w:eastAsia="MS Mincho"/>
          <w:sz w:val="20"/>
          <w:szCs w:val="20"/>
        </w:rPr>
        <w:t xml:space="preserve"> Prosecutor's Office Delegated before the </w:t>
      </w:r>
      <w:r w:rsidRPr="00707803">
        <w:rPr>
          <w:rFonts w:eastAsia="MS Mincho"/>
          <w:sz w:val="20"/>
          <w:szCs w:val="20"/>
        </w:rPr>
        <w:lastRenderedPageBreak/>
        <w:t xml:space="preserve">Comprehensive Circuit Judge, attached to the Sectional Directorate of Santa Rosa de </w:t>
      </w:r>
      <w:proofErr w:type="spellStart"/>
      <w:r w:rsidRPr="00707803">
        <w:rPr>
          <w:rFonts w:eastAsia="MS Mincho"/>
          <w:sz w:val="20"/>
          <w:szCs w:val="20"/>
        </w:rPr>
        <w:t>Viterbo</w:t>
      </w:r>
      <w:proofErr w:type="spellEnd"/>
      <w:r w:rsidRPr="00707803">
        <w:rPr>
          <w:rFonts w:eastAsia="MS Mincho"/>
          <w:sz w:val="20"/>
          <w:szCs w:val="20"/>
        </w:rPr>
        <w:t>, under file No. 114946</w:t>
      </w:r>
      <w:r w:rsidRPr="00707803">
        <w:rPr>
          <w:rStyle w:val="FootnoteReference"/>
          <w:rFonts w:eastAsia="MS Mincho"/>
          <w:sz w:val="20"/>
          <w:szCs w:val="20"/>
        </w:rPr>
        <w:footnoteReference w:id="7"/>
      </w:r>
      <w:r w:rsidRPr="00707803">
        <w:rPr>
          <w:rFonts w:eastAsia="MS Mincho"/>
          <w:sz w:val="20"/>
          <w:szCs w:val="20"/>
        </w:rPr>
        <w:t>.</w:t>
      </w:r>
    </w:p>
    <w:p w14:paraId="287A748C" w14:textId="77777777" w:rsidR="00473ECE" w:rsidRPr="00707803" w:rsidRDefault="00473ECE" w:rsidP="00473ECE">
      <w:pPr>
        <w:ind w:right="720"/>
        <w:jc w:val="both"/>
        <w:rPr>
          <w:rFonts w:eastAsia="MS Mincho"/>
          <w:sz w:val="20"/>
          <w:szCs w:val="20"/>
        </w:rPr>
      </w:pPr>
    </w:p>
    <w:p w14:paraId="7CD5F7CC"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On March 3, 2014, by means of Resolution No. 00325, the Attorney General of the Nation ordered to change the assignment of the investigation to the National Anti-Terrorism Prosecution Unit, Fourth Specialized Prosecutor's Office</w:t>
      </w:r>
      <w:r w:rsidRPr="00707803">
        <w:rPr>
          <w:rStyle w:val="FootnoteReference"/>
          <w:rFonts w:eastAsia="MS Mincho"/>
          <w:sz w:val="20"/>
          <w:szCs w:val="20"/>
        </w:rPr>
        <w:footnoteReference w:id="8"/>
      </w:r>
      <w:r w:rsidRPr="00707803">
        <w:rPr>
          <w:rFonts w:eastAsia="MS Mincho"/>
          <w:sz w:val="20"/>
          <w:szCs w:val="20"/>
        </w:rPr>
        <w:t xml:space="preserve">. </w:t>
      </w:r>
    </w:p>
    <w:p w14:paraId="37903E40" w14:textId="77777777" w:rsidR="00473ECE" w:rsidRPr="00707803" w:rsidRDefault="00473ECE" w:rsidP="00473ECE">
      <w:pPr>
        <w:ind w:right="720"/>
        <w:jc w:val="both"/>
        <w:rPr>
          <w:rFonts w:eastAsia="MS Mincho"/>
          <w:sz w:val="20"/>
          <w:szCs w:val="20"/>
        </w:rPr>
      </w:pPr>
    </w:p>
    <w:p w14:paraId="33B101E1"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On April 29, 2014, the Fourth Specialized Prosecutor's Office decided not to hear the investigation because it determined that the statute of limitations had expired</w:t>
      </w:r>
      <w:r w:rsidRPr="00707803">
        <w:rPr>
          <w:rStyle w:val="FootnoteReference"/>
          <w:rFonts w:eastAsia="MS Mincho"/>
          <w:sz w:val="20"/>
          <w:szCs w:val="20"/>
        </w:rPr>
        <w:footnoteReference w:id="9"/>
      </w:r>
      <w:r w:rsidRPr="00707803">
        <w:rPr>
          <w:rFonts w:eastAsia="MS Mincho"/>
          <w:sz w:val="20"/>
          <w:szCs w:val="20"/>
        </w:rPr>
        <w:t>.</w:t>
      </w:r>
    </w:p>
    <w:p w14:paraId="28A1EC68" w14:textId="77777777" w:rsidR="00473ECE" w:rsidRPr="00707803" w:rsidRDefault="00473ECE" w:rsidP="00473ECE">
      <w:pPr>
        <w:ind w:right="720"/>
        <w:jc w:val="both"/>
        <w:rPr>
          <w:rFonts w:eastAsia="MS Mincho"/>
          <w:sz w:val="20"/>
          <w:szCs w:val="20"/>
        </w:rPr>
      </w:pPr>
    </w:p>
    <w:p w14:paraId="66F71930" w14:textId="77777777"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 xml:space="preserve">On April 27, 2017, by means of Admissibility Report No. 37/17, the Inter-American Commission declared the admissibility of the petition in relation to the rights to life, humane treatment, fair </w:t>
      </w:r>
      <w:proofErr w:type="gramStart"/>
      <w:r w:rsidRPr="00707803">
        <w:rPr>
          <w:rFonts w:eastAsia="MS Mincho"/>
          <w:sz w:val="20"/>
          <w:szCs w:val="20"/>
        </w:rPr>
        <w:t>trial</w:t>
      </w:r>
      <w:proofErr w:type="gramEnd"/>
      <w:r w:rsidRPr="00707803">
        <w:rPr>
          <w:rFonts w:eastAsia="MS Mincho"/>
          <w:sz w:val="20"/>
          <w:szCs w:val="20"/>
        </w:rPr>
        <w:t xml:space="preserve"> and judicial protection, recognized in Articles 4, 5, 8 and 25 of the American Convention to the detriment of the victim, in relation to Article 1.1. thereof. </w:t>
      </w:r>
    </w:p>
    <w:p w14:paraId="308E2440" w14:textId="77777777" w:rsidR="00473ECE" w:rsidRPr="00707803" w:rsidRDefault="00473ECE" w:rsidP="00473ECE">
      <w:pPr>
        <w:ind w:right="720"/>
        <w:jc w:val="both"/>
        <w:rPr>
          <w:rFonts w:eastAsia="MS Mincho"/>
          <w:sz w:val="20"/>
          <w:szCs w:val="20"/>
        </w:rPr>
      </w:pPr>
    </w:p>
    <w:p w14:paraId="58116E9C" w14:textId="7836BB80" w:rsidR="00473ECE" w:rsidRPr="006066E0"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707803">
        <w:rPr>
          <w:rFonts w:eastAsia="MS Mincho"/>
          <w:sz w:val="20"/>
          <w:szCs w:val="20"/>
        </w:rPr>
        <w:t xml:space="preserve">At a meeting held on December 16, 2021, the parties decided to sign a Statement of </w:t>
      </w:r>
      <w:r w:rsidRPr="006066E0">
        <w:rPr>
          <w:rFonts w:eastAsia="MS Mincho"/>
          <w:sz w:val="20"/>
          <w:szCs w:val="20"/>
        </w:rPr>
        <w:t xml:space="preserve">Understanding to initiate the search for </w:t>
      </w:r>
      <w:r w:rsidR="006066E0" w:rsidRPr="006066E0">
        <w:rPr>
          <w:rFonts w:eastAsia="MS Mincho"/>
          <w:sz w:val="20"/>
          <w:szCs w:val="20"/>
        </w:rPr>
        <w:t>a</w:t>
      </w:r>
      <w:r w:rsidRPr="006066E0">
        <w:rPr>
          <w:rFonts w:eastAsia="MS Mincho"/>
          <w:sz w:val="20"/>
          <w:szCs w:val="20"/>
        </w:rPr>
        <w:t xml:space="preserve"> </w:t>
      </w:r>
      <w:r w:rsidR="006066E0" w:rsidRPr="006066E0">
        <w:rPr>
          <w:rFonts w:eastAsia="MS Mincho"/>
          <w:sz w:val="20"/>
          <w:szCs w:val="20"/>
        </w:rPr>
        <w:t>friendly</w:t>
      </w:r>
      <w:r w:rsidRPr="006066E0">
        <w:rPr>
          <w:rFonts w:eastAsia="MS Mincho"/>
          <w:sz w:val="20"/>
          <w:szCs w:val="20"/>
        </w:rPr>
        <w:t xml:space="preserve"> s</w:t>
      </w:r>
      <w:r w:rsidR="006066E0" w:rsidRPr="006066E0">
        <w:rPr>
          <w:rFonts w:eastAsia="MS Mincho"/>
          <w:sz w:val="20"/>
          <w:szCs w:val="20"/>
        </w:rPr>
        <w:t>ettlement</w:t>
      </w:r>
      <w:r w:rsidRPr="006066E0">
        <w:rPr>
          <w:rFonts w:eastAsia="MS Mincho"/>
          <w:sz w:val="20"/>
          <w:szCs w:val="20"/>
        </w:rPr>
        <w:t xml:space="preserve"> in the present case. </w:t>
      </w:r>
    </w:p>
    <w:p w14:paraId="2FCD3BD4" w14:textId="77777777" w:rsidR="00473ECE" w:rsidRPr="006066E0" w:rsidRDefault="00473ECE" w:rsidP="00473ECE">
      <w:pPr>
        <w:ind w:right="720"/>
        <w:jc w:val="both"/>
        <w:rPr>
          <w:rFonts w:eastAsia="MS Mincho"/>
          <w:sz w:val="20"/>
          <w:szCs w:val="20"/>
        </w:rPr>
      </w:pPr>
    </w:p>
    <w:p w14:paraId="6F7CEFBB" w14:textId="59C6EDAF" w:rsidR="00473ECE" w:rsidRPr="006066E0"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6066E0">
        <w:rPr>
          <w:rFonts w:eastAsia="MS Mincho"/>
          <w:sz w:val="20"/>
          <w:szCs w:val="20"/>
        </w:rPr>
        <w:t xml:space="preserve">On December 20, 2021, the </w:t>
      </w:r>
      <w:r w:rsidR="006066E0">
        <w:rPr>
          <w:rFonts w:eastAsia="MS Mincho"/>
          <w:sz w:val="20"/>
          <w:szCs w:val="20"/>
        </w:rPr>
        <w:t>Minute</w:t>
      </w:r>
      <w:r w:rsidRPr="006066E0">
        <w:rPr>
          <w:rFonts w:eastAsia="MS Mincho"/>
          <w:sz w:val="20"/>
          <w:szCs w:val="20"/>
        </w:rPr>
        <w:t xml:space="preserve"> of Understanding for the Search for a Friendly Settlement was signed, which was communicated to the Inter-American Commission on December 21, 2021. </w:t>
      </w:r>
    </w:p>
    <w:p w14:paraId="2705D039" w14:textId="77777777" w:rsidR="00473ECE" w:rsidRPr="006066E0" w:rsidRDefault="00473ECE" w:rsidP="00473ECE">
      <w:pPr>
        <w:ind w:right="720"/>
        <w:jc w:val="both"/>
        <w:rPr>
          <w:rFonts w:eastAsia="MS Mincho"/>
          <w:sz w:val="20"/>
          <w:szCs w:val="20"/>
        </w:rPr>
      </w:pPr>
    </w:p>
    <w:p w14:paraId="2511D4C7" w14:textId="243CB412" w:rsidR="00473ECE" w:rsidRPr="00707803" w:rsidRDefault="00473ECE" w:rsidP="00473ECE">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rPr>
      </w:pPr>
      <w:r w:rsidRPr="006066E0">
        <w:rPr>
          <w:rFonts w:eastAsia="MS Mincho"/>
          <w:sz w:val="20"/>
          <w:szCs w:val="20"/>
        </w:rPr>
        <w:t xml:space="preserve">In the following days, joint meetings were held between the parties </w:t>
      </w:r>
      <w:proofErr w:type="gramStart"/>
      <w:r w:rsidRPr="006066E0">
        <w:rPr>
          <w:rFonts w:eastAsia="MS Mincho"/>
          <w:sz w:val="20"/>
          <w:szCs w:val="20"/>
        </w:rPr>
        <w:t>in order to</w:t>
      </w:r>
      <w:proofErr w:type="gramEnd"/>
      <w:r w:rsidRPr="006066E0">
        <w:rPr>
          <w:rFonts w:eastAsia="MS Mincho"/>
          <w:sz w:val="20"/>
          <w:szCs w:val="20"/>
        </w:rPr>
        <w:t xml:space="preserve"> analyze the comprehensive reparation</w:t>
      </w:r>
      <w:r w:rsidRPr="00707803">
        <w:rPr>
          <w:rFonts w:eastAsia="MS Mincho"/>
          <w:sz w:val="20"/>
          <w:szCs w:val="20"/>
        </w:rPr>
        <w:t xml:space="preserve"> measures to be included in the </w:t>
      </w:r>
      <w:r w:rsidR="006066E0">
        <w:rPr>
          <w:rFonts w:eastAsia="MS Mincho"/>
          <w:sz w:val="20"/>
          <w:szCs w:val="20"/>
        </w:rPr>
        <w:t>Friendly</w:t>
      </w:r>
      <w:r w:rsidRPr="00707803">
        <w:rPr>
          <w:rFonts w:eastAsia="MS Mincho"/>
          <w:sz w:val="20"/>
          <w:szCs w:val="20"/>
        </w:rPr>
        <w:t xml:space="preserve"> Settlement Agreement that was signed on that date. </w:t>
      </w:r>
    </w:p>
    <w:p w14:paraId="381CA75E" w14:textId="77777777" w:rsidR="00473ECE" w:rsidRPr="00707803" w:rsidRDefault="00473ECE" w:rsidP="00473ECE">
      <w:pPr>
        <w:ind w:right="720"/>
        <w:jc w:val="both"/>
        <w:rPr>
          <w:rFonts w:eastAsia="MS Mincho"/>
          <w:sz w:val="20"/>
          <w:szCs w:val="20"/>
        </w:rPr>
      </w:pPr>
    </w:p>
    <w:p w14:paraId="3E4D8928" w14:textId="77777777" w:rsidR="00473ECE" w:rsidRPr="00707803" w:rsidRDefault="00473ECE" w:rsidP="00473ECE">
      <w:pPr>
        <w:ind w:left="720" w:right="720"/>
        <w:jc w:val="center"/>
        <w:rPr>
          <w:rFonts w:ascii="Cambria" w:eastAsia="MS Mincho" w:hAnsi="Cambria"/>
          <w:b/>
          <w:bCs/>
          <w:sz w:val="20"/>
          <w:szCs w:val="20"/>
        </w:rPr>
      </w:pPr>
      <w:r w:rsidRPr="00707803">
        <w:rPr>
          <w:rFonts w:ascii="Cambria" w:eastAsia="MS Mincho" w:hAnsi="Cambria"/>
          <w:b/>
          <w:bCs/>
          <w:sz w:val="20"/>
          <w:szCs w:val="20"/>
        </w:rPr>
        <w:t xml:space="preserve">THIRD PART: BENEFICIARIES </w:t>
      </w:r>
    </w:p>
    <w:p w14:paraId="3F938C5D" w14:textId="77777777" w:rsidR="00473ECE" w:rsidRPr="00707803" w:rsidRDefault="00473ECE" w:rsidP="00473ECE">
      <w:pPr>
        <w:ind w:left="720" w:right="720"/>
        <w:jc w:val="center"/>
        <w:rPr>
          <w:rFonts w:ascii="Cambria" w:eastAsia="MS Mincho" w:hAnsi="Cambria"/>
          <w:b/>
          <w:bCs/>
          <w:sz w:val="20"/>
          <w:szCs w:val="20"/>
        </w:rPr>
      </w:pPr>
    </w:p>
    <w:p w14:paraId="1A7C948B"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Colombian State recognizes the following as victims of this agreement: </w:t>
      </w:r>
    </w:p>
    <w:p w14:paraId="385B5A49" w14:textId="77777777" w:rsidR="00473ECE" w:rsidRPr="00707803" w:rsidRDefault="00473ECE" w:rsidP="00473ECE">
      <w:pPr>
        <w:ind w:left="720" w:right="720"/>
        <w:jc w:val="both"/>
        <w:rPr>
          <w:rFonts w:ascii="Cambria" w:eastAsia="MS Mincho" w:hAnsi="Cambria"/>
          <w:sz w:val="20"/>
          <w:szCs w:val="20"/>
        </w:rPr>
      </w:pPr>
    </w:p>
    <w:tbl>
      <w:tblPr>
        <w:tblStyle w:val="TableGrid"/>
        <w:tblW w:w="0" w:type="auto"/>
        <w:jc w:val="center"/>
        <w:tblInd w:w="0" w:type="dxa"/>
        <w:tblLook w:val="04A0" w:firstRow="1" w:lastRow="0" w:firstColumn="1" w:lastColumn="0" w:noHBand="0" w:noVBand="1"/>
      </w:tblPr>
      <w:tblGrid>
        <w:gridCol w:w="2664"/>
        <w:gridCol w:w="2761"/>
        <w:gridCol w:w="2605"/>
      </w:tblGrid>
      <w:tr w:rsidR="00473ECE" w:rsidRPr="00707803" w14:paraId="240F3377" w14:textId="77777777" w:rsidTr="00852A19">
        <w:trPr>
          <w:trHeight w:val="259"/>
          <w:jc w:val="center"/>
        </w:trPr>
        <w:tc>
          <w:tcPr>
            <w:tcW w:w="26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A3686E" w14:textId="77777777" w:rsidR="00473ECE" w:rsidRPr="00707803" w:rsidRDefault="00473ECE" w:rsidP="00036D70">
            <w:pPr>
              <w:ind w:left="720" w:right="720"/>
              <w:jc w:val="center"/>
              <w:rPr>
                <w:rFonts w:ascii="Cambria" w:eastAsia="MS Mincho" w:hAnsi="Cambria"/>
                <w:color w:val="000000" w:themeColor="text1"/>
                <w:sz w:val="20"/>
                <w:szCs w:val="20"/>
                <w:lang w:eastAsia="es-ES"/>
              </w:rPr>
            </w:pPr>
            <w:r w:rsidRPr="00707803">
              <w:rPr>
                <w:rFonts w:ascii="Cambria" w:hAnsi="Cambria"/>
                <w:sz w:val="20"/>
                <w:szCs w:val="20"/>
              </w:rPr>
              <w:t>Name</w:t>
            </w:r>
          </w:p>
        </w:tc>
        <w:tc>
          <w:tcPr>
            <w:tcW w:w="27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EA097E" w14:textId="77777777" w:rsidR="00473ECE" w:rsidRPr="00707803" w:rsidRDefault="00473ECE" w:rsidP="00036D70">
            <w:pPr>
              <w:ind w:left="720" w:right="720"/>
              <w:jc w:val="center"/>
              <w:rPr>
                <w:rFonts w:ascii="Cambria" w:eastAsia="MS Mincho" w:hAnsi="Cambria"/>
                <w:color w:val="000000" w:themeColor="text1"/>
                <w:sz w:val="20"/>
                <w:szCs w:val="20"/>
                <w:lang w:eastAsia="es-ES"/>
              </w:rPr>
            </w:pPr>
            <w:r w:rsidRPr="00707803">
              <w:rPr>
                <w:rFonts w:ascii="Cambria" w:hAnsi="Cambria"/>
                <w:sz w:val="20"/>
                <w:szCs w:val="20"/>
              </w:rPr>
              <w:t>Citizen ID number</w:t>
            </w:r>
          </w:p>
        </w:tc>
        <w:tc>
          <w:tcPr>
            <w:tcW w:w="26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7B1632" w14:textId="77777777" w:rsidR="00473ECE" w:rsidRPr="00707803" w:rsidRDefault="00473ECE" w:rsidP="00036D70">
            <w:pPr>
              <w:ind w:left="720" w:right="720"/>
              <w:jc w:val="center"/>
              <w:rPr>
                <w:rFonts w:ascii="Cambria" w:eastAsia="MS Mincho" w:hAnsi="Cambria"/>
                <w:color w:val="000000" w:themeColor="text1"/>
                <w:sz w:val="20"/>
                <w:szCs w:val="20"/>
                <w:lang w:eastAsia="es-ES"/>
              </w:rPr>
            </w:pPr>
            <w:r w:rsidRPr="00707803">
              <w:rPr>
                <w:rFonts w:ascii="Cambria" w:hAnsi="Cambria"/>
                <w:sz w:val="20"/>
                <w:szCs w:val="20"/>
              </w:rPr>
              <w:t>Kinship</w:t>
            </w:r>
          </w:p>
        </w:tc>
      </w:tr>
      <w:tr w:rsidR="00473ECE" w:rsidRPr="00707803" w14:paraId="25701769" w14:textId="77777777" w:rsidTr="00852A19">
        <w:trPr>
          <w:trHeight w:val="245"/>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14:paraId="763611A7" w14:textId="77777777" w:rsidR="00473ECE" w:rsidRPr="00707803" w:rsidRDefault="00473ECE" w:rsidP="00852A19">
            <w:pPr>
              <w:ind w:right="47"/>
              <w:jc w:val="center"/>
              <w:rPr>
                <w:rFonts w:ascii="Cambria" w:eastAsia="MS Mincho" w:hAnsi="Cambria"/>
                <w:sz w:val="20"/>
                <w:szCs w:val="20"/>
                <w:lang w:eastAsia="es-ES"/>
              </w:rPr>
            </w:pPr>
            <w:r w:rsidRPr="00707803">
              <w:rPr>
                <w:rFonts w:ascii="Cambria" w:eastAsia="MS Mincho" w:hAnsi="Cambria"/>
                <w:sz w:val="20"/>
                <w:szCs w:val="20"/>
                <w:lang w:eastAsia="es-ES"/>
              </w:rPr>
              <w:t xml:space="preserve">Soraya </w:t>
            </w:r>
            <w:proofErr w:type="spellStart"/>
            <w:r w:rsidRPr="00707803">
              <w:rPr>
                <w:rFonts w:ascii="Cambria" w:eastAsia="MS Mincho" w:hAnsi="Cambria"/>
                <w:sz w:val="20"/>
                <w:szCs w:val="20"/>
                <w:lang w:eastAsia="es-ES"/>
              </w:rPr>
              <w:t>Adalgiza</w:t>
            </w:r>
            <w:proofErr w:type="spellEnd"/>
            <w:r w:rsidRPr="00707803">
              <w:rPr>
                <w:rFonts w:ascii="Cambria" w:eastAsia="MS Mincho" w:hAnsi="Cambria"/>
                <w:sz w:val="20"/>
                <w:szCs w:val="20"/>
                <w:lang w:eastAsia="es-ES"/>
              </w:rPr>
              <w:t xml:space="preserve"> Elias Puente</w:t>
            </w:r>
          </w:p>
        </w:tc>
        <w:tc>
          <w:tcPr>
            <w:tcW w:w="2761" w:type="dxa"/>
            <w:tcBorders>
              <w:top w:val="single" w:sz="4" w:space="0" w:color="auto"/>
              <w:left w:val="single" w:sz="4" w:space="0" w:color="auto"/>
              <w:bottom w:val="single" w:sz="4" w:space="0" w:color="auto"/>
              <w:right w:val="single" w:sz="4" w:space="0" w:color="auto"/>
            </w:tcBorders>
            <w:vAlign w:val="center"/>
            <w:hideMark/>
          </w:tcPr>
          <w:p w14:paraId="13502111" w14:textId="1D1084D4" w:rsidR="00473ECE" w:rsidRPr="00707803" w:rsidRDefault="006066E0" w:rsidP="00036D70">
            <w:pPr>
              <w:ind w:left="720" w:right="720"/>
              <w:jc w:val="center"/>
              <w:rPr>
                <w:rFonts w:ascii="Cambria" w:eastAsia="MS Mincho" w:hAnsi="Cambria"/>
                <w:sz w:val="20"/>
                <w:szCs w:val="20"/>
                <w:lang w:eastAsia="es-ES"/>
              </w:rPr>
            </w:pPr>
            <w:r>
              <w:rPr>
                <w:rFonts w:ascii="Cambria" w:eastAsia="MS Mincho" w:hAnsi="Cambria"/>
                <w:sz w:val="20"/>
                <w:szCs w:val="20"/>
                <w:lang w:eastAsia="es-ES"/>
              </w:rPr>
              <w:t>[…]</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4114426" w14:textId="77777777" w:rsidR="00473ECE" w:rsidRPr="00707803" w:rsidRDefault="00473ECE" w:rsidP="00852A19">
            <w:pPr>
              <w:ind w:left="-53"/>
              <w:jc w:val="center"/>
              <w:rPr>
                <w:rFonts w:ascii="Cambria" w:eastAsia="MS Mincho" w:hAnsi="Cambria"/>
                <w:sz w:val="20"/>
                <w:szCs w:val="20"/>
                <w:lang w:eastAsia="es-ES"/>
              </w:rPr>
            </w:pPr>
            <w:r w:rsidRPr="00707803">
              <w:rPr>
                <w:rFonts w:ascii="Cambria" w:eastAsia="MS Mincho" w:hAnsi="Cambria"/>
                <w:sz w:val="20"/>
                <w:szCs w:val="20"/>
                <w:lang w:eastAsia="es-ES"/>
              </w:rPr>
              <w:t>Sister</w:t>
            </w:r>
          </w:p>
        </w:tc>
      </w:tr>
      <w:tr w:rsidR="00473ECE" w:rsidRPr="00707803" w14:paraId="324FE255" w14:textId="77777777" w:rsidTr="00852A19">
        <w:trPr>
          <w:trHeight w:val="259"/>
          <w:jc w:val="center"/>
        </w:trPr>
        <w:tc>
          <w:tcPr>
            <w:tcW w:w="2664" w:type="dxa"/>
            <w:tcBorders>
              <w:top w:val="single" w:sz="4" w:space="0" w:color="auto"/>
              <w:left w:val="single" w:sz="4" w:space="0" w:color="auto"/>
              <w:bottom w:val="single" w:sz="4" w:space="0" w:color="auto"/>
              <w:right w:val="single" w:sz="4" w:space="0" w:color="auto"/>
            </w:tcBorders>
            <w:vAlign w:val="center"/>
            <w:hideMark/>
          </w:tcPr>
          <w:p w14:paraId="583ED40F" w14:textId="77777777" w:rsidR="00473ECE" w:rsidRPr="002B56A5" w:rsidRDefault="00473ECE" w:rsidP="00852A19">
            <w:pPr>
              <w:jc w:val="center"/>
              <w:rPr>
                <w:rFonts w:ascii="Cambria" w:eastAsia="MS Mincho" w:hAnsi="Cambria"/>
                <w:sz w:val="20"/>
                <w:szCs w:val="20"/>
                <w:lang w:val="es-CO" w:eastAsia="es-ES"/>
              </w:rPr>
            </w:pPr>
            <w:proofErr w:type="spellStart"/>
            <w:r w:rsidRPr="002B56A5">
              <w:rPr>
                <w:rFonts w:ascii="Cambria" w:eastAsia="MS Mincho" w:hAnsi="Cambria"/>
                <w:sz w:val="20"/>
                <w:szCs w:val="20"/>
                <w:lang w:val="es-CO" w:eastAsia="es-ES"/>
              </w:rPr>
              <w:t>Adalgiza</w:t>
            </w:r>
            <w:proofErr w:type="spellEnd"/>
            <w:r w:rsidRPr="002B56A5">
              <w:rPr>
                <w:rFonts w:ascii="Cambria" w:eastAsia="MS Mincho" w:hAnsi="Cambria"/>
                <w:sz w:val="20"/>
                <w:szCs w:val="20"/>
                <w:lang w:val="es-CO" w:eastAsia="es-ES"/>
              </w:rPr>
              <w:t xml:space="preserve"> del Socorro Puente de </w:t>
            </w:r>
            <w:proofErr w:type="spellStart"/>
            <w:r w:rsidRPr="002B56A5">
              <w:rPr>
                <w:rFonts w:ascii="Cambria" w:eastAsia="MS Mincho" w:hAnsi="Cambria"/>
                <w:sz w:val="20"/>
                <w:szCs w:val="20"/>
                <w:lang w:val="es-CO" w:eastAsia="es-ES"/>
              </w:rPr>
              <w:t>Elias</w:t>
            </w:r>
            <w:proofErr w:type="spellEnd"/>
            <w:r w:rsidRPr="002B56A5">
              <w:rPr>
                <w:rFonts w:ascii="Cambria" w:eastAsia="MS Mincho" w:hAnsi="Cambria"/>
                <w:sz w:val="20"/>
                <w:szCs w:val="20"/>
                <w:lang w:val="es-CO" w:eastAsia="es-ES"/>
              </w:rPr>
              <w:t xml:space="preserve"> (R.I.P)</w:t>
            </w:r>
            <w:r w:rsidRPr="00707803">
              <w:rPr>
                <w:rStyle w:val="FootnoteReference"/>
                <w:rFonts w:ascii="Cambria" w:eastAsia="MS Mincho" w:hAnsi="Cambria"/>
                <w:sz w:val="20"/>
                <w:szCs w:val="20"/>
                <w:lang w:eastAsia="es-ES"/>
              </w:rPr>
              <w:footnoteReference w:id="10"/>
            </w:r>
          </w:p>
        </w:tc>
        <w:tc>
          <w:tcPr>
            <w:tcW w:w="2761" w:type="dxa"/>
            <w:tcBorders>
              <w:top w:val="single" w:sz="4" w:space="0" w:color="auto"/>
              <w:left w:val="single" w:sz="4" w:space="0" w:color="auto"/>
              <w:bottom w:val="single" w:sz="4" w:space="0" w:color="auto"/>
              <w:right w:val="single" w:sz="4" w:space="0" w:color="auto"/>
            </w:tcBorders>
            <w:vAlign w:val="center"/>
            <w:hideMark/>
          </w:tcPr>
          <w:p w14:paraId="7D5A3723" w14:textId="15691A0F" w:rsidR="00473ECE" w:rsidRPr="00707803" w:rsidRDefault="006066E0" w:rsidP="00036D70">
            <w:pPr>
              <w:ind w:left="720" w:right="720"/>
              <w:jc w:val="center"/>
              <w:rPr>
                <w:rFonts w:ascii="Cambria" w:eastAsia="MS Mincho" w:hAnsi="Cambria"/>
                <w:sz w:val="20"/>
                <w:szCs w:val="20"/>
                <w:lang w:eastAsia="es-ES"/>
              </w:rPr>
            </w:pPr>
            <w:r>
              <w:rPr>
                <w:rFonts w:ascii="Cambria" w:eastAsia="MS Mincho" w:hAnsi="Cambria"/>
                <w:sz w:val="20"/>
                <w:szCs w:val="20"/>
                <w:lang w:eastAsia="es-ES"/>
              </w:rPr>
              <w:t>[…]</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90224F1" w14:textId="77777777" w:rsidR="00473ECE" w:rsidRPr="00707803" w:rsidRDefault="00473ECE" w:rsidP="00852A19">
            <w:pPr>
              <w:ind w:right="13"/>
              <w:jc w:val="center"/>
              <w:rPr>
                <w:rFonts w:ascii="Cambria" w:eastAsia="MS Mincho" w:hAnsi="Cambria"/>
                <w:sz w:val="20"/>
                <w:szCs w:val="20"/>
                <w:lang w:eastAsia="es-ES"/>
              </w:rPr>
            </w:pPr>
            <w:r w:rsidRPr="00707803">
              <w:rPr>
                <w:rFonts w:ascii="Cambria" w:eastAsia="MS Mincho" w:hAnsi="Cambria"/>
                <w:sz w:val="20"/>
                <w:szCs w:val="20"/>
                <w:lang w:eastAsia="es-ES"/>
              </w:rPr>
              <w:t>Mother</w:t>
            </w:r>
          </w:p>
        </w:tc>
      </w:tr>
    </w:tbl>
    <w:p w14:paraId="3DAA93DF" w14:textId="77777777" w:rsidR="00473ECE" w:rsidRPr="00707803" w:rsidRDefault="00473ECE" w:rsidP="00473ECE">
      <w:pPr>
        <w:ind w:left="720" w:right="720"/>
        <w:rPr>
          <w:rFonts w:ascii="Cambria" w:eastAsia="MS Mincho" w:hAnsi="Cambria"/>
          <w:sz w:val="20"/>
          <w:szCs w:val="20"/>
          <w:highlight w:val="yellow"/>
        </w:rPr>
      </w:pPr>
    </w:p>
    <w:p w14:paraId="53F7A64E"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victims recognized in this Friendly Settlement Agreement will benefit </w:t>
      </w:r>
      <w:proofErr w:type="gramStart"/>
      <w:r w:rsidRPr="00707803">
        <w:rPr>
          <w:rFonts w:ascii="Cambria" w:eastAsia="MS Mincho" w:hAnsi="Cambria"/>
          <w:sz w:val="20"/>
          <w:szCs w:val="20"/>
        </w:rPr>
        <w:t>provided that</w:t>
      </w:r>
      <w:proofErr w:type="gramEnd"/>
      <w:r w:rsidRPr="00707803">
        <w:rPr>
          <w:rFonts w:ascii="Cambria" w:eastAsia="MS Mincho" w:hAnsi="Cambria"/>
          <w:sz w:val="20"/>
          <w:szCs w:val="20"/>
        </w:rPr>
        <w:t xml:space="preserve"> they can prove their blood relationship with Mr. Ricardo Antonio Elías Puente. </w:t>
      </w:r>
    </w:p>
    <w:p w14:paraId="5EB3E570" w14:textId="77777777" w:rsidR="00473ECE" w:rsidRPr="00707803" w:rsidRDefault="00473ECE" w:rsidP="00473ECE">
      <w:pPr>
        <w:ind w:left="720" w:right="720"/>
        <w:jc w:val="both"/>
        <w:rPr>
          <w:rFonts w:ascii="Cambria" w:eastAsia="MS Mincho" w:hAnsi="Cambria"/>
          <w:sz w:val="20"/>
          <w:szCs w:val="20"/>
        </w:rPr>
      </w:pPr>
    </w:p>
    <w:p w14:paraId="3675D121"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In addition, the victims who will benefit from this Friendly Settlement Agreement will be those who were alive at the time of the victimizing event</w:t>
      </w:r>
      <w:r w:rsidRPr="00707803">
        <w:rPr>
          <w:rStyle w:val="FootnoteReference"/>
          <w:rFonts w:ascii="Cambria" w:eastAsia="MS Mincho" w:hAnsi="Cambria"/>
          <w:sz w:val="20"/>
          <w:szCs w:val="20"/>
        </w:rPr>
        <w:footnoteReference w:id="11"/>
      </w:r>
      <w:r w:rsidRPr="00707803">
        <w:rPr>
          <w:rFonts w:ascii="Cambria" w:eastAsia="MS Mincho" w:hAnsi="Cambria"/>
          <w:sz w:val="20"/>
          <w:szCs w:val="20"/>
        </w:rPr>
        <w:t xml:space="preserve">. </w:t>
      </w:r>
    </w:p>
    <w:p w14:paraId="60E4B7DA" w14:textId="77777777" w:rsidR="00473ECE" w:rsidRPr="00707803" w:rsidRDefault="00473ECE" w:rsidP="00473ECE">
      <w:pPr>
        <w:ind w:left="720" w:right="720"/>
        <w:jc w:val="both"/>
        <w:rPr>
          <w:rFonts w:ascii="Cambria" w:eastAsia="MS Mincho" w:hAnsi="Cambria"/>
          <w:sz w:val="20"/>
          <w:szCs w:val="20"/>
        </w:rPr>
      </w:pPr>
    </w:p>
    <w:p w14:paraId="416E105E" w14:textId="77777777" w:rsidR="00473ECE" w:rsidRPr="00707803" w:rsidRDefault="00473ECE" w:rsidP="00473ECE">
      <w:pPr>
        <w:ind w:left="720" w:right="720"/>
        <w:jc w:val="center"/>
        <w:rPr>
          <w:rFonts w:ascii="Cambria" w:eastAsia="MS Mincho" w:hAnsi="Cambria"/>
          <w:b/>
          <w:bCs/>
          <w:sz w:val="20"/>
          <w:szCs w:val="20"/>
        </w:rPr>
      </w:pPr>
      <w:r w:rsidRPr="00707803">
        <w:rPr>
          <w:rFonts w:asciiTheme="majorHAnsi" w:hAnsiTheme="majorHAnsi" w:cstheme="minorHAnsi"/>
          <w:b/>
          <w:bCs/>
          <w:sz w:val="20"/>
          <w:szCs w:val="20"/>
        </w:rPr>
        <w:t>FOURTH PART: ACKNOWLEDGEMENT OF RESPONSIBILITY</w:t>
      </w:r>
    </w:p>
    <w:p w14:paraId="3676CEC0" w14:textId="77777777" w:rsidR="00473ECE" w:rsidRPr="00707803" w:rsidRDefault="00473ECE" w:rsidP="00473ECE">
      <w:pPr>
        <w:ind w:left="720" w:right="720"/>
        <w:jc w:val="center"/>
        <w:rPr>
          <w:rFonts w:ascii="Cambria" w:eastAsia="MS Mincho" w:hAnsi="Cambria"/>
          <w:b/>
          <w:bCs/>
          <w:sz w:val="20"/>
          <w:szCs w:val="20"/>
        </w:rPr>
      </w:pPr>
    </w:p>
    <w:p w14:paraId="06E6651C"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Colombian State recognizes its international responsibility by omission, for the violation of the rights recognized in Articles 8 (fair trial) and 25 (judicial protection) of the American Convention in relation to Article 1.1. thereof (obligation to guarantee), to the detriment of the </w:t>
      </w:r>
      <w:r w:rsidRPr="00707803">
        <w:rPr>
          <w:rFonts w:ascii="Cambria" w:eastAsia="MS Mincho" w:hAnsi="Cambria"/>
          <w:sz w:val="20"/>
          <w:szCs w:val="20"/>
        </w:rPr>
        <w:lastRenderedPageBreak/>
        <w:t xml:space="preserve">relatives of Mr. Ricardo Antonio Elías Puente, due to the lack of diligence in the investigation of the events that occurred, which resulted in the absence of identification, </w:t>
      </w:r>
      <w:proofErr w:type="gramStart"/>
      <w:r w:rsidRPr="00707803">
        <w:rPr>
          <w:rFonts w:ascii="Cambria" w:eastAsia="MS Mincho" w:hAnsi="Cambria"/>
          <w:sz w:val="20"/>
          <w:szCs w:val="20"/>
        </w:rPr>
        <w:t>prosecution</w:t>
      </w:r>
      <w:proofErr w:type="gramEnd"/>
      <w:r w:rsidRPr="00707803">
        <w:rPr>
          <w:rFonts w:ascii="Cambria" w:eastAsia="MS Mincho" w:hAnsi="Cambria"/>
          <w:sz w:val="20"/>
          <w:szCs w:val="20"/>
        </w:rPr>
        <w:t xml:space="preserve"> and punishment of the perpetrators of his homicide.  </w:t>
      </w:r>
    </w:p>
    <w:p w14:paraId="4FC18FFA" w14:textId="77777777" w:rsidR="00473ECE" w:rsidRPr="00707803" w:rsidRDefault="00473ECE" w:rsidP="00473ECE">
      <w:pPr>
        <w:ind w:left="720" w:right="720"/>
        <w:jc w:val="both"/>
        <w:rPr>
          <w:rFonts w:ascii="Cambria" w:eastAsia="MS Mincho" w:hAnsi="Cambria"/>
          <w:sz w:val="20"/>
          <w:szCs w:val="20"/>
        </w:rPr>
      </w:pPr>
    </w:p>
    <w:p w14:paraId="4FBD5B7C" w14:textId="77777777" w:rsidR="00473ECE" w:rsidRPr="00707803" w:rsidRDefault="00473ECE" w:rsidP="00473ECE">
      <w:pPr>
        <w:ind w:left="720" w:right="720"/>
        <w:jc w:val="center"/>
        <w:rPr>
          <w:rFonts w:ascii="Cambria" w:eastAsia="MS Mincho" w:hAnsi="Cambria"/>
          <w:b/>
          <w:bCs/>
          <w:sz w:val="20"/>
          <w:szCs w:val="20"/>
        </w:rPr>
      </w:pPr>
      <w:r w:rsidRPr="00707803">
        <w:rPr>
          <w:rFonts w:asciiTheme="majorHAnsi" w:hAnsiTheme="majorHAnsi" w:cstheme="minorHAnsi"/>
          <w:b/>
          <w:bCs/>
          <w:sz w:val="20"/>
          <w:szCs w:val="20"/>
        </w:rPr>
        <w:t>FIFTH PART: SATISFACTION MEASURES</w:t>
      </w:r>
    </w:p>
    <w:p w14:paraId="2E6B92F1" w14:textId="77777777" w:rsidR="00473ECE" w:rsidRPr="00707803" w:rsidRDefault="00473ECE" w:rsidP="00473ECE">
      <w:pPr>
        <w:ind w:left="720" w:right="720"/>
        <w:jc w:val="center"/>
        <w:rPr>
          <w:rFonts w:ascii="Cambria" w:eastAsia="MS Mincho" w:hAnsi="Cambria"/>
          <w:b/>
          <w:bCs/>
          <w:sz w:val="20"/>
          <w:szCs w:val="20"/>
        </w:rPr>
      </w:pPr>
    </w:p>
    <w:p w14:paraId="6FF0FACB"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parties establish that, within the framework of this Agreement, the following satisfaction measures are to be implemented: </w:t>
      </w:r>
    </w:p>
    <w:p w14:paraId="0AD23662" w14:textId="77777777" w:rsidR="00473ECE" w:rsidRPr="00707803" w:rsidRDefault="00473ECE" w:rsidP="00473ECE">
      <w:pPr>
        <w:ind w:left="720" w:right="720"/>
        <w:jc w:val="both"/>
        <w:rPr>
          <w:rFonts w:ascii="Cambria" w:eastAsia="MS Mincho" w:hAnsi="Cambria"/>
          <w:sz w:val="20"/>
          <w:szCs w:val="20"/>
        </w:rPr>
      </w:pPr>
    </w:p>
    <w:p w14:paraId="3D7D1229" w14:textId="668271A4" w:rsidR="00473ECE" w:rsidRPr="00707803" w:rsidRDefault="00473ECE" w:rsidP="00473EC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eastAsia="MS Mincho"/>
          <w:b/>
          <w:bCs/>
          <w:sz w:val="20"/>
          <w:szCs w:val="20"/>
        </w:rPr>
      </w:pPr>
      <w:r w:rsidRPr="00707803">
        <w:rPr>
          <w:rFonts w:eastAsia="MS Mincho"/>
          <w:b/>
          <w:bCs/>
          <w:sz w:val="20"/>
          <w:szCs w:val="20"/>
        </w:rPr>
        <w:t>Submission of a letter of dignification</w:t>
      </w:r>
      <w:r w:rsidR="006066E0">
        <w:rPr>
          <w:rFonts w:eastAsia="MS Mincho"/>
          <w:b/>
          <w:bCs/>
          <w:sz w:val="20"/>
          <w:szCs w:val="20"/>
        </w:rPr>
        <w:t>:</w:t>
      </w:r>
    </w:p>
    <w:p w14:paraId="022E9075" w14:textId="77777777" w:rsidR="00473ECE" w:rsidRPr="00707803" w:rsidRDefault="00473ECE" w:rsidP="00473ECE">
      <w:pPr>
        <w:pStyle w:val="ListParagraph"/>
        <w:ind w:right="720"/>
        <w:jc w:val="both"/>
        <w:rPr>
          <w:rFonts w:eastAsia="MS Mincho"/>
          <w:b/>
          <w:bCs/>
          <w:sz w:val="20"/>
          <w:szCs w:val="20"/>
        </w:rPr>
      </w:pPr>
    </w:p>
    <w:p w14:paraId="4F6878A6"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Colombian State shall deliver a letter of dignification to Mrs. Soraya </w:t>
      </w:r>
      <w:proofErr w:type="spellStart"/>
      <w:r w:rsidRPr="00707803">
        <w:rPr>
          <w:rFonts w:ascii="Cambria" w:eastAsia="MS Mincho" w:hAnsi="Cambria"/>
          <w:sz w:val="20"/>
          <w:szCs w:val="20"/>
        </w:rPr>
        <w:t>Adalgiza</w:t>
      </w:r>
      <w:proofErr w:type="spellEnd"/>
      <w:r w:rsidRPr="00707803">
        <w:rPr>
          <w:rFonts w:ascii="Cambria" w:eastAsia="MS Mincho" w:hAnsi="Cambria"/>
          <w:sz w:val="20"/>
          <w:szCs w:val="20"/>
        </w:rPr>
        <w:t xml:space="preserve"> Elías Puente, sister of Mr. Ricardo Antonio Elías Puente, stating the acknowledgement of responsibility made by the Colombian State for the facts of the case, in accordance with the provisions of this Agreement. The letter of acknowledgment shall be sent through the postal service to the residence of Mrs. Soraya </w:t>
      </w:r>
      <w:proofErr w:type="spellStart"/>
      <w:r w:rsidRPr="00707803">
        <w:rPr>
          <w:rFonts w:ascii="Cambria" w:eastAsia="MS Mincho" w:hAnsi="Cambria"/>
          <w:sz w:val="20"/>
          <w:szCs w:val="20"/>
        </w:rPr>
        <w:t>Adalgiza</w:t>
      </w:r>
      <w:proofErr w:type="spellEnd"/>
      <w:r w:rsidRPr="00707803">
        <w:rPr>
          <w:rFonts w:ascii="Cambria" w:eastAsia="MS Mincho" w:hAnsi="Cambria"/>
          <w:sz w:val="20"/>
          <w:szCs w:val="20"/>
        </w:rPr>
        <w:t xml:space="preserve"> Elías Puente. </w:t>
      </w:r>
    </w:p>
    <w:p w14:paraId="75E94F39" w14:textId="77777777" w:rsidR="00473ECE" w:rsidRPr="00707803" w:rsidRDefault="00473ECE" w:rsidP="00473ECE">
      <w:pPr>
        <w:ind w:left="720" w:right="720"/>
        <w:jc w:val="both"/>
        <w:rPr>
          <w:rFonts w:ascii="Cambria" w:eastAsia="MS Mincho" w:hAnsi="Cambria"/>
          <w:sz w:val="20"/>
          <w:szCs w:val="20"/>
        </w:rPr>
      </w:pPr>
    </w:p>
    <w:p w14:paraId="1291232A"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This measure will </w:t>
      </w:r>
      <w:proofErr w:type="gramStart"/>
      <w:r w:rsidRPr="00707803">
        <w:rPr>
          <w:rFonts w:ascii="Cambria" w:eastAsia="MS Mincho" w:hAnsi="Cambria"/>
          <w:sz w:val="20"/>
          <w:szCs w:val="20"/>
        </w:rPr>
        <w:t>be in charge of</w:t>
      </w:r>
      <w:proofErr w:type="gramEnd"/>
      <w:r w:rsidRPr="00707803">
        <w:rPr>
          <w:rFonts w:ascii="Cambria" w:eastAsia="MS Mincho" w:hAnsi="Cambria"/>
          <w:sz w:val="20"/>
          <w:szCs w:val="20"/>
        </w:rPr>
        <w:t xml:space="preserve"> the National Agency for the Legal Defense of the State. </w:t>
      </w:r>
    </w:p>
    <w:p w14:paraId="64FEB3A2" w14:textId="77777777" w:rsidR="00473ECE" w:rsidRPr="00707803" w:rsidRDefault="00473ECE" w:rsidP="00473ECE">
      <w:pPr>
        <w:ind w:left="720" w:right="720"/>
        <w:jc w:val="both"/>
        <w:rPr>
          <w:rFonts w:ascii="Cambria" w:eastAsia="MS Mincho" w:hAnsi="Cambria"/>
          <w:sz w:val="20"/>
          <w:szCs w:val="20"/>
        </w:rPr>
      </w:pPr>
    </w:p>
    <w:p w14:paraId="1A3E4298" w14:textId="77777777" w:rsidR="00473ECE" w:rsidRPr="00707803" w:rsidRDefault="00473ECE" w:rsidP="00473EC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rPr>
          <w:rFonts w:eastAsia="MS Mincho"/>
          <w:b/>
          <w:bCs/>
          <w:sz w:val="20"/>
          <w:szCs w:val="20"/>
        </w:rPr>
      </w:pPr>
      <w:r w:rsidRPr="00707803">
        <w:rPr>
          <w:rFonts w:asciiTheme="majorHAnsi" w:hAnsiTheme="majorHAnsi" w:cstheme="minorHAnsi"/>
          <w:b/>
          <w:bCs/>
          <w:sz w:val="20"/>
          <w:szCs w:val="20"/>
        </w:rPr>
        <w:t>Publication of the Report of Article 49</w:t>
      </w:r>
      <w:r w:rsidRPr="00707803">
        <w:rPr>
          <w:rFonts w:eastAsia="MS Mincho"/>
          <w:b/>
          <w:bCs/>
          <w:sz w:val="20"/>
          <w:szCs w:val="20"/>
        </w:rPr>
        <w:t xml:space="preserve">: </w:t>
      </w:r>
    </w:p>
    <w:p w14:paraId="618D748B" w14:textId="77777777" w:rsidR="00473ECE" w:rsidRPr="00707803" w:rsidRDefault="00473ECE" w:rsidP="00473ECE">
      <w:pPr>
        <w:pStyle w:val="ListParagraph"/>
        <w:ind w:right="720"/>
        <w:rPr>
          <w:rFonts w:eastAsia="MS Mincho"/>
          <w:b/>
          <w:bCs/>
          <w:sz w:val="20"/>
          <w:szCs w:val="20"/>
        </w:rPr>
      </w:pPr>
    </w:p>
    <w:p w14:paraId="0ABCE299" w14:textId="77777777" w:rsidR="00473ECE" w:rsidRPr="00707803" w:rsidRDefault="00473ECE" w:rsidP="00473ECE">
      <w:pPr>
        <w:ind w:left="720" w:right="720"/>
        <w:jc w:val="both"/>
        <w:rPr>
          <w:rFonts w:ascii="Cambria" w:eastAsia="MS Mincho" w:hAnsi="Cambria"/>
          <w:sz w:val="20"/>
          <w:szCs w:val="20"/>
        </w:rPr>
      </w:pPr>
      <w:r w:rsidRPr="00707803">
        <w:rPr>
          <w:rFonts w:ascii="Cambria" w:eastAsia="MS Mincho" w:hAnsi="Cambria"/>
          <w:sz w:val="20"/>
          <w:szCs w:val="20"/>
        </w:rPr>
        <w:t xml:space="preserve">The Colombian State shall publish the pertinent sections of the friendly settlement report, once it has been approved by the Inter-American Commission, on the web page of the National Agency for the Legal Defense of the State, for a period of six (6) months. </w:t>
      </w:r>
    </w:p>
    <w:p w14:paraId="0B4DC2DB" w14:textId="77777777" w:rsidR="00473ECE" w:rsidRPr="00707803" w:rsidRDefault="00473ECE" w:rsidP="00473ECE">
      <w:pPr>
        <w:ind w:left="720" w:right="720"/>
        <w:jc w:val="both"/>
        <w:rPr>
          <w:rFonts w:ascii="Cambria" w:eastAsia="MS Mincho" w:hAnsi="Cambria"/>
          <w:sz w:val="20"/>
          <w:szCs w:val="20"/>
        </w:rPr>
      </w:pPr>
    </w:p>
    <w:p w14:paraId="4138F2AC" w14:textId="77777777" w:rsidR="00473ECE" w:rsidRPr="00707803" w:rsidRDefault="00473ECE" w:rsidP="00473ECE">
      <w:pPr>
        <w:ind w:left="720" w:right="720"/>
        <w:jc w:val="center"/>
        <w:rPr>
          <w:rFonts w:ascii="Cambria" w:eastAsia="MS Mincho" w:hAnsi="Cambria"/>
          <w:b/>
          <w:bCs/>
          <w:sz w:val="20"/>
          <w:szCs w:val="20"/>
        </w:rPr>
      </w:pPr>
      <w:r w:rsidRPr="00707803">
        <w:rPr>
          <w:rFonts w:asciiTheme="majorHAnsi" w:hAnsiTheme="majorHAnsi" w:cstheme="minorHAnsi"/>
          <w:b/>
          <w:bCs/>
          <w:sz w:val="20"/>
          <w:szCs w:val="20"/>
        </w:rPr>
        <w:t>SIXTH PART: COMPENSATION MEASURES</w:t>
      </w:r>
    </w:p>
    <w:p w14:paraId="40C28348" w14:textId="77777777" w:rsidR="00473ECE" w:rsidRPr="00707803" w:rsidRDefault="00473ECE" w:rsidP="62E17D95">
      <w:pPr>
        <w:ind w:left="720" w:right="720"/>
        <w:jc w:val="both"/>
        <w:rPr>
          <w:rFonts w:ascii="Cambria" w:eastAsia="MS Mincho" w:hAnsi="Cambria"/>
          <w:b/>
          <w:bCs/>
          <w:sz w:val="20"/>
          <w:szCs w:val="20"/>
        </w:rPr>
      </w:pPr>
    </w:p>
    <w:p w14:paraId="01332FFC"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sz w:val="20"/>
          <w:szCs w:val="20"/>
        </w:rPr>
        <w:t>The State undertakes to initiate the process of Law 288 of 1996 "Whereby instruments are established for the compensation of damages to victims of human rights violations by virtue of the provisions of certain international human rights bodies", once this friendly settlement agreement is approved through the issuance of the Report of Article 49 of the American Convention on Human Rights, with the purpose of repairing the damages caused to the relatives of Mr. Ricardo Antonio Elías Puente as a consequence of the affectations generated by the facts of the present case</w:t>
      </w:r>
      <w:r w:rsidRPr="00707803">
        <w:rPr>
          <w:rFonts w:ascii="Cambria" w:eastAsia="MS Mincho" w:hAnsi="Cambria"/>
          <w:sz w:val="20"/>
          <w:szCs w:val="20"/>
        </w:rPr>
        <w:t xml:space="preserve">. </w:t>
      </w:r>
    </w:p>
    <w:p w14:paraId="23C48D52" w14:textId="77777777" w:rsidR="00473ECE" w:rsidRPr="00707803" w:rsidRDefault="00473ECE" w:rsidP="00473ECE">
      <w:pPr>
        <w:ind w:left="720" w:right="720"/>
        <w:jc w:val="both"/>
        <w:rPr>
          <w:rFonts w:ascii="Cambria" w:eastAsia="MS Mincho" w:hAnsi="Cambria"/>
          <w:sz w:val="20"/>
          <w:szCs w:val="20"/>
        </w:rPr>
      </w:pPr>
    </w:p>
    <w:p w14:paraId="466E542A" w14:textId="77777777" w:rsidR="00473ECE" w:rsidRPr="00707803" w:rsidRDefault="00473ECE" w:rsidP="00473ECE">
      <w:pPr>
        <w:tabs>
          <w:tab w:val="left" w:pos="560"/>
        </w:tabs>
        <w:ind w:left="737" w:right="737"/>
        <w:jc w:val="both"/>
        <w:rPr>
          <w:rFonts w:asciiTheme="majorHAnsi" w:hAnsiTheme="majorHAnsi" w:cstheme="minorHAnsi"/>
          <w:sz w:val="20"/>
          <w:szCs w:val="20"/>
        </w:rPr>
      </w:pPr>
      <w:r w:rsidRPr="00707803">
        <w:rPr>
          <w:rFonts w:asciiTheme="majorHAnsi" w:hAnsiTheme="majorHAnsi" w:cstheme="minorHAnsi"/>
          <w:sz w:val="20"/>
          <w:szCs w:val="20"/>
        </w:rPr>
        <w:t xml:space="preserve">The National Agency for the Legal Defense of the State will be the entity in charge of the processing of Law 288 of 1996. </w:t>
      </w:r>
    </w:p>
    <w:p w14:paraId="119F9847" w14:textId="77777777" w:rsidR="00473ECE" w:rsidRPr="00707803" w:rsidRDefault="00473ECE" w:rsidP="00473ECE">
      <w:pPr>
        <w:tabs>
          <w:tab w:val="left" w:pos="560"/>
        </w:tabs>
        <w:ind w:left="737" w:right="737"/>
        <w:jc w:val="both"/>
        <w:rPr>
          <w:rFonts w:asciiTheme="majorHAnsi" w:hAnsiTheme="majorHAnsi" w:cstheme="minorHAnsi"/>
          <w:sz w:val="20"/>
          <w:szCs w:val="20"/>
        </w:rPr>
      </w:pPr>
    </w:p>
    <w:p w14:paraId="32A1A2D3"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sz w:val="20"/>
          <w:szCs w:val="20"/>
        </w:rPr>
        <w:t>The criteria and amounts recognized by the current jurisprudence of the Council of State are to be used for compensation purposes</w:t>
      </w:r>
      <w:r w:rsidRPr="00707803">
        <w:rPr>
          <w:rFonts w:ascii="Cambria" w:eastAsia="MS Mincho" w:hAnsi="Cambria"/>
          <w:sz w:val="20"/>
          <w:szCs w:val="20"/>
        </w:rPr>
        <w:t xml:space="preserve">. </w:t>
      </w:r>
    </w:p>
    <w:p w14:paraId="4CACB14D" w14:textId="77777777" w:rsidR="00172540" w:rsidRPr="00707803" w:rsidRDefault="00172540" w:rsidP="006066E0">
      <w:pPr>
        <w:ind w:right="720"/>
        <w:jc w:val="both"/>
        <w:rPr>
          <w:rFonts w:ascii="Cambria" w:eastAsia="MS Mincho" w:hAnsi="Cambria"/>
          <w:sz w:val="20"/>
          <w:szCs w:val="20"/>
        </w:rPr>
      </w:pPr>
    </w:p>
    <w:p w14:paraId="39EFB505" w14:textId="77777777" w:rsidR="00473ECE" w:rsidRPr="00707803" w:rsidRDefault="00473ECE" w:rsidP="00473ECE">
      <w:pPr>
        <w:ind w:left="720" w:right="720"/>
        <w:jc w:val="center"/>
        <w:rPr>
          <w:rFonts w:ascii="Cambria" w:eastAsia="MS Mincho" w:hAnsi="Cambria"/>
          <w:b/>
          <w:bCs/>
          <w:sz w:val="20"/>
          <w:szCs w:val="20"/>
        </w:rPr>
      </w:pPr>
      <w:r w:rsidRPr="00707803">
        <w:rPr>
          <w:rFonts w:asciiTheme="majorHAnsi" w:hAnsiTheme="majorHAnsi" w:cstheme="minorHAnsi"/>
          <w:b/>
          <w:bCs/>
          <w:sz w:val="20"/>
          <w:szCs w:val="20"/>
        </w:rPr>
        <w:t>SEVENTH PART: HOMOLOGATION AND FOLLOW-UP</w:t>
      </w:r>
    </w:p>
    <w:p w14:paraId="3C005C14" w14:textId="77777777" w:rsidR="00473ECE" w:rsidRPr="00707803" w:rsidRDefault="00473ECE" w:rsidP="62E17D95">
      <w:pPr>
        <w:ind w:left="720" w:right="720"/>
        <w:jc w:val="both"/>
        <w:rPr>
          <w:rFonts w:ascii="Cambria" w:eastAsia="MS Mincho" w:hAnsi="Cambria"/>
          <w:b/>
          <w:bCs/>
          <w:sz w:val="20"/>
          <w:szCs w:val="20"/>
        </w:rPr>
      </w:pPr>
    </w:p>
    <w:p w14:paraId="74D94E3E" w14:textId="77777777" w:rsidR="00473ECE" w:rsidRPr="00707803" w:rsidRDefault="00473ECE" w:rsidP="00473ECE">
      <w:pPr>
        <w:ind w:left="720" w:right="720"/>
        <w:jc w:val="both"/>
        <w:rPr>
          <w:rFonts w:ascii="Cambria" w:eastAsia="MS Mincho" w:hAnsi="Cambria"/>
          <w:sz w:val="20"/>
          <w:szCs w:val="20"/>
        </w:rPr>
      </w:pPr>
      <w:r w:rsidRPr="00707803">
        <w:rPr>
          <w:rFonts w:asciiTheme="majorHAnsi" w:hAnsiTheme="majorHAnsi" w:cstheme="minorHAnsi"/>
          <w:sz w:val="20"/>
          <w:szCs w:val="20"/>
        </w:rPr>
        <w:t>The parties request the Inter-American Commission the homologation of this Agreement and its follow-up</w:t>
      </w:r>
      <w:r w:rsidRPr="00707803">
        <w:rPr>
          <w:rFonts w:ascii="Cambria" w:eastAsia="MS Mincho" w:hAnsi="Cambria"/>
          <w:sz w:val="20"/>
          <w:szCs w:val="20"/>
        </w:rPr>
        <w:t xml:space="preserve">. </w:t>
      </w:r>
    </w:p>
    <w:p w14:paraId="4F9B9EB4" w14:textId="77777777" w:rsidR="00473ECE" w:rsidRPr="00707803" w:rsidRDefault="00473ECE" w:rsidP="00473ECE">
      <w:pPr>
        <w:ind w:left="720" w:right="720"/>
        <w:jc w:val="both"/>
        <w:rPr>
          <w:rFonts w:ascii="Cambria" w:eastAsia="MS Mincho" w:hAnsi="Cambria"/>
          <w:sz w:val="20"/>
          <w:szCs w:val="20"/>
        </w:rPr>
      </w:pPr>
    </w:p>
    <w:p w14:paraId="4C103B33" w14:textId="55CD4002" w:rsidR="00C018EF" w:rsidRDefault="00473ECE" w:rsidP="6143F46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pPr>
      <w:r w:rsidRPr="6143F461">
        <w:rPr>
          <w:rFonts w:asciiTheme="majorHAnsi" w:hAnsiTheme="majorHAnsi" w:cstheme="minorBidi"/>
          <w:sz w:val="20"/>
          <w:szCs w:val="20"/>
        </w:rPr>
        <w:t>This Agreement is signed on March 1, 2022, being the parties aware of its scope and legal content.</w:t>
      </w:r>
      <w:r>
        <w:t xml:space="preserve"> </w:t>
      </w:r>
    </w:p>
    <w:p w14:paraId="042FE038" w14:textId="10E496E9" w:rsidR="00C018EF" w:rsidRPr="00707803" w:rsidRDefault="00C018EF" w:rsidP="62E17D9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Bidi"/>
          <w:b/>
          <w:bCs/>
          <w:color w:val="000000" w:themeColor="text1"/>
        </w:rPr>
      </w:pPr>
    </w:p>
    <w:p w14:paraId="520A39C2" w14:textId="77777777" w:rsidR="00473ECE" w:rsidRPr="00C018EF" w:rsidRDefault="00473ECE" w:rsidP="00473ECE">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C018EF">
        <w:rPr>
          <w:rFonts w:eastAsia="MS Mincho" w:cstheme="minorHAnsi"/>
          <w:b/>
          <w:color w:val="000000" w:themeColor="text1"/>
          <w:sz w:val="20"/>
          <w:szCs w:val="20"/>
        </w:rPr>
        <w:t xml:space="preserve">DETERMINATION OF COMPATIBILITY AND COMPLIANCE </w:t>
      </w:r>
    </w:p>
    <w:p w14:paraId="6D56A596" w14:textId="77777777" w:rsidR="00473ECE" w:rsidRPr="00C018EF" w:rsidRDefault="00473ECE" w:rsidP="00473EC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01B4ABA" w14:textId="77777777" w:rsidR="00473ECE" w:rsidRPr="00C018EF"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C018EF">
        <w:rPr>
          <w:rFonts w:eastAsia="MS Mincho" w:cstheme="minorHAnsi"/>
          <w:color w:val="000000" w:themeColor="text1"/>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Pr="00C018EF">
        <w:rPr>
          <w:rFonts w:eastAsia="MS Mincho" w:cstheme="minorHAnsi"/>
          <w:i/>
          <w:iCs/>
          <w:color w:val="000000" w:themeColor="text1"/>
          <w:sz w:val="20"/>
          <w:szCs w:val="20"/>
          <w:bdr w:val="none" w:sz="0" w:space="0" w:color="auto" w:frame="1"/>
        </w:rPr>
        <w:t xml:space="preserve">pacta </w:t>
      </w:r>
      <w:r w:rsidRPr="00C018EF">
        <w:rPr>
          <w:rFonts w:eastAsia="MS Mincho" w:cstheme="minorHAnsi"/>
          <w:i/>
          <w:iCs/>
          <w:color w:val="000000" w:themeColor="text1"/>
          <w:sz w:val="20"/>
          <w:szCs w:val="20"/>
          <w:bdr w:val="none" w:sz="0" w:space="0" w:color="auto" w:frame="1"/>
        </w:rPr>
        <w:lastRenderedPageBreak/>
        <w:t xml:space="preserve">sunt </w:t>
      </w:r>
      <w:proofErr w:type="spellStart"/>
      <w:r w:rsidRPr="00C018EF">
        <w:rPr>
          <w:rFonts w:eastAsia="MS Mincho" w:cstheme="minorHAnsi"/>
          <w:i/>
          <w:iCs/>
          <w:color w:val="000000" w:themeColor="text1"/>
          <w:sz w:val="20"/>
          <w:szCs w:val="20"/>
          <w:bdr w:val="none" w:sz="0" w:space="0" w:color="auto" w:frame="1"/>
        </w:rPr>
        <w:t>servanda</w:t>
      </w:r>
      <w:proofErr w:type="spellEnd"/>
      <w:r w:rsidRPr="00C018EF">
        <w:rPr>
          <w:rFonts w:eastAsia="MS Mincho" w:cstheme="minorHAnsi"/>
          <w:color w:val="000000" w:themeColor="text1"/>
          <w:sz w:val="20"/>
          <w:szCs w:val="20"/>
          <w:bdr w:val="none" w:sz="0" w:space="0" w:color="auto" w:frame="1"/>
        </w:rPr>
        <w:t>, by which the States must comply in good faith with the obligations undertaken in the treaties</w:t>
      </w:r>
      <w:r w:rsidRPr="00C018EF">
        <w:rPr>
          <w:sz w:val="20"/>
          <w:szCs w:val="20"/>
          <w:bdr w:val="none" w:sz="0" w:space="0" w:color="auto" w:frame="1"/>
          <w:vertAlign w:val="superscript"/>
        </w:rPr>
        <w:footnoteReference w:id="12"/>
      </w:r>
      <w:r w:rsidRPr="00C018EF">
        <w:rPr>
          <w:rFonts w:eastAsia="MS Mincho" w:cstheme="minorHAnsi"/>
          <w:color w:val="000000" w:themeColor="text1"/>
          <w:sz w:val="20"/>
          <w:szCs w:val="20"/>
          <w:bdr w:val="none" w:sz="0" w:space="0" w:color="auto" w:frame="1"/>
        </w:rPr>
        <w:t>. It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p>
    <w:p w14:paraId="220E9651" w14:textId="77777777" w:rsidR="00473ECE" w:rsidRPr="00707803" w:rsidRDefault="00473ECE" w:rsidP="00473ECE">
      <w:pPr>
        <w:pStyle w:val="ListParagraph"/>
        <w:tabs>
          <w:tab w:val="left" w:pos="1440"/>
        </w:tabs>
        <w:jc w:val="both"/>
        <w:rPr>
          <w:rFonts w:eastAsia="MS Mincho" w:cstheme="minorHAnsi"/>
          <w:color w:val="000000" w:themeColor="text1"/>
          <w:sz w:val="20"/>
          <w:szCs w:val="20"/>
        </w:rPr>
      </w:pPr>
    </w:p>
    <w:p w14:paraId="24A9659D" w14:textId="77777777"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707803">
        <w:rPr>
          <w:rFonts w:eastAsia="MS Mincho" w:cstheme="minorHAns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11ABF6C1" w14:textId="77777777" w:rsidR="00473ECE" w:rsidRPr="00707803" w:rsidRDefault="00473ECE" w:rsidP="00473ECE">
      <w:pPr>
        <w:pStyle w:val="ListParagraph"/>
        <w:tabs>
          <w:tab w:val="left" w:pos="1440"/>
        </w:tabs>
        <w:jc w:val="both"/>
        <w:rPr>
          <w:rFonts w:eastAsia="MS Mincho" w:cstheme="minorHAnsi"/>
          <w:color w:val="000000" w:themeColor="text1"/>
          <w:sz w:val="20"/>
          <w:szCs w:val="20"/>
        </w:rPr>
      </w:pPr>
    </w:p>
    <w:p w14:paraId="0D25FEDE" w14:textId="77777777" w:rsidR="00473ECE" w:rsidRPr="00C018EF"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C018EF">
        <w:rPr>
          <w:rFonts w:eastAsia="MS Mincho" w:cstheme="minorHAnsi"/>
          <w:color w:val="000000" w:themeColor="text1"/>
          <w:sz w:val="20"/>
          <w:szCs w:val="20"/>
        </w:rPr>
        <w:t>Pursuant to the provisions of clause seven of the friendly settlement agreement, the parties agreed to request the Commission to issue the report contemplated in Article 49 of the American Convention, once the friendly settlement agreement is signed.</w:t>
      </w:r>
      <w:r w:rsidRPr="00C018EF">
        <w:rPr>
          <w:rFonts w:eastAsia="MS Mincho"/>
          <w:sz w:val="20"/>
          <w:szCs w:val="20"/>
        </w:rPr>
        <w:t xml:space="preserve"> </w:t>
      </w:r>
    </w:p>
    <w:p w14:paraId="05AF3955" w14:textId="77777777" w:rsidR="00473ECE" w:rsidRPr="00C018EF" w:rsidRDefault="00473ECE" w:rsidP="00473ECE">
      <w:pPr>
        <w:pStyle w:val="ListParagraph"/>
        <w:rPr>
          <w:rFonts w:eastAsia="MS Mincho" w:cstheme="minorHAnsi"/>
          <w:color w:val="000000" w:themeColor="text1"/>
          <w:sz w:val="20"/>
          <w:szCs w:val="20"/>
        </w:rPr>
      </w:pPr>
    </w:p>
    <w:p w14:paraId="2E372B93" w14:textId="77777777" w:rsidR="00473ECE" w:rsidRPr="00C018EF"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C018EF">
        <w:rPr>
          <w:rFonts w:eastAsia="MS Mincho" w:cstheme="minorHAnsi"/>
          <w:color w:val="000000" w:themeColor="text1"/>
          <w:sz w:val="20"/>
          <w:szCs w:val="20"/>
        </w:rPr>
        <w:t xml:space="preserve">The Inter-American Commission considers that the first (Concepts), second (Background before the Inter-American Human Rights System), third (Beneficiaries) and fourth (Acknowledgement of Responsibility) clauses of the agreement are of a declarative nature, and therefore it is not appropriate to supervise their execution. In this regard, the Inter-American Commission values the fourth declarative clause, in which the Colombian State recognizes its international responsibility for the violation of the rights enshrined in Articles 8 (fair trial) and 25 (judicial protection) of the American Convention on Human Rights, in relation to Article 1.1 (obligation to guarantee) thereof, to the detriment of the relatives of the alleged victim, due to the lack of diligence in the investigation of the events that occurred, which resulted in the failure to identify, prosecute and punish the perpetrators of his murder. </w:t>
      </w:r>
    </w:p>
    <w:p w14:paraId="158F7B00" w14:textId="77777777" w:rsidR="00473ECE" w:rsidRPr="00707803" w:rsidRDefault="00473ECE" w:rsidP="00473ECE">
      <w:pPr>
        <w:pStyle w:val="ListParagraph"/>
        <w:rPr>
          <w:rFonts w:eastAsia="MS Mincho" w:cstheme="minorHAnsi"/>
          <w:color w:val="000000" w:themeColor="text1"/>
          <w:sz w:val="20"/>
          <w:szCs w:val="20"/>
        </w:rPr>
      </w:pPr>
    </w:p>
    <w:p w14:paraId="3C6E6540" w14:textId="564F0401"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proofErr w:type="gramStart"/>
      <w:r w:rsidRPr="00707803">
        <w:rPr>
          <w:rFonts w:eastAsia="MS Mincho" w:cstheme="minorHAnsi"/>
          <w:color w:val="000000" w:themeColor="text1"/>
          <w:sz w:val="20"/>
          <w:szCs w:val="20"/>
        </w:rPr>
        <w:t>With regard to</w:t>
      </w:r>
      <w:proofErr w:type="gramEnd"/>
      <w:r w:rsidRPr="00707803">
        <w:rPr>
          <w:rFonts w:eastAsia="MS Mincho" w:cstheme="minorHAnsi"/>
          <w:color w:val="000000" w:themeColor="text1"/>
          <w:sz w:val="20"/>
          <w:szCs w:val="20"/>
        </w:rPr>
        <w:t xml:space="preserve"> </w:t>
      </w:r>
      <w:r w:rsidR="00283936" w:rsidRPr="00707803">
        <w:rPr>
          <w:rFonts w:eastAsia="MS Mincho" w:cstheme="minorHAnsi"/>
          <w:color w:val="000000" w:themeColor="text1"/>
          <w:sz w:val="20"/>
          <w:szCs w:val="20"/>
        </w:rPr>
        <w:t>point</w:t>
      </w:r>
      <w:r w:rsidRPr="00707803">
        <w:rPr>
          <w:rFonts w:eastAsia="MS Mincho" w:cstheme="minorHAnsi"/>
          <w:color w:val="000000" w:themeColor="text1"/>
          <w:sz w:val="20"/>
          <w:szCs w:val="20"/>
        </w:rPr>
        <w:t xml:space="preserve"> 1 (Letter of Dignification) of the fifth clause, the parties jointly reported that the document was delivered to the petitioners and provided a copy thereof, dated March 31, 2022, addressed to Mrs. Soraya Elías Puente and signed by the Director of the Legal Department of International Defense of the ANDJE, which states the following: </w:t>
      </w:r>
    </w:p>
    <w:p w14:paraId="722F0F34" w14:textId="77777777" w:rsidR="00473ECE" w:rsidRPr="00707803" w:rsidRDefault="00473ECE" w:rsidP="00473ECE">
      <w:pPr>
        <w:pStyle w:val="ListParagraph"/>
        <w:rPr>
          <w:rFonts w:eastAsia="MS Mincho" w:cstheme="minorHAnsi"/>
          <w:color w:val="000000" w:themeColor="text1"/>
          <w:sz w:val="20"/>
          <w:szCs w:val="20"/>
        </w:rPr>
      </w:pPr>
    </w:p>
    <w:p w14:paraId="12673E9F" w14:textId="77777777" w:rsidR="00473ECE" w:rsidRPr="00707803" w:rsidRDefault="00473ECE" w:rsidP="00473ECE">
      <w:pPr>
        <w:widowControl w:val="0"/>
        <w:autoSpaceDE w:val="0"/>
        <w:autoSpaceDN w:val="0"/>
        <w:adjustRightInd w:val="0"/>
        <w:ind w:left="720" w:right="720"/>
        <w:rPr>
          <w:rStyle w:val="Strong"/>
          <w:rFonts w:ascii="Cambria" w:hAnsi="Cambria"/>
          <w:b w:val="0"/>
          <w:bCs w:val="0"/>
          <w:i/>
          <w:iCs/>
          <w:bdr w:val="none" w:sz="0" w:space="0" w:color="auto" w:frame="1"/>
          <w:shd w:val="clear" w:color="auto" w:fill="FFFFFF"/>
        </w:rPr>
      </w:pPr>
      <w:r w:rsidRPr="00707803">
        <w:rPr>
          <w:rStyle w:val="Strong"/>
          <w:rFonts w:ascii="Cambria" w:hAnsi="Cambria"/>
          <w:i/>
          <w:iCs/>
          <w:sz w:val="20"/>
          <w:szCs w:val="20"/>
          <w:bdr w:val="none" w:sz="0" w:space="0" w:color="auto" w:frame="1"/>
          <w:shd w:val="clear" w:color="auto" w:fill="FFFFFF"/>
        </w:rPr>
        <w:t>Respected Mrs. Soraya,</w:t>
      </w:r>
    </w:p>
    <w:p w14:paraId="1DDA0FA3" w14:textId="77777777" w:rsidR="00473ECE" w:rsidRPr="00707803" w:rsidRDefault="00473ECE" w:rsidP="00473ECE">
      <w:pPr>
        <w:widowControl w:val="0"/>
        <w:autoSpaceDE w:val="0"/>
        <w:autoSpaceDN w:val="0"/>
        <w:adjustRightInd w:val="0"/>
        <w:ind w:left="720" w:right="720"/>
        <w:jc w:val="both"/>
        <w:rPr>
          <w:bdr w:val="none" w:sz="0" w:space="0" w:color="auto"/>
        </w:rPr>
      </w:pPr>
    </w:p>
    <w:p w14:paraId="5196AAB1"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Please receive respectful greetings on behalf of the State of Colombia and as Director of the International Legal Defense Directorate of the National Agency for the Legal Defense of the State, it is an honor for me to send you this letter, not only to acknowledge the responsibility of the State in such painful events, but also to honor the memory of Mr. Ricardo Antonio Elías Puente, who was the victim of homicide on June 29, 2007, allegedly by members of the guerrilla group National Liberation Army (ELN).</w:t>
      </w:r>
    </w:p>
    <w:p w14:paraId="1C1F374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74982C47"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Those responsible for his death, although they managed to extinguish his life, did not manage to extinguish the love of his loved ones, especially his sister, who for years fought to find the truth, and never forgot the memory of Mr. Ricardo Antonio Elías Puente. The Colombian State condemns this and all acts of violence, which, in an irrational manner, have led to the loss of innocent lives, of hard-working people, whose work exalts our country. </w:t>
      </w:r>
    </w:p>
    <w:p w14:paraId="0CE7944F"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2B315F8F" w14:textId="1316B8D4"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On behalf of the State of Colombia, and as Director of the International Legal Defense Directorate of the National Agency for the Legal Defense of the State, I express to you and the other family members of Mr. Ricardo Antonio Elías Puente our deepest feelings of solidarity. These events should pain us </w:t>
      </w:r>
      <w:r w:rsidR="00F24E3D" w:rsidRPr="00707803">
        <w:rPr>
          <w:rFonts w:ascii="Cambria" w:hAnsi="Cambria"/>
          <w:i/>
          <w:iCs/>
          <w:sz w:val="20"/>
          <w:szCs w:val="20"/>
        </w:rPr>
        <w:t>all and</w:t>
      </w:r>
      <w:r w:rsidRPr="00707803">
        <w:rPr>
          <w:rFonts w:ascii="Cambria" w:hAnsi="Cambria"/>
          <w:i/>
          <w:iCs/>
          <w:sz w:val="20"/>
          <w:szCs w:val="20"/>
        </w:rPr>
        <w:t xml:space="preserve"> invite us to continue working for peace and reconciliation in our country. </w:t>
      </w:r>
    </w:p>
    <w:p w14:paraId="202BC805"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4AA51DD7" w14:textId="21853EE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I am honored to write these words to exalt the memory of Mr. Ricardo Antonio Elías Puente and to continue in this process of </w:t>
      </w:r>
      <w:r w:rsidR="006066E0">
        <w:rPr>
          <w:rFonts w:ascii="Cambria" w:hAnsi="Cambria"/>
          <w:i/>
          <w:iCs/>
          <w:sz w:val="20"/>
          <w:szCs w:val="20"/>
        </w:rPr>
        <w:t>friendly</w:t>
      </w:r>
      <w:r w:rsidRPr="00707803">
        <w:rPr>
          <w:rFonts w:ascii="Cambria" w:hAnsi="Cambria"/>
          <w:i/>
          <w:iCs/>
          <w:sz w:val="20"/>
          <w:szCs w:val="20"/>
        </w:rPr>
        <w:t xml:space="preserve"> </w:t>
      </w:r>
      <w:r w:rsidR="006066E0">
        <w:rPr>
          <w:rFonts w:ascii="Cambria" w:hAnsi="Cambria"/>
          <w:i/>
          <w:iCs/>
          <w:sz w:val="20"/>
          <w:szCs w:val="20"/>
        </w:rPr>
        <w:t>settlement</w:t>
      </w:r>
      <w:r w:rsidRPr="00707803">
        <w:rPr>
          <w:rFonts w:ascii="Cambria" w:hAnsi="Cambria"/>
          <w:i/>
          <w:iCs/>
          <w:sz w:val="20"/>
          <w:szCs w:val="20"/>
        </w:rPr>
        <w:t xml:space="preserve"> that we have initiated. I am sure that the words that are written here are not enough to heal the wounds and forget the pain, but I am convinced that they help to start the path towards forgiveness and reconciliation.</w:t>
      </w:r>
    </w:p>
    <w:p w14:paraId="3B769985"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4FEC6A0B"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The Colombian State has made unceasing efforts to put an end to so many years of violence in our country. The victims are the focus and priority of institutional decisions and actions. Only together, State and victims, can we advance in the construction of a country at peace, in which the rights to justice and reparation are a guarantee, a right for all Colombians.</w:t>
      </w:r>
    </w:p>
    <w:p w14:paraId="3BAD02F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77575E79"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The Colombian State condemns and rejects the events surrounding the death of Mr. Ricardo Antonio Elías Puente, as well as the lack of identification and individualization of the perpetrators of these crimes, which has hindered the right of his relatives to an effective reparation and to advance in their process of forgiveness. The Colombian State had the obligation to investigate, judge and punish those responsible for violating the fundamental rights of Mr. Elías Puente, we have witnessed the painful search for truth and justice during these years by Mrs. Soraya.</w:t>
      </w:r>
    </w:p>
    <w:p w14:paraId="6DD03041"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66D827D2" w14:textId="3B4C1DB6"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The Colombian State recognizes that the right of access to the administration of justice is an indispensable prerequisite for the realization of fundamental </w:t>
      </w:r>
      <w:r w:rsidR="00C018EF" w:rsidRPr="00707803">
        <w:rPr>
          <w:rFonts w:ascii="Cambria" w:hAnsi="Cambria"/>
          <w:i/>
          <w:iCs/>
          <w:sz w:val="20"/>
          <w:szCs w:val="20"/>
        </w:rPr>
        <w:t>rights and</w:t>
      </w:r>
      <w:r w:rsidRPr="00707803">
        <w:rPr>
          <w:rFonts w:ascii="Cambria" w:hAnsi="Cambria"/>
          <w:i/>
          <w:iCs/>
          <w:sz w:val="20"/>
          <w:szCs w:val="20"/>
        </w:rPr>
        <w:t xml:space="preserve"> stands as one of the pillars that support the model of the Social and Democratic Rule of Law. This right means the concrete possibility that all persons, without distinction, must have to obtain the reestablishment of their rights through the means provided, which must be, among others, timely and effective. Likewise, the State recognizes that it must ensure the vindication of the rights of the victims and the reestablishment of the positions affected by the act caused within a reasonable </w:t>
      </w:r>
      <w:proofErr w:type="gramStart"/>
      <w:r w:rsidRPr="00707803">
        <w:rPr>
          <w:rFonts w:ascii="Cambria" w:hAnsi="Cambria"/>
          <w:i/>
          <w:iCs/>
          <w:sz w:val="20"/>
          <w:szCs w:val="20"/>
        </w:rPr>
        <w:t>period of time</w:t>
      </w:r>
      <w:proofErr w:type="gramEnd"/>
      <w:r w:rsidRPr="00707803">
        <w:rPr>
          <w:rFonts w:ascii="Cambria" w:hAnsi="Cambria"/>
          <w:i/>
          <w:iCs/>
          <w:sz w:val="20"/>
          <w:szCs w:val="20"/>
        </w:rPr>
        <w:t xml:space="preserve">. </w:t>
      </w:r>
    </w:p>
    <w:p w14:paraId="0D7C870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7D549B9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Therefore, on behalf of the State of Colombia, I acknowledge international responsibility for the violation of the rights to fair trial and judicial protection, recognized in Articles 8 and 25 of the American Convention on Human Rights, in relation to the general obligation of guarantee established in Article 1 thereof, to the detriment of the next of kin of Mr. Ricardo Antonio Elías Puente. </w:t>
      </w:r>
    </w:p>
    <w:p w14:paraId="31E1C25A"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3CE9D01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 xml:space="preserve">We hope that this letter, which is part of the measures of satisfaction agreed in the Friendly Settlement Agreement signed on March 1, 2022, will contribute to fill the void left by the death of Mr. Ricardo Antonio Elías Puente, as well as to the vindication of his memory. </w:t>
      </w:r>
    </w:p>
    <w:p w14:paraId="70E0AA37"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75EEF218" w14:textId="77777777" w:rsidR="00473ECE" w:rsidRPr="00707803" w:rsidRDefault="00473ECE" w:rsidP="00473ECE">
      <w:pPr>
        <w:widowControl w:val="0"/>
        <w:autoSpaceDE w:val="0"/>
        <w:autoSpaceDN w:val="0"/>
        <w:adjustRightInd w:val="0"/>
        <w:ind w:left="720" w:right="720"/>
        <w:jc w:val="both"/>
        <w:rPr>
          <w:rFonts w:ascii="Cambria" w:hAnsi="Cambria"/>
          <w:bCs/>
          <w:i/>
          <w:iCs/>
          <w:sz w:val="20"/>
          <w:szCs w:val="20"/>
        </w:rPr>
      </w:pPr>
      <w:r w:rsidRPr="00707803">
        <w:rPr>
          <w:rFonts w:ascii="Cambria" w:hAnsi="Cambria"/>
          <w:i/>
          <w:iCs/>
          <w:sz w:val="20"/>
          <w:szCs w:val="20"/>
        </w:rPr>
        <w:t xml:space="preserve">I would like to end this communication highlighting the untiring fight of Mrs. Soraya </w:t>
      </w:r>
      <w:proofErr w:type="spellStart"/>
      <w:r w:rsidRPr="00707803">
        <w:rPr>
          <w:rFonts w:ascii="Cambria" w:hAnsi="Cambria"/>
          <w:i/>
          <w:iCs/>
          <w:sz w:val="20"/>
          <w:szCs w:val="20"/>
        </w:rPr>
        <w:t>Adalgiza</w:t>
      </w:r>
      <w:proofErr w:type="spellEnd"/>
      <w:r w:rsidRPr="00707803">
        <w:rPr>
          <w:rFonts w:ascii="Cambria" w:hAnsi="Cambria"/>
          <w:i/>
          <w:iCs/>
          <w:sz w:val="20"/>
          <w:szCs w:val="20"/>
        </w:rPr>
        <w:t xml:space="preserve"> Elías Puente, her persistence and infinite love for her brother. Thank you, Mrs. Soraya, because you never let yourself be defeated by despair and adversity. Although we know that nothing can replace the loss of a loved one, nor the lack of investigation and effective punishment of those responsible, we trust that the path of reconciliation that we begin today will allow us to overcome these violent episodes that we as a nation have had to face and allow us to build a country in which no one else </w:t>
      </w:r>
      <w:proofErr w:type="gramStart"/>
      <w:r w:rsidRPr="00707803">
        <w:rPr>
          <w:rFonts w:ascii="Cambria" w:hAnsi="Cambria"/>
          <w:i/>
          <w:iCs/>
          <w:sz w:val="20"/>
          <w:szCs w:val="20"/>
        </w:rPr>
        <w:t>has to</w:t>
      </w:r>
      <w:proofErr w:type="gramEnd"/>
      <w:r w:rsidRPr="00707803">
        <w:rPr>
          <w:rFonts w:ascii="Cambria" w:hAnsi="Cambria"/>
          <w:i/>
          <w:iCs/>
          <w:sz w:val="20"/>
          <w:szCs w:val="20"/>
        </w:rPr>
        <w:t xml:space="preserve"> suffer because violence takes away a loved one. </w:t>
      </w:r>
    </w:p>
    <w:p w14:paraId="6ACA7522"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p>
    <w:p w14:paraId="73FC8146" w14:textId="77777777" w:rsidR="00473ECE" w:rsidRPr="00707803" w:rsidRDefault="00473ECE" w:rsidP="00473ECE">
      <w:pPr>
        <w:widowControl w:val="0"/>
        <w:autoSpaceDE w:val="0"/>
        <w:autoSpaceDN w:val="0"/>
        <w:adjustRightInd w:val="0"/>
        <w:ind w:left="720" w:right="720"/>
        <w:jc w:val="both"/>
        <w:rPr>
          <w:rFonts w:ascii="Cambria" w:hAnsi="Cambria"/>
          <w:i/>
          <w:iCs/>
          <w:sz w:val="20"/>
          <w:szCs w:val="20"/>
        </w:rPr>
      </w:pPr>
      <w:r w:rsidRPr="00707803">
        <w:rPr>
          <w:rFonts w:ascii="Cambria" w:hAnsi="Cambria"/>
          <w:i/>
          <w:iCs/>
          <w:sz w:val="20"/>
          <w:szCs w:val="20"/>
        </w:rPr>
        <w:t>Receive my most fraternal embrace.</w:t>
      </w:r>
    </w:p>
    <w:p w14:paraId="38F8583C" w14:textId="77777777" w:rsidR="00473ECE" w:rsidRPr="00707803" w:rsidRDefault="00473ECE" w:rsidP="00473ECE">
      <w:pPr>
        <w:widowControl w:val="0"/>
        <w:autoSpaceDE w:val="0"/>
        <w:autoSpaceDN w:val="0"/>
        <w:adjustRightInd w:val="0"/>
        <w:jc w:val="both"/>
        <w:rPr>
          <w:rFonts w:ascii="Cambria" w:hAnsi="Cambria"/>
          <w:sz w:val="20"/>
          <w:szCs w:val="20"/>
        </w:rPr>
      </w:pPr>
    </w:p>
    <w:p w14:paraId="2A5DCEBD" w14:textId="4D18ECD1"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707803">
        <w:rPr>
          <w:rFonts w:eastAsia="MS Mincho" w:cstheme="minorHAnsi"/>
          <w:color w:val="000000" w:themeColor="text1"/>
          <w:sz w:val="20"/>
          <w:szCs w:val="20"/>
        </w:rPr>
        <w:t xml:space="preserve">In view of the foregoing, taking into consideration the elements of information jointly provided by the parties, the Commission considers that </w:t>
      </w:r>
      <w:r w:rsidR="00283936" w:rsidRPr="00707803">
        <w:rPr>
          <w:rFonts w:eastAsia="MS Mincho" w:cstheme="minorHAnsi"/>
          <w:color w:val="000000" w:themeColor="text1"/>
          <w:sz w:val="20"/>
          <w:szCs w:val="20"/>
        </w:rPr>
        <w:t xml:space="preserve">point </w:t>
      </w:r>
      <w:r w:rsidRPr="00707803">
        <w:rPr>
          <w:rFonts w:eastAsia="MS Mincho" w:cstheme="minorHAnsi"/>
          <w:color w:val="000000" w:themeColor="text1"/>
          <w:sz w:val="20"/>
          <w:szCs w:val="20"/>
        </w:rPr>
        <w:t>1 of clause five, related to the delivery of a letter of dignification, has been fully complied with and declare</w:t>
      </w:r>
      <w:r w:rsidR="00F24E3D">
        <w:rPr>
          <w:rFonts w:eastAsia="MS Mincho" w:cstheme="minorHAnsi"/>
          <w:color w:val="000000" w:themeColor="text1"/>
          <w:sz w:val="20"/>
          <w:szCs w:val="20"/>
        </w:rPr>
        <w:t>s it as such</w:t>
      </w:r>
      <w:r w:rsidRPr="00707803">
        <w:rPr>
          <w:rFonts w:eastAsia="MS Mincho" w:cstheme="minorHAnsi"/>
          <w:color w:val="000000" w:themeColor="text1"/>
          <w:sz w:val="20"/>
          <w:szCs w:val="20"/>
        </w:rPr>
        <w:t xml:space="preserve">. </w:t>
      </w:r>
    </w:p>
    <w:p w14:paraId="6BD0F370" w14:textId="77777777" w:rsidR="00473ECE" w:rsidRPr="00707803" w:rsidRDefault="00473ECE" w:rsidP="00473ECE">
      <w:pPr>
        <w:pStyle w:val="ListParagraph"/>
        <w:tabs>
          <w:tab w:val="left" w:pos="1440"/>
        </w:tabs>
        <w:jc w:val="both"/>
        <w:rPr>
          <w:rFonts w:eastAsia="MS Mincho" w:cstheme="minorHAnsi"/>
          <w:color w:val="000000" w:themeColor="text1"/>
          <w:sz w:val="20"/>
          <w:szCs w:val="20"/>
        </w:rPr>
      </w:pPr>
    </w:p>
    <w:p w14:paraId="4A17F42B" w14:textId="543A23FA"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707803">
        <w:rPr>
          <w:rFonts w:eastAsia="MS Mincho" w:cstheme="minorHAnsi"/>
          <w:color w:val="000000" w:themeColor="text1"/>
          <w:sz w:val="20"/>
          <w:szCs w:val="20"/>
        </w:rPr>
        <w:t xml:space="preserve">In relation to </w:t>
      </w:r>
      <w:r w:rsidR="00283936" w:rsidRPr="00707803">
        <w:rPr>
          <w:rFonts w:eastAsia="MS Mincho" w:cstheme="minorHAnsi"/>
          <w:color w:val="000000" w:themeColor="text1"/>
          <w:sz w:val="20"/>
          <w:szCs w:val="20"/>
        </w:rPr>
        <w:t xml:space="preserve">point </w:t>
      </w:r>
      <w:r w:rsidRPr="00707803">
        <w:rPr>
          <w:rFonts w:eastAsia="MS Mincho" w:cstheme="minorHAnsi"/>
          <w:color w:val="000000" w:themeColor="text1"/>
          <w:sz w:val="20"/>
          <w:szCs w:val="20"/>
        </w:rPr>
        <w:t>2 (Publication of the Article 49 Report) of clause five (Satisfaction Measures) and clause six (Compensation Measures), in virtue of the joint request of the parties to move forward with the homologation of the agreement prior to its execution, the Commission observes that said measures must be fulfilled after the publication of this report, and therefore considers that they are pending compliance and so</w:t>
      </w:r>
      <w:r w:rsidR="00F24E3D">
        <w:rPr>
          <w:rFonts w:eastAsia="MS Mincho" w:cstheme="minorHAnsi"/>
          <w:color w:val="000000" w:themeColor="text1"/>
          <w:sz w:val="20"/>
          <w:szCs w:val="20"/>
        </w:rPr>
        <w:t xml:space="preserve"> </w:t>
      </w:r>
      <w:r w:rsidRPr="00707803">
        <w:rPr>
          <w:rFonts w:eastAsia="MS Mincho" w:cstheme="minorHAnsi"/>
          <w:color w:val="000000" w:themeColor="text1"/>
          <w:sz w:val="20"/>
          <w:szCs w:val="20"/>
        </w:rPr>
        <w:t>declares it</w:t>
      </w:r>
      <w:r w:rsidR="00F24E3D">
        <w:rPr>
          <w:rFonts w:eastAsia="MS Mincho" w:cstheme="minorHAnsi"/>
          <w:color w:val="000000" w:themeColor="text1"/>
          <w:sz w:val="20"/>
          <w:szCs w:val="20"/>
        </w:rPr>
        <w:t xml:space="preserve"> as such</w:t>
      </w:r>
      <w:r w:rsidRPr="00707803">
        <w:rPr>
          <w:rFonts w:eastAsia="MS Mincho" w:cstheme="minorHAnsi"/>
          <w:color w:val="000000" w:themeColor="text1"/>
          <w:sz w:val="20"/>
          <w:szCs w:val="20"/>
        </w:rPr>
        <w:t xml:space="preserve">. By virtue of the foregoing, the Commission shall await updated information from the parties on their execution </w:t>
      </w:r>
      <w:proofErr w:type="gramStart"/>
      <w:r w:rsidRPr="00707803">
        <w:rPr>
          <w:rFonts w:eastAsia="MS Mincho" w:cstheme="minorHAnsi"/>
          <w:color w:val="000000" w:themeColor="text1"/>
          <w:sz w:val="20"/>
          <w:szCs w:val="20"/>
        </w:rPr>
        <w:t>subsequent to</w:t>
      </w:r>
      <w:proofErr w:type="gramEnd"/>
      <w:r w:rsidRPr="00707803">
        <w:rPr>
          <w:rFonts w:eastAsia="MS Mincho" w:cstheme="minorHAnsi"/>
          <w:color w:val="000000" w:themeColor="text1"/>
          <w:sz w:val="20"/>
          <w:szCs w:val="20"/>
        </w:rPr>
        <w:t xml:space="preserve"> the approval of this report. </w:t>
      </w:r>
    </w:p>
    <w:p w14:paraId="13FEDF6E" w14:textId="77777777" w:rsidR="00473ECE" w:rsidRPr="00707803" w:rsidRDefault="00473ECE" w:rsidP="00473ECE">
      <w:pPr>
        <w:pStyle w:val="ListParagraph"/>
        <w:rPr>
          <w:rFonts w:eastAsia="MS Mincho" w:cstheme="minorHAnsi"/>
          <w:color w:val="000000" w:themeColor="text1"/>
          <w:sz w:val="20"/>
          <w:szCs w:val="20"/>
        </w:rPr>
      </w:pPr>
    </w:p>
    <w:p w14:paraId="33CE2F37" w14:textId="74311807" w:rsidR="00473ECE" w:rsidRPr="00707803" w:rsidRDefault="00473ECE" w:rsidP="00473ECE">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707803">
        <w:rPr>
          <w:rFonts w:eastAsia="MS Mincho" w:cstheme="minorHAnsi"/>
          <w:color w:val="000000" w:themeColor="text1"/>
          <w:sz w:val="20"/>
          <w:szCs w:val="20"/>
        </w:rPr>
        <w:t>For the foregoing reasons, the Commission concludes that paragraph 1 of clause five (Letter of Dignification) has been fully complied with and so declares</w:t>
      </w:r>
      <w:r w:rsidR="00F24E3D">
        <w:rPr>
          <w:rFonts w:eastAsia="MS Mincho" w:cstheme="minorHAnsi"/>
          <w:color w:val="000000" w:themeColor="text1"/>
          <w:sz w:val="20"/>
          <w:szCs w:val="20"/>
        </w:rPr>
        <w:t xml:space="preserve"> it as such</w:t>
      </w:r>
      <w:r w:rsidRPr="00707803">
        <w:rPr>
          <w:rFonts w:eastAsia="MS Mincho" w:cstheme="minorHAnsi"/>
          <w:color w:val="000000" w:themeColor="text1"/>
          <w:sz w:val="20"/>
          <w:szCs w:val="20"/>
        </w:rPr>
        <w:t xml:space="preserve">. On the other hand, the Commission </w:t>
      </w:r>
      <w:r w:rsidRPr="00707803">
        <w:rPr>
          <w:rFonts w:eastAsia="MS Mincho" w:cstheme="minorHAnsi"/>
          <w:color w:val="000000" w:themeColor="text1"/>
          <w:sz w:val="20"/>
          <w:szCs w:val="20"/>
        </w:rPr>
        <w:lastRenderedPageBreak/>
        <w:t>considers that paragraph 2 of clause five (Publication of the Report Art. 49) and clause six (Financial Compensation) are pending compliance and declares</w:t>
      </w:r>
      <w:r w:rsidR="00283936" w:rsidRPr="00707803">
        <w:rPr>
          <w:rFonts w:eastAsia="MS Mincho" w:cstheme="minorHAnsi"/>
          <w:color w:val="000000" w:themeColor="text1"/>
          <w:sz w:val="20"/>
          <w:szCs w:val="20"/>
        </w:rPr>
        <w:t xml:space="preserve"> it so</w:t>
      </w:r>
      <w:r w:rsidRPr="00707803">
        <w:rPr>
          <w:rFonts w:eastAsia="MS Mincho" w:cstheme="minorHAnsi"/>
          <w:color w:val="000000" w:themeColor="text1"/>
          <w:sz w:val="20"/>
          <w:szCs w:val="20"/>
        </w:rPr>
        <w:t>. Finally, the Commission reiterates that the rest of the content of the agreement is of a declarative nature and therefore its supervision does not apply.</w:t>
      </w:r>
      <w:r w:rsidRPr="00707803">
        <w:t xml:space="preserve"> </w:t>
      </w:r>
    </w:p>
    <w:p w14:paraId="07F629ED" w14:textId="77777777" w:rsidR="00473ECE" w:rsidRPr="00707803" w:rsidRDefault="00473ECE" w:rsidP="00473EC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09B30D84" w14:textId="77777777" w:rsidR="00473ECE" w:rsidRPr="00707803" w:rsidRDefault="00473ECE" w:rsidP="00473ECE">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07803">
        <w:rPr>
          <w:rFonts w:eastAsia="Times New Roman" w:cstheme="minorHAnsi"/>
          <w:b/>
          <w:bCs/>
          <w:color w:val="000000" w:themeColor="text1"/>
          <w:sz w:val="20"/>
          <w:szCs w:val="20"/>
          <w:lang w:eastAsia="es-ES_tradnl"/>
        </w:rPr>
        <w:t>CONCLUSIONS</w:t>
      </w:r>
    </w:p>
    <w:p w14:paraId="351A3F12" w14:textId="77777777" w:rsidR="00473ECE" w:rsidRPr="00707803" w:rsidRDefault="00473ECE" w:rsidP="00473EC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AF25F45" w14:textId="77777777" w:rsidR="00473ECE" w:rsidRPr="00707803" w:rsidRDefault="00473ECE" w:rsidP="00473E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 xml:space="preserve">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 </w:t>
      </w:r>
    </w:p>
    <w:p w14:paraId="4F3DA9B7" w14:textId="77777777" w:rsidR="00473ECE" w:rsidRPr="00707803" w:rsidRDefault="00473ECE" w:rsidP="00473EC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frame="1"/>
          <w:lang w:eastAsia="es-ES_tradnl"/>
        </w:rPr>
      </w:pPr>
    </w:p>
    <w:p w14:paraId="0BA4AE8C" w14:textId="77777777" w:rsidR="00473ECE" w:rsidRPr="00707803" w:rsidRDefault="00473ECE" w:rsidP="00473E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By virtue of the considerations and conclusions set forth in this report,</w:t>
      </w:r>
    </w:p>
    <w:p w14:paraId="7E9C638D" w14:textId="77777777" w:rsidR="00473ECE" w:rsidRPr="00707803" w:rsidRDefault="00473ECE" w:rsidP="00FB7B5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frame="1"/>
          <w:lang w:eastAsia="es-ES_tradnl"/>
        </w:rPr>
      </w:pPr>
    </w:p>
    <w:p w14:paraId="50A41CEC" w14:textId="77777777" w:rsidR="00473ECE" w:rsidRPr="00707803" w:rsidRDefault="00473ECE" w:rsidP="00FB7B5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lang w:eastAsia="es-ES_tradnl"/>
        </w:rPr>
      </w:pPr>
      <w:r w:rsidRPr="00707803">
        <w:rPr>
          <w:rFonts w:ascii="Cambria" w:eastAsia="Times New Roman" w:hAnsi="Cambria" w:cstheme="minorHAnsi"/>
          <w:b/>
          <w:bCs/>
          <w:color w:val="000000" w:themeColor="text1"/>
          <w:sz w:val="20"/>
          <w:szCs w:val="20"/>
          <w:lang w:eastAsia="es-ES_tradnl"/>
        </w:rPr>
        <w:t>THE INTER-AMERICAN COMMISSION ON HUMAN RIGHTS</w:t>
      </w:r>
    </w:p>
    <w:p w14:paraId="42F65796" w14:textId="77777777" w:rsidR="00473ECE" w:rsidRPr="00707803" w:rsidRDefault="00473ECE" w:rsidP="00473EC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7F8AE4C3" w14:textId="77777777" w:rsidR="00473ECE" w:rsidRPr="00707803" w:rsidRDefault="00473ECE" w:rsidP="00473ECE">
      <w:pPr>
        <w:ind w:firstLine="720"/>
        <w:jc w:val="both"/>
        <w:rPr>
          <w:rFonts w:ascii="Cambria" w:eastAsia="Times New Roman" w:hAnsi="Cambria" w:cstheme="minorHAnsi"/>
          <w:b/>
          <w:bCs/>
          <w:color w:val="000000" w:themeColor="text1"/>
          <w:sz w:val="20"/>
          <w:szCs w:val="20"/>
          <w:bdr w:val="none" w:sz="0" w:space="0" w:color="auto"/>
          <w:lang w:eastAsia="es-ES_tradnl"/>
        </w:rPr>
      </w:pPr>
      <w:r w:rsidRPr="00707803">
        <w:rPr>
          <w:rFonts w:ascii="Cambria" w:eastAsia="Times New Roman" w:hAnsi="Cambria" w:cstheme="minorHAnsi"/>
          <w:b/>
          <w:bCs/>
          <w:color w:val="000000" w:themeColor="text1"/>
          <w:sz w:val="20"/>
          <w:szCs w:val="20"/>
          <w:bdr w:val="none" w:sz="0" w:space="0" w:color="auto"/>
          <w:lang w:eastAsia="es-ES_tradnl"/>
        </w:rPr>
        <w:t>DECIDE</w:t>
      </w:r>
      <w:r w:rsidRPr="00707803">
        <w:rPr>
          <w:rFonts w:ascii="Cambria" w:eastAsia="Times New Roman" w:hAnsi="Cambria" w:cstheme="minorHAnsi"/>
          <w:b/>
          <w:bCs/>
          <w:color w:val="000000" w:themeColor="text1"/>
          <w:sz w:val="20"/>
          <w:szCs w:val="20"/>
          <w:lang w:eastAsia="es-ES_tradnl"/>
        </w:rPr>
        <w:t>S</w:t>
      </w:r>
      <w:r w:rsidRPr="00707803">
        <w:rPr>
          <w:rFonts w:ascii="Cambria" w:eastAsia="Times New Roman" w:hAnsi="Cambria" w:cstheme="minorHAnsi"/>
          <w:b/>
          <w:bCs/>
          <w:color w:val="000000" w:themeColor="text1"/>
          <w:sz w:val="20"/>
          <w:szCs w:val="20"/>
          <w:bdr w:val="none" w:sz="0" w:space="0" w:color="auto"/>
          <w:lang w:eastAsia="es-ES_tradnl"/>
        </w:rPr>
        <w:t xml:space="preserve">: </w:t>
      </w:r>
    </w:p>
    <w:p w14:paraId="0E7713CA" w14:textId="77777777" w:rsidR="00473ECE" w:rsidRPr="00707803" w:rsidRDefault="00473ECE" w:rsidP="00473ECE">
      <w:pPr>
        <w:ind w:firstLine="720"/>
        <w:jc w:val="both"/>
        <w:rPr>
          <w:rFonts w:ascii="Cambria" w:eastAsia="Times New Roman" w:hAnsi="Cambria" w:cstheme="minorHAnsi"/>
          <w:b/>
          <w:bCs/>
          <w:color w:val="000000" w:themeColor="text1"/>
          <w:sz w:val="20"/>
          <w:szCs w:val="20"/>
          <w:lang w:eastAsia="es-ES_tradnl"/>
        </w:rPr>
      </w:pPr>
    </w:p>
    <w:p w14:paraId="093EE51B" w14:textId="76C6AA62" w:rsidR="00473ECE" w:rsidRPr="00707803" w:rsidRDefault="00473ECE" w:rsidP="00473EC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 xml:space="preserve">To approve the terms of the </w:t>
      </w:r>
      <w:r w:rsidR="00283936" w:rsidRPr="00707803">
        <w:rPr>
          <w:rFonts w:eastAsia="Times New Roman" w:cstheme="minorHAnsi"/>
          <w:color w:val="000000" w:themeColor="text1"/>
          <w:sz w:val="20"/>
          <w:szCs w:val="20"/>
          <w:bdr w:val="none" w:sz="0" w:space="0" w:color="auto" w:frame="1"/>
          <w:lang w:eastAsia="es-ES_tradnl"/>
        </w:rPr>
        <w:t>Friendly Settlement</w:t>
      </w:r>
      <w:r w:rsidRPr="00707803">
        <w:rPr>
          <w:rFonts w:eastAsia="Times New Roman" w:cstheme="minorHAnsi"/>
          <w:color w:val="000000" w:themeColor="text1"/>
          <w:sz w:val="20"/>
          <w:szCs w:val="20"/>
          <w:bdr w:val="none" w:sz="0" w:space="0" w:color="auto" w:frame="1"/>
          <w:lang w:eastAsia="es-ES_tradnl"/>
        </w:rPr>
        <w:t xml:space="preserve"> Agreement signed by the parties on March 1, 2022. </w:t>
      </w:r>
    </w:p>
    <w:p w14:paraId="4CE8038A" w14:textId="77777777" w:rsidR="00473ECE" w:rsidRPr="00707803" w:rsidRDefault="00473ECE" w:rsidP="00473ECE">
      <w:pPr>
        <w:pStyle w:val="ListParagraph"/>
        <w:jc w:val="both"/>
        <w:rPr>
          <w:rFonts w:eastAsia="Times New Roman" w:cstheme="minorHAnsi"/>
          <w:color w:val="000000" w:themeColor="text1"/>
          <w:sz w:val="20"/>
          <w:szCs w:val="20"/>
          <w:bdr w:val="none" w:sz="0" w:space="0" w:color="auto" w:frame="1"/>
          <w:lang w:eastAsia="es-ES_tradnl"/>
        </w:rPr>
      </w:pPr>
    </w:p>
    <w:p w14:paraId="7BDCB0F4" w14:textId="3E836E6F" w:rsidR="00473ECE" w:rsidRPr="00707803" w:rsidRDefault="00473ECE" w:rsidP="00473EC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 xml:space="preserve">To declare </w:t>
      </w:r>
      <w:r w:rsidR="00283936" w:rsidRPr="00707803">
        <w:rPr>
          <w:rFonts w:eastAsia="Times New Roman" w:cstheme="minorHAnsi"/>
          <w:color w:val="000000" w:themeColor="text1"/>
          <w:sz w:val="20"/>
          <w:szCs w:val="20"/>
          <w:bdr w:val="none" w:sz="0" w:space="0" w:color="auto" w:frame="1"/>
          <w:lang w:eastAsia="es-ES_tradnl"/>
        </w:rPr>
        <w:t xml:space="preserve">point </w:t>
      </w:r>
      <w:r w:rsidRPr="00707803">
        <w:rPr>
          <w:rFonts w:eastAsia="Times New Roman" w:cstheme="minorHAnsi"/>
          <w:color w:val="000000" w:themeColor="text1"/>
          <w:sz w:val="20"/>
          <w:szCs w:val="20"/>
          <w:bdr w:val="none" w:sz="0" w:space="0" w:color="auto" w:frame="1"/>
          <w:lang w:eastAsia="es-ES_tradnl"/>
        </w:rPr>
        <w:t xml:space="preserve">1 of clause five (Letter of Dignification) of the friendly settlement agreement fully complied with, according to the analysis contained in this report. </w:t>
      </w:r>
    </w:p>
    <w:p w14:paraId="5C7D6917" w14:textId="77777777" w:rsidR="00473ECE" w:rsidRPr="00707803" w:rsidRDefault="00473ECE" w:rsidP="00473ECE">
      <w:pPr>
        <w:pStyle w:val="ListParagraph"/>
        <w:rPr>
          <w:rFonts w:eastAsia="Times New Roman" w:cstheme="minorHAnsi"/>
          <w:color w:val="000000" w:themeColor="text1"/>
          <w:sz w:val="20"/>
          <w:szCs w:val="20"/>
          <w:bdr w:val="none" w:sz="0" w:space="0" w:color="auto" w:frame="1"/>
          <w:lang w:eastAsia="es-ES_tradnl"/>
        </w:rPr>
      </w:pPr>
    </w:p>
    <w:p w14:paraId="52357949" w14:textId="5330637A" w:rsidR="00473ECE" w:rsidRPr="00707803" w:rsidRDefault="00473ECE" w:rsidP="00473EC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 xml:space="preserve">To declare </w:t>
      </w:r>
      <w:r w:rsidR="00283936" w:rsidRPr="00707803">
        <w:rPr>
          <w:rFonts w:eastAsia="Times New Roman" w:cstheme="minorHAnsi"/>
          <w:color w:val="000000" w:themeColor="text1"/>
          <w:sz w:val="20"/>
          <w:szCs w:val="20"/>
          <w:bdr w:val="none" w:sz="0" w:space="0" w:color="auto" w:frame="1"/>
          <w:lang w:eastAsia="es-ES_tradnl"/>
        </w:rPr>
        <w:t xml:space="preserve">point </w:t>
      </w:r>
      <w:r w:rsidRPr="00707803">
        <w:rPr>
          <w:rFonts w:eastAsia="Times New Roman" w:cstheme="minorHAnsi"/>
          <w:color w:val="000000" w:themeColor="text1"/>
          <w:sz w:val="20"/>
          <w:szCs w:val="20"/>
          <w:bdr w:val="none" w:sz="0" w:space="0" w:color="auto" w:frame="1"/>
          <w:lang w:eastAsia="es-ES_tradnl"/>
        </w:rPr>
        <w:t xml:space="preserve">2 (Publication of the Article 49 Report) of clause five and clause six (Compensation Measures) of the friendly settlement agreement as pending compliance, according to the analysis contained in this report. </w:t>
      </w:r>
    </w:p>
    <w:p w14:paraId="687ACEDE" w14:textId="77777777" w:rsidR="00473ECE" w:rsidRPr="00707803" w:rsidRDefault="00473ECE" w:rsidP="00473ECE">
      <w:pPr>
        <w:jc w:val="both"/>
        <w:rPr>
          <w:rFonts w:ascii="Cambria" w:eastAsia="Times New Roman" w:hAnsi="Cambria" w:cstheme="minorHAnsi"/>
          <w:b/>
          <w:bCs/>
          <w:color w:val="000000" w:themeColor="text1"/>
          <w:sz w:val="20"/>
          <w:szCs w:val="20"/>
          <w:highlight w:val="cyan"/>
          <w:bdr w:val="none" w:sz="0" w:space="0" w:color="auto" w:frame="1"/>
          <w:lang w:eastAsia="es-ES_tradnl"/>
        </w:rPr>
      </w:pPr>
    </w:p>
    <w:p w14:paraId="4A5F0353" w14:textId="02652048" w:rsidR="00473ECE" w:rsidRPr="00707803" w:rsidRDefault="00473ECE" w:rsidP="00473EC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 xml:space="preserve">To continue monitoring the commitments established in clause five, </w:t>
      </w:r>
      <w:r w:rsidR="00283936" w:rsidRPr="00707803">
        <w:rPr>
          <w:rFonts w:eastAsia="Times New Roman" w:cstheme="minorHAnsi"/>
          <w:color w:val="000000" w:themeColor="text1"/>
          <w:sz w:val="20"/>
          <w:szCs w:val="20"/>
          <w:bdr w:val="none" w:sz="0" w:space="0" w:color="auto" w:frame="1"/>
          <w:lang w:eastAsia="es-ES_tradnl"/>
        </w:rPr>
        <w:t xml:space="preserve">point </w:t>
      </w:r>
      <w:r w:rsidRPr="00707803">
        <w:rPr>
          <w:rFonts w:eastAsia="Times New Roman" w:cstheme="minorHAnsi"/>
          <w:color w:val="000000" w:themeColor="text1"/>
          <w:sz w:val="20"/>
          <w:szCs w:val="20"/>
          <w:bdr w:val="none" w:sz="0" w:space="0" w:color="auto" w:frame="1"/>
          <w:lang w:eastAsia="es-ES_tradnl"/>
        </w:rPr>
        <w:t xml:space="preserve">2, and clause six of the agreement, according to the analysis contained in this report. To this end, remind the parties of their commitment to report periodically to the IACHR on compliance with said measures. </w:t>
      </w:r>
    </w:p>
    <w:p w14:paraId="3A0F577A" w14:textId="77777777" w:rsidR="00473ECE" w:rsidRPr="00707803" w:rsidRDefault="00473ECE" w:rsidP="00473ECE">
      <w:pPr>
        <w:pStyle w:val="ListParagraph"/>
        <w:rPr>
          <w:rFonts w:eastAsia="Times New Roman" w:cstheme="minorHAnsi"/>
          <w:color w:val="000000" w:themeColor="text1"/>
          <w:sz w:val="20"/>
          <w:szCs w:val="20"/>
          <w:bdr w:val="none" w:sz="0" w:space="0" w:color="auto" w:frame="1"/>
          <w:lang w:eastAsia="es-ES_tradnl"/>
        </w:rPr>
      </w:pPr>
    </w:p>
    <w:p w14:paraId="799BB25E" w14:textId="77777777" w:rsidR="00473ECE" w:rsidRPr="00707803" w:rsidRDefault="00473ECE" w:rsidP="00473EC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707803">
        <w:rPr>
          <w:rFonts w:eastAsia="Times New Roman" w:cstheme="minorHAnsi"/>
          <w:color w:val="000000" w:themeColor="text1"/>
          <w:sz w:val="20"/>
          <w:szCs w:val="20"/>
          <w:bdr w:val="none" w:sz="0" w:space="0" w:color="auto" w:frame="1"/>
          <w:lang w:eastAsia="es-ES_tradnl"/>
        </w:rPr>
        <w:t>To make this report public and include it in its Annual Report to the General Assembly of the OAS.</w:t>
      </w:r>
    </w:p>
    <w:p w14:paraId="4D035BF4" w14:textId="0F11694D" w:rsidR="001A4DAD" w:rsidRDefault="001A4DAD" w:rsidP="00FB7B5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frame="1"/>
          <w:lang w:eastAsia="es-ES_tradnl"/>
        </w:rPr>
      </w:pPr>
    </w:p>
    <w:p w14:paraId="6D7F89D3" w14:textId="0EC60A11" w:rsidR="001A4DAD" w:rsidRPr="00DF1273" w:rsidRDefault="00DF1273" w:rsidP="00DF1273">
      <w:pPr>
        <w:ind w:firstLine="720"/>
        <w:jc w:val="both"/>
        <w:rPr>
          <w:rFonts w:eastAsia="Times New Roman" w:cstheme="minorHAnsi"/>
          <w:color w:val="000000" w:themeColor="text1"/>
          <w:sz w:val="20"/>
          <w:szCs w:val="20"/>
          <w:bdr w:val="none" w:sz="0" w:space="0" w:color="auto" w:frame="1"/>
          <w:lang w:eastAsia="es-ES_tradnl"/>
        </w:rPr>
      </w:pPr>
      <w:r w:rsidRPr="00DF1273">
        <w:rPr>
          <w:rFonts w:asciiTheme="majorHAnsi" w:hAnsiTheme="majorHAnsi"/>
          <w:sz w:val="20"/>
          <w:szCs w:val="20"/>
        </w:rPr>
        <w:t xml:space="preserve">Approved by the Inter-American Commission on Human Rights on May 10, 2022. (Signed): Julissa Mantilla Falcón, President; Edgar </w:t>
      </w:r>
      <w:proofErr w:type="spellStart"/>
      <w:r w:rsidRPr="00DF1273">
        <w:rPr>
          <w:rFonts w:asciiTheme="majorHAnsi" w:hAnsiTheme="majorHAnsi"/>
          <w:sz w:val="20"/>
          <w:szCs w:val="20"/>
        </w:rPr>
        <w:t>Stuardo</w:t>
      </w:r>
      <w:proofErr w:type="spellEnd"/>
      <w:r w:rsidRPr="00DF1273">
        <w:rPr>
          <w:rFonts w:asciiTheme="majorHAnsi" w:hAnsiTheme="majorHAnsi"/>
          <w:sz w:val="20"/>
          <w:szCs w:val="20"/>
        </w:rPr>
        <w:t xml:space="preserve"> </w:t>
      </w:r>
      <w:proofErr w:type="spellStart"/>
      <w:r w:rsidRPr="00DF1273">
        <w:rPr>
          <w:rFonts w:asciiTheme="majorHAnsi" w:hAnsiTheme="majorHAnsi"/>
          <w:sz w:val="20"/>
          <w:szCs w:val="20"/>
        </w:rPr>
        <w:t>Ralón</w:t>
      </w:r>
      <w:proofErr w:type="spellEnd"/>
      <w:r w:rsidRPr="00DF1273">
        <w:rPr>
          <w:rFonts w:asciiTheme="majorHAnsi" w:hAnsiTheme="majorHAnsi"/>
          <w:sz w:val="20"/>
          <w:szCs w:val="20"/>
        </w:rPr>
        <w:t xml:space="preserve"> Orellana, First Vice President; Margarette May Macaulay, Second Vice President; Esmeralda E. </w:t>
      </w:r>
      <w:proofErr w:type="spellStart"/>
      <w:r w:rsidRPr="00DF1273">
        <w:rPr>
          <w:rFonts w:asciiTheme="majorHAnsi" w:hAnsiTheme="majorHAnsi"/>
          <w:sz w:val="20"/>
          <w:szCs w:val="20"/>
        </w:rPr>
        <w:t>Arosemena</w:t>
      </w:r>
      <w:proofErr w:type="spellEnd"/>
      <w:r w:rsidRPr="00DF1273">
        <w:rPr>
          <w:rFonts w:asciiTheme="majorHAnsi" w:hAnsiTheme="majorHAnsi"/>
          <w:sz w:val="20"/>
          <w:szCs w:val="20"/>
        </w:rPr>
        <w:t xml:space="preserve"> de </w:t>
      </w:r>
      <w:proofErr w:type="spellStart"/>
      <w:r w:rsidRPr="00DF1273">
        <w:rPr>
          <w:rFonts w:asciiTheme="majorHAnsi" w:hAnsiTheme="majorHAnsi"/>
          <w:sz w:val="20"/>
          <w:szCs w:val="20"/>
        </w:rPr>
        <w:t>Troitiño</w:t>
      </w:r>
      <w:proofErr w:type="spellEnd"/>
      <w:r w:rsidRPr="00DF1273">
        <w:rPr>
          <w:rFonts w:asciiTheme="majorHAnsi" w:hAnsiTheme="majorHAnsi"/>
          <w:sz w:val="20"/>
          <w:szCs w:val="20"/>
        </w:rPr>
        <w:t>; Joel Hernández Garcia and Roberta Clarke Members of the Commission</w:t>
      </w:r>
      <w:r w:rsidR="001A4DAD" w:rsidRPr="00DF1273">
        <w:rPr>
          <w:rFonts w:asciiTheme="majorHAnsi" w:hAnsiTheme="majorHAnsi"/>
          <w:sz w:val="20"/>
          <w:szCs w:val="20"/>
        </w:rPr>
        <w:t>.</w:t>
      </w:r>
    </w:p>
    <w:p w14:paraId="50D74A01" w14:textId="77777777" w:rsidR="001A4DAD" w:rsidRDefault="001A4DAD" w:rsidP="001A4DA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sectPr w:rsidR="001A4DAD"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7AF3" w14:textId="77777777" w:rsidR="004028FF" w:rsidRDefault="004028FF" w:rsidP="00036A8A">
      <w:r>
        <w:separator/>
      </w:r>
    </w:p>
  </w:endnote>
  <w:endnote w:type="continuationSeparator" w:id="0">
    <w:p w14:paraId="38A32BE9" w14:textId="77777777" w:rsidR="004028FF" w:rsidRDefault="004028F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FDAE088"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1AE4A570"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3578" w14:textId="77777777" w:rsidR="007607C4" w:rsidRDefault="007607C4">
    <w:pPr>
      <w:pStyle w:val="Footer"/>
      <w:jc w:val="center"/>
    </w:pPr>
  </w:p>
  <w:p w14:paraId="1F651769"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7D9B"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14:paraId="490A7667"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48B2" w14:textId="77777777" w:rsidR="004028FF" w:rsidRPr="00036A8A" w:rsidRDefault="004028F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2BAD2E9" w14:textId="77777777" w:rsidR="004028FF" w:rsidRPr="00036A8A" w:rsidRDefault="004028FF" w:rsidP="00036A8A">
      <w:pPr>
        <w:rPr>
          <w:rFonts w:asciiTheme="majorHAnsi" w:hAnsiTheme="majorHAnsi"/>
          <w:sz w:val="16"/>
          <w:szCs w:val="16"/>
        </w:rPr>
      </w:pPr>
      <w:r w:rsidRPr="00036A8A">
        <w:rPr>
          <w:rFonts w:asciiTheme="majorHAnsi" w:hAnsiTheme="majorHAnsi"/>
          <w:sz w:val="16"/>
          <w:szCs w:val="16"/>
        </w:rPr>
        <w:separator/>
      </w:r>
    </w:p>
    <w:p w14:paraId="043A2797" w14:textId="77777777" w:rsidR="004028FF" w:rsidRPr="00036A8A" w:rsidRDefault="004028F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CC9C95A" w14:textId="77777777" w:rsidR="004028FF" w:rsidRPr="0093441A" w:rsidRDefault="004028F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C2A2853" w14:textId="5D2B5D04" w:rsidR="007B21D7" w:rsidRPr="00707803" w:rsidRDefault="007B21D7" w:rsidP="00707803">
      <w:pPr>
        <w:pStyle w:val="FootnoteText"/>
        <w:ind w:firstLine="720"/>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w:t>
      </w:r>
      <w:r w:rsidRPr="00707803">
        <w:rPr>
          <w:rFonts w:ascii="Cambria" w:eastAsia="Cambria" w:hAnsi="Cambria"/>
          <w:sz w:val="16"/>
          <w:szCs w:val="16"/>
        </w:rPr>
        <w:t>Commissioner Carlos Bernal Pulido, a Colombian national, did not participate in the discussion and decision of this case, in accordance with Article 17.2.a) of the IACHR Rules of Procedure.</w:t>
      </w:r>
    </w:p>
  </w:footnote>
  <w:footnote w:id="3">
    <w:p w14:paraId="6516B230"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IHR Court., Case of Caesar vs. Trinidad and Tobago, (Merits, Reparations and Costs). Judgment of March 11, 2005. Series C No. 123, para. 125.</w:t>
      </w:r>
    </w:p>
  </w:footnote>
  <w:footnote w:id="4">
    <w:p w14:paraId="32BEC6F6"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Office of the Attorney General of the Nation, Official document No. 20181700044161 of June 6, 2018. </w:t>
      </w:r>
    </w:p>
  </w:footnote>
  <w:footnote w:id="5">
    <w:p w14:paraId="5BE397F1"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Ibidem.</w:t>
      </w:r>
    </w:p>
  </w:footnote>
  <w:footnote w:id="6">
    <w:p w14:paraId="4548EAD1"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Office of the Attorney General of the Nation, Official document No. 20141700044461 of July 4, 2014. </w:t>
      </w:r>
    </w:p>
  </w:footnote>
  <w:footnote w:id="7">
    <w:p w14:paraId="19652DD8"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Office of the Attorney General of the Nation, Official document No. 20181700044161 of June 6, 2018. </w:t>
      </w:r>
    </w:p>
  </w:footnote>
  <w:footnote w:id="8">
    <w:p w14:paraId="599C69BF"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Ibidem.</w:t>
      </w:r>
    </w:p>
  </w:footnote>
  <w:footnote w:id="9">
    <w:p w14:paraId="609199A7" w14:textId="0789AC1A"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Ibidem.</w:t>
      </w:r>
    </w:p>
  </w:footnote>
  <w:footnote w:id="10">
    <w:p w14:paraId="4CC090A1"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In which case, the amounts to be recognized by virtue of the economic compensation under Law 288 of 1996, will be recognized to their beneficiaries in accordance with the succession presented for said purpose. </w:t>
      </w:r>
    </w:p>
  </w:footnote>
  <w:footnote w:id="11">
    <w:p w14:paraId="12795F16" w14:textId="77777777" w:rsidR="00473ECE" w:rsidRPr="00707803" w:rsidRDefault="00473ECE" w:rsidP="00707803">
      <w:pPr>
        <w:pStyle w:val="FootnoteText"/>
        <w:ind w:firstLine="720"/>
        <w:jc w:val="both"/>
        <w:rPr>
          <w:rFonts w:ascii="Cambria" w:hAnsi="Cambria"/>
          <w:sz w:val="16"/>
          <w:szCs w:val="16"/>
        </w:rPr>
      </w:pPr>
      <w:r w:rsidRPr="00707803">
        <w:rPr>
          <w:rStyle w:val="FootnoteReference"/>
          <w:rFonts w:ascii="Cambria" w:hAnsi="Cambria"/>
          <w:sz w:val="16"/>
          <w:szCs w:val="16"/>
        </w:rPr>
        <w:footnoteRef/>
      </w:r>
      <w:r w:rsidRPr="00707803">
        <w:rPr>
          <w:rFonts w:ascii="Cambria" w:hAnsi="Cambria"/>
          <w:sz w:val="16"/>
          <w:szCs w:val="16"/>
        </w:rPr>
        <w:t xml:space="preserve"> This is in accordance with the jurisprudence of the IHR Court. See, IHR Court. Case of the Displaced Afro-descendant Communities of the </w:t>
      </w:r>
      <w:proofErr w:type="spellStart"/>
      <w:r w:rsidRPr="00707803">
        <w:rPr>
          <w:rFonts w:ascii="Cambria" w:hAnsi="Cambria"/>
          <w:sz w:val="16"/>
          <w:szCs w:val="16"/>
        </w:rPr>
        <w:t>Cacarica</w:t>
      </w:r>
      <w:proofErr w:type="spellEnd"/>
      <w:r w:rsidRPr="00707803">
        <w:rPr>
          <w:rFonts w:ascii="Cambria" w:hAnsi="Cambria"/>
          <w:sz w:val="16"/>
          <w:szCs w:val="16"/>
        </w:rPr>
        <w:t xml:space="preserve"> River Basin (Operation Genesis) vs. Colombia (Preliminary Exceptions, Merits, Reparations and Costs). Judgment of November 20, 2013. Series C No. 270, para. 425. </w:t>
      </w:r>
    </w:p>
  </w:footnote>
  <w:footnote w:id="12">
    <w:p w14:paraId="5541865D" w14:textId="77777777" w:rsidR="00473ECE" w:rsidRPr="00707803" w:rsidRDefault="00473ECE" w:rsidP="00707803">
      <w:pPr>
        <w:pStyle w:val="NoSpacing"/>
        <w:ind w:firstLine="720"/>
        <w:jc w:val="both"/>
        <w:rPr>
          <w:rFonts w:ascii="Cambria" w:hAnsi="Cambria"/>
          <w:sz w:val="16"/>
          <w:szCs w:val="16"/>
          <w:bdr w:val="none" w:sz="0" w:space="0" w:color="auto" w:frame="1"/>
          <w:lang w:val="en-US"/>
        </w:rPr>
      </w:pPr>
      <w:r w:rsidRPr="00707803">
        <w:rPr>
          <w:rStyle w:val="FootnoteReference"/>
          <w:rFonts w:ascii="Cambria" w:hAnsi="Cambria"/>
          <w:sz w:val="16"/>
          <w:szCs w:val="16"/>
          <w:lang w:val="en-US"/>
        </w:rPr>
        <w:footnoteRef/>
      </w:r>
      <w:r w:rsidRPr="00707803">
        <w:rPr>
          <w:rFonts w:ascii="Cambria" w:hAnsi="Cambria"/>
          <w:sz w:val="16"/>
          <w:szCs w:val="16"/>
          <w:lang w:val="en-US"/>
        </w:rPr>
        <w:t xml:space="preserve"> Vienna Convention on the Law of Treaties, U.N. Doc. </w:t>
      </w:r>
      <w:r w:rsidRPr="00CD4428">
        <w:rPr>
          <w:rFonts w:ascii="Cambria" w:hAnsi="Cambria"/>
          <w:sz w:val="16"/>
          <w:szCs w:val="16"/>
          <w:lang w:val="es-CO"/>
        </w:rPr>
        <w:t xml:space="preserve">A/CONF.39/27 (1969), Article 26: "Pacta sunt servanda". </w:t>
      </w:r>
      <w:r w:rsidRPr="00707803">
        <w:rPr>
          <w:rFonts w:ascii="Cambria" w:hAnsi="Cambria"/>
          <w:i/>
          <w:sz w:val="16"/>
          <w:szCs w:val="16"/>
          <w:lang w:val="en-US"/>
        </w:rPr>
        <w:t>Every treaty in force is binding upon the parties to it and must be performed by them in good faith</w:t>
      </w:r>
      <w:r w:rsidRPr="00707803">
        <w:rPr>
          <w:rFonts w:ascii="Cambria" w:hAnsi="Cambri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B65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06A8D6"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920"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AA52B18" wp14:editId="6D730D8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25637CE" w14:textId="77777777" w:rsidR="00040C3A" w:rsidRPr="00EC7D62" w:rsidRDefault="004028FF" w:rsidP="002C1641">
    <w:pPr>
      <w:pStyle w:val="Header"/>
      <w:tabs>
        <w:tab w:val="clear" w:pos="4320"/>
        <w:tab w:val="clear" w:pos="8640"/>
      </w:tabs>
      <w:jc w:val="center"/>
      <w:rPr>
        <w:sz w:val="22"/>
        <w:szCs w:val="22"/>
      </w:rPr>
    </w:pPr>
    <w:r>
      <w:rPr>
        <w:noProof/>
        <w:sz w:val="22"/>
        <w:szCs w:val="22"/>
        <w:bdr w:val="nil"/>
      </w:rPr>
      <w:pict w14:anchorId="71DA339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451E0716"/>
    <w:lvl w:ilvl="0" w:tplc="EE9A3E0E">
      <w:start w:val="1"/>
      <w:numFmt w:val="decimal"/>
      <w:lvlText w:val="%1."/>
      <w:lvlJc w:val="left"/>
      <w:pPr>
        <w:ind w:left="1260" w:hanging="360"/>
      </w:pPr>
      <w:rPr>
        <w:b w:val="0"/>
      </w:rPr>
    </w:lvl>
    <w:lvl w:ilvl="1" w:tplc="0C0A0019">
      <w:start w:val="1"/>
      <w:numFmt w:val="lowerLetter"/>
      <w:lvlText w:val="%2."/>
      <w:lvlJc w:val="left"/>
      <w:pPr>
        <w:ind w:left="900" w:hanging="360"/>
      </w:pPr>
    </w:lvl>
    <w:lvl w:ilvl="2" w:tplc="0C0A001B">
      <w:start w:val="1"/>
      <w:numFmt w:val="lowerRoman"/>
      <w:lvlText w:val="%3."/>
      <w:lvlJc w:val="right"/>
      <w:pPr>
        <w:ind w:left="1620" w:hanging="180"/>
      </w:pPr>
    </w:lvl>
    <w:lvl w:ilvl="3" w:tplc="0C0A000F">
      <w:start w:val="1"/>
      <w:numFmt w:val="decimal"/>
      <w:lvlText w:val="%4."/>
      <w:lvlJc w:val="left"/>
      <w:pPr>
        <w:ind w:left="2340" w:hanging="360"/>
      </w:pPr>
    </w:lvl>
    <w:lvl w:ilvl="4" w:tplc="0C0A0019">
      <w:start w:val="1"/>
      <w:numFmt w:val="lowerLetter"/>
      <w:lvlText w:val="%5."/>
      <w:lvlJc w:val="left"/>
      <w:pPr>
        <w:ind w:left="3060" w:hanging="360"/>
      </w:pPr>
    </w:lvl>
    <w:lvl w:ilvl="5" w:tplc="0C0A001B">
      <w:start w:val="1"/>
      <w:numFmt w:val="lowerRoman"/>
      <w:lvlText w:val="%6."/>
      <w:lvlJc w:val="right"/>
      <w:pPr>
        <w:ind w:left="3780" w:hanging="180"/>
      </w:pPr>
    </w:lvl>
    <w:lvl w:ilvl="6" w:tplc="0C0A000F">
      <w:start w:val="1"/>
      <w:numFmt w:val="decimal"/>
      <w:lvlText w:val="%7."/>
      <w:lvlJc w:val="left"/>
      <w:pPr>
        <w:ind w:left="4500" w:hanging="360"/>
      </w:pPr>
    </w:lvl>
    <w:lvl w:ilvl="7" w:tplc="0C0A0019">
      <w:start w:val="1"/>
      <w:numFmt w:val="lowerLetter"/>
      <w:lvlText w:val="%8."/>
      <w:lvlJc w:val="left"/>
      <w:pPr>
        <w:ind w:left="5220" w:hanging="360"/>
      </w:pPr>
    </w:lvl>
    <w:lvl w:ilvl="8" w:tplc="0C0A001B">
      <w:start w:val="1"/>
      <w:numFmt w:val="lowerRoman"/>
      <w:lvlText w:val="%9."/>
      <w:lvlJc w:val="right"/>
      <w:pPr>
        <w:ind w:left="594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8E36D35"/>
    <w:multiLevelType w:val="hybridMultilevel"/>
    <w:tmpl w:val="BD7235B0"/>
    <w:lvl w:ilvl="0" w:tplc="0409001B">
      <w:start w:val="1"/>
      <w:numFmt w:val="lowerRoman"/>
      <w:lvlText w:val="%1."/>
      <w:lvlJc w:val="right"/>
      <w:pPr>
        <w:ind w:left="1714" w:hanging="360"/>
      </w:pPr>
    </w:lvl>
    <w:lvl w:ilvl="1" w:tplc="04090019">
      <w:start w:val="1"/>
      <w:numFmt w:val="lowerLetter"/>
      <w:lvlText w:val="%2."/>
      <w:lvlJc w:val="left"/>
      <w:pPr>
        <w:ind w:left="2434" w:hanging="360"/>
      </w:pPr>
    </w:lvl>
    <w:lvl w:ilvl="2" w:tplc="0409001B">
      <w:start w:val="1"/>
      <w:numFmt w:val="lowerRoman"/>
      <w:lvlText w:val="%3."/>
      <w:lvlJc w:val="right"/>
      <w:pPr>
        <w:ind w:left="3154" w:hanging="180"/>
      </w:pPr>
    </w:lvl>
    <w:lvl w:ilvl="3" w:tplc="0409000F">
      <w:start w:val="1"/>
      <w:numFmt w:val="decimal"/>
      <w:lvlText w:val="%4."/>
      <w:lvlJc w:val="left"/>
      <w:pPr>
        <w:ind w:left="3874" w:hanging="360"/>
      </w:pPr>
    </w:lvl>
    <w:lvl w:ilvl="4" w:tplc="04090019">
      <w:start w:val="1"/>
      <w:numFmt w:val="lowerLetter"/>
      <w:lvlText w:val="%5."/>
      <w:lvlJc w:val="left"/>
      <w:pPr>
        <w:ind w:left="4594" w:hanging="360"/>
      </w:pPr>
    </w:lvl>
    <w:lvl w:ilvl="5" w:tplc="0409001B">
      <w:start w:val="1"/>
      <w:numFmt w:val="lowerRoman"/>
      <w:lvlText w:val="%6."/>
      <w:lvlJc w:val="right"/>
      <w:pPr>
        <w:ind w:left="5314" w:hanging="180"/>
      </w:pPr>
    </w:lvl>
    <w:lvl w:ilvl="6" w:tplc="0409000F">
      <w:start w:val="1"/>
      <w:numFmt w:val="decimal"/>
      <w:lvlText w:val="%7."/>
      <w:lvlJc w:val="left"/>
      <w:pPr>
        <w:ind w:left="6034" w:hanging="360"/>
      </w:pPr>
    </w:lvl>
    <w:lvl w:ilvl="7" w:tplc="04090019">
      <w:start w:val="1"/>
      <w:numFmt w:val="lowerLetter"/>
      <w:lvlText w:val="%8."/>
      <w:lvlJc w:val="left"/>
      <w:pPr>
        <w:ind w:left="6754" w:hanging="360"/>
      </w:pPr>
    </w:lvl>
    <w:lvl w:ilvl="8" w:tplc="0409001B">
      <w:start w:val="1"/>
      <w:numFmt w:val="lowerRoman"/>
      <w:lvlText w:val="%9."/>
      <w:lvlJc w:val="right"/>
      <w:pPr>
        <w:ind w:left="7474" w:hanging="180"/>
      </w:p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6F3F49"/>
    <w:multiLevelType w:val="hybridMultilevel"/>
    <w:tmpl w:val="F7FE985C"/>
    <w:lvl w:ilvl="0" w:tplc="93A48D26">
      <w:start w:val="1"/>
      <w:numFmt w:val="decimal"/>
      <w:lvlText w:val="%1."/>
      <w:lvlJc w:val="left"/>
      <w:pPr>
        <w:ind w:left="1350" w:hanging="360"/>
      </w:pPr>
      <w:rPr>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35221349">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30021612">
    <w:abstractNumId w:val="4"/>
  </w:num>
  <w:num w:numId="3" w16cid:durableId="838424264">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59967858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049068531">
    <w:abstractNumId w:val="6"/>
  </w:num>
  <w:num w:numId="6" w16cid:durableId="279576922">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71941369">
    <w:abstractNumId w:val="59"/>
  </w:num>
  <w:num w:numId="8" w16cid:durableId="1489322597">
    <w:abstractNumId w:val="22"/>
  </w:num>
  <w:num w:numId="9" w16cid:durableId="1228420354">
    <w:abstractNumId w:val="50"/>
  </w:num>
  <w:num w:numId="10" w16cid:durableId="1467628595">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505561855">
    <w:abstractNumId w:val="28"/>
  </w:num>
  <w:num w:numId="12" w16cid:durableId="1089546740">
    <w:abstractNumId w:val="57"/>
  </w:num>
  <w:num w:numId="13" w16cid:durableId="56329605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36393908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793017859">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7496311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816950979">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99530140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621953292">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04524073">
    <w:abstractNumId w:val="8"/>
  </w:num>
  <w:num w:numId="21" w16cid:durableId="1634140862">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736321974">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604073878">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338924990">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1315873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87276342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5482314">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788013303">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70939757">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124841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63334403">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7554081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6766682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60563546">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943802235">
    <w:abstractNumId w:val="18"/>
  </w:num>
  <w:num w:numId="36" w16cid:durableId="84347827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1178670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1335088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3289167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66705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5367444">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753308289">
    <w:abstractNumId w:val="40"/>
  </w:num>
  <w:num w:numId="43" w16cid:durableId="277761922">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73289205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923142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9106952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89987671">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4000642">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996049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35719604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71867150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75336304">
    <w:abstractNumId w:val="44"/>
  </w:num>
  <w:num w:numId="53" w16cid:durableId="1203203641">
    <w:abstractNumId w:val="0"/>
  </w:num>
  <w:num w:numId="54" w16cid:durableId="2054886592">
    <w:abstractNumId w:val="39"/>
  </w:num>
  <w:num w:numId="55" w16cid:durableId="455295214">
    <w:abstractNumId w:val="40"/>
  </w:num>
  <w:num w:numId="56" w16cid:durableId="1081214820">
    <w:abstractNumId w:val="45"/>
  </w:num>
  <w:num w:numId="57" w16cid:durableId="216359258">
    <w:abstractNumId w:val="1"/>
  </w:num>
  <w:num w:numId="58" w16cid:durableId="1637878152">
    <w:abstractNumId w:val="2"/>
  </w:num>
  <w:num w:numId="59" w16cid:durableId="774131576">
    <w:abstractNumId w:val="9"/>
  </w:num>
  <w:num w:numId="60" w16cid:durableId="1804150761">
    <w:abstractNumId w:val="10"/>
  </w:num>
  <w:num w:numId="61" w16cid:durableId="2035762731">
    <w:abstractNumId w:val="11"/>
  </w:num>
  <w:num w:numId="62" w16cid:durableId="190187367">
    <w:abstractNumId w:val="12"/>
  </w:num>
  <w:num w:numId="63" w16cid:durableId="1883666264">
    <w:abstractNumId w:val="13"/>
  </w:num>
  <w:num w:numId="64" w16cid:durableId="91706082">
    <w:abstractNumId w:val="14"/>
  </w:num>
  <w:num w:numId="65" w16cid:durableId="334383489">
    <w:abstractNumId w:val="15"/>
  </w:num>
  <w:num w:numId="66" w16cid:durableId="1240480730">
    <w:abstractNumId w:val="16"/>
  </w:num>
  <w:num w:numId="67" w16cid:durableId="461314107">
    <w:abstractNumId w:val="17"/>
  </w:num>
  <w:num w:numId="68" w16cid:durableId="418186057">
    <w:abstractNumId w:val="19"/>
  </w:num>
  <w:num w:numId="69" w16cid:durableId="667826514">
    <w:abstractNumId w:val="20"/>
  </w:num>
  <w:num w:numId="70" w16cid:durableId="1825583323">
    <w:abstractNumId w:val="23"/>
  </w:num>
  <w:num w:numId="71" w16cid:durableId="561404050">
    <w:abstractNumId w:val="24"/>
  </w:num>
  <w:num w:numId="72" w16cid:durableId="277490279">
    <w:abstractNumId w:val="25"/>
  </w:num>
  <w:num w:numId="73" w16cid:durableId="1493329642">
    <w:abstractNumId w:val="27"/>
  </w:num>
  <w:num w:numId="74" w16cid:durableId="1059280644">
    <w:abstractNumId w:val="29"/>
  </w:num>
  <w:num w:numId="75" w16cid:durableId="723455554">
    <w:abstractNumId w:val="31"/>
  </w:num>
  <w:num w:numId="76" w16cid:durableId="2016226236">
    <w:abstractNumId w:val="32"/>
  </w:num>
  <w:num w:numId="77" w16cid:durableId="30812702">
    <w:abstractNumId w:val="33"/>
  </w:num>
  <w:num w:numId="78" w16cid:durableId="1601833366">
    <w:abstractNumId w:val="34"/>
  </w:num>
  <w:num w:numId="79" w16cid:durableId="352001640">
    <w:abstractNumId w:val="35"/>
  </w:num>
  <w:num w:numId="80" w16cid:durableId="81921912">
    <w:abstractNumId w:val="36"/>
  </w:num>
  <w:num w:numId="81" w16cid:durableId="1033192585">
    <w:abstractNumId w:val="37"/>
  </w:num>
  <w:num w:numId="82" w16cid:durableId="789397777">
    <w:abstractNumId w:val="41"/>
  </w:num>
  <w:num w:numId="83" w16cid:durableId="2061660670">
    <w:abstractNumId w:val="42"/>
  </w:num>
  <w:num w:numId="84" w16cid:durableId="1483084076">
    <w:abstractNumId w:val="48"/>
  </w:num>
  <w:num w:numId="85" w16cid:durableId="2145148804">
    <w:abstractNumId w:val="51"/>
  </w:num>
  <w:num w:numId="86" w16cid:durableId="16540898">
    <w:abstractNumId w:val="53"/>
  </w:num>
  <w:num w:numId="87" w16cid:durableId="4946045">
    <w:abstractNumId w:val="56"/>
  </w:num>
  <w:num w:numId="88" w16cid:durableId="1302275066">
    <w:abstractNumId w:val="58"/>
  </w:num>
  <w:num w:numId="89" w16cid:durableId="921332715">
    <w:abstractNumId w:val="61"/>
  </w:num>
  <w:num w:numId="90" w16cid:durableId="1623345249">
    <w:abstractNumId w:val="62"/>
  </w:num>
  <w:num w:numId="91" w16cid:durableId="1282691604">
    <w:abstractNumId w:val="63"/>
  </w:num>
  <w:num w:numId="92" w16cid:durableId="2103138623">
    <w:abstractNumId w:val="65"/>
  </w:num>
  <w:num w:numId="93" w16cid:durableId="2132046158">
    <w:abstractNumId w:val="66"/>
  </w:num>
  <w:num w:numId="94" w16cid:durableId="1337999809">
    <w:abstractNumId w:val="21"/>
  </w:num>
  <w:num w:numId="95" w16cid:durableId="1380203696">
    <w:abstractNumId w:val="43"/>
  </w:num>
  <w:num w:numId="96" w16cid:durableId="18285654">
    <w:abstractNumId w:val="54"/>
  </w:num>
  <w:num w:numId="97" w16cid:durableId="1987198682">
    <w:abstractNumId w:val="52"/>
  </w:num>
  <w:num w:numId="98" w16cid:durableId="781850543">
    <w:abstractNumId w:val="46"/>
  </w:num>
  <w:num w:numId="99" w16cid:durableId="1489327238">
    <w:abstractNumId w:val="38"/>
  </w:num>
  <w:num w:numId="100" w16cid:durableId="2127381533">
    <w:abstractNumId w:val="3"/>
  </w:num>
  <w:num w:numId="101" w16cid:durableId="259071851">
    <w:abstractNumId w:val="26"/>
  </w:num>
  <w:num w:numId="102" w16cid:durableId="1350526078">
    <w:abstractNumId w:val="49"/>
  </w:num>
  <w:num w:numId="103" w16cid:durableId="1655643449">
    <w:abstractNumId w:val="5"/>
  </w:num>
  <w:num w:numId="104" w16cid:durableId="1860660659">
    <w:abstractNumId w:val="47"/>
  </w:num>
  <w:num w:numId="105" w16cid:durableId="16078824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764567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85053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0769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596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72540"/>
    <w:rsid w:val="0018037F"/>
    <w:rsid w:val="001A4DAD"/>
    <w:rsid w:val="001A5F27"/>
    <w:rsid w:val="001A7870"/>
    <w:rsid w:val="001C1B41"/>
    <w:rsid w:val="001D2E7F"/>
    <w:rsid w:val="00210E0E"/>
    <w:rsid w:val="00247403"/>
    <w:rsid w:val="00247542"/>
    <w:rsid w:val="0025087F"/>
    <w:rsid w:val="00257893"/>
    <w:rsid w:val="002639A4"/>
    <w:rsid w:val="00266092"/>
    <w:rsid w:val="00266B61"/>
    <w:rsid w:val="0026712A"/>
    <w:rsid w:val="002704DB"/>
    <w:rsid w:val="00283936"/>
    <w:rsid w:val="002A65AC"/>
    <w:rsid w:val="002B56A5"/>
    <w:rsid w:val="002C1641"/>
    <w:rsid w:val="002C5801"/>
    <w:rsid w:val="002D7EA2"/>
    <w:rsid w:val="002E15DF"/>
    <w:rsid w:val="002E187C"/>
    <w:rsid w:val="002E6E57"/>
    <w:rsid w:val="00301075"/>
    <w:rsid w:val="00302733"/>
    <w:rsid w:val="00311A4F"/>
    <w:rsid w:val="00314078"/>
    <w:rsid w:val="00317B2E"/>
    <w:rsid w:val="00322450"/>
    <w:rsid w:val="003246B5"/>
    <w:rsid w:val="0033169F"/>
    <w:rsid w:val="003414AC"/>
    <w:rsid w:val="00356185"/>
    <w:rsid w:val="00360380"/>
    <w:rsid w:val="00364CC3"/>
    <w:rsid w:val="003815A8"/>
    <w:rsid w:val="00386CF0"/>
    <w:rsid w:val="003C32BC"/>
    <w:rsid w:val="003F1BBF"/>
    <w:rsid w:val="003F6692"/>
    <w:rsid w:val="004028FF"/>
    <w:rsid w:val="004165C2"/>
    <w:rsid w:val="00424CAE"/>
    <w:rsid w:val="00450A4A"/>
    <w:rsid w:val="004666FB"/>
    <w:rsid w:val="00467B7E"/>
    <w:rsid w:val="00473ECE"/>
    <w:rsid w:val="0049419D"/>
    <w:rsid w:val="004B2762"/>
    <w:rsid w:val="004B7EB6"/>
    <w:rsid w:val="004C4B62"/>
    <w:rsid w:val="004D6025"/>
    <w:rsid w:val="004D72BC"/>
    <w:rsid w:val="00501399"/>
    <w:rsid w:val="00507BC4"/>
    <w:rsid w:val="005128E4"/>
    <w:rsid w:val="00525560"/>
    <w:rsid w:val="005357A6"/>
    <w:rsid w:val="00544C49"/>
    <w:rsid w:val="00562EB1"/>
    <w:rsid w:val="00572B8A"/>
    <w:rsid w:val="0057402A"/>
    <w:rsid w:val="005771D0"/>
    <w:rsid w:val="0059191A"/>
    <w:rsid w:val="005921FF"/>
    <w:rsid w:val="005A6D0E"/>
    <w:rsid w:val="005B222D"/>
    <w:rsid w:val="005B52B0"/>
    <w:rsid w:val="005B6806"/>
    <w:rsid w:val="005C00F9"/>
    <w:rsid w:val="005C2FE7"/>
    <w:rsid w:val="005C4225"/>
    <w:rsid w:val="005F0F33"/>
    <w:rsid w:val="00600DEB"/>
    <w:rsid w:val="006066E0"/>
    <w:rsid w:val="00613027"/>
    <w:rsid w:val="00627766"/>
    <w:rsid w:val="00627C9F"/>
    <w:rsid w:val="006311DA"/>
    <w:rsid w:val="006311E9"/>
    <w:rsid w:val="00632354"/>
    <w:rsid w:val="00642810"/>
    <w:rsid w:val="00652333"/>
    <w:rsid w:val="0068009E"/>
    <w:rsid w:val="00686A41"/>
    <w:rsid w:val="006A17D2"/>
    <w:rsid w:val="006A73E6"/>
    <w:rsid w:val="006B2D5C"/>
    <w:rsid w:val="006C4EB1"/>
    <w:rsid w:val="006E0166"/>
    <w:rsid w:val="006E7B34"/>
    <w:rsid w:val="006F3873"/>
    <w:rsid w:val="00701B24"/>
    <w:rsid w:val="00707803"/>
    <w:rsid w:val="0072782A"/>
    <w:rsid w:val="00745899"/>
    <w:rsid w:val="007607C4"/>
    <w:rsid w:val="0076643F"/>
    <w:rsid w:val="007778A6"/>
    <w:rsid w:val="007A09EF"/>
    <w:rsid w:val="007A2F70"/>
    <w:rsid w:val="007B21D7"/>
    <w:rsid w:val="007C3334"/>
    <w:rsid w:val="007C52BB"/>
    <w:rsid w:val="007D2B98"/>
    <w:rsid w:val="00802ECC"/>
    <w:rsid w:val="00803F1C"/>
    <w:rsid w:val="0080600E"/>
    <w:rsid w:val="0080787C"/>
    <w:rsid w:val="008141C8"/>
    <w:rsid w:val="00814E70"/>
    <w:rsid w:val="00817612"/>
    <w:rsid w:val="00837C45"/>
    <w:rsid w:val="00852A19"/>
    <w:rsid w:val="00853419"/>
    <w:rsid w:val="00896B7B"/>
    <w:rsid w:val="00897E12"/>
    <w:rsid w:val="008C0B56"/>
    <w:rsid w:val="008D39FE"/>
    <w:rsid w:val="008D43BA"/>
    <w:rsid w:val="008E3759"/>
    <w:rsid w:val="009041DC"/>
    <w:rsid w:val="009104B4"/>
    <w:rsid w:val="00925FCD"/>
    <w:rsid w:val="0093441A"/>
    <w:rsid w:val="00954BF7"/>
    <w:rsid w:val="0096706E"/>
    <w:rsid w:val="00967904"/>
    <w:rsid w:val="00976590"/>
    <w:rsid w:val="00981FBA"/>
    <w:rsid w:val="009927AC"/>
    <w:rsid w:val="009B381B"/>
    <w:rsid w:val="009D7611"/>
    <w:rsid w:val="009D770B"/>
    <w:rsid w:val="009D7A4A"/>
    <w:rsid w:val="009E53DE"/>
    <w:rsid w:val="00A43458"/>
    <w:rsid w:val="00A528D1"/>
    <w:rsid w:val="00A66BE5"/>
    <w:rsid w:val="00AA5407"/>
    <w:rsid w:val="00AD37C1"/>
    <w:rsid w:val="00AE66EC"/>
    <w:rsid w:val="00AE6F91"/>
    <w:rsid w:val="00AF5571"/>
    <w:rsid w:val="00AF7693"/>
    <w:rsid w:val="00B06FEE"/>
    <w:rsid w:val="00B167E9"/>
    <w:rsid w:val="00B314DB"/>
    <w:rsid w:val="00B31EBE"/>
    <w:rsid w:val="00B3718B"/>
    <w:rsid w:val="00B4632A"/>
    <w:rsid w:val="00B5610A"/>
    <w:rsid w:val="00B6068E"/>
    <w:rsid w:val="00BA276C"/>
    <w:rsid w:val="00BB306F"/>
    <w:rsid w:val="00BC2AD0"/>
    <w:rsid w:val="00BD232B"/>
    <w:rsid w:val="00BD4B89"/>
    <w:rsid w:val="00BF0284"/>
    <w:rsid w:val="00C018EF"/>
    <w:rsid w:val="00C21762"/>
    <w:rsid w:val="00C24543"/>
    <w:rsid w:val="00C256A2"/>
    <w:rsid w:val="00C3492D"/>
    <w:rsid w:val="00C55560"/>
    <w:rsid w:val="00C66B72"/>
    <w:rsid w:val="00C9567A"/>
    <w:rsid w:val="00CB2660"/>
    <w:rsid w:val="00CC5E90"/>
    <w:rsid w:val="00CD046C"/>
    <w:rsid w:val="00CD4428"/>
    <w:rsid w:val="00CE5199"/>
    <w:rsid w:val="00CE66D5"/>
    <w:rsid w:val="00D34786"/>
    <w:rsid w:val="00D36716"/>
    <w:rsid w:val="00D40A1E"/>
    <w:rsid w:val="00D712D3"/>
    <w:rsid w:val="00D71422"/>
    <w:rsid w:val="00D7145E"/>
    <w:rsid w:val="00D7558D"/>
    <w:rsid w:val="00D81D92"/>
    <w:rsid w:val="00D93446"/>
    <w:rsid w:val="00DA37B6"/>
    <w:rsid w:val="00DA7B5F"/>
    <w:rsid w:val="00DD4EBD"/>
    <w:rsid w:val="00DF1273"/>
    <w:rsid w:val="00DF2115"/>
    <w:rsid w:val="00E172E7"/>
    <w:rsid w:val="00E43157"/>
    <w:rsid w:val="00E533FF"/>
    <w:rsid w:val="00E654DF"/>
    <w:rsid w:val="00E709B3"/>
    <w:rsid w:val="00E8789F"/>
    <w:rsid w:val="00E97B71"/>
    <w:rsid w:val="00EB454D"/>
    <w:rsid w:val="00EE3522"/>
    <w:rsid w:val="00EF5167"/>
    <w:rsid w:val="00EF619B"/>
    <w:rsid w:val="00F00B55"/>
    <w:rsid w:val="00F1380F"/>
    <w:rsid w:val="00F14F0E"/>
    <w:rsid w:val="00F24C29"/>
    <w:rsid w:val="00F24E3D"/>
    <w:rsid w:val="00F253CC"/>
    <w:rsid w:val="00F43FD1"/>
    <w:rsid w:val="00F56BA5"/>
    <w:rsid w:val="00F644E6"/>
    <w:rsid w:val="00F9653B"/>
    <w:rsid w:val="00FA675D"/>
    <w:rsid w:val="00FB62CF"/>
    <w:rsid w:val="00FB7B58"/>
    <w:rsid w:val="00FC3EB4"/>
    <w:rsid w:val="00FC6C58"/>
    <w:rsid w:val="00FE6B45"/>
    <w:rsid w:val="00FF5851"/>
    <w:rsid w:val="00FF7B79"/>
    <w:rsid w:val="0357B447"/>
    <w:rsid w:val="44BD6B2D"/>
    <w:rsid w:val="6143F461"/>
    <w:rsid w:val="62E17D9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uiPriority w:val="59"/>
    <w:rsid w:val="00B06FEE"/>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F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n-US"/>
    </w:rPr>
  </w:style>
  <w:style w:type="character" w:styleId="Strong">
    <w:name w:val="Strong"/>
    <w:basedOn w:val="DefaultParagraphFont"/>
    <w:uiPriority w:val="22"/>
    <w:qFormat/>
    <w:rsid w:val="00B06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9263">
      <w:bodyDiv w:val="1"/>
      <w:marLeft w:val="0"/>
      <w:marRight w:val="0"/>
      <w:marTop w:val="0"/>
      <w:marBottom w:val="0"/>
      <w:divBdr>
        <w:top w:val="none" w:sz="0" w:space="0" w:color="auto"/>
        <w:left w:val="none" w:sz="0" w:space="0" w:color="auto"/>
        <w:bottom w:val="none" w:sz="0" w:space="0" w:color="auto"/>
        <w:right w:val="none" w:sz="0" w:space="0" w:color="auto"/>
      </w:divBdr>
    </w:div>
    <w:div w:id="372995946">
      <w:bodyDiv w:val="1"/>
      <w:marLeft w:val="0"/>
      <w:marRight w:val="0"/>
      <w:marTop w:val="0"/>
      <w:marBottom w:val="0"/>
      <w:divBdr>
        <w:top w:val="none" w:sz="0" w:space="0" w:color="auto"/>
        <w:left w:val="none" w:sz="0" w:space="0" w:color="auto"/>
        <w:bottom w:val="none" w:sz="0" w:space="0" w:color="auto"/>
        <w:right w:val="none" w:sz="0" w:space="0" w:color="auto"/>
      </w:divBdr>
    </w:div>
    <w:div w:id="431246857">
      <w:bodyDiv w:val="1"/>
      <w:marLeft w:val="0"/>
      <w:marRight w:val="0"/>
      <w:marTop w:val="0"/>
      <w:marBottom w:val="0"/>
      <w:divBdr>
        <w:top w:val="none" w:sz="0" w:space="0" w:color="auto"/>
        <w:left w:val="none" w:sz="0" w:space="0" w:color="auto"/>
        <w:bottom w:val="none" w:sz="0" w:space="0" w:color="auto"/>
        <w:right w:val="none" w:sz="0" w:space="0" w:color="auto"/>
      </w:divBdr>
    </w:div>
    <w:div w:id="773786545">
      <w:bodyDiv w:val="1"/>
      <w:marLeft w:val="0"/>
      <w:marRight w:val="0"/>
      <w:marTop w:val="0"/>
      <w:marBottom w:val="0"/>
      <w:divBdr>
        <w:top w:val="none" w:sz="0" w:space="0" w:color="auto"/>
        <w:left w:val="none" w:sz="0" w:space="0" w:color="auto"/>
        <w:bottom w:val="none" w:sz="0" w:space="0" w:color="auto"/>
        <w:right w:val="none" w:sz="0" w:space="0" w:color="auto"/>
      </w:divBdr>
    </w:div>
    <w:div w:id="1090269849">
      <w:bodyDiv w:val="1"/>
      <w:marLeft w:val="0"/>
      <w:marRight w:val="0"/>
      <w:marTop w:val="0"/>
      <w:marBottom w:val="0"/>
      <w:divBdr>
        <w:top w:val="none" w:sz="0" w:space="0" w:color="auto"/>
        <w:left w:val="none" w:sz="0" w:space="0" w:color="auto"/>
        <w:bottom w:val="none" w:sz="0" w:space="0" w:color="auto"/>
        <w:right w:val="none" w:sz="0" w:space="0" w:color="auto"/>
      </w:divBdr>
    </w:div>
    <w:div w:id="1135483539">
      <w:bodyDiv w:val="1"/>
      <w:marLeft w:val="0"/>
      <w:marRight w:val="0"/>
      <w:marTop w:val="0"/>
      <w:marBottom w:val="0"/>
      <w:divBdr>
        <w:top w:val="none" w:sz="0" w:space="0" w:color="auto"/>
        <w:left w:val="none" w:sz="0" w:space="0" w:color="auto"/>
        <w:bottom w:val="none" w:sz="0" w:space="0" w:color="auto"/>
        <w:right w:val="none" w:sz="0" w:space="0" w:color="auto"/>
      </w:divBdr>
    </w:div>
    <w:div w:id="1341082779">
      <w:bodyDiv w:val="1"/>
      <w:marLeft w:val="0"/>
      <w:marRight w:val="0"/>
      <w:marTop w:val="0"/>
      <w:marBottom w:val="0"/>
      <w:divBdr>
        <w:top w:val="none" w:sz="0" w:space="0" w:color="auto"/>
        <w:left w:val="none" w:sz="0" w:space="0" w:color="auto"/>
        <w:bottom w:val="none" w:sz="0" w:space="0" w:color="auto"/>
        <w:right w:val="none" w:sz="0" w:space="0" w:color="auto"/>
      </w:divBdr>
    </w:div>
    <w:div w:id="1685670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823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image" Target="media/image20.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3FC4-A086-8440-96C1-236379FD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4026</Words>
  <Characters>21504</Characters>
  <Application>Microsoft Office Word</Application>
  <DocSecurity>0</DocSecurity>
  <Lines>457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68/22</dc:title>
  <dc:creator/>
  <cp:lastModifiedBy/>
  <cp:revision>1</cp:revision>
  <dcterms:created xsi:type="dcterms:W3CDTF">2022-06-06T16:49:00Z</dcterms:created>
  <dcterms:modified xsi:type="dcterms:W3CDTF">2022-06-06T16:50:00Z</dcterms:modified>
</cp:coreProperties>
</file>