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ECDF" w14:textId="77777777" w:rsidR="00040C3A" w:rsidRPr="005C0994" w:rsidRDefault="007B1494" w:rsidP="001E4D7D">
      <w:pPr>
        <w:jc w:val="both"/>
        <w:rPr>
          <w:rFonts w:asciiTheme="majorHAnsi" w:hAnsiTheme="majorHAnsi" w:cs="Univers"/>
          <w:b/>
          <w:bCs/>
          <w:sz w:val="20"/>
          <w:szCs w:val="20"/>
          <w:lang w:val="es-ES_tradnl"/>
        </w:rPr>
      </w:pPr>
      <w:r w:rsidRPr="005C099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1F64C09" wp14:editId="20CFD80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859C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" fillcolor="#67ae3c" stroked="f" strokeweight="2pt"/>
            </w:pict>
          </mc:Fallback>
        </mc:AlternateContent>
      </w:r>
      <w:r w:rsidRPr="005C099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09F4774" wp14:editId="59850ED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2834D" w14:textId="77777777" w:rsidR="00B56F13" w:rsidRDefault="00B56F13">
                            <w:r>
                              <w:rPr>
                                <w:noProof/>
                              </w:rPr>
                              <w:drawing>
                                <wp:inline distT="0" distB="0" distL="0" distR="0" wp14:anchorId="73371C38" wp14:editId="24427F3D">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F477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" filled="f" stroked="f" strokeweight=".5pt">
                <v:textbox>
                  <w:txbxContent>
                    <w:p w14:paraId="54C2834D" w14:textId="77777777" w:rsidR="00B56F13" w:rsidRDefault="00B56F13">
                      <w:r>
                        <w:rPr>
                          <w:noProof/>
                        </w:rPr>
                        <w:drawing>
                          <wp:inline distT="0" distB="0" distL="0" distR="0" wp14:anchorId="73371C38" wp14:editId="24427F3D">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542F04B" w14:textId="77777777" w:rsidR="00040C3A" w:rsidRPr="005C0994" w:rsidRDefault="00040C3A" w:rsidP="00040C3A">
      <w:pPr>
        <w:tabs>
          <w:tab w:val="center" w:pos="5400"/>
        </w:tabs>
        <w:suppressAutoHyphens/>
        <w:jc w:val="both"/>
        <w:rPr>
          <w:rFonts w:asciiTheme="majorHAnsi" w:hAnsiTheme="majorHAnsi"/>
          <w:sz w:val="20"/>
          <w:szCs w:val="20"/>
          <w:lang w:val="es-ES"/>
        </w:rPr>
      </w:pPr>
    </w:p>
    <w:p w14:paraId="64093972" w14:textId="77777777" w:rsidR="00040C3A" w:rsidRPr="005C0994" w:rsidRDefault="00040C3A" w:rsidP="00040C3A">
      <w:pPr>
        <w:tabs>
          <w:tab w:val="center" w:pos="5400"/>
        </w:tabs>
        <w:suppressAutoHyphens/>
        <w:jc w:val="both"/>
        <w:rPr>
          <w:rFonts w:asciiTheme="majorHAnsi" w:hAnsiTheme="majorHAnsi"/>
          <w:sz w:val="20"/>
          <w:szCs w:val="20"/>
          <w:lang w:val="es-ES"/>
        </w:rPr>
      </w:pPr>
    </w:p>
    <w:p w14:paraId="50EDC033" w14:textId="77777777" w:rsidR="005128E4" w:rsidRPr="005C0994" w:rsidRDefault="005128E4" w:rsidP="00040C3A">
      <w:pPr>
        <w:tabs>
          <w:tab w:val="center" w:pos="5400"/>
        </w:tabs>
        <w:suppressAutoHyphens/>
        <w:rPr>
          <w:rFonts w:asciiTheme="majorHAnsi" w:hAnsiTheme="majorHAnsi"/>
          <w:sz w:val="20"/>
          <w:szCs w:val="20"/>
          <w:lang w:val="es-ES_tradnl"/>
        </w:rPr>
      </w:pPr>
    </w:p>
    <w:p w14:paraId="4BF3530C" w14:textId="77777777" w:rsidR="005128E4" w:rsidRPr="005C0994" w:rsidRDefault="005128E4" w:rsidP="00040C3A">
      <w:pPr>
        <w:tabs>
          <w:tab w:val="center" w:pos="5400"/>
        </w:tabs>
        <w:suppressAutoHyphens/>
        <w:rPr>
          <w:rFonts w:asciiTheme="majorHAnsi" w:hAnsiTheme="majorHAnsi"/>
          <w:sz w:val="20"/>
          <w:szCs w:val="20"/>
          <w:lang w:val="es-ES_tradnl"/>
        </w:rPr>
      </w:pPr>
    </w:p>
    <w:p w14:paraId="50C5CA20" w14:textId="77777777" w:rsidR="005128E4" w:rsidRPr="005C0994" w:rsidRDefault="005128E4" w:rsidP="00040C3A">
      <w:pPr>
        <w:tabs>
          <w:tab w:val="center" w:pos="5400"/>
        </w:tabs>
        <w:suppressAutoHyphens/>
        <w:rPr>
          <w:rFonts w:asciiTheme="majorHAnsi" w:hAnsiTheme="majorHAnsi"/>
          <w:sz w:val="20"/>
          <w:szCs w:val="20"/>
          <w:lang w:val="es-ES_tradnl"/>
        </w:rPr>
      </w:pPr>
    </w:p>
    <w:p w14:paraId="4EE81480" w14:textId="77777777" w:rsidR="00040C3A" w:rsidRPr="005C0994" w:rsidRDefault="00040C3A" w:rsidP="005128E4">
      <w:pPr>
        <w:tabs>
          <w:tab w:val="center" w:pos="5400"/>
        </w:tabs>
        <w:suppressAutoHyphens/>
        <w:jc w:val="center"/>
        <w:rPr>
          <w:rFonts w:asciiTheme="majorHAnsi" w:hAnsiTheme="majorHAnsi"/>
          <w:sz w:val="20"/>
          <w:szCs w:val="20"/>
          <w:lang w:val="es-ES_tradnl"/>
        </w:rPr>
      </w:pPr>
    </w:p>
    <w:p w14:paraId="38675B67" w14:textId="77777777" w:rsidR="00040C3A" w:rsidRPr="005C0994" w:rsidRDefault="007B1494" w:rsidP="005128E4">
      <w:pPr>
        <w:tabs>
          <w:tab w:val="center" w:pos="5400"/>
        </w:tabs>
        <w:suppressAutoHyphens/>
        <w:jc w:val="center"/>
        <w:rPr>
          <w:rFonts w:asciiTheme="majorHAnsi" w:hAnsiTheme="majorHAnsi"/>
          <w:sz w:val="20"/>
          <w:szCs w:val="20"/>
          <w:lang w:val="es-ES_tradnl"/>
        </w:rPr>
      </w:pPr>
      <w:r w:rsidRPr="005C0994">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60976F46" wp14:editId="2C94C578">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00533" w14:textId="77777777" w:rsidR="00B56F13" w:rsidRDefault="00B56F13" w:rsidP="004B7EB6">
                            <w:pPr>
                              <w:spacing w:line="276" w:lineRule="auto"/>
                              <w:rPr>
                                <w:rFonts w:asciiTheme="majorHAnsi" w:hAnsiTheme="majorHAnsi" w:cs="Arial"/>
                                <w:b/>
                                <w:bCs/>
                                <w:color w:val="0D0D0D" w:themeColor="text1" w:themeTint="F2"/>
                                <w:sz w:val="36"/>
                                <w:szCs w:val="40"/>
                              </w:rPr>
                            </w:pPr>
                          </w:p>
                          <w:p w14:paraId="3C6478A7" w14:textId="77777777" w:rsidR="00B56F13" w:rsidRDefault="00B56F13" w:rsidP="004B7EB6">
                            <w:pPr>
                              <w:spacing w:line="276" w:lineRule="auto"/>
                              <w:rPr>
                                <w:rFonts w:asciiTheme="majorHAnsi" w:hAnsiTheme="majorHAnsi" w:cs="Arial"/>
                                <w:b/>
                                <w:bCs/>
                                <w:color w:val="0D0D0D" w:themeColor="text1" w:themeTint="F2"/>
                                <w:sz w:val="36"/>
                                <w:szCs w:val="40"/>
                              </w:rPr>
                            </w:pPr>
                          </w:p>
                          <w:p w14:paraId="757573B5" w14:textId="77777777" w:rsidR="00B56F13" w:rsidRDefault="00B56F13" w:rsidP="004B7EB6">
                            <w:pPr>
                              <w:spacing w:line="276" w:lineRule="auto"/>
                              <w:rPr>
                                <w:rFonts w:asciiTheme="majorHAnsi" w:hAnsiTheme="majorHAnsi" w:cs="Arial"/>
                                <w:b/>
                                <w:bCs/>
                                <w:color w:val="0D0D0D" w:themeColor="text1" w:themeTint="F2"/>
                                <w:sz w:val="36"/>
                                <w:szCs w:val="40"/>
                              </w:rPr>
                            </w:pPr>
                          </w:p>
                          <w:p w14:paraId="35E4ED2D" w14:textId="77777777" w:rsidR="00B56F13" w:rsidRDefault="00B56F13" w:rsidP="004B7EB6">
                            <w:pPr>
                              <w:spacing w:line="276" w:lineRule="auto"/>
                              <w:rPr>
                                <w:rFonts w:asciiTheme="majorHAnsi" w:hAnsiTheme="majorHAnsi" w:cs="Arial"/>
                                <w:b/>
                                <w:bCs/>
                                <w:color w:val="0D0D0D" w:themeColor="text1" w:themeTint="F2"/>
                                <w:sz w:val="36"/>
                                <w:szCs w:val="40"/>
                              </w:rPr>
                            </w:pPr>
                          </w:p>
                          <w:p w14:paraId="2A6BAC18" w14:textId="469FB0BB" w:rsidR="00B56F13" w:rsidRPr="004B7EB6" w:rsidRDefault="00B56F1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444FB">
                              <w:rPr>
                                <w:rFonts w:asciiTheme="majorHAnsi" w:hAnsiTheme="majorHAnsi" w:cs="Arial"/>
                                <w:b/>
                                <w:bCs/>
                                <w:color w:val="0D0D0D" w:themeColor="text1" w:themeTint="F2"/>
                                <w:sz w:val="36"/>
                                <w:szCs w:val="40"/>
                              </w:rPr>
                              <w:t>454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7FB5D8E6" w14:textId="77777777" w:rsidR="00B56F13" w:rsidRPr="004B7EB6" w:rsidRDefault="00B56F1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13.478</w:t>
                            </w:r>
                          </w:p>
                          <w:p w14:paraId="7E4EFAFE" w14:textId="0F38B013" w:rsidR="00B56F13" w:rsidRPr="004B7EB6" w:rsidRDefault="00B56F13" w:rsidP="00F45EBF">
                            <w:pPr>
                              <w:spacing w:line="276" w:lineRule="auto"/>
                              <w:rPr>
                                <w:rFonts w:asciiTheme="majorHAnsi" w:hAnsiTheme="majorHAnsi" w:cs="Arial"/>
                                <w:color w:val="0D0D0D" w:themeColor="text1" w:themeTint="F2"/>
                                <w:szCs w:val="22"/>
                              </w:rPr>
                            </w:pPr>
                            <w:r w:rsidRPr="003A4337">
                              <w:rPr>
                                <w:rFonts w:asciiTheme="majorHAnsi" w:hAnsiTheme="majorHAnsi" w:cs="Arial"/>
                                <w:color w:val="0D0D0D" w:themeColor="text1" w:themeTint="F2"/>
                                <w:szCs w:val="22"/>
                              </w:rPr>
                              <w:t>REPORT ON ADMISSIBILITY AND MERITS</w:t>
                            </w:r>
                            <w:r w:rsidRPr="004B7EB6">
                              <w:rPr>
                                <w:rFonts w:asciiTheme="majorHAnsi" w:hAnsiTheme="majorHAnsi" w:cs="Arial"/>
                                <w:color w:val="0D0D0D" w:themeColor="text1" w:themeTint="F2"/>
                                <w:szCs w:val="22"/>
                              </w:rPr>
                              <w:t xml:space="preserve"> </w:t>
                            </w:r>
                            <w:r w:rsidRPr="00B444FB">
                              <w:rPr>
                                <w:rFonts w:asciiTheme="majorHAnsi" w:hAnsiTheme="majorHAnsi" w:cs="Arial"/>
                                <w:color w:val="0D0D0D" w:themeColor="text1" w:themeTint="F2"/>
                                <w:szCs w:val="22"/>
                              </w:rPr>
                              <w:t>(PUBLICATION)</w:t>
                            </w:r>
                          </w:p>
                          <w:p w14:paraId="36FFE3D3" w14:textId="77777777" w:rsidR="00B56F13" w:rsidRPr="004B7EB6" w:rsidRDefault="00B56F13" w:rsidP="004B7EB6">
                            <w:pPr>
                              <w:spacing w:line="276" w:lineRule="auto"/>
                              <w:rPr>
                                <w:rFonts w:asciiTheme="majorHAnsi" w:hAnsiTheme="majorHAnsi" w:cs="Arial"/>
                                <w:color w:val="0D0D0D" w:themeColor="text1" w:themeTint="F2"/>
                                <w:szCs w:val="22"/>
                              </w:rPr>
                            </w:pPr>
                          </w:p>
                          <w:p w14:paraId="11D3F1BE" w14:textId="77777777" w:rsidR="00B56F13" w:rsidRPr="00444596" w:rsidRDefault="00B56F1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JOSÉ TRINIDAD LOZA VENTURA</w:t>
                            </w:r>
                          </w:p>
                          <w:p w14:paraId="0AEDC292" w14:textId="77777777" w:rsidR="00B56F13" w:rsidRDefault="00B56F1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5E4E0586" w14:textId="77777777" w:rsidR="00B56F13" w:rsidRPr="00E57833" w:rsidRDefault="00B56F13"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6F46"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79D00533" w14:textId="77777777" w:rsidR="00B56F13" w:rsidRDefault="00B56F13" w:rsidP="004B7EB6">
                      <w:pPr>
                        <w:spacing w:line="276" w:lineRule="auto"/>
                        <w:rPr>
                          <w:rFonts w:asciiTheme="majorHAnsi" w:hAnsiTheme="majorHAnsi" w:cs="Arial"/>
                          <w:b/>
                          <w:bCs/>
                          <w:color w:val="0D0D0D" w:themeColor="text1" w:themeTint="F2"/>
                          <w:sz w:val="36"/>
                          <w:szCs w:val="40"/>
                        </w:rPr>
                      </w:pPr>
                    </w:p>
                    <w:p w14:paraId="3C6478A7" w14:textId="77777777" w:rsidR="00B56F13" w:rsidRDefault="00B56F13" w:rsidP="004B7EB6">
                      <w:pPr>
                        <w:spacing w:line="276" w:lineRule="auto"/>
                        <w:rPr>
                          <w:rFonts w:asciiTheme="majorHAnsi" w:hAnsiTheme="majorHAnsi" w:cs="Arial"/>
                          <w:b/>
                          <w:bCs/>
                          <w:color w:val="0D0D0D" w:themeColor="text1" w:themeTint="F2"/>
                          <w:sz w:val="36"/>
                          <w:szCs w:val="40"/>
                        </w:rPr>
                      </w:pPr>
                    </w:p>
                    <w:p w14:paraId="757573B5" w14:textId="77777777" w:rsidR="00B56F13" w:rsidRDefault="00B56F13" w:rsidP="004B7EB6">
                      <w:pPr>
                        <w:spacing w:line="276" w:lineRule="auto"/>
                        <w:rPr>
                          <w:rFonts w:asciiTheme="majorHAnsi" w:hAnsiTheme="majorHAnsi" w:cs="Arial"/>
                          <w:b/>
                          <w:bCs/>
                          <w:color w:val="0D0D0D" w:themeColor="text1" w:themeTint="F2"/>
                          <w:sz w:val="36"/>
                          <w:szCs w:val="40"/>
                        </w:rPr>
                      </w:pPr>
                    </w:p>
                    <w:p w14:paraId="35E4ED2D" w14:textId="77777777" w:rsidR="00B56F13" w:rsidRDefault="00B56F13" w:rsidP="004B7EB6">
                      <w:pPr>
                        <w:spacing w:line="276" w:lineRule="auto"/>
                        <w:rPr>
                          <w:rFonts w:asciiTheme="majorHAnsi" w:hAnsiTheme="majorHAnsi" w:cs="Arial"/>
                          <w:b/>
                          <w:bCs/>
                          <w:color w:val="0D0D0D" w:themeColor="text1" w:themeTint="F2"/>
                          <w:sz w:val="36"/>
                          <w:szCs w:val="40"/>
                        </w:rPr>
                      </w:pPr>
                    </w:p>
                    <w:p w14:paraId="2A6BAC18" w14:textId="469FB0BB" w:rsidR="00B56F13" w:rsidRPr="004B7EB6" w:rsidRDefault="00B56F1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444FB">
                        <w:rPr>
                          <w:rFonts w:asciiTheme="majorHAnsi" w:hAnsiTheme="majorHAnsi" w:cs="Arial"/>
                          <w:b/>
                          <w:bCs/>
                          <w:color w:val="0D0D0D" w:themeColor="text1" w:themeTint="F2"/>
                          <w:sz w:val="36"/>
                          <w:szCs w:val="40"/>
                        </w:rPr>
                        <w:t>454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7FB5D8E6" w14:textId="77777777" w:rsidR="00B56F13" w:rsidRPr="004B7EB6" w:rsidRDefault="00B56F1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13.478</w:t>
                      </w:r>
                    </w:p>
                    <w:p w14:paraId="7E4EFAFE" w14:textId="0F38B013" w:rsidR="00B56F13" w:rsidRPr="004B7EB6" w:rsidRDefault="00B56F13" w:rsidP="00F45EBF">
                      <w:pPr>
                        <w:spacing w:line="276" w:lineRule="auto"/>
                        <w:rPr>
                          <w:rFonts w:asciiTheme="majorHAnsi" w:hAnsiTheme="majorHAnsi" w:cs="Arial"/>
                          <w:color w:val="0D0D0D" w:themeColor="text1" w:themeTint="F2"/>
                          <w:szCs w:val="22"/>
                        </w:rPr>
                      </w:pPr>
                      <w:r w:rsidRPr="003A4337">
                        <w:rPr>
                          <w:rFonts w:asciiTheme="majorHAnsi" w:hAnsiTheme="majorHAnsi" w:cs="Arial"/>
                          <w:color w:val="0D0D0D" w:themeColor="text1" w:themeTint="F2"/>
                          <w:szCs w:val="22"/>
                        </w:rPr>
                        <w:t>REPORT ON ADMISSIBILITY AND MERITS</w:t>
                      </w:r>
                      <w:r w:rsidRPr="004B7EB6">
                        <w:rPr>
                          <w:rFonts w:asciiTheme="majorHAnsi" w:hAnsiTheme="majorHAnsi" w:cs="Arial"/>
                          <w:color w:val="0D0D0D" w:themeColor="text1" w:themeTint="F2"/>
                          <w:szCs w:val="22"/>
                        </w:rPr>
                        <w:t xml:space="preserve"> </w:t>
                      </w:r>
                      <w:r w:rsidRPr="00B444FB">
                        <w:rPr>
                          <w:rFonts w:asciiTheme="majorHAnsi" w:hAnsiTheme="majorHAnsi" w:cs="Arial"/>
                          <w:color w:val="0D0D0D" w:themeColor="text1" w:themeTint="F2"/>
                          <w:szCs w:val="22"/>
                        </w:rPr>
                        <w:t>(PUBLICATION)</w:t>
                      </w:r>
                    </w:p>
                    <w:p w14:paraId="36FFE3D3" w14:textId="77777777" w:rsidR="00B56F13" w:rsidRPr="004B7EB6" w:rsidRDefault="00B56F13" w:rsidP="004B7EB6">
                      <w:pPr>
                        <w:spacing w:line="276" w:lineRule="auto"/>
                        <w:rPr>
                          <w:rFonts w:asciiTheme="majorHAnsi" w:hAnsiTheme="majorHAnsi" w:cs="Arial"/>
                          <w:color w:val="0D0D0D" w:themeColor="text1" w:themeTint="F2"/>
                          <w:szCs w:val="22"/>
                        </w:rPr>
                      </w:pPr>
                    </w:p>
                    <w:p w14:paraId="11D3F1BE" w14:textId="77777777" w:rsidR="00B56F13" w:rsidRPr="00444596" w:rsidRDefault="00B56F1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JOSÉ TRINIDAD LOZA VENTURA</w:t>
                      </w:r>
                    </w:p>
                    <w:p w14:paraId="0AEDC292" w14:textId="77777777" w:rsidR="00B56F13" w:rsidRDefault="00B56F1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5E4E0586" w14:textId="77777777" w:rsidR="00B56F13" w:rsidRPr="00E57833" w:rsidRDefault="00B56F13" w:rsidP="008D2EA5">
                      <w:pPr>
                        <w:spacing w:line="276" w:lineRule="auto"/>
                        <w:jc w:val="both"/>
                        <w:rPr>
                          <w:rFonts w:asciiTheme="majorHAnsi" w:hAnsiTheme="majorHAnsi"/>
                          <w:color w:val="0D0D0D" w:themeColor="text1" w:themeTint="F2"/>
                        </w:rPr>
                      </w:pPr>
                    </w:p>
                  </w:txbxContent>
                </v:textbox>
              </v:shape>
            </w:pict>
          </mc:Fallback>
        </mc:AlternateContent>
      </w:r>
    </w:p>
    <w:p w14:paraId="702A3D48" w14:textId="77777777" w:rsidR="005B52B0" w:rsidRPr="005C0994" w:rsidRDefault="005B52B0" w:rsidP="005128E4">
      <w:pPr>
        <w:tabs>
          <w:tab w:val="center" w:pos="5400"/>
        </w:tabs>
        <w:suppressAutoHyphens/>
        <w:jc w:val="center"/>
        <w:rPr>
          <w:rFonts w:asciiTheme="majorHAnsi" w:hAnsiTheme="majorHAnsi"/>
          <w:sz w:val="20"/>
          <w:szCs w:val="20"/>
          <w:lang w:val="es-ES_tradnl"/>
        </w:rPr>
      </w:pPr>
    </w:p>
    <w:p w14:paraId="1F7DDC35" w14:textId="77777777" w:rsidR="005B52B0" w:rsidRPr="005C0994" w:rsidRDefault="005B52B0" w:rsidP="005128E4">
      <w:pPr>
        <w:tabs>
          <w:tab w:val="center" w:pos="5400"/>
        </w:tabs>
        <w:suppressAutoHyphens/>
        <w:jc w:val="center"/>
        <w:rPr>
          <w:rFonts w:asciiTheme="majorHAnsi" w:hAnsiTheme="majorHAnsi"/>
          <w:sz w:val="20"/>
          <w:szCs w:val="20"/>
          <w:lang w:val="es-ES_tradnl"/>
        </w:rPr>
      </w:pPr>
    </w:p>
    <w:p w14:paraId="3A75AA35" w14:textId="77777777" w:rsidR="005B52B0" w:rsidRPr="005C0994" w:rsidRDefault="005B52B0" w:rsidP="005128E4">
      <w:pPr>
        <w:tabs>
          <w:tab w:val="center" w:pos="5400"/>
        </w:tabs>
        <w:suppressAutoHyphens/>
        <w:jc w:val="center"/>
        <w:rPr>
          <w:rFonts w:asciiTheme="majorHAnsi" w:hAnsiTheme="majorHAnsi"/>
          <w:sz w:val="20"/>
          <w:szCs w:val="20"/>
          <w:lang w:val="es-ES_tradnl"/>
        </w:rPr>
      </w:pPr>
    </w:p>
    <w:p w14:paraId="4F0F7BA2"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2006E187"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4306AC31"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7208BDD2"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54672251" w14:textId="77777777" w:rsidR="00040C3A" w:rsidRPr="005C0994" w:rsidRDefault="007B1494" w:rsidP="00040C3A">
      <w:pPr>
        <w:tabs>
          <w:tab w:val="center" w:pos="5400"/>
        </w:tabs>
        <w:suppressAutoHyphens/>
        <w:jc w:val="center"/>
        <w:rPr>
          <w:rFonts w:asciiTheme="majorHAnsi" w:hAnsiTheme="majorHAnsi"/>
          <w:sz w:val="20"/>
          <w:szCs w:val="20"/>
          <w:lang w:val="es-ES_tradnl"/>
        </w:rPr>
      </w:pPr>
      <w:r w:rsidRPr="005C099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2685BCB" wp14:editId="5896545C">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FC3A3" w14:textId="77777777" w:rsidR="00B56F13" w:rsidRPr="001D5FE4" w:rsidRDefault="00B56F13" w:rsidP="002C1641">
                            <w:pPr>
                              <w:jc w:val="right"/>
                              <w:rPr>
                                <w:rFonts w:asciiTheme="minorHAnsi" w:hAnsiTheme="minorHAnsi"/>
                                <w:color w:val="FFFFFF" w:themeColor="background1"/>
                                <w:sz w:val="22"/>
                                <w:lang w:val="es-US"/>
                              </w:rPr>
                            </w:pPr>
                            <w:r w:rsidRPr="001D5FE4">
                              <w:rPr>
                                <w:rFonts w:asciiTheme="minorHAnsi" w:hAnsiTheme="minorHAnsi"/>
                                <w:color w:val="FFFFFF" w:themeColor="background1"/>
                                <w:sz w:val="22"/>
                                <w:lang w:val="es-US"/>
                              </w:rPr>
                              <w:t>OEA/</w:t>
                            </w:r>
                            <w:proofErr w:type="spellStart"/>
                            <w:r w:rsidRPr="001D5FE4">
                              <w:rPr>
                                <w:rFonts w:asciiTheme="minorHAnsi" w:hAnsiTheme="minorHAnsi"/>
                                <w:color w:val="FFFFFF" w:themeColor="background1"/>
                                <w:sz w:val="22"/>
                                <w:lang w:val="es-US"/>
                              </w:rPr>
                              <w:t>Ser.L</w:t>
                            </w:r>
                            <w:proofErr w:type="spellEnd"/>
                            <w:r w:rsidRPr="001D5FE4">
                              <w:rPr>
                                <w:rFonts w:asciiTheme="minorHAnsi" w:hAnsiTheme="minorHAnsi"/>
                                <w:color w:val="FFFFFF" w:themeColor="background1"/>
                                <w:sz w:val="22"/>
                                <w:lang w:val="es-US"/>
                              </w:rPr>
                              <w:t>/V/II.</w:t>
                            </w:r>
                          </w:p>
                          <w:p w14:paraId="44110BEC" w14:textId="73BA8957" w:rsidR="00B56F13" w:rsidRPr="00B56F13" w:rsidRDefault="00B56F13" w:rsidP="002C1641">
                            <w:pPr>
                              <w:jc w:val="right"/>
                              <w:rPr>
                                <w:rFonts w:asciiTheme="minorHAnsi" w:hAnsiTheme="minorHAnsi"/>
                                <w:color w:val="FFFFFF" w:themeColor="background1"/>
                                <w:sz w:val="22"/>
                              </w:rPr>
                            </w:pPr>
                            <w:r w:rsidRPr="00B56F13">
                              <w:rPr>
                                <w:rFonts w:asciiTheme="minorHAnsi" w:hAnsiTheme="minorHAnsi"/>
                                <w:color w:val="FFFFFF" w:themeColor="background1"/>
                                <w:sz w:val="22"/>
                              </w:rPr>
                              <w:t xml:space="preserve">Doc. </w:t>
                            </w:r>
                            <w:r w:rsidR="00B444FB">
                              <w:rPr>
                                <w:rFonts w:asciiTheme="minorHAnsi" w:hAnsiTheme="minorHAnsi"/>
                                <w:color w:val="FFFFFF" w:themeColor="background1"/>
                                <w:sz w:val="22"/>
                              </w:rPr>
                              <w:t>468</w:t>
                            </w:r>
                          </w:p>
                          <w:p w14:paraId="5D03300E" w14:textId="78DF667C" w:rsidR="00B56F13" w:rsidRPr="00B56F13" w:rsidRDefault="00B444FB"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B56F13" w:rsidRPr="00B56F13">
                              <w:rPr>
                                <w:rFonts w:asciiTheme="minorHAnsi" w:hAnsiTheme="minorHAnsi"/>
                                <w:color w:val="FFFFFF" w:themeColor="background1"/>
                                <w:sz w:val="22"/>
                              </w:rPr>
                              <w:t xml:space="preserve"> </w:t>
                            </w:r>
                            <w:r w:rsidR="00B56F13">
                              <w:rPr>
                                <w:rFonts w:asciiTheme="minorHAnsi" w:hAnsiTheme="minorHAnsi"/>
                                <w:color w:val="FFFFFF" w:themeColor="background1"/>
                                <w:sz w:val="22"/>
                              </w:rPr>
                              <w:t>D</w:t>
                            </w:r>
                            <w:r w:rsidR="00B56F13" w:rsidRPr="00B56F13">
                              <w:rPr>
                                <w:rFonts w:asciiTheme="minorHAnsi" w:hAnsiTheme="minorHAnsi"/>
                                <w:color w:val="FFFFFF" w:themeColor="background1"/>
                                <w:sz w:val="22"/>
                              </w:rPr>
                              <w:t xml:space="preserve">ecember </w:t>
                            </w:r>
                            <w:r w:rsidR="001D5FE4">
                              <w:rPr>
                                <w:rFonts w:asciiTheme="minorHAnsi" w:hAnsiTheme="minorHAnsi"/>
                                <w:color w:val="FFFFFF" w:themeColor="background1"/>
                                <w:sz w:val="22"/>
                              </w:rPr>
                              <w:t>20</w:t>
                            </w:r>
                            <w:r w:rsidR="00B56F13" w:rsidRPr="00B56F13">
                              <w:rPr>
                                <w:rFonts w:asciiTheme="minorHAnsi" w:hAnsiTheme="minorHAnsi"/>
                                <w:color w:val="FFFFFF" w:themeColor="background1"/>
                                <w:sz w:val="22"/>
                              </w:rPr>
                              <w:t>21</w:t>
                            </w:r>
                          </w:p>
                          <w:p w14:paraId="5E576253" w14:textId="77777777" w:rsidR="00B56F13" w:rsidRPr="00B56F13" w:rsidRDefault="00B56F13" w:rsidP="002C1641">
                            <w:pPr>
                              <w:jc w:val="right"/>
                              <w:rPr>
                                <w:rFonts w:asciiTheme="minorHAnsi" w:hAnsiTheme="minorHAnsi"/>
                                <w:color w:val="FFFFFF" w:themeColor="background1"/>
                                <w:sz w:val="22"/>
                              </w:rPr>
                            </w:pPr>
                            <w:r w:rsidRPr="00B56F13">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85BCB" id="_x0000_t202" coordsize="21600,21600" o:spt="202" path="m,l,21600r21600,l21600,xe">
                <v:stroke joinstyle="miter"/>
                <v:path gradientshapeok="t" o:connecttype="rect"/>
              </v:shapetype>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394FC3A3" w14:textId="77777777" w:rsidR="00B56F13" w:rsidRPr="001D5FE4" w:rsidRDefault="00B56F13" w:rsidP="002C1641">
                      <w:pPr>
                        <w:jc w:val="right"/>
                        <w:rPr>
                          <w:rFonts w:asciiTheme="minorHAnsi" w:hAnsiTheme="minorHAnsi"/>
                          <w:color w:val="FFFFFF" w:themeColor="background1"/>
                          <w:sz w:val="22"/>
                          <w:lang w:val="es-US"/>
                        </w:rPr>
                      </w:pPr>
                      <w:r w:rsidRPr="001D5FE4">
                        <w:rPr>
                          <w:rFonts w:asciiTheme="minorHAnsi" w:hAnsiTheme="minorHAnsi"/>
                          <w:color w:val="FFFFFF" w:themeColor="background1"/>
                          <w:sz w:val="22"/>
                          <w:lang w:val="es-US"/>
                        </w:rPr>
                        <w:t>OEA/</w:t>
                      </w:r>
                      <w:proofErr w:type="spellStart"/>
                      <w:r w:rsidRPr="001D5FE4">
                        <w:rPr>
                          <w:rFonts w:asciiTheme="minorHAnsi" w:hAnsiTheme="minorHAnsi"/>
                          <w:color w:val="FFFFFF" w:themeColor="background1"/>
                          <w:sz w:val="22"/>
                          <w:lang w:val="es-US"/>
                        </w:rPr>
                        <w:t>Ser.L</w:t>
                      </w:r>
                      <w:proofErr w:type="spellEnd"/>
                      <w:r w:rsidRPr="001D5FE4">
                        <w:rPr>
                          <w:rFonts w:asciiTheme="minorHAnsi" w:hAnsiTheme="minorHAnsi"/>
                          <w:color w:val="FFFFFF" w:themeColor="background1"/>
                          <w:sz w:val="22"/>
                          <w:lang w:val="es-US"/>
                        </w:rPr>
                        <w:t>/V/II.</w:t>
                      </w:r>
                    </w:p>
                    <w:p w14:paraId="44110BEC" w14:textId="73BA8957" w:rsidR="00B56F13" w:rsidRPr="00B56F13" w:rsidRDefault="00B56F13" w:rsidP="002C1641">
                      <w:pPr>
                        <w:jc w:val="right"/>
                        <w:rPr>
                          <w:rFonts w:asciiTheme="minorHAnsi" w:hAnsiTheme="minorHAnsi"/>
                          <w:color w:val="FFFFFF" w:themeColor="background1"/>
                          <w:sz w:val="22"/>
                        </w:rPr>
                      </w:pPr>
                      <w:r w:rsidRPr="00B56F13">
                        <w:rPr>
                          <w:rFonts w:asciiTheme="minorHAnsi" w:hAnsiTheme="minorHAnsi"/>
                          <w:color w:val="FFFFFF" w:themeColor="background1"/>
                          <w:sz w:val="22"/>
                        </w:rPr>
                        <w:t xml:space="preserve">Doc. </w:t>
                      </w:r>
                      <w:r w:rsidR="00B444FB">
                        <w:rPr>
                          <w:rFonts w:asciiTheme="minorHAnsi" w:hAnsiTheme="minorHAnsi"/>
                          <w:color w:val="FFFFFF" w:themeColor="background1"/>
                          <w:sz w:val="22"/>
                        </w:rPr>
                        <w:t>468</w:t>
                      </w:r>
                    </w:p>
                    <w:p w14:paraId="5D03300E" w14:textId="78DF667C" w:rsidR="00B56F13" w:rsidRPr="00B56F13" w:rsidRDefault="00B444FB"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B56F13" w:rsidRPr="00B56F13">
                        <w:rPr>
                          <w:rFonts w:asciiTheme="minorHAnsi" w:hAnsiTheme="minorHAnsi"/>
                          <w:color w:val="FFFFFF" w:themeColor="background1"/>
                          <w:sz w:val="22"/>
                        </w:rPr>
                        <w:t xml:space="preserve"> </w:t>
                      </w:r>
                      <w:r w:rsidR="00B56F13">
                        <w:rPr>
                          <w:rFonts w:asciiTheme="minorHAnsi" w:hAnsiTheme="minorHAnsi"/>
                          <w:color w:val="FFFFFF" w:themeColor="background1"/>
                          <w:sz w:val="22"/>
                        </w:rPr>
                        <w:t>D</w:t>
                      </w:r>
                      <w:r w:rsidR="00B56F13" w:rsidRPr="00B56F13">
                        <w:rPr>
                          <w:rFonts w:asciiTheme="minorHAnsi" w:hAnsiTheme="minorHAnsi"/>
                          <w:color w:val="FFFFFF" w:themeColor="background1"/>
                          <w:sz w:val="22"/>
                        </w:rPr>
                        <w:t xml:space="preserve">ecember </w:t>
                      </w:r>
                      <w:r w:rsidR="001D5FE4">
                        <w:rPr>
                          <w:rFonts w:asciiTheme="minorHAnsi" w:hAnsiTheme="minorHAnsi"/>
                          <w:color w:val="FFFFFF" w:themeColor="background1"/>
                          <w:sz w:val="22"/>
                        </w:rPr>
                        <w:t>20</w:t>
                      </w:r>
                      <w:r w:rsidR="00B56F13" w:rsidRPr="00B56F13">
                        <w:rPr>
                          <w:rFonts w:asciiTheme="minorHAnsi" w:hAnsiTheme="minorHAnsi"/>
                          <w:color w:val="FFFFFF" w:themeColor="background1"/>
                          <w:sz w:val="22"/>
                        </w:rPr>
                        <w:t>21</w:t>
                      </w:r>
                    </w:p>
                    <w:p w14:paraId="5E576253" w14:textId="77777777" w:rsidR="00B56F13" w:rsidRPr="00B56F13" w:rsidRDefault="00B56F13" w:rsidP="002C1641">
                      <w:pPr>
                        <w:jc w:val="right"/>
                        <w:rPr>
                          <w:rFonts w:asciiTheme="minorHAnsi" w:hAnsiTheme="minorHAnsi"/>
                          <w:color w:val="FFFFFF" w:themeColor="background1"/>
                          <w:sz w:val="22"/>
                        </w:rPr>
                      </w:pPr>
                      <w:r w:rsidRPr="00B56F13">
                        <w:rPr>
                          <w:rFonts w:asciiTheme="minorHAnsi" w:hAnsiTheme="minorHAnsi"/>
                          <w:color w:val="FFFFFF" w:themeColor="background1"/>
                          <w:sz w:val="22"/>
                        </w:rPr>
                        <w:t>Original: English</w:t>
                      </w:r>
                    </w:p>
                  </w:txbxContent>
                </v:textbox>
              </v:shape>
            </w:pict>
          </mc:Fallback>
        </mc:AlternateContent>
      </w:r>
    </w:p>
    <w:p w14:paraId="139C4F2D" w14:textId="77777777" w:rsidR="00040C3A" w:rsidRPr="005C0994" w:rsidRDefault="00040C3A" w:rsidP="00040C3A">
      <w:pPr>
        <w:tabs>
          <w:tab w:val="center" w:pos="5400"/>
        </w:tabs>
        <w:suppressAutoHyphens/>
        <w:jc w:val="center"/>
        <w:rPr>
          <w:rFonts w:asciiTheme="majorHAnsi" w:hAnsiTheme="majorHAnsi" w:cs="Arial"/>
          <w:sz w:val="20"/>
          <w:szCs w:val="20"/>
          <w:lang w:val="es-ES_tradnl"/>
        </w:rPr>
      </w:pPr>
    </w:p>
    <w:p w14:paraId="6E962B57"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12099913"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15423A1B"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28BBED3C"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4C88DEF4" w14:textId="77777777" w:rsidR="005128E4" w:rsidRPr="005C0994" w:rsidRDefault="005128E4" w:rsidP="00040C3A">
      <w:pPr>
        <w:tabs>
          <w:tab w:val="center" w:pos="5400"/>
        </w:tabs>
        <w:suppressAutoHyphens/>
        <w:jc w:val="center"/>
        <w:rPr>
          <w:rFonts w:asciiTheme="majorHAnsi" w:hAnsiTheme="majorHAnsi"/>
          <w:sz w:val="20"/>
          <w:szCs w:val="20"/>
          <w:lang w:val="es-ES_tradnl"/>
        </w:rPr>
      </w:pPr>
    </w:p>
    <w:p w14:paraId="39DE0D69"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16B535A9" w14:textId="77777777" w:rsidR="005128E4" w:rsidRPr="005C0994" w:rsidRDefault="005128E4" w:rsidP="00040C3A">
      <w:pPr>
        <w:tabs>
          <w:tab w:val="center" w:pos="5400"/>
        </w:tabs>
        <w:suppressAutoHyphens/>
        <w:jc w:val="center"/>
        <w:rPr>
          <w:rFonts w:asciiTheme="majorHAnsi" w:hAnsiTheme="majorHAnsi"/>
          <w:sz w:val="20"/>
          <w:szCs w:val="20"/>
          <w:lang w:val="es-ES_tradnl"/>
        </w:rPr>
      </w:pPr>
    </w:p>
    <w:p w14:paraId="40D856EE" w14:textId="77777777" w:rsidR="005128E4" w:rsidRPr="005C0994" w:rsidRDefault="005128E4" w:rsidP="00040C3A">
      <w:pPr>
        <w:tabs>
          <w:tab w:val="center" w:pos="5400"/>
        </w:tabs>
        <w:suppressAutoHyphens/>
        <w:jc w:val="center"/>
        <w:rPr>
          <w:rFonts w:asciiTheme="majorHAnsi" w:hAnsiTheme="majorHAnsi"/>
          <w:sz w:val="20"/>
          <w:szCs w:val="20"/>
          <w:lang w:val="es-ES_tradnl"/>
        </w:rPr>
      </w:pPr>
    </w:p>
    <w:p w14:paraId="468BCDB0" w14:textId="77777777" w:rsidR="005128E4" w:rsidRPr="005C0994" w:rsidRDefault="005128E4" w:rsidP="00040C3A">
      <w:pPr>
        <w:tabs>
          <w:tab w:val="center" w:pos="5400"/>
        </w:tabs>
        <w:suppressAutoHyphens/>
        <w:jc w:val="center"/>
        <w:rPr>
          <w:rFonts w:asciiTheme="majorHAnsi" w:hAnsiTheme="majorHAnsi"/>
          <w:sz w:val="20"/>
          <w:szCs w:val="20"/>
          <w:lang w:val="es-ES_tradnl"/>
        </w:rPr>
      </w:pPr>
    </w:p>
    <w:p w14:paraId="7C5EC1FC"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5A44D3B6" w14:textId="77777777" w:rsidR="00040C3A" w:rsidRPr="005C0994" w:rsidRDefault="00040C3A" w:rsidP="00040C3A">
      <w:pPr>
        <w:tabs>
          <w:tab w:val="center" w:pos="5400"/>
        </w:tabs>
        <w:suppressAutoHyphens/>
        <w:jc w:val="center"/>
        <w:rPr>
          <w:rFonts w:asciiTheme="majorHAnsi" w:hAnsiTheme="majorHAnsi"/>
          <w:sz w:val="20"/>
          <w:szCs w:val="20"/>
          <w:lang w:val="es-ES_tradnl"/>
        </w:rPr>
      </w:pPr>
    </w:p>
    <w:p w14:paraId="1D7ACE00"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0B3DAA86"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57C385F5"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02F6F973"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57CC6467"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5734A307"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195F2BB2"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731C1192"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16DAF9F0"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69B3353E"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1B0E6930"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12E60BDD"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1E61E452" w14:textId="77777777" w:rsidR="002C1641" w:rsidRPr="005C0994" w:rsidRDefault="007B1494" w:rsidP="00040C3A">
      <w:pPr>
        <w:tabs>
          <w:tab w:val="center" w:pos="5400"/>
        </w:tabs>
        <w:suppressAutoHyphens/>
        <w:jc w:val="center"/>
        <w:rPr>
          <w:rFonts w:asciiTheme="majorHAnsi" w:hAnsiTheme="majorHAnsi"/>
          <w:sz w:val="20"/>
          <w:szCs w:val="20"/>
          <w:lang w:val="es-ES_tradnl"/>
        </w:rPr>
      </w:pPr>
      <w:r w:rsidRPr="005C099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A2F308E" wp14:editId="1F6676F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9E2D4" w14:textId="2D6B9996" w:rsidR="00B56F13" w:rsidRDefault="00B56F13" w:rsidP="007D5D0A">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 xml:space="preserve">December </w:t>
                            </w:r>
                            <w:r w:rsidR="00B444FB">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1D5FE4">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308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6A19E2D4" w14:textId="2D6B9996" w:rsidR="00B56F13" w:rsidRDefault="00B56F13" w:rsidP="007D5D0A">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 xml:space="preserve">December </w:t>
                      </w:r>
                      <w:r w:rsidR="00B444FB">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1D5FE4">
                        <w:rPr>
                          <w:rFonts w:asciiTheme="majorHAnsi" w:hAnsiTheme="majorHAnsi"/>
                          <w:color w:val="0D0D0D" w:themeColor="text1" w:themeTint="F2"/>
                          <w:sz w:val="18"/>
                          <w:szCs w:val="20"/>
                        </w:rPr>
                        <w:t>.</w:t>
                      </w:r>
                    </w:p>
                  </w:txbxContent>
                </v:textbox>
              </v:shape>
            </w:pict>
          </mc:Fallback>
        </mc:AlternateContent>
      </w:r>
    </w:p>
    <w:p w14:paraId="2C80D8C2"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66086271"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6AB56C54"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4D09C634"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0B05A41E" w14:textId="77777777" w:rsidR="002C1641" w:rsidRPr="005C0994" w:rsidRDefault="007B1494" w:rsidP="00040C3A">
      <w:pPr>
        <w:tabs>
          <w:tab w:val="center" w:pos="5400"/>
        </w:tabs>
        <w:suppressAutoHyphens/>
        <w:jc w:val="center"/>
        <w:rPr>
          <w:rFonts w:asciiTheme="majorHAnsi" w:hAnsiTheme="majorHAnsi"/>
          <w:sz w:val="20"/>
          <w:szCs w:val="20"/>
          <w:lang w:val="es-ES_tradnl"/>
        </w:rPr>
      </w:pPr>
      <w:r w:rsidRPr="005C0994">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38EF21EC" wp14:editId="48F5310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2B23C" w14:textId="7245BC1D" w:rsidR="00B56F13" w:rsidRPr="003C32BC" w:rsidRDefault="00B56F13"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444FB">
                              <w:rPr>
                                <w:rFonts w:asciiTheme="majorHAnsi" w:hAnsiTheme="majorHAnsi"/>
                                <w:color w:val="595959" w:themeColor="text1" w:themeTint="A6"/>
                                <w:sz w:val="18"/>
                              </w:rPr>
                              <w:t>454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13.478</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w:t>
                            </w:r>
                            <w:r w:rsidRPr="00B444FB">
                              <w:rPr>
                                <w:rFonts w:asciiTheme="majorHAnsi" w:hAnsiTheme="majorHAnsi"/>
                                <w:color w:val="595959" w:themeColor="text1" w:themeTint="A6"/>
                                <w:sz w:val="18"/>
                              </w:rPr>
                              <w:t>(Publication).</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José Trinidad </w:t>
                            </w:r>
                            <w:proofErr w:type="spellStart"/>
                            <w:r>
                              <w:rPr>
                                <w:rFonts w:asciiTheme="majorHAnsi" w:hAnsiTheme="majorHAnsi"/>
                                <w:color w:val="595959" w:themeColor="text1" w:themeTint="A6"/>
                                <w:sz w:val="18"/>
                              </w:rPr>
                              <w:t>Loza</w:t>
                            </w:r>
                            <w:proofErr w:type="spellEnd"/>
                            <w:r>
                              <w:rPr>
                                <w:rFonts w:asciiTheme="majorHAnsi" w:hAnsiTheme="majorHAnsi"/>
                                <w:color w:val="595959" w:themeColor="text1" w:themeTint="A6"/>
                                <w:sz w:val="18"/>
                              </w:rPr>
                              <w:t xml:space="preserve"> Ventura. United States of America. December </w:t>
                            </w:r>
                            <w:r w:rsidR="00B444FB">
                              <w:rPr>
                                <w:rFonts w:asciiTheme="majorHAnsi" w:hAnsiTheme="majorHAnsi"/>
                                <w:color w:val="595959" w:themeColor="text1" w:themeTint="A6"/>
                                <w:sz w:val="18"/>
                              </w:rPr>
                              <w:t>31</w:t>
                            </w:r>
                            <w:r w:rsidRPr="00682CC9">
                              <w:rPr>
                                <w:rFonts w:asciiTheme="majorHAnsi" w:hAnsiTheme="majorHAnsi"/>
                                <w:color w:val="595959" w:themeColor="text1" w:themeTint="A6"/>
                                <w:sz w:val="18"/>
                              </w:rPr>
                              <w:t>, 20</w:t>
                            </w:r>
                            <w:r>
                              <w:rPr>
                                <w:rFonts w:asciiTheme="majorHAnsi" w:hAnsiTheme="majorHAnsi"/>
                                <w:color w:val="595959" w:themeColor="text1" w:themeTint="A6"/>
                                <w:sz w:val="18"/>
                              </w:rPr>
                              <w:t>21</w:t>
                            </w:r>
                            <w:r w:rsidRPr="00682CC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21E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2592B23C" w14:textId="7245BC1D" w:rsidR="00B56F13" w:rsidRPr="003C32BC" w:rsidRDefault="00B56F13"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444FB">
                        <w:rPr>
                          <w:rFonts w:asciiTheme="majorHAnsi" w:hAnsiTheme="majorHAnsi"/>
                          <w:color w:val="595959" w:themeColor="text1" w:themeTint="A6"/>
                          <w:sz w:val="18"/>
                        </w:rPr>
                        <w:t>454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13.478</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w:t>
                      </w:r>
                      <w:r w:rsidRPr="00B444FB">
                        <w:rPr>
                          <w:rFonts w:asciiTheme="majorHAnsi" w:hAnsiTheme="majorHAnsi"/>
                          <w:color w:val="595959" w:themeColor="text1" w:themeTint="A6"/>
                          <w:sz w:val="18"/>
                        </w:rPr>
                        <w:t>(Publication).</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José Trinidad </w:t>
                      </w:r>
                      <w:proofErr w:type="spellStart"/>
                      <w:r>
                        <w:rPr>
                          <w:rFonts w:asciiTheme="majorHAnsi" w:hAnsiTheme="majorHAnsi"/>
                          <w:color w:val="595959" w:themeColor="text1" w:themeTint="A6"/>
                          <w:sz w:val="18"/>
                        </w:rPr>
                        <w:t>Loza</w:t>
                      </w:r>
                      <w:proofErr w:type="spellEnd"/>
                      <w:r>
                        <w:rPr>
                          <w:rFonts w:asciiTheme="majorHAnsi" w:hAnsiTheme="majorHAnsi"/>
                          <w:color w:val="595959" w:themeColor="text1" w:themeTint="A6"/>
                          <w:sz w:val="18"/>
                        </w:rPr>
                        <w:t xml:space="preserve"> Ventura. United States of America. December </w:t>
                      </w:r>
                      <w:r w:rsidR="00B444FB">
                        <w:rPr>
                          <w:rFonts w:asciiTheme="majorHAnsi" w:hAnsiTheme="majorHAnsi"/>
                          <w:color w:val="595959" w:themeColor="text1" w:themeTint="A6"/>
                          <w:sz w:val="18"/>
                        </w:rPr>
                        <w:t>31</w:t>
                      </w:r>
                      <w:r w:rsidRPr="00682CC9">
                        <w:rPr>
                          <w:rFonts w:asciiTheme="majorHAnsi" w:hAnsiTheme="majorHAnsi"/>
                          <w:color w:val="595959" w:themeColor="text1" w:themeTint="A6"/>
                          <w:sz w:val="18"/>
                        </w:rPr>
                        <w:t>, 20</w:t>
                      </w:r>
                      <w:r>
                        <w:rPr>
                          <w:rFonts w:asciiTheme="majorHAnsi" w:hAnsiTheme="majorHAnsi"/>
                          <w:color w:val="595959" w:themeColor="text1" w:themeTint="A6"/>
                          <w:sz w:val="18"/>
                        </w:rPr>
                        <w:t>21</w:t>
                      </w:r>
                      <w:r w:rsidRPr="00682CC9">
                        <w:rPr>
                          <w:rFonts w:asciiTheme="majorHAnsi" w:hAnsiTheme="majorHAnsi"/>
                          <w:color w:val="595959" w:themeColor="text1" w:themeTint="A6"/>
                          <w:sz w:val="18"/>
                        </w:rPr>
                        <w:t>.</w:t>
                      </w:r>
                    </w:p>
                  </w:txbxContent>
                </v:textbox>
              </v:shape>
            </w:pict>
          </mc:Fallback>
        </mc:AlternateContent>
      </w:r>
    </w:p>
    <w:p w14:paraId="7275C399"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2ADDC755" w14:textId="77777777" w:rsidR="002C1641" w:rsidRPr="005C0994" w:rsidRDefault="002C1641" w:rsidP="00040C3A">
      <w:pPr>
        <w:tabs>
          <w:tab w:val="center" w:pos="5400"/>
        </w:tabs>
        <w:suppressAutoHyphens/>
        <w:jc w:val="center"/>
        <w:rPr>
          <w:rFonts w:asciiTheme="majorHAnsi" w:hAnsiTheme="majorHAnsi"/>
          <w:sz w:val="20"/>
          <w:szCs w:val="20"/>
          <w:lang w:val="es-ES_tradnl"/>
        </w:rPr>
      </w:pPr>
    </w:p>
    <w:p w14:paraId="1934E05F" w14:textId="77777777" w:rsidR="003C32BC" w:rsidRPr="005C0994" w:rsidRDefault="003C32BC" w:rsidP="003C32BC">
      <w:pPr>
        <w:tabs>
          <w:tab w:val="center" w:pos="5400"/>
        </w:tabs>
        <w:suppressAutoHyphens/>
        <w:jc w:val="center"/>
        <w:rPr>
          <w:rFonts w:asciiTheme="majorHAnsi" w:hAnsiTheme="majorHAnsi"/>
          <w:sz w:val="20"/>
          <w:szCs w:val="20"/>
        </w:rPr>
      </w:pPr>
    </w:p>
    <w:p w14:paraId="1C9063D9" w14:textId="77777777" w:rsidR="003C32BC" w:rsidRPr="005C0994" w:rsidRDefault="007B1494" w:rsidP="003C32BC">
      <w:pPr>
        <w:tabs>
          <w:tab w:val="center" w:pos="5400"/>
        </w:tabs>
        <w:suppressAutoHyphens/>
        <w:jc w:val="center"/>
        <w:rPr>
          <w:rFonts w:asciiTheme="majorHAnsi" w:hAnsiTheme="majorHAnsi"/>
          <w:sz w:val="20"/>
          <w:szCs w:val="20"/>
        </w:rPr>
      </w:pPr>
      <w:r w:rsidRPr="005C0994">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0167A328" wp14:editId="7FEAEA6D">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A2006" w14:textId="77777777" w:rsidR="00B56F13" w:rsidRPr="004B7EB6" w:rsidRDefault="00B56F1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A32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" filled="f" stroked="f" strokeweight=".5pt">
                <v:textbox>
                  <w:txbxContent>
                    <w:p w14:paraId="4B3A2006" w14:textId="77777777" w:rsidR="00B56F13" w:rsidRPr="004B7EB6" w:rsidRDefault="00B56F1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C0994">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23060F1" wp14:editId="59D81546">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2154B" w14:textId="11A9D57A" w:rsidR="00B56F13" w:rsidRDefault="001D5FE4">
                            <w:r>
                              <w:rPr>
                                <w:noProof/>
                              </w:rPr>
                              <w:drawing>
                                <wp:inline distT="0" distB="0" distL="0" distR="0" wp14:anchorId="3B6F6FD4" wp14:editId="2343509C">
                                  <wp:extent cx="1519555" cy="38798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60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5642154B" w14:textId="11A9D57A" w:rsidR="00B56F13" w:rsidRDefault="001D5FE4">
                      <w:r>
                        <w:rPr>
                          <w:noProof/>
                        </w:rPr>
                        <w:drawing>
                          <wp:inline distT="0" distB="0" distL="0" distR="0" wp14:anchorId="3B6F6FD4" wp14:editId="2343509C">
                            <wp:extent cx="1519555" cy="38798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6A532C4F" w14:textId="77777777" w:rsidR="007607C4" w:rsidRPr="005C0994" w:rsidRDefault="007607C4" w:rsidP="003C32BC">
      <w:pPr>
        <w:tabs>
          <w:tab w:val="center" w:pos="5400"/>
        </w:tabs>
        <w:suppressAutoHyphens/>
        <w:jc w:val="center"/>
        <w:rPr>
          <w:rFonts w:asciiTheme="majorHAnsi" w:hAnsiTheme="majorHAnsi"/>
          <w:sz w:val="20"/>
          <w:szCs w:val="20"/>
        </w:rPr>
        <w:sectPr w:rsidR="007607C4" w:rsidRPr="005C0994">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13D7C08C" w14:textId="77777777" w:rsidR="00FC3EB4" w:rsidRPr="005C0994" w:rsidRDefault="00FC3EB4" w:rsidP="00FC3EB4">
      <w:pPr>
        <w:tabs>
          <w:tab w:val="center" w:pos="5400"/>
        </w:tabs>
        <w:suppressAutoHyphens/>
        <w:spacing w:line="276" w:lineRule="auto"/>
        <w:jc w:val="center"/>
        <w:rPr>
          <w:rFonts w:asciiTheme="majorHAnsi" w:hAnsiTheme="majorHAnsi"/>
          <w:b/>
          <w:sz w:val="20"/>
          <w:szCs w:val="20"/>
        </w:rPr>
      </w:pPr>
      <w:r w:rsidRPr="005C0994">
        <w:rPr>
          <w:rFonts w:asciiTheme="majorHAnsi" w:hAnsiTheme="majorHAnsi"/>
          <w:b/>
          <w:sz w:val="20"/>
          <w:szCs w:val="20"/>
        </w:rPr>
        <w:lastRenderedPageBreak/>
        <w:t>INDEX</w:t>
      </w:r>
    </w:p>
    <w:p w14:paraId="57027946" w14:textId="77777777" w:rsidR="007607C4" w:rsidRPr="009E5A64" w:rsidRDefault="007607C4" w:rsidP="00145EDC">
      <w:pPr>
        <w:tabs>
          <w:tab w:val="center" w:pos="5400"/>
        </w:tabs>
        <w:suppressAutoHyphens/>
        <w:spacing w:line="276" w:lineRule="auto"/>
        <w:rPr>
          <w:rFonts w:ascii="Cambria" w:hAnsi="Cambria"/>
          <w:sz w:val="20"/>
          <w:szCs w:val="20"/>
        </w:rPr>
      </w:pPr>
    </w:p>
    <w:p w14:paraId="6250C835" w14:textId="336DCD90" w:rsidR="009E5A64" w:rsidRPr="00B444FB" w:rsidRDefault="00DA36AE">
      <w:pPr>
        <w:pStyle w:val="TOC1"/>
        <w:rPr>
          <w:rFonts w:ascii="Cambria" w:eastAsiaTheme="minorEastAsia" w:hAnsi="Cambria" w:cstheme="minorBidi"/>
          <w:b w:val="0"/>
          <w:bdr w:val="none" w:sz="0" w:space="0" w:color="auto"/>
          <w:lang w:val="es-US" w:eastAsia="zh-CN"/>
        </w:rPr>
      </w:pPr>
      <w:r w:rsidRPr="00B444FB">
        <w:rPr>
          <w:rFonts w:ascii="Cambria" w:hAnsi="Cambria"/>
          <w:b w:val="0"/>
        </w:rPr>
        <w:fldChar w:fldCharType="begin"/>
      </w:r>
      <w:r w:rsidR="00864785" w:rsidRPr="00B444FB">
        <w:rPr>
          <w:rFonts w:ascii="Cambria" w:hAnsi="Cambria"/>
          <w:b w:val="0"/>
        </w:rPr>
        <w:instrText xml:space="preserve"> TOC \o "1-3" \h \z \u </w:instrText>
      </w:r>
      <w:r w:rsidRPr="00B444FB">
        <w:rPr>
          <w:rFonts w:ascii="Cambria" w:hAnsi="Cambria"/>
          <w:b w:val="0"/>
        </w:rPr>
        <w:fldChar w:fldCharType="separate"/>
      </w:r>
      <w:hyperlink w:anchor="_Toc90297859" w:history="1">
        <w:r w:rsidR="009E5A64" w:rsidRPr="00B444FB">
          <w:rPr>
            <w:rStyle w:val="Hyperlink"/>
            <w:rFonts w:ascii="Cambria" w:hAnsi="Cambria"/>
          </w:rPr>
          <w:t>I.</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INTRODUCTION</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_Toc90297859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3</w:t>
        </w:r>
        <w:r w:rsidR="009E5A64" w:rsidRPr="00B444FB">
          <w:rPr>
            <w:rFonts w:ascii="Cambria" w:hAnsi="Cambria"/>
            <w:webHidden/>
          </w:rPr>
          <w:fldChar w:fldCharType="end"/>
        </w:r>
      </w:hyperlink>
    </w:p>
    <w:p w14:paraId="501D9350" w14:textId="1F31134E" w:rsidR="009E5A64" w:rsidRPr="00B444FB" w:rsidRDefault="00AB074C">
      <w:pPr>
        <w:pStyle w:val="TOC1"/>
        <w:rPr>
          <w:rFonts w:ascii="Cambria" w:eastAsiaTheme="minorEastAsia" w:hAnsi="Cambria" w:cstheme="minorBidi"/>
          <w:b w:val="0"/>
          <w:bdr w:val="none" w:sz="0" w:space="0" w:color="auto"/>
          <w:lang w:val="es-US" w:eastAsia="zh-CN"/>
        </w:rPr>
      </w:pPr>
      <w:hyperlink w:anchor="_Toc90297860" w:history="1">
        <w:r w:rsidR="009E5A64" w:rsidRPr="00B444FB">
          <w:rPr>
            <w:rStyle w:val="Hyperlink"/>
            <w:rFonts w:ascii="Cambria" w:hAnsi="Cambria"/>
          </w:rPr>
          <w:t>II.</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POSITIONS OF THE PARTIES</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_Toc90297860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3</w:t>
        </w:r>
        <w:r w:rsidR="009E5A64" w:rsidRPr="00B444FB">
          <w:rPr>
            <w:rFonts w:ascii="Cambria" w:hAnsi="Cambria"/>
            <w:webHidden/>
          </w:rPr>
          <w:fldChar w:fldCharType="end"/>
        </w:r>
      </w:hyperlink>
    </w:p>
    <w:p w14:paraId="19A939C8" w14:textId="0AB9208F"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1" w:history="1">
        <w:r w:rsidR="009E5A64" w:rsidRPr="00B444FB">
          <w:rPr>
            <w:rStyle w:val="Hyperlink"/>
            <w:rFonts w:ascii="Cambria" w:hAnsi="Cambria"/>
            <w:sz w:val="20"/>
            <w:szCs w:val="20"/>
          </w:rPr>
          <w:t>A.</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Petitioners</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_Toc90297861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3</w:t>
        </w:r>
        <w:r w:rsidR="009E5A64" w:rsidRPr="00B444FB">
          <w:rPr>
            <w:rFonts w:ascii="Cambria" w:hAnsi="Cambria"/>
            <w:webHidden/>
            <w:sz w:val="20"/>
            <w:szCs w:val="20"/>
          </w:rPr>
          <w:fldChar w:fldCharType="end"/>
        </w:r>
      </w:hyperlink>
    </w:p>
    <w:p w14:paraId="0C1A7FB5" w14:textId="5985D277"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2" w:history="1">
        <w:r w:rsidR="009E5A64" w:rsidRPr="00B444FB">
          <w:rPr>
            <w:rStyle w:val="Hyperlink"/>
            <w:rFonts w:ascii="Cambria" w:hAnsi="Cambria"/>
            <w:sz w:val="20"/>
            <w:szCs w:val="20"/>
          </w:rPr>
          <w:t>B.</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State</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_Toc90297862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5</w:t>
        </w:r>
        <w:r w:rsidR="009E5A64" w:rsidRPr="00B444FB">
          <w:rPr>
            <w:rFonts w:ascii="Cambria" w:hAnsi="Cambria"/>
            <w:webHidden/>
            <w:sz w:val="20"/>
            <w:szCs w:val="20"/>
          </w:rPr>
          <w:fldChar w:fldCharType="end"/>
        </w:r>
      </w:hyperlink>
    </w:p>
    <w:p w14:paraId="6FA1F242" w14:textId="18C50103" w:rsidR="009E5A64" w:rsidRPr="00B444FB" w:rsidRDefault="00AB074C">
      <w:pPr>
        <w:pStyle w:val="TOC1"/>
        <w:rPr>
          <w:rFonts w:ascii="Cambria" w:eastAsiaTheme="minorEastAsia" w:hAnsi="Cambria" w:cstheme="minorBidi"/>
          <w:b w:val="0"/>
          <w:bdr w:val="none" w:sz="0" w:space="0" w:color="auto"/>
          <w:lang w:val="es-US" w:eastAsia="zh-CN"/>
        </w:rPr>
      </w:pPr>
      <w:hyperlink w:anchor="_Toc90297863" w:history="1">
        <w:r w:rsidR="009E5A64" w:rsidRPr="00B444FB">
          <w:rPr>
            <w:rStyle w:val="Hyperlink"/>
            <w:rFonts w:ascii="Cambria" w:hAnsi="Cambria"/>
          </w:rPr>
          <w:t>III.</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ADMISSIBILITY</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_Toc90297863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6</w:t>
        </w:r>
        <w:r w:rsidR="009E5A64" w:rsidRPr="00B444FB">
          <w:rPr>
            <w:rFonts w:ascii="Cambria" w:hAnsi="Cambria"/>
            <w:webHidden/>
          </w:rPr>
          <w:fldChar w:fldCharType="end"/>
        </w:r>
      </w:hyperlink>
    </w:p>
    <w:p w14:paraId="32D7ADF6" w14:textId="57A392AD"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4" w:history="1">
        <w:r w:rsidR="009E5A64" w:rsidRPr="00B444FB">
          <w:rPr>
            <w:rStyle w:val="Hyperlink"/>
            <w:rFonts w:ascii="Cambria" w:hAnsi="Cambria"/>
            <w:sz w:val="20"/>
            <w:szCs w:val="20"/>
          </w:rPr>
          <w:t>A.</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 xml:space="preserve">Competence, duplication of procedures and international </w:t>
        </w:r>
        <w:r w:rsidR="009E5A64" w:rsidRPr="00B444FB">
          <w:rPr>
            <w:rStyle w:val="Hyperlink"/>
            <w:rFonts w:ascii="Cambria" w:hAnsi="Cambria"/>
            <w:i/>
            <w:sz w:val="20"/>
            <w:szCs w:val="20"/>
          </w:rPr>
          <w:t>res judicata</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_Toc90297864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6</w:t>
        </w:r>
        <w:r w:rsidR="009E5A64" w:rsidRPr="00B444FB">
          <w:rPr>
            <w:rFonts w:ascii="Cambria" w:hAnsi="Cambria"/>
            <w:webHidden/>
            <w:sz w:val="20"/>
            <w:szCs w:val="20"/>
          </w:rPr>
          <w:fldChar w:fldCharType="end"/>
        </w:r>
      </w:hyperlink>
    </w:p>
    <w:p w14:paraId="17398412" w14:textId="5F3C0002"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5" w:history="1">
        <w:r w:rsidR="009E5A64" w:rsidRPr="00B444FB">
          <w:rPr>
            <w:rStyle w:val="Hyperlink"/>
            <w:rFonts w:ascii="Cambria" w:hAnsi="Cambria" w:cs="Tahoma"/>
            <w:sz w:val="20"/>
            <w:szCs w:val="20"/>
          </w:rPr>
          <w:t>B.</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cs="Tahoma"/>
            <w:sz w:val="20"/>
            <w:szCs w:val="20"/>
            <w:shd w:val="clear" w:color="auto" w:fill="FFFFFF"/>
          </w:rPr>
          <w:t>Exhaustion of domestic remedies and timeliness of the petition</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_Toc90297865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6</w:t>
        </w:r>
        <w:r w:rsidR="009E5A64" w:rsidRPr="00B444FB">
          <w:rPr>
            <w:rFonts w:ascii="Cambria" w:hAnsi="Cambria"/>
            <w:webHidden/>
            <w:sz w:val="20"/>
            <w:szCs w:val="20"/>
          </w:rPr>
          <w:fldChar w:fldCharType="end"/>
        </w:r>
      </w:hyperlink>
    </w:p>
    <w:p w14:paraId="148C67E1" w14:textId="0E9B606A"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6" w:history="1">
        <w:r w:rsidR="009E5A64" w:rsidRPr="00B444FB">
          <w:rPr>
            <w:rStyle w:val="Hyperlink"/>
            <w:rFonts w:ascii="Cambria" w:hAnsi="Cambria"/>
            <w:sz w:val="20"/>
            <w:szCs w:val="20"/>
          </w:rPr>
          <w:t>C.</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Colorable claim</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_Toc90297866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7</w:t>
        </w:r>
        <w:r w:rsidR="009E5A64" w:rsidRPr="00B444FB">
          <w:rPr>
            <w:rFonts w:ascii="Cambria" w:hAnsi="Cambria"/>
            <w:webHidden/>
            <w:sz w:val="20"/>
            <w:szCs w:val="20"/>
          </w:rPr>
          <w:fldChar w:fldCharType="end"/>
        </w:r>
      </w:hyperlink>
    </w:p>
    <w:p w14:paraId="6979E533" w14:textId="47755A95" w:rsidR="009E5A64" w:rsidRPr="00B444FB" w:rsidRDefault="00AB074C">
      <w:pPr>
        <w:pStyle w:val="TOC1"/>
        <w:rPr>
          <w:rFonts w:ascii="Cambria" w:eastAsiaTheme="minorEastAsia" w:hAnsi="Cambria" w:cstheme="minorBidi"/>
          <w:b w:val="0"/>
          <w:bdr w:val="none" w:sz="0" w:space="0" w:color="auto"/>
          <w:lang w:val="es-US" w:eastAsia="zh-CN"/>
        </w:rPr>
      </w:pPr>
      <w:hyperlink w:anchor="_Toc90297867" w:history="1">
        <w:r w:rsidR="009E5A64" w:rsidRPr="00B444FB">
          <w:rPr>
            <w:rStyle w:val="Hyperlink"/>
            <w:rFonts w:ascii="Cambria" w:hAnsi="Cambria"/>
          </w:rPr>
          <w:t>IV.</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FINDINGS OF FACT</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_Toc90297867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7</w:t>
        </w:r>
        <w:r w:rsidR="009E5A64" w:rsidRPr="00B444FB">
          <w:rPr>
            <w:rFonts w:ascii="Cambria" w:hAnsi="Cambria"/>
            <w:webHidden/>
          </w:rPr>
          <w:fldChar w:fldCharType="end"/>
        </w:r>
      </w:hyperlink>
    </w:p>
    <w:p w14:paraId="045AB3CB" w14:textId="01C9AEDD"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8" w:history="1">
        <w:r w:rsidR="009E5A64" w:rsidRPr="00B444FB">
          <w:rPr>
            <w:rStyle w:val="Hyperlink"/>
            <w:rFonts w:ascii="Cambria" w:hAnsi="Cambria"/>
            <w:sz w:val="20"/>
            <w:szCs w:val="20"/>
          </w:rPr>
          <w:t>A.</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Facts of the case</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_Toc90297868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7</w:t>
        </w:r>
        <w:r w:rsidR="009E5A64" w:rsidRPr="00B444FB">
          <w:rPr>
            <w:rFonts w:ascii="Cambria" w:hAnsi="Cambria"/>
            <w:webHidden/>
            <w:sz w:val="20"/>
            <w:szCs w:val="20"/>
          </w:rPr>
          <w:fldChar w:fldCharType="end"/>
        </w:r>
      </w:hyperlink>
    </w:p>
    <w:p w14:paraId="26B01331" w14:textId="01B6D207"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69" w:history="1">
        <w:r w:rsidR="009E5A64" w:rsidRPr="00B444FB">
          <w:rPr>
            <w:rStyle w:val="Hyperlink"/>
            <w:rFonts w:ascii="Cambria" w:hAnsi="Cambria"/>
            <w:sz w:val="20"/>
            <w:szCs w:val="20"/>
          </w:rPr>
          <w:t>B.</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Trial and death sentence</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_Toc90297869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8</w:t>
        </w:r>
        <w:r w:rsidR="009E5A64" w:rsidRPr="00B444FB">
          <w:rPr>
            <w:rFonts w:ascii="Cambria" w:hAnsi="Cambria"/>
            <w:webHidden/>
            <w:sz w:val="20"/>
            <w:szCs w:val="20"/>
          </w:rPr>
          <w:fldChar w:fldCharType="end"/>
        </w:r>
      </w:hyperlink>
    </w:p>
    <w:p w14:paraId="4BDD0B3A" w14:textId="3EF17C3E"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70" w:history="1">
        <w:r w:rsidR="009E5A64" w:rsidRPr="00B444FB">
          <w:rPr>
            <w:rStyle w:val="Hyperlink"/>
            <w:rFonts w:ascii="Cambria" w:hAnsi="Cambria"/>
            <w:sz w:val="20"/>
            <w:szCs w:val="20"/>
          </w:rPr>
          <w:t>C.</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Post-conviction</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_Toc90297870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8</w:t>
        </w:r>
        <w:r w:rsidR="009E5A64" w:rsidRPr="00B444FB">
          <w:rPr>
            <w:rFonts w:ascii="Cambria" w:hAnsi="Cambria"/>
            <w:webHidden/>
            <w:sz w:val="20"/>
            <w:szCs w:val="20"/>
          </w:rPr>
          <w:fldChar w:fldCharType="end"/>
        </w:r>
      </w:hyperlink>
    </w:p>
    <w:p w14:paraId="7A049465" w14:textId="639B1A39"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71" w:history="1">
        <w:r w:rsidR="009E5A64" w:rsidRPr="00B444FB">
          <w:rPr>
            <w:rStyle w:val="Hyperlink"/>
            <w:rFonts w:ascii="Cambria" w:hAnsi="Cambria"/>
            <w:sz w:val="20"/>
            <w:szCs w:val="20"/>
          </w:rPr>
          <w:t>D.</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Federal habeas proceedings</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_Toc90297871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9</w:t>
        </w:r>
        <w:r w:rsidR="009E5A64" w:rsidRPr="00B444FB">
          <w:rPr>
            <w:rFonts w:ascii="Cambria" w:hAnsi="Cambria"/>
            <w:webHidden/>
            <w:sz w:val="20"/>
            <w:szCs w:val="20"/>
          </w:rPr>
          <w:fldChar w:fldCharType="end"/>
        </w:r>
      </w:hyperlink>
    </w:p>
    <w:p w14:paraId="1CBDEF37" w14:textId="0D0EB310"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72" w:history="1">
        <w:r w:rsidR="009E5A64" w:rsidRPr="00B444FB">
          <w:rPr>
            <w:rStyle w:val="Hyperlink"/>
            <w:rFonts w:ascii="Cambria" w:hAnsi="Cambria"/>
            <w:sz w:val="20"/>
            <w:szCs w:val="20"/>
          </w:rPr>
          <w:t>E.</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Method of execution</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_Toc90297872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11</w:t>
        </w:r>
        <w:r w:rsidR="009E5A64" w:rsidRPr="00B444FB">
          <w:rPr>
            <w:rFonts w:ascii="Cambria" w:hAnsi="Cambria"/>
            <w:webHidden/>
            <w:sz w:val="20"/>
            <w:szCs w:val="20"/>
          </w:rPr>
          <w:fldChar w:fldCharType="end"/>
        </w:r>
      </w:hyperlink>
    </w:p>
    <w:p w14:paraId="3D8EC2A9" w14:textId="05151C9B" w:rsidR="009E5A64" w:rsidRPr="00B444FB" w:rsidRDefault="00AB074C">
      <w:pPr>
        <w:pStyle w:val="TOC1"/>
        <w:rPr>
          <w:rFonts w:ascii="Cambria" w:eastAsiaTheme="minorEastAsia" w:hAnsi="Cambria" w:cstheme="minorBidi"/>
          <w:b w:val="0"/>
          <w:bdr w:val="none" w:sz="0" w:space="0" w:color="auto"/>
          <w:lang w:val="es-US" w:eastAsia="zh-CN"/>
        </w:rPr>
      </w:pPr>
      <w:hyperlink w:anchor="_Toc90297873" w:history="1">
        <w:r w:rsidR="009E5A64" w:rsidRPr="00B444FB">
          <w:rPr>
            <w:rStyle w:val="Hyperlink"/>
            <w:rFonts w:ascii="Cambria" w:hAnsi="Cambria"/>
          </w:rPr>
          <w:t>V.</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ANALYSIS OF LAW</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_Toc90297873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12</w:t>
        </w:r>
        <w:r w:rsidR="009E5A64" w:rsidRPr="00B444FB">
          <w:rPr>
            <w:rFonts w:ascii="Cambria" w:hAnsi="Cambria"/>
            <w:webHidden/>
          </w:rPr>
          <w:fldChar w:fldCharType="end"/>
        </w:r>
      </w:hyperlink>
    </w:p>
    <w:p w14:paraId="28CE9148" w14:textId="646DC4A5"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74" w:history="1">
        <w:r w:rsidR="009E5A64" w:rsidRPr="00B444FB">
          <w:rPr>
            <w:rStyle w:val="Hyperlink"/>
            <w:rFonts w:ascii="Cambria" w:hAnsi="Cambria"/>
            <w:sz w:val="20"/>
            <w:szCs w:val="20"/>
          </w:rPr>
          <w:t>A.</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Preliminary considerations</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_Toc90297874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12</w:t>
        </w:r>
        <w:r w:rsidR="009E5A64" w:rsidRPr="00B444FB">
          <w:rPr>
            <w:rFonts w:ascii="Cambria" w:hAnsi="Cambria"/>
            <w:webHidden/>
            <w:sz w:val="20"/>
            <w:szCs w:val="20"/>
          </w:rPr>
          <w:fldChar w:fldCharType="end"/>
        </w:r>
      </w:hyperlink>
    </w:p>
    <w:p w14:paraId="17A8405D" w14:textId="41A42A43"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75" w:history="1">
        <w:r w:rsidR="009E5A64" w:rsidRPr="00B444FB">
          <w:rPr>
            <w:rStyle w:val="Hyperlink"/>
            <w:rFonts w:ascii="Cambria" w:hAnsi="Cambria"/>
            <w:sz w:val="20"/>
            <w:szCs w:val="20"/>
          </w:rPr>
          <w:t>B.</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Right to a fair trial and right to due process of law</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_Toc90297875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13</w:t>
        </w:r>
        <w:r w:rsidR="009E5A64" w:rsidRPr="00B444FB">
          <w:rPr>
            <w:rFonts w:ascii="Cambria" w:hAnsi="Cambria"/>
            <w:webHidden/>
            <w:sz w:val="20"/>
            <w:szCs w:val="20"/>
          </w:rPr>
          <w:fldChar w:fldCharType="end"/>
        </w:r>
      </w:hyperlink>
    </w:p>
    <w:p w14:paraId="2CB9F505" w14:textId="43C86272"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76" w:history="1">
        <w:r w:rsidR="009E5A64" w:rsidRPr="00B444FB">
          <w:rPr>
            <w:rStyle w:val="Hyperlink"/>
            <w:rFonts w:ascii="Cambria" w:hAnsi="Cambria"/>
            <w:noProof/>
            <w:sz w:val="20"/>
            <w:szCs w:val="20"/>
          </w:rPr>
          <w:t>1.</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General considerations on the right to consular notification</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_Toc90297876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13</w:t>
        </w:r>
        <w:r w:rsidR="009E5A64" w:rsidRPr="00B444FB">
          <w:rPr>
            <w:rFonts w:ascii="Cambria" w:hAnsi="Cambria"/>
            <w:noProof/>
            <w:webHidden/>
            <w:sz w:val="20"/>
            <w:szCs w:val="20"/>
          </w:rPr>
          <w:fldChar w:fldCharType="end"/>
        </w:r>
      </w:hyperlink>
    </w:p>
    <w:p w14:paraId="74F9945C" w14:textId="148916FA"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77" w:history="1">
        <w:r w:rsidR="009E5A64" w:rsidRPr="00B444FB">
          <w:rPr>
            <w:rStyle w:val="Hyperlink"/>
            <w:rFonts w:ascii="Cambria" w:hAnsi="Cambria"/>
            <w:noProof/>
            <w:sz w:val="20"/>
            <w:szCs w:val="20"/>
          </w:rPr>
          <w:t>2.</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Analysis of the case</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_Toc90297877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14</w:t>
        </w:r>
        <w:r w:rsidR="009E5A64" w:rsidRPr="00B444FB">
          <w:rPr>
            <w:rFonts w:ascii="Cambria" w:hAnsi="Cambria"/>
            <w:noProof/>
            <w:webHidden/>
            <w:sz w:val="20"/>
            <w:szCs w:val="20"/>
          </w:rPr>
          <w:fldChar w:fldCharType="end"/>
        </w:r>
      </w:hyperlink>
    </w:p>
    <w:p w14:paraId="25BD7B92" w14:textId="62589D5B"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78" w:history="1">
        <w:r w:rsidR="009E5A64" w:rsidRPr="00B444FB">
          <w:rPr>
            <w:rStyle w:val="Hyperlink"/>
            <w:rFonts w:ascii="Cambria" w:hAnsi="Cambria"/>
            <w:noProof/>
            <w:sz w:val="20"/>
            <w:szCs w:val="20"/>
          </w:rPr>
          <w:t>3.</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General considerations on ineffective assistance of court-appointed counsel</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_Toc90297878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14</w:t>
        </w:r>
        <w:r w:rsidR="009E5A64" w:rsidRPr="00B444FB">
          <w:rPr>
            <w:rFonts w:ascii="Cambria" w:hAnsi="Cambria"/>
            <w:noProof/>
            <w:webHidden/>
            <w:sz w:val="20"/>
            <w:szCs w:val="20"/>
          </w:rPr>
          <w:fldChar w:fldCharType="end"/>
        </w:r>
      </w:hyperlink>
    </w:p>
    <w:p w14:paraId="713A441D" w14:textId="27893792"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79" w:history="1">
        <w:r w:rsidR="009E5A64" w:rsidRPr="00B444FB">
          <w:rPr>
            <w:rStyle w:val="Hyperlink"/>
            <w:rFonts w:ascii="Cambria" w:hAnsi="Cambria"/>
            <w:noProof/>
            <w:sz w:val="20"/>
            <w:szCs w:val="20"/>
          </w:rPr>
          <w:t>4.</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Analysis of the case</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_Toc90297879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15</w:t>
        </w:r>
        <w:r w:rsidR="009E5A64" w:rsidRPr="00B444FB">
          <w:rPr>
            <w:rFonts w:ascii="Cambria" w:hAnsi="Cambria"/>
            <w:noProof/>
            <w:webHidden/>
            <w:sz w:val="20"/>
            <w:szCs w:val="20"/>
          </w:rPr>
          <w:fldChar w:fldCharType="end"/>
        </w:r>
      </w:hyperlink>
    </w:p>
    <w:p w14:paraId="6353EF97" w14:textId="22A31C9F"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80" w:history="1">
        <w:r w:rsidR="009E5A64" w:rsidRPr="00B444FB">
          <w:rPr>
            <w:rStyle w:val="Hyperlink"/>
            <w:rFonts w:ascii="Cambria" w:hAnsi="Cambria"/>
            <w:noProof/>
            <w:sz w:val="20"/>
            <w:szCs w:val="20"/>
          </w:rPr>
          <w:t>5.</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Confession obtained through coercion and prosecutorial misconduct</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_Toc90297880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15</w:t>
        </w:r>
        <w:r w:rsidR="009E5A64" w:rsidRPr="00B444FB">
          <w:rPr>
            <w:rFonts w:ascii="Cambria" w:hAnsi="Cambria"/>
            <w:noProof/>
            <w:webHidden/>
            <w:sz w:val="20"/>
            <w:szCs w:val="20"/>
          </w:rPr>
          <w:fldChar w:fldCharType="end"/>
        </w:r>
      </w:hyperlink>
    </w:p>
    <w:p w14:paraId="261B52CB" w14:textId="7C9DC90B"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81" w:history="1">
        <w:r w:rsidR="009E5A64" w:rsidRPr="00B444FB">
          <w:rPr>
            <w:rStyle w:val="Hyperlink"/>
            <w:rFonts w:ascii="Cambria" w:hAnsi="Cambria"/>
            <w:sz w:val="20"/>
            <w:szCs w:val="20"/>
          </w:rPr>
          <w:t>C.</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Right to protection from arbitrary arrest and right to equality before the law</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_Toc90297881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16</w:t>
        </w:r>
        <w:r w:rsidR="009E5A64" w:rsidRPr="00B444FB">
          <w:rPr>
            <w:rFonts w:ascii="Cambria" w:hAnsi="Cambria"/>
            <w:webHidden/>
            <w:sz w:val="20"/>
            <w:szCs w:val="20"/>
          </w:rPr>
          <w:fldChar w:fldCharType="end"/>
        </w:r>
      </w:hyperlink>
    </w:p>
    <w:p w14:paraId="0143EE8C" w14:textId="5D4B39A0"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82" w:history="1">
        <w:r w:rsidR="009E5A64" w:rsidRPr="00B444FB">
          <w:rPr>
            <w:rStyle w:val="Hyperlink"/>
            <w:rFonts w:ascii="Cambria" w:hAnsi="Cambria"/>
            <w:sz w:val="20"/>
            <w:szCs w:val="20"/>
          </w:rPr>
          <w:t>D.</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Right not to receive cruel, infamous or unusual punishment</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_Toc90297882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18</w:t>
        </w:r>
        <w:r w:rsidR="009E5A64" w:rsidRPr="00B444FB">
          <w:rPr>
            <w:rFonts w:ascii="Cambria" w:hAnsi="Cambria"/>
            <w:webHidden/>
            <w:sz w:val="20"/>
            <w:szCs w:val="20"/>
          </w:rPr>
          <w:fldChar w:fldCharType="end"/>
        </w:r>
      </w:hyperlink>
    </w:p>
    <w:p w14:paraId="26231833" w14:textId="480368EC"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83" w:history="1">
        <w:r w:rsidR="009E5A64" w:rsidRPr="00B444FB">
          <w:rPr>
            <w:rStyle w:val="Hyperlink"/>
            <w:rFonts w:ascii="Cambria" w:hAnsi="Cambria"/>
            <w:noProof/>
            <w:sz w:val="20"/>
            <w:szCs w:val="20"/>
          </w:rPr>
          <w:t>1.</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Method of execution</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_Toc90297883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19</w:t>
        </w:r>
        <w:r w:rsidR="009E5A64" w:rsidRPr="00B444FB">
          <w:rPr>
            <w:rFonts w:ascii="Cambria" w:hAnsi="Cambria"/>
            <w:noProof/>
            <w:webHidden/>
            <w:sz w:val="20"/>
            <w:szCs w:val="20"/>
          </w:rPr>
          <w:fldChar w:fldCharType="end"/>
        </w:r>
      </w:hyperlink>
    </w:p>
    <w:p w14:paraId="2B641DDE" w14:textId="357947A7" w:rsidR="009E5A64" w:rsidRPr="00B444FB" w:rsidRDefault="00AB074C">
      <w:pPr>
        <w:pStyle w:val="TOC3"/>
        <w:rPr>
          <w:rFonts w:ascii="Cambria" w:eastAsiaTheme="minorEastAsia" w:hAnsi="Cambria" w:cstheme="minorBidi"/>
          <w:noProof/>
          <w:sz w:val="20"/>
          <w:szCs w:val="20"/>
          <w:bdr w:val="none" w:sz="0" w:space="0" w:color="auto"/>
          <w:lang w:val="es-US" w:eastAsia="zh-CN"/>
        </w:rPr>
      </w:pPr>
      <w:hyperlink w:anchor="_Toc90297884" w:history="1">
        <w:r w:rsidR="009E5A64" w:rsidRPr="00B444FB">
          <w:rPr>
            <w:rStyle w:val="Hyperlink"/>
            <w:rFonts w:ascii="Cambria" w:hAnsi="Cambria"/>
            <w:noProof/>
            <w:sz w:val="20"/>
            <w:szCs w:val="20"/>
          </w:rPr>
          <w:t>3.</w:t>
        </w:r>
        <w:r w:rsidR="009E5A64" w:rsidRPr="00B444FB">
          <w:rPr>
            <w:rFonts w:ascii="Cambria" w:eastAsiaTheme="minorEastAsia" w:hAnsi="Cambria" w:cstheme="minorBidi"/>
            <w:noProof/>
            <w:sz w:val="20"/>
            <w:szCs w:val="20"/>
            <w:bdr w:val="none" w:sz="0" w:space="0" w:color="auto"/>
            <w:lang w:val="es-US" w:eastAsia="zh-CN"/>
          </w:rPr>
          <w:tab/>
        </w:r>
        <w:r w:rsidR="009E5A64" w:rsidRPr="00B444FB">
          <w:rPr>
            <w:rStyle w:val="Hyperlink"/>
            <w:rFonts w:ascii="Cambria" w:hAnsi="Cambria"/>
            <w:noProof/>
            <w:sz w:val="20"/>
            <w:szCs w:val="20"/>
          </w:rPr>
          <w:t>The deprivation of liberty on death row</w:t>
        </w:r>
        <w:r w:rsidR="009E5A64" w:rsidRPr="00B444FB">
          <w:rPr>
            <w:rFonts w:ascii="Cambria" w:hAnsi="Cambria"/>
            <w:noProof/>
            <w:webHidden/>
            <w:sz w:val="20"/>
            <w:szCs w:val="20"/>
          </w:rPr>
          <w:tab/>
        </w:r>
        <w:r w:rsidR="009E5A64" w:rsidRPr="00B444FB">
          <w:rPr>
            <w:rFonts w:ascii="Cambria" w:hAnsi="Cambria"/>
            <w:noProof/>
            <w:webHidden/>
            <w:sz w:val="20"/>
            <w:szCs w:val="20"/>
          </w:rPr>
          <w:fldChar w:fldCharType="begin"/>
        </w:r>
        <w:r w:rsidR="009E5A64" w:rsidRPr="00B444FB">
          <w:rPr>
            <w:rFonts w:ascii="Cambria" w:hAnsi="Cambria"/>
            <w:noProof/>
            <w:webHidden/>
            <w:sz w:val="20"/>
            <w:szCs w:val="20"/>
          </w:rPr>
          <w:instrText xml:space="preserve"> PAGEREF _Toc90297884 \h </w:instrText>
        </w:r>
        <w:r w:rsidR="009E5A64" w:rsidRPr="00B444FB">
          <w:rPr>
            <w:rFonts w:ascii="Cambria" w:hAnsi="Cambria"/>
            <w:noProof/>
            <w:webHidden/>
            <w:sz w:val="20"/>
            <w:szCs w:val="20"/>
          </w:rPr>
        </w:r>
        <w:r w:rsidR="009E5A64" w:rsidRPr="00B444FB">
          <w:rPr>
            <w:rFonts w:ascii="Cambria" w:hAnsi="Cambria"/>
            <w:noProof/>
            <w:webHidden/>
            <w:sz w:val="20"/>
            <w:szCs w:val="20"/>
          </w:rPr>
          <w:fldChar w:fldCharType="separate"/>
        </w:r>
        <w:r w:rsidR="009E5A64" w:rsidRPr="00B444FB">
          <w:rPr>
            <w:rFonts w:ascii="Cambria" w:hAnsi="Cambria"/>
            <w:noProof/>
            <w:webHidden/>
            <w:sz w:val="20"/>
            <w:szCs w:val="20"/>
          </w:rPr>
          <w:t>19</w:t>
        </w:r>
        <w:r w:rsidR="009E5A64" w:rsidRPr="00B444FB">
          <w:rPr>
            <w:rFonts w:ascii="Cambria" w:hAnsi="Cambria"/>
            <w:noProof/>
            <w:webHidden/>
            <w:sz w:val="20"/>
            <w:szCs w:val="20"/>
          </w:rPr>
          <w:fldChar w:fldCharType="end"/>
        </w:r>
      </w:hyperlink>
    </w:p>
    <w:p w14:paraId="3ADA9B9D" w14:textId="3C49DA2C" w:rsidR="009E5A64" w:rsidRPr="00B444FB" w:rsidRDefault="00AB074C">
      <w:pPr>
        <w:pStyle w:val="TOC2"/>
        <w:rPr>
          <w:rFonts w:ascii="Cambria" w:eastAsiaTheme="minorEastAsia" w:hAnsi="Cambria" w:cstheme="minorBidi"/>
          <w:sz w:val="20"/>
          <w:szCs w:val="20"/>
          <w:bdr w:val="none" w:sz="0" w:space="0" w:color="auto"/>
          <w:lang w:val="es-US" w:eastAsia="zh-CN"/>
        </w:rPr>
      </w:pPr>
      <w:hyperlink w:anchor="_Toc90297885" w:history="1">
        <w:r w:rsidR="009E5A64" w:rsidRPr="00B444FB">
          <w:rPr>
            <w:rStyle w:val="Hyperlink"/>
            <w:rFonts w:ascii="Cambria" w:hAnsi="Cambria"/>
            <w:sz w:val="20"/>
            <w:szCs w:val="20"/>
          </w:rPr>
          <w:t>2.</w:t>
        </w:r>
        <w:r w:rsidR="009E5A64" w:rsidRPr="00B444FB">
          <w:rPr>
            <w:rFonts w:ascii="Cambria" w:eastAsiaTheme="minorEastAsia" w:hAnsi="Cambria" w:cstheme="minorBidi"/>
            <w:sz w:val="20"/>
            <w:szCs w:val="20"/>
            <w:bdr w:val="none" w:sz="0" w:space="0" w:color="auto"/>
            <w:lang w:val="es-US" w:eastAsia="zh-CN"/>
          </w:rPr>
          <w:tab/>
        </w:r>
        <w:r w:rsidR="009E5A64" w:rsidRPr="00B444FB">
          <w:rPr>
            <w:rStyle w:val="Hyperlink"/>
            <w:rFonts w:ascii="Cambria" w:hAnsi="Cambria"/>
            <w:sz w:val="20"/>
            <w:szCs w:val="20"/>
          </w:rPr>
          <w:t>Right to life and to protection against cruel, infamous or unusual punishment with respect to the eventual execution of José Trinidad Loza Ventura</w:t>
        </w:r>
        <w:r w:rsidR="009E5A64" w:rsidRPr="00B444FB">
          <w:rPr>
            <w:rFonts w:ascii="Cambria" w:hAnsi="Cambria"/>
            <w:webHidden/>
            <w:sz w:val="20"/>
            <w:szCs w:val="20"/>
          </w:rPr>
          <w:tab/>
        </w:r>
        <w:r w:rsidR="009E5A64" w:rsidRPr="00B444FB">
          <w:rPr>
            <w:rFonts w:ascii="Cambria" w:hAnsi="Cambria"/>
            <w:webHidden/>
            <w:sz w:val="20"/>
            <w:szCs w:val="20"/>
          </w:rPr>
          <w:fldChar w:fldCharType="begin"/>
        </w:r>
        <w:r w:rsidR="009E5A64" w:rsidRPr="00B444FB">
          <w:rPr>
            <w:rFonts w:ascii="Cambria" w:hAnsi="Cambria"/>
            <w:webHidden/>
            <w:sz w:val="20"/>
            <w:szCs w:val="20"/>
          </w:rPr>
          <w:instrText xml:space="preserve"> PAGEREF _Toc90297885 \h </w:instrText>
        </w:r>
        <w:r w:rsidR="009E5A64" w:rsidRPr="00B444FB">
          <w:rPr>
            <w:rFonts w:ascii="Cambria" w:hAnsi="Cambria"/>
            <w:webHidden/>
            <w:sz w:val="20"/>
            <w:szCs w:val="20"/>
          </w:rPr>
        </w:r>
        <w:r w:rsidR="009E5A64" w:rsidRPr="00B444FB">
          <w:rPr>
            <w:rFonts w:ascii="Cambria" w:hAnsi="Cambria"/>
            <w:webHidden/>
            <w:sz w:val="20"/>
            <w:szCs w:val="20"/>
          </w:rPr>
          <w:fldChar w:fldCharType="separate"/>
        </w:r>
        <w:r w:rsidR="009E5A64" w:rsidRPr="00B444FB">
          <w:rPr>
            <w:rFonts w:ascii="Cambria" w:hAnsi="Cambria"/>
            <w:webHidden/>
            <w:sz w:val="20"/>
            <w:szCs w:val="20"/>
          </w:rPr>
          <w:t>20</w:t>
        </w:r>
        <w:r w:rsidR="009E5A64" w:rsidRPr="00B444FB">
          <w:rPr>
            <w:rFonts w:ascii="Cambria" w:hAnsi="Cambria"/>
            <w:webHidden/>
            <w:sz w:val="20"/>
            <w:szCs w:val="20"/>
          </w:rPr>
          <w:fldChar w:fldCharType="end"/>
        </w:r>
      </w:hyperlink>
    </w:p>
    <w:p w14:paraId="6F909C94" w14:textId="6D35DA7C" w:rsidR="009E5A64" w:rsidRPr="00B444FB" w:rsidRDefault="00AB074C">
      <w:pPr>
        <w:pStyle w:val="TOC1"/>
        <w:rPr>
          <w:rFonts w:ascii="Cambria" w:eastAsiaTheme="minorEastAsia" w:hAnsi="Cambria" w:cstheme="minorBidi"/>
          <w:b w:val="0"/>
          <w:bdr w:val="none" w:sz="0" w:space="0" w:color="auto"/>
          <w:lang w:val="es-US" w:eastAsia="zh-CN"/>
        </w:rPr>
      </w:pPr>
      <w:hyperlink w:anchor="_Toc90297886" w:history="1">
        <w:r w:rsidR="009E5A64" w:rsidRPr="00B444FB">
          <w:rPr>
            <w:rStyle w:val="Hyperlink"/>
            <w:rFonts w:ascii="Cambria" w:hAnsi="Cambria"/>
          </w:rPr>
          <w:t>VI.</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REPORT No. 243/19 AND INFORMATION ABOUT COMPLIANCE</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_Toc90297886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20</w:t>
        </w:r>
        <w:r w:rsidR="009E5A64" w:rsidRPr="00B444FB">
          <w:rPr>
            <w:rFonts w:ascii="Cambria" w:hAnsi="Cambria"/>
            <w:webHidden/>
          </w:rPr>
          <w:fldChar w:fldCharType="end"/>
        </w:r>
      </w:hyperlink>
    </w:p>
    <w:p w14:paraId="19D3C750" w14:textId="5D69039F" w:rsidR="009E5A64" w:rsidRPr="00B444FB" w:rsidRDefault="00AB074C">
      <w:pPr>
        <w:pStyle w:val="TOC1"/>
        <w:rPr>
          <w:rFonts w:ascii="Cambria" w:eastAsiaTheme="minorEastAsia" w:hAnsi="Cambria" w:cstheme="minorBidi"/>
          <w:b w:val="0"/>
          <w:bdr w:val="none" w:sz="0" w:space="0" w:color="auto"/>
          <w:lang w:val="es-US" w:eastAsia="zh-CN"/>
        </w:rPr>
      </w:pPr>
      <w:hyperlink w:anchor="_Toc90297887" w:history="1">
        <w:r w:rsidR="009E5A64" w:rsidRPr="00B444FB">
          <w:rPr>
            <w:rStyle w:val="Hyperlink"/>
            <w:rFonts w:ascii="Cambria" w:hAnsi="Cambria"/>
          </w:rPr>
          <w:t>VII.</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ACTIONS SUBSEQUENT TO REPORT No. 332/21</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_Toc90297887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21</w:t>
        </w:r>
        <w:r w:rsidR="009E5A64" w:rsidRPr="00B444FB">
          <w:rPr>
            <w:rFonts w:ascii="Cambria" w:hAnsi="Cambria"/>
            <w:webHidden/>
          </w:rPr>
          <w:fldChar w:fldCharType="end"/>
        </w:r>
      </w:hyperlink>
    </w:p>
    <w:p w14:paraId="6C92111D" w14:textId="4F2244CD" w:rsidR="009E5A64" w:rsidRPr="00B444FB" w:rsidRDefault="00AB074C">
      <w:pPr>
        <w:pStyle w:val="TOC1"/>
        <w:rPr>
          <w:rFonts w:ascii="Cambria" w:eastAsiaTheme="minorEastAsia" w:hAnsi="Cambria" w:cstheme="minorBidi"/>
          <w:b w:val="0"/>
          <w:bdr w:val="none" w:sz="0" w:space="0" w:color="auto"/>
          <w:lang w:val="es-US" w:eastAsia="zh-CN"/>
        </w:rPr>
      </w:pPr>
      <w:hyperlink w:anchor="_Toc90297888" w:history="1">
        <w:r w:rsidR="009E5A64" w:rsidRPr="00B444FB">
          <w:rPr>
            <w:rStyle w:val="Hyperlink"/>
            <w:rFonts w:ascii="Cambria" w:hAnsi="Cambria"/>
          </w:rPr>
          <w:t>VIII.</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FINAL CONCLUSIONS AND RECOMMENDATIONS</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_Toc90297888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21</w:t>
        </w:r>
        <w:r w:rsidR="009E5A64" w:rsidRPr="00B444FB">
          <w:rPr>
            <w:rFonts w:ascii="Cambria" w:hAnsi="Cambria"/>
            <w:webHidden/>
          </w:rPr>
          <w:fldChar w:fldCharType="end"/>
        </w:r>
      </w:hyperlink>
    </w:p>
    <w:p w14:paraId="3AA7898F" w14:textId="6EB53F34" w:rsidR="009E5A64" w:rsidRPr="00B444FB" w:rsidRDefault="00AB074C">
      <w:pPr>
        <w:pStyle w:val="TOC1"/>
        <w:rPr>
          <w:rFonts w:ascii="Cambria" w:eastAsiaTheme="minorEastAsia" w:hAnsi="Cambria" w:cstheme="minorBidi"/>
          <w:b w:val="0"/>
          <w:bdr w:val="none" w:sz="0" w:space="0" w:color="auto"/>
          <w:lang w:val="es-US" w:eastAsia="zh-CN"/>
        </w:rPr>
      </w:pPr>
      <w:hyperlink w:anchor="_Toc90297889" w:history="1">
        <w:r w:rsidR="009E5A64" w:rsidRPr="00B444FB">
          <w:rPr>
            <w:rStyle w:val="Hyperlink"/>
            <w:rFonts w:ascii="Cambria" w:hAnsi="Cambria"/>
          </w:rPr>
          <w:t>IX.</w:t>
        </w:r>
        <w:r w:rsidR="009E5A64" w:rsidRPr="00B444FB">
          <w:rPr>
            <w:rFonts w:ascii="Cambria" w:eastAsiaTheme="minorEastAsia" w:hAnsi="Cambria" w:cstheme="minorBidi"/>
            <w:b w:val="0"/>
            <w:bdr w:val="none" w:sz="0" w:space="0" w:color="auto"/>
            <w:lang w:val="es-US" w:eastAsia="zh-CN"/>
          </w:rPr>
          <w:tab/>
        </w:r>
        <w:r w:rsidR="009E5A64" w:rsidRPr="00B444FB">
          <w:rPr>
            <w:rStyle w:val="Hyperlink"/>
            <w:rFonts w:ascii="Cambria" w:hAnsi="Cambria"/>
          </w:rPr>
          <w:t>PUBLICATION</w:t>
        </w:r>
        <w:r w:rsidR="009E5A64" w:rsidRPr="00B444FB">
          <w:rPr>
            <w:rFonts w:ascii="Cambria" w:hAnsi="Cambria"/>
            <w:webHidden/>
          </w:rPr>
          <w:tab/>
        </w:r>
        <w:r w:rsidR="009E5A64" w:rsidRPr="00B444FB">
          <w:rPr>
            <w:rFonts w:ascii="Cambria" w:hAnsi="Cambria"/>
            <w:webHidden/>
          </w:rPr>
          <w:fldChar w:fldCharType="begin"/>
        </w:r>
        <w:r w:rsidR="009E5A64" w:rsidRPr="00B444FB">
          <w:rPr>
            <w:rFonts w:ascii="Cambria" w:hAnsi="Cambria"/>
            <w:webHidden/>
          </w:rPr>
          <w:instrText xml:space="preserve"> PAGEREF _Toc90297889 \h </w:instrText>
        </w:r>
        <w:r w:rsidR="009E5A64" w:rsidRPr="00B444FB">
          <w:rPr>
            <w:rFonts w:ascii="Cambria" w:hAnsi="Cambria"/>
            <w:webHidden/>
          </w:rPr>
        </w:r>
        <w:r w:rsidR="009E5A64" w:rsidRPr="00B444FB">
          <w:rPr>
            <w:rFonts w:ascii="Cambria" w:hAnsi="Cambria"/>
            <w:webHidden/>
          </w:rPr>
          <w:fldChar w:fldCharType="separate"/>
        </w:r>
        <w:r w:rsidR="009E5A64" w:rsidRPr="00B444FB">
          <w:rPr>
            <w:rFonts w:ascii="Cambria" w:hAnsi="Cambria"/>
            <w:webHidden/>
          </w:rPr>
          <w:t>22</w:t>
        </w:r>
        <w:r w:rsidR="009E5A64" w:rsidRPr="00B444FB">
          <w:rPr>
            <w:rFonts w:ascii="Cambria" w:hAnsi="Cambria"/>
            <w:webHidden/>
          </w:rPr>
          <w:fldChar w:fldCharType="end"/>
        </w:r>
      </w:hyperlink>
    </w:p>
    <w:p w14:paraId="23B1F617" w14:textId="48550EE3" w:rsidR="007607C4" w:rsidRPr="005C0994" w:rsidRDefault="00DA36AE" w:rsidP="00145EDC">
      <w:pPr>
        <w:tabs>
          <w:tab w:val="center" w:pos="5400"/>
        </w:tabs>
        <w:suppressAutoHyphens/>
        <w:spacing w:line="276" w:lineRule="auto"/>
        <w:rPr>
          <w:rFonts w:asciiTheme="majorHAnsi" w:hAnsiTheme="majorHAnsi"/>
          <w:sz w:val="20"/>
          <w:szCs w:val="20"/>
        </w:rPr>
      </w:pPr>
      <w:r w:rsidRPr="00B444FB">
        <w:rPr>
          <w:rFonts w:ascii="Cambria" w:hAnsi="Cambria"/>
          <w:sz w:val="20"/>
          <w:szCs w:val="20"/>
        </w:rPr>
        <w:fldChar w:fldCharType="end"/>
      </w:r>
    </w:p>
    <w:p w14:paraId="7D3A9A62" w14:textId="77777777" w:rsidR="007607C4" w:rsidRPr="005C0994" w:rsidRDefault="007607C4" w:rsidP="00145EDC">
      <w:pPr>
        <w:tabs>
          <w:tab w:val="center" w:pos="5400"/>
        </w:tabs>
        <w:suppressAutoHyphens/>
        <w:spacing w:line="276" w:lineRule="auto"/>
        <w:rPr>
          <w:rFonts w:asciiTheme="majorHAnsi" w:hAnsiTheme="majorHAnsi"/>
          <w:sz w:val="20"/>
          <w:szCs w:val="20"/>
        </w:rPr>
      </w:pPr>
    </w:p>
    <w:p w14:paraId="4C418D20" w14:textId="77777777" w:rsidR="00DE01CB" w:rsidRPr="005C0994" w:rsidRDefault="00DE01CB" w:rsidP="00145EDC">
      <w:pPr>
        <w:tabs>
          <w:tab w:val="center" w:pos="5400"/>
        </w:tabs>
        <w:suppressAutoHyphens/>
        <w:spacing w:line="276" w:lineRule="auto"/>
        <w:rPr>
          <w:rFonts w:asciiTheme="majorHAnsi" w:hAnsiTheme="majorHAnsi"/>
          <w:sz w:val="20"/>
          <w:szCs w:val="20"/>
        </w:rPr>
      </w:pPr>
    </w:p>
    <w:p w14:paraId="09CFD148" w14:textId="77777777" w:rsidR="00DE01CB" w:rsidRPr="005C0994" w:rsidRDefault="00DE01CB" w:rsidP="00145EDC">
      <w:pPr>
        <w:tabs>
          <w:tab w:val="center" w:pos="5400"/>
        </w:tabs>
        <w:suppressAutoHyphens/>
        <w:spacing w:line="276" w:lineRule="auto"/>
        <w:rPr>
          <w:rFonts w:asciiTheme="majorHAnsi" w:hAnsiTheme="majorHAnsi"/>
          <w:sz w:val="20"/>
          <w:szCs w:val="20"/>
        </w:rPr>
      </w:pPr>
    </w:p>
    <w:p w14:paraId="049C63AB" w14:textId="77777777" w:rsidR="00DE01CB" w:rsidRPr="005C0994" w:rsidRDefault="00DE01CB" w:rsidP="00145EDC">
      <w:pPr>
        <w:tabs>
          <w:tab w:val="center" w:pos="5400"/>
        </w:tabs>
        <w:suppressAutoHyphens/>
        <w:spacing w:line="276" w:lineRule="auto"/>
        <w:rPr>
          <w:rFonts w:asciiTheme="majorHAnsi" w:hAnsiTheme="majorHAnsi"/>
          <w:sz w:val="20"/>
          <w:szCs w:val="20"/>
        </w:rPr>
      </w:pPr>
    </w:p>
    <w:p w14:paraId="4F6F56AE" w14:textId="77777777" w:rsidR="00074893" w:rsidRPr="005C0994" w:rsidRDefault="00074893">
      <w:pPr>
        <w:rPr>
          <w:rFonts w:asciiTheme="majorHAnsi" w:eastAsiaTheme="majorEastAsia" w:hAnsiTheme="majorHAnsi" w:cstheme="majorBidi"/>
          <w:b/>
          <w:bCs/>
          <w:sz w:val="20"/>
          <w:szCs w:val="20"/>
        </w:rPr>
      </w:pPr>
      <w:r w:rsidRPr="005C0994">
        <w:rPr>
          <w:sz w:val="20"/>
          <w:szCs w:val="20"/>
        </w:rPr>
        <w:br w:type="page"/>
      </w:r>
    </w:p>
    <w:p w14:paraId="7D5D43B3" w14:textId="77777777" w:rsidR="001C4006" w:rsidRPr="005C0994" w:rsidRDefault="00830E88" w:rsidP="003676F1">
      <w:pPr>
        <w:pStyle w:val="Heading1"/>
        <w:tabs>
          <w:tab w:val="left" w:pos="360"/>
        </w:tabs>
        <w:spacing w:before="0"/>
        <w:ind w:hanging="720"/>
        <w:rPr>
          <w:color w:val="auto"/>
          <w:sz w:val="20"/>
          <w:szCs w:val="20"/>
        </w:rPr>
      </w:pPr>
      <w:bookmarkStart w:id="0" w:name="_Toc90297859"/>
      <w:r w:rsidRPr="005C0994">
        <w:rPr>
          <w:color w:val="auto"/>
          <w:sz w:val="20"/>
          <w:szCs w:val="20"/>
        </w:rPr>
        <w:lastRenderedPageBreak/>
        <w:t>INTRODUCTION</w:t>
      </w:r>
      <w:bookmarkEnd w:id="0"/>
      <w:r w:rsidR="001C4006" w:rsidRPr="005C0994">
        <w:rPr>
          <w:color w:val="auto"/>
          <w:sz w:val="20"/>
          <w:szCs w:val="20"/>
        </w:rPr>
        <w:t xml:space="preserve"> </w:t>
      </w:r>
    </w:p>
    <w:p w14:paraId="7DFB18D8" w14:textId="77777777" w:rsidR="001C4006" w:rsidRPr="005C0994" w:rsidRDefault="001C4006" w:rsidP="00BB5A59">
      <w:pPr>
        <w:suppressAutoHyphens/>
        <w:ind w:left="1440" w:hanging="720"/>
        <w:rPr>
          <w:rFonts w:asciiTheme="majorHAnsi" w:hAnsiTheme="majorHAnsi"/>
          <w:b/>
          <w:sz w:val="20"/>
          <w:szCs w:val="20"/>
        </w:rPr>
      </w:pPr>
    </w:p>
    <w:p w14:paraId="24F50930" w14:textId="784EA6D5" w:rsidR="001C4006" w:rsidRPr="005C0994" w:rsidRDefault="001C4006"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On </w:t>
      </w:r>
      <w:r w:rsidR="00AA07DC" w:rsidRPr="005C0994">
        <w:rPr>
          <w:rFonts w:asciiTheme="majorHAnsi" w:hAnsiTheme="majorHAnsi"/>
          <w:sz w:val="20"/>
          <w:szCs w:val="20"/>
        </w:rPr>
        <w:t xml:space="preserve">July </w:t>
      </w:r>
      <w:r w:rsidR="00E018BA" w:rsidRPr="005C0994">
        <w:rPr>
          <w:rFonts w:asciiTheme="majorHAnsi" w:hAnsiTheme="majorHAnsi"/>
          <w:sz w:val="20"/>
          <w:szCs w:val="20"/>
        </w:rPr>
        <w:t>17</w:t>
      </w:r>
      <w:r w:rsidR="00AA07DC" w:rsidRPr="005C0994">
        <w:rPr>
          <w:rFonts w:asciiTheme="majorHAnsi" w:hAnsiTheme="majorHAnsi"/>
          <w:sz w:val="20"/>
          <w:szCs w:val="20"/>
        </w:rPr>
        <w:t>, 2015</w:t>
      </w:r>
      <w:r w:rsidR="0007716F" w:rsidRPr="005C0994">
        <w:rPr>
          <w:rFonts w:asciiTheme="majorHAnsi" w:hAnsiTheme="majorHAnsi"/>
          <w:sz w:val="20"/>
          <w:szCs w:val="20"/>
        </w:rPr>
        <w:t xml:space="preserve">, </w:t>
      </w:r>
      <w:r w:rsidRPr="005C0994">
        <w:rPr>
          <w:rFonts w:asciiTheme="majorHAnsi" w:hAnsiTheme="majorHAnsi"/>
          <w:sz w:val="20"/>
          <w:szCs w:val="20"/>
        </w:rPr>
        <w:t>the Inter-American Commission on Human Rights (the “Inter-American Commission”</w:t>
      </w:r>
      <w:r w:rsidR="004D4E01" w:rsidRPr="005C0994">
        <w:rPr>
          <w:rFonts w:asciiTheme="majorHAnsi" w:hAnsiTheme="majorHAnsi"/>
          <w:sz w:val="20"/>
          <w:szCs w:val="20"/>
        </w:rPr>
        <w:t>, “Commission”</w:t>
      </w:r>
      <w:r w:rsidRPr="005C0994">
        <w:rPr>
          <w:rFonts w:asciiTheme="majorHAnsi" w:hAnsiTheme="majorHAnsi"/>
          <w:sz w:val="20"/>
          <w:szCs w:val="20"/>
        </w:rPr>
        <w:t xml:space="preserve"> or “IACHR”) received a petition</w:t>
      </w:r>
      <w:r w:rsidR="00444596" w:rsidRPr="005C0994">
        <w:rPr>
          <w:rFonts w:asciiTheme="majorHAnsi" w:hAnsiTheme="majorHAnsi"/>
          <w:sz w:val="20"/>
          <w:szCs w:val="20"/>
        </w:rPr>
        <w:t xml:space="preserve"> </w:t>
      </w:r>
      <w:r w:rsidR="00B24A00" w:rsidRPr="005C0994">
        <w:rPr>
          <w:rFonts w:asciiTheme="majorHAnsi" w:hAnsiTheme="majorHAnsi"/>
          <w:sz w:val="20"/>
          <w:szCs w:val="20"/>
        </w:rPr>
        <w:t>and request for precautionary measures</w:t>
      </w:r>
      <w:r w:rsidR="00B24A00" w:rsidRPr="005C0994">
        <w:rPr>
          <w:rStyle w:val="FootnoteReference"/>
          <w:rFonts w:asciiTheme="majorHAnsi" w:hAnsiTheme="majorHAnsi"/>
          <w:sz w:val="20"/>
          <w:szCs w:val="20"/>
        </w:rPr>
        <w:footnoteReference w:id="2"/>
      </w:r>
      <w:r w:rsidR="00B24A00" w:rsidRPr="005C0994">
        <w:rPr>
          <w:rFonts w:asciiTheme="majorHAnsi" w:hAnsiTheme="majorHAnsi"/>
          <w:sz w:val="20"/>
          <w:szCs w:val="20"/>
        </w:rPr>
        <w:t xml:space="preserve"> </w:t>
      </w:r>
      <w:r w:rsidR="00444596" w:rsidRPr="005C0994">
        <w:rPr>
          <w:rFonts w:asciiTheme="majorHAnsi" w:hAnsiTheme="majorHAnsi"/>
          <w:sz w:val="20"/>
          <w:szCs w:val="20"/>
        </w:rPr>
        <w:t xml:space="preserve">submitted by </w:t>
      </w:r>
      <w:r w:rsidR="00DE0893" w:rsidRPr="005C0994">
        <w:rPr>
          <w:rFonts w:asciiTheme="majorHAnsi" w:hAnsiTheme="majorHAnsi"/>
          <w:sz w:val="20"/>
          <w:szCs w:val="20"/>
        </w:rPr>
        <w:t>Sandr</w:t>
      </w:r>
      <w:r w:rsidR="002B5794" w:rsidRPr="005C0994">
        <w:rPr>
          <w:rFonts w:asciiTheme="majorHAnsi" w:hAnsiTheme="majorHAnsi"/>
          <w:sz w:val="20"/>
          <w:szCs w:val="20"/>
        </w:rPr>
        <w:t xml:space="preserve">a </w:t>
      </w:r>
      <w:r w:rsidR="00DE0893" w:rsidRPr="005C0994">
        <w:rPr>
          <w:rFonts w:asciiTheme="majorHAnsi" w:hAnsiTheme="majorHAnsi"/>
          <w:sz w:val="20"/>
          <w:szCs w:val="20"/>
        </w:rPr>
        <w:t xml:space="preserve"> Babcock</w:t>
      </w:r>
      <w:r w:rsidR="00016B44" w:rsidRPr="005C0994">
        <w:rPr>
          <w:rFonts w:asciiTheme="majorHAnsi" w:hAnsiTheme="majorHAnsi"/>
          <w:sz w:val="20"/>
          <w:szCs w:val="20"/>
        </w:rPr>
        <w:t xml:space="preserve">, Laurence E. </w:t>
      </w:r>
      <w:proofErr w:type="spellStart"/>
      <w:r w:rsidR="00016B44" w:rsidRPr="005C0994">
        <w:rPr>
          <w:rFonts w:asciiTheme="majorHAnsi" w:hAnsiTheme="majorHAnsi"/>
          <w:sz w:val="20"/>
          <w:szCs w:val="20"/>
        </w:rPr>
        <w:t>Komp</w:t>
      </w:r>
      <w:proofErr w:type="spellEnd"/>
      <w:r w:rsidR="00016B44" w:rsidRPr="005C0994">
        <w:rPr>
          <w:rFonts w:asciiTheme="majorHAnsi" w:hAnsiTheme="majorHAnsi"/>
          <w:sz w:val="20"/>
          <w:szCs w:val="20"/>
        </w:rPr>
        <w:t xml:space="preserve"> and </w:t>
      </w:r>
      <w:r w:rsidR="00221704" w:rsidRPr="005C0994">
        <w:rPr>
          <w:rFonts w:asciiTheme="majorHAnsi" w:hAnsiTheme="majorHAnsi"/>
          <w:sz w:val="20"/>
          <w:szCs w:val="20"/>
        </w:rPr>
        <w:t>James A</w:t>
      </w:r>
      <w:r w:rsidR="00B444FB">
        <w:rPr>
          <w:rFonts w:asciiTheme="majorHAnsi" w:hAnsiTheme="majorHAnsi"/>
          <w:sz w:val="20"/>
          <w:szCs w:val="20"/>
        </w:rPr>
        <w:t>.</w:t>
      </w:r>
      <w:r w:rsidR="00221704" w:rsidRPr="005C0994">
        <w:rPr>
          <w:rFonts w:asciiTheme="majorHAnsi" w:hAnsiTheme="majorHAnsi"/>
          <w:sz w:val="20"/>
          <w:szCs w:val="20"/>
        </w:rPr>
        <w:t xml:space="preserve"> Wilson </w:t>
      </w:r>
      <w:r w:rsidR="00A649AE" w:rsidRPr="005C0994">
        <w:rPr>
          <w:rFonts w:asciiTheme="majorHAnsi" w:hAnsiTheme="majorHAnsi"/>
          <w:sz w:val="20"/>
          <w:szCs w:val="20"/>
        </w:rPr>
        <w:t>(the “petitioner</w:t>
      </w:r>
      <w:r w:rsidR="00221704" w:rsidRPr="005C0994">
        <w:rPr>
          <w:rFonts w:asciiTheme="majorHAnsi" w:hAnsiTheme="majorHAnsi"/>
          <w:sz w:val="20"/>
          <w:szCs w:val="20"/>
        </w:rPr>
        <w:t>s</w:t>
      </w:r>
      <w:r w:rsidR="00244E7D" w:rsidRPr="005C0994">
        <w:rPr>
          <w:rFonts w:asciiTheme="majorHAnsi" w:hAnsiTheme="majorHAnsi"/>
          <w:sz w:val="20"/>
          <w:szCs w:val="20"/>
        </w:rPr>
        <w:t>”)</w:t>
      </w:r>
      <w:r w:rsidR="009F7E41" w:rsidRPr="005C0994">
        <w:rPr>
          <w:rFonts w:asciiTheme="majorHAnsi" w:hAnsiTheme="majorHAnsi"/>
          <w:sz w:val="20"/>
          <w:szCs w:val="20"/>
        </w:rPr>
        <w:t>,</w:t>
      </w:r>
      <w:r w:rsidR="0076495F" w:rsidRPr="005C0994">
        <w:rPr>
          <w:rFonts w:asciiTheme="majorHAnsi" w:hAnsiTheme="majorHAnsi"/>
          <w:sz w:val="20"/>
          <w:szCs w:val="20"/>
        </w:rPr>
        <w:t xml:space="preserve"> </w:t>
      </w:r>
      <w:r w:rsidRPr="005C0994">
        <w:rPr>
          <w:rFonts w:asciiTheme="majorHAnsi" w:hAnsiTheme="majorHAnsi"/>
          <w:sz w:val="20"/>
          <w:szCs w:val="20"/>
        </w:rPr>
        <w:t>alleg</w:t>
      </w:r>
      <w:r w:rsidR="00E86EAF" w:rsidRPr="005C0994">
        <w:rPr>
          <w:rFonts w:asciiTheme="majorHAnsi" w:hAnsiTheme="majorHAnsi"/>
          <w:sz w:val="20"/>
          <w:szCs w:val="20"/>
        </w:rPr>
        <w:t xml:space="preserve">ing </w:t>
      </w:r>
      <w:r w:rsidRPr="005C0994">
        <w:rPr>
          <w:rFonts w:asciiTheme="majorHAnsi" w:hAnsiTheme="majorHAnsi"/>
          <w:sz w:val="20"/>
          <w:szCs w:val="20"/>
        </w:rPr>
        <w:t xml:space="preserve">the international responsibility of </w:t>
      </w:r>
      <w:r w:rsidR="0046072C" w:rsidRPr="005C0994">
        <w:rPr>
          <w:rFonts w:asciiTheme="majorHAnsi" w:hAnsiTheme="majorHAnsi"/>
          <w:sz w:val="20"/>
          <w:szCs w:val="20"/>
        </w:rPr>
        <w:t>the United States of America</w:t>
      </w:r>
      <w:r w:rsidRPr="005C0994">
        <w:rPr>
          <w:rFonts w:asciiTheme="majorHAnsi" w:hAnsiTheme="majorHAnsi"/>
          <w:sz w:val="20"/>
          <w:szCs w:val="20"/>
        </w:rPr>
        <w:t xml:space="preserve"> (the “State” or “</w:t>
      </w:r>
      <w:r w:rsidR="0046072C" w:rsidRPr="005C0994">
        <w:rPr>
          <w:rFonts w:asciiTheme="majorHAnsi" w:hAnsiTheme="majorHAnsi"/>
          <w:sz w:val="20"/>
          <w:szCs w:val="20"/>
        </w:rPr>
        <w:t>the United States</w:t>
      </w:r>
      <w:r w:rsidRPr="005C0994">
        <w:rPr>
          <w:rFonts w:asciiTheme="majorHAnsi" w:hAnsiTheme="majorHAnsi"/>
          <w:sz w:val="20"/>
          <w:szCs w:val="20"/>
        </w:rPr>
        <w:t xml:space="preserve">”) for </w:t>
      </w:r>
      <w:r w:rsidR="00F769C7" w:rsidRPr="005C0994">
        <w:rPr>
          <w:rFonts w:asciiTheme="majorHAnsi" w:hAnsiTheme="majorHAnsi"/>
          <w:sz w:val="20"/>
          <w:szCs w:val="20"/>
        </w:rPr>
        <w:t xml:space="preserve">the </w:t>
      </w:r>
      <w:r w:rsidRPr="005C0994">
        <w:rPr>
          <w:rFonts w:asciiTheme="majorHAnsi" w:hAnsiTheme="majorHAnsi"/>
          <w:sz w:val="20"/>
          <w:szCs w:val="20"/>
        </w:rPr>
        <w:t>violation of the right</w:t>
      </w:r>
      <w:r w:rsidR="00706D7E" w:rsidRPr="005C0994">
        <w:rPr>
          <w:rFonts w:asciiTheme="majorHAnsi" w:hAnsiTheme="majorHAnsi"/>
          <w:sz w:val="20"/>
          <w:szCs w:val="20"/>
        </w:rPr>
        <w:t>s</w:t>
      </w:r>
      <w:r w:rsidRPr="005C0994">
        <w:rPr>
          <w:rFonts w:asciiTheme="majorHAnsi" w:hAnsiTheme="majorHAnsi"/>
          <w:sz w:val="20"/>
          <w:szCs w:val="20"/>
        </w:rPr>
        <w:t xml:space="preserve"> of </w:t>
      </w:r>
      <w:r w:rsidR="001D02D5" w:rsidRPr="005C0994">
        <w:rPr>
          <w:rFonts w:asciiTheme="majorHAnsi" w:hAnsiTheme="majorHAnsi"/>
          <w:sz w:val="20"/>
          <w:szCs w:val="20"/>
        </w:rPr>
        <w:t>José</w:t>
      </w:r>
      <w:r w:rsidR="00DE0893" w:rsidRPr="005C0994">
        <w:rPr>
          <w:rFonts w:asciiTheme="majorHAnsi" w:hAnsiTheme="majorHAnsi"/>
          <w:sz w:val="20"/>
          <w:szCs w:val="20"/>
        </w:rPr>
        <w:t xml:space="preserve"> Trinidad </w:t>
      </w:r>
      <w:proofErr w:type="spellStart"/>
      <w:r w:rsidR="00DE0893" w:rsidRPr="005C0994">
        <w:rPr>
          <w:rFonts w:asciiTheme="majorHAnsi" w:hAnsiTheme="majorHAnsi"/>
          <w:sz w:val="20"/>
          <w:szCs w:val="20"/>
        </w:rPr>
        <w:t>Loza</w:t>
      </w:r>
      <w:proofErr w:type="spellEnd"/>
      <w:r w:rsidR="00DE0893" w:rsidRPr="005C0994">
        <w:rPr>
          <w:rFonts w:asciiTheme="majorHAnsi" w:hAnsiTheme="majorHAnsi"/>
          <w:sz w:val="20"/>
          <w:szCs w:val="20"/>
        </w:rPr>
        <w:t xml:space="preserve"> Ventura</w:t>
      </w:r>
      <w:r w:rsidR="00F769C7" w:rsidRPr="005C0994">
        <w:rPr>
          <w:rFonts w:asciiTheme="majorHAnsi" w:hAnsiTheme="majorHAnsi"/>
          <w:sz w:val="20"/>
          <w:szCs w:val="20"/>
        </w:rPr>
        <w:t xml:space="preserve"> (“Mr. </w:t>
      </w:r>
      <w:proofErr w:type="spellStart"/>
      <w:r w:rsidR="00B74BBA" w:rsidRPr="005C0994">
        <w:rPr>
          <w:rFonts w:asciiTheme="majorHAnsi" w:hAnsiTheme="majorHAnsi"/>
          <w:sz w:val="20"/>
          <w:szCs w:val="20"/>
        </w:rPr>
        <w:t>Loza</w:t>
      </w:r>
      <w:proofErr w:type="spellEnd"/>
      <w:r w:rsidR="00F769C7" w:rsidRPr="005C0994">
        <w:rPr>
          <w:rFonts w:asciiTheme="majorHAnsi" w:hAnsiTheme="majorHAnsi"/>
          <w:sz w:val="20"/>
          <w:szCs w:val="20"/>
        </w:rPr>
        <w:t>”)</w:t>
      </w:r>
      <w:r w:rsidR="00D20D54" w:rsidRPr="005C0994">
        <w:rPr>
          <w:rFonts w:asciiTheme="majorHAnsi" w:hAnsiTheme="majorHAnsi"/>
          <w:sz w:val="20"/>
          <w:szCs w:val="20"/>
        </w:rPr>
        <w:t xml:space="preserve">, </w:t>
      </w:r>
      <w:r w:rsidR="00706D7E" w:rsidRPr="005C0994">
        <w:rPr>
          <w:rFonts w:asciiTheme="majorHAnsi" w:hAnsiTheme="majorHAnsi"/>
          <w:sz w:val="20"/>
          <w:szCs w:val="20"/>
        </w:rPr>
        <w:t>a</w:t>
      </w:r>
      <w:r w:rsidR="0053134C" w:rsidRPr="005C0994">
        <w:rPr>
          <w:rFonts w:asciiTheme="majorHAnsi" w:hAnsiTheme="majorHAnsi"/>
          <w:sz w:val="20"/>
          <w:szCs w:val="20"/>
        </w:rPr>
        <w:t xml:space="preserve"> </w:t>
      </w:r>
      <w:r w:rsidR="00DE0893" w:rsidRPr="005C0994">
        <w:rPr>
          <w:rFonts w:asciiTheme="majorHAnsi" w:hAnsiTheme="majorHAnsi"/>
          <w:sz w:val="20"/>
          <w:szCs w:val="20"/>
        </w:rPr>
        <w:t>Mexican</w:t>
      </w:r>
      <w:r w:rsidR="0053134C" w:rsidRPr="005C0994">
        <w:rPr>
          <w:rFonts w:asciiTheme="majorHAnsi" w:hAnsiTheme="majorHAnsi"/>
          <w:sz w:val="20"/>
          <w:szCs w:val="20"/>
        </w:rPr>
        <w:t xml:space="preserve"> </w:t>
      </w:r>
      <w:r w:rsidR="002B5794" w:rsidRPr="005C0994">
        <w:rPr>
          <w:rFonts w:asciiTheme="majorHAnsi" w:hAnsiTheme="majorHAnsi"/>
          <w:sz w:val="20"/>
          <w:szCs w:val="20"/>
        </w:rPr>
        <w:t>national</w:t>
      </w:r>
      <w:r w:rsidR="0053134C" w:rsidRPr="005C0994">
        <w:rPr>
          <w:rFonts w:asciiTheme="majorHAnsi" w:hAnsiTheme="majorHAnsi"/>
          <w:sz w:val="20"/>
          <w:szCs w:val="20"/>
        </w:rPr>
        <w:t xml:space="preserve"> </w:t>
      </w:r>
      <w:r w:rsidR="00244E7D" w:rsidRPr="005C0994">
        <w:rPr>
          <w:rFonts w:asciiTheme="majorHAnsi" w:hAnsiTheme="majorHAnsi"/>
          <w:sz w:val="20"/>
          <w:szCs w:val="20"/>
        </w:rPr>
        <w:t xml:space="preserve">who </w:t>
      </w:r>
      <w:r w:rsidR="00DE0893" w:rsidRPr="005C0994">
        <w:rPr>
          <w:rFonts w:asciiTheme="majorHAnsi" w:hAnsiTheme="majorHAnsi"/>
          <w:sz w:val="20"/>
          <w:szCs w:val="20"/>
        </w:rPr>
        <w:t>was sentenced to</w:t>
      </w:r>
      <w:r w:rsidR="00244E7D" w:rsidRPr="005C0994">
        <w:rPr>
          <w:rFonts w:asciiTheme="majorHAnsi" w:hAnsiTheme="majorHAnsi"/>
          <w:sz w:val="20"/>
          <w:szCs w:val="20"/>
        </w:rPr>
        <w:t xml:space="preserve"> death </w:t>
      </w:r>
      <w:r w:rsidR="0053134C" w:rsidRPr="005C0994">
        <w:rPr>
          <w:rFonts w:asciiTheme="majorHAnsi" w:hAnsiTheme="majorHAnsi"/>
          <w:sz w:val="20"/>
          <w:szCs w:val="20"/>
        </w:rPr>
        <w:t xml:space="preserve">in the state of </w:t>
      </w:r>
      <w:r w:rsidR="00DE0893" w:rsidRPr="005C0994">
        <w:rPr>
          <w:rFonts w:asciiTheme="majorHAnsi" w:hAnsiTheme="majorHAnsi"/>
          <w:sz w:val="20"/>
          <w:szCs w:val="20"/>
        </w:rPr>
        <w:t>Ohio</w:t>
      </w:r>
      <w:r w:rsidRPr="005C0994">
        <w:rPr>
          <w:rFonts w:asciiTheme="majorHAnsi" w:hAnsiTheme="majorHAnsi"/>
          <w:sz w:val="20"/>
          <w:szCs w:val="20"/>
        </w:rPr>
        <w:t xml:space="preserve">. </w:t>
      </w:r>
    </w:p>
    <w:p w14:paraId="676E2D82" w14:textId="77777777" w:rsidR="001C4006" w:rsidRPr="005C0994"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14:paraId="08D4C17A" w14:textId="77777777" w:rsidR="001C4006" w:rsidRPr="005C0994" w:rsidRDefault="00BE1B7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On </w:t>
      </w:r>
      <w:r w:rsidR="001D02D5" w:rsidRPr="005C0994">
        <w:rPr>
          <w:rFonts w:asciiTheme="majorHAnsi" w:hAnsiTheme="majorHAnsi"/>
          <w:sz w:val="20"/>
          <w:szCs w:val="20"/>
        </w:rPr>
        <w:t xml:space="preserve">October </w:t>
      </w:r>
      <w:r w:rsidR="00AD73A3" w:rsidRPr="005C0994">
        <w:rPr>
          <w:rFonts w:asciiTheme="majorHAnsi" w:hAnsiTheme="majorHAnsi"/>
          <w:sz w:val="20"/>
          <w:szCs w:val="20"/>
        </w:rPr>
        <w:t>1</w:t>
      </w:r>
      <w:r w:rsidR="001D02D5" w:rsidRPr="005C0994">
        <w:rPr>
          <w:rFonts w:asciiTheme="majorHAnsi" w:hAnsiTheme="majorHAnsi"/>
          <w:sz w:val="20"/>
          <w:szCs w:val="20"/>
        </w:rPr>
        <w:t>8</w:t>
      </w:r>
      <w:r w:rsidR="004810B3" w:rsidRPr="005C0994">
        <w:rPr>
          <w:rFonts w:asciiTheme="majorHAnsi" w:hAnsiTheme="majorHAnsi"/>
          <w:sz w:val="20"/>
          <w:szCs w:val="20"/>
        </w:rPr>
        <w:t>,</w:t>
      </w:r>
      <w:r w:rsidR="001D02D5" w:rsidRPr="005C0994">
        <w:rPr>
          <w:rFonts w:asciiTheme="majorHAnsi" w:hAnsiTheme="majorHAnsi"/>
          <w:sz w:val="20"/>
          <w:szCs w:val="20"/>
        </w:rPr>
        <w:t xml:space="preserve"> 2016</w:t>
      </w:r>
      <w:r w:rsidR="00A05601" w:rsidRPr="005C0994">
        <w:rPr>
          <w:rFonts w:asciiTheme="majorHAnsi" w:hAnsiTheme="majorHAnsi"/>
          <w:sz w:val="20"/>
          <w:szCs w:val="20"/>
        </w:rPr>
        <w:t>, the Com</w:t>
      </w:r>
      <w:r w:rsidR="0027671E" w:rsidRPr="005C0994">
        <w:rPr>
          <w:rFonts w:asciiTheme="majorHAnsi" w:hAnsiTheme="majorHAnsi"/>
          <w:sz w:val="20"/>
          <w:szCs w:val="20"/>
        </w:rPr>
        <w:t>m</w:t>
      </w:r>
      <w:r w:rsidR="00A05601" w:rsidRPr="005C0994">
        <w:rPr>
          <w:rFonts w:asciiTheme="majorHAnsi" w:hAnsiTheme="majorHAnsi"/>
          <w:sz w:val="20"/>
          <w:szCs w:val="20"/>
        </w:rPr>
        <w:t>ission notified the parties of the application of Article 36 (3) of its Rules of Procedure, since the petition falls within the criteria established in its Resolution 1/16, and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5C0994">
        <w:rPr>
          <w:rFonts w:asciiTheme="majorHAnsi" w:hAnsiTheme="majorHAnsi"/>
          <w:sz w:val="20"/>
          <w:szCs w:val="20"/>
        </w:rPr>
        <w:t>.</w:t>
      </w:r>
    </w:p>
    <w:p w14:paraId="650F125A" w14:textId="77777777" w:rsidR="001C4006" w:rsidRPr="005C0994"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14:paraId="0E3FE6E8" w14:textId="77777777" w:rsidR="001C4006" w:rsidRPr="005C0994" w:rsidRDefault="001C4006" w:rsidP="003676F1">
      <w:pPr>
        <w:pStyle w:val="Heading1"/>
        <w:tabs>
          <w:tab w:val="left" w:pos="360"/>
        </w:tabs>
        <w:spacing w:before="0"/>
        <w:ind w:hanging="720"/>
        <w:rPr>
          <w:color w:val="auto"/>
          <w:sz w:val="20"/>
          <w:szCs w:val="20"/>
        </w:rPr>
      </w:pPr>
      <w:bookmarkStart w:id="1" w:name="_Toc90297860"/>
      <w:r w:rsidRPr="005C0994">
        <w:rPr>
          <w:color w:val="auto"/>
          <w:sz w:val="20"/>
          <w:szCs w:val="20"/>
        </w:rPr>
        <w:t>POSITIONS OF THE PARTIES</w:t>
      </w:r>
      <w:bookmarkEnd w:id="1"/>
    </w:p>
    <w:p w14:paraId="448A0E73" w14:textId="77777777" w:rsidR="001C4006" w:rsidRPr="005C0994" w:rsidRDefault="001C4006" w:rsidP="00BB5A59">
      <w:pPr>
        <w:suppressAutoHyphens/>
        <w:ind w:left="1440" w:hanging="720"/>
        <w:rPr>
          <w:rFonts w:asciiTheme="majorHAnsi" w:hAnsiTheme="majorHAnsi"/>
          <w:sz w:val="20"/>
          <w:szCs w:val="20"/>
        </w:rPr>
      </w:pPr>
    </w:p>
    <w:p w14:paraId="7F592625" w14:textId="77777777" w:rsidR="005C164F" w:rsidRPr="005C0994" w:rsidRDefault="005C164F" w:rsidP="003676F1">
      <w:pPr>
        <w:pStyle w:val="Heading2"/>
        <w:numPr>
          <w:ilvl w:val="0"/>
          <w:numId w:val="57"/>
        </w:numPr>
        <w:tabs>
          <w:tab w:val="left" w:pos="360"/>
        </w:tabs>
        <w:spacing w:before="0"/>
        <w:ind w:hanging="720"/>
        <w:rPr>
          <w:color w:val="auto"/>
          <w:sz w:val="20"/>
          <w:szCs w:val="20"/>
        </w:rPr>
      </w:pPr>
      <w:bookmarkStart w:id="2" w:name="_Toc90297861"/>
      <w:r w:rsidRPr="005C0994">
        <w:rPr>
          <w:color w:val="auto"/>
          <w:sz w:val="20"/>
          <w:szCs w:val="20"/>
        </w:rPr>
        <w:t>P</w:t>
      </w:r>
      <w:r w:rsidR="00262ECA" w:rsidRPr="005C0994">
        <w:rPr>
          <w:color w:val="auto"/>
          <w:sz w:val="20"/>
          <w:szCs w:val="20"/>
        </w:rPr>
        <w:t>etitioner</w:t>
      </w:r>
      <w:r w:rsidR="00F34A7E" w:rsidRPr="005C0994">
        <w:rPr>
          <w:color w:val="auto"/>
          <w:sz w:val="20"/>
          <w:szCs w:val="20"/>
        </w:rPr>
        <w:t>s</w:t>
      </w:r>
      <w:bookmarkEnd w:id="2"/>
    </w:p>
    <w:p w14:paraId="1A194784" w14:textId="77777777" w:rsidR="005C164F" w:rsidRPr="005C0994" w:rsidRDefault="005C164F" w:rsidP="00BB5A59">
      <w:pPr>
        <w:suppressAutoHyphens/>
        <w:ind w:left="1440" w:hanging="720"/>
        <w:rPr>
          <w:rFonts w:asciiTheme="majorHAnsi" w:hAnsiTheme="majorHAnsi"/>
          <w:sz w:val="20"/>
          <w:szCs w:val="20"/>
        </w:rPr>
      </w:pPr>
    </w:p>
    <w:p w14:paraId="56D93FFC" w14:textId="77777777" w:rsidR="007F1641" w:rsidRPr="005C0994" w:rsidRDefault="007E715E"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According to the petitioner</w:t>
      </w:r>
      <w:r w:rsidR="004A5E29" w:rsidRPr="005C0994">
        <w:rPr>
          <w:rFonts w:asciiTheme="majorHAnsi" w:hAnsiTheme="majorHAnsi"/>
          <w:sz w:val="20"/>
          <w:szCs w:val="20"/>
        </w:rPr>
        <w:t>s</w:t>
      </w:r>
      <w:r w:rsidR="007F1641" w:rsidRPr="005C0994">
        <w:rPr>
          <w:rFonts w:asciiTheme="majorHAnsi" w:hAnsiTheme="majorHAnsi"/>
          <w:sz w:val="20"/>
          <w:szCs w:val="20"/>
        </w:rPr>
        <w:t xml:space="preserve">, </w:t>
      </w:r>
      <w:r w:rsidR="004A5E29" w:rsidRPr="005C0994">
        <w:rPr>
          <w:rFonts w:asciiTheme="majorHAnsi" w:hAnsiTheme="majorHAnsi"/>
          <w:sz w:val="20"/>
          <w:szCs w:val="20"/>
        </w:rPr>
        <w:t xml:space="preserve">Mr. </w:t>
      </w:r>
      <w:proofErr w:type="spellStart"/>
      <w:r w:rsidR="00B74BBA" w:rsidRPr="005C0994">
        <w:rPr>
          <w:rFonts w:asciiTheme="majorHAnsi" w:hAnsiTheme="majorHAnsi"/>
          <w:sz w:val="20"/>
          <w:szCs w:val="20"/>
        </w:rPr>
        <w:t>Loza</w:t>
      </w:r>
      <w:proofErr w:type="spellEnd"/>
      <w:r w:rsidR="004A5E29" w:rsidRPr="005C0994">
        <w:rPr>
          <w:rFonts w:asciiTheme="majorHAnsi" w:hAnsiTheme="majorHAnsi"/>
          <w:sz w:val="20"/>
          <w:szCs w:val="20"/>
        </w:rPr>
        <w:t xml:space="preserve"> was arrested in the state of Ohio on January 16, 1991</w:t>
      </w:r>
      <w:r w:rsidR="0080231F" w:rsidRPr="005C0994">
        <w:rPr>
          <w:rFonts w:asciiTheme="majorHAnsi" w:hAnsiTheme="majorHAnsi"/>
          <w:sz w:val="20"/>
          <w:szCs w:val="20"/>
        </w:rPr>
        <w:t>,</w:t>
      </w:r>
      <w:r w:rsidR="004A5E29" w:rsidRPr="005C0994">
        <w:rPr>
          <w:rFonts w:asciiTheme="majorHAnsi" w:hAnsiTheme="majorHAnsi"/>
          <w:sz w:val="20"/>
          <w:szCs w:val="20"/>
        </w:rPr>
        <w:t xml:space="preserve"> and charged with four counts of murder. He was later c</w:t>
      </w:r>
      <w:r w:rsidR="007D4CD9" w:rsidRPr="005C0994">
        <w:rPr>
          <w:rFonts w:asciiTheme="majorHAnsi" w:hAnsiTheme="majorHAnsi"/>
          <w:sz w:val="20"/>
          <w:szCs w:val="20"/>
        </w:rPr>
        <w:t>onvicted and sentenced to death</w:t>
      </w:r>
      <w:r w:rsidR="00A07134" w:rsidRPr="005C0994">
        <w:rPr>
          <w:rFonts w:asciiTheme="majorHAnsi" w:hAnsiTheme="majorHAnsi"/>
          <w:sz w:val="20"/>
          <w:szCs w:val="20"/>
        </w:rPr>
        <w:t xml:space="preserve">. </w:t>
      </w:r>
      <w:r w:rsidR="00565B4B" w:rsidRPr="005C0994">
        <w:rPr>
          <w:rFonts w:asciiTheme="majorHAnsi" w:hAnsiTheme="majorHAnsi"/>
          <w:sz w:val="20"/>
          <w:szCs w:val="20"/>
        </w:rPr>
        <w:t>The petitioner</w:t>
      </w:r>
      <w:r w:rsidR="004A5E29" w:rsidRPr="005C0994">
        <w:rPr>
          <w:rFonts w:asciiTheme="majorHAnsi" w:hAnsiTheme="majorHAnsi"/>
          <w:sz w:val="20"/>
          <w:szCs w:val="20"/>
        </w:rPr>
        <w:t>s</w:t>
      </w:r>
      <w:r w:rsidR="00565B4B" w:rsidRPr="005C0994">
        <w:rPr>
          <w:rFonts w:asciiTheme="majorHAnsi" w:hAnsiTheme="majorHAnsi"/>
          <w:sz w:val="20"/>
          <w:szCs w:val="20"/>
        </w:rPr>
        <w:t xml:space="preserve"> </w:t>
      </w:r>
      <w:r w:rsidR="00902D58" w:rsidRPr="005C0994">
        <w:rPr>
          <w:rFonts w:asciiTheme="majorHAnsi" w:hAnsiTheme="majorHAnsi"/>
          <w:sz w:val="20"/>
          <w:szCs w:val="20"/>
        </w:rPr>
        <w:t>claim</w:t>
      </w:r>
      <w:r w:rsidR="00E052B0" w:rsidRPr="005C0994">
        <w:rPr>
          <w:rFonts w:asciiTheme="majorHAnsi" w:hAnsiTheme="majorHAnsi"/>
          <w:sz w:val="20"/>
          <w:szCs w:val="20"/>
        </w:rPr>
        <w:t xml:space="preserve"> that </w:t>
      </w:r>
      <w:r w:rsidR="004A5E29" w:rsidRPr="005C0994">
        <w:rPr>
          <w:rFonts w:asciiTheme="majorHAnsi" w:hAnsiTheme="majorHAnsi"/>
          <w:sz w:val="20"/>
          <w:szCs w:val="20"/>
        </w:rPr>
        <w:t xml:space="preserve">the prosecution of Mr. </w:t>
      </w:r>
      <w:proofErr w:type="spellStart"/>
      <w:r w:rsidR="00B74BBA" w:rsidRPr="005C0994">
        <w:rPr>
          <w:rFonts w:asciiTheme="majorHAnsi" w:hAnsiTheme="majorHAnsi"/>
          <w:sz w:val="20"/>
          <w:szCs w:val="20"/>
        </w:rPr>
        <w:t>Loza</w:t>
      </w:r>
      <w:proofErr w:type="spellEnd"/>
      <w:r w:rsidR="004A5E29" w:rsidRPr="005C0994">
        <w:rPr>
          <w:rFonts w:asciiTheme="majorHAnsi" w:hAnsiTheme="majorHAnsi"/>
          <w:sz w:val="20"/>
          <w:szCs w:val="20"/>
        </w:rPr>
        <w:t xml:space="preserve"> was “infused by racial animus and police misconduct”</w:t>
      </w:r>
      <w:r w:rsidR="002772E3" w:rsidRPr="005C0994">
        <w:rPr>
          <w:rFonts w:asciiTheme="majorHAnsi" w:hAnsiTheme="majorHAnsi"/>
          <w:sz w:val="20"/>
          <w:szCs w:val="20"/>
        </w:rPr>
        <w:t xml:space="preserve">; that he was </w:t>
      </w:r>
      <w:r w:rsidR="004A5E29" w:rsidRPr="005C0994">
        <w:rPr>
          <w:rFonts w:asciiTheme="majorHAnsi" w:hAnsiTheme="majorHAnsi"/>
          <w:sz w:val="20"/>
          <w:szCs w:val="20"/>
        </w:rPr>
        <w:t>never advised of his right to consular notification and communication prior to and during his trial</w:t>
      </w:r>
      <w:r w:rsidR="006C030E" w:rsidRPr="005C0994">
        <w:rPr>
          <w:rFonts w:asciiTheme="majorHAnsi" w:hAnsiTheme="majorHAnsi"/>
          <w:sz w:val="20"/>
          <w:szCs w:val="20"/>
        </w:rPr>
        <w:t xml:space="preserve">. </w:t>
      </w:r>
      <w:r w:rsidR="00E052B0" w:rsidRPr="005C0994">
        <w:rPr>
          <w:rFonts w:asciiTheme="majorHAnsi" w:hAnsiTheme="majorHAnsi"/>
          <w:sz w:val="20"/>
          <w:szCs w:val="20"/>
        </w:rPr>
        <w:t xml:space="preserve"> </w:t>
      </w:r>
    </w:p>
    <w:p w14:paraId="677886C1" w14:textId="77777777" w:rsidR="00A75A39" w:rsidRPr="005C0994" w:rsidRDefault="00A75A39" w:rsidP="00A75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5D67CA6" w14:textId="77777777" w:rsidR="007D4CD9" w:rsidRPr="005C0994" w:rsidRDefault="007D4CD9" w:rsidP="007D4C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The petitioners submit that during the criminal investigation, the lead detective, Roger </w:t>
      </w:r>
      <w:proofErr w:type="spellStart"/>
      <w:r w:rsidRPr="005C0994">
        <w:rPr>
          <w:rFonts w:asciiTheme="majorHAnsi" w:hAnsiTheme="majorHAnsi"/>
          <w:sz w:val="20"/>
          <w:szCs w:val="20"/>
        </w:rPr>
        <w:t>Knabel</w:t>
      </w:r>
      <w:proofErr w:type="spellEnd"/>
      <w:r w:rsidRPr="005C0994">
        <w:rPr>
          <w:rFonts w:asciiTheme="majorHAnsi" w:hAnsiTheme="majorHAnsi"/>
          <w:sz w:val="20"/>
          <w:szCs w:val="20"/>
        </w:rPr>
        <w:t xml:space="preserve">, was recorded referring to the alleged victim as the “wetback from California”. Further, </w:t>
      </w:r>
      <w:r w:rsidR="00C8734C" w:rsidRPr="005C0994">
        <w:rPr>
          <w:rFonts w:asciiTheme="majorHAnsi" w:hAnsiTheme="majorHAnsi"/>
          <w:sz w:val="20"/>
          <w:szCs w:val="20"/>
        </w:rPr>
        <w:t>the petitioners claim that</w:t>
      </w:r>
      <w:r w:rsidRPr="005C0994">
        <w:rPr>
          <w:rFonts w:asciiTheme="majorHAnsi" w:hAnsiTheme="majorHAnsi"/>
          <w:sz w:val="20"/>
          <w:szCs w:val="20"/>
        </w:rPr>
        <w:t xml:space="preserve"> Mr. </w:t>
      </w:r>
      <w:proofErr w:type="spellStart"/>
      <w:r w:rsidRPr="005C0994">
        <w:rPr>
          <w:rFonts w:asciiTheme="majorHAnsi" w:hAnsiTheme="majorHAnsi"/>
          <w:sz w:val="20"/>
          <w:szCs w:val="20"/>
        </w:rPr>
        <w:t>Knabel</w:t>
      </w:r>
      <w:proofErr w:type="spellEnd"/>
      <w:r w:rsidRPr="005C0994">
        <w:rPr>
          <w:rFonts w:asciiTheme="majorHAnsi" w:hAnsiTheme="majorHAnsi"/>
          <w:sz w:val="20"/>
          <w:szCs w:val="20"/>
        </w:rPr>
        <w:t xml:space="preserve"> concluded at the crime scene that it was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who had committed the crime. It is submitted </w:t>
      </w:r>
      <w:r w:rsidR="00C8734C" w:rsidRPr="005C0994">
        <w:rPr>
          <w:rFonts w:asciiTheme="majorHAnsi" w:hAnsiTheme="majorHAnsi"/>
          <w:sz w:val="20"/>
          <w:szCs w:val="20"/>
        </w:rPr>
        <w:t xml:space="preserve">by the </w:t>
      </w:r>
      <w:r w:rsidR="00F34A7E" w:rsidRPr="005C0994">
        <w:rPr>
          <w:rFonts w:asciiTheme="majorHAnsi" w:hAnsiTheme="majorHAnsi"/>
          <w:sz w:val="20"/>
          <w:szCs w:val="20"/>
        </w:rPr>
        <w:t>p</w:t>
      </w:r>
      <w:r w:rsidR="00C8734C" w:rsidRPr="005C0994">
        <w:rPr>
          <w:rFonts w:asciiTheme="majorHAnsi" w:hAnsiTheme="majorHAnsi"/>
          <w:sz w:val="20"/>
          <w:szCs w:val="20"/>
        </w:rPr>
        <w:t xml:space="preserve">etitioners </w:t>
      </w:r>
      <w:r w:rsidRPr="005C0994">
        <w:rPr>
          <w:rFonts w:asciiTheme="majorHAnsi" w:hAnsiTheme="majorHAnsi"/>
          <w:sz w:val="20"/>
          <w:szCs w:val="20"/>
        </w:rPr>
        <w:t xml:space="preserve">that the detective suggested that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girlfriend and unborn baby might be electrocuted or placed in the gas chamber unless the alleged victim took the blame for the murders; </w:t>
      </w:r>
      <w:r w:rsidR="00C8734C" w:rsidRPr="005C0994">
        <w:rPr>
          <w:rFonts w:asciiTheme="majorHAnsi" w:hAnsiTheme="majorHAnsi"/>
          <w:sz w:val="20"/>
          <w:szCs w:val="20"/>
        </w:rPr>
        <w:t xml:space="preserve">and that </w:t>
      </w:r>
      <w:r w:rsidRPr="005C0994">
        <w:rPr>
          <w:rFonts w:asciiTheme="majorHAnsi" w:hAnsiTheme="majorHAnsi"/>
          <w:sz w:val="20"/>
          <w:szCs w:val="20"/>
        </w:rPr>
        <w:t xml:space="preserve">after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sought assurances that no harm would be done, he </w:t>
      </w:r>
      <w:r w:rsidR="00C8734C" w:rsidRPr="005C0994">
        <w:rPr>
          <w:rFonts w:asciiTheme="majorHAnsi" w:hAnsiTheme="majorHAnsi"/>
          <w:sz w:val="20"/>
          <w:szCs w:val="20"/>
        </w:rPr>
        <w:t xml:space="preserve">then </w:t>
      </w:r>
      <w:r w:rsidRPr="005C0994">
        <w:rPr>
          <w:rFonts w:asciiTheme="majorHAnsi" w:hAnsiTheme="majorHAnsi"/>
          <w:sz w:val="20"/>
          <w:szCs w:val="20"/>
        </w:rPr>
        <w:t xml:space="preserve">gave a confession. The petitioners further </w:t>
      </w:r>
      <w:r w:rsidR="0006036E" w:rsidRPr="005C0994">
        <w:rPr>
          <w:rFonts w:asciiTheme="majorHAnsi" w:hAnsiTheme="majorHAnsi"/>
          <w:sz w:val="20"/>
          <w:szCs w:val="20"/>
        </w:rPr>
        <w:t>state</w:t>
      </w:r>
      <w:r w:rsidRPr="005C0994">
        <w:rPr>
          <w:rFonts w:asciiTheme="majorHAnsi" w:hAnsiTheme="majorHAnsi"/>
          <w:sz w:val="20"/>
          <w:szCs w:val="20"/>
        </w:rPr>
        <w:t xml:space="preserve"> that the detective decided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should face the death penalty and the prosecutors did not question this.</w:t>
      </w:r>
    </w:p>
    <w:p w14:paraId="60789A4F" w14:textId="77777777" w:rsidR="007D4CD9" w:rsidRPr="005C0994" w:rsidRDefault="007D4CD9" w:rsidP="00A75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0DC4B6C6" w14:textId="77777777" w:rsidR="00C44A35" w:rsidRPr="005C0994" w:rsidRDefault="00C8734C" w:rsidP="00C873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The petitioners allege that the State violated Mr. Ventura’s right to equality before the law as it is alleged his capital prosecution was contaminated by prosecutorial misconduct and racial and/or ethnic animus.</w:t>
      </w:r>
      <w:r w:rsidR="0005705F" w:rsidRPr="005C0994">
        <w:rPr>
          <w:rFonts w:asciiTheme="majorHAnsi" w:hAnsiTheme="majorHAnsi"/>
          <w:sz w:val="20"/>
          <w:szCs w:val="20"/>
        </w:rPr>
        <w:t xml:space="preserve"> They state that, although the decision to seek a death sentence is ordinarily made after careful deliberation by a committee of prosecutors, in his case the prosecutor conceded that he simply deferred to detective </w:t>
      </w:r>
      <w:proofErr w:type="spellStart"/>
      <w:r w:rsidR="0005705F" w:rsidRPr="005C0994">
        <w:rPr>
          <w:rFonts w:asciiTheme="majorHAnsi" w:hAnsiTheme="majorHAnsi"/>
          <w:sz w:val="20"/>
          <w:szCs w:val="20"/>
        </w:rPr>
        <w:t>Knabel’s</w:t>
      </w:r>
      <w:proofErr w:type="spellEnd"/>
      <w:r w:rsidR="0005705F" w:rsidRPr="005C0994">
        <w:rPr>
          <w:rFonts w:asciiTheme="majorHAnsi" w:hAnsiTheme="majorHAnsi"/>
          <w:sz w:val="20"/>
          <w:szCs w:val="20"/>
        </w:rPr>
        <w:t xml:space="preserve"> decision.</w:t>
      </w:r>
      <w:r w:rsidR="00C44A35" w:rsidRPr="005C0994">
        <w:rPr>
          <w:rFonts w:asciiTheme="majorHAnsi" w:hAnsiTheme="majorHAnsi"/>
          <w:sz w:val="20"/>
          <w:szCs w:val="20"/>
        </w:rPr>
        <w:t xml:space="preserve"> </w:t>
      </w:r>
    </w:p>
    <w:p w14:paraId="4EA476E3" w14:textId="77777777" w:rsidR="00C44A35" w:rsidRPr="005C0994" w:rsidRDefault="00C44A35" w:rsidP="00C44A35">
      <w:pPr>
        <w:pStyle w:val="ListParagraph"/>
        <w:rPr>
          <w:rFonts w:asciiTheme="majorHAnsi" w:hAnsiTheme="majorHAnsi"/>
          <w:sz w:val="20"/>
          <w:szCs w:val="20"/>
        </w:rPr>
      </w:pPr>
    </w:p>
    <w:p w14:paraId="1671BBB5" w14:textId="77777777" w:rsidR="00C8734C" w:rsidRPr="005C0994" w:rsidRDefault="00C8734C" w:rsidP="00C873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The petitioners claim that during the first trial the prosecution failed to disclose that after conducting more than thirty tests on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clothing, investigators were unable to detect any blood or gun powder residue. </w:t>
      </w:r>
      <w:r w:rsidR="00753374" w:rsidRPr="005C0994">
        <w:rPr>
          <w:rFonts w:asciiTheme="majorHAnsi" w:hAnsiTheme="majorHAnsi"/>
          <w:sz w:val="20"/>
          <w:szCs w:val="20"/>
        </w:rPr>
        <w:t xml:space="preserve">Further, the prosecution failed to disclose that Dorothy Jackson had confessed to the murders. </w:t>
      </w:r>
      <w:r w:rsidRPr="005C0994">
        <w:rPr>
          <w:rFonts w:asciiTheme="majorHAnsi" w:hAnsiTheme="majorHAnsi"/>
          <w:sz w:val="20"/>
          <w:szCs w:val="20"/>
        </w:rPr>
        <w:t>Moreover, it is asserted that the error was so egregious that the prosecutor’s mi</w:t>
      </w:r>
      <w:r w:rsidR="00753374" w:rsidRPr="005C0994">
        <w:rPr>
          <w:rFonts w:asciiTheme="majorHAnsi" w:hAnsiTheme="majorHAnsi"/>
          <w:sz w:val="20"/>
          <w:szCs w:val="20"/>
        </w:rPr>
        <w:t>sconduct resulted in a mistrial.</w:t>
      </w:r>
      <w:r w:rsidRPr="005C0994">
        <w:rPr>
          <w:rFonts w:asciiTheme="majorHAnsi" w:hAnsiTheme="majorHAnsi"/>
          <w:sz w:val="20"/>
          <w:szCs w:val="20"/>
        </w:rPr>
        <w:t xml:space="preserve"> The petitioners specify that after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second trial, his post-conviction counsel learned that Dorothy Jackson admitted to her boyfr</w:t>
      </w:r>
      <w:r w:rsidR="00753374" w:rsidRPr="005C0994">
        <w:rPr>
          <w:rFonts w:asciiTheme="majorHAnsi" w:hAnsiTheme="majorHAnsi"/>
          <w:sz w:val="20"/>
          <w:szCs w:val="20"/>
        </w:rPr>
        <w:t xml:space="preserve">iend that she killed her mother. </w:t>
      </w:r>
      <w:r w:rsidRPr="005C0994">
        <w:rPr>
          <w:rFonts w:asciiTheme="majorHAnsi" w:hAnsiTheme="majorHAnsi"/>
          <w:sz w:val="20"/>
          <w:szCs w:val="20"/>
        </w:rPr>
        <w:t>The cumulative effect of such action</w:t>
      </w:r>
      <w:r w:rsidR="001D5FB5" w:rsidRPr="005C0994">
        <w:rPr>
          <w:rFonts w:asciiTheme="majorHAnsi" w:hAnsiTheme="majorHAnsi"/>
          <w:sz w:val="20"/>
          <w:szCs w:val="20"/>
        </w:rPr>
        <w:t>, a</w:t>
      </w:r>
      <w:r w:rsidRPr="005C0994">
        <w:rPr>
          <w:rFonts w:asciiTheme="majorHAnsi" w:hAnsiTheme="majorHAnsi"/>
          <w:sz w:val="20"/>
          <w:szCs w:val="20"/>
        </w:rPr>
        <w:t xml:space="preserve">s submitted by the </w:t>
      </w:r>
      <w:r w:rsidR="0080231F" w:rsidRPr="005C0994">
        <w:rPr>
          <w:rFonts w:asciiTheme="majorHAnsi" w:hAnsiTheme="majorHAnsi"/>
          <w:sz w:val="20"/>
          <w:szCs w:val="20"/>
        </w:rPr>
        <w:t>p</w:t>
      </w:r>
      <w:r w:rsidRPr="005C0994">
        <w:rPr>
          <w:rFonts w:asciiTheme="majorHAnsi" w:hAnsiTheme="majorHAnsi"/>
          <w:sz w:val="20"/>
          <w:szCs w:val="20"/>
        </w:rPr>
        <w:t>etitioners</w:t>
      </w:r>
      <w:r w:rsidR="00835A28" w:rsidRPr="005C0994">
        <w:rPr>
          <w:rFonts w:asciiTheme="majorHAnsi" w:hAnsiTheme="majorHAnsi"/>
          <w:sz w:val="20"/>
          <w:szCs w:val="20"/>
        </w:rPr>
        <w:t>, is</w:t>
      </w:r>
      <w:r w:rsidR="001D5FB5" w:rsidRPr="005C0994">
        <w:rPr>
          <w:rFonts w:asciiTheme="majorHAnsi" w:hAnsiTheme="majorHAnsi"/>
          <w:sz w:val="20"/>
          <w:szCs w:val="20"/>
        </w:rPr>
        <w:t xml:space="preserve"> in violation of</w:t>
      </w:r>
      <w:r w:rsidRPr="005C0994">
        <w:rPr>
          <w:rFonts w:asciiTheme="majorHAnsi" w:hAnsiTheme="majorHAnsi"/>
          <w:sz w:val="20"/>
          <w:szCs w:val="20"/>
        </w:rPr>
        <w:t xml:space="preserve"> the due process rights of the alleged victim. </w:t>
      </w:r>
    </w:p>
    <w:p w14:paraId="243ACF0B" w14:textId="77777777" w:rsidR="00C8734C" w:rsidRPr="005C0994" w:rsidRDefault="00C8734C" w:rsidP="00A75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F25ACFD" w14:textId="77777777" w:rsidR="00A050D8" w:rsidRPr="005C0994" w:rsidRDefault="00A75A39" w:rsidP="008F60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5C0994">
        <w:rPr>
          <w:rFonts w:asciiTheme="majorHAnsi" w:hAnsiTheme="majorHAnsi"/>
          <w:sz w:val="20"/>
          <w:szCs w:val="20"/>
        </w:rPr>
        <w:t>The petitioners assert that</w:t>
      </w:r>
      <w:r w:rsidR="008F6014" w:rsidRPr="005C0994">
        <w:rPr>
          <w:rFonts w:asciiTheme="majorHAnsi" w:hAnsiTheme="majorHAnsi"/>
          <w:sz w:val="20"/>
          <w:szCs w:val="20"/>
        </w:rPr>
        <w:t xml:space="preserve"> </w:t>
      </w:r>
      <w:r w:rsidRPr="005C0994">
        <w:rPr>
          <w:rFonts w:asciiTheme="majorHAnsi" w:hAnsiTheme="majorHAnsi"/>
          <w:sz w:val="20"/>
          <w:szCs w:val="20"/>
        </w:rPr>
        <w:t>the State violated the alleged victim’s rights to fair trial and due process of law by failing to advise him of his consular communication and notification rights pursuant to Article 36 of the Vienna Convention</w:t>
      </w:r>
      <w:r w:rsidR="007B54BA" w:rsidRPr="005C0994">
        <w:rPr>
          <w:rFonts w:asciiTheme="majorHAnsi" w:hAnsiTheme="majorHAnsi"/>
          <w:sz w:val="20"/>
          <w:szCs w:val="20"/>
        </w:rPr>
        <w:t xml:space="preserve"> on Consular Relations (</w:t>
      </w:r>
      <w:r w:rsidR="00835A28" w:rsidRPr="005C0994">
        <w:rPr>
          <w:rFonts w:asciiTheme="majorHAnsi" w:hAnsiTheme="majorHAnsi"/>
          <w:sz w:val="20"/>
          <w:szCs w:val="20"/>
        </w:rPr>
        <w:t>“</w:t>
      </w:r>
      <w:r w:rsidR="007B54BA" w:rsidRPr="005C0994">
        <w:rPr>
          <w:rFonts w:asciiTheme="majorHAnsi" w:hAnsiTheme="majorHAnsi"/>
          <w:sz w:val="20"/>
          <w:szCs w:val="20"/>
        </w:rPr>
        <w:t>Vienna Convention</w:t>
      </w:r>
      <w:r w:rsidR="00835A28" w:rsidRPr="005C0994">
        <w:rPr>
          <w:rFonts w:asciiTheme="majorHAnsi" w:hAnsiTheme="majorHAnsi"/>
          <w:sz w:val="20"/>
          <w:szCs w:val="20"/>
        </w:rPr>
        <w:t>”</w:t>
      </w:r>
      <w:r w:rsidR="007B54BA" w:rsidRPr="005C0994">
        <w:rPr>
          <w:rFonts w:asciiTheme="majorHAnsi" w:hAnsiTheme="majorHAnsi"/>
          <w:sz w:val="20"/>
          <w:szCs w:val="20"/>
        </w:rPr>
        <w:t>)</w:t>
      </w:r>
      <w:r w:rsidR="00437A98" w:rsidRPr="005C0994">
        <w:rPr>
          <w:rFonts w:asciiTheme="majorHAnsi" w:hAnsiTheme="majorHAnsi"/>
          <w:sz w:val="20"/>
          <w:szCs w:val="20"/>
        </w:rPr>
        <w:t>, which is essential to safeguard said rights</w:t>
      </w:r>
      <w:r w:rsidRPr="005C0994">
        <w:rPr>
          <w:rFonts w:asciiTheme="majorHAnsi" w:hAnsiTheme="majorHAnsi"/>
          <w:sz w:val="20"/>
          <w:szCs w:val="20"/>
        </w:rPr>
        <w:t xml:space="preserve">. </w:t>
      </w:r>
      <w:r w:rsidR="007B54BA" w:rsidRPr="005C0994">
        <w:rPr>
          <w:rFonts w:asciiTheme="majorHAnsi" w:hAnsiTheme="majorHAnsi"/>
          <w:sz w:val="20"/>
          <w:szCs w:val="20"/>
        </w:rPr>
        <w:t xml:space="preserve">It is submitted that Ohio authorities failed to inform Mr. </w:t>
      </w:r>
      <w:proofErr w:type="spellStart"/>
      <w:r w:rsidR="007B54BA" w:rsidRPr="005C0994">
        <w:rPr>
          <w:rFonts w:asciiTheme="majorHAnsi" w:hAnsiTheme="majorHAnsi"/>
          <w:sz w:val="20"/>
          <w:szCs w:val="20"/>
        </w:rPr>
        <w:t>Loza</w:t>
      </w:r>
      <w:proofErr w:type="spellEnd"/>
      <w:r w:rsidR="007B54BA" w:rsidRPr="005C0994">
        <w:rPr>
          <w:rFonts w:asciiTheme="majorHAnsi" w:hAnsiTheme="majorHAnsi"/>
          <w:sz w:val="20"/>
          <w:szCs w:val="20"/>
        </w:rPr>
        <w:t xml:space="preserve"> of his rights to consular notification and access under the Vienna Convention</w:t>
      </w:r>
      <w:r w:rsidR="00F34A7E" w:rsidRPr="005C0994">
        <w:rPr>
          <w:rFonts w:asciiTheme="majorHAnsi" w:hAnsiTheme="majorHAnsi"/>
          <w:sz w:val="20"/>
          <w:szCs w:val="20"/>
        </w:rPr>
        <w:t xml:space="preserve">. The petitioners also allege </w:t>
      </w:r>
      <w:r w:rsidR="00A050D8" w:rsidRPr="005C0994">
        <w:rPr>
          <w:rFonts w:asciiTheme="majorHAnsi" w:hAnsiTheme="majorHAnsi"/>
          <w:sz w:val="20"/>
          <w:szCs w:val="20"/>
        </w:rPr>
        <w:t xml:space="preserve">that </w:t>
      </w:r>
      <w:r w:rsidR="00F34A7E" w:rsidRPr="005C0994">
        <w:rPr>
          <w:rFonts w:asciiTheme="majorHAnsi" w:hAnsiTheme="majorHAnsi"/>
          <w:sz w:val="20"/>
          <w:szCs w:val="20"/>
        </w:rPr>
        <w:t>c</w:t>
      </w:r>
      <w:r w:rsidR="00A050D8" w:rsidRPr="005C0994">
        <w:rPr>
          <w:rFonts w:asciiTheme="majorHAnsi" w:hAnsiTheme="majorHAnsi"/>
          <w:sz w:val="20"/>
          <w:szCs w:val="20"/>
        </w:rPr>
        <w:t xml:space="preserve">ounsel at trial were also negligent in not notifying the consulate of Mr. </w:t>
      </w:r>
      <w:proofErr w:type="spellStart"/>
      <w:r w:rsidR="00A050D8" w:rsidRPr="005C0994">
        <w:rPr>
          <w:rFonts w:asciiTheme="majorHAnsi" w:hAnsiTheme="majorHAnsi"/>
          <w:sz w:val="20"/>
          <w:szCs w:val="20"/>
        </w:rPr>
        <w:t>Loza’s</w:t>
      </w:r>
      <w:proofErr w:type="spellEnd"/>
      <w:r w:rsidR="00A050D8" w:rsidRPr="005C0994">
        <w:rPr>
          <w:rFonts w:asciiTheme="majorHAnsi" w:hAnsiTheme="majorHAnsi"/>
          <w:sz w:val="20"/>
          <w:szCs w:val="20"/>
        </w:rPr>
        <w:t xml:space="preserve"> detention. </w:t>
      </w:r>
      <w:r w:rsidR="009E15DB" w:rsidRPr="005C0994">
        <w:rPr>
          <w:rFonts w:asciiTheme="majorHAnsi" w:hAnsiTheme="majorHAnsi"/>
          <w:sz w:val="20"/>
          <w:szCs w:val="20"/>
        </w:rPr>
        <w:t>It is asserted that despite presenting his Article 36 violation claim in both state and federal habeas proceedings</w:t>
      </w:r>
      <w:r w:rsidR="00BD5CCE" w:rsidRPr="005C0994">
        <w:rPr>
          <w:rFonts w:asciiTheme="majorHAnsi" w:hAnsiTheme="majorHAnsi"/>
          <w:sz w:val="20"/>
          <w:szCs w:val="20"/>
        </w:rPr>
        <w:t xml:space="preserve">, courts have refused to grant </w:t>
      </w:r>
      <w:r w:rsidR="009E15DB" w:rsidRPr="005C0994">
        <w:rPr>
          <w:rFonts w:asciiTheme="majorHAnsi" w:hAnsiTheme="majorHAnsi"/>
          <w:sz w:val="20"/>
          <w:szCs w:val="20"/>
        </w:rPr>
        <w:t xml:space="preserve">“review and reconsideration” </w:t>
      </w:r>
      <w:r w:rsidR="009E15DB" w:rsidRPr="005C0994">
        <w:rPr>
          <w:rFonts w:asciiTheme="majorHAnsi" w:hAnsiTheme="majorHAnsi"/>
          <w:sz w:val="20"/>
          <w:szCs w:val="20"/>
        </w:rPr>
        <w:lastRenderedPageBreak/>
        <w:t xml:space="preserve">owed under the judgment of the International Court of Justice in </w:t>
      </w:r>
      <w:proofErr w:type="spellStart"/>
      <w:r w:rsidR="009E15DB" w:rsidRPr="005C0994">
        <w:rPr>
          <w:rFonts w:asciiTheme="majorHAnsi" w:hAnsiTheme="majorHAnsi"/>
          <w:sz w:val="20"/>
          <w:szCs w:val="20"/>
        </w:rPr>
        <w:t>Avena</w:t>
      </w:r>
      <w:proofErr w:type="spellEnd"/>
      <w:r w:rsidR="009E15DB" w:rsidRPr="005C0994">
        <w:rPr>
          <w:rFonts w:asciiTheme="majorHAnsi" w:hAnsiTheme="majorHAnsi"/>
          <w:sz w:val="20"/>
          <w:szCs w:val="20"/>
        </w:rPr>
        <w:t xml:space="preserve"> and other Mexican Nationals (Mexico v U.S.), 2004 I.C.J. 12. </w:t>
      </w:r>
    </w:p>
    <w:p w14:paraId="636A5780" w14:textId="77777777" w:rsidR="00A050D8" w:rsidRPr="005C0994" w:rsidRDefault="00A050D8" w:rsidP="00A050D8">
      <w:pPr>
        <w:pStyle w:val="ListParagraph"/>
        <w:rPr>
          <w:rFonts w:asciiTheme="majorHAnsi" w:hAnsiTheme="majorHAnsi"/>
          <w:sz w:val="20"/>
          <w:szCs w:val="20"/>
        </w:rPr>
      </w:pPr>
    </w:p>
    <w:p w14:paraId="01ABB16E" w14:textId="77777777" w:rsidR="008F6014" w:rsidRPr="005C0994" w:rsidRDefault="00A050D8" w:rsidP="00A050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The petitioners </w:t>
      </w:r>
      <w:r w:rsidR="00F34A7E" w:rsidRPr="005C0994">
        <w:rPr>
          <w:rFonts w:asciiTheme="majorHAnsi" w:hAnsiTheme="majorHAnsi"/>
          <w:sz w:val="20"/>
          <w:szCs w:val="20"/>
        </w:rPr>
        <w:t>state</w:t>
      </w:r>
      <w:r w:rsidRPr="005C0994">
        <w:rPr>
          <w:rFonts w:asciiTheme="majorHAnsi" w:hAnsiTheme="majorHAnsi"/>
          <w:sz w:val="20"/>
          <w:szCs w:val="20"/>
        </w:rPr>
        <w:t xml:space="preserve"> that Mexico has a history of providing consular assistance to nationals facing the death penalty, and would have ensured that the alleged victim had competent legal representation, supported by necessary experts and investigators. Further that consular officials would have assisted with obtaining records from Mexico that attest to life history of the defendant</w:t>
      </w:r>
      <w:r w:rsidR="00853512" w:rsidRPr="005C0994">
        <w:rPr>
          <w:rFonts w:asciiTheme="majorHAnsi" w:hAnsiTheme="majorHAnsi"/>
          <w:sz w:val="20"/>
          <w:szCs w:val="20"/>
        </w:rPr>
        <w:t xml:space="preserve"> as mitigating evidence</w:t>
      </w:r>
      <w:r w:rsidRPr="005C0994">
        <w:rPr>
          <w:rFonts w:asciiTheme="majorHAnsi" w:hAnsiTheme="majorHAnsi"/>
          <w:sz w:val="20"/>
          <w:szCs w:val="20"/>
        </w:rPr>
        <w:t xml:space="preserve">. </w:t>
      </w:r>
      <w:r w:rsidR="008F6014" w:rsidRPr="005C0994">
        <w:rPr>
          <w:rFonts w:asciiTheme="majorHAnsi" w:hAnsiTheme="majorHAnsi"/>
          <w:sz w:val="20"/>
          <w:szCs w:val="20"/>
        </w:rPr>
        <w:t xml:space="preserve">The petitioner argues that Mr. </w:t>
      </w:r>
      <w:proofErr w:type="spellStart"/>
      <w:r w:rsidR="008F6014" w:rsidRPr="005C0994">
        <w:rPr>
          <w:rFonts w:asciiTheme="majorHAnsi" w:hAnsiTheme="majorHAnsi"/>
          <w:sz w:val="20"/>
          <w:szCs w:val="20"/>
        </w:rPr>
        <w:t>Loza</w:t>
      </w:r>
      <w:proofErr w:type="spellEnd"/>
      <w:r w:rsidR="008F6014" w:rsidRPr="005C0994">
        <w:rPr>
          <w:rFonts w:asciiTheme="majorHAnsi" w:hAnsiTheme="majorHAnsi"/>
          <w:sz w:val="20"/>
          <w:szCs w:val="20"/>
        </w:rPr>
        <w:t xml:space="preserve"> was compelled to accept representation from court appointed counsel who failed t</w:t>
      </w:r>
      <w:r w:rsidR="00F34A7E" w:rsidRPr="005C0994">
        <w:rPr>
          <w:rFonts w:asciiTheme="majorHAnsi" w:hAnsiTheme="majorHAnsi"/>
          <w:sz w:val="20"/>
          <w:szCs w:val="20"/>
        </w:rPr>
        <w:t>o present an adequate defense. They f</w:t>
      </w:r>
      <w:r w:rsidR="008F6014" w:rsidRPr="005C0994">
        <w:rPr>
          <w:rFonts w:asciiTheme="majorHAnsi" w:hAnsiTheme="majorHAnsi"/>
          <w:sz w:val="20"/>
          <w:szCs w:val="20"/>
        </w:rPr>
        <w:t>urther</w:t>
      </w:r>
      <w:r w:rsidR="00F34A7E" w:rsidRPr="005C0994">
        <w:rPr>
          <w:rFonts w:asciiTheme="majorHAnsi" w:hAnsiTheme="majorHAnsi"/>
          <w:sz w:val="20"/>
          <w:szCs w:val="20"/>
        </w:rPr>
        <w:t xml:space="preserve"> allege</w:t>
      </w:r>
      <w:r w:rsidR="008F6014" w:rsidRPr="005C0994">
        <w:rPr>
          <w:rFonts w:asciiTheme="majorHAnsi" w:hAnsiTheme="majorHAnsi"/>
          <w:sz w:val="20"/>
          <w:szCs w:val="20"/>
        </w:rPr>
        <w:t xml:space="preserve"> that Mr. </w:t>
      </w:r>
      <w:proofErr w:type="spellStart"/>
      <w:r w:rsidR="008F6014" w:rsidRPr="005C0994">
        <w:rPr>
          <w:rFonts w:asciiTheme="majorHAnsi" w:hAnsiTheme="majorHAnsi"/>
          <w:sz w:val="20"/>
          <w:szCs w:val="20"/>
        </w:rPr>
        <w:t>Loza’s</w:t>
      </w:r>
      <w:proofErr w:type="spellEnd"/>
      <w:r w:rsidR="008F6014" w:rsidRPr="005C0994">
        <w:rPr>
          <w:rFonts w:asciiTheme="majorHAnsi" w:hAnsiTheme="majorHAnsi"/>
          <w:sz w:val="20"/>
          <w:szCs w:val="20"/>
        </w:rPr>
        <w:t xml:space="preserve"> trial lawyers failed to investigate and present mitigating evidence that would have given the jury a reason to spare his life. The petitioners claim that trial counsel had never before represented a Mexican national, and neglected to investigate and present evidence regarding the alleged victim’s cultural background that would have given the jury a reason to vote for life. </w:t>
      </w:r>
    </w:p>
    <w:p w14:paraId="32C279F7" w14:textId="77777777" w:rsidR="0005705F" w:rsidRPr="005C0994" w:rsidRDefault="0005705F" w:rsidP="0005705F">
      <w:pPr>
        <w:pStyle w:val="ListParagraph"/>
        <w:rPr>
          <w:rFonts w:asciiTheme="majorHAnsi" w:hAnsiTheme="majorHAnsi"/>
          <w:sz w:val="20"/>
          <w:szCs w:val="20"/>
        </w:rPr>
      </w:pPr>
    </w:p>
    <w:p w14:paraId="69CDCAA1" w14:textId="77777777" w:rsidR="0005705F" w:rsidRPr="005C0994" w:rsidRDefault="0029523E" w:rsidP="00A050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In particular, petitioners allege that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lawyers failed to retain a neuropsychologist, failed to conduct a thorough investigation of his social history, and their presentation of misleading and damaging “expert” testimony regarding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gang involvement, violated his rights to due process and a fair trial.</w:t>
      </w:r>
    </w:p>
    <w:p w14:paraId="16E3616D" w14:textId="77777777" w:rsidR="008F6014" w:rsidRPr="005C0994" w:rsidRDefault="008F6014" w:rsidP="008F60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C1D4B65" w14:textId="77777777" w:rsidR="00AB45A1" w:rsidRPr="005C0994" w:rsidRDefault="00D13FAB" w:rsidP="00FD6B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Further, the petitioners assert </w:t>
      </w:r>
      <w:r w:rsidR="000169CA" w:rsidRPr="005C0994">
        <w:rPr>
          <w:rFonts w:asciiTheme="majorHAnsi" w:hAnsiTheme="majorHAnsi"/>
          <w:sz w:val="20"/>
          <w:szCs w:val="20"/>
        </w:rPr>
        <w:t xml:space="preserve">that the state of Ohio plans to execute Mr. </w:t>
      </w:r>
      <w:proofErr w:type="spellStart"/>
      <w:r w:rsidR="000169CA" w:rsidRPr="005C0994">
        <w:rPr>
          <w:rFonts w:asciiTheme="majorHAnsi" w:hAnsiTheme="majorHAnsi"/>
          <w:sz w:val="20"/>
          <w:szCs w:val="20"/>
        </w:rPr>
        <w:t>Loza</w:t>
      </w:r>
      <w:proofErr w:type="spellEnd"/>
      <w:r w:rsidR="000169CA" w:rsidRPr="005C0994">
        <w:rPr>
          <w:rFonts w:asciiTheme="majorHAnsi" w:hAnsiTheme="majorHAnsi"/>
          <w:sz w:val="20"/>
          <w:szCs w:val="20"/>
        </w:rPr>
        <w:t xml:space="preserve"> by lethal injection and that its current protocol is u</w:t>
      </w:r>
      <w:r w:rsidR="00C20667" w:rsidRPr="005C0994">
        <w:rPr>
          <w:rFonts w:asciiTheme="majorHAnsi" w:hAnsiTheme="majorHAnsi"/>
          <w:sz w:val="20"/>
          <w:szCs w:val="20"/>
        </w:rPr>
        <w:t xml:space="preserve">ntested and shrouded in secrecy. This is due to the protocol </w:t>
      </w:r>
      <w:r w:rsidR="003F572E" w:rsidRPr="005C0994">
        <w:rPr>
          <w:rFonts w:asciiTheme="majorHAnsi" w:hAnsiTheme="majorHAnsi"/>
          <w:sz w:val="20"/>
          <w:szCs w:val="20"/>
        </w:rPr>
        <w:t>that was current</w:t>
      </w:r>
      <w:r w:rsidR="00C20667" w:rsidRPr="005C0994">
        <w:rPr>
          <w:rFonts w:asciiTheme="majorHAnsi" w:hAnsiTheme="majorHAnsi"/>
          <w:sz w:val="20"/>
          <w:szCs w:val="20"/>
        </w:rPr>
        <w:t xml:space="preserve"> at the time of the petition</w:t>
      </w:r>
      <w:r w:rsidR="003F572E" w:rsidRPr="005C0994">
        <w:rPr>
          <w:rFonts w:asciiTheme="majorHAnsi" w:hAnsiTheme="majorHAnsi"/>
          <w:sz w:val="20"/>
          <w:szCs w:val="20"/>
        </w:rPr>
        <w:t>,</w:t>
      </w:r>
      <w:r w:rsidR="00C20667" w:rsidRPr="005C0994">
        <w:rPr>
          <w:rFonts w:asciiTheme="majorHAnsi" w:hAnsiTheme="majorHAnsi"/>
          <w:sz w:val="20"/>
          <w:szCs w:val="20"/>
        </w:rPr>
        <w:t xml:space="preserve"> requiring drugs (pentobarbital or sodium thiopental) that pharmaceutical companies in the United S</w:t>
      </w:r>
      <w:r w:rsidR="003F572E" w:rsidRPr="005C0994">
        <w:rPr>
          <w:rFonts w:asciiTheme="majorHAnsi" w:hAnsiTheme="majorHAnsi"/>
          <w:sz w:val="20"/>
          <w:szCs w:val="20"/>
        </w:rPr>
        <w:t>tates no longer manufactured. M</w:t>
      </w:r>
      <w:r w:rsidR="000169CA" w:rsidRPr="005C0994">
        <w:rPr>
          <w:rFonts w:asciiTheme="majorHAnsi" w:hAnsiTheme="majorHAnsi"/>
          <w:sz w:val="20"/>
          <w:szCs w:val="20"/>
        </w:rPr>
        <w:t>oreover</w:t>
      </w:r>
      <w:r w:rsidR="003F572E" w:rsidRPr="005C0994">
        <w:rPr>
          <w:rFonts w:asciiTheme="majorHAnsi" w:hAnsiTheme="majorHAnsi"/>
          <w:sz w:val="20"/>
          <w:szCs w:val="20"/>
        </w:rPr>
        <w:t>,</w:t>
      </w:r>
      <w:r w:rsidR="000169CA" w:rsidRPr="005C0994">
        <w:rPr>
          <w:rFonts w:asciiTheme="majorHAnsi" w:hAnsiTheme="majorHAnsi"/>
          <w:sz w:val="20"/>
          <w:szCs w:val="20"/>
        </w:rPr>
        <w:t xml:space="preserve"> the </w:t>
      </w:r>
      <w:r w:rsidR="00AB45A1" w:rsidRPr="005C0994">
        <w:rPr>
          <w:rFonts w:asciiTheme="majorHAnsi" w:hAnsiTheme="majorHAnsi"/>
          <w:sz w:val="20"/>
          <w:szCs w:val="20"/>
        </w:rPr>
        <w:t xml:space="preserve">state </w:t>
      </w:r>
      <w:r w:rsidR="003F572E" w:rsidRPr="005C0994">
        <w:rPr>
          <w:rFonts w:asciiTheme="majorHAnsi" w:hAnsiTheme="majorHAnsi"/>
          <w:sz w:val="20"/>
          <w:szCs w:val="20"/>
        </w:rPr>
        <w:t>had not disclosed the alternative protocol that it intends to employ if it cannot legally obtain pentobarbital or sodium thiopental</w:t>
      </w:r>
      <w:r w:rsidR="000169CA" w:rsidRPr="005C0994">
        <w:rPr>
          <w:rFonts w:asciiTheme="majorHAnsi" w:hAnsiTheme="majorHAnsi"/>
          <w:sz w:val="20"/>
          <w:szCs w:val="20"/>
        </w:rPr>
        <w:t xml:space="preserve">. </w:t>
      </w:r>
      <w:r w:rsidR="00C018FF" w:rsidRPr="005C0994">
        <w:rPr>
          <w:rFonts w:asciiTheme="majorHAnsi" w:hAnsiTheme="majorHAnsi"/>
          <w:sz w:val="20"/>
          <w:szCs w:val="20"/>
        </w:rPr>
        <w:t xml:space="preserve">Additionally, </w:t>
      </w:r>
      <w:r w:rsidR="00F34A7E" w:rsidRPr="005C0994">
        <w:rPr>
          <w:rFonts w:asciiTheme="majorHAnsi" w:hAnsiTheme="majorHAnsi"/>
          <w:sz w:val="20"/>
          <w:szCs w:val="20"/>
        </w:rPr>
        <w:t xml:space="preserve">they argue that </w:t>
      </w:r>
      <w:r w:rsidR="00C018FF" w:rsidRPr="005C0994">
        <w:rPr>
          <w:rFonts w:asciiTheme="majorHAnsi" w:hAnsiTheme="majorHAnsi"/>
          <w:sz w:val="20"/>
          <w:szCs w:val="20"/>
        </w:rPr>
        <w:t>the state, at the time of the petition, failed to provide sufficient no</w:t>
      </w:r>
      <w:r w:rsidR="008417E4" w:rsidRPr="005C0994">
        <w:rPr>
          <w:rFonts w:asciiTheme="majorHAnsi" w:hAnsiTheme="majorHAnsi"/>
          <w:sz w:val="20"/>
          <w:szCs w:val="20"/>
        </w:rPr>
        <w:t>tice of its method of execution.</w:t>
      </w:r>
      <w:r w:rsidR="00C018FF" w:rsidRPr="005C0994">
        <w:rPr>
          <w:rFonts w:asciiTheme="majorHAnsi" w:hAnsiTheme="majorHAnsi"/>
          <w:sz w:val="20"/>
          <w:szCs w:val="20"/>
        </w:rPr>
        <w:t xml:space="preserve"> </w:t>
      </w:r>
      <w:r w:rsidR="005C6F09" w:rsidRPr="005C0994">
        <w:rPr>
          <w:rFonts w:asciiTheme="majorHAnsi" w:hAnsiTheme="majorHAnsi"/>
          <w:sz w:val="20"/>
          <w:szCs w:val="20"/>
        </w:rPr>
        <w:t xml:space="preserve">The petitioners assert </w:t>
      </w:r>
      <w:r w:rsidRPr="005C0994">
        <w:rPr>
          <w:rFonts w:asciiTheme="majorHAnsi" w:hAnsiTheme="majorHAnsi"/>
          <w:sz w:val="20"/>
          <w:szCs w:val="20"/>
        </w:rPr>
        <w:t xml:space="preserve">that the administration of the lethal injection as practiced within Ohio violates the right to freedom from cruel, infamous or unusual punishment; moreover where Ohio uses its secrecy laws to prevent the alleged victim from learning the source or details of the drug used in the protocol </w:t>
      </w:r>
      <w:r w:rsidR="00E40AEA" w:rsidRPr="005C0994">
        <w:rPr>
          <w:rFonts w:asciiTheme="majorHAnsi" w:hAnsiTheme="majorHAnsi"/>
          <w:sz w:val="20"/>
          <w:szCs w:val="20"/>
        </w:rPr>
        <w:t>is</w:t>
      </w:r>
      <w:r w:rsidR="00AC2C44" w:rsidRPr="005C0994">
        <w:rPr>
          <w:rFonts w:asciiTheme="majorHAnsi" w:hAnsiTheme="majorHAnsi"/>
          <w:sz w:val="20"/>
          <w:szCs w:val="20"/>
        </w:rPr>
        <w:t xml:space="preserve"> a violation against</w:t>
      </w:r>
      <w:r w:rsidRPr="005C0994">
        <w:rPr>
          <w:rFonts w:asciiTheme="majorHAnsi" w:hAnsiTheme="majorHAnsi"/>
          <w:sz w:val="20"/>
          <w:szCs w:val="20"/>
        </w:rPr>
        <w:t xml:space="preserve"> </w:t>
      </w:r>
      <w:r w:rsidR="00E40AEA" w:rsidRPr="005C0994">
        <w:rPr>
          <w:rFonts w:asciiTheme="majorHAnsi" w:hAnsiTheme="majorHAnsi"/>
          <w:sz w:val="20"/>
          <w:szCs w:val="20"/>
        </w:rPr>
        <w:t>the</w:t>
      </w:r>
      <w:r w:rsidRPr="005C0994">
        <w:rPr>
          <w:rFonts w:asciiTheme="majorHAnsi" w:hAnsiTheme="majorHAnsi"/>
          <w:sz w:val="20"/>
          <w:szCs w:val="20"/>
        </w:rPr>
        <w:t xml:space="preserve"> right to petition as well. </w:t>
      </w:r>
      <w:r w:rsidR="00AB45A1" w:rsidRPr="005C0994">
        <w:rPr>
          <w:rFonts w:asciiTheme="majorHAnsi" w:hAnsiTheme="majorHAnsi"/>
          <w:sz w:val="20"/>
          <w:szCs w:val="20"/>
        </w:rPr>
        <w:t xml:space="preserve">The petitioners assert that the United States operates contrary to international human rights standards relating to the application of the </w:t>
      </w:r>
      <w:r w:rsidR="00FD6B02" w:rsidRPr="005C0994">
        <w:rPr>
          <w:rFonts w:asciiTheme="majorHAnsi" w:hAnsiTheme="majorHAnsi"/>
          <w:sz w:val="20"/>
          <w:szCs w:val="20"/>
        </w:rPr>
        <w:t xml:space="preserve">death penalty, as its imposes </w:t>
      </w:r>
      <w:r w:rsidR="00AB45A1" w:rsidRPr="005C0994">
        <w:rPr>
          <w:rFonts w:asciiTheme="majorHAnsi" w:hAnsiTheme="majorHAnsi"/>
          <w:sz w:val="20"/>
          <w:szCs w:val="20"/>
        </w:rPr>
        <w:t xml:space="preserve">the burden of proof onto a prisoner </w:t>
      </w:r>
      <w:r w:rsidR="00FD6B02" w:rsidRPr="005C0994">
        <w:rPr>
          <w:rFonts w:asciiTheme="majorHAnsi" w:hAnsiTheme="majorHAnsi"/>
          <w:sz w:val="20"/>
          <w:szCs w:val="20"/>
        </w:rPr>
        <w:t xml:space="preserve">to show </w:t>
      </w:r>
      <w:r w:rsidR="00AB45A1" w:rsidRPr="005C0994">
        <w:rPr>
          <w:rFonts w:asciiTheme="majorHAnsi" w:hAnsiTheme="majorHAnsi"/>
          <w:sz w:val="20"/>
          <w:szCs w:val="20"/>
        </w:rPr>
        <w:t>that a particular method of execution is unconstitutional.</w:t>
      </w:r>
    </w:p>
    <w:p w14:paraId="7AE22F64" w14:textId="77777777" w:rsidR="00825876" w:rsidRPr="005C0994" w:rsidRDefault="00825876" w:rsidP="008258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240F707" w14:textId="77777777" w:rsidR="00D72ED0" w:rsidRPr="005C0994" w:rsidRDefault="00D15377" w:rsidP="00721A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Petitioners further assert that Ohio has changed its lethal injection protocol at least three times in the last four years.</w:t>
      </w:r>
      <w:r w:rsidR="00825876" w:rsidRPr="005C0994">
        <w:rPr>
          <w:rFonts w:asciiTheme="majorHAnsi" w:hAnsiTheme="majorHAnsi"/>
          <w:sz w:val="20"/>
          <w:szCs w:val="20"/>
        </w:rPr>
        <w:t xml:space="preserve"> They indicate that in 2017 Ohio reverted to a three-drug protocol given that pharmaceutical companies in the United States did no longer manufacture pentobarbital or sodium thiopental. A federal district court stayed all executions in Ohio after hearing testimony regarding the risks of using midazolam to kill human beings. This opinion was vacated by the Sixth Circuit Court of Appeals</w:t>
      </w:r>
      <w:r w:rsidR="0076368E" w:rsidRPr="005C0994">
        <w:rPr>
          <w:rFonts w:asciiTheme="majorHAnsi" w:hAnsiTheme="majorHAnsi"/>
          <w:sz w:val="20"/>
          <w:szCs w:val="20"/>
        </w:rPr>
        <w:t xml:space="preserve"> on the grounds that petitioners had failed to show that the use of the three-drug protocol presents a risk that is “sure or very likely” to cause serious pain and “needless suffering.” Five judges dissented.</w:t>
      </w:r>
      <w:r w:rsidR="00F03705" w:rsidRPr="005C0994">
        <w:rPr>
          <w:rFonts w:asciiTheme="majorHAnsi" w:hAnsiTheme="majorHAnsi"/>
          <w:sz w:val="20"/>
          <w:szCs w:val="20"/>
        </w:rPr>
        <w:t xml:space="preserve"> The petitioners indicate that the Sixth Circuit stated that the plaintiffs had failed to present sufficient evidence to prove that an inmate was “sure or very likely” to suffer not just some pain, but an unconstitutionally high level of pain. </w:t>
      </w:r>
    </w:p>
    <w:p w14:paraId="2151B05F" w14:textId="77777777" w:rsidR="00D72ED0" w:rsidRPr="005C0994" w:rsidRDefault="00D72ED0" w:rsidP="00D72ED0">
      <w:pPr>
        <w:pStyle w:val="ListParagraph"/>
        <w:rPr>
          <w:rFonts w:asciiTheme="majorHAnsi" w:hAnsiTheme="majorHAnsi"/>
          <w:sz w:val="20"/>
          <w:szCs w:val="20"/>
        </w:rPr>
      </w:pPr>
    </w:p>
    <w:p w14:paraId="55E7E468" w14:textId="77777777" w:rsidR="00825876" w:rsidRPr="005C0994" w:rsidRDefault="00F03705" w:rsidP="00721A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 xml:space="preserve">According to the petitioners, the three-judge panel rejected the magistrate judge’s finding, amply supported by a near-universal scientific consensus, that midazolam cannot block or attenuate pain, since midazolam, at any dosage level, has no analgesic properties. </w:t>
      </w:r>
      <w:r w:rsidR="0076368E" w:rsidRPr="005C0994">
        <w:rPr>
          <w:rFonts w:asciiTheme="majorHAnsi" w:hAnsiTheme="majorHAnsi"/>
          <w:sz w:val="20"/>
          <w:szCs w:val="20"/>
        </w:rPr>
        <w:t>The petitioners note that, on November 15, 2017, the new execution protocol led to another botched execution.</w:t>
      </w:r>
    </w:p>
    <w:p w14:paraId="3C3256F4" w14:textId="77777777" w:rsidR="00D72ED0" w:rsidRPr="005C0994" w:rsidRDefault="00D72ED0" w:rsidP="00D72E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23E9B11" w14:textId="77777777" w:rsidR="00D72ED0" w:rsidRPr="005C0994" w:rsidRDefault="00D72ED0" w:rsidP="00721A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The petitioners state that it is unclear whether the State of Ohio views the Sixth Circuit’s decision as approving the current execution protocol, and will resume executions once the government can secure the drugs, or whether the government is still searching for a new method.</w:t>
      </w:r>
    </w:p>
    <w:p w14:paraId="66CFBF81" w14:textId="77777777" w:rsidR="00D72ED0" w:rsidRPr="005C0994" w:rsidRDefault="00D72ED0" w:rsidP="00D72E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AF29A18" w14:textId="77777777" w:rsidR="0080231F" w:rsidRPr="005C0994" w:rsidRDefault="003A18F4" w:rsidP="008023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5C0994">
        <w:rPr>
          <w:rFonts w:asciiTheme="majorHAnsi" w:hAnsiTheme="majorHAnsi"/>
          <w:sz w:val="20"/>
          <w:szCs w:val="20"/>
        </w:rPr>
        <w:t>With regard to the requirement of exhaustion of do</w:t>
      </w:r>
      <w:r w:rsidR="00FE25F4" w:rsidRPr="005C0994">
        <w:rPr>
          <w:rFonts w:asciiTheme="majorHAnsi" w:hAnsiTheme="majorHAnsi"/>
          <w:sz w:val="20"/>
          <w:szCs w:val="20"/>
        </w:rPr>
        <w:t>mestic remedies, the petitioner</w:t>
      </w:r>
      <w:r w:rsidR="003E2DFE" w:rsidRPr="005C0994">
        <w:rPr>
          <w:rFonts w:asciiTheme="majorHAnsi" w:hAnsiTheme="majorHAnsi"/>
          <w:sz w:val="20"/>
          <w:szCs w:val="20"/>
        </w:rPr>
        <w:t>s</w:t>
      </w:r>
      <w:r w:rsidRPr="005C0994">
        <w:rPr>
          <w:rFonts w:asciiTheme="majorHAnsi" w:hAnsiTheme="majorHAnsi"/>
          <w:sz w:val="20"/>
          <w:szCs w:val="20"/>
        </w:rPr>
        <w:t xml:space="preserve"> indicate that Mr. </w:t>
      </w:r>
      <w:proofErr w:type="spellStart"/>
      <w:r w:rsidR="00EC514D" w:rsidRPr="005C0994">
        <w:rPr>
          <w:rFonts w:asciiTheme="majorHAnsi" w:hAnsiTheme="majorHAnsi"/>
          <w:sz w:val="20"/>
          <w:szCs w:val="20"/>
        </w:rPr>
        <w:t>Loza</w:t>
      </w:r>
      <w:r w:rsidR="00414D3F" w:rsidRPr="005C0994">
        <w:rPr>
          <w:rFonts w:asciiTheme="majorHAnsi" w:hAnsiTheme="majorHAnsi"/>
          <w:sz w:val="20"/>
          <w:szCs w:val="20"/>
        </w:rPr>
        <w:t>’</w:t>
      </w:r>
      <w:r w:rsidRPr="005C0994">
        <w:rPr>
          <w:rFonts w:asciiTheme="majorHAnsi" w:hAnsiTheme="majorHAnsi"/>
          <w:sz w:val="20"/>
          <w:szCs w:val="20"/>
        </w:rPr>
        <w:t>s</w:t>
      </w:r>
      <w:proofErr w:type="spellEnd"/>
      <w:r w:rsidRPr="005C0994">
        <w:rPr>
          <w:rFonts w:asciiTheme="majorHAnsi" w:hAnsiTheme="majorHAnsi"/>
          <w:sz w:val="20"/>
          <w:szCs w:val="20"/>
        </w:rPr>
        <w:t xml:space="preserve"> conviction and sentence </w:t>
      </w:r>
      <w:r w:rsidR="00EC514D" w:rsidRPr="005C0994">
        <w:rPr>
          <w:rFonts w:asciiTheme="majorHAnsi" w:hAnsiTheme="majorHAnsi"/>
          <w:sz w:val="20"/>
          <w:szCs w:val="20"/>
        </w:rPr>
        <w:t xml:space="preserve">were affirmed on direct appeal and </w:t>
      </w:r>
      <w:r w:rsidR="00F34A7E" w:rsidRPr="005C0994">
        <w:rPr>
          <w:rFonts w:asciiTheme="majorHAnsi" w:hAnsiTheme="majorHAnsi"/>
          <w:sz w:val="20"/>
          <w:szCs w:val="20"/>
        </w:rPr>
        <w:t xml:space="preserve">that </w:t>
      </w:r>
      <w:r w:rsidR="00EC514D" w:rsidRPr="005C0994">
        <w:rPr>
          <w:rFonts w:asciiTheme="majorHAnsi" w:hAnsiTheme="majorHAnsi"/>
          <w:sz w:val="20"/>
          <w:szCs w:val="20"/>
        </w:rPr>
        <w:t>he has exhausted</w:t>
      </w:r>
      <w:r w:rsidR="00D0228D" w:rsidRPr="005C0994">
        <w:rPr>
          <w:rFonts w:asciiTheme="majorHAnsi" w:hAnsiTheme="majorHAnsi"/>
          <w:sz w:val="20"/>
          <w:szCs w:val="20"/>
        </w:rPr>
        <w:t xml:space="preserve"> </w:t>
      </w:r>
      <w:r w:rsidR="007F210C" w:rsidRPr="005C0994">
        <w:rPr>
          <w:rFonts w:asciiTheme="majorHAnsi" w:hAnsiTheme="majorHAnsi"/>
          <w:sz w:val="20"/>
          <w:szCs w:val="20"/>
        </w:rPr>
        <w:t xml:space="preserve">post-conviction </w:t>
      </w:r>
      <w:r w:rsidR="00EC514D" w:rsidRPr="005C0994">
        <w:rPr>
          <w:rFonts w:asciiTheme="majorHAnsi" w:hAnsiTheme="majorHAnsi"/>
          <w:sz w:val="20"/>
          <w:szCs w:val="20"/>
        </w:rPr>
        <w:t>relief</w:t>
      </w:r>
      <w:r w:rsidR="0057276F" w:rsidRPr="005C0994">
        <w:rPr>
          <w:rFonts w:asciiTheme="majorHAnsi" w:hAnsiTheme="majorHAnsi"/>
          <w:sz w:val="20"/>
          <w:szCs w:val="20"/>
        </w:rPr>
        <w:t xml:space="preserve">. </w:t>
      </w:r>
      <w:r w:rsidR="00E92E80" w:rsidRPr="005C0994">
        <w:rPr>
          <w:rFonts w:asciiTheme="majorHAnsi" w:hAnsiTheme="majorHAnsi"/>
          <w:sz w:val="20"/>
          <w:szCs w:val="20"/>
        </w:rPr>
        <w:t>The petitioner</w:t>
      </w:r>
      <w:r w:rsidR="00F34A7E" w:rsidRPr="005C0994">
        <w:rPr>
          <w:rFonts w:asciiTheme="majorHAnsi" w:hAnsiTheme="majorHAnsi"/>
          <w:sz w:val="20"/>
          <w:szCs w:val="20"/>
        </w:rPr>
        <w:t>s</w:t>
      </w:r>
      <w:r w:rsidR="00E92E80" w:rsidRPr="005C0994">
        <w:rPr>
          <w:rFonts w:asciiTheme="majorHAnsi" w:hAnsiTheme="majorHAnsi"/>
          <w:sz w:val="20"/>
          <w:szCs w:val="20"/>
        </w:rPr>
        <w:t xml:space="preserve"> conclude that the United States has violat</w:t>
      </w:r>
      <w:r w:rsidR="003E2DFE" w:rsidRPr="005C0994">
        <w:rPr>
          <w:rFonts w:asciiTheme="majorHAnsi" w:hAnsiTheme="majorHAnsi"/>
          <w:sz w:val="20"/>
          <w:szCs w:val="20"/>
        </w:rPr>
        <w:t>ed Articles I, II</w:t>
      </w:r>
      <w:r w:rsidR="00E92E80" w:rsidRPr="005C0994">
        <w:rPr>
          <w:rFonts w:asciiTheme="majorHAnsi" w:hAnsiTheme="majorHAnsi"/>
          <w:sz w:val="20"/>
          <w:szCs w:val="20"/>
        </w:rPr>
        <w:t>, XVIII, XXIV</w:t>
      </w:r>
      <w:r w:rsidR="003E2DFE" w:rsidRPr="005C0994">
        <w:rPr>
          <w:rFonts w:asciiTheme="majorHAnsi" w:hAnsiTheme="majorHAnsi"/>
          <w:sz w:val="20"/>
          <w:szCs w:val="20"/>
        </w:rPr>
        <w:t>, XXV</w:t>
      </w:r>
      <w:r w:rsidR="00E92E80" w:rsidRPr="005C0994">
        <w:rPr>
          <w:rFonts w:asciiTheme="majorHAnsi" w:hAnsiTheme="majorHAnsi"/>
          <w:sz w:val="20"/>
          <w:szCs w:val="20"/>
        </w:rPr>
        <w:t xml:space="preserve"> and XXVI of the American Declaration.</w:t>
      </w:r>
    </w:p>
    <w:p w14:paraId="580E6994" w14:textId="77777777" w:rsidR="00F516D3" w:rsidRPr="005C0994"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BF52AF5" w14:textId="77777777" w:rsidR="00F516D3" w:rsidRPr="005C0994" w:rsidRDefault="00F516D3" w:rsidP="003676F1">
      <w:pPr>
        <w:pStyle w:val="Heading2"/>
        <w:numPr>
          <w:ilvl w:val="0"/>
          <w:numId w:val="57"/>
        </w:numPr>
        <w:tabs>
          <w:tab w:val="left" w:pos="360"/>
        </w:tabs>
        <w:spacing w:before="0"/>
        <w:ind w:hanging="720"/>
        <w:rPr>
          <w:color w:val="auto"/>
          <w:sz w:val="20"/>
          <w:szCs w:val="20"/>
        </w:rPr>
      </w:pPr>
      <w:bookmarkStart w:id="3" w:name="_Toc90297862"/>
      <w:r w:rsidRPr="005C0994">
        <w:rPr>
          <w:color w:val="auto"/>
          <w:sz w:val="20"/>
          <w:szCs w:val="20"/>
        </w:rPr>
        <w:lastRenderedPageBreak/>
        <w:t>State</w:t>
      </w:r>
      <w:bookmarkEnd w:id="3"/>
    </w:p>
    <w:p w14:paraId="477DCAD3" w14:textId="77777777" w:rsidR="00507C24" w:rsidRPr="005C0994" w:rsidRDefault="00507C24" w:rsidP="00507C24">
      <w:pPr>
        <w:rPr>
          <w:rFonts w:asciiTheme="majorHAnsi" w:hAnsiTheme="majorHAnsi"/>
          <w:sz w:val="20"/>
          <w:szCs w:val="20"/>
        </w:rPr>
      </w:pPr>
    </w:p>
    <w:p w14:paraId="3FDAE7FB" w14:textId="77777777" w:rsidR="005C5243" w:rsidRPr="005C0994" w:rsidRDefault="005C5243" w:rsidP="00507C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The United States alleges that the petition is inadmissible and that it does not demonstrate a breach of any commitment of the United States under the American Declaration. </w:t>
      </w:r>
    </w:p>
    <w:p w14:paraId="4C024E2B" w14:textId="77777777" w:rsidR="005C5243" w:rsidRPr="005C0994" w:rsidRDefault="005C5243" w:rsidP="005C524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0F7D9420" w14:textId="77777777" w:rsidR="005C5243" w:rsidRPr="005C0994" w:rsidRDefault="005C5243"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The United States alleges that the petitioners have failed to state facts that tend to establish a violation of the Declaration, and the petition is therefore inadmissible under Article 34(a) of the Rules of Procedure. Petitioner’s allegations of ethnic bias, prosecutorial misconduct, and ineffective assistance of counsel fail to set forth facts that tend to establish a violation of Articles II, XVIII, or XXVI of the Declaration, and are meritless. The State claims that it has substantially reviewed and appropriately responded to the allegations and the petitioners have failed to provide evidence that racial discrimination tainted the conviction or sentence. Further, it is submitted that statistical evidence does not remedy the lack of evidence on racial discrimination in the conviction and sentence. </w:t>
      </w:r>
    </w:p>
    <w:p w14:paraId="5FA8548F" w14:textId="77777777" w:rsidR="005C5243" w:rsidRPr="005C0994" w:rsidRDefault="005C5243" w:rsidP="005C524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7C0CFFC" w14:textId="77777777" w:rsidR="005C5243" w:rsidRPr="005C0994" w:rsidRDefault="005C5243"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The State maintains its position that the Commission does not have competence to review claims arising under the Vienna Convention. Further, that claims concerning consular notification do not give rise to a violation of human rights enshrined in any international instrument to which the United States is a party or has endorsed. </w:t>
      </w:r>
      <w:r w:rsidR="00647C9A" w:rsidRPr="005C0994">
        <w:rPr>
          <w:rFonts w:asciiTheme="majorHAnsi" w:hAnsiTheme="majorHAnsi"/>
          <w:sz w:val="20"/>
          <w:szCs w:val="20"/>
        </w:rPr>
        <w:t>The State f</w:t>
      </w:r>
      <w:r w:rsidRPr="005C0994">
        <w:rPr>
          <w:rFonts w:asciiTheme="majorHAnsi" w:hAnsiTheme="majorHAnsi"/>
          <w:sz w:val="20"/>
          <w:szCs w:val="20"/>
        </w:rPr>
        <w:t>urther</w:t>
      </w:r>
      <w:r w:rsidR="00647C9A" w:rsidRPr="005C0994">
        <w:rPr>
          <w:rFonts w:asciiTheme="majorHAnsi" w:hAnsiTheme="majorHAnsi"/>
          <w:sz w:val="20"/>
          <w:szCs w:val="20"/>
        </w:rPr>
        <w:t xml:space="preserve"> argues</w:t>
      </w:r>
      <w:r w:rsidRPr="005C0994">
        <w:rPr>
          <w:rFonts w:asciiTheme="majorHAnsi" w:hAnsiTheme="majorHAnsi"/>
          <w:sz w:val="20"/>
          <w:szCs w:val="20"/>
        </w:rPr>
        <w:t xml:space="preserve"> that consular notification is not a human right. </w:t>
      </w:r>
      <w:r w:rsidR="00647C9A" w:rsidRPr="005C0994">
        <w:rPr>
          <w:rFonts w:asciiTheme="majorHAnsi" w:hAnsiTheme="majorHAnsi"/>
          <w:sz w:val="20"/>
          <w:szCs w:val="20"/>
        </w:rPr>
        <w:t>According to the State, s</w:t>
      </w:r>
      <w:r w:rsidRPr="005C0994">
        <w:rPr>
          <w:rFonts w:asciiTheme="majorHAnsi" w:hAnsiTheme="majorHAnsi"/>
          <w:sz w:val="20"/>
          <w:szCs w:val="20"/>
        </w:rPr>
        <w:t xml:space="preserve">uch consular notification protections are based on principles of reciprocity, nationality and function, and persons do not enjoy these protections by mere virtue of their human existence. </w:t>
      </w:r>
    </w:p>
    <w:p w14:paraId="1AF7CED1" w14:textId="77777777" w:rsidR="00C940E6" w:rsidRPr="005C0994" w:rsidRDefault="00C940E6" w:rsidP="00C940E6">
      <w:pPr>
        <w:pStyle w:val="ListParagraph"/>
        <w:rPr>
          <w:rFonts w:asciiTheme="majorHAnsi" w:hAnsiTheme="majorHAnsi"/>
          <w:sz w:val="20"/>
          <w:szCs w:val="20"/>
        </w:rPr>
      </w:pPr>
    </w:p>
    <w:p w14:paraId="2FC5DA5B" w14:textId="77777777" w:rsidR="00C940E6" w:rsidRPr="005C0994" w:rsidRDefault="00C940E6" w:rsidP="00C94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With regards to the coerced confession, the State submits that the alleged victim was fully informed of his Miranda rights and knowingly and willingly waived his rights against self-incrimination by voluntarily speaking with detectives; and the resulting video is one of many independent statements acknowledging culpability. The alleged failure by the prosecution to disclose exculpatory evidence, the State claims, has been considered at length by domestic courts, was remedied with a new trial and is without merit. Further, that the claim of withholding psychological evaluations and alleged confession from Jackson was similarly addressed by state and federal courts and rejected. The State holds that the alleged victim had the opportunity to raise trial counsel’s alleged ineffectiveness in his state and federal habeas corpus proceedings and the courts determined that he was not entitled to a new trial or other relief.</w:t>
      </w:r>
    </w:p>
    <w:p w14:paraId="545691E6" w14:textId="77777777" w:rsidR="00647C9A" w:rsidRPr="005C0994" w:rsidRDefault="00647C9A" w:rsidP="00647C9A">
      <w:pPr>
        <w:pStyle w:val="ListParagraph"/>
        <w:rPr>
          <w:rFonts w:asciiTheme="majorHAnsi" w:hAnsiTheme="majorHAnsi"/>
          <w:sz w:val="20"/>
          <w:szCs w:val="20"/>
        </w:rPr>
      </w:pPr>
    </w:p>
    <w:p w14:paraId="18281147" w14:textId="77777777" w:rsidR="00647C9A" w:rsidRPr="005C0994" w:rsidRDefault="00647C9A"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With regard to the alleged discrimination, the State asserts that petitioners offer a new, expansive interpretation of Article II, “untethering it from its well-established context of judicial proceeding by which judges and jurors occupy a singular role in judicial proceedings, and are thus held to a distinct standard of impartiality, as the primary and final decision-makers over a defendant’s guilt and sentencing.</w:t>
      </w:r>
      <w:r w:rsidR="00DE69AC" w:rsidRPr="005C0994">
        <w:rPr>
          <w:rFonts w:asciiTheme="majorHAnsi" w:hAnsiTheme="majorHAnsi"/>
          <w:sz w:val="20"/>
          <w:szCs w:val="20"/>
        </w:rPr>
        <w:t xml:space="preserve">” According to the State, the argument that the police detective had usurped the role of the prosecutor making the determination to seek the death penalty, to which the prosecutor simply deferred, is entirely baseless. The </w:t>
      </w:r>
      <w:r w:rsidR="00DE4162" w:rsidRPr="005C0994">
        <w:rPr>
          <w:rFonts w:asciiTheme="majorHAnsi" w:hAnsiTheme="majorHAnsi"/>
          <w:sz w:val="20"/>
          <w:szCs w:val="20"/>
        </w:rPr>
        <w:t>State indicates</w:t>
      </w:r>
      <w:r w:rsidR="00DE69AC" w:rsidRPr="005C0994">
        <w:rPr>
          <w:rFonts w:asciiTheme="majorHAnsi" w:hAnsiTheme="majorHAnsi"/>
          <w:sz w:val="20"/>
          <w:szCs w:val="20"/>
        </w:rPr>
        <w:t xml:space="preserve"> that the detective did not and could not exercise prosecutorial decision-making authority in Mr. </w:t>
      </w:r>
      <w:proofErr w:type="spellStart"/>
      <w:r w:rsidR="00DE69AC" w:rsidRPr="005C0994">
        <w:rPr>
          <w:rFonts w:asciiTheme="majorHAnsi" w:hAnsiTheme="majorHAnsi"/>
          <w:sz w:val="20"/>
          <w:szCs w:val="20"/>
        </w:rPr>
        <w:t>Loza’s</w:t>
      </w:r>
      <w:proofErr w:type="spellEnd"/>
      <w:r w:rsidR="00DE69AC" w:rsidRPr="005C0994">
        <w:rPr>
          <w:rFonts w:asciiTheme="majorHAnsi" w:hAnsiTheme="majorHAnsi"/>
          <w:sz w:val="20"/>
          <w:szCs w:val="20"/>
        </w:rPr>
        <w:t xml:space="preserve"> case. </w:t>
      </w:r>
      <w:r w:rsidR="00DE4162" w:rsidRPr="005C0994">
        <w:rPr>
          <w:rFonts w:asciiTheme="majorHAnsi" w:hAnsiTheme="majorHAnsi"/>
          <w:sz w:val="20"/>
          <w:szCs w:val="20"/>
        </w:rPr>
        <w:t>It</w:t>
      </w:r>
      <w:r w:rsidR="00DE69AC" w:rsidRPr="005C0994">
        <w:rPr>
          <w:rFonts w:asciiTheme="majorHAnsi" w:hAnsiTheme="majorHAnsi"/>
          <w:sz w:val="20"/>
          <w:szCs w:val="20"/>
        </w:rPr>
        <w:t xml:space="preserve"> also emphasizes that petitioners fail to identify any specific evidence of ethnic bias by decision-makers – prosecutors, judges, or jurors</w:t>
      </w:r>
      <w:r w:rsidR="00DE4162" w:rsidRPr="005C0994">
        <w:rPr>
          <w:rFonts w:asciiTheme="majorHAnsi" w:hAnsiTheme="majorHAnsi"/>
          <w:sz w:val="20"/>
          <w:szCs w:val="20"/>
        </w:rPr>
        <w:t>.</w:t>
      </w:r>
      <w:r w:rsidR="00DE69AC" w:rsidRPr="005C0994">
        <w:rPr>
          <w:rFonts w:asciiTheme="majorHAnsi" w:hAnsiTheme="majorHAnsi"/>
          <w:sz w:val="20"/>
          <w:szCs w:val="20"/>
        </w:rPr>
        <w:t xml:space="preserve"> The State further argues that each time Mr. </w:t>
      </w:r>
      <w:proofErr w:type="spellStart"/>
      <w:r w:rsidR="00DE69AC" w:rsidRPr="005C0994">
        <w:rPr>
          <w:rFonts w:asciiTheme="majorHAnsi" w:hAnsiTheme="majorHAnsi"/>
          <w:sz w:val="20"/>
          <w:szCs w:val="20"/>
        </w:rPr>
        <w:t>Loza</w:t>
      </w:r>
      <w:proofErr w:type="spellEnd"/>
      <w:r w:rsidR="00DE69AC" w:rsidRPr="005C0994">
        <w:rPr>
          <w:rFonts w:asciiTheme="majorHAnsi" w:hAnsiTheme="majorHAnsi"/>
          <w:sz w:val="20"/>
          <w:szCs w:val="20"/>
        </w:rPr>
        <w:t xml:space="preserve"> presented this allegation before state and federal courts; he failed to provide sufficient evidence that racial discrimination tainted his investigation or prosecution.</w:t>
      </w:r>
    </w:p>
    <w:p w14:paraId="542B99C6" w14:textId="77777777" w:rsidR="006543B4" w:rsidRPr="005C0994" w:rsidRDefault="006543B4" w:rsidP="006543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7B717A0" w14:textId="77777777" w:rsidR="002A555A" w:rsidRPr="005C0994" w:rsidRDefault="006543B4"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Regarding the </w:t>
      </w:r>
      <w:r w:rsidR="00D15377" w:rsidRPr="005C0994">
        <w:rPr>
          <w:rFonts w:asciiTheme="majorHAnsi" w:hAnsiTheme="majorHAnsi"/>
          <w:sz w:val="20"/>
          <w:szCs w:val="20"/>
        </w:rPr>
        <w:t xml:space="preserve">claim of </w:t>
      </w:r>
      <w:r w:rsidRPr="005C0994">
        <w:rPr>
          <w:rFonts w:asciiTheme="majorHAnsi" w:hAnsiTheme="majorHAnsi"/>
          <w:sz w:val="20"/>
          <w:szCs w:val="20"/>
        </w:rPr>
        <w:t>ineffective assistance of trial counsel, the State alleges that this claim was raised in state and federal courts, where it received multiple layers of judicial review.</w:t>
      </w:r>
      <w:r w:rsidR="002A555A" w:rsidRPr="005C0994">
        <w:rPr>
          <w:rFonts w:asciiTheme="majorHAnsi" w:hAnsiTheme="majorHAnsi"/>
          <w:sz w:val="20"/>
          <w:szCs w:val="20"/>
        </w:rPr>
        <w:t xml:space="preserve"> The State emphasizes that domestic courts have carefully considered this claim on at least five occasions, and all found that Mr. </w:t>
      </w:r>
      <w:proofErr w:type="spellStart"/>
      <w:r w:rsidR="002A555A" w:rsidRPr="005C0994">
        <w:rPr>
          <w:rFonts w:asciiTheme="majorHAnsi" w:hAnsiTheme="majorHAnsi"/>
          <w:sz w:val="20"/>
          <w:szCs w:val="20"/>
        </w:rPr>
        <w:t>Loza’s</w:t>
      </w:r>
      <w:proofErr w:type="spellEnd"/>
      <w:r w:rsidR="002A555A" w:rsidRPr="005C0994">
        <w:rPr>
          <w:rFonts w:asciiTheme="majorHAnsi" w:hAnsiTheme="majorHAnsi"/>
          <w:sz w:val="20"/>
          <w:szCs w:val="20"/>
        </w:rPr>
        <w:t xml:space="preserve"> due process rights had not been violated.</w:t>
      </w:r>
    </w:p>
    <w:p w14:paraId="36120EAC" w14:textId="77777777" w:rsidR="002A555A" w:rsidRPr="005C0994" w:rsidRDefault="002A555A" w:rsidP="002A555A">
      <w:pPr>
        <w:pStyle w:val="ListParagraph"/>
        <w:rPr>
          <w:rFonts w:asciiTheme="majorHAnsi" w:hAnsiTheme="majorHAnsi"/>
          <w:sz w:val="20"/>
          <w:szCs w:val="20"/>
        </w:rPr>
      </w:pPr>
    </w:p>
    <w:p w14:paraId="6DC9A324" w14:textId="77777777" w:rsidR="00596EFF" w:rsidRPr="005C0994" w:rsidRDefault="00297630" w:rsidP="002976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The State asserts that the petition’s challenge to the Ohio execution protocol </w:t>
      </w:r>
      <w:r w:rsidR="00860E35" w:rsidRPr="005C0994">
        <w:rPr>
          <w:rFonts w:asciiTheme="majorHAnsi" w:hAnsiTheme="majorHAnsi"/>
          <w:sz w:val="20"/>
          <w:szCs w:val="20"/>
        </w:rPr>
        <w:t xml:space="preserve">is without </w:t>
      </w:r>
      <w:r w:rsidR="008E1322" w:rsidRPr="005C0994">
        <w:rPr>
          <w:rFonts w:asciiTheme="majorHAnsi" w:hAnsiTheme="majorHAnsi"/>
          <w:sz w:val="20"/>
          <w:szCs w:val="20"/>
        </w:rPr>
        <w:t xml:space="preserve">merits </w:t>
      </w:r>
      <w:r w:rsidRPr="005C0994">
        <w:rPr>
          <w:rFonts w:asciiTheme="majorHAnsi" w:hAnsiTheme="majorHAnsi"/>
          <w:sz w:val="20"/>
          <w:szCs w:val="20"/>
        </w:rPr>
        <w:t xml:space="preserve">and fails to allege facts that tend to establish a violation of the American Declaration. </w:t>
      </w:r>
      <w:r w:rsidR="00860E35" w:rsidRPr="005C0994">
        <w:rPr>
          <w:rFonts w:asciiTheme="majorHAnsi" w:hAnsiTheme="majorHAnsi"/>
          <w:sz w:val="20"/>
          <w:szCs w:val="20"/>
        </w:rPr>
        <w:t>The United States asserts that the Commission should provide the State with a margin of appreciation, deferring to the discretion of local actors who are required to make difficult decisions based on their own factual assessments. It considers that the complicated medical and scientific circumstances in this matter counsel strongly in favor of deferring to the discretion of those responsible for decision-making and international bodies use this “margin of appreciation” standard to respec</w:t>
      </w:r>
      <w:r w:rsidR="00596EFF" w:rsidRPr="005C0994">
        <w:rPr>
          <w:rFonts w:asciiTheme="majorHAnsi" w:hAnsiTheme="majorHAnsi"/>
          <w:sz w:val="20"/>
          <w:szCs w:val="20"/>
        </w:rPr>
        <w:t xml:space="preserve">t state sovereignty. </w:t>
      </w:r>
    </w:p>
    <w:p w14:paraId="6B8480EE" w14:textId="77777777" w:rsidR="00596EFF" w:rsidRPr="005C0994" w:rsidRDefault="00596EFF" w:rsidP="00596EFF">
      <w:pPr>
        <w:pStyle w:val="ListParagraph"/>
        <w:rPr>
          <w:rFonts w:asciiTheme="majorHAnsi" w:hAnsiTheme="majorHAnsi"/>
          <w:sz w:val="20"/>
          <w:szCs w:val="20"/>
        </w:rPr>
      </w:pPr>
    </w:p>
    <w:p w14:paraId="5553172E" w14:textId="77777777" w:rsidR="00860E35" w:rsidRPr="005C0994" w:rsidRDefault="00596EFF" w:rsidP="002976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According to the United States, Ohio has complied with constitutional requirements by seeking to make lethal injections as humane as possible. It is asserted that lethal injection has been the state’s only method of execution and the Ohio Revised Code 2949.22 does not allow for an alternative method of execution unless (a) lethal injection is found unconstitutional, and (b) the alternative method is constitutional and subsequently prescribed by law. State claims that the petition does not provide a factual basis for the claim and relies on allegations that other states import and combine drugs. It alleges that this conclusion was reaffirmed by the U.S. Court of Appeals for the Sixth Circuit in 2017 which found that Ohio’s lethal injection procedure is the same as that which the U.S. Supreme Court had already upheld. </w:t>
      </w:r>
    </w:p>
    <w:p w14:paraId="6FAD2F20" w14:textId="77777777" w:rsidR="00860E35" w:rsidRPr="005C0994" w:rsidRDefault="00860E35" w:rsidP="00860E35">
      <w:pPr>
        <w:pStyle w:val="ListParagraph"/>
        <w:rPr>
          <w:rFonts w:asciiTheme="majorHAnsi" w:hAnsiTheme="majorHAnsi"/>
          <w:sz w:val="20"/>
          <w:szCs w:val="20"/>
        </w:rPr>
      </w:pPr>
    </w:p>
    <w:p w14:paraId="61F5E2A6" w14:textId="77777777" w:rsidR="006360C4" w:rsidRPr="005C0994" w:rsidRDefault="00C44A35" w:rsidP="006360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Finally, t</w:t>
      </w:r>
      <w:r w:rsidR="00A062DD" w:rsidRPr="005C0994">
        <w:rPr>
          <w:rFonts w:asciiTheme="majorHAnsi" w:hAnsiTheme="majorHAnsi"/>
          <w:sz w:val="20"/>
          <w:szCs w:val="20"/>
        </w:rPr>
        <w:t xml:space="preserve">he United States does not consider the Commission’s request for precautionary measures to be </w:t>
      </w:r>
      <w:r w:rsidR="00C548F2" w:rsidRPr="005C0994">
        <w:rPr>
          <w:rFonts w:asciiTheme="majorHAnsi" w:hAnsiTheme="majorHAnsi"/>
          <w:sz w:val="20"/>
          <w:szCs w:val="20"/>
        </w:rPr>
        <w:t>binding</w:t>
      </w:r>
      <w:r w:rsidR="00A062DD" w:rsidRPr="005C0994">
        <w:rPr>
          <w:rFonts w:asciiTheme="majorHAnsi" w:hAnsiTheme="majorHAnsi"/>
          <w:sz w:val="20"/>
          <w:szCs w:val="20"/>
        </w:rPr>
        <w:t xml:space="preserve"> upon it under international law, because the Commission does not have the authority to require that the United States adopt such measures</w:t>
      </w:r>
      <w:r w:rsidR="00162778" w:rsidRPr="005C0994">
        <w:rPr>
          <w:rFonts w:asciiTheme="majorHAnsi" w:hAnsiTheme="majorHAnsi"/>
          <w:sz w:val="20"/>
          <w:szCs w:val="20"/>
        </w:rPr>
        <w:t xml:space="preserve">. </w:t>
      </w:r>
    </w:p>
    <w:p w14:paraId="3104D63E" w14:textId="77777777" w:rsidR="00DD7F29" w:rsidRPr="005C0994" w:rsidRDefault="00DD7F29" w:rsidP="00DD7F2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19BDD7F" w14:textId="77777777" w:rsidR="009F382B" w:rsidRPr="005C0994" w:rsidRDefault="00DD7F29" w:rsidP="00AA7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The State concludes that</w:t>
      </w:r>
      <w:r w:rsidR="00365C45" w:rsidRPr="005C0994">
        <w:rPr>
          <w:rFonts w:asciiTheme="majorHAnsi" w:hAnsiTheme="majorHAnsi"/>
          <w:sz w:val="20"/>
          <w:szCs w:val="20"/>
        </w:rPr>
        <w:t>,</w:t>
      </w:r>
      <w:r w:rsidRPr="005C0994">
        <w:rPr>
          <w:rFonts w:asciiTheme="majorHAnsi" w:hAnsiTheme="majorHAnsi"/>
          <w:sz w:val="20"/>
          <w:szCs w:val="20"/>
        </w:rPr>
        <w:t xml:space="preserve"> if admitted</w:t>
      </w:r>
      <w:r w:rsidR="00365C45" w:rsidRPr="005C0994">
        <w:rPr>
          <w:rFonts w:asciiTheme="majorHAnsi" w:hAnsiTheme="majorHAnsi"/>
          <w:sz w:val="20"/>
          <w:szCs w:val="20"/>
        </w:rPr>
        <w:t>,</w:t>
      </w:r>
      <w:r w:rsidRPr="005C0994">
        <w:rPr>
          <w:rFonts w:asciiTheme="majorHAnsi" w:hAnsiTheme="majorHAnsi"/>
          <w:sz w:val="20"/>
          <w:szCs w:val="20"/>
        </w:rPr>
        <w:t xml:space="preserve"> the petition is entirely without merit because it does not demonstrate a failure to live up to any United States commitments under the American Declaration. The State affirms that the Declaration is a nonbinding instrument that does not create legal rights or impose legal obligations on Member States of the Organization of American States (OAS), and that the Commission may issue recommendations but not binding orders. </w:t>
      </w:r>
      <w:r w:rsidR="00E272A4" w:rsidRPr="005C0994">
        <w:rPr>
          <w:rFonts w:asciiTheme="majorHAnsi" w:hAnsiTheme="majorHAnsi"/>
          <w:sz w:val="20"/>
          <w:szCs w:val="20"/>
        </w:rPr>
        <w:t>Moreover, it claims that the review of the arguments presented in the petition is also precluded by the Commission’s fourth instance formula and the Commission therefore lacks jurisdiction to review, as this would amount to mere disagreement with considered determinations of the United States state and federal courts, rendered in full conformity with United States commitments under the Declaration.</w:t>
      </w:r>
      <w:r w:rsidR="00122709" w:rsidRPr="005C0994">
        <w:rPr>
          <w:rFonts w:asciiTheme="majorHAnsi" w:hAnsiTheme="majorHAnsi"/>
          <w:sz w:val="20"/>
          <w:szCs w:val="20"/>
        </w:rPr>
        <w:t xml:space="preserve"> </w:t>
      </w:r>
    </w:p>
    <w:p w14:paraId="738D03DC" w14:textId="77777777" w:rsidR="005A0B5A" w:rsidRPr="005C0994" w:rsidRDefault="005A0B5A" w:rsidP="00E961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03DA0E01" w14:textId="77777777" w:rsidR="00A473E3" w:rsidRPr="005C0994" w:rsidRDefault="00F516D3" w:rsidP="0081365E">
      <w:pPr>
        <w:pStyle w:val="Heading1"/>
        <w:tabs>
          <w:tab w:val="left" w:pos="360"/>
        </w:tabs>
        <w:spacing w:before="0"/>
        <w:ind w:hanging="720"/>
        <w:rPr>
          <w:color w:val="auto"/>
          <w:sz w:val="20"/>
          <w:szCs w:val="20"/>
        </w:rPr>
      </w:pPr>
      <w:bookmarkStart w:id="4" w:name="_Toc90297863"/>
      <w:r w:rsidRPr="005C0994">
        <w:rPr>
          <w:color w:val="auto"/>
          <w:sz w:val="20"/>
          <w:szCs w:val="20"/>
        </w:rPr>
        <w:t>ADMISSIBILITY</w:t>
      </w:r>
      <w:bookmarkEnd w:id="4"/>
      <w:r w:rsidR="0081365E" w:rsidRPr="005C0994">
        <w:rPr>
          <w:sz w:val="20"/>
          <w:szCs w:val="20"/>
        </w:rPr>
        <w:tab/>
      </w:r>
    </w:p>
    <w:p w14:paraId="5F57F23C" w14:textId="77777777" w:rsidR="00F516D3" w:rsidRPr="005C0994" w:rsidRDefault="00F516D3" w:rsidP="00F516D3">
      <w:pPr>
        <w:rPr>
          <w:rFonts w:asciiTheme="majorHAnsi" w:hAnsiTheme="majorHAnsi"/>
          <w:sz w:val="20"/>
          <w:szCs w:val="20"/>
        </w:rPr>
      </w:pPr>
    </w:p>
    <w:p w14:paraId="4BF4D8A3" w14:textId="77777777" w:rsidR="00F516D3" w:rsidRPr="005C0994" w:rsidRDefault="00F516D3" w:rsidP="001D75F2">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5" w:name="_Toc7602623"/>
      <w:bookmarkStart w:id="6" w:name="_Toc90297864"/>
      <w:bookmarkStart w:id="7" w:name="_Toc6349142"/>
      <w:r w:rsidRPr="005C0994">
        <w:rPr>
          <w:rFonts w:cs="Times New Roman"/>
          <w:color w:val="auto"/>
          <w:sz w:val="20"/>
          <w:szCs w:val="20"/>
        </w:rPr>
        <w:t xml:space="preserve">Competence, duplication of procedures and international </w:t>
      </w:r>
      <w:r w:rsidRPr="005C0994">
        <w:rPr>
          <w:rFonts w:cs="Times New Roman"/>
          <w:i/>
          <w:color w:val="auto"/>
          <w:sz w:val="20"/>
          <w:szCs w:val="20"/>
        </w:rPr>
        <w:t>res judicata</w:t>
      </w:r>
      <w:bookmarkEnd w:id="5"/>
      <w:bookmarkEnd w:id="6"/>
      <w:r w:rsidRPr="005C0994">
        <w:rPr>
          <w:rFonts w:cs="Times New Roman"/>
          <w:color w:val="auto"/>
          <w:sz w:val="20"/>
          <w:szCs w:val="20"/>
        </w:rPr>
        <w:t xml:space="preserve"> </w:t>
      </w:r>
      <w:bookmarkEnd w:id="7"/>
    </w:p>
    <w:p w14:paraId="0B27D430" w14:textId="77777777" w:rsidR="00947B86" w:rsidRPr="005C0994" w:rsidRDefault="00947B86" w:rsidP="00947B86">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5C0994" w14:paraId="5DD1400D" w14:textId="77777777" w:rsidTr="001D5FE4">
        <w:trPr>
          <w:cantSplit/>
        </w:trPr>
        <w:tc>
          <w:tcPr>
            <w:tcW w:w="3600" w:type="dxa"/>
            <w:tcBorders>
              <w:top w:val="single" w:sz="4" w:space="0" w:color="auto"/>
              <w:bottom w:val="single" w:sz="6" w:space="0" w:color="auto"/>
            </w:tcBorders>
            <w:shd w:val="clear" w:color="auto" w:fill="67AE3C"/>
            <w:vAlign w:val="center"/>
          </w:tcPr>
          <w:p w14:paraId="1203E94A" w14:textId="77777777" w:rsidR="00947B86" w:rsidRPr="005C0994" w:rsidRDefault="00947B86" w:rsidP="00E15217">
            <w:pPr>
              <w:jc w:val="center"/>
              <w:rPr>
                <w:rFonts w:asciiTheme="majorHAnsi" w:hAnsiTheme="majorHAnsi"/>
                <w:b/>
                <w:bCs/>
                <w:i/>
                <w:color w:val="FFFFFF" w:themeColor="background1"/>
                <w:sz w:val="20"/>
                <w:szCs w:val="20"/>
              </w:rPr>
            </w:pPr>
            <w:r w:rsidRPr="005C0994">
              <w:rPr>
                <w:rFonts w:asciiTheme="majorHAnsi" w:hAnsiTheme="majorHAnsi"/>
                <w:b/>
                <w:bCs/>
                <w:color w:val="FFFFFF" w:themeColor="background1"/>
                <w:sz w:val="20"/>
                <w:szCs w:val="20"/>
              </w:rPr>
              <w:t>Competence</w:t>
            </w:r>
            <w:r w:rsidRPr="005C0994">
              <w:rPr>
                <w:rFonts w:asciiTheme="majorHAnsi" w:hAnsiTheme="majorHAnsi"/>
                <w:b/>
                <w:bCs/>
                <w:i/>
                <w:color w:val="FFFFFF" w:themeColor="background1"/>
                <w:sz w:val="20"/>
                <w:szCs w:val="20"/>
              </w:rPr>
              <w:t xml:space="preserve"> </w:t>
            </w:r>
            <w:proofErr w:type="spellStart"/>
            <w:r w:rsidRPr="005C0994">
              <w:rPr>
                <w:rFonts w:asciiTheme="majorHAnsi" w:hAnsiTheme="majorHAnsi"/>
                <w:b/>
                <w:bCs/>
                <w:i/>
                <w:color w:val="FFFFFF" w:themeColor="background1"/>
                <w:sz w:val="20"/>
                <w:szCs w:val="20"/>
              </w:rPr>
              <w:t>Ratione</w:t>
            </w:r>
            <w:proofErr w:type="spellEnd"/>
            <w:r w:rsidRPr="005C0994">
              <w:rPr>
                <w:rFonts w:asciiTheme="majorHAnsi" w:hAnsiTheme="majorHAnsi"/>
                <w:b/>
                <w:bCs/>
                <w:i/>
                <w:color w:val="FFFFFF" w:themeColor="background1"/>
                <w:sz w:val="20"/>
                <w:szCs w:val="20"/>
              </w:rPr>
              <w:t xml:space="preserve"> personae:</w:t>
            </w:r>
          </w:p>
        </w:tc>
        <w:tc>
          <w:tcPr>
            <w:tcW w:w="5760" w:type="dxa"/>
            <w:vAlign w:val="center"/>
          </w:tcPr>
          <w:p w14:paraId="3B198A09" w14:textId="77777777" w:rsidR="00947B86" w:rsidRPr="005C0994" w:rsidRDefault="00947B86" w:rsidP="00E15217">
            <w:pPr>
              <w:rPr>
                <w:rFonts w:asciiTheme="majorHAnsi" w:hAnsiTheme="majorHAnsi"/>
                <w:bCs/>
                <w:sz w:val="20"/>
                <w:szCs w:val="20"/>
              </w:rPr>
            </w:pPr>
            <w:r w:rsidRPr="005C0994">
              <w:rPr>
                <w:rFonts w:asciiTheme="majorHAnsi" w:hAnsiTheme="majorHAnsi"/>
                <w:bCs/>
                <w:sz w:val="20"/>
                <w:szCs w:val="20"/>
              </w:rPr>
              <w:t>Yes</w:t>
            </w:r>
          </w:p>
        </w:tc>
      </w:tr>
      <w:tr w:rsidR="00947B86" w:rsidRPr="005C0994" w14:paraId="0D11BC2C" w14:textId="77777777" w:rsidTr="001D5FE4">
        <w:trPr>
          <w:cantSplit/>
        </w:trPr>
        <w:tc>
          <w:tcPr>
            <w:tcW w:w="3600" w:type="dxa"/>
            <w:tcBorders>
              <w:top w:val="single" w:sz="6" w:space="0" w:color="auto"/>
              <w:bottom w:val="single" w:sz="6" w:space="0" w:color="auto"/>
            </w:tcBorders>
            <w:shd w:val="clear" w:color="auto" w:fill="67AE3C"/>
            <w:vAlign w:val="center"/>
          </w:tcPr>
          <w:p w14:paraId="3F93292F" w14:textId="77777777" w:rsidR="00947B86" w:rsidRPr="005C0994" w:rsidRDefault="00947B86" w:rsidP="00E15217">
            <w:pPr>
              <w:jc w:val="center"/>
              <w:rPr>
                <w:rFonts w:asciiTheme="majorHAnsi" w:hAnsiTheme="majorHAnsi"/>
                <w:b/>
                <w:bCs/>
                <w:color w:val="FFFFFF" w:themeColor="background1"/>
                <w:sz w:val="20"/>
                <w:szCs w:val="20"/>
              </w:rPr>
            </w:pPr>
            <w:r w:rsidRPr="005C0994">
              <w:rPr>
                <w:rFonts w:asciiTheme="majorHAnsi" w:hAnsiTheme="majorHAnsi"/>
                <w:b/>
                <w:bCs/>
                <w:color w:val="FFFFFF" w:themeColor="background1"/>
                <w:sz w:val="20"/>
                <w:szCs w:val="20"/>
              </w:rPr>
              <w:t>Competence</w:t>
            </w:r>
            <w:r w:rsidRPr="005C0994">
              <w:rPr>
                <w:rFonts w:asciiTheme="majorHAnsi" w:hAnsiTheme="majorHAnsi"/>
                <w:b/>
                <w:bCs/>
                <w:i/>
                <w:color w:val="FFFFFF" w:themeColor="background1"/>
                <w:sz w:val="20"/>
                <w:szCs w:val="20"/>
              </w:rPr>
              <w:t xml:space="preserve"> </w:t>
            </w:r>
            <w:proofErr w:type="spellStart"/>
            <w:r w:rsidRPr="005C0994">
              <w:rPr>
                <w:rFonts w:asciiTheme="majorHAnsi" w:hAnsiTheme="majorHAnsi"/>
                <w:b/>
                <w:bCs/>
                <w:i/>
                <w:color w:val="FFFFFF" w:themeColor="background1"/>
                <w:sz w:val="20"/>
                <w:szCs w:val="20"/>
              </w:rPr>
              <w:t>Ratione</w:t>
            </w:r>
            <w:proofErr w:type="spellEnd"/>
            <w:r w:rsidRPr="005C0994">
              <w:rPr>
                <w:rFonts w:asciiTheme="majorHAnsi" w:hAnsiTheme="majorHAnsi"/>
                <w:b/>
                <w:bCs/>
                <w:i/>
                <w:color w:val="FFFFFF" w:themeColor="background1"/>
                <w:sz w:val="20"/>
                <w:szCs w:val="20"/>
              </w:rPr>
              <w:t xml:space="preserve"> loci</w:t>
            </w:r>
            <w:r w:rsidRPr="005C0994">
              <w:rPr>
                <w:rFonts w:asciiTheme="majorHAnsi" w:hAnsiTheme="majorHAnsi"/>
                <w:b/>
                <w:bCs/>
                <w:color w:val="FFFFFF" w:themeColor="background1"/>
                <w:sz w:val="20"/>
                <w:szCs w:val="20"/>
              </w:rPr>
              <w:t>:</w:t>
            </w:r>
          </w:p>
        </w:tc>
        <w:tc>
          <w:tcPr>
            <w:tcW w:w="5760" w:type="dxa"/>
            <w:vAlign w:val="center"/>
          </w:tcPr>
          <w:p w14:paraId="0B9FD096" w14:textId="77777777" w:rsidR="00947B86" w:rsidRPr="005C0994" w:rsidRDefault="00947B86" w:rsidP="00E15217">
            <w:pPr>
              <w:rPr>
                <w:rFonts w:asciiTheme="majorHAnsi" w:hAnsiTheme="majorHAnsi"/>
                <w:bCs/>
                <w:sz w:val="20"/>
                <w:szCs w:val="20"/>
              </w:rPr>
            </w:pPr>
            <w:r w:rsidRPr="005C0994">
              <w:rPr>
                <w:rFonts w:asciiTheme="majorHAnsi" w:hAnsiTheme="majorHAnsi"/>
                <w:bCs/>
                <w:sz w:val="20"/>
                <w:szCs w:val="20"/>
              </w:rPr>
              <w:t>Yes</w:t>
            </w:r>
          </w:p>
        </w:tc>
      </w:tr>
      <w:tr w:rsidR="00947B86" w:rsidRPr="005C0994" w14:paraId="58302CA7" w14:textId="77777777" w:rsidTr="001D5FE4">
        <w:trPr>
          <w:cantSplit/>
        </w:trPr>
        <w:tc>
          <w:tcPr>
            <w:tcW w:w="3600" w:type="dxa"/>
            <w:tcBorders>
              <w:top w:val="single" w:sz="6" w:space="0" w:color="auto"/>
              <w:bottom w:val="single" w:sz="6" w:space="0" w:color="auto"/>
            </w:tcBorders>
            <w:shd w:val="clear" w:color="auto" w:fill="67AE3C"/>
            <w:vAlign w:val="center"/>
          </w:tcPr>
          <w:p w14:paraId="7C6CA7DE" w14:textId="77777777" w:rsidR="00947B86" w:rsidRPr="005C0994" w:rsidRDefault="00947B86" w:rsidP="00E15217">
            <w:pPr>
              <w:jc w:val="center"/>
              <w:rPr>
                <w:rFonts w:asciiTheme="majorHAnsi" w:hAnsiTheme="majorHAnsi"/>
                <w:b/>
                <w:bCs/>
                <w:color w:val="FFFFFF" w:themeColor="background1"/>
                <w:sz w:val="20"/>
                <w:szCs w:val="20"/>
              </w:rPr>
            </w:pPr>
            <w:r w:rsidRPr="005C0994">
              <w:rPr>
                <w:rFonts w:asciiTheme="majorHAnsi" w:hAnsiTheme="majorHAnsi"/>
                <w:b/>
                <w:bCs/>
                <w:color w:val="FFFFFF" w:themeColor="background1"/>
                <w:sz w:val="20"/>
                <w:szCs w:val="20"/>
              </w:rPr>
              <w:t>Competence</w:t>
            </w:r>
            <w:r w:rsidRPr="005C0994">
              <w:rPr>
                <w:rFonts w:asciiTheme="majorHAnsi" w:hAnsiTheme="majorHAnsi"/>
                <w:b/>
                <w:bCs/>
                <w:i/>
                <w:color w:val="FFFFFF" w:themeColor="background1"/>
                <w:sz w:val="20"/>
                <w:szCs w:val="20"/>
              </w:rPr>
              <w:t xml:space="preserve"> </w:t>
            </w:r>
            <w:proofErr w:type="spellStart"/>
            <w:r w:rsidRPr="005C0994">
              <w:rPr>
                <w:rFonts w:asciiTheme="majorHAnsi" w:hAnsiTheme="majorHAnsi"/>
                <w:b/>
                <w:bCs/>
                <w:i/>
                <w:color w:val="FFFFFF" w:themeColor="background1"/>
                <w:sz w:val="20"/>
                <w:szCs w:val="20"/>
              </w:rPr>
              <w:t>Ratione</w:t>
            </w:r>
            <w:proofErr w:type="spellEnd"/>
            <w:r w:rsidRPr="005C0994">
              <w:rPr>
                <w:rFonts w:asciiTheme="majorHAnsi" w:hAnsiTheme="majorHAnsi"/>
                <w:b/>
                <w:bCs/>
                <w:i/>
                <w:color w:val="FFFFFF" w:themeColor="background1"/>
                <w:sz w:val="20"/>
                <w:szCs w:val="20"/>
              </w:rPr>
              <w:t xml:space="preserve"> </w:t>
            </w:r>
            <w:proofErr w:type="spellStart"/>
            <w:r w:rsidRPr="005C0994">
              <w:rPr>
                <w:rFonts w:asciiTheme="majorHAnsi" w:hAnsiTheme="majorHAnsi"/>
                <w:b/>
                <w:bCs/>
                <w:i/>
                <w:color w:val="FFFFFF" w:themeColor="background1"/>
                <w:sz w:val="20"/>
                <w:szCs w:val="20"/>
              </w:rPr>
              <w:t>temporis</w:t>
            </w:r>
            <w:proofErr w:type="spellEnd"/>
            <w:r w:rsidRPr="005C0994">
              <w:rPr>
                <w:rFonts w:asciiTheme="majorHAnsi" w:hAnsiTheme="majorHAnsi"/>
                <w:b/>
                <w:bCs/>
                <w:color w:val="FFFFFF" w:themeColor="background1"/>
                <w:sz w:val="20"/>
                <w:szCs w:val="20"/>
              </w:rPr>
              <w:t>:</w:t>
            </w:r>
          </w:p>
        </w:tc>
        <w:tc>
          <w:tcPr>
            <w:tcW w:w="5760" w:type="dxa"/>
            <w:vAlign w:val="center"/>
          </w:tcPr>
          <w:p w14:paraId="6F70DF37" w14:textId="77777777" w:rsidR="00947B86" w:rsidRPr="005C0994" w:rsidRDefault="00947B86" w:rsidP="00E15217">
            <w:pPr>
              <w:rPr>
                <w:rFonts w:asciiTheme="majorHAnsi" w:hAnsiTheme="majorHAnsi"/>
                <w:bCs/>
                <w:sz w:val="20"/>
                <w:szCs w:val="20"/>
              </w:rPr>
            </w:pPr>
            <w:r w:rsidRPr="005C0994">
              <w:rPr>
                <w:rFonts w:asciiTheme="majorHAnsi" w:hAnsiTheme="majorHAnsi"/>
                <w:bCs/>
                <w:sz w:val="20"/>
                <w:szCs w:val="20"/>
              </w:rPr>
              <w:t>Yes</w:t>
            </w:r>
          </w:p>
        </w:tc>
      </w:tr>
      <w:tr w:rsidR="00947B86" w:rsidRPr="005C0994" w14:paraId="1660CBDB" w14:textId="77777777" w:rsidTr="001D5FE4">
        <w:trPr>
          <w:cantSplit/>
        </w:trPr>
        <w:tc>
          <w:tcPr>
            <w:tcW w:w="3600" w:type="dxa"/>
            <w:tcBorders>
              <w:top w:val="single" w:sz="6" w:space="0" w:color="auto"/>
              <w:bottom w:val="single" w:sz="6" w:space="0" w:color="auto"/>
            </w:tcBorders>
            <w:shd w:val="clear" w:color="auto" w:fill="67AE3C"/>
            <w:vAlign w:val="center"/>
          </w:tcPr>
          <w:p w14:paraId="4B2DDD42" w14:textId="77777777" w:rsidR="00947B86" w:rsidRPr="005C0994" w:rsidRDefault="00947B86" w:rsidP="00E15217">
            <w:pPr>
              <w:jc w:val="center"/>
              <w:rPr>
                <w:rFonts w:asciiTheme="majorHAnsi" w:hAnsiTheme="majorHAnsi"/>
                <w:b/>
                <w:bCs/>
                <w:color w:val="FFFFFF" w:themeColor="background1"/>
                <w:sz w:val="20"/>
                <w:szCs w:val="20"/>
              </w:rPr>
            </w:pPr>
            <w:r w:rsidRPr="005C0994">
              <w:rPr>
                <w:rFonts w:asciiTheme="majorHAnsi" w:hAnsiTheme="majorHAnsi"/>
                <w:b/>
                <w:bCs/>
                <w:color w:val="FFFFFF" w:themeColor="background1"/>
                <w:sz w:val="20"/>
                <w:szCs w:val="20"/>
              </w:rPr>
              <w:t>Competence</w:t>
            </w:r>
            <w:r w:rsidRPr="005C0994">
              <w:rPr>
                <w:rFonts w:asciiTheme="majorHAnsi" w:hAnsiTheme="majorHAnsi"/>
                <w:b/>
                <w:bCs/>
                <w:i/>
                <w:color w:val="FFFFFF" w:themeColor="background1"/>
                <w:sz w:val="20"/>
                <w:szCs w:val="20"/>
              </w:rPr>
              <w:t xml:space="preserve"> </w:t>
            </w:r>
            <w:proofErr w:type="spellStart"/>
            <w:r w:rsidRPr="005C0994">
              <w:rPr>
                <w:rFonts w:asciiTheme="majorHAnsi" w:hAnsiTheme="majorHAnsi"/>
                <w:b/>
                <w:bCs/>
                <w:i/>
                <w:color w:val="FFFFFF" w:themeColor="background1"/>
                <w:sz w:val="20"/>
                <w:szCs w:val="20"/>
              </w:rPr>
              <w:t>Ratione</w:t>
            </w:r>
            <w:proofErr w:type="spellEnd"/>
            <w:r w:rsidRPr="005C0994">
              <w:rPr>
                <w:rFonts w:asciiTheme="majorHAnsi" w:hAnsiTheme="majorHAnsi"/>
                <w:b/>
                <w:bCs/>
                <w:i/>
                <w:color w:val="FFFFFF" w:themeColor="background1"/>
                <w:sz w:val="20"/>
                <w:szCs w:val="20"/>
              </w:rPr>
              <w:t xml:space="preserve"> </w:t>
            </w:r>
            <w:proofErr w:type="spellStart"/>
            <w:r w:rsidRPr="005C0994">
              <w:rPr>
                <w:rFonts w:asciiTheme="majorHAnsi" w:hAnsiTheme="majorHAnsi"/>
                <w:b/>
                <w:bCs/>
                <w:i/>
                <w:color w:val="FFFFFF" w:themeColor="background1"/>
                <w:sz w:val="20"/>
                <w:szCs w:val="20"/>
              </w:rPr>
              <w:t>materiae</w:t>
            </w:r>
            <w:proofErr w:type="spellEnd"/>
            <w:r w:rsidRPr="005C0994">
              <w:rPr>
                <w:rFonts w:asciiTheme="majorHAnsi" w:hAnsiTheme="majorHAnsi"/>
                <w:b/>
                <w:bCs/>
                <w:color w:val="FFFFFF" w:themeColor="background1"/>
                <w:sz w:val="20"/>
                <w:szCs w:val="20"/>
              </w:rPr>
              <w:t>:</w:t>
            </w:r>
          </w:p>
        </w:tc>
        <w:tc>
          <w:tcPr>
            <w:tcW w:w="5760" w:type="dxa"/>
            <w:vAlign w:val="center"/>
          </w:tcPr>
          <w:p w14:paraId="398DF79B" w14:textId="77777777" w:rsidR="00947B86" w:rsidRPr="005C0994" w:rsidRDefault="00947B86" w:rsidP="0010625B">
            <w:pPr>
              <w:jc w:val="both"/>
              <w:rPr>
                <w:rFonts w:asciiTheme="majorHAnsi" w:hAnsiTheme="majorHAnsi"/>
                <w:bCs/>
                <w:sz w:val="20"/>
                <w:szCs w:val="20"/>
              </w:rPr>
            </w:pPr>
            <w:r w:rsidRPr="005C0994">
              <w:rPr>
                <w:rFonts w:asciiTheme="majorHAnsi" w:hAnsiTheme="majorHAnsi"/>
                <w:bCs/>
                <w:sz w:val="20"/>
                <w:szCs w:val="20"/>
              </w:rPr>
              <w:t>Yes, American Declaration of the Rights and Duties of Man (ratification of the OAS Charter on June 19, 1951)</w:t>
            </w:r>
          </w:p>
        </w:tc>
      </w:tr>
      <w:tr w:rsidR="00947B86" w:rsidRPr="005C0994" w14:paraId="5B1B2E6B" w14:textId="77777777" w:rsidTr="001D5FE4">
        <w:trPr>
          <w:cantSplit/>
        </w:trPr>
        <w:tc>
          <w:tcPr>
            <w:tcW w:w="3600" w:type="dxa"/>
            <w:tcBorders>
              <w:top w:val="single" w:sz="6" w:space="0" w:color="auto"/>
              <w:bottom w:val="single" w:sz="6" w:space="0" w:color="auto"/>
            </w:tcBorders>
            <w:shd w:val="clear" w:color="auto" w:fill="67AE3C"/>
            <w:vAlign w:val="center"/>
          </w:tcPr>
          <w:p w14:paraId="1A793C2B" w14:textId="77777777" w:rsidR="00947B86" w:rsidRPr="005C0994" w:rsidRDefault="00947B86" w:rsidP="00E15217">
            <w:pPr>
              <w:jc w:val="center"/>
              <w:rPr>
                <w:rFonts w:asciiTheme="majorHAnsi" w:hAnsiTheme="majorHAnsi"/>
                <w:b/>
                <w:bCs/>
                <w:color w:val="FFFFFF" w:themeColor="background1"/>
                <w:sz w:val="20"/>
                <w:szCs w:val="20"/>
              </w:rPr>
            </w:pPr>
            <w:r w:rsidRPr="005C0994">
              <w:rPr>
                <w:rFonts w:asciiTheme="majorHAnsi" w:hAnsiTheme="majorHAnsi"/>
                <w:b/>
                <w:bCs/>
                <w:color w:val="FFFFFF" w:themeColor="background1"/>
                <w:sz w:val="20"/>
                <w:szCs w:val="20"/>
              </w:rPr>
              <w:t xml:space="preserve">Duplication of procedures and international </w:t>
            </w:r>
            <w:r w:rsidRPr="005C0994">
              <w:rPr>
                <w:rFonts w:asciiTheme="majorHAnsi" w:hAnsiTheme="majorHAnsi"/>
                <w:b/>
                <w:bCs/>
                <w:i/>
                <w:iCs/>
                <w:color w:val="FFFFFF" w:themeColor="background1"/>
                <w:sz w:val="20"/>
                <w:szCs w:val="20"/>
              </w:rPr>
              <w:t>res judicata</w:t>
            </w:r>
            <w:r w:rsidRPr="005C0994">
              <w:rPr>
                <w:rFonts w:asciiTheme="majorHAnsi" w:hAnsiTheme="majorHAnsi"/>
                <w:b/>
                <w:bCs/>
                <w:color w:val="FFFFFF" w:themeColor="background1"/>
                <w:sz w:val="20"/>
                <w:szCs w:val="20"/>
              </w:rPr>
              <w:t>:</w:t>
            </w:r>
          </w:p>
        </w:tc>
        <w:tc>
          <w:tcPr>
            <w:tcW w:w="5760" w:type="dxa"/>
            <w:vAlign w:val="center"/>
          </w:tcPr>
          <w:p w14:paraId="38060C85" w14:textId="77777777" w:rsidR="00947B86" w:rsidRPr="005C0994" w:rsidRDefault="00947B86" w:rsidP="00E15217">
            <w:pPr>
              <w:jc w:val="both"/>
              <w:rPr>
                <w:rFonts w:asciiTheme="majorHAnsi" w:hAnsiTheme="majorHAnsi"/>
                <w:bCs/>
                <w:sz w:val="20"/>
                <w:szCs w:val="20"/>
              </w:rPr>
            </w:pPr>
            <w:r w:rsidRPr="005C0994">
              <w:rPr>
                <w:rFonts w:asciiTheme="majorHAnsi" w:hAnsiTheme="majorHAnsi"/>
                <w:bCs/>
                <w:sz w:val="20"/>
                <w:szCs w:val="20"/>
              </w:rPr>
              <w:t>No</w:t>
            </w:r>
          </w:p>
        </w:tc>
      </w:tr>
    </w:tbl>
    <w:p w14:paraId="3CD0B27C" w14:textId="77777777" w:rsidR="0081365E" w:rsidRPr="005C0994" w:rsidRDefault="0081365E" w:rsidP="0081365E">
      <w:pPr>
        <w:rPr>
          <w:rFonts w:asciiTheme="majorHAnsi" w:hAnsiTheme="majorHAnsi"/>
          <w:sz w:val="20"/>
          <w:szCs w:val="20"/>
        </w:rPr>
      </w:pPr>
    </w:p>
    <w:p w14:paraId="2D5C234D" w14:textId="77777777" w:rsidR="009D0B9F" w:rsidRPr="005C0994" w:rsidRDefault="00B3401D" w:rsidP="00626F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T</w:t>
      </w:r>
      <w:r w:rsidR="009D0B9F" w:rsidRPr="005C0994">
        <w:rPr>
          <w:rFonts w:asciiTheme="majorHAnsi" w:hAnsiTheme="majorHAnsi"/>
          <w:sz w:val="20"/>
          <w:szCs w:val="20"/>
        </w:rPr>
        <w:t>he IACHR notes the State’s position that the Commission does not have competence to review claims arising under the Vienna Convention. As it will be addressed below, while the Commission has no jurisdiction to find a violation of such provisions, it may consider them for the purpose of evaluating the State’s compliance with a foreign national’s due process rights under the American Declaration.</w:t>
      </w:r>
    </w:p>
    <w:p w14:paraId="42C31C29" w14:textId="77777777" w:rsidR="009D0B9F" w:rsidRPr="005C0994" w:rsidRDefault="009D0B9F" w:rsidP="009D0B9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Theme="majorHAnsi" w:hAnsiTheme="majorHAnsi"/>
          <w:sz w:val="20"/>
          <w:szCs w:val="20"/>
        </w:rPr>
      </w:pPr>
    </w:p>
    <w:p w14:paraId="521C2CE8" w14:textId="77777777" w:rsidR="00F516D3" w:rsidRPr="005C0994" w:rsidRDefault="00317FC6"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8" w:name="_Toc90297865"/>
      <w:r w:rsidRPr="005C0994">
        <w:rPr>
          <w:rFonts w:cs="Tahoma"/>
          <w:color w:val="auto"/>
          <w:sz w:val="20"/>
          <w:szCs w:val="20"/>
          <w:shd w:val="clear" w:color="auto" w:fill="FFFFFF"/>
        </w:rPr>
        <w:t>Exhaustion of domestic remedies and timeliness of the petition</w:t>
      </w:r>
      <w:bookmarkEnd w:id="8"/>
    </w:p>
    <w:p w14:paraId="1DF39C38" w14:textId="77777777" w:rsidR="00D94F44" w:rsidRPr="005C0994" w:rsidRDefault="00D94F44" w:rsidP="00D94F44">
      <w:pPr>
        <w:rPr>
          <w:rFonts w:asciiTheme="majorHAnsi" w:hAnsiTheme="majorHAnsi"/>
          <w:color w:val="FF0000"/>
          <w:sz w:val="20"/>
          <w:szCs w:val="20"/>
        </w:rPr>
      </w:pPr>
    </w:p>
    <w:p w14:paraId="25BCE550" w14:textId="77777777" w:rsidR="00F652F0" w:rsidRPr="005C0994" w:rsidRDefault="00DA36AE" w:rsidP="009649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According to the information available, and as established in </w:t>
      </w:r>
      <w:r w:rsidR="00C5237D" w:rsidRPr="005C0994">
        <w:rPr>
          <w:rFonts w:asciiTheme="majorHAnsi" w:hAnsiTheme="majorHAnsi"/>
          <w:sz w:val="20"/>
          <w:szCs w:val="20"/>
        </w:rPr>
        <w:t>the facts described below</w:t>
      </w:r>
      <w:r w:rsidR="00FE5C4B" w:rsidRPr="005C0994">
        <w:rPr>
          <w:rFonts w:asciiTheme="majorHAnsi" w:hAnsiTheme="majorHAnsi"/>
          <w:sz w:val="20"/>
          <w:szCs w:val="20"/>
        </w:rPr>
        <w:t>,</w:t>
      </w:r>
      <w:r w:rsidR="00457974" w:rsidRPr="005C0994">
        <w:rPr>
          <w:rFonts w:asciiTheme="majorHAnsi" w:hAnsiTheme="majorHAnsi"/>
          <w:sz w:val="20"/>
          <w:szCs w:val="20"/>
        </w:rPr>
        <w:t xml:space="preserve"> Mr. </w:t>
      </w:r>
      <w:proofErr w:type="spellStart"/>
      <w:r w:rsidR="00457974" w:rsidRPr="005C0994">
        <w:rPr>
          <w:rFonts w:asciiTheme="majorHAnsi" w:hAnsiTheme="majorHAnsi"/>
          <w:sz w:val="20"/>
          <w:szCs w:val="20"/>
        </w:rPr>
        <w:t>Loza</w:t>
      </w:r>
      <w:proofErr w:type="spellEnd"/>
      <w:r w:rsidR="00457974" w:rsidRPr="005C0994">
        <w:rPr>
          <w:rFonts w:asciiTheme="majorHAnsi" w:hAnsiTheme="majorHAnsi"/>
          <w:sz w:val="20"/>
          <w:szCs w:val="20"/>
        </w:rPr>
        <w:t xml:space="preserve"> </w:t>
      </w:r>
      <w:r w:rsidR="00FE5C4B" w:rsidRPr="005C0994">
        <w:rPr>
          <w:rFonts w:asciiTheme="majorHAnsi" w:hAnsiTheme="majorHAnsi"/>
          <w:sz w:val="20"/>
          <w:szCs w:val="20"/>
        </w:rPr>
        <w:t>was found guilty on</w:t>
      </w:r>
      <w:r w:rsidR="00457974" w:rsidRPr="005C0994">
        <w:rPr>
          <w:rFonts w:asciiTheme="majorHAnsi" w:hAnsiTheme="majorHAnsi"/>
          <w:sz w:val="20"/>
          <w:szCs w:val="20"/>
        </w:rPr>
        <w:t xml:space="preserve"> four counts of aggravated murder</w:t>
      </w:r>
      <w:r w:rsidR="00FE5C4B" w:rsidRPr="005C0994">
        <w:rPr>
          <w:rFonts w:asciiTheme="majorHAnsi" w:hAnsiTheme="majorHAnsi"/>
          <w:sz w:val="20"/>
          <w:szCs w:val="20"/>
        </w:rPr>
        <w:t xml:space="preserve"> on October 31, 1991</w:t>
      </w:r>
      <w:r w:rsidR="00964917" w:rsidRPr="005C0994">
        <w:rPr>
          <w:rFonts w:asciiTheme="majorHAnsi" w:hAnsiTheme="majorHAnsi"/>
          <w:sz w:val="20"/>
          <w:szCs w:val="20"/>
        </w:rPr>
        <w:t xml:space="preserve"> and sentenced to death</w:t>
      </w:r>
      <w:r w:rsidR="00457974" w:rsidRPr="005C0994">
        <w:rPr>
          <w:rFonts w:asciiTheme="majorHAnsi" w:hAnsiTheme="majorHAnsi"/>
          <w:sz w:val="20"/>
          <w:szCs w:val="20"/>
        </w:rPr>
        <w:t>.</w:t>
      </w:r>
      <w:r w:rsidR="00457974" w:rsidRPr="005C0994">
        <w:rPr>
          <w:rStyle w:val="FootnoteReference"/>
          <w:rFonts w:asciiTheme="majorHAnsi" w:hAnsiTheme="majorHAnsi"/>
          <w:sz w:val="20"/>
          <w:szCs w:val="20"/>
        </w:rPr>
        <w:footnoteReference w:id="3"/>
      </w:r>
      <w:r w:rsidR="00457974" w:rsidRPr="005C0994">
        <w:rPr>
          <w:rFonts w:asciiTheme="majorHAnsi" w:hAnsiTheme="majorHAnsi"/>
          <w:sz w:val="20"/>
          <w:szCs w:val="20"/>
        </w:rPr>
        <w:t xml:space="preserve"> The Ohio Court of Appeals affirmed the convictions and sentences</w:t>
      </w:r>
      <w:r w:rsidR="00457974" w:rsidRPr="005C0994">
        <w:rPr>
          <w:rStyle w:val="FootnoteReference"/>
          <w:rFonts w:asciiTheme="majorHAnsi" w:hAnsiTheme="majorHAnsi"/>
          <w:sz w:val="20"/>
          <w:szCs w:val="20"/>
        </w:rPr>
        <w:footnoteReference w:id="4"/>
      </w:r>
      <w:r w:rsidR="00457974" w:rsidRPr="005C0994">
        <w:rPr>
          <w:rFonts w:asciiTheme="majorHAnsi" w:hAnsiTheme="majorHAnsi"/>
          <w:sz w:val="20"/>
          <w:szCs w:val="20"/>
        </w:rPr>
        <w:t xml:space="preserve"> </w:t>
      </w:r>
      <w:r w:rsidR="00FE5C4B" w:rsidRPr="005C0994">
        <w:rPr>
          <w:rFonts w:asciiTheme="majorHAnsi" w:hAnsiTheme="majorHAnsi"/>
          <w:sz w:val="20"/>
          <w:szCs w:val="20"/>
        </w:rPr>
        <w:t>and on</w:t>
      </w:r>
      <w:r w:rsidR="00457974" w:rsidRPr="005C0994">
        <w:rPr>
          <w:rFonts w:asciiTheme="majorHAnsi" w:hAnsiTheme="majorHAnsi"/>
          <w:sz w:val="20"/>
          <w:szCs w:val="20"/>
        </w:rPr>
        <w:t xml:space="preserve"> November 27, 1995, Mr. </w:t>
      </w:r>
      <w:proofErr w:type="spellStart"/>
      <w:r w:rsidR="00457974" w:rsidRPr="005C0994">
        <w:rPr>
          <w:rFonts w:asciiTheme="majorHAnsi" w:hAnsiTheme="majorHAnsi"/>
          <w:sz w:val="20"/>
          <w:szCs w:val="20"/>
        </w:rPr>
        <w:t>Loza</w:t>
      </w:r>
      <w:proofErr w:type="spellEnd"/>
      <w:r w:rsidR="00457974" w:rsidRPr="005C0994">
        <w:rPr>
          <w:rFonts w:asciiTheme="majorHAnsi" w:hAnsiTheme="majorHAnsi"/>
          <w:sz w:val="20"/>
          <w:szCs w:val="20"/>
        </w:rPr>
        <w:t xml:space="preserve"> filed a petition for post-conviction relief, a motion for discovery, and a motion requesting review of p</w:t>
      </w:r>
      <w:r w:rsidR="00FE5C4B" w:rsidRPr="005C0994">
        <w:rPr>
          <w:rFonts w:asciiTheme="majorHAnsi" w:hAnsiTheme="majorHAnsi"/>
          <w:sz w:val="20"/>
          <w:szCs w:val="20"/>
        </w:rPr>
        <w:t>rosecutorial and police files. Further, o</w:t>
      </w:r>
      <w:r w:rsidR="00457974" w:rsidRPr="005C0994">
        <w:rPr>
          <w:rFonts w:asciiTheme="majorHAnsi" w:hAnsiTheme="majorHAnsi"/>
          <w:sz w:val="20"/>
          <w:szCs w:val="20"/>
        </w:rPr>
        <w:t xml:space="preserve">n December 7, 1995, he filed a motion for discovery on the discriminatory enforcement of the death penalty in Butler County, Ohio. On September 24, 1996, the trial court, issued a decision that denied all of his motions and dismissed his petition for post-conviction relief. The decision was appealed </w:t>
      </w:r>
      <w:r w:rsidR="008B768E" w:rsidRPr="005C0994">
        <w:rPr>
          <w:rFonts w:asciiTheme="majorHAnsi" w:hAnsiTheme="majorHAnsi"/>
          <w:sz w:val="20"/>
          <w:szCs w:val="20"/>
        </w:rPr>
        <w:t>and on</w:t>
      </w:r>
      <w:r w:rsidR="00964917" w:rsidRPr="005C0994">
        <w:rPr>
          <w:rFonts w:asciiTheme="majorHAnsi" w:hAnsiTheme="majorHAnsi"/>
          <w:sz w:val="20"/>
          <w:szCs w:val="20"/>
        </w:rPr>
        <w:t xml:space="preserve"> </w:t>
      </w:r>
      <w:r w:rsidR="00457974" w:rsidRPr="005C0994">
        <w:rPr>
          <w:rFonts w:asciiTheme="majorHAnsi" w:hAnsiTheme="majorHAnsi"/>
          <w:sz w:val="20"/>
          <w:szCs w:val="20"/>
        </w:rPr>
        <w:t xml:space="preserve">October 13, 1997 the Ohio Court of Appeals affirmed the County Court’s denial of post-conviction relief and the Ohio </w:t>
      </w:r>
      <w:r w:rsidR="00457974" w:rsidRPr="005C0994">
        <w:rPr>
          <w:rFonts w:asciiTheme="majorHAnsi" w:hAnsiTheme="majorHAnsi"/>
          <w:sz w:val="20"/>
          <w:szCs w:val="20"/>
        </w:rPr>
        <w:lastRenderedPageBreak/>
        <w:t>Supreme Court declined discretion</w:t>
      </w:r>
      <w:r w:rsidR="007E2CB3" w:rsidRPr="005C0994">
        <w:rPr>
          <w:rFonts w:asciiTheme="majorHAnsi" w:hAnsiTheme="majorHAnsi"/>
          <w:sz w:val="20"/>
          <w:szCs w:val="20"/>
        </w:rPr>
        <w:t xml:space="preserve">ary review of Mr. </w:t>
      </w:r>
      <w:proofErr w:type="spellStart"/>
      <w:r w:rsidR="007E2CB3" w:rsidRPr="005C0994">
        <w:rPr>
          <w:rFonts w:asciiTheme="majorHAnsi" w:hAnsiTheme="majorHAnsi"/>
          <w:sz w:val="20"/>
          <w:szCs w:val="20"/>
        </w:rPr>
        <w:t>Loza’s</w:t>
      </w:r>
      <w:proofErr w:type="spellEnd"/>
      <w:r w:rsidR="007E2CB3" w:rsidRPr="005C0994">
        <w:rPr>
          <w:rFonts w:asciiTheme="majorHAnsi" w:hAnsiTheme="majorHAnsi"/>
          <w:sz w:val="20"/>
          <w:szCs w:val="20"/>
        </w:rPr>
        <w:t xml:space="preserve"> appeal</w:t>
      </w:r>
      <w:r w:rsidR="00457974" w:rsidRPr="005C0994">
        <w:rPr>
          <w:rFonts w:asciiTheme="majorHAnsi" w:hAnsiTheme="majorHAnsi"/>
          <w:sz w:val="20"/>
          <w:szCs w:val="20"/>
        </w:rPr>
        <w:t>.</w:t>
      </w:r>
      <w:r w:rsidR="00457974" w:rsidRPr="005C0994">
        <w:rPr>
          <w:rStyle w:val="FootnoteReference"/>
          <w:rFonts w:asciiTheme="majorHAnsi" w:hAnsiTheme="majorHAnsi"/>
          <w:sz w:val="20"/>
          <w:szCs w:val="20"/>
        </w:rPr>
        <w:footnoteReference w:id="5"/>
      </w:r>
      <w:r w:rsidR="00457974" w:rsidRPr="005C0994">
        <w:rPr>
          <w:rFonts w:asciiTheme="majorHAnsi" w:hAnsiTheme="majorHAnsi"/>
          <w:sz w:val="20"/>
          <w:szCs w:val="20"/>
        </w:rPr>
        <w:t xml:space="preserve"> Following th</w:t>
      </w:r>
      <w:r w:rsidR="007E2CB3" w:rsidRPr="005C0994">
        <w:rPr>
          <w:rFonts w:asciiTheme="majorHAnsi" w:hAnsiTheme="majorHAnsi"/>
          <w:sz w:val="20"/>
          <w:szCs w:val="20"/>
        </w:rPr>
        <w:t xml:space="preserve">e affirmance of his convictions, </w:t>
      </w:r>
      <w:r w:rsidR="00457974" w:rsidRPr="005C0994">
        <w:rPr>
          <w:rFonts w:asciiTheme="majorHAnsi" w:hAnsiTheme="majorHAnsi"/>
          <w:sz w:val="20"/>
          <w:szCs w:val="20"/>
        </w:rPr>
        <w:t xml:space="preserve">sentence and denial of </w:t>
      </w:r>
      <w:r w:rsidR="00964917" w:rsidRPr="005C0994">
        <w:rPr>
          <w:rFonts w:asciiTheme="majorHAnsi" w:hAnsiTheme="majorHAnsi"/>
          <w:sz w:val="20"/>
          <w:szCs w:val="20"/>
        </w:rPr>
        <w:t>post-conviction</w:t>
      </w:r>
      <w:r w:rsidR="00457974" w:rsidRPr="005C0994">
        <w:rPr>
          <w:rFonts w:asciiTheme="majorHAnsi" w:hAnsiTheme="majorHAnsi"/>
          <w:sz w:val="20"/>
          <w:szCs w:val="20"/>
        </w:rPr>
        <w:t xml:space="preserve"> relief, Mr. </w:t>
      </w:r>
      <w:proofErr w:type="spellStart"/>
      <w:r w:rsidR="00457974" w:rsidRPr="005C0994">
        <w:rPr>
          <w:rFonts w:asciiTheme="majorHAnsi" w:hAnsiTheme="majorHAnsi"/>
          <w:sz w:val="20"/>
          <w:szCs w:val="20"/>
        </w:rPr>
        <w:t>Loza</w:t>
      </w:r>
      <w:proofErr w:type="spellEnd"/>
      <w:r w:rsidR="00457974" w:rsidRPr="005C0994">
        <w:rPr>
          <w:rFonts w:asciiTheme="majorHAnsi" w:hAnsiTheme="majorHAnsi"/>
          <w:sz w:val="20"/>
          <w:szCs w:val="20"/>
        </w:rPr>
        <w:t xml:space="preserve"> then filed a habeas corpus petition in </w:t>
      </w:r>
      <w:r w:rsidR="00964917" w:rsidRPr="005C0994">
        <w:rPr>
          <w:rFonts w:asciiTheme="majorHAnsi" w:hAnsiTheme="majorHAnsi"/>
          <w:sz w:val="20"/>
          <w:szCs w:val="20"/>
        </w:rPr>
        <w:t>the</w:t>
      </w:r>
      <w:r w:rsidR="00457974" w:rsidRPr="005C0994">
        <w:rPr>
          <w:rFonts w:asciiTheme="majorHAnsi" w:hAnsiTheme="majorHAnsi"/>
          <w:sz w:val="20"/>
          <w:szCs w:val="20"/>
        </w:rPr>
        <w:t xml:space="preserve"> district court</w:t>
      </w:r>
      <w:r w:rsidR="00964917" w:rsidRPr="005C0994">
        <w:rPr>
          <w:rFonts w:asciiTheme="majorHAnsi" w:hAnsiTheme="majorHAnsi"/>
          <w:sz w:val="20"/>
          <w:szCs w:val="20"/>
        </w:rPr>
        <w:t xml:space="preserve">. </w:t>
      </w:r>
      <w:r w:rsidR="00457974" w:rsidRPr="005C0994">
        <w:rPr>
          <w:rFonts w:asciiTheme="majorHAnsi" w:hAnsiTheme="majorHAnsi"/>
          <w:sz w:val="20"/>
          <w:szCs w:val="20"/>
        </w:rPr>
        <w:t xml:space="preserve">The United States District Court for the Southern District of Ohio denied the </w:t>
      </w:r>
      <w:r w:rsidR="00895C72" w:rsidRPr="005C0994">
        <w:rPr>
          <w:rFonts w:asciiTheme="majorHAnsi" w:hAnsiTheme="majorHAnsi"/>
          <w:sz w:val="20"/>
          <w:szCs w:val="20"/>
        </w:rPr>
        <w:t>habeas corpus claims and dismissed the action on March 31 2010</w:t>
      </w:r>
      <w:r w:rsidR="006A5570" w:rsidRPr="005C0994">
        <w:rPr>
          <w:rFonts w:asciiTheme="majorHAnsi" w:hAnsiTheme="majorHAnsi"/>
          <w:sz w:val="20"/>
          <w:szCs w:val="20"/>
        </w:rPr>
        <w:t>.</w:t>
      </w:r>
      <w:r w:rsidR="00895C72" w:rsidRPr="005C0994">
        <w:rPr>
          <w:rFonts w:asciiTheme="majorHAnsi" w:hAnsiTheme="majorHAnsi"/>
          <w:sz w:val="20"/>
          <w:szCs w:val="20"/>
        </w:rPr>
        <w:t xml:space="preserve"> Mr. </w:t>
      </w:r>
      <w:proofErr w:type="spellStart"/>
      <w:r w:rsidR="00895C72" w:rsidRPr="005C0994">
        <w:rPr>
          <w:rFonts w:asciiTheme="majorHAnsi" w:hAnsiTheme="majorHAnsi"/>
          <w:sz w:val="20"/>
          <w:szCs w:val="20"/>
        </w:rPr>
        <w:t>Loza</w:t>
      </w:r>
      <w:proofErr w:type="spellEnd"/>
      <w:r w:rsidR="00895C72" w:rsidRPr="005C0994">
        <w:rPr>
          <w:rFonts w:asciiTheme="majorHAnsi" w:hAnsiTheme="majorHAnsi"/>
          <w:sz w:val="20"/>
          <w:szCs w:val="20"/>
        </w:rPr>
        <w:t xml:space="preserve"> then appealed against the denial and the United States Court of Appeals</w:t>
      </w:r>
      <w:r w:rsidR="009039DC" w:rsidRPr="005C0994">
        <w:rPr>
          <w:rFonts w:asciiTheme="majorHAnsi" w:hAnsiTheme="majorHAnsi"/>
          <w:sz w:val="20"/>
          <w:szCs w:val="20"/>
        </w:rPr>
        <w:t>, on October 24, 2014,</w:t>
      </w:r>
      <w:r w:rsidR="00895C72" w:rsidRPr="005C0994">
        <w:rPr>
          <w:rFonts w:asciiTheme="majorHAnsi" w:hAnsiTheme="majorHAnsi"/>
          <w:sz w:val="20"/>
          <w:szCs w:val="20"/>
        </w:rPr>
        <w:t xml:space="preserve"> affirmed the District Court’s dismissal of </w:t>
      </w:r>
      <w:r w:rsidR="009039DC" w:rsidRPr="005C0994">
        <w:rPr>
          <w:rFonts w:asciiTheme="majorHAnsi" w:hAnsiTheme="majorHAnsi"/>
          <w:sz w:val="20"/>
          <w:szCs w:val="20"/>
        </w:rPr>
        <w:t xml:space="preserve">Mr. </w:t>
      </w:r>
      <w:proofErr w:type="spellStart"/>
      <w:r w:rsidR="00895C72" w:rsidRPr="005C0994">
        <w:rPr>
          <w:rFonts w:asciiTheme="majorHAnsi" w:hAnsiTheme="majorHAnsi"/>
          <w:sz w:val="20"/>
          <w:szCs w:val="20"/>
        </w:rPr>
        <w:t>Loza’s</w:t>
      </w:r>
      <w:proofErr w:type="spellEnd"/>
      <w:r w:rsidR="00895C72" w:rsidRPr="005C0994">
        <w:rPr>
          <w:rFonts w:asciiTheme="majorHAnsi" w:hAnsiTheme="majorHAnsi"/>
          <w:sz w:val="20"/>
          <w:szCs w:val="20"/>
        </w:rPr>
        <w:t xml:space="preserve"> petition for habeas corpus. </w:t>
      </w:r>
      <w:r w:rsidR="005C566A" w:rsidRPr="005C0994">
        <w:rPr>
          <w:rFonts w:asciiTheme="majorHAnsi" w:hAnsiTheme="majorHAnsi"/>
          <w:sz w:val="20"/>
          <w:szCs w:val="20"/>
        </w:rPr>
        <w:t xml:space="preserve">On June 29, 2015 the Unites States Supreme Court denied Mr. </w:t>
      </w:r>
      <w:proofErr w:type="spellStart"/>
      <w:r w:rsidR="005C566A" w:rsidRPr="005C0994">
        <w:rPr>
          <w:rFonts w:asciiTheme="majorHAnsi" w:hAnsiTheme="majorHAnsi"/>
          <w:sz w:val="20"/>
          <w:szCs w:val="20"/>
        </w:rPr>
        <w:t>Loza’s</w:t>
      </w:r>
      <w:proofErr w:type="spellEnd"/>
      <w:r w:rsidR="005C566A" w:rsidRPr="005C0994">
        <w:rPr>
          <w:rFonts w:asciiTheme="majorHAnsi" w:hAnsiTheme="majorHAnsi"/>
          <w:sz w:val="20"/>
          <w:szCs w:val="20"/>
        </w:rPr>
        <w:t xml:space="preserve"> petition for a writ of certiorari. </w:t>
      </w:r>
    </w:p>
    <w:p w14:paraId="5AB60727" w14:textId="77777777" w:rsidR="00837EDD" w:rsidRPr="005C0994" w:rsidRDefault="00837EDD" w:rsidP="00837EDD">
      <w:pPr>
        <w:pStyle w:val="ListParagraph"/>
        <w:rPr>
          <w:rFonts w:asciiTheme="majorHAnsi" w:hAnsiTheme="majorHAnsi"/>
          <w:sz w:val="20"/>
          <w:szCs w:val="20"/>
        </w:rPr>
      </w:pPr>
    </w:p>
    <w:p w14:paraId="143D3BE3" w14:textId="77777777" w:rsidR="00C4237D" w:rsidRPr="005C0994" w:rsidRDefault="00FC5458" w:rsidP="00812C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rPr>
      </w:pPr>
      <w:r w:rsidRPr="005C0994">
        <w:rPr>
          <w:rFonts w:asciiTheme="majorHAnsi" w:hAnsiTheme="majorHAnsi"/>
          <w:sz w:val="20"/>
          <w:szCs w:val="20"/>
        </w:rPr>
        <w:t xml:space="preserve">Based on the available information, the IACHR notes that </w:t>
      </w:r>
      <w:r w:rsidR="00AF010B" w:rsidRPr="005C0994">
        <w:rPr>
          <w:rFonts w:asciiTheme="majorHAnsi" w:hAnsiTheme="majorHAnsi"/>
          <w:sz w:val="20"/>
          <w:szCs w:val="20"/>
        </w:rPr>
        <w:t>the alleged victim has not onl</w:t>
      </w:r>
      <w:r w:rsidR="00837EDD" w:rsidRPr="005C0994">
        <w:rPr>
          <w:rFonts w:asciiTheme="majorHAnsi" w:hAnsiTheme="majorHAnsi"/>
          <w:sz w:val="20"/>
          <w:szCs w:val="20"/>
        </w:rPr>
        <w:t xml:space="preserve">y exhausted all direct review proceeding, but also state and federal post-conviction proceedings. </w:t>
      </w:r>
      <w:r w:rsidR="00C02A78" w:rsidRPr="005C0994">
        <w:rPr>
          <w:rFonts w:asciiTheme="majorHAnsi" w:hAnsiTheme="majorHAnsi"/>
          <w:sz w:val="20"/>
          <w:szCs w:val="20"/>
        </w:rPr>
        <w:t xml:space="preserve">The IACHR also notes that the petitioner raised the </w:t>
      </w:r>
      <w:r w:rsidR="003070EA" w:rsidRPr="005C0994">
        <w:rPr>
          <w:rFonts w:asciiTheme="majorHAnsi" w:hAnsiTheme="majorHAnsi"/>
          <w:sz w:val="20"/>
          <w:szCs w:val="20"/>
        </w:rPr>
        <w:t xml:space="preserve">drugs used in </w:t>
      </w:r>
      <w:r w:rsidR="00C02A78" w:rsidRPr="005C0994">
        <w:rPr>
          <w:rFonts w:asciiTheme="majorHAnsi" w:hAnsiTheme="majorHAnsi"/>
          <w:sz w:val="20"/>
          <w:szCs w:val="20"/>
        </w:rPr>
        <w:t>lethal injection’s claim</w:t>
      </w:r>
      <w:r w:rsidR="003C4F69" w:rsidRPr="005C0994">
        <w:rPr>
          <w:rFonts w:asciiTheme="majorHAnsi" w:hAnsiTheme="majorHAnsi"/>
          <w:sz w:val="20"/>
          <w:szCs w:val="20"/>
        </w:rPr>
        <w:t xml:space="preserve"> before domestic courts.</w:t>
      </w:r>
      <w:r w:rsidR="00C02A78" w:rsidRPr="005C0994">
        <w:rPr>
          <w:rFonts w:asciiTheme="majorHAnsi" w:hAnsiTheme="majorHAnsi"/>
          <w:sz w:val="20"/>
          <w:szCs w:val="20"/>
        </w:rPr>
        <w:t xml:space="preserve"> </w:t>
      </w:r>
    </w:p>
    <w:p w14:paraId="0C2F2957" w14:textId="77777777" w:rsidR="00FB0135" w:rsidRPr="005C0994" w:rsidRDefault="00FB0135" w:rsidP="00FB0135">
      <w:pPr>
        <w:pStyle w:val="ListParagraph"/>
        <w:rPr>
          <w:rFonts w:asciiTheme="majorHAnsi" w:hAnsiTheme="majorHAnsi"/>
          <w:color w:val="FF0000"/>
          <w:sz w:val="20"/>
          <w:szCs w:val="20"/>
        </w:rPr>
      </w:pPr>
    </w:p>
    <w:p w14:paraId="0851B917" w14:textId="77777777" w:rsidR="00FB0135" w:rsidRPr="005C0994" w:rsidRDefault="00FB0135" w:rsidP="00FB0135">
      <w:pPr>
        <w:pStyle w:val="parrafos"/>
        <w:numPr>
          <w:ilvl w:val="0"/>
          <w:numId w:val="55"/>
        </w:numPr>
        <w:ind w:left="0" w:firstLine="0"/>
      </w:pPr>
      <w:r w:rsidRPr="005C0994">
        <w:t>Based on the above factors, the Inter-American Commission concludes that the petitioner properly exhausted domestic remedies available within the domestic legal system and, therefore, that the alleged victims’ claims before the Commission are not barred from consideration by the requirement of exhaustion of domestic remedies under Article 31(1) of its Rules of Procedure.</w:t>
      </w:r>
      <w:r w:rsidR="00C43943" w:rsidRPr="005C0994">
        <w:t xml:space="preserve"> The petition before the IACHR was presented on </w:t>
      </w:r>
      <w:r w:rsidR="001913E1" w:rsidRPr="005C0994">
        <w:t>July 17, 2015</w:t>
      </w:r>
      <w:r w:rsidR="00C43943" w:rsidRPr="005C0994">
        <w:t xml:space="preserve">, and </w:t>
      </w:r>
      <w:r w:rsidR="007E2CB3" w:rsidRPr="005C0994">
        <w:t xml:space="preserve">the </w:t>
      </w:r>
      <w:r w:rsidR="005C566A" w:rsidRPr="005C0994">
        <w:t xml:space="preserve">United States Supreme Court denied </w:t>
      </w:r>
      <w:r w:rsidR="007E2CB3" w:rsidRPr="005C0994">
        <w:t xml:space="preserve">the </w:t>
      </w:r>
      <w:r w:rsidR="005C566A" w:rsidRPr="005C0994">
        <w:t>writ of certiorari</w:t>
      </w:r>
      <w:r w:rsidR="007E2CB3" w:rsidRPr="005C0994">
        <w:t xml:space="preserve"> </w:t>
      </w:r>
      <w:r w:rsidR="005C566A" w:rsidRPr="005C0994">
        <w:t>on June 29, 2015</w:t>
      </w:r>
      <w:r w:rsidR="00D31A84" w:rsidRPr="005C0994">
        <w:t>. The Commission</w:t>
      </w:r>
      <w:r w:rsidRPr="005C0994">
        <w:t xml:space="preserve"> concludes that </w:t>
      </w:r>
      <w:r w:rsidR="00D31A84" w:rsidRPr="005C0994">
        <w:t xml:space="preserve">in the circumstances the petition has been submitted within </w:t>
      </w:r>
      <w:r w:rsidRPr="005C0994">
        <w:t>the requirement specified in Article 32(1) of its Rules of Procedure.</w:t>
      </w:r>
    </w:p>
    <w:p w14:paraId="42364999" w14:textId="77777777" w:rsidR="00D20BFA" w:rsidRPr="005C0994" w:rsidRDefault="00D20BFA" w:rsidP="00AD73A3">
      <w:pPr>
        <w:pStyle w:val="parrafos"/>
        <w:ind w:left="0" w:firstLine="0"/>
      </w:pPr>
    </w:p>
    <w:p w14:paraId="37B24CCC" w14:textId="77777777" w:rsidR="00F516D3" w:rsidRPr="005C0994" w:rsidRDefault="00F516D3"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9" w:name="_Toc7602625"/>
      <w:bookmarkStart w:id="10" w:name="_Toc90297866"/>
      <w:bookmarkStart w:id="11" w:name="_Toc6349144"/>
      <w:r w:rsidRPr="005C0994">
        <w:rPr>
          <w:rFonts w:cs="Times New Roman"/>
          <w:color w:val="auto"/>
          <w:sz w:val="20"/>
          <w:szCs w:val="20"/>
        </w:rPr>
        <w:t>Colorable claim</w:t>
      </w:r>
      <w:bookmarkEnd w:id="9"/>
      <w:bookmarkEnd w:id="10"/>
      <w:r w:rsidRPr="005C0994">
        <w:rPr>
          <w:rFonts w:cs="Times New Roman"/>
          <w:color w:val="auto"/>
          <w:sz w:val="20"/>
          <w:szCs w:val="20"/>
        </w:rPr>
        <w:t xml:space="preserve"> </w:t>
      </w:r>
      <w:bookmarkEnd w:id="11"/>
    </w:p>
    <w:p w14:paraId="4E38FC42" w14:textId="77777777" w:rsidR="00764470" w:rsidRPr="005C0994" w:rsidRDefault="00764470" w:rsidP="00764470">
      <w:pPr>
        <w:rPr>
          <w:rFonts w:asciiTheme="majorHAnsi" w:hAnsiTheme="majorHAnsi"/>
          <w:sz w:val="20"/>
          <w:szCs w:val="20"/>
        </w:rPr>
      </w:pPr>
    </w:p>
    <w:p w14:paraId="7B325B1F" w14:textId="77777777" w:rsidR="00F516D3" w:rsidRPr="005C0994" w:rsidRDefault="00764470" w:rsidP="007644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The Commission considers that, if proven, the facts alleged by the petitioner would tend to establish violations of the rights set forth in </w:t>
      </w:r>
      <w:r w:rsidR="00CF0A29" w:rsidRPr="005C0994">
        <w:rPr>
          <w:rFonts w:asciiTheme="majorHAnsi" w:hAnsiTheme="majorHAnsi"/>
          <w:sz w:val="20"/>
          <w:szCs w:val="20"/>
        </w:rPr>
        <w:t>Articles</w:t>
      </w:r>
      <w:r w:rsidR="00550FAA" w:rsidRPr="005C0994">
        <w:rPr>
          <w:rFonts w:asciiTheme="majorHAnsi" w:hAnsiTheme="majorHAnsi"/>
          <w:sz w:val="20"/>
          <w:szCs w:val="20"/>
        </w:rPr>
        <w:t xml:space="preserve"> I,</w:t>
      </w:r>
      <w:r w:rsidR="00967987" w:rsidRPr="005C0994">
        <w:rPr>
          <w:rFonts w:asciiTheme="majorHAnsi" w:hAnsiTheme="majorHAnsi"/>
          <w:sz w:val="20"/>
          <w:szCs w:val="20"/>
        </w:rPr>
        <w:t xml:space="preserve"> </w:t>
      </w:r>
      <w:r w:rsidR="00C67622" w:rsidRPr="005C0994">
        <w:rPr>
          <w:rFonts w:asciiTheme="majorHAnsi" w:hAnsiTheme="majorHAnsi"/>
          <w:sz w:val="20"/>
          <w:szCs w:val="20"/>
        </w:rPr>
        <w:t xml:space="preserve">II, </w:t>
      </w:r>
      <w:r w:rsidR="00550FAA" w:rsidRPr="005C0994">
        <w:rPr>
          <w:rFonts w:asciiTheme="majorHAnsi" w:hAnsiTheme="majorHAnsi"/>
          <w:sz w:val="20"/>
          <w:szCs w:val="20"/>
        </w:rPr>
        <w:t>XVIII,</w:t>
      </w:r>
      <w:r w:rsidR="0080231F" w:rsidRPr="005C0994">
        <w:rPr>
          <w:rFonts w:asciiTheme="majorHAnsi" w:hAnsiTheme="majorHAnsi"/>
          <w:sz w:val="20"/>
          <w:szCs w:val="20"/>
        </w:rPr>
        <w:t xml:space="preserve"> </w:t>
      </w:r>
      <w:r w:rsidR="00550FAA" w:rsidRPr="005C0994">
        <w:rPr>
          <w:rFonts w:asciiTheme="majorHAnsi" w:hAnsiTheme="majorHAnsi"/>
          <w:sz w:val="20"/>
          <w:szCs w:val="20"/>
        </w:rPr>
        <w:t>XXV and XXVI</w:t>
      </w:r>
      <w:r w:rsidR="00CF0A29" w:rsidRPr="005C0994">
        <w:rPr>
          <w:rFonts w:asciiTheme="majorHAnsi" w:hAnsiTheme="majorHAnsi"/>
          <w:sz w:val="20"/>
          <w:szCs w:val="20"/>
        </w:rPr>
        <w:t xml:space="preserve"> </w:t>
      </w:r>
      <w:r w:rsidRPr="005C0994">
        <w:rPr>
          <w:rFonts w:asciiTheme="majorHAnsi" w:hAnsiTheme="majorHAnsi"/>
          <w:sz w:val="20"/>
          <w:szCs w:val="20"/>
        </w:rPr>
        <w:t>of the American Declaration,</w:t>
      </w:r>
      <w:r w:rsidR="005B1DBA" w:rsidRPr="005C0994">
        <w:rPr>
          <w:rFonts w:asciiTheme="majorHAnsi" w:hAnsiTheme="majorHAnsi"/>
          <w:sz w:val="20"/>
          <w:szCs w:val="20"/>
        </w:rPr>
        <w:t xml:space="preserve"> to the detriment of Mr. </w:t>
      </w:r>
      <w:proofErr w:type="spellStart"/>
      <w:r w:rsidR="00F11EF1" w:rsidRPr="005C0994">
        <w:rPr>
          <w:rFonts w:asciiTheme="majorHAnsi" w:hAnsiTheme="majorHAnsi"/>
          <w:sz w:val="20"/>
          <w:szCs w:val="20"/>
        </w:rPr>
        <w:t>Loza</w:t>
      </w:r>
      <w:proofErr w:type="spellEnd"/>
      <w:r w:rsidRPr="005C0994">
        <w:rPr>
          <w:rFonts w:asciiTheme="majorHAnsi" w:hAnsiTheme="majorHAnsi"/>
          <w:sz w:val="20"/>
          <w:szCs w:val="20"/>
        </w:rPr>
        <w:t xml:space="preserve">. </w:t>
      </w:r>
    </w:p>
    <w:p w14:paraId="55DEAAB9" w14:textId="77777777" w:rsidR="0080231F" w:rsidRPr="005C0994" w:rsidRDefault="0080231F" w:rsidP="0080231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A485BCA" w14:textId="77777777" w:rsidR="0080231F" w:rsidRPr="005C0994" w:rsidRDefault="0080231F" w:rsidP="007644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With regard to the alleged violation of Article XXIV of the Declaration, the Commission concludes tha</w:t>
      </w:r>
      <w:r w:rsidR="00135217" w:rsidRPr="005C0994">
        <w:rPr>
          <w:rFonts w:asciiTheme="majorHAnsi" w:hAnsiTheme="majorHAnsi"/>
          <w:sz w:val="20"/>
          <w:szCs w:val="20"/>
        </w:rPr>
        <w:t xml:space="preserve">t the information provided by the petitioners </w:t>
      </w:r>
      <w:r w:rsidRPr="005C0994">
        <w:rPr>
          <w:rFonts w:asciiTheme="majorHAnsi" w:hAnsiTheme="majorHAnsi"/>
          <w:sz w:val="20"/>
          <w:szCs w:val="20"/>
        </w:rPr>
        <w:t xml:space="preserve">is not sufficient to establish a colorable claim. </w:t>
      </w:r>
    </w:p>
    <w:p w14:paraId="24F63365" w14:textId="77777777" w:rsidR="00764470" w:rsidRPr="005C0994" w:rsidRDefault="00764470" w:rsidP="007644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141E6975" w14:textId="77777777" w:rsidR="001C4006" w:rsidRPr="005C0994" w:rsidRDefault="00F516D3" w:rsidP="003676F1">
      <w:pPr>
        <w:pStyle w:val="Heading1"/>
        <w:tabs>
          <w:tab w:val="left" w:pos="360"/>
        </w:tabs>
        <w:spacing w:before="0"/>
        <w:ind w:hanging="720"/>
        <w:rPr>
          <w:color w:val="auto"/>
          <w:sz w:val="20"/>
          <w:szCs w:val="20"/>
        </w:rPr>
      </w:pPr>
      <w:bookmarkStart w:id="12" w:name="_Toc90297867"/>
      <w:r w:rsidRPr="005C0994">
        <w:rPr>
          <w:color w:val="auto"/>
          <w:sz w:val="20"/>
          <w:szCs w:val="20"/>
        </w:rPr>
        <w:t>FINDINGS OF FACT</w:t>
      </w:r>
      <w:bookmarkEnd w:id="12"/>
    </w:p>
    <w:p w14:paraId="6DC07715" w14:textId="77777777" w:rsidR="00853512" w:rsidRPr="005C0994" w:rsidRDefault="00853512" w:rsidP="00021557"/>
    <w:p w14:paraId="0BA548B5" w14:textId="77777777" w:rsidR="00021557" w:rsidRPr="005C0994" w:rsidRDefault="00021557" w:rsidP="00021557">
      <w:pPr>
        <w:pStyle w:val="Heading2"/>
        <w:numPr>
          <w:ilvl w:val="0"/>
          <w:numId w:val="58"/>
        </w:numPr>
        <w:tabs>
          <w:tab w:val="left" w:pos="360"/>
        </w:tabs>
        <w:spacing w:before="0"/>
        <w:ind w:hanging="720"/>
        <w:rPr>
          <w:color w:val="auto"/>
          <w:sz w:val="20"/>
          <w:szCs w:val="20"/>
        </w:rPr>
      </w:pPr>
      <w:bookmarkStart w:id="13" w:name="_Toc90297868"/>
      <w:r w:rsidRPr="005C0994">
        <w:rPr>
          <w:color w:val="auto"/>
          <w:sz w:val="20"/>
          <w:szCs w:val="20"/>
        </w:rPr>
        <w:t>Facts of the case</w:t>
      </w:r>
      <w:bookmarkEnd w:id="13"/>
    </w:p>
    <w:p w14:paraId="5EE306C4" w14:textId="77777777" w:rsidR="00021557" w:rsidRPr="005C0994" w:rsidRDefault="00021557" w:rsidP="00021557">
      <w:pPr>
        <w:rPr>
          <w:rFonts w:asciiTheme="majorHAnsi" w:hAnsiTheme="majorHAnsi"/>
          <w:sz w:val="20"/>
          <w:szCs w:val="20"/>
        </w:rPr>
      </w:pPr>
    </w:p>
    <w:p w14:paraId="46878430" w14:textId="77777777" w:rsidR="00501CF1" w:rsidRPr="005C0994" w:rsidRDefault="00021557" w:rsidP="00F112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Cambria" w:hAnsi="Cambria"/>
          <w:sz w:val="20"/>
          <w:szCs w:val="20"/>
        </w:rPr>
        <w:t xml:space="preserve">According to the information available, </w:t>
      </w:r>
      <w:r w:rsidR="00416614" w:rsidRPr="005C0994">
        <w:rPr>
          <w:rFonts w:ascii="Cambria" w:hAnsi="Cambria"/>
          <w:sz w:val="20"/>
          <w:szCs w:val="20"/>
        </w:rPr>
        <w:t xml:space="preserve">the facts </w:t>
      </w:r>
      <w:r w:rsidR="00C6323C" w:rsidRPr="005C0994">
        <w:rPr>
          <w:rFonts w:ascii="Cambria" w:hAnsi="Cambria"/>
          <w:sz w:val="20"/>
          <w:szCs w:val="20"/>
        </w:rPr>
        <w:t xml:space="preserve">of the matter are </w:t>
      </w:r>
      <w:r w:rsidR="00416614" w:rsidRPr="005C0994">
        <w:rPr>
          <w:rFonts w:ascii="Cambria" w:hAnsi="Cambria"/>
          <w:sz w:val="20"/>
          <w:szCs w:val="20"/>
        </w:rPr>
        <w:t>outline</w:t>
      </w:r>
      <w:r w:rsidR="00F6351B" w:rsidRPr="005C0994">
        <w:rPr>
          <w:rFonts w:ascii="Cambria" w:hAnsi="Cambria"/>
          <w:sz w:val="20"/>
          <w:szCs w:val="20"/>
        </w:rPr>
        <w:t>d</w:t>
      </w:r>
      <w:r w:rsidR="00F1129E" w:rsidRPr="005C0994">
        <w:rPr>
          <w:rFonts w:ascii="Cambria" w:hAnsi="Cambria"/>
          <w:sz w:val="20"/>
          <w:szCs w:val="20"/>
        </w:rPr>
        <w:t xml:space="preserve"> below, stemming from</w:t>
      </w:r>
      <w:r w:rsidR="00416614" w:rsidRPr="005C0994">
        <w:rPr>
          <w:rFonts w:ascii="Cambria" w:hAnsi="Cambria"/>
          <w:sz w:val="20"/>
          <w:szCs w:val="20"/>
        </w:rPr>
        <w:t xml:space="preserve"> </w:t>
      </w:r>
      <w:r w:rsidR="00F1129E" w:rsidRPr="005C0994">
        <w:rPr>
          <w:rFonts w:ascii="Cambria" w:hAnsi="Cambria"/>
          <w:sz w:val="20"/>
          <w:szCs w:val="20"/>
        </w:rPr>
        <w:t xml:space="preserve">incidents on </w:t>
      </w:r>
      <w:r w:rsidR="00C35423" w:rsidRPr="005C0994">
        <w:rPr>
          <w:rFonts w:asciiTheme="majorHAnsi" w:hAnsiTheme="majorHAnsi"/>
          <w:sz w:val="20"/>
          <w:szCs w:val="20"/>
        </w:rPr>
        <w:t xml:space="preserve">January 16, 1991, </w:t>
      </w:r>
      <w:r w:rsidR="00F1129E" w:rsidRPr="005C0994">
        <w:rPr>
          <w:rFonts w:asciiTheme="majorHAnsi" w:hAnsiTheme="majorHAnsi"/>
          <w:sz w:val="20"/>
          <w:szCs w:val="20"/>
        </w:rPr>
        <w:t xml:space="preserve">when </w:t>
      </w:r>
      <w:r w:rsidR="00C35423" w:rsidRPr="005C0994">
        <w:rPr>
          <w:rFonts w:asciiTheme="majorHAnsi" w:hAnsiTheme="majorHAnsi"/>
          <w:sz w:val="20"/>
          <w:szCs w:val="20"/>
        </w:rPr>
        <w:t xml:space="preserve">the alleged victim, Mr. </w:t>
      </w:r>
      <w:proofErr w:type="spellStart"/>
      <w:r w:rsidR="00C35423" w:rsidRPr="005C0994">
        <w:rPr>
          <w:rFonts w:asciiTheme="majorHAnsi" w:hAnsiTheme="majorHAnsi"/>
          <w:sz w:val="20"/>
          <w:szCs w:val="20"/>
        </w:rPr>
        <w:t>Loza</w:t>
      </w:r>
      <w:proofErr w:type="spellEnd"/>
      <w:r w:rsidR="00C35423" w:rsidRPr="005C0994">
        <w:rPr>
          <w:rFonts w:asciiTheme="majorHAnsi" w:hAnsiTheme="majorHAnsi"/>
          <w:sz w:val="20"/>
          <w:szCs w:val="20"/>
        </w:rPr>
        <w:t>, allegedly shot four family members of his girlfriend, Dorothy Jackson</w:t>
      </w:r>
      <w:r w:rsidR="0059234D" w:rsidRPr="005C0994">
        <w:rPr>
          <w:rFonts w:asciiTheme="majorHAnsi" w:hAnsiTheme="majorHAnsi"/>
          <w:sz w:val="20"/>
          <w:szCs w:val="20"/>
        </w:rPr>
        <w:t>, who was pregnant at the time</w:t>
      </w:r>
      <w:r w:rsidR="00C35423" w:rsidRPr="005C0994">
        <w:rPr>
          <w:rFonts w:asciiTheme="majorHAnsi" w:hAnsiTheme="majorHAnsi"/>
          <w:sz w:val="20"/>
          <w:szCs w:val="20"/>
        </w:rPr>
        <w:t xml:space="preserve">. The victims were </w:t>
      </w:r>
      <w:r w:rsidR="005E6203" w:rsidRPr="005C0994">
        <w:rPr>
          <w:rFonts w:asciiTheme="majorHAnsi" w:hAnsiTheme="majorHAnsi"/>
          <w:sz w:val="20"/>
          <w:szCs w:val="20"/>
        </w:rPr>
        <w:t>Ms. Jackson’s mother, her brother and two sisters</w:t>
      </w:r>
      <w:r w:rsidR="00C35423" w:rsidRPr="005C0994">
        <w:rPr>
          <w:rFonts w:asciiTheme="majorHAnsi" w:hAnsiTheme="majorHAnsi"/>
          <w:sz w:val="20"/>
          <w:szCs w:val="20"/>
        </w:rPr>
        <w:t xml:space="preserve">. </w:t>
      </w:r>
    </w:p>
    <w:p w14:paraId="57E7105C" w14:textId="77777777" w:rsidR="00501CF1" w:rsidRPr="005C0994" w:rsidRDefault="00501CF1" w:rsidP="00501CF1">
      <w:pPr>
        <w:pStyle w:val="ListParagraph"/>
        <w:rPr>
          <w:rFonts w:asciiTheme="majorHAnsi" w:hAnsiTheme="majorHAnsi"/>
          <w:sz w:val="20"/>
          <w:szCs w:val="20"/>
        </w:rPr>
      </w:pPr>
    </w:p>
    <w:p w14:paraId="566B7AFA" w14:textId="77777777" w:rsidR="0025755D" w:rsidRPr="005C0994" w:rsidRDefault="00C35423" w:rsidP="00C354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On the afternoon of January 16, 1991 G. </w:t>
      </w:r>
      <w:proofErr w:type="spellStart"/>
      <w:r w:rsidRPr="005C0994">
        <w:rPr>
          <w:rFonts w:asciiTheme="majorHAnsi" w:hAnsiTheme="majorHAnsi"/>
          <w:sz w:val="20"/>
          <w:szCs w:val="20"/>
        </w:rPr>
        <w:t>Hoertt</w:t>
      </w:r>
      <w:proofErr w:type="spellEnd"/>
      <w:r w:rsidRPr="005C0994">
        <w:rPr>
          <w:rFonts w:asciiTheme="majorHAnsi" w:hAnsiTheme="majorHAnsi"/>
          <w:sz w:val="20"/>
          <w:szCs w:val="20"/>
        </w:rPr>
        <w:t xml:space="preserve"> observed an individual in a white Mazda pickup truck with California plates loading trash into his dumpster at his shop; he searched the dumpster for something to identify the individual. A letter was found, signed by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indicating that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was involved in a drive-by shooting in Los Angeles and that he came to Ohio to avoid apprehension by the Los Angeles police. G. </w:t>
      </w:r>
      <w:proofErr w:type="spellStart"/>
      <w:r w:rsidRPr="005C0994">
        <w:rPr>
          <w:rFonts w:asciiTheme="majorHAnsi" w:hAnsiTheme="majorHAnsi"/>
          <w:sz w:val="20"/>
          <w:szCs w:val="20"/>
        </w:rPr>
        <w:t>Hoertt</w:t>
      </w:r>
      <w:proofErr w:type="spellEnd"/>
      <w:r w:rsidRPr="005C0994">
        <w:rPr>
          <w:rFonts w:asciiTheme="majorHAnsi" w:hAnsiTheme="majorHAnsi"/>
          <w:sz w:val="20"/>
          <w:szCs w:val="20"/>
        </w:rPr>
        <w:t xml:space="preserve"> called the Warren County Sherriff’s Department to report his discovery</w:t>
      </w:r>
      <w:r w:rsidR="006A6DB8" w:rsidRPr="005C0994">
        <w:rPr>
          <w:rFonts w:asciiTheme="majorHAnsi" w:hAnsiTheme="majorHAnsi"/>
          <w:sz w:val="20"/>
          <w:szCs w:val="20"/>
        </w:rPr>
        <w:t xml:space="preserve"> and was informed that the individual and a female companion were seen in the vicinity of the nearby Greyhound bus station. G. </w:t>
      </w:r>
      <w:proofErr w:type="spellStart"/>
      <w:r w:rsidR="006A6DB8" w:rsidRPr="005C0994">
        <w:rPr>
          <w:rFonts w:asciiTheme="majorHAnsi" w:hAnsiTheme="majorHAnsi"/>
          <w:sz w:val="20"/>
          <w:szCs w:val="20"/>
        </w:rPr>
        <w:t>Hoertt</w:t>
      </w:r>
      <w:proofErr w:type="spellEnd"/>
      <w:r w:rsidR="006A6DB8" w:rsidRPr="005C0994">
        <w:rPr>
          <w:rFonts w:asciiTheme="majorHAnsi" w:hAnsiTheme="majorHAnsi"/>
          <w:sz w:val="20"/>
          <w:szCs w:val="20"/>
        </w:rPr>
        <w:t xml:space="preserve"> then called the Middletown police detective Roger </w:t>
      </w:r>
      <w:proofErr w:type="spellStart"/>
      <w:r w:rsidR="006A6DB8" w:rsidRPr="005C0994">
        <w:rPr>
          <w:rFonts w:asciiTheme="majorHAnsi" w:hAnsiTheme="majorHAnsi"/>
          <w:sz w:val="20"/>
          <w:szCs w:val="20"/>
        </w:rPr>
        <w:t>Knable</w:t>
      </w:r>
      <w:proofErr w:type="spellEnd"/>
      <w:r w:rsidR="006A6DB8" w:rsidRPr="005C0994">
        <w:rPr>
          <w:rFonts w:asciiTheme="majorHAnsi" w:hAnsiTheme="majorHAnsi"/>
          <w:sz w:val="20"/>
          <w:szCs w:val="20"/>
        </w:rPr>
        <w:t xml:space="preserve">. </w:t>
      </w:r>
    </w:p>
    <w:p w14:paraId="7459B5B0" w14:textId="77777777" w:rsidR="0025755D" w:rsidRPr="005C0994" w:rsidRDefault="0025755D" w:rsidP="0025755D">
      <w:pPr>
        <w:pStyle w:val="ListParagraph"/>
        <w:rPr>
          <w:rFonts w:asciiTheme="majorHAnsi" w:hAnsiTheme="majorHAnsi"/>
          <w:sz w:val="20"/>
          <w:szCs w:val="20"/>
        </w:rPr>
      </w:pPr>
    </w:p>
    <w:p w14:paraId="309C1E38" w14:textId="77777777" w:rsidR="0025755D" w:rsidRPr="005C0994" w:rsidRDefault="006A6DB8" w:rsidP="00C354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After reading the letter, the detective and G. </w:t>
      </w:r>
      <w:proofErr w:type="spellStart"/>
      <w:r w:rsidRPr="005C0994">
        <w:rPr>
          <w:rFonts w:asciiTheme="majorHAnsi" w:hAnsiTheme="majorHAnsi"/>
          <w:sz w:val="20"/>
          <w:szCs w:val="20"/>
        </w:rPr>
        <w:t>Hoertt</w:t>
      </w:r>
      <w:proofErr w:type="spellEnd"/>
      <w:r w:rsidRPr="005C0994">
        <w:rPr>
          <w:rFonts w:asciiTheme="majorHAnsi" w:hAnsiTheme="majorHAnsi"/>
          <w:sz w:val="20"/>
          <w:szCs w:val="20"/>
        </w:rPr>
        <w:t xml:space="preserve"> went to the dumpster where they retrieved other items which included a knife, an empty box for a .25 caliber Raven automatic handgun; a receipt signed for the purchase of the handgun on January 15, 1991, a woman’s purse, a blank check on account of Georgia L. Davis</w:t>
      </w:r>
      <w:r w:rsidR="005E6203" w:rsidRPr="005C0994">
        <w:rPr>
          <w:rFonts w:asciiTheme="majorHAnsi" w:hAnsiTheme="majorHAnsi"/>
          <w:sz w:val="20"/>
          <w:szCs w:val="20"/>
        </w:rPr>
        <w:t xml:space="preserve"> (Ms. Jackson’s mother)</w:t>
      </w:r>
      <w:r w:rsidRPr="005C0994">
        <w:rPr>
          <w:rFonts w:asciiTheme="majorHAnsi" w:hAnsiTheme="majorHAnsi"/>
          <w:sz w:val="20"/>
          <w:szCs w:val="20"/>
        </w:rPr>
        <w:t xml:space="preserve">, a general money order made payable to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clothing and some other personal items. </w:t>
      </w:r>
      <w:r w:rsidR="006A288E" w:rsidRPr="005C0994">
        <w:rPr>
          <w:rFonts w:asciiTheme="majorHAnsi" w:hAnsiTheme="majorHAnsi"/>
          <w:sz w:val="20"/>
          <w:szCs w:val="20"/>
        </w:rPr>
        <w:t xml:space="preserve">As they were going through the items, G. </w:t>
      </w:r>
      <w:proofErr w:type="spellStart"/>
      <w:r w:rsidR="006A288E" w:rsidRPr="005C0994">
        <w:rPr>
          <w:rFonts w:asciiTheme="majorHAnsi" w:hAnsiTheme="majorHAnsi"/>
          <w:sz w:val="20"/>
          <w:szCs w:val="20"/>
        </w:rPr>
        <w:t>Hoertt</w:t>
      </w:r>
      <w:proofErr w:type="spellEnd"/>
      <w:r w:rsidR="006A288E" w:rsidRPr="005C0994">
        <w:rPr>
          <w:rFonts w:asciiTheme="majorHAnsi" w:hAnsiTheme="majorHAnsi"/>
          <w:sz w:val="20"/>
          <w:szCs w:val="20"/>
        </w:rPr>
        <w:t xml:space="preserve"> saw Mr. </w:t>
      </w:r>
      <w:proofErr w:type="spellStart"/>
      <w:r w:rsidR="006A288E" w:rsidRPr="005C0994">
        <w:rPr>
          <w:rFonts w:asciiTheme="majorHAnsi" w:hAnsiTheme="majorHAnsi"/>
          <w:sz w:val="20"/>
          <w:szCs w:val="20"/>
        </w:rPr>
        <w:t>Loza</w:t>
      </w:r>
      <w:proofErr w:type="spellEnd"/>
      <w:r w:rsidR="006A288E" w:rsidRPr="005C0994">
        <w:rPr>
          <w:rFonts w:asciiTheme="majorHAnsi" w:hAnsiTheme="majorHAnsi"/>
          <w:sz w:val="20"/>
          <w:szCs w:val="20"/>
        </w:rPr>
        <w:t xml:space="preserve"> approach the dumpster and the detective requested the dispatcher notify Warren County deputies that the individual had returned to the dumpster and that he, the detective, was going to speak to him. R. </w:t>
      </w:r>
      <w:proofErr w:type="spellStart"/>
      <w:r w:rsidR="006A288E" w:rsidRPr="005C0994">
        <w:rPr>
          <w:rFonts w:asciiTheme="majorHAnsi" w:hAnsiTheme="majorHAnsi"/>
          <w:sz w:val="20"/>
          <w:szCs w:val="20"/>
        </w:rPr>
        <w:t>Knable</w:t>
      </w:r>
      <w:proofErr w:type="spellEnd"/>
      <w:r w:rsidR="006A288E" w:rsidRPr="005C0994">
        <w:rPr>
          <w:rFonts w:asciiTheme="majorHAnsi" w:hAnsiTheme="majorHAnsi"/>
          <w:sz w:val="20"/>
          <w:szCs w:val="20"/>
        </w:rPr>
        <w:t xml:space="preserve"> identified himself as a police officer, approached Mr. </w:t>
      </w:r>
      <w:proofErr w:type="spellStart"/>
      <w:r w:rsidR="006A288E" w:rsidRPr="005C0994">
        <w:rPr>
          <w:rFonts w:asciiTheme="majorHAnsi" w:hAnsiTheme="majorHAnsi"/>
          <w:sz w:val="20"/>
          <w:szCs w:val="20"/>
        </w:rPr>
        <w:t>Loza</w:t>
      </w:r>
      <w:proofErr w:type="spellEnd"/>
      <w:r w:rsidR="006A288E" w:rsidRPr="005C0994">
        <w:rPr>
          <w:rFonts w:asciiTheme="majorHAnsi" w:hAnsiTheme="majorHAnsi"/>
          <w:sz w:val="20"/>
          <w:szCs w:val="20"/>
        </w:rPr>
        <w:t xml:space="preserve"> with his gun in his hand. He then searched Mr. </w:t>
      </w:r>
      <w:proofErr w:type="spellStart"/>
      <w:r w:rsidR="006A288E" w:rsidRPr="005C0994">
        <w:rPr>
          <w:rFonts w:asciiTheme="majorHAnsi" w:hAnsiTheme="majorHAnsi"/>
          <w:sz w:val="20"/>
          <w:szCs w:val="20"/>
        </w:rPr>
        <w:t>Loza</w:t>
      </w:r>
      <w:proofErr w:type="spellEnd"/>
      <w:r w:rsidR="006A288E" w:rsidRPr="005C0994">
        <w:rPr>
          <w:rFonts w:asciiTheme="majorHAnsi" w:hAnsiTheme="majorHAnsi"/>
          <w:sz w:val="20"/>
          <w:szCs w:val="20"/>
        </w:rPr>
        <w:t xml:space="preserve">. Mr. </w:t>
      </w:r>
      <w:proofErr w:type="spellStart"/>
      <w:r w:rsidR="006A288E" w:rsidRPr="005C0994">
        <w:rPr>
          <w:rFonts w:asciiTheme="majorHAnsi" w:hAnsiTheme="majorHAnsi"/>
          <w:sz w:val="20"/>
          <w:szCs w:val="20"/>
        </w:rPr>
        <w:t>Loza</w:t>
      </w:r>
      <w:proofErr w:type="spellEnd"/>
      <w:r w:rsidR="006A288E" w:rsidRPr="005C0994">
        <w:rPr>
          <w:rFonts w:asciiTheme="majorHAnsi" w:hAnsiTheme="majorHAnsi"/>
          <w:sz w:val="20"/>
          <w:szCs w:val="20"/>
        </w:rPr>
        <w:t xml:space="preserve"> identified himself as “Jose Rodriguez” and </w:t>
      </w:r>
      <w:r w:rsidR="006A288E" w:rsidRPr="005C0994">
        <w:rPr>
          <w:rFonts w:asciiTheme="majorHAnsi" w:hAnsiTheme="majorHAnsi"/>
          <w:sz w:val="20"/>
          <w:szCs w:val="20"/>
        </w:rPr>
        <w:lastRenderedPageBreak/>
        <w:t xml:space="preserve">that the woman with him was “Cynthia Rodriguez” who was his wife and they were headed to California. Mr. </w:t>
      </w:r>
      <w:proofErr w:type="spellStart"/>
      <w:r w:rsidR="006A288E" w:rsidRPr="005C0994">
        <w:rPr>
          <w:rFonts w:asciiTheme="majorHAnsi" w:hAnsiTheme="majorHAnsi"/>
          <w:sz w:val="20"/>
          <w:szCs w:val="20"/>
        </w:rPr>
        <w:t>Knable</w:t>
      </w:r>
      <w:proofErr w:type="spellEnd"/>
      <w:r w:rsidR="006A288E" w:rsidRPr="005C0994">
        <w:rPr>
          <w:rFonts w:asciiTheme="majorHAnsi" w:hAnsiTheme="majorHAnsi"/>
          <w:sz w:val="20"/>
          <w:szCs w:val="20"/>
        </w:rPr>
        <w:t xml:space="preserve"> informed Mr. </w:t>
      </w:r>
      <w:proofErr w:type="spellStart"/>
      <w:r w:rsidR="006A288E" w:rsidRPr="005C0994">
        <w:rPr>
          <w:rFonts w:asciiTheme="majorHAnsi" w:hAnsiTheme="majorHAnsi"/>
          <w:sz w:val="20"/>
          <w:szCs w:val="20"/>
        </w:rPr>
        <w:t>Loza</w:t>
      </w:r>
      <w:proofErr w:type="spellEnd"/>
      <w:r w:rsidR="006A288E" w:rsidRPr="005C0994">
        <w:rPr>
          <w:rFonts w:asciiTheme="majorHAnsi" w:hAnsiTheme="majorHAnsi"/>
          <w:sz w:val="20"/>
          <w:szCs w:val="20"/>
        </w:rPr>
        <w:t xml:space="preserve"> that he was stopped because of what he put in the dumpster, that the letter indicated that Mr. </w:t>
      </w:r>
      <w:proofErr w:type="spellStart"/>
      <w:r w:rsidR="006A288E" w:rsidRPr="005C0994">
        <w:rPr>
          <w:rFonts w:asciiTheme="majorHAnsi" w:hAnsiTheme="majorHAnsi"/>
          <w:sz w:val="20"/>
          <w:szCs w:val="20"/>
        </w:rPr>
        <w:t>Loza</w:t>
      </w:r>
      <w:proofErr w:type="spellEnd"/>
      <w:r w:rsidR="006A288E" w:rsidRPr="005C0994">
        <w:rPr>
          <w:rFonts w:asciiTheme="majorHAnsi" w:hAnsiTheme="majorHAnsi"/>
          <w:sz w:val="20"/>
          <w:szCs w:val="20"/>
        </w:rPr>
        <w:t xml:space="preserve"> may have been involved in a drive-by shooting and that Mr. </w:t>
      </w:r>
      <w:proofErr w:type="spellStart"/>
      <w:r w:rsidR="006A288E" w:rsidRPr="005C0994">
        <w:rPr>
          <w:rFonts w:asciiTheme="majorHAnsi" w:hAnsiTheme="majorHAnsi"/>
          <w:sz w:val="20"/>
          <w:szCs w:val="20"/>
        </w:rPr>
        <w:t>Knable</w:t>
      </w:r>
      <w:proofErr w:type="spellEnd"/>
      <w:r w:rsidR="006A288E" w:rsidRPr="005C0994">
        <w:rPr>
          <w:rFonts w:asciiTheme="majorHAnsi" w:hAnsiTheme="majorHAnsi"/>
          <w:sz w:val="20"/>
          <w:szCs w:val="20"/>
        </w:rPr>
        <w:t xml:space="preserve"> was going to handcuff him and detain him until Warren County deputies arrived. Mr. </w:t>
      </w:r>
      <w:proofErr w:type="spellStart"/>
      <w:r w:rsidR="006A288E" w:rsidRPr="005C0994">
        <w:rPr>
          <w:rFonts w:asciiTheme="majorHAnsi" w:hAnsiTheme="majorHAnsi"/>
          <w:sz w:val="20"/>
          <w:szCs w:val="20"/>
        </w:rPr>
        <w:t>Knable</w:t>
      </w:r>
      <w:proofErr w:type="spellEnd"/>
      <w:r w:rsidR="006A288E" w:rsidRPr="005C0994">
        <w:rPr>
          <w:rFonts w:asciiTheme="majorHAnsi" w:hAnsiTheme="majorHAnsi"/>
          <w:sz w:val="20"/>
          <w:szCs w:val="20"/>
        </w:rPr>
        <w:t xml:space="preserve"> went to locate the woman who had been seen with Mr. </w:t>
      </w:r>
      <w:proofErr w:type="spellStart"/>
      <w:r w:rsidR="006A288E" w:rsidRPr="005C0994">
        <w:rPr>
          <w:rFonts w:asciiTheme="majorHAnsi" w:hAnsiTheme="majorHAnsi"/>
          <w:sz w:val="20"/>
          <w:szCs w:val="20"/>
        </w:rPr>
        <w:t>Loza</w:t>
      </w:r>
      <w:proofErr w:type="spellEnd"/>
      <w:r w:rsidR="00416614" w:rsidRPr="005C0994">
        <w:rPr>
          <w:rFonts w:asciiTheme="majorHAnsi" w:hAnsiTheme="majorHAnsi"/>
          <w:sz w:val="20"/>
          <w:szCs w:val="20"/>
        </w:rPr>
        <w:t>.</w:t>
      </w:r>
    </w:p>
    <w:p w14:paraId="704018CB" w14:textId="77777777" w:rsidR="0025755D" w:rsidRPr="005C0994" w:rsidRDefault="0025755D" w:rsidP="002575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66040467" w14:textId="77777777" w:rsidR="0025755D" w:rsidRPr="005C0994" w:rsidRDefault="00416614" w:rsidP="00C354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 Dorothy Jackson identified herself as “Dorothy Jackson”,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as “Jose Rodriguez” and that they were not married. The Warren County deputies arrived and determined Ms. Jackson was under age and planned to travel to California with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Mr. </w:t>
      </w:r>
      <w:proofErr w:type="spellStart"/>
      <w:r w:rsidRPr="005C0994">
        <w:rPr>
          <w:rFonts w:asciiTheme="majorHAnsi" w:hAnsiTheme="majorHAnsi"/>
          <w:sz w:val="20"/>
          <w:szCs w:val="20"/>
        </w:rPr>
        <w:t>Knable</w:t>
      </w:r>
      <w:proofErr w:type="spellEnd"/>
      <w:r w:rsidRPr="005C0994">
        <w:rPr>
          <w:rFonts w:asciiTheme="majorHAnsi" w:hAnsiTheme="majorHAnsi"/>
          <w:sz w:val="20"/>
          <w:szCs w:val="20"/>
        </w:rPr>
        <w:t xml:space="preserve"> was unsuccessful in contacting Ms. Jackson’s mother by phone and </w:t>
      </w:r>
      <w:r w:rsidR="003729BF" w:rsidRPr="005C0994">
        <w:rPr>
          <w:rFonts w:asciiTheme="majorHAnsi" w:hAnsiTheme="majorHAnsi"/>
          <w:sz w:val="20"/>
          <w:szCs w:val="20"/>
        </w:rPr>
        <w:t>George Jeffrey</w:t>
      </w:r>
      <w:r w:rsidR="00233CCA" w:rsidRPr="005C0994">
        <w:rPr>
          <w:rFonts w:asciiTheme="majorHAnsi" w:hAnsiTheme="majorHAnsi"/>
          <w:sz w:val="20"/>
          <w:szCs w:val="20"/>
        </w:rPr>
        <w:t>, a detective,</w:t>
      </w:r>
      <w:r w:rsidR="003729BF" w:rsidRPr="005C0994">
        <w:rPr>
          <w:rFonts w:asciiTheme="majorHAnsi" w:hAnsiTheme="majorHAnsi"/>
          <w:sz w:val="20"/>
          <w:szCs w:val="20"/>
        </w:rPr>
        <w:t xml:space="preserve"> did not receive any response when he visited Georgia L. Davis’s home.</w:t>
      </w:r>
      <w:r w:rsidR="00E75F13" w:rsidRPr="005C0994">
        <w:rPr>
          <w:rFonts w:asciiTheme="majorHAnsi" w:hAnsiTheme="majorHAnsi"/>
          <w:sz w:val="20"/>
          <w:szCs w:val="20"/>
        </w:rPr>
        <w:t xml:space="preserve"> Unable to determine if Ms. Jackson had permission to travel out of state, she was arrested for being an unruly minor and was taken to the Warren County Juvenile Detention Center, and Mr. </w:t>
      </w:r>
      <w:proofErr w:type="spellStart"/>
      <w:r w:rsidR="00E75F13" w:rsidRPr="005C0994">
        <w:rPr>
          <w:rFonts w:asciiTheme="majorHAnsi" w:hAnsiTheme="majorHAnsi"/>
          <w:sz w:val="20"/>
          <w:szCs w:val="20"/>
        </w:rPr>
        <w:t>Loza</w:t>
      </w:r>
      <w:proofErr w:type="spellEnd"/>
      <w:r w:rsidR="00E75F13" w:rsidRPr="005C0994">
        <w:rPr>
          <w:rFonts w:asciiTheme="majorHAnsi" w:hAnsiTheme="majorHAnsi"/>
          <w:sz w:val="20"/>
          <w:szCs w:val="20"/>
        </w:rPr>
        <w:t xml:space="preserve"> was arrested for contributing to the delinquency or unruliness of a minor and was taken to the Warren County Justice Center. </w:t>
      </w:r>
    </w:p>
    <w:p w14:paraId="4329C98C" w14:textId="77777777" w:rsidR="0025755D" w:rsidRPr="005C0994" w:rsidRDefault="0025755D" w:rsidP="0025755D">
      <w:pPr>
        <w:pStyle w:val="ListParagraph"/>
        <w:rPr>
          <w:rFonts w:asciiTheme="majorHAnsi" w:hAnsiTheme="majorHAnsi"/>
          <w:sz w:val="20"/>
          <w:szCs w:val="20"/>
        </w:rPr>
      </w:pPr>
    </w:p>
    <w:p w14:paraId="3525C971" w14:textId="77777777" w:rsidR="002B7448" w:rsidRPr="005C0994" w:rsidRDefault="008D07D4" w:rsidP="001913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Upon being questioned by the detectives Ms. Jackson said that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w:t>
      </w:r>
      <w:r w:rsidR="00501CF1" w:rsidRPr="005C0994">
        <w:rPr>
          <w:rFonts w:asciiTheme="majorHAnsi" w:hAnsiTheme="majorHAnsi"/>
          <w:sz w:val="20"/>
          <w:szCs w:val="20"/>
        </w:rPr>
        <w:t>killed</w:t>
      </w:r>
      <w:r w:rsidRPr="005C0994">
        <w:rPr>
          <w:rFonts w:asciiTheme="majorHAnsi" w:hAnsiTheme="majorHAnsi"/>
          <w:sz w:val="20"/>
          <w:szCs w:val="20"/>
        </w:rPr>
        <w:t xml:space="preserve"> her family and that she knew about the murders. Based on the statement, Mr. </w:t>
      </w:r>
      <w:proofErr w:type="spellStart"/>
      <w:r w:rsidRPr="005C0994">
        <w:rPr>
          <w:rFonts w:asciiTheme="majorHAnsi" w:hAnsiTheme="majorHAnsi"/>
          <w:sz w:val="20"/>
          <w:szCs w:val="20"/>
        </w:rPr>
        <w:t>Knable</w:t>
      </w:r>
      <w:proofErr w:type="spellEnd"/>
      <w:r w:rsidRPr="005C0994">
        <w:rPr>
          <w:rFonts w:asciiTheme="majorHAnsi" w:hAnsiTheme="majorHAnsi"/>
          <w:sz w:val="20"/>
          <w:szCs w:val="20"/>
        </w:rPr>
        <w:t xml:space="preserve"> got a search warrant for the house, and police discovered the victims</w:t>
      </w:r>
      <w:r w:rsidR="0066333A" w:rsidRPr="005C0994">
        <w:rPr>
          <w:rFonts w:asciiTheme="majorHAnsi" w:hAnsiTheme="majorHAnsi"/>
          <w:sz w:val="20"/>
          <w:szCs w:val="20"/>
        </w:rPr>
        <w:t>’ bodies</w:t>
      </w:r>
      <w:r w:rsidRPr="005C0994">
        <w:rPr>
          <w:rFonts w:asciiTheme="majorHAnsi" w:hAnsiTheme="majorHAnsi"/>
          <w:sz w:val="20"/>
          <w:szCs w:val="20"/>
        </w:rPr>
        <w:t xml:space="preserve">. Mr. </w:t>
      </w:r>
      <w:proofErr w:type="spellStart"/>
      <w:r w:rsidRPr="005C0994">
        <w:rPr>
          <w:rFonts w:asciiTheme="majorHAnsi" w:hAnsiTheme="majorHAnsi"/>
          <w:sz w:val="20"/>
          <w:szCs w:val="20"/>
        </w:rPr>
        <w:t>Knable</w:t>
      </w:r>
      <w:proofErr w:type="spellEnd"/>
      <w:r w:rsidRPr="005C0994">
        <w:rPr>
          <w:rFonts w:asciiTheme="majorHAnsi" w:hAnsiTheme="majorHAnsi"/>
          <w:sz w:val="20"/>
          <w:szCs w:val="20"/>
        </w:rPr>
        <w:t xml:space="preserve"> and Jeffrey returned to the Warren County Justice Center and began questioning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and</w:t>
      </w:r>
      <w:r w:rsidR="00501CF1" w:rsidRPr="005C0994">
        <w:rPr>
          <w:rFonts w:asciiTheme="majorHAnsi" w:hAnsiTheme="majorHAnsi"/>
          <w:sz w:val="20"/>
          <w:szCs w:val="20"/>
        </w:rPr>
        <w:t xml:space="preserve"> the interview was videotaped. At</w:t>
      </w:r>
      <w:r w:rsidRPr="005C0994">
        <w:rPr>
          <w:rFonts w:asciiTheme="majorHAnsi" w:hAnsiTheme="majorHAnsi"/>
          <w:sz w:val="20"/>
          <w:szCs w:val="20"/>
        </w:rPr>
        <w:t xml:space="preserve"> the beginning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waived his Miranda rights. Initially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said that he and Ms. Jackson were traveling to California with her mother’s permission and after he was informed of the detectives’ knowledge of the deaths, and informed that it would be in his, Ms. Jackson and the baby’s best interests to tell the truth; one hour into the interview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confessed, stating that Ms. Jackson was not in the house at the time </w:t>
      </w:r>
      <w:r w:rsidR="00D7514B" w:rsidRPr="005C0994">
        <w:rPr>
          <w:rFonts w:asciiTheme="majorHAnsi" w:hAnsiTheme="majorHAnsi"/>
          <w:sz w:val="20"/>
          <w:szCs w:val="20"/>
        </w:rPr>
        <w:t>of</w:t>
      </w:r>
      <w:r w:rsidRPr="005C0994">
        <w:rPr>
          <w:rFonts w:asciiTheme="majorHAnsi" w:hAnsiTheme="majorHAnsi"/>
          <w:sz w:val="20"/>
          <w:szCs w:val="20"/>
        </w:rPr>
        <w:t xml:space="preserve"> the murders and she did not know he would kill her family.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explained that he shot Georgia Davis because of her threat to have him arrested if he tried to leave the state with Ms. Jackson. </w:t>
      </w:r>
    </w:p>
    <w:p w14:paraId="05ADB5C4" w14:textId="77777777" w:rsidR="00146E18" w:rsidRPr="005C0994" w:rsidRDefault="00146E18" w:rsidP="00146E18">
      <w:pPr>
        <w:rPr>
          <w:sz w:val="20"/>
          <w:szCs w:val="20"/>
        </w:rPr>
      </w:pPr>
    </w:p>
    <w:p w14:paraId="7422DF24" w14:textId="77777777" w:rsidR="00021557" w:rsidRPr="005C0994" w:rsidRDefault="00EB1CAE" w:rsidP="00146E18">
      <w:pPr>
        <w:pStyle w:val="Heading2"/>
        <w:numPr>
          <w:ilvl w:val="0"/>
          <w:numId w:val="58"/>
        </w:numPr>
        <w:tabs>
          <w:tab w:val="left" w:pos="360"/>
        </w:tabs>
        <w:spacing w:before="0"/>
        <w:ind w:hanging="720"/>
        <w:rPr>
          <w:color w:val="auto"/>
          <w:sz w:val="20"/>
          <w:szCs w:val="20"/>
        </w:rPr>
      </w:pPr>
      <w:bookmarkStart w:id="14" w:name="_Toc90297869"/>
      <w:r w:rsidRPr="005C0994">
        <w:rPr>
          <w:color w:val="auto"/>
          <w:sz w:val="20"/>
          <w:szCs w:val="20"/>
        </w:rPr>
        <w:t>T</w:t>
      </w:r>
      <w:r w:rsidR="00021557" w:rsidRPr="005C0994">
        <w:rPr>
          <w:color w:val="auto"/>
          <w:sz w:val="20"/>
          <w:szCs w:val="20"/>
        </w:rPr>
        <w:t>rial and death sentence</w:t>
      </w:r>
      <w:bookmarkEnd w:id="14"/>
    </w:p>
    <w:p w14:paraId="78D75818" w14:textId="77777777" w:rsidR="00021557" w:rsidRPr="005C0994"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785B7FD6" w14:textId="77777777" w:rsidR="0066333A" w:rsidRPr="005C0994" w:rsidRDefault="00DE3B4F" w:rsidP="008D07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was indicted on four counts of aggravated murder. He waived his right to a jury trial and proceeded to trial before a three-judge panel. The defense moved for a mistrial on the basis that the state had failed to disclose certain exculpatory evidence during discovery. </w:t>
      </w:r>
      <w:r w:rsidR="004A6629" w:rsidRPr="005C0994">
        <w:rPr>
          <w:rFonts w:asciiTheme="majorHAnsi" w:hAnsiTheme="majorHAnsi"/>
          <w:sz w:val="20"/>
          <w:szCs w:val="20"/>
        </w:rPr>
        <w:t xml:space="preserve">Such exculpatory evidence was the lack of scientific findings of gun powder residue or blood splatter onto Mr. </w:t>
      </w:r>
      <w:proofErr w:type="spellStart"/>
      <w:r w:rsidR="004A6629" w:rsidRPr="005C0994">
        <w:rPr>
          <w:rFonts w:asciiTheme="majorHAnsi" w:hAnsiTheme="majorHAnsi"/>
          <w:sz w:val="20"/>
          <w:szCs w:val="20"/>
        </w:rPr>
        <w:t>Loza’s</w:t>
      </w:r>
      <w:proofErr w:type="spellEnd"/>
      <w:r w:rsidR="004A6629" w:rsidRPr="005C0994">
        <w:rPr>
          <w:rFonts w:asciiTheme="majorHAnsi" w:hAnsiTheme="majorHAnsi"/>
          <w:sz w:val="20"/>
          <w:szCs w:val="20"/>
        </w:rPr>
        <w:t xml:space="preserve"> clothing as auxiliary evidence to the crime. </w:t>
      </w:r>
      <w:r w:rsidRPr="005C0994">
        <w:rPr>
          <w:rFonts w:asciiTheme="majorHAnsi" w:hAnsiTheme="majorHAnsi"/>
          <w:sz w:val="20"/>
          <w:szCs w:val="20"/>
        </w:rPr>
        <w:t>The Court grant</w:t>
      </w:r>
      <w:r w:rsidR="008A7460" w:rsidRPr="005C0994">
        <w:rPr>
          <w:rFonts w:asciiTheme="majorHAnsi" w:hAnsiTheme="majorHAnsi"/>
          <w:sz w:val="20"/>
          <w:szCs w:val="20"/>
        </w:rPr>
        <w:t>ed the</w:t>
      </w:r>
      <w:r w:rsidRPr="005C0994">
        <w:rPr>
          <w:rFonts w:asciiTheme="majorHAnsi" w:hAnsiTheme="majorHAnsi"/>
          <w:sz w:val="20"/>
          <w:szCs w:val="20"/>
        </w:rPr>
        <w:t xml:space="preserve"> mistrial without prejudice, denied the subsequent motion to bar his trial on double jeopardy grounds and denied the pretrial motion to suppress all statements and evidence seized in the matter. </w:t>
      </w:r>
    </w:p>
    <w:p w14:paraId="69441CF7" w14:textId="77777777" w:rsidR="0066333A" w:rsidRPr="005C0994" w:rsidRDefault="0066333A" w:rsidP="006633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7518230B" w14:textId="77777777" w:rsidR="00DE3B4F" w:rsidRPr="005C0994" w:rsidRDefault="00DE3B4F" w:rsidP="008D07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A trial by jury commenced on October 21, 1991.</w:t>
      </w:r>
      <w:r w:rsidR="00831D65" w:rsidRPr="005C0994">
        <w:rPr>
          <w:rFonts w:asciiTheme="majorHAnsi" w:hAnsiTheme="majorHAnsi"/>
          <w:sz w:val="20"/>
          <w:szCs w:val="20"/>
        </w:rPr>
        <w:t xml:space="preserve"> </w:t>
      </w:r>
      <w:r w:rsidR="00D7514B" w:rsidRPr="005C0994">
        <w:rPr>
          <w:rFonts w:asciiTheme="majorHAnsi" w:hAnsiTheme="majorHAnsi"/>
          <w:sz w:val="20"/>
          <w:szCs w:val="20"/>
        </w:rPr>
        <w:t>On October 31, 1991, t</w:t>
      </w:r>
      <w:r w:rsidR="00831D65" w:rsidRPr="005C0994">
        <w:rPr>
          <w:rFonts w:asciiTheme="majorHAnsi" w:hAnsiTheme="majorHAnsi"/>
          <w:sz w:val="20"/>
          <w:szCs w:val="20"/>
        </w:rPr>
        <w:t xml:space="preserve">he jury found Mr. </w:t>
      </w:r>
      <w:proofErr w:type="spellStart"/>
      <w:r w:rsidR="00831D65" w:rsidRPr="005C0994">
        <w:rPr>
          <w:rFonts w:asciiTheme="majorHAnsi" w:hAnsiTheme="majorHAnsi"/>
          <w:sz w:val="20"/>
          <w:szCs w:val="20"/>
        </w:rPr>
        <w:t>Loza</w:t>
      </w:r>
      <w:proofErr w:type="spellEnd"/>
      <w:r w:rsidR="00831D65" w:rsidRPr="005C0994">
        <w:rPr>
          <w:rFonts w:asciiTheme="majorHAnsi" w:hAnsiTheme="majorHAnsi"/>
          <w:sz w:val="20"/>
          <w:szCs w:val="20"/>
        </w:rPr>
        <w:t xml:space="preserve"> guilty on all four counts of aggravated murder</w:t>
      </w:r>
      <w:r w:rsidR="007611A5" w:rsidRPr="005C0994">
        <w:rPr>
          <w:rFonts w:asciiTheme="majorHAnsi" w:hAnsiTheme="majorHAnsi"/>
          <w:sz w:val="20"/>
          <w:szCs w:val="20"/>
        </w:rPr>
        <w:t>.</w:t>
      </w:r>
      <w:r w:rsidR="00D7514B" w:rsidRPr="005C0994">
        <w:rPr>
          <w:rStyle w:val="FootnoteReference"/>
          <w:rFonts w:asciiTheme="majorHAnsi" w:hAnsiTheme="majorHAnsi"/>
          <w:sz w:val="20"/>
          <w:szCs w:val="20"/>
        </w:rPr>
        <w:footnoteReference w:id="6"/>
      </w:r>
      <w:r w:rsidR="007611A5" w:rsidRPr="005C0994">
        <w:rPr>
          <w:rFonts w:asciiTheme="majorHAnsi" w:hAnsiTheme="majorHAnsi"/>
          <w:sz w:val="20"/>
          <w:szCs w:val="20"/>
        </w:rPr>
        <w:t xml:space="preserve"> The jury recommended the death sentence for the aggravated murders of Mullins, </w:t>
      </w:r>
      <w:proofErr w:type="spellStart"/>
      <w:r w:rsidR="007611A5" w:rsidRPr="005C0994">
        <w:rPr>
          <w:rFonts w:asciiTheme="majorHAnsi" w:hAnsiTheme="majorHAnsi"/>
          <w:sz w:val="20"/>
          <w:szCs w:val="20"/>
        </w:rPr>
        <w:t>Senteno</w:t>
      </w:r>
      <w:proofErr w:type="spellEnd"/>
      <w:r w:rsidR="007611A5" w:rsidRPr="005C0994">
        <w:rPr>
          <w:rFonts w:asciiTheme="majorHAnsi" w:hAnsiTheme="majorHAnsi"/>
          <w:sz w:val="20"/>
          <w:szCs w:val="20"/>
        </w:rPr>
        <w:t xml:space="preserve"> and Jerri Jackson; and thirty years to life imprisonment for the aggravated murder of Georgia Davis. The </w:t>
      </w:r>
      <w:r w:rsidR="008E1322" w:rsidRPr="005C0994">
        <w:rPr>
          <w:rFonts w:asciiTheme="majorHAnsi" w:hAnsiTheme="majorHAnsi"/>
          <w:sz w:val="20"/>
          <w:szCs w:val="20"/>
        </w:rPr>
        <w:t>Ohio Butler County Court of Common Pleas</w:t>
      </w:r>
      <w:r w:rsidR="007611A5" w:rsidRPr="005C0994">
        <w:rPr>
          <w:rFonts w:asciiTheme="majorHAnsi" w:hAnsiTheme="majorHAnsi"/>
          <w:sz w:val="20"/>
          <w:szCs w:val="20"/>
        </w:rPr>
        <w:t xml:space="preserve"> accepted the recommendations and sentenced Mr. </w:t>
      </w:r>
      <w:proofErr w:type="spellStart"/>
      <w:r w:rsidR="007611A5" w:rsidRPr="005C0994">
        <w:rPr>
          <w:rFonts w:asciiTheme="majorHAnsi" w:hAnsiTheme="majorHAnsi"/>
          <w:sz w:val="20"/>
          <w:szCs w:val="20"/>
        </w:rPr>
        <w:t>Loza</w:t>
      </w:r>
      <w:proofErr w:type="spellEnd"/>
      <w:r w:rsidR="007611A5" w:rsidRPr="005C0994">
        <w:rPr>
          <w:rFonts w:asciiTheme="majorHAnsi" w:hAnsiTheme="majorHAnsi"/>
          <w:sz w:val="20"/>
          <w:szCs w:val="20"/>
        </w:rPr>
        <w:t xml:space="preserve"> respectively.</w:t>
      </w:r>
      <w:r w:rsidRPr="005C0994">
        <w:rPr>
          <w:rStyle w:val="FootnoteReference"/>
          <w:rFonts w:asciiTheme="majorHAnsi" w:hAnsiTheme="majorHAnsi"/>
          <w:sz w:val="20"/>
          <w:szCs w:val="20"/>
        </w:rPr>
        <w:footnoteReference w:id="7"/>
      </w:r>
      <w:r w:rsidRPr="005C0994">
        <w:rPr>
          <w:rFonts w:asciiTheme="majorHAnsi" w:hAnsiTheme="majorHAnsi"/>
          <w:sz w:val="20"/>
          <w:szCs w:val="20"/>
        </w:rPr>
        <w:t xml:space="preserve"> </w:t>
      </w:r>
      <w:r w:rsidR="00A91578" w:rsidRPr="005C0994">
        <w:rPr>
          <w:rFonts w:asciiTheme="majorHAnsi" w:hAnsiTheme="majorHAnsi"/>
          <w:sz w:val="20"/>
          <w:szCs w:val="20"/>
        </w:rPr>
        <w:t>The Ohio Court of Appeals affirmed the convictions and sentences</w:t>
      </w:r>
      <w:r w:rsidR="00E47E00" w:rsidRPr="005C0994">
        <w:rPr>
          <w:rFonts w:asciiTheme="majorHAnsi" w:hAnsiTheme="majorHAnsi"/>
          <w:sz w:val="20"/>
          <w:szCs w:val="20"/>
        </w:rPr>
        <w:t xml:space="preserve"> on April 19, 1993</w:t>
      </w:r>
      <w:r w:rsidR="00A91578" w:rsidRPr="005C0994">
        <w:rPr>
          <w:rFonts w:asciiTheme="majorHAnsi" w:hAnsiTheme="majorHAnsi"/>
          <w:sz w:val="20"/>
          <w:szCs w:val="20"/>
        </w:rPr>
        <w:t>.</w:t>
      </w:r>
      <w:r w:rsidR="00A91578" w:rsidRPr="005C0994">
        <w:rPr>
          <w:rStyle w:val="FootnoteReference"/>
          <w:rFonts w:asciiTheme="majorHAnsi" w:hAnsiTheme="majorHAnsi"/>
          <w:sz w:val="20"/>
          <w:szCs w:val="20"/>
        </w:rPr>
        <w:footnoteReference w:id="8"/>
      </w:r>
    </w:p>
    <w:p w14:paraId="3A054BBE" w14:textId="77777777" w:rsidR="00051DB2" w:rsidRPr="005C0994" w:rsidRDefault="00051DB2" w:rsidP="00D7514B">
      <w:pPr>
        <w:rPr>
          <w:rFonts w:asciiTheme="majorHAnsi" w:hAnsiTheme="majorHAnsi"/>
          <w:sz w:val="20"/>
          <w:szCs w:val="20"/>
        </w:rPr>
      </w:pPr>
    </w:p>
    <w:p w14:paraId="78377D7B" w14:textId="77777777" w:rsidR="00006693" w:rsidRPr="005C0994" w:rsidRDefault="008E1322" w:rsidP="00CA04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On direct a</w:t>
      </w:r>
      <w:r w:rsidR="00051DB2" w:rsidRPr="005C0994">
        <w:rPr>
          <w:rFonts w:asciiTheme="majorHAnsi" w:hAnsiTheme="majorHAnsi"/>
          <w:sz w:val="20"/>
          <w:szCs w:val="20"/>
        </w:rPr>
        <w:t xml:space="preserve">ppeal, the Supreme Court of Ohio </w:t>
      </w:r>
      <w:r w:rsidR="00D620D2" w:rsidRPr="005C0994">
        <w:rPr>
          <w:rFonts w:asciiTheme="majorHAnsi" w:hAnsiTheme="majorHAnsi"/>
          <w:sz w:val="20"/>
          <w:szCs w:val="20"/>
        </w:rPr>
        <w:t>affirmed the convictions and sentences</w:t>
      </w:r>
      <w:r w:rsidR="00E47E00" w:rsidRPr="005C0994">
        <w:rPr>
          <w:rFonts w:asciiTheme="majorHAnsi" w:hAnsiTheme="majorHAnsi"/>
          <w:sz w:val="20"/>
          <w:szCs w:val="20"/>
        </w:rPr>
        <w:t xml:space="preserve"> on November 30, 1994</w:t>
      </w:r>
      <w:r w:rsidR="00D620D2" w:rsidRPr="005C0994">
        <w:rPr>
          <w:rFonts w:asciiTheme="majorHAnsi" w:hAnsiTheme="majorHAnsi"/>
          <w:sz w:val="20"/>
          <w:szCs w:val="20"/>
        </w:rPr>
        <w:t>,</w:t>
      </w:r>
      <w:r w:rsidR="00051DB2" w:rsidRPr="005C0994">
        <w:rPr>
          <w:rStyle w:val="FootnoteReference"/>
          <w:rFonts w:asciiTheme="majorHAnsi" w:hAnsiTheme="majorHAnsi"/>
          <w:sz w:val="20"/>
          <w:szCs w:val="20"/>
        </w:rPr>
        <w:footnoteReference w:id="9"/>
      </w:r>
      <w:r w:rsidR="00D620D2" w:rsidRPr="005C0994">
        <w:rPr>
          <w:rFonts w:asciiTheme="majorHAnsi" w:hAnsiTheme="majorHAnsi"/>
          <w:sz w:val="20"/>
          <w:szCs w:val="20"/>
        </w:rPr>
        <w:t xml:space="preserve"> and denied the motion for reconsideration.</w:t>
      </w:r>
      <w:r w:rsidR="00D620D2" w:rsidRPr="005C0994">
        <w:rPr>
          <w:rStyle w:val="FootnoteReference"/>
          <w:rFonts w:asciiTheme="majorHAnsi" w:hAnsiTheme="majorHAnsi"/>
          <w:sz w:val="20"/>
          <w:szCs w:val="20"/>
        </w:rPr>
        <w:footnoteReference w:id="10"/>
      </w:r>
      <w:r w:rsidR="006912EE" w:rsidRPr="005C0994">
        <w:rPr>
          <w:rFonts w:asciiTheme="majorHAnsi" w:hAnsiTheme="majorHAnsi"/>
          <w:sz w:val="20"/>
          <w:szCs w:val="20"/>
        </w:rPr>
        <w:t xml:space="preserve"> </w:t>
      </w:r>
      <w:r w:rsidR="009B76BF" w:rsidRPr="005C0994">
        <w:rPr>
          <w:rFonts w:asciiTheme="majorHAnsi" w:hAnsiTheme="majorHAnsi"/>
          <w:sz w:val="20"/>
          <w:szCs w:val="20"/>
        </w:rPr>
        <w:t>T</w:t>
      </w:r>
      <w:r w:rsidR="00006693" w:rsidRPr="005C0994">
        <w:rPr>
          <w:rFonts w:asciiTheme="majorHAnsi" w:hAnsiTheme="majorHAnsi"/>
          <w:sz w:val="20"/>
          <w:szCs w:val="20"/>
        </w:rPr>
        <w:t xml:space="preserve">he United States Supreme Court denied </w:t>
      </w:r>
      <w:r w:rsidRPr="005C0994">
        <w:rPr>
          <w:rFonts w:asciiTheme="majorHAnsi" w:hAnsiTheme="majorHAnsi"/>
          <w:sz w:val="20"/>
          <w:szCs w:val="20"/>
        </w:rPr>
        <w:t xml:space="preserve">Mr. </w:t>
      </w:r>
      <w:proofErr w:type="spellStart"/>
      <w:r w:rsidRPr="005C0994">
        <w:rPr>
          <w:rFonts w:asciiTheme="majorHAnsi" w:hAnsiTheme="majorHAnsi"/>
          <w:sz w:val="20"/>
          <w:szCs w:val="20"/>
        </w:rPr>
        <w:t>Loza’s</w:t>
      </w:r>
      <w:proofErr w:type="spellEnd"/>
      <w:r w:rsidR="00006693" w:rsidRPr="005C0994">
        <w:rPr>
          <w:rFonts w:asciiTheme="majorHAnsi" w:hAnsiTheme="majorHAnsi"/>
          <w:sz w:val="20"/>
          <w:szCs w:val="20"/>
        </w:rPr>
        <w:t xml:space="preserve"> writ of certiorari.</w:t>
      </w:r>
      <w:r w:rsidR="00006693" w:rsidRPr="005C0994">
        <w:rPr>
          <w:rStyle w:val="FootnoteReference"/>
          <w:rFonts w:asciiTheme="majorHAnsi" w:hAnsiTheme="majorHAnsi"/>
          <w:sz w:val="20"/>
          <w:szCs w:val="20"/>
        </w:rPr>
        <w:footnoteReference w:id="11"/>
      </w:r>
      <w:r w:rsidR="00006693" w:rsidRPr="005C0994">
        <w:rPr>
          <w:rFonts w:asciiTheme="majorHAnsi" w:hAnsiTheme="majorHAnsi"/>
          <w:sz w:val="20"/>
          <w:szCs w:val="20"/>
        </w:rPr>
        <w:t xml:space="preserve"> </w:t>
      </w:r>
    </w:p>
    <w:p w14:paraId="03D5C023" w14:textId="77777777" w:rsidR="008E1322" w:rsidRPr="005C0994" w:rsidRDefault="008E1322" w:rsidP="008E13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2D4F4582" w14:textId="77777777" w:rsidR="0066333A" w:rsidRPr="005C0994" w:rsidRDefault="0066333A" w:rsidP="00146E18">
      <w:pPr>
        <w:pStyle w:val="Heading2"/>
        <w:numPr>
          <w:ilvl w:val="0"/>
          <w:numId w:val="58"/>
        </w:numPr>
        <w:tabs>
          <w:tab w:val="left" w:pos="360"/>
        </w:tabs>
        <w:spacing w:before="0"/>
        <w:ind w:hanging="720"/>
        <w:rPr>
          <w:color w:val="auto"/>
          <w:sz w:val="20"/>
          <w:szCs w:val="20"/>
        </w:rPr>
      </w:pPr>
      <w:bookmarkStart w:id="15" w:name="_Toc90297870"/>
      <w:r w:rsidRPr="005C0994">
        <w:rPr>
          <w:color w:val="auto"/>
          <w:sz w:val="20"/>
          <w:szCs w:val="20"/>
        </w:rPr>
        <w:t>Post-conviction</w:t>
      </w:r>
      <w:bookmarkEnd w:id="15"/>
    </w:p>
    <w:p w14:paraId="552A4E8A" w14:textId="77777777" w:rsidR="0066333A" w:rsidRPr="005C0994" w:rsidRDefault="0066333A" w:rsidP="00A265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5313D475" w14:textId="77777777" w:rsidR="00F86ACE" w:rsidRPr="005C0994" w:rsidRDefault="00003AC1" w:rsidP="001B65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On November 27, 1995,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filed a petition for post-conviction relief, a motion for discovery, and a motion requesting review of prosecutorial and police files. On December 7, 1995, he filed a motion for discovery </w:t>
      </w:r>
      <w:r w:rsidRPr="005C0994">
        <w:rPr>
          <w:rFonts w:asciiTheme="majorHAnsi" w:hAnsiTheme="majorHAnsi"/>
          <w:sz w:val="20"/>
          <w:szCs w:val="20"/>
        </w:rPr>
        <w:lastRenderedPageBreak/>
        <w:t>on the discriminatory enforcement of the death penalty in Butler County, Ohio. On September 24, 1996, the trial court</w:t>
      </w:r>
      <w:r w:rsidR="00B31391" w:rsidRPr="005C0994">
        <w:rPr>
          <w:rFonts w:asciiTheme="majorHAnsi" w:hAnsiTheme="majorHAnsi"/>
          <w:sz w:val="20"/>
          <w:szCs w:val="20"/>
        </w:rPr>
        <w:t xml:space="preserve"> </w:t>
      </w:r>
      <w:r w:rsidRPr="005C0994">
        <w:rPr>
          <w:rFonts w:asciiTheme="majorHAnsi" w:hAnsiTheme="majorHAnsi"/>
          <w:sz w:val="20"/>
          <w:szCs w:val="20"/>
        </w:rPr>
        <w:t xml:space="preserve">issued a decision that denied all of his motions and dismissed his petition for post-conviction relief. </w:t>
      </w:r>
    </w:p>
    <w:p w14:paraId="3ACA5B8E" w14:textId="77777777" w:rsidR="00F86ACE" w:rsidRPr="005C0994" w:rsidRDefault="00F86ACE" w:rsidP="00F86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00272245" w14:textId="77777777" w:rsidR="001B658D" w:rsidRPr="005C0994" w:rsidRDefault="00B31391" w:rsidP="001B65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The decision was appealed to the Ohio Court of Appeals with claims concerning </w:t>
      </w:r>
      <w:r w:rsidR="00E833E9" w:rsidRPr="005C0994">
        <w:rPr>
          <w:rFonts w:asciiTheme="majorHAnsi" w:hAnsiTheme="majorHAnsi"/>
          <w:sz w:val="20"/>
          <w:szCs w:val="20"/>
        </w:rPr>
        <w:t xml:space="preserve">a breach of </w:t>
      </w:r>
      <w:r w:rsidRPr="005C0994">
        <w:rPr>
          <w:rFonts w:asciiTheme="majorHAnsi" w:hAnsiTheme="majorHAnsi"/>
          <w:sz w:val="20"/>
          <w:szCs w:val="20"/>
        </w:rPr>
        <w:t xml:space="preserve">the Vienna Convention on Consular Relations, ineffective assistance of counsel, selective prosecution based on race; and </w:t>
      </w:r>
      <w:r w:rsidR="008E1322" w:rsidRPr="005C0994">
        <w:rPr>
          <w:rFonts w:asciiTheme="majorHAnsi" w:hAnsiTheme="majorHAnsi"/>
          <w:sz w:val="20"/>
          <w:szCs w:val="20"/>
        </w:rPr>
        <w:t xml:space="preserve">Mr. </w:t>
      </w:r>
      <w:proofErr w:type="spellStart"/>
      <w:r w:rsidR="008E1322" w:rsidRPr="005C0994">
        <w:rPr>
          <w:rFonts w:asciiTheme="majorHAnsi" w:hAnsiTheme="majorHAnsi"/>
          <w:sz w:val="20"/>
          <w:szCs w:val="20"/>
        </w:rPr>
        <w:t>Loza’s</w:t>
      </w:r>
      <w:proofErr w:type="spellEnd"/>
      <w:r w:rsidRPr="005C0994">
        <w:rPr>
          <w:rFonts w:asciiTheme="majorHAnsi" w:hAnsiTheme="majorHAnsi"/>
          <w:sz w:val="20"/>
          <w:szCs w:val="20"/>
        </w:rPr>
        <w:t xml:space="preserve"> right to have a jury from a fair cross- section, among others. </w:t>
      </w:r>
      <w:r w:rsidR="00E833E9" w:rsidRPr="005C0994">
        <w:rPr>
          <w:rFonts w:asciiTheme="majorHAnsi" w:hAnsiTheme="majorHAnsi"/>
          <w:sz w:val="20"/>
          <w:szCs w:val="20"/>
        </w:rPr>
        <w:t xml:space="preserve">On </w:t>
      </w:r>
      <w:r w:rsidR="00BB4212" w:rsidRPr="005C0994">
        <w:rPr>
          <w:rFonts w:asciiTheme="majorHAnsi" w:hAnsiTheme="majorHAnsi"/>
          <w:sz w:val="20"/>
          <w:szCs w:val="20"/>
        </w:rPr>
        <w:t xml:space="preserve">October 13, 1997 the Ohio Court of Appeals affirmed the County Court’s denial of post-conviction relief and the Ohio Supreme Court declined discretionary review of Mr. </w:t>
      </w:r>
      <w:proofErr w:type="spellStart"/>
      <w:r w:rsidR="00BB4212" w:rsidRPr="005C0994">
        <w:rPr>
          <w:rFonts w:asciiTheme="majorHAnsi" w:hAnsiTheme="majorHAnsi"/>
          <w:sz w:val="20"/>
          <w:szCs w:val="20"/>
        </w:rPr>
        <w:t>Loza’s</w:t>
      </w:r>
      <w:proofErr w:type="spellEnd"/>
      <w:r w:rsidR="00BB4212" w:rsidRPr="005C0994">
        <w:rPr>
          <w:rFonts w:asciiTheme="majorHAnsi" w:hAnsiTheme="majorHAnsi"/>
          <w:sz w:val="20"/>
          <w:szCs w:val="20"/>
        </w:rPr>
        <w:t xml:space="preserve"> appeal, stating that it posed no substantial constitutional question.</w:t>
      </w:r>
      <w:r w:rsidR="00BB4212" w:rsidRPr="005C0994">
        <w:rPr>
          <w:rStyle w:val="FootnoteReference"/>
          <w:rFonts w:asciiTheme="majorHAnsi" w:hAnsiTheme="majorHAnsi"/>
          <w:sz w:val="20"/>
          <w:szCs w:val="20"/>
        </w:rPr>
        <w:footnoteReference w:id="12"/>
      </w:r>
    </w:p>
    <w:p w14:paraId="785A4FB5" w14:textId="77777777" w:rsidR="00146E18" w:rsidRPr="005C0994" w:rsidRDefault="00146E18" w:rsidP="00146E18"/>
    <w:p w14:paraId="3BB0DE1F" w14:textId="77777777" w:rsidR="00021557" w:rsidRPr="005C0994" w:rsidRDefault="00F86ACE" w:rsidP="00146E18">
      <w:pPr>
        <w:pStyle w:val="Heading2"/>
        <w:numPr>
          <w:ilvl w:val="0"/>
          <w:numId w:val="58"/>
        </w:numPr>
        <w:tabs>
          <w:tab w:val="left" w:pos="360"/>
        </w:tabs>
        <w:spacing w:before="0"/>
        <w:ind w:hanging="720"/>
        <w:rPr>
          <w:color w:val="auto"/>
          <w:sz w:val="20"/>
          <w:szCs w:val="20"/>
        </w:rPr>
      </w:pPr>
      <w:bookmarkStart w:id="16" w:name="_Toc90297871"/>
      <w:r w:rsidRPr="005C0994">
        <w:rPr>
          <w:color w:val="auto"/>
          <w:sz w:val="20"/>
          <w:szCs w:val="20"/>
        </w:rPr>
        <w:t>Federal habeas</w:t>
      </w:r>
      <w:r w:rsidR="00372AD5" w:rsidRPr="005C0994">
        <w:rPr>
          <w:color w:val="auto"/>
          <w:sz w:val="20"/>
          <w:szCs w:val="20"/>
        </w:rPr>
        <w:t xml:space="preserve"> </w:t>
      </w:r>
      <w:r w:rsidR="00021557" w:rsidRPr="005C0994">
        <w:rPr>
          <w:color w:val="auto"/>
          <w:sz w:val="20"/>
          <w:szCs w:val="20"/>
        </w:rPr>
        <w:t>proceedings</w:t>
      </w:r>
      <w:bookmarkEnd w:id="16"/>
    </w:p>
    <w:p w14:paraId="0B462DCC" w14:textId="77777777" w:rsidR="00021557" w:rsidRPr="005C0994" w:rsidRDefault="00021557" w:rsidP="00021557">
      <w:pPr>
        <w:pStyle w:val="ListParagraph"/>
        <w:rPr>
          <w:rFonts w:asciiTheme="majorHAnsi" w:hAnsiTheme="majorHAnsi"/>
          <w:sz w:val="20"/>
          <w:szCs w:val="20"/>
        </w:rPr>
      </w:pPr>
    </w:p>
    <w:p w14:paraId="1E57991E" w14:textId="77777777" w:rsidR="00C25B0D" w:rsidRPr="005C0994" w:rsidRDefault="00E7193A" w:rsidP="002F4F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filed a habeas corpus petition in </w:t>
      </w:r>
      <w:r w:rsidR="00E833E9" w:rsidRPr="005C0994">
        <w:rPr>
          <w:rFonts w:asciiTheme="majorHAnsi" w:hAnsiTheme="majorHAnsi"/>
          <w:sz w:val="20"/>
          <w:szCs w:val="20"/>
        </w:rPr>
        <w:t>the</w:t>
      </w:r>
      <w:r w:rsidRPr="005C0994">
        <w:rPr>
          <w:rFonts w:asciiTheme="majorHAnsi" w:hAnsiTheme="majorHAnsi"/>
          <w:sz w:val="20"/>
          <w:szCs w:val="20"/>
        </w:rPr>
        <w:t xml:space="preserve"> district court</w:t>
      </w:r>
      <w:r w:rsidR="007C0F3E" w:rsidRPr="005C0994">
        <w:rPr>
          <w:rFonts w:asciiTheme="majorHAnsi" w:hAnsiTheme="majorHAnsi"/>
          <w:sz w:val="20"/>
          <w:szCs w:val="20"/>
        </w:rPr>
        <w:t xml:space="preserve"> on April 17, 1998</w:t>
      </w:r>
      <w:r w:rsidR="00F86ACE" w:rsidRPr="005C0994">
        <w:rPr>
          <w:rFonts w:asciiTheme="majorHAnsi" w:hAnsiTheme="majorHAnsi"/>
          <w:sz w:val="20"/>
          <w:szCs w:val="20"/>
        </w:rPr>
        <w:t>.</w:t>
      </w:r>
      <w:r w:rsidR="007C0F3E" w:rsidRPr="005C0994">
        <w:rPr>
          <w:rStyle w:val="FootnoteReference"/>
          <w:rFonts w:asciiTheme="majorHAnsi" w:hAnsiTheme="majorHAnsi"/>
          <w:sz w:val="20"/>
          <w:szCs w:val="20"/>
        </w:rPr>
        <w:footnoteReference w:id="13"/>
      </w:r>
      <w:r w:rsidRPr="005C0994">
        <w:rPr>
          <w:rFonts w:asciiTheme="majorHAnsi" w:hAnsiTheme="majorHAnsi"/>
          <w:sz w:val="20"/>
          <w:szCs w:val="20"/>
        </w:rPr>
        <w:t xml:space="preserve"> </w:t>
      </w:r>
      <w:r w:rsidR="00CA0428" w:rsidRPr="005C0994">
        <w:rPr>
          <w:rFonts w:asciiTheme="majorHAnsi" w:hAnsiTheme="majorHAnsi"/>
          <w:sz w:val="20"/>
          <w:szCs w:val="20"/>
        </w:rPr>
        <w:t xml:space="preserve">This petition raised claims for review of the court rulings on the claims raised within the Ohio Court of Appeal. </w:t>
      </w:r>
      <w:r w:rsidRPr="005C0994">
        <w:rPr>
          <w:rFonts w:asciiTheme="majorHAnsi" w:hAnsiTheme="majorHAnsi"/>
          <w:sz w:val="20"/>
          <w:szCs w:val="20"/>
        </w:rPr>
        <w:t>T</w:t>
      </w:r>
      <w:r w:rsidR="00E31AAE" w:rsidRPr="005C0994">
        <w:rPr>
          <w:rFonts w:asciiTheme="majorHAnsi" w:hAnsiTheme="majorHAnsi"/>
          <w:sz w:val="20"/>
          <w:szCs w:val="20"/>
        </w:rPr>
        <w:t xml:space="preserve">he United States District Court for the Southern District of Ohio </w:t>
      </w:r>
      <w:r w:rsidR="00CA0428" w:rsidRPr="005C0994">
        <w:rPr>
          <w:rFonts w:asciiTheme="majorHAnsi" w:hAnsiTheme="majorHAnsi"/>
          <w:sz w:val="20"/>
          <w:szCs w:val="20"/>
        </w:rPr>
        <w:t xml:space="preserve">denied the habeas corpus claims and dismissed the action on March 31 2010. Mr. </w:t>
      </w:r>
      <w:proofErr w:type="spellStart"/>
      <w:r w:rsidR="00CA0428" w:rsidRPr="005C0994">
        <w:rPr>
          <w:rFonts w:asciiTheme="majorHAnsi" w:hAnsiTheme="majorHAnsi"/>
          <w:sz w:val="20"/>
          <w:szCs w:val="20"/>
        </w:rPr>
        <w:t>Loza</w:t>
      </w:r>
      <w:proofErr w:type="spellEnd"/>
      <w:r w:rsidR="00CA0428" w:rsidRPr="005C0994">
        <w:rPr>
          <w:rFonts w:asciiTheme="majorHAnsi" w:hAnsiTheme="majorHAnsi"/>
          <w:sz w:val="20"/>
          <w:szCs w:val="20"/>
        </w:rPr>
        <w:t xml:space="preserve"> then appealed against the denial and the United States Court of Appeals, on October 24, 2014, affirmed the District Court’s dismissal.</w:t>
      </w:r>
      <w:r w:rsidR="00C63585" w:rsidRPr="005C0994">
        <w:rPr>
          <w:rFonts w:asciiTheme="majorHAnsi" w:hAnsiTheme="majorHAnsi"/>
          <w:sz w:val="20"/>
          <w:szCs w:val="20"/>
        </w:rPr>
        <w:t xml:space="preserve"> Be</w:t>
      </w:r>
      <w:r w:rsidR="008E1322" w:rsidRPr="005C0994">
        <w:rPr>
          <w:rFonts w:asciiTheme="majorHAnsi" w:hAnsiTheme="majorHAnsi"/>
          <w:sz w:val="20"/>
          <w:szCs w:val="20"/>
        </w:rPr>
        <w:t>low are the c</w:t>
      </w:r>
      <w:r w:rsidR="00C63585" w:rsidRPr="005C0994">
        <w:rPr>
          <w:rFonts w:asciiTheme="majorHAnsi" w:hAnsiTheme="majorHAnsi"/>
          <w:sz w:val="20"/>
          <w:szCs w:val="20"/>
        </w:rPr>
        <w:t>ourt’s conclusions.</w:t>
      </w:r>
    </w:p>
    <w:p w14:paraId="2199DB9B" w14:textId="77777777" w:rsidR="007A51E3" w:rsidRPr="005C0994" w:rsidRDefault="007A51E3" w:rsidP="00C2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268A9CA1" w14:textId="77777777" w:rsidR="00E7193A" w:rsidRPr="005C0994" w:rsidRDefault="00E7193A" w:rsidP="00E719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On appeal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argued that he was entitle</w:t>
      </w:r>
      <w:r w:rsidR="008E1322" w:rsidRPr="005C0994">
        <w:rPr>
          <w:rFonts w:asciiTheme="majorHAnsi" w:hAnsiTheme="majorHAnsi"/>
          <w:sz w:val="20"/>
          <w:szCs w:val="20"/>
        </w:rPr>
        <w:t>d to habeas corpus relief. The c</w:t>
      </w:r>
      <w:r w:rsidRPr="005C0994">
        <w:rPr>
          <w:rFonts w:asciiTheme="majorHAnsi" w:hAnsiTheme="majorHAnsi"/>
          <w:sz w:val="20"/>
          <w:szCs w:val="20"/>
        </w:rPr>
        <w:t xml:space="preserve">ourt reviewed the district court’s legal conclusions </w:t>
      </w:r>
      <w:r w:rsidRPr="005C0994">
        <w:rPr>
          <w:rFonts w:asciiTheme="majorHAnsi" w:hAnsiTheme="majorHAnsi"/>
          <w:i/>
          <w:sz w:val="20"/>
          <w:szCs w:val="20"/>
        </w:rPr>
        <w:t>de novo</w:t>
      </w:r>
      <w:r w:rsidRPr="005C0994">
        <w:rPr>
          <w:rFonts w:asciiTheme="majorHAnsi" w:hAnsiTheme="majorHAnsi"/>
          <w:sz w:val="20"/>
          <w:szCs w:val="20"/>
        </w:rPr>
        <w:t>.</w:t>
      </w:r>
      <w:r w:rsidRPr="005C0994">
        <w:rPr>
          <w:rStyle w:val="FootnoteReference"/>
          <w:rFonts w:asciiTheme="majorHAnsi" w:hAnsiTheme="majorHAnsi"/>
          <w:sz w:val="20"/>
          <w:szCs w:val="20"/>
        </w:rPr>
        <w:footnoteReference w:id="14"/>
      </w:r>
      <w:r w:rsidRPr="005C0994">
        <w:rPr>
          <w:rFonts w:asciiTheme="majorHAnsi" w:hAnsiTheme="majorHAnsi"/>
          <w:sz w:val="20"/>
          <w:szCs w:val="20"/>
        </w:rPr>
        <w:t xml:space="preserve"> </w:t>
      </w:r>
      <w:r w:rsidR="00C25B0D" w:rsidRPr="005C0994">
        <w:rPr>
          <w:rFonts w:asciiTheme="majorHAnsi" w:hAnsiTheme="majorHAnsi"/>
          <w:sz w:val="20"/>
          <w:szCs w:val="20"/>
        </w:rPr>
        <w:t xml:space="preserve">The court </w:t>
      </w:r>
      <w:r w:rsidR="00E31AAE" w:rsidRPr="005C0994">
        <w:rPr>
          <w:rFonts w:asciiTheme="majorHAnsi" w:hAnsiTheme="majorHAnsi"/>
          <w:sz w:val="20"/>
          <w:szCs w:val="20"/>
        </w:rPr>
        <w:t xml:space="preserve">held that </w:t>
      </w:r>
      <w:r w:rsidR="00AD1293" w:rsidRPr="005C0994">
        <w:rPr>
          <w:rFonts w:asciiTheme="majorHAnsi" w:hAnsiTheme="majorHAnsi"/>
          <w:sz w:val="20"/>
          <w:szCs w:val="20"/>
        </w:rPr>
        <w:t xml:space="preserve">the </w:t>
      </w:r>
      <w:r w:rsidR="00E31AAE" w:rsidRPr="005C0994">
        <w:rPr>
          <w:rFonts w:asciiTheme="majorHAnsi" w:hAnsiTheme="majorHAnsi"/>
          <w:sz w:val="20"/>
          <w:szCs w:val="20"/>
        </w:rPr>
        <w:t>police officer questioned petitioner pursuant to lawful Terry stop, that police detectives did not threaten petitioner’s girlfriend or his unborn child to coerce him to confess, that petitioner’s confession was voluntary, that exclusion of psychologist’s testimony regarding credibility of petitioner’s confession at guilt phase did not violate petitioner’s right to present relevant evidence, that petitioner was not denied effective assistance due to counsel’s failure to present additional evidence from cultural expert and petitioner’s fam</w:t>
      </w:r>
      <w:r w:rsidR="00C63585" w:rsidRPr="005C0994">
        <w:rPr>
          <w:rFonts w:asciiTheme="majorHAnsi" w:hAnsiTheme="majorHAnsi"/>
          <w:sz w:val="20"/>
          <w:szCs w:val="20"/>
        </w:rPr>
        <w:t>ily members at mitigation phase</w:t>
      </w:r>
      <w:r w:rsidR="00E31AAE" w:rsidRPr="005C0994">
        <w:rPr>
          <w:rFonts w:asciiTheme="majorHAnsi" w:hAnsiTheme="majorHAnsi"/>
          <w:sz w:val="20"/>
          <w:szCs w:val="20"/>
        </w:rPr>
        <w:t xml:space="preserve">, and </w:t>
      </w:r>
      <w:r w:rsidR="00C63585" w:rsidRPr="005C0994">
        <w:rPr>
          <w:rFonts w:asciiTheme="majorHAnsi" w:hAnsiTheme="majorHAnsi"/>
          <w:sz w:val="20"/>
          <w:szCs w:val="20"/>
        </w:rPr>
        <w:t>t</w:t>
      </w:r>
      <w:r w:rsidR="00E31AAE" w:rsidRPr="005C0994">
        <w:rPr>
          <w:rFonts w:asciiTheme="majorHAnsi" w:hAnsiTheme="majorHAnsi"/>
          <w:sz w:val="20"/>
          <w:szCs w:val="20"/>
        </w:rPr>
        <w:t xml:space="preserve">hat petitioner was not selectively prosecuted for capital offense based on invidious racial discrimination. </w:t>
      </w:r>
    </w:p>
    <w:p w14:paraId="2EA7A5BB" w14:textId="77777777" w:rsidR="00416AD8" w:rsidRPr="005C0994" w:rsidRDefault="00416AD8" w:rsidP="00553A04">
      <w:pPr>
        <w:rPr>
          <w:rFonts w:asciiTheme="majorHAnsi" w:hAnsiTheme="majorHAnsi"/>
          <w:sz w:val="20"/>
          <w:szCs w:val="20"/>
        </w:rPr>
      </w:pPr>
    </w:p>
    <w:p w14:paraId="708DB738" w14:textId="77777777" w:rsidR="0065723A" w:rsidRPr="005C0994" w:rsidRDefault="00416AD8" w:rsidP="004A56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r w:rsidR="00C63585" w:rsidRPr="005C0994">
        <w:rPr>
          <w:rFonts w:asciiTheme="majorHAnsi" w:hAnsiTheme="majorHAnsi"/>
          <w:sz w:val="20"/>
          <w:szCs w:val="20"/>
        </w:rPr>
        <w:t>’s</w:t>
      </w:r>
      <w:proofErr w:type="spellEnd"/>
      <w:r w:rsidR="00C63585" w:rsidRPr="005C0994">
        <w:rPr>
          <w:rFonts w:asciiTheme="majorHAnsi" w:hAnsiTheme="majorHAnsi"/>
          <w:sz w:val="20"/>
          <w:szCs w:val="20"/>
        </w:rPr>
        <w:t xml:space="preserve"> argue</w:t>
      </w:r>
      <w:r w:rsidR="006B6C00" w:rsidRPr="005C0994">
        <w:rPr>
          <w:rFonts w:asciiTheme="majorHAnsi" w:hAnsiTheme="majorHAnsi"/>
          <w:sz w:val="20"/>
          <w:szCs w:val="20"/>
        </w:rPr>
        <w:t>d</w:t>
      </w:r>
      <w:r w:rsidRPr="005C0994">
        <w:rPr>
          <w:rFonts w:asciiTheme="majorHAnsi" w:hAnsiTheme="majorHAnsi"/>
          <w:sz w:val="20"/>
          <w:szCs w:val="20"/>
        </w:rPr>
        <w:t xml:space="preserve"> that the Ohio Supreme Court unreasonably applied clearly established federal law when it held that the trial court properly refused to suppress statements that 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made to Mr. </w:t>
      </w:r>
      <w:proofErr w:type="spellStart"/>
      <w:r w:rsidRPr="005C0994">
        <w:rPr>
          <w:rFonts w:asciiTheme="majorHAnsi" w:hAnsiTheme="majorHAnsi"/>
          <w:sz w:val="20"/>
          <w:szCs w:val="20"/>
        </w:rPr>
        <w:t>Knable</w:t>
      </w:r>
      <w:proofErr w:type="spellEnd"/>
      <w:r w:rsidRPr="005C0994">
        <w:rPr>
          <w:rFonts w:asciiTheme="majorHAnsi" w:hAnsiTheme="majorHAnsi"/>
          <w:sz w:val="20"/>
          <w:szCs w:val="20"/>
        </w:rPr>
        <w:t xml:space="preserve"> shortly after the encounter by the trash </w:t>
      </w:r>
      <w:r w:rsidR="00A23E45" w:rsidRPr="005C0994">
        <w:rPr>
          <w:rFonts w:asciiTheme="majorHAnsi" w:hAnsiTheme="majorHAnsi"/>
          <w:sz w:val="20"/>
          <w:szCs w:val="20"/>
        </w:rPr>
        <w:t xml:space="preserve">bin on the day of his arrest; </w:t>
      </w:r>
      <w:r w:rsidR="0065723A" w:rsidRPr="005C0994">
        <w:rPr>
          <w:rFonts w:asciiTheme="majorHAnsi" w:hAnsiTheme="majorHAnsi"/>
          <w:sz w:val="20"/>
          <w:szCs w:val="20"/>
        </w:rPr>
        <w:t>of the</w:t>
      </w:r>
      <w:r w:rsidR="00A23E45" w:rsidRPr="005C0994">
        <w:rPr>
          <w:rFonts w:asciiTheme="majorHAnsi" w:hAnsiTheme="majorHAnsi"/>
          <w:sz w:val="20"/>
          <w:szCs w:val="20"/>
        </w:rPr>
        <w:t xml:space="preserve"> false names </w:t>
      </w:r>
      <w:r w:rsidR="0065723A" w:rsidRPr="005C0994">
        <w:rPr>
          <w:rFonts w:asciiTheme="majorHAnsi" w:hAnsiTheme="majorHAnsi"/>
          <w:sz w:val="20"/>
          <w:szCs w:val="20"/>
        </w:rPr>
        <w:t xml:space="preserve">provided </w:t>
      </w:r>
      <w:r w:rsidR="00A23E45" w:rsidRPr="005C0994">
        <w:rPr>
          <w:rFonts w:asciiTheme="majorHAnsi" w:hAnsiTheme="majorHAnsi"/>
          <w:sz w:val="20"/>
          <w:szCs w:val="20"/>
        </w:rPr>
        <w:t xml:space="preserve">for himself and Dorothy Jackson. </w:t>
      </w:r>
      <w:r w:rsidR="00D81F73" w:rsidRPr="005C0994">
        <w:rPr>
          <w:rFonts w:asciiTheme="majorHAnsi" w:hAnsiTheme="majorHAnsi"/>
          <w:sz w:val="20"/>
          <w:szCs w:val="20"/>
        </w:rPr>
        <w:t xml:space="preserve">Mr. </w:t>
      </w:r>
      <w:proofErr w:type="spellStart"/>
      <w:r w:rsidR="00D81F73" w:rsidRPr="005C0994">
        <w:rPr>
          <w:rFonts w:asciiTheme="majorHAnsi" w:hAnsiTheme="majorHAnsi"/>
          <w:sz w:val="20"/>
          <w:szCs w:val="20"/>
        </w:rPr>
        <w:t>Loza</w:t>
      </w:r>
      <w:proofErr w:type="spellEnd"/>
      <w:r w:rsidR="00D81F73" w:rsidRPr="005C0994">
        <w:rPr>
          <w:rFonts w:asciiTheme="majorHAnsi" w:hAnsiTheme="majorHAnsi"/>
          <w:sz w:val="20"/>
          <w:szCs w:val="20"/>
        </w:rPr>
        <w:t xml:space="preserve"> argued that </w:t>
      </w:r>
      <w:proofErr w:type="spellStart"/>
      <w:r w:rsidR="00D81F73" w:rsidRPr="005C0994">
        <w:rPr>
          <w:rFonts w:asciiTheme="majorHAnsi" w:hAnsiTheme="majorHAnsi"/>
          <w:sz w:val="20"/>
          <w:szCs w:val="20"/>
        </w:rPr>
        <w:t>Knable’s</w:t>
      </w:r>
      <w:proofErr w:type="spellEnd"/>
      <w:r w:rsidR="00D81F73" w:rsidRPr="005C0994">
        <w:rPr>
          <w:rFonts w:asciiTheme="majorHAnsi" w:hAnsiTheme="majorHAnsi"/>
          <w:sz w:val="20"/>
          <w:szCs w:val="20"/>
        </w:rPr>
        <w:t xml:space="preserve"> seizure if him violated the Fourth Amendment; he also argued that </w:t>
      </w:r>
      <w:proofErr w:type="spellStart"/>
      <w:r w:rsidR="00D81F73" w:rsidRPr="005C0994">
        <w:rPr>
          <w:rFonts w:asciiTheme="majorHAnsi" w:hAnsiTheme="majorHAnsi"/>
          <w:sz w:val="20"/>
          <w:szCs w:val="20"/>
        </w:rPr>
        <w:t>Knable</w:t>
      </w:r>
      <w:proofErr w:type="spellEnd"/>
      <w:r w:rsidR="00D81F73" w:rsidRPr="005C0994">
        <w:rPr>
          <w:rFonts w:asciiTheme="majorHAnsi" w:hAnsiTheme="majorHAnsi"/>
          <w:sz w:val="20"/>
          <w:szCs w:val="20"/>
        </w:rPr>
        <w:t xml:space="preserve"> failed to provide him with his Miranda rights, prior to questioning him, in violation of his Fifth Amendment privilege against self-incrimination. </w:t>
      </w:r>
      <w:r w:rsidR="00015472" w:rsidRPr="005C0994">
        <w:rPr>
          <w:rFonts w:asciiTheme="majorHAnsi" w:hAnsiTheme="majorHAnsi"/>
          <w:sz w:val="20"/>
          <w:szCs w:val="20"/>
        </w:rPr>
        <w:t>The US Court of Appeals reasoned that the Ohio Supreme Court’s determination was not unreasonable</w:t>
      </w:r>
      <w:r w:rsidR="006B6C00" w:rsidRPr="005C0994">
        <w:rPr>
          <w:rFonts w:asciiTheme="majorHAnsi" w:hAnsiTheme="majorHAnsi"/>
          <w:sz w:val="20"/>
          <w:szCs w:val="20"/>
        </w:rPr>
        <w:t>. I</w:t>
      </w:r>
      <w:r w:rsidR="00015472" w:rsidRPr="005C0994">
        <w:rPr>
          <w:rFonts w:asciiTheme="majorHAnsi" w:hAnsiTheme="majorHAnsi"/>
          <w:sz w:val="20"/>
          <w:szCs w:val="20"/>
        </w:rPr>
        <w:t xml:space="preserve">t noted that Mr. </w:t>
      </w:r>
      <w:proofErr w:type="spellStart"/>
      <w:r w:rsidR="00015472" w:rsidRPr="005C0994">
        <w:rPr>
          <w:rFonts w:asciiTheme="majorHAnsi" w:hAnsiTheme="majorHAnsi"/>
          <w:sz w:val="20"/>
          <w:szCs w:val="20"/>
        </w:rPr>
        <w:t>Knable</w:t>
      </w:r>
      <w:proofErr w:type="spellEnd"/>
      <w:r w:rsidR="00015472" w:rsidRPr="005C0994">
        <w:rPr>
          <w:rFonts w:asciiTheme="majorHAnsi" w:hAnsiTheme="majorHAnsi"/>
          <w:sz w:val="20"/>
          <w:szCs w:val="20"/>
        </w:rPr>
        <w:t xml:space="preserve"> had a reasonable, articulable suspicion that criminal activity was afoot, had reason to suspect that </w:t>
      </w:r>
      <w:proofErr w:type="spellStart"/>
      <w:r w:rsidR="00015472" w:rsidRPr="005C0994">
        <w:rPr>
          <w:rFonts w:asciiTheme="majorHAnsi" w:hAnsiTheme="majorHAnsi"/>
          <w:sz w:val="20"/>
          <w:szCs w:val="20"/>
        </w:rPr>
        <w:t>Loza</w:t>
      </w:r>
      <w:proofErr w:type="spellEnd"/>
      <w:r w:rsidR="00015472" w:rsidRPr="005C0994">
        <w:rPr>
          <w:rFonts w:asciiTheme="majorHAnsi" w:hAnsiTheme="majorHAnsi"/>
          <w:sz w:val="20"/>
          <w:szCs w:val="20"/>
        </w:rPr>
        <w:t xml:space="preserve"> may have been involved; therefore it was not unreasonable for the court to conclude that </w:t>
      </w:r>
      <w:proofErr w:type="spellStart"/>
      <w:r w:rsidR="00015472" w:rsidRPr="005C0994">
        <w:rPr>
          <w:rFonts w:asciiTheme="majorHAnsi" w:hAnsiTheme="majorHAnsi"/>
          <w:sz w:val="20"/>
          <w:szCs w:val="20"/>
        </w:rPr>
        <w:t>Knable</w:t>
      </w:r>
      <w:proofErr w:type="spellEnd"/>
      <w:r w:rsidR="00015472" w:rsidRPr="005C0994">
        <w:rPr>
          <w:rFonts w:asciiTheme="majorHAnsi" w:hAnsiTheme="majorHAnsi"/>
          <w:sz w:val="20"/>
          <w:szCs w:val="20"/>
        </w:rPr>
        <w:t xml:space="preserve"> permissibly approached Mr. </w:t>
      </w:r>
      <w:proofErr w:type="spellStart"/>
      <w:r w:rsidR="00015472" w:rsidRPr="005C0994">
        <w:rPr>
          <w:rFonts w:asciiTheme="majorHAnsi" w:hAnsiTheme="majorHAnsi"/>
          <w:sz w:val="20"/>
          <w:szCs w:val="20"/>
        </w:rPr>
        <w:t>Loza</w:t>
      </w:r>
      <w:proofErr w:type="spellEnd"/>
      <w:r w:rsidR="00015472" w:rsidRPr="005C0994">
        <w:rPr>
          <w:rFonts w:asciiTheme="majorHAnsi" w:hAnsiTheme="majorHAnsi"/>
          <w:sz w:val="20"/>
          <w:szCs w:val="20"/>
        </w:rPr>
        <w:t xml:space="preserve">, patted him down and asked him for his name and the name of his companion. Mr. </w:t>
      </w:r>
      <w:proofErr w:type="spellStart"/>
      <w:r w:rsidR="00015472" w:rsidRPr="005C0994">
        <w:rPr>
          <w:rFonts w:asciiTheme="majorHAnsi" w:hAnsiTheme="majorHAnsi"/>
          <w:sz w:val="20"/>
          <w:szCs w:val="20"/>
        </w:rPr>
        <w:t>Loza</w:t>
      </w:r>
      <w:proofErr w:type="spellEnd"/>
      <w:r w:rsidR="00015472" w:rsidRPr="005C0994">
        <w:rPr>
          <w:rFonts w:asciiTheme="majorHAnsi" w:hAnsiTheme="majorHAnsi"/>
          <w:sz w:val="20"/>
          <w:szCs w:val="20"/>
        </w:rPr>
        <w:t xml:space="preserve"> argued that the encounter was more coercive than a typical Terry stop, noting that </w:t>
      </w:r>
      <w:proofErr w:type="spellStart"/>
      <w:r w:rsidR="00015472" w:rsidRPr="005C0994">
        <w:rPr>
          <w:rFonts w:asciiTheme="majorHAnsi" w:hAnsiTheme="majorHAnsi"/>
          <w:sz w:val="20"/>
          <w:szCs w:val="20"/>
        </w:rPr>
        <w:t>Knable</w:t>
      </w:r>
      <w:proofErr w:type="spellEnd"/>
      <w:r w:rsidR="00015472" w:rsidRPr="005C0994">
        <w:rPr>
          <w:rFonts w:asciiTheme="majorHAnsi" w:hAnsiTheme="majorHAnsi"/>
          <w:sz w:val="20"/>
          <w:szCs w:val="20"/>
        </w:rPr>
        <w:t xml:space="preserve"> was holding his firearm when he approached </w:t>
      </w:r>
      <w:proofErr w:type="spellStart"/>
      <w:r w:rsidR="00015472" w:rsidRPr="005C0994">
        <w:rPr>
          <w:rFonts w:asciiTheme="majorHAnsi" w:hAnsiTheme="majorHAnsi"/>
          <w:sz w:val="20"/>
          <w:szCs w:val="20"/>
        </w:rPr>
        <w:t>Loza</w:t>
      </w:r>
      <w:proofErr w:type="spellEnd"/>
      <w:r w:rsidR="00015472" w:rsidRPr="005C0994">
        <w:rPr>
          <w:rFonts w:asciiTheme="majorHAnsi" w:hAnsiTheme="majorHAnsi"/>
          <w:sz w:val="20"/>
          <w:szCs w:val="20"/>
        </w:rPr>
        <w:t xml:space="preserve"> and that he handcuffed </w:t>
      </w:r>
      <w:proofErr w:type="spellStart"/>
      <w:r w:rsidR="00015472" w:rsidRPr="005C0994">
        <w:rPr>
          <w:rFonts w:asciiTheme="majorHAnsi" w:hAnsiTheme="majorHAnsi"/>
          <w:sz w:val="20"/>
          <w:szCs w:val="20"/>
        </w:rPr>
        <w:t>Loza</w:t>
      </w:r>
      <w:proofErr w:type="spellEnd"/>
      <w:r w:rsidR="00015472" w:rsidRPr="005C0994">
        <w:rPr>
          <w:rFonts w:asciiTheme="majorHAnsi" w:hAnsiTheme="majorHAnsi"/>
          <w:sz w:val="20"/>
          <w:szCs w:val="20"/>
        </w:rPr>
        <w:t xml:space="preserve"> and placed him in the back of his patrol car. The US Court of Appeals reasoned that, to the extent that the law is not clearly established with regards to Terry stops and custodial interrogations subject to Miranda, the Ohio Supreme Court’s decision was not unreasonable. </w:t>
      </w:r>
    </w:p>
    <w:p w14:paraId="07BAD9B5" w14:textId="77777777" w:rsidR="0065723A" w:rsidRPr="005C0994" w:rsidRDefault="0065723A" w:rsidP="006572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63E99B2" w14:textId="77777777" w:rsidR="0065723A" w:rsidRPr="005C0994" w:rsidRDefault="0065723A" w:rsidP="004A56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a</w:t>
      </w:r>
      <w:r w:rsidR="000F51DA" w:rsidRPr="005C0994">
        <w:rPr>
          <w:rFonts w:asciiTheme="majorHAnsi" w:hAnsiTheme="majorHAnsi"/>
          <w:sz w:val="20"/>
          <w:szCs w:val="20"/>
        </w:rPr>
        <w:t xml:space="preserve">rgued that the Ohio Supreme Court’s decision upholding the voluntariness and admissibility of his confession was based on an unreasonable determination of the facts and was contrary to or an unreasonable application of clearly established federal law. Mr. </w:t>
      </w:r>
      <w:proofErr w:type="spellStart"/>
      <w:r w:rsidR="000F51DA" w:rsidRPr="005C0994">
        <w:rPr>
          <w:rFonts w:asciiTheme="majorHAnsi" w:hAnsiTheme="majorHAnsi"/>
          <w:sz w:val="20"/>
          <w:szCs w:val="20"/>
        </w:rPr>
        <w:t>Loza</w:t>
      </w:r>
      <w:proofErr w:type="spellEnd"/>
      <w:r w:rsidR="000F51DA" w:rsidRPr="005C0994">
        <w:rPr>
          <w:rFonts w:asciiTheme="majorHAnsi" w:hAnsiTheme="majorHAnsi"/>
          <w:sz w:val="20"/>
          <w:szCs w:val="20"/>
        </w:rPr>
        <w:t xml:space="preserve"> referenced the Court’s finding of no threats made concerning Ms. Jackson, during the interrogation, </w:t>
      </w:r>
      <w:r w:rsidR="00296BE8" w:rsidRPr="005C0994">
        <w:rPr>
          <w:rFonts w:asciiTheme="majorHAnsi" w:hAnsiTheme="majorHAnsi"/>
          <w:sz w:val="20"/>
          <w:szCs w:val="20"/>
        </w:rPr>
        <w:t>as being</w:t>
      </w:r>
      <w:r w:rsidR="000F51DA" w:rsidRPr="005C0994">
        <w:rPr>
          <w:rFonts w:asciiTheme="majorHAnsi" w:hAnsiTheme="majorHAnsi"/>
          <w:sz w:val="20"/>
          <w:szCs w:val="20"/>
        </w:rPr>
        <w:t xml:space="preserve"> contrary to the record. </w:t>
      </w:r>
      <w:r w:rsidR="001C3FE4" w:rsidRPr="005C0994">
        <w:rPr>
          <w:rFonts w:asciiTheme="majorHAnsi" w:hAnsiTheme="majorHAnsi"/>
          <w:sz w:val="20"/>
          <w:szCs w:val="20"/>
        </w:rPr>
        <w:t xml:space="preserve">The statements referenced were questions of whether Mr. </w:t>
      </w:r>
      <w:proofErr w:type="spellStart"/>
      <w:r w:rsidR="001C3FE4" w:rsidRPr="005C0994">
        <w:rPr>
          <w:rFonts w:asciiTheme="majorHAnsi" w:hAnsiTheme="majorHAnsi"/>
          <w:sz w:val="20"/>
          <w:szCs w:val="20"/>
        </w:rPr>
        <w:t>Loza</w:t>
      </w:r>
      <w:proofErr w:type="spellEnd"/>
      <w:r w:rsidR="001C3FE4" w:rsidRPr="005C0994">
        <w:rPr>
          <w:rFonts w:asciiTheme="majorHAnsi" w:hAnsiTheme="majorHAnsi"/>
          <w:sz w:val="20"/>
          <w:szCs w:val="20"/>
        </w:rPr>
        <w:t xml:space="preserve"> “want[ed] Dorothy to have her baby in a penitentiary”, “[his] baby put up for adoption to somebody you’ve never heard of” and statement that “[w]hat you’re trying to do is put yourself in an electric chair or a gas chamber right along with Dorothy, and this child is going to go off into never, never land and never be seen again.”</w:t>
      </w:r>
      <w:r w:rsidR="001C3FE4" w:rsidRPr="005C0994">
        <w:rPr>
          <w:rStyle w:val="FootnoteReference"/>
          <w:rFonts w:asciiTheme="majorHAnsi" w:hAnsiTheme="majorHAnsi"/>
          <w:sz w:val="20"/>
          <w:szCs w:val="20"/>
        </w:rPr>
        <w:footnoteReference w:id="15"/>
      </w:r>
      <w:r w:rsidR="000F51DA" w:rsidRPr="005C0994">
        <w:rPr>
          <w:rFonts w:asciiTheme="majorHAnsi" w:hAnsiTheme="majorHAnsi"/>
          <w:sz w:val="20"/>
          <w:szCs w:val="20"/>
        </w:rPr>
        <w:t xml:space="preserve">The court reasoned that the statements made by the detectives did not constitute threats and concluded this was not unreasonable holding that the record supports the court’s </w:t>
      </w:r>
      <w:r w:rsidR="000F51DA" w:rsidRPr="005C0994">
        <w:rPr>
          <w:rFonts w:asciiTheme="majorHAnsi" w:hAnsiTheme="majorHAnsi"/>
          <w:sz w:val="20"/>
          <w:szCs w:val="20"/>
        </w:rPr>
        <w:lastRenderedPageBreak/>
        <w:t>conclusion that “detectives merely informed appellant of the possible consequences of his action”.</w:t>
      </w:r>
      <w:r w:rsidR="000F51DA" w:rsidRPr="005C0994">
        <w:rPr>
          <w:rStyle w:val="FootnoteReference"/>
          <w:rFonts w:asciiTheme="majorHAnsi" w:hAnsiTheme="majorHAnsi"/>
          <w:sz w:val="20"/>
          <w:szCs w:val="20"/>
        </w:rPr>
        <w:footnoteReference w:id="16"/>
      </w:r>
      <w:r w:rsidR="0038262B" w:rsidRPr="005C0994">
        <w:rPr>
          <w:rFonts w:asciiTheme="majorHAnsi" w:hAnsiTheme="majorHAnsi"/>
          <w:sz w:val="20"/>
          <w:szCs w:val="20"/>
        </w:rPr>
        <w:t xml:space="preserve"> Mr. </w:t>
      </w:r>
      <w:proofErr w:type="spellStart"/>
      <w:r w:rsidR="0038262B" w:rsidRPr="005C0994">
        <w:rPr>
          <w:rFonts w:asciiTheme="majorHAnsi" w:hAnsiTheme="majorHAnsi"/>
          <w:sz w:val="20"/>
          <w:szCs w:val="20"/>
        </w:rPr>
        <w:t>Loza</w:t>
      </w:r>
      <w:proofErr w:type="spellEnd"/>
      <w:r w:rsidR="0038262B" w:rsidRPr="005C0994">
        <w:rPr>
          <w:rFonts w:asciiTheme="majorHAnsi" w:hAnsiTheme="majorHAnsi"/>
          <w:sz w:val="20"/>
          <w:szCs w:val="20"/>
        </w:rPr>
        <w:t xml:space="preserve"> argued that the detectives lied to him when they falsely told him that they had spoken with Jerri </w:t>
      </w:r>
      <w:r w:rsidRPr="005C0994">
        <w:rPr>
          <w:rFonts w:asciiTheme="majorHAnsi" w:hAnsiTheme="majorHAnsi"/>
          <w:sz w:val="20"/>
          <w:szCs w:val="20"/>
        </w:rPr>
        <w:t>Jackson</w:t>
      </w:r>
      <w:r w:rsidR="0038262B" w:rsidRPr="005C0994">
        <w:rPr>
          <w:rFonts w:asciiTheme="majorHAnsi" w:hAnsiTheme="majorHAnsi"/>
          <w:sz w:val="20"/>
          <w:szCs w:val="20"/>
        </w:rPr>
        <w:t>, who was alive but unresponsive when police arrived</w:t>
      </w:r>
      <w:r w:rsidR="00692F79" w:rsidRPr="005C0994">
        <w:rPr>
          <w:rFonts w:asciiTheme="majorHAnsi" w:hAnsiTheme="majorHAnsi"/>
          <w:sz w:val="20"/>
          <w:szCs w:val="20"/>
        </w:rPr>
        <w:t>, however the court reasoned that this did not compel a conclusion of an involuntary confession and that Miranda case law does not prohibit “mere strategic deception”.</w:t>
      </w:r>
      <w:r w:rsidR="00692F79" w:rsidRPr="005C0994">
        <w:rPr>
          <w:rStyle w:val="FootnoteReference"/>
          <w:rFonts w:asciiTheme="majorHAnsi" w:hAnsiTheme="majorHAnsi"/>
          <w:sz w:val="20"/>
          <w:szCs w:val="20"/>
        </w:rPr>
        <w:footnoteReference w:id="17"/>
      </w:r>
    </w:p>
    <w:p w14:paraId="4A9B0A32" w14:textId="77777777" w:rsidR="0065723A" w:rsidRPr="005C0994" w:rsidRDefault="0065723A" w:rsidP="006572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38E2F369" w14:textId="77777777" w:rsidR="0065723A" w:rsidRPr="005C0994" w:rsidRDefault="00AE653F" w:rsidP="006572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argued that the upholding of the exclusion of the testimony of Dr. Roger Fisher at the guilt phase of trial was contrary to and an unreasonable application of established law.</w:t>
      </w:r>
      <w:r w:rsidR="00D46FBE" w:rsidRPr="005C0994">
        <w:rPr>
          <w:rFonts w:asciiTheme="majorHAnsi" w:hAnsiTheme="majorHAnsi"/>
          <w:sz w:val="20"/>
          <w:szCs w:val="20"/>
        </w:rPr>
        <w:t xml:space="preserve"> The Court of Appeal did deem that the state’s supreme court’s reasoning was flawed in</w:t>
      </w:r>
      <w:r w:rsidR="00271104" w:rsidRPr="005C0994">
        <w:rPr>
          <w:rFonts w:asciiTheme="majorHAnsi" w:hAnsiTheme="majorHAnsi"/>
          <w:sz w:val="20"/>
          <w:szCs w:val="20"/>
        </w:rPr>
        <w:t xml:space="preserve"> that it was not the case that evidence of a defendant’s mental state is not relevant to the credibility of a defendant’s confession. Further, the court reasoned that the fact that the trial court had ruled on the voluntariness of </w:t>
      </w:r>
      <w:proofErr w:type="spellStart"/>
      <w:r w:rsidR="00271104" w:rsidRPr="005C0994">
        <w:rPr>
          <w:rFonts w:asciiTheme="majorHAnsi" w:hAnsiTheme="majorHAnsi"/>
          <w:sz w:val="20"/>
          <w:szCs w:val="20"/>
        </w:rPr>
        <w:t>Loza’s</w:t>
      </w:r>
      <w:proofErr w:type="spellEnd"/>
      <w:r w:rsidR="00271104" w:rsidRPr="005C0994">
        <w:rPr>
          <w:rFonts w:asciiTheme="majorHAnsi" w:hAnsiTheme="majorHAnsi"/>
          <w:sz w:val="20"/>
          <w:szCs w:val="20"/>
        </w:rPr>
        <w:t xml:space="preserve"> confession did not provide a basis for excluding Fisher’s testimony, to the extent that it was relevant to credibility. However the court determined that the Ohio Supreme Court clearly and in detail noted the evidence in record other than Dr. Fisher’s testimony pertaining to credibility and had reasonably concluded </w:t>
      </w:r>
      <w:r w:rsidR="00342FA8" w:rsidRPr="005C0994">
        <w:rPr>
          <w:rFonts w:asciiTheme="majorHAnsi" w:hAnsiTheme="majorHAnsi"/>
          <w:sz w:val="20"/>
          <w:szCs w:val="20"/>
        </w:rPr>
        <w:t>that the law did not require this evidence to be admitted, and the decision is properly characterized as a determination that, given the ample evidence going to credibility, the rule did not require the test</w:t>
      </w:r>
      <w:r w:rsidR="0065723A" w:rsidRPr="005C0994">
        <w:rPr>
          <w:rFonts w:asciiTheme="majorHAnsi" w:hAnsiTheme="majorHAnsi"/>
          <w:sz w:val="20"/>
          <w:szCs w:val="20"/>
        </w:rPr>
        <w:t xml:space="preserve">imony, embodying the law that </w:t>
      </w:r>
      <w:r w:rsidR="00342FA8" w:rsidRPr="005C0994">
        <w:rPr>
          <w:rFonts w:asciiTheme="majorHAnsi" w:hAnsiTheme="majorHAnsi"/>
          <w:sz w:val="20"/>
          <w:szCs w:val="20"/>
        </w:rPr>
        <w:t>the “introduction of relevant evidence can be limited by the state for a valid reason”.</w:t>
      </w:r>
      <w:r w:rsidR="00342FA8" w:rsidRPr="005C0994">
        <w:rPr>
          <w:rStyle w:val="FootnoteReference"/>
          <w:rFonts w:asciiTheme="majorHAnsi" w:hAnsiTheme="majorHAnsi"/>
          <w:sz w:val="20"/>
          <w:szCs w:val="20"/>
        </w:rPr>
        <w:footnoteReference w:id="18"/>
      </w:r>
      <w:r w:rsidR="0065723A" w:rsidRPr="005C0994">
        <w:rPr>
          <w:rFonts w:asciiTheme="majorHAnsi" w:hAnsiTheme="majorHAnsi"/>
          <w:sz w:val="20"/>
          <w:szCs w:val="20"/>
        </w:rPr>
        <w:t xml:space="preserve"> It was c</w:t>
      </w:r>
      <w:r w:rsidR="00342FA8" w:rsidRPr="005C0994">
        <w:rPr>
          <w:rFonts w:asciiTheme="majorHAnsi" w:hAnsiTheme="majorHAnsi"/>
          <w:sz w:val="20"/>
          <w:szCs w:val="20"/>
        </w:rPr>
        <w:t xml:space="preserve">oncluded that the Supreme court did not exclude the testimony arbitrarily. </w:t>
      </w:r>
    </w:p>
    <w:p w14:paraId="75A0D56A" w14:textId="77777777" w:rsidR="0065723A" w:rsidRPr="005C0994" w:rsidRDefault="0065723A" w:rsidP="006572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36282E48" w14:textId="77777777" w:rsidR="002F4FE5" w:rsidRPr="005C0994" w:rsidRDefault="0065723A" w:rsidP="002571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It was a</w:t>
      </w:r>
      <w:r w:rsidR="0041384F" w:rsidRPr="005C0994">
        <w:rPr>
          <w:rFonts w:asciiTheme="majorHAnsi" w:hAnsiTheme="majorHAnsi"/>
          <w:sz w:val="20"/>
          <w:szCs w:val="20"/>
        </w:rPr>
        <w:t xml:space="preserve">rgued that the Ohio Court of Appeals decision that trial counsel was not ineffective for failing to adequately investigate and present evidence on Mr. </w:t>
      </w:r>
      <w:proofErr w:type="spellStart"/>
      <w:r w:rsidR="0041384F" w:rsidRPr="005C0994">
        <w:rPr>
          <w:rFonts w:asciiTheme="majorHAnsi" w:hAnsiTheme="majorHAnsi"/>
          <w:sz w:val="20"/>
          <w:szCs w:val="20"/>
        </w:rPr>
        <w:t>Loza’s</w:t>
      </w:r>
      <w:proofErr w:type="spellEnd"/>
      <w:r w:rsidR="0041384F" w:rsidRPr="005C0994">
        <w:rPr>
          <w:rFonts w:asciiTheme="majorHAnsi" w:hAnsiTheme="majorHAnsi"/>
          <w:sz w:val="20"/>
          <w:szCs w:val="20"/>
        </w:rPr>
        <w:t xml:space="preserve"> cultural background and family history was based on an unreasonable determination of the facts and was an unreasonable application of the law assessing ineffective assistance claims. </w:t>
      </w:r>
      <w:r w:rsidR="008E62A4" w:rsidRPr="005C0994">
        <w:rPr>
          <w:rFonts w:asciiTheme="majorHAnsi" w:hAnsiTheme="majorHAnsi"/>
          <w:sz w:val="20"/>
          <w:szCs w:val="20"/>
        </w:rPr>
        <w:t>He argued that in the petition for post-conviction relief in state court that his trial counsel failed to consult a cultural expert who could have testified regarding the cultural factors infl</w:t>
      </w:r>
      <w:r w:rsidR="00824ACC" w:rsidRPr="005C0994">
        <w:rPr>
          <w:rFonts w:asciiTheme="majorHAnsi" w:hAnsiTheme="majorHAnsi"/>
          <w:sz w:val="20"/>
          <w:szCs w:val="20"/>
        </w:rPr>
        <w:t xml:space="preserve">uencing Mr. </w:t>
      </w:r>
      <w:proofErr w:type="spellStart"/>
      <w:r w:rsidR="00824ACC" w:rsidRPr="005C0994">
        <w:rPr>
          <w:rFonts w:asciiTheme="majorHAnsi" w:hAnsiTheme="majorHAnsi"/>
          <w:sz w:val="20"/>
          <w:szCs w:val="20"/>
        </w:rPr>
        <w:t>Loza’s</w:t>
      </w:r>
      <w:proofErr w:type="spellEnd"/>
      <w:r w:rsidR="00824ACC" w:rsidRPr="005C0994">
        <w:rPr>
          <w:rFonts w:asciiTheme="majorHAnsi" w:hAnsiTheme="majorHAnsi"/>
          <w:sz w:val="20"/>
          <w:szCs w:val="20"/>
        </w:rPr>
        <w:t xml:space="preserve"> confession. He a</w:t>
      </w:r>
      <w:r w:rsidR="008E62A4" w:rsidRPr="005C0994">
        <w:rPr>
          <w:rFonts w:asciiTheme="majorHAnsi" w:hAnsiTheme="majorHAnsi"/>
          <w:sz w:val="20"/>
          <w:szCs w:val="20"/>
        </w:rPr>
        <w:t xml:space="preserve">lso argued that trial counsel failed to present additional mitigating evidence from his family. The court assessed that Mr. </w:t>
      </w:r>
      <w:proofErr w:type="spellStart"/>
      <w:r w:rsidR="008E62A4" w:rsidRPr="005C0994">
        <w:rPr>
          <w:rFonts w:asciiTheme="majorHAnsi" w:hAnsiTheme="majorHAnsi"/>
          <w:sz w:val="20"/>
          <w:szCs w:val="20"/>
        </w:rPr>
        <w:t>Loza’s</w:t>
      </w:r>
      <w:proofErr w:type="spellEnd"/>
      <w:r w:rsidR="008E62A4" w:rsidRPr="005C0994">
        <w:rPr>
          <w:rFonts w:asciiTheme="majorHAnsi" w:hAnsiTheme="majorHAnsi"/>
          <w:sz w:val="20"/>
          <w:szCs w:val="20"/>
        </w:rPr>
        <w:t xml:space="preserve"> trial counsel requested funds which were granted to travel to Los Angeles to investigate Mr. </w:t>
      </w:r>
      <w:proofErr w:type="spellStart"/>
      <w:r w:rsidR="008E62A4" w:rsidRPr="005C0994">
        <w:rPr>
          <w:rFonts w:asciiTheme="majorHAnsi" w:hAnsiTheme="majorHAnsi"/>
          <w:sz w:val="20"/>
          <w:szCs w:val="20"/>
        </w:rPr>
        <w:t>Loza’s</w:t>
      </w:r>
      <w:proofErr w:type="spellEnd"/>
      <w:r w:rsidR="008E62A4" w:rsidRPr="005C0994">
        <w:rPr>
          <w:rFonts w:asciiTheme="majorHAnsi" w:hAnsiTheme="majorHAnsi"/>
          <w:sz w:val="20"/>
          <w:szCs w:val="20"/>
        </w:rPr>
        <w:t xml:space="preserve"> background and family history. Further, </w:t>
      </w:r>
      <w:r w:rsidR="00824ACC" w:rsidRPr="005C0994">
        <w:rPr>
          <w:rFonts w:asciiTheme="majorHAnsi" w:hAnsiTheme="majorHAnsi"/>
          <w:sz w:val="20"/>
          <w:szCs w:val="20"/>
        </w:rPr>
        <w:t>the Court accounted</w:t>
      </w:r>
      <w:r w:rsidR="008E62A4" w:rsidRPr="005C0994">
        <w:rPr>
          <w:rFonts w:asciiTheme="majorHAnsi" w:hAnsiTheme="majorHAnsi"/>
          <w:sz w:val="20"/>
          <w:szCs w:val="20"/>
        </w:rPr>
        <w:t xml:space="preserve"> for trial counsel’s attempt to introduce the testimony of Dr. Fisher at the guilt phase</w:t>
      </w:r>
      <w:r w:rsidR="00824ACC" w:rsidRPr="005C0994">
        <w:rPr>
          <w:rFonts w:asciiTheme="majorHAnsi" w:hAnsiTheme="majorHAnsi"/>
          <w:sz w:val="20"/>
          <w:szCs w:val="20"/>
        </w:rPr>
        <w:t>,</w:t>
      </w:r>
      <w:r w:rsidR="008E62A4" w:rsidRPr="005C0994">
        <w:rPr>
          <w:rFonts w:asciiTheme="majorHAnsi" w:hAnsiTheme="majorHAnsi"/>
          <w:sz w:val="20"/>
          <w:szCs w:val="20"/>
        </w:rPr>
        <w:t xml:space="preserve"> </w:t>
      </w:r>
      <w:r w:rsidR="00824ACC" w:rsidRPr="005C0994">
        <w:rPr>
          <w:rFonts w:asciiTheme="majorHAnsi" w:hAnsiTheme="majorHAnsi"/>
          <w:sz w:val="20"/>
          <w:szCs w:val="20"/>
        </w:rPr>
        <w:t>but noted that</w:t>
      </w:r>
      <w:r w:rsidR="008E62A4" w:rsidRPr="005C0994">
        <w:rPr>
          <w:rFonts w:asciiTheme="majorHAnsi" w:hAnsiTheme="majorHAnsi"/>
          <w:sz w:val="20"/>
          <w:szCs w:val="20"/>
        </w:rPr>
        <w:t xml:space="preserve"> this was excluded by the </w:t>
      </w:r>
      <w:r w:rsidR="00824ACC" w:rsidRPr="005C0994">
        <w:rPr>
          <w:rFonts w:asciiTheme="majorHAnsi" w:hAnsiTheme="majorHAnsi"/>
          <w:sz w:val="20"/>
          <w:szCs w:val="20"/>
        </w:rPr>
        <w:t xml:space="preserve">trial </w:t>
      </w:r>
      <w:r w:rsidR="008E62A4" w:rsidRPr="005C0994">
        <w:rPr>
          <w:rFonts w:asciiTheme="majorHAnsi" w:hAnsiTheme="majorHAnsi"/>
          <w:sz w:val="20"/>
          <w:szCs w:val="20"/>
        </w:rPr>
        <w:t>court. Moreover</w:t>
      </w:r>
      <w:r w:rsidR="00824ACC" w:rsidRPr="005C0994">
        <w:rPr>
          <w:rFonts w:asciiTheme="majorHAnsi" w:hAnsiTheme="majorHAnsi"/>
          <w:sz w:val="20"/>
          <w:szCs w:val="20"/>
        </w:rPr>
        <w:t>, the court recognized</w:t>
      </w:r>
      <w:r w:rsidR="008E62A4" w:rsidRPr="005C0994">
        <w:rPr>
          <w:rFonts w:asciiTheme="majorHAnsi" w:hAnsiTheme="majorHAnsi"/>
          <w:sz w:val="20"/>
          <w:szCs w:val="20"/>
        </w:rPr>
        <w:t xml:space="preserve"> that counsel presented testimonies from several family members at the mitigation phase of trial. </w:t>
      </w:r>
      <w:r w:rsidR="00824ACC" w:rsidRPr="005C0994">
        <w:rPr>
          <w:rFonts w:asciiTheme="majorHAnsi" w:hAnsiTheme="majorHAnsi"/>
          <w:sz w:val="20"/>
          <w:szCs w:val="20"/>
        </w:rPr>
        <w:t xml:space="preserve">The United </w:t>
      </w:r>
      <w:r w:rsidR="008E62A4" w:rsidRPr="005C0994">
        <w:rPr>
          <w:rFonts w:asciiTheme="majorHAnsi" w:hAnsiTheme="majorHAnsi"/>
          <w:sz w:val="20"/>
          <w:szCs w:val="20"/>
        </w:rPr>
        <w:t>S</w:t>
      </w:r>
      <w:r w:rsidR="00824ACC" w:rsidRPr="005C0994">
        <w:rPr>
          <w:rFonts w:asciiTheme="majorHAnsi" w:hAnsiTheme="majorHAnsi"/>
          <w:sz w:val="20"/>
          <w:szCs w:val="20"/>
        </w:rPr>
        <w:t>tates</w:t>
      </w:r>
      <w:r w:rsidR="008E62A4" w:rsidRPr="005C0994">
        <w:rPr>
          <w:rFonts w:asciiTheme="majorHAnsi" w:hAnsiTheme="majorHAnsi"/>
          <w:sz w:val="20"/>
          <w:szCs w:val="20"/>
        </w:rPr>
        <w:t xml:space="preserve"> Court of Appeals did not find the courts’ factual determ</w:t>
      </w:r>
      <w:r w:rsidR="00824ACC" w:rsidRPr="005C0994">
        <w:rPr>
          <w:rFonts w:asciiTheme="majorHAnsi" w:hAnsiTheme="majorHAnsi"/>
          <w:sz w:val="20"/>
          <w:szCs w:val="20"/>
        </w:rPr>
        <w:t>inations unreasonable. Moreover, it reasoned</w:t>
      </w:r>
      <w:r w:rsidR="008E62A4" w:rsidRPr="005C0994">
        <w:rPr>
          <w:rFonts w:asciiTheme="majorHAnsi" w:hAnsiTheme="majorHAnsi"/>
          <w:sz w:val="20"/>
          <w:szCs w:val="20"/>
        </w:rPr>
        <w:t xml:space="preserve"> that the testimonies excluded</w:t>
      </w:r>
      <w:r w:rsidR="00824ACC" w:rsidRPr="005C0994">
        <w:rPr>
          <w:rFonts w:asciiTheme="majorHAnsi" w:hAnsiTheme="majorHAnsi"/>
          <w:sz w:val="20"/>
          <w:szCs w:val="20"/>
        </w:rPr>
        <w:t>,</w:t>
      </w:r>
      <w:r w:rsidR="008E62A4" w:rsidRPr="005C0994">
        <w:rPr>
          <w:rFonts w:asciiTheme="majorHAnsi" w:hAnsiTheme="majorHAnsi"/>
          <w:sz w:val="20"/>
          <w:szCs w:val="20"/>
        </w:rPr>
        <w:t xml:space="preserve"> resembled evidence the jury had before it</w:t>
      </w:r>
      <w:r w:rsidR="00824ACC" w:rsidRPr="005C0994">
        <w:rPr>
          <w:rFonts w:asciiTheme="majorHAnsi" w:hAnsiTheme="majorHAnsi"/>
          <w:sz w:val="20"/>
          <w:szCs w:val="20"/>
        </w:rPr>
        <w:t>,</w:t>
      </w:r>
      <w:r w:rsidR="008E62A4" w:rsidRPr="005C0994">
        <w:rPr>
          <w:rFonts w:asciiTheme="majorHAnsi" w:hAnsiTheme="majorHAnsi"/>
          <w:sz w:val="20"/>
          <w:szCs w:val="20"/>
        </w:rPr>
        <w:t xml:space="preserve"> to weigh aggravating and mitigating factors and would not have changed the calculations when weighing the circumstances of murder. </w:t>
      </w:r>
    </w:p>
    <w:p w14:paraId="3E8453DA" w14:textId="77777777" w:rsidR="002F4FE5" w:rsidRPr="005C0994" w:rsidRDefault="002F4FE5" w:rsidP="002F4FE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7591A7E9" w14:textId="77777777" w:rsidR="00B64CF2" w:rsidRPr="005C0994" w:rsidRDefault="0025711C"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argued that the Ohio Supreme Court unreasonably applied clearly established federal law when it held that the trial court’s charge to the jury did not coerce the jury’s verdict. When</w:t>
      </w:r>
      <w:r w:rsidR="003F19D4" w:rsidRPr="005C0994">
        <w:rPr>
          <w:rFonts w:asciiTheme="majorHAnsi" w:hAnsiTheme="majorHAnsi"/>
          <w:sz w:val="20"/>
          <w:szCs w:val="20"/>
        </w:rPr>
        <w:t xml:space="preserve"> the</w:t>
      </w:r>
      <w:r w:rsidRPr="005C0994">
        <w:rPr>
          <w:rFonts w:asciiTheme="majorHAnsi" w:hAnsiTheme="majorHAnsi"/>
          <w:sz w:val="20"/>
          <w:szCs w:val="20"/>
        </w:rPr>
        <w:t xml:space="preserve"> jury sought clarification on how to decide a verdict when a unanimo</w:t>
      </w:r>
      <w:r w:rsidR="00F227E6" w:rsidRPr="005C0994">
        <w:rPr>
          <w:rFonts w:asciiTheme="majorHAnsi" w:hAnsiTheme="majorHAnsi"/>
          <w:sz w:val="20"/>
          <w:szCs w:val="20"/>
        </w:rPr>
        <w:t>us decision cannot be reached, t</w:t>
      </w:r>
      <w:r w:rsidRPr="005C0994">
        <w:rPr>
          <w:rFonts w:asciiTheme="majorHAnsi" w:hAnsiTheme="majorHAnsi"/>
          <w:sz w:val="20"/>
          <w:szCs w:val="20"/>
        </w:rPr>
        <w:t xml:space="preserve">he court advised the jury to exhaust all reasonable efforts to reach a unanimous verdict, </w:t>
      </w:r>
      <w:r w:rsidR="00F227E6" w:rsidRPr="005C0994">
        <w:rPr>
          <w:rFonts w:asciiTheme="majorHAnsi" w:hAnsiTheme="majorHAnsi"/>
          <w:sz w:val="20"/>
          <w:szCs w:val="20"/>
        </w:rPr>
        <w:t xml:space="preserve">provided </w:t>
      </w:r>
      <w:r w:rsidRPr="005C0994">
        <w:rPr>
          <w:rFonts w:asciiTheme="majorHAnsi" w:hAnsiTheme="majorHAnsi"/>
          <w:sz w:val="20"/>
          <w:szCs w:val="20"/>
        </w:rPr>
        <w:t xml:space="preserve">the </w:t>
      </w:r>
      <w:r w:rsidR="00F227E6" w:rsidRPr="005C0994">
        <w:rPr>
          <w:rFonts w:asciiTheme="majorHAnsi" w:hAnsiTheme="majorHAnsi"/>
          <w:sz w:val="20"/>
          <w:szCs w:val="20"/>
        </w:rPr>
        <w:t>‘</w:t>
      </w:r>
      <w:r w:rsidRPr="005C0994">
        <w:rPr>
          <w:rFonts w:asciiTheme="majorHAnsi" w:hAnsiTheme="majorHAnsi"/>
          <w:sz w:val="20"/>
          <w:szCs w:val="20"/>
        </w:rPr>
        <w:t>Howard charge</w:t>
      </w:r>
      <w:r w:rsidR="00F227E6" w:rsidRPr="005C0994">
        <w:rPr>
          <w:rFonts w:asciiTheme="majorHAnsi" w:hAnsiTheme="majorHAnsi"/>
          <w:sz w:val="20"/>
          <w:szCs w:val="20"/>
        </w:rPr>
        <w:t>’</w:t>
      </w:r>
      <w:r w:rsidRPr="005C0994">
        <w:rPr>
          <w:rFonts w:asciiTheme="majorHAnsi" w:hAnsiTheme="majorHAnsi"/>
          <w:sz w:val="20"/>
          <w:szCs w:val="20"/>
        </w:rPr>
        <w:t>, and told the foreman to note on the verdict any failure to reach a unanimous verdict. After further deliberation the jury reached a unanimous verdict. The US Court of Appeal concluded that the trial court gave a supplemental instruction that</w:t>
      </w:r>
      <w:r w:rsidR="00F227E6" w:rsidRPr="005C0994">
        <w:rPr>
          <w:rFonts w:asciiTheme="majorHAnsi" w:hAnsiTheme="majorHAnsi"/>
          <w:sz w:val="20"/>
          <w:szCs w:val="20"/>
        </w:rPr>
        <w:t xml:space="preserve"> was previously approved by the</w:t>
      </w:r>
      <w:r w:rsidRPr="005C0994">
        <w:rPr>
          <w:rFonts w:asciiTheme="majorHAnsi" w:hAnsiTheme="majorHAnsi"/>
          <w:sz w:val="20"/>
          <w:szCs w:val="20"/>
        </w:rPr>
        <w:t xml:space="preserve"> court.</w:t>
      </w:r>
      <w:r w:rsidR="00F227E6" w:rsidRPr="005C0994">
        <w:rPr>
          <w:rStyle w:val="FootnoteReference"/>
          <w:rFonts w:asciiTheme="majorHAnsi" w:hAnsiTheme="majorHAnsi"/>
          <w:sz w:val="20"/>
          <w:szCs w:val="20"/>
        </w:rPr>
        <w:footnoteReference w:id="19"/>
      </w:r>
      <w:r w:rsidRPr="005C0994">
        <w:rPr>
          <w:rFonts w:asciiTheme="majorHAnsi" w:hAnsiTheme="majorHAnsi"/>
          <w:sz w:val="20"/>
          <w:szCs w:val="20"/>
        </w:rPr>
        <w:t xml:space="preserve"> The </w:t>
      </w:r>
      <w:r w:rsidR="00F227E6" w:rsidRPr="005C0994">
        <w:rPr>
          <w:rFonts w:asciiTheme="majorHAnsi" w:hAnsiTheme="majorHAnsi"/>
          <w:sz w:val="20"/>
          <w:szCs w:val="20"/>
        </w:rPr>
        <w:t>court</w:t>
      </w:r>
      <w:r w:rsidRPr="005C0994">
        <w:rPr>
          <w:rFonts w:asciiTheme="majorHAnsi" w:hAnsiTheme="majorHAnsi"/>
          <w:sz w:val="20"/>
          <w:szCs w:val="20"/>
        </w:rPr>
        <w:t xml:space="preserve"> explained that when a jury is deadlocked, a trial court may give a supplemental instruction encouraging the jury t</w:t>
      </w:r>
      <w:r w:rsidR="00F227E6" w:rsidRPr="005C0994">
        <w:rPr>
          <w:rFonts w:asciiTheme="majorHAnsi" w:hAnsiTheme="majorHAnsi"/>
          <w:sz w:val="20"/>
          <w:szCs w:val="20"/>
        </w:rPr>
        <w:t xml:space="preserve">o reach a verdict if possible. </w:t>
      </w:r>
      <w:r w:rsidRPr="005C0994">
        <w:rPr>
          <w:rFonts w:asciiTheme="majorHAnsi" w:hAnsiTheme="majorHAnsi"/>
          <w:sz w:val="20"/>
          <w:szCs w:val="20"/>
        </w:rPr>
        <w:t>Quoti</w:t>
      </w:r>
      <w:r w:rsidR="00F227E6" w:rsidRPr="005C0994">
        <w:rPr>
          <w:rFonts w:asciiTheme="majorHAnsi" w:hAnsiTheme="majorHAnsi"/>
          <w:sz w:val="20"/>
          <w:szCs w:val="20"/>
        </w:rPr>
        <w:t>ng from the reasoning in Brown v</w:t>
      </w:r>
      <w:r w:rsidRPr="005C0994">
        <w:rPr>
          <w:rFonts w:asciiTheme="majorHAnsi" w:hAnsiTheme="majorHAnsi"/>
          <w:sz w:val="20"/>
          <w:szCs w:val="20"/>
        </w:rPr>
        <w:t xml:space="preserve"> Bradshaw,</w:t>
      </w:r>
      <w:r w:rsidR="00D975F8" w:rsidRPr="005C0994">
        <w:rPr>
          <w:rStyle w:val="FootnoteReference"/>
          <w:rFonts w:asciiTheme="majorHAnsi" w:hAnsiTheme="majorHAnsi"/>
          <w:sz w:val="20"/>
          <w:szCs w:val="20"/>
        </w:rPr>
        <w:footnoteReference w:id="20"/>
      </w:r>
      <w:r w:rsidRPr="005C0994">
        <w:rPr>
          <w:rFonts w:asciiTheme="majorHAnsi" w:hAnsiTheme="majorHAnsi"/>
          <w:sz w:val="20"/>
          <w:szCs w:val="20"/>
        </w:rPr>
        <w:t xml:space="preserve"> “the [Howard charge] merely encourage[s] the jurors to consider each other’s views and to ask themselves whether their own views [are] reasonable under the circumstances</w:t>
      </w:r>
      <w:r w:rsidR="00540DC8" w:rsidRPr="005C0994">
        <w:rPr>
          <w:rFonts w:asciiTheme="majorHAnsi" w:hAnsiTheme="majorHAnsi"/>
          <w:sz w:val="20"/>
          <w:szCs w:val="20"/>
        </w:rPr>
        <w:t>,</w:t>
      </w:r>
      <w:r w:rsidRPr="005C0994">
        <w:rPr>
          <w:rFonts w:asciiTheme="majorHAnsi" w:hAnsiTheme="majorHAnsi"/>
          <w:sz w:val="20"/>
          <w:szCs w:val="20"/>
        </w:rPr>
        <w:t xml:space="preserve">” </w:t>
      </w:r>
      <w:r w:rsidR="00F227E6" w:rsidRPr="005C0994">
        <w:rPr>
          <w:rFonts w:asciiTheme="majorHAnsi" w:hAnsiTheme="majorHAnsi"/>
          <w:sz w:val="20"/>
          <w:szCs w:val="20"/>
        </w:rPr>
        <w:t>the court viewed that</w:t>
      </w:r>
      <w:r w:rsidRPr="005C0994">
        <w:rPr>
          <w:rFonts w:asciiTheme="majorHAnsi" w:hAnsiTheme="majorHAnsi"/>
          <w:sz w:val="20"/>
          <w:szCs w:val="20"/>
        </w:rPr>
        <w:t xml:space="preserve"> the Ohio Supreme Court did </w:t>
      </w:r>
      <w:r w:rsidR="004B2429" w:rsidRPr="005C0994">
        <w:rPr>
          <w:rFonts w:asciiTheme="majorHAnsi" w:hAnsiTheme="majorHAnsi"/>
          <w:sz w:val="20"/>
          <w:szCs w:val="20"/>
        </w:rPr>
        <w:t xml:space="preserve">not unreasonably apply the law </w:t>
      </w:r>
      <w:r w:rsidRPr="005C0994">
        <w:rPr>
          <w:rFonts w:asciiTheme="majorHAnsi" w:hAnsiTheme="majorHAnsi"/>
          <w:sz w:val="20"/>
          <w:szCs w:val="20"/>
        </w:rPr>
        <w:t xml:space="preserve">in determining the </w:t>
      </w:r>
      <w:r w:rsidR="00F227E6" w:rsidRPr="005C0994">
        <w:rPr>
          <w:rFonts w:asciiTheme="majorHAnsi" w:hAnsiTheme="majorHAnsi"/>
          <w:sz w:val="20"/>
          <w:szCs w:val="20"/>
        </w:rPr>
        <w:t>Howard</w:t>
      </w:r>
      <w:r w:rsidRPr="005C0994">
        <w:rPr>
          <w:rFonts w:asciiTheme="majorHAnsi" w:hAnsiTheme="majorHAnsi"/>
          <w:sz w:val="20"/>
          <w:szCs w:val="20"/>
        </w:rPr>
        <w:t xml:space="preserve"> charge was appropriate as guidance to the jury on how to resolve a deadlock. </w:t>
      </w:r>
    </w:p>
    <w:p w14:paraId="6FE38E0D" w14:textId="77777777" w:rsidR="00B64CF2" w:rsidRPr="005C0994" w:rsidRDefault="00B64CF2" w:rsidP="00B64CF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07CD8508" w14:textId="77777777" w:rsidR="005C3DAB" w:rsidRPr="005C0994" w:rsidRDefault="00D539A6"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Mr. </w:t>
      </w:r>
      <w:proofErr w:type="spellStart"/>
      <w:r w:rsidRPr="005C0994">
        <w:rPr>
          <w:rFonts w:asciiTheme="majorHAnsi" w:hAnsiTheme="majorHAnsi"/>
          <w:sz w:val="20"/>
          <w:szCs w:val="20"/>
        </w:rPr>
        <w:t>Loza</w:t>
      </w:r>
      <w:proofErr w:type="spellEnd"/>
      <w:r w:rsidRPr="005C0994">
        <w:rPr>
          <w:rFonts w:asciiTheme="majorHAnsi" w:hAnsiTheme="majorHAnsi"/>
          <w:sz w:val="20"/>
          <w:szCs w:val="20"/>
        </w:rPr>
        <w:t xml:space="preserve"> argued</w:t>
      </w:r>
      <w:r w:rsidR="005313DA" w:rsidRPr="005C0994">
        <w:rPr>
          <w:rFonts w:asciiTheme="majorHAnsi" w:hAnsiTheme="majorHAnsi"/>
          <w:sz w:val="20"/>
          <w:szCs w:val="20"/>
        </w:rPr>
        <w:t xml:space="preserve"> that the Ohio court of appeal unreasonably applied clearly established federal law when it rejected his claim that he was selectively prosecuted for capital offenses based on </w:t>
      </w:r>
      <w:r w:rsidRPr="005C0994">
        <w:rPr>
          <w:rFonts w:asciiTheme="majorHAnsi" w:hAnsiTheme="majorHAnsi"/>
          <w:sz w:val="20"/>
          <w:szCs w:val="20"/>
        </w:rPr>
        <w:t>invidious</w:t>
      </w:r>
      <w:r w:rsidR="005313DA" w:rsidRPr="005C0994">
        <w:rPr>
          <w:rFonts w:asciiTheme="majorHAnsi" w:hAnsiTheme="majorHAnsi"/>
          <w:sz w:val="20"/>
          <w:szCs w:val="20"/>
        </w:rPr>
        <w:t xml:space="preserve"> racial discrimination. The District Court in his habeas corpus</w:t>
      </w:r>
      <w:r w:rsidRPr="005C0994">
        <w:rPr>
          <w:rFonts w:asciiTheme="majorHAnsi" w:hAnsiTheme="majorHAnsi"/>
          <w:sz w:val="20"/>
          <w:szCs w:val="20"/>
        </w:rPr>
        <w:t xml:space="preserve"> petition</w:t>
      </w:r>
      <w:r w:rsidR="005313DA" w:rsidRPr="005C0994">
        <w:rPr>
          <w:rFonts w:asciiTheme="majorHAnsi" w:hAnsiTheme="majorHAnsi"/>
          <w:sz w:val="20"/>
          <w:szCs w:val="20"/>
        </w:rPr>
        <w:t xml:space="preserve">, </w:t>
      </w:r>
      <w:r w:rsidRPr="005C0994">
        <w:rPr>
          <w:rFonts w:asciiTheme="majorHAnsi" w:hAnsiTheme="majorHAnsi"/>
          <w:sz w:val="20"/>
          <w:szCs w:val="20"/>
        </w:rPr>
        <w:t>granted a</w:t>
      </w:r>
      <w:r w:rsidR="005313DA" w:rsidRPr="005C0994">
        <w:rPr>
          <w:rFonts w:asciiTheme="majorHAnsi" w:hAnsiTheme="majorHAnsi"/>
          <w:sz w:val="20"/>
          <w:szCs w:val="20"/>
        </w:rPr>
        <w:t xml:space="preserve"> motion for leave to conduct discovery </w:t>
      </w:r>
      <w:r w:rsidR="005313DA" w:rsidRPr="005C0994">
        <w:rPr>
          <w:rFonts w:asciiTheme="majorHAnsi" w:hAnsiTheme="majorHAnsi"/>
          <w:sz w:val="20"/>
          <w:szCs w:val="20"/>
        </w:rPr>
        <w:lastRenderedPageBreak/>
        <w:t xml:space="preserve">on the claim; the evidence produced was considered and the selective prosecution claim was denied. </w:t>
      </w:r>
      <w:r w:rsidRPr="005C0994">
        <w:rPr>
          <w:rFonts w:asciiTheme="majorHAnsi" w:hAnsiTheme="majorHAnsi"/>
          <w:sz w:val="20"/>
          <w:szCs w:val="20"/>
        </w:rPr>
        <w:t>The United States Court of Appeal considered that a</w:t>
      </w:r>
      <w:r w:rsidR="005313DA" w:rsidRPr="005C0994">
        <w:rPr>
          <w:rFonts w:asciiTheme="majorHAnsi" w:hAnsiTheme="majorHAnsi"/>
          <w:sz w:val="20"/>
          <w:szCs w:val="20"/>
        </w:rPr>
        <w:t xml:space="preserve"> criminal defendant bears the burden of proving that his prosecution viola</w:t>
      </w:r>
      <w:r w:rsidRPr="005C0994">
        <w:rPr>
          <w:rFonts w:asciiTheme="majorHAnsi" w:hAnsiTheme="majorHAnsi"/>
          <w:sz w:val="20"/>
          <w:szCs w:val="20"/>
        </w:rPr>
        <w:t>ted equal protection standards, and</w:t>
      </w:r>
      <w:r w:rsidR="005313DA" w:rsidRPr="005C0994">
        <w:rPr>
          <w:rFonts w:asciiTheme="majorHAnsi" w:hAnsiTheme="majorHAnsi"/>
          <w:sz w:val="20"/>
          <w:szCs w:val="20"/>
        </w:rPr>
        <w:t xml:space="preserve"> must demonstrate that the prosecutorial policy “’had a discriminatory effect and that it was motivated</w:t>
      </w:r>
      <w:r w:rsidRPr="005C0994">
        <w:rPr>
          <w:rFonts w:asciiTheme="majorHAnsi" w:hAnsiTheme="majorHAnsi"/>
          <w:sz w:val="20"/>
          <w:szCs w:val="20"/>
        </w:rPr>
        <w:t xml:space="preserve"> by a discriminatory purpose.’”</w:t>
      </w:r>
      <w:r w:rsidRPr="005C0994">
        <w:rPr>
          <w:rStyle w:val="FootnoteReference"/>
          <w:rFonts w:asciiTheme="majorHAnsi" w:hAnsiTheme="majorHAnsi"/>
          <w:sz w:val="20"/>
          <w:szCs w:val="20"/>
        </w:rPr>
        <w:footnoteReference w:id="21"/>
      </w:r>
      <w:r w:rsidR="005313DA" w:rsidRPr="005C0994">
        <w:rPr>
          <w:rFonts w:asciiTheme="majorHAnsi" w:hAnsiTheme="majorHAnsi"/>
          <w:sz w:val="20"/>
          <w:szCs w:val="20"/>
        </w:rPr>
        <w:t xml:space="preserve"> </w:t>
      </w:r>
      <w:r w:rsidR="008D0D4E" w:rsidRPr="005C0994">
        <w:rPr>
          <w:rFonts w:asciiTheme="majorHAnsi" w:hAnsiTheme="majorHAnsi"/>
          <w:sz w:val="20"/>
          <w:szCs w:val="20"/>
        </w:rPr>
        <w:t>The Court further accounted that where a</w:t>
      </w:r>
      <w:r w:rsidR="005313DA" w:rsidRPr="005C0994">
        <w:rPr>
          <w:rFonts w:asciiTheme="majorHAnsi" w:hAnsiTheme="majorHAnsi"/>
          <w:sz w:val="20"/>
          <w:szCs w:val="20"/>
        </w:rPr>
        <w:t xml:space="preserve"> defendant alleges unlawful discrimination based on race, he “must show that similarly situated individuals of a different race were not prosecuted” in order to es</w:t>
      </w:r>
      <w:r w:rsidR="006A15B5" w:rsidRPr="005C0994">
        <w:rPr>
          <w:rFonts w:asciiTheme="majorHAnsi" w:hAnsiTheme="majorHAnsi"/>
          <w:sz w:val="20"/>
          <w:szCs w:val="20"/>
        </w:rPr>
        <w:t>tablish discriminatory effect.</w:t>
      </w:r>
      <w:r w:rsidR="006A15B5" w:rsidRPr="005C0994">
        <w:rPr>
          <w:rStyle w:val="FootnoteReference"/>
          <w:rFonts w:asciiTheme="majorHAnsi" w:hAnsiTheme="majorHAnsi"/>
          <w:sz w:val="20"/>
          <w:szCs w:val="20"/>
        </w:rPr>
        <w:footnoteReference w:id="22"/>
      </w:r>
      <w:r w:rsidR="00B86D99" w:rsidRPr="005C0994">
        <w:rPr>
          <w:rFonts w:asciiTheme="majorHAnsi" w:hAnsiTheme="majorHAnsi"/>
          <w:sz w:val="20"/>
          <w:szCs w:val="20"/>
        </w:rPr>
        <w:t xml:space="preserve"> Regarding the claim that Mr. </w:t>
      </w:r>
      <w:proofErr w:type="spellStart"/>
      <w:r w:rsidR="00B86D99" w:rsidRPr="005C0994">
        <w:rPr>
          <w:rFonts w:asciiTheme="majorHAnsi" w:hAnsiTheme="majorHAnsi"/>
          <w:sz w:val="20"/>
          <w:szCs w:val="20"/>
        </w:rPr>
        <w:t>Loza</w:t>
      </w:r>
      <w:proofErr w:type="spellEnd"/>
      <w:r w:rsidR="00B86D99" w:rsidRPr="005C0994">
        <w:rPr>
          <w:rFonts w:asciiTheme="majorHAnsi" w:hAnsiTheme="majorHAnsi"/>
          <w:sz w:val="20"/>
          <w:szCs w:val="20"/>
        </w:rPr>
        <w:t xml:space="preserve"> and Ms. Jackson were similarly situated to be prosecuted for murder, t</w:t>
      </w:r>
      <w:r w:rsidR="00850933" w:rsidRPr="005C0994">
        <w:rPr>
          <w:rFonts w:asciiTheme="majorHAnsi" w:hAnsiTheme="majorHAnsi"/>
          <w:sz w:val="20"/>
          <w:szCs w:val="20"/>
        </w:rPr>
        <w:t xml:space="preserve">he Court highlighted the “significant and substantial evidence” implicating Mr. </w:t>
      </w:r>
      <w:proofErr w:type="spellStart"/>
      <w:r w:rsidR="00850933" w:rsidRPr="005C0994">
        <w:rPr>
          <w:rFonts w:asciiTheme="majorHAnsi" w:hAnsiTheme="majorHAnsi"/>
          <w:sz w:val="20"/>
          <w:szCs w:val="20"/>
        </w:rPr>
        <w:t>Loza</w:t>
      </w:r>
      <w:proofErr w:type="spellEnd"/>
      <w:r w:rsidR="00850933" w:rsidRPr="005C0994">
        <w:rPr>
          <w:rFonts w:asciiTheme="majorHAnsi" w:hAnsiTheme="majorHAnsi"/>
          <w:sz w:val="20"/>
          <w:szCs w:val="20"/>
        </w:rPr>
        <w:t xml:space="preserve"> in the killings, including his confession and Dorothy Jackson’s statement to investigators that Mr. </w:t>
      </w:r>
      <w:proofErr w:type="spellStart"/>
      <w:r w:rsidR="00850933" w:rsidRPr="005C0994">
        <w:rPr>
          <w:rFonts w:asciiTheme="majorHAnsi" w:hAnsiTheme="majorHAnsi"/>
          <w:sz w:val="20"/>
          <w:szCs w:val="20"/>
        </w:rPr>
        <w:t>Loza</w:t>
      </w:r>
      <w:proofErr w:type="spellEnd"/>
      <w:r w:rsidR="00850933" w:rsidRPr="005C0994">
        <w:rPr>
          <w:rFonts w:asciiTheme="majorHAnsi" w:hAnsiTheme="majorHAnsi"/>
          <w:sz w:val="20"/>
          <w:szCs w:val="20"/>
        </w:rPr>
        <w:t xml:space="preserve"> killed her family; and </w:t>
      </w:r>
      <w:r w:rsidR="00B86D99" w:rsidRPr="005C0994">
        <w:rPr>
          <w:rFonts w:asciiTheme="majorHAnsi" w:hAnsiTheme="majorHAnsi"/>
          <w:sz w:val="20"/>
          <w:szCs w:val="20"/>
        </w:rPr>
        <w:t>concluded that</w:t>
      </w:r>
      <w:r w:rsidR="00850933" w:rsidRPr="005C0994">
        <w:rPr>
          <w:rFonts w:asciiTheme="majorHAnsi" w:hAnsiTheme="majorHAnsi"/>
          <w:sz w:val="20"/>
          <w:szCs w:val="20"/>
        </w:rPr>
        <w:t xml:space="preserve"> the court was not unreasonable in </w:t>
      </w:r>
      <w:r w:rsidR="00B86D99" w:rsidRPr="005C0994">
        <w:rPr>
          <w:rFonts w:asciiTheme="majorHAnsi" w:hAnsiTheme="majorHAnsi"/>
          <w:sz w:val="20"/>
          <w:szCs w:val="20"/>
        </w:rPr>
        <w:t>its determination</w:t>
      </w:r>
      <w:r w:rsidR="00850933" w:rsidRPr="005C0994">
        <w:rPr>
          <w:rFonts w:asciiTheme="majorHAnsi" w:hAnsiTheme="majorHAnsi"/>
          <w:sz w:val="20"/>
          <w:szCs w:val="20"/>
        </w:rPr>
        <w:t xml:space="preserve"> that Mr. </w:t>
      </w:r>
      <w:proofErr w:type="spellStart"/>
      <w:r w:rsidR="00850933" w:rsidRPr="005C0994">
        <w:rPr>
          <w:rFonts w:asciiTheme="majorHAnsi" w:hAnsiTheme="majorHAnsi"/>
          <w:sz w:val="20"/>
          <w:szCs w:val="20"/>
        </w:rPr>
        <w:t>Loza</w:t>
      </w:r>
      <w:proofErr w:type="spellEnd"/>
      <w:r w:rsidR="00850933" w:rsidRPr="005C0994">
        <w:rPr>
          <w:rFonts w:asciiTheme="majorHAnsi" w:hAnsiTheme="majorHAnsi"/>
          <w:sz w:val="20"/>
          <w:szCs w:val="20"/>
        </w:rPr>
        <w:t xml:space="preserve"> and Ms. Jackson were not similarly situated, as no such evidence implicated Ms. Jackson in the killings. The court </w:t>
      </w:r>
      <w:r w:rsidR="00540DC8" w:rsidRPr="005C0994">
        <w:rPr>
          <w:rFonts w:asciiTheme="majorHAnsi" w:hAnsiTheme="majorHAnsi"/>
          <w:sz w:val="20"/>
          <w:szCs w:val="20"/>
        </w:rPr>
        <w:t xml:space="preserve">also </w:t>
      </w:r>
      <w:r w:rsidR="00850933" w:rsidRPr="005C0994">
        <w:rPr>
          <w:rFonts w:asciiTheme="majorHAnsi" w:hAnsiTheme="majorHAnsi"/>
          <w:sz w:val="20"/>
          <w:szCs w:val="20"/>
        </w:rPr>
        <w:t xml:space="preserve">determined Mr. </w:t>
      </w:r>
      <w:proofErr w:type="spellStart"/>
      <w:r w:rsidR="00850933" w:rsidRPr="005C0994">
        <w:rPr>
          <w:rFonts w:asciiTheme="majorHAnsi" w:hAnsiTheme="majorHAnsi"/>
          <w:sz w:val="20"/>
          <w:szCs w:val="20"/>
        </w:rPr>
        <w:t>Loza</w:t>
      </w:r>
      <w:proofErr w:type="spellEnd"/>
      <w:r w:rsidR="00850933" w:rsidRPr="005C0994">
        <w:rPr>
          <w:rFonts w:asciiTheme="majorHAnsi" w:hAnsiTheme="majorHAnsi"/>
          <w:sz w:val="20"/>
          <w:szCs w:val="20"/>
        </w:rPr>
        <w:t xml:space="preserve"> could not demonstrate the discriminatory effect necessary to succeed on his selective prosecution claim. Further</w:t>
      </w:r>
      <w:r w:rsidR="00B86D99" w:rsidRPr="005C0994">
        <w:rPr>
          <w:rFonts w:asciiTheme="majorHAnsi" w:hAnsiTheme="majorHAnsi"/>
          <w:sz w:val="20"/>
          <w:szCs w:val="20"/>
        </w:rPr>
        <w:t>,</w:t>
      </w:r>
      <w:r w:rsidR="00850933" w:rsidRPr="005C0994">
        <w:rPr>
          <w:rFonts w:asciiTheme="majorHAnsi" w:hAnsiTheme="majorHAnsi"/>
          <w:sz w:val="20"/>
          <w:szCs w:val="20"/>
        </w:rPr>
        <w:t xml:space="preserve"> that the statistical data provided was insufficient to establish discriminatory purpose</w:t>
      </w:r>
      <w:r w:rsidR="00A2130F" w:rsidRPr="005C0994">
        <w:rPr>
          <w:rFonts w:asciiTheme="majorHAnsi" w:hAnsiTheme="majorHAnsi"/>
          <w:sz w:val="20"/>
          <w:szCs w:val="20"/>
        </w:rPr>
        <w:t xml:space="preserve">, emphasizing that a defendant must show discriminatory purpose and effect. </w:t>
      </w:r>
      <w:r w:rsidR="00850933" w:rsidRPr="005C0994">
        <w:rPr>
          <w:rFonts w:asciiTheme="majorHAnsi" w:hAnsiTheme="majorHAnsi"/>
          <w:sz w:val="20"/>
          <w:szCs w:val="20"/>
        </w:rPr>
        <w:t xml:space="preserve"> </w:t>
      </w:r>
    </w:p>
    <w:p w14:paraId="72754491" w14:textId="77777777" w:rsidR="005C3DAB" w:rsidRPr="005C0994" w:rsidRDefault="005C3DAB" w:rsidP="005C3DA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17D46584" w14:textId="77777777" w:rsidR="00FC28E6" w:rsidRPr="005C0994" w:rsidRDefault="007E59F7"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Lastly</w:t>
      </w:r>
      <w:r w:rsidR="005C3DAB" w:rsidRPr="005C0994">
        <w:rPr>
          <w:rFonts w:asciiTheme="majorHAnsi" w:hAnsiTheme="majorHAnsi"/>
          <w:sz w:val="20"/>
          <w:szCs w:val="20"/>
        </w:rPr>
        <w:t xml:space="preserve">, Mr. </w:t>
      </w:r>
      <w:proofErr w:type="spellStart"/>
      <w:r w:rsidR="005C3DAB" w:rsidRPr="005C0994">
        <w:rPr>
          <w:rFonts w:asciiTheme="majorHAnsi" w:hAnsiTheme="majorHAnsi"/>
          <w:sz w:val="20"/>
          <w:szCs w:val="20"/>
        </w:rPr>
        <w:t>Loza</w:t>
      </w:r>
      <w:proofErr w:type="spellEnd"/>
      <w:r w:rsidR="005C3DAB" w:rsidRPr="005C0994">
        <w:rPr>
          <w:rFonts w:asciiTheme="majorHAnsi" w:hAnsiTheme="majorHAnsi"/>
          <w:sz w:val="20"/>
          <w:szCs w:val="20"/>
        </w:rPr>
        <w:t xml:space="preserve"> argued that he was</w:t>
      </w:r>
      <w:r w:rsidR="00287B22" w:rsidRPr="005C0994">
        <w:rPr>
          <w:rFonts w:asciiTheme="majorHAnsi" w:hAnsiTheme="majorHAnsi"/>
          <w:sz w:val="20"/>
          <w:szCs w:val="20"/>
        </w:rPr>
        <w:t xml:space="preserve"> entitled to habeas relief because officials failed to inform him after his arrest that he had a right to contact the Mexican consulate pursuant to the Vienna Convention on Consular Relations. </w:t>
      </w:r>
      <w:r w:rsidR="008E06C9" w:rsidRPr="005C0994">
        <w:rPr>
          <w:rFonts w:asciiTheme="majorHAnsi" w:hAnsiTheme="majorHAnsi"/>
          <w:sz w:val="20"/>
          <w:szCs w:val="20"/>
        </w:rPr>
        <w:t xml:space="preserve">The court held that “the Vienna Convention does not create a right for a detained foreign national to consult with the diplomatic representatives of his nation that the federal courts can enforce.” </w:t>
      </w:r>
      <w:r w:rsidR="008E06C9" w:rsidRPr="005C0994">
        <w:rPr>
          <w:rStyle w:val="FootnoteReference"/>
          <w:rFonts w:asciiTheme="majorHAnsi" w:hAnsiTheme="majorHAnsi"/>
          <w:sz w:val="20"/>
          <w:szCs w:val="20"/>
        </w:rPr>
        <w:footnoteReference w:id="23"/>
      </w:r>
      <w:r w:rsidR="00D82760" w:rsidRPr="005C0994">
        <w:rPr>
          <w:rFonts w:asciiTheme="majorHAnsi" w:hAnsiTheme="majorHAnsi"/>
          <w:sz w:val="20"/>
          <w:szCs w:val="20"/>
        </w:rPr>
        <w:t xml:space="preserve"> </w:t>
      </w:r>
      <w:r w:rsidR="001171CF" w:rsidRPr="005C0994">
        <w:rPr>
          <w:rFonts w:asciiTheme="majorHAnsi" w:hAnsiTheme="majorHAnsi"/>
          <w:sz w:val="20"/>
          <w:szCs w:val="20"/>
        </w:rPr>
        <w:t xml:space="preserve">The Court affirmed the District Court’s dismissal. </w:t>
      </w:r>
      <w:r w:rsidR="007A51E3" w:rsidRPr="005C0994">
        <w:rPr>
          <w:rFonts w:asciiTheme="majorHAnsi" w:hAnsiTheme="majorHAnsi"/>
          <w:sz w:val="20"/>
          <w:szCs w:val="20"/>
        </w:rPr>
        <w:t>The United States Supreme Court denied his writ of certiorari.</w:t>
      </w:r>
      <w:r w:rsidR="007A51E3" w:rsidRPr="005C0994">
        <w:rPr>
          <w:rStyle w:val="FootnoteReference"/>
          <w:rFonts w:asciiTheme="majorHAnsi" w:hAnsiTheme="majorHAnsi"/>
          <w:sz w:val="20"/>
          <w:szCs w:val="20"/>
        </w:rPr>
        <w:footnoteReference w:id="24"/>
      </w:r>
      <w:r w:rsidR="00D82760" w:rsidRPr="005C0994">
        <w:rPr>
          <w:rFonts w:asciiTheme="majorHAnsi" w:hAnsiTheme="majorHAnsi"/>
          <w:sz w:val="20"/>
          <w:szCs w:val="20"/>
        </w:rPr>
        <w:t xml:space="preserve"> </w:t>
      </w:r>
    </w:p>
    <w:p w14:paraId="4A472FBA" w14:textId="77777777" w:rsidR="00FC28E6" w:rsidRPr="005C0994" w:rsidRDefault="00FC28E6" w:rsidP="00FC28E6">
      <w:pPr>
        <w:pStyle w:val="ListParagraph"/>
        <w:rPr>
          <w:rFonts w:asciiTheme="majorHAnsi" w:hAnsiTheme="majorHAnsi"/>
          <w:sz w:val="20"/>
          <w:szCs w:val="20"/>
        </w:rPr>
      </w:pPr>
    </w:p>
    <w:p w14:paraId="27FEC3F2" w14:textId="77777777" w:rsidR="00E524D4" w:rsidRPr="005C0994" w:rsidRDefault="0043073C"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The petitioners explain that o</w:t>
      </w:r>
      <w:r w:rsidR="00FC28E6" w:rsidRPr="005C0994">
        <w:rPr>
          <w:rFonts w:asciiTheme="majorHAnsi" w:hAnsiTheme="majorHAnsi"/>
          <w:sz w:val="20"/>
          <w:szCs w:val="20"/>
        </w:rPr>
        <w:t xml:space="preserve">n May 21, 2018, Mr. </w:t>
      </w:r>
      <w:proofErr w:type="spellStart"/>
      <w:r w:rsidR="00FC28E6" w:rsidRPr="005C0994">
        <w:rPr>
          <w:rFonts w:asciiTheme="majorHAnsi" w:hAnsiTheme="majorHAnsi"/>
          <w:sz w:val="20"/>
          <w:szCs w:val="20"/>
        </w:rPr>
        <w:t>Loza</w:t>
      </w:r>
      <w:proofErr w:type="spellEnd"/>
      <w:r w:rsidR="00FC28E6" w:rsidRPr="005C0994">
        <w:rPr>
          <w:rFonts w:asciiTheme="majorHAnsi" w:hAnsiTheme="majorHAnsi"/>
          <w:sz w:val="20"/>
          <w:szCs w:val="20"/>
        </w:rPr>
        <w:t xml:space="preserve"> filed a clemency petition with Ohio’s Governor.</w:t>
      </w:r>
      <w:r w:rsidR="00FC28E6" w:rsidRPr="005C0994">
        <w:rPr>
          <w:rStyle w:val="FootnoteReference"/>
          <w:rFonts w:asciiTheme="majorHAnsi" w:hAnsiTheme="majorHAnsi"/>
          <w:sz w:val="20"/>
          <w:szCs w:val="20"/>
        </w:rPr>
        <w:footnoteReference w:id="25"/>
      </w:r>
      <w:r w:rsidR="00FC28E6" w:rsidRPr="005C0994">
        <w:rPr>
          <w:rFonts w:asciiTheme="majorHAnsi" w:hAnsiTheme="majorHAnsi"/>
          <w:sz w:val="20"/>
          <w:szCs w:val="20"/>
        </w:rPr>
        <w:t xml:space="preserve"> The Commission has no infor</w:t>
      </w:r>
      <w:r w:rsidRPr="005C0994">
        <w:rPr>
          <w:rFonts w:asciiTheme="majorHAnsi" w:hAnsiTheme="majorHAnsi"/>
          <w:sz w:val="20"/>
          <w:szCs w:val="20"/>
        </w:rPr>
        <w:t>mation about the outcome of the</w:t>
      </w:r>
      <w:r w:rsidR="00FC28E6" w:rsidRPr="005C0994">
        <w:rPr>
          <w:rFonts w:asciiTheme="majorHAnsi" w:hAnsiTheme="majorHAnsi"/>
          <w:sz w:val="20"/>
          <w:szCs w:val="20"/>
        </w:rPr>
        <w:t xml:space="preserve">. </w:t>
      </w:r>
      <w:r w:rsidR="00D82760" w:rsidRPr="005C0994">
        <w:rPr>
          <w:rFonts w:asciiTheme="majorHAnsi" w:hAnsiTheme="majorHAnsi"/>
          <w:sz w:val="20"/>
          <w:szCs w:val="20"/>
        </w:rPr>
        <w:t xml:space="preserve">Mr. </w:t>
      </w:r>
      <w:proofErr w:type="spellStart"/>
      <w:r w:rsidR="00D82760" w:rsidRPr="005C0994">
        <w:rPr>
          <w:rFonts w:asciiTheme="majorHAnsi" w:hAnsiTheme="majorHAnsi"/>
          <w:sz w:val="20"/>
          <w:szCs w:val="20"/>
        </w:rPr>
        <w:t>Loza</w:t>
      </w:r>
      <w:proofErr w:type="spellEnd"/>
      <w:r w:rsidR="00D82760" w:rsidRPr="005C0994">
        <w:rPr>
          <w:rFonts w:asciiTheme="majorHAnsi" w:hAnsiTheme="majorHAnsi"/>
          <w:sz w:val="20"/>
          <w:szCs w:val="20"/>
        </w:rPr>
        <w:t xml:space="preserve"> is currently detained pending further details on execution.</w:t>
      </w:r>
    </w:p>
    <w:p w14:paraId="73AFD86D" w14:textId="77777777" w:rsidR="00146E18" w:rsidRPr="00705E5C" w:rsidRDefault="00146E18" w:rsidP="00146E18">
      <w:pPr>
        <w:rPr>
          <w:sz w:val="20"/>
          <w:szCs w:val="20"/>
        </w:rPr>
      </w:pPr>
    </w:p>
    <w:p w14:paraId="3C0ED2AC" w14:textId="77777777" w:rsidR="00021557" w:rsidRPr="005C0994" w:rsidRDefault="00021557" w:rsidP="00146E18">
      <w:pPr>
        <w:pStyle w:val="Heading2"/>
        <w:numPr>
          <w:ilvl w:val="0"/>
          <w:numId w:val="58"/>
        </w:numPr>
        <w:tabs>
          <w:tab w:val="left" w:pos="360"/>
        </w:tabs>
        <w:spacing w:before="0"/>
        <w:ind w:hanging="720"/>
        <w:rPr>
          <w:color w:val="auto"/>
          <w:sz w:val="20"/>
          <w:szCs w:val="20"/>
        </w:rPr>
      </w:pPr>
      <w:bookmarkStart w:id="17" w:name="_Toc90297872"/>
      <w:r w:rsidRPr="005C0994">
        <w:rPr>
          <w:color w:val="auto"/>
          <w:sz w:val="20"/>
          <w:szCs w:val="20"/>
        </w:rPr>
        <w:t>Method of execution</w:t>
      </w:r>
      <w:bookmarkEnd w:id="17"/>
    </w:p>
    <w:p w14:paraId="1FB4DABE" w14:textId="77777777" w:rsidR="00021557" w:rsidRPr="005C0994"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78385EB9" w14:textId="77777777" w:rsidR="00C36568" w:rsidRPr="005C0994" w:rsidRDefault="00300F38" w:rsidP="00C365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At the time of the filing of the petition, </w:t>
      </w:r>
      <w:r w:rsidR="00DC2F9D" w:rsidRPr="005C0994">
        <w:rPr>
          <w:rFonts w:asciiTheme="majorHAnsi" w:hAnsiTheme="majorHAnsi"/>
          <w:sz w:val="20"/>
          <w:szCs w:val="20"/>
        </w:rPr>
        <w:t xml:space="preserve">the drugs used in lethal injections, specified by </w:t>
      </w:r>
      <w:r w:rsidRPr="005C0994">
        <w:rPr>
          <w:rFonts w:asciiTheme="majorHAnsi" w:hAnsiTheme="majorHAnsi"/>
          <w:sz w:val="20"/>
          <w:szCs w:val="20"/>
        </w:rPr>
        <w:t>t</w:t>
      </w:r>
      <w:r w:rsidR="007775C0" w:rsidRPr="005C0994">
        <w:rPr>
          <w:rFonts w:asciiTheme="majorHAnsi" w:hAnsiTheme="majorHAnsi"/>
          <w:sz w:val="20"/>
          <w:szCs w:val="20"/>
        </w:rPr>
        <w:t xml:space="preserve">he </w:t>
      </w:r>
      <w:r w:rsidR="00C36568" w:rsidRPr="005C0994">
        <w:rPr>
          <w:rFonts w:asciiTheme="majorHAnsi" w:hAnsiTheme="majorHAnsi"/>
          <w:sz w:val="20"/>
          <w:szCs w:val="20"/>
        </w:rPr>
        <w:t>State of Ohio</w:t>
      </w:r>
      <w:r w:rsidR="00540DC8" w:rsidRPr="005C0994">
        <w:rPr>
          <w:rFonts w:asciiTheme="majorHAnsi" w:hAnsiTheme="majorHAnsi"/>
          <w:sz w:val="20"/>
          <w:szCs w:val="20"/>
        </w:rPr>
        <w:t>’s</w:t>
      </w:r>
      <w:r w:rsidR="00C36568" w:rsidRPr="005C0994">
        <w:rPr>
          <w:rFonts w:asciiTheme="majorHAnsi" w:hAnsiTheme="majorHAnsi"/>
          <w:sz w:val="20"/>
          <w:szCs w:val="20"/>
        </w:rPr>
        <w:t xml:space="preserve"> Execution Policy</w:t>
      </w:r>
      <w:r w:rsidR="00DC2F9D" w:rsidRPr="005C0994">
        <w:rPr>
          <w:rFonts w:asciiTheme="majorHAnsi" w:hAnsiTheme="majorHAnsi"/>
          <w:sz w:val="20"/>
          <w:szCs w:val="20"/>
        </w:rPr>
        <w:t>, were sodium thiopental and pentobarbital.</w:t>
      </w:r>
      <w:r w:rsidR="00DC2F9D" w:rsidRPr="005C0994">
        <w:rPr>
          <w:rStyle w:val="FootnoteReference"/>
          <w:rFonts w:asciiTheme="majorHAnsi" w:hAnsiTheme="majorHAnsi"/>
          <w:sz w:val="20"/>
          <w:szCs w:val="20"/>
        </w:rPr>
        <w:footnoteReference w:id="26"/>
      </w:r>
      <w:r w:rsidR="00DC2F9D" w:rsidRPr="005C0994">
        <w:rPr>
          <w:rFonts w:asciiTheme="majorHAnsi" w:hAnsiTheme="majorHAnsi"/>
          <w:sz w:val="20"/>
          <w:szCs w:val="20"/>
        </w:rPr>
        <w:t xml:space="preserve"> However, </w:t>
      </w:r>
      <w:r w:rsidR="00483801" w:rsidRPr="005C0994">
        <w:rPr>
          <w:rFonts w:asciiTheme="majorHAnsi" w:hAnsiTheme="majorHAnsi"/>
          <w:sz w:val="20"/>
          <w:szCs w:val="20"/>
        </w:rPr>
        <w:t xml:space="preserve">the original manufacturer of sodium thiopental </w:t>
      </w:r>
      <w:r w:rsidR="00DC2F9D" w:rsidRPr="005C0994">
        <w:rPr>
          <w:rFonts w:asciiTheme="majorHAnsi" w:hAnsiTheme="majorHAnsi"/>
          <w:sz w:val="20"/>
          <w:szCs w:val="20"/>
        </w:rPr>
        <w:t xml:space="preserve">had </w:t>
      </w:r>
      <w:r w:rsidR="00483801" w:rsidRPr="005C0994">
        <w:rPr>
          <w:rFonts w:asciiTheme="majorHAnsi" w:hAnsiTheme="majorHAnsi"/>
          <w:sz w:val="20"/>
          <w:szCs w:val="20"/>
        </w:rPr>
        <w:t>stopped the production of the drug and the manufacturers and suppliers of pentobarbital ha</w:t>
      </w:r>
      <w:r w:rsidR="00DC2F9D" w:rsidRPr="005C0994">
        <w:rPr>
          <w:rFonts w:asciiTheme="majorHAnsi" w:hAnsiTheme="majorHAnsi"/>
          <w:sz w:val="20"/>
          <w:szCs w:val="20"/>
        </w:rPr>
        <w:t>d</w:t>
      </w:r>
      <w:r w:rsidR="00483801" w:rsidRPr="005C0994">
        <w:rPr>
          <w:rFonts w:asciiTheme="majorHAnsi" w:hAnsiTheme="majorHAnsi"/>
          <w:sz w:val="20"/>
          <w:szCs w:val="20"/>
        </w:rPr>
        <w:t xml:space="preserve"> contractually prohibited its sale to corrections departments</w:t>
      </w:r>
      <w:r w:rsidR="00DC2F9D" w:rsidRPr="005C0994">
        <w:rPr>
          <w:rFonts w:asciiTheme="majorHAnsi" w:hAnsiTheme="majorHAnsi"/>
          <w:sz w:val="20"/>
          <w:szCs w:val="20"/>
        </w:rPr>
        <w:t>.</w:t>
      </w:r>
      <w:r w:rsidR="00DC2F9D" w:rsidRPr="005C0994">
        <w:rPr>
          <w:rStyle w:val="FootnoteReference"/>
          <w:rFonts w:asciiTheme="majorHAnsi" w:hAnsiTheme="majorHAnsi"/>
          <w:sz w:val="20"/>
          <w:szCs w:val="20"/>
        </w:rPr>
        <w:footnoteReference w:id="27"/>
      </w:r>
    </w:p>
    <w:p w14:paraId="2596C5C9" w14:textId="77777777" w:rsidR="007775C0" w:rsidRPr="005C0994" w:rsidRDefault="007775C0" w:rsidP="007775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jc w:val="both"/>
        <w:rPr>
          <w:rFonts w:asciiTheme="majorHAnsi" w:hAnsiTheme="majorHAnsi"/>
          <w:sz w:val="20"/>
          <w:szCs w:val="20"/>
        </w:rPr>
      </w:pPr>
    </w:p>
    <w:p w14:paraId="242E7D1F" w14:textId="77777777" w:rsidR="00C36568" w:rsidRPr="005C0994" w:rsidRDefault="00C771AA" w:rsidP="003820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5C0994">
        <w:rPr>
          <w:rFonts w:asciiTheme="majorHAnsi" w:hAnsiTheme="majorHAnsi"/>
          <w:sz w:val="20"/>
          <w:szCs w:val="20"/>
        </w:rPr>
        <w:t xml:space="preserve">According to the information provided by the petitioners, not contested by the State, </w:t>
      </w:r>
      <w:r w:rsidR="00830FDA" w:rsidRPr="005C0994">
        <w:rPr>
          <w:rFonts w:asciiTheme="majorHAnsi" w:hAnsiTheme="majorHAnsi"/>
          <w:sz w:val="20"/>
          <w:szCs w:val="20"/>
        </w:rPr>
        <w:t>Ohio has changed its lethal injection protocol at least three times in the last four years. In 2017 Ohio reverted to a three-drug protocol using a combination of midazolam, potassium chloride and rocuronium bromide.</w:t>
      </w:r>
      <w:r w:rsidR="00415929" w:rsidRPr="005C0994">
        <w:rPr>
          <w:rStyle w:val="FootnoteReference"/>
          <w:rFonts w:asciiTheme="majorHAnsi" w:hAnsiTheme="majorHAnsi"/>
          <w:sz w:val="20"/>
          <w:szCs w:val="20"/>
        </w:rPr>
        <w:footnoteReference w:id="28"/>
      </w:r>
      <w:r w:rsidR="00830FDA" w:rsidRPr="005C0994">
        <w:rPr>
          <w:rFonts w:asciiTheme="majorHAnsi" w:hAnsiTheme="majorHAnsi"/>
          <w:sz w:val="20"/>
          <w:szCs w:val="20"/>
        </w:rPr>
        <w:t xml:space="preserve"> </w:t>
      </w:r>
      <w:r w:rsidR="00415929" w:rsidRPr="005C0994">
        <w:rPr>
          <w:rFonts w:asciiTheme="majorHAnsi" w:hAnsiTheme="majorHAnsi"/>
          <w:sz w:val="20"/>
          <w:szCs w:val="20"/>
        </w:rPr>
        <w:t>In January 2017, a</w:t>
      </w:r>
      <w:r w:rsidR="00830FDA" w:rsidRPr="005C0994">
        <w:rPr>
          <w:rFonts w:asciiTheme="majorHAnsi" w:hAnsiTheme="majorHAnsi"/>
          <w:sz w:val="20"/>
          <w:szCs w:val="20"/>
        </w:rPr>
        <w:t xml:space="preserve"> federal district court stayed all executions in Ohio after hearing testimony regarding the risks of using midazolam to kill human beings.</w:t>
      </w:r>
      <w:r w:rsidR="00415929" w:rsidRPr="005C0994">
        <w:rPr>
          <w:rStyle w:val="FootnoteReference"/>
          <w:rFonts w:asciiTheme="majorHAnsi" w:hAnsiTheme="majorHAnsi"/>
          <w:sz w:val="20"/>
          <w:szCs w:val="20"/>
        </w:rPr>
        <w:footnoteReference w:id="29"/>
      </w:r>
      <w:r w:rsidR="00830FDA" w:rsidRPr="005C0994">
        <w:rPr>
          <w:rFonts w:asciiTheme="majorHAnsi" w:hAnsiTheme="majorHAnsi"/>
          <w:sz w:val="20"/>
          <w:szCs w:val="20"/>
        </w:rPr>
        <w:t xml:space="preserve"> This opinion was vacated by the Sixth Circuit Court of Appeals on the grounds that petitioners had failed to show that the use of the three-drug protocol presents a risk that is “sure or very likely” to cause serious pain and “needless suffering.”</w:t>
      </w:r>
      <w:r w:rsidR="00415929" w:rsidRPr="005C0994">
        <w:rPr>
          <w:rStyle w:val="FootnoteReference"/>
          <w:rFonts w:asciiTheme="majorHAnsi" w:hAnsiTheme="majorHAnsi"/>
          <w:sz w:val="20"/>
          <w:szCs w:val="20"/>
        </w:rPr>
        <w:footnoteReference w:id="30"/>
      </w:r>
      <w:r w:rsidR="00830FDA" w:rsidRPr="005C0994">
        <w:rPr>
          <w:rFonts w:asciiTheme="majorHAnsi" w:hAnsiTheme="majorHAnsi"/>
          <w:sz w:val="20"/>
          <w:szCs w:val="20"/>
        </w:rPr>
        <w:t xml:space="preserve"> Five judges dissented. </w:t>
      </w:r>
      <w:r w:rsidR="00415929" w:rsidRPr="005C0994">
        <w:rPr>
          <w:rFonts w:asciiTheme="majorHAnsi" w:hAnsiTheme="majorHAnsi"/>
          <w:sz w:val="20"/>
          <w:szCs w:val="20"/>
        </w:rPr>
        <w:t>O</w:t>
      </w:r>
      <w:r w:rsidR="00830FDA" w:rsidRPr="005C0994">
        <w:rPr>
          <w:rFonts w:asciiTheme="majorHAnsi" w:hAnsiTheme="majorHAnsi"/>
          <w:sz w:val="20"/>
          <w:szCs w:val="20"/>
        </w:rPr>
        <w:t>n November 15, 2017, the new execution protocol led to another botched execution.</w:t>
      </w:r>
    </w:p>
    <w:p w14:paraId="2682E495" w14:textId="77777777" w:rsidR="00382073" w:rsidRPr="005C0994" w:rsidRDefault="00382073" w:rsidP="003820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0687E533" w14:textId="77777777" w:rsidR="00027675" w:rsidRPr="005C0994" w:rsidRDefault="00300F38" w:rsidP="00103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On January 15, 2019, a magistrate judge in Ohio ruled that the State’s use of a mixture of three drugs to execute prisoners would constitute cruel and unusual punishment.</w:t>
      </w:r>
      <w:r w:rsidR="006E436B" w:rsidRPr="005C0994">
        <w:rPr>
          <w:rStyle w:val="FootnoteReference"/>
          <w:rFonts w:asciiTheme="majorHAnsi" w:hAnsiTheme="majorHAnsi"/>
          <w:sz w:val="20"/>
          <w:szCs w:val="20"/>
        </w:rPr>
        <w:footnoteReference w:id="31"/>
      </w:r>
      <w:r w:rsidRPr="005C0994">
        <w:rPr>
          <w:rFonts w:asciiTheme="majorHAnsi" w:hAnsiTheme="majorHAnsi"/>
          <w:sz w:val="20"/>
          <w:szCs w:val="20"/>
        </w:rPr>
        <w:t xml:space="preserve"> On February 19, 2019, Governor Mike </w:t>
      </w:r>
      <w:r w:rsidRPr="005C0994">
        <w:rPr>
          <w:rFonts w:asciiTheme="majorHAnsi" w:hAnsiTheme="majorHAnsi"/>
          <w:sz w:val="20"/>
          <w:szCs w:val="20"/>
        </w:rPr>
        <w:lastRenderedPageBreak/>
        <w:t>DeWine announced that Ohio will not carry out any of the scheduled executions until it devises a new execution protocol that is approved by the courts.</w:t>
      </w:r>
      <w:r w:rsidRPr="005C0994">
        <w:rPr>
          <w:rStyle w:val="FootnoteReference"/>
          <w:rFonts w:asciiTheme="majorHAnsi" w:hAnsiTheme="majorHAnsi"/>
          <w:sz w:val="20"/>
          <w:szCs w:val="20"/>
        </w:rPr>
        <w:footnoteReference w:id="32"/>
      </w:r>
      <w:r w:rsidR="00AB5E60" w:rsidRPr="005C0994">
        <w:rPr>
          <w:rFonts w:asciiTheme="majorHAnsi" w:hAnsiTheme="majorHAnsi"/>
          <w:sz w:val="20"/>
          <w:szCs w:val="20"/>
        </w:rPr>
        <w:t xml:space="preserve"> </w:t>
      </w:r>
    </w:p>
    <w:p w14:paraId="26708A6E" w14:textId="77777777" w:rsidR="00027675" w:rsidRPr="005C0994" w:rsidRDefault="00027675" w:rsidP="00027675">
      <w:pPr>
        <w:pStyle w:val="ListParagraph"/>
        <w:rPr>
          <w:rFonts w:asciiTheme="majorHAnsi" w:hAnsiTheme="majorHAnsi"/>
          <w:sz w:val="20"/>
          <w:szCs w:val="20"/>
        </w:rPr>
      </w:pPr>
    </w:p>
    <w:p w14:paraId="467B5A94" w14:textId="77777777" w:rsidR="00300F38" w:rsidRPr="005C0994" w:rsidRDefault="00AB5E60" w:rsidP="00103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 xml:space="preserve">On September 11, 2019, a three-judge panel of the Sixth Circuit Court of Appeals reversed this finding, noting, citing the U.S. Supreme Court’s decision in </w:t>
      </w:r>
      <w:proofErr w:type="spellStart"/>
      <w:r w:rsidRPr="005C0994">
        <w:rPr>
          <w:rFonts w:asciiTheme="majorHAnsi" w:hAnsiTheme="majorHAnsi"/>
          <w:sz w:val="20"/>
          <w:szCs w:val="20"/>
        </w:rPr>
        <w:t>Bucklew</w:t>
      </w:r>
      <w:proofErr w:type="spellEnd"/>
      <w:r w:rsidRPr="005C0994">
        <w:rPr>
          <w:rFonts w:asciiTheme="majorHAnsi" w:hAnsiTheme="majorHAnsi"/>
          <w:sz w:val="20"/>
          <w:szCs w:val="20"/>
        </w:rPr>
        <w:t xml:space="preserve"> v. </w:t>
      </w:r>
      <w:proofErr w:type="spellStart"/>
      <w:r w:rsidRPr="005C0994">
        <w:rPr>
          <w:rFonts w:asciiTheme="majorHAnsi" w:hAnsiTheme="majorHAnsi"/>
          <w:sz w:val="20"/>
          <w:szCs w:val="20"/>
        </w:rPr>
        <w:t>Precythe</w:t>
      </w:r>
      <w:proofErr w:type="spellEnd"/>
      <w:r w:rsidRPr="005C0994">
        <w:rPr>
          <w:rFonts w:asciiTheme="majorHAnsi" w:hAnsiTheme="majorHAnsi"/>
          <w:sz w:val="20"/>
          <w:szCs w:val="20"/>
        </w:rPr>
        <w:t>, that death by suffocation was not “constitutionally problematic” since “suffocation does not qualify as “severe pain and needless suffering.””</w:t>
      </w:r>
      <w:r w:rsidR="001D41F3" w:rsidRPr="005C0994">
        <w:rPr>
          <w:rStyle w:val="FootnoteReference"/>
          <w:rFonts w:asciiTheme="majorHAnsi" w:hAnsiTheme="majorHAnsi"/>
          <w:sz w:val="20"/>
          <w:szCs w:val="20"/>
        </w:rPr>
        <w:footnoteReference w:id="33"/>
      </w:r>
      <w:r w:rsidR="00E65711" w:rsidRPr="005C0994">
        <w:rPr>
          <w:rFonts w:asciiTheme="majorHAnsi" w:hAnsiTheme="majorHAnsi"/>
          <w:sz w:val="20"/>
          <w:szCs w:val="20"/>
        </w:rPr>
        <w:t xml:space="preserve"> </w:t>
      </w:r>
      <w:r w:rsidR="00027675" w:rsidRPr="005C0994">
        <w:rPr>
          <w:rFonts w:asciiTheme="majorHAnsi" w:hAnsiTheme="majorHAnsi"/>
          <w:sz w:val="20"/>
          <w:szCs w:val="20"/>
        </w:rPr>
        <w:t xml:space="preserve">The panel upheld the magistrate judge’s finding rejecting the method proposed by the plaintiff; namely, execution by a single injection of secobarbital, a true analgesic drug, because it may take days to cause death and because no state had ever used it in an execution. The petitioners allege that secobarbital has an extensive record of success </w:t>
      </w:r>
      <w:r w:rsidR="009B71EF" w:rsidRPr="005C0994">
        <w:rPr>
          <w:rFonts w:asciiTheme="majorHAnsi" w:hAnsiTheme="majorHAnsi"/>
          <w:sz w:val="20"/>
          <w:szCs w:val="20"/>
        </w:rPr>
        <w:t>in “Medical Aid in Dying” states.</w:t>
      </w:r>
      <w:r w:rsidR="00027675" w:rsidRPr="005C0994">
        <w:rPr>
          <w:rFonts w:asciiTheme="majorHAnsi" w:hAnsiTheme="majorHAnsi"/>
          <w:sz w:val="20"/>
          <w:szCs w:val="20"/>
        </w:rPr>
        <w:t xml:space="preserve"> </w:t>
      </w:r>
      <w:r w:rsidR="00E65711" w:rsidRPr="005C0994">
        <w:rPr>
          <w:rFonts w:asciiTheme="majorHAnsi" w:hAnsiTheme="majorHAnsi"/>
          <w:sz w:val="20"/>
          <w:szCs w:val="20"/>
        </w:rPr>
        <w:t xml:space="preserve">The </w:t>
      </w:r>
      <w:r w:rsidR="00027675" w:rsidRPr="005C0994">
        <w:rPr>
          <w:rFonts w:asciiTheme="majorHAnsi" w:hAnsiTheme="majorHAnsi"/>
          <w:sz w:val="20"/>
          <w:szCs w:val="20"/>
        </w:rPr>
        <w:t>c</w:t>
      </w:r>
      <w:r w:rsidR="00E65711" w:rsidRPr="005C0994">
        <w:rPr>
          <w:rFonts w:asciiTheme="majorHAnsi" w:hAnsiTheme="majorHAnsi"/>
          <w:sz w:val="20"/>
          <w:szCs w:val="20"/>
        </w:rPr>
        <w:t xml:space="preserve">ourt declined to address the risk of severe pain posed by the execution protocol as a whole. </w:t>
      </w:r>
    </w:p>
    <w:p w14:paraId="054EB796" w14:textId="77777777" w:rsidR="00D72ED0" w:rsidRPr="005C0994" w:rsidRDefault="00D72ED0" w:rsidP="00D72ED0">
      <w:pPr>
        <w:pStyle w:val="ListParagraph"/>
        <w:rPr>
          <w:rFonts w:asciiTheme="majorHAnsi" w:hAnsiTheme="majorHAnsi"/>
          <w:sz w:val="20"/>
          <w:szCs w:val="20"/>
        </w:rPr>
      </w:pPr>
    </w:p>
    <w:p w14:paraId="37E5A479" w14:textId="77777777" w:rsidR="00D72ED0" w:rsidRPr="005C0994" w:rsidRDefault="00D72ED0" w:rsidP="00103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5C0994">
        <w:rPr>
          <w:rFonts w:asciiTheme="majorHAnsi" w:hAnsiTheme="majorHAnsi"/>
          <w:sz w:val="20"/>
          <w:szCs w:val="20"/>
        </w:rPr>
        <w:t>On October 30, 2019, Governor Mike DeWine announced Ohio would not hold anymore executions in 2019 due to the State’s “continuing problems with finding a pharmaceutical company willing to sell drugs for use in executions.</w:t>
      </w:r>
    </w:p>
    <w:p w14:paraId="7FE38B86" w14:textId="77777777" w:rsidR="00AB5E60" w:rsidRPr="005C0994" w:rsidRDefault="00AB5E60" w:rsidP="00AB5E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76C7E27" w14:textId="77777777" w:rsidR="00677DA7" w:rsidRPr="005C0994" w:rsidRDefault="00677DA7" w:rsidP="003676F1">
      <w:pPr>
        <w:pStyle w:val="Heading1"/>
        <w:tabs>
          <w:tab w:val="left" w:pos="360"/>
        </w:tabs>
        <w:spacing w:before="0"/>
        <w:ind w:hanging="720"/>
        <w:rPr>
          <w:color w:val="auto"/>
          <w:sz w:val="20"/>
          <w:szCs w:val="20"/>
        </w:rPr>
      </w:pPr>
      <w:bookmarkStart w:id="18" w:name="_Toc90297873"/>
      <w:r w:rsidRPr="005C0994">
        <w:rPr>
          <w:color w:val="auto"/>
          <w:sz w:val="20"/>
          <w:szCs w:val="20"/>
        </w:rPr>
        <w:t>ANALYSIS OF LAW</w:t>
      </w:r>
      <w:bookmarkEnd w:id="18"/>
    </w:p>
    <w:p w14:paraId="78307C5A" w14:textId="77777777" w:rsidR="00E57AC6" w:rsidRPr="005C0994" w:rsidRDefault="00E57AC6" w:rsidP="00E57AC6"/>
    <w:p w14:paraId="771F6EE5" w14:textId="77777777" w:rsidR="00677DA7" w:rsidRPr="005C0994" w:rsidRDefault="00677DA7" w:rsidP="009C6457">
      <w:pPr>
        <w:pStyle w:val="Heading2"/>
        <w:numPr>
          <w:ilvl w:val="0"/>
          <w:numId w:val="61"/>
        </w:numPr>
        <w:tabs>
          <w:tab w:val="left" w:pos="360"/>
        </w:tabs>
        <w:spacing w:before="0"/>
        <w:ind w:left="0" w:firstLine="0"/>
        <w:rPr>
          <w:color w:val="auto"/>
          <w:sz w:val="20"/>
          <w:szCs w:val="20"/>
        </w:rPr>
      </w:pPr>
      <w:bookmarkStart w:id="19" w:name="_Toc90297874"/>
      <w:r w:rsidRPr="005C0994">
        <w:rPr>
          <w:color w:val="auto"/>
          <w:sz w:val="20"/>
          <w:szCs w:val="20"/>
        </w:rPr>
        <w:t>Preliminary considerations</w:t>
      </w:r>
      <w:bookmarkEnd w:id="19"/>
    </w:p>
    <w:p w14:paraId="0BEE3E1B" w14:textId="77777777" w:rsidR="00E57AC6" w:rsidRPr="005C0994" w:rsidRDefault="00E57AC6" w:rsidP="00E57AC6">
      <w:pPr>
        <w:pStyle w:val="ListParagraph"/>
      </w:pPr>
    </w:p>
    <w:p w14:paraId="4DD14F79" w14:textId="77777777" w:rsidR="00E57AC6" w:rsidRPr="005C0994" w:rsidRDefault="00E57AC6" w:rsidP="00B44448">
      <w:pPr>
        <w:pStyle w:val="parrafos"/>
        <w:numPr>
          <w:ilvl w:val="0"/>
          <w:numId w:val="55"/>
        </w:numPr>
        <w:ind w:left="0" w:firstLine="0"/>
      </w:pPr>
      <w:r w:rsidRPr="005C0994">
        <w:t xml:space="preserve">Before embarking on its analysis of the merits in the case of </w:t>
      </w:r>
      <w:r w:rsidR="00565C1A" w:rsidRPr="005C0994">
        <w:t xml:space="preserve">José Trinidad </w:t>
      </w:r>
      <w:proofErr w:type="spellStart"/>
      <w:r w:rsidR="00565C1A" w:rsidRPr="005C0994">
        <w:t>Loza</w:t>
      </w:r>
      <w:proofErr w:type="spellEnd"/>
      <w:r w:rsidR="00565C1A" w:rsidRPr="005C0994">
        <w:t xml:space="preserve"> Ventura</w:t>
      </w:r>
      <w:r w:rsidRPr="005C0994">
        <w:t xml:space="preserve">, the Inter-American Commission believes it should reiterate its previous rulings regarding the heightened scrutiny to be used in cases involving the death penalty. The right to life has received broad recognition as the supreme human right and as a sine qua non for the enjoyment of all other rights. </w:t>
      </w:r>
    </w:p>
    <w:p w14:paraId="71E2C19A" w14:textId="77777777" w:rsidR="00E57AC6" w:rsidRPr="005C0994" w:rsidRDefault="00E57AC6" w:rsidP="00B44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232A1953" w14:textId="77777777" w:rsidR="00E57AC6" w:rsidRPr="005C0994" w:rsidRDefault="00E57AC6" w:rsidP="00B44448">
      <w:pPr>
        <w:pStyle w:val="parrafos"/>
        <w:numPr>
          <w:ilvl w:val="0"/>
          <w:numId w:val="55"/>
        </w:numPr>
        <w:ind w:left="0" w:firstLine="0"/>
      </w:pPr>
      <w:r w:rsidRPr="005C0994">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5C0994">
        <w:rPr>
          <w:rStyle w:val="FootnoteReference"/>
        </w:rPr>
        <w:footnoteReference w:id="34"/>
      </w:r>
      <w:r w:rsidRPr="005C0994">
        <w:t xml:space="preserve"> and it has been set out and applied by the Inter-American Commission in previous capital cases brought before it.</w:t>
      </w:r>
      <w:r w:rsidRPr="005C0994">
        <w:rPr>
          <w:rStyle w:val="FootnoteReference"/>
        </w:rPr>
        <w:footnoteReference w:id="35"/>
      </w:r>
      <w:r w:rsidRPr="005C0994">
        <w:t xml:space="preserve"> As the Inter-American Commission has explained, this standard of review is the necessary consequence of the specific penalty at issue and the right to a fair trial and all attendant due process guarantees, among others.</w:t>
      </w:r>
      <w:r w:rsidRPr="005C0994">
        <w:rPr>
          <w:rStyle w:val="FootnoteReference"/>
        </w:rPr>
        <w:footnoteReference w:id="36"/>
      </w:r>
      <w:r w:rsidRPr="005C0994">
        <w:t xml:space="preserve"> In the words of the Commission:</w:t>
      </w:r>
    </w:p>
    <w:p w14:paraId="211A39AE" w14:textId="77777777" w:rsidR="00E57AC6" w:rsidRPr="005C0994" w:rsidRDefault="00E57AC6" w:rsidP="00E57AC6">
      <w:pPr>
        <w:pStyle w:val="ListParagraph"/>
        <w:rPr>
          <w:sz w:val="20"/>
          <w:szCs w:val="20"/>
        </w:rPr>
      </w:pPr>
    </w:p>
    <w:p w14:paraId="0623885A" w14:textId="77777777" w:rsidR="00E57AC6" w:rsidRPr="005C0994" w:rsidRDefault="00E57AC6" w:rsidP="00E57AC6">
      <w:pPr>
        <w:autoSpaceDE w:val="0"/>
        <w:autoSpaceDN w:val="0"/>
        <w:adjustRightInd w:val="0"/>
        <w:ind w:left="360" w:right="360"/>
        <w:jc w:val="both"/>
        <w:rPr>
          <w:rFonts w:ascii="Cambria" w:hAnsi="Cambria" w:cs="Calibri"/>
          <w:sz w:val="18"/>
          <w:szCs w:val="18"/>
        </w:rPr>
      </w:pPr>
      <w:r w:rsidRPr="005C0994">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5C0994">
        <w:rPr>
          <w:rStyle w:val="FootnoteReference"/>
          <w:rFonts w:ascii="Cambria" w:hAnsi="Cambria"/>
          <w:sz w:val="18"/>
          <w:szCs w:val="18"/>
        </w:rPr>
        <w:footnoteReference w:id="37"/>
      </w:r>
    </w:p>
    <w:p w14:paraId="1C32AAC1" w14:textId="77777777" w:rsidR="00E57AC6" w:rsidRPr="005C0994" w:rsidRDefault="00E57AC6" w:rsidP="00E57AC6">
      <w:pPr>
        <w:jc w:val="both"/>
        <w:rPr>
          <w:rFonts w:ascii="Cambria" w:hAnsi="Cambria"/>
          <w:sz w:val="20"/>
          <w:szCs w:val="20"/>
        </w:rPr>
      </w:pPr>
    </w:p>
    <w:p w14:paraId="5ECD8195" w14:textId="77777777" w:rsidR="00E57AC6" w:rsidRPr="005C0994"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rPr>
      </w:pPr>
      <w:r w:rsidRPr="005C0994">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5C0994">
        <w:rPr>
          <w:rFonts w:asciiTheme="majorHAnsi" w:hAnsiTheme="majorHAnsi"/>
          <w:sz w:val="20"/>
          <w:szCs w:val="20"/>
        </w:rPr>
        <w:t xml:space="preserve">not to receive cruel, infamous or </w:t>
      </w:r>
      <w:r w:rsidR="003B1D61" w:rsidRPr="005C0994">
        <w:rPr>
          <w:rFonts w:asciiTheme="majorHAnsi" w:hAnsiTheme="majorHAnsi"/>
          <w:sz w:val="20"/>
          <w:szCs w:val="20"/>
        </w:rPr>
        <w:lastRenderedPageBreak/>
        <w:t xml:space="preserve">unusual punishment, to </w:t>
      </w:r>
      <w:r w:rsidRPr="005C0994">
        <w:rPr>
          <w:rFonts w:asciiTheme="majorHAnsi" w:hAnsiTheme="majorHAnsi"/>
          <w:sz w:val="20"/>
          <w:szCs w:val="20"/>
        </w:rPr>
        <w:t>due process, and to a fair trial as prescribed under the American Declaration</w:t>
      </w:r>
      <w:r w:rsidR="003B1D61" w:rsidRPr="005C0994">
        <w:rPr>
          <w:rFonts w:asciiTheme="majorHAnsi" w:hAnsiTheme="majorHAnsi"/>
          <w:sz w:val="20"/>
          <w:szCs w:val="20"/>
        </w:rPr>
        <w:t>,</w:t>
      </w:r>
      <w:r w:rsidRPr="005C0994">
        <w:rPr>
          <w:rFonts w:asciiTheme="majorHAnsi" w:hAnsiTheme="majorHAnsi"/>
          <w:sz w:val="20"/>
          <w:szCs w:val="20"/>
        </w:rPr>
        <w:t xml:space="preserve"> have been respected by the State. With regard to the legal status of the American</w:t>
      </w:r>
      <w:r w:rsidRPr="005C0994">
        <w:rPr>
          <w:rFonts w:ascii="Cambria" w:hAnsi="Cambria"/>
          <w:sz w:val="20"/>
        </w:rPr>
        <w:t xml:space="preserve"> Declaration, the IACHR reiterates that:</w:t>
      </w:r>
      <w:r w:rsidRPr="005C0994">
        <w:rPr>
          <w:rStyle w:val="FootnoteReference"/>
          <w:rFonts w:ascii="Cambria" w:hAnsi="Cambria"/>
          <w:sz w:val="20"/>
          <w:szCs w:val="20"/>
        </w:rPr>
        <w:footnoteReference w:id="38"/>
      </w:r>
      <w:r w:rsidRPr="005C0994">
        <w:rPr>
          <w:rFonts w:ascii="Cambria" w:hAnsi="Cambria" w:cs="Tahoma"/>
          <w:color w:val="262626"/>
          <w:sz w:val="20"/>
          <w:szCs w:val="20"/>
        </w:rPr>
        <w:t xml:space="preserve"> </w:t>
      </w:r>
    </w:p>
    <w:p w14:paraId="0CF1184F" w14:textId="77777777" w:rsidR="00E57AC6" w:rsidRPr="005C0994" w:rsidRDefault="00E57AC6" w:rsidP="00E57AC6">
      <w:pPr>
        <w:tabs>
          <w:tab w:val="left" w:pos="630"/>
          <w:tab w:val="left" w:pos="810"/>
        </w:tabs>
        <w:autoSpaceDE w:val="0"/>
        <w:autoSpaceDN w:val="0"/>
        <w:adjustRightInd w:val="0"/>
        <w:jc w:val="both"/>
        <w:rPr>
          <w:rFonts w:ascii="Cambria" w:hAnsi="Cambria" w:cs="Calibri"/>
          <w:sz w:val="20"/>
          <w:szCs w:val="20"/>
        </w:rPr>
      </w:pPr>
    </w:p>
    <w:p w14:paraId="183E46C0" w14:textId="77777777" w:rsidR="00E57AC6" w:rsidRPr="005C0994" w:rsidRDefault="00E57AC6" w:rsidP="00E57AC6">
      <w:pPr>
        <w:tabs>
          <w:tab w:val="left" w:pos="630"/>
          <w:tab w:val="left" w:pos="810"/>
        </w:tabs>
        <w:autoSpaceDE w:val="0"/>
        <w:autoSpaceDN w:val="0"/>
        <w:adjustRightInd w:val="0"/>
        <w:ind w:left="360" w:right="360"/>
        <w:jc w:val="both"/>
        <w:rPr>
          <w:rFonts w:ascii="Cambria" w:hAnsi="Cambria" w:cs="Calibri"/>
          <w:sz w:val="18"/>
          <w:szCs w:val="18"/>
        </w:rPr>
      </w:pPr>
      <w:r w:rsidRPr="005C0994">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282CE222" w14:textId="77777777" w:rsidR="00E57AC6" w:rsidRPr="005C0994" w:rsidRDefault="00E57AC6" w:rsidP="00E57AC6">
      <w:pPr>
        <w:pStyle w:val="ListParagraph"/>
        <w:rPr>
          <w:sz w:val="20"/>
          <w:szCs w:val="20"/>
        </w:rPr>
      </w:pPr>
    </w:p>
    <w:p w14:paraId="5CEBF689" w14:textId="77777777" w:rsidR="00E57AC6" w:rsidRPr="005C0994"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5C0994">
        <w:rPr>
          <w:rFonts w:asciiTheme="majorHAnsi" w:hAnsiTheme="majorHAnsi"/>
          <w:sz w:val="20"/>
        </w:rPr>
        <w:t xml:space="preserve">Finally, the Commission recalls that its review does not consist of determining that the death penalty in and of itself violates the American Declaration. What this section addresses is the standard of review of the alleged human rights violations in the context of </w:t>
      </w:r>
      <w:r w:rsidR="002E3921" w:rsidRPr="005C0994">
        <w:rPr>
          <w:rFonts w:asciiTheme="majorHAnsi" w:hAnsiTheme="majorHAnsi"/>
          <w:sz w:val="20"/>
        </w:rPr>
        <w:t>criminal proceedings in a case involving the application of t</w:t>
      </w:r>
      <w:r w:rsidRPr="005C0994">
        <w:rPr>
          <w:rFonts w:asciiTheme="majorHAnsi" w:hAnsiTheme="majorHAnsi"/>
          <w:sz w:val="20"/>
        </w:rPr>
        <w:t>he death penalty.</w:t>
      </w:r>
    </w:p>
    <w:p w14:paraId="635DCAD9" w14:textId="77777777" w:rsidR="00E57AC6" w:rsidRPr="005C0994" w:rsidRDefault="00E57AC6" w:rsidP="00B55F23">
      <w:pPr>
        <w:pStyle w:val="Heading2"/>
        <w:tabs>
          <w:tab w:val="left" w:pos="360"/>
        </w:tabs>
        <w:spacing w:before="0"/>
        <w:rPr>
          <w:sz w:val="20"/>
          <w:szCs w:val="20"/>
        </w:rPr>
      </w:pPr>
    </w:p>
    <w:p w14:paraId="203BC1F2" w14:textId="77777777" w:rsidR="00677DA7" w:rsidRPr="005C0994" w:rsidRDefault="00582D0D" w:rsidP="009C6457">
      <w:pPr>
        <w:pStyle w:val="Heading2"/>
        <w:numPr>
          <w:ilvl w:val="0"/>
          <w:numId w:val="61"/>
        </w:numPr>
        <w:tabs>
          <w:tab w:val="left" w:pos="360"/>
        </w:tabs>
        <w:spacing w:before="0"/>
        <w:ind w:left="0" w:firstLine="0"/>
        <w:jc w:val="both"/>
        <w:rPr>
          <w:color w:val="auto"/>
          <w:sz w:val="20"/>
          <w:szCs w:val="20"/>
        </w:rPr>
      </w:pPr>
      <w:bookmarkStart w:id="20" w:name="_Toc90297875"/>
      <w:r w:rsidRPr="005C0994">
        <w:rPr>
          <w:color w:val="auto"/>
          <w:sz w:val="20"/>
          <w:szCs w:val="20"/>
        </w:rPr>
        <w:t>R</w:t>
      </w:r>
      <w:r w:rsidR="00AB2ECE" w:rsidRPr="005C0994">
        <w:rPr>
          <w:color w:val="auto"/>
          <w:sz w:val="20"/>
          <w:szCs w:val="20"/>
        </w:rPr>
        <w:t>ight to a fair trial</w:t>
      </w:r>
      <w:r w:rsidR="00F61B4C" w:rsidRPr="005C0994">
        <w:rPr>
          <w:rStyle w:val="FootnoteReference"/>
          <w:color w:val="auto"/>
          <w:sz w:val="20"/>
          <w:szCs w:val="20"/>
        </w:rPr>
        <w:footnoteReference w:id="39"/>
      </w:r>
      <w:r w:rsidR="002E3921" w:rsidRPr="005C0994">
        <w:rPr>
          <w:color w:val="auto"/>
          <w:sz w:val="20"/>
          <w:szCs w:val="20"/>
        </w:rPr>
        <w:t xml:space="preserve"> </w:t>
      </w:r>
      <w:r w:rsidR="00BE66B0" w:rsidRPr="005C0994">
        <w:rPr>
          <w:color w:val="auto"/>
          <w:sz w:val="20"/>
          <w:szCs w:val="20"/>
        </w:rPr>
        <w:t>and</w:t>
      </w:r>
      <w:r w:rsidR="00AB2ECE" w:rsidRPr="005C0994">
        <w:rPr>
          <w:color w:val="auto"/>
          <w:sz w:val="20"/>
          <w:szCs w:val="20"/>
        </w:rPr>
        <w:t xml:space="preserve"> </w:t>
      </w:r>
      <w:r w:rsidR="00B55F23" w:rsidRPr="005C0994">
        <w:rPr>
          <w:color w:val="auto"/>
          <w:sz w:val="20"/>
          <w:szCs w:val="20"/>
        </w:rPr>
        <w:t>right to due process of law</w:t>
      </w:r>
      <w:r w:rsidR="00F61B4C" w:rsidRPr="005C0994">
        <w:rPr>
          <w:rStyle w:val="FootnoteReference"/>
          <w:color w:val="auto"/>
          <w:sz w:val="20"/>
          <w:szCs w:val="20"/>
        </w:rPr>
        <w:footnoteReference w:id="40"/>
      </w:r>
      <w:bookmarkEnd w:id="20"/>
      <w:r w:rsidR="00B55F23" w:rsidRPr="005C0994">
        <w:rPr>
          <w:color w:val="auto"/>
          <w:sz w:val="20"/>
          <w:szCs w:val="20"/>
        </w:rPr>
        <w:t xml:space="preserve"> </w:t>
      </w:r>
    </w:p>
    <w:p w14:paraId="2F8C35F6" w14:textId="77777777" w:rsidR="002C6C33" w:rsidRPr="005C0994" w:rsidRDefault="002C6C33" w:rsidP="002C6C33">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30FED810" w14:textId="77777777" w:rsidR="00B9441F" w:rsidRPr="005C0994" w:rsidRDefault="00B9441F" w:rsidP="00B9441F">
      <w:pPr>
        <w:pStyle w:val="Heading3"/>
        <w:numPr>
          <w:ilvl w:val="1"/>
          <w:numId w:val="53"/>
        </w:numPr>
        <w:spacing w:before="0"/>
        <w:ind w:left="360"/>
        <w:rPr>
          <w:color w:val="auto"/>
          <w:sz w:val="20"/>
          <w:szCs w:val="20"/>
        </w:rPr>
      </w:pPr>
      <w:bookmarkStart w:id="21" w:name="_Toc90297876"/>
      <w:r w:rsidRPr="005C0994">
        <w:rPr>
          <w:color w:val="auto"/>
          <w:sz w:val="20"/>
          <w:szCs w:val="20"/>
        </w:rPr>
        <w:t>General considerations on the right to consular notification</w:t>
      </w:r>
      <w:bookmarkEnd w:id="21"/>
      <w:r w:rsidRPr="005C0994">
        <w:rPr>
          <w:color w:val="auto"/>
          <w:sz w:val="20"/>
          <w:szCs w:val="20"/>
        </w:rPr>
        <w:t xml:space="preserve"> </w:t>
      </w:r>
    </w:p>
    <w:p w14:paraId="3BB3B268" w14:textId="77777777" w:rsidR="002F12A8" w:rsidRPr="005C0994" w:rsidRDefault="002F12A8" w:rsidP="002F12A8">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77D01C64" w14:textId="77777777" w:rsidR="002F12A8" w:rsidRPr="005C0994" w:rsidRDefault="002F12A8" w:rsidP="002F12A8">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Theme="majorHAnsi" w:hAnsiTheme="majorHAnsi"/>
          <w:sz w:val="20"/>
          <w:szCs w:val="20"/>
        </w:rPr>
        <w:t>The Commission has determined in previous cases that it is necessary and appropriate to consider the extent to which a state party has given effect to the requirements of Article 36 of the Vienna Convention for the purpose of evaluating that state’s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5C0994">
        <w:rPr>
          <w:rStyle w:val="FootnoteReference"/>
          <w:rFonts w:asciiTheme="majorHAnsi" w:hAnsiTheme="majorHAnsi"/>
          <w:sz w:val="20"/>
          <w:szCs w:val="20"/>
        </w:rPr>
        <w:footnoteReference w:id="41"/>
      </w:r>
    </w:p>
    <w:p w14:paraId="05DE15A7" w14:textId="77777777" w:rsidR="002F12A8" w:rsidRPr="005C0994" w:rsidRDefault="002F12A8" w:rsidP="002F12A8">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33F15BBF" w14:textId="77777777" w:rsidR="002F12A8" w:rsidRPr="005C0994" w:rsidRDefault="002F12A8" w:rsidP="002F12A8">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Cambria" w:hAnsi="Cambria" w:cs="Arial"/>
          <w:sz w:val="20"/>
          <w:szCs w:val="20"/>
        </w:rPr>
        <w:t xml:space="preserve">On March 31, 2004, the International Court of Justice found in the </w:t>
      </w:r>
      <w:r w:rsidRPr="005C0994">
        <w:rPr>
          <w:rFonts w:ascii="Cambria" w:hAnsi="Cambria" w:cs="Arial"/>
          <w:i/>
          <w:sz w:val="20"/>
          <w:szCs w:val="20"/>
        </w:rPr>
        <w:t xml:space="preserve">Case concerning </w:t>
      </w:r>
      <w:proofErr w:type="spellStart"/>
      <w:r w:rsidRPr="005C0994">
        <w:rPr>
          <w:rFonts w:ascii="Cambria" w:hAnsi="Cambria" w:cs="Arial"/>
          <w:i/>
          <w:sz w:val="20"/>
          <w:szCs w:val="20"/>
        </w:rPr>
        <w:t>Avena</w:t>
      </w:r>
      <w:proofErr w:type="spellEnd"/>
      <w:r w:rsidRPr="005C0994">
        <w:rPr>
          <w:rFonts w:ascii="Cambria" w:hAnsi="Cambria" w:cs="Arial"/>
          <w:i/>
          <w:sz w:val="20"/>
          <w:szCs w:val="20"/>
        </w:rPr>
        <w:t xml:space="preserve"> and Other Mexican Nationals (Mexico v. the United States of America)</w:t>
      </w:r>
      <w:r w:rsidRPr="005C0994">
        <w:rPr>
          <w:rFonts w:ascii="Cambria" w:hAnsi="Cambria" w:cs="Arial"/>
          <w:sz w:val="20"/>
          <w:szCs w:val="20"/>
        </w:rPr>
        <w:t xml:space="preserve"> that the United States of America had breached its obligations under the Vienna Convention with respect to Mr. </w:t>
      </w:r>
      <w:proofErr w:type="spellStart"/>
      <w:r w:rsidRPr="005C0994">
        <w:rPr>
          <w:rFonts w:ascii="Cambria" w:hAnsi="Cambria" w:cs="Arial"/>
          <w:sz w:val="20"/>
          <w:szCs w:val="20"/>
        </w:rPr>
        <w:t>Avena</w:t>
      </w:r>
      <w:proofErr w:type="spellEnd"/>
      <w:r w:rsidRPr="005C0994">
        <w:rPr>
          <w:rFonts w:ascii="Cambria" w:hAnsi="Cambria" w:cs="Arial"/>
          <w:sz w:val="20"/>
          <w:szCs w:val="20"/>
        </w:rPr>
        <w:t xml:space="preserve"> and 50 other Mexican nationals arrested and imprisoned for crimes in the United States by failing to inform them, without delay upon their detention, of their rights under Article 36 paragraph 1 (b) of the Vienna Convention.</w:t>
      </w:r>
      <w:r w:rsidRPr="005C0994">
        <w:rPr>
          <w:rStyle w:val="FootnoteReference"/>
          <w:rFonts w:ascii="Cambria" w:hAnsi="Cambria"/>
          <w:sz w:val="20"/>
          <w:szCs w:val="20"/>
        </w:rPr>
        <w:footnoteReference w:id="42"/>
      </w:r>
      <w:r w:rsidRPr="005C0994">
        <w:rPr>
          <w:rFonts w:ascii="Cambria" w:hAnsi="Cambria" w:cs="Arial"/>
          <w:sz w:val="20"/>
          <w:szCs w:val="20"/>
        </w:rPr>
        <w:t xml:space="preserve"> The Court found that those individuals were entitled to review and reconsideration of their convictions and sentences regardless of their failure to comply with generally applicable state rules governing challenges to criminal convictions</w:t>
      </w:r>
      <w:r w:rsidRPr="005C0994">
        <w:rPr>
          <w:rFonts w:ascii="Cambria" w:hAnsi="Cambria" w:cs="Century Schoolbook"/>
          <w:color w:val="000000"/>
          <w:sz w:val="20"/>
          <w:szCs w:val="20"/>
        </w:rPr>
        <w:t>.</w:t>
      </w:r>
      <w:r w:rsidRPr="005C0994">
        <w:rPr>
          <w:rFonts w:ascii="Cambria" w:hAnsi="Cambria"/>
          <w:b/>
          <w:bCs/>
          <w:sz w:val="20"/>
          <w:szCs w:val="20"/>
        </w:rPr>
        <w:t xml:space="preserve"> </w:t>
      </w:r>
      <w:r w:rsidRPr="005C0994">
        <w:rPr>
          <w:rFonts w:ascii="Cambria" w:hAnsi="Cambria" w:cs="Arial"/>
          <w:sz w:val="20"/>
          <w:szCs w:val="20"/>
        </w:rPr>
        <w:t xml:space="preserve">Mr. </w:t>
      </w:r>
      <w:proofErr w:type="spellStart"/>
      <w:r w:rsidRPr="005C0994">
        <w:rPr>
          <w:rFonts w:ascii="Cambria" w:hAnsi="Cambria" w:cs="Arial"/>
          <w:sz w:val="20"/>
          <w:szCs w:val="20"/>
        </w:rPr>
        <w:t>Loza</w:t>
      </w:r>
      <w:proofErr w:type="spellEnd"/>
      <w:r w:rsidRPr="005C0994">
        <w:rPr>
          <w:rFonts w:ascii="Cambria" w:hAnsi="Cambria" w:cs="Arial"/>
          <w:sz w:val="20"/>
          <w:szCs w:val="20"/>
        </w:rPr>
        <w:t xml:space="preserve"> was one of the 51 Mexican nationals named in the ICJ judgment.</w:t>
      </w:r>
    </w:p>
    <w:p w14:paraId="4D596B14" w14:textId="77777777" w:rsidR="002F12A8" w:rsidRPr="005C0994" w:rsidRDefault="002F12A8" w:rsidP="002F12A8">
      <w:pPr>
        <w:pStyle w:val="ListParagraph"/>
        <w:rPr>
          <w:sz w:val="20"/>
          <w:szCs w:val="20"/>
        </w:rPr>
      </w:pPr>
    </w:p>
    <w:p w14:paraId="7A6DBD0C" w14:textId="77777777" w:rsidR="002F12A8" w:rsidRPr="005C0994" w:rsidRDefault="002F12A8" w:rsidP="002F12A8">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Cambria" w:hAnsi="Cambria"/>
          <w:sz w:val="20"/>
          <w:szCs w:val="20"/>
        </w:rPr>
        <w:t xml:space="preserve">On March 25, 2008, the United States Supreme Court held, in </w:t>
      </w:r>
      <w:r w:rsidRPr="005C0994">
        <w:rPr>
          <w:rFonts w:ascii="Cambria" w:hAnsi="Cambria"/>
          <w:i/>
          <w:sz w:val="20"/>
          <w:szCs w:val="20"/>
        </w:rPr>
        <w:t>Medellín v. Texas</w:t>
      </w:r>
      <w:r w:rsidRPr="005C0994">
        <w:rPr>
          <w:rFonts w:ascii="Cambria" w:hAnsi="Cambria"/>
          <w:sz w:val="20"/>
          <w:szCs w:val="20"/>
        </w:rPr>
        <w:t xml:space="preserve">, that in the absence of congressional legislation, the ICJ judgment in </w:t>
      </w:r>
      <w:proofErr w:type="spellStart"/>
      <w:r w:rsidRPr="005C0994">
        <w:rPr>
          <w:rFonts w:ascii="Cambria" w:hAnsi="Cambria"/>
          <w:i/>
          <w:sz w:val="20"/>
          <w:szCs w:val="20"/>
        </w:rPr>
        <w:t>Avena</w:t>
      </w:r>
      <w:proofErr w:type="spellEnd"/>
      <w:r w:rsidRPr="005C0994">
        <w:rPr>
          <w:rFonts w:ascii="Cambria" w:hAnsi="Cambria"/>
          <w:sz w:val="20"/>
          <w:szCs w:val="20"/>
        </w:rPr>
        <w:t xml:space="preserve"> was not directly enforceable as domestic law in state courts because the Optional Protocol to the Vienna Convention was not “self-executing.”</w:t>
      </w:r>
      <w:r w:rsidRPr="005C0994">
        <w:rPr>
          <w:rStyle w:val="FootnoteReference"/>
          <w:rFonts w:ascii="Cambria" w:hAnsi="Cambria"/>
          <w:sz w:val="20"/>
          <w:szCs w:val="20"/>
        </w:rPr>
        <w:footnoteReference w:id="43"/>
      </w:r>
      <w:r w:rsidRPr="005C0994">
        <w:rPr>
          <w:rFonts w:ascii="Cambria" w:hAnsi="Cambria"/>
          <w:sz w:val="20"/>
          <w:szCs w:val="20"/>
        </w:rPr>
        <w:t xml:space="preserve"> However, the opinions agreed that compliance with </w:t>
      </w:r>
      <w:proofErr w:type="spellStart"/>
      <w:r w:rsidRPr="005C0994">
        <w:rPr>
          <w:rFonts w:ascii="Cambria" w:hAnsi="Cambria"/>
          <w:i/>
          <w:sz w:val="20"/>
          <w:szCs w:val="20"/>
        </w:rPr>
        <w:t>Avena</w:t>
      </w:r>
      <w:proofErr w:type="spellEnd"/>
      <w:r w:rsidRPr="005C0994">
        <w:rPr>
          <w:rFonts w:ascii="Cambria" w:hAnsi="Cambria"/>
          <w:sz w:val="20"/>
          <w:szCs w:val="20"/>
        </w:rPr>
        <w:t xml:space="preserve"> is an international legal obligation of the United States and that Congress has the authority to implement that obligation.</w:t>
      </w:r>
      <w:r w:rsidRPr="005C0994">
        <w:rPr>
          <w:rStyle w:val="FootnoteReference"/>
          <w:rFonts w:ascii="Cambria" w:hAnsi="Cambria"/>
          <w:sz w:val="20"/>
          <w:szCs w:val="20"/>
        </w:rPr>
        <w:footnoteReference w:id="44"/>
      </w:r>
    </w:p>
    <w:p w14:paraId="5EFA6CF2" w14:textId="77777777" w:rsidR="002F12A8" w:rsidRPr="005C0994" w:rsidRDefault="002F12A8" w:rsidP="002F12A8">
      <w:pPr>
        <w:tabs>
          <w:tab w:val="left" w:pos="0"/>
        </w:tabs>
        <w:jc w:val="both"/>
        <w:rPr>
          <w:rFonts w:ascii="Cambria" w:hAnsi="Cambria"/>
          <w:sz w:val="20"/>
          <w:szCs w:val="20"/>
        </w:rPr>
      </w:pPr>
    </w:p>
    <w:p w14:paraId="483255DB" w14:textId="77777777" w:rsidR="00B9441F" w:rsidRPr="005C0994" w:rsidRDefault="00B9441F" w:rsidP="00B9441F">
      <w:pPr>
        <w:pStyle w:val="Heading3"/>
        <w:numPr>
          <w:ilvl w:val="1"/>
          <w:numId w:val="53"/>
        </w:numPr>
        <w:spacing w:before="0"/>
        <w:ind w:left="360"/>
        <w:rPr>
          <w:color w:val="auto"/>
          <w:sz w:val="20"/>
          <w:szCs w:val="20"/>
        </w:rPr>
      </w:pPr>
      <w:bookmarkStart w:id="22" w:name="_Toc90297877"/>
      <w:r w:rsidRPr="005C0994">
        <w:rPr>
          <w:color w:val="auto"/>
          <w:sz w:val="20"/>
          <w:szCs w:val="20"/>
        </w:rPr>
        <w:t>Analysis of the case</w:t>
      </w:r>
      <w:bookmarkEnd w:id="22"/>
    </w:p>
    <w:p w14:paraId="4E149982" w14:textId="77777777" w:rsidR="00B9441F" w:rsidRPr="005C0994" w:rsidRDefault="00B9441F" w:rsidP="002F12A8">
      <w:pPr>
        <w:tabs>
          <w:tab w:val="left" w:pos="0"/>
        </w:tabs>
        <w:jc w:val="both"/>
        <w:rPr>
          <w:rFonts w:ascii="Cambria" w:hAnsi="Cambria"/>
          <w:sz w:val="20"/>
          <w:szCs w:val="20"/>
        </w:rPr>
      </w:pPr>
    </w:p>
    <w:p w14:paraId="07520019" w14:textId="77777777" w:rsidR="002F12A8" w:rsidRPr="005C0994" w:rsidRDefault="002F12A8" w:rsidP="002F12A8">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 xml:space="preserve">In the present case, the </w:t>
      </w:r>
      <w:r w:rsidR="00B9441F" w:rsidRPr="005C0994">
        <w:rPr>
          <w:rFonts w:ascii="Cambria" w:hAnsi="Cambria"/>
          <w:sz w:val="20"/>
          <w:szCs w:val="20"/>
        </w:rPr>
        <w:t>p</w:t>
      </w:r>
      <w:r w:rsidRPr="005C0994">
        <w:rPr>
          <w:rFonts w:ascii="Cambria" w:hAnsi="Cambria"/>
          <w:sz w:val="20"/>
          <w:szCs w:val="20"/>
        </w:rPr>
        <w:t xml:space="preserve">etitioners allege that Mr. </w:t>
      </w:r>
      <w:proofErr w:type="spellStart"/>
      <w:r w:rsidRPr="005C0994">
        <w:rPr>
          <w:rFonts w:ascii="Cambria" w:hAnsi="Cambria"/>
          <w:sz w:val="20"/>
          <w:szCs w:val="20"/>
        </w:rPr>
        <w:t>Loza</w:t>
      </w:r>
      <w:proofErr w:type="spellEnd"/>
      <w:r w:rsidRPr="005C0994">
        <w:rPr>
          <w:rFonts w:ascii="Cambria" w:hAnsi="Cambria"/>
          <w:sz w:val="20"/>
          <w:szCs w:val="20"/>
        </w:rPr>
        <w:t xml:space="preserve"> is a national of Mexico and that law enforcement authorities in Ohio were aware of this fact. Mr. </w:t>
      </w:r>
      <w:proofErr w:type="spellStart"/>
      <w:r w:rsidRPr="005C0994">
        <w:rPr>
          <w:rFonts w:ascii="Cambria" w:hAnsi="Cambria"/>
          <w:sz w:val="20"/>
          <w:szCs w:val="20"/>
        </w:rPr>
        <w:t>Loza</w:t>
      </w:r>
      <w:proofErr w:type="spellEnd"/>
      <w:r w:rsidRPr="005C0994">
        <w:rPr>
          <w:rFonts w:ascii="Cambria" w:hAnsi="Cambria"/>
          <w:sz w:val="20"/>
          <w:szCs w:val="20"/>
        </w:rPr>
        <w:t xml:space="preserve"> has stated that he was never informed of his right to consular notification when arrested or subsequent thereto. The State has not disputed the petitioners’ contentions in this regard save for attesting to the Convention’s non-binding provisions. Accordingly, based upon the information and arguments presented, the Commission concludes that Mr. </w:t>
      </w:r>
      <w:proofErr w:type="spellStart"/>
      <w:r w:rsidRPr="005C0994">
        <w:rPr>
          <w:rFonts w:ascii="Cambria" w:hAnsi="Cambria"/>
          <w:sz w:val="20"/>
          <w:szCs w:val="20"/>
        </w:rPr>
        <w:t>Loza</w:t>
      </w:r>
      <w:proofErr w:type="spellEnd"/>
      <w:r w:rsidRPr="005C0994">
        <w:rPr>
          <w:rFonts w:ascii="Cambria" w:hAnsi="Cambria"/>
          <w:sz w:val="20"/>
          <w:szCs w:val="20"/>
        </w:rPr>
        <w:t xml:space="preserve"> was not notified of his right to consular assistance at or subsequent to the time of his arrest and did not have access to consular officials until after his trial had ended. </w:t>
      </w:r>
    </w:p>
    <w:p w14:paraId="6FDA79D3" w14:textId="77777777" w:rsidR="002F12A8" w:rsidRPr="005C0994" w:rsidRDefault="002F12A8" w:rsidP="002F12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cs="Cambria"/>
          <w:color w:val="000000"/>
          <w:lang w:eastAsia="es-ES"/>
        </w:rPr>
      </w:pPr>
    </w:p>
    <w:p w14:paraId="2B807D14" w14:textId="77777777" w:rsidR="002F12A8" w:rsidRPr="005C0994" w:rsidRDefault="002F12A8" w:rsidP="002F12A8">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 xml:space="preserve">As the Commission has determined in previous cases, given the comprehensive assistance provided by the Mexican Government to its citizens in death penalty cases in the United States, the IACHR believes that there is a reasonable probability that, had Mr. </w:t>
      </w:r>
      <w:proofErr w:type="spellStart"/>
      <w:r w:rsidRPr="005C0994">
        <w:rPr>
          <w:rFonts w:ascii="Cambria" w:hAnsi="Cambria"/>
          <w:sz w:val="20"/>
          <w:szCs w:val="20"/>
        </w:rPr>
        <w:t>Loza</w:t>
      </w:r>
      <w:proofErr w:type="spellEnd"/>
      <w:r w:rsidRPr="005C0994">
        <w:rPr>
          <w:rFonts w:ascii="Cambria" w:hAnsi="Cambria"/>
          <w:sz w:val="20"/>
          <w:szCs w:val="20"/>
        </w:rPr>
        <w:t xml:space="preserve"> received consular assistance at the time of his arrest, this would have had a positive impact in the development of his criminal case. More specifically, it may well have had a positive impact on his right to an adequate defense.</w:t>
      </w:r>
      <w:r w:rsidRPr="005C0994">
        <w:rPr>
          <w:rStyle w:val="FootnoteReference"/>
          <w:rFonts w:ascii="Cambria" w:hAnsi="Cambria"/>
          <w:sz w:val="20"/>
          <w:szCs w:val="20"/>
        </w:rPr>
        <w:footnoteReference w:id="45"/>
      </w:r>
      <w:r w:rsidRPr="005C0994">
        <w:rPr>
          <w:rFonts w:ascii="Cambria" w:hAnsi="Cambria"/>
          <w:sz w:val="20"/>
          <w:szCs w:val="20"/>
        </w:rPr>
        <w:t xml:space="preserve"> </w:t>
      </w:r>
    </w:p>
    <w:p w14:paraId="7B4B319E" w14:textId="77777777" w:rsidR="002F12A8" w:rsidRPr="005C0994" w:rsidRDefault="002F12A8" w:rsidP="002F12A8">
      <w:pPr>
        <w:rPr>
          <w:sz w:val="20"/>
          <w:szCs w:val="20"/>
        </w:rPr>
      </w:pPr>
    </w:p>
    <w:p w14:paraId="0EBB73EF" w14:textId="77777777" w:rsidR="002F12A8" w:rsidRPr="005C0994" w:rsidRDefault="002F12A8" w:rsidP="002F12A8">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 xml:space="preserve">Based upon the foregoing, the Commission concludes that the State’s obligation under Article 36 of the Vienna Convention to inform Mr. </w:t>
      </w:r>
      <w:proofErr w:type="spellStart"/>
      <w:r w:rsidRPr="005C0994">
        <w:rPr>
          <w:rFonts w:ascii="Cambria" w:hAnsi="Cambria"/>
          <w:sz w:val="20"/>
          <w:szCs w:val="20"/>
        </w:rPr>
        <w:t>Loza</w:t>
      </w:r>
      <w:proofErr w:type="spellEnd"/>
      <w:r w:rsidRPr="005C0994">
        <w:rPr>
          <w:rFonts w:ascii="Cambria" w:hAnsi="Cambria"/>
          <w:sz w:val="20"/>
          <w:szCs w:val="20"/>
        </w:rPr>
        <w:t xml:space="preserve"> of his right to consular notification constituted a fundamental component of the due process standards to which he is entitled under Articles XVIII and XXVI of the Declaration, and that the State’s failure to respect and ensure this obligation deprived Mr. </w:t>
      </w:r>
      <w:proofErr w:type="spellStart"/>
      <w:r w:rsidRPr="005C0994">
        <w:rPr>
          <w:rFonts w:ascii="Cambria" w:hAnsi="Cambria"/>
          <w:sz w:val="20"/>
          <w:szCs w:val="20"/>
        </w:rPr>
        <w:t>Loza</w:t>
      </w:r>
      <w:proofErr w:type="spellEnd"/>
      <w:r w:rsidRPr="005C0994">
        <w:rPr>
          <w:rFonts w:ascii="Cambria" w:hAnsi="Cambria"/>
          <w:sz w:val="20"/>
          <w:szCs w:val="20"/>
        </w:rPr>
        <w:t xml:space="preserve"> of a criminal process that satisfied the minimum standards of due process and a fair trial required under Articles XVIII and XXVI of the Declaration. </w:t>
      </w:r>
    </w:p>
    <w:p w14:paraId="485B6347" w14:textId="77777777" w:rsidR="002F12A8" w:rsidRPr="005C0994" w:rsidRDefault="002F12A8" w:rsidP="002F12A8">
      <w:pPr>
        <w:pStyle w:val="NormalWeb"/>
        <w:shd w:val="clear" w:color="auto" w:fill="FFFFFF"/>
        <w:tabs>
          <w:tab w:val="left" w:pos="360"/>
        </w:tabs>
        <w:spacing w:before="0" w:beforeAutospacing="0" w:after="0" w:afterAutospacing="0"/>
        <w:jc w:val="both"/>
        <w:rPr>
          <w:rFonts w:ascii="Cambria" w:hAnsi="Cambria"/>
          <w:sz w:val="20"/>
          <w:szCs w:val="20"/>
        </w:rPr>
      </w:pPr>
    </w:p>
    <w:p w14:paraId="74FC7142" w14:textId="77777777" w:rsidR="006E1407" w:rsidRPr="005C0994" w:rsidRDefault="00B9441F" w:rsidP="00224AA7">
      <w:pPr>
        <w:pStyle w:val="Heading3"/>
        <w:numPr>
          <w:ilvl w:val="1"/>
          <w:numId w:val="53"/>
        </w:numPr>
        <w:spacing w:before="0"/>
        <w:ind w:left="360"/>
        <w:rPr>
          <w:color w:val="auto"/>
          <w:sz w:val="20"/>
          <w:szCs w:val="20"/>
        </w:rPr>
      </w:pPr>
      <w:bookmarkStart w:id="23" w:name="_Toc90297878"/>
      <w:r w:rsidRPr="005C0994">
        <w:rPr>
          <w:color w:val="auto"/>
          <w:sz w:val="20"/>
          <w:szCs w:val="20"/>
        </w:rPr>
        <w:t>General considerations on i</w:t>
      </w:r>
      <w:r w:rsidR="002C6C33" w:rsidRPr="005C0994">
        <w:rPr>
          <w:color w:val="auto"/>
          <w:sz w:val="20"/>
          <w:szCs w:val="20"/>
        </w:rPr>
        <w:t>neffective assistance</w:t>
      </w:r>
      <w:r w:rsidR="000C5DEE" w:rsidRPr="005C0994">
        <w:rPr>
          <w:color w:val="auto"/>
          <w:sz w:val="20"/>
          <w:szCs w:val="20"/>
        </w:rPr>
        <w:t xml:space="preserve"> of </w:t>
      </w:r>
      <w:r w:rsidR="00AB6F62" w:rsidRPr="005C0994">
        <w:rPr>
          <w:color w:val="auto"/>
          <w:sz w:val="20"/>
          <w:szCs w:val="20"/>
        </w:rPr>
        <w:t xml:space="preserve">court-appointed </w:t>
      </w:r>
      <w:r w:rsidR="000C5DEE" w:rsidRPr="005C0994">
        <w:rPr>
          <w:color w:val="auto"/>
          <w:sz w:val="20"/>
          <w:szCs w:val="20"/>
        </w:rPr>
        <w:t>counsel</w:t>
      </w:r>
      <w:bookmarkEnd w:id="23"/>
      <w:r w:rsidR="000C5DEE" w:rsidRPr="005C0994">
        <w:rPr>
          <w:color w:val="auto"/>
          <w:sz w:val="20"/>
          <w:szCs w:val="20"/>
        </w:rPr>
        <w:t xml:space="preserve"> </w:t>
      </w:r>
    </w:p>
    <w:p w14:paraId="1391E259" w14:textId="77777777" w:rsidR="000C5DEE" w:rsidRPr="005C0994" w:rsidRDefault="000C5DEE" w:rsidP="000C5DEE">
      <w:pPr>
        <w:pStyle w:val="NormalWeb"/>
        <w:shd w:val="clear" w:color="auto" w:fill="FFFFFF"/>
        <w:tabs>
          <w:tab w:val="left" w:pos="360"/>
        </w:tabs>
        <w:spacing w:before="0" w:beforeAutospacing="0" w:after="0" w:afterAutospacing="0"/>
        <w:jc w:val="both"/>
        <w:rPr>
          <w:rFonts w:asciiTheme="majorHAnsi" w:hAnsiTheme="majorHAnsi"/>
          <w:b/>
          <w:sz w:val="20"/>
          <w:szCs w:val="20"/>
        </w:rPr>
      </w:pPr>
    </w:p>
    <w:p w14:paraId="5EA51D10" w14:textId="77777777" w:rsidR="00D12883" w:rsidRPr="005C0994" w:rsidRDefault="00D12883" w:rsidP="00D128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Theme="majorHAnsi" w:hAnsiTheme="majorHAnsi"/>
          <w:sz w:val="20"/>
          <w:szCs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5C0994">
        <w:rPr>
          <w:rStyle w:val="FootnoteReference"/>
          <w:rFonts w:asciiTheme="majorHAnsi" w:eastAsia="Arial Unicode MS" w:hAnsiTheme="majorHAnsi"/>
          <w:sz w:val="20"/>
          <w:szCs w:val="20"/>
          <w:bdr w:val="nil"/>
        </w:rPr>
        <w:footnoteReference w:id="46"/>
      </w:r>
      <w:r w:rsidRPr="005C0994">
        <w:rPr>
          <w:rFonts w:asciiTheme="majorHAnsi" w:hAnsiTheme="majorHAnsi"/>
          <w:sz w:val="20"/>
          <w:szCs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5C0994">
        <w:rPr>
          <w:rStyle w:val="FootnoteReference"/>
          <w:rFonts w:asciiTheme="majorHAnsi" w:eastAsia="Arial Unicode MS" w:hAnsiTheme="majorHAnsi"/>
          <w:sz w:val="20"/>
          <w:szCs w:val="20"/>
          <w:bdr w:val="nil"/>
        </w:rPr>
        <w:footnoteReference w:id="47"/>
      </w:r>
    </w:p>
    <w:p w14:paraId="7F58D982" w14:textId="77777777" w:rsidR="00D12883" w:rsidRPr="005C0994" w:rsidRDefault="00D12883" w:rsidP="00565C1A">
      <w:pPr>
        <w:rPr>
          <w:sz w:val="20"/>
          <w:szCs w:val="20"/>
        </w:rPr>
      </w:pPr>
    </w:p>
    <w:p w14:paraId="0E9D433F" w14:textId="77777777" w:rsidR="00095A0A" w:rsidRPr="005C0994" w:rsidRDefault="00D12883" w:rsidP="00B36330">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rPr>
      </w:pPr>
      <w:r w:rsidRPr="005C0994">
        <w:rPr>
          <w:rFonts w:ascii="Cambria" w:hAnsi="Cambria"/>
          <w:sz w:val="20"/>
          <w:szCs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5C0994">
        <w:rPr>
          <w:rStyle w:val="FootnoteReference"/>
          <w:rFonts w:asciiTheme="majorHAnsi" w:hAnsiTheme="majorHAnsi"/>
          <w:sz w:val="20"/>
        </w:rPr>
        <w:footnoteReference w:id="48"/>
      </w:r>
      <w:r w:rsidRPr="005C0994">
        <w:rPr>
          <w:rFonts w:ascii="Cambria" w:hAnsi="Cambria"/>
          <w:sz w:val="20"/>
          <w:szCs w:val="20"/>
        </w:rPr>
        <w:t xml:space="preserve"> </w:t>
      </w:r>
      <w:r w:rsidR="00095A0A" w:rsidRPr="005C0994">
        <w:rPr>
          <w:rFonts w:ascii="Cambria" w:hAnsi="Cambria"/>
          <w:sz w:val="20"/>
          <w:szCs w:val="20"/>
        </w:rPr>
        <w:t xml:space="preserve">The Commission has also indicated that due process protections, under the Declaration: </w:t>
      </w:r>
    </w:p>
    <w:p w14:paraId="42297478" w14:textId="77777777" w:rsidR="00095A0A" w:rsidRPr="005C0994" w:rsidRDefault="00095A0A" w:rsidP="00095A0A">
      <w:pPr>
        <w:pStyle w:val="ListParagraph"/>
        <w:tabs>
          <w:tab w:val="left" w:pos="360"/>
        </w:tabs>
        <w:autoSpaceDE w:val="0"/>
        <w:autoSpaceDN w:val="0"/>
        <w:adjustRightInd w:val="0"/>
        <w:ind w:left="0"/>
        <w:jc w:val="both"/>
        <w:rPr>
          <w:sz w:val="20"/>
        </w:rPr>
      </w:pPr>
    </w:p>
    <w:p w14:paraId="4B65FC5B" w14:textId="77777777" w:rsidR="00095A0A" w:rsidRPr="005C0994" w:rsidRDefault="00095A0A" w:rsidP="00095A0A">
      <w:pPr>
        <w:pStyle w:val="ListParagraph"/>
        <w:tabs>
          <w:tab w:val="left" w:pos="360"/>
        </w:tabs>
        <w:autoSpaceDE w:val="0"/>
        <w:autoSpaceDN w:val="0"/>
        <w:adjustRightInd w:val="0"/>
        <w:ind w:left="360" w:right="360"/>
        <w:jc w:val="both"/>
        <w:rPr>
          <w:sz w:val="18"/>
          <w:szCs w:val="18"/>
        </w:rPr>
      </w:pPr>
      <w:r w:rsidRPr="005C0994">
        <w:rPr>
          <w:sz w:val="18"/>
          <w:szCs w:val="18"/>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5C0994">
        <w:rPr>
          <w:rStyle w:val="FootnoteReference"/>
          <w:sz w:val="18"/>
          <w:szCs w:val="18"/>
        </w:rPr>
        <w:footnoteReference w:id="49"/>
      </w:r>
    </w:p>
    <w:p w14:paraId="228F03F4" w14:textId="77777777" w:rsidR="00095A0A" w:rsidRPr="005C0994" w:rsidRDefault="00095A0A" w:rsidP="00095A0A">
      <w:pPr>
        <w:pStyle w:val="ListParagraph"/>
        <w:tabs>
          <w:tab w:val="left" w:pos="360"/>
        </w:tabs>
        <w:autoSpaceDE w:val="0"/>
        <w:autoSpaceDN w:val="0"/>
        <w:adjustRightInd w:val="0"/>
        <w:ind w:left="0"/>
        <w:jc w:val="both"/>
        <w:rPr>
          <w:sz w:val="20"/>
        </w:rPr>
      </w:pPr>
    </w:p>
    <w:p w14:paraId="639779C3" w14:textId="77777777" w:rsidR="009F0885" w:rsidRPr="005C0994" w:rsidRDefault="00095A0A" w:rsidP="009F088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Cambria" w:hAnsi="Cambria"/>
          <w:sz w:val="20"/>
          <w:szCs w:val="20"/>
        </w:rPr>
        <w:t xml:space="preserve">It may be noted that the fundamental nature of this guarantee has been reflected in practice guidelines for lawyers. The American Bar Association has prepared and adopted guidelines and related commentaries that </w:t>
      </w:r>
      <w:r w:rsidRPr="005C0994">
        <w:rPr>
          <w:rFonts w:ascii="Cambria" w:hAnsi="Cambria"/>
          <w:sz w:val="20"/>
          <w:szCs w:val="20"/>
        </w:rPr>
        <w:lastRenderedPageBreak/>
        <w:t>emphasize the importance of investigating and presenting mitigating evidence in death penalty cases.</w:t>
      </w:r>
      <w:r w:rsidRPr="005C0994">
        <w:rPr>
          <w:rStyle w:val="FootnoteReference"/>
          <w:rFonts w:asciiTheme="majorHAnsi" w:hAnsiTheme="majorHAnsi"/>
          <w:sz w:val="20"/>
        </w:rPr>
        <w:footnoteReference w:id="50"/>
      </w:r>
      <w:r w:rsidRPr="005C0994">
        <w:rPr>
          <w:rFonts w:ascii="Cambria" w:hAnsi="Cambria"/>
          <w:sz w:val="20"/>
          <w:szCs w:val="20"/>
        </w:rPr>
        <w:t xml:space="preserve"> According to these guidelines, the duty of counsel in the United States to investigate and present mitigating evidence is now well-established and “[b]</w:t>
      </w:r>
      <w:proofErr w:type="spellStart"/>
      <w:r w:rsidRPr="005C0994">
        <w:rPr>
          <w:rFonts w:ascii="Cambria" w:hAnsi="Cambria"/>
          <w:sz w:val="20"/>
          <w:szCs w:val="20"/>
        </w:rPr>
        <w:t>ecause</w:t>
      </w:r>
      <w:proofErr w:type="spellEnd"/>
      <w:r w:rsidRPr="005C0994">
        <w:rPr>
          <w:rFonts w:ascii="Cambria" w:hAnsi="Cambria"/>
          <w:sz w:val="20"/>
          <w:szCs w:val="20"/>
        </w:rPr>
        <w:t xml:space="preserv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5C0994">
        <w:rPr>
          <w:rStyle w:val="FootnoteReference"/>
          <w:rFonts w:asciiTheme="majorHAnsi" w:hAnsiTheme="majorHAnsi"/>
          <w:sz w:val="20"/>
        </w:rPr>
        <w:footnoteReference w:id="51"/>
      </w:r>
      <w:r w:rsidR="009F0885" w:rsidRPr="005C0994">
        <w:rPr>
          <w:rFonts w:ascii="Cambria" w:hAnsi="Cambria"/>
          <w:sz w:val="20"/>
          <w:szCs w:val="20"/>
        </w:rPr>
        <w:t xml:space="preserve"> </w:t>
      </w:r>
      <w:r w:rsidR="009F0885" w:rsidRPr="005C0994">
        <w:rPr>
          <w:rFonts w:ascii="Cambria" w:hAnsi="Cambria" w:cs="Cambria"/>
          <w:color w:val="000000"/>
          <w:sz w:val="20"/>
          <w:szCs w:val="20"/>
          <w:lang w:eastAsia="es-ES"/>
        </w:rPr>
        <w:t xml:space="preserve">The ABA has also reflected the significance of consular notification in its guidelines: </w:t>
      </w:r>
    </w:p>
    <w:p w14:paraId="45270AAD" w14:textId="77777777" w:rsidR="009F0885" w:rsidRPr="005C0994" w:rsidRDefault="009F0885" w:rsidP="009F0885">
      <w:pPr>
        <w:pStyle w:val="NormalWeb"/>
        <w:shd w:val="clear" w:color="auto" w:fill="FFFFFF"/>
        <w:tabs>
          <w:tab w:val="left" w:pos="360"/>
        </w:tabs>
        <w:spacing w:before="0" w:beforeAutospacing="0" w:after="0" w:afterAutospacing="0"/>
        <w:jc w:val="both"/>
        <w:rPr>
          <w:rFonts w:ascii="Cambria" w:eastAsia="Arial Unicode MS" w:hAnsi="Cambria" w:cs="Cambria"/>
          <w:color w:val="000000"/>
          <w:sz w:val="20"/>
          <w:szCs w:val="20"/>
          <w:bdr w:val="nil"/>
          <w:lang w:eastAsia="es-ES"/>
        </w:rPr>
      </w:pPr>
    </w:p>
    <w:p w14:paraId="05D16AB7" w14:textId="77777777" w:rsidR="009F0885" w:rsidRPr="005C0994" w:rsidRDefault="009F0885" w:rsidP="009F0885">
      <w:pPr>
        <w:pStyle w:val="NormalWeb"/>
        <w:shd w:val="clear" w:color="auto" w:fill="FFFFFF"/>
        <w:tabs>
          <w:tab w:val="left" w:pos="360"/>
        </w:tabs>
        <w:spacing w:before="0" w:beforeAutospacing="0" w:after="0" w:afterAutospacing="0"/>
        <w:ind w:left="360" w:right="360"/>
        <w:jc w:val="both"/>
        <w:rPr>
          <w:rFonts w:asciiTheme="majorHAnsi" w:hAnsiTheme="majorHAnsi"/>
          <w:sz w:val="18"/>
          <w:szCs w:val="18"/>
        </w:rPr>
      </w:pPr>
      <w:r w:rsidRPr="005C0994">
        <w:rPr>
          <w:rFonts w:ascii="Cambria" w:eastAsia="Arial Unicode MS" w:hAnsi="Cambria" w:cs="Cambria"/>
          <w:color w:val="000000"/>
          <w:sz w:val="18"/>
          <w:szCs w:val="18"/>
          <w:bdr w:val="nil"/>
          <w:lang w:eastAsia="es-ES"/>
        </w:rPr>
        <w:t>[u]</w:t>
      </w:r>
      <w:proofErr w:type="spellStart"/>
      <w:r w:rsidRPr="005C0994">
        <w:rPr>
          <w:rFonts w:ascii="Cambria" w:eastAsia="Arial Unicode MS" w:hAnsi="Cambria" w:cs="Cambria"/>
          <w:color w:val="000000"/>
          <w:sz w:val="18"/>
          <w:szCs w:val="18"/>
          <w:bdr w:val="nil"/>
          <w:lang w:eastAsia="es-ES"/>
        </w:rPr>
        <w:t>nless</w:t>
      </w:r>
      <w:proofErr w:type="spellEnd"/>
      <w:r w:rsidRPr="005C0994">
        <w:rPr>
          <w:rFonts w:ascii="Cambria" w:eastAsia="Arial Unicode MS" w:hAnsi="Cambria" w:cs="Cambria"/>
          <w:color w:val="000000"/>
          <w:sz w:val="18"/>
          <w:szCs w:val="18"/>
          <w:bdr w:val="nil"/>
          <w:lang w:eastAsia="es-ES"/>
        </w:rPr>
        <w:t xml:space="preserve"> predecessor counsel has already done so, counsel representing a foreign national should: 1. immediately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r w:rsidRPr="005C0994">
        <w:rPr>
          <w:rStyle w:val="FootnoteReference"/>
          <w:rFonts w:ascii="Cambria" w:eastAsia="Arial Unicode MS" w:hAnsi="Cambria"/>
          <w:color w:val="000000"/>
          <w:sz w:val="18"/>
          <w:szCs w:val="18"/>
          <w:bdr w:val="nil"/>
          <w:lang w:eastAsia="es-ES"/>
        </w:rPr>
        <w:footnoteReference w:id="52"/>
      </w:r>
    </w:p>
    <w:p w14:paraId="4DF7961E" w14:textId="77777777" w:rsidR="00E070DA" w:rsidRPr="005C0994" w:rsidRDefault="00E070DA"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2E46DA1C" w14:textId="77777777" w:rsidR="00B9441F" w:rsidRPr="005C0994" w:rsidRDefault="00B9441F" w:rsidP="00B9441F">
      <w:pPr>
        <w:pStyle w:val="Heading3"/>
        <w:numPr>
          <w:ilvl w:val="1"/>
          <w:numId w:val="53"/>
        </w:numPr>
        <w:spacing w:before="0"/>
        <w:ind w:left="360"/>
        <w:rPr>
          <w:color w:val="auto"/>
          <w:sz w:val="20"/>
          <w:szCs w:val="20"/>
        </w:rPr>
      </w:pPr>
      <w:bookmarkStart w:id="24" w:name="_Toc90297879"/>
      <w:r w:rsidRPr="005C0994">
        <w:rPr>
          <w:color w:val="auto"/>
          <w:sz w:val="20"/>
          <w:szCs w:val="20"/>
        </w:rPr>
        <w:t>Analysis of the case</w:t>
      </w:r>
      <w:bookmarkEnd w:id="24"/>
    </w:p>
    <w:p w14:paraId="6F2A3C83" w14:textId="77777777" w:rsidR="00B9441F" w:rsidRPr="005C0994" w:rsidRDefault="00B9441F"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42604D59" w14:textId="77777777" w:rsidR="00AB6F62" w:rsidRPr="005C0994" w:rsidRDefault="00E54100" w:rsidP="00D128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Theme="majorHAnsi" w:hAnsiTheme="majorHAnsi"/>
          <w:sz w:val="20"/>
          <w:szCs w:val="20"/>
        </w:rPr>
        <w:t>In the instant case, the petitioner</w:t>
      </w:r>
      <w:r w:rsidR="00CC1157" w:rsidRPr="005C0994">
        <w:rPr>
          <w:rFonts w:asciiTheme="majorHAnsi" w:hAnsiTheme="majorHAnsi"/>
          <w:sz w:val="20"/>
          <w:szCs w:val="20"/>
        </w:rPr>
        <w:t>s</w:t>
      </w:r>
      <w:r w:rsidRPr="005C0994">
        <w:rPr>
          <w:rFonts w:asciiTheme="majorHAnsi" w:hAnsiTheme="majorHAnsi"/>
          <w:sz w:val="20"/>
          <w:szCs w:val="20"/>
        </w:rPr>
        <w:t xml:space="preserve"> </w:t>
      </w:r>
      <w:r w:rsidR="005B12C2" w:rsidRPr="005C0994">
        <w:rPr>
          <w:rFonts w:asciiTheme="majorHAnsi" w:hAnsiTheme="majorHAnsi"/>
          <w:sz w:val="20"/>
          <w:szCs w:val="20"/>
        </w:rPr>
        <w:t>claim</w:t>
      </w:r>
      <w:r w:rsidRPr="005C0994">
        <w:rPr>
          <w:rFonts w:asciiTheme="majorHAnsi" w:hAnsiTheme="majorHAnsi"/>
          <w:sz w:val="20"/>
          <w:szCs w:val="20"/>
        </w:rPr>
        <w:t xml:space="preserve"> that Mr. </w:t>
      </w:r>
      <w:proofErr w:type="spellStart"/>
      <w:r w:rsidR="00992D3D" w:rsidRPr="005C0994">
        <w:rPr>
          <w:rFonts w:asciiTheme="majorHAnsi" w:hAnsiTheme="majorHAnsi"/>
          <w:sz w:val="20"/>
          <w:szCs w:val="20"/>
        </w:rPr>
        <w:t>Loza</w:t>
      </w:r>
      <w:r w:rsidR="00CC1157" w:rsidRPr="005C0994">
        <w:rPr>
          <w:rFonts w:asciiTheme="majorHAnsi" w:hAnsiTheme="majorHAnsi"/>
          <w:sz w:val="20"/>
          <w:szCs w:val="20"/>
        </w:rPr>
        <w:t>’s</w:t>
      </w:r>
      <w:proofErr w:type="spellEnd"/>
      <w:r w:rsidR="00CC1157" w:rsidRPr="005C0994">
        <w:rPr>
          <w:rFonts w:asciiTheme="majorHAnsi" w:hAnsiTheme="majorHAnsi"/>
          <w:sz w:val="20"/>
          <w:szCs w:val="20"/>
        </w:rPr>
        <w:t xml:space="preserve"> court-appointed counsel failed to advise him of his consular communication and notification rights and to notify the consulate of Mr. </w:t>
      </w:r>
      <w:proofErr w:type="spellStart"/>
      <w:r w:rsidR="00CC1157" w:rsidRPr="005C0994">
        <w:rPr>
          <w:rFonts w:asciiTheme="majorHAnsi" w:hAnsiTheme="majorHAnsi"/>
          <w:sz w:val="20"/>
          <w:szCs w:val="20"/>
        </w:rPr>
        <w:t>Loza’s</w:t>
      </w:r>
      <w:proofErr w:type="spellEnd"/>
      <w:r w:rsidR="00CC1157" w:rsidRPr="005C0994">
        <w:rPr>
          <w:rFonts w:asciiTheme="majorHAnsi" w:hAnsiTheme="majorHAnsi"/>
          <w:sz w:val="20"/>
          <w:szCs w:val="20"/>
        </w:rPr>
        <w:t xml:space="preserve"> detention. They also allege that Mr. </w:t>
      </w:r>
      <w:proofErr w:type="spellStart"/>
      <w:r w:rsidR="00CC1157" w:rsidRPr="005C0994">
        <w:rPr>
          <w:rFonts w:asciiTheme="majorHAnsi" w:hAnsiTheme="majorHAnsi"/>
          <w:sz w:val="20"/>
          <w:szCs w:val="20"/>
        </w:rPr>
        <w:t>Loza’s</w:t>
      </w:r>
      <w:proofErr w:type="spellEnd"/>
      <w:r w:rsidR="00CC1157" w:rsidRPr="005C0994">
        <w:rPr>
          <w:rFonts w:asciiTheme="majorHAnsi" w:hAnsiTheme="majorHAnsi"/>
          <w:sz w:val="20"/>
          <w:szCs w:val="20"/>
        </w:rPr>
        <w:t xml:space="preserve"> counsel failed to retain a neuropsychologist and to conduct a thorough investigation of his social history.</w:t>
      </w:r>
      <w:r w:rsidRPr="005C0994">
        <w:rPr>
          <w:rFonts w:asciiTheme="majorHAnsi" w:hAnsiTheme="majorHAnsi"/>
          <w:sz w:val="20"/>
          <w:szCs w:val="20"/>
        </w:rPr>
        <w:t xml:space="preserve"> </w:t>
      </w:r>
      <w:r w:rsidR="00CC1157" w:rsidRPr="005C0994">
        <w:rPr>
          <w:rFonts w:asciiTheme="majorHAnsi" w:hAnsiTheme="majorHAnsi"/>
          <w:sz w:val="20"/>
          <w:szCs w:val="20"/>
        </w:rPr>
        <w:t>T</w:t>
      </w:r>
      <w:r w:rsidR="00992D3D" w:rsidRPr="005C0994">
        <w:rPr>
          <w:rFonts w:asciiTheme="majorHAnsi" w:hAnsiTheme="majorHAnsi"/>
          <w:sz w:val="20"/>
          <w:szCs w:val="20"/>
        </w:rPr>
        <w:t>he</w:t>
      </w:r>
      <w:r w:rsidR="005B12C2" w:rsidRPr="005C0994">
        <w:rPr>
          <w:rFonts w:asciiTheme="majorHAnsi" w:hAnsiTheme="majorHAnsi"/>
          <w:sz w:val="20"/>
          <w:szCs w:val="20"/>
        </w:rPr>
        <w:t xml:space="preserve"> State alleges that legal representation during trial, appellate, and post-conviction relie</w:t>
      </w:r>
      <w:r w:rsidR="002E5A58" w:rsidRPr="005C0994">
        <w:rPr>
          <w:rFonts w:asciiTheme="majorHAnsi" w:hAnsiTheme="majorHAnsi"/>
          <w:sz w:val="20"/>
          <w:szCs w:val="20"/>
        </w:rPr>
        <w:t>f</w:t>
      </w:r>
      <w:r w:rsidR="005B12C2" w:rsidRPr="005C0994">
        <w:rPr>
          <w:rFonts w:asciiTheme="majorHAnsi" w:hAnsiTheme="majorHAnsi"/>
          <w:sz w:val="20"/>
          <w:szCs w:val="20"/>
        </w:rPr>
        <w:t xml:space="preserve"> proceedings met constitutional standards of competence.</w:t>
      </w:r>
    </w:p>
    <w:p w14:paraId="03842E92" w14:textId="77777777" w:rsidR="00B11F9A" w:rsidRPr="005C0994" w:rsidRDefault="00B11F9A" w:rsidP="00E52427">
      <w:pPr>
        <w:rPr>
          <w:sz w:val="20"/>
          <w:szCs w:val="20"/>
        </w:rPr>
      </w:pPr>
    </w:p>
    <w:p w14:paraId="00FB4559" w14:textId="77777777" w:rsidR="00ED5284" w:rsidRPr="005C0994" w:rsidRDefault="00B11F9A" w:rsidP="00B11F9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The Commission notes that</w:t>
      </w:r>
      <w:r w:rsidR="00F75A39" w:rsidRPr="005C0994">
        <w:rPr>
          <w:rFonts w:ascii="Cambria" w:hAnsi="Cambria"/>
          <w:sz w:val="20"/>
          <w:szCs w:val="20"/>
        </w:rPr>
        <w:t xml:space="preserve"> court-appointed counsel </w:t>
      </w:r>
      <w:r w:rsidR="00ED5284" w:rsidRPr="005C0994">
        <w:rPr>
          <w:rFonts w:ascii="Cambria" w:hAnsi="Cambria"/>
          <w:sz w:val="20"/>
          <w:szCs w:val="20"/>
        </w:rPr>
        <w:t>knew</w:t>
      </w:r>
      <w:r w:rsidR="00F75A39" w:rsidRPr="005C0994">
        <w:rPr>
          <w:rFonts w:ascii="Cambria" w:hAnsi="Cambria"/>
          <w:sz w:val="20"/>
          <w:szCs w:val="20"/>
        </w:rPr>
        <w:t xml:space="preserve"> that</w:t>
      </w:r>
      <w:r w:rsidR="00797B54" w:rsidRPr="005C0994">
        <w:rPr>
          <w:rFonts w:ascii="Cambria" w:hAnsi="Cambria"/>
          <w:sz w:val="20"/>
          <w:szCs w:val="20"/>
        </w:rPr>
        <w:t xml:space="preserve"> Mr. </w:t>
      </w:r>
      <w:proofErr w:type="spellStart"/>
      <w:r w:rsidR="00797B54" w:rsidRPr="005C0994">
        <w:rPr>
          <w:rFonts w:ascii="Cambria" w:hAnsi="Cambria"/>
          <w:sz w:val="20"/>
          <w:szCs w:val="20"/>
        </w:rPr>
        <w:t>Loza</w:t>
      </w:r>
      <w:proofErr w:type="spellEnd"/>
      <w:r w:rsidR="00797B54" w:rsidRPr="005C0994">
        <w:rPr>
          <w:rFonts w:ascii="Cambria" w:hAnsi="Cambria"/>
          <w:sz w:val="20"/>
          <w:szCs w:val="20"/>
        </w:rPr>
        <w:t xml:space="preserve"> was a foreign national. In his first </w:t>
      </w:r>
      <w:r w:rsidR="00ED5284" w:rsidRPr="005C0994">
        <w:rPr>
          <w:rFonts w:ascii="Cambria" w:hAnsi="Cambria"/>
          <w:sz w:val="20"/>
          <w:szCs w:val="20"/>
        </w:rPr>
        <w:t>meeting</w:t>
      </w:r>
      <w:r w:rsidR="00797B54" w:rsidRPr="005C0994">
        <w:rPr>
          <w:rFonts w:ascii="Cambria" w:hAnsi="Cambria"/>
          <w:sz w:val="20"/>
          <w:szCs w:val="20"/>
        </w:rPr>
        <w:t xml:space="preserve"> with Mr. </w:t>
      </w:r>
      <w:proofErr w:type="spellStart"/>
      <w:r w:rsidR="00797B54" w:rsidRPr="005C0994">
        <w:rPr>
          <w:rFonts w:ascii="Cambria" w:hAnsi="Cambria"/>
          <w:sz w:val="20"/>
          <w:szCs w:val="20"/>
        </w:rPr>
        <w:t>Loza</w:t>
      </w:r>
      <w:proofErr w:type="spellEnd"/>
      <w:r w:rsidR="00797B54" w:rsidRPr="005C0994">
        <w:rPr>
          <w:rFonts w:ascii="Cambria" w:hAnsi="Cambria"/>
          <w:sz w:val="20"/>
          <w:szCs w:val="20"/>
        </w:rPr>
        <w:t xml:space="preserve">, counsel should have corroborated that he had been notified of his right to </w:t>
      </w:r>
      <w:r w:rsidR="001467E2" w:rsidRPr="005C0994">
        <w:rPr>
          <w:rFonts w:ascii="Cambria" w:hAnsi="Cambria"/>
          <w:sz w:val="20"/>
          <w:szCs w:val="20"/>
        </w:rPr>
        <w:t xml:space="preserve">request that </w:t>
      </w:r>
      <w:r w:rsidR="00797B54" w:rsidRPr="005C0994">
        <w:rPr>
          <w:rFonts w:ascii="Cambria" w:hAnsi="Cambria"/>
          <w:sz w:val="20"/>
          <w:szCs w:val="20"/>
        </w:rPr>
        <w:t>the Mexican consulate</w:t>
      </w:r>
      <w:r w:rsidR="001467E2" w:rsidRPr="005C0994">
        <w:rPr>
          <w:rFonts w:ascii="Cambria" w:hAnsi="Cambria"/>
          <w:sz w:val="20"/>
          <w:szCs w:val="20"/>
        </w:rPr>
        <w:t xml:space="preserve"> be immediately notified of his arrest</w:t>
      </w:r>
      <w:r w:rsidR="00ED5284" w:rsidRPr="005C0994">
        <w:rPr>
          <w:rFonts w:ascii="Cambria" w:hAnsi="Cambria"/>
          <w:sz w:val="20"/>
          <w:szCs w:val="20"/>
        </w:rPr>
        <w:t>, a fundamental component of a foreign national’s due process rights</w:t>
      </w:r>
      <w:r w:rsidR="00797B54" w:rsidRPr="005C0994">
        <w:rPr>
          <w:rFonts w:ascii="Cambria" w:hAnsi="Cambria"/>
          <w:sz w:val="20"/>
          <w:szCs w:val="20"/>
        </w:rPr>
        <w:t xml:space="preserve">. </w:t>
      </w:r>
      <w:r w:rsidR="00ED5284" w:rsidRPr="005C0994">
        <w:rPr>
          <w:rFonts w:ascii="Cambria" w:hAnsi="Cambria"/>
          <w:sz w:val="20"/>
          <w:szCs w:val="20"/>
        </w:rPr>
        <w:t xml:space="preserve">However, </w:t>
      </w:r>
      <w:r w:rsidR="00044C4E" w:rsidRPr="005C0994">
        <w:rPr>
          <w:rFonts w:ascii="Cambria" w:hAnsi="Cambria"/>
          <w:sz w:val="20"/>
          <w:szCs w:val="20"/>
        </w:rPr>
        <w:t xml:space="preserve">counsel failed to advise Mr. </w:t>
      </w:r>
      <w:proofErr w:type="spellStart"/>
      <w:r w:rsidR="00044C4E" w:rsidRPr="005C0994">
        <w:rPr>
          <w:rFonts w:ascii="Cambria" w:hAnsi="Cambria"/>
          <w:sz w:val="20"/>
          <w:szCs w:val="20"/>
        </w:rPr>
        <w:t>Loaza</w:t>
      </w:r>
      <w:proofErr w:type="spellEnd"/>
      <w:r w:rsidR="00044C4E" w:rsidRPr="005C0994">
        <w:rPr>
          <w:rFonts w:ascii="Cambria" w:hAnsi="Cambria"/>
          <w:sz w:val="20"/>
          <w:szCs w:val="20"/>
        </w:rPr>
        <w:t xml:space="preserve"> of his right or to </w:t>
      </w:r>
      <w:r w:rsidR="00ED2A53" w:rsidRPr="005C0994">
        <w:rPr>
          <w:rFonts w:ascii="Cambria" w:hAnsi="Cambria"/>
          <w:sz w:val="20"/>
          <w:szCs w:val="20"/>
        </w:rPr>
        <w:t xml:space="preserve">obtain his consent to contact the </w:t>
      </w:r>
      <w:r w:rsidR="00044C4E" w:rsidRPr="005C0994">
        <w:rPr>
          <w:rFonts w:ascii="Cambria" w:hAnsi="Cambria"/>
          <w:sz w:val="20"/>
          <w:szCs w:val="20"/>
        </w:rPr>
        <w:t>consula</w:t>
      </w:r>
      <w:r w:rsidR="00ED2A53" w:rsidRPr="005C0994">
        <w:rPr>
          <w:rFonts w:ascii="Cambria" w:hAnsi="Cambria"/>
          <w:sz w:val="20"/>
          <w:szCs w:val="20"/>
        </w:rPr>
        <w:t>r office</w:t>
      </w:r>
      <w:r w:rsidR="00044C4E" w:rsidRPr="005C0994">
        <w:rPr>
          <w:rFonts w:ascii="Cambria" w:hAnsi="Cambria"/>
          <w:sz w:val="20"/>
          <w:szCs w:val="20"/>
        </w:rPr>
        <w:t xml:space="preserve">. </w:t>
      </w:r>
      <w:r w:rsidR="003D33D6" w:rsidRPr="005C0994">
        <w:rPr>
          <w:rFonts w:ascii="Cambria" w:hAnsi="Cambria"/>
          <w:sz w:val="20"/>
          <w:szCs w:val="20"/>
        </w:rPr>
        <w:t xml:space="preserve">This, in turn, had a potential impact in Mr. </w:t>
      </w:r>
      <w:proofErr w:type="spellStart"/>
      <w:r w:rsidR="003D33D6" w:rsidRPr="005C0994">
        <w:rPr>
          <w:rFonts w:ascii="Cambria" w:hAnsi="Cambria"/>
          <w:sz w:val="20"/>
          <w:szCs w:val="20"/>
        </w:rPr>
        <w:t>Loza’s</w:t>
      </w:r>
      <w:proofErr w:type="spellEnd"/>
      <w:r w:rsidR="003D33D6" w:rsidRPr="005C0994">
        <w:rPr>
          <w:rFonts w:ascii="Cambria" w:hAnsi="Cambria"/>
          <w:sz w:val="20"/>
          <w:szCs w:val="20"/>
        </w:rPr>
        <w:t xml:space="preserve"> defense, as it will be addressed below.</w:t>
      </w:r>
    </w:p>
    <w:p w14:paraId="42A0248C" w14:textId="77777777" w:rsidR="00ED5284" w:rsidRPr="005C0994" w:rsidRDefault="00ED5284" w:rsidP="00ED5284">
      <w:pPr>
        <w:pStyle w:val="ListParagraph"/>
        <w:rPr>
          <w:sz w:val="20"/>
          <w:szCs w:val="20"/>
        </w:rPr>
      </w:pPr>
    </w:p>
    <w:p w14:paraId="14A6F810" w14:textId="77777777" w:rsidR="00C759BE" w:rsidRPr="005C0994" w:rsidRDefault="00044C4E" w:rsidP="00B11F9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 xml:space="preserve">The Commission also notes that </w:t>
      </w:r>
      <w:r w:rsidR="00B11F9A" w:rsidRPr="005C0994">
        <w:rPr>
          <w:rFonts w:ascii="Cambria" w:hAnsi="Cambria"/>
          <w:sz w:val="20"/>
          <w:szCs w:val="20"/>
        </w:rPr>
        <w:t>appointed counsel</w:t>
      </w:r>
      <w:r w:rsidRPr="005C0994">
        <w:rPr>
          <w:rFonts w:ascii="Cambria" w:hAnsi="Cambria"/>
          <w:sz w:val="20"/>
          <w:szCs w:val="20"/>
        </w:rPr>
        <w:t xml:space="preserve"> </w:t>
      </w:r>
      <w:r w:rsidR="00D66113" w:rsidRPr="005C0994">
        <w:rPr>
          <w:rFonts w:ascii="Cambria" w:hAnsi="Cambria"/>
          <w:sz w:val="20"/>
          <w:szCs w:val="20"/>
        </w:rPr>
        <w:t>sought</w:t>
      </w:r>
      <w:r w:rsidR="00B11F9A" w:rsidRPr="005C0994">
        <w:rPr>
          <w:rFonts w:ascii="Cambria" w:hAnsi="Cambria"/>
          <w:sz w:val="20"/>
          <w:szCs w:val="20"/>
        </w:rPr>
        <w:t xml:space="preserve"> expert and family testimonies to provide a narrative of Mr. </w:t>
      </w:r>
      <w:proofErr w:type="spellStart"/>
      <w:r w:rsidR="00B11F9A" w:rsidRPr="005C0994">
        <w:rPr>
          <w:rFonts w:ascii="Cambria" w:hAnsi="Cambria"/>
          <w:sz w:val="20"/>
          <w:szCs w:val="20"/>
        </w:rPr>
        <w:t>Loza’s</w:t>
      </w:r>
      <w:proofErr w:type="spellEnd"/>
      <w:r w:rsidR="00B11F9A" w:rsidRPr="005C0994">
        <w:rPr>
          <w:rFonts w:ascii="Cambria" w:hAnsi="Cambria"/>
          <w:sz w:val="20"/>
          <w:szCs w:val="20"/>
        </w:rPr>
        <w:t xml:space="preserve"> cultural, historical and family background</w:t>
      </w:r>
      <w:r w:rsidR="00F75A39" w:rsidRPr="005C0994">
        <w:rPr>
          <w:rFonts w:ascii="Cambria" w:hAnsi="Cambria"/>
          <w:sz w:val="20"/>
          <w:szCs w:val="20"/>
        </w:rPr>
        <w:t>.</w:t>
      </w:r>
      <w:r w:rsidRPr="005C0994">
        <w:rPr>
          <w:rFonts w:ascii="Cambria" w:hAnsi="Cambria"/>
          <w:sz w:val="20"/>
          <w:szCs w:val="20"/>
        </w:rPr>
        <w:t xml:space="preserve"> However,</w:t>
      </w:r>
      <w:r w:rsidR="00D66113" w:rsidRPr="005C0994">
        <w:rPr>
          <w:rFonts w:ascii="Cambria" w:hAnsi="Cambria"/>
          <w:sz w:val="20"/>
          <w:szCs w:val="20"/>
        </w:rPr>
        <w:t xml:space="preserve"> </w:t>
      </w:r>
      <w:r w:rsidR="003D33D6" w:rsidRPr="005C0994">
        <w:rPr>
          <w:rFonts w:ascii="Cambria" w:hAnsi="Cambria"/>
          <w:sz w:val="20"/>
          <w:szCs w:val="20"/>
        </w:rPr>
        <w:t xml:space="preserve">according to the above mentioned standards, </w:t>
      </w:r>
      <w:r w:rsidR="00F75A39" w:rsidRPr="005C0994">
        <w:rPr>
          <w:rFonts w:ascii="Cambria" w:hAnsi="Cambria"/>
          <w:sz w:val="20"/>
          <w:szCs w:val="20"/>
        </w:rPr>
        <w:t xml:space="preserve">penalty phase preparation </w:t>
      </w:r>
      <w:r w:rsidR="003D33D6" w:rsidRPr="005C0994">
        <w:rPr>
          <w:rFonts w:ascii="Cambria" w:hAnsi="Cambria"/>
          <w:sz w:val="20"/>
          <w:szCs w:val="20"/>
        </w:rPr>
        <w:t xml:space="preserve">in death penalty cases requires </w:t>
      </w:r>
      <w:r w:rsidR="00F75A39" w:rsidRPr="005C0994">
        <w:rPr>
          <w:rFonts w:ascii="Cambria" w:hAnsi="Cambria"/>
          <w:sz w:val="20"/>
          <w:szCs w:val="20"/>
        </w:rPr>
        <w:t>extensive and generally unparalleled investigation into personal and family history</w:t>
      </w:r>
      <w:r w:rsidR="003D33D6" w:rsidRPr="005C0994">
        <w:rPr>
          <w:rFonts w:ascii="Cambria" w:hAnsi="Cambria"/>
          <w:sz w:val="20"/>
          <w:szCs w:val="20"/>
        </w:rPr>
        <w:t>.</w:t>
      </w:r>
      <w:r w:rsidR="00F75A39" w:rsidRPr="005C0994">
        <w:rPr>
          <w:rFonts w:ascii="Cambria" w:hAnsi="Cambria"/>
          <w:sz w:val="20"/>
          <w:szCs w:val="20"/>
        </w:rPr>
        <w:t xml:space="preserve"> </w:t>
      </w:r>
    </w:p>
    <w:p w14:paraId="64873DA6" w14:textId="77777777" w:rsidR="00C759BE" w:rsidRPr="005C0994" w:rsidRDefault="00C759BE" w:rsidP="00C759BE">
      <w:pPr>
        <w:pStyle w:val="ListParagraph"/>
        <w:rPr>
          <w:sz w:val="20"/>
          <w:szCs w:val="20"/>
        </w:rPr>
      </w:pPr>
    </w:p>
    <w:p w14:paraId="33550038" w14:textId="77777777" w:rsidR="00B11F9A" w:rsidRPr="005C0994" w:rsidRDefault="00D64AAD" w:rsidP="00B11F9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 xml:space="preserve">Considering that the fundamental due process and fair trial requirements for capital trials include the obligation to afford adequate legal representation, and that the failure to inform a client of his rights to  consular </w:t>
      </w:r>
      <w:r w:rsidR="00657241" w:rsidRPr="005C0994">
        <w:rPr>
          <w:rFonts w:ascii="Cambria" w:hAnsi="Cambria"/>
          <w:sz w:val="20"/>
          <w:szCs w:val="20"/>
        </w:rPr>
        <w:t>notification</w:t>
      </w:r>
      <w:r w:rsidRPr="005C0994">
        <w:rPr>
          <w:rFonts w:ascii="Cambria" w:hAnsi="Cambria"/>
          <w:sz w:val="20"/>
          <w:szCs w:val="20"/>
        </w:rPr>
        <w:t xml:space="preserve"> would constitute inadequate representation</w:t>
      </w:r>
      <w:r w:rsidR="00657241" w:rsidRPr="005C0994">
        <w:rPr>
          <w:rFonts w:ascii="Cambria" w:hAnsi="Cambria"/>
          <w:sz w:val="20"/>
          <w:szCs w:val="20"/>
        </w:rPr>
        <w:t xml:space="preserve">, </w:t>
      </w:r>
      <w:r w:rsidR="00B11F9A" w:rsidRPr="005C0994">
        <w:rPr>
          <w:rFonts w:ascii="Cambria" w:hAnsi="Cambria"/>
          <w:sz w:val="20"/>
          <w:szCs w:val="20"/>
        </w:rPr>
        <w:t xml:space="preserve">the Commission concludes </w:t>
      </w:r>
      <w:r w:rsidR="00657241" w:rsidRPr="005C0994">
        <w:rPr>
          <w:rFonts w:ascii="Cambria" w:hAnsi="Cambria"/>
          <w:sz w:val="20"/>
          <w:szCs w:val="20"/>
        </w:rPr>
        <w:t xml:space="preserve">that </w:t>
      </w:r>
      <w:r w:rsidR="00B11F9A" w:rsidRPr="005C0994">
        <w:rPr>
          <w:rFonts w:ascii="Cambria" w:hAnsi="Cambria" w:cs="Arial"/>
          <w:sz w:val="20"/>
          <w:szCs w:val="20"/>
        </w:rPr>
        <w:t xml:space="preserve">the United States has violated Mr. </w:t>
      </w:r>
      <w:proofErr w:type="spellStart"/>
      <w:r w:rsidR="00B11F9A" w:rsidRPr="005C0994">
        <w:rPr>
          <w:rFonts w:ascii="Cambria" w:hAnsi="Cambria" w:cs="Arial"/>
          <w:sz w:val="20"/>
          <w:szCs w:val="20"/>
        </w:rPr>
        <w:t>Loza’s</w:t>
      </w:r>
      <w:proofErr w:type="spellEnd"/>
      <w:r w:rsidR="00B11F9A" w:rsidRPr="005C0994">
        <w:rPr>
          <w:rFonts w:ascii="Cambria" w:hAnsi="Cambria" w:cs="Arial"/>
          <w:sz w:val="20"/>
          <w:szCs w:val="20"/>
        </w:rPr>
        <w:t xml:space="preserve"> right to due process and to a fair trial under Articles XVIII and XXVI of the American Declaration.</w:t>
      </w:r>
    </w:p>
    <w:p w14:paraId="5EF621EF" w14:textId="77777777" w:rsidR="004C5505" w:rsidRPr="005C0994" w:rsidRDefault="004C5505" w:rsidP="001C460D">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2380B381" w14:textId="77777777" w:rsidR="00C4488B" w:rsidRPr="005C0994" w:rsidRDefault="00C4488B" w:rsidP="00C4488B">
      <w:pPr>
        <w:pStyle w:val="Heading3"/>
        <w:numPr>
          <w:ilvl w:val="1"/>
          <w:numId w:val="53"/>
        </w:numPr>
        <w:spacing w:before="0"/>
        <w:ind w:left="360"/>
        <w:rPr>
          <w:color w:val="auto"/>
          <w:sz w:val="20"/>
          <w:szCs w:val="20"/>
        </w:rPr>
      </w:pPr>
      <w:bookmarkStart w:id="25" w:name="_Toc90297880"/>
      <w:r w:rsidRPr="005C0994">
        <w:rPr>
          <w:color w:val="auto"/>
          <w:sz w:val="20"/>
          <w:szCs w:val="20"/>
        </w:rPr>
        <w:t>Confession obtained through coercion</w:t>
      </w:r>
      <w:r w:rsidR="00931F7C" w:rsidRPr="005C0994">
        <w:rPr>
          <w:color w:val="auto"/>
          <w:sz w:val="20"/>
          <w:szCs w:val="20"/>
        </w:rPr>
        <w:t xml:space="preserve"> and </w:t>
      </w:r>
      <w:r w:rsidR="00FC07EE" w:rsidRPr="005C0994">
        <w:rPr>
          <w:color w:val="auto"/>
          <w:sz w:val="20"/>
          <w:szCs w:val="20"/>
        </w:rPr>
        <w:t>prosecutorial misconduct</w:t>
      </w:r>
      <w:bookmarkEnd w:id="25"/>
    </w:p>
    <w:p w14:paraId="1B732200" w14:textId="77777777" w:rsidR="00C4488B" w:rsidRPr="005C0994" w:rsidRDefault="00C4488B" w:rsidP="00C4488B">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2AEC0E14" w14:textId="77777777" w:rsidR="00CA34BE" w:rsidRPr="005C0994" w:rsidRDefault="00C4488B" w:rsidP="00CA34BE">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Theme="majorHAnsi" w:hAnsiTheme="majorHAnsi"/>
          <w:sz w:val="20"/>
          <w:szCs w:val="20"/>
        </w:rPr>
        <w:t xml:space="preserve">The petitioners contend that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confession was coerced by threats of harm to be done to him, his girlfriend and their unborn baby; made by the detectives as aforementioned. The Commission acknowledges that the confession was fully ventilated before the trial and appellate courts, after which all statements were reaffirmed as voluntary and not coerced. The Commission also notes that the various domestic courts held that in addition to the confession, there were varied sources of evidence ventilated before the court, to which the jury coul</w:t>
      </w:r>
      <w:r w:rsidR="009C202F" w:rsidRPr="005C0994">
        <w:rPr>
          <w:rFonts w:asciiTheme="majorHAnsi" w:hAnsiTheme="majorHAnsi"/>
          <w:sz w:val="20"/>
          <w:szCs w:val="20"/>
        </w:rPr>
        <w:t>d have determined guilt</w:t>
      </w:r>
      <w:r w:rsidRPr="005C0994">
        <w:rPr>
          <w:rFonts w:asciiTheme="majorHAnsi" w:hAnsiTheme="majorHAnsi"/>
          <w:sz w:val="20"/>
          <w:szCs w:val="20"/>
        </w:rPr>
        <w:t xml:space="preserve">, aggravating and mitigating circumstances in order to determine conviction and an appropriate sentence. </w:t>
      </w:r>
    </w:p>
    <w:p w14:paraId="3CE4D1F5" w14:textId="77777777" w:rsidR="00CA34BE" w:rsidRPr="005C0994" w:rsidRDefault="00CA34BE" w:rsidP="00CA34BE">
      <w:pPr>
        <w:pStyle w:val="NormalWeb"/>
        <w:shd w:val="clear" w:color="auto" w:fill="FFFFFF"/>
        <w:tabs>
          <w:tab w:val="left" w:pos="360"/>
        </w:tabs>
        <w:spacing w:before="0" w:beforeAutospacing="0" w:after="0" w:afterAutospacing="0"/>
        <w:jc w:val="both"/>
        <w:rPr>
          <w:rFonts w:ascii="Cambria" w:hAnsi="Cambria"/>
          <w:sz w:val="20"/>
          <w:szCs w:val="20"/>
        </w:rPr>
      </w:pPr>
    </w:p>
    <w:p w14:paraId="315782CA" w14:textId="77777777" w:rsidR="00BD7D23" w:rsidRPr="005C0994" w:rsidRDefault="00CA34BE" w:rsidP="00BD7D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Cambria" w:hAnsi="Cambria"/>
          <w:sz w:val="20"/>
          <w:szCs w:val="20"/>
        </w:rPr>
        <w:lastRenderedPageBreak/>
        <w:t>The petitioners also allege that</w:t>
      </w:r>
      <w:r w:rsidR="00BD7D23" w:rsidRPr="005C0994">
        <w:rPr>
          <w:rFonts w:asciiTheme="majorHAnsi" w:hAnsiTheme="majorHAnsi"/>
          <w:sz w:val="20"/>
          <w:szCs w:val="20"/>
        </w:rPr>
        <w:t xml:space="preserve"> the prosecution failed to disclose that Dorothy Jackson had confessed to the murders, which is in violation of the due process rights of the alleged victim. However, as the petitioner indicates and as established in this report, the prosecutor’s misconduct resulted in a mistrial. </w:t>
      </w:r>
      <w:r w:rsidR="00F27C08" w:rsidRPr="005C0994">
        <w:rPr>
          <w:rFonts w:asciiTheme="majorHAnsi" w:hAnsiTheme="majorHAnsi"/>
          <w:sz w:val="20"/>
          <w:szCs w:val="20"/>
        </w:rPr>
        <w:t>Therefore, this due process violation was corrected by domestic courts.</w:t>
      </w:r>
    </w:p>
    <w:p w14:paraId="0541509C" w14:textId="77777777" w:rsidR="00BD7D23" w:rsidRPr="005C0994" w:rsidRDefault="00BD7D23" w:rsidP="00BD7D23">
      <w:pPr>
        <w:pStyle w:val="ListParagraph"/>
        <w:rPr>
          <w:rFonts w:asciiTheme="majorHAnsi" w:hAnsiTheme="majorHAnsi"/>
          <w:sz w:val="20"/>
          <w:szCs w:val="20"/>
        </w:rPr>
      </w:pPr>
    </w:p>
    <w:p w14:paraId="35BE2041" w14:textId="77777777" w:rsidR="00BD7D23" w:rsidRPr="005C0994" w:rsidRDefault="003752A9" w:rsidP="00BD7D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C0994">
        <w:rPr>
          <w:rFonts w:asciiTheme="majorHAnsi" w:hAnsiTheme="majorHAnsi"/>
          <w:sz w:val="20"/>
          <w:szCs w:val="20"/>
        </w:rPr>
        <w:t>B</w:t>
      </w:r>
      <w:r w:rsidR="00BD7D23" w:rsidRPr="005C0994">
        <w:rPr>
          <w:rFonts w:asciiTheme="majorHAnsi" w:hAnsiTheme="majorHAnsi"/>
          <w:sz w:val="20"/>
          <w:szCs w:val="20"/>
        </w:rPr>
        <w:t>ased on the</w:t>
      </w:r>
      <w:r w:rsidRPr="005C0994">
        <w:rPr>
          <w:rFonts w:asciiTheme="majorHAnsi" w:hAnsiTheme="majorHAnsi"/>
          <w:sz w:val="20"/>
          <w:szCs w:val="20"/>
        </w:rPr>
        <w:t xml:space="preserve"> above</w:t>
      </w:r>
      <w:r w:rsidR="00BD7D23" w:rsidRPr="005C0994">
        <w:rPr>
          <w:rFonts w:asciiTheme="majorHAnsi" w:hAnsiTheme="majorHAnsi"/>
          <w:sz w:val="20"/>
          <w:szCs w:val="20"/>
        </w:rPr>
        <w:t xml:space="preserve"> considerations</w:t>
      </w:r>
      <w:r w:rsidR="00F27C08" w:rsidRPr="005C0994">
        <w:rPr>
          <w:rFonts w:asciiTheme="majorHAnsi" w:hAnsiTheme="majorHAnsi"/>
          <w:sz w:val="20"/>
          <w:szCs w:val="20"/>
        </w:rPr>
        <w:t xml:space="preserve">, the Commission </w:t>
      </w:r>
      <w:r w:rsidR="005E61D1" w:rsidRPr="005C0994">
        <w:rPr>
          <w:rFonts w:asciiTheme="majorHAnsi" w:hAnsiTheme="majorHAnsi"/>
          <w:sz w:val="20"/>
          <w:szCs w:val="20"/>
        </w:rPr>
        <w:t>finds</w:t>
      </w:r>
      <w:r w:rsidR="00F27C08" w:rsidRPr="005C0994">
        <w:rPr>
          <w:rFonts w:asciiTheme="majorHAnsi" w:hAnsiTheme="majorHAnsi"/>
          <w:sz w:val="20"/>
          <w:szCs w:val="20"/>
        </w:rPr>
        <w:t xml:space="preserve"> that </w:t>
      </w:r>
      <w:r w:rsidR="00F2435F" w:rsidRPr="005C0994">
        <w:rPr>
          <w:rFonts w:asciiTheme="majorHAnsi" w:hAnsiTheme="majorHAnsi"/>
          <w:sz w:val="20"/>
          <w:szCs w:val="20"/>
        </w:rPr>
        <w:t>in both instances, the court allowed judicial process to prevail, and with regards to the instance of non-disclosure, the court ruled a mistrial and ordered another trial to proceed.</w:t>
      </w:r>
      <w:r w:rsidR="00905AD0" w:rsidRPr="005C0994">
        <w:rPr>
          <w:rFonts w:asciiTheme="majorHAnsi" w:hAnsiTheme="majorHAnsi"/>
          <w:sz w:val="20"/>
          <w:szCs w:val="20"/>
        </w:rPr>
        <w:t xml:space="preserve"> </w:t>
      </w:r>
      <w:r w:rsidR="00F2435F" w:rsidRPr="005C0994">
        <w:rPr>
          <w:rFonts w:asciiTheme="majorHAnsi" w:hAnsiTheme="majorHAnsi"/>
          <w:sz w:val="20"/>
          <w:szCs w:val="20"/>
        </w:rPr>
        <w:t>Given t</w:t>
      </w:r>
      <w:r w:rsidR="00F27C08" w:rsidRPr="005C0994">
        <w:rPr>
          <w:rFonts w:asciiTheme="majorHAnsi" w:hAnsiTheme="majorHAnsi"/>
          <w:sz w:val="20"/>
          <w:szCs w:val="20"/>
        </w:rPr>
        <w:t xml:space="preserve">he </w:t>
      </w:r>
      <w:r w:rsidRPr="005C0994">
        <w:rPr>
          <w:rFonts w:asciiTheme="majorHAnsi" w:hAnsiTheme="majorHAnsi"/>
          <w:sz w:val="20"/>
          <w:szCs w:val="20"/>
        </w:rPr>
        <w:t>available information</w:t>
      </w:r>
      <w:r w:rsidR="00F2435F" w:rsidRPr="005C0994">
        <w:rPr>
          <w:rFonts w:asciiTheme="majorHAnsi" w:hAnsiTheme="majorHAnsi"/>
          <w:sz w:val="20"/>
          <w:szCs w:val="20"/>
        </w:rPr>
        <w:t>,</w:t>
      </w:r>
      <w:r w:rsidRPr="005C0994">
        <w:rPr>
          <w:rFonts w:asciiTheme="majorHAnsi" w:hAnsiTheme="majorHAnsi"/>
          <w:sz w:val="20"/>
          <w:szCs w:val="20"/>
        </w:rPr>
        <w:t xml:space="preserve"> </w:t>
      </w:r>
      <w:r w:rsidR="005E61D1" w:rsidRPr="005C0994">
        <w:rPr>
          <w:rFonts w:asciiTheme="majorHAnsi" w:hAnsiTheme="majorHAnsi"/>
          <w:sz w:val="20"/>
          <w:szCs w:val="20"/>
        </w:rPr>
        <w:t xml:space="preserve">the Commission </w:t>
      </w:r>
      <w:r w:rsidR="00F2435F" w:rsidRPr="005C0994">
        <w:rPr>
          <w:rFonts w:asciiTheme="majorHAnsi" w:hAnsiTheme="majorHAnsi"/>
          <w:sz w:val="20"/>
          <w:szCs w:val="20"/>
        </w:rPr>
        <w:t>does not</w:t>
      </w:r>
      <w:r w:rsidR="005E61D1" w:rsidRPr="005C0994">
        <w:rPr>
          <w:rFonts w:asciiTheme="majorHAnsi" w:hAnsiTheme="majorHAnsi"/>
          <w:sz w:val="20"/>
          <w:szCs w:val="20"/>
        </w:rPr>
        <w:t xml:space="preserve"> conclude </w:t>
      </w:r>
      <w:r w:rsidRPr="005C0994">
        <w:rPr>
          <w:rFonts w:asciiTheme="majorHAnsi" w:hAnsiTheme="majorHAnsi"/>
          <w:sz w:val="20"/>
          <w:szCs w:val="20"/>
        </w:rPr>
        <w:t xml:space="preserve">that the United States violated Mr. </w:t>
      </w:r>
      <w:proofErr w:type="spellStart"/>
      <w:r w:rsidRPr="005C0994">
        <w:rPr>
          <w:rFonts w:asciiTheme="majorHAnsi" w:hAnsiTheme="majorHAnsi"/>
          <w:sz w:val="20"/>
          <w:szCs w:val="20"/>
        </w:rPr>
        <w:t>Loza’s</w:t>
      </w:r>
      <w:proofErr w:type="spellEnd"/>
      <w:r w:rsidRPr="005C0994">
        <w:rPr>
          <w:rFonts w:asciiTheme="majorHAnsi" w:hAnsiTheme="majorHAnsi"/>
          <w:sz w:val="20"/>
          <w:szCs w:val="20"/>
        </w:rPr>
        <w:t xml:space="preserve"> due process rights </w:t>
      </w:r>
      <w:r w:rsidR="005E61D1" w:rsidRPr="005C0994">
        <w:rPr>
          <w:rFonts w:asciiTheme="majorHAnsi" w:hAnsiTheme="majorHAnsi"/>
          <w:sz w:val="20"/>
          <w:szCs w:val="20"/>
        </w:rPr>
        <w:t>as alleged by the petitioners.</w:t>
      </w:r>
      <w:r w:rsidR="00BD7D23" w:rsidRPr="005C0994">
        <w:rPr>
          <w:rFonts w:asciiTheme="majorHAnsi" w:hAnsiTheme="majorHAnsi"/>
          <w:sz w:val="20"/>
          <w:szCs w:val="20"/>
        </w:rPr>
        <w:t xml:space="preserve"> </w:t>
      </w:r>
    </w:p>
    <w:p w14:paraId="59E81E33" w14:textId="77777777" w:rsidR="00C4488B" w:rsidRPr="005C0994" w:rsidRDefault="00C4488B" w:rsidP="003752A9">
      <w:pPr>
        <w:pStyle w:val="NormalWeb"/>
        <w:shd w:val="clear" w:color="auto" w:fill="FFFFFF"/>
        <w:tabs>
          <w:tab w:val="left" w:pos="360"/>
        </w:tabs>
        <w:spacing w:before="0" w:beforeAutospacing="0" w:after="0" w:afterAutospacing="0"/>
        <w:jc w:val="both"/>
        <w:rPr>
          <w:rFonts w:ascii="Cambria" w:hAnsi="Cambria"/>
          <w:sz w:val="20"/>
          <w:szCs w:val="20"/>
        </w:rPr>
      </w:pPr>
    </w:p>
    <w:p w14:paraId="38DB7A65" w14:textId="77777777" w:rsidR="00265BAE" w:rsidRPr="005C0994" w:rsidRDefault="00265BAE" w:rsidP="00265BAE">
      <w:pPr>
        <w:pStyle w:val="Heading2"/>
        <w:numPr>
          <w:ilvl w:val="0"/>
          <w:numId w:val="61"/>
        </w:numPr>
        <w:tabs>
          <w:tab w:val="left" w:pos="360"/>
        </w:tabs>
        <w:spacing w:before="0"/>
        <w:ind w:left="0" w:firstLine="0"/>
        <w:rPr>
          <w:color w:val="auto"/>
          <w:sz w:val="20"/>
          <w:szCs w:val="20"/>
        </w:rPr>
      </w:pPr>
      <w:bookmarkStart w:id="26" w:name="_Toc90297881"/>
      <w:bookmarkStart w:id="27" w:name="_Toc485650798"/>
      <w:bookmarkStart w:id="28" w:name="_Toc6226971"/>
      <w:bookmarkStart w:id="29" w:name="_Toc22915021"/>
      <w:r w:rsidRPr="005C0994">
        <w:rPr>
          <w:color w:val="auto"/>
          <w:sz w:val="20"/>
          <w:szCs w:val="20"/>
        </w:rPr>
        <w:t xml:space="preserve">Right to </w:t>
      </w:r>
      <w:r w:rsidR="002179AD" w:rsidRPr="005C0994">
        <w:rPr>
          <w:color w:val="auto"/>
          <w:sz w:val="20"/>
          <w:szCs w:val="20"/>
        </w:rPr>
        <w:t>protection from arbitrary arrest</w:t>
      </w:r>
      <w:r w:rsidR="002179AD" w:rsidRPr="005C0994">
        <w:rPr>
          <w:rStyle w:val="FootnoteReference"/>
          <w:color w:val="auto"/>
          <w:sz w:val="20"/>
          <w:szCs w:val="20"/>
        </w:rPr>
        <w:footnoteReference w:id="53"/>
      </w:r>
      <w:r w:rsidR="002179AD" w:rsidRPr="005C0994">
        <w:rPr>
          <w:color w:val="auto"/>
          <w:sz w:val="20"/>
          <w:szCs w:val="20"/>
        </w:rPr>
        <w:t xml:space="preserve"> and right to </w:t>
      </w:r>
      <w:r w:rsidRPr="005C0994">
        <w:rPr>
          <w:color w:val="auto"/>
          <w:sz w:val="20"/>
          <w:szCs w:val="20"/>
        </w:rPr>
        <w:t>equality before the law</w:t>
      </w:r>
      <w:r w:rsidRPr="005C0994">
        <w:rPr>
          <w:rStyle w:val="FootnoteReference"/>
          <w:color w:val="auto"/>
          <w:sz w:val="20"/>
          <w:szCs w:val="20"/>
        </w:rPr>
        <w:footnoteReference w:id="54"/>
      </w:r>
      <w:bookmarkEnd w:id="26"/>
      <w:r w:rsidRPr="005C0994">
        <w:rPr>
          <w:color w:val="auto"/>
          <w:sz w:val="20"/>
          <w:szCs w:val="20"/>
        </w:rPr>
        <w:t xml:space="preserve"> </w:t>
      </w:r>
      <w:bookmarkEnd w:id="27"/>
      <w:bookmarkEnd w:id="28"/>
      <w:bookmarkEnd w:id="29"/>
    </w:p>
    <w:p w14:paraId="56F355CC" w14:textId="77777777" w:rsidR="00265BAE" w:rsidRPr="005C0994" w:rsidRDefault="00265BAE" w:rsidP="00265BAE">
      <w:pPr>
        <w:pStyle w:val="ListParagraph"/>
        <w:ind w:left="1440" w:hanging="720"/>
        <w:jc w:val="both"/>
        <w:rPr>
          <w:rFonts w:asciiTheme="majorHAnsi" w:hAnsiTheme="majorHAnsi"/>
          <w:b/>
          <w:color w:val="auto"/>
          <w:sz w:val="20"/>
          <w:szCs w:val="20"/>
        </w:rPr>
      </w:pPr>
    </w:p>
    <w:p w14:paraId="502F5C88" w14:textId="77777777" w:rsidR="00B9441F" w:rsidRPr="005C0994" w:rsidRDefault="00B9441F" w:rsidP="00B9441F">
      <w:pPr>
        <w:pStyle w:val="ListParagraph"/>
        <w:numPr>
          <w:ilvl w:val="3"/>
          <w:numId w:val="53"/>
        </w:numPr>
        <w:ind w:left="360"/>
        <w:jc w:val="both"/>
        <w:rPr>
          <w:rFonts w:asciiTheme="majorHAnsi" w:hAnsiTheme="majorHAnsi"/>
          <w:b/>
          <w:color w:val="auto"/>
          <w:sz w:val="20"/>
          <w:szCs w:val="20"/>
        </w:rPr>
      </w:pPr>
      <w:r w:rsidRPr="005C0994">
        <w:rPr>
          <w:rFonts w:asciiTheme="majorHAnsi" w:hAnsiTheme="majorHAnsi"/>
          <w:b/>
          <w:color w:val="auto"/>
          <w:sz w:val="20"/>
          <w:szCs w:val="20"/>
        </w:rPr>
        <w:t>General considerations</w:t>
      </w:r>
    </w:p>
    <w:p w14:paraId="43FDBD0D" w14:textId="77777777" w:rsidR="00B9441F" w:rsidRPr="005C0994" w:rsidRDefault="00B9441F" w:rsidP="00265BAE">
      <w:pPr>
        <w:pStyle w:val="ListParagraph"/>
        <w:ind w:left="1440" w:hanging="720"/>
        <w:jc w:val="both"/>
        <w:rPr>
          <w:rFonts w:asciiTheme="majorHAnsi" w:hAnsiTheme="majorHAnsi"/>
          <w:b/>
          <w:color w:val="auto"/>
          <w:sz w:val="20"/>
          <w:szCs w:val="20"/>
        </w:rPr>
      </w:pPr>
    </w:p>
    <w:p w14:paraId="784A67EC" w14:textId="77777777" w:rsidR="00D941FB" w:rsidRPr="005C0994" w:rsidRDefault="002179AD" w:rsidP="002179A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5C0994">
        <w:rPr>
          <w:rFonts w:asciiTheme="majorHAnsi" w:hAnsiTheme="majorHAnsi"/>
          <w:sz w:val="20"/>
        </w:rPr>
        <w:t>Articles XXV of the American Declaration and 7.2 of the American Convention recognize the primary guarantee of the right to personal liberty: the reservation of law, according to which, only through a law can this right be affected.  Therefore, States have the duty to establish in advance the causes and conditions of the deprivation of liberty, so that any legal requirement that is not fulfilled renders the deprivation of liberty illegal. The IACHR has emphasized in this regard that the improper conduct of the police forces constitutes one of the main threats to individual freedom and security. Therefore, States must adopt measures to ensure that police officers carry out their duties in a manner that guarantees human rights and that arrests are carried out in accordance with domestic legislation.</w:t>
      </w:r>
      <w:r w:rsidRPr="005C0994">
        <w:rPr>
          <w:rStyle w:val="FootnoteReference"/>
          <w:rFonts w:asciiTheme="majorHAnsi" w:hAnsiTheme="majorHAnsi"/>
          <w:sz w:val="20"/>
        </w:rPr>
        <w:footnoteReference w:id="55"/>
      </w:r>
    </w:p>
    <w:p w14:paraId="5981BE85" w14:textId="77777777" w:rsidR="00D941FB" w:rsidRPr="005C0994" w:rsidRDefault="00D941FB" w:rsidP="00D941FB">
      <w:pPr>
        <w:pStyle w:val="NormalWeb"/>
        <w:shd w:val="clear" w:color="auto" w:fill="FFFFFF"/>
        <w:tabs>
          <w:tab w:val="left" w:pos="360"/>
        </w:tabs>
        <w:spacing w:before="0" w:beforeAutospacing="0" w:after="0" w:afterAutospacing="0"/>
        <w:jc w:val="both"/>
        <w:rPr>
          <w:rFonts w:asciiTheme="majorHAnsi" w:hAnsiTheme="majorHAnsi"/>
          <w:sz w:val="20"/>
        </w:rPr>
      </w:pPr>
    </w:p>
    <w:p w14:paraId="6176E2D5" w14:textId="77777777" w:rsidR="002179AD" w:rsidRPr="005C0994" w:rsidRDefault="00D941FB" w:rsidP="002179A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5C0994">
        <w:rPr>
          <w:rFonts w:asciiTheme="majorHAnsi" w:hAnsiTheme="majorHAnsi"/>
          <w:sz w:val="20"/>
        </w:rPr>
        <w:t>Further, according to inter-American standards, “</w:t>
      </w:r>
      <w:r w:rsidR="002179AD" w:rsidRPr="005C0994">
        <w:rPr>
          <w:rFonts w:asciiTheme="majorHAnsi" w:hAnsiTheme="majorHAnsi"/>
          <w:sz w:val="20"/>
        </w:rPr>
        <w:t xml:space="preserve">no one may be subjected to detention or imprisonment for causes and methods which, even if qualified as legal, may be considered incompatible with respect for the fundamental rights of the individual because they are, </w:t>
      </w:r>
      <w:r w:rsidR="002179AD" w:rsidRPr="005C0994">
        <w:rPr>
          <w:rFonts w:asciiTheme="majorHAnsi" w:hAnsiTheme="majorHAnsi"/>
          <w:i/>
          <w:iCs/>
          <w:sz w:val="20"/>
        </w:rPr>
        <w:t>inter alia</w:t>
      </w:r>
      <w:r w:rsidR="002179AD" w:rsidRPr="005C0994">
        <w:rPr>
          <w:rFonts w:asciiTheme="majorHAnsi" w:hAnsiTheme="majorHAnsi"/>
          <w:sz w:val="20"/>
        </w:rPr>
        <w:t>, unreasonable, unforeseeable, or lack proportionality</w:t>
      </w:r>
      <w:r w:rsidRPr="005C0994">
        <w:rPr>
          <w:rFonts w:asciiTheme="majorHAnsi" w:hAnsiTheme="majorHAnsi"/>
          <w:sz w:val="20"/>
        </w:rPr>
        <w:t>.”</w:t>
      </w:r>
      <w:r w:rsidRPr="005C0994">
        <w:rPr>
          <w:rStyle w:val="FootnoteReference"/>
          <w:rFonts w:asciiTheme="majorHAnsi" w:hAnsiTheme="majorHAnsi"/>
          <w:sz w:val="20"/>
        </w:rPr>
        <w:footnoteReference w:id="56"/>
      </w:r>
      <w:r w:rsidR="002179AD" w:rsidRPr="005C0994">
        <w:rPr>
          <w:rFonts w:asciiTheme="majorHAnsi" w:hAnsiTheme="majorHAnsi"/>
          <w:sz w:val="20"/>
        </w:rPr>
        <w:t xml:space="preserve"> </w:t>
      </w:r>
      <w:r w:rsidRPr="005C0994">
        <w:rPr>
          <w:rFonts w:asciiTheme="majorHAnsi" w:hAnsiTheme="majorHAnsi"/>
          <w:sz w:val="20"/>
        </w:rPr>
        <w:t xml:space="preserve">The concept of </w:t>
      </w:r>
      <w:r w:rsidR="002179AD" w:rsidRPr="005C0994">
        <w:rPr>
          <w:rFonts w:asciiTheme="majorHAnsi" w:hAnsiTheme="majorHAnsi"/>
          <w:sz w:val="20"/>
        </w:rPr>
        <w:t xml:space="preserve">arbitrariness of detention, should not be equated with that of </w:t>
      </w:r>
      <w:r w:rsidRPr="005C0994">
        <w:rPr>
          <w:rFonts w:asciiTheme="majorHAnsi" w:hAnsiTheme="majorHAnsi"/>
          <w:sz w:val="20"/>
        </w:rPr>
        <w:t>“</w:t>
      </w:r>
      <w:r w:rsidR="002179AD" w:rsidRPr="005C0994">
        <w:rPr>
          <w:rFonts w:asciiTheme="majorHAnsi" w:hAnsiTheme="majorHAnsi"/>
          <w:sz w:val="20"/>
        </w:rPr>
        <w:t>against the law</w:t>
      </w:r>
      <w:r w:rsidRPr="005C0994">
        <w:rPr>
          <w:rFonts w:asciiTheme="majorHAnsi" w:hAnsiTheme="majorHAnsi"/>
          <w:sz w:val="20"/>
        </w:rPr>
        <w:t>”</w:t>
      </w:r>
      <w:r w:rsidR="002179AD" w:rsidRPr="005C0994">
        <w:rPr>
          <w:rFonts w:asciiTheme="majorHAnsi" w:hAnsiTheme="majorHAnsi"/>
          <w:sz w:val="20"/>
        </w:rPr>
        <w:t>, but should be interpreted more broadly to include elements of impropriety, injustice and unpredictability, as well as the principle of due process. Therefore, any detention must be carried out not only in accordance with the provisions of domestic law, but it is also necessary that domestic law</w:t>
      </w:r>
      <w:r w:rsidRPr="005C0994">
        <w:rPr>
          <w:rFonts w:asciiTheme="majorHAnsi" w:hAnsiTheme="majorHAnsi"/>
          <w:sz w:val="20"/>
        </w:rPr>
        <w:t xml:space="preserve"> is</w:t>
      </w:r>
      <w:r w:rsidR="002179AD" w:rsidRPr="005C0994">
        <w:rPr>
          <w:rFonts w:asciiTheme="majorHAnsi" w:hAnsiTheme="majorHAnsi"/>
          <w:sz w:val="20"/>
        </w:rPr>
        <w:t xml:space="preserve"> compatible with the </w:t>
      </w:r>
      <w:r w:rsidRPr="005C0994">
        <w:rPr>
          <w:rFonts w:asciiTheme="majorHAnsi" w:hAnsiTheme="majorHAnsi"/>
          <w:sz w:val="20"/>
        </w:rPr>
        <w:t>American Declaration</w:t>
      </w:r>
      <w:r w:rsidR="002179AD" w:rsidRPr="005C0994">
        <w:rPr>
          <w:rFonts w:asciiTheme="majorHAnsi" w:hAnsiTheme="majorHAnsi"/>
          <w:sz w:val="20"/>
        </w:rPr>
        <w:t>.</w:t>
      </w:r>
      <w:r w:rsidRPr="005C0994">
        <w:rPr>
          <w:rStyle w:val="FootnoteReference"/>
          <w:rFonts w:asciiTheme="majorHAnsi" w:hAnsiTheme="majorHAnsi"/>
          <w:sz w:val="20"/>
        </w:rPr>
        <w:footnoteReference w:id="57"/>
      </w:r>
    </w:p>
    <w:p w14:paraId="28E90283" w14:textId="77777777" w:rsidR="00FD6361" w:rsidRPr="005C0994" w:rsidRDefault="00FD6361" w:rsidP="00FD6361">
      <w:pPr>
        <w:pStyle w:val="NormalWeb"/>
        <w:shd w:val="clear" w:color="auto" w:fill="FFFFFF"/>
        <w:tabs>
          <w:tab w:val="left" w:pos="360"/>
        </w:tabs>
        <w:spacing w:before="0" w:beforeAutospacing="0" w:after="0" w:afterAutospacing="0"/>
        <w:jc w:val="both"/>
        <w:rPr>
          <w:rFonts w:asciiTheme="majorHAnsi" w:hAnsiTheme="majorHAnsi"/>
          <w:sz w:val="20"/>
        </w:rPr>
      </w:pPr>
    </w:p>
    <w:p w14:paraId="0E121C1B" w14:textId="77777777" w:rsidR="002179AD" w:rsidRPr="005C0994" w:rsidRDefault="00FD6361" w:rsidP="002179A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5C0994">
        <w:rPr>
          <w:rFonts w:asciiTheme="majorHAnsi" w:hAnsiTheme="majorHAnsi"/>
          <w:sz w:val="20"/>
        </w:rPr>
        <w:t>Therefore, t</w:t>
      </w:r>
      <w:r w:rsidR="002179AD" w:rsidRPr="005C0994">
        <w:rPr>
          <w:rFonts w:asciiTheme="majorHAnsi" w:hAnsiTheme="majorHAnsi"/>
          <w:sz w:val="20"/>
        </w:rPr>
        <w:t>he legality of a detention implies the conformity to the substantive and procedural rules of domestic law, but also relates to the quality of the law, requiring it to be compatible with the rule of law. The “quality of the law”, according to the European Court of Human Rights, implies that where a national law authorizes a deprivation of liberty, it must be sufficiently accessible, precise and foreseeable in its application to avoid all risk of arbitrariness. The standard of “lawfulness” requires that all law be sufficiently precise to allow the person to foresee, to a degree that is reasonable in the circumstances, the consequences which a given action may entail. Where deprivation of liberty is concerned, it is essential that domestic law clearly</w:t>
      </w:r>
      <w:r w:rsidR="00B327DE" w:rsidRPr="005C0994">
        <w:rPr>
          <w:rFonts w:asciiTheme="majorHAnsi" w:hAnsiTheme="majorHAnsi"/>
          <w:sz w:val="20"/>
        </w:rPr>
        <w:t xml:space="preserve"> defines</w:t>
      </w:r>
      <w:r w:rsidR="002179AD" w:rsidRPr="005C0994">
        <w:rPr>
          <w:rFonts w:asciiTheme="majorHAnsi" w:hAnsiTheme="majorHAnsi"/>
          <w:sz w:val="20"/>
        </w:rPr>
        <w:t xml:space="preserve"> the conditions for </w:t>
      </w:r>
      <w:r w:rsidR="00B327DE" w:rsidRPr="005C0994">
        <w:rPr>
          <w:rFonts w:asciiTheme="majorHAnsi" w:hAnsiTheme="majorHAnsi"/>
          <w:sz w:val="20"/>
        </w:rPr>
        <w:t xml:space="preserve">the arrest or </w:t>
      </w:r>
      <w:r w:rsidR="002179AD" w:rsidRPr="005C0994">
        <w:rPr>
          <w:rFonts w:asciiTheme="majorHAnsi" w:hAnsiTheme="majorHAnsi"/>
          <w:sz w:val="20"/>
        </w:rPr>
        <w:t>detention.</w:t>
      </w:r>
      <w:r w:rsidR="002179AD" w:rsidRPr="005C0994">
        <w:rPr>
          <w:rStyle w:val="FootnoteReference"/>
          <w:rFonts w:asciiTheme="majorHAnsi" w:hAnsiTheme="majorHAnsi"/>
          <w:sz w:val="20"/>
        </w:rPr>
        <w:footnoteReference w:id="58"/>
      </w:r>
    </w:p>
    <w:p w14:paraId="67CCFA58" w14:textId="77777777" w:rsidR="002179AD" w:rsidRPr="005C0994" w:rsidRDefault="002179AD" w:rsidP="002179AD">
      <w:pPr>
        <w:pStyle w:val="NormalWeb"/>
        <w:shd w:val="clear" w:color="auto" w:fill="FFFFFF"/>
        <w:tabs>
          <w:tab w:val="left" w:pos="360"/>
        </w:tabs>
        <w:spacing w:before="0" w:beforeAutospacing="0" w:after="0" w:afterAutospacing="0"/>
        <w:jc w:val="both"/>
        <w:rPr>
          <w:rFonts w:asciiTheme="majorHAnsi" w:eastAsia="Arial Unicode MS" w:hAnsiTheme="majorHAnsi"/>
          <w:sz w:val="20"/>
          <w:szCs w:val="20"/>
          <w:bdr w:val="nil"/>
        </w:rPr>
      </w:pPr>
    </w:p>
    <w:p w14:paraId="3DACE733" w14:textId="77777777" w:rsidR="00265BAE" w:rsidRPr="005C0994" w:rsidRDefault="00576ECB" w:rsidP="00265BAE">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5C0994">
        <w:rPr>
          <w:rFonts w:asciiTheme="majorHAnsi" w:hAnsiTheme="majorHAnsi"/>
          <w:sz w:val="20"/>
          <w:szCs w:val="20"/>
        </w:rPr>
        <w:t xml:space="preserve">Further, any deprivation of liberty must be carried out with respect for the right to equality before the law. </w:t>
      </w:r>
      <w:r w:rsidR="00265BAE" w:rsidRPr="005C0994">
        <w:rPr>
          <w:rFonts w:asciiTheme="majorHAnsi" w:hAnsiTheme="majorHAnsi"/>
          <w:sz w:val="20"/>
          <w:szCs w:val="20"/>
        </w:rPr>
        <w:t xml:space="preserve">The principles of equality before the law, equal protection, and non-discrimination are among the most basic human rights, and are in fact recognized as </w:t>
      </w:r>
      <w:r w:rsidR="00265BAE" w:rsidRPr="005C0994">
        <w:rPr>
          <w:rFonts w:asciiTheme="majorHAnsi" w:hAnsiTheme="majorHAnsi"/>
          <w:i/>
          <w:sz w:val="20"/>
          <w:szCs w:val="20"/>
        </w:rPr>
        <w:t>jus cogens</w:t>
      </w:r>
      <w:r w:rsidR="00265BAE" w:rsidRPr="005C0994">
        <w:rPr>
          <w:rFonts w:asciiTheme="majorHAnsi" w:hAnsiTheme="majorHAnsi"/>
          <w:sz w:val="20"/>
          <w:szCs w:val="20"/>
        </w:rPr>
        <w:t xml:space="preserve"> norms.</w:t>
      </w:r>
      <w:r w:rsidR="00265BAE" w:rsidRPr="005C0994">
        <w:rPr>
          <w:rFonts w:asciiTheme="majorHAnsi" w:hAnsiTheme="majorHAnsi"/>
          <w:sz w:val="20"/>
          <w:szCs w:val="20"/>
          <w:vertAlign w:val="superscript"/>
        </w:rPr>
        <w:footnoteReference w:id="59"/>
      </w:r>
      <w:r w:rsidR="00265BAE" w:rsidRPr="005C0994">
        <w:rPr>
          <w:rFonts w:asciiTheme="majorHAnsi" w:hAnsiTheme="majorHAnsi"/>
          <w:sz w:val="20"/>
          <w:szCs w:val="20"/>
        </w:rPr>
        <w:t xml:space="preserve"> </w:t>
      </w:r>
      <w:r w:rsidR="003A110C" w:rsidRPr="005C0994">
        <w:rPr>
          <w:rFonts w:asciiTheme="majorHAnsi" w:hAnsiTheme="majorHAnsi"/>
          <w:sz w:val="20"/>
          <w:szCs w:val="20"/>
        </w:rPr>
        <w:t>T</w:t>
      </w:r>
      <w:r w:rsidR="00265BAE" w:rsidRPr="005C0994">
        <w:rPr>
          <w:rFonts w:asciiTheme="majorHAnsi" w:hAnsiTheme="majorHAnsi"/>
          <w:sz w:val="20"/>
          <w:szCs w:val="20"/>
        </w:rPr>
        <w:t xml:space="preserve">he Commission has </w:t>
      </w:r>
      <w:r w:rsidR="00265BAE" w:rsidRPr="005C0994">
        <w:rPr>
          <w:rFonts w:asciiTheme="majorHAnsi" w:hAnsiTheme="majorHAnsi"/>
          <w:bCs/>
          <w:sz w:val="20"/>
          <w:szCs w:val="20"/>
        </w:rPr>
        <w:t xml:space="preserve">understood </w:t>
      </w:r>
      <w:r w:rsidR="00265BAE" w:rsidRPr="005C0994">
        <w:rPr>
          <w:rFonts w:asciiTheme="majorHAnsi" w:hAnsiTheme="majorHAnsi"/>
          <w:bCs/>
          <w:sz w:val="20"/>
          <w:szCs w:val="20"/>
        </w:rPr>
        <w:lastRenderedPageBreak/>
        <w:t>“discrimination” to mean</w:t>
      </w:r>
      <w:r w:rsidR="00265BAE" w:rsidRPr="005C0994">
        <w:rPr>
          <w:rFonts w:asciiTheme="majorHAnsi" w:hAnsiTheme="majorHAnsi"/>
          <w:sz w:val="20"/>
          <w:szCs w:val="20"/>
        </w:rPr>
        <w:t xml:space="preserve"> “</w:t>
      </w:r>
      <w:r w:rsidR="00265BAE" w:rsidRPr="005C0994">
        <w:rPr>
          <w:rFonts w:asciiTheme="majorHAnsi" w:hAnsiTheme="majorHAnsi"/>
          <w:bCs/>
          <w:sz w:val="20"/>
          <w:szCs w:val="20"/>
        </w:rPr>
        <w:t xml:space="preserve">any distinction, exclusion, restriction, or preference which is based on any ground such as race, </w:t>
      </w:r>
      <w:proofErr w:type="spellStart"/>
      <w:r w:rsidR="00265BAE" w:rsidRPr="005C0994">
        <w:rPr>
          <w:rFonts w:asciiTheme="majorHAnsi" w:hAnsiTheme="majorHAnsi"/>
          <w:bCs/>
          <w:sz w:val="20"/>
          <w:szCs w:val="20"/>
        </w:rPr>
        <w:t>colour</w:t>
      </w:r>
      <w:proofErr w:type="spellEnd"/>
      <w:r w:rsidR="00265BAE" w:rsidRPr="005C0994">
        <w:rPr>
          <w:rFonts w:asciiTheme="majorHAnsi" w:hAnsiTheme="majorHAnsi"/>
          <w:bCs/>
          <w:sz w:val="20"/>
          <w:szCs w:val="20"/>
        </w:rPr>
        <w:t>,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00265BAE" w:rsidRPr="005C0994">
        <w:rPr>
          <w:rStyle w:val="FootnoteReference"/>
          <w:rFonts w:asciiTheme="majorHAnsi" w:hAnsiTheme="majorHAnsi"/>
          <w:bCs/>
          <w:sz w:val="20"/>
          <w:szCs w:val="20"/>
        </w:rPr>
        <w:footnoteReference w:id="60"/>
      </w:r>
      <w:r w:rsidR="00265BAE" w:rsidRPr="005C0994">
        <w:rPr>
          <w:rFonts w:asciiTheme="majorHAnsi" w:hAnsiTheme="majorHAnsi"/>
          <w:bCs/>
          <w:sz w:val="20"/>
          <w:szCs w:val="20"/>
        </w:rPr>
        <w:t xml:space="preserve"> </w:t>
      </w:r>
    </w:p>
    <w:p w14:paraId="2D2E5237" w14:textId="77777777" w:rsidR="00265BAE" w:rsidRPr="005C0994" w:rsidRDefault="00265BAE" w:rsidP="00265BAE">
      <w:pPr>
        <w:pStyle w:val="ListParagraph"/>
        <w:ind w:left="0"/>
        <w:rPr>
          <w:rFonts w:asciiTheme="majorHAnsi" w:hAnsiTheme="majorHAnsi"/>
          <w:sz w:val="20"/>
          <w:szCs w:val="20"/>
        </w:rPr>
      </w:pPr>
    </w:p>
    <w:p w14:paraId="6514D4C8" w14:textId="77777777" w:rsidR="004D26F5" w:rsidRPr="005C0994" w:rsidRDefault="00265BAE" w:rsidP="00265BAE">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Theme="majorHAnsi" w:hAnsiTheme="majorHAnsi"/>
          <w:sz w:val="20"/>
          <w:szCs w:val="20"/>
        </w:rPr>
        <w:t>The principle of equality and non-discrimination incorporates both “the prohibition of arbitrary differences of treatment,” and “the obligation of States to create conditions of real equality for groups that have been historically excluded or that are at greater risk of being discriminated against.”</w:t>
      </w:r>
      <w:r w:rsidRPr="005C0994">
        <w:rPr>
          <w:rStyle w:val="FootnoteReference"/>
          <w:rFonts w:asciiTheme="majorHAnsi" w:hAnsiTheme="majorHAnsi"/>
          <w:sz w:val="20"/>
          <w:szCs w:val="20"/>
        </w:rPr>
        <w:footnoteReference w:id="61"/>
      </w:r>
      <w:r w:rsidRPr="005C0994">
        <w:rPr>
          <w:rFonts w:asciiTheme="majorHAnsi" w:hAnsiTheme="majorHAnsi"/>
          <w:sz w:val="20"/>
          <w:szCs w:val="20"/>
        </w:rPr>
        <w:t xml:space="preserve"> </w:t>
      </w:r>
      <w:r w:rsidR="003A110C" w:rsidRPr="005C0994">
        <w:rPr>
          <w:rFonts w:asciiTheme="majorHAnsi" w:hAnsiTheme="majorHAnsi"/>
          <w:sz w:val="20"/>
          <w:szCs w:val="20"/>
        </w:rPr>
        <w:t xml:space="preserve">Further, </w:t>
      </w:r>
      <w:r w:rsidRPr="005C0994">
        <w:rPr>
          <w:rFonts w:asciiTheme="majorHAnsi" w:hAnsiTheme="majorHAnsi"/>
          <w:sz w:val="20"/>
          <w:szCs w:val="20"/>
        </w:rPr>
        <w:t>distinctions based on grounds explicitly enumerated under pertinent articles of international human rights instruments are subject to a particularly strict level of scrutiny whereby States must provide an especially weighty interest and compelling justification for the distinction.</w:t>
      </w:r>
      <w:r w:rsidRPr="005C0994">
        <w:rPr>
          <w:rStyle w:val="FootnoteReference"/>
          <w:rFonts w:asciiTheme="majorHAnsi" w:hAnsiTheme="majorHAnsi"/>
          <w:sz w:val="20"/>
          <w:szCs w:val="20"/>
        </w:rPr>
        <w:footnoteReference w:id="62"/>
      </w:r>
      <w:r w:rsidRPr="005C0994">
        <w:rPr>
          <w:rFonts w:asciiTheme="majorHAnsi" w:hAnsiTheme="majorHAnsi"/>
          <w:sz w:val="20"/>
          <w:szCs w:val="20"/>
        </w:rPr>
        <w:t xml:space="preserve"> </w:t>
      </w:r>
    </w:p>
    <w:p w14:paraId="6B33DD76" w14:textId="77777777" w:rsidR="004D26F5" w:rsidRPr="005C0994" w:rsidRDefault="004D26F5" w:rsidP="004D26F5">
      <w:pPr>
        <w:pStyle w:val="ListParagraph"/>
        <w:rPr>
          <w:rFonts w:asciiTheme="majorHAnsi" w:hAnsiTheme="majorHAnsi"/>
          <w:sz w:val="20"/>
          <w:szCs w:val="20"/>
        </w:rPr>
      </w:pPr>
    </w:p>
    <w:p w14:paraId="3FC3EBC8" w14:textId="77777777" w:rsidR="00265BAE" w:rsidRPr="005C0994" w:rsidRDefault="00265BAE" w:rsidP="00265BAE">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5C0994">
        <w:rPr>
          <w:rFonts w:asciiTheme="majorHAnsi" w:hAnsiTheme="majorHAnsi"/>
          <w:sz w:val="20"/>
          <w:szCs w:val="20"/>
        </w:rPr>
        <w:t>Therefore, arbitrary treatment and distinctions on the basis of race or ethnicity are prohibited under international human rights law, and should be prevented. Race-based restrictions must be based on very compelling reasons; on this issue, there is a “presumption of invalidity” and the burden of proof rests with the State. The Commission has underscored that laws and policies should be examined to ensure that they comply with the principles of equality and non-discrimination; this analysis should assess the potential discriminatory effect of even facially neutral provisions. This, in light of the fact that States are not only obligated to provide for equal protection of the law, but must also adopt the legislative, policy and other measures necessary to guarantee the effective enjoyment of the rights protected under Article II of the American Declaration.</w:t>
      </w:r>
      <w:r w:rsidRPr="005C0994">
        <w:rPr>
          <w:rStyle w:val="FootnoteReference"/>
          <w:rFonts w:asciiTheme="majorHAnsi" w:hAnsiTheme="majorHAnsi"/>
          <w:sz w:val="20"/>
          <w:szCs w:val="20"/>
        </w:rPr>
        <w:footnoteReference w:id="63"/>
      </w:r>
    </w:p>
    <w:p w14:paraId="5A39317E" w14:textId="77777777" w:rsidR="00265BAE" w:rsidRPr="005C0994" w:rsidRDefault="00265BAE" w:rsidP="00265BAE">
      <w:pPr>
        <w:pStyle w:val="ListParagraph"/>
        <w:ind w:left="1440" w:hanging="720"/>
        <w:jc w:val="both"/>
        <w:rPr>
          <w:rFonts w:asciiTheme="majorHAnsi" w:hAnsiTheme="majorHAnsi"/>
          <w:b/>
          <w:color w:val="auto"/>
          <w:sz w:val="20"/>
          <w:szCs w:val="20"/>
        </w:rPr>
      </w:pPr>
    </w:p>
    <w:p w14:paraId="5F2CA6CF" w14:textId="77777777" w:rsidR="007A037E" w:rsidRPr="005C0994" w:rsidRDefault="004D26F5" w:rsidP="007A03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eastAsia="Times New Roman" w:hAnsiTheme="majorHAnsi"/>
          <w:sz w:val="20"/>
          <w:szCs w:val="20"/>
        </w:rPr>
        <w:t>I</w:t>
      </w:r>
      <w:r w:rsidR="00265BAE" w:rsidRPr="005C0994">
        <w:rPr>
          <w:rFonts w:asciiTheme="majorHAnsi" w:hAnsiTheme="majorHAnsi"/>
          <w:bCs/>
          <w:color w:val="auto"/>
          <w:sz w:val="20"/>
          <w:szCs w:val="20"/>
        </w:rPr>
        <w:t>n the case of William Andrews</w:t>
      </w:r>
      <w:r w:rsidRPr="005C0994">
        <w:rPr>
          <w:rFonts w:asciiTheme="majorHAnsi" w:hAnsiTheme="majorHAnsi"/>
          <w:bCs/>
          <w:color w:val="auto"/>
          <w:sz w:val="20"/>
          <w:szCs w:val="20"/>
        </w:rPr>
        <w:t>,</w:t>
      </w:r>
      <w:r w:rsidRPr="005C0994">
        <w:rPr>
          <w:rFonts w:asciiTheme="majorHAnsi" w:hAnsiTheme="majorHAnsi"/>
          <w:bCs/>
          <w:sz w:val="20"/>
          <w:szCs w:val="20"/>
        </w:rPr>
        <w:t xml:space="preserve"> an African-American on death row, </w:t>
      </w:r>
      <w:r w:rsidR="00265BAE" w:rsidRPr="005C0994">
        <w:rPr>
          <w:rFonts w:asciiTheme="majorHAnsi" w:hAnsiTheme="majorHAnsi"/>
          <w:bCs/>
          <w:color w:val="auto"/>
          <w:sz w:val="20"/>
          <w:szCs w:val="20"/>
        </w:rPr>
        <w:t>the IACHR found that the existence of “a reasonable appearance of “racial bias” by some members of the jury” that tainted the trial and resulted in the death sentence, constituted a violation of the right to an impartial trial and to equality before the law.</w:t>
      </w:r>
      <w:r w:rsidR="00265BAE" w:rsidRPr="005C0994">
        <w:rPr>
          <w:rStyle w:val="FootnoteReference"/>
          <w:rFonts w:asciiTheme="majorHAnsi" w:hAnsiTheme="majorHAnsi"/>
          <w:bCs/>
          <w:color w:val="auto"/>
          <w:sz w:val="20"/>
          <w:szCs w:val="20"/>
        </w:rPr>
        <w:footnoteReference w:id="64"/>
      </w:r>
      <w:r w:rsidR="00265BAE" w:rsidRPr="005C0994">
        <w:rPr>
          <w:rFonts w:asciiTheme="majorHAnsi" w:hAnsiTheme="majorHAnsi"/>
          <w:bCs/>
          <w:color w:val="auto"/>
          <w:sz w:val="20"/>
          <w:szCs w:val="20"/>
        </w:rPr>
        <w:t xml:space="preserve"> </w:t>
      </w:r>
      <w:r w:rsidR="00265BAE" w:rsidRPr="005C0994">
        <w:rPr>
          <w:rFonts w:asciiTheme="majorHAnsi" w:hAnsiTheme="majorHAnsi"/>
          <w:bCs/>
          <w:sz w:val="20"/>
          <w:szCs w:val="20"/>
        </w:rPr>
        <w:t>In the case of Kevin Cooper</w:t>
      </w:r>
      <w:r w:rsidR="00E76E80" w:rsidRPr="005C0994">
        <w:rPr>
          <w:rFonts w:asciiTheme="majorHAnsi" w:hAnsiTheme="majorHAnsi"/>
          <w:bCs/>
          <w:sz w:val="20"/>
          <w:szCs w:val="20"/>
        </w:rPr>
        <w:t xml:space="preserve">, </w:t>
      </w:r>
      <w:r w:rsidRPr="005C0994">
        <w:rPr>
          <w:rFonts w:asciiTheme="majorHAnsi" w:hAnsiTheme="majorHAnsi"/>
          <w:bCs/>
          <w:sz w:val="20"/>
          <w:szCs w:val="20"/>
        </w:rPr>
        <w:t xml:space="preserve">also </w:t>
      </w:r>
      <w:r w:rsidR="00E76E80" w:rsidRPr="005C0994">
        <w:rPr>
          <w:rFonts w:asciiTheme="majorHAnsi" w:hAnsiTheme="majorHAnsi"/>
          <w:bCs/>
          <w:sz w:val="20"/>
          <w:szCs w:val="20"/>
        </w:rPr>
        <w:t>an African-American on death row,</w:t>
      </w:r>
      <w:r w:rsidR="00265BAE" w:rsidRPr="005C0994">
        <w:rPr>
          <w:rFonts w:asciiTheme="majorHAnsi" w:hAnsiTheme="majorHAnsi"/>
          <w:bCs/>
          <w:sz w:val="20"/>
          <w:szCs w:val="20"/>
        </w:rPr>
        <w:t xml:space="preserve"> </w:t>
      </w:r>
      <w:r w:rsidR="00E76E80" w:rsidRPr="005C0994">
        <w:rPr>
          <w:rFonts w:asciiTheme="majorHAnsi" w:hAnsiTheme="majorHAnsi"/>
          <w:bCs/>
          <w:sz w:val="20"/>
          <w:szCs w:val="20"/>
        </w:rPr>
        <w:t>t</w:t>
      </w:r>
      <w:r w:rsidR="00265BAE" w:rsidRPr="005C0994">
        <w:rPr>
          <w:rFonts w:asciiTheme="majorHAnsi" w:hAnsiTheme="majorHAnsi"/>
          <w:bCs/>
          <w:color w:val="auto"/>
          <w:sz w:val="20"/>
          <w:szCs w:val="20"/>
        </w:rPr>
        <w:t>he point at stake was the deficiencies in due process that had left the possibility of racial discrimination unresolved</w:t>
      </w:r>
      <w:r w:rsidR="00E76E80" w:rsidRPr="005C0994">
        <w:rPr>
          <w:rFonts w:asciiTheme="majorHAnsi" w:hAnsiTheme="majorHAnsi"/>
          <w:bCs/>
          <w:color w:val="auto"/>
          <w:sz w:val="20"/>
          <w:szCs w:val="20"/>
        </w:rPr>
        <w:t>.</w:t>
      </w:r>
      <w:r w:rsidR="00265BAE" w:rsidRPr="005C0994">
        <w:rPr>
          <w:rStyle w:val="FootnoteReference"/>
          <w:rFonts w:asciiTheme="majorHAnsi" w:hAnsiTheme="majorHAnsi"/>
          <w:bCs/>
          <w:color w:val="auto"/>
          <w:sz w:val="20"/>
          <w:szCs w:val="20"/>
        </w:rPr>
        <w:footnoteReference w:id="65"/>
      </w:r>
    </w:p>
    <w:p w14:paraId="4F082C97" w14:textId="77777777" w:rsidR="007A037E" w:rsidRPr="005C0994" w:rsidRDefault="007A037E" w:rsidP="007A037E">
      <w:pPr>
        <w:pStyle w:val="ListParagraph"/>
        <w:rPr>
          <w:rFonts w:asciiTheme="majorHAnsi" w:hAnsiTheme="majorHAnsi"/>
          <w:bCs/>
          <w:color w:val="auto"/>
          <w:sz w:val="20"/>
          <w:szCs w:val="20"/>
        </w:rPr>
      </w:pPr>
    </w:p>
    <w:p w14:paraId="07A36B16" w14:textId="77777777" w:rsidR="00351CDF" w:rsidRPr="005C0994" w:rsidRDefault="00A36BE9" w:rsidP="007A03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color w:val="auto"/>
          <w:sz w:val="20"/>
          <w:szCs w:val="20"/>
        </w:rPr>
        <w:t xml:space="preserve">Further, in its report </w:t>
      </w:r>
      <w:r w:rsidR="007A037E" w:rsidRPr="005C0994">
        <w:rPr>
          <w:rFonts w:asciiTheme="majorHAnsi" w:hAnsiTheme="majorHAnsi"/>
          <w:bCs/>
          <w:color w:val="auto"/>
          <w:sz w:val="20"/>
          <w:szCs w:val="20"/>
        </w:rPr>
        <w:t xml:space="preserve">on Police Violence Against Afro-descendants in the United States, the Commission </w:t>
      </w:r>
      <w:r w:rsidR="007A037E" w:rsidRPr="005C0994">
        <w:rPr>
          <w:rFonts w:asciiTheme="majorHAnsi" w:eastAsia="Times New Roman" w:hAnsiTheme="majorHAnsi"/>
          <w:sz w:val="20"/>
          <w:szCs w:val="20"/>
        </w:rPr>
        <w:t xml:space="preserve">noted that the United States’ legal framework for conducting police stops, such as the </w:t>
      </w:r>
      <w:r w:rsidR="007A037E" w:rsidRPr="005C0994">
        <w:rPr>
          <w:rFonts w:asciiTheme="majorHAnsi" w:eastAsia="Times New Roman" w:hAnsiTheme="majorHAnsi"/>
          <w:i/>
          <w:sz w:val="20"/>
          <w:szCs w:val="20"/>
        </w:rPr>
        <w:t>Terry</w:t>
      </w:r>
      <w:r w:rsidR="007A037E" w:rsidRPr="005C0994">
        <w:rPr>
          <w:rFonts w:asciiTheme="majorHAnsi" w:eastAsia="Times New Roman" w:hAnsiTheme="majorHAnsi"/>
          <w:sz w:val="20"/>
          <w:szCs w:val="20"/>
        </w:rPr>
        <w:t xml:space="preserve"> stops, may allow or encourage expressions of bias in policing. In particular, the Commission emphasized that</w:t>
      </w:r>
      <w:r w:rsidR="00351CDF" w:rsidRPr="005C0994">
        <w:rPr>
          <w:rFonts w:asciiTheme="majorHAnsi" w:eastAsia="Times New Roman" w:hAnsiTheme="majorHAnsi"/>
          <w:sz w:val="20"/>
          <w:szCs w:val="20"/>
        </w:rPr>
        <w:t xml:space="preserve"> </w:t>
      </w:r>
      <w:r w:rsidR="00351CDF" w:rsidRPr="005C0994">
        <w:rPr>
          <w:rFonts w:asciiTheme="majorHAnsi" w:eastAsia="Times New Roman" w:hAnsiTheme="majorHAnsi"/>
          <w:i/>
          <w:sz w:val="20"/>
          <w:szCs w:val="20"/>
        </w:rPr>
        <w:t>Terry</w:t>
      </w:r>
      <w:r w:rsidR="00351CDF" w:rsidRPr="005C0994">
        <w:rPr>
          <w:rFonts w:asciiTheme="majorHAnsi" w:eastAsia="Times New Roman" w:hAnsiTheme="majorHAnsi"/>
          <w:sz w:val="20"/>
          <w:szCs w:val="20"/>
        </w:rPr>
        <w:t xml:space="preserve"> stops empower </w:t>
      </w:r>
      <w:r w:rsidR="007A037E" w:rsidRPr="005C0994">
        <w:rPr>
          <w:rFonts w:asciiTheme="majorHAnsi" w:eastAsia="Times New Roman" w:hAnsiTheme="majorHAnsi"/>
          <w:sz w:val="20"/>
          <w:szCs w:val="20"/>
        </w:rPr>
        <w:t>police to briefly stop individuals if they have a “reasonable suspicion,” formed on an “objective basis,” that an individual is engaged in or about to be engaged in criminal activity.</w:t>
      </w:r>
      <w:r w:rsidR="00351CDF" w:rsidRPr="005C0994">
        <w:rPr>
          <w:rFonts w:asciiTheme="majorHAnsi" w:eastAsia="Times New Roman" w:hAnsiTheme="majorHAnsi"/>
          <w:sz w:val="20"/>
          <w:szCs w:val="20"/>
        </w:rPr>
        <w:t xml:space="preserve"> In this regard, the Commission noted:</w:t>
      </w:r>
      <w:r w:rsidR="00351CDF" w:rsidRPr="005C0994">
        <w:rPr>
          <w:rStyle w:val="FootnoteReference"/>
          <w:rFonts w:asciiTheme="majorHAnsi" w:eastAsia="Times New Roman" w:hAnsiTheme="majorHAnsi"/>
          <w:sz w:val="20"/>
          <w:szCs w:val="20"/>
        </w:rPr>
        <w:footnoteReference w:id="66"/>
      </w:r>
    </w:p>
    <w:p w14:paraId="234FD062" w14:textId="77777777" w:rsidR="00351CDF" w:rsidRPr="005C0994" w:rsidRDefault="00351CDF" w:rsidP="00351CDF">
      <w:pPr>
        <w:pStyle w:val="ListParagraph"/>
        <w:rPr>
          <w:rFonts w:asciiTheme="majorHAnsi" w:eastAsia="Times New Roman" w:hAnsiTheme="majorHAnsi"/>
          <w:sz w:val="20"/>
          <w:szCs w:val="20"/>
        </w:rPr>
      </w:pPr>
    </w:p>
    <w:p w14:paraId="47FA0B94" w14:textId="77777777" w:rsidR="007A037E" w:rsidRPr="005C0994" w:rsidRDefault="007A037E" w:rsidP="00351CD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r w:rsidRPr="005C0994">
        <w:rPr>
          <w:rFonts w:asciiTheme="majorHAnsi" w:eastAsia="Times New Roman" w:hAnsiTheme="majorHAnsi"/>
          <w:sz w:val="18"/>
          <w:szCs w:val="18"/>
        </w:rPr>
        <w:t xml:space="preserve">“Reasonable </w:t>
      </w:r>
      <w:r w:rsidRPr="005C0994">
        <w:rPr>
          <w:rFonts w:asciiTheme="majorHAnsi" w:hAnsiTheme="majorHAnsi"/>
          <w:sz w:val="18"/>
          <w:szCs w:val="18"/>
        </w:rPr>
        <w:t xml:space="preserve">suspicion” is a lower threshold than the “probable cause” required for searches or seizures required under the Fourth Amendment, and is shaped by social context. For example, the Supreme Court has found that the fact of a black man running in a “high-crime” area may be sufficient to give rise to a “reasonable suspicion” for a police officer to decide to stop him. </w:t>
      </w:r>
    </w:p>
    <w:p w14:paraId="5E9B0DA5" w14:textId="77777777" w:rsidR="00A36BE9" w:rsidRPr="005C0994" w:rsidRDefault="00A36BE9" w:rsidP="007A037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7D676DD2" w14:textId="77777777" w:rsidR="00B9441F" w:rsidRPr="005C0994" w:rsidRDefault="00B9441F" w:rsidP="00B9441F">
      <w:pPr>
        <w:pStyle w:val="ListParagraph"/>
        <w:numPr>
          <w:ilvl w:val="3"/>
          <w:numId w:val="53"/>
        </w:numPr>
        <w:ind w:left="360"/>
        <w:jc w:val="both"/>
        <w:rPr>
          <w:rFonts w:asciiTheme="majorHAnsi" w:hAnsiTheme="majorHAnsi"/>
          <w:b/>
          <w:color w:val="auto"/>
          <w:sz w:val="20"/>
          <w:szCs w:val="20"/>
        </w:rPr>
      </w:pPr>
      <w:r w:rsidRPr="005C0994">
        <w:rPr>
          <w:rFonts w:asciiTheme="majorHAnsi" w:hAnsiTheme="majorHAnsi"/>
          <w:b/>
          <w:color w:val="auto"/>
          <w:sz w:val="20"/>
          <w:szCs w:val="20"/>
        </w:rPr>
        <w:t>Analysis of the case</w:t>
      </w:r>
    </w:p>
    <w:p w14:paraId="03ED0D4D" w14:textId="77777777" w:rsidR="00B9441F" w:rsidRPr="005C0994" w:rsidRDefault="00B9441F" w:rsidP="007A037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3823E7C3" w14:textId="77777777" w:rsidR="004F65A8" w:rsidRPr="005C0994" w:rsidRDefault="001A5577" w:rsidP="003C7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color w:val="auto"/>
          <w:sz w:val="20"/>
          <w:szCs w:val="20"/>
        </w:rPr>
        <w:t xml:space="preserve">According to the </w:t>
      </w:r>
      <w:r w:rsidR="001D6707" w:rsidRPr="005C0994">
        <w:rPr>
          <w:rFonts w:asciiTheme="majorHAnsi" w:hAnsiTheme="majorHAnsi"/>
          <w:bCs/>
          <w:color w:val="auto"/>
          <w:sz w:val="20"/>
          <w:szCs w:val="20"/>
        </w:rPr>
        <w:t>facts established in this report</w:t>
      </w:r>
      <w:r w:rsidRPr="005C0994">
        <w:rPr>
          <w:rFonts w:asciiTheme="majorHAnsi" w:hAnsiTheme="majorHAnsi"/>
          <w:bCs/>
          <w:color w:val="auto"/>
          <w:sz w:val="20"/>
          <w:szCs w:val="20"/>
        </w:rPr>
        <w:t xml:space="preserve">, </w:t>
      </w:r>
      <w:r w:rsidR="00A10863" w:rsidRPr="005C0994">
        <w:rPr>
          <w:rFonts w:asciiTheme="majorHAnsi" w:hAnsiTheme="majorHAnsi"/>
          <w:bCs/>
          <w:color w:val="auto"/>
          <w:sz w:val="20"/>
          <w:szCs w:val="20"/>
        </w:rPr>
        <w:t xml:space="preserve">on January 16, 1991, </w:t>
      </w:r>
      <w:r w:rsidR="001D6707" w:rsidRPr="005C0994">
        <w:rPr>
          <w:rFonts w:asciiTheme="majorHAnsi" w:hAnsiTheme="majorHAnsi"/>
          <w:bCs/>
          <w:color w:val="auto"/>
          <w:sz w:val="20"/>
          <w:szCs w:val="20"/>
        </w:rPr>
        <w:t xml:space="preserve">Mr. </w:t>
      </w:r>
      <w:proofErr w:type="spellStart"/>
      <w:r w:rsidR="001D6707" w:rsidRPr="005C0994">
        <w:rPr>
          <w:rFonts w:asciiTheme="majorHAnsi" w:hAnsiTheme="majorHAnsi"/>
          <w:bCs/>
          <w:color w:val="auto"/>
          <w:sz w:val="20"/>
          <w:szCs w:val="20"/>
        </w:rPr>
        <w:t>Loza</w:t>
      </w:r>
      <w:proofErr w:type="spellEnd"/>
      <w:r w:rsidR="001D6707" w:rsidRPr="005C0994">
        <w:rPr>
          <w:rFonts w:asciiTheme="majorHAnsi" w:hAnsiTheme="majorHAnsi"/>
          <w:bCs/>
          <w:color w:val="auto"/>
          <w:sz w:val="20"/>
          <w:szCs w:val="20"/>
        </w:rPr>
        <w:t xml:space="preserve"> was </w:t>
      </w:r>
      <w:r w:rsidR="004F65A8" w:rsidRPr="005C0994">
        <w:rPr>
          <w:rFonts w:asciiTheme="majorHAnsi" w:hAnsiTheme="majorHAnsi"/>
          <w:bCs/>
          <w:color w:val="auto"/>
          <w:sz w:val="20"/>
          <w:szCs w:val="20"/>
        </w:rPr>
        <w:t xml:space="preserve">seen </w:t>
      </w:r>
      <w:r w:rsidR="008341F9" w:rsidRPr="005C0994">
        <w:rPr>
          <w:rFonts w:asciiTheme="majorHAnsi" w:hAnsiTheme="majorHAnsi"/>
          <w:bCs/>
          <w:color w:val="auto"/>
          <w:sz w:val="20"/>
          <w:szCs w:val="20"/>
        </w:rPr>
        <w:t xml:space="preserve">loading trash from his car into the dumpster of a shop. The shop owner </w:t>
      </w:r>
      <w:r w:rsidR="004F65A8" w:rsidRPr="005C0994">
        <w:rPr>
          <w:rFonts w:asciiTheme="majorHAnsi" w:hAnsiTheme="majorHAnsi"/>
          <w:bCs/>
          <w:color w:val="auto"/>
          <w:sz w:val="20"/>
          <w:szCs w:val="20"/>
        </w:rPr>
        <w:t>searched the dumpster for somet</w:t>
      </w:r>
      <w:r w:rsidR="008341F9" w:rsidRPr="005C0994">
        <w:rPr>
          <w:rFonts w:asciiTheme="majorHAnsi" w:hAnsiTheme="majorHAnsi"/>
          <w:bCs/>
          <w:color w:val="auto"/>
          <w:sz w:val="20"/>
          <w:szCs w:val="20"/>
        </w:rPr>
        <w:t xml:space="preserve">hing to identify </w:t>
      </w:r>
      <w:r w:rsidR="003C79A9" w:rsidRPr="005C0994">
        <w:rPr>
          <w:rFonts w:asciiTheme="majorHAnsi" w:hAnsiTheme="majorHAnsi"/>
          <w:bCs/>
          <w:color w:val="auto"/>
          <w:sz w:val="20"/>
          <w:szCs w:val="20"/>
        </w:rPr>
        <w:t xml:space="preserve">Mr. </w:t>
      </w:r>
      <w:proofErr w:type="spellStart"/>
      <w:r w:rsidR="003C79A9" w:rsidRPr="005C0994">
        <w:rPr>
          <w:rFonts w:asciiTheme="majorHAnsi" w:hAnsiTheme="majorHAnsi"/>
          <w:bCs/>
          <w:color w:val="auto"/>
          <w:sz w:val="20"/>
          <w:szCs w:val="20"/>
        </w:rPr>
        <w:t>Loza</w:t>
      </w:r>
      <w:proofErr w:type="spellEnd"/>
      <w:r w:rsidR="008341F9" w:rsidRPr="005C0994">
        <w:rPr>
          <w:rFonts w:asciiTheme="majorHAnsi" w:hAnsiTheme="majorHAnsi"/>
          <w:bCs/>
          <w:color w:val="auto"/>
          <w:sz w:val="20"/>
          <w:szCs w:val="20"/>
        </w:rPr>
        <w:t xml:space="preserve"> and found a</w:t>
      </w:r>
      <w:r w:rsidR="004F65A8" w:rsidRPr="005C0994">
        <w:rPr>
          <w:rFonts w:asciiTheme="majorHAnsi" w:hAnsiTheme="majorHAnsi"/>
          <w:bCs/>
          <w:color w:val="auto"/>
          <w:sz w:val="20"/>
          <w:szCs w:val="20"/>
        </w:rPr>
        <w:t xml:space="preserve"> letter indicating that </w:t>
      </w:r>
      <w:r w:rsidR="00EC703E" w:rsidRPr="005C0994">
        <w:rPr>
          <w:rFonts w:asciiTheme="majorHAnsi" w:hAnsiTheme="majorHAnsi"/>
          <w:bCs/>
          <w:color w:val="auto"/>
          <w:sz w:val="20"/>
          <w:szCs w:val="20"/>
        </w:rPr>
        <w:t xml:space="preserve">Mr. </w:t>
      </w:r>
      <w:proofErr w:type="spellStart"/>
      <w:r w:rsidR="00EC703E" w:rsidRPr="005C0994">
        <w:rPr>
          <w:rFonts w:asciiTheme="majorHAnsi" w:hAnsiTheme="majorHAnsi"/>
          <w:bCs/>
          <w:color w:val="auto"/>
          <w:sz w:val="20"/>
          <w:szCs w:val="20"/>
        </w:rPr>
        <w:t>Loza</w:t>
      </w:r>
      <w:proofErr w:type="spellEnd"/>
      <w:r w:rsidR="004F65A8" w:rsidRPr="005C0994">
        <w:rPr>
          <w:rFonts w:asciiTheme="majorHAnsi" w:hAnsiTheme="majorHAnsi"/>
          <w:bCs/>
          <w:color w:val="auto"/>
          <w:sz w:val="20"/>
          <w:szCs w:val="20"/>
        </w:rPr>
        <w:t xml:space="preserve"> was involved in a drive-by shooting in Los Angeles. </w:t>
      </w:r>
      <w:r w:rsidR="008341F9" w:rsidRPr="005C0994">
        <w:rPr>
          <w:rFonts w:asciiTheme="majorHAnsi" w:hAnsiTheme="majorHAnsi"/>
          <w:bCs/>
          <w:color w:val="auto"/>
          <w:sz w:val="20"/>
          <w:szCs w:val="20"/>
        </w:rPr>
        <w:t>The shop owner</w:t>
      </w:r>
      <w:r w:rsidR="004F65A8" w:rsidRPr="005C0994">
        <w:rPr>
          <w:rFonts w:asciiTheme="majorHAnsi" w:hAnsiTheme="majorHAnsi"/>
          <w:bCs/>
          <w:color w:val="auto"/>
          <w:sz w:val="20"/>
          <w:szCs w:val="20"/>
        </w:rPr>
        <w:t xml:space="preserve"> called the </w:t>
      </w:r>
      <w:r w:rsidR="008341F9" w:rsidRPr="005C0994">
        <w:rPr>
          <w:rFonts w:asciiTheme="majorHAnsi" w:hAnsiTheme="majorHAnsi"/>
          <w:bCs/>
          <w:color w:val="auto"/>
          <w:sz w:val="20"/>
          <w:szCs w:val="20"/>
        </w:rPr>
        <w:t>police</w:t>
      </w:r>
      <w:r w:rsidR="004F65A8" w:rsidRPr="005C0994">
        <w:rPr>
          <w:rFonts w:asciiTheme="majorHAnsi" w:hAnsiTheme="majorHAnsi"/>
          <w:bCs/>
          <w:color w:val="auto"/>
          <w:sz w:val="20"/>
          <w:szCs w:val="20"/>
        </w:rPr>
        <w:t xml:space="preserve"> to report his discovery.</w:t>
      </w:r>
      <w:r w:rsidR="008341F9" w:rsidRPr="005C0994">
        <w:rPr>
          <w:rFonts w:asciiTheme="majorHAnsi" w:hAnsiTheme="majorHAnsi"/>
          <w:bCs/>
          <w:color w:val="auto"/>
          <w:sz w:val="20"/>
          <w:szCs w:val="20"/>
        </w:rPr>
        <w:t xml:space="preserve"> A police </w:t>
      </w:r>
      <w:r w:rsidR="004F65A8" w:rsidRPr="005C0994">
        <w:rPr>
          <w:rFonts w:asciiTheme="majorHAnsi" w:hAnsiTheme="majorHAnsi"/>
          <w:bCs/>
          <w:color w:val="auto"/>
          <w:sz w:val="20"/>
          <w:szCs w:val="20"/>
        </w:rPr>
        <w:t xml:space="preserve">went to the dumpster </w:t>
      </w:r>
      <w:r w:rsidR="008341F9" w:rsidRPr="005C0994">
        <w:rPr>
          <w:rFonts w:asciiTheme="majorHAnsi" w:hAnsiTheme="majorHAnsi"/>
          <w:bCs/>
          <w:color w:val="auto"/>
          <w:sz w:val="20"/>
          <w:szCs w:val="20"/>
        </w:rPr>
        <w:t>and</w:t>
      </w:r>
      <w:r w:rsidR="004F65A8" w:rsidRPr="005C0994">
        <w:rPr>
          <w:rFonts w:asciiTheme="majorHAnsi" w:hAnsiTheme="majorHAnsi"/>
          <w:bCs/>
          <w:color w:val="auto"/>
          <w:sz w:val="20"/>
          <w:szCs w:val="20"/>
        </w:rPr>
        <w:t xml:space="preserve"> retrieved other items</w:t>
      </w:r>
      <w:r w:rsidR="003C79A9" w:rsidRPr="005C0994">
        <w:rPr>
          <w:rFonts w:asciiTheme="majorHAnsi" w:hAnsiTheme="majorHAnsi"/>
          <w:bCs/>
          <w:color w:val="auto"/>
          <w:sz w:val="20"/>
          <w:szCs w:val="20"/>
        </w:rPr>
        <w:t xml:space="preserve"> that implicated Mr. </w:t>
      </w:r>
      <w:proofErr w:type="spellStart"/>
      <w:r w:rsidR="003C79A9" w:rsidRPr="005C0994">
        <w:rPr>
          <w:rFonts w:asciiTheme="majorHAnsi" w:hAnsiTheme="majorHAnsi"/>
          <w:bCs/>
          <w:color w:val="auto"/>
          <w:sz w:val="20"/>
          <w:szCs w:val="20"/>
        </w:rPr>
        <w:t>Loza</w:t>
      </w:r>
      <w:proofErr w:type="spellEnd"/>
      <w:r w:rsidR="004F65A8" w:rsidRPr="005C0994">
        <w:rPr>
          <w:rFonts w:asciiTheme="majorHAnsi" w:hAnsiTheme="majorHAnsi"/>
          <w:bCs/>
          <w:color w:val="auto"/>
          <w:sz w:val="20"/>
          <w:szCs w:val="20"/>
        </w:rPr>
        <w:t xml:space="preserve">. As they were going through the items, Mr. </w:t>
      </w:r>
      <w:proofErr w:type="spellStart"/>
      <w:r w:rsidR="004F65A8" w:rsidRPr="005C0994">
        <w:rPr>
          <w:rFonts w:asciiTheme="majorHAnsi" w:hAnsiTheme="majorHAnsi"/>
          <w:bCs/>
          <w:color w:val="auto"/>
          <w:sz w:val="20"/>
          <w:szCs w:val="20"/>
        </w:rPr>
        <w:t>Loza</w:t>
      </w:r>
      <w:proofErr w:type="spellEnd"/>
      <w:r w:rsidR="004F65A8" w:rsidRPr="005C0994">
        <w:rPr>
          <w:rFonts w:asciiTheme="majorHAnsi" w:hAnsiTheme="majorHAnsi"/>
          <w:bCs/>
          <w:color w:val="auto"/>
          <w:sz w:val="20"/>
          <w:szCs w:val="20"/>
        </w:rPr>
        <w:t xml:space="preserve"> </w:t>
      </w:r>
      <w:r w:rsidR="00EC703E" w:rsidRPr="005C0994">
        <w:rPr>
          <w:rFonts w:asciiTheme="majorHAnsi" w:hAnsiTheme="majorHAnsi"/>
          <w:bCs/>
          <w:color w:val="auto"/>
          <w:sz w:val="20"/>
          <w:szCs w:val="20"/>
        </w:rPr>
        <w:t>came close</w:t>
      </w:r>
      <w:r w:rsidR="004F65A8" w:rsidRPr="005C0994">
        <w:rPr>
          <w:rFonts w:asciiTheme="majorHAnsi" w:hAnsiTheme="majorHAnsi"/>
          <w:bCs/>
          <w:color w:val="auto"/>
          <w:sz w:val="20"/>
          <w:szCs w:val="20"/>
        </w:rPr>
        <w:t xml:space="preserve"> the dumpster and the detective </w:t>
      </w:r>
      <w:r w:rsidR="00296EC2" w:rsidRPr="005C0994">
        <w:rPr>
          <w:rFonts w:asciiTheme="majorHAnsi" w:hAnsiTheme="majorHAnsi"/>
          <w:bCs/>
          <w:color w:val="auto"/>
          <w:sz w:val="20"/>
          <w:szCs w:val="20"/>
        </w:rPr>
        <w:t xml:space="preserve">approached Mr. </w:t>
      </w:r>
      <w:proofErr w:type="spellStart"/>
      <w:r w:rsidR="00296EC2" w:rsidRPr="005C0994">
        <w:rPr>
          <w:rFonts w:asciiTheme="majorHAnsi" w:hAnsiTheme="majorHAnsi"/>
          <w:bCs/>
          <w:color w:val="auto"/>
          <w:sz w:val="20"/>
          <w:szCs w:val="20"/>
        </w:rPr>
        <w:t>Loza</w:t>
      </w:r>
      <w:proofErr w:type="spellEnd"/>
      <w:r w:rsidR="00296EC2" w:rsidRPr="005C0994">
        <w:rPr>
          <w:rFonts w:asciiTheme="majorHAnsi" w:hAnsiTheme="majorHAnsi"/>
          <w:bCs/>
          <w:color w:val="auto"/>
          <w:sz w:val="20"/>
          <w:szCs w:val="20"/>
        </w:rPr>
        <w:t xml:space="preserve"> with his gun in his hand and </w:t>
      </w:r>
      <w:r w:rsidR="004F65A8" w:rsidRPr="005C0994">
        <w:rPr>
          <w:rFonts w:asciiTheme="majorHAnsi" w:hAnsiTheme="majorHAnsi"/>
          <w:bCs/>
          <w:color w:val="auto"/>
          <w:sz w:val="20"/>
          <w:szCs w:val="20"/>
        </w:rPr>
        <w:t>identif</w:t>
      </w:r>
      <w:r w:rsidR="008341F9" w:rsidRPr="005C0994">
        <w:rPr>
          <w:rFonts w:asciiTheme="majorHAnsi" w:hAnsiTheme="majorHAnsi"/>
          <w:bCs/>
          <w:color w:val="auto"/>
          <w:sz w:val="20"/>
          <w:szCs w:val="20"/>
        </w:rPr>
        <w:t>ied himself as a police officer</w:t>
      </w:r>
      <w:r w:rsidR="004F65A8" w:rsidRPr="005C0994">
        <w:rPr>
          <w:rFonts w:asciiTheme="majorHAnsi" w:hAnsiTheme="majorHAnsi"/>
          <w:bCs/>
          <w:color w:val="auto"/>
          <w:sz w:val="20"/>
          <w:szCs w:val="20"/>
        </w:rPr>
        <w:t xml:space="preserve">. He then searched Mr. </w:t>
      </w:r>
      <w:proofErr w:type="spellStart"/>
      <w:r w:rsidR="004F65A8" w:rsidRPr="005C0994">
        <w:rPr>
          <w:rFonts w:asciiTheme="majorHAnsi" w:hAnsiTheme="majorHAnsi"/>
          <w:bCs/>
          <w:color w:val="auto"/>
          <w:sz w:val="20"/>
          <w:szCs w:val="20"/>
        </w:rPr>
        <w:t>Loza</w:t>
      </w:r>
      <w:proofErr w:type="spellEnd"/>
      <w:r w:rsidR="008341F9" w:rsidRPr="005C0994">
        <w:rPr>
          <w:rFonts w:asciiTheme="majorHAnsi" w:hAnsiTheme="majorHAnsi"/>
          <w:bCs/>
          <w:color w:val="auto"/>
          <w:sz w:val="20"/>
          <w:szCs w:val="20"/>
        </w:rPr>
        <w:t xml:space="preserve"> and </w:t>
      </w:r>
      <w:r w:rsidR="004F65A8" w:rsidRPr="005C0994">
        <w:rPr>
          <w:rFonts w:asciiTheme="majorHAnsi" w:hAnsiTheme="majorHAnsi"/>
          <w:bCs/>
          <w:color w:val="auto"/>
          <w:sz w:val="20"/>
          <w:szCs w:val="20"/>
        </w:rPr>
        <w:t xml:space="preserve">informed </w:t>
      </w:r>
      <w:r w:rsidR="008341F9" w:rsidRPr="005C0994">
        <w:rPr>
          <w:rFonts w:asciiTheme="majorHAnsi" w:hAnsiTheme="majorHAnsi"/>
          <w:bCs/>
          <w:color w:val="auto"/>
          <w:sz w:val="20"/>
          <w:szCs w:val="20"/>
        </w:rPr>
        <w:t>him</w:t>
      </w:r>
      <w:r w:rsidR="004F65A8" w:rsidRPr="005C0994">
        <w:rPr>
          <w:rFonts w:asciiTheme="majorHAnsi" w:hAnsiTheme="majorHAnsi"/>
          <w:bCs/>
          <w:color w:val="auto"/>
          <w:sz w:val="20"/>
          <w:szCs w:val="20"/>
        </w:rPr>
        <w:t xml:space="preserve"> that he was stopped because of what he put in the dumpster.</w:t>
      </w:r>
      <w:r w:rsidR="003C79A9" w:rsidRPr="005C0994">
        <w:rPr>
          <w:rFonts w:asciiTheme="majorHAnsi" w:hAnsiTheme="majorHAnsi"/>
          <w:bCs/>
          <w:color w:val="auto"/>
          <w:sz w:val="20"/>
          <w:szCs w:val="20"/>
        </w:rPr>
        <w:t xml:space="preserve"> After determining that </w:t>
      </w:r>
      <w:r w:rsidR="004F65A8" w:rsidRPr="005C0994">
        <w:rPr>
          <w:rFonts w:asciiTheme="majorHAnsi" w:hAnsiTheme="majorHAnsi"/>
          <w:bCs/>
          <w:color w:val="auto"/>
          <w:sz w:val="20"/>
          <w:szCs w:val="20"/>
        </w:rPr>
        <w:t>Ms. Jackson was under age and planned to tra</w:t>
      </w:r>
      <w:r w:rsidR="003C79A9" w:rsidRPr="005C0994">
        <w:rPr>
          <w:rFonts w:asciiTheme="majorHAnsi" w:hAnsiTheme="majorHAnsi"/>
          <w:bCs/>
          <w:color w:val="auto"/>
          <w:sz w:val="20"/>
          <w:szCs w:val="20"/>
        </w:rPr>
        <w:t xml:space="preserve">vel to California with Mr. </w:t>
      </w:r>
      <w:proofErr w:type="spellStart"/>
      <w:r w:rsidR="003C79A9" w:rsidRPr="005C0994">
        <w:rPr>
          <w:rFonts w:asciiTheme="majorHAnsi" w:hAnsiTheme="majorHAnsi"/>
          <w:bCs/>
          <w:color w:val="auto"/>
          <w:sz w:val="20"/>
          <w:szCs w:val="20"/>
        </w:rPr>
        <w:t>Loza</w:t>
      </w:r>
      <w:proofErr w:type="spellEnd"/>
      <w:r w:rsidR="003C79A9" w:rsidRPr="005C0994">
        <w:rPr>
          <w:rFonts w:asciiTheme="majorHAnsi" w:hAnsiTheme="majorHAnsi"/>
          <w:bCs/>
          <w:color w:val="auto"/>
          <w:sz w:val="20"/>
          <w:szCs w:val="20"/>
        </w:rPr>
        <w:t>, the detective arrested</w:t>
      </w:r>
      <w:r w:rsidR="004F65A8" w:rsidRPr="005C0994">
        <w:rPr>
          <w:rFonts w:asciiTheme="majorHAnsi" w:hAnsiTheme="majorHAnsi"/>
          <w:bCs/>
          <w:color w:val="auto"/>
          <w:sz w:val="20"/>
          <w:szCs w:val="20"/>
        </w:rPr>
        <w:t xml:space="preserve"> Mr. </w:t>
      </w:r>
      <w:proofErr w:type="spellStart"/>
      <w:r w:rsidR="004F65A8" w:rsidRPr="005C0994">
        <w:rPr>
          <w:rFonts w:asciiTheme="majorHAnsi" w:hAnsiTheme="majorHAnsi"/>
          <w:bCs/>
          <w:color w:val="auto"/>
          <w:sz w:val="20"/>
          <w:szCs w:val="20"/>
        </w:rPr>
        <w:t>Loza</w:t>
      </w:r>
      <w:proofErr w:type="spellEnd"/>
      <w:r w:rsidR="004F65A8" w:rsidRPr="005C0994">
        <w:rPr>
          <w:rFonts w:asciiTheme="majorHAnsi" w:hAnsiTheme="majorHAnsi"/>
          <w:bCs/>
          <w:color w:val="auto"/>
          <w:sz w:val="20"/>
          <w:szCs w:val="20"/>
        </w:rPr>
        <w:t xml:space="preserve"> for contributing to the delinquency or unruliness of a minor and was taken to the Warren County Justice Center. </w:t>
      </w:r>
      <w:r w:rsidR="00665FF9" w:rsidRPr="005C0994">
        <w:rPr>
          <w:rFonts w:asciiTheme="majorHAnsi" w:hAnsiTheme="majorHAnsi"/>
          <w:bCs/>
          <w:color w:val="auto"/>
          <w:sz w:val="20"/>
          <w:szCs w:val="20"/>
        </w:rPr>
        <w:lastRenderedPageBreak/>
        <w:t xml:space="preserve">According to the information provided by the petitioners, not contested by the State, the detective was recorded referring to Mr. </w:t>
      </w:r>
      <w:proofErr w:type="spellStart"/>
      <w:r w:rsidR="00665FF9" w:rsidRPr="005C0994">
        <w:rPr>
          <w:rFonts w:asciiTheme="majorHAnsi" w:hAnsiTheme="majorHAnsi"/>
          <w:bCs/>
          <w:color w:val="auto"/>
          <w:sz w:val="20"/>
          <w:szCs w:val="20"/>
        </w:rPr>
        <w:t>Loza</w:t>
      </w:r>
      <w:proofErr w:type="spellEnd"/>
      <w:r w:rsidR="00665FF9" w:rsidRPr="005C0994">
        <w:rPr>
          <w:rFonts w:asciiTheme="majorHAnsi" w:hAnsiTheme="majorHAnsi"/>
          <w:bCs/>
          <w:color w:val="auto"/>
          <w:sz w:val="20"/>
          <w:szCs w:val="20"/>
        </w:rPr>
        <w:t xml:space="preserve"> as the “wetback from California.”</w:t>
      </w:r>
    </w:p>
    <w:p w14:paraId="547F04CC" w14:textId="77777777" w:rsidR="003C79A9" w:rsidRPr="005C0994" w:rsidRDefault="003C79A9" w:rsidP="003C79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27E7E199" w14:textId="77777777" w:rsidR="00B327DE" w:rsidRPr="005C0994" w:rsidRDefault="003C79A9" w:rsidP="00B327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color w:val="auto"/>
          <w:sz w:val="20"/>
          <w:szCs w:val="20"/>
        </w:rPr>
        <w:t xml:space="preserve">In </w:t>
      </w:r>
      <w:r w:rsidR="005F6871" w:rsidRPr="005C0994">
        <w:rPr>
          <w:rFonts w:asciiTheme="majorHAnsi" w:hAnsiTheme="majorHAnsi"/>
          <w:bCs/>
          <w:color w:val="auto"/>
          <w:sz w:val="20"/>
          <w:szCs w:val="20"/>
        </w:rPr>
        <w:t>federal habeas proceedings</w:t>
      </w:r>
      <w:r w:rsidR="00395D14" w:rsidRPr="005C0994">
        <w:rPr>
          <w:rFonts w:asciiTheme="majorHAnsi" w:hAnsiTheme="majorHAnsi"/>
          <w:bCs/>
          <w:color w:val="auto"/>
          <w:sz w:val="20"/>
          <w:szCs w:val="20"/>
        </w:rPr>
        <w:t xml:space="preserve">, the U.S. Court of Appeals held that the police officer questioned </w:t>
      </w:r>
      <w:r w:rsidR="005F6871" w:rsidRPr="005C0994">
        <w:rPr>
          <w:rFonts w:asciiTheme="majorHAnsi" w:hAnsiTheme="majorHAnsi"/>
          <w:bCs/>
          <w:color w:val="auto"/>
          <w:sz w:val="20"/>
          <w:szCs w:val="20"/>
        </w:rPr>
        <w:t xml:space="preserve">Mr. </w:t>
      </w:r>
      <w:proofErr w:type="spellStart"/>
      <w:r w:rsidR="005F6871" w:rsidRPr="005C0994">
        <w:rPr>
          <w:rFonts w:asciiTheme="majorHAnsi" w:hAnsiTheme="majorHAnsi"/>
          <w:bCs/>
          <w:color w:val="auto"/>
          <w:sz w:val="20"/>
          <w:szCs w:val="20"/>
        </w:rPr>
        <w:t>Loza</w:t>
      </w:r>
      <w:proofErr w:type="spellEnd"/>
      <w:r w:rsidR="00395D14" w:rsidRPr="005C0994">
        <w:rPr>
          <w:rFonts w:asciiTheme="majorHAnsi" w:hAnsiTheme="majorHAnsi"/>
          <w:bCs/>
          <w:color w:val="auto"/>
          <w:sz w:val="20"/>
          <w:szCs w:val="20"/>
        </w:rPr>
        <w:t xml:space="preserve"> pursuant to a lawful Terry stop. It noted that the officer had a reasonable, articulable suspicion that criminal activity was afoot and had reason to suspect that Mr. </w:t>
      </w:r>
      <w:proofErr w:type="spellStart"/>
      <w:r w:rsidR="00395D14" w:rsidRPr="005C0994">
        <w:rPr>
          <w:rFonts w:asciiTheme="majorHAnsi" w:hAnsiTheme="majorHAnsi"/>
          <w:bCs/>
          <w:color w:val="auto"/>
          <w:sz w:val="20"/>
          <w:szCs w:val="20"/>
        </w:rPr>
        <w:t>Loza</w:t>
      </w:r>
      <w:proofErr w:type="spellEnd"/>
      <w:r w:rsidR="00395D14" w:rsidRPr="005C0994">
        <w:rPr>
          <w:rFonts w:asciiTheme="majorHAnsi" w:hAnsiTheme="majorHAnsi"/>
          <w:bCs/>
          <w:color w:val="auto"/>
          <w:sz w:val="20"/>
          <w:szCs w:val="20"/>
        </w:rPr>
        <w:t xml:space="preserve"> may have been involved. Regarding Mr. </w:t>
      </w:r>
      <w:proofErr w:type="spellStart"/>
      <w:r w:rsidR="00395D14" w:rsidRPr="005C0994">
        <w:rPr>
          <w:rFonts w:asciiTheme="majorHAnsi" w:hAnsiTheme="majorHAnsi"/>
          <w:bCs/>
          <w:color w:val="auto"/>
          <w:sz w:val="20"/>
          <w:szCs w:val="20"/>
        </w:rPr>
        <w:t>Loza’s</w:t>
      </w:r>
      <w:proofErr w:type="spellEnd"/>
      <w:r w:rsidR="00395D14" w:rsidRPr="005C0994">
        <w:rPr>
          <w:rFonts w:asciiTheme="majorHAnsi" w:hAnsiTheme="majorHAnsi"/>
          <w:bCs/>
          <w:color w:val="auto"/>
          <w:sz w:val="20"/>
          <w:szCs w:val="20"/>
        </w:rPr>
        <w:t xml:space="preserve"> claim that the encounter was more coercive than a typical Terry stop, the court reasoned that, “to the extent that the law [was] not clearly established with regards to Terry stops and custodial interrogations subject to Miranda</w:t>
      </w:r>
      <w:r w:rsidR="005F6871" w:rsidRPr="005C0994">
        <w:rPr>
          <w:rFonts w:asciiTheme="majorHAnsi" w:hAnsiTheme="majorHAnsi"/>
          <w:bCs/>
          <w:color w:val="auto"/>
          <w:sz w:val="20"/>
          <w:szCs w:val="20"/>
        </w:rPr>
        <w:t>,</w:t>
      </w:r>
      <w:r w:rsidR="00395D14" w:rsidRPr="005C0994">
        <w:rPr>
          <w:rFonts w:asciiTheme="majorHAnsi" w:hAnsiTheme="majorHAnsi"/>
          <w:bCs/>
          <w:color w:val="auto"/>
          <w:sz w:val="20"/>
          <w:szCs w:val="20"/>
        </w:rPr>
        <w:t>”</w:t>
      </w:r>
      <w:r w:rsidR="005F6871" w:rsidRPr="005C0994">
        <w:rPr>
          <w:rFonts w:asciiTheme="majorHAnsi" w:hAnsiTheme="majorHAnsi"/>
          <w:bCs/>
          <w:color w:val="auto"/>
          <w:sz w:val="20"/>
          <w:szCs w:val="20"/>
        </w:rPr>
        <w:t xml:space="preserve"> the Ohio Supreme Court’s denying the claim was not unreasonable.</w:t>
      </w:r>
    </w:p>
    <w:p w14:paraId="05C67C1C" w14:textId="77777777" w:rsidR="00B327DE" w:rsidRPr="005C0994" w:rsidRDefault="00B327DE" w:rsidP="00B327DE">
      <w:pPr>
        <w:pStyle w:val="ListParagraph"/>
        <w:rPr>
          <w:rFonts w:asciiTheme="majorHAnsi" w:hAnsiTheme="majorHAnsi"/>
          <w:bCs/>
          <w:sz w:val="20"/>
          <w:szCs w:val="20"/>
        </w:rPr>
      </w:pPr>
    </w:p>
    <w:p w14:paraId="2A93E343" w14:textId="77777777" w:rsidR="00B327DE" w:rsidRPr="005C0994" w:rsidRDefault="004703D5" w:rsidP="00B327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sz w:val="20"/>
          <w:szCs w:val="20"/>
        </w:rPr>
        <w:t>As noted</w:t>
      </w:r>
      <w:r w:rsidR="00B52D4D" w:rsidRPr="005C0994">
        <w:rPr>
          <w:rFonts w:asciiTheme="majorHAnsi" w:hAnsiTheme="majorHAnsi"/>
          <w:bCs/>
          <w:sz w:val="20"/>
          <w:szCs w:val="20"/>
        </w:rPr>
        <w:t xml:space="preserve"> above, the Commission has expressed concern</w:t>
      </w:r>
      <w:r w:rsidR="0083055F" w:rsidRPr="005C0994">
        <w:rPr>
          <w:rFonts w:asciiTheme="majorHAnsi" w:hAnsiTheme="majorHAnsi"/>
          <w:bCs/>
          <w:sz w:val="20"/>
          <w:szCs w:val="20"/>
        </w:rPr>
        <w:t xml:space="preserve"> regarding the low threshold required to conduct a Terry stop, which may allow</w:t>
      </w:r>
      <w:r w:rsidR="0077572B" w:rsidRPr="005C0994">
        <w:rPr>
          <w:rFonts w:asciiTheme="majorHAnsi" w:hAnsiTheme="majorHAnsi"/>
          <w:bCs/>
          <w:sz w:val="20"/>
          <w:szCs w:val="20"/>
        </w:rPr>
        <w:t xml:space="preserve"> or encourage expressions of bias in policing, and therefore </w:t>
      </w:r>
      <w:r w:rsidRPr="005C0994">
        <w:rPr>
          <w:rFonts w:asciiTheme="majorHAnsi" w:hAnsiTheme="majorHAnsi"/>
          <w:bCs/>
          <w:sz w:val="20"/>
          <w:szCs w:val="20"/>
        </w:rPr>
        <w:t xml:space="preserve">could </w:t>
      </w:r>
      <w:r w:rsidR="0077572B" w:rsidRPr="005C0994">
        <w:rPr>
          <w:rFonts w:asciiTheme="majorHAnsi" w:hAnsiTheme="majorHAnsi"/>
          <w:bCs/>
          <w:sz w:val="20"/>
          <w:szCs w:val="20"/>
        </w:rPr>
        <w:t xml:space="preserve">have a disproportionate impact on minorities. </w:t>
      </w:r>
      <w:r w:rsidR="00B327DE" w:rsidRPr="005C0994">
        <w:rPr>
          <w:rFonts w:asciiTheme="majorHAnsi" w:hAnsiTheme="majorHAnsi"/>
          <w:sz w:val="20"/>
        </w:rPr>
        <w:t>Where deprivation of liberty is concerned, it is essential that domestic law clearly defines the conditions for the arrest or detention</w:t>
      </w:r>
      <w:r w:rsidR="00263BC9" w:rsidRPr="005C0994">
        <w:rPr>
          <w:rFonts w:asciiTheme="majorHAnsi" w:hAnsiTheme="majorHAnsi"/>
          <w:sz w:val="20"/>
        </w:rPr>
        <w:t xml:space="preserve"> in order to allow the person to foresee the consequences which a given action may entail</w:t>
      </w:r>
      <w:r w:rsidR="00B327DE" w:rsidRPr="005C0994">
        <w:rPr>
          <w:rFonts w:asciiTheme="majorHAnsi" w:hAnsiTheme="majorHAnsi"/>
          <w:sz w:val="20"/>
        </w:rPr>
        <w:t>.</w:t>
      </w:r>
    </w:p>
    <w:p w14:paraId="068257D0" w14:textId="77777777" w:rsidR="00B327DE" w:rsidRPr="005C0994" w:rsidRDefault="00B327DE" w:rsidP="00B327DE">
      <w:pPr>
        <w:pStyle w:val="ListParagraph"/>
        <w:rPr>
          <w:rFonts w:asciiTheme="majorHAnsi" w:hAnsiTheme="majorHAnsi"/>
          <w:bCs/>
          <w:sz w:val="20"/>
          <w:szCs w:val="20"/>
        </w:rPr>
      </w:pPr>
    </w:p>
    <w:p w14:paraId="516F6B34" w14:textId="77777777" w:rsidR="00B327DE" w:rsidRPr="005C0994" w:rsidRDefault="00B327DE" w:rsidP="00B327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sz w:val="20"/>
          <w:szCs w:val="20"/>
        </w:rPr>
        <w:t xml:space="preserve">In the instant case, </w:t>
      </w:r>
      <w:r w:rsidR="00503391" w:rsidRPr="005C0994">
        <w:rPr>
          <w:rFonts w:asciiTheme="majorHAnsi" w:hAnsiTheme="majorHAnsi"/>
          <w:bCs/>
          <w:sz w:val="20"/>
          <w:szCs w:val="20"/>
        </w:rPr>
        <w:t xml:space="preserve">the petitioner has not alleged that there the law itself is contrary with the American Declaration, but that the search and arrest </w:t>
      </w:r>
      <w:r w:rsidR="005C0994" w:rsidRPr="005C0994">
        <w:rPr>
          <w:rFonts w:asciiTheme="majorHAnsi" w:hAnsiTheme="majorHAnsi"/>
          <w:bCs/>
          <w:sz w:val="20"/>
          <w:szCs w:val="20"/>
        </w:rPr>
        <w:t>were</w:t>
      </w:r>
      <w:r w:rsidR="00503391" w:rsidRPr="005C0994">
        <w:rPr>
          <w:rFonts w:asciiTheme="majorHAnsi" w:hAnsiTheme="majorHAnsi"/>
          <w:bCs/>
          <w:sz w:val="20"/>
          <w:szCs w:val="20"/>
        </w:rPr>
        <w:t xml:space="preserve"> based on discriminatory grounds. On this point, the Commission notes that </w:t>
      </w:r>
      <w:r w:rsidRPr="005C0994">
        <w:rPr>
          <w:rFonts w:asciiTheme="majorHAnsi" w:hAnsiTheme="majorHAnsi"/>
          <w:bCs/>
          <w:sz w:val="20"/>
          <w:szCs w:val="20"/>
        </w:rPr>
        <w:t xml:space="preserve">the available information shows that </w:t>
      </w:r>
      <w:r w:rsidR="005C1EA5" w:rsidRPr="005C0994">
        <w:rPr>
          <w:rFonts w:asciiTheme="majorHAnsi" w:hAnsiTheme="majorHAnsi"/>
          <w:bCs/>
          <w:sz w:val="20"/>
          <w:szCs w:val="20"/>
        </w:rPr>
        <w:t xml:space="preserve">there was an objective basis for the search and arrest, given that </w:t>
      </w:r>
      <w:r w:rsidR="00263BC9" w:rsidRPr="005C0994">
        <w:rPr>
          <w:rFonts w:asciiTheme="majorHAnsi" w:hAnsiTheme="majorHAnsi"/>
          <w:bCs/>
          <w:sz w:val="20"/>
          <w:szCs w:val="20"/>
        </w:rPr>
        <w:t xml:space="preserve">the police officer found different items that implicated Mr. </w:t>
      </w:r>
      <w:proofErr w:type="spellStart"/>
      <w:r w:rsidR="00263BC9" w:rsidRPr="005C0994">
        <w:rPr>
          <w:rFonts w:asciiTheme="majorHAnsi" w:hAnsiTheme="majorHAnsi"/>
          <w:bCs/>
          <w:sz w:val="20"/>
          <w:szCs w:val="20"/>
        </w:rPr>
        <w:t>Loza</w:t>
      </w:r>
      <w:proofErr w:type="spellEnd"/>
      <w:r w:rsidR="00263BC9" w:rsidRPr="005C0994">
        <w:rPr>
          <w:rFonts w:asciiTheme="majorHAnsi" w:hAnsiTheme="majorHAnsi"/>
          <w:bCs/>
          <w:sz w:val="20"/>
          <w:szCs w:val="20"/>
        </w:rPr>
        <w:t xml:space="preserve"> </w:t>
      </w:r>
      <w:r w:rsidR="00263BC9" w:rsidRPr="005C0994">
        <w:rPr>
          <w:rFonts w:asciiTheme="majorHAnsi" w:hAnsiTheme="majorHAnsi"/>
          <w:bCs/>
          <w:color w:val="auto"/>
          <w:sz w:val="20"/>
          <w:szCs w:val="20"/>
        </w:rPr>
        <w:t xml:space="preserve">in a criminal activity. Further, he was planning to travel out of state with a minor, purportedly without the consent of her parents. </w:t>
      </w:r>
      <w:r w:rsidR="00B04F9C" w:rsidRPr="005C0994">
        <w:rPr>
          <w:rFonts w:asciiTheme="majorHAnsi" w:hAnsiTheme="majorHAnsi"/>
          <w:bCs/>
          <w:color w:val="auto"/>
          <w:sz w:val="20"/>
          <w:szCs w:val="20"/>
        </w:rPr>
        <w:t>The officer's suspicion was thus based on reasonable and objective grounds, which is an essential safeguard against arbitrary arrest and detention.</w:t>
      </w:r>
    </w:p>
    <w:p w14:paraId="3A707CE9" w14:textId="77777777" w:rsidR="00B327DE" w:rsidRPr="005C0994" w:rsidRDefault="00B327DE" w:rsidP="00B327DE">
      <w:pPr>
        <w:pStyle w:val="ListParagraph"/>
        <w:rPr>
          <w:rFonts w:asciiTheme="majorHAnsi" w:hAnsiTheme="majorHAnsi"/>
          <w:sz w:val="20"/>
        </w:rPr>
      </w:pPr>
    </w:p>
    <w:p w14:paraId="0874DA61" w14:textId="77777777" w:rsidR="004334A4" w:rsidRPr="005C0994" w:rsidRDefault="0083797A" w:rsidP="00B52D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color w:val="auto"/>
          <w:sz w:val="20"/>
          <w:szCs w:val="20"/>
        </w:rPr>
        <w:t>T</w:t>
      </w:r>
      <w:r w:rsidR="004334A4" w:rsidRPr="005C0994">
        <w:rPr>
          <w:rFonts w:asciiTheme="majorHAnsi" w:hAnsiTheme="majorHAnsi"/>
          <w:bCs/>
          <w:color w:val="auto"/>
          <w:sz w:val="20"/>
          <w:szCs w:val="20"/>
        </w:rPr>
        <w:t xml:space="preserve">he </w:t>
      </w:r>
      <w:r w:rsidRPr="005C0994">
        <w:rPr>
          <w:rFonts w:asciiTheme="majorHAnsi" w:hAnsiTheme="majorHAnsi"/>
          <w:bCs/>
          <w:color w:val="auto"/>
          <w:sz w:val="20"/>
          <w:szCs w:val="20"/>
        </w:rPr>
        <w:t>Commission note</w:t>
      </w:r>
      <w:r w:rsidR="008A023D" w:rsidRPr="005C0994">
        <w:rPr>
          <w:rFonts w:asciiTheme="majorHAnsi" w:hAnsiTheme="majorHAnsi"/>
          <w:bCs/>
          <w:color w:val="auto"/>
          <w:sz w:val="20"/>
          <w:szCs w:val="20"/>
        </w:rPr>
        <w:t>s</w:t>
      </w:r>
      <w:r w:rsidRPr="005C0994">
        <w:rPr>
          <w:rFonts w:asciiTheme="majorHAnsi" w:hAnsiTheme="majorHAnsi"/>
          <w:bCs/>
          <w:color w:val="auto"/>
          <w:sz w:val="20"/>
          <w:szCs w:val="20"/>
        </w:rPr>
        <w:t xml:space="preserve"> petitioners’ allegation, </w:t>
      </w:r>
      <w:r w:rsidR="00BC2F46" w:rsidRPr="005C0994">
        <w:rPr>
          <w:rFonts w:asciiTheme="majorHAnsi" w:hAnsiTheme="majorHAnsi"/>
          <w:bCs/>
          <w:color w:val="auto"/>
          <w:sz w:val="20"/>
          <w:szCs w:val="20"/>
        </w:rPr>
        <w:t>n</w:t>
      </w:r>
      <w:r w:rsidRPr="005C0994">
        <w:rPr>
          <w:rFonts w:asciiTheme="majorHAnsi" w:hAnsiTheme="majorHAnsi"/>
          <w:bCs/>
          <w:color w:val="auto"/>
          <w:sz w:val="20"/>
          <w:szCs w:val="20"/>
        </w:rPr>
        <w:t>ot contested by the State, that</w:t>
      </w:r>
      <w:r w:rsidR="004334A4" w:rsidRPr="005C0994">
        <w:rPr>
          <w:rFonts w:asciiTheme="majorHAnsi" w:hAnsiTheme="majorHAnsi"/>
          <w:bCs/>
          <w:color w:val="auto"/>
          <w:sz w:val="20"/>
          <w:szCs w:val="20"/>
        </w:rPr>
        <w:t xml:space="preserve"> the police detective was recorded referring to Mr. </w:t>
      </w:r>
      <w:proofErr w:type="spellStart"/>
      <w:r w:rsidR="004334A4" w:rsidRPr="005C0994">
        <w:rPr>
          <w:rFonts w:asciiTheme="majorHAnsi" w:hAnsiTheme="majorHAnsi"/>
          <w:bCs/>
          <w:color w:val="auto"/>
          <w:sz w:val="20"/>
          <w:szCs w:val="20"/>
        </w:rPr>
        <w:t>Loza</w:t>
      </w:r>
      <w:proofErr w:type="spellEnd"/>
      <w:r w:rsidR="004334A4" w:rsidRPr="005C0994">
        <w:rPr>
          <w:rFonts w:asciiTheme="majorHAnsi" w:hAnsiTheme="majorHAnsi"/>
          <w:bCs/>
          <w:color w:val="auto"/>
          <w:sz w:val="20"/>
          <w:szCs w:val="20"/>
        </w:rPr>
        <w:t xml:space="preserve"> as the “wetback from California</w:t>
      </w:r>
      <w:r w:rsidR="002B67D0" w:rsidRPr="005C0994">
        <w:rPr>
          <w:rFonts w:asciiTheme="majorHAnsi" w:hAnsiTheme="majorHAnsi"/>
          <w:bCs/>
          <w:color w:val="auto"/>
          <w:sz w:val="20"/>
          <w:szCs w:val="20"/>
        </w:rPr>
        <w:t>.</w:t>
      </w:r>
      <w:r w:rsidR="004334A4" w:rsidRPr="005C0994">
        <w:rPr>
          <w:rFonts w:asciiTheme="majorHAnsi" w:hAnsiTheme="majorHAnsi"/>
          <w:bCs/>
          <w:color w:val="auto"/>
          <w:sz w:val="20"/>
          <w:szCs w:val="20"/>
        </w:rPr>
        <w:t>”</w:t>
      </w:r>
      <w:r w:rsidR="002B67D0" w:rsidRPr="005C0994">
        <w:rPr>
          <w:rFonts w:asciiTheme="majorHAnsi" w:hAnsiTheme="majorHAnsi"/>
          <w:bCs/>
          <w:color w:val="auto"/>
          <w:sz w:val="20"/>
          <w:szCs w:val="20"/>
        </w:rPr>
        <w:t xml:space="preserve"> </w:t>
      </w:r>
      <w:r w:rsidR="00D10E59" w:rsidRPr="005C0994">
        <w:rPr>
          <w:rFonts w:asciiTheme="majorHAnsi" w:hAnsiTheme="majorHAnsi"/>
          <w:bCs/>
          <w:color w:val="auto"/>
          <w:sz w:val="20"/>
          <w:szCs w:val="20"/>
        </w:rPr>
        <w:t>This is</w:t>
      </w:r>
      <w:r w:rsidR="00762CE4" w:rsidRPr="005C0994">
        <w:rPr>
          <w:rFonts w:asciiTheme="majorHAnsi" w:hAnsiTheme="majorHAnsi"/>
          <w:bCs/>
          <w:color w:val="auto"/>
          <w:sz w:val="20"/>
          <w:szCs w:val="20"/>
        </w:rPr>
        <w:t xml:space="preserve"> undoubtedly</w:t>
      </w:r>
      <w:r w:rsidR="002B67D0" w:rsidRPr="005C0994">
        <w:rPr>
          <w:rFonts w:asciiTheme="majorHAnsi" w:hAnsiTheme="majorHAnsi"/>
          <w:bCs/>
          <w:color w:val="auto"/>
          <w:sz w:val="20"/>
          <w:szCs w:val="20"/>
        </w:rPr>
        <w:t xml:space="preserve"> a pejorative and discriminatory expression</w:t>
      </w:r>
      <w:r w:rsidR="008F019D" w:rsidRPr="005C0994">
        <w:rPr>
          <w:rFonts w:asciiTheme="majorHAnsi" w:hAnsiTheme="majorHAnsi"/>
          <w:bCs/>
          <w:color w:val="auto"/>
          <w:sz w:val="20"/>
          <w:szCs w:val="20"/>
        </w:rPr>
        <w:t>, and its use is even more reprehensible when it comes from a law enforcement agent.</w:t>
      </w:r>
      <w:r w:rsidR="002B67D0" w:rsidRPr="005C0994">
        <w:rPr>
          <w:rFonts w:asciiTheme="majorHAnsi" w:hAnsiTheme="majorHAnsi"/>
          <w:bCs/>
          <w:color w:val="auto"/>
          <w:sz w:val="20"/>
          <w:szCs w:val="20"/>
        </w:rPr>
        <w:t xml:space="preserve"> </w:t>
      </w:r>
      <w:r w:rsidR="001F5427" w:rsidRPr="005C0994">
        <w:rPr>
          <w:rFonts w:asciiTheme="majorHAnsi" w:hAnsiTheme="majorHAnsi"/>
          <w:bCs/>
          <w:color w:val="auto"/>
          <w:sz w:val="20"/>
          <w:szCs w:val="20"/>
        </w:rPr>
        <w:t xml:space="preserve"> </w:t>
      </w:r>
      <w:r w:rsidR="008F019D" w:rsidRPr="005C0994">
        <w:rPr>
          <w:rFonts w:asciiTheme="majorHAnsi" w:hAnsiTheme="majorHAnsi"/>
          <w:bCs/>
          <w:color w:val="auto"/>
          <w:sz w:val="20"/>
          <w:szCs w:val="20"/>
        </w:rPr>
        <w:t>This expression, however, is not by itself sufficient to establish that</w:t>
      </w:r>
      <w:r w:rsidR="008A023D" w:rsidRPr="005C0994">
        <w:rPr>
          <w:rFonts w:asciiTheme="majorHAnsi" w:hAnsiTheme="majorHAnsi"/>
          <w:bCs/>
          <w:color w:val="auto"/>
          <w:sz w:val="20"/>
          <w:szCs w:val="20"/>
        </w:rPr>
        <w:t xml:space="preserve"> the arrest and all the subsequent proceedings were tainted by discrimination.</w:t>
      </w:r>
    </w:p>
    <w:p w14:paraId="05EA65A7" w14:textId="77777777" w:rsidR="00B52D4D" w:rsidRPr="005C0994" w:rsidRDefault="00B52D4D" w:rsidP="00296EC2">
      <w:pPr>
        <w:pStyle w:val="ListParagraph"/>
        <w:rPr>
          <w:rFonts w:asciiTheme="majorHAnsi" w:hAnsiTheme="majorHAnsi"/>
          <w:bCs/>
          <w:color w:val="auto"/>
          <w:sz w:val="20"/>
          <w:szCs w:val="20"/>
        </w:rPr>
      </w:pPr>
    </w:p>
    <w:p w14:paraId="0C4A63CE" w14:textId="77777777" w:rsidR="00957C98" w:rsidRPr="005C0994" w:rsidRDefault="00296EC2" w:rsidP="003C7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bCs/>
          <w:color w:val="auto"/>
          <w:sz w:val="20"/>
          <w:szCs w:val="20"/>
        </w:rPr>
        <w:t>Regarding</w:t>
      </w:r>
      <w:r w:rsidR="008A023D" w:rsidRPr="005C0994">
        <w:rPr>
          <w:rFonts w:asciiTheme="majorHAnsi" w:hAnsiTheme="majorHAnsi"/>
          <w:bCs/>
          <w:color w:val="auto"/>
          <w:sz w:val="20"/>
          <w:szCs w:val="20"/>
        </w:rPr>
        <w:t xml:space="preserve"> petitioners</w:t>
      </w:r>
      <w:r w:rsidRPr="005C0994">
        <w:rPr>
          <w:rFonts w:asciiTheme="majorHAnsi" w:hAnsiTheme="majorHAnsi"/>
          <w:bCs/>
          <w:color w:val="auto"/>
          <w:sz w:val="20"/>
          <w:szCs w:val="20"/>
        </w:rPr>
        <w:t xml:space="preserve">’ claim that </w:t>
      </w:r>
      <w:r w:rsidR="008A023D" w:rsidRPr="005C0994">
        <w:rPr>
          <w:rFonts w:asciiTheme="majorHAnsi" w:hAnsiTheme="majorHAnsi"/>
          <w:bCs/>
          <w:color w:val="auto"/>
          <w:sz w:val="20"/>
          <w:szCs w:val="20"/>
        </w:rPr>
        <w:t xml:space="preserve">Mr. </w:t>
      </w:r>
      <w:proofErr w:type="spellStart"/>
      <w:r w:rsidR="008A023D" w:rsidRPr="005C0994">
        <w:rPr>
          <w:rFonts w:asciiTheme="majorHAnsi" w:hAnsiTheme="majorHAnsi"/>
          <w:bCs/>
          <w:color w:val="auto"/>
          <w:sz w:val="20"/>
          <w:szCs w:val="20"/>
        </w:rPr>
        <w:t>Loza</w:t>
      </w:r>
      <w:proofErr w:type="spellEnd"/>
      <w:r w:rsidRPr="005C0994">
        <w:rPr>
          <w:rFonts w:asciiTheme="majorHAnsi" w:hAnsiTheme="majorHAnsi"/>
          <w:bCs/>
          <w:color w:val="auto"/>
          <w:sz w:val="20"/>
          <w:szCs w:val="20"/>
        </w:rPr>
        <w:t xml:space="preserve"> was selectively prosecuted for capital offenses based on racial discrimination, the district court in the habeas petition granted a motion for leave to conduct discovery on the claim. The evidence produced was considered and the selective prosecution claim was denied. On appeal, the court </w:t>
      </w:r>
      <w:r w:rsidR="00957C98" w:rsidRPr="005C0994">
        <w:rPr>
          <w:rFonts w:asciiTheme="majorHAnsi" w:hAnsiTheme="majorHAnsi"/>
          <w:bCs/>
          <w:color w:val="auto"/>
          <w:sz w:val="20"/>
          <w:szCs w:val="20"/>
        </w:rPr>
        <w:t>established</w:t>
      </w:r>
      <w:r w:rsidRPr="005C0994">
        <w:rPr>
          <w:rFonts w:asciiTheme="majorHAnsi" w:hAnsiTheme="majorHAnsi"/>
          <w:bCs/>
          <w:color w:val="auto"/>
          <w:sz w:val="20"/>
          <w:szCs w:val="20"/>
        </w:rPr>
        <w:t xml:space="preserve"> that </w:t>
      </w:r>
      <w:r w:rsidR="00C47285">
        <w:rPr>
          <w:rFonts w:asciiTheme="majorHAnsi" w:hAnsiTheme="majorHAnsi"/>
          <w:sz w:val="20"/>
          <w:szCs w:val="20"/>
        </w:rPr>
        <w:t xml:space="preserve">the </w:t>
      </w:r>
      <w:r w:rsidR="00957C98" w:rsidRPr="005C0994">
        <w:rPr>
          <w:rFonts w:asciiTheme="majorHAnsi" w:hAnsiTheme="majorHAnsi"/>
          <w:sz w:val="20"/>
          <w:szCs w:val="20"/>
        </w:rPr>
        <w:t xml:space="preserve">defendant </w:t>
      </w:r>
      <w:r w:rsidR="00C47285">
        <w:rPr>
          <w:rFonts w:asciiTheme="majorHAnsi" w:hAnsiTheme="majorHAnsi"/>
          <w:sz w:val="20"/>
          <w:szCs w:val="20"/>
        </w:rPr>
        <w:t xml:space="preserve">did not </w:t>
      </w:r>
      <w:r w:rsidR="00957C98" w:rsidRPr="005C0994">
        <w:rPr>
          <w:rFonts w:asciiTheme="majorHAnsi" w:hAnsiTheme="majorHAnsi"/>
          <w:sz w:val="20"/>
          <w:szCs w:val="20"/>
        </w:rPr>
        <w:t>demonstrate that the prosecutorial policy “had a discriminatory effect and that it was motivated by a discriminatory purpose</w:t>
      </w:r>
      <w:r w:rsidR="00957C98" w:rsidRPr="00C47285">
        <w:rPr>
          <w:rFonts w:asciiTheme="majorHAnsi" w:hAnsiTheme="majorHAnsi"/>
          <w:sz w:val="20"/>
          <w:szCs w:val="20"/>
        </w:rPr>
        <w:t xml:space="preserve">.” </w:t>
      </w:r>
      <w:r w:rsidR="00C47285" w:rsidRPr="00C47285">
        <w:rPr>
          <w:rFonts w:asciiTheme="majorHAnsi" w:hAnsiTheme="majorHAnsi"/>
          <w:sz w:val="20"/>
          <w:szCs w:val="20"/>
        </w:rPr>
        <w:t>T</w:t>
      </w:r>
      <w:r w:rsidR="008A023D" w:rsidRPr="00C47285">
        <w:rPr>
          <w:rFonts w:asciiTheme="majorHAnsi" w:hAnsiTheme="majorHAnsi"/>
          <w:sz w:val="20"/>
          <w:szCs w:val="20"/>
        </w:rPr>
        <w:t>he</w:t>
      </w:r>
      <w:r w:rsidR="008A023D" w:rsidRPr="005C0994">
        <w:rPr>
          <w:rFonts w:asciiTheme="majorHAnsi" w:hAnsiTheme="majorHAnsi"/>
          <w:sz w:val="20"/>
          <w:szCs w:val="20"/>
        </w:rPr>
        <w:t xml:space="preserve"> Commission has no elements to arrive to a different conclusion</w:t>
      </w:r>
      <w:r w:rsidR="00957C98" w:rsidRPr="005C0994">
        <w:rPr>
          <w:rFonts w:asciiTheme="majorHAnsi" w:hAnsiTheme="majorHAnsi"/>
          <w:sz w:val="20"/>
          <w:szCs w:val="20"/>
        </w:rPr>
        <w:t xml:space="preserve">. </w:t>
      </w:r>
    </w:p>
    <w:p w14:paraId="1CE388CA" w14:textId="77777777" w:rsidR="002179AD" w:rsidRPr="005C0994" w:rsidRDefault="002179AD" w:rsidP="00C435B4">
      <w:pPr>
        <w:pStyle w:val="ListParagraph"/>
        <w:rPr>
          <w:rFonts w:asciiTheme="majorHAnsi" w:hAnsiTheme="majorHAnsi"/>
          <w:bCs/>
          <w:color w:val="auto"/>
          <w:sz w:val="20"/>
          <w:szCs w:val="20"/>
        </w:rPr>
      </w:pPr>
    </w:p>
    <w:p w14:paraId="600374A3" w14:textId="77777777" w:rsidR="00C435B4" w:rsidRPr="005C0994" w:rsidRDefault="00C435B4" w:rsidP="003C7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5C0994">
        <w:rPr>
          <w:rFonts w:asciiTheme="majorHAnsi" w:hAnsiTheme="majorHAnsi"/>
          <w:sz w:val="20"/>
          <w:szCs w:val="20"/>
        </w:rPr>
        <w:t xml:space="preserve">Based on the above information and considerations, the Commission </w:t>
      </w:r>
      <w:r w:rsidR="008A023D" w:rsidRPr="005C0994">
        <w:rPr>
          <w:rFonts w:asciiTheme="majorHAnsi" w:hAnsiTheme="majorHAnsi"/>
          <w:sz w:val="20"/>
          <w:szCs w:val="20"/>
        </w:rPr>
        <w:t>finds</w:t>
      </w:r>
      <w:r w:rsidRPr="005C0994">
        <w:rPr>
          <w:rFonts w:asciiTheme="majorHAnsi" w:hAnsiTheme="majorHAnsi"/>
          <w:sz w:val="20"/>
          <w:szCs w:val="20"/>
        </w:rPr>
        <w:t xml:space="preserve"> that</w:t>
      </w:r>
      <w:r w:rsidR="005C1EA5" w:rsidRPr="005C0994">
        <w:rPr>
          <w:rFonts w:asciiTheme="majorHAnsi" w:hAnsiTheme="majorHAnsi"/>
          <w:sz w:val="20"/>
          <w:szCs w:val="20"/>
        </w:rPr>
        <w:t xml:space="preserve"> there are no sufficient elements to conclude that Mr. </w:t>
      </w:r>
      <w:proofErr w:type="spellStart"/>
      <w:r w:rsidR="005C1EA5" w:rsidRPr="005C0994">
        <w:rPr>
          <w:rFonts w:asciiTheme="majorHAnsi" w:hAnsiTheme="majorHAnsi"/>
          <w:sz w:val="20"/>
          <w:szCs w:val="20"/>
        </w:rPr>
        <w:t>Loza</w:t>
      </w:r>
      <w:r w:rsidR="00947C4A" w:rsidRPr="005C0994">
        <w:rPr>
          <w:rFonts w:asciiTheme="majorHAnsi" w:hAnsiTheme="majorHAnsi"/>
          <w:sz w:val="20"/>
          <w:szCs w:val="20"/>
        </w:rPr>
        <w:t>’</w:t>
      </w:r>
      <w:r w:rsidR="005C1EA5" w:rsidRPr="005C0994">
        <w:rPr>
          <w:rFonts w:asciiTheme="majorHAnsi" w:hAnsiTheme="majorHAnsi"/>
          <w:sz w:val="20"/>
          <w:szCs w:val="20"/>
        </w:rPr>
        <w:t>s</w:t>
      </w:r>
      <w:proofErr w:type="spellEnd"/>
      <w:r w:rsidR="005C1EA5" w:rsidRPr="005C0994">
        <w:rPr>
          <w:rFonts w:asciiTheme="majorHAnsi" w:hAnsiTheme="majorHAnsi"/>
          <w:sz w:val="20"/>
          <w:szCs w:val="20"/>
        </w:rPr>
        <w:t xml:space="preserve"> arrest was illegal, arbitrary or discriminatory</w:t>
      </w:r>
      <w:r w:rsidR="00DC7F0B" w:rsidRPr="005C0994">
        <w:rPr>
          <w:rFonts w:asciiTheme="majorHAnsi" w:hAnsiTheme="majorHAnsi"/>
          <w:sz w:val="20"/>
          <w:szCs w:val="20"/>
        </w:rPr>
        <w:t>, or that he was selectively prosecuted for capital offenses based on ethnic discrimination</w:t>
      </w:r>
      <w:r w:rsidR="005C1EA5" w:rsidRPr="005C0994">
        <w:rPr>
          <w:rFonts w:asciiTheme="majorHAnsi" w:hAnsiTheme="majorHAnsi"/>
          <w:sz w:val="20"/>
          <w:szCs w:val="20"/>
        </w:rPr>
        <w:t>.</w:t>
      </w:r>
    </w:p>
    <w:p w14:paraId="7F9E8773" w14:textId="77777777" w:rsidR="004F65A8" w:rsidRPr="005C0994" w:rsidRDefault="004F65A8" w:rsidP="00351CD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360"/>
        <w:jc w:val="both"/>
        <w:rPr>
          <w:rFonts w:asciiTheme="majorHAnsi" w:hAnsiTheme="majorHAnsi"/>
          <w:bCs/>
          <w:sz w:val="20"/>
          <w:szCs w:val="20"/>
        </w:rPr>
      </w:pPr>
    </w:p>
    <w:p w14:paraId="7FBF38BD" w14:textId="77777777" w:rsidR="006B5C2E" w:rsidRPr="005C0994" w:rsidRDefault="006B5C2E" w:rsidP="009C6457">
      <w:pPr>
        <w:pStyle w:val="Heading2"/>
        <w:numPr>
          <w:ilvl w:val="0"/>
          <w:numId w:val="61"/>
        </w:numPr>
        <w:tabs>
          <w:tab w:val="left" w:pos="360"/>
        </w:tabs>
        <w:spacing w:before="0"/>
        <w:ind w:left="0" w:firstLine="0"/>
        <w:jc w:val="both"/>
        <w:rPr>
          <w:color w:val="auto"/>
          <w:sz w:val="20"/>
          <w:szCs w:val="20"/>
        </w:rPr>
      </w:pPr>
      <w:bookmarkStart w:id="30" w:name="_Toc90297882"/>
      <w:r w:rsidRPr="005C0994">
        <w:rPr>
          <w:color w:val="auto"/>
          <w:sz w:val="20"/>
          <w:szCs w:val="20"/>
        </w:rPr>
        <w:t>Right not to receive cruel, infamous or unusual punishment</w:t>
      </w:r>
      <w:r w:rsidR="008E1322" w:rsidRPr="005C0994">
        <w:rPr>
          <w:rStyle w:val="FootnoteReference"/>
          <w:color w:val="auto"/>
          <w:sz w:val="20"/>
          <w:szCs w:val="20"/>
        </w:rPr>
        <w:footnoteReference w:id="67"/>
      </w:r>
      <w:bookmarkEnd w:id="30"/>
      <w:r w:rsidRPr="005C0994">
        <w:rPr>
          <w:color w:val="auto"/>
          <w:sz w:val="20"/>
          <w:szCs w:val="20"/>
        </w:rPr>
        <w:t xml:space="preserve"> </w:t>
      </w:r>
    </w:p>
    <w:p w14:paraId="65F0B580" w14:textId="77777777" w:rsidR="00801C7F" w:rsidRPr="005C0994" w:rsidRDefault="00801C7F" w:rsidP="00801C7F">
      <w:pPr>
        <w:tabs>
          <w:tab w:val="left" w:pos="360"/>
        </w:tabs>
        <w:rPr>
          <w:b/>
          <w:sz w:val="20"/>
          <w:szCs w:val="20"/>
        </w:rPr>
      </w:pPr>
    </w:p>
    <w:p w14:paraId="5E6FDFAB" w14:textId="77777777" w:rsidR="006B5C2E" w:rsidRPr="005C0994" w:rsidRDefault="00801C7F" w:rsidP="00B9441F">
      <w:pPr>
        <w:pStyle w:val="Heading3"/>
        <w:numPr>
          <w:ilvl w:val="0"/>
          <w:numId w:val="68"/>
        </w:numPr>
        <w:spacing w:before="0"/>
        <w:ind w:left="360"/>
        <w:rPr>
          <w:color w:val="auto"/>
          <w:sz w:val="20"/>
          <w:szCs w:val="20"/>
        </w:rPr>
      </w:pPr>
      <w:bookmarkStart w:id="31" w:name="_Toc90297883"/>
      <w:r w:rsidRPr="005C0994">
        <w:rPr>
          <w:color w:val="auto"/>
          <w:sz w:val="20"/>
          <w:szCs w:val="20"/>
        </w:rPr>
        <w:t>Method of execution</w:t>
      </w:r>
      <w:bookmarkEnd w:id="31"/>
    </w:p>
    <w:p w14:paraId="04E479BE" w14:textId="77777777" w:rsidR="00801C7F" w:rsidRPr="005C0994" w:rsidRDefault="00801C7F" w:rsidP="00801C7F">
      <w:pPr>
        <w:pStyle w:val="ListParagraph"/>
        <w:tabs>
          <w:tab w:val="left" w:pos="360"/>
        </w:tabs>
        <w:ind w:left="0"/>
        <w:rPr>
          <w:b/>
          <w:sz w:val="20"/>
          <w:szCs w:val="20"/>
        </w:rPr>
      </w:pPr>
    </w:p>
    <w:p w14:paraId="4C1F209A" w14:textId="77777777" w:rsidR="00F91540" w:rsidRPr="005C0994"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In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case of executions by lethal injection, and the composition of the execution team as well as the training of its members.</w:t>
      </w:r>
      <w:r w:rsidRPr="005C0994">
        <w:rPr>
          <w:rStyle w:val="FootnoteReference"/>
          <w:rFonts w:asciiTheme="majorHAnsi" w:hAnsiTheme="majorHAnsi"/>
          <w:sz w:val="20"/>
          <w:szCs w:val="20"/>
        </w:rPr>
        <w:footnoteReference w:id="68"/>
      </w:r>
      <w:r w:rsidRPr="005C0994">
        <w:rPr>
          <w:rStyle w:val="FootnoteReference"/>
          <w:rFonts w:asciiTheme="majorHAnsi" w:hAnsiTheme="majorHAnsi"/>
          <w:sz w:val="20"/>
          <w:szCs w:val="20"/>
        </w:rPr>
        <w:t xml:space="preserve"> </w:t>
      </w:r>
      <w:r w:rsidRPr="005C0994">
        <w:rPr>
          <w:rFonts w:ascii="Cambria" w:hAnsi="Cambria"/>
          <w:sz w:val="20"/>
          <w:szCs w:val="20"/>
        </w:rPr>
        <w:t xml:space="preserve"> </w:t>
      </w:r>
    </w:p>
    <w:p w14:paraId="61327EB9" w14:textId="77777777" w:rsidR="00F91540" w:rsidRPr="005C0994" w:rsidRDefault="00F91540" w:rsidP="00F91540">
      <w:pPr>
        <w:pStyle w:val="NormalWeb"/>
        <w:shd w:val="clear" w:color="auto" w:fill="FFFFFF"/>
        <w:tabs>
          <w:tab w:val="left" w:pos="360"/>
        </w:tabs>
        <w:spacing w:before="0" w:beforeAutospacing="0" w:after="0" w:afterAutospacing="0"/>
        <w:jc w:val="both"/>
        <w:rPr>
          <w:rFonts w:ascii="Cambria" w:hAnsi="Cambria"/>
          <w:sz w:val="20"/>
          <w:szCs w:val="20"/>
        </w:rPr>
      </w:pPr>
    </w:p>
    <w:p w14:paraId="693463AF" w14:textId="77777777" w:rsidR="00F91540" w:rsidRPr="005C0994"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Any person subjected to the death penalty must have the opportunity to challenge every aspect of the execution procedure and such information is necessary to file a challenge. The IACHR notes in this regard that the due process requirement is not limited to the conviction and post-conviction proceedings.</w:t>
      </w:r>
      <w:r w:rsidRPr="005C0994">
        <w:rPr>
          <w:rStyle w:val="FootnoteReference"/>
          <w:rFonts w:asciiTheme="majorHAnsi" w:hAnsiTheme="majorHAnsi"/>
          <w:sz w:val="20"/>
          <w:szCs w:val="20"/>
        </w:rPr>
        <w:footnoteReference w:id="69"/>
      </w:r>
      <w:r w:rsidRPr="005C0994">
        <w:rPr>
          <w:rStyle w:val="FootnoteReference"/>
          <w:rFonts w:asciiTheme="majorHAnsi" w:hAnsiTheme="majorHAnsi"/>
        </w:rPr>
        <w:t xml:space="preserve"> </w:t>
      </w:r>
      <w:r w:rsidRPr="005C0994">
        <w:rPr>
          <w:rFonts w:ascii="Cambria" w:hAnsi="Cambria"/>
          <w:sz w:val="20"/>
          <w:szCs w:val="20"/>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19E120AB" w14:textId="77777777" w:rsidR="00F91540" w:rsidRPr="005C0994" w:rsidRDefault="00F91540" w:rsidP="00F91540">
      <w:pPr>
        <w:pStyle w:val="ListParagraph"/>
        <w:rPr>
          <w:sz w:val="20"/>
          <w:szCs w:val="20"/>
        </w:rPr>
      </w:pPr>
    </w:p>
    <w:p w14:paraId="6CAF0FC4" w14:textId="77777777" w:rsidR="00F91540" w:rsidRPr="005C0994"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Further, the IACHR highlights the reinforced special duty of the State to ensure that the method of execution does not constitute cruel, infamous or unusual punishment. In this regard, the U.N. Special Rapporteur on torture and other cruel, inhuman or degrading treatment or punishment stated that “[t]</w:t>
      </w:r>
      <w:r w:rsidRPr="005C0994">
        <w:rPr>
          <w:rFonts w:ascii="Cambria" w:hAnsi="Cambria" w:cs="TimesNewRomanPS"/>
          <w:color w:val="231F20"/>
          <w:sz w:val="20"/>
          <w:szCs w:val="20"/>
        </w:rPr>
        <w:t>he fact that a number of execution methods have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5C0994">
        <w:rPr>
          <w:rStyle w:val="FootnoteReference"/>
          <w:rFonts w:asciiTheme="majorHAnsi" w:hAnsiTheme="majorHAnsi"/>
          <w:sz w:val="20"/>
          <w:szCs w:val="20"/>
        </w:rPr>
        <w:footnoteReference w:id="70"/>
      </w:r>
    </w:p>
    <w:p w14:paraId="12FCD5A1" w14:textId="77777777" w:rsidR="00F91540" w:rsidRPr="005C0994" w:rsidRDefault="00F91540" w:rsidP="00F91540">
      <w:pPr>
        <w:pStyle w:val="ListParagraph"/>
        <w:rPr>
          <w:sz w:val="20"/>
          <w:szCs w:val="20"/>
        </w:rPr>
      </w:pPr>
    </w:p>
    <w:p w14:paraId="089C4C0C" w14:textId="77777777" w:rsidR="00F91540" w:rsidRPr="005C0994"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5C0994">
        <w:rPr>
          <w:rStyle w:val="FootnoteReference"/>
          <w:rFonts w:asciiTheme="majorHAnsi" w:hAnsiTheme="majorHAnsi"/>
          <w:sz w:val="20"/>
          <w:szCs w:val="20"/>
        </w:rPr>
        <w:footnoteReference w:id="71"/>
      </w:r>
    </w:p>
    <w:p w14:paraId="6F1E1191" w14:textId="77777777" w:rsidR="005E4CF1" w:rsidRPr="005C0994" w:rsidRDefault="005E4CF1" w:rsidP="005E4CF1">
      <w:pPr>
        <w:pStyle w:val="ListParagraph"/>
        <w:rPr>
          <w:sz w:val="20"/>
          <w:szCs w:val="20"/>
        </w:rPr>
      </w:pPr>
    </w:p>
    <w:p w14:paraId="6F94E421" w14:textId="77777777" w:rsidR="001B4E52" w:rsidRPr="005C0994" w:rsidRDefault="00473197" w:rsidP="001B4E5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As of the time of adoption of the present report</w:t>
      </w:r>
      <w:r w:rsidR="00510142" w:rsidRPr="005C0994">
        <w:rPr>
          <w:rFonts w:ascii="Cambria" w:hAnsi="Cambria"/>
          <w:sz w:val="20"/>
          <w:szCs w:val="20"/>
        </w:rPr>
        <w:t>,</w:t>
      </w:r>
      <w:r w:rsidR="003659F2" w:rsidRPr="005C0994">
        <w:rPr>
          <w:rFonts w:ascii="Cambria" w:hAnsi="Cambria"/>
          <w:sz w:val="20"/>
          <w:szCs w:val="20"/>
        </w:rPr>
        <w:t xml:space="preserve"> the current Governor of Ohio,</w:t>
      </w:r>
      <w:r w:rsidR="00510142" w:rsidRPr="005C0994">
        <w:rPr>
          <w:rFonts w:ascii="Cambria" w:hAnsi="Cambria"/>
          <w:sz w:val="20"/>
          <w:szCs w:val="20"/>
        </w:rPr>
        <w:t xml:space="preserve"> Mike DeWine,</w:t>
      </w:r>
      <w:r w:rsidR="003659F2" w:rsidRPr="005C0994">
        <w:rPr>
          <w:rFonts w:ascii="Cambria" w:hAnsi="Cambria"/>
          <w:sz w:val="20"/>
          <w:szCs w:val="20"/>
        </w:rPr>
        <w:t xml:space="preserve"> communicated on February 19, 2019 that the State postponed the execution of inmates until a new method of carrying out executions is developed and deemed constitutional by the courts</w:t>
      </w:r>
      <w:r w:rsidRPr="005C0994">
        <w:rPr>
          <w:rFonts w:ascii="Cambria" w:hAnsi="Cambria"/>
          <w:sz w:val="20"/>
          <w:szCs w:val="20"/>
        </w:rPr>
        <w:t xml:space="preserve">. </w:t>
      </w:r>
      <w:r w:rsidR="00510142" w:rsidRPr="005C0994">
        <w:rPr>
          <w:rFonts w:ascii="Cambria" w:hAnsi="Cambria"/>
          <w:sz w:val="20"/>
          <w:szCs w:val="20"/>
        </w:rPr>
        <w:t xml:space="preserve">The state of Ohio had resumed the execution of inmates as of July 26, 2017. </w:t>
      </w:r>
      <w:r w:rsidR="003659F2" w:rsidRPr="005C0994">
        <w:rPr>
          <w:rFonts w:ascii="Cambria" w:hAnsi="Cambria"/>
          <w:sz w:val="20"/>
          <w:szCs w:val="20"/>
        </w:rPr>
        <w:t>The Governor ordered a review of the death penalty protocols after a federal magistrate judge opined that Ohio’s method of execution would subject a condemned prisoner to “severe paid and needless suffering</w:t>
      </w:r>
      <w:r w:rsidR="004E3879" w:rsidRPr="005C0994">
        <w:rPr>
          <w:rFonts w:ascii="Cambria" w:hAnsi="Cambria"/>
          <w:sz w:val="20"/>
          <w:szCs w:val="20"/>
        </w:rPr>
        <w:t>.</w:t>
      </w:r>
      <w:r w:rsidR="003659F2" w:rsidRPr="005C0994">
        <w:rPr>
          <w:rFonts w:ascii="Cambria" w:hAnsi="Cambria"/>
          <w:sz w:val="20"/>
          <w:szCs w:val="20"/>
        </w:rPr>
        <w:t>”</w:t>
      </w:r>
      <w:r w:rsidR="003659F2" w:rsidRPr="005C0994">
        <w:rPr>
          <w:rStyle w:val="FootnoteReference"/>
          <w:rFonts w:ascii="Cambria" w:hAnsi="Cambria"/>
          <w:sz w:val="20"/>
          <w:szCs w:val="20"/>
        </w:rPr>
        <w:footnoteReference w:id="72"/>
      </w:r>
    </w:p>
    <w:p w14:paraId="3E00BAF4" w14:textId="77777777" w:rsidR="001B4E52" w:rsidRPr="005C0994" w:rsidRDefault="001B4E52" w:rsidP="003659F2">
      <w:pPr>
        <w:rPr>
          <w:sz w:val="20"/>
          <w:szCs w:val="20"/>
        </w:rPr>
      </w:pPr>
    </w:p>
    <w:p w14:paraId="3D10EAF2" w14:textId="77777777" w:rsidR="001B4E52" w:rsidRPr="005C0994" w:rsidRDefault="001B4E52" w:rsidP="001B4E5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 xml:space="preserve">Based on the above considerations, and the uncertainty surrounding death penalty executions in </w:t>
      </w:r>
      <w:r w:rsidR="00D1134B" w:rsidRPr="005C0994">
        <w:rPr>
          <w:rFonts w:ascii="Cambria" w:hAnsi="Cambria"/>
          <w:sz w:val="20"/>
          <w:szCs w:val="20"/>
        </w:rPr>
        <w:t>Ohio</w:t>
      </w:r>
      <w:r w:rsidRPr="005C0994">
        <w:rPr>
          <w:rFonts w:ascii="Cambria" w:hAnsi="Cambria"/>
          <w:sz w:val="20"/>
          <w:szCs w:val="20"/>
        </w:rPr>
        <w:t xml:space="preserve">, the IACHR concludes that the State is exposing Mr. </w:t>
      </w:r>
      <w:proofErr w:type="spellStart"/>
      <w:r w:rsidR="00D1134B" w:rsidRPr="005C0994">
        <w:rPr>
          <w:rFonts w:ascii="Cambria" w:hAnsi="Cambria"/>
          <w:sz w:val="20"/>
          <w:szCs w:val="20"/>
        </w:rPr>
        <w:t>Loza</w:t>
      </w:r>
      <w:proofErr w:type="spellEnd"/>
      <w:r w:rsidRPr="005C0994">
        <w:rPr>
          <w:rFonts w:ascii="Cambria" w:hAnsi="Cambria"/>
          <w:sz w:val="20"/>
          <w:szCs w:val="20"/>
        </w:rPr>
        <w:t xml:space="preserve"> to anguish and fear that amount to a violation of his right to humane treatment and not to receive cruel, infamous or unusual punishment set forth in Articles XXV and XXVI of the Declaration. </w:t>
      </w:r>
    </w:p>
    <w:p w14:paraId="4D122A9E" w14:textId="77777777" w:rsidR="00801C7F" w:rsidRPr="005C0994" w:rsidRDefault="00801C7F" w:rsidP="00801C7F">
      <w:pPr>
        <w:pStyle w:val="ListParagraph"/>
        <w:tabs>
          <w:tab w:val="left" w:pos="360"/>
        </w:tabs>
        <w:rPr>
          <w:sz w:val="20"/>
          <w:szCs w:val="20"/>
        </w:rPr>
      </w:pPr>
    </w:p>
    <w:p w14:paraId="4CF9CE08" w14:textId="77777777" w:rsidR="00801C7F" w:rsidRPr="005C0994" w:rsidRDefault="00BB76B9" w:rsidP="003752A9">
      <w:pPr>
        <w:pStyle w:val="Heading3"/>
        <w:numPr>
          <w:ilvl w:val="3"/>
          <w:numId w:val="53"/>
        </w:numPr>
        <w:spacing w:before="0"/>
        <w:ind w:left="360"/>
        <w:jc w:val="both"/>
        <w:rPr>
          <w:color w:val="auto"/>
          <w:sz w:val="20"/>
          <w:szCs w:val="20"/>
        </w:rPr>
      </w:pPr>
      <w:bookmarkStart w:id="32" w:name="_Toc90297884"/>
      <w:r w:rsidRPr="005C0994">
        <w:rPr>
          <w:color w:val="auto"/>
          <w:sz w:val="20"/>
          <w:szCs w:val="20"/>
        </w:rPr>
        <w:t>The d</w:t>
      </w:r>
      <w:r w:rsidR="00801C7F" w:rsidRPr="005C0994">
        <w:rPr>
          <w:color w:val="auto"/>
          <w:sz w:val="20"/>
          <w:szCs w:val="20"/>
        </w:rPr>
        <w:t>eprivation of liberty on death row</w:t>
      </w:r>
      <w:bookmarkEnd w:id="32"/>
      <w:r w:rsidRPr="005C0994">
        <w:rPr>
          <w:color w:val="auto"/>
          <w:sz w:val="20"/>
          <w:szCs w:val="20"/>
        </w:rPr>
        <w:t xml:space="preserve"> </w:t>
      </w:r>
    </w:p>
    <w:p w14:paraId="2661F28F" w14:textId="77777777" w:rsidR="00801C7F" w:rsidRPr="005C0994" w:rsidRDefault="00801C7F" w:rsidP="00801C7F">
      <w:pPr>
        <w:pStyle w:val="ListParagraph"/>
        <w:tabs>
          <w:tab w:val="left" w:pos="360"/>
        </w:tabs>
        <w:ind w:left="0"/>
        <w:rPr>
          <w:b/>
          <w:sz w:val="20"/>
          <w:szCs w:val="20"/>
        </w:rPr>
      </w:pPr>
    </w:p>
    <w:p w14:paraId="16A30FC6" w14:textId="77777777" w:rsidR="00BE3560" w:rsidRPr="005C0994"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5C0994">
        <w:rPr>
          <w:rFonts w:ascii="Cambria" w:eastAsia="Arial Unicode MS" w:hAnsi="Cambria"/>
          <w:sz w:val="20"/>
          <w:bdr w:val="nil"/>
          <w:vertAlign w:val="superscript"/>
        </w:rPr>
        <w:footnoteReference w:id="73"/>
      </w:r>
      <w:r w:rsidRPr="005C0994">
        <w:rPr>
          <w:rFonts w:ascii="Cambria" w:eastAsia="Arial Unicode MS" w:hAnsi="Cambria"/>
          <w:sz w:val="20"/>
          <w:bdr w:val="nil"/>
          <w:vertAlign w:val="superscript"/>
        </w:rPr>
        <w:t xml:space="preserve"> </w:t>
      </w:r>
      <w:r w:rsidRPr="005C0994">
        <w:rPr>
          <w:rFonts w:ascii="Cambria" w:hAnsi="Cambria"/>
          <w:sz w:val="20"/>
          <w:szCs w:val="20"/>
        </w:rPr>
        <w:t xml:space="preserve">Based on those standards, in the case of Russell </w:t>
      </w:r>
      <w:proofErr w:type="spellStart"/>
      <w:r w:rsidRPr="005C0994">
        <w:rPr>
          <w:rFonts w:ascii="Cambria" w:hAnsi="Cambria"/>
          <w:sz w:val="20"/>
          <w:szCs w:val="20"/>
        </w:rPr>
        <w:t>Bucklew</w:t>
      </w:r>
      <w:proofErr w:type="spellEnd"/>
      <w:r w:rsidRPr="005C0994">
        <w:rPr>
          <w:rFonts w:ascii="Cambria" w:hAnsi="Cambria"/>
          <w:sz w:val="20"/>
          <w:szCs w:val="20"/>
        </w:rPr>
        <w:t xml:space="preserve"> the IACHR found that “the very fact of spending 20 years on death row is, by any account, excessive and inhuman.”</w:t>
      </w:r>
      <w:r w:rsidRPr="005C0994">
        <w:rPr>
          <w:rFonts w:ascii="Cambria" w:eastAsia="Arial Unicode MS" w:hAnsi="Cambria"/>
          <w:sz w:val="20"/>
          <w:bdr w:val="nil"/>
          <w:vertAlign w:val="superscript"/>
        </w:rPr>
        <w:footnoteReference w:id="74"/>
      </w:r>
    </w:p>
    <w:p w14:paraId="08A0DEC6" w14:textId="77777777" w:rsidR="00BE3560" w:rsidRPr="005C0994" w:rsidRDefault="00BE3560" w:rsidP="00BE3560">
      <w:pPr>
        <w:pStyle w:val="NormalWeb"/>
        <w:shd w:val="clear" w:color="auto" w:fill="FFFFFF"/>
        <w:tabs>
          <w:tab w:val="left" w:pos="360"/>
        </w:tabs>
        <w:spacing w:before="0" w:beforeAutospacing="0" w:after="0" w:afterAutospacing="0"/>
        <w:jc w:val="both"/>
        <w:rPr>
          <w:rFonts w:ascii="Cambria" w:hAnsi="Cambria"/>
          <w:sz w:val="20"/>
          <w:szCs w:val="20"/>
        </w:rPr>
      </w:pPr>
    </w:p>
    <w:p w14:paraId="1E8EFC1E" w14:textId="77777777" w:rsidR="00BE3560" w:rsidRPr="005C0994"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rPr>
        <w:t>Specifically regarding the matter of prolonged solitary confinement on death row, the Inter-American Commission has determined that deprivation of liberty under certain conditions on death row, including solitary confinement for four years, constituted inhuman treatment.</w:t>
      </w:r>
      <w:r w:rsidRPr="005C0994">
        <w:rPr>
          <w:rFonts w:ascii="Cambria" w:eastAsia="Arial Unicode MS" w:hAnsi="Cambria"/>
          <w:sz w:val="20"/>
          <w:bdr w:val="nil"/>
          <w:vertAlign w:val="superscript"/>
        </w:rPr>
        <w:footnoteReference w:id="75"/>
      </w:r>
      <w:r w:rsidRPr="005C0994">
        <w:rPr>
          <w:rFonts w:ascii="Cambria" w:eastAsia="Arial Unicode MS" w:hAnsi="Cambria"/>
          <w:sz w:val="20"/>
          <w:bdr w:val="nil"/>
          <w:vertAlign w:val="superscript"/>
        </w:rPr>
        <w:t xml:space="preserve">   </w:t>
      </w:r>
      <w:r w:rsidRPr="005C0994">
        <w:rPr>
          <w:rFonts w:ascii="Cambria" w:hAnsi="Cambria"/>
          <w:sz w:val="20"/>
        </w:rPr>
        <w:t xml:space="preserve">  </w:t>
      </w:r>
    </w:p>
    <w:p w14:paraId="6E6AC87D" w14:textId="77777777" w:rsidR="00BE3560" w:rsidRPr="005C0994" w:rsidRDefault="00BE3560" w:rsidP="00BE3560">
      <w:pPr>
        <w:pStyle w:val="ListParagraph"/>
        <w:rPr>
          <w:sz w:val="20"/>
        </w:rPr>
      </w:pPr>
    </w:p>
    <w:p w14:paraId="119A4917" w14:textId="77777777" w:rsidR="003A5E9B" w:rsidRPr="005C0994"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5C0994">
        <w:rPr>
          <w:rFonts w:ascii="Cambria" w:hAnsi="Cambria"/>
          <w:sz w:val="20"/>
        </w:rPr>
        <w:t xml:space="preserve">The UN Special Rapporteur on Torture has found that: </w:t>
      </w:r>
    </w:p>
    <w:p w14:paraId="66F2BD90" w14:textId="77777777" w:rsidR="003A5E9B" w:rsidRPr="005C0994" w:rsidRDefault="003A5E9B" w:rsidP="003A5E9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095F1EB9" w14:textId="77777777" w:rsidR="003A5E9B" w:rsidRPr="005C0994" w:rsidRDefault="003A5E9B" w:rsidP="003A5E9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rPr>
      </w:pPr>
      <w:r w:rsidRPr="005C0994">
        <w:rPr>
          <w:rFonts w:ascii="Cambria" w:eastAsia="Times New Roman" w:hAnsi="Cambria"/>
          <w:sz w:val="18"/>
          <w:szCs w:val="18"/>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5C0994">
        <w:rPr>
          <w:rFonts w:ascii="Cambria" w:eastAsia="Times New Roman" w:hAnsi="Cambria"/>
          <w:sz w:val="18"/>
          <w:szCs w:val="18"/>
          <w:vertAlign w:val="superscript"/>
        </w:rPr>
        <w:footnoteReference w:id="76"/>
      </w:r>
    </w:p>
    <w:p w14:paraId="212A57C8" w14:textId="77777777" w:rsidR="003A5E9B" w:rsidRPr="005C0994" w:rsidRDefault="003A5E9B" w:rsidP="003A5E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70764C73" w14:textId="77777777" w:rsidR="003A5E9B" w:rsidRPr="005C0994" w:rsidRDefault="003A5E9B" w:rsidP="0033591F">
      <w:pPr>
        <w:pStyle w:val="NormalWeb"/>
        <w:numPr>
          <w:ilvl w:val="0"/>
          <w:numId w:val="55"/>
        </w:numPr>
        <w:shd w:val="clear" w:color="auto" w:fill="FFFFFF"/>
        <w:tabs>
          <w:tab w:val="left" w:pos="360"/>
          <w:tab w:val="left" w:pos="450"/>
        </w:tabs>
        <w:spacing w:before="0" w:beforeAutospacing="0" w:after="0" w:afterAutospacing="0"/>
        <w:ind w:left="0" w:firstLine="0"/>
        <w:jc w:val="both"/>
        <w:rPr>
          <w:rFonts w:ascii="Cambria" w:hAnsi="Cambria"/>
          <w:sz w:val="20"/>
        </w:rPr>
      </w:pPr>
      <w:r w:rsidRPr="005C0994">
        <w:rPr>
          <w:rFonts w:ascii="Cambria" w:hAnsi="Cambria"/>
          <w:sz w:val="20"/>
        </w:rPr>
        <w:t xml:space="preserve">As established in this report, Mr. </w:t>
      </w:r>
      <w:proofErr w:type="spellStart"/>
      <w:r w:rsidR="00E068E0" w:rsidRPr="005C0994">
        <w:rPr>
          <w:rFonts w:ascii="Cambria" w:hAnsi="Cambria"/>
          <w:sz w:val="20"/>
        </w:rPr>
        <w:t>Loza</w:t>
      </w:r>
      <w:proofErr w:type="spellEnd"/>
      <w:r w:rsidRPr="005C0994">
        <w:rPr>
          <w:rFonts w:ascii="Cambria" w:hAnsi="Cambria"/>
          <w:sz w:val="20"/>
        </w:rPr>
        <w:t xml:space="preserve"> </w:t>
      </w:r>
      <w:r w:rsidR="00D73D78" w:rsidRPr="005C0994">
        <w:rPr>
          <w:rFonts w:ascii="Cambria" w:hAnsi="Cambria"/>
          <w:sz w:val="20"/>
        </w:rPr>
        <w:t>has been deprived of his liberty on death row for</w:t>
      </w:r>
      <w:r w:rsidRPr="005C0994">
        <w:rPr>
          <w:rFonts w:ascii="Cambria" w:hAnsi="Cambria"/>
          <w:sz w:val="20"/>
        </w:rPr>
        <w:t xml:space="preserve"> </w:t>
      </w:r>
      <w:r w:rsidR="00E068E0" w:rsidRPr="005C0994">
        <w:rPr>
          <w:rFonts w:ascii="Cambria" w:hAnsi="Cambria"/>
          <w:sz w:val="20"/>
        </w:rPr>
        <w:t xml:space="preserve">28 </w:t>
      </w:r>
      <w:r w:rsidRPr="005C0994">
        <w:rPr>
          <w:rFonts w:ascii="Cambria" w:hAnsi="Cambria"/>
          <w:sz w:val="20"/>
        </w:rPr>
        <w:t xml:space="preserve">years. The Commission notes that the very fact of spending </w:t>
      </w:r>
      <w:r w:rsidR="00E068E0" w:rsidRPr="005C0994">
        <w:rPr>
          <w:rFonts w:ascii="Cambria" w:hAnsi="Cambria"/>
          <w:sz w:val="20"/>
        </w:rPr>
        <w:t>28</w:t>
      </w:r>
      <w:r w:rsidRPr="005C0994">
        <w:rPr>
          <w:rFonts w:ascii="Cambria" w:hAnsi="Cambria"/>
          <w:sz w:val="20"/>
        </w:rPr>
        <w:t xml:space="preserve"> years on death row is, by any account, excessive and inhuman, and is aggravated by the prolonged expectation that the death sentence could be executed. Consequently, the United States is responsible for violating, to the detriment of Mr. </w:t>
      </w:r>
      <w:proofErr w:type="spellStart"/>
      <w:r w:rsidR="00075E4E" w:rsidRPr="005C0994">
        <w:rPr>
          <w:rFonts w:ascii="Cambria" w:hAnsi="Cambria"/>
          <w:sz w:val="20"/>
        </w:rPr>
        <w:t>Loza</w:t>
      </w:r>
      <w:proofErr w:type="spellEnd"/>
      <w:r w:rsidRPr="005C0994">
        <w:rPr>
          <w:rFonts w:ascii="Cambria" w:hAnsi="Cambria"/>
          <w:sz w:val="20"/>
        </w:rPr>
        <w:t xml:space="preserve">, the right to humane treatment, and not to receive cruel, infamous or unusual punishment established in </w:t>
      </w:r>
      <w:r w:rsidR="00970813" w:rsidRPr="005C0994">
        <w:rPr>
          <w:rFonts w:ascii="Cambria" w:hAnsi="Cambria"/>
          <w:sz w:val="20"/>
        </w:rPr>
        <w:t xml:space="preserve">Articles XXV and XXVI of </w:t>
      </w:r>
      <w:r w:rsidRPr="005C0994">
        <w:rPr>
          <w:rFonts w:ascii="Cambria" w:hAnsi="Cambria"/>
          <w:sz w:val="20"/>
        </w:rPr>
        <w:t xml:space="preserve">the American Declaration.  </w:t>
      </w:r>
    </w:p>
    <w:p w14:paraId="055FCBD8" w14:textId="77777777" w:rsidR="00801C7F" w:rsidRPr="005C0994" w:rsidRDefault="00801C7F" w:rsidP="00801C7F">
      <w:pPr>
        <w:pStyle w:val="NormalWeb"/>
        <w:shd w:val="clear" w:color="auto" w:fill="FFFFFF"/>
        <w:tabs>
          <w:tab w:val="left" w:pos="360"/>
        </w:tabs>
        <w:spacing w:before="0" w:beforeAutospacing="0" w:after="0" w:afterAutospacing="0"/>
        <w:jc w:val="both"/>
        <w:rPr>
          <w:sz w:val="20"/>
          <w:szCs w:val="20"/>
        </w:rPr>
      </w:pPr>
    </w:p>
    <w:p w14:paraId="471BDEE2" w14:textId="77777777" w:rsidR="00801C7F" w:rsidRPr="005C0994" w:rsidRDefault="00375D88" w:rsidP="00B9441F">
      <w:pPr>
        <w:pStyle w:val="Heading2"/>
        <w:numPr>
          <w:ilvl w:val="0"/>
          <w:numId w:val="68"/>
        </w:numPr>
        <w:tabs>
          <w:tab w:val="left" w:pos="360"/>
        </w:tabs>
        <w:spacing w:before="0"/>
        <w:ind w:left="0" w:firstLine="0"/>
        <w:jc w:val="both"/>
        <w:rPr>
          <w:color w:val="auto"/>
          <w:sz w:val="20"/>
          <w:szCs w:val="20"/>
        </w:rPr>
      </w:pPr>
      <w:bookmarkStart w:id="33" w:name="_Toc90297885"/>
      <w:r w:rsidRPr="005C0994">
        <w:rPr>
          <w:color w:val="auto"/>
          <w:sz w:val="20"/>
          <w:szCs w:val="20"/>
        </w:rPr>
        <w:t>R</w:t>
      </w:r>
      <w:r w:rsidR="002B4417" w:rsidRPr="005C0994">
        <w:rPr>
          <w:color w:val="auto"/>
          <w:sz w:val="20"/>
          <w:szCs w:val="20"/>
        </w:rPr>
        <w:t>ight to life</w:t>
      </w:r>
      <w:r w:rsidR="00C535F1" w:rsidRPr="005C0994">
        <w:rPr>
          <w:rStyle w:val="FootnoteReference"/>
          <w:color w:val="auto"/>
          <w:sz w:val="20"/>
          <w:szCs w:val="20"/>
        </w:rPr>
        <w:footnoteReference w:id="77"/>
      </w:r>
      <w:r w:rsidR="00DD5501" w:rsidRPr="005C0994">
        <w:rPr>
          <w:color w:val="auto"/>
          <w:sz w:val="20"/>
          <w:szCs w:val="20"/>
        </w:rPr>
        <w:t xml:space="preserve"> and to protection against cruel, infamous o</w:t>
      </w:r>
      <w:r w:rsidR="00224AA7" w:rsidRPr="005C0994">
        <w:rPr>
          <w:color w:val="auto"/>
          <w:sz w:val="20"/>
          <w:szCs w:val="20"/>
        </w:rPr>
        <w:t>r</w:t>
      </w:r>
      <w:r w:rsidR="00DD5501" w:rsidRPr="005C0994">
        <w:rPr>
          <w:color w:val="auto"/>
          <w:sz w:val="20"/>
          <w:szCs w:val="20"/>
        </w:rPr>
        <w:t xml:space="preserve"> unusual punishment with respect to the eventual execution of </w:t>
      </w:r>
      <w:r w:rsidR="00E068E0" w:rsidRPr="005C0994">
        <w:rPr>
          <w:color w:val="auto"/>
          <w:sz w:val="20"/>
          <w:szCs w:val="20"/>
        </w:rPr>
        <w:t xml:space="preserve">José Trinidad </w:t>
      </w:r>
      <w:proofErr w:type="spellStart"/>
      <w:r w:rsidR="00E068E0" w:rsidRPr="005C0994">
        <w:rPr>
          <w:color w:val="auto"/>
          <w:sz w:val="20"/>
          <w:szCs w:val="20"/>
        </w:rPr>
        <w:t>Loza</w:t>
      </w:r>
      <w:proofErr w:type="spellEnd"/>
      <w:r w:rsidR="00E068E0" w:rsidRPr="005C0994">
        <w:rPr>
          <w:color w:val="auto"/>
          <w:sz w:val="20"/>
          <w:szCs w:val="20"/>
        </w:rPr>
        <w:t xml:space="preserve"> Ventura</w:t>
      </w:r>
      <w:bookmarkEnd w:id="33"/>
    </w:p>
    <w:p w14:paraId="13424D89" w14:textId="77777777" w:rsidR="00867DA3" w:rsidRPr="005C0994" w:rsidRDefault="00867DA3" w:rsidP="00867DA3">
      <w:pPr>
        <w:rPr>
          <w:rFonts w:asciiTheme="majorHAnsi" w:hAnsiTheme="majorHAnsi"/>
          <w:sz w:val="20"/>
          <w:szCs w:val="20"/>
        </w:rPr>
      </w:pPr>
    </w:p>
    <w:p w14:paraId="71A5348B" w14:textId="77777777" w:rsidR="00BE3560" w:rsidRPr="005C0994" w:rsidRDefault="00BE3560" w:rsidP="003359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Cambria" w:hAnsi="Cambria"/>
          <w:sz w:val="20"/>
          <w:szCs w:val="20"/>
        </w:rPr>
      </w:pPr>
      <w:r w:rsidRPr="005C0994">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5C0994">
        <w:rPr>
          <w:rStyle w:val="FootnoteReference"/>
          <w:rFonts w:ascii="Cambria" w:hAnsi="Cambria"/>
          <w:sz w:val="20"/>
          <w:szCs w:val="20"/>
        </w:rPr>
        <w:footnoteReference w:id="78"/>
      </w:r>
    </w:p>
    <w:p w14:paraId="69DDA60A" w14:textId="77777777" w:rsidR="00BE3560" w:rsidRPr="005C0994" w:rsidRDefault="00BE3560" w:rsidP="00070187">
      <w:pPr>
        <w:rPr>
          <w:sz w:val="20"/>
          <w:szCs w:val="20"/>
        </w:rPr>
      </w:pPr>
    </w:p>
    <w:p w14:paraId="7737BD0C" w14:textId="77777777" w:rsidR="00BE3560" w:rsidRPr="009E5A64" w:rsidRDefault="00BE3560" w:rsidP="003359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Cambria" w:hAnsi="Cambria"/>
          <w:sz w:val="20"/>
          <w:szCs w:val="20"/>
        </w:rPr>
      </w:pPr>
      <w:r w:rsidRPr="005C0994">
        <w:rPr>
          <w:rFonts w:ascii="Cambria" w:hAnsi="Cambria"/>
          <w:sz w:val="20"/>
          <w:szCs w:val="20"/>
        </w:rPr>
        <w:t>Under these circumstances, the IACHR has maintained that executing a person</w:t>
      </w:r>
      <w:r w:rsidR="002D5D4E" w:rsidRPr="005C0994">
        <w:rPr>
          <w:rFonts w:ascii="Cambria" w:hAnsi="Cambria"/>
          <w:sz w:val="20"/>
          <w:szCs w:val="20"/>
        </w:rPr>
        <w:t>,</w:t>
      </w:r>
      <w:r w:rsidRPr="005C0994">
        <w:rPr>
          <w:rFonts w:ascii="Cambria" w:hAnsi="Cambria"/>
          <w:sz w:val="20"/>
          <w:szCs w:val="20"/>
        </w:rPr>
        <w:t xml:space="preserve"> after proceedings that were conducted in violation of his rights</w:t>
      </w:r>
      <w:r w:rsidR="002D5D4E" w:rsidRPr="005C0994">
        <w:rPr>
          <w:rFonts w:ascii="Cambria" w:hAnsi="Cambria"/>
          <w:sz w:val="20"/>
          <w:szCs w:val="20"/>
        </w:rPr>
        <w:t>,</w:t>
      </w:r>
      <w:r w:rsidRPr="005C0994">
        <w:rPr>
          <w:rFonts w:ascii="Cambria" w:hAnsi="Cambria"/>
          <w:sz w:val="20"/>
          <w:szCs w:val="20"/>
        </w:rPr>
        <w:t xml:space="preserve"> would be extremely grave and constitute a deliberate violation of the right to life established in Article I of the American Declaration.</w:t>
      </w:r>
      <w:r w:rsidRPr="005C0994">
        <w:rPr>
          <w:rStyle w:val="FootnoteReference"/>
          <w:rFonts w:ascii="Cambria" w:hAnsi="Cambria"/>
          <w:sz w:val="20"/>
          <w:szCs w:val="20"/>
        </w:rPr>
        <w:footnoteReference w:id="79"/>
      </w:r>
      <w:r w:rsidRPr="005C0994">
        <w:rPr>
          <w:rFonts w:ascii="Cambria" w:hAnsi="Cambria"/>
          <w:sz w:val="20"/>
          <w:szCs w:val="20"/>
        </w:rPr>
        <w:t xml:space="preserve"> Further, based on the conclusions regarding the deprivation of liberty on death row, the eventual execution of Mr. </w:t>
      </w:r>
      <w:proofErr w:type="spellStart"/>
      <w:r w:rsidR="00070187" w:rsidRPr="005C0994">
        <w:rPr>
          <w:rFonts w:ascii="Cambria" w:hAnsi="Cambria"/>
          <w:sz w:val="20"/>
          <w:szCs w:val="20"/>
        </w:rPr>
        <w:t>Loza</w:t>
      </w:r>
      <w:proofErr w:type="spellEnd"/>
      <w:r w:rsidRPr="005C0994">
        <w:rPr>
          <w:rFonts w:ascii="Cambria" w:hAnsi="Cambria"/>
          <w:sz w:val="20"/>
          <w:szCs w:val="20"/>
        </w:rPr>
        <w:t xml:space="preserve"> would constitute, by any account, a violation of the right to protection against cruel, infamous or unusual punishment. In light of the foregoing and taking into account the determinations made throughout this report, the IACHR concludes that the execution of Mr. </w:t>
      </w:r>
      <w:proofErr w:type="spellStart"/>
      <w:r w:rsidR="00070187" w:rsidRPr="005C0994">
        <w:rPr>
          <w:rFonts w:ascii="Cambria" w:hAnsi="Cambria"/>
          <w:sz w:val="20"/>
          <w:szCs w:val="20"/>
        </w:rPr>
        <w:t>Loza</w:t>
      </w:r>
      <w:proofErr w:type="spellEnd"/>
      <w:r w:rsidRPr="005C0994">
        <w:rPr>
          <w:rFonts w:ascii="Cambria" w:hAnsi="Cambria"/>
          <w:sz w:val="20"/>
          <w:szCs w:val="20"/>
        </w:rPr>
        <w:t xml:space="preserve"> would constitute a serious violation of his right to life established in Articles I of the American Declaration</w:t>
      </w:r>
      <w:r w:rsidRPr="009E5A64">
        <w:rPr>
          <w:rFonts w:ascii="Cambria" w:hAnsi="Cambria"/>
          <w:sz w:val="20"/>
          <w:szCs w:val="20"/>
        </w:rPr>
        <w:t>.</w:t>
      </w:r>
    </w:p>
    <w:p w14:paraId="213644BF" w14:textId="77777777" w:rsidR="007F094E" w:rsidRPr="009E5A64" w:rsidRDefault="007F094E" w:rsidP="007F094E">
      <w:pPr>
        <w:pStyle w:val="ListParagraph"/>
        <w:rPr>
          <w:rFonts w:asciiTheme="majorHAnsi" w:hAnsiTheme="majorHAnsi"/>
          <w:sz w:val="20"/>
          <w:szCs w:val="20"/>
        </w:rPr>
      </w:pPr>
    </w:p>
    <w:p w14:paraId="39F82895" w14:textId="65A89F26" w:rsidR="007F094E" w:rsidRPr="009E5A64" w:rsidRDefault="007F094E" w:rsidP="007F094E">
      <w:pPr>
        <w:pStyle w:val="Heading1"/>
        <w:tabs>
          <w:tab w:val="left" w:pos="360"/>
        </w:tabs>
        <w:spacing w:before="0"/>
        <w:ind w:hanging="720"/>
        <w:rPr>
          <w:color w:val="auto"/>
          <w:sz w:val="20"/>
          <w:szCs w:val="20"/>
        </w:rPr>
      </w:pPr>
      <w:bookmarkStart w:id="34" w:name="_Toc45105400"/>
      <w:bookmarkStart w:id="35" w:name="_Toc47714178"/>
      <w:bookmarkStart w:id="36" w:name="_Toc87432711"/>
      <w:bookmarkStart w:id="37" w:name="_Toc90297886"/>
      <w:r w:rsidRPr="009E5A64">
        <w:rPr>
          <w:color w:val="auto"/>
          <w:sz w:val="20"/>
          <w:szCs w:val="20"/>
        </w:rPr>
        <w:t>REPORT No. 243/19 AND INFORMATION ABOUT COMPLIANCE</w:t>
      </w:r>
      <w:bookmarkEnd w:id="34"/>
      <w:bookmarkEnd w:id="35"/>
      <w:bookmarkEnd w:id="36"/>
      <w:bookmarkEnd w:id="37"/>
    </w:p>
    <w:p w14:paraId="0039A3C4" w14:textId="77777777" w:rsidR="007F094E" w:rsidRPr="009E5A64" w:rsidRDefault="007F094E" w:rsidP="007F094E">
      <w:pPr>
        <w:rPr>
          <w:rFonts w:asciiTheme="majorHAnsi" w:hAnsiTheme="majorHAnsi"/>
          <w:sz w:val="20"/>
          <w:szCs w:val="20"/>
        </w:rPr>
      </w:pPr>
    </w:p>
    <w:p w14:paraId="3E4C3C31" w14:textId="51B47C4E" w:rsidR="007F094E" w:rsidRPr="009E5A64" w:rsidRDefault="007F094E" w:rsidP="007F094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9E5A64">
        <w:rPr>
          <w:rFonts w:asciiTheme="majorHAnsi" w:hAnsiTheme="majorHAnsi"/>
          <w:sz w:val="20"/>
          <w:szCs w:val="20"/>
        </w:rPr>
        <w:t xml:space="preserve">On December 31, 2019, the Commission approved Report No. 243/19 on the </w:t>
      </w:r>
      <w:r w:rsidR="004D4A62" w:rsidRPr="009E5A64">
        <w:rPr>
          <w:rFonts w:asciiTheme="majorHAnsi" w:hAnsiTheme="majorHAnsi"/>
          <w:sz w:val="20"/>
          <w:szCs w:val="20"/>
        </w:rPr>
        <w:t xml:space="preserve">admissibility and </w:t>
      </w:r>
      <w:r w:rsidRPr="009E5A64">
        <w:rPr>
          <w:rFonts w:asciiTheme="majorHAnsi" w:hAnsiTheme="majorHAnsi"/>
          <w:sz w:val="20"/>
          <w:szCs w:val="20"/>
        </w:rPr>
        <w:t xml:space="preserve">merits of the instant case, which encompasses paragraphs 1 to 102 supra, and issued the following recommendations to the State: </w:t>
      </w:r>
    </w:p>
    <w:p w14:paraId="69B974A0" w14:textId="77777777" w:rsidR="007F094E" w:rsidRPr="005C0994" w:rsidRDefault="007F094E" w:rsidP="007F094E"/>
    <w:p w14:paraId="0ABC005C" w14:textId="77777777" w:rsidR="007F094E" w:rsidRPr="005C0994" w:rsidRDefault="007F094E" w:rsidP="007F09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5C0994">
        <w:rPr>
          <w:rFonts w:eastAsia="Times New Roman" w:cs="Tahoma"/>
          <w:sz w:val="20"/>
          <w:szCs w:val="20"/>
          <w:bdr w:val="none" w:sz="0" w:space="0" w:color="auto" w:frame="1"/>
        </w:rPr>
        <w:t xml:space="preserve">Grant </w:t>
      </w:r>
      <w:r w:rsidRPr="005C0994">
        <w:rPr>
          <w:rFonts w:asciiTheme="majorHAnsi" w:hAnsiTheme="majorHAnsi"/>
          <w:color w:val="auto"/>
          <w:sz w:val="20"/>
          <w:szCs w:val="20"/>
        </w:rPr>
        <w:t xml:space="preserve">José Trinidad </w:t>
      </w:r>
      <w:proofErr w:type="spellStart"/>
      <w:r w:rsidRPr="005C0994">
        <w:rPr>
          <w:rFonts w:asciiTheme="majorHAnsi" w:hAnsiTheme="majorHAnsi"/>
          <w:color w:val="auto"/>
          <w:sz w:val="20"/>
          <w:szCs w:val="20"/>
        </w:rPr>
        <w:t>Loza</w:t>
      </w:r>
      <w:proofErr w:type="spellEnd"/>
      <w:r w:rsidRPr="005C0994">
        <w:rPr>
          <w:rFonts w:asciiTheme="majorHAnsi" w:hAnsiTheme="majorHAnsi"/>
          <w:color w:val="auto"/>
          <w:sz w:val="20"/>
          <w:szCs w:val="20"/>
        </w:rPr>
        <w:t xml:space="preserve"> Ventura</w:t>
      </w:r>
      <w:r w:rsidRPr="005C0994">
        <w:rPr>
          <w:rFonts w:eastAsia="Times New Roman" w:cs="Tahoma"/>
          <w:sz w:val="20"/>
          <w:szCs w:val="20"/>
          <w:bdr w:val="none" w:sz="0" w:space="0" w:color="auto" w:frame="1"/>
        </w:rPr>
        <w:t xml:space="preserve"> effective relief, including the review of his trial and sentence in accordance with the guarantees of fair trial and due process set forth in Articles </w:t>
      </w:r>
      <w:r w:rsidRPr="005C0994">
        <w:rPr>
          <w:rFonts w:asciiTheme="majorHAnsi" w:hAnsiTheme="majorHAnsi"/>
          <w:color w:val="000000" w:themeColor="text1"/>
          <w:sz w:val="20"/>
          <w:szCs w:val="20"/>
        </w:rPr>
        <w:t xml:space="preserve">XVIII and XXVI </w:t>
      </w:r>
      <w:r w:rsidRPr="005C0994">
        <w:rPr>
          <w:rFonts w:eastAsia="Times New Roman" w:cs="Tahoma"/>
          <w:sz w:val="20"/>
          <w:szCs w:val="20"/>
          <w:bdr w:val="none" w:sz="0" w:space="0" w:color="auto" w:frame="1"/>
        </w:rPr>
        <w:t>of the American Declaration,</w:t>
      </w:r>
      <w:r w:rsidRPr="005C0994">
        <w:rPr>
          <w:rStyle w:val="FootnoteReference"/>
          <w:rFonts w:eastAsia="Times New Roman"/>
          <w:sz w:val="20"/>
          <w:szCs w:val="20"/>
          <w:bdr w:val="none" w:sz="0" w:space="0" w:color="auto" w:frame="1"/>
        </w:rPr>
        <w:footnoteReference w:id="80"/>
      </w:r>
      <w:r w:rsidRPr="005C0994">
        <w:rPr>
          <w:rFonts w:eastAsia="Times New Roman" w:cs="Tahoma"/>
          <w:sz w:val="20"/>
          <w:szCs w:val="20"/>
          <w:bdr w:val="none" w:sz="0" w:space="0" w:color="auto" w:frame="1"/>
        </w:rPr>
        <w:t xml:space="preserve"> and the payment of pecuniary compensation. </w:t>
      </w:r>
      <w:r w:rsidRPr="005C0994">
        <w:rPr>
          <w:rFonts w:cs="Arial"/>
          <w:color w:val="auto"/>
          <w:sz w:val="20"/>
          <w:szCs w:val="20"/>
        </w:rPr>
        <w:t xml:space="preserve">Taking into account the conclusions of the IACHR on the time </w:t>
      </w:r>
      <w:r w:rsidRPr="005C0994">
        <w:rPr>
          <w:rFonts w:asciiTheme="majorHAnsi" w:hAnsiTheme="majorHAnsi"/>
          <w:color w:val="auto"/>
          <w:sz w:val="20"/>
          <w:szCs w:val="20"/>
        </w:rPr>
        <w:t xml:space="preserve">José Trinidad </w:t>
      </w:r>
      <w:proofErr w:type="spellStart"/>
      <w:r w:rsidRPr="005C0994">
        <w:rPr>
          <w:rFonts w:asciiTheme="majorHAnsi" w:hAnsiTheme="majorHAnsi"/>
          <w:color w:val="auto"/>
          <w:sz w:val="20"/>
          <w:szCs w:val="20"/>
        </w:rPr>
        <w:t>Loza</w:t>
      </w:r>
      <w:proofErr w:type="spellEnd"/>
      <w:r w:rsidRPr="005C0994">
        <w:rPr>
          <w:rFonts w:asciiTheme="majorHAnsi" w:hAnsiTheme="majorHAnsi"/>
          <w:color w:val="auto"/>
          <w:sz w:val="20"/>
          <w:szCs w:val="20"/>
        </w:rPr>
        <w:t xml:space="preserve"> Ventura</w:t>
      </w:r>
      <w:r w:rsidRPr="005C0994">
        <w:rPr>
          <w:rFonts w:cs="Arial"/>
          <w:color w:val="auto"/>
          <w:sz w:val="20"/>
          <w:szCs w:val="20"/>
        </w:rPr>
        <w:t xml:space="preserve"> has been held on death row, the Commission recommends that his sentence be commuted</w:t>
      </w:r>
      <w:r w:rsidRPr="005C0994">
        <w:rPr>
          <w:rFonts w:eastAsia="Times New Roman" w:cs="Tahoma"/>
          <w:sz w:val="20"/>
          <w:szCs w:val="20"/>
          <w:bdr w:val="none" w:sz="0" w:space="0" w:color="auto" w:frame="1"/>
        </w:rPr>
        <w:t>.</w:t>
      </w:r>
    </w:p>
    <w:p w14:paraId="696681EA" w14:textId="77777777" w:rsidR="007F094E" w:rsidRPr="005C0994" w:rsidRDefault="007F094E" w:rsidP="007F094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1C92EC90" w14:textId="77777777" w:rsidR="007F094E" w:rsidRPr="005C0994" w:rsidRDefault="007F094E" w:rsidP="007F09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5C0994">
        <w:rPr>
          <w:sz w:val="20"/>
        </w:rPr>
        <w:t>Review its laws, procedures, and practices at the state, and if applicable, at the federal level to ensure that persons accused of capital crimes are tried and, if convicted, sentenced in accordance with the rights established in the American Declaration, including Articles I, XVIII, XXV and XXVI thereof, and, in particular:</w:t>
      </w:r>
    </w:p>
    <w:p w14:paraId="4B8A2222" w14:textId="77777777" w:rsidR="007F094E" w:rsidRPr="005C0994" w:rsidRDefault="007F094E" w:rsidP="007F094E">
      <w:pPr>
        <w:pStyle w:val="ListParagraph"/>
        <w:rPr>
          <w:rFonts w:asciiTheme="majorHAnsi" w:eastAsia="Times New Roman" w:hAnsiTheme="majorHAnsi" w:cs="Tahoma"/>
          <w:sz w:val="20"/>
          <w:szCs w:val="20"/>
          <w:bdr w:val="none" w:sz="0" w:space="0" w:color="auto"/>
        </w:rPr>
      </w:pPr>
    </w:p>
    <w:p w14:paraId="0D4C59AE" w14:textId="77777777" w:rsidR="007F094E" w:rsidRPr="005C0994" w:rsidRDefault="007F094E" w:rsidP="007F094E">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5C0994">
        <w:rPr>
          <w:rFonts w:asciiTheme="majorHAnsi" w:eastAsia="Times New Roman" w:hAnsiTheme="majorHAnsi" w:cs="Tahoma"/>
          <w:sz w:val="20"/>
          <w:szCs w:val="20"/>
          <w:bdr w:val="none" w:sz="0" w:space="0" w:color="auto"/>
        </w:rPr>
        <w:t xml:space="preserve">Ensure that </w:t>
      </w:r>
      <w:r w:rsidRPr="005C0994">
        <w:rPr>
          <w:rFonts w:asciiTheme="majorHAnsi" w:hAnsiTheme="majorHAnsi"/>
          <w:sz w:val="20"/>
          <w:szCs w:val="20"/>
        </w:rPr>
        <w:t>every foreign national deprived of his or her liberty is informed, without delay and prior to his or her first statement, of the right to request that consular authorities be immediately notified of his or her arrest or detention;</w:t>
      </w:r>
      <w:r w:rsidRPr="005C0994">
        <w:rPr>
          <w:rFonts w:asciiTheme="majorHAnsi" w:eastAsia="Times New Roman" w:hAnsiTheme="majorHAnsi" w:cs="Tahoma"/>
          <w:sz w:val="20"/>
          <w:szCs w:val="20"/>
          <w:bdr w:val="none" w:sz="0" w:space="0" w:color="auto"/>
        </w:rPr>
        <w:t xml:space="preserve"> and</w:t>
      </w:r>
    </w:p>
    <w:p w14:paraId="45192E32" w14:textId="77777777" w:rsidR="007F094E" w:rsidRPr="005C0994" w:rsidRDefault="007F094E" w:rsidP="007F094E">
      <w:pPr>
        <w:pStyle w:val="ListParagraph"/>
        <w:ind w:left="1080"/>
        <w:rPr>
          <w:sz w:val="20"/>
          <w:szCs w:val="20"/>
          <w:bdr w:val="none" w:sz="0" w:space="0" w:color="auto" w:frame="1"/>
        </w:rPr>
      </w:pPr>
    </w:p>
    <w:p w14:paraId="720E00AA" w14:textId="77777777" w:rsidR="007F094E" w:rsidRPr="005C0994" w:rsidRDefault="007F094E" w:rsidP="007F094E">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5C0994">
        <w:rPr>
          <w:sz w:val="20"/>
          <w:szCs w:val="20"/>
          <w:bdr w:val="none" w:sz="0" w:space="0" w:color="auto" w:frame="1"/>
        </w:rPr>
        <w:t xml:space="preserve">Ensure that court-appointed appellate counsel provides adequate legal representation in death penalty cases. </w:t>
      </w:r>
    </w:p>
    <w:p w14:paraId="1E3C650F" w14:textId="77777777" w:rsidR="007F094E" w:rsidRPr="005C0994" w:rsidRDefault="007F094E" w:rsidP="007F094E">
      <w:pPr>
        <w:tabs>
          <w:tab w:val="left" w:pos="360"/>
        </w:tabs>
        <w:jc w:val="both"/>
        <w:rPr>
          <w:rFonts w:asciiTheme="majorHAnsi" w:eastAsia="Times New Roman" w:hAnsiTheme="majorHAnsi" w:cs="Tahoma"/>
          <w:sz w:val="20"/>
          <w:szCs w:val="20"/>
          <w:bdr w:val="none" w:sz="0" w:space="0" w:color="auto" w:frame="1"/>
        </w:rPr>
      </w:pPr>
    </w:p>
    <w:p w14:paraId="0DFDA820" w14:textId="77777777" w:rsidR="007F094E" w:rsidRPr="005C0994" w:rsidRDefault="007F094E" w:rsidP="007F09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hAnsiTheme="majorHAnsi"/>
          <w:sz w:val="20"/>
          <w:szCs w:val="20"/>
        </w:rPr>
      </w:pPr>
      <w:r w:rsidRPr="005C0994">
        <w:rPr>
          <w:rFonts w:asciiTheme="majorHAnsi" w:hAnsiTheme="majorHAnsi"/>
          <w:sz w:val="20"/>
          <w:szCs w:val="20"/>
        </w:rPr>
        <w:t>Ensure that the drugs used in lethal injection are subject to government approval and regulation, that the execution team has appropriate medical training and that lethal injection protocols are available to the public.</w:t>
      </w:r>
    </w:p>
    <w:p w14:paraId="57278587" w14:textId="77777777" w:rsidR="007F094E" w:rsidRPr="005C0994" w:rsidRDefault="007F094E" w:rsidP="007F094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hAnsiTheme="majorHAnsi"/>
          <w:sz w:val="20"/>
          <w:szCs w:val="20"/>
        </w:rPr>
      </w:pPr>
    </w:p>
    <w:p w14:paraId="223A64D6" w14:textId="77777777" w:rsidR="007F094E" w:rsidRPr="007F094E" w:rsidRDefault="007F094E" w:rsidP="007F09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pPr>
      <w:r w:rsidRPr="005C0994">
        <w:rPr>
          <w:rFonts w:asciiTheme="majorHAnsi" w:hAnsiTheme="majorHAnsi"/>
          <w:sz w:val="20"/>
        </w:rPr>
        <w:t>Given the violations of the American Declaration the IACHR has established in the present</w:t>
      </w:r>
      <w:r w:rsidRPr="005C0994">
        <w:rPr>
          <w:sz w:val="20"/>
        </w:rPr>
        <w:t xml:space="preserve"> case and in others involving application of the death penalty, the Inter-American Commission also recommends to the United States that it adopt a moratorium on executions of persons sentenced to death.</w:t>
      </w:r>
      <w:r w:rsidRPr="005C0994">
        <w:rPr>
          <w:rStyle w:val="FootnoteReference"/>
          <w:sz w:val="20"/>
        </w:rPr>
        <w:footnoteReference w:id="81"/>
      </w:r>
    </w:p>
    <w:p w14:paraId="353B2296" w14:textId="77777777" w:rsidR="007F094E" w:rsidRPr="005C0994" w:rsidRDefault="007F094E" w:rsidP="007F09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p>
    <w:p w14:paraId="6260C6ED" w14:textId="7FA32BAE" w:rsidR="007F094E" w:rsidRPr="009E5A64" w:rsidRDefault="007F094E" w:rsidP="003423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sz w:val="20"/>
          <w:szCs w:val="20"/>
        </w:rPr>
      </w:pPr>
      <w:r w:rsidRPr="009E5A64">
        <w:rPr>
          <w:sz w:val="20"/>
          <w:szCs w:val="20"/>
        </w:rPr>
        <w:t xml:space="preserve">On </w:t>
      </w:r>
      <w:r w:rsidRPr="009E5A64">
        <w:rPr>
          <w:rFonts w:ascii="Cambria" w:eastAsia="Cambria" w:hAnsi="Cambria" w:cs="Cambria"/>
          <w:color w:val="000000"/>
          <w:sz w:val="20"/>
          <w:szCs w:val="20"/>
          <w:u w:color="000000"/>
          <w:lang w:eastAsia="es-ES"/>
        </w:rPr>
        <w:t>February</w:t>
      </w:r>
      <w:r w:rsidRPr="009E5A64">
        <w:rPr>
          <w:sz w:val="20"/>
          <w:szCs w:val="20"/>
        </w:rPr>
        <w:t xml:space="preserve"> 27, 2020 the IACHR transmitted the report to the State with a time period of two months to inform the Commission on the measures taken to comply with its recommendations. On August 23, 202</w:t>
      </w:r>
      <w:r w:rsidR="00A84E1C" w:rsidRPr="009E5A64">
        <w:rPr>
          <w:sz w:val="20"/>
          <w:szCs w:val="20"/>
        </w:rPr>
        <w:t>1</w:t>
      </w:r>
      <w:r w:rsidRPr="009E5A64">
        <w:rPr>
          <w:sz w:val="20"/>
          <w:szCs w:val="20"/>
        </w:rPr>
        <w:t xml:space="preserve"> the petitioners </w:t>
      </w:r>
      <w:r w:rsidR="00A84E1C" w:rsidRPr="009E5A64">
        <w:rPr>
          <w:sz w:val="20"/>
          <w:szCs w:val="20"/>
        </w:rPr>
        <w:t>invoke</w:t>
      </w:r>
      <w:r w:rsidR="0080230B" w:rsidRPr="009E5A64">
        <w:rPr>
          <w:sz w:val="20"/>
          <w:szCs w:val="20"/>
        </w:rPr>
        <w:t>d</w:t>
      </w:r>
      <w:r w:rsidRPr="009E5A64">
        <w:rPr>
          <w:sz w:val="20"/>
          <w:szCs w:val="20"/>
        </w:rPr>
        <w:t xml:space="preserve"> the friendly settlement pro</w:t>
      </w:r>
      <w:r w:rsidR="003423B6" w:rsidRPr="009E5A64">
        <w:rPr>
          <w:sz w:val="20"/>
          <w:szCs w:val="20"/>
        </w:rPr>
        <w:t>c</w:t>
      </w:r>
      <w:r w:rsidRPr="009E5A64">
        <w:rPr>
          <w:sz w:val="20"/>
          <w:szCs w:val="20"/>
        </w:rPr>
        <w:t>edure</w:t>
      </w:r>
      <w:r w:rsidR="0080230B" w:rsidRPr="009E5A64">
        <w:rPr>
          <w:sz w:val="20"/>
          <w:szCs w:val="20"/>
        </w:rPr>
        <w:t xml:space="preserve">, asking for </w:t>
      </w:r>
      <w:r w:rsidRPr="009E5A64">
        <w:rPr>
          <w:sz w:val="20"/>
          <w:szCs w:val="20"/>
        </w:rPr>
        <w:t xml:space="preserve">the good offices of the IACHR </w:t>
      </w:r>
      <w:r w:rsidR="003423B6" w:rsidRPr="009E5A64">
        <w:rPr>
          <w:sz w:val="20"/>
          <w:szCs w:val="20"/>
        </w:rPr>
        <w:t>in arranging for a dialogue between the parties. This communication was transmitted to the State on September 22, 202</w:t>
      </w:r>
      <w:r w:rsidR="00A84E1C" w:rsidRPr="009E5A64">
        <w:rPr>
          <w:sz w:val="20"/>
          <w:szCs w:val="20"/>
        </w:rPr>
        <w:t>1</w:t>
      </w:r>
      <w:r w:rsidR="003423B6" w:rsidRPr="009E5A64">
        <w:rPr>
          <w:sz w:val="20"/>
          <w:szCs w:val="20"/>
        </w:rPr>
        <w:t>.</w:t>
      </w:r>
      <w:r w:rsidRPr="009E5A64">
        <w:rPr>
          <w:sz w:val="20"/>
          <w:szCs w:val="20"/>
        </w:rPr>
        <w:t xml:space="preserve"> To date, the Commission has not received any response from the United States regarding </w:t>
      </w:r>
      <w:r w:rsidR="00A84E1C" w:rsidRPr="009E5A64">
        <w:rPr>
          <w:sz w:val="20"/>
          <w:szCs w:val="20"/>
        </w:rPr>
        <w:t>r</w:t>
      </w:r>
      <w:r w:rsidRPr="009E5A64">
        <w:rPr>
          <w:sz w:val="20"/>
          <w:szCs w:val="20"/>
        </w:rPr>
        <w:t>eport No. 243/</w:t>
      </w:r>
      <w:r w:rsidR="00A84E1C" w:rsidRPr="009E5A64">
        <w:rPr>
          <w:sz w:val="20"/>
          <w:szCs w:val="20"/>
        </w:rPr>
        <w:t>19</w:t>
      </w:r>
      <w:r w:rsidRPr="009E5A64">
        <w:rPr>
          <w:sz w:val="20"/>
          <w:szCs w:val="20"/>
        </w:rPr>
        <w:t>.</w:t>
      </w:r>
    </w:p>
    <w:p w14:paraId="7C03DBE7" w14:textId="77777777" w:rsidR="00B56F13" w:rsidRPr="00B645F5" w:rsidRDefault="00B56F13" w:rsidP="00B56F1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3B1819DD" w14:textId="0BC8DA17" w:rsidR="00B56F13" w:rsidRPr="00D66EBD" w:rsidRDefault="00B56F13" w:rsidP="00B56F13">
      <w:pPr>
        <w:pStyle w:val="Heading1"/>
        <w:spacing w:before="0"/>
        <w:ind w:hanging="720"/>
        <w:rPr>
          <w:color w:val="auto"/>
          <w:sz w:val="20"/>
          <w:szCs w:val="20"/>
        </w:rPr>
      </w:pPr>
      <w:bookmarkStart w:id="38" w:name="_Toc26550943"/>
      <w:bookmarkStart w:id="39" w:name="_Toc87522016"/>
      <w:bookmarkStart w:id="40" w:name="_Toc90115136"/>
      <w:bookmarkStart w:id="41" w:name="_Toc90283315"/>
      <w:bookmarkStart w:id="42" w:name="_Toc90284149"/>
      <w:bookmarkStart w:id="43" w:name="_Toc90289383"/>
      <w:bookmarkStart w:id="44" w:name="_Toc90291522"/>
      <w:bookmarkStart w:id="45" w:name="_Toc90297887"/>
      <w:r w:rsidRPr="00D66EBD">
        <w:rPr>
          <w:color w:val="auto"/>
          <w:sz w:val="20"/>
          <w:szCs w:val="20"/>
        </w:rPr>
        <w:t>ACTIONS SUBSEQUENT TO REPORT No. 332/</w:t>
      </w:r>
      <w:bookmarkEnd w:id="38"/>
      <w:r w:rsidRPr="00D66EBD">
        <w:rPr>
          <w:color w:val="auto"/>
          <w:sz w:val="20"/>
          <w:szCs w:val="20"/>
        </w:rPr>
        <w:t>2</w:t>
      </w:r>
      <w:bookmarkEnd w:id="39"/>
      <w:r w:rsidRPr="00D66EBD">
        <w:rPr>
          <w:color w:val="auto"/>
          <w:sz w:val="20"/>
          <w:szCs w:val="20"/>
        </w:rPr>
        <w:t>1</w:t>
      </w:r>
      <w:bookmarkEnd w:id="40"/>
      <w:bookmarkEnd w:id="41"/>
      <w:bookmarkEnd w:id="42"/>
      <w:bookmarkEnd w:id="43"/>
      <w:bookmarkEnd w:id="44"/>
      <w:bookmarkEnd w:id="45"/>
    </w:p>
    <w:p w14:paraId="26A51152" w14:textId="77777777" w:rsidR="00B56F13" w:rsidRPr="00D66EBD" w:rsidRDefault="00B56F13" w:rsidP="00B56F13">
      <w:pPr>
        <w:rPr>
          <w:sz w:val="20"/>
          <w:szCs w:val="20"/>
        </w:rPr>
      </w:pPr>
    </w:p>
    <w:p w14:paraId="25964F0E" w14:textId="3916DA28" w:rsidR="00B56F13" w:rsidRPr="00D66EBD" w:rsidRDefault="00B56F13" w:rsidP="00B56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D66EBD">
        <w:rPr>
          <w:sz w:val="20"/>
          <w:szCs w:val="20"/>
        </w:rPr>
        <w:t>On</w:t>
      </w:r>
      <w:r w:rsidRPr="00D66EBD">
        <w:rPr>
          <w:rFonts w:ascii="Cambria" w:hAnsi="Cambria"/>
          <w:sz w:val="20"/>
          <w:szCs w:val="20"/>
        </w:rPr>
        <w:t xml:space="preserve"> November 22, 2021, the Commission approved Final Merits Report No. 332/21, which encompasses paragraphs 1 to 104 </w:t>
      </w:r>
      <w:r w:rsidRPr="00D66EBD">
        <w:rPr>
          <w:rFonts w:ascii="Cambria" w:hAnsi="Cambria"/>
          <w:i/>
          <w:sz w:val="20"/>
          <w:szCs w:val="20"/>
        </w:rPr>
        <w:t>supra</w:t>
      </w:r>
      <w:r w:rsidRPr="00D66EBD">
        <w:rPr>
          <w:rFonts w:ascii="Cambria" w:hAnsi="Cambria"/>
          <w:sz w:val="20"/>
          <w:szCs w:val="20"/>
        </w:rPr>
        <w:t xml:space="preserve">, and issued its final conclusions and recommendations to the State. On December </w:t>
      </w:r>
      <w:r w:rsidR="009E5A64" w:rsidRPr="00D66EBD">
        <w:rPr>
          <w:rFonts w:ascii="Cambria" w:hAnsi="Cambria"/>
          <w:sz w:val="20"/>
          <w:szCs w:val="20"/>
        </w:rPr>
        <w:t>3</w:t>
      </w:r>
      <w:r w:rsidRPr="00D66EBD">
        <w:rPr>
          <w:rFonts w:ascii="Cambria" w:hAnsi="Cambria"/>
          <w:sz w:val="20"/>
          <w:szCs w:val="20"/>
        </w:rPr>
        <w:t>,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332/21.</w:t>
      </w:r>
    </w:p>
    <w:p w14:paraId="08DF5D1D" w14:textId="77777777" w:rsidR="00B56F13" w:rsidRPr="005C0994" w:rsidRDefault="00B56F13" w:rsidP="00867DA3">
      <w:pPr>
        <w:rPr>
          <w:rFonts w:asciiTheme="majorHAnsi" w:hAnsiTheme="majorHAnsi"/>
          <w:sz w:val="20"/>
          <w:szCs w:val="20"/>
        </w:rPr>
      </w:pPr>
    </w:p>
    <w:p w14:paraId="66A98089" w14:textId="1F7BDD0B" w:rsidR="00C55560" w:rsidRPr="005C0994" w:rsidRDefault="00A84E1C" w:rsidP="00224AA7">
      <w:pPr>
        <w:pStyle w:val="Heading1"/>
        <w:tabs>
          <w:tab w:val="left" w:pos="360"/>
        </w:tabs>
        <w:spacing w:before="0"/>
        <w:ind w:hanging="720"/>
        <w:rPr>
          <w:color w:val="auto"/>
          <w:sz w:val="20"/>
          <w:szCs w:val="20"/>
        </w:rPr>
      </w:pPr>
      <w:bookmarkStart w:id="46" w:name="_Toc90297888"/>
      <w:r>
        <w:rPr>
          <w:color w:val="auto"/>
          <w:sz w:val="20"/>
          <w:szCs w:val="20"/>
        </w:rPr>
        <w:t xml:space="preserve">FINAL </w:t>
      </w:r>
      <w:r w:rsidR="00677DA7" w:rsidRPr="005C0994">
        <w:rPr>
          <w:color w:val="auto"/>
          <w:sz w:val="20"/>
          <w:szCs w:val="20"/>
        </w:rPr>
        <w:t>CONCLUSIONS AND RECOMMENDATIONS</w:t>
      </w:r>
      <w:bookmarkEnd w:id="46"/>
    </w:p>
    <w:p w14:paraId="0FB5031B" w14:textId="77777777" w:rsidR="00BC5766" w:rsidRPr="005C0994" w:rsidRDefault="00BC5766" w:rsidP="00BC5766"/>
    <w:p w14:paraId="2E44D589" w14:textId="77777777" w:rsidR="00BC5766" w:rsidRPr="005C0994" w:rsidRDefault="00BC5766" w:rsidP="00B944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sz w:val="20"/>
          <w:szCs w:val="20"/>
        </w:rPr>
      </w:pPr>
      <w:r w:rsidRPr="005C0994">
        <w:rPr>
          <w:rFonts w:asciiTheme="majorHAnsi" w:hAnsiTheme="majorHAnsi"/>
          <w:color w:val="000000" w:themeColor="text1"/>
          <w:sz w:val="20"/>
          <w:szCs w:val="20"/>
        </w:rPr>
        <w:t xml:space="preserve">On the basis of determinations of fact and law, the Inter-American Commission concludes that the State is responsible for the violation of Articles I (life, liberty, and security), XVIII (fair trial), XXV (protection from arbitrary detention), and XXVI (due process) of the American Declaration. </w:t>
      </w:r>
    </w:p>
    <w:p w14:paraId="21C0C17D" w14:textId="77777777" w:rsidR="00DE01CB" w:rsidRPr="005C0994" w:rsidRDefault="00DE01CB" w:rsidP="00BC5766">
      <w:pPr>
        <w:tabs>
          <w:tab w:val="left" w:pos="360"/>
        </w:tabs>
        <w:jc w:val="both"/>
        <w:rPr>
          <w:rFonts w:ascii="Cambria" w:hAnsi="Cambria"/>
          <w:b/>
          <w:sz w:val="20"/>
          <w:szCs w:val="20"/>
        </w:rPr>
      </w:pPr>
    </w:p>
    <w:p w14:paraId="7ACB8E48" w14:textId="19569269" w:rsidR="00BC5766" w:rsidRPr="005C0994" w:rsidRDefault="00BC5766" w:rsidP="00BC5766">
      <w:pPr>
        <w:tabs>
          <w:tab w:val="left" w:pos="360"/>
        </w:tabs>
        <w:jc w:val="both"/>
        <w:rPr>
          <w:rFonts w:ascii="Cambria" w:hAnsi="Cambria"/>
          <w:b/>
          <w:sz w:val="20"/>
          <w:szCs w:val="20"/>
        </w:rPr>
      </w:pPr>
      <w:r w:rsidRPr="005C0994">
        <w:rPr>
          <w:rFonts w:ascii="Cambria" w:hAnsi="Cambria"/>
          <w:b/>
          <w:sz w:val="20"/>
          <w:szCs w:val="20"/>
        </w:rPr>
        <w:t xml:space="preserve">THE INTER-AMERICAN COMMISSION ON HUMAN RIGHTS </w:t>
      </w:r>
      <w:r w:rsidRPr="009E5A64">
        <w:rPr>
          <w:rFonts w:ascii="Cambria" w:hAnsi="Cambria"/>
          <w:b/>
          <w:sz w:val="20"/>
          <w:szCs w:val="20"/>
        </w:rPr>
        <w:t>R</w:t>
      </w:r>
      <w:r w:rsidR="00A84E1C" w:rsidRPr="009E5A64">
        <w:rPr>
          <w:rFonts w:ascii="Cambria" w:hAnsi="Cambria"/>
          <w:b/>
          <w:sz w:val="20"/>
          <w:szCs w:val="20"/>
        </w:rPr>
        <w:t>EITERATES</w:t>
      </w:r>
      <w:r w:rsidRPr="005C0994">
        <w:rPr>
          <w:rFonts w:ascii="Cambria" w:hAnsi="Cambria"/>
          <w:b/>
          <w:sz w:val="20"/>
          <w:szCs w:val="20"/>
        </w:rPr>
        <w:t xml:space="preserve"> THAT THE UNITED STATES OF AMERICA,</w:t>
      </w:r>
    </w:p>
    <w:p w14:paraId="6E1E50FF" w14:textId="77777777" w:rsidR="00AA3C9F" w:rsidRPr="005C0994" w:rsidRDefault="00AA3C9F" w:rsidP="00AA3C9F"/>
    <w:p w14:paraId="1C1635C2" w14:textId="6B60C0BA" w:rsidR="002237F3" w:rsidRPr="005C0994" w:rsidRDefault="00AA3C9F" w:rsidP="00A84E1C">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5C0994">
        <w:rPr>
          <w:rFonts w:eastAsia="Times New Roman" w:cs="Tahoma"/>
          <w:sz w:val="20"/>
          <w:szCs w:val="20"/>
          <w:bdr w:val="none" w:sz="0" w:space="0" w:color="auto" w:frame="1"/>
        </w:rPr>
        <w:t xml:space="preserve">Grant </w:t>
      </w:r>
      <w:r w:rsidR="008C05DD" w:rsidRPr="005C0994">
        <w:rPr>
          <w:rFonts w:asciiTheme="majorHAnsi" w:hAnsiTheme="majorHAnsi"/>
          <w:color w:val="auto"/>
          <w:sz w:val="20"/>
          <w:szCs w:val="20"/>
        </w:rPr>
        <w:t xml:space="preserve">José Trinidad </w:t>
      </w:r>
      <w:proofErr w:type="spellStart"/>
      <w:r w:rsidR="008C05DD" w:rsidRPr="005C0994">
        <w:rPr>
          <w:rFonts w:asciiTheme="majorHAnsi" w:hAnsiTheme="majorHAnsi"/>
          <w:color w:val="auto"/>
          <w:sz w:val="20"/>
          <w:szCs w:val="20"/>
        </w:rPr>
        <w:t>Loza</w:t>
      </w:r>
      <w:proofErr w:type="spellEnd"/>
      <w:r w:rsidR="008C05DD" w:rsidRPr="005C0994">
        <w:rPr>
          <w:rFonts w:asciiTheme="majorHAnsi" w:hAnsiTheme="majorHAnsi"/>
          <w:color w:val="auto"/>
          <w:sz w:val="20"/>
          <w:szCs w:val="20"/>
        </w:rPr>
        <w:t xml:space="preserve"> Ventura</w:t>
      </w:r>
      <w:r w:rsidRPr="005C0994">
        <w:rPr>
          <w:rFonts w:eastAsia="Times New Roman" w:cs="Tahoma"/>
          <w:sz w:val="20"/>
          <w:szCs w:val="20"/>
          <w:bdr w:val="none" w:sz="0" w:space="0" w:color="auto" w:frame="1"/>
        </w:rPr>
        <w:t xml:space="preserve"> effective relief, including the review of his trial and sentence in accordance with the guarantees of fair trial and due process set forth in Articles </w:t>
      </w:r>
      <w:r w:rsidRPr="005C0994">
        <w:rPr>
          <w:rFonts w:asciiTheme="majorHAnsi" w:hAnsiTheme="majorHAnsi"/>
          <w:color w:val="000000" w:themeColor="text1"/>
          <w:sz w:val="20"/>
          <w:szCs w:val="20"/>
        </w:rPr>
        <w:t xml:space="preserve">XVIII and XXVI </w:t>
      </w:r>
      <w:r w:rsidRPr="005C0994">
        <w:rPr>
          <w:rFonts w:eastAsia="Times New Roman" w:cs="Tahoma"/>
          <w:sz w:val="20"/>
          <w:szCs w:val="20"/>
          <w:bdr w:val="none" w:sz="0" w:space="0" w:color="auto" w:frame="1"/>
        </w:rPr>
        <w:t>of the American Declaration,</w:t>
      </w:r>
      <w:r w:rsidR="004D677E" w:rsidRPr="005C0994">
        <w:rPr>
          <w:rStyle w:val="FootnoteReference"/>
          <w:rFonts w:eastAsia="Times New Roman"/>
          <w:sz w:val="20"/>
          <w:szCs w:val="20"/>
          <w:bdr w:val="none" w:sz="0" w:space="0" w:color="auto" w:frame="1"/>
        </w:rPr>
        <w:footnoteReference w:id="82"/>
      </w:r>
      <w:r w:rsidRPr="005C0994">
        <w:rPr>
          <w:rFonts w:eastAsia="Times New Roman" w:cs="Tahoma"/>
          <w:sz w:val="20"/>
          <w:szCs w:val="20"/>
          <w:bdr w:val="none" w:sz="0" w:space="0" w:color="auto" w:frame="1"/>
        </w:rPr>
        <w:t xml:space="preserve"> and the payment of pecuniary compensation. </w:t>
      </w:r>
      <w:r w:rsidRPr="005C0994">
        <w:rPr>
          <w:rFonts w:cs="Arial"/>
          <w:color w:val="auto"/>
          <w:sz w:val="20"/>
          <w:szCs w:val="20"/>
        </w:rPr>
        <w:t xml:space="preserve">Taking into account the conclusions of the IACHR on the time </w:t>
      </w:r>
      <w:r w:rsidR="008C05DD" w:rsidRPr="005C0994">
        <w:rPr>
          <w:rFonts w:asciiTheme="majorHAnsi" w:hAnsiTheme="majorHAnsi"/>
          <w:color w:val="auto"/>
          <w:sz w:val="20"/>
          <w:szCs w:val="20"/>
        </w:rPr>
        <w:t xml:space="preserve">José Trinidad </w:t>
      </w:r>
      <w:proofErr w:type="spellStart"/>
      <w:r w:rsidR="008C05DD" w:rsidRPr="005C0994">
        <w:rPr>
          <w:rFonts w:asciiTheme="majorHAnsi" w:hAnsiTheme="majorHAnsi"/>
          <w:color w:val="auto"/>
          <w:sz w:val="20"/>
          <w:szCs w:val="20"/>
        </w:rPr>
        <w:t>Loza</w:t>
      </w:r>
      <w:proofErr w:type="spellEnd"/>
      <w:r w:rsidR="008C05DD" w:rsidRPr="005C0994">
        <w:rPr>
          <w:rFonts w:asciiTheme="majorHAnsi" w:hAnsiTheme="majorHAnsi"/>
          <w:color w:val="auto"/>
          <w:sz w:val="20"/>
          <w:szCs w:val="20"/>
        </w:rPr>
        <w:t xml:space="preserve"> Ventura</w:t>
      </w:r>
      <w:r w:rsidR="008C05DD" w:rsidRPr="005C0994">
        <w:rPr>
          <w:rFonts w:cs="Arial"/>
          <w:color w:val="auto"/>
          <w:sz w:val="20"/>
          <w:szCs w:val="20"/>
        </w:rPr>
        <w:t xml:space="preserve"> </w:t>
      </w:r>
      <w:r w:rsidRPr="005C0994">
        <w:rPr>
          <w:rFonts w:cs="Arial"/>
          <w:color w:val="auto"/>
          <w:sz w:val="20"/>
          <w:szCs w:val="20"/>
        </w:rPr>
        <w:t>has been held on death row, the Commission recommends that his sentence be commuted</w:t>
      </w:r>
      <w:r w:rsidRPr="005C0994">
        <w:rPr>
          <w:rFonts w:eastAsia="Times New Roman" w:cs="Tahoma"/>
          <w:sz w:val="20"/>
          <w:szCs w:val="20"/>
          <w:bdr w:val="none" w:sz="0" w:space="0" w:color="auto" w:frame="1"/>
        </w:rPr>
        <w:t>.</w:t>
      </w:r>
    </w:p>
    <w:p w14:paraId="1B191557" w14:textId="77777777" w:rsidR="002D0D0D" w:rsidRPr="005C0994" w:rsidRDefault="002D0D0D" w:rsidP="002D0D0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2C54777C" w14:textId="77777777" w:rsidR="00560F51" w:rsidRPr="005C0994" w:rsidRDefault="00AA3C9F" w:rsidP="00A84E1C">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A84E1C">
        <w:rPr>
          <w:rFonts w:eastAsia="Times New Roman" w:cs="Tahoma"/>
          <w:sz w:val="20"/>
          <w:szCs w:val="20"/>
          <w:bdr w:val="none" w:sz="0" w:space="0" w:color="auto" w:frame="1"/>
        </w:rPr>
        <w:t>Review</w:t>
      </w:r>
      <w:r w:rsidRPr="005C0994">
        <w:rPr>
          <w:sz w:val="20"/>
        </w:rPr>
        <w:t xml:space="preserve"> its laws, procedures, and practices </w:t>
      </w:r>
      <w:r w:rsidR="00E67CBA" w:rsidRPr="005C0994">
        <w:rPr>
          <w:sz w:val="20"/>
        </w:rPr>
        <w:t xml:space="preserve">at the state, and if applicable, at the federal level </w:t>
      </w:r>
      <w:r w:rsidRPr="005C0994">
        <w:rPr>
          <w:sz w:val="20"/>
        </w:rPr>
        <w:t>to ensure that persons accused of capital crimes are tried and, if convicted, sentenced in accordance with the rights established in the American Declaration, including Articles I, XVIII, XXV and XXVI thereof</w:t>
      </w:r>
      <w:bookmarkStart w:id="47" w:name="_ftn34"/>
      <w:bookmarkEnd w:id="47"/>
      <w:r w:rsidR="00560F51" w:rsidRPr="005C0994">
        <w:rPr>
          <w:sz w:val="20"/>
        </w:rPr>
        <w:t>, and, in particular:</w:t>
      </w:r>
    </w:p>
    <w:p w14:paraId="3F789176" w14:textId="77777777" w:rsidR="00560F51" w:rsidRPr="005C0994" w:rsidRDefault="00560F51" w:rsidP="00560F51">
      <w:pPr>
        <w:pStyle w:val="ListParagraph"/>
        <w:rPr>
          <w:rFonts w:asciiTheme="majorHAnsi" w:eastAsia="Times New Roman" w:hAnsiTheme="majorHAnsi" w:cs="Tahoma"/>
          <w:sz w:val="20"/>
          <w:szCs w:val="20"/>
          <w:bdr w:val="none" w:sz="0" w:space="0" w:color="auto"/>
        </w:rPr>
      </w:pPr>
    </w:p>
    <w:p w14:paraId="0F71254D" w14:textId="1D1E1577" w:rsidR="00560F51" w:rsidRPr="00132821" w:rsidRDefault="00132821" w:rsidP="00132821">
      <w:pPr>
        <w:pStyle w:val="ListParagraph"/>
        <w:numPr>
          <w:ilvl w:val="4"/>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132821">
        <w:rPr>
          <w:sz w:val="20"/>
          <w:szCs w:val="20"/>
          <w:bdr w:val="none" w:sz="0" w:space="0" w:color="auto" w:frame="1"/>
        </w:rPr>
        <w:lastRenderedPageBreak/>
        <w:t>E</w:t>
      </w:r>
      <w:r w:rsidR="00560F51" w:rsidRPr="00132821">
        <w:rPr>
          <w:sz w:val="20"/>
          <w:szCs w:val="20"/>
          <w:bdr w:val="none" w:sz="0" w:space="0" w:color="auto" w:frame="1"/>
        </w:rPr>
        <w:t>nsure</w:t>
      </w:r>
      <w:r w:rsidR="00560F51" w:rsidRPr="00132821">
        <w:rPr>
          <w:rFonts w:asciiTheme="majorHAnsi" w:eastAsia="Times New Roman" w:hAnsiTheme="majorHAnsi" w:cs="Tahoma"/>
          <w:sz w:val="20"/>
          <w:szCs w:val="20"/>
          <w:bdr w:val="none" w:sz="0" w:space="0" w:color="auto"/>
        </w:rPr>
        <w:t xml:space="preserve"> that </w:t>
      </w:r>
      <w:r w:rsidR="00560F51" w:rsidRPr="00132821">
        <w:rPr>
          <w:rFonts w:asciiTheme="majorHAnsi" w:hAnsiTheme="majorHAnsi"/>
          <w:sz w:val="20"/>
          <w:szCs w:val="20"/>
        </w:rPr>
        <w:t>every foreign national deprived of his or her liberty is informed, without delay and prior to his or her first statement, of the right to request that consular authorities be immediately notified of his or her arrest or detention;</w:t>
      </w:r>
      <w:r w:rsidR="00FA773D" w:rsidRPr="00132821">
        <w:rPr>
          <w:rFonts w:asciiTheme="majorHAnsi" w:eastAsia="Times New Roman" w:hAnsiTheme="majorHAnsi" w:cs="Tahoma"/>
          <w:sz w:val="20"/>
          <w:szCs w:val="20"/>
          <w:bdr w:val="none" w:sz="0" w:space="0" w:color="auto"/>
        </w:rPr>
        <w:t xml:space="preserve"> </w:t>
      </w:r>
      <w:r w:rsidR="00560F51" w:rsidRPr="00132821">
        <w:rPr>
          <w:rFonts w:asciiTheme="majorHAnsi" w:eastAsia="Times New Roman" w:hAnsiTheme="majorHAnsi" w:cs="Tahoma"/>
          <w:sz w:val="20"/>
          <w:szCs w:val="20"/>
          <w:bdr w:val="none" w:sz="0" w:space="0" w:color="auto"/>
        </w:rPr>
        <w:t>and</w:t>
      </w:r>
    </w:p>
    <w:p w14:paraId="02B0AEC1" w14:textId="77777777" w:rsidR="00560F51" w:rsidRPr="005C0994" w:rsidRDefault="00560F51" w:rsidP="00560F51">
      <w:pPr>
        <w:pStyle w:val="ListParagraph"/>
        <w:ind w:left="1080"/>
        <w:rPr>
          <w:sz w:val="20"/>
          <w:szCs w:val="20"/>
          <w:bdr w:val="none" w:sz="0" w:space="0" w:color="auto" w:frame="1"/>
        </w:rPr>
      </w:pPr>
    </w:p>
    <w:p w14:paraId="4F2CC2EE" w14:textId="798A029A" w:rsidR="002237F3" w:rsidRPr="00132821" w:rsidRDefault="002237F3" w:rsidP="00132821">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132821">
        <w:rPr>
          <w:sz w:val="20"/>
          <w:szCs w:val="20"/>
          <w:bdr w:val="none" w:sz="0" w:space="0" w:color="auto" w:frame="1"/>
        </w:rPr>
        <w:t xml:space="preserve">Ensure that court-appointed appellate counsel provides adequate legal representation in death penalty cases. </w:t>
      </w:r>
    </w:p>
    <w:p w14:paraId="033F13BC" w14:textId="77777777" w:rsidR="00AA3C9F" w:rsidRPr="005C0994" w:rsidRDefault="00AA3C9F" w:rsidP="00AC4B75">
      <w:pPr>
        <w:tabs>
          <w:tab w:val="left" w:pos="360"/>
        </w:tabs>
        <w:jc w:val="both"/>
        <w:rPr>
          <w:rFonts w:asciiTheme="majorHAnsi" w:eastAsia="Times New Roman" w:hAnsiTheme="majorHAnsi" w:cs="Tahoma"/>
          <w:sz w:val="20"/>
          <w:szCs w:val="20"/>
          <w:bdr w:val="none" w:sz="0" w:space="0" w:color="auto" w:frame="1"/>
        </w:rPr>
      </w:pPr>
    </w:p>
    <w:p w14:paraId="25E4D3AA" w14:textId="70F42F11" w:rsidR="004D677E" w:rsidRPr="00A84E1C" w:rsidRDefault="00025D98" w:rsidP="00A84E1C">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hAnsiTheme="majorHAnsi"/>
          <w:sz w:val="20"/>
          <w:szCs w:val="20"/>
        </w:rPr>
      </w:pPr>
      <w:r w:rsidRPr="00A84E1C">
        <w:rPr>
          <w:rFonts w:eastAsia="Times New Roman" w:cs="Tahoma"/>
          <w:sz w:val="20"/>
          <w:szCs w:val="20"/>
          <w:bdr w:val="none" w:sz="0" w:space="0" w:color="auto" w:frame="1"/>
        </w:rPr>
        <w:t>Ensure</w:t>
      </w:r>
      <w:r w:rsidRPr="00A84E1C">
        <w:rPr>
          <w:rFonts w:asciiTheme="majorHAnsi" w:hAnsiTheme="majorHAnsi"/>
          <w:sz w:val="20"/>
          <w:szCs w:val="20"/>
        </w:rPr>
        <w:t xml:space="preserve"> that the drugs used in lethal injection are subject to government approval and regulation, that the execution team has appropriate medical training and that lethal injection protocols are available to the public.</w:t>
      </w:r>
    </w:p>
    <w:p w14:paraId="5698D55C" w14:textId="77777777" w:rsidR="00025D98" w:rsidRPr="005C0994" w:rsidRDefault="00025D98" w:rsidP="00025D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hAnsiTheme="majorHAnsi"/>
          <w:sz w:val="20"/>
          <w:szCs w:val="20"/>
        </w:rPr>
      </w:pPr>
    </w:p>
    <w:p w14:paraId="6ACD4383" w14:textId="695815A3" w:rsidR="00FC47F7" w:rsidRPr="007F094E" w:rsidRDefault="00AA3C9F" w:rsidP="00A84E1C">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pPr>
      <w:r w:rsidRPr="005C0994">
        <w:rPr>
          <w:rFonts w:asciiTheme="majorHAnsi" w:hAnsiTheme="majorHAnsi"/>
          <w:sz w:val="20"/>
        </w:rPr>
        <w:t>Given the violations of the American Declaration the IACHR has established in the present</w:t>
      </w:r>
      <w:r w:rsidRPr="005C0994">
        <w:rPr>
          <w:sz w:val="20"/>
        </w:rPr>
        <w:t xml:space="preserve"> case and in others involving application of the death penalty, the Inter-American Commission also recommends to the United States that it adopt a moratorium on executions of persons sentenced to death.</w:t>
      </w:r>
      <w:r w:rsidRPr="005C0994">
        <w:rPr>
          <w:rStyle w:val="FootnoteReference"/>
          <w:sz w:val="20"/>
        </w:rPr>
        <w:footnoteReference w:id="83"/>
      </w:r>
    </w:p>
    <w:p w14:paraId="1A067DCA" w14:textId="77777777" w:rsidR="00A84E1C" w:rsidRDefault="00A84E1C" w:rsidP="00A84E1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p>
    <w:p w14:paraId="3D210B9F" w14:textId="77777777" w:rsidR="00B56F13" w:rsidRPr="00D66EBD" w:rsidRDefault="00B56F13" w:rsidP="00B56F13">
      <w:pPr>
        <w:pStyle w:val="Heading1"/>
        <w:spacing w:before="0"/>
        <w:ind w:hanging="720"/>
        <w:rPr>
          <w:color w:val="auto"/>
          <w:sz w:val="20"/>
          <w:szCs w:val="20"/>
        </w:rPr>
      </w:pPr>
      <w:bookmarkStart w:id="48" w:name="_Toc26550945"/>
      <w:bookmarkStart w:id="49" w:name="_Toc87522018"/>
      <w:bookmarkStart w:id="50" w:name="_Toc90115138"/>
      <w:bookmarkStart w:id="51" w:name="_Toc90283317"/>
      <w:bookmarkStart w:id="52" w:name="_Toc90284151"/>
      <w:bookmarkStart w:id="53" w:name="_Toc90289385"/>
      <w:bookmarkStart w:id="54" w:name="_Toc90291524"/>
      <w:bookmarkStart w:id="55" w:name="_Toc90297889"/>
      <w:r w:rsidRPr="00D66EBD">
        <w:rPr>
          <w:color w:val="auto"/>
          <w:sz w:val="20"/>
          <w:szCs w:val="20"/>
        </w:rPr>
        <w:t>PUBLICATION</w:t>
      </w:r>
      <w:bookmarkEnd w:id="48"/>
      <w:bookmarkEnd w:id="49"/>
      <w:bookmarkEnd w:id="50"/>
      <w:bookmarkEnd w:id="51"/>
      <w:bookmarkEnd w:id="52"/>
      <w:bookmarkEnd w:id="53"/>
      <w:bookmarkEnd w:id="54"/>
      <w:bookmarkEnd w:id="55"/>
    </w:p>
    <w:p w14:paraId="37C7A14A" w14:textId="77777777" w:rsidR="00B56F13" w:rsidRPr="00D66EBD" w:rsidRDefault="00B56F13" w:rsidP="00B56F13">
      <w:pPr>
        <w:rPr>
          <w:rFonts w:asciiTheme="majorHAnsi" w:hAnsiTheme="majorHAnsi"/>
          <w:sz w:val="20"/>
          <w:szCs w:val="20"/>
        </w:rPr>
      </w:pPr>
    </w:p>
    <w:p w14:paraId="00835526" w14:textId="77777777" w:rsidR="00B56F13" w:rsidRPr="00D66EBD" w:rsidRDefault="00B56F13" w:rsidP="00B56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720"/>
          <w:tab w:val="left" w:pos="1440"/>
        </w:tabs>
        <w:ind w:left="0" w:firstLine="0"/>
        <w:jc w:val="both"/>
        <w:rPr>
          <w:rFonts w:ascii="Cambria" w:eastAsia="Times New Roman" w:hAnsi="Cambria"/>
          <w:sz w:val="20"/>
          <w:szCs w:val="20"/>
        </w:rPr>
      </w:pPr>
      <w:r w:rsidRPr="00D66EBD">
        <w:rPr>
          <w:rFonts w:asciiTheme="majorHAnsi" w:hAnsiTheme="majorHAnsi"/>
          <w:color w:val="000000" w:themeColor="text1"/>
          <w:sz w:val="20"/>
          <w:szCs w:val="20"/>
        </w:rPr>
        <w:t>In</w:t>
      </w:r>
      <w:r w:rsidRPr="00D66EBD">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2A4C08B2" w14:textId="327B2757" w:rsidR="007D5D0A" w:rsidRDefault="007D5D0A" w:rsidP="007D5D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p>
    <w:p w14:paraId="6FDF9DAC" w14:textId="77777777" w:rsidR="00C46068" w:rsidRPr="00A525CC" w:rsidRDefault="00C46068" w:rsidP="001D5F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 xml:space="preserve">Antonia Urrejola </w:t>
      </w:r>
      <w:proofErr w:type="spellStart"/>
      <w:r w:rsidRPr="00A525CC">
        <w:rPr>
          <w:rFonts w:asciiTheme="majorHAnsi" w:eastAsia="Times New Roman" w:hAnsiTheme="majorHAnsi"/>
          <w:sz w:val="20"/>
          <w:szCs w:val="20"/>
        </w:rPr>
        <w:t>Noguera</w:t>
      </w:r>
      <w:proofErr w:type="spellEnd"/>
      <w:r w:rsidRPr="00A525CC">
        <w:rPr>
          <w:rFonts w:asciiTheme="majorHAnsi" w:eastAsia="Times New Roman" w:hAnsiTheme="majorHAnsi"/>
          <w:sz w:val="20"/>
          <w:szCs w:val="20"/>
        </w:rPr>
        <w:t>,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70B0D1EF" w14:textId="77777777" w:rsidR="00C46068" w:rsidRPr="00A525CC" w:rsidRDefault="00C46068" w:rsidP="00C460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sectPr w:rsidR="00C46068" w:rsidRPr="00A525C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F2CA" w14:textId="77777777" w:rsidR="00AB074C" w:rsidRDefault="00AB074C" w:rsidP="00036A8A">
      <w:r>
        <w:separator/>
      </w:r>
    </w:p>
  </w:endnote>
  <w:endnote w:type="continuationSeparator" w:id="0">
    <w:p w14:paraId="3DE5DC85" w14:textId="77777777" w:rsidR="00AB074C" w:rsidRDefault="00AB074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2E7B56E" w14:textId="77777777" w:rsidR="00B56F13" w:rsidRPr="006311DA" w:rsidRDefault="00B56F13">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20</w:t>
        </w:r>
        <w:r>
          <w:rPr>
            <w:noProof/>
            <w:sz w:val="16"/>
          </w:rPr>
          <w:fldChar w:fldCharType="end"/>
        </w:r>
      </w:p>
    </w:sdtContent>
  </w:sdt>
  <w:p w14:paraId="3E28366C" w14:textId="77777777" w:rsidR="00B56F13" w:rsidRDefault="00B5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3A91" w14:textId="77777777" w:rsidR="00B56F13" w:rsidRDefault="00B56F13">
    <w:pPr>
      <w:pStyle w:val="Footer"/>
      <w:jc w:val="center"/>
    </w:pPr>
  </w:p>
  <w:p w14:paraId="23CF7510" w14:textId="77777777" w:rsidR="00B56F13" w:rsidRDefault="00B56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44C0BEAD" w14:textId="77777777" w:rsidR="00B56F13" w:rsidRDefault="00B56F1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15FD65B" w14:textId="77777777" w:rsidR="00B56F13" w:rsidRDefault="00B5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E33E" w14:textId="77777777" w:rsidR="00AB074C" w:rsidRPr="00036A8A" w:rsidRDefault="00AB074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D6BAA2" w14:textId="77777777" w:rsidR="00AB074C" w:rsidRPr="00036A8A" w:rsidRDefault="00AB074C" w:rsidP="00036A8A">
      <w:pPr>
        <w:rPr>
          <w:rFonts w:asciiTheme="majorHAnsi" w:hAnsiTheme="majorHAnsi"/>
          <w:sz w:val="16"/>
          <w:szCs w:val="16"/>
        </w:rPr>
      </w:pPr>
      <w:r w:rsidRPr="00036A8A">
        <w:rPr>
          <w:rFonts w:asciiTheme="majorHAnsi" w:hAnsiTheme="majorHAnsi"/>
          <w:sz w:val="16"/>
          <w:szCs w:val="16"/>
        </w:rPr>
        <w:separator/>
      </w:r>
    </w:p>
    <w:p w14:paraId="71C2BAEE" w14:textId="77777777" w:rsidR="00AB074C" w:rsidRPr="00036A8A" w:rsidRDefault="00AB074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EF006D3" w14:textId="77777777" w:rsidR="00AB074C" w:rsidRPr="0093441A" w:rsidRDefault="00AB074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161D95B" w14:textId="77777777" w:rsidR="00B56F13" w:rsidRPr="00E71B41" w:rsidRDefault="00B56F13" w:rsidP="009266DD">
      <w:pPr>
        <w:pStyle w:val="FootnoteText"/>
        <w:jc w:val="both"/>
        <w:rPr>
          <w:rFonts w:asciiTheme="majorHAnsi" w:hAnsiTheme="majorHAnsi"/>
          <w:sz w:val="16"/>
          <w:szCs w:val="16"/>
        </w:rPr>
      </w:pPr>
      <w:r w:rsidRPr="009D0B9F">
        <w:rPr>
          <w:rStyle w:val="FootnoteReference"/>
          <w:rFonts w:asciiTheme="majorHAnsi" w:hAnsiTheme="majorHAnsi"/>
          <w:sz w:val="16"/>
          <w:szCs w:val="16"/>
        </w:rPr>
        <w:footnoteRef/>
      </w:r>
      <w:r w:rsidRPr="009D0B9F">
        <w:rPr>
          <w:rFonts w:asciiTheme="majorHAnsi" w:hAnsiTheme="majorHAnsi"/>
          <w:sz w:val="16"/>
          <w:szCs w:val="16"/>
        </w:rPr>
        <w:t xml:space="preserve"> On August 11, 2015, the IACHR</w:t>
      </w:r>
      <w:r w:rsidRPr="005C4541">
        <w:rPr>
          <w:rFonts w:asciiTheme="majorHAnsi" w:hAnsiTheme="majorHAnsi"/>
          <w:sz w:val="16"/>
          <w:szCs w:val="16"/>
        </w:rPr>
        <w:t xml:space="preserve"> granted precautionary measures on behalf of Mr. </w:t>
      </w:r>
      <w:proofErr w:type="spellStart"/>
      <w:r w:rsidRPr="005C4541">
        <w:rPr>
          <w:rFonts w:asciiTheme="majorHAnsi" w:hAnsiTheme="majorHAnsi"/>
          <w:sz w:val="16"/>
          <w:szCs w:val="16"/>
        </w:rPr>
        <w:t>Loza</w:t>
      </w:r>
      <w:proofErr w:type="spellEnd"/>
      <w:r w:rsidRPr="005C4541">
        <w:rPr>
          <w:rFonts w:asciiTheme="majorHAnsi" w:hAnsiTheme="majorHAnsi"/>
          <w:sz w:val="16"/>
          <w:szCs w:val="16"/>
        </w:rPr>
        <w:t xml:space="preserve"> pursuant to Article 25(1) of its Rules of Procedure and requested the </w:t>
      </w:r>
      <w:r w:rsidRPr="00E71B41">
        <w:rPr>
          <w:rFonts w:asciiTheme="majorHAnsi" w:hAnsiTheme="majorHAnsi"/>
          <w:sz w:val="16"/>
          <w:szCs w:val="16"/>
        </w:rPr>
        <w:t>United States to take the measures necessary to preserve his life and physical integrity so as not to hinder the processing of his case before the Inter-American system.</w:t>
      </w:r>
    </w:p>
  </w:footnote>
  <w:footnote w:id="3">
    <w:p w14:paraId="51DC6AEC"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State v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Not reported in N.E.2d (1997)</w:t>
      </w:r>
      <w:r>
        <w:rPr>
          <w:rFonts w:asciiTheme="majorHAnsi" w:hAnsiTheme="majorHAnsi"/>
          <w:sz w:val="16"/>
          <w:szCs w:val="16"/>
        </w:rPr>
        <w:t>.</w:t>
      </w:r>
    </w:p>
  </w:footnote>
  <w:footnote w:id="4">
    <w:p w14:paraId="0FFECB1C"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5">
    <w:p w14:paraId="3CC2AFD0"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 3d 466 (2014)</w:t>
      </w:r>
      <w:r>
        <w:rPr>
          <w:rFonts w:asciiTheme="majorHAnsi" w:hAnsiTheme="majorHAnsi"/>
          <w:sz w:val="16"/>
          <w:szCs w:val="16"/>
        </w:rPr>
        <w:t>.</w:t>
      </w:r>
    </w:p>
  </w:footnote>
  <w:footnote w:id="6">
    <w:p w14:paraId="13DF92B6"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State v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Not reported in N.E.2d (1997)</w:t>
      </w:r>
      <w:r>
        <w:rPr>
          <w:rFonts w:asciiTheme="majorHAnsi" w:hAnsiTheme="majorHAnsi"/>
          <w:sz w:val="16"/>
          <w:szCs w:val="16"/>
        </w:rPr>
        <w:t>.</w:t>
      </w:r>
    </w:p>
  </w:footnote>
  <w:footnote w:id="7">
    <w:p w14:paraId="030C02EC"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State v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71 Ohio St.3d 61 (1994)</w:t>
      </w:r>
      <w:r>
        <w:rPr>
          <w:rFonts w:asciiTheme="majorHAnsi" w:hAnsiTheme="majorHAnsi"/>
          <w:sz w:val="16"/>
          <w:szCs w:val="16"/>
        </w:rPr>
        <w:t>.</w:t>
      </w:r>
    </w:p>
  </w:footnote>
  <w:footnote w:id="8">
    <w:p w14:paraId="7ED8D10D"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9">
    <w:p w14:paraId="5ED8DE34"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State v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71 Ohio St.3d 61 (1994)</w:t>
      </w:r>
      <w:r>
        <w:rPr>
          <w:rFonts w:asciiTheme="majorHAnsi" w:hAnsiTheme="majorHAnsi"/>
          <w:sz w:val="16"/>
          <w:szCs w:val="16"/>
        </w:rPr>
        <w:t>.</w:t>
      </w:r>
    </w:p>
  </w:footnote>
  <w:footnote w:id="10">
    <w:p w14:paraId="40D152D2"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11">
    <w:p w14:paraId="39632BA4"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Ohio (1995), U.S. 115 S. Ct. 1983</w:t>
      </w:r>
      <w:r>
        <w:rPr>
          <w:rFonts w:asciiTheme="majorHAnsi" w:hAnsiTheme="majorHAnsi"/>
          <w:sz w:val="16"/>
          <w:szCs w:val="16"/>
        </w:rPr>
        <w:t>.</w:t>
      </w:r>
    </w:p>
  </w:footnote>
  <w:footnote w:id="12">
    <w:p w14:paraId="2C8DF4E4"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 3d 466 (2014)</w:t>
      </w:r>
      <w:r>
        <w:rPr>
          <w:rFonts w:asciiTheme="majorHAnsi" w:hAnsiTheme="majorHAnsi"/>
          <w:sz w:val="16"/>
          <w:szCs w:val="16"/>
        </w:rPr>
        <w:t>.</w:t>
      </w:r>
    </w:p>
  </w:footnote>
  <w:footnote w:id="13">
    <w:p w14:paraId="5CF89F26"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Not Reported in F. Supp. 2d (2002)</w:t>
      </w:r>
      <w:r>
        <w:rPr>
          <w:rFonts w:asciiTheme="majorHAnsi" w:hAnsiTheme="majorHAnsi"/>
          <w:sz w:val="16"/>
          <w:szCs w:val="16"/>
        </w:rPr>
        <w:t>.</w:t>
      </w:r>
    </w:p>
  </w:footnote>
  <w:footnote w:id="14">
    <w:p w14:paraId="48FE6A38" w14:textId="77777777" w:rsidR="00B56F13" w:rsidRDefault="00B56F13" w:rsidP="009266DD">
      <w:pPr>
        <w:pStyle w:val="FootnoteText"/>
        <w:jc w:val="both"/>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 3d 466 (2014)</w:t>
      </w:r>
      <w:r>
        <w:rPr>
          <w:rFonts w:asciiTheme="majorHAnsi" w:hAnsiTheme="majorHAnsi"/>
          <w:sz w:val="16"/>
          <w:szCs w:val="16"/>
        </w:rPr>
        <w:t>.</w:t>
      </w:r>
    </w:p>
  </w:footnote>
  <w:footnote w:id="15">
    <w:p w14:paraId="633DB205"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16">
    <w:p w14:paraId="50E35530"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17">
    <w:p w14:paraId="3C47F771" w14:textId="77777777" w:rsidR="00B56F13" w:rsidRPr="00E52427"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18">
    <w:p w14:paraId="2FEC7E32" w14:textId="77777777" w:rsidR="00B56F13" w:rsidRPr="00342FA8" w:rsidRDefault="00B56F13" w:rsidP="009266DD">
      <w:pPr>
        <w:pStyle w:val="FootnoteText"/>
        <w:jc w:val="both"/>
        <w:rPr>
          <w:rFonts w:asciiTheme="majorHAnsi" w:hAnsiTheme="majorHAnsi"/>
          <w:sz w:val="16"/>
          <w:szCs w:val="16"/>
        </w:rPr>
      </w:pPr>
      <w:r w:rsidRPr="00E52427">
        <w:rPr>
          <w:rStyle w:val="FootnoteReference"/>
          <w:rFonts w:asciiTheme="majorHAnsi" w:hAnsiTheme="majorHAnsi"/>
          <w:sz w:val="16"/>
          <w:szCs w:val="16"/>
        </w:rPr>
        <w:footnoteRef/>
      </w:r>
      <w:r w:rsidRPr="00E52427">
        <w:rPr>
          <w:rFonts w:asciiTheme="majorHAnsi" w:hAnsiTheme="majorHAnsi"/>
          <w:sz w:val="16"/>
          <w:szCs w:val="16"/>
        </w:rPr>
        <w:t xml:space="preserve"> </w:t>
      </w:r>
      <w:proofErr w:type="spellStart"/>
      <w:r w:rsidRPr="00E52427">
        <w:rPr>
          <w:rFonts w:asciiTheme="majorHAnsi" w:hAnsiTheme="majorHAnsi"/>
          <w:sz w:val="16"/>
          <w:szCs w:val="16"/>
        </w:rPr>
        <w:t>Egelhoff</w:t>
      </w:r>
      <w:proofErr w:type="spellEnd"/>
      <w:r w:rsidRPr="00E52427">
        <w:rPr>
          <w:rFonts w:asciiTheme="majorHAnsi" w:hAnsiTheme="majorHAnsi"/>
          <w:sz w:val="16"/>
          <w:szCs w:val="16"/>
        </w:rPr>
        <w:t xml:space="preserve">, 518 U.S. at 53, 116 </w:t>
      </w:r>
      <w:proofErr w:type="spellStart"/>
      <w:r w:rsidRPr="00E52427">
        <w:rPr>
          <w:rFonts w:asciiTheme="majorHAnsi" w:hAnsiTheme="majorHAnsi"/>
          <w:sz w:val="16"/>
          <w:szCs w:val="16"/>
        </w:rPr>
        <w:t>S.Ct</w:t>
      </w:r>
      <w:proofErr w:type="spellEnd"/>
      <w:r w:rsidRPr="00E52427">
        <w:rPr>
          <w:rFonts w:asciiTheme="majorHAnsi" w:hAnsiTheme="majorHAnsi"/>
          <w:sz w:val="16"/>
          <w:szCs w:val="16"/>
        </w:rPr>
        <w:t xml:space="preserve">. 2013, referenced within </w:t>
      </w:r>
      <w:proofErr w:type="spellStart"/>
      <w:r w:rsidRPr="00E52427">
        <w:rPr>
          <w:rFonts w:asciiTheme="majorHAnsi" w:hAnsiTheme="majorHAnsi"/>
          <w:sz w:val="16"/>
          <w:szCs w:val="16"/>
        </w:rPr>
        <w:t>Loza</w:t>
      </w:r>
      <w:proofErr w:type="spellEnd"/>
      <w:r w:rsidRPr="00E52427">
        <w:rPr>
          <w:rFonts w:asciiTheme="majorHAnsi" w:hAnsiTheme="majorHAnsi"/>
          <w:sz w:val="16"/>
          <w:szCs w:val="16"/>
        </w:rPr>
        <w:t xml:space="preserve"> v Mitchell, 766 F.3d 466 (2014)</w:t>
      </w:r>
      <w:r>
        <w:rPr>
          <w:rFonts w:asciiTheme="majorHAnsi" w:hAnsiTheme="majorHAnsi"/>
          <w:sz w:val="16"/>
          <w:szCs w:val="16"/>
        </w:rPr>
        <w:t>.</w:t>
      </w:r>
    </w:p>
  </w:footnote>
  <w:footnote w:id="19">
    <w:p w14:paraId="1EB21D55" w14:textId="77777777" w:rsidR="00B56F13" w:rsidRPr="00F227E6" w:rsidRDefault="00B56F13" w:rsidP="009266DD">
      <w:pPr>
        <w:pStyle w:val="FootnoteText"/>
        <w:jc w:val="both"/>
        <w:rPr>
          <w:rFonts w:asciiTheme="majorHAnsi" w:hAnsiTheme="majorHAnsi"/>
          <w:sz w:val="16"/>
          <w:szCs w:val="16"/>
        </w:rPr>
      </w:pPr>
      <w:r w:rsidRPr="00F227E6">
        <w:rPr>
          <w:rStyle w:val="FootnoteReference"/>
          <w:rFonts w:asciiTheme="majorHAnsi" w:hAnsiTheme="majorHAnsi"/>
          <w:sz w:val="16"/>
          <w:szCs w:val="16"/>
        </w:rPr>
        <w:footnoteRef/>
      </w:r>
      <w:r w:rsidRPr="00F227E6">
        <w:rPr>
          <w:rFonts w:asciiTheme="majorHAnsi" w:hAnsiTheme="majorHAnsi"/>
          <w:sz w:val="16"/>
          <w:szCs w:val="16"/>
        </w:rPr>
        <w:t xml:space="preserve"> State v Howard [42 Ohio St.3d. 18, 537 N.E.2d 188 (Ohio 1989)</w:t>
      </w:r>
      <w:r>
        <w:rPr>
          <w:rFonts w:asciiTheme="majorHAnsi" w:hAnsiTheme="majorHAnsi"/>
          <w:sz w:val="16"/>
          <w:szCs w:val="16"/>
        </w:rPr>
        <w:t>.</w:t>
      </w:r>
    </w:p>
  </w:footnote>
  <w:footnote w:id="20">
    <w:p w14:paraId="321BFF33" w14:textId="77777777" w:rsidR="00B56F13" w:rsidRPr="00D975F8" w:rsidRDefault="00B56F13" w:rsidP="009266DD">
      <w:pPr>
        <w:pStyle w:val="FootnoteText"/>
        <w:jc w:val="both"/>
        <w:rPr>
          <w:rFonts w:asciiTheme="majorHAnsi" w:hAnsiTheme="majorHAnsi"/>
          <w:sz w:val="16"/>
          <w:szCs w:val="16"/>
        </w:rPr>
      </w:pPr>
      <w:r w:rsidRPr="00D975F8">
        <w:rPr>
          <w:rStyle w:val="FootnoteReference"/>
          <w:rFonts w:asciiTheme="majorHAnsi" w:hAnsiTheme="majorHAnsi"/>
          <w:sz w:val="16"/>
          <w:szCs w:val="16"/>
        </w:rPr>
        <w:footnoteRef/>
      </w:r>
      <w:r w:rsidRPr="00D975F8">
        <w:rPr>
          <w:rFonts w:asciiTheme="majorHAnsi" w:hAnsiTheme="majorHAnsi"/>
          <w:sz w:val="16"/>
          <w:szCs w:val="16"/>
        </w:rPr>
        <w:t xml:space="preserve"> Brown v Bradshaw, 531 F.3d 433, 437 (6</w:t>
      </w:r>
      <w:r w:rsidRPr="00D975F8">
        <w:rPr>
          <w:rFonts w:asciiTheme="majorHAnsi" w:hAnsiTheme="majorHAnsi"/>
          <w:sz w:val="16"/>
          <w:szCs w:val="16"/>
          <w:vertAlign w:val="superscript"/>
        </w:rPr>
        <w:t>th</w:t>
      </w:r>
      <w:r w:rsidRPr="00D975F8">
        <w:rPr>
          <w:rFonts w:asciiTheme="majorHAnsi" w:hAnsiTheme="majorHAnsi"/>
          <w:sz w:val="16"/>
          <w:szCs w:val="16"/>
        </w:rPr>
        <w:t xml:space="preserve"> Cir. 2008)</w:t>
      </w:r>
      <w:r>
        <w:rPr>
          <w:rFonts w:asciiTheme="majorHAnsi" w:hAnsiTheme="majorHAnsi"/>
          <w:sz w:val="16"/>
          <w:szCs w:val="16"/>
        </w:rPr>
        <w:t>.</w:t>
      </w:r>
    </w:p>
  </w:footnote>
  <w:footnote w:id="21">
    <w:p w14:paraId="771A1FA4" w14:textId="77777777" w:rsidR="00B56F13" w:rsidRPr="00D539A6" w:rsidRDefault="00B56F13" w:rsidP="009266DD">
      <w:pPr>
        <w:pStyle w:val="FootnoteText"/>
        <w:jc w:val="both"/>
        <w:rPr>
          <w:rFonts w:asciiTheme="majorHAnsi" w:hAnsiTheme="majorHAnsi"/>
          <w:sz w:val="16"/>
          <w:szCs w:val="16"/>
        </w:rPr>
      </w:pPr>
      <w:r w:rsidRPr="00D539A6">
        <w:rPr>
          <w:rStyle w:val="FootnoteReference"/>
          <w:rFonts w:asciiTheme="majorHAnsi" w:hAnsiTheme="majorHAnsi"/>
          <w:sz w:val="16"/>
          <w:szCs w:val="16"/>
        </w:rPr>
        <w:footnoteRef/>
      </w:r>
      <w:r w:rsidRPr="00D539A6">
        <w:rPr>
          <w:rFonts w:asciiTheme="majorHAnsi" w:hAnsiTheme="majorHAnsi"/>
          <w:sz w:val="16"/>
          <w:szCs w:val="16"/>
        </w:rPr>
        <w:t xml:space="preserve"> Armstrong, 527 U.S.  at 465, 116 S Ct. 1480, quoting </w:t>
      </w:r>
      <w:proofErr w:type="spellStart"/>
      <w:r w:rsidRPr="00D539A6">
        <w:rPr>
          <w:rFonts w:asciiTheme="majorHAnsi" w:hAnsiTheme="majorHAnsi"/>
          <w:sz w:val="16"/>
          <w:szCs w:val="16"/>
        </w:rPr>
        <w:t>Wayte</w:t>
      </w:r>
      <w:proofErr w:type="spellEnd"/>
      <w:r w:rsidRPr="00D539A6">
        <w:rPr>
          <w:rFonts w:asciiTheme="majorHAnsi" w:hAnsiTheme="majorHAnsi"/>
          <w:sz w:val="16"/>
          <w:szCs w:val="16"/>
        </w:rPr>
        <w:t>, 470 U.S. at 608, 105 S Ct. (1524)</w:t>
      </w:r>
      <w:r>
        <w:rPr>
          <w:rFonts w:asciiTheme="majorHAnsi" w:hAnsiTheme="majorHAnsi"/>
          <w:sz w:val="16"/>
          <w:szCs w:val="16"/>
        </w:rPr>
        <w:t>.</w:t>
      </w:r>
    </w:p>
  </w:footnote>
  <w:footnote w:id="22">
    <w:p w14:paraId="403CC7CC" w14:textId="77777777" w:rsidR="00B56F13" w:rsidRPr="006A15B5" w:rsidRDefault="00B56F13" w:rsidP="009266DD">
      <w:pPr>
        <w:pStyle w:val="FootnoteText"/>
        <w:jc w:val="both"/>
        <w:rPr>
          <w:rFonts w:asciiTheme="majorHAnsi" w:hAnsiTheme="majorHAnsi"/>
          <w:sz w:val="16"/>
          <w:szCs w:val="16"/>
        </w:rPr>
      </w:pPr>
      <w:r w:rsidRPr="006A15B5">
        <w:rPr>
          <w:rStyle w:val="FootnoteReference"/>
          <w:rFonts w:asciiTheme="majorHAnsi" w:hAnsiTheme="majorHAnsi"/>
          <w:sz w:val="16"/>
          <w:szCs w:val="16"/>
        </w:rPr>
        <w:footnoteRef/>
      </w:r>
      <w:r w:rsidRPr="006A15B5">
        <w:rPr>
          <w:rFonts w:asciiTheme="majorHAnsi" w:hAnsiTheme="majorHAnsi"/>
          <w:sz w:val="16"/>
          <w:szCs w:val="16"/>
        </w:rPr>
        <w:t xml:space="preserve"> Armstrong, 527 U.S.  at 465, 116 S Ct. 1480.</w:t>
      </w:r>
    </w:p>
  </w:footnote>
  <w:footnote w:id="23">
    <w:p w14:paraId="76C9A244" w14:textId="77777777" w:rsidR="00B56F13" w:rsidRPr="006433A9" w:rsidRDefault="00B56F13" w:rsidP="009266DD">
      <w:pPr>
        <w:pStyle w:val="FootnoteText"/>
        <w:jc w:val="both"/>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w:t>
      </w:r>
      <w:proofErr w:type="spellStart"/>
      <w:r w:rsidRPr="006433A9">
        <w:rPr>
          <w:rFonts w:asciiTheme="majorHAnsi" w:hAnsiTheme="majorHAnsi"/>
          <w:sz w:val="16"/>
          <w:szCs w:val="16"/>
        </w:rPr>
        <w:t>Emuegbunam</w:t>
      </w:r>
      <w:proofErr w:type="spellEnd"/>
      <w:r w:rsidRPr="006433A9">
        <w:rPr>
          <w:rFonts w:asciiTheme="majorHAnsi" w:hAnsiTheme="majorHAnsi"/>
          <w:sz w:val="16"/>
          <w:szCs w:val="16"/>
        </w:rPr>
        <w:t xml:space="preserve">, 268 F. 3d at 394, referenced within </w:t>
      </w:r>
      <w:proofErr w:type="spellStart"/>
      <w:r w:rsidRPr="006433A9">
        <w:rPr>
          <w:rFonts w:asciiTheme="majorHAnsi" w:hAnsiTheme="majorHAnsi"/>
          <w:sz w:val="16"/>
          <w:szCs w:val="16"/>
        </w:rPr>
        <w:t>Loza</w:t>
      </w:r>
      <w:proofErr w:type="spellEnd"/>
      <w:r w:rsidRPr="006433A9">
        <w:rPr>
          <w:rFonts w:asciiTheme="majorHAnsi" w:hAnsiTheme="majorHAnsi"/>
          <w:sz w:val="16"/>
          <w:szCs w:val="16"/>
        </w:rPr>
        <w:t xml:space="preserve"> v Mitchell, 766 F.3d 466 (2014).</w:t>
      </w:r>
    </w:p>
  </w:footnote>
  <w:footnote w:id="24">
    <w:p w14:paraId="3062FDA5" w14:textId="77777777" w:rsidR="00B56F13" w:rsidRPr="006433A9" w:rsidRDefault="00B56F13" w:rsidP="009266DD">
      <w:pPr>
        <w:pStyle w:val="FootnoteText"/>
        <w:jc w:val="both"/>
        <w:rPr>
          <w:lang w:val="fr-FR"/>
        </w:rPr>
      </w:pPr>
      <w:r w:rsidRPr="006433A9">
        <w:rPr>
          <w:rStyle w:val="FootnoteReference"/>
          <w:rFonts w:asciiTheme="majorHAnsi" w:hAnsiTheme="majorHAnsi"/>
          <w:sz w:val="16"/>
          <w:szCs w:val="16"/>
        </w:rPr>
        <w:footnoteRef/>
      </w:r>
      <w:r w:rsidRPr="006433A9">
        <w:rPr>
          <w:rFonts w:asciiTheme="majorHAnsi" w:hAnsiTheme="majorHAnsi"/>
          <w:sz w:val="16"/>
          <w:szCs w:val="16"/>
          <w:lang w:val="fr-FR"/>
        </w:rPr>
        <w:t xml:space="preserve"> </w:t>
      </w:r>
      <w:proofErr w:type="spellStart"/>
      <w:r w:rsidRPr="006433A9">
        <w:rPr>
          <w:rFonts w:asciiTheme="majorHAnsi" w:hAnsiTheme="majorHAnsi"/>
          <w:sz w:val="16"/>
          <w:szCs w:val="16"/>
          <w:lang w:val="fr-FR"/>
        </w:rPr>
        <w:t>Loza</w:t>
      </w:r>
      <w:proofErr w:type="spellEnd"/>
      <w:r w:rsidRPr="006433A9">
        <w:rPr>
          <w:rFonts w:asciiTheme="majorHAnsi" w:hAnsiTheme="majorHAnsi"/>
          <w:sz w:val="16"/>
          <w:szCs w:val="16"/>
          <w:lang w:val="fr-FR"/>
        </w:rPr>
        <w:t xml:space="preserve"> v Jenkins, 135 S. Ct. 2892 (2015).</w:t>
      </w:r>
    </w:p>
  </w:footnote>
  <w:footnote w:id="25">
    <w:p w14:paraId="60A96EFE" w14:textId="77777777" w:rsidR="00B56F13" w:rsidRPr="006433A9" w:rsidRDefault="00B56F13" w:rsidP="009266DD">
      <w:pPr>
        <w:pStyle w:val="FootnoteText"/>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Petitioners’ observations on the merits dated June 4, 2018, p. 2.</w:t>
      </w:r>
    </w:p>
  </w:footnote>
  <w:footnote w:id="26">
    <w:p w14:paraId="5F13EE1F" w14:textId="77777777" w:rsidR="00B56F13" w:rsidRPr="006433A9" w:rsidRDefault="00B56F13" w:rsidP="009266DD">
      <w:pPr>
        <w:pStyle w:val="FootnoteText"/>
        <w:jc w:val="both"/>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State of Ohio, Department of Rehabilitation and Correction, Execution Policy, Rule ORCS 2949.22; 2949.25, June 29, 2015.</w:t>
      </w:r>
    </w:p>
  </w:footnote>
  <w:footnote w:id="27">
    <w:p w14:paraId="1AA31207" w14:textId="77777777" w:rsidR="00B56F13" w:rsidRPr="006433A9" w:rsidRDefault="00B56F13" w:rsidP="009266DD">
      <w:pPr>
        <w:pStyle w:val="FootnoteText"/>
        <w:jc w:val="both"/>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Beaty v FDA, 853 F. Supp. 2d 30 (D.D.C. 2012).</w:t>
      </w:r>
    </w:p>
  </w:footnote>
  <w:footnote w:id="28">
    <w:p w14:paraId="7CF74632" w14:textId="77777777" w:rsidR="00B56F13" w:rsidRPr="006433A9" w:rsidRDefault="00B56F13" w:rsidP="009266DD">
      <w:pPr>
        <w:pStyle w:val="FootnoteText"/>
      </w:pPr>
      <w:r w:rsidRPr="006433A9">
        <w:rPr>
          <w:rStyle w:val="FootnoteReference"/>
          <w:rFonts w:asciiTheme="majorHAnsi" w:hAnsiTheme="majorHAnsi"/>
          <w:sz w:val="16"/>
          <w:szCs w:val="16"/>
        </w:rPr>
        <w:footnoteRef/>
      </w:r>
      <w:r w:rsidRPr="006433A9">
        <w:rPr>
          <w:rStyle w:val="FootnoteReference"/>
          <w:rFonts w:asciiTheme="majorHAnsi" w:hAnsiTheme="majorHAnsi"/>
          <w:sz w:val="16"/>
          <w:szCs w:val="16"/>
        </w:rPr>
        <w:t xml:space="preserve"> </w:t>
      </w:r>
      <w:r w:rsidRPr="006433A9">
        <w:rPr>
          <w:rFonts w:asciiTheme="majorHAnsi" w:hAnsiTheme="majorHAnsi"/>
          <w:sz w:val="16"/>
          <w:szCs w:val="16"/>
        </w:rPr>
        <w:t>Petitioners’ observations on the merits dated June 4, 2018, p. 21.</w:t>
      </w:r>
    </w:p>
  </w:footnote>
  <w:footnote w:id="29">
    <w:p w14:paraId="354CDA16" w14:textId="77777777" w:rsidR="00B56F13" w:rsidRPr="006433A9" w:rsidRDefault="00B56F13" w:rsidP="009266DD">
      <w:pPr>
        <w:pStyle w:val="FootnoteText"/>
        <w:jc w:val="both"/>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w:t>
      </w:r>
      <w:r w:rsidRPr="006433A9">
        <w:rPr>
          <w:rFonts w:asciiTheme="majorHAnsi" w:hAnsiTheme="majorHAnsi"/>
          <w:i/>
          <w:iCs/>
          <w:sz w:val="16"/>
          <w:szCs w:val="16"/>
        </w:rPr>
        <w:t xml:space="preserve">In re Ohio Execution Protocol Litigation, </w:t>
      </w:r>
      <w:r w:rsidRPr="006433A9">
        <w:rPr>
          <w:rFonts w:asciiTheme="majorHAnsi" w:hAnsiTheme="majorHAnsi"/>
          <w:sz w:val="16"/>
          <w:szCs w:val="16"/>
        </w:rPr>
        <w:t xml:space="preserve">Case No. 2:11-cv-1016, slip op. at 104-05 (S.D. Ohio Jan.26, 2017).  </w:t>
      </w:r>
    </w:p>
  </w:footnote>
  <w:footnote w:id="30">
    <w:p w14:paraId="60574373" w14:textId="77777777" w:rsidR="00B56F13" w:rsidRPr="006433A9" w:rsidRDefault="00B56F13" w:rsidP="009266DD">
      <w:pPr>
        <w:pStyle w:val="FootnoteText"/>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w:t>
      </w:r>
      <w:r w:rsidRPr="006433A9">
        <w:rPr>
          <w:rFonts w:asciiTheme="majorHAnsi" w:hAnsiTheme="majorHAnsi"/>
          <w:i/>
          <w:iCs/>
          <w:sz w:val="16"/>
          <w:szCs w:val="16"/>
        </w:rPr>
        <w:t>In re Ohio Execution Protocol</w:t>
      </w:r>
      <w:r w:rsidRPr="006433A9">
        <w:rPr>
          <w:rFonts w:asciiTheme="majorHAnsi" w:hAnsiTheme="majorHAnsi"/>
          <w:sz w:val="16"/>
          <w:szCs w:val="16"/>
        </w:rPr>
        <w:t>, 860 F.3d 881, 886 (6th Cir. 2017).</w:t>
      </w:r>
    </w:p>
  </w:footnote>
  <w:footnote w:id="31">
    <w:p w14:paraId="0EC37B3B" w14:textId="77777777" w:rsidR="00B56F13" w:rsidRPr="006433A9" w:rsidRDefault="00B56F13" w:rsidP="009266DD">
      <w:pPr>
        <w:pStyle w:val="Default"/>
        <w:rPr>
          <w:rFonts w:asciiTheme="majorHAnsi" w:eastAsia="Arial Unicode MS" w:hAnsiTheme="majorHAnsi"/>
          <w:sz w:val="16"/>
          <w:szCs w:val="16"/>
          <w:bdr w:val="nil"/>
          <w:lang w:val="en-US" w:eastAsia="es-ES"/>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w:t>
      </w:r>
      <w:r w:rsidRPr="006433A9">
        <w:rPr>
          <w:rFonts w:asciiTheme="majorHAnsi" w:eastAsia="Arial Unicode MS" w:hAnsiTheme="majorHAnsi"/>
          <w:i/>
          <w:iCs/>
          <w:sz w:val="16"/>
          <w:szCs w:val="16"/>
        </w:rPr>
        <w:t>In re Ohio Execution Protocol Litig.</w:t>
      </w:r>
      <w:r w:rsidRPr="006433A9">
        <w:rPr>
          <w:rFonts w:asciiTheme="majorHAnsi" w:eastAsia="Arial Unicode MS" w:hAnsiTheme="majorHAnsi"/>
          <w:sz w:val="16"/>
          <w:szCs w:val="16"/>
        </w:rPr>
        <w:t>, No. 2:11-cv-1016, 2019 U.S. Dist. LEXIS 8200, at *252 (S.D. Ohio Jan. 14, 2019).</w:t>
      </w:r>
    </w:p>
  </w:footnote>
  <w:footnote w:id="32">
    <w:p w14:paraId="7C5B41D9" w14:textId="77777777" w:rsidR="00B56F13" w:rsidRPr="006433A9" w:rsidRDefault="00B56F13" w:rsidP="009266DD">
      <w:pPr>
        <w:pStyle w:val="FootnoteText"/>
        <w:jc w:val="both"/>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Death penalty information center. Ohio Executions Scheduled for 2017 – 2022. Available at: </w:t>
      </w:r>
      <w:hyperlink r:id="rId1" w:history="1">
        <w:r w:rsidRPr="006433A9">
          <w:rPr>
            <w:rStyle w:val="Hyperlink"/>
            <w:rFonts w:asciiTheme="majorHAnsi" w:hAnsiTheme="majorHAnsi"/>
            <w:sz w:val="16"/>
            <w:szCs w:val="16"/>
          </w:rPr>
          <w:t>https://deathpenaltyinfo.org/facts-and-research/dpic-reports/dpic-special-reports/ohio-executions-scheduled-for-2017-2022</w:t>
        </w:r>
      </w:hyperlink>
      <w:r w:rsidRPr="006433A9">
        <w:rPr>
          <w:rFonts w:asciiTheme="majorHAnsi" w:hAnsiTheme="majorHAnsi"/>
          <w:sz w:val="16"/>
          <w:szCs w:val="16"/>
        </w:rPr>
        <w:t xml:space="preserve"> </w:t>
      </w:r>
    </w:p>
  </w:footnote>
  <w:footnote w:id="33">
    <w:p w14:paraId="53FA239B" w14:textId="77777777" w:rsidR="00B56F13" w:rsidRPr="006433A9" w:rsidRDefault="00B56F13" w:rsidP="009266DD">
      <w:pPr>
        <w:pStyle w:val="Default"/>
        <w:rPr>
          <w:rFonts w:asciiTheme="majorHAnsi" w:hAnsiTheme="majorHAnsi"/>
          <w:sz w:val="16"/>
          <w:szCs w:val="16"/>
          <w:lang w:val="en-US"/>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w:t>
      </w:r>
      <w:r w:rsidRPr="006433A9">
        <w:rPr>
          <w:rFonts w:asciiTheme="majorHAnsi" w:eastAsia="Arial Unicode MS" w:hAnsiTheme="majorHAnsi"/>
          <w:i/>
          <w:sz w:val="16"/>
          <w:szCs w:val="16"/>
          <w:bdr w:val="nil"/>
          <w:lang w:val="en-US" w:eastAsia="es-ES"/>
        </w:rPr>
        <w:t>I</w:t>
      </w:r>
      <w:r w:rsidRPr="006433A9">
        <w:rPr>
          <w:rFonts w:asciiTheme="majorHAnsi" w:hAnsiTheme="majorHAnsi"/>
          <w:i/>
          <w:iCs/>
          <w:sz w:val="16"/>
          <w:szCs w:val="16"/>
          <w:lang w:eastAsia="es-ES"/>
        </w:rPr>
        <w:t xml:space="preserve">n re Ohio Execution Protocol Litig., </w:t>
      </w:r>
      <w:r w:rsidRPr="006433A9">
        <w:rPr>
          <w:rFonts w:asciiTheme="majorHAnsi" w:hAnsiTheme="majorHAnsi"/>
          <w:iCs/>
          <w:sz w:val="16"/>
          <w:szCs w:val="16"/>
          <w:lang w:eastAsia="es-ES"/>
        </w:rPr>
        <w:t>937 F.3d 759, 762 (6</w:t>
      </w:r>
      <w:r w:rsidRPr="006433A9">
        <w:rPr>
          <w:rFonts w:asciiTheme="majorHAnsi" w:hAnsiTheme="majorHAnsi"/>
          <w:iCs/>
          <w:sz w:val="16"/>
          <w:szCs w:val="16"/>
          <w:vertAlign w:val="superscript"/>
          <w:lang w:eastAsia="es-ES"/>
        </w:rPr>
        <w:t>th</w:t>
      </w:r>
      <w:r w:rsidRPr="006433A9">
        <w:rPr>
          <w:rFonts w:asciiTheme="majorHAnsi" w:hAnsiTheme="majorHAnsi"/>
          <w:iCs/>
          <w:sz w:val="16"/>
          <w:szCs w:val="16"/>
          <w:lang w:eastAsia="es-ES"/>
        </w:rPr>
        <w:t xml:space="preserve"> Cir. 2019).</w:t>
      </w:r>
    </w:p>
  </w:footnote>
  <w:footnote w:id="34">
    <w:p w14:paraId="3E34E23A" w14:textId="77777777" w:rsidR="00B56F13" w:rsidRPr="006433A9" w:rsidRDefault="00B56F13" w:rsidP="009266DD">
      <w:pPr>
        <w:pStyle w:val="FootnoteText"/>
        <w:jc w:val="both"/>
        <w:rPr>
          <w:rFonts w:asciiTheme="majorHAnsi" w:hAnsiTheme="majorHAnsi"/>
          <w:color w:val="auto"/>
          <w:sz w:val="16"/>
          <w:szCs w:val="16"/>
        </w:rPr>
      </w:pPr>
      <w:r w:rsidRPr="006433A9">
        <w:rPr>
          <w:rStyle w:val="FootnoteReference"/>
          <w:rFonts w:asciiTheme="majorHAnsi" w:hAnsiTheme="majorHAnsi"/>
          <w:color w:val="auto"/>
          <w:sz w:val="16"/>
          <w:szCs w:val="16"/>
        </w:rPr>
        <w:footnoteRef/>
      </w:r>
      <w:r w:rsidRPr="006433A9">
        <w:rPr>
          <w:rFonts w:asciiTheme="majorHAnsi" w:hAnsiTheme="majorHAnsi"/>
          <w:color w:val="auto"/>
          <w:sz w:val="16"/>
          <w:szCs w:val="16"/>
        </w:rPr>
        <w:t xml:space="preserve"> See, for example: I/A Court H. R., Advisory Opinion OC-16/99 (October 1, 1999), </w:t>
      </w:r>
      <w:r w:rsidRPr="006433A9">
        <w:rPr>
          <w:rFonts w:asciiTheme="majorHAnsi" w:hAnsiTheme="majorHAnsi"/>
          <w:i/>
          <w:iCs/>
          <w:color w:val="auto"/>
          <w:sz w:val="16"/>
          <w:szCs w:val="16"/>
        </w:rPr>
        <w:t>The Right to Information on Consular Assistance in the Framework of the Guarantees of the Due Process of Law</w:t>
      </w:r>
      <w:r w:rsidRPr="006433A9">
        <w:rPr>
          <w:rFonts w:asciiTheme="majorHAnsi" w:hAnsiTheme="majorHAnsi"/>
          <w:color w:val="auto"/>
          <w:sz w:val="16"/>
          <w:szCs w:val="16"/>
        </w:rPr>
        <w:t xml:space="preserve">, para. 136; United Nations Human Rights Committee, </w:t>
      </w:r>
      <w:proofErr w:type="spellStart"/>
      <w:r w:rsidRPr="006433A9">
        <w:rPr>
          <w:rFonts w:asciiTheme="majorHAnsi" w:hAnsiTheme="majorHAnsi"/>
          <w:i/>
          <w:iCs/>
          <w:color w:val="auto"/>
          <w:sz w:val="16"/>
          <w:szCs w:val="16"/>
        </w:rPr>
        <w:t>Baboheram-Adhin</w:t>
      </w:r>
      <w:proofErr w:type="spellEnd"/>
      <w:r w:rsidRPr="006433A9">
        <w:rPr>
          <w:rFonts w:asciiTheme="majorHAnsi" w:hAnsiTheme="majorHAnsi"/>
          <w:i/>
          <w:iCs/>
          <w:color w:val="auto"/>
          <w:sz w:val="16"/>
          <w:szCs w:val="16"/>
        </w:rPr>
        <w:t xml:space="preserve"> et al. v. Suriname</w:t>
      </w:r>
      <w:r w:rsidRPr="006433A9">
        <w:rPr>
          <w:rFonts w:asciiTheme="majorHAnsi" w:hAnsiTheme="majorHAnsi"/>
          <w:color w:val="auto"/>
          <w:sz w:val="16"/>
          <w:szCs w:val="16"/>
        </w:rPr>
        <w:t>,</w:t>
      </w:r>
      <w:r w:rsidRPr="006433A9">
        <w:rPr>
          <w:rFonts w:asciiTheme="majorHAnsi" w:hAnsiTheme="majorHAnsi"/>
          <w:i/>
          <w:iCs/>
          <w:color w:val="auto"/>
          <w:sz w:val="16"/>
          <w:szCs w:val="16"/>
        </w:rPr>
        <w:t xml:space="preserve"> </w:t>
      </w:r>
      <w:r w:rsidRPr="006433A9">
        <w:rPr>
          <w:rFonts w:asciiTheme="majorHAnsi" w:hAnsiTheme="majorHAnsi"/>
          <w:color w:val="auto"/>
          <w:sz w:val="16"/>
          <w:szCs w:val="16"/>
        </w:rPr>
        <w:t xml:space="preserve">Communications Nos. 148-154/1983, adopted on April 4, 1985, para. 14.3; </w:t>
      </w:r>
      <w:r w:rsidRPr="006433A9">
        <w:rPr>
          <w:rFonts w:asciiTheme="majorHAnsi" w:hAnsiTheme="majorHAnsi"/>
          <w:i/>
          <w:iCs/>
          <w:color w:val="auto"/>
          <w:sz w:val="16"/>
          <w:szCs w:val="16"/>
        </w:rPr>
        <w:t>Report of the United Nations Special Rapporteur on Extrajudicial Executions</w:t>
      </w:r>
      <w:r w:rsidRPr="006433A9">
        <w:rPr>
          <w:rFonts w:asciiTheme="majorHAnsi" w:hAnsiTheme="majorHAnsi"/>
          <w:color w:val="auto"/>
          <w:sz w:val="16"/>
          <w:szCs w:val="16"/>
        </w:rPr>
        <w:t xml:space="preserve">, </w:t>
      </w:r>
      <w:proofErr w:type="spellStart"/>
      <w:r w:rsidRPr="006433A9">
        <w:rPr>
          <w:rFonts w:asciiTheme="majorHAnsi" w:hAnsiTheme="majorHAnsi"/>
          <w:color w:val="auto"/>
          <w:sz w:val="16"/>
          <w:szCs w:val="16"/>
        </w:rPr>
        <w:t>Bacre</w:t>
      </w:r>
      <w:proofErr w:type="spellEnd"/>
      <w:r w:rsidRPr="006433A9">
        <w:rPr>
          <w:rFonts w:asciiTheme="majorHAnsi" w:hAnsiTheme="majorHAnsi"/>
          <w:color w:val="auto"/>
          <w:sz w:val="16"/>
          <w:szCs w:val="16"/>
        </w:rPr>
        <w:t xml:space="preserve"> Waly Ndiaye, submitted pursuant to Commission on Human Rights Resolution 1994/82, Question of the Violation of Human Rights and Fundamental Freedoms in any part of the World, with particular reference to Colonial and Other Dependent Countries and Territories, UN </w:t>
      </w:r>
      <w:proofErr w:type="spellStart"/>
      <w:r w:rsidRPr="006433A9">
        <w:rPr>
          <w:rFonts w:asciiTheme="majorHAnsi" w:hAnsiTheme="majorHAnsi"/>
          <w:color w:val="auto"/>
          <w:sz w:val="16"/>
          <w:szCs w:val="16"/>
        </w:rPr>
        <w:t>Doc.E</w:t>
      </w:r>
      <w:proofErr w:type="spellEnd"/>
      <w:r w:rsidRPr="006433A9">
        <w:rPr>
          <w:rFonts w:asciiTheme="majorHAnsi" w:hAnsiTheme="majorHAnsi"/>
          <w:color w:val="auto"/>
          <w:sz w:val="16"/>
          <w:szCs w:val="16"/>
        </w:rPr>
        <w:t>/CN.4/1995/61 (December 14, 1994), para. 378.</w:t>
      </w:r>
    </w:p>
  </w:footnote>
  <w:footnote w:id="35">
    <w:p w14:paraId="0DD79AA6" w14:textId="77777777" w:rsidR="00B56F13" w:rsidRPr="006433A9" w:rsidRDefault="00B56F13" w:rsidP="009266DD">
      <w:pPr>
        <w:pStyle w:val="FootnoteText"/>
        <w:jc w:val="both"/>
        <w:rPr>
          <w:rFonts w:asciiTheme="majorHAnsi" w:hAnsiTheme="majorHAnsi"/>
          <w:color w:val="auto"/>
          <w:sz w:val="16"/>
          <w:szCs w:val="16"/>
        </w:rPr>
      </w:pPr>
      <w:r w:rsidRPr="006433A9">
        <w:rPr>
          <w:rStyle w:val="FootnoteReference"/>
          <w:rFonts w:asciiTheme="majorHAnsi" w:hAnsiTheme="majorHAnsi"/>
          <w:color w:val="auto"/>
          <w:sz w:val="16"/>
          <w:szCs w:val="16"/>
        </w:rPr>
        <w:footnoteRef/>
      </w:r>
      <w:r w:rsidRPr="006433A9">
        <w:rPr>
          <w:rFonts w:asciiTheme="majorHAnsi" w:hAnsiTheme="majorHAnsi"/>
          <w:color w:val="auto"/>
          <w:sz w:val="16"/>
          <w:szCs w:val="16"/>
        </w:rPr>
        <w:t xml:space="preserve"> IACHR,</w:t>
      </w:r>
      <w:r w:rsidRPr="006433A9">
        <w:rPr>
          <w:rFonts w:asciiTheme="majorHAnsi" w:hAnsiTheme="majorHAnsi"/>
          <w:i/>
          <w:iCs/>
          <w:color w:val="auto"/>
          <w:sz w:val="16"/>
          <w:szCs w:val="16"/>
        </w:rPr>
        <w:t xml:space="preserve"> </w:t>
      </w:r>
      <w:r w:rsidRPr="006433A9">
        <w:rPr>
          <w:rFonts w:asciiTheme="majorHAnsi" w:hAnsiTheme="majorHAnsi"/>
          <w:color w:val="auto"/>
          <w:sz w:val="16"/>
          <w:szCs w:val="16"/>
        </w:rPr>
        <w:t xml:space="preserve">Report No. 57/96, </w:t>
      </w:r>
      <w:r w:rsidRPr="006433A9">
        <w:rPr>
          <w:rFonts w:asciiTheme="majorHAnsi" w:hAnsiTheme="majorHAnsi"/>
          <w:iCs/>
          <w:color w:val="auto"/>
          <w:sz w:val="16"/>
          <w:szCs w:val="16"/>
        </w:rPr>
        <w:t>Andrews, United States</w:t>
      </w:r>
      <w:r w:rsidRPr="006433A9">
        <w:rPr>
          <w:rFonts w:asciiTheme="majorHAnsi" w:hAnsiTheme="majorHAnsi"/>
          <w:color w:val="auto"/>
          <w:sz w:val="16"/>
          <w:szCs w:val="16"/>
        </w:rPr>
        <w:t xml:space="preserve">, IACHR Annual Report 1997, para. 170-171; Report No. 38/00 Baptiste, Grenada, IACHR Annual Report 1999, paras. 64-66; Report No. 41/00, McKenzie </w:t>
      </w:r>
      <w:r w:rsidRPr="006433A9">
        <w:rPr>
          <w:rFonts w:asciiTheme="majorHAnsi" w:hAnsiTheme="majorHAnsi"/>
          <w:i/>
          <w:iCs/>
          <w:color w:val="auto"/>
          <w:sz w:val="16"/>
          <w:szCs w:val="16"/>
        </w:rPr>
        <w:t>et al.</w:t>
      </w:r>
      <w:r w:rsidRPr="006433A9">
        <w:rPr>
          <w:rFonts w:asciiTheme="majorHAnsi" w:hAnsiTheme="majorHAnsi"/>
          <w:iCs/>
          <w:color w:val="auto"/>
          <w:sz w:val="16"/>
          <w:szCs w:val="16"/>
        </w:rPr>
        <w:t>,</w:t>
      </w:r>
      <w:r w:rsidRPr="006433A9">
        <w:rPr>
          <w:rFonts w:asciiTheme="majorHAnsi" w:hAnsiTheme="majorHAnsi"/>
          <w:color w:val="auto"/>
          <w:sz w:val="16"/>
          <w:szCs w:val="16"/>
        </w:rPr>
        <w:t xml:space="preserve"> Jamaica, IACHR Annual Report 1999, paras. 169-171.</w:t>
      </w:r>
    </w:p>
  </w:footnote>
  <w:footnote w:id="36">
    <w:p w14:paraId="23548209" w14:textId="77777777" w:rsidR="00B56F13" w:rsidRPr="00F61B4C" w:rsidRDefault="00B56F13" w:rsidP="009266DD">
      <w:pPr>
        <w:autoSpaceDE w:val="0"/>
        <w:autoSpaceDN w:val="0"/>
        <w:adjustRightInd w:val="0"/>
        <w:jc w:val="both"/>
        <w:rPr>
          <w:rFonts w:asciiTheme="majorHAnsi" w:hAnsiTheme="majorHAnsi"/>
          <w:sz w:val="16"/>
          <w:szCs w:val="16"/>
        </w:rPr>
      </w:pPr>
      <w:r w:rsidRPr="006433A9">
        <w:rPr>
          <w:rStyle w:val="FootnoteReference"/>
          <w:rFonts w:asciiTheme="majorHAnsi" w:hAnsiTheme="majorHAnsi"/>
          <w:sz w:val="16"/>
          <w:szCs w:val="16"/>
        </w:rPr>
        <w:footnoteRef/>
      </w:r>
      <w:r w:rsidRPr="006433A9">
        <w:rPr>
          <w:rFonts w:asciiTheme="majorHAnsi" w:hAnsiTheme="majorHAnsi"/>
          <w:sz w:val="16"/>
          <w:szCs w:val="16"/>
        </w:rPr>
        <w:t xml:space="preserve"> IACHR, The death penalty in the Inter-American System of Human Rights: From restrictions to abolition, </w:t>
      </w:r>
      <w:r w:rsidRPr="006433A9">
        <w:rPr>
          <w:rFonts w:asciiTheme="majorHAnsi" w:hAnsiTheme="majorHAnsi" w:cs="Calibri"/>
          <w:sz w:val="16"/>
          <w:szCs w:val="16"/>
        </w:rPr>
        <w:t>OEA/</w:t>
      </w:r>
      <w:proofErr w:type="spellStart"/>
      <w:r w:rsidRPr="006433A9">
        <w:rPr>
          <w:rFonts w:asciiTheme="majorHAnsi" w:hAnsiTheme="majorHAnsi" w:cs="Calibri"/>
          <w:sz w:val="16"/>
          <w:szCs w:val="16"/>
        </w:rPr>
        <w:t>Ser.L</w:t>
      </w:r>
      <w:proofErr w:type="spellEnd"/>
      <w:r w:rsidRPr="006433A9">
        <w:rPr>
          <w:rFonts w:asciiTheme="majorHAnsi" w:hAnsiTheme="majorHAnsi" w:cs="Calibri"/>
          <w:sz w:val="16"/>
          <w:szCs w:val="16"/>
        </w:rPr>
        <w:t>/V/II.Doc. 68, December 31</w:t>
      </w:r>
      <w:r w:rsidRPr="00F61B4C">
        <w:rPr>
          <w:rFonts w:asciiTheme="majorHAnsi" w:hAnsiTheme="majorHAnsi" w:cs="Calibri"/>
          <w:sz w:val="16"/>
          <w:szCs w:val="16"/>
        </w:rPr>
        <w:t xml:space="preserve">, 2011, </w:t>
      </w:r>
      <w:r w:rsidRPr="00F61B4C">
        <w:rPr>
          <w:rFonts w:asciiTheme="majorHAnsi" w:hAnsiTheme="majorHAnsi"/>
          <w:sz w:val="16"/>
          <w:szCs w:val="16"/>
        </w:rPr>
        <w:t>para. 41.</w:t>
      </w:r>
    </w:p>
  </w:footnote>
  <w:footnote w:id="37">
    <w:p w14:paraId="7C0D61CB" w14:textId="77777777" w:rsidR="00B56F13" w:rsidRPr="00F61B4C" w:rsidRDefault="00B56F13" w:rsidP="009266DD">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Report No. 78/07, Case 12.265, Merits (Publication), Chad Roger Goodman, The Bahamas, October 15, 2007, para. 34.</w:t>
      </w:r>
    </w:p>
  </w:footnote>
  <w:footnote w:id="38">
    <w:p w14:paraId="286D9060" w14:textId="77777777" w:rsidR="00B56F13" w:rsidRPr="00F61B4C" w:rsidRDefault="00B56F13" w:rsidP="009266DD">
      <w:pPr>
        <w:pStyle w:val="FootnoteText"/>
        <w:jc w:val="both"/>
        <w:rPr>
          <w:rFonts w:asciiTheme="majorHAnsi" w:hAnsiTheme="majorHAnsi" w:cs="Times New Roman"/>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 Report No. 44/14, Case 12,873, Report on Merits (Publication), Edgar Tamayo Arias, United States, July 17, 2014, para. 214.</w:t>
      </w:r>
    </w:p>
  </w:footnote>
  <w:footnote w:id="39">
    <w:p w14:paraId="0E486E72" w14:textId="77777777" w:rsidR="00B56F13" w:rsidRPr="00F61B4C" w:rsidRDefault="00B56F13" w:rsidP="009266DD">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w:t>
      </w:r>
      <w:r w:rsidRPr="00966854">
        <w:rPr>
          <w:rFonts w:asciiTheme="majorHAnsi" w:eastAsia="Arial Unicode MS" w:hAnsiTheme="majorHAnsi" w:cs="Times New Roman"/>
          <w:color w:val="auto"/>
          <w:sz w:val="16"/>
          <w:szCs w:val="16"/>
          <w:lang w:eastAsia="en-US"/>
        </w:rPr>
        <w:t xml:space="preserve">VIII of the American Declaration establishes: </w:t>
      </w:r>
      <w:r w:rsidRPr="00F61B4C">
        <w:rPr>
          <w:rFonts w:asciiTheme="majorHAnsi" w:hAnsiTheme="majorHAnsi"/>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40">
    <w:p w14:paraId="0BC1CE67" w14:textId="77777777" w:rsidR="00B56F13" w:rsidRPr="00F61B4C" w:rsidRDefault="00B56F13" w:rsidP="009266DD">
      <w:pPr>
        <w:pStyle w:val="FootnoteText"/>
        <w:jc w:val="both"/>
        <w:rPr>
          <w:rFonts w:asciiTheme="majorHAnsi" w:hAnsiTheme="majorHAnsi"/>
          <w:sz w:val="16"/>
          <w:szCs w:val="16"/>
        </w:rPr>
      </w:pPr>
      <w:r w:rsidRPr="00D12883">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XXVI</w:t>
      </w:r>
      <w:r w:rsidRPr="00966854">
        <w:rPr>
          <w:rFonts w:asciiTheme="majorHAnsi" w:eastAsia="Arial Unicode MS" w:hAnsiTheme="majorHAnsi" w:cs="Times New Roman"/>
          <w:color w:val="auto"/>
          <w:sz w:val="16"/>
          <w:szCs w:val="16"/>
          <w:lang w:eastAsia="en-US"/>
        </w:rPr>
        <w:t xml:space="preserve"> of the American Declaration establishes:</w:t>
      </w:r>
      <w:r w:rsidRPr="00D12883">
        <w:rPr>
          <w:rStyle w:val="FootnoteReference"/>
          <w:rFonts w:asciiTheme="majorHAnsi" w:hAnsiTheme="majorHAnsi"/>
          <w:sz w:val="16"/>
          <w:szCs w:val="16"/>
        </w:rPr>
        <w:t xml:space="preserve"> </w:t>
      </w:r>
      <w:r w:rsidRPr="00F61B4C">
        <w:rPr>
          <w:rFonts w:asciiTheme="majorHAnsi" w:hAnsiTheme="majorHAnsi"/>
          <w:sz w:val="16"/>
          <w:szCs w:val="16"/>
        </w:rPr>
        <w:t>Every accused person is presumed to be innocent until proved guilty.</w:t>
      </w:r>
    </w:p>
    <w:p w14:paraId="251807BB" w14:textId="77777777" w:rsidR="00B56F13" w:rsidRPr="00F61B4C" w:rsidRDefault="00B56F13" w:rsidP="009266DD">
      <w:pPr>
        <w:pStyle w:val="FootnoteText"/>
        <w:jc w:val="both"/>
      </w:pPr>
      <w:r w:rsidRPr="00F61B4C">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41">
    <w:p w14:paraId="25ED6142" w14:textId="77777777" w:rsidR="00B56F13" w:rsidRPr="00622242" w:rsidRDefault="00B56F13" w:rsidP="002F12A8">
      <w:pPr>
        <w:pStyle w:val="FootnoteText"/>
        <w:jc w:val="both"/>
        <w:rPr>
          <w:rFonts w:ascii="Cambria" w:hAnsi="Cambria"/>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IACHR, </w:t>
      </w:r>
      <w:r w:rsidRPr="00622242">
        <w:rPr>
          <w:rFonts w:ascii="Cambria" w:hAnsi="Cambria" w:cs="Arial"/>
          <w:bCs/>
          <w:sz w:val="16"/>
          <w:szCs w:val="16"/>
        </w:rPr>
        <w:t>Report No. 90/09</w:t>
      </w:r>
      <w:r w:rsidRPr="00622242">
        <w:rPr>
          <w:rFonts w:ascii="Cambria" w:hAnsi="Cambria" w:cs="Arial"/>
          <w:sz w:val="16"/>
          <w:szCs w:val="16"/>
        </w:rPr>
        <w:t xml:space="preserve">, Case 12.644, Admissibility and Merits (Publication), Medellín, Ramírez Cardenas and Leal García, United States, August 7, 2009, paras 124-132.  See also, IACHR, </w:t>
      </w:r>
      <w:r w:rsidRPr="00622242">
        <w:rPr>
          <w:rFonts w:ascii="Cambria" w:hAnsi="Cambria" w:cs="Arial"/>
          <w:sz w:val="16"/>
          <w:szCs w:val="16"/>
          <w:lang w:val="en-GB"/>
        </w:rPr>
        <w:t>Report No. 91/05 (Javier Suarez Medina), United States, Annual Report of the IACHR 2005; Report No. 1/05 (Roberto Moreno Ramos), United States, Annual Report of the IACHR 2005; and Report 52/02, Case 11.753 (Ramón Martinez Villarreal), United States, Annual Report of the IACHR 2002.</w:t>
      </w:r>
    </w:p>
  </w:footnote>
  <w:footnote w:id="42">
    <w:p w14:paraId="1EB8F007" w14:textId="77777777" w:rsidR="00B56F13" w:rsidRPr="00622242" w:rsidRDefault="00B56F13" w:rsidP="002F12A8">
      <w:pPr>
        <w:pStyle w:val="FootnoteText"/>
        <w:jc w:val="both"/>
        <w:rPr>
          <w:rFonts w:ascii="Cambria" w:hAnsi="Cambria" w:cs="Arial"/>
          <w:i/>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International Court of Justice, </w:t>
      </w:r>
      <w:r w:rsidRPr="00622242">
        <w:rPr>
          <w:rFonts w:ascii="Cambria" w:hAnsi="Cambria" w:cs="Arial"/>
          <w:i/>
          <w:sz w:val="16"/>
          <w:szCs w:val="16"/>
        </w:rPr>
        <w:t xml:space="preserve">Case concerning </w:t>
      </w:r>
      <w:proofErr w:type="spellStart"/>
      <w:r w:rsidRPr="00622242">
        <w:rPr>
          <w:rFonts w:ascii="Cambria" w:hAnsi="Cambria" w:cs="Arial"/>
          <w:i/>
          <w:sz w:val="16"/>
          <w:szCs w:val="16"/>
        </w:rPr>
        <w:t>Avena</w:t>
      </w:r>
      <w:proofErr w:type="spellEnd"/>
      <w:r w:rsidRPr="00622242">
        <w:rPr>
          <w:rFonts w:ascii="Cambria" w:hAnsi="Cambria" w:cs="Arial"/>
          <w:i/>
          <w:sz w:val="16"/>
          <w:szCs w:val="16"/>
        </w:rPr>
        <w:t xml:space="preserve"> and Other Mexican Nationals (Mexico v. the United States of America), Judgment of 31 </w:t>
      </w:r>
      <w:proofErr w:type="gramStart"/>
      <w:r w:rsidRPr="00622242">
        <w:rPr>
          <w:rFonts w:ascii="Cambria" w:hAnsi="Cambria" w:cs="Arial"/>
          <w:i/>
          <w:sz w:val="16"/>
          <w:szCs w:val="16"/>
        </w:rPr>
        <w:t>March,</w:t>
      </w:r>
      <w:proofErr w:type="gramEnd"/>
      <w:r w:rsidRPr="00622242">
        <w:rPr>
          <w:rFonts w:ascii="Cambria" w:hAnsi="Cambria" w:cs="Arial"/>
          <w:i/>
          <w:sz w:val="16"/>
          <w:szCs w:val="16"/>
        </w:rPr>
        <w:t xml:space="preserve"> 2004. Available at: </w:t>
      </w:r>
      <w:hyperlink r:id="rId2" w:history="1">
        <w:r w:rsidRPr="00622242">
          <w:rPr>
            <w:rStyle w:val="Hyperlink"/>
            <w:rFonts w:ascii="Cambria" w:hAnsi="Cambria" w:cs="Arial"/>
            <w:i/>
            <w:sz w:val="16"/>
            <w:szCs w:val="16"/>
          </w:rPr>
          <w:t>http://www.icj-cij.org/docket/files/128/8188.pdf</w:t>
        </w:r>
      </w:hyperlink>
      <w:r w:rsidRPr="00622242">
        <w:rPr>
          <w:rFonts w:ascii="Cambria" w:hAnsi="Cambria" w:cs="Arial"/>
          <w:i/>
          <w:sz w:val="16"/>
          <w:szCs w:val="16"/>
        </w:rPr>
        <w:t xml:space="preserve"> </w:t>
      </w:r>
    </w:p>
  </w:footnote>
  <w:footnote w:id="43">
    <w:p w14:paraId="37DD0839" w14:textId="77777777" w:rsidR="00B56F13" w:rsidRPr="009266DD" w:rsidRDefault="00B56F13" w:rsidP="002F12A8">
      <w:pPr>
        <w:pStyle w:val="FootnoteText"/>
        <w:jc w:val="both"/>
        <w:rPr>
          <w:rFonts w:asciiTheme="majorHAnsi" w:hAnsiTheme="majorHAnsi"/>
          <w:sz w:val="16"/>
          <w:szCs w:val="16"/>
        </w:rPr>
      </w:pPr>
      <w:r w:rsidRPr="009266DD">
        <w:rPr>
          <w:rStyle w:val="FootnoteReference"/>
          <w:rFonts w:asciiTheme="majorHAnsi" w:hAnsiTheme="majorHAnsi"/>
          <w:sz w:val="16"/>
          <w:szCs w:val="16"/>
        </w:rPr>
        <w:footnoteRef/>
      </w:r>
      <w:r w:rsidRPr="009266DD">
        <w:rPr>
          <w:rFonts w:asciiTheme="majorHAnsi" w:hAnsiTheme="majorHAnsi"/>
          <w:sz w:val="16"/>
          <w:szCs w:val="16"/>
        </w:rPr>
        <w:t xml:space="preserve"> Medellin v. Texas, 552 U.S. 491 (2008). Available at: </w:t>
      </w:r>
      <w:hyperlink r:id="rId3" w:history="1">
        <w:r w:rsidRPr="009266DD">
          <w:rPr>
            <w:rStyle w:val="Hyperlink"/>
            <w:rFonts w:asciiTheme="majorHAnsi" w:hAnsiTheme="majorHAnsi"/>
            <w:sz w:val="16"/>
            <w:szCs w:val="16"/>
          </w:rPr>
          <w:t>http://www.supremecourt.gov/opinions/07pdf/06-984.pdf</w:t>
        </w:r>
      </w:hyperlink>
      <w:r w:rsidRPr="009266DD">
        <w:rPr>
          <w:rFonts w:asciiTheme="majorHAnsi" w:hAnsiTheme="majorHAnsi"/>
          <w:sz w:val="16"/>
          <w:szCs w:val="16"/>
        </w:rPr>
        <w:t xml:space="preserve"> </w:t>
      </w:r>
    </w:p>
  </w:footnote>
  <w:footnote w:id="44">
    <w:p w14:paraId="359137B8" w14:textId="77777777" w:rsidR="00B56F13" w:rsidRPr="009266DD" w:rsidRDefault="00B56F13" w:rsidP="002F12A8">
      <w:pPr>
        <w:spacing w:line="276" w:lineRule="auto"/>
        <w:jc w:val="both"/>
        <w:rPr>
          <w:rFonts w:asciiTheme="majorHAnsi" w:hAnsiTheme="majorHAnsi"/>
          <w:sz w:val="16"/>
          <w:szCs w:val="16"/>
        </w:rPr>
      </w:pPr>
      <w:r w:rsidRPr="009266DD">
        <w:rPr>
          <w:rStyle w:val="FootnoteReference"/>
          <w:rFonts w:asciiTheme="majorHAnsi" w:hAnsiTheme="majorHAnsi"/>
          <w:sz w:val="16"/>
          <w:szCs w:val="16"/>
        </w:rPr>
        <w:footnoteRef/>
      </w:r>
      <w:r w:rsidRPr="009266DD">
        <w:rPr>
          <w:rFonts w:asciiTheme="majorHAnsi" w:hAnsiTheme="majorHAnsi"/>
          <w:sz w:val="16"/>
          <w:szCs w:val="16"/>
        </w:rPr>
        <w:t xml:space="preserve"> IACHR, Report No. 11/15, Case 12.833, Merits (Publication), Felix Rocha Diaz, United States, March 23, 2015, para. 62.</w:t>
      </w:r>
    </w:p>
  </w:footnote>
  <w:footnote w:id="45">
    <w:p w14:paraId="1F134C7C" w14:textId="77777777" w:rsidR="00B56F13" w:rsidRPr="009266DD" w:rsidRDefault="00B56F13" w:rsidP="002F12A8">
      <w:pPr>
        <w:pStyle w:val="Default"/>
        <w:jc w:val="both"/>
        <w:rPr>
          <w:rFonts w:asciiTheme="majorHAnsi" w:eastAsia="Arial Unicode MS" w:hAnsiTheme="majorHAnsi" w:cs="Cambria"/>
          <w:color w:val="auto"/>
          <w:sz w:val="16"/>
          <w:szCs w:val="16"/>
          <w:bdr w:val="nil"/>
          <w:lang w:val="en-US" w:eastAsia="es-ES"/>
        </w:rPr>
      </w:pPr>
      <w:r w:rsidRPr="009266DD">
        <w:rPr>
          <w:rStyle w:val="FootnoteReference"/>
          <w:rFonts w:asciiTheme="majorHAnsi" w:hAnsiTheme="majorHAnsi"/>
          <w:color w:val="auto"/>
          <w:sz w:val="16"/>
          <w:szCs w:val="16"/>
        </w:rPr>
        <w:footnoteRef/>
      </w:r>
      <w:r w:rsidRPr="009266DD">
        <w:rPr>
          <w:rFonts w:asciiTheme="majorHAnsi" w:hAnsiTheme="majorHAnsi"/>
          <w:color w:val="auto"/>
          <w:sz w:val="16"/>
          <w:szCs w:val="16"/>
        </w:rPr>
        <w:t xml:space="preserve"> </w:t>
      </w:r>
      <w:r w:rsidRPr="009266DD">
        <w:rPr>
          <w:rFonts w:asciiTheme="majorHAnsi" w:eastAsia="Arial Unicode MS" w:hAnsiTheme="majorHAnsi" w:cs="Cambria"/>
          <w:color w:val="auto"/>
          <w:sz w:val="16"/>
          <w:szCs w:val="16"/>
        </w:rPr>
        <w:t>IACHR, Report No. 44/14, Case 12.873. Merits (Publication). Edgar Tamayo Arias. United States. July 17, 2014, para. 140.</w:t>
      </w:r>
    </w:p>
  </w:footnote>
  <w:footnote w:id="46">
    <w:p w14:paraId="426A0531" w14:textId="77777777" w:rsidR="00B56F13" w:rsidRPr="008C5978" w:rsidRDefault="00B56F13" w:rsidP="009266DD">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/V/II.Doc. 68, December 31, 2011, p. 123.</w:t>
      </w:r>
    </w:p>
  </w:footnote>
  <w:footnote w:id="47">
    <w:p w14:paraId="785601F6" w14:textId="77777777" w:rsidR="00B56F13" w:rsidRPr="008C5978" w:rsidRDefault="00B56F13" w:rsidP="009266DD">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/V/II.Doc. 68, December 31, 2011, p. 123.</w:t>
      </w:r>
    </w:p>
  </w:footnote>
  <w:footnote w:id="48">
    <w:p w14:paraId="1696406B" w14:textId="77777777" w:rsidR="00B56F13" w:rsidRPr="008C5978" w:rsidRDefault="00B56F13" w:rsidP="009266DD">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49">
    <w:p w14:paraId="1D31FAB3" w14:textId="77777777" w:rsidR="00B56F13" w:rsidRDefault="00B56F13" w:rsidP="009266DD">
      <w:pPr>
        <w:pStyle w:val="FootnoteText"/>
        <w:tabs>
          <w:tab w:val="left" w:pos="180"/>
          <w:tab w:val="left" w:pos="360"/>
        </w:tabs>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IACHR, Report No. 90/09, Case 12.644, Admissibility and Merits (Publication), Medellín, Ramírez Cárdenas and Leal García, United States, August 7, 2009, para. 134. </w:t>
      </w:r>
    </w:p>
  </w:footnote>
  <w:footnote w:id="50">
    <w:p w14:paraId="216B76DA" w14:textId="77777777" w:rsidR="00B56F13" w:rsidRDefault="00B56F13" w:rsidP="009266DD">
      <w:pPr>
        <w:pStyle w:val="FootnoteText"/>
        <w:jc w:val="both"/>
        <w:rPr>
          <w:rFonts w:asciiTheme="majorHAnsi" w:hAnsiTheme="majorHAnsi" w:cs="Arial"/>
          <w:color w:val="auto"/>
          <w:sz w:val="16"/>
          <w:szCs w:val="16"/>
        </w:rPr>
      </w:pPr>
      <w:r>
        <w:rPr>
          <w:rStyle w:val="FootnoteReference"/>
          <w:rFonts w:asciiTheme="majorHAnsi" w:hAnsiTheme="majorHAnsi" w:cs="Arial"/>
          <w:color w:val="auto"/>
          <w:sz w:val="16"/>
          <w:szCs w:val="16"/>
        </w:rPr>
        <w:footnoteRef/>
      </w:r>
      <w:r>
        <w:rPr>
          <w:rFonts w:asciiTheme="majorHAnsi" w:hAnsiTheme="majorHAnsi" w:cs="Arial"/>
          <w:color w:val="auto"/>
          <w:sz w:val="16"/>
          <w:szCs w:val="16"/>
        </w:rPr>
        <w:t xml:space="preserve"> American Bar Association, </w:t>
      </w:r>
      <w:r>
        <w:rPr>
          <w:rFonts w:asciiTheme="majorHAnsi" w:hAnsiTheme="majorHAnsi" w:cs="Arial"/>
          <w:i/>
          <w:iCs/>
          <w:color w:val="auto"/>
          <w:sz w:val="16"/>
          <w:szCs w:val="16"/>
        </w:rPr>
        <w:t>Guidelines for the Appointment and Performance of Defense Counsel in Death Penalty Cases</w:t>
      </w:r>
      <w:r>
        <w:rPr>
          <w:rFonts w:asciiTheme="majorHAnsi" w:hAnsiTheme="majorHAnsi" w:cs="Arial"/>
          <w:color w:val="auto"/>
          <w:sz w:val="16"/>
          <w:szCs w:val="16"/>
        </w:rPr>
        <w:t xml:space="preserve"> (Revised editions) (February 2003), Guideline 10.7 – Investigation. Available at: </w:t>
      </w:r>
      <w:hyperlink r:id="rId4" w:history="1">
        <w:r>
          <w:rPr>
            <w:rStyle w:val="Hyperlink"/>
            <w:rFonts w:asciiTheme="majorHAnsi" w:hAnsiTheme="majorHAnsi" w:cs="Arial"/>
            <w:color w:val="auto"/>
            <w:sz w:val="16"/>
            <w:szCs w:val="16"/>
          </w:rPr>
          <w:t xml:space="preserve">http://www.abanet.org/legalservices/downloads/ </w:t>
        </w:r>
        <w:proofErr w:type="spellStart"/>
        <w:r>
          <w:rPr>
            <w:rStyle w:val="Hyperlink"/>
            <w:rFonts w:asciiTheme="majorHAnsi" w:hAnsiTheme="majorHAnsi" w:cs="Arial"/>
            <w:color w:val="auto"/>
            <w:sz w:val="16"/>
            <w:szCs w:val="16"/>
          </w:rPr>
          <w:t>sclaid</w:t>
        </w:r>
        <w:proofErr w:type="spellEnd"/>
        <w:r>
          <w:rPr>
            <w:rStyle w:val="Hyperlink"/>
            <w:rFonts w:asciiTheme="majorHAnsi" w:hAnsiTheme="majorHAnsi" w:cs="Arial"/>
            <w:color w:val="auto"/>
            <w:sz w:val="16"/>
            <w:szCs w:val="16"/>
          </w:rPr>
          <w:t>/deathpenaltyguidelines.pdf</w:t>
        </w:r>
      </w:hyperlink>
      <w:r>
        <w:rPr>
          <w:rFonts w:asciiTheme="majorHAnsi" w:hAnsiTheme="majorHAnsi" w:cs="Arial"/>
          <w:color w:val="auto"/>
          <w:sz w:val="16"/>
          <w:szCs w:val="16"/>
        </w:rPr>
        <w:t xml:space="preserve">. </w:t>
      </w:r>
    </w:p>
  </w:footnote>
  <w:footnote w:id="51">
    <w:p w14:paraId="32BB4A29" w14:textId="77777777" w:rsidR="00B56F13" w:rsidRDefault="00B56F13" w:rsidP="009266DD">
      <w:pPr>
        <w:pStyle w:val="FootnoteText"/>
        <w:jc w:val="both"/>
        <w:rPr>
          <w:rFonts w:asciiTheme="majorHAnsi" w:hAnsiTheme="majorHAnsi" w:cs="Arial"/>
          <w:color w:val="auto"/>
          <w:sz w:val="16"/>
          <w:szCs w:val="16"/>
        </w:rPr>
      </w:pPr>
      <w:r>
        <w:rPr>
          <w:rStyle w:val="FootnoteReference"/>
          <w:rFonts w:asciiTheme="majorHAnsi" w:hAnsiTheme="majorHAnsi" w:cs="Arial"/>
          <w:color w:val="auto"/>
          <w:sz w:val="16"/>
          <w:szCs w:val="16"/>
        </w:rPr>
        <w:footnoteRef/>
      </w:r>
      <w:r>
        <w:rPr>
          <w:rFonts w:asciiTheme="majorHAnsi" w:hAnsiTheme="majorHAnsi" w:cs="Arial"/>
          <w:color w:val="auto"/>
          <w:sz w:val="16"/>
          <w:szCs w:val="16"/>
        </w:rPr>
        <w:t xml:space="preserve"> American Bar Association, </w:t>
      </w:r>
      <w:r>
        <w:rPr>
          <w:rFonts w:asciiTheme="majorHAnsi" w:hAnsiTheme="majorHAnsi" w:cs="Arial"/>
          <w:i/>
          <w:iCs/>
          <w:color w:val="auto"/>
          <w:sz w:val="16"/>
          <w:szCs w:val="16"/>
        </w:rPr>
        <w:t>Guidelines for the Appointment and Performance of Defense Counsel in Death Penalty Cases</w:t>
      </w:r>
      <w:r>
        <w:rPr>
          <w:rFonts w:asciiTheme="majorHAnsi" w:hAnsiTheme="majorHAnsi" w:cs="Arial"/>
          <w:color w:val="auto"/>
          <w:sz w:val="16"/>
          <w:szCs w:val="16"/>
        </w:rPr>
        <w:t xml:space="preserve"> (Revised editions) (February 2003), Guideline 10.7 – Investigation, at 82.</w:t>
      </w:r>
    </w:p>
  </w:footnote>
  <w:footnote w:id="52">
    <w:p w14:paraId="5618CCE0" w14:textId="77777777" w:rsidR="00B56F13" w:rsidRPr="009F0885" w:rsidRDefault="00B56F13" w:rsidP="009266DD">
      <w:pPr>
        <w:pStyle w:val="FootnoteText"/>
        <w:rPr>
          <w:rFonts w:asciiTheme="majorHAnsi" w:hAnsiTheme="majorHAnsi"/>
          <w:sz w:val="16"/>
          <w:szCs w:val="16"/>
        </w:rPr>
      </w:pPr>
      <w:r w:rsidRPr="009F0885">
        <w:rPr>
          <w:rStyle w:val="FootnoteReference"/>
          <w:rFonts w:asciiTheme="majorHAnsi" w:hAnsiTheme="majorHAnsi"/>
          <w:sz w:val="16"/>
          <w:szCs w:val="16"/>
        </w:rPr>
        <w:footnoteRef/>
      </w:r>
      <w:r w:rsidRPr="009F0885">
        <w:rPr>
          <w:rFonts w:asciiTheme="majorHAnsi" w:hAnsiTheme="majorHAnsi"/>
          <w:sz w:val="16"/>
          <w:szCs w:val="16"/>
        </w:rPr>
        <w:t xml:space="preserve"> </w:t>
      </w:r>
      <w:r w:rsidRPr="009F0885">
        <w:rPr>
          <w:rFonts w:asciiTheme="majorHAnsi" w:hAnsiTheme="majorHAnsi" w:cs="Arial"/>
          <w:color w:val="auto"/>
          <w:sz w:val="16"/>
          <w:szCs w:val="16"/>
        </w:rPr>
        <w:t xml:space="preserve">American Bar Association, </w:t>
      </w:r>
      <w:r w:rsidRPr="009F0885">
        <w:rPr>
          <w:rFonts w:asciiTheme="majorHAnsi" w:hAnsiTheme="majorHAnsi" w:cs="Arial"/>
          <w:i/>
          <w:iCs/>
          <w:color w:val="auto"/>
          <w:sz w:val="16"/>
          <w:szCs w:val="16"/>
        </w:rPr>
        <w:t>Guidelines for the Appointment and Performance of Defense Counsel in Death Penalty Cases</w:t>
      </w:r>
      <w:r w:rsidRPr="009F0885">
        <w:rPr>
          <w:rFonts w:asciiTheme="majorHAnsi" w:hAnsiTheme="majorHAnsi" w:cs="Arial"/>
          <w:color w:val="auto"/>
          <w:sz w:val="16"/>
          <w:szCs w:val="16"/>
        </w:rPr>
        <w:t xml:space="preserve"> (Revised editions) (February 2003), Guideline 10.6B – Additional Obligations of Counsel Representing a Foreign National.</w:t>
      </w:r>
    </w:p>
  </w:footnote>
  <w:footnote w:id="53">
    <w:p w14:paraId="1078A03E" w14:textId="77777777" w:rsidR="00B56F13" w:rsidRPr="00FF4FE6" w:rsidRDefault="00B56F13" w:rsidP="00FF4FE6">
      <w:pPr>
        <w:pStyle w:val="FootnoteText"/>
        <w:jc w:val="both"/>
        <w:rPr>
          <w:rFonts w:asciiTheme="majorHAnsi" w:hAnsiTheme="majorHAnsi"/>
          <w:sz w:val="16"/>
          <w:szCs w:val="16"/>
        </w:rPr>
      </w:pPr>
      <w:r w:rsidRPr="00FF4FE6">
        <w:rPr>
          <w:rStyle w:val="FootnoteReference"/>
          <w:rFonts w:asciiTheme="majorHAnsi" w:hAnsiTheme="majorHAnsi"/>
          <w:sz w:val="16"/>
          <w:szCs w:val="16"/>
        </w:rPr>
        <w:footnoteRef/>
      </w:r>
      <w:r w:rsidRPr="00FF4FE6">
        <w:rPr>
          <w:rFonts w:asciiTheme="majorHAnsi" w:hAnsiTheme="majorHAnsi"/>
          <w:sz w:val="16"/>
          <w:szCs w:val="16"/>
        </w:rPr>
        <w:t xml:space="preserve"> </w:t>
      </w:r>
      <w:r w:rsidRPr="00FF4FE6">
        <w:rPr>
          <w:rFonts w:asciiTheme="majorHAnsi" w:hAnsiTheme="majorHAnsi"/>
          <w:spacing w:val="-3"/>
          <w:sz w:val="16"/>
          <w:szCs w:val="16"/>
        </w:rPr>
        <w:t>Article XXV of the American Declaration provides: “No person may be deprived of his liberty except in the cases and according to the procedures established by pre-existing law.” […]</w:t>
      </w:r>
    </w:p>
  </w:footnote>
  <w:footnote w:id="54">
    <w:p w14:paraId="7EA82F74" w14:textId="77777777" w:rsidR="00B56F13" w:rsidRPr="00ED56AB" w:rsidRDefault="00B56F13" w:rsidP="00265BA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Article II of the American Declaration provides: “All persons are equal before the law and have the rights and duties established in this Declaration, without distinction as to race, sex, language, creed or any other factor.”</w:t>
      </w:r>
    </w:p>
  </w:footnote>
  <w:footnote w:id="55">
    <w:p w14:paraId="1531798B" w14:textId="77777777" w:rsidR="00B56F13" w:rsidRPr="002179AD" w:rsidRDefault="00B56F13" w:rsidP="002179AD">
      <w:pPr>
        <w:pStyle w:val="FootnoteText"/>
        <w:jc w:val="both"/>
        <w:rPr>
          <w:rFonts w:asciiTheme="majorHAnsi" w:hAnsiTheme="majorHAnsi"/>
          <w:sz w:val="16"/>
          <w:szCs w:val="16"/>
          <w:lang w:val="pt-BR"/>
        </w:rPr>
      </w:pPr>
      <w:r w:rsidRPr="00E16426">
        <w:rPr>
          <w:rStyle w:val="FootnoteReference"/>
          <w:rFonts w:asciiTheme="majorHAnsi" w:hAnsiTheme="majorHAnsi"/>
          <w:sz w:val="16"/>
          <w:szCs w:val="16"/>
        </w:rPr>
        <w:footnoteRef/>
      </w:r>
      <w:r w:rsidRPr="00216C99">
        <w:rPr>
          <w:rFonts w:asciiTheme="majorHAnsi" w:hAnsiTheme="majorHAnsi"/>
          <w:sz w:val="16"/>
          <w:szCs w:val="16"/>
        </w:rPr>
        <w:t xml:space="preserve"> See in this regard, IACHR, Report No. 129/17. </w:t>
      </w:r>
      <w:r w:rsidRPr="002179AD">
        <w:rPr>
          <w:rFonts w:asciiTheme="majorHAnsi" w:hAnsiTheme="majorHAnsi"/>
          <w:sz w:val="16"/>
          <w:szCs w:val="16"/>
          <w:lang w:val="pt-BR"/>
        </w:rPr>
        <w:t>Case 12.315. Merits. Carlos Alberto Fernandez and Carlos Alejandro Tumbeiro. Argentina. October 25, 2017, para. 47.</w:t>
      </w:r>
    </w:p>
  </w:footnote>
  <w:footnote w:id="56">
    <w:p w14:paraId="26107B7A" w14:textId="77777777" w:rsidR="00B56F13" w:rsidRPr="006B1875" w:rsidRDefault="00B56F13">
      <w:pPr>
        <w:pStyle w:val="FootnoteText"/>
        <w:rPr>
          <w:rFonts w:asciiTheme="majorHAnsi" w:hAnsiTheme="majorHAnsi"/>
          <w:sz w:val="16"/>
          <w:szCs w:val="16"/>
          <w:lang w:val="pt-BR"/>
        </w:rPr>
      </w:pPr>
      <w:r w:rsidRPr="006B1875">
        <w:rPr>
          <w:rStyle w:val="FootnoteReference"/>
          <w:rFonts w:asciiTheme="majorHAnsi" w:hAnsiTheme="majorHAnsi"/>
          <w:sz w:val="16"/>
          <w:szCs w:val="16"/>
        </w:rPr>
        <w:footnoteRef/>
      </w:r>
      <w:r w:rsidRPr="006B1875">
        <w:rPr>
          <w:rFonts w:asciiTheme="majorHAnsi" w:hAnsiTheme="majorHAnsi"/>
          <w:sz w:val="16"/>
          <w:szCs w:val="16"/>
          <w:lang w:val="pt-BR"/>
        </w:rPr>
        <w:t xml:space="preserve"> IACHR. </w:t>
      </w:r>
      <w:r w:rsidRPr="006B1875">
        <w:rPr>
          <w:rFonts w:asciiTheme="majorHAnsi" w:hAnsiTheme="majorHAnsi"/>
          <w:sz w:val="16"/>
          <w:szCs w:val="16"/>
          <w:lang w:val="pt-BR"/>
        </w:rPr>
        <w:t xml:space="preserve">Report No. 24/18. Case 12.982. Azul Rojas Marin. </w:t>
      </w:r>
      <w:r>
        <w:rPr>
          <w:rFonts w:asciiTheme="majorHAnsi" w:hAnsiTheme="majorHAnsi"/>
          <w:sz w:val="16"/>
          <w:szCs w:val="16"/>
          <w:lang w:val="pt-BR"/>
        </w:rPr>
        <w:t xml:space="preserve">Merits. </w:t>
      </w:r>
      <w:r w:rsidRPr="006B1875">
        <w:rPr>
          <w:rFonts w:asciiTheme="majorHAnsi" w:hAnsiTheme="majorHAnsi"/>
          <w:sz w:val="16"/>
          <w:szCs w:val="16"/>
          <w:lang w:val="pt-BR"/>
        </w:rPr>
        <w:t>Peru, para. 67.</w:t>
      </w:r>
    </w:p>
  </w:footnote>
  <w:footnote w:id="57">
    <w:p w14:paraId="615DB0B7" w14:textId="77777777" w:rsidR="00B56F13" w:rsidRPr="00503391" w:rsidRDefault="00B56F13">
      <w:pPr>
        <w:pStyle w:val="FootnoteText"/>
        <w:rPr>
          <w:rFonts w:asciiTheme="majorHAnsi" w:hAnsiTheme="majorHAnsi"/>
          <w:sz w:val="16"/>
          <w:szCs w:val="16"/>
          <w:lang w:val="pt-BR"/>
        </w:rPr>
      </w:pPr>
      <w:r w:rsidRPr="006B1875">
        <w:rPr>
          <w:rStyle w:val="FootnoteReference"/>
          <w:rFonts w:asciiTheme="majorHAnsi" w:hAnsiTheme="majorHAnsi"/>
          <w:sz w:val="16"/>
          <w:szCs w:val="16"/>
        </w:rPr>
        <w:footnoteRef/>
      </w:r>
      <w:r w:rsidRPr="006B1875">
        <w:rPr>
          <w:rFonts w:asciiTheme="majorHAnsi" w:hAnsiTheme="majorHAnsi"/>
          <w:sz w:val="16"/>
          <w:szCs w:val="16"/>
          <w:lang w:val="pt-BR"/>
        </w:rPr>
        <w:t xml:space="preserve"> See, </w:t>
      </w:r>
      <w:r w:rsidRPr="00FD6361">
        <w:rPr>
          <w:rFonts w:asciiTheme="majorHAnsi" w:hAnsiTheme="majorHAnsi"/>
          <w:i/>
          <w:iCs/>
          <w:sz w:val="16"/>
          <w:szCs w:val="16"/>
          <w:lang w:val="pt-BR"/>
        </w:rPr>
        <w:t>mutatis mutandi</w:t>
      </w:r>
      <w:r w:rsidRPr="006B1875">
        <w:rPr>
          <w:rFonts w:asciiTheme="majorHAnsi" w:hAnsiTheme="majorHAnsi"/>
          <w:sz w:val="16"/>
          <w:szCs w:val="16"/>
          <w:lang w:val="pt-BR"/>
        </w:rPr>
        <w:t xml:space="preserve">, IACHR. Report No. 24/18. Case 12.982. Azul Rojas Marin. </w:t>
      </w:r>
      <w:r>
        <w:rPr>
          <w:rFonts w:asciiTheme="majorHAnsi" w:hAnsiTheme="majorHAnsi"/>
          <w:sz w:val="16"/>
          <w:szCs w:val="16"/>
          <w:lang w:val="pt-BR"/>
        </w:rPr>
        <w:t xml:space="preserve">Merits. </w:t>
      </w:r>
      <w:r w:rsidRPr="006B1875">
        <w:rPr>
          <w:rFonts w:asciiTheme="majorHAnsi" w:hAnsiTheme="majorHAnsi"/>
          <w:sz w:val="16"/>
          <w:szCs w:val="16"/>
          <w:lang w:val="pt-BR"/>
        </w:rPr>
        <w:t xml:space="preserve">Peru, para. </w:t>
      </w:r>
      <w:r w:rsidRPr="00503391">
        <w:rPr>
          <w:rFonts w:asciiTheme="majorHAnsi" w:hAnsiTheme="majorHAnsi"/>
          <w:sz w:val="16"/>
          <w:szCs w:val="16"/>
          <w:lang w:val="pt-BR"/>
        </w:rPr>
        <w:t>67.</w:t>
      </w:r>
    </w:p>
  </w:footnote>
  <w:footnote w:id="58">
    <w:p w14:paraId="62513B90" w14:textId="77777777" w:rsidR="00B56F13" w:rsidRPr="002179AD" w:rsidRDefault="00B56F13" w:rsidP="00FD6361">
      <w:pPr>
        <w:pStyle w:val="FootnoteText"/>
        <w:jc w:val="both"/>
      </w:pPr>
      <w:r w:rsidRPr="002179AD">
        <w:rPr>
          <w:rStyle w:val="FootnoteReference"/>
          <w:rFonts w:asciiTheme="majorHAnsi" w:hAnsiTheme="majorHAnsi"/>
          <w:sz w:val="16"/>
          <w:szCs w:val="16"/>
        </w:rPr>
        <w:footnoteRef/>
      </w:r>
      <w:r w:rsidRPr="002179AD">
        <w:rPr>
          <w:rFonts w:asciiTheme="majorHAnsi" w:hAnsiTheme="majorHAnsi"/>
          <w:sz w:val="16"/>
          <w:szCs w:val="16"/>
          <w:lang w:val="pt-BR"/>
        </w:rPr>
        <w:t xml:space="preserve"> </w:t>
      </w:r>
      <w:r w:rsidRPr="002179AD">
        <w:rPr>
          <w:rFonts w:asciiTheme="majorHAnsi" w:hAnsiTheme="majorHAnsi"/>
          <w:sz w:val="16"/>
          <w:szCs w:val="16"/>
          <w:lang w:val="pt-BR"/>
        </w:rPr>
        <w:t xml:space="preserve">IACHR, Report No. 129/17. Case 12.315. Merits. </w:t>
      </w:r>
      <w:r w:rsidRPr="00A32062">
        <w:rPr>
          <w:rFonts w:asciiTheme="majorHAnsi" w:hAnsiTheme="majorHAnsi"/>
          <w:sz w:val="16"/>
          <w:szCs w:val="16"/>
          <w:lang w:val="pt-BR"/>
        </w:rPr>
        <w:t xml:space="preserve">Carlos Alberto Fernandez and Carlos Alejandro Tumbeiro. </w:t>
      </w:r>
      <w:r w:rsidRPr="002179AD">
        <w:rPr>
          <w:rFonts w:asciiTheme="majorHAnsi" w:hAnsiTheme="majorHAnsi"/>
          <w:sz w:val="16"/>
          <w:szCs w:val="16"/>
          <w:lang w:val="pt-BR"/>
        </w:rPr>
        <w:t xml:space="preserve">Argentina. October 25, 2017, para. </w:t>
      </w:r>
      <w:r w:rsidRPr="00503391">
        <w:rPr>
          <w:rFonts w:asciiTheme="majorHAnsi" w:hAnsiTheme="majorHAnsi"/>
          <w:sz w:val="16"/>
          <w:szCs w:val="16"/>
          <w:lang w:val="es-MX"/>
        </w:rPr>
        <w:t xml:space="preserve">49; ECHR. </w:t>
      </w:r>
      <w:r w:rsidRPr="00503391">
        <w:rPr>
          <w:rFonts w:asciiTheme="majorHAnsi" w:hAnsiTheme="majorHAnsi"/>
          <w:i/>
          <w:sz w:val="16"/>
          <w:szCs w:val="16"/>
          <w:lang w:val="es-MX"/>
        </w:rPr>
        <w:t xml:space="preserve">Del Rio Prada v. </w:t>
      </w:r>
      <w:proofErr w:type="spellStart"/>
      <w:r w:rsidRPr="00503391">
        <w:rPr>
          <w:rFonts w:asciiTheme="majorHAnsi" w:hAnsiTheme="majorHAnsi"/>
          <w:i/>
          <w:sz w:val="16"/>
          <w:szCs w:val="16"/>
          <w:lang w:val="es-MX"/>
        </w:rPr>
        <w:t>Spain</w:t>
      </w:r>
      <w:proofErr w:type="spellEnd"/>
      <w:r w:rsidRPr="00503391">
        <w:rPr>
          <w:rFonts w:asciiTheme="majorHAnsi" w:hAnsiTheme="majorHAnsi"/>
          <w:sz w:val="16"/>
          <w:szCs w:val="16"/>
          <w:lang w:val="es-MX"/>
        </w:rPr>
        <w:t xml:space="preserve"> [GC], no. 42750/09. </w:t>
      </w:r>
      <w:r w:rsidRPr="00705E5C">
        <w:rPr>
          <w:rFonts w:asciiTheme="majorHAnsi" w:hAnsiTheme="majorHAnsi"/>
          <w:sz w:val="16"/>
          <w:szCs w:val="16"/>
        </w:rPr>
        <w:t xml:space="preserve">October 21, 2013, para. </w:t>
      </w:r>
      <w:r w:rsidRPr="002179AD">
        <w:rPr>
          <w:rFonts w:asciiTheme="majorHAnsi" w:hAnsiTheme="majorHAnsi"/>
          <w:sz w:val="16"/>
          <w:szCs w:val="16"/>
        </w:rPr>
        <w:t>125.</w:t>
      </w:r>
    </w:p>
  </w:footnote>
  <w:footnote w:id="59">
    <w:p w14:paraId="6166F068" w14:textId="77777777" w:rsidR="00B56F13" w:rsidRPr="00ED56AB" w:rsidRDefault="00B56F13" w:rsidP="00265BAE">
      <w:pPr>
        <w:pStyle w:val="FootnoteText"/>
        <w:jc w:val="both"/>
        <w:rPr>
          <w:rFonts w:asciiTheme="majorHAnsi" w:hAnsiTheme="majorHAnsi" w:cstheme="majorHAnsi"/>
          <w:color w:val="auto"/>
          <w:sz w:val="16"/>
          <w:szCs w:val="16"/>
        </w:rPr>
      </w:pPr>
      <w:r w:rsidRPr="00ED56AB">
        <w:rPr>
          <w:rStyle w:val="FootnoteReference"/>
          <w:rFonts w:asciiTheme="majorHAnsi" w:hAnsiTheme="majorHAnsi" w:cstheme="majorHAnsi"/>
          <w:color w:val="auto"/>
          <w:sz w:val="16"/>
          <w:szCs w:val="16"/>
        </w:rPr>
        <w:footnoteRef/>
      </w:r>
      <w:r w:rsidRPr="00ED56AB">
        <w:rPr>
          <w:rFonts w:asciiTheme="majorHAnsi" w:hAnsiTheme="majorHAnsi" w:cstheme="majorHAnsi"/>
          <w:color w:val="auto"/>
          <w:sz w:val="16"/>
          <w:szCs w:val="16"/>
        </w:rPr>
        <w:t xml:space="preserve"> </w:t>
      </w:r>
      <w:r w:rsidRPr="00ED56AB">
        <w:rPr>
          <w:rFonts w:asciiTheme="majorHAnsi" w:hAnsiTheme="majorHAnsi" w:cstheme="majorHAnsi"/>
          <w:i/>
          <w:color w:val="auto"/>
          <w:sz w:val="16"/>
          <w:szCs w:val="16"/>
        </w:rPr>
        <w:t>See</w:t>
      </w:r>
      <w:r w:rsidRPr="00ED56AB">
        <w:rPr>
          <w:rFonts w:asciiTheme="majorHAnsi" w:hAnsiTheme="majorHAnsi" w:cstheme="majorHAnsi"/>
          <w:i/>
          <w:iCs/>
          <w:color w:val="auto"/>
          <w:sz w:val="16"/>
          <w:szCs w:val="16"/>
        </w:rPr>
        <w:t xml:space="preserve"> </w:t>
      </w:r>
      <w:r w:rsidRPr="00ED56AB">
        <w:rPr>
          <w:rFonts w:asciiTheme="majorHAnsi" w:hAnsiTheme="majorHAnsi"/>
          <w:color w:val="auto"/>
          <w:sz w:val="16"/>
          <w:szCs w:val="16"/>
        </w:rPr>
        <w:t xml:space="preserve">I/A Ct. H.R. </w:t>
      </w:r>
      <w:r w:rsidRPr="00ED56AB">
        <w:rPr>
          <w:rFonts w:asciiTheme="majorHAnsi" w:hAnsiTheme="majorHAnsi"/>
          <w:i/>
          <w:color w:val="auto"/>
          <w:sz w:val="16"/>
          <w:szCs w:val="16"/>
        </w:rPr>
        <w:t>Juridical Condition and Rights of Undocumented Migrants</w:t>
      </w:r>
      <w:r w:rsidRPr="00ED56AB">
        <w:rPr>
          <w:rFonts w:asciiTheme="majorHAnsi" w:hAnsiTheme="majorHAnsi"/>
          <w:color w:val="auto"/>
          <w:sz w:val="16"/>
          <w:szCs w:val="16"/>
        </w:rPr>
        <w:t>, Advisory Opinion OC-18/03 of Sept. 17, 2003, para</w:t>
      </w:r>
      <w:r w:rsidRPr="00ED56AB">
        <w:rPr>
          <w:rFonts w:asciiTheme="majorHAnsi" w:hAnsiTheme="majorHAnsi" w:cstheme="majorHAnsi"/>
          <w:color w:val="auto"/>
          <w:sz w:val="16"/>
          <w:szCs w:val="16"/>
        </w:rPr>
        <w:t xml:space="preserve">. 101. </w:t>
      </w:r>
      <w:r w:rsidRPr="00ED56AB">
        <w:rPr>
          <w:rFonts w:asciiTheme="majorHAnsi" w:hAnsiTheme="majorHAnsi" w:cstheme="majorHAnsi"/>
          <w:i/>
          <w:color w:val="auto"/>
          <w:sz w:val="16"/>
          <w:szCs w:val="16"/>
        </w:rPr>
        <w:t>See also</w:t>
      </w:r>
      <w:r w:rsidRPr="00ED56AB">
        <w:rPr>
          <w:rFonts w:asciiTheme="majorHAnsi" w:hAnsiTheme="majorHAnsi" w:cstheme="majorHAnsi"/>
          <w:color w:val="auto"/>
          <w:sz w:val="16"/>
          <w:szCs w:val="16"/>
        </w:rPr>
        <w:t xml:space="preserve"> IACHR, Report No. 50/16, Case 12.834, Merits (Publication), Undocumented Workers, United States, Nov. 30, 2016, para. 72.</w:t>
      </w:r>
    </w:p>
  </w:footnote>
  <w:footnote w:id="60">
    <w:p w14:paraId="4521B19A" w14:textId="77777777" w:rsidR="00B56F13" w:rsidRPr="00ED56AB" w:rsidRDefault="00B56F13" w:rsidP="00265BAE">
      <w:pPr>
        <w:pStyle w:val="Footnotes"/>
        <w:spacing w:after="0"/>
        <w:ind w:firstLine="0"/>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75. </w:t>
      </w:r>
    </w:p>
  </w:footnote>
  <w:footnote w:id="61">
    <w:p w14:paraId="38A74965" w14:textId="77777777" w:rsidR="00B56F13" w:rsidRPr="00ED56AB" w:rsidRDefault="00B56F13" w:rsidP="00265BA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r w:rsidRPr="00ED56AB">
        <w:rPr>
          <w:rFonts w:asciiTheme="majorHAnsi" w:hAnsiTheme="majorHAnsi"/>
          <w:i/>
          <w:color w:val="auto"/>
          <w:sz w:val="16"/>
          <w:szCs w:val="16"/>
        </w:rPr>
        <w:t xml:space="preserve">See, e.g., </w:t>
      </w:r>
      <w:r w:rsidRPr="00ED56AB">
        <w:rPr>
          <w:rFonts w:asciiTheme="majorHAnsi" w:hAnsiTheme="majorHAnsi"/>
          <w:color w:val="auto"/>
          <w:sz w:val="16"/>
          <w:szCs w:val="16"/>
        </w:rPr>
        <w:t>I/A Ct. H.R</w:t>
      </w:r>
      <w:r w:rsidRPr="00ED56AB">
        <w:rPr>
          <w:rFonts w:asciiTheme="majorHAnsi" w:eastAsia="Times New Roman" w:hAnsiTheme="majorHAnsi"/>
          <w:bCs/>
          <w:color w:val="auto"/>
          <w:sz w:val="16"/>
          <w:szCs w:val="16"/>
        </w:rPr>
        <w:t xml:space="preserve">. </w:t>
      </w:r>
      <w:proofErr w:type="spellStart"/>
      <w:r w:rsidRPr="00ED56AB">
        <w:rPr>
          <w:rFonts w:asciiTheme="majorHAnsi" w:eastAsia="Times New Roman" w:hAnsiTheme="majorHAnsi"/>
          <w:bCs/>
          <w:color w:val="auto"/>
          <w:sz w:val="16"/>
          <w:szCs w:val="16"/>
        </w:rPr>
        <w:t>Furlan</w:t>
      </w:r>
      <w:proofErr w:type="spellEnd"/>
      <w:r w:rsidRPr="00ED56AB">
        <w:rPr>
          <w:rFonts w:asciiTheme="majorHAnsi" w:eastAsia="Times New Roman" w:hAnsiTheme="majorHAnsi"/>
          <w:bCs/>
          <w:color w:val="auto"/>
          <w:sz w:val="16"/>
          <w:szCs w:val="16"/>
        </w:rPr>
        <w:t xml:space="preserve"> and family Vs. Argentina. Judgment of Aug. 31, 2012, para. 267.</w:t>
      </w:r>
    </w:p>
  </w:footnote>
  <w:footnote w:id="62">
    <w:p w14:paraId="04B7897A" w14:textId="77777777" w:rsidR="00B56F13" w:rsidRPr="00ED56AB" w:rsidRDefault="00B56F13" w:rsidP="00265BA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w:t>
      </w:r>
      <w:r w:rsidRPr="00E93D8E">
        <w:rPr>
          <w:rFonts w:asciiTheme="majorHAnsi" w:hAnsiTheme="majorHAnsi"/>
          <w:color w:val="auto"/>
          <w:sz w:val="16"/>
          <w:szCs w:val="16"/>
        </w:rPr>
        <w:t>, Report on Terrorism and Human Rights (</w:t>
      </w:r>
      <w:r w:rsidRPr="00ED56AB">
        <w:rPr>
          <w:rFonts w:asciiTheme="majorHAnsi" w:hAnsiTheme="majorHAnsi"/>
          <w:color w:val="auto"/>
          <w:sz w:val="16"/>
          <w:szCs w:val="16"/>
        </w:rPr>
        <w:t>2002), para. 338.</w:t>
      </w:r>
    </w:p>
  </w:footnote>
  <w:footnote w:id="63">
    <w:p w14:paraId="1021C25F" w14:textId="77777777" w:rsidR="00B56F13" w:rsidRDefault="00B56F13" w:rsidP="00265BAE">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w:t>
      </w:r>
      <w:r>
        <w:rPr>
          <w:rFonts w:asciiTheme="majorHAnsi" w:hAnsiTheme="majorHAnsi"/>
          <w:color w:val="auto"/>
          <w:sz w:val="16"/>
          <w:szCs w:val="16"/>
        </w:rPr>
        <w:t xml:space="preserve"> 195.</w:t>
      </w:r>
    </w:p>
  </w:footnote>
  <w:footnote w:id="64">
    <w:p w14:paraId="7A2A8110" w14:textId="77777777" w:rsidR="00B56F13" w:rsidRPr="00ED56AB" w:rsidRDefault="00B56F13" w:rsidP="00265BA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165. </w:t>
      </w:r>
    </w:p>
  </w:footnote>
  <w:footnote w:id="65">
    <w:p w14:paraId="4BA638C0" w14:textId="77777777" w:rsidR="00B56F13" w:rsidRDefault="00B56F13" w:rsidP="00265BAE">
      <w:pPr>
        <w:pStyle w:val="FootnoteText"/>
        <w:jc w:val="both"/>
      </w:pPr>
      <w:r w:rsidRPr="00673206">
        <w:rPr>
          <w:rStyle w:val="FootnoteReference"/>
          <w:rFonts w:asciiTheme="majorHAnsi" w:hAnsiTheme="majorHAnsi"/>
          <w:color w:val="auto"/>
          <w:sz w:val="16"/>
          <w:szCs w:val="16"/>
        </w:rPr>
        <w:footnoteRef/>
      </w:r>
      <w:r w:rsidRPr="00673206">
        <w:rPr>
          <w:rStyle w:val="FootnoteReference"/>
          <w:rFonts w:asciiTheme="majorHAnsi" w:hAnsiTheme="majorHAnsi"/>
          <w:color w:val="auto"/>
          <w:sz w:val="16"/>
          <w:szCs w:val="16"/>
        </w:rPr>
        <w:t xml:space="preserve"> </w:t>
      </w:r>
      <w:r w:rsidRPr="00673206">
        <w:rPr>
          <w:rFonts w:asciiTheme="majorHAnsi" w:hAnsiTheme="majorHAnsi"/>
          <w:color w:val="auto"/>
          <w:sz w:val="16"/>
          <w:szCs w:val="16"/>
        </w:rPr>
        <w:t>IACHR, Report No. 78/15, Case 12.831. Merits (Publication). Kevin Cooper. United States. October 28, 2015, para. 146.</w:t>
      </w:r>
    </w:p>
  </w:footnote>
  <w:footnote w:id="66">
    <w:p w14:paraId="42DBF3FE" w14:textId="77777777" w:rsidR="00B56F13" w:rsidRDefault="00B56F13">
      <w:pPr>
        <w:pStyle w:val="FootnoteText"/>
      </w:pPr>
      <w:r w:rsidRPr="00351CDF">
        <w:rPr>
          <w:rStyle w:val="FootnoteReference"/>
          <w:rFonts w:asciiTheme="majorHAnsi" w:hAnsiTheme="majorHAnsi"/>
          <w:color w:val="auto"/>
          <w:sz w:val="16"/>
          <w:szCs w:val="16"/>
        </w:rPr>
        <w:footnoteRef/>
      </w:r>
      <w:r w:rsidRPr="00351CDF">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w:t>
      </w:r>
      <w:r>
        <w:rPr>
          <w:rFonts w:asciiTheme="majorHAnsi" w:hAnsiTheme="majorHAnsi"/>
          <w:color w:val="auto"/>
          <w:sz w:val="16"/>
          <w:szCs w:val="16"/>
        </w:rPr>
        <w:t>es. November 26, 2018, para. 77</w:t>
      </w:r>
      <w:r w:rsidRPr="008E2E22">
        <w:rPr>
          <w:rFonts w:asciiTheme="majorHAnsi" w:hAnsiTheme="majorHAnsi"/>
          <w:color w:val="auto"/>
          <w:sz w:val="16"/>
          <w:szCs w:val="16"/>
        </w:rPr>
        <w:t>.</w:t>
      </w:r>
    </w:p>
  </w:footnote>
  <w:footnote w:id="67">
    <w:p w14:paraId="0B2C33BD" w14:textId="77777777" w:rsidR="00B56F13" w:rsidRDefault="00B56F13" w:rsidP="008E1322">
      <w:pPr>
        <w:pStyle w:val="FootnoteText"/>
        <w:jc w:val="both"/>
        <w:rPr>
          <w:rFonts w:asciiTheme="majorHAnsi" w:hAnsiTheme="majorHAnsi"/>
          <w:color w:val="auto"/>
          <w:sz w:val="16"/>
          <w:szCs w:val="16"/>
        </w:rPr>
      </w:pPr>
      <w:r w:rsidRPr="009C03AE">
        <w:rPr>
          <w:rStyle w:val="FootnoteReference"/>
          <w:rFonts w:asciiTheme="majorHAnsi" w:hAnsiTheme="majorHAnsi"/>
          <w:sz w:val="16"/>
          <w:szCs w:val="16"/>
        </w:rPr>
        <w:footnoteRef/>
      </w:r>
      <w:r w:rsidRPr="009C03AE">
        <w:rPr>
          <w:rStyle w:val="FootnoteReference"/>
          <w:rFonts w:asciiTheme="majorHAnsi" w:hAnsiTheme="majorHAnsi"/>
          <w:sz w:val="16"/>
          <w:szCs w:val="16"/>
        </w:rPr>
        <w:t xml:space="preserve"> </w:t>
      </w:r>
      <w:r w:rsidRPr="00AD7A33">
        <w:rPr>
          <w:rFonts w:asciiTheme="majorHAnsi" w:hAnsiTheme="majorHAnsi"/>
          <w:color w:val="auto"/>
          <w:sz w:val="16"/>
          <w:szCs w:val="16"/>
        </w:rPr>
        <w:t>Article XXV of the American Declaration provides: “[…] Every individual who has been deprived of his liberty has the right […] to humane treatment during the time he is in custody.”</w:t>
      </w:r>
    </w:p>
    <w:p w14:paraId="39C992AE" w14:textId="77777777" w:rsidR="00B56F13" w:rsidRDefault="00B56F13" w:rsidP="008E1322">
      <w:pPr>
        <w:pStyle w:val="FootnoteText"/>
        <w:jc w:val="both"/>
      </w:pPr>
      <w:r>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68">
    <w:p w14:paraId="050CFFD2" w14:textId="77777777" w:rsidR="00B56F13" w:rsidRPr="00612350" w:rsidRDefault="00B56F13" w:rsidP="009266DD">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Merits (Publication). Edgar Tamayo Arias. United States. July 17, 2014</w:t>
      </w:r>
      <w:r w:rsidRPr="00612350">
        <w:rPr>
          <w:rFonts w:ascii="Cambria" w:hAnsi="Cambria"/>
          <w:sz w:val="16"/>
          <w:szCs w:val="16"/>
        </w:rPr>
        <w:t>, para. 1</w:t>
      </w:r>
      <w:r>
        <w:rPr>
          <w:rFonts w:ascii="Cambria" w:hAnsi="Cambria"/>
          <w:sz w:val="16"/>
          <w:szCs w:val="16"/>
        </w:rPr>
        <w:t>89</w:t>
      </w:r>
      <w:r w:rsidRPr="00612350">
        <w:rPr>
          <w:rFonts w:ascii="Cambria" w:hAnsi="Cambria"/>
          <w:sz w:val="16"/>
          <w:szCs w:val="16"/>
        </w:rPr>
        <w:t>.</w:t>
      </w:r>
    </w:p>
  </w:footnote>
  <w:footnote w:id="69">
    <w:p w14:paraId="5EBED043" w14:textId="77777777" w:rsidR="00B56F13" w:rsidRPr="00612350" w:rsidRDefault="00B56F13" w:rsidP="009266DD">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Merits (Publication). Edgar Tamayo Arias. United States. July 17, 2014</w:t>
      </w:r>
      <w:r w:rsidRPr="00612350">
        <w:rPr>
          <w:rFonts w:ascii="Cambria" w:hAnsi="Cambria"/>
          <w:sz w:val="16"/>
          <w:szCs w:val="16"/>
        </w:rPr>
        <w:t>, para. 1</w:t>
      </w:r>
      <w:r>
        <w:rPr>
          <w:rFonts w:ascii="Cambria" w:hAnsi="Cambria"/>
          <w:sz w:val="16"/>
          <w:szCs w:val="16"/>
        </w:rPr>
        <w:t>90</w:t>
      </w:r>
      <w:r w:rsidRPr="00612350">
        <w:rPr>
          <w:rFonts w:ascii="Cambria" w:hAnsi="Cambria"/>
          <w:sz w:val="16"/>
          <w:szCs w:val="16"/>
        </w:rPr>
        <w:t>.</w:t>
      </w:r>
    </w:p>
  </w:footnote>
  <w:footnote w:id="70">
    <w:p w14:paraId="5948844A" w14:textId="77777777" w:rsidR="00B56F13" w:rsidRPr="00612350" w:rsidRDefault="00B56F13" w:rsidP="009266DD">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The death penalty and the absolute prohibition of Torture and Cruel, Inhuman, and Degrading Treatment or Punishment, Juan E. Mendez, Human Right Brief, Volume 20, Issue 1, Article 1, p. 3. </w:t>
      </w:r>
    </w:p>
  </w:footnote>
  <w:footnote w:id="71">
    <w:p w14:paraId="4E07DE94" w14:textId="77777777" w:rsidR="00B56F13" w:rsidRPr="00612350" w:rsidRDefault="00B56F13" w:rsidP="009266DD">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Committee Against Torture, Considerations of Reports submitted by State Parties under Article 19 of the Convention, United States, CAT</w:t>
      </w:r>
      <w:r>
        <w:rPr>
          <w:rFonts w:ascii="Cambria" w:hAnsi="Cambria"/>
          <w:sz w:val="16"/>
          <w:szCs w:val="16"/>
        </w:rPr>
        <w:t>/C/USA/CO/2, July 25, 2006, para</w:t>
      </w:r>
      <w:r w:rsidRPr="00612350">
        <w:rPr>
          <w:rFonts w:ascii="Cambria" w:hAnsi="Cambria"/>
          <w:sz w:val="16"/>
          <w:szCs w:val="16"/>
        </w:rPr>
        <w:t>. 31.</w:t>
      </w:r>
    </w:p>
  </w:footnote>
  <w:footnote w:id="72">
    <w:p w14:paraId="1EF2A97C" w14:textId="77777777" w:rsidR="00B56F13" w:rsidRPr="003659F2" w:rsidRDefault="00B56F13" w:rsidP="009266DD">
      <w:pPr>
        <w:pStyle w:val="FootnoteText"/>
        <w:jc w:val="both"/>
        <w:rPr>
          <w:rFonts w:asciiTheme="majorHAnsi" w:hAnsiTheme="majorHAnsi"/>
          <w:sz w:val="16"/>
          <w:szCs w:val="16"/>
        </w:rPr>
      </w:pPr>
      <w:r w:rsidRPr="003659F2">
        <w:rPr>
          <w:rStyle w:val="FootnoteReference"/>
          <w:rFonts w:asciiTheme="majorHAnsi" w:hAnsiTheme="majorHAnsi"/>
          <w:sz w:val="16"/>
          <w:szCs w:val="16"/>
        </w:rPr>
        <w:footnoteRef/>
      </w:r>
      <w:r w:rsidRPr="003659F2">
        <w:rPr>
          <w:rFonts w:asciiTheme="majorHAnsi" w:hAnsiTheme="majorHAnsi"/>
          <w:sz w:val="16"/>
          <w:szCs w:val="16"/>
        </w:rPr>
        <w:t xml:space="preserve"> https://www.cleveland.com/news/2019/02/gov-mike-dewine-freezes-all-ohio-executions-while-new-method-developed.html</w:t>
      </w:r>
    </w:p>
  </w:footnote>
  <w:footnote w:id="73">
    <w:p w14:paraId="5E5CCC18" w14:textId="77777777" w:rsidR="00B56F13" w:rsidRPr="008C5978" w:rsidRDefault="00B56F13" w:rsidP="009266DD">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 xml:space="preserve">IACHR, Report No. 71/18, Case 12.958. Merits. Russell </w:t>
      </w:r>
      <w:proofErr w:type="spellStart"/>
      <w:r w:rsidRPr="008C5978">
        <w:rPr>
          <w:rFonts w:asciiTheme="majorHAnsi" w:hAnsiTheme="majorHAnsi"/>
          <w:color w:val="auto"/>
          <w:sz w:val="16"/>
          <w:szCs w:val="16"/>
        </w:rPr>
        <w:t>Bucklew</w:t>
      </w:r>
      <w:proofErr w:type="spellEnd"/>
      <w:r w:rsidRPr="008C5978">
        <w:rPr>
          <w:rFonts w:asciiTheme="majorHAnsi" w:hAnsiTheme="majorHAnsi"/>
          <w:color w:val="auto"/>
          <w:sz w:val="16"/>
          <w:szCs w:val="16"/>
        </w:rPr>
        <w:t>. United States, May 10, 2018, paras. 86-90. In this report the Commission has cited a number of developments in the inter-American and other protections systems, including the regional and United Nations systems.</w:t>
      </w:r>
    </w:p>
  </w:footnote>
  <w:footnote w:id="74">
    <w:p w14:paraId="290E8A97" w14:textId="77777777" w:rsidR="00B56F13" w:rsidRPr="00376462" w:rsidRDefault="00B56F13" w:rsidP="009266DD">
      <w:pPr>
        <w:pStyle w:val="FootnoteText"/>
        <w:tabs>
          <w:tab w:val="left" w:pos="0"/>
        </w:tabs>
        <w:jc w:val="both"/>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w:t>
      </w:r>
      <w:r w:rsidRPr="00376462">
        <w:rPr>
          <w:rFonts w:asciiTheme="majorHAnsi" w:hAnsiTheme="majorHAnsi"/>
          <w:color w:val="auto"/>
          <w:sz w:val="16"/>
          <w:szCs w:val="16"/>
        </w:rPr>
        <w:t xml:space="preserve">958. Merits. Russell </w:t>
      </w:r>
      <w:proofErr w:type="spellStart"/>
      <w:r w:rsidRPr="00376462">
        <w:rPr>
          <w:rFonts w:asciiTheme="majorHAnsi" w:hAnsiTheme="majorHAnsi"/>
          <w:color w:val="auto"/>
          <w:sz w:val="16"/>
          <w:szCs w:val="16"/>
        </w:rPr>
        <w:t>Bucklew</w:t>
      </w:r>
      <w:proofErr w:type="spellEnd"/>
      <w:r w:rsidRPr="00376462">
        <w:rPr>
          <w:rFonts w:asciiTheme="majorHAnsi" w:hAnsiTheme="majorHAnsi"/>
          <w:color w:val="auto"/>
          <w:sz w:val="16"/>
          <w:szCs w:val="16"/>
        </w:rPr>
        <w:t>. United States, May 10, 2018, para. 83.</w:t>
      </w:r>
    </w:p>
  </w:footnote>
  <w:footnote w:id="75">
    <w:p w14:paraId="2DE77C7A" w14:textId="77777777" w:rsidR="00B56F13" w:rsidRPr="00376462" w:rsidRDefault="00B56F13" w:rsidP="009266DD">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rPr>
      </w:pPr>
      <w:r w:rsidRPr="00376462">
        <w:rPr>
          <w:rStyle w:val="FootnoteReference"/>
          <w:rFonts w:asciiTheme="majorHAnsi" w:hAnsiTheme="majorHAnsi"/>
          <w:color w:val="auto"/>
          <w:sz w:val="16"/>
          <w:szCs w:val="16"/>
        </w:rPr>
        <w:footnoteRef/>
      </w:r>
      <w:r w:rsidRPr="00376462">
        <w:rPr>
          <w:rStyle w:val="FootnoteReference"/>
          <w:rFonts w:asciiTheme="majorHAnsi" w:hAnsiTheme="majorHAnsi"/>
          <w:color w:val="auto"/>
          <w:sz w:val="16"/>
          <w:szCs w:val="16"/>
        </w:rPr>
        <w:t xml:space="preserve"> </w:t>
      </w:r>
      <w:r w:rsidRPr="00376462">
        <w:rPr>
          <w:rFonts w:asciiTheme="majorHAnsi" w:hAnsiTheme="majorHAnsi"/>
          <w:color w:val="auto"/>
          <w:sz w:val="16"/>
          <w:szCs w:val="16"/>
        </w:rPr>
        <w:t xml:space="preserve">IACHR, Report No. 24/17, Case 12.254. Merits. Victor </w:t>
      </w:r>
      <w:proofErr w:type="spellStart"/>
      <w:r w:rsidRPr="00376462">
        <w:rPr>
          <w:rFonts w:asciiTheme="majorHAnsi" w:hAnsiTheme="majorHAnsi"/>
          <w:color w:val="auto"/>
          <w:sz w:val="16"/>
          <w:szCs w:val="16"/>
        </w:rPr>
        <w:t>Saldaño</w:t>
      </w:r>
      <w:proofErr w:type="spellEnd"/>
      <w:r w:rsidRPr="00376462">
        <w:rPr>
          <w:rFonts w:asciiTheme="majorHAnsi" w:hAnsiTheme="majorHAnsi"/>
          <w:color w:val="auto"/>
          <w:sz w:val="16"/>
          <w:szCs w:val="16"/>
        </w:rPr>
        <w:t>. United States. March 18, 2017, para. 246, citing IACHR, Report No. 58/02. Merits. Case 12.275. Denton Aitken. Jamaica. October 21, 2002, paras. 133 and 134.</w:t>
      </w:r>
    </w:p>
  </w:footnote>
  <w:footnote w:id="76">
    <w:p w14:paraId="249F21F3" w14:textId="77777777" w:rsidR="00B56F13" w:rsidRPr="00590D73" w:rsidRDefault="00B56F13" w:rsidP="009266DD">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rPr>
      </w:pPr>
      <w:r w:rsidRPr="00376462">
        <w:rPr>
          <w:rStyle w:val="FootnoteReference"/>
          <w:rFonts w:ascii="Cambria" w:hAnsi="Cambria"/>
          <w:color w:val="auto"/>
          <w:sz w:val="16"/>
          <w:szCs w:val="16"/>
        </w:rPr>
        <w:footnoteRef/>
      </w:r>
      <w:r w:rsidRPr="00376462">
        <w:rPr>
          <w:rFonts w:ascii="Cambria" w:hAnsi="Cambria"/>
          <w:color w:val="auto"/>
          <w:sz w:val="16"/>
          <w:szCs w:val="16"/>
        </w:rPr>
        <w:t xml:space="preserve"> United Nations. Interim report of the Special Rapporteur on torture and other cruel, inhuman or degrading treatment of punishment.  9 August 2012. A/67/279. para 48.</w:t>
      </w:r>
    </w:p>
  </w:footnote>
  <w:footnote w:id="77">
    <w:p w14:paraId="07E621A6" w14:textId="77777777" w:rsidR="00B56F13" w:rsidRDefault="00B56F13" w:rsidP="009266DD">
      <w:pPr>
        <w:pStyle w:val="FootnoteText"/>
        <w:jc w:val="both"/>
      </w:pPr>
      <w:r w:rsidRPr="00C535F1">
        <w:rPr>
          <w:rStyle w:val="FootnoteReference"/>
          <w:rFonts w:ascii="Cambria" w:hAnsi="Cambria"/>
          <w:color w:val="auto"/>
          <w:sz w:val="16"/>
          <w:szCs w:val="16"/>
        </w:rPr>
        <w:footnoteRef/>
      </w:r>
      <w:r w:rsidRPr="00C535F1">
        <w:rPr>
          <w:rStyle w:val="FootnoteReference"/>
          <w:rFonts w:ascii="Cambria" w:hAnsi="Cambria"/>
          <w:color w:val="auto"/>
          <w:sz w:val="16"/>
          <w:szCs w:val="16"/>
        </w:rPr>
        <w:t xml:space="preserve"> </w:t>
      </w:r>
      <w:r>
        <w:rPr>
          <w:rFonts w:asciiTheme="majorHAnsi" w:hAnsiTheme="majorHAnsi"/>
          <w:color w:val="auto"/>
          <w:sz w:val="16"/>
          <w:szCs w:val="16"/>
        </w:rPr>
        <w:t>Article I of the American Declaration establishes: Every human being has the right to life, liberty and the security of his person.</w:t>
      </w:r>
    </w:p>
  </w:footnote>
  <w:footnote w:id="78">
    <w:p w14:paraId="22A5A3E4" w14:textId="77777777" w:rsidR="00B56F13" w:rsidRPr="00ED56AB" w:rsidRDefault="00B56F13" w:rsidP="009266DD">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w:t>
      </w:r>
      <w:proofErr w:type="spellStart"/>
      <w:r w:rsidRPr="00ED56AB">
        <w:rPr>
          <w:rFonts w:asciiTheme="majorHAnsi" w:hAnsiTheme="majorHAnsi"/>
          <w:color w:val="auto"/>
          <w:sz w:val="16"/>
          <w:szCs w:val="16"/>
        </w:rPr>
        <w:t>Teleguz</w:t>
      </w:r>
      <w:proofErr w:type="spellEnd"/>
      <w:r w:rsidRPr="00ED56AB">
        <w:rPr>
          <w:rFonts w:asciiTheme="majorHAnsi" w:hAnsiTheme="majorHAnsi"/>
          <w:color w:val="auto"/>
          <w:sz w:val="16"/>
          <w:szCs w:val="16"/>
        </w:rPr>
        <w:t>, United States, July 15, 2013, para. 129.</w:t>
      </w:r>
    </w:p>
  </w:footnote>
  <w:footnote w:id="79">
    <w:p w14:paraId="478D195A" w14:textId="77777777" w:rsidR="00B56F13" w:rsidRPr="00700471" w:rsidRDefault="00B56F13" w:rsidP="009266DD">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Díaz, United States, March 23, 2015, para. 106.</w:t>
      </w:r>
    </w:p>
  </w:footnote>
  <w:footnote w:id="80">
    <w:p w14:paraId="38AA9ADA" w14:textId="77777777" w:rsidR="00B56F13" w:rsidRPr="004D677E" w:rsidRDefault="00B56F13" w:rsidP="007F094E">
      <w:pPr>
        <w:pStyle w:val="FootnoteText"/>
        <w:jc w:val="both"/>
      </w:pPr>
      <w:r w:rsidRPr="004D677E">
        <w:rPr>
          <w:rStyle w:val="FootnoteReference"/>
          <w:rFonts w:asciiTheme="majorHAnsi" w:hAnsiTheme="majorHAnsi"/>
          <w:color w:val="auto"/>
          <w:sz w:val="16"/>
          <w:szCs w:val="16"/>
        </w:rPr>
        <w:footnoteRef/>
      </w:r>
      <w:r w:rsidRPr="004D677E">
        <w:rPr>
          <w:rStyle w:val="FootnoteReference"/>
          <w:rFonts w:asciiTheme="majorHAnsi" w:hAnsiTheme="majorHAnsi"/>
          <w:color w:val="auto"/>
          <w:sz w:val="16"/>
          <w:szCs w:val="16"/>
        </w:rPr>
        <w:t xml:space="preserve"> </w:t>
      </w:r>
      <w:r>
        <w:rPr>
          <w:rFonts w:asciiTheme="majorHAnsi" w:hAnsiTheme="majorHAnsi"/>
          <w:color w:val="auto"/>
          <w:sz w:val="16"/>
          <w:szCs w:val="16"/>
        </w:rPr>
        <w:t>See in this regard, IACHR, The death penalty in the Inter-American Human Rights System: From restrictions to abolition, OEA/</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w:t>
      </w:r>
      <w:proofErr w:type="gramStart"/>
      <w:r>
        <w:rPr>
          <w:rFonts w:asciiTheme="majorHAnsi" w:hAnsiTheme="majorHAnsi"/>
          <w:color w:val="auto"/>
          <w:sz w:val="16"/>
          <w:szCs w:val="16"/>
        </w:rPr>
        <w:t>II.Doc</w:t>
      </w:r>
      <w:proofErr w:type="gramEnd"/>
      <w:r>
        <w:rPr>
          <w:rFonts w:asciiTheme="majorHAnsi" w:hAnsiTheme="majorHAnsi"/>
          <w:color w:val="auto"/>
          <w:sz w:val="16"/>
          <w:szCs w:val="16"/>
        </w:rPr>
        <w:t xml:space="preserve"> 68, December 31, 2011.</w:t>
      </w:r>
    </w:p>
  </w:footnote>
  <w:footnote w:id="81">
    <w:p w14:paraId="0403662E" w14:textId="77777777" w:rsidR="00B56F13" w:rsidRDefault="00B56F13" w:rsidP="007F094E">
      <w:pPr>
        <w:pStyle w:val="FootnoteText"/>
        <w:jc w:val="both"/>
        <w:rPr>
          <w:rFonts w:asciiTheme="majorHAnsi" w:hAnsiTheme="majorHAnsi"/>
          <w:color w:val="auto"/>
          <w:sz w:val="16"/>
          <w:szCs w:val="16"/>
          <w:bdr w:val="none" w:sz="0" w:space="0" w:color="auto"/>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See in this regard, IACHR, The death penalty in the Inter-American Human Rights System: From restrictions to abolition, OEA/</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w:t>
      </w:r>
      <w:proofErr w:type="gramStart"/>
      <w:r>
        <w:rPr>
          <w:rFonts w:asciiTheme="majorHAnsi" w:hAnsiTheme="majorHAnsi"/>
          <w:color w:val="auto"/>
          <w:sz w:val="16"/>
          <w:szCs w:val="16"/>
        </w:rPr>
        <w:t>II.Doc</w:t>
      </w:r>
      <w:proofErr w:type="gramEnd"/>
      <w:r>
        <w:rPr>
          <w:rFonts w:asciiTheme="majorHAnsi" w:hAnsiTheme="majorHAnsi"/>
          <w:color w:val="auto"/>
          <w:sz w:val="16"/>
          <w:szCs w:val="16"/>
        </w:rPr>
        <w:t xml:space="preserve"> 68, December 31, 2011.</w:t>
      </w:r>
    </w:p>
  </w:footnote>
  <w:footnote w:id="82">
    <w:p w14:paraId="0B125C07" w14:textId="77777777" w:rsidR="00B56F13" w:rsidRPr="004D677E" w:rsidRDefault="00B56F13" w:rsidP="004D677E">
      <w:pPr>
        <w:pStyle w:val="FootnoteText"/>
        <w:jc w:val="both"/>
      </w:pPr>
      <w:r w:rsidRPr="004D677E">
        <w:rPr>
          <w:rStyle w:val="FootnoteReference"/>
          <w:rFonts w:asciiTheme="majorHAnsi" w:hAnsiTheme="majorHAnsi"/>
          <w:color w:val="auto"/>
          <w:sz w:val="16"/>
          <w:szCs w:val="16"/>
        </w:rPr>
        <w:footnoteRef/>
      </w:r>
      <w:r w:rsidRPr="004D677E">
        <w:rPr>
          <w:rStyle w:val="FootnoteReference"/>
          <w:rFonts w:asciiTheme="majorHAnsi" w:hAnsiTheme="majorHAnsi"/>
          <w:color w:val="auto"/>
          <w:sz w:val="16"/>
          <w:szCs w:val="16"/>
        </w:rPr>
        <w:t xml:space="preserve"> </w:t>
      </w:r>
      <w:r>
        <w:rPr>
          <w:rFonts w:asciiTheme="majorHAnsi" w:hAnsiTheme="majorHAnsi"/>
          <w:color w:val="auto"/>
          <w:sz w:val="16"/>
          <w:szCs w:val="16"/>
        </w:rPr>
        <w:t>See in this regard, IACHR, The death penalty in the Inter-American Human Rights System: From restrictions to abolition, OEA/</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w:t>
      </w:r>
      <w:proofErr w:type="gramStart"/>
      <w:r>
        <w:rPr>
          <w:rFonts w:asciiTheme="majorHAnsi" w:hAnsiTheme="majorHAnsi"/>
          <w:color w:val="auto"/>
          <w:sz w:val="16"/>
          <w:szCs w:val="16"/>
        </w:rPr>
        <w:t>II.Doc</w:t>
      </w:r>
      <w:proofErr w:type="gramEnd"/>
      <w:r>
        <w:rPr>
          <w:rFonts w:asciiTheme="majorHAnsi" w:hAnsiTheme="majorHAnsi"/>
          <w:color w:val="auto"/>
          <w:sz w:val="16"/>
          <w:szCs w:val="16"/>
        </w:rPr>
        <w:t xml:space="preserve"> 68, December 31, 2011.</w:t>
      </w:r>
    </w:p>
  </w:footnote>
  <w:footnote w:id="83">
    <w:p w14:paraId="5A613336" w14:textId="77777777" w:rsidR="00B56F13" w:rsidRDefault="00B56F13" w:rsidP="009266DD">
      <w:pPr>
        <w:pStyle w:val="FootnoteText"/>
        <w:jc w:val="both"/>
        <w:rPr>
          <w:rFonts w:asciiTheme="majorHAnsi" w:hAnsiTheme="majorHAnsi"/>
          <w:color w:val="auto"/>
          <w:sz w:val="16"/>
          <w:szCs w:val="16"/>
          <w:bdr w:val="none" w:sz="0" w:space="0" w:color="auto"/>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See in this regard, IACHR, The death penalty in the Inter-American Human Rights System: From restrictions to abolition, OEA/</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w:t>
      </w:r>
      <w:proofErr w:type="gramStart"/>
      <w:r>
        <w:rPr>
          <w:rFonts w:asciiTheme="majorHAnsi" w:hAnsiTheme="majorHAnsi"/>
          <w:color w:val="auto"/>
          <w:sz w:val="16"/>
          <w:szCs w:val="16"/>
        </w:rPr>
        <w:t>II.Doc</w:t>
      </w:r>
      <w:proofErr w:type="gramEnd"/>
      <w:r>
        <w:rPr>
          <w:rFonts w:asciiTheme="majorHAnsi" w:hAnsiTheme="majorHAnsi"/>
          <w:color w:val="auto"/>
          <w:sz w:val="16"/>
          <w:szCs w:val="16"/>
        </w:rPr>
        <w:t xml:space="preserve">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C17C" w14:textId="77777777" w:rsidR="00B56F13" w:rsidRDefault="00B56F13"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3A9614" w14:textId="77777777" w:rsidR="00B56F13" w:rsidRDefault="00B5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3A3B" w14:textId="77777777" w:rsidR="00B56F13" w:rsidRDefault="00B56F13" w:rsidP="002C1641">
    <w:pPr>
      <w:pStyle w:val="Header"/>
      <w:tabs>
        <w:tab w:val="clear" w:pos="4320"/>
        <w:tab w:val="clear" w:pos="8640"/>
      </w:tabs>
      <w:jc w:val="center"/>
      <w:rPr>
        <w:sz w:val="22"/>
        <w:szCs w:val="22"/>
      </w:rPr>
    </w:pPr>
    <w:r>
      <w:rPr>
        <w:noProof/>
        <w:sz w:val="22"/>
        <w:szCs w:val="22"/>
      </w:rPr>
      <w:drawing>
        <wp:inline distT="0" distB="0" distL="0" distR="0" wp14:anchorId="437A2532" wp14:editId="3FF1C0FC">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03EEA9C" w14:textId="77777777" w:rsidR="00B56F13" w:rsidRPr="00EC7D62" w:rsidRDefault="00AB074C" w:rsidP="002C1641">
    <w:pPr>
      <w:pStyle w:val="Header"/>
      <w:tabs>
        <w:tab w:val="clear" w:pos="4320"/>
        <w:tab w:val="clear" w:pos="8640"/>
      </w:tabs>
      <w:jc w:val="center"/>
      <w:rPr>
        <w:sz w:val="22"/>
        <w:szCs w:val="22"/>
      </w:rPr>
    </w:pPr>
    <w:r>
      <w:rPr>
        <w:noProof/>
        <w:sz w:val="22"/>
        <w:szCs w:val="22"/>
        <w:bdr w:val="nil"/>
      </w:rPr>
      <w:pict w14:anchorId="31272EF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F2"/>
    <w:multiLevelType w:val="hybridMultilevel"/>
    <w:tmpl w:val="C1CE9A78"/>
    <w:lvl w:ilvl="0" w:tplc="E2F464E2">
      <w:start w:val="2"/>
      <w:numFmt w:val="lowerLetter"/>
      <w:lvlText w:val="%1."/>
      <w:lvlJc w:val="left"/>
      <w:pPr>
        <w:ind w:left="1440" w:hanging="360"/>
      </w:pPr>
      <w:rPr>
        <w:rFonts w:eastAsia="Cambria" w:cs="Cambria"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FD4803"/>
    <w:multiLevelType w:val="hybridMultilevel"/>
    <w:tmpl w:val="A628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D11E66"/>
    <w:multiLevelType w:val="hybridMultilevel"/>
    <w:tmpl w:val="57C45A76"/>
    <w:lvl w:ilvl="0" w:tplc="8340CF68">
      <w:start w:val="2"/>
      <w:numFmt w:val="lowerLetter"/>
      <w:lvlText w:val="%1."/>
      <w:lvlJc w:val="left"/>
      <w:pPr>
        <w:ind w:left="2160" w:hanging="360"/>
      </w:pPr>
      <w:rPr>
        <w:rFonts w:eastAsia="Cambria" w:cs="Cambria"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C37724"/>
    <w:multiLevelType w:val="hybridMultilevel"/>
    <w:tmpl w:val="F32A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413084"/>
    <w:multiLevelType w:val="hybridMultilevel"/>
    <w:tmpl w:val="9BC431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5DD54DE"/>
    <w:multiLevelType w:val="hybridMultilevel"/>
    <w:tmpl w:val="ABCA0364"/>
    <w:lvl w:ilvl="0" w:tplc="6B2E41CE">
      <w:start w:val="1"/>
      <w:numFmt w:val="decimal"/>
      <w:lvlText w:val="%1."/>
      <w:lvlJc w:val="left"/>
      <w:pPr>
        <w:tabs>
          <w:tab w:val="num" w:pos="1500"/>
        </w:tabs>
        <w:ind w:left="1500"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7" w15:restartNumberingAfterBreak="0">
    <w:nsid w:val="5A681F10"/>
    <w:multiLevelType w:val="hybridMultilevel"/>
    <w:tmpl w:val="AFA00BC6"/>
    <w:lvl w:ilvl="0" w:tplc="26C22C96">
      <w:start w:val="1"/>
      <w:numFmt w:val="decimal"/>
      <w:lvlText w:val="%1."/>
      <w:lvlJc w:val="left"/>
      <w:pPr>
        <w:ind w:left="1425" w:hanging="705"/>
      </w:pPr>
      <w:rPr>
        <w:rFonts w:hint="default"/>
        <w:sz w:val="20"/>
        <w:szCs w:val="20"/>
      </w:rPr>
    </w:lvl>
    <w:lvl w:ilvl="1" w:tplc="DEA60E0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4F312FC"/>
    <w:multiLevelType w:val="hybridMultilevel"/>
    <w:tmpl w:val="45125288"/>
    <w:lvl w:ilvl="0" w:tplc="A3824D46">
      <w:start w:val="1"/>
      <w:numFmt w:val="decimal"/>
      <w:lvlText w:val="%1."/>
      <w:lvlJc w:val="left"/>
      <w:pPr>
        <w:ind w:left="360" w:hanging="360"/>
      </w:pPr>
      <w:rPr>
        <w:rFonts w:asciiTheme="minorHAnsi" w:hAnsiTheme="minorHAnsi" w:hint="default"/>
        <w:b w:val="0"/>
        <w:color w:val="808080" w:themeColor="background1" w:themeShade="80"/>
        <w:sz w:val="22"/>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73A8A9E"/>
    <w:lvl w:ilvl="0" w:tplc="69020C3E">
      <w:start w:val="1"/>
      <w:numFmt w:val="upperRoman"/>
      <w:pStyle w:val="Heading1"/>
      <w:lvlText w:val="%1."/>
      <w:lvlJc w:val="left"/>
      <w:pPr>
        <w:ind w:left="180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0B5D47"/>
    <w:multiLevelType w:val="hybridMultilevel"/>
    <w:tmpl w:val="9404D1E2"/>
    <w:lvl w:ilvl="0" w:tplc="CD2A5A04">
      <w:start w:val="3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471F5F"/>
    <w:multiLevelType w:val="hybridMultilevel"/>
    <w:tmpl w:val="BF3A8F5E"/>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45554A"/>
    <w:multiLevelType w:val="hybridMultilevel"/>
    <w:tmpl w:val="446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3"/>
  </w:num>
  <w:num w:numId="4">
    <w:abstractNumId w:val="22"/>
  </w:num>
  <w:num w:numId="5">
    <w:abstractNumId w:val="53"/>
  </w:num>
  <w:num w:numId="6">
    <w:abstractNumId w:val="27"/>
  </w:num>
  <w:num w:numId="7">
    <w:abstractNumId w:val="7"/>
  </w:num>
  <w:num w:numId="8">
    <w:abstractNumId w:val="18"/>
  </w:num>
  <w:num w:numId="9">
    <w:abstractNumId w:val="45"/>
  </w:num>
  <w:num w:numId="10">
    <w:abstractNumId w:val="1"/>
  </w:num>
  <w:num w:numId="11">
    <w:abstractNumId w:val="37"/>
  </w:num>
  <w:num w:numId="12">
    <w:abstractNumId w:val="38"/>
  </w:num>
  <w:num w:numId="13">
    <w:abstractNumId w:val="48"/>
  </w:num>
  <w:num w:numId="14">
    <w:abstractNumId w:val="2"/>
  </w:num>
  <w:num w:numId="15">
    <w:abstractNumId w:val="3"/>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51"/>
  </w:num>
  <w:num w:numId="42">
    <w:abstractNumId w:val="55"/>
  </w:num>
  <w:num w:numId="43">
    <w:abstractNumId w:val="56"/>
  </w:num>
  <w:num w:numId="44">
    <w:abstractNumId w:val="60"/>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21"/>
  </w:num>
  <w:num w:numId="52">
    <w:abstractNumId w:val="41"/>
  </w:num>
  <w:num w:numId="53">
    <w:abstractNumId w:val="57"/>
  </w:num>
  <w:num w:numId="54">
    <w:abstractNumId w:val="49"/>
  </w:num>
  <w:num w:numId="55">
    <w:abstractNumId w:val="50"/>
  </w:num>
  <w:num w:numId="56">
    <w:abstractNumId w:val="54"/>
  </w:num>
  <w:num w:numId="57">
    <w:abstractNumId w:val="43"/>
  </w:num>
  <w:num w:numId="58">
    <w:abstractNumId w:val="61"/>
  </w:num>
  <w:num w:numId="59">
    <w:abstractNumId w:val="59"/>
    <w:lvlOverride w:ilvl="0">
      <w:startOverride w:val="1"/>
    </w:lvlOverride>
  </w:num>
  <w:num w:numId="60">
    <w:abstractNumId w:val="59"/>
  </w:num>
  <w:num w:numId="61">
    <w:abstractNumId w:val="42"/>
  </w:num>
  <w:num w:numId="62">
    <w:abstractNumId w:val="44"/>
  </w:num>
  <w:num w:numId="63">
    <w:abstractNumId w:val="47"/>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36"/>
  </w:num>
  <w:num w:numId="67">
    <w:abstractNumId w:val="52"/>
  </w:num>
  <w:num w:numId="68">
    <w:abstractNumId w:val="6"/>
  </w:num>
  <w:num w:numId="69">
    <w:abstractNumId w:val="58"/>
  </w:num>
  <w:num w:numId="70">
    <w:abstractNumId w:val="47"/>
  </w:num>
  <w:num w:numId="71">
    <w:abstractNumId w:val="0"/>
  </w:num>
  <w:num w:numId="72">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3AC1"/>
    <w:rsid w:val="00003EC6"/>
    <w:rsid w:val="00004013"/>
    <w:rsid w:val="000050CC"/>
    <w:rsid w:val="00006693"/>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C65"/>
    <w:rsid w:val="00012E4F"/>
    <w:rsid w:val="00013BDD"/>
    <w:rsid w:val="00013F78"/>
    <w:rsid w:val="00014FBC"/>
    <w:rsid w:val="00015472"/>
    <w:rsid w:val="00015F42"/>
    <w:rsid w:val="000169CA"/>
    <w:rsid w:val="00016B44"/>
    <w:rsid w:val="00017552"/>
    <w:rsid w:val="0001788C"/>
    <w:rsid w:val="00021201"/>
    <w:rsid w:val="00021557"/>
    <w:rsid w:val="00022424"/>
    <w:rsid w:val="00022F55"/>
    <w:rsid w:val="0002357A"/>
    <w:rsid w:val="00024428"/>
    <w:rsid w:val="00024730"/>
    <w:rsid w:val="00024BB7"/>
    <w:rsid w:val="00025D98"/>
    <w:rsid w:val="000265CB"/>
    <w:rsid w:val="0002681D"/>
    <w:rsid w:val="00027675"/>
    <w:rsid w:val="0003022F"/>
    <w:rsid w:val="00030834"/>
    <w:rsid w:val="00031189"/>
    <w:rsid w:val="00031A82"/>
    <w:rsid w:val="0003262C"/>
    <w:rsid w:val="00032BDA"/>
    <w:rsid w:val="0003324D"/>
    <w:rsid w:val="000332F4"/>
    <w:rsid w:val="000338F3"/>
    <w:rsid w:val="00035616"/>
    <w:rsid w:val="00036A8A"/>
    <w:rsid w:val="00037633"/>
    <w:rsid w:val="000378D5"/>
    <w:rsid w:val="00040A05"/>
    <w:rsid w:val="00040C3A"/>
    <w:rsid w:val="000414D2"/>
    <w:rsid w:val="000427EE"/>
    <w:rsid w:val="00042A17"/>
    <w:rsid w:val="0004390C"/>
    <w:rsid w:val="00044C4E"/>
    <w:rsid w:val="00045601"/>
    <w:rsid w:val="000459E0"/>
    <w:rsid w:val="0004681B"/>
    <w:rsid w:val="00046D40"/>
    <w:rsid w:val="0004761C"/>
    <w:rsid w:val="00047DA5"/>
    <w:rsid w:val="00047F35"/>
    <w:rsid w:val="000516F4"/>
    <w:rsid w:val="000517B2"/>
    <w:rsid w:val="00051DB2"/>
    <w:rsid w:val="00051EB4"/>
    <w:rsid w:val="000520FB"/>
    <w:rsid w:val="00052C1E"/>
    <w:rsid w:val="00052D20"/>
    <w:rsid w:val="00053172"/>
    <w:rsid w:val="00054E1B"/>
    <w:rsid w:val="000550C0"/>
    <w:rsid w:val="000552C7"/>
    <w:rsid w:val="000564E1"/>
    <w:rsid w:val="00056C0E"/>
    <w:rsid w:val="0005705F"/>
    <w:rsid w:val="000576AA"/>
    <w:rsid w:val="00057D4F"/>
    <w:rsid w:val="00057EDB"/>
    <w:rsid w:val="0006036E"/>
    <w:rsid w:val="00060666"/>
    <w:rsid w:val="0006097A"/>
    <w:rsid w:val="0006100F"/>
    <w:rsid w:val="00062269"/>
    <w:rsid w:val="00062C0F"/>
    <w:rsid w:val="00062FEC"/>
    <w:rsid w:val="000630E1"/>
    <w:rsid w:val="000639C0"/>
    <w:rsid w:val="000657E1"/>
    <w:rsid w:val="00065FBA"/>
    <w:rsid w:val="00066108"/>
    <w:rsid w:val="00066378"/>
    <w:rsid w:val="000679BC"/>
    <w:rsid w:val="00070187"/>
    <w:rsid w:val="00070B9D"/>
    <w:rsid w:val="00070F3A"/>
    <w:rsid w:val="0007127E"/>
    <w:rsid w:val="000716C5"/>
    <w:rsid w:val="00071A9D"/>
    <w:rsid w:val="00071E45"/>
    <w:rsid w:val="000728CA"/>
    <w:rsid w:val="00072B03"/>
    <w:rsid w:val="00074669"/>
    <w:rsid w:val="00074893"/>
    <w:rsid w:val="000756B4"/>
    <w:rsid w:val="00075E23"/>
    <w:rsid w:val="00075E4E"/>
    <w:rsid w:val="000764E3"/>
    <w:rsid w:val="0007716F"/>
    <w:rsid w:val="00077A87"/>
    <w:rsid w:val="00080249"/>
    <w:rsid w:val="00080357"/>
    <w:rsid w:val="00081EC3"/>
    <w:rsid w:val="000823DA"/>
    <w:rsid w:val="00082CBB"/>
    <w:rsid w:val="000830D5"/>
    <w:rsid w:val="0008366A"/>
    <w:rsid w:val="00083BF4"/>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5A0A"/>
    <w:rsid w:val="000966E9"/>
    <w:rsid w:val="000973C5"/>
    <w:rsid w:val="000A0948"/>
    <w:rsid w:val="000A0BA7"/>
    <w:rsid w:val="000A0EF3"/>
    <w:rsid w:val="000A16DB"/>
    <w:rsid w:val="000A1E84"/>
    <w:rsid w:val="000A2085"/>
    <w:rsid w:val="000A254B"/>
    <w:rsid w:val="000A25B1"/>
    <w:rsid w:val="000A3276"/>
    <w:rsid w:val="000A393C"/>
    <w:rsid w:val="000A3E84"/>
    <w:rsid w:val="000A4138"/>
    <w:rsid w:val="000A4DDD"/>
    <w:rsid w:val="000A5152"/>
    <w:rsid w:val="000A51D4"/>
    <w:rsid w:val="000A5214"/>
    <w:rsid w:val="000A575F"/>
    <w:rsid w:val="000A584B"/>
    <w:rsid w:val="000A5B0F"/>
    <w:rsid w:val="000A62C0"/>
    <w:rsid w:val="000A650D"/>
    <w:rsid w:val="000A68B6"/>
    <w:rsid w:val="000A6C50"/>
    <w:rsid w:val="000A76B0"/>
    <w:rsid w:val="000A7A76"/>
    <w:rsid w:val="000A7DBA"/>
    <w:rsid w:val="000A7FB8"/>
    <w:rsid w:val="000B040F"/>
    <w:rsid w:val="000B06AC"/>
    <w:rsid w:val="000B094A"/>
    <w:rsid w:val="000B0C30"/>
    <w:rsid w:val="000B25B8"/>
    <w:rsid w:val="000B25FC"/>
    <w:rsid w:val="000B276D"/>
    <w:rsid w:val="000B2EF7"/>
    <w:rsid w:val="000B39B4"/>
    <w:rsid w:val="000B418A"/>
    <w:rsid w:val="000B478D"/>
    <w:rsid w:val="000B4DAF"/>
    <w:rsid w:val="000B4EAA"/>
    <w:rsid w:val="000B50C3"/>
    <w:rsid w:val="000C0092"/>
    <w:rsid w:val="000C0149"/>
    <w:rsid w:val="000C04CF"/>
    <w:rsid w:val="000C1094"/>
    <w:rsid w:val="000C1B5A"/>
    <w:rsid w:val="000C1C2F"/>
    <w:rsid w:val="000C1E67"/>
    <w:rsid w:val="000C24CD"/>
    <w:rsid w:val="000C2C82"/>
    <w:rsid w:val="000C45C3"/>
    <w:rsid w:val="000C5219"/>
    <w:rsid w:val="000C556C"/>
    <w:rsid w:val="000C5DEE"/>
    <w:rsid w:val="000C6FFD"/>
    <w:rsid w:val="000C7F55"/>
    <w:rsid w:val="000D0BD2"/>
    <w:rsid w:val="000D10DB"/>
    <w:rsid w:val="000D1FC7"/>
    <w:rsid w:val="000D3921"/>
    <w:rsid w:val="000D3B27"/>
    <w:rsid w:val="000D43E0"/>
    <w:rsid w:val="000D5691"/>
    <w:rsid w:val="000D600D"/>
    <w:rsid w:val="000D6817"/>
    <w:rsid w:val="000D68F4"/>
    <w:rsid w:val="000D6EEF"/>
    <w:rsid w:val="000E0392"/>
    <w:rsid w:val="000E07F7"/>
    <w:rsid w:val="000E0F8F"/>
    <w:rsid w:val="000E1356"/>
    <w:rsid w:val="000E24D2"/>
    <w:rsid w:val="000E3937"/>
    <w:rsid w:val="000E44C7"/>
    <w:rsid w:val="000E56C3"/>
    <w:rsid w:val="000E69B3"/>
    <w:rsid w:val="000E6A5E"/>
    <w:rsid w:val="000E6EDD"/>
    <w:rsid w:val="000E7140"/>
    <w:rsid w:val="000E7636"/>
    <w:rsid w:val="000E7ED0"/>
    <w:rsid w:val="000E7F69"/>
    <w:rsid w:val="000F0A25"/>
    <w:rsid w:val="000F0EEC"/>
    <w:rsid w:val="000F4547"/>
    <w:rsid w:val="000F4D36"/>
    <w:rsid w:val="000F51DA"/>
    <w:rsid w:val="000F5D64"/>
    <w:rsid w:val="000F7409"/>
    <w:rsid w:val="00100FB7"/>
    <w:rsid w:val="00101553"/>
    <w:rsid w:val="00101C44"/>
    <w:rsid w:val="001024E3"/>
    <w:rsid w:val="001025B1"/>
    <w:rsid w:val="00102742"/>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10DA"/>
    <w:rsid w:val="00112617"/>
    <w:rsid w:val="001126EB"/>
    <w:rsid w:val="001128E0"/>
    <w:rsid w:val="00113149"/>
    <w:rsid w:val="001131EC"/>
    <w:rsid w:val="00113ACF"/>
    <w:rsid w:val="001142FE"/>
    <w:rsid w:val="00114527"/>
    <w:rsid w:val="00115009"/>
    <w:rsid w:val="00115CB1"/>
    <w:rsid w:val="001171CF"/>
    <w:rsid w:val="00122709"/>
    <w:rsid w:val="00122DF4"/>
    <w:rsid w:val="00122F98"/>
    <w:rsid w:val="00123ECD"/>
    <w:rsid w:val="00125D3B"/>
    <w:rsid w:val="0012610A"/>
    <w:rsid w:val="001267FB"/>
    <w:rsid w:val="00126BC6"/>
    <w:rsid w:val="00126F3B"/>
    <w:rsid w:val="00130A27"/>
    <w:rsid w:val="00130DE9"/>
    <w:rsid w:val="00131042"/>
    <w:rsid w:val="0013104F"/>
    <w:rsid w:val="0013178F"/>
    <w:rsid w:val="00131B01"/>
    <w:rsid w:val="00131B9D"/>
    <w:rsid w:val="00132821"/>
    <w:rsid w:val="00133465"/>
    <w:rsid w:val="0013403C"/>
    <w:rsid w:val="00134FD9"/>
    <w:rsid w:val="00134FF0"/>
    <w:rsid w:val="00135217"/>
    <w:rsid w:val="001357AD"/>
    <w:rsid w:val="001365B6"/>
    <w:rsid w:val="00136CB7"/>
    <w:rsid w:val="00137EBA"/>
    <w:rsid w:val="00140380"/>
    <w:rsid w:val="0014051C"/>
    <w:rsid w:val="00140921"/>
    <w:rsid w:val="00141DEA"/>
    <w:rsid w:val="00142AE8"/>
    <w:rsid w:val="00142FA1"/>
    <w:rsid w:val="00143E4B"/>
    <w:rsid w:val="00143EB9"/>
    <w:rsid w:val="0014445A"/>
    <w:rsid w:val="00145EDC"/>
    <w:rsid w:val="00145F99"/>
    <w:rsid w:val="001467E2"/>
    <w:rsid w:val="00146E18"/>
    <w:rsid w:val="00147723"/>
    <w:rsid w:val="00147DC5"/>
    <w:rsid w:val="001503E0"/>
    <w:rsid w:val="00150DD0"/>
    <w:rsid w:val="00152085"/>
    <w:rsid w:val="00152829"/>
    <w:rsid w:val="00152944"/>
    <w:rsid w:val="0015335C"/>
    <w:rsid w:val="00154179"/>
    <w:rsid w:val="0015592F"/>
    <w:rsid w:val="00155EEE"/>
    <w:rsid w:val="00155F1D"/>
    <w:rsid w:val="00157341"/>
    <w:rsid w:val="0015753F"/>
    <w:rsid w:val="001577B2"/>
    <w:rsid w:val="00157A9F"/>
    <w:rsid w:val="00157CE4"/>
    <w:rsid w:val="001600A4"/>
    <w:rsid w:val="001603B5"/>
    <w:rsid w:val="0016108B"/>
    <w:rsid w:val="00161150"/>
    <w:rsid w:val="00162778"/>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B8"/>
    <w:rsid w:val="001710D1"/>
    <w:rsid w:val="00171725"/>
    <w:rsid w:val="0017269A"/>
    <w:rsid w:val="00172A98"/>
    <w:rsid w:val="001733D5"/>
    <w:rsid w:val="0017348C"/>
    <w:rsid w:val="001739DA"/>
    <w:rsid w:val="001739F5"/>
    <w:rsid w:val="001747B4"/>
    <w:rsid w:val="00174911"/>
    <w:rsid w:val="00174F72"/>
    <w:rsid w:val="00175827"/>
    <w:rsid w:val="0017642E"/>
    <w:rsid w:val="00180064"/>
    <w:rsid w:val="0018009D"/>
    <w:rsid w:val="0018037F"/>
    <w:rsid w:val="001805B4"/>
    <w:rsid w:val="00180D3C"/>
    <w:rsid w:val="00180E3B"/>
    <w:rsid w:val="001819A8"/>
    <w:rsid w:val="00182F27"/>
    <w:rsid w:val="001836BA"/>
    <w:rsid w:val="00184083"/>
    <w:rsid w:val="00184C6F"/>
    <w:rsid w:val="00187268"/>
    <w:rsid w:val="00190214"/>
    <w:rsid w:val="00190E99"/>
    <w:rsid w:val="00190F48"/>
    <w:rsid w:val="0019136D"/>
    <w:rsid w:val="001913E1"/>
    <w:rsid w:val="001917D9"/>
    <w:rsid w:val="00192A1E"/>
    <w:rsid w:val="00192FD4"/>
    <w:rsid w:val="0019332D"/>
    <w:rsid w:val="001937A5"/>
    <w:rsid w:val="001940F0"/>
    <w:rsid w:val="00196280"/>
    <w:rsid w:val="001965CC"/>
    <w:rsid w:val="001970F2"/>
    <w:rsid w:val="0019748D"/>
    <w:rsid w:val="001A013D"/>
    <w:rsid w:val="001A0782"/>
    <w:rsid w:val="001A0B42"/>
    <w:rsid w:val="001A1B32"/>
    <w:rsid w:val="001A2434"/>
    <w:rsid w:val="001A39CF"/>
    <w:rsid w:val="001A4221"/>
    <w:rsid w:val="001A5577"/>
    <w:rsid w:val="001A5F27"/>
    <w:rsid w:val="001A6423"/>
    <w:rsid w:val="001A64EB"/>
    <w:rsid w:val="001A7439"/>
    <w:rsid w:val="001A7870"/>
    <w:rsid w:val="001A7D5B"/>
    <w:rsid w:val="001A7EDC"/>
    <w:rsid w:val="001B17B9"/>
    <w:rsid w:val="001B2FCD"/>
    <w:rsid w:val="001B3279"/>
    <w:rsid w:val="001B413D"/>
    <w:rsid w:val="001B4593"/>
    <w:rsid w:val="001B4974"/>
    <w:rsid w:val="001B4E52"/>
    <w:rsid w:val="001B532B"/>
    <w:rsid w:val="001B56BC"/>
    <w:rsid w:val="001B5F45"/>
    <w:rsid w:val="001B60FE"/>
    <w:rsid w:val="001B658D"/>
    <w:rsid w:val="001B77F0"/>
    <w:rsid w:val="001B7BA1"/>
    <w:rsid w:val="001C04BF"/>
    <w:rsid w:val="001C0710"/>
    <w:rsid w:val="001C1B41"/>
    <w:rsid w:val="001C2003"/>
    <w:rsid w:val="001C2173"/>
    <w:rsid w:val="001C217B"/>
    <w:rsid w:val="001C2F45"/>
    <w:rsid w:val="001C3032"/>
    <w:rsid w:val="001C311D"/>
    <w:rsid w:val="001C38BC"/>
    <w:rsid w:val="001C3B2D"/>
    <w:rsid w:val="001C3FE4"/>
    <w:rsid w:val="001C4006"/>
    <w:rsid w:val="001C460D"/>
    <w:rsid w:val="001C48AF"/>
    <w:rsid w:val="001C4ADD"/>
    <w:rsid w:val="001C50DC"/>
    <w:rsid w:val="001C6025"/>
    <w:rsid w:val="001C68E7"/>
    <w:rsid w:val="001C6E0E"/>
    <w:rsid w:val="001C6F52"/>
    <w:rsid w:val="001D02D5"/>
    <w:rsid w:val="001D1343"/>
    <w:rsid w:val="001D1A17"/>
    <w:rsid w:val="001D1FC1"/>
    <w:rsid w:val="001D3218"/>
    <w:rsid w:val="001D41F3"/>
    <w:rsid w:val="001D42A6"/>
    <w:rsid w:val="001D4D75"/>
    <w:rsid w:val="001D59B1"/>
    <w:rsid w:val="001D5FB5"/>
    <w:rsid w:val="001D5FE4"/>
    <w:rsid w:val="001D652F"/>
    <w:rsid w:val="001D6707"/>
    <w:rsid w:val="001D6BA1"/>
    <w:rsid w:val="001D75F2"/>
    <w:rsid w:val="001D7B45"/>
    <w:rsid w:val="001D7F76"/>
    <w:rsid w:val="001E0270"/>
    <w:rsid w:val="001E0808"/>
    <w:rsid w:val="001E1061"/>
    <w:rsid w:val="001E10CA"/>
    <w:rsid w:val="001E22F2"/>
    <w:rsid w:val="001E2867"/>
    <w:rsid w:val="001E3030"/>
    <w:rsid w:val="001E3060"/>
    <w:rsid w:val="001E31D4"/>
    <w:rsid w:val="001E3F3E"/>
    <w:rsid w:val="001E477E"/>
    <w:rsid w:val="001E4D7D"/>
    <w:rsid w:val="001E53FB"/>
    <w:rsid w:val="001E59A9"/>
    <w:rsid w:val="001E5A1A"/>
    <w:rsid w:val="001E5F04"/>
    <w:rsid w:val="001E699E"/>
    <w:rsid w:val="001E6C37"/>
    <w:rsid w:val="001F094C"/>
    <w:rsid w:val="001F0B72"/>
    <w:rsid w:val="001F3B00"/>
    <w:rsid w:val="001F4A4B"/>
    <w:rsid w:val="001F4DB8"/>
    <w:rsid w:val="001F5427"/>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626"/>
    <w:rsid w:val="00210E0E"/>
    <w:rsid w:val="00211891"/>
    <w:rsid w:val="00211F3B"/>
    <w:rsid w:val="00213A2F"/>
    <w:rsid w:val="00214962"/>
    <w:rsid w:val="0021591D"/>
    <w:rsid w:val="00215CE2"/>
    <w:rsid w:val="002179AD"/>
    <w:rsid w:val="00217D6A"/>
    <w:rsid w:val="00220F56"/>
    <w:rsid w:val="0022169F"/>
    <w:rsid w:val="00221704"/>
    <w:rsid w:val="002218FD"/>
    <w:rsid w:val="00222050"/>
    <w:rsid w:val="00222647"/>
    <w:rsid w:val="002226AA"/>
    <w:rsid w:val="00223245"/>
    <w:rsid w:val="002237F3"/>
    <w:rsid w:val="00224AA7"/>
    <w:rsid w:val="00224CA5"/>
    <w:rsid w:val="00224E5F"/>
    <w:rsid w:val="00225375"/>
    <w:rsid w:val="002256AE"/>
    <w:rsid w:val="002277C3"/>
    <w:rsid w:val="0023061B"/>
    <w:rsid w:val="00231242"/>
    <w:rsid w:val="00231CD1"/>
    <w:rsid w:val="00232A3C"/>
    <w:rsid w:val="00233353"/>
    <w:rsid w:val="00233CCA"/>
    <w:rsid w:val="00234C31"/>
    <w:rsid w:val="002351E7"/>
    <w:rsid w:val="002368C5"/>
    <w:rsid w:val="00236FA5"/>
    <w:rsid w:val="0024070A"/>
    <w:rsid w:val="00241B9E"/>
    <w:rsid w:val="00241F98"/>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11C"/>
    <w:rsid w:val="0025755D"/>
    <w:rsid w:val="00257893"/>
    <w:rsid w:val="00260C70"/>
    <w:rsid w:val="0026109F"/>
    <w:rsid w:val="0026124E"/>
    <w:rsid w:val="0026154C"/>
    <w:rsid w:val="00261C06"/>
    <w:rsid w:val="002626A2"/>
    <w:rsid w:val="002626F5"/>
    <w:rsid w:val="00262ECA"/>
    <w:rsid w:val="00263B2B"/>
    <w:rsid w:val="00263BC9"/>
    <w:rsid w:val="00264033"/>
    <w:rsid w:val="00264870"/>
    <w:rsid w:val="00264944"/>
    <w:rsid w:val="00265BAE"/>
    <w:rsid w:val="00266092"/>
    <w:rsid w:val="00266B61"/>
    <w:rsid w:val="0026712A"/>
    <w:rsid w:val="00267891"/>
    <w:rsid w:val="00267EF0"/>
    <w:rsid w:val="0027004C"/>
    <w:rsid w:val="002701A7"/>
    <w:rsid w:val="002704DB"/>
    <w:rsid w:val="002704E0"/>
    <w:rsid w:val="002706E4"/>
    <w:rsid w:val="00270C7A"/>
    <w:rsid w:val="00271104"/>
    <w:rsid w:val="00271175"/>
    <w:rsid w:val="00272596"/>
    <w:rsid w:val="00272854"/>
    <w:rsid w:val="00272A02"/>
    <w:rsid w:val="00272DEF"/>
    <w:rsid w:val="00272F7D"/>
    <w:rsid w:val="00273032"/>
    <w:rsid w:val="002730F6"/>
    <w:rsid w:val="00274F86"/>
    <w:rsid w:val="00275FC9"/>
    <w:rsid w:val="0027671E"/>
    <w:rsid w:val="00276C31"/>
    <w:rsid w:val="002772E3"/>
    <w:rsid w:val="002809AC"/>
    <w:rsid w:val="0028111A"/>
    <w:rsid w:val="00283909"/>
    <w:rsid w:val="0028392E"/>
    <w:rsid w:val="00284173"/>
    <w:rsid w:val="00284C09"/>
    <w:rsid w:val="00284E86"/>
    <w:rsid w:val="002869C6"/>
    <w:rsid w:val="00287642"/>
    <w:rsid w:val="00287B22"/>
    <w:rsid w:val="00290094"/>
    <w:rsid w:val="00291C7D"/>
    <w:rsid w:val="00292239"/>
    <w:rsid w:val="00292CEC"/>
    <w:rsid w:val="0029397E"/>
    <w:rsid w:val="00293AEB"/>
    <w:rsid w:val="00293B75"/>
    <w:rsid w:val="0029466E"/>
    <w:rsid w:val="00294727"/>
    <w:rsid w:val="00294B4A"/>
    <w:rsid w:val="00294FA9"/>
    <w:rsid w:val="0029523E"/>
    <w:rsid w:val="002955D3"/>
    <w:rsid w:val="002957D7"/>
    <w:rsid w:val="00295C76"/>
    <w:rsid w:val="0029615A"/>
    <w:rsid w:val="002963E4"/>
    <w:rsid w:val="00296BE8"/>
    <w:rsid w:val="00296EC2"/>
    <w:rsid w:val="0029715B"/>
    <w:rsid w:val="00297288"/>
    <w:rsid w:val="0029754B"/>
    <w:rsid w:val="00297630"/>
    <w:rsid w:val="002A00C2"/>
    <w:rsid w:val="002A036F"/>
    <w:rsid w:val="002A05B1"/>
    <w:rsid w:val="002A1564"/>
    <w:rsid w:val="002A1C6E"/>
    <w:rsid w:val="002A1D6A"/>
    <w:rsid w:val="002A1EF3"/>
    <w:rsid w:val="002A24D4"/>
    <w:rsid w:val="002A2593"/>
    <w:rsid w:val="002A2720"/>
    <w:rsid w:val="002A3CD5"/>
    <w:rsid w:val="002A5150"/>
    <w:rsid w:val="002A555A"/>
    <w:rsid w:val="002A733A"/>
    <w:rsid w:val="002A7A01"/>
    <w:rsid w:val="002B008D"/>
    <w:rsid w:val="002B0374"/>
    <w:rsid w:val="002B0BE7"/>
    <w:rsid w:val="002B0C15"/>
    <w:rsid w:val="002B110C"/>
    <w:rsid w:val="002B1184"/>
    <w:rsid w:val="002B1D55"/>
    <w:rsid w:val="002B2AB5"/>
    <w:rsid w:val="002B30E6"/>
    <w:rsid w:val="002B3A2B"/>
    <w:rsid w:val="002B3CCF"/>
    <w:rsid w:val="002B4417"/>
    <w:rsid w:val="002B4B61"/>
    <w:rsid w:val="002B5794"/>
    <w:rsid w:val="002B5AF9"/>
    <w:rsid w:val="002B5F8A"/>
    <w:rsid w:val="002B67D0"/>
    <w:rsid w:val="002B7448"/>
    <w:rsid w:val="002C0B64"/>
    <w:rsid w:val="002C10D7"/>
    <w:rsid w:val="002C1641"/>
    <w:rsid w:val="002C1EB3"/>
    <w:rsid w:val="002C1F13"/>
    <w:rsid w:val="002C2769"/>
    <w:rsid w:val="002C2792"/>
    <w:rsid w:val="002C3312"/>
    <w:rsid w:val="002C3671"/>
    <w:rsid w:val="002C37C7"/>
    <w:rsid w:val="002C3D66"/>
    <w:rsid w:val="002C4070"/>
    <w:rsid w:val="002C58D2"/>
    <w:rsid w:val="002C5A89"/>
    <w:rsid w:val="002C5BCE"/>
    <w:rsid w:val="002C5EC4"/>
    <w:rsid w:val="002C6C33"/>
    <w:rsid w:val="002D033F"/>
    <w:rsid w:val="002D064D"/>
    <w:rsid w:val="002D0D0D"/>
    <w:rsid w:val="002D12CF"/>
    <w:rsid w:val="002D1B85"/>
    <w:rsid w:val="002D1CFA"/>
    <w:rsid w:val="002D33B3"/>
    <w:rsid w:val="002D40D8"/>
    <w:rsid w:val="002D45C2"/>
    <w:rsid w:val="002D4CA0"/>
    <w:rsid w:val="002D5514"/>
    <w:rsid w:val="002D5A05"/>
    <w:rsid w:val="002D5D4E"/>
    <w:rsid w:val="002D622C"/>
    <w:rsid w:val="002D628F"/>
    <w:rsid w:val="002D6E69"/>
    <w:rsid w:val="002D7DC4"/>
    <w:rsid w:val="002D7EA2"/>
    <w:rsid w:val="002E03A4"/>
    <w:rsid w:val="002E10CD"/>
    <w:rsid w:val="002E10DC"/>
    <w:rsid w:val="002E15DF"/>
    <w:rsid w:val="002E16E8"/>
    <w:rsid w:val="002E187C"/>
    <w:rsid w:val="002E18E3"/>
    <w:rsid w:val="002E1CDE"/>
    <w:rsid w:val="002E1F0B"/>
    <w:rsid w:val="002E349E"/>
    <w:rsid w:val="002E35D7"/>
    <w:rsid w:val="002E3921"/>
    <w:rsid w:val="002E3C15"/>
    <w:rsid w:val="002E432F"/>
    <w:rsid w:val="002E4F0A"/>
    <w:rsid w:val="002E5A58"/>
    <w:rsid w:val="002E61E7"/>
    <w:rsid w:val="002E620F"/>
    <w:rsid w:val="002E6267"/>
    <w:rsid w:val="002E6663"/>
    <w:rsid w:val="002E6B47"/>
    <w:rsid w:val="002E6E57"/>
    <w:rsid w:val="002E755E"/>
    <w:rsid w:val="002E78C1"/>
    <w:rsid w:val="002E7E79"/>
    <w:rsid w:val="002F023D"/>
    <w:rsid w:val="002F097A"/>
    <w:rsid w:val="002F12A8"/>
    <w:rsid w:val="002F17C9"/>
    <w:rsid w:val="002F1B00"/>
    <w:rsid w:val="002F1B4A"/>
    <w:rsid w:val="002F2358"/>
    <w:rsid w:val="002F2D41"/>
    <w:rsid w:val="002F2FCB"/>
    <w:rsid w:val="002F3202"/>
    <w:rsid w:val="002F3554"/>
    <w:rsid w:val="002F3598"/>
    <w:rsid w:val="002F35CB"/>
    <w:rsid w:val="002F3D27"/>
    <w:rsid w:val="002F414B"/>
    <w:rsid w:val="002F443F"/>
    <w:rsid w:val="002F4FE5"/>
    <w:rsid w:val="002F503E"/>
    <w:rsid w:val="002F5668"/>
    <w:rsid w:val="002F5686"/>
    <w:rsid w:val="002F5941"/>
    <w:rsid w:val="002F5E45"/>
    <w:rsid w:val="002F6201"/>
    <w:rsid w:val="002F63D9"/>
    <w:rsid w:val="002F6504"/>
    <w:rsid w:val="002F6C1E"/>
    <w:rsid w:val="002F6ECD"/>
    <w:rsid w:val="002F7B0F"/>
    <w:rsid w:val="00300F38"/>
    <w:rsid w:val="00301075"/>
    <w:rsid w:val="00301B3D"/>
    <w:rsid w:val="00301F71"/>
    <w:rsid w:val="00302733"/>
    <w:rsid w:val="00303352"/>
    <w:rsid w:val="003035DD"/>
    <w:rsid w:val="00303B04"/>
    <w:rsid w:val="00304182"/>
    <w:rsid w:val="0030446B"/>
    <w:rsid w:val="003045FF"/>
    <w:rsid w:val="00304EED"/>
    <w:rsid w:val="003058E3"/>
    <w:rsid w:val="0030600F"/>
    <w:rsid w:val="00306012"/>
    <w:rsid w:val="00306C30"/>
    <w:rsid w:val="00306D2A"/>
    <w:rsid w:val="003070EA"/>
    <w:rsid w:val="00307577"/>
    <w:rsid w:val="00307C8D"/>
    <w:rsid w:val="00307DF7"/>
    <w:rsid w:val="003112C6"/>
    <w:rsid w:val="00311A4F"/>
    <w:rsid w:val="00313332"/>
    <w:rsid w:val="00313519"/>
    <w:rsid w:val="00314078"/>
    <w:rsid w:val="00315905"/>
    <w:rsid w:val="00316026"/>
    <w:rsid w:val="00316559"/>
    <w:rsid w:val="003169FA"/>
    <w:rsid w:val="0031724D"/>
    <w:rsid w:val="00317255"/>
    <w:rsid w:val="00317E8A"/>
    <w:rsid w:val="00317FC6"/>
    <w:rsid w:val="00320402"/>
    <w:rsid w:val="00320A3A"/>
    <w:rsid w:val="00320A64"/>
    <w:rsid w:val="00320D26"/>
    <w:rsid w:val="003215F2"/>
    <w:rsid w:val="003218DF"/>
    <w:rsid w:val="00321A96"/>
    <w:rsid w:val="00322398"/>
    <w:rsid w:val="00322450"/>
    <w:rsid w:val="003241CF"/>
    <w:rsid w:val="00324590"/>
    <w:rsid w:val="003245A7"/>
    <w:rsid w:val="003246B5"/>
    <w:rsid w:val="00324882"/>
    <w:rsid w:val="003249CF"/>
    <w:rsid w:val="003267B5"/>
    <w:rsid w:val="00327501"/>
    <w:rsid w:val="00327AC5"/>
    <w:rsid w:val="00330196"/>
    <w:rsid w:val="0033054B"/>
    <w:rsid w:val="00330E0E"/>
    <w:rsid w:val="0033161A"/>
    <w:rsid w:val="00331687"/>
    <w:rsid w:val="0033169F"/>
    <w:rsid w:val="00331F29"/>
    <w:rsid w:val="00332152"/>
    <w:rsid w:val="003326C2"/>
    <w:rsid w:val="00332A4D"/>
    <w:rsid w:val="003330D2"/>
    <w:rsid w:val="00333FDB"/>
    <w:rsid w:val="003343F1"/>
    <w:rsid w:val="0033591F"/>
    <w:rsid w:val="00336085"/>
    <w:rsid w:val="00337546"/>
    <w:rsid w:val="003378E0"/>
    <w:rsid w:val="00337961"/>
    <w:rsid w:val="00337C43"/>
    <w:rsid w:val="003407E0"/>
    <w:rsid w:val="00340A95"/>
    <w:rsid w:val="003410A6"/>
    <w:rsid w:val="003414AC"/>
    <w:rsid w:val="003414E6"/>
    <w:rsid w:val="00341F71"/>
    <w:rsid w:val="00342070"/>
    <w:rsid w:val="003423B6"/>
    <w:rsid w:val="00342FA8"/>
    <w:rsid w:val="003447BB"/>
    <w:rsid w:val="003447DA"/>
    <w:rsid w:val="00344B38"/>
    <w:rsid w:val="0034569F"/>
    <w:rsid w:val="003464E3"/>
    <w:rsid w:val="00346D16"/>
    <w:rsid w:val="00347742"/>
    <w:rsid w:val="00351655"/>
    <w:rsid w:val="00351CDF"/>
    <w:rsid w:val="003520F3"/>
    <w:rsid w:val="0035485A"/>
    <w:rsid w:val="00355079"/>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59F2"/>
    <w:rsid w:val="00365C45"/>
    <w:rsid w:val="00365D52"/>
    <w:rsid w:val="00366182"/>
    <w:rsid w:val="00366DBE"/>
    <w:rsid w:val="00367444"/>
    <w:rsid w:val="003675B8"/>
    <w:rsid w:val="003676F1"/>
    <w:rsid w:val="0036775E"/>
    <w:rsid w:val="00367EDD"/>
    <w:rsid w:val="00370DD4"/>
    <w:rsid w:val="003712A0"/>
    <w:rsid w:val="003712A7"/>
    <w:rsid w:val="00371EFD"/>
    <w:rsid w:val="003729BF"/>
    <w:rsid w:val="00372AD5"/>
    <w:rsid w:val="00372B13"/>
    <w:rsid w:val="00372F8E"/>
    <w:rsid w:val="00373790"/>
    <w:rsid w:val="003741EF"/>
    <w:rsid w:val="003745F9"/>
    <w:rsid w:val="00374940"/>
    <w:rsid w:val="003750C8"/>
    <w:rsid w:val="003752A9"/>
    <w:rsid w:val="003759D2"/>
    <w:rsid w:val="00375D88"/>
    <w:rsid w:val="00376244"/>
    <w:rsid w:val="00376462"/>
    <w:rsid w:val="00376CCB"/>
    <w:rsid w:val="00377AD8"/>
    <w:rsid w:val="00380645"/>
    <w:rsid w:val="00380831"/>
    <w:rsid w:val="00380A1D"/>
    <w:rsid w:val="00380B68"/>
    <w:rsid w:val="00380ECF"/>
    <w:rsid w:val="00382073"/>
    <w:rsid w:val="0038209A"/>
    <w:rsid w:val="00382598"/>
    <w:rsid w:val="0038262B"/>
    <w:rsid w:val="00382CE7"/>
    <w:rsid w:val="003832D9"/>
    <w:rsid w:val="0038330F"/>
    <w:rsid w:val="00384072"/>
    <w:rsid w:val="0038421B"/>
    <w:rsid w:val="00384BAF"/>
    <w:rsid w:val="0038559B"/>
    <w:rsid w:val="00385B08"/>
    <w:rsid w:val="00386CF0"/>
    <w:rsid w:val="00386FEA"/>
    <w:rsid w:val="00387CF0"/>
    <w:rsid w:val="003902B2"/>
    <w:rsid w:val="00390397"/>
    <w:rsid w:val="0039061F"/>
    <w:rsid w:val="00390D19"/>
    <w:rsid w:val="00391056"/>
    <w:rsid w:val="00391B88"/>
    <w:rsid w:val="00391CD8"/>
    <w:rsid w:val="00393C8E"/>
    <w:rsid w:val="00394608"/>
    <w:rsid w:val="0039471C"/>
    <w:rsid w:val="00394A5D"/>
    <w:rsid w:val="00395D14"/>
    <w:rsid w:val="00396106"/>
    <w:rsid w:val="003964BF"/>
    <w:rsid w:val="003A110C"/>
    <w:rsid w:val="003A187E"/>
    <w:rsid w:val="003A18F4"/>
    <w:rsid w:val="003A1AE3"/>
    <w:rsid w:val="003A27F4"/>
    <w:rsid w:val="003A2DC1"/>
    <w:rsid w:val="003A33F8"/>
    <w:rsid w:val="003A348D"/>
    <w:rsid w:val="003A3C43"/>
    <w:rsid w:val="003A430F"/>
    <w:rsid w:val="003A4337"/>
    <w:rsid w:val="003A4790"/>
    <w:rsid w:val="003A485E"/>
    <w:rsid w:val="003A4B42"/>
    <w:rsid w:val="003A527A"/>
    <w:rsid w:val="003A54CE"/>
    <w:rsid w:val="003A5CAF"/>
    <w:rsid w:val="003A5E9B"/>
    <w:rsid w:val="003A6019"/>
    <w:rsid w:val="003A620A"/>
    <w:rsid w:val="003A632E"/>
    <w:rsid w:val="003A7118"/>
    <w:rsid w:val="003A71F1"/>
    <w:rsid w:val="003A7BFE"/>
    <w:rsid w:val="003B1BD7"/>
    <w:rsid w:val="003B1D61"/>
    <w:rsid w:val="003B27EA"/>
    <w:rsid w:val="003B2C86"/>
    <w:rsid w:val="003B349D"/>
    <w:rsid w:val="003B3E94"/>
    <w:rsid w:val="003B4DEB"/>
    <w:rsid w:val="003B5191"/>
    <w:rsid w:val="003B5C8C"/>
    <w:rsid w:val="003B63A0"/>
    <w:rsid w:val="003B640E"/>
    <w:rsid w:val="003B6423"/>
    <w:rsid w:val="003B66DC"/>
    <w:rsid w:val="003B6950"/>
    <w:rsid w:val="003C21BD"/>
    <w:rsid w:val="003C269F"/>
    <w:rsid w:val="003C32BC"/>
    <w:rsid w:val="003C3722"/>
    <w:rsid w:val="003C49F4"/>
    <w:rsid w:val="003C4BC0"/>
    <w:rsid w:val="003C4F69"/>
    <w:rsid w:val="003C54AD"/>
    <w:rsid w:val="003C6480"/>
    <w:rsid w:val="003C7061"/>
    <w:rsid w:val="003C75F3"/>
    <w:rsid w:val="003C79A9"/>
    <w:rsid w:val="003D007D"/>
    <w:rsid w:val="003D0C05"/>
    <w:rsid w:val="003D0D3E"/>
    <w:rsid w:val="003D1E49"/>
    <w:rsid w:val="003D2871"/>
    <w:rsid w:val="003D2C7F"/>
    <w:rsid w:val="003D3279"/>
    <w:rsid w:val="003D33D6"/>
    <w:rsid w:val="003D3435"/>
    <w:rsid w:val="003D3507"/>
    <w:rsid w:val="003D372C"/>
    <w:rsid w:val="003D3CAC"/>
    <w:rsid w:val="003D3E1C"/>
    <w:rsid w:val="003D40A7"/>
    <w:rsid w:val="003D45DE"/>
    <w:rsid w:val="003D4A67"/>
    <w:rsid w:val="003D51A2"/>
    <w:rsid w:val="003D5A38"/>
    <w:rsid w:val="003D5C6C"/>
    <w:rsid w:val="003D5CD7"/>
    <w:rsid w:val="003D5F18"/>
    <w:rsid w:val="003D79BC"/>
    <w:rsid w:val="003E06A3"/>
    <w:rsid w:val="003E0852"/>
    <w:rsid w:val="003E1231"/>
    <w:rsid w:val="003E14B0"/>
    <w:rsid w:val="003E1FEC"/>
    <w:rsid w:val="003E2564"/>
    <w:rsid w:val="003E2DFE"/>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1230"/>
    <w:rsid w:val="003F19D4"/>
    <w:rsid w:val="003F1BBF"/>
    <w:rsid w:val="003F2D46"/>
    <w:rsid w:val="003F572E"/>
    <w:rsid w:val="003F57C9"/>
    <w:rsid w:val="003F6707"/>
    <w:rsid w:val="003F7001"/>
    <w:rsid w:val="003F7161"/>
    <w:rsid w:val="00400C14"/>
    <w:rsid w:val="00400E6B"/>
    <w:rsid w:val="00400EA4"/>
    <w:rsid w:val="00400FF0"/>
    <w:rsid w:val="004010E9"/>
    <w:rsid w:val="0040128B"/>
    <w:rsid w:val="004022E4"/>
    <w:rsid w:val="00404333"/>
    <w:rsid w:val="00404A51"/>
    <w:rsid w:val="00404EFC"/>
    <w:rsid w:val="00404F22"/>
    <w:rsid w:val="00405991"/>
    <w:rsid w:val="00405F19"/>
    <w:rsid w:val="00406721"/>
    <w:rsid w:val="00406CB6"/>
    <w:rsid w:val="0040735D"/>
    <w:rsid w:val="0040759C"/>
    <w:rsid w:val="00407F3D"/>
    <w:rsid w:val="004106DD"/>
    <w:rsid w:val="00410925"/>
    <w:rsid w:val="00410F58"/>
    <w:rsid w:val="0041204B"/>
    <w:rsid w:val="004122AE"/>
    <w:rsid w:val="00412AF2"/>
    <w:rsid w:val="00413779"/>
    <w:rsid w:val="0041384F"/>
    <w:rsid w:val="00413B37"/>
    <w:rsid w:val="004142F6"/>
    <w:rsid w:val="00414A54"/>
    <w:rsid w:val="00414D3F"/>
    <w:rsid w:val="00415929"/>
    <w:rsid w:val="00415BAE"/>
    <w:rsid w:val="00416443"/>
    <w:rsid w:val="004165C2"/>
    <w:rsid w:val="00416614"/>
    <w:rsid w:val="00416AD8"/>
    <w:rsid w:val="00416BC5"/>
    <w:rsid w:val="00417263"/>
    <w:rsid w:val="00417356"/>
    <w:rsid w:val="0041797E"/>
    <w:rsid w:val="00420486"/>
    <w:rsid w:val="00421966"/>
    <w:rsid w:val="00421D29"/>
    <w:rsid w:val="00422536"/>
    <w:rsid w:val="00423909"/>
    <w:rsid w:val="00423E69"/>
    <w:rsid w:val="004262BB"/>
    <w:rsid w:val="004264FA"/>
    <w:rsid w:val="00426A93"/>
    <w:rsid w:val="00426DB7"/>
    <w:rsid w:val="00427406"/>
    <w:rsid w:val="0042749C"/>
    <w:rsid w:val="00427737"/>
    <w:rsid w:val="00430052"/>
    <w:rsid w:val="0043073C"/>
    <w:rsid w:val="00431AAA"/>
    <w:rsid w:val="00432731"/>
    <w:rsid w:val="004332C3"/>
    <w:rsid w:val="004334A4"/>
    <w:rsid w:val="004343C8"/>
    <w:rsid w:val="004359E6"/>
    <w:rsid w:val="00436C66"/>
    <w:rsid w:val="004375C9"/>
    <w:rsid w:val="00437A98"/>
    <w:rsid w:val="004400CE"/>
    <w:rsid w:val="00440CD9"/>
    <w:rsid w:val="00440DB6"/>
    <w:rsid w:val="00440E90"/>
    <w:rsid w:val="004413C0"/>
    <w:rsid w:val="00441D48"/>
    <w:rsid w:val="00443C71"/>
    <w:rsid w:val="00444596"/>
    <w:rsid w:val="00445C74"/>
    <w:rsid w:val="0044650B"/>
    <w:rsid w:val="004467BD"/>
    <w:rsid w:val="00446B98"/>
    <w:rsid w:val="00446F15"/>
    <w:rsid w:val="0044706E"/>
    <w:rsid w:val="00447468"/>
    <w:rsid w:val="00447B8F"/>
    <w:rsid w:val="00447CE2"/>
    <w:rsid w:val="00450A4A"/>
    <w:rsid w:val="00450D96"/>
    <w:rsid w:val="00453466"/>
    <w:rsid w:val="00454345"/>
    <w:rsid w:val="00454492"/>
    <w:rsid w:val="0045481D"/>
    <w:rsid w:val="00455165"/>
    <w:rsid w:val="0045524E"/>
    <w:rsid w:val="00456CCD"/>
    <w:rsid w:val="00456D70"/>
    <w:rsid w:val="00456FF9"/>
    <w:rsid w:val="00457228"/>
    <w:rsid w:val="00457974"/>
    <w:rsid w:val="00457B89"/>
    <w:rsid w:val="0046041C"/>
    <w:rsid w:val="004606C0"/>
    <w:rsid w:val="0046072C"/>
    <w:rsid w:val="00461E19"/>
    <w:rsid w:val="0046208F"/>
    <w:rsid w:val="00462248"/>
    <w:rsid w:val="00462781"/>
    <w:rsid w:val="00462F9A"/>
    <w:rsid w:val="004642EF"/>
    <w:rsid w:val="0046488C"/>
    <w:rsid w:val="0046574C"/>
    <w:rsid w:val="004662B0"/>
    <w:rsid w:val="004666FB"/>
    <w:rsid w:val="00466F19"/>
    <w:rsid w:val="00467542"/>
    <w:rsid w:val="00467B7E"/>
    <w:rsid w:val="00467CF1"/>
    <w:rsid w:val="0047006D"/>
    <w:rsid w:val="004702E9"/>
    <w:rsid w:val="004703D5"/>
    <w:rsid w:val="004715B7"/>
    <w:rsid w:val="00471BC8"/>
    <w:rsid w:val="00471ED1"/>
    <w:rsid w:val="00472B0E"/>
    <w:rsid w:val="004730AF"/>
    <w:rsid w:val="00473197"/>
    <w:rsid w:val="00475C62"/>
    <w:rsid w:val="00476B10"/>
    <w:rsid w:val="00477BE3"/>
    <w:rsid w:val="00477D29"/>
    <w:rsid w:val="00477E53"/>
    <w:rsid w:val="00480B24"/>
    <w:rsid w:val="004810B3"/>
    <w:rsid w:val="0048119E"/>
    <w:rsid w:val="004817BD"/>
    <w:rsid w:val="00481C1F"/>
    <w:rsid w:val="00482208"/>
    <w:rsid w:val="00482528"/>
    <w:rsid w:val="00482644"/>
    <w:rsid w:val="00483146"/>
    <w:rsid w:val="00483668"/>
    <w:rsid w:val="00483697"/>
    <w:rsid w:val="00483801"/>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3"/>
    <w:rsid w:val="0049749D"/>
    <w:rsid w:val="004977D3"/>
    <w:rsid w:val="00497AA2"/>
    <w:rsid w:val="00497D68"/>
    <w:rsid w:val="004A0977"/>
    <w:rsid w:val="004A1588"/>
    <w:rsid w:val="004A17A5"/>
    <w:rsid w:val="004A1B3A"/>
    <w:rsid w:val="004A1B66"/>
    <w:rsid w:val="004A1EEA"/>
    <w:rsid w:val="004A2B9D"/>
    <w:rsid w:val="004A37A5"/>
    <w:rsid w:val="004A3806"/>
    <w:rsid w:val="004A38DF"/>
    <w:rsid w:val="004A3921"/>
    <w:rsid w:val="004A3DC4"/>
    <w:rsid w:val="004A423C"/>
    <w:rsid w:val="004A4400"/>
    <w:rsid w:val="004A4A3E"/>
    <w:rsid w:val="004A4DB0"/>
    <w:rsid w:val="004A514F"/>
    <w:rsid w:val="004A53E7"/>
    <w:rsid w:val="004A5614"/>
    <w:rsid w:val="004A5A1D"/>
    <w:rsid w:val="004A5E29"/>
    <w:rsid w:val="004A6298"/>
    <w:rsid w:val="004A6629"/>
    <w:rsid w:val="004B0A49"/>
    <w:rsid w:val="004B23FB"/>
    <w:rsid w:val="004B2429"/>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505"/>
    <w:rsid w:val="004C599D"/>
    <w:rsid w:val="004C68B8"/>
    <w:rsid w:val="004C7257"/>
    <w:rsid w:val="004C758F"/>
    <w:rsid w:val="004C77DC"/>
    <w:rsid w:val="004C7B18"/>
    <w:rsid w:val="004C7EE2"/>
    <w:rsid w:val="004D0229"/>
    <w:rsid w:val="004D15C2"/>
    <w:rsid w:val="004D26F5"/>
    <w:rsid w:val="004D37B1"/>
    <w:rsid w:val="004D46A5"/>
    <w:rsid w:val="004D4782"/>
    <w:rsid w:val="004D4A62"/>
    <w:rsid w:val="004D4A6A"/>
    <w:rsid w:val="004D4D1B"/>
    <w:rsid w:val="004D4E01"/>
    <w:rsid w:val="004D5FA1"/>
    <w:rsid w:val="004D6025"/>
    <w:rsid w:val="004D61E8"/>
    <w:rsid w:val="004D657F"/>
    <w:rsid w:val="004D677E"/>
    <w:rsid w:val="004D6A97"/>
    <w:rsid w:val="004D72BC"/>
    <w:rsid w:val="004D78B4"/>
    <w:rsid w:val="004E021C"/>
    <w:rsid w:val="004E13F5"/>
    <w:rsid w:val="004E2452"/>
    <w:rsid w:val="004E2FE2"/>
    <w:rsid w:val="004E3879"/>
    <w:rsid w:val="004E3A16"/>
    <w:rsid w:val="004E4761"/>
    <w:rsid w:val="004E4C6B"/>
    <w:rsid w:val="004E662D"/>
    <w:rsid w:val="004E6C9C"/>
    <w:rsid w:val="004F04A5"/>
    <w:rsid w:val="004F0842"/>
    <w:rsid w:val="004F0E48"/>
    <w:rsid w:val="004F15C4"/>
    <w:rsid w:val="004F16E8"/>
    <w:rsid w:val="004F173D"/>
    <w:rsid w:val="004F1DAD"/>
    <w:rsid w:val="004F2694"/>
    <w:rsid w:val="004F2FC4"/>
    <w:rsid w:val="004F302F"/>
    <w:rsid w:val="004F37CA"/>
    <w:rsid w:val="004F3905"/>
    <w:rsid w:val="004F441A"/>
    <w:rsid w:val="004F4C1C"/>
    <w:rsid w:val="004F530D"/>
    <w:rsid w:val="004F5466"/>
    <w:rsid w:val="004F5EE6"/>
    <w:rsid w:val="004F65A8"/>
    <w:rsid w:val="004F6949"/>
    <w:rsid w:val="004F69EA"/>
    <w:rsid w:val="004F69ED"/>
    <w:rsid w:val="004F6D1E"/>
    <w:rsid w:val="004F7707"/>
    <w:rsid w:val="005008C7"/>
    <w:rsid w:val="00501399"/>
    <w:rsid w:val="00501CF1"/>
    <w:rsid w:val="00501D6B"/>
    <w:rsid w:val="00501DFB"/>
    <w:rsid w:val="00502E35"/>
    <w:rsid w:val="00503391"/>
    <w:rsid w:val="00503C4C"/>
    <w:rsid w:val="0050536C"/>
    <w:rsid w:val="00505B63"/>
    <w:rsid w:val="005066A4"/>
    <w:rsid w:val="005068B0"/>
    <w:rsid w:val="00507534"/>
    <w:rsid w:val="00507B5A"/>
    <w:rsid w:val="00507BC4"/>
    <w:rsid w:val="00507C24"/>
    <w:rsid w:val="00510142"/>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560"/>
    <w:rsid w:val="00525C32"/>
    <w:rsid w:val="00525F05"/>
    <w:rsid w:val="00526204"/>
    <w:rsid w:val="00526492"/>
    <w:rsid w:val="005267AC"/>
    <w:rsid w:val="00526EF8"/>
    <w:rsid w:val="0052719A"/>
    <w:rsid w:val="00527461"/>
    <w:rsid w:val="00527E0A"/>
    <w:rsid w:val="00530295"/>
    <w:rsid w:val="00530B2B"/>
    <w:rsid w:val="00531008"/>
    <w:rsid w:val="0053134C"/>
    <w:rsid w:val="005313DA"/>
    <w:rsid w:val="00531517"/>
    <w:rsid w:val="0053187E"/>
    <w:rsid w:val="005325F6"/>
    <w:rsid w:val="005343C0"/>
    <w:rsid w:val="005346E1"/>
    <w:rsid w:val="00535135"/>
    <w:rsid w:val="005357A6"/>
    <w:rsid w:val="0053592E"/>
    <w:rsid w:val="00535D22"/>
    <w:rsid w:val="00535FF9"/>
    <w:rsid w:val="005366E5"/>
    <w:rsid w:val="005367D0"/>
    <w:rsid w:val="00536848"/>
    <w:rsid w:val="005369AE"/>
    <w:rsid w:val="00536ADF"/>
    <w:rsid w:val="00536B9E"/>
    <w:rsid w:val="005401F2"/>
    <w:rsid w:val="00540AEC"/>
    <w:rsid w:val="00540DC8"/>
    <w:rsid w:val="00541B01"/>
    <w:rsid w:val="005422EF"/>
    <w:rsid w:val="00542375"/>
    <w:rsid w:val="005430A6"/>
    <w:rsid w:val="00543705"/>
    <w:rsid w:val="005439C3"/>
    <w:rsid w:val="00544C49"/>
    <w:rsid w:val="0054561F"/>
    <w:rsid w:val="005456B2"/>
    <w:rsid w:val="005458F3"/>
    <w:rsid w:val="0054591A"/>
    <w:rsid w:val="00546C7A"/>
    <w:rsid w:val="00547EB7"/>
    <w:rsid w:val="00550141"/>
    <w:rsid w:val="00550FAA"/>
    <w:rsid w:val="0055160C"/>
    <w:rsid w:val="005531BB"/>
    <w:rsid w:val="00553A04"/>
    <w:rsid w:val="00553EC6"/>
    <w:rsid w:val="00554BAB"/>
    <w:rsid w:val="00555492"/>
    <w:rsid w:val="005557F2"/>
    <w:rsid w:val="00555A6E"/>
    <w:rsid w:val="00555C6B"/>
    <w:rsid w:val="00555E95"/>
    <w:rsid w:val="0055667E"/>
    <w:rsid w:val="00557C07"/>
    <w:rsid w:val="00560563"/>
    <w:rsid w:val="00560F51"/>
    <w:rsid w:val="00562460"/>
    <w:rsid w:val="005627FD"/>
    <w:rsid w:val="00562E4A"/>
    <w:rsid w:val="00563167"/>
    <w:rsid w:val="00563314"/>
    <w:rsid w:val="005633E7"/>
    <w:rsid w:val="00563F04"/>
    <w:rsid w:val="0056432A"/>
    <w:rsid w:val="005656C4"/>
    <w:rsid w:val="00565B4B"/>
    <w:rsid w:val="00565C1A"/>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6ECB"/>
    <w:rsid w:val="005771D0"/>
    <w:rsid w:val="00577B42"/>
    <w:rsid w:val="0058022B"/>
    <w:rsid w:val="00580EE0"/>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234D"/>
    <w:rsid w:val="0059318E"/>
    <w:rsid w:val="005937E2"/>
    <w:rsid w:val="005946FF"/>
    <w:rsid w:val="00594CE1"/>
    <w:rsid w:val="00595766"/>
    <w:rsid w:val="00596514"/>
    <w:rsid w:val="0059670F"/>
    <w:rsid w:val="00596ABE"/>
    <w:rsid w:val="00596AD3"/>
    <w:rsid w:val="00596B97"/>
    <w:rsid w:val="00596EFF"/>
    <w:rsid w:val="00596F42"/>
    <w:rsid w:val="00597162"/>
    <w:rsid w:val="0059770B"/>
    <w:rsid w:val="00597C8A"/>
    <w:rsid w:val="005A01B6"/>
    <w:rsid w:val="005A0410"/>
    <w:rsid w:val="005A0B5A"/>
    <w:rsid w:val="005A10C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F9"/>
    <w:rsid w:val="005C05FA"/>
    <w:rsid w:val="005C0994"/>
    <w:rsid w:val="005C164F"/>
    <w:rsid w:val="005C1853"/>
    <w:rsid w:val="005C1A8D"/>
    <w:rsid w:val="005C1D8E"/>
    <w:rsid w:val="005C1EA5"/>
    <w:rsid w:val="005C207A"/>
    <w:rsid w:val="005C23BD"/>
    <w:rsid w:val="005C2B10"/>
    <w:rsid w:val="005C2BA2"/>
    <w:rsid w:val="005C2E02"/>
    <w:rsid w:val="005C3149"/>
    <w:rsid w:val="005C34BB"/>
    <w:rsid w:val="005C3944"/>
    <w:rsid w:val="005C3DAB"/>
    <w:rsid w:val="005C3E22"/>
    <w:rsid w:val="005C4011"/>
    <w:rsid w:val="005C4225"/>
    <w:rsid w:val="005C4541"/>
    <w:rsid w:val="005C456D"/>
    <w:rsid w:val="005C4AF4"/>
    <w:rsid w:val="005C5243"/>
    <w:rsid w:val="005C566A"/>
    <w:rsid w:val="005C5F93"/>
    <w:rsid w:val="005C6248"/>
    <w:rsid w:val="005C6F09"/>
    <w:rsid w:val="005D0AC5"/>
    <w:rsid w:val="005D0FBF"/>
    <w:rsid w:val="005D1076"/>
    <w:rsid w:val="005D1128"/>
    <w:rsid w:val="005D1D34"/>
    <w:rsid w:val="005D2E13"/>
    <w:rsid w:val="005D447F"/>
    <w:rsid w:val="005D489C"/>
    <w:rsid w:val="005D50AD"/>
    <w:rsid w:val="005D55A5"/>
    <w:rsid w:val="005D5A45"/>
    <w:rsid w:val="005D5C54"/>
    <w:rsid w:val="005D5DED"/>
    <w:rsid w:val="005D5FAD"/>
    <w:rsid w:val="005D6891"/>
    <w:rsid w:val="005D6A03"/>
    <w:rsid w:val="005D6AC4"/>
    <w:rsid w:val="005D6B2C"/>
    <w:rsid w:val="005D7191"/>
    <w:rsid w:val="005D7280"/>
    <w:rsid w:val="005E04BC"/>
    <w:rsid w:val="005E09BC"/>
    <w:rsid w:val="005E1D4B"/>
    <w:rsid w:val="005E2BDE"/>
    <w:rsid w:val="005E3FEB"/>
    <w:rsid w:val="005E47E8"/>
    <w:rsid w:val="005E4A95"/>
    <w:rsid w:val="005E4CF1"/>
    <w:rsid w:val="005E5196"/>
    <w:rsid w:val="005E5258"/>
    <w:rsid w:val="005E5419"/>
    <w:rsid w:val="005E61D1"/>
    <w:rsid w:val="005E6203"/>
    <w:rsid w:val="005E6C0C"/>
    <w:rsid w:val="005E6EE3"/>
    <w:rsid w:val="005E74C5"/>
    <w:rsid w:val="005E7642"/>
    <w:rsid w:val="005F0331"/>
    <w:rsid w:val="005F0F33"/>
    <w:rsid w:val="005F1C54"/>
    <w:rsid w:val="005F1F31"/>
    <w:rsid w:val="005F2A0D"/>
    <w:rsid w:val="005F32A0"/>
    <w:rsid w:val="005F3F11"/>
    <w:rsid w:val="005F5456"/>
    <w:rsid w:val="005F55DC"/>
    <w:rsid w:val="005F57C1"/>
    <w:rsid w:val="005F6871"/>
    <w:rsid w:val="005F7C35"/>
    <w:rsid w:val="0060040E"/>
    <w:rsid w:val="006005C1"/>
    <w:rsid w:val="00600A96"/>
    <w:rsid w:val="00600DEB"/>
    <w:rsid w:val="00600EE3"/>
    <w:rsid w:val="00602146"/>
    <w:rsid w:val="006021D4"/>
    <w:rsid w:val="0060270A"/>
    <w:rsid w:val="00602B9B"/>
    <w:rsid w:val="00603D6F"/>
    <w:rsid w:val="00603F56"/>
    <w:rsid w:val="006049BD"/>
    <w:rsid w:val="00604B83"/>
    <w:rsid w:val="006059FA"/>
    <w:rsid w:val="00606B40"/>
    <w:rsid w:val="00607325"/>
    <w:rsid w:val="00607F83"/>
    <w:rsid w:val="006104FA"/>
    <w:rsid w:val="006112EF"/>
    <w:rsid w:val="00612B39"/>
    <w:rsid w:val="00613027"/>
    <w:rsid w:val="00613120"/>
    <w:rsid w:val="006135F5"/>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54CD"/>
    <w:rsid w:val="006360C4"/>
    <w:rsid w:val="00636406"/>
    <w:rsid w:val="00636E0C"/>
    <w:rsid w:val="00636F4A"/>
    <w:rsid w:val="00637539"/>
    <w:rsid w:val="00637B7B"/>
    <w:rsid w:val="00637E84"/>
    <w:rsid w:val="00640173"/>
    <w:rsid w:val="0064172A"/>
    <w:rsid w:val="006418C1"/>
    <w:rsid w:val="006420B7"/>
    <w:rsid w:val="00642573"/>
    <w:rsid w:val="00642810"/>
    <w:rsid w:val="006433A9"/>
    <w:rsid w:val="00643F66"/>
    <w:rsid w:val="006458AD"/>
    <w:rsid w:val="00647033"/>
    <w:rsid w:val="0064712F"/>
    <w:rsid w:val="0064793C"/>
    <w:rsid w:val="00647C9A"/>
    <w:rsid w:val="006504D5"/>
    <w:rsid w:val="00650FA3"/>
    <w:rsid w:val="0065154E"/>
    <w:rsid w:val="006516A4"/>
    <w:rsid w:val="006516FE"/>
    <w:rsid w:val="00651D1D"/>
    <w:rsid w:val="00652333"/>
    <w:rsid w:val="00653FB1"/>
    <w:rsid w:val="006543B4"/>
    <w:rsid w:val="006549A4"/>
    <w:rsid w:val="00656085"/>
    <w:rsid w:val="00656FE7"/>
    <w:rsid w:val="0065723A"/>
    <w:rsid w:val="00657241"/>
    <w:rsid w:val="0065765B"/>
    <w:rsid w:val="006605AC"/>
    <w:rsid w:val="006609DD"/>
    <w:rsid w:val="00662F5D"/>
    <w:rsid w:val="0066333A"/>
    <w:rsid w:val="006634C1"/>
    <w:rsid w:val="006635A6"/>
    <w:rsid w:val="00663FCB"/>
    <w:rsid w:val="00664548"/>
    <w:rsid w:val="00664C08"/>
    <w:rsid w:val="00664DDE"/>
    <w:rsid w:val="0066584C"/>
    <w:rsid w:val="00665A14"/>
    <w:rsid w:val="00665FF9"/>
    <w:rsid w:val="00666382"/>
    <w:rsid w:val="006663C5"/>
    <w:rsid w:val="00666536"/>
    <w:rsid w:val="0066666B"/>
    <w:rsid w:val="00666AEF"/>
    <w:rsid w:val="006705A7"/>
    <w:rsid w:val="00670B3D"/>
    <w:rsid w:val="006712E0"/>
    <w:rsid w:val="006716B8"/>
    <w:rsid w:val="0067329C"/>
    <w:rsid w:val="00674465"/>
    <w:rsid w:val="0067472A"/>
    <w:rsid w:val="00674C6A"/>
    <w:rsid w:val="00676ED0"/>
    <w:rsid w:val="00677938"/>
    <w:rsid w:val="00677DA7"/>
    <w:rsid w:val="0068009E"/>
    <w:rsid w:val="00680A71"/>
    <w:rsid w:val="00680AC6"/>
    <w:rsid w:val="00681A6B"/>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2EE"/>
    <w:rsid w:val="00691DE4"/>
    <w:rsid w:val="0069244C"/>
    <w:rsid w:val="00692996"/>
    <w:rsid w:val="00692A55"/>
    <w:rsid w:val="00692F79"/>
    <w:rsid w:val="006951BB"/>
    <w:rsid w:val="0069578C"/>
    <w:rsid w:val="00695EAA"/>
    <w:rsid w:val="00696944"/>
    <w:rsid w:val="006972FB"/>
    <w:rsid w:val="00697B2C"/>
    <w:rsid w:val="006A0548"/>
    <w:rsid w:val="006A0F00"/>
    <w:rsid w:val="006A0F77"/>
    <w:rsid w:val="006A11FD"/>
    <w:rsid w:val="006A15B5"/>
    <w:rsid w:val="006A17D2"/>
    <w:rsid w:val="006A2490"/>
    <w:rsid w:val="006A288E"/>
    <w:rsid w:val="006A3B33"/>
    <w:rsid w:val="006A3EE1"/>
    <w:rsid w:val="006A4B8C"/>
    <w:rsid w:val="006A508B"/>
    <w:rsid w:val="006A538E"/>
    <w:rsid w:val="006A5570"/>
    <w:rsid w:val="006A58D1"/>
    <w:rsid w:val="006A6DB8"/>
    <w:rsid w:val="006A6E1A"/>
    <w:rsid w:val="006A70B4"/>
    <w:rsid w:val="006A73E6"/>
    <w:rsid w:val="006A7408"/>
    <w:rsid w:val="006A7764"/>
    <w:rsid w:val="006B00DA"/>
    <w:rsid w:val="006B0169"/>
    <w:rsid w:val="006B05D1"/>
    <w:rsid w:val="006B130C"/>
    <w:rsid w:val="006B17B3"/>
    <w:rsid w:val="006B1875"/>
    <w:rsid w:val="006B22C0"/>
    <w:rsid w:val="006B231D"/>
    <w:rsid w:val="006B248C"/>
    <w:rsid w:val="006B2623"/>
    <w:rsid w:val="006B265D"/>
    <w:rsid w:val="006B295E"/>
    <w:rsid w:val="006B2D5C"/>
    <w:rsid w:val="006B37DA"/>
    <w:rsid w:val="006B3BC7"/>
    <w:rsid w:val="006B4324"/>
    <w:rsid w:val="006B544B"/>
    <w:rsid w:val="006B5C2E"/>
    <w:rsid w:val="006B5FBA"/>
    <w:rsid w:val="006B6C00"/>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0A9A"/>
    <w:rsid w:val="006D1A3C"/>
    <w:rsid w:val="006D1D69"/>
    <w:rsid w:val="006D2C28"/>
    <w:rsid w:val="006D2CC2"/>
    <w:rsid w:val="006D2D13"/>
    <w:rsid w:val="006D4259"/>
    <w:rsid w:val="006D44D3"/>
    <w:rsid w:val="006D48BB"/>
    <w:rsid w:val="006D52FC"/>
    <w:rsid w:val="006D5D5D"/>
    <w:rsid w:val="006D6E36"/>
    <w:rsid w:val="006D6FD5"/>
    <w:rsid w:val="006D7976"/>
    <w:rsid w:val="006E00AB"/>
    <w:rsid w:val="006E0166"/>
    <w:rsid w:val="006E0DF6"/>
    <w:rsid w:val="006E0F9B"/>
    <w:rsid w:val="006E0FB2"/>
    <w:rsid w:val="006E1163"/>
    <w:rsid w:val="006E1407"/>
    <w:rsid w:val="006E18B8"/>
    <w:rsid w:val="006E2E6B"/>
    <w:rsid w:val="006E30DB"/>
    <w:rsid w:val="006E35A0"/>
    <w:rsid w:val="006E37D3"/>
    <w:rsid w:val="006E436B"/>
    <w:rsid w:val="006E4B61"/>
    <w:rsid w:val="006E4CCE"/>
    <w:rsid w:val="006E5C58"/>
    <w:rsid w:val="006E6048"/>
    <w:rsid w:val="006E67F6"/>
    <w:rsid w:val="006E6C78"/>
    <w:rsid w:val="006E6F1E"/>
    <w:rsid w:val="006E7B34"/>
    <w:rsid w:val="006E7EA4"/>
    <w:rsid w:val="006F157C"/>
    <w:rsid w:val="006F1601"/>
    <w:rsid w:val="006F1716"/>
    <w:rsid w:val="006F2580"/>
    <w:rsid w:val="006F3590"/>
    <w:rsid w:val="006F3597"/>
    <w:rsid w:val="006F374D"/>
    <w:rsid w:val="006F41F1"/>
    <w:rsid w:val="006F56CE"/>
    <w:rsid w:val="006F5723"/>
    <w:rsid w:val="006F672E"/>
    <w:rsid w:val="006F6DFD"/>
    <w:rsid w:val="006F6EE6"/>
    <w:rsid w:val="006F7488"/>
    <w:rsid w:val="0070045F"/>
    <w:rsid w:val="00700471"/>
    <w:rsid w:val="00700726"/>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E5C"/>
    <w:rsid w:val="00705FAC"/>
    <w:rsid w:val="0070603C"/>
    <w:rsid w:val="00706591"/>
    <w:rsid w:val="00706698"/>
    <w:rsid w:val="00706D7E"/>
    <w:rsid w:val="00707486"/>
    <w:rsid w:val="00707A5C"/>
    <w:rsid w:val="00707BAF"/>
    <w:rsid w:val="00707E8E"/>
    <w:rsid w:val="00710376"/>
    <w:rsid w:val="00710ED5"/>
    <w:rsid w:val="00711137"/>
    <w:rsid w:val="00711F7B"/>
    <w:rsid w:val="007140C0"/>
    <w:rsid w:val="00715928"/>
    <w:rsid w:val="00716BEC"/>
    <w:rsid w:val="00716D62"/>
    <w:rsid w:val="00717B70"/>
    <w:rsid w:val="0072003B"/>
    <w:rsid w:val="0072130B"/>
    <w:rsid w:val="00721AC2"/>
    <w:rsid w:val="00722293"/>
    <w:rsid w:val="0072287B"/>
    <w:rsid w:val="00722990"/>
    <w:rsid w:val="0072335A"/>
    <w:rsid w:val="007237C3"/>
    <w:rsid w:val="0072472F"/>
    <w:rsid w:val="007247E2"/>
    <w:rsid w:val="007258C2"/>
    <w:rsid w:val="00727D80"/>
    <w:rsid w:val="00730731"/>
    <w:rsid w:val="00731457"/>
    <w:rsid w:val="00731DA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475F5"/>
    <w:rsid w:val="00750078"/>
    <w:rsid w:val="00750568"/>
    <w:rsid w:val="00750BB6"/>
    <w:rsid w:val="00750E1A"/>
    <w:rsid w:val="007510D4"/>
    <w:rsid w:val="00751379"/>
    <w:rsid w:val="0075164B"/>
    <w:rsid w:val="00753374"/>
    <w:rsid w:val="007538FC"/>
    <w:rsid w:val="00754A2A"/>
    <w:rsid w:val="00754E95"/>
    <w:rsid w:val="00755F05"/>
    <w:rsid w:val="007561AD"/>
    <w:rsid w:val="007569B0"/>
    <w:rsid w:val="00756D00"/>
    <w:rsid w:val="007570FA"/>
    <w:rsid w:val="00757F66"/>
    <w:rsid w:val="007607C4"/>
    <w:rsid w:val="007607EC"/>
    <w:rsid w:val="007611A5"/>
    <w:rsid w:val="00761A58"/>
    <w:rsid w:val="00761FA1"/>
    <w:rsid w:val="00762A2F"/>
    <w:rsid w:val="00762CE4"/>
    <w:rsid w:val="0076368E"/>
    <w:rsid w:val="00764470"/>
    <w:rsid w:val="0076495F"/>
    <w:rsid w:val="007649AF"/>
    <w:rsid w:val="00765584"/>
    <w:rsid w:val="00765CB7"/>
    <w:rsid w:val="0076643F"/>
    <w:rsid w:val="007676F5"/>
    <w:rsid w:val="00770D4B"/>
    <w:rsid w:val="00771045"/>
    <w:rsid w:val="0077118F"/>
    <w:rsid w:val="00771205"/>
    <w:rsid w:val="00773C5A"/>
    <w:rsid w:val="00774375"/>
    <w:rsid w:val="007744CC"/>
    <w:rsid w:val="0077454A"/>
    <w:rsid w:val="00774C36"/>
    <w:rsid w:val="0077572B"/>
    <w:rsid w:val="00776561"/>
    <w:rsid w:val="007769BE"/>
    <w:rsid w:val="007771C5"/>
    <w:rsid w:val="007775C0"/>
    <w:rsid w:val="007776FF"/>
    <w:rsid w:val="0078069F"/>
    <w:rsid w:val="007809DA"/>
    <w:rsid w:val="00780BCB"/>
    <w:rsid w:val="00780ED7"/>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87D57"/>
    <w:rsid w:val="00790499"/>
    <w:rsid w:val="00791124"/>
    <w:rsid w:val="007928DA"/>
    <w:rsid w:val="00792EA6"/>
    <w:rsid w:val="00793A12"/>
    <w:rsid w:val="00794E14"/>
    <w:rsid w:val="00795940"/>
    <w:rsid w:val="00795B5E"/>
    <w:rsid w:val="00795E01"/>
    <w:rsid w:val="00796E7A"/>
    <w:rsid w:val="007977A5"/>
    <w:rsid w:val="00797AE7"/>
    <w:rsid w:val="00797B54"/>
    <w:rsid w:val="007A037E"/>
    <w:rsid w:val="007A13D7"/>
    <w:rsid w:val="007A17C8"/>
    <w:rsid w:val="007A18EB"/>
    <w:rsid w:val="007A2423"/>
    <w:rsid w:val="007A281C"/>
    <w:rsid w:val="007A2BD9"/>
    <w:rsid w:val="007A2EC7"/>
    <w:rsid w:val="007A2F70"/>
    <w:rsid w:val="007A3293"/>
    <w:rsid w:val="007A3478"/>
    <w:rsid w:val="007A4240"/>
    <w:rsid w:val="007A4760"/>
    <w:rsid w:val="007A4980"/>
    <w:rsid w:val="007A51E3"/>
    <w:rsid w:val="007A57A6"/>
    <w:rsid w:val="007A5893"/>
    <w:rsid w:val="007A636F"/>
    <w:rsid w:val="007A6474"/>
    <w:rsid w:val="007A7F31"/>
    <w:rsid w:val="007B030C"/>
    <w:rsid w:val="007B04BF"/>
    <w:rsid w:val="007B0DBB"/>
    <w:rsid w:val="007B1494"/>
    <w:rsid w:val="007B186C"/>
    <w:rsid w:val="007B19A1"/>
    <w:rsid w:val="007B19FE"/>
    <w:rsid w:val="007B1B6A"/>
    <w:rsid w:val="007B2769"/>
    <w:rsid w:val="007B3C72"/>
    <w:rsid w:val="007B430B"/>
    <w:rsid w:val="007B4826"/>
    <w:rsid w:val="007B4C00"/>
    <w:rsid w:val="007B54BA"/>
    <w:rsid w:val="007B5867"/>
    <w:rsid w:val="007B6279"/>
    <w:rsid w:val="007B6C22"/>
    <w:rsid w:val="007B6EC4"/>
    <w:rsid w:val="007B762A"/>
    <w:rsid w:val="007C0F3E"/>
    <w:rsid w:val="007C10AC"/>
    <w:rsid w:val="007C16AB"/>
    <w:rsid w:val="007C1BDE"/>
    <w:rsid w:val="007C1D74"/>
    <w:rsid w:val="007C22DF"/>
    <w:rsid w:val="007C2B7D"/>
    <w:rsid w:val="007C3334"/>
    <w:rsid w:val="007C3481"/>
    <w:rsid w:val="007C3734"/>
    <w:rsid w:val="007C4F1C"/>
    <w:rsid w:val="007C50F6"/>
    <w:rsid w:val="007C52BB"/>
    <w:rsid w:val="007C5476"/>
    <w:rsid w:val="007C58E8"/>
    <w:rsid w:val="007C6630"/>
    <w:rsid w:val="007C7402"/>
    <w:rsid w:val="007C757E"/>
    <w:rsid w:val="007C769E"/>
    <w:rsid w:val="007C798F"/>
    <w:rsid w:val="007C7AE1"/>
    <w:rsid w:val="007C7B95"/>
    <w:rsid w:val="007D0207"/>
    <w:rsid w:val="007D0309"/>
    <w:rsid w:val="007D06CB"/>
    <w:rsid w:val="007D071A"/>
    <w:rsid w:val="007D1757"/>
    <w:rsid w:val="007D278F"/>
    <w:rsid w:val="007D2B98"/>
    <w:rsid w:val="007D2FEE"/>
    <w:rsid w:val="007D362A"/>
    <w:rsid w:val="007D3E9B"/>
    <w:rsid w:val="007D4C93"/>
    <w:rsid w:val="007D4CD9"/>
    <w:rsid w:val="007D4FA5"/>
    <w:rsid w:val="007D5D0A"/>
    <w:rsid w:val="007D69AC"/>
    <w:rsid w:val="007E13CE"/>
    <w:rsid w:val="007E1856"/>
    <w:rsid w:val="007E2569"/>
    <w:rsid w:val="007E2C05"/>
    <w:rsid w:val="007E2CB3"/>
    <w:rsid w:val="007E33C3"/>
    <w:rsid w:val="007E42C4"/>
    <w:rsid w:val="007E5338"/>
    <w:rsid w:val="007E59F7"/>
    <w:rsid w:val="007E5CC7"/>
    <w:rsid w:val="007E6DAC"/>
    <w:rsid w:val="007E715E"/>
    <w:rsid w:val="007E783F"/>
    <w:rsid w:val="007F05E6"/>
    <w:rsid w:val="007F074A"/>
    <w:rsid w:val="007F094E"/>
    <w:rsid w:val="007F1641"/>
    <w:rsid w:val="007F210C"/>
    <w:rsid w:val="007F39A0"/>
    <w:rsid w:val="007F410D"/>
    <w:rsid w:val="007F4167"/>
    <w:rsid w:val="007F42BF"/>
    <w:rsid w:val="007F4652"/>
    <w:rsid w:val="007F4A54"/>
    <w:rsid w:val="007F4B82"/>
    <w:rsid w:val="007F4F2C"/>
    <w:rsid w:val="007F4FE2"/>
    <w:rsid w:val="007F6BB0"/>
    <w:rsid w:val="00800983"/>
    <w:rsid w:val="00800C25"/>
    <w:rsid w:val="00800E57"/>
    <w:rsid w:val="00800F71"/>
    <w:rsid w:val="00801A7F"/>
    <w:rsid w:val="00801B96"/>
    <w:rsid w:val="00801C7F"/>
    <w:rsid w:val="0080230B"/>
    <w:rsid w:val="0080231F"/>
    <w:rsid w:val="00802A23"/>
    <w:rsid w:val="0080393B"/>
    <w:rsid w:val="00803F1C"/>
    <w:rsid w:val="00804D7B"/>
    <w:rsid w:val="0080600E"/>
    <w:rsid w:val="0080677A"/>
    <w:rsid w:val="0081181A"/>
    <w:rsid w:val="00812C8D"/>
    <w:rsid w:val="00812EAF"/>
    <w:rsid w:val="0081365E"/>
    <w:rsid w:val="008150B2"/>
    <w:rsid w:val="00816E06"/>
    <w:rsid w:val="00817612"/>
    <w:rsid w:val="00817884"/>
    <w:rsid w:val="00817967"/>
    <w:rsid w:val="00817D2F"/>
    <w:rsid w:val="008204AE"/>
    <w:rsid w:val="00820D73"/>
    <w:rsid w:val="008215C0"/>
    <w:rsid w:val="008218A2"/>
    <w:rsid w:val="008222EC"/>
    <w:rsid w:val="00823A91"/>
    <w:rsid w:val="008245AD"/>
    <w:rsid w:val="00824ACC"/>
    <w:rsid w:val="00824B62"/>
    <w:rsid w:val="00825876"/>
    <w:rsid w:val="00825952"/>
    <w:rsid w:val="00825B7F"/>
    <w:rsid w:val="00827DB7"/>
    <w:rsid w:val="0083055F"/>
    <w:rsid w:val="00830E88"/>
    <w:rsid w:val="00830FDA"/>
    <w:rsid w:val="008315C5"/>
    <w:rsid w:val="008316A7"/>
    <w:rsid w:val="00831D65"/>
    <w:rsid w:val="008341F9"/>
    <w:rsid w:val="00835A28"/>
    <w:rsid w:val="00835F5A"/>
    <w:rsid w:val="0083716D"/>
    <w:rsid w:val="008373B6"/>
    <w:rsid w:val="0083797A"/>
    <w:rsid w:val="00837C45"/>
    <w:rsid w:val="00837EDD"/>
    <w:rsid w:val="0084043E"/>
    <w:rsid w:val="00840923"/>
    <w:rsid w:val="008414A3"/>
    <w:rsid w:val="008417E4"/>
    <w:rsid w:val="008422DA"/>
    <w:rsid w:val="008426FE"/>
    <w:rsid w:val="0084302E"/>
    <w:rsid w:val="00843C1B"/>
    <w:rsid w:val="00843E8C"/>
    <w:rsid w:val="008456F3"/>
    <w:rsid w:val="00845C1A"/>
    <w:rsid w:val="00846865"/>
    <w:rsid w:val="00846B2C"/>
    <w:rsid w:val="00846D39"/>
    <w:rsid w:val="008472FB"/>
    <w:rsid w:val="008473B2"/>
    <w:rsid w:val="00847A8B"/>
    <w:rsid w:val="00847B26"/>
    <w:rsid w:val="00850933"/>
    <w:rsid w:val="008509CC"/>
    <w:rsid w:val="0085268D"/>
    <w:rsid w:val="0085323F"/>
    <w:rsid w:val="00853419"/>
    <w:rsid w:val="00853512"/>
    <w:rsid w:val="00853A23"/>
    <w:rsid w:val="00854FE3"/>
    <w:rsid w:val="00855876"/>
    <w:rsid w:val="008560E1"/>
    <w:rsid w:val="00856256"/>
    <w:rsid w:val="008573A3"/>
    <w:rsid w:val="00860233"/>
    <w:rsid w:val="00860A02"/>
    <w:rsid w:val="00860C50"/>
    <w:rsid w:val="00860E35"/>
    <w:rsid w:val="00861437"/>
    <w:rsid w:val="0086147D"/>
    <w:rsid w:val="00861972"/>
    <w:rsid w:val="00861A73"/>
    <w:rsid w:val="00861D01"/>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5BF"/>
    <w:rsid w:val="00874BEE"/>
    <w:rsid w:val="00875ABB"/>
    <w:rsid w:val="00875EC6"/>
    <w:rsid w:val="00876085"/>
    <w:rsid w:val="00877E1B"/>
    <w:rsid w:val="00880B21"/>
    <w:rsid w:val="00880F95"/>
    <w:rsid w:val="0088253F"/>
    <w:rsid w:val="00882952"/>
    <w:rsid w:val="00882C32"/>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5C72"/>
    <w:rsid w:val="008969D3"/>
    <w:rsid w:val="00896EC2"/>
    <w:rsid w:val="008971D8"/>
    <w:rsid w:val="00897A3D"/>
    <w:rsid w:val="00897E12"/>
    <w:rsid w:val="008A023D"/>
    <w:rsid w:val="008A065A"/>
    <w:rsid w:val="008A0A23"/>
    <w:rsid w:val="008A1C4B"/>
    <w:rsid w:val="008A2C74"/>
    <w:rsid w:val="008A3434"/>
    <w:rsid w:val="008A36FA"/>
    <w:rsid w:val="008A4FAC"/>
    <w:rsid w:val="008A5A80"/>
    <w:rsid w:val="008A5BF4"/>
    <w:rsid w:val="008A5F54"/>
    <w:rsid w:val="008A6043"/>
    <w:rsid w:val="008A6435"/>
    <w:rsid w:val="008A645F"/>
    <w:rsid w:val="008A67CF"/>
    <w:rsid w:val="008A6DA2"/>
    <w:rsid w:val="008A7460"/>
    <w:rsid w:val="008A7DDF"/>
    <w:rsid w:val="008A7E83"/>
    <w:rsid w:val="008A7F97"/>
    <w:rsid w:val="008A7FC7"/>
    <w:rsid w:val="008B0E6D"/>
    <w:rsid w:val="008B0EE7"/>
    <w:rsid w:val="008B14CB"/>
    <w:rsid w:val="008B1CA7"/>
    <w:rsid w:val="008B1EF4"/>
    <w:rsid w:val="008B24D5"/>
    <w:rsid w:val="008B25FC"/>
    <w:rsid w:val="008B2DA9"/>
    <w:rsid w:val="008B3466"/>
    <w:rsid w:val="008B44C5"/>
    <w:rsid w:val="008B5124"/>
    <w:rsid w:val="008B768E"/>
    <w:rsid w:val="008B7B3C"/>
    <w:rsid w:val="008C00EE"/>
    <w:rsid w:val="008C05DD"/>
    <w:rsid w:val="008C067C"/>
    <w:rsid w:val="008C2789"/>
    <w:rsid w:val="008C2DF6"/>
    <w:rsid w:val="008C3B28"/>
    <w:rsid w:val="008C5978"/>
    <w:rsid w:val="008C606A"/>
    <w:rsid w:val="008C698C"/>
    <w:rsid w:val="008C6F82"/>
    <w:rsid w:val="008C6FC4"/>
    <w:rsid w:val="008C7564"/>
    <w:rsid w:val="008D02D4"/>
    <w:rsid w:val="008D0556"/>
    <w:rsid w:val="008D07D4"/>
    <w:rsid w:val="008D0D4E"/>
    <w:rsid w:val="008D0DD0"/>
    <w:rsid w:val="008D1734"/>
    <w:rsid w:val="008D2272"/>
    <w:rsid w:val="008D2EA5"/>
    <w:rsid w:val="008D307A"/>
    <w:rsid w:val="008D33C9"/>
    <w:rsid w:val="008D3D6F"/>
    <w:rsid w:val="008D3DF6"/>
    <w:rsid w:val="008D43BA"/>
    <w:rsid w:val="008D4F11"/>
    <w:rsid w:val="008D6086"/>
    <w:rsid w:val="008D6249"/>
    <w:rsid w:val="008D7317"/>
    <w:rsid w:val="008D7DF4"/>
    <w:rsid w:val="008E06C9"/>
    <w:rsid w:val="008E0A77"/>
    <w:rsid w:val="008E10AE"/>
    <w:rsid w:val="008E1322"/>
    <w:rsid w:val="008E164D"/>
    <w:rsid w:val="008E33FB"/>
    <w:rsid w:val="008E3759"/>
    <w:rsid w:val="008E3EE8"/>
    <w:rsid w:val="008E53E4"/>
    <w:rsid w:val="008E5615"/>
    <w:rsid w:val="008E57D1"/>
    <w:rsid w:val="008E62A4"/>
    <w:rsid w:val="008E71E6"/>
    <w:rsid w:val="008F019D"/>
    <w:rsid w:val="008F166D"/>
    <w:rsid w:val="008F298E"/>
    <w:rsid w:val="008F2A35"/>
    <w:rsid w:val="008F2A73"/>
    <w:rsid w:val="008F2E03"/>
    <w:rsid w:val="008F2E1C"/>
    <w:rsid w:val="008F3B12"/>
    <w:rsid w:val="008F3BF9"/>
    <w:rsid w:val="008F3C7F"/>
    <w:rsid w:val="008F3E4A"/>
    <w:rsid w:val="008F4101"/>
    <w:rsid w:val="008F4522"/>
    <w:rsid w:val="008F49E6"/>
    <w:rsid w:val="008F559D"/>
    <w:rsid w:val="008F6014"/>
    <w:rsid w:val="008F7B4C"/>
    <w:rsid w:val="008F7F3F"/>
    <w:rsid w:val="00900365"/>
    <w:rsid w:val="00900D01"/>
    <w:rsid w:val="009021D6"/>
    <w:rsid w:val="00902D58"/>
    <w:rsid w:val="009039DC"/>
    <w:rsid w:val="00903BE6"/>
    <w:rsid w:val="009041DC"/>
    <w:rsid w:val="009047EE"/>
    <w:rsid w:val="009049AF"/>
    <w:rsid w:val="00904B4B"/>
    <w:rsid w:val="00905AD0"/>
    <w:rsid w:val="009062C5"/>
    <w:rsid w:val="0090640F"/>
    <w:rsid w:val="009065A1"/>
    <w:rsid w:val="0090668D"/>
    <w:rsid w:val="009104B4"/>
    <w:rsid w:val="009111FF"/>
    <w:rsid w:val="00912171"/>
    <w:rsid w:val="00912642"/>
    <w:rsid w:val="00913B6D"/>
    <w:rsid w:val="00915B02"/>
    <w:rsid w:val="00915CDE"/>
    <w:rsid w:val="00915FDE"/>
    <w:rsid w:val="0091677E"/>
    <w:rsid w:val="0091728F"/>
    <w:rsid w:val="0091789D"/>
    <w:rsid w:val="00917F4B"/>
    <w:rsid w:val="00920A6E"/>
    <w:rsid w:val="00921023"/>
    <w:rsid w:val="009214A7"/>
    <w:rsid w:val="009214C8"/>
    <w:rsid w:val="009223E9"/>
    <w:rsid w:val="00922A9F"/>
    <w:rsid w:val="00922B74"/>
    <w:rsid w:val="00922E4D"/>
    <w:rsid w:val="00923920"/>
    <w:rsid w:val="00923E54"/>
    <w:rsid w:val="00923EA6"/>
    <w:rsid w:val="00924F0A"/>
    <w:rsid w:val="00925FCD"/>
    <w:rsid w:val="009266DD"/>
    <w:rsid w:val="00927B0B"/>
    <w:rsid w:val="009300A7"/>
    <w:rsid w:val="0093035E"/>
    <w:rsid w:val="00930A5D"/>
    <w:rsid w:val="00930ED0"/>
    <w:rsid w:val="00931F7C"/>
    <w:rsid w:val="009320F5"/>
    <w:rsid w:val="009322FE"/>
    <w:rsid w:val="00932B67"/>
    <w:rsid w:val="00933621"/>
    <w:rsid w:val="0093441A"/>
    <w:rsid w:val="00934829"/>
    <w:rsid w:val="009356F2"/>
    <w:rsid w:val="00935735"/>
    <w:rsid w:val="009359E3"/>
    <w:rsid w:val="00935A29"/>
    <w:rsid w:val="00936C4F"/>
    <w:rsid w:val="00940D0A"/>
    <w:rsid w:val="009412E0"/>
    <w:rsid w:val="00941393"/>
    <w:rsid w:val="0094199B"/>
    <w:rsid w:val="009424BD"/>
    <w:rsid w:val="0094253B"/>
    <w:rsid w:val="00942AA6"/>
    <w:rsid w:val="00942BBC"/>
    <w:rsid w:val="009435DC"/>
    <w:rsid w:val="00945F51"/>
    <w:rsid w:val="00946729"/>
    <w:rsid w:val="0094702E"/>
    <w:rsid w:val="00947215"/>
    <w:rsid w:val="00947B86"/>
    <w:rsid w:val="00947C4A"/>
    <w:rsid w:val="00950D77"/>
    <w:rsid w:val="00951A16"/>
    <w:rsid w:val="00952CAA"/>
    <w:rsid w:val="00952DC4"/>
    <w:rsid w:val="009544AF"/>
    <w:rsid w:val="0095466D"/>
    <w:rsid w:val="00954BF7"/>
    <w:rsid w:val="00955093"/>
    <w:rsid w:val="009552DA"/>
    <w:rsid w:val="009554F0"/>
    <w:rsid w:val="00955C06"/>
    <w:rsid w:val="00955CB9"/>
    <w:rsid w:val="00955EA3"/>
    <w:rsid w:val="0095641C"/>
    <w:rsid w:val="00956868"/>
    <w:rsid w:val="00956AAD"/>
    <w:rsid w:val="0095713F"/>
    <w:rsid w:val="009579D8"/>
    <w:rsid w:val="00957A32"/>
    <w:rsid w:val="00957C98"/>
    <w:rsid w:val="00960555"/>
    <w:rsid w:val="00963233"/>
    <w:rsid w:val="00964917"/>
    <w:rsid w:val="00964BC4"/>
    <w:rsid w:val="009653A0"/>
    <w:rsid w:val="00965F42"/>
    <w:rsid w:val="009661DF"/>
    <w:rsid w:val="009668D9"/>
    <w:rsid w:val="009668E5"/>
    <w:rsid w:val="0096706E"/>
    <w:rsid w:val="009678C3"/>
    <w:rsid w:val="00967987"/>
    <w:rsid w:val="00967B1D"/>
    <w:rsid w:val="00967ECF"/>
    <w:rsid w:val="00970813"/>
    <w:rsid w:val="00970FD7"/>
    <w:rsid w:val="009714F6"/>
    <w:rsid w:val="009724C3"/>
    <w:rsid w:val="0097261D"/>
    <w:rsid w:val="00973675"/>
    <w:rsid w:val="00973798"/>
    <w:rsid w:val="00973E1D"/>
    <w:rsid w:val="009753D7"/>
    <w:rsid w:val="009757D0"/>
    <w:rsid w:val="00976295"/>
    <w:rsid w:val="0097691D"/>
    <w:rsid w:val="00976E74"/>
    <w:rsid w:val="00981FBA"/>
    <w:rsid w:val="00982E24"/>
    <w:rsid w:val="00983AF6"/>
    <w:rsid w:val="00983D6A"/>
    <w:rsid w:val="009843A2"/>
    <w:rsid w:val="009856D7"/>
    <w:rsid w:val="00985A4B"/>
    <w:rsid w:val="00986129"/>
    <w:rsid w:val="00986662"/>
    <w:rsid w:val="009869B3"/>
    <w:rsid w:val="00986AEE"/>
    <w:rsid w:val="009879D3"/>
    <w:rsid w:val="00992D3D"/>
    <w:rsid w:val="009937A7"/>
    <w:rsid w:val="00994ECF"/>
    <w:rsid w:val="0099538C"/>
    <w:rsid w:val="009963C2"/>
    <w:rsid w:val="009967AF"/>
    <w:rsid w:val="0099714E"/>
    <w:rsid w:val="009978F5"/>
    <w:rsid w:val="00997E99"/>
    <w:rsid w:val="009A01D8"/>
    <w:rsid w:val="009A03E7"/>
    <w:rsid w:val="009A0816"/>
    <w:rsid w:val="009A0B09"/>
    <w:rsid w:val="009A0F04"/>
    <w:rsid w:val="009A1A5D"/>
    <w:rsid w:val="009A1D2A"/>
    <w:rsid w:val="009A28FA"/>
    <w:rsid w:val="009A6130"/>
    <w:rsid w:val="009A700D"/>
    <w:rsid w:val="009A71DD"/>
    <w:rsid w:val="009A7953"/>
    <w:rsid w:val="009B074C"/>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1EF"/>
    <w:rsid w:val="009B74A4"/>
    <w:rsid w:val="009B76BF"/>
    <w:rsid w:val="009C03AE"/>
    <w:rsid w:val="009C047F"/>
    <w:rsid w:val="009C14DA"/>
    <w:rsid w:val="009C1615"/>
    <w:rsid w:val="009C1691"/>
    <w:rsid w:val="009C1877"/>
    <w:rsid w:val="009C1D8B"/>
    <w:rsid w:val="009C202F"/>
    <w:rsid w:val="009C2F75"/>
    <w:rsid w:val="009C2F9F"/>
    <w:rsid w:val="009C458A"/>
    <w:rsid w:val="009C4893"/>
    <w:rsid w:val="009C4D68"/>
    <w:rsid w:val="009C59D3"/>
    <w:rsid w:val="009C6457"/>
    <w:rsid w:val="009C799E"/>
    <w:rsid w:val="009D0012"/>
    <w:rsid w:val="009D0946"/>
    <w:rsid w:val="009D0B9F"/>
    <w:rsid w:val="009D0DEE"/>
    <w:rsid w:val="009D15C7"/>
    <w:rsid w:val="009D16D3"/>
    <w:rsid w:val="009D173B"/>
    <w:rsid w:val="009D2342"/>
    <w:rsid w:val="009D241E"/>
    <w:rsid w:val="009D280B"/>
    <w:rsid w:val="009D2BBE"/>
    <w:rsid w:val="009D3728"/>
    <w:rsid w:val="009D561E"/>
    <w:rsid w:val="009D6116"/>
    <w:rsid w:val="009D62CD"/>
    <w:rsid w:val="009D7611"/>
    <w:rsid w:val="009E075C"/>
    <w:rsid w:val="009E15DB"/>
    <w:rsid w:val="009E25B3"/>
    <w:rsid w:val="009E27A9"/>
    <w:rsid w:val="009E3488"/>
    <w:rsid w:val="009E374A"/>
    <w:rsid w:val="009E3A41"/>
    <w:rsid w:val="009E3ABD"/>
    <w:rsid w:val="009E3C23"/>
    <w:rsid w:val="009E3F7C"/>
    <w:rsid w:val="009E41B3"/>
    <w:rsid w:val="009E4906"/>
    <w:rsid w:val="009E53DE"/>
    <w:rsid w:val="009E5A64"/>
    <w:rsid w:val="009E6FD9"/>
    <w:rsid w:val="009F0885"/>
    <w:rsid w:val="009F0AED"/>
    <w:rsid w:val="009F0D8A"/>
    <w:rsid w:val="009F114F"/>
    <w:rsid w:val="009F1ED5"/>
    <w:rsid w:val="009F229C"/>
    <w:rsid w:val="009F2349"/>
    <w:rsid w:val="009F24AF"/>
    <w:rsid w:val="009F24FF"/>
    <w:rsid w:val="009F297A"/>
    <w:rsid w:val="009F2CC4"/>
    <w:rsid w:val="009F382B"/>
    <w:rsid w:val="009F5AE9"/>
    <w:rsid w:val="009F7113"/>
    <w:rsid w:val="009F76DF"/>
    <w:rsid w:val="009F76E5"/>
    <w:rsid w:val="009F7E41"/>
    <w:rsid w:val="00A01453"/>
    <w:rsid w:val="00A014DA"/>
    <w:rsid w:val="00A03222"/>
    <w:rsid w:val="00A0345B"/>
    <w:rsid w:val="00A03579"/>
    <w:rsid w:val="00A03B6C"/>
    <w:rsid w:val="00A03DA5"/>
    <w:rsid w:val="00A04910"/>
    <w:rsid w:val="00A050D8"/>
    <w:rsid w:val="00A05601"/>
    <w:rsid w:val="00A057B8"/>
    <w:rsid w:val="00A05C64"/>
    <w:rsid w:val="00A062DD"/>
    <w:rsid w:val="00A0645D"/>
    <w:rsid w:val="00A06FEB"/>
    <w:rsid w:val="00A07134"/>
    <w:rsid w:val="00A07809"/>
    <w:rsid w:val="00A10246"/>
    <w:rsid w:val="00A10403"/>
    <w:rsid w:val="00A10450"/>
    <w:rsid w:val="00A10863"/>
    <w:rsid w:val="00A10C01"/>
    <w:rsid w:val="00A10CCC"/>
    <w:rsid w:val="00A1131F"/>
    <w:rsid w:val="00A12250"/>
    <w:rsid w:val="00A12773"/>
    <w:rsid w:val="00A12E5E"/>
    <w:rsid w:val="00A13A94"/>
    <w:rsid w:val="00A14D37"/>
    <w:rsid w:val="00A15A9B"/>
    <w:rsid w:val="00A15C9A"/>
    <w:rsid w:val="00A163A4"/>
    <w:rsid w:val="00A1688B"/>
    <w:rsid w:val="00A16943"/>
    <w:rsid w:val="00A17625"/>
    <w:rsid w:val="00A17E82"/>
    <w:rsid w:val="00A2015A"/>
    <w:rsid w:val="00A2089E"/>
    <w:rsid w:val="00A20B65"/>
    <w:rsid w:val="00A20F5F"/>
    <w:rsid w:val="00A2130F"/>
    <w:rsid w:val="00A21930"/>
    <w:rsid w:val="00A21BFD"/>
    <w:rsid w:val="00A2232B"/>
    <w:rsid w:val="00A22B7B"/>
    <w:rsid w:val="00A23100"/>
    <w:rsid w:val="00A23924"/>
    <w:rsid w:val="00A23AFA"/>
    <w:rsid w:val="00A23E45"/>
    <w:rsid w:val="00A24331"/>
    <w:rsid w:val="00A2456A"/>
    <w:rsid w:val="00A249A8"/>
    <w:rsid w:val="00A255BD"/>
    <w:rsid w:val="00A26545"/>
    <w:rsid w:val="00A269C8"/>
    <w:rsid w:val="00A27314"/>
    <w:rsid w:val="00A27C5A"/>
    <w:rsid w:val="00A3014C"/>
    <w:rsid w:val="00A30ECB"/>
    <w:rsid w:val="00A31451"/>
    <w:rsid w:val="00A31CB0"/>
    <w:rsid w:val="00A321C2"/>
    <w:rsid w:val="00A3286C"/>
    <w:rsid w:val="00A32D38"/>
    <w:rsid w:val="00A33219"/>
    <w:rsid w:val="00A33DB9"/>
    <w:rsid w:val="00A34273"/>
    <w:rsid w:val="00A36168"/>
    <w:rsid w:val="00A36BE9"/>
    <w:rsid w:val="00A36C33"/>
    <w:rsid w:val="00A36E16"/>
    <w:rsid w:val="00A37DA9"/>
    <w:rsid w:val="00A40463"/>
    <w:rsid w:val="00A40C4A"/>
    <w:rsid w:val="00A40CED"/>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76"/>
    <w:rsid w:val="00A528D1"/>
    <w:rsid w:val="00A52D39"/>
    <w:rsid w:val="00A53D23"/>
    <w:rsid w:val="00A542D1"/>
    <w:rsid w:val="00A547A8"/>
    <w:rsid w:val="00A54E22"/>
    <w:rsid w:val="00A55776"/>
    <w:rsid w:val="00A60093"/>
    <w:rsid w:val="00A60F07"/>
    <w:rsid w:val="00A6269C"/>
    <w:rsid w:val="00A6287A"/>
    <w:rsid w:val="00A6379D"/>
    <w:rsid w:val="00A6386E"/>
    <w:rsid w:val="00A63958"/>
    <w:rsid w:val="00A642B6"/>
    <w:rsid w:val="00A647EB"/>
    <w:rsid w:val="00A649AE"/>
    <w:rsid w:val="00A64DA8"/>
    <w:rsid w:val="00A64EE8"/>
    <w:rsid w:val="00A64F5F"/>
    <w:rsid w:val="00A650D1"/>
    <w:rsid w:val="00A6588A"/>
    <w:rsid w:val="00A669C6"/>
    <w:rsid w:val="00A66BE5"/>
    <w:rsid w:val="00A67461"/>
    <w:rsid w:val="00A709DB"/>
    <w:rsid w:val="00A70FA6"/>
    <w:rsid w:val="00A71D99"/>
    <w:rsid w:val="00A73439"/>
    <w:rsid w:val="00A734B2"/>
    <w:rsid w:val="00A73772"/>
    <w:rsid w:val="00A75A39"/>
    <w:rsid w:val="00A7605D"/>
    <w:rsid w:val="00A774E2"/>
    <w:rsid w:val="00A77E82"/>
    <w:rsid w:val="00A80079"/>
    <w:rsid w:val="00A80C1E"/>
    <w:rsid w:val="00A8162B"/>
    <w:rsid w:val="00A81A9A"/>
    <w:rsid w:val="00A81D28"/>
    <w:rsid w:val="00A823ED"/>
    <w:rsid w:val="00A832B7"/>
    <w:rsid w:val="00A8335C"/>
    <w:rsid w:val="00A83588"/>
    <w:rsid w:val="00A845BE"/>
    <w:rsid w:val="00A84A45"/>
    <w:rsid w:val="00A84A53"/>
    <w:rsid w:val="00A84B01"/>
    <w:rsid w:val="00A84E1C"/>
    <w:rsid w:val="00A86CF8"/>
    <w:rsid w:val="00A871CA"/>
    <w:rsid w:val="00A87FF5"/>
    <w:rsid w:val="00A91578"/>
    <w:rsid w:val="00A91614"/>
    <w:rsid w:val="00A91C87"/>
    <w:rsid w:val="00A91ED0"/>
    <w:rsid w:val="00A91F89"/>
    <w:rsid w:val="00A92714"/>
    <w:rsid w:val="00A92DCA"/>
    <w:rsid w:val="00A947C6"/>
    <w:rsid w:val="00A94BBB"/>
    <w:rsid w:val="00A95F1A"/>
    <w:rsid w:val="00A9641B"/>
    <w:rsid w:val="00A96D18"/>
    <w:rsid w:val="00A96F96"/>
    <w:rsid w:val="00A97366"/>
    <w:rsid w:val="00A978E7"/>
    <w:rsid w:val="00A979CE"/>
    <w:rsid w:val="00A97CDE"/>
    <w:rsid w:val="00AA07DC"/>
    <w:rsid w:val="00AA23D3"/>
    <w:rsid w:val="00AA33AF"/>
    <w:rsid w:val="00AA3C9F"/>
    <w:rsid w:val="00AA4746"/>
    <w:rsid w:val="00AA4D70"/>
    <w:rsid w:val="00AA4DF0"/>
    <w:rsid w:val="00AA51B5"/>
    <w:rsid w:val="00AA5C88"/>
    <w:rsid w:val="00AA792C"/>
    <w:rsid w:val="00AA7A2C"/>
    <w:rsid w:val="00AA7A53"/>
    <w:rsid w:val="00AA7E8A"/>
    <w:rsid w:val="00AB0745"/>
    <w:rsid w:val="00AB074C"/>
    <w:rsid w:val="00AB097B"/>
    <w:rsid w:val="00AB2ECE"/>
    <w:rsid w:val="00AB3118"/>
    <w:rsid w:val="00AB3712"/>
    <w:rsid w:val="00AB45A1"/>
    <w:rsid w:val="00AB55B8"/>
    <w:rsid w:val="00AB5E60"/>
    <w:rsid w:val="00AB6166"/>
    <w:rsid w:val="00AB6D53"/>
    <w:rsid w:val="00AB6F62"/>
    <w:rsid w:val="00AB7EE1"/>
    <w:rsid w:val="00AC00EA"/>
    <w:rsid w:val="00AC0531"/>
    <w:rsid w:val="00AC0F5B"/>
    <w:rsid w:val="00AC2C44"/>
    <w:rsid w:val="00AC30C7"/>
    <w:rsid w:val="00AC313B"/>
    <w:rsid w:val="00AC388E"/>
    <w:rsid w:val="00AC4106"/>
    <w:rsid w:val="00AC4350"/>
    <w:rsid w:val="00AC4B75"/>
    <w:rsid w:val="00AC4E50"/>
    <w:rsid w:val="00AC4F7C"/>
    <w:rsid w:val="00AC53DA"/>
    <w:rsid w:val="00AC6AE6"/>
    <w:rsid w:val="00AC740E"/>
    <w:rsid w:val="00AC7969"/>
    <w:rsid w:val="00AC7AC6"/>
    <w:rsid w:val="00AC7F4D"/>
    <w:rsid w:val="00AD08D1"/>
    <w:rsid w:val="00AD0D8F"/>
    <w:rsid w:val="00AD0E15"/>
    <w:rsid w:val="00AD1293"/>
    <w:rsid w:val="00AD1317"/>
    <w:rsid w:val="00AD1E27"/>
    <w:rsid w:val="00AD2957"/>
    <w:rsid w:val="00AD29F5"/>
    <w:rsid w:val="00AD34D9"/>
    <w:rsid w:val="00AD37C1"/>
    <w:rsid w:val="00AD38E9"/>
    <w:rsid w:val="00AD4435"/>
    <w:rsid w:val="00AD452E"/>
    <w:rsid w:val="00AD4A7C"/>
    <w:rsid w:val="00AD4C43"/>
    <w:rsid w:val="00AD4CD7"/>
    <w:rsid w:val="00AD4E05"/>
    <w:rsid w:val="00AD5EB5"/>
    <w:rsid w:val="00AD72AC"/>
    <w:rsid w:val="00AD73A3"/>
    <w:rsid w:val="00AD7A33"/>
    <w:rsid w:val="00AE0DEC"/>
    <w:rsid w:val="00AE15A9"/>
    <w:rsid w:val="00AE1852"/>
    <w:rsid w:val="00AE1A2D"/>
    <w:rsid w:val="00AE1F0C"/>
    <w:rsid w:val="00AE3F3C"/>
    <w:rsid w:val="00AE4C05"/>
    <w:rsid w:val="00AE4C43"/>
    <w:rsid w:val="00AE501F"/>
    <w:rsid w:val="00AE6271"/>
    <w:rsid w:val="00AE653F"/>
    <w:rsid w:val="00AE66EC"/>
    <w:rsid w:val="00AE6AE5"/>
    <w:rsid w:val="00AE6F91"/>
    <w:rsid w:val="00AF010B"/>
    <w:rsid w:val="00AF0440"/>
    <w:rsid w:val="00AF0FB6"/>
    <w:rsid w:val="00AF10BC"/>
    <w:rsid w:val="00AF14A6"/>
    <w:rsid w:val="00AF22CE"/>
    <w:rsid w:val="00AF2782"/>
    <w:rsid w:val="00AF3344"/>
    <w:rsid w:val="00AF5571"/>
    <w:rsid w:val="00AF5B3F"/>
    <w:rsid w:val="00AF7526"/>
    <w:rsid w:val="00AF79FA"/>
    <w:rsid w:val="00B00CBD"/>
    <w:rsid w:val="00B016BF"/>
    <w:rsid w:val="00B016EF"/>
    <w:rsid w:val="00B018F6"/>
    <w:rsid w:val="00B01D8D"/>
    <w:rsid w:val="00B0207D"/>
    <w:rsid w:val="00B033E8"/>
    <w:rsid w:val="00B0379A"/>
    <w:rsid w:val="00B04F9C"/>
    <w:rsid w:val="00B05B2D"/>
    <w:rsid w:val="00B06114"/>
    <w:rsid w:val="00B0667E"/>
    <w:rsid w:val="00B06BF4"/>
    <w:rsid w:val="00B07033"/>
    <w:rsid w:val="00B07227"/>
    <w:rsid w:val="00B11C6F"/>
    <w:rsid w:val="00B11E55"/>
    <w:rsid w:val="00B11F9A"/>
    <w:rsid w:val="00B124E6"/>
    <w:rsid w:val="00B12638"/>
    <w:rsid w:val="00B13ABA"/>
    <w:rsid w:val="00B14837"/>
    <w:rsid w:val="00B160A4"/>
    <w:rsid w:val="00B167E9"/>
    <w:rsid w:val="00B16FF4"/>
    <w:rsid w:val="00B1724A"/>
    <w:rsid w:val="00B207F5"/>
    <w:rsid w:val="00B20B83"/>
    <w:rsid w:val="00B21064"/>
    <w:rsid w:val="00B2177F"/>
    <w:rsid w:val="00B21BC5"/>
    <w:rsid w:val="00B22C40"/>
    <w:rsid w:val="00B23A86"/>
    <w:rsid w:val="00B24749"/>
    <w:rsid w:val="00B24A00"/>
    <w:rsid w:val="00B270C2"/>
    <w:rsid w:val="00B27127"/>
    <w:rsid w:val="00B2728E"/>
    <w:rsid w:val="00B301E8"/>
    <w:rsid w:val="00B30278"/>
    <w:rsid w:val="00B31391"/>
    <w:rsid w:val="00B314DB"/>
    <w:rsid w:val="00B316A7"/>
    <w:rsid w:val="00B31EBE"/>
    <w:rsid w:val="00B324F0"/>
    <w:rsid w:val="00B327DE"/>
    <w:rsid w:val="00B3401D"/>
    <w:rsid w:val="00B34D82"/>
    <w:rsid w:val="00B34E2B"/>
    <w:rsid w:val="00B34F8C"/>
    <w:rsid w:val="00B36330"/>
    <w:rsid w:val="00B367B1"/>
    <w:rsid w:val="00B36E37"/>
    <w:rsid w:val="00B3718B"/>
    <w:rsid w:val="00B37584"/>
    <w:rsid w:val="00B37C3B"/>
    <w:rsid w:val="00B41A5F"/>
    <w:rsid w:val="00B41AAC"/>
    <w:rsid w:val="00B424CD"/>
    <w:rsid w:val="00B42ABC"/>
    <w:rsid w:val="00B432D6"/>
    <w:rsid w:val="00B441B9"/>
    <w:rsid w:val="00B44448"/>
    <w:rsid w:val="00B444FB"/>
    <w:rsid w:val="00B44F4C"/>
    <w:rsid w:val="00B45BE7"/>
    <w:rsid w:val="00B45ECD"/>
    <w:rsid w:val="00B46033"/>
    <w:rsid w:val="00B46313"/>
    <w:rsid w:val="00B4632A"/>
    <w:rsid w:val="00B46771"/>
    <w:rsid w:val="00B478B1"/>
    <w:rsid w:val="00B478C4"/>
    <w:rsid w:val="00B506F8"/>
    <w:rsid w:val="00B50B18"/>
    <w:rsid w:val="00B5149E"/>
    <w:rsid w:val="00B515A8"/>
    <w:rsid w:val="00B52BB8"/>
    <w:rsid w:val="00B52D4D"/>
    <w:rsid w:val="00B540E8"/>
    <w:rsid w:val="00B54366"/>
    <w:rsid w:val="00B54DF4"/>
    <w:rsid w:val="00B552E7"/>
    <w:rsid w:val="00B55402"/>
    <w:rsid w:val="00B55E95"/>
    <w:rsid w:val="00B55F23"/>
    <w:rsid w:val="00B56F13"/>
    <w:rsid w:val="00B5746F"/>
    <w:rsid w:val="00B574A0"/>
    <w:rsid w:val="00B574EE"/>
    <w:rsid w:val="00B575D6"/>
    <w:rsid w:val="00B57C17"/>
    <w:rsid w:val="00B57C7D"/>
    <w:rsid w:val="00B6077E"/>
    <w:rsid w:val="00B60E25"/>
    <w:rsid w:val="00B62894"/>
    <w:rsid w:val="00B62BC0"/>
    <w:rsid w:val="00B63572"/>
    <w:rsid w:val="00B63577"/>
    <w:rsid w:val="00B64CF2"/>
    <w:rsid w:val="00B66B51"/>
    <w:rsid w:val="00B67053"/>
    <w:rsid w:val="00B673F4"/>
    <w:rsid w:val="00B67B19"/>
    <w:rsid w:val="00B70462"/>
    <w:rsid w:val="00B72E00"/>
    <w:rsid w:val="00B72F71"/>
    <w:rsid w:val="00B74BBA"/>
    <w:rsid w:val="00B74DAF"/>
    <w:rsid w:val="00B75D57"/>
    <w:rsid w:val="00B765F1"/>
    <w:rsid w:val="00B766A1"/>
    <w:rsid w:val="00B76BE8"/>
    <w:rsid w:val="00B777B0"/>
    <w:rsid w:val="00B77B09"/>
    <w:rsid w:val="00B801CB"/>
    <w:rsid w:val="00B84FC7"/>
    <w:rsid w:val="00B8596A"/>
    <w:rsid w:val="00B85B6B"/>
    <w:rsid w:val="00B8646F"/>
    <w:rsid w:val="00B86577"/>
    <w:rsid w:val="00B8664E"/>
    <w:rsid w:val="00B868A4"/>
    <w:rsid w:val="00B86D99"/>
    <w:rsid w:val="00B8786D"/>
    <w:rsid w:val="00B90178"/>
    <w:rsid w:val="00B90496"/>
    <w:rsid w:val="00B920B7"/>
    <w:rsid w:val="00B92546"/>
    <w:rsid w:val="00B926B1"/>
    <w:rsid w:val="00B92DC9"/>
    <w:rsid w:val="00B933E4"/>
    <w:rsid w:val="00B93EF7"/>
    <w:rsid w:val="00B9441F"/>
    <w:rsid w:val="00B96FE9"/>
    <w:rsid w:val="00B97838"/>
    <w:rsid w:val="00BA0E3E"/>
    <w:rsid w:val="00BA10D9"/>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4212"/>
    <w:rsid w:val="00BB4566"/>
    <w:rsid w:val="00BB521F"/>
    <w:rsid w:val="00BB53AD"/>
    <w:rsid w:val="00BB5A59"/>
    <w:rsid w:val="00BB645E"/>
    <w:rsid w:val="00BB6D82"/>
    <w:rsid w:val="00BB6D96"/>
    <w:rsid w:val="00BB7163"/>
    <w:rsid w:val="00BB76B9"/>
    <w:rsid w:val="00BB78FE"/>
    <w:rsid w:val="00BB7B0A"/>
    <w:rsid w:val="00BB7C52"/>
    <w:rsid w:val="00BC04F8"/>
    <w:rsid w:val="00BC1521"/>
    <w:rsid w:val="00BC2154"/>
    <w:rsid w:val="00BC243A"/>
    <w:rsid w:val="00BC2F46"/>
    <w:rsid w:val="00BC35EB"/>
    <w:rsid w:val="00BC397C"/>
    <w:rsid w:val="00BC5766"/>
    <w:rsid w:val="00BC68ED"/>
    <w:rsid w:val="00BC6DA1"/>
    <w:rsid w:val="00BC6FB1"/>
    <w:rsid w:val="00BC73B5"/>
    <w:rsid w:val="00BD10AC"/>
    <w:rsid w:val="00BD232B"/>
    <w:rsid w:val="00BD2C5B"/>
    <w:rsid w:val="00BD3469"/>
    <w:rsid w:val="00BD393F"/>
    <w:rsid w:val="00BD4B89"/>
    <w:rsid w:val="00BD5B66"/>
    <w:rsid w:val="00BD5CCE"/>
    <w:rsid w:val="00BD5E83"/>
    <w:rsid w:val="00BD63B7"/>
    <w:rsid w:val="00BD7D23"/>
    <w:rsid w:val="00BD7F14"/>
    <w:rsid w:val="00BE0098"/>
    <w:rsid w:val="00BE014C"/>
    <w:rsid w:val="00BE118B"/>
    <w:rsid w:val="00BE1438"/>
    <w:rsid w:val="00BE1B74"/>
    <w:rsid w:val="00BE201A"/>
    <w:rsid w:val="00BE319E"/>
    <w:rsid w:val="00BE336E"/>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F10"/>
    <w:rsid w:val="00BF2523"/>
    <w:rsid w:val="00BF2939"/>
    <w:rsid w:val="00BF2EA8"/>
    <w:rsid w:val="00BF40C6"/>
    <w:rsid w:val="00BF4600"/>
    <w:rsid w:val="00BF4865"/>
    <w:rsid w:val="00BF4871"/>
    <w:rsid w:val="00BF4AF7"/>
    <w:rsid w:val="00BF649B"/>
    <w:rsid w:val="00BF65BD"/>
    <w:rsid w:val="00BF7C42"/>
    <w:rsid w:val="00C0028D"/>
    <w:rsid w:val="00C01451"/>
    <w:rsid w:val="00C01882"/>
    <w:rsid w:val="00C018FF"/>
    <w:rsid w:val="00C02A78"/>
    <w:rsid w:val="00C03059"/>
    <w:rsid w:val="00C0391B"/>
    <w:rsid w:val="00C03A29"/>
    <w:rsid w:val="00C04473"/>
    <w:rsid w:val="00C05169"/>
    <w:rsid w:val="00C0546D"/>
    <w:rsid w:val="00C05820"/>
    <w:rsid w:val="00C06128"/>
    <w:rsid w:val="00C070BA"/>
    <w:rsid w:val="00C07884"/>
    <w:rsid w:val="00C101BC"/>
    <w:rsid w:val="00C10EA4"/>
    <w:rsid w:val="00C136FB"/>
    <w:rsid w:val="00C144E7"/>
    <w:rsid w:val="00C14557"/>
    <w:rsid w:val="00C14701"/>
    <w:rsid w:val="00C14A51"/>
    <w:rsid w:val="00C14CE0"/>
    <w:rsid w:val="00C1525C"/>
    <w:rsid w:val="00C153DE"/>
    <w:rsid w:val="00C16D95"/>
    <w:rsid w:val="00C17BAA"/>
    <w:rsid w:val="00C20667"/>
    <w:rsid w:val="00C2142B"/>
    <w:rsid w:val="00C21762"/>
    <w:rsid w:val="00C21EFD"/>
    <w:rsid w:val="00C221B1"/>
    <w:rsid w:val="00C224DF"/>
    <w:rsid w:val="00C22DD6"/>
    <w:rsid w:val="00C23BA8"/>
    <w:rsid w:val="00C24049"/>
    <w:rsid w:val="00C24543"/>
    <w:rsid w:val="00C256A2"/>
    <w:rsid w:val="00C25804"/>
    <w:rsid w:val="00C25808"/>
    <w:rsid w:val="00C258A0"/>
    <w:rsid w:val="00C25B0D"/>
    <w:rsid w:val="00C26350"/>
    <w:rsid w:val="00C26A69"/>
    <w:rsid w:val="00C31770"/>
    <w:rsid w:val="00C3238A"/>
    <w:rsid w:val="00C32415"/>
    <w:rsid w:val="00C32A61"/>
    <w:rsid w:val="00C338B0"/>
    <w:rsid w:val="00C33EB0"/>
    <w:rsid w:val="00C340DC"/>
    <w:rsid w:val="00C344B0"/>
    <w:rsid w:val="00C3492D"/>
    <w:rsid w:val="00C34973"/>
    <w:rsid w:val="00C34F68"/>
    <w:rsid w:val="00C35423"/>
    <w:rsid w:val="00C3629F"/>
    <w:rsid w:val="00C36568"/>
    <w:rsid w:val="00C36E35"/>
    <w:rsid w:val="00C4068A"/>
    <w:rsid w:val="00C41AB9"/>
    <w:rsid w:val="00C4237D"/>
    <w:rsid w:val="00C423E4"/>
    <w:rsid w:val="00C432D8"/>
    <w:rsid w:val="00C435B4"/>
    <w:rsid w:val="00C43943"/>
    <w:rsid w:val="00C43FC7"/>
    <w:rsid w:val="00C443E8"/>
    <w:rsid w:val="00C44886"/>
    <w:rsid w:val="00C4488B"/>
    <w:rsid w:val="00C44A35"/>
    <w:rsid w:val="00C44ECB"/>
    <w:rsid w:val="00C45555"/>
    <w:rsid w:val="00C45976"/>
    <w:rsid w:val="00C45A93"/>
    <w:rsid w:val="00C46068"/>
    <w:rsid w:val="00C4696E"/>
    <w:rsid w:val="00C46A80"/>
    <w:rsid w:val="00C4716E"/>
    <w:rsid w:val="00C47285"/>
    <w:rsid w:val="00C47791"/>
    <w:rsid w:val="00C4793D"/>
    <w:rsid w:val="00C47E39"/>
    <w:rsid w:val="00C506EB"/>
    <w:rsid w:val="00C50C1E"/>
    <w:rsid w:val="00C51C98"/>
    <w:rsid w:val="00C5237D"/>
    <w:rsid w:val="00C535F1"/>
    <w:rsid w:val="00C53F60"/>
    <w:rsid w:val="00C546AB"/>
    <w:rsid w:val="00C5474E"/>
    <w:rsid w:val="00C548F2"/>
    <w:rsid w:val="00C548FA"/>
    <w:rsid w:val="00C55378"/>
    <w:rsid w:val="00C55560"/>
    <w:rsid w:val="00C57994"/>
    <w:rsid w:val="00C60644"/>
    <w:rsid w:val="00C60AB3"/>
    <w:rsid w:val="00C61956"/>
    <w:rsid w:val="00C61997"/>
    <w:rsid w:val="00C62393"/>
    <w:rsid w:val="00C62BF4"/>
    <w:rsid w:val="00C6323C"/>
    <w:rsid w:val="00C634B4"/>
    <w:rsid w:val="00C63585"/>
    <w:rsid w:val="00C65998"/>
    <w:rsid w:val="00C669C1"/>
    <w:rsid w:val="00C66B72"/>
    <w:rsid w:val="00C674CD"/>
    <w:rsid w:val="00C67622"/>
    <w:rsid w:val="00C67F18"/>
    <w:rsid w:val="00C714BB"/>
    <w:rsid w:val="00C7275B"/>
    <w:rsid w:val="00C7281A"/>
    <w:rsid w:val="00C73738"/>
    <w:rsid w:val="00C7377E"/>
    <w:rsid w:val="00C73BAE"/>
    <w:rsid w:val="00C748D8"/>
    <w:rsid w:val="00C74AAA"/>
    <w:rsid w:val="00C74C37"/>
    <w:rsid w:val="00C7526E"/>
    <w:rsid w:val="00C759BE"/>
    <w:rsid w:val="00C75A4F"/>
    <w:rsid w:val="00C75E68"/>
    <w:rsid w:val="00C76135"/>
    <w:rsid w:val="00C768EA"/>
    <w:rsid w:val="00C76C96"/>
    <w:rsid w:val="00C77013"/>
    <w:rsid w:val="00C771AA"/>
    <w:rsid w:val="00C77F47"/>
    <w:rsid w:val="00C811BA"/>
    <w:rsid w:val="00C81339"/>
    <w:rsid w:val="00C81FBE"/>
    <w:rsid w:val="00C82B0B"/>
    <w:rsid w:val="00C83A33"/>
    <w:rsid w:val="00C83A40"/>
    <w:rsid w:val="00C84B0E"/>
    <w:rsid w:val="00C84E16"/>
    <w:rsid w:val="00C850FD"/>
    <w:rsid w:val="00C857A1"/>
    <w:rsid w:val="00C85897"/>
    <w:rsid w:val="00C85CF6"/>
    <w:rsid w:val="00C85DDE"/>
    <w:rsid w:val="00C86C06"/>
    <w:rsid w:val="00C8734C"/>
    <w:rsid w:val="00C8737F"/>
    <w:rsid w:val="00C9055F"/>
    <w:rsid w:val="00C91645"/>
    <w:rsid w:val="00C92CF7"/>
    <w:rsid w:val="00C936C3"/>
    <w:rsid w:val="00C93DCE"/>
    <w:rsid w:val="00C940E6"/>
    <w:rsid w:val="00C949E2"/>
    <w:rsid w:val="00C94BF5"/>
    <w:rsid w:val="00C9567A"/>
    <w:rsid w:val="00C957E5"/>
    <w:rsid w:val="00C95BF6"/>
    <w:rsid w:val="00C9670F"/>
    <w:rsid w:val="00C96AF3"/>
    <w:rsid w:val="00C96BFF"/>
    <w:rsid w:val="00C97B52"/>
    <w:rsid w:val="00CA0428"/>
    <w:rsid w:val="00CA0730"/>
    <w:rsid w:val="00CA0E2F"/>
    <w:rsid w:val="00CA1D19"/>
    <w:rsid w:val="00CA249C"/>
    <w:rsid w:val="00CA28C5"/>
    <w:rsid w:val="00CA34BE"/>
    <w:rsid w:val="00CA3B1D"/>
    <w:rsid w:val="00CA4160"/>
    <w:rsid w:val="00CA44E8"/>
    <w:rsid w:val="00CA53D1"/>
    <w:rsid w:val="00CA5B5E"/>
    <w:rsid w:val="00CA61E3"/>
    <w:rsid w:val="00CA6219"/>
    <w:rsid w:val="00CA65F1"/>
    <w:rsid w:val="00CA6E49"/>
    <w:rsid w:val="00CA6EE1"/>
    <w:rsid w:val="00CB08A1"/>
    <w:rsid w:val="00CB13BC"/>
    <w:rsid w:val="00CB17C1"/>
    <w:rsid w:val="00CB2422"/>
    <w:rsid w:val="00CB2660"/>
    <w:rsid w:val="00CB2A1A"/>
    <w:rsid w:val="00CB320F"/>
    <w:rsid w:val="00CB3418"/>
    <w:rsid w:val="00CB36CE"/>
    <w:rsid w:val="00CB3738"/>
    <w:rsid w:val="00CB3827"/>
    <w:rsid w:val="00CB3A1A"/>
    <w:rsid w:val="00CB4965"/>
    <w:rsid w:val="00CB4C01"/>
    <w:rsid w:val="00CB5334"/>
    <w:rsid w:val="00CB712B"/>
    <w:rsid w:val="00CB7A42"/>
    <w:rsid w:val="00CB7D6F"/>
    <w:rsid w:val="00CC0E8C"/>
    <w:rsid w:val="00CC1157"/>
    <w:rsid w:val="00CC232B"/>
    <w:rsid w:val="00CC25A6"/>
    <w:rsid w:val="00CC30E5"/>
    <w:rsid w:val="00CC44ED"/>
    <w:rsid w:val="00CC460F"/>
    <w:rsid w:val="00CC5639"/>
    <w:rsid w:val="00CC5E13"/>
    <w:rsid w:val="00CC5E90"/>
    <w:rsid w:val="00CC72FB"/>
    <w:rsid w:val="00CD046C"/>
    <w:rsid w:val="00CD0979"/>
    <w:rsid w:val="00CD261C"/>
    <w:rsid w:val="00CD36BA"/>
    <w:rsid w:val="00CD38C8"/>
    <w:rsid w:val="00CD403E"/>
    <w:rsid w:val="00CD6BCF"/>
    <w:rsid w:val="00CD7BBE"/>
    <w:rsid w:val="00CE0052"/>
    <w:rsid w:val="00CE1390"/>
    <w:rsid w:val="00CE1E71"/>
    <w:rsid w:val="00CE2A6C"/>
    <w:rsid w:val="00CE405C"/>
    <w:rsid w:val="00CE4868"/>
    <w:rsid w:val="00CE4999"/>
    <w:rsid w:val="00CE5199"/>
    <w:rsid w:val="00CE66D5"/>
    <w:rsid w:val="00CE66E4"/>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5DAE"/>
    <w:rsid w:val="00D065A9"/>
    <w:rsid w:val="00D06D0A"/>
    <w:rsid w:val="00D070D7"/>
    <w:rsid w:val="00D07439"/>
    <w:rsid w:val="00D0799B"/>
    <w:rsid w:val="00D07A1B"/>
    <w:rsid w:val="00D10D00"/>
    <w:rsid w:val="00D10E59"/>
    <w:rsid w:val="00D11349"/>
    <w:rsid w:val="00D1134B"/>
    <w:rsid w:val="00D1169D"/>
    <w:rsid w:val="00D11888"/>
    <w:rsid w:val="00D12883"/>
    <w:rsid w:val="00D12D6C"/>
    <w:rsid w:val="00D12F97"/>
    <w:rsid w:val="00D13FAB"/>
    <w:rsid w:val="00D14582"/>
    <w:rsid w:val="00D14B21"/>
    <w:rsid w:val="00D14FBC"/>
    <w:rsid w:val="00D15377"/>
    <w:rsid w:val="00D1539E"/>
    <w:rsid w:val="00D15ABB"/>
    <w:rsid w:val="00D15E54"/>
    <w:rsid w:val="00D16299"/>
    <w:rsid w:val="00D162B0"/>
    <w:rsid w:val="00D16C41"/>
    <w:rsid w:val="00D2095A"/>
    <w:rsid w:val="00D20BF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75B4"/>
    <w:rsid w:val="00D27FBF"/>
    <w:rsid w:val="00D31472"/>
    <w:rsid w:val="00D31A13"/>
    <w:rsid w:val="00D31A84"/>
    <w:rsid w:val="00D32BCF"/>
    <w:rsid w:val="00D32D94"/>
    <w:rsid w:val="00D330A7"/>
    <w:rsid w:val="00D3350E"/>
    <w:rsid w:val="00D340AA"/>
    <w:rsid w:val="00D34786"/>
    <w:rsid w:val="00D35609"/>
    <w:rsid w:val="00D35A0A"/>
    <w:rsid w:val="00D35CFB"/>
    <w:rsid w:val="00D36696"/>
    <w:rsid w:val="00D36A2C"/>
    <w:rsid w:val="00D37539"/>
    <w:rsid w:val="00D37557"/>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6FBE"/>
    <w:rsid w:val="00D47631"/>
    <w:rsid w:val="00D47E97"/>
    <w:rsid w:val="00D47F4D"/>
    <w:rsid w:val="00D5025B"/>
    <w:rsid w:val="00D50AFF"/>
    <w:rsid w:val="00D50CBE"/>
    <w:rsid w:val="00D512DC"/>
    <w:rsid w:val="00D523C3"/>
    <w:rsid w:val="00D52B5B"/>
    <w:rsid w:val="00D52C14"/>
    <w:rsid w:val="00D537DA"/>
    <w:rsid w:val="00D53960"/>
    <w:rsid w:val="00D539A6"/>
    <w:rsid w:val="00D53F3D"/>
    <w:rsid w:val="00D54FD9"/>
    <w:rsid w:val="00D558C4"/>
    <w:rsid w:val="00D55D01"/>
    <w:rsid w:val="00D568A0"/>
    <w:rsid w:val="00D56E33"/>
    <w:rsid w:val="00D57019"/>
    <w:rsid w:val="00D57833"/>
    <w:rsid w:val="00D6092C"/>
    <w:rsid w:val="00D60BBD"/>
    <w:rsid w:val="00D60D42"/>
    <w:rsid w:val="00D61163"/>
    <w:rsid w:val="00D6144B"/>
    <w:rsid w:val="00D620D2"/>
    <w:rsid w:val="00D62894"/>
    <w:rsid w:val="00D62BD0"/>
    <w:rsid w:val="00D62F66"/>
    <w:rsid w:val="00D62FB8"/>
    <w:rsid w:val="00D63033"/>
    <w:rsid w:val="00D63233"/>
    <w:rsid w:val="00D64AAD"/>
    <w:rsid w:val="00D65E4F"/>
    <w:rsid w:val="00D6603B"/>
    <w:rsid w:val="00D66113"/>
    <w:rsid w:val="00D66EBD"/>
    <w:rsid w:val="00D66F60"/>
    <w:rsid w:val="00D671D3"/>
    <w:rsid w:val="00D677D5"/>
    <w:rsid w:val="00D70778"/>
    <w:rsid w:val="00D70D74"/>
    <w:rsid w:val="00D70EFB"/>
    <w:rsid w:val="00D712D3"/>
    <w:rsid w:val="00D71422"/>
    <w:rsid w:val="00D7145E"/>
    <w:rsid w:val="00D72789"/>
    <w:rsid w:val="00D72985"/>
    <w:rsid w:val="00D72ED0"/>
    <w:rsid w:val="00D73376"/>
    <w:rsid w:val="00D73D78"/>
    <w:rsid w:val="00D73E27"/>
    <w:rsid w:val="00D74A1F"/>
    <w:rsid w:val="00D74B5B"/>
    <w:rsid w:val="00D74C93"/>
    <w:rsid w:val="00D74F68"/>
    <w:rsid w:val="00D7514B"/>
    <w:rsid w:val="00D7558D"/>
    <w:rsid w:val="00D76232"/>
    <w:rsid w:val="00D7649A"/>
    <w:rsid w:val="00D76A3D"/>
    <w:rsid w:val="00D77A99"/>
    <w:rsid w:val="00D77B2C"/>
    <w:rsid w:val="00D77BCE"/>
    <w:rsid w:val="00D80440"/>
    <w:rsid w:val="00D80B8C"/>
    <w:rsid w:val="00D80C85"/>
    <w:rsid w:val="00D811FF"/>
    <w:rsid w:val="00D81C90"/>
    <w:rsid w:val="00D81D92"/>
    <w:rsid w:val="00D81F73"/>
    <w:rsid w:val="00D826A0"/>
    <w:rsid w:val="00D82760"/>
    <w:rsid w:val="00D82876"/>
    <w:rsid w:val="00D82EA8"/>
    <w:rsid w:val="00D838BE"/>
    <w:rsid w:val="00D83DD3"/>
    <w:rsid w:val="00D83FFE"/>
    <w:rsid w:val="00D86402"/>
    <w:rsid w:val="00D86569"/>
    <w:rsid w:val="00D865A2"/>
    <w:rsid w:val="00D87416"/>
    <w:rsid w:val="00D8763F"/>
    <w:rsid w:val="00D878CA"/>
    <w:rsid w:val="00D9040B"/>
    <w:rsid w:val="00D9087A"/>
    <w:rsid w:val="00D91047"/>
    <w:rsid w:val="00D912A6"/>
    <w:rsid w:val="00D9141D"/>
    <w:rsid w:val="00D915AB"/>
    <w:rsid w:val="00D91B1E"/>
    <w:rsid w:val="00D91D59"/>
    <w:rsid w:val="00D92374"/>
    <w:rsid w:val="00D93446"/>
    <w:rsid w:val="00D9382D"/>
    <w:rsid w:val="00D941FB"/>
    <w:rsid w:val="00D946AA"/>
    <w:rsid w:val="00D94D1C"/>
    <w:rsid w:val="00D94F44"/>
    <w:rsid w:val="00D9539C"/>
    <w:rsid w:val="00D95402"/>
    <w:rsid w:val="00D96245"/>
    <w:rsid w:val="00D975F8"/>
    <w:rsid w:val="00D978E5"/>
    <w:rsid w:val="00DA062D"/>
    <w:rsid w:val="00DA1520"/>
    <w:rsid w:val="00DA1F9E"/>
    <w:rsid w:val="00DA2A7C"/>
    <w:rsid w:val="00DA3005"/>
    <w:rsid w:val="00DA300A"/>
    <w:rsid w:val="00DA36AE"/>
    <w:rsid w:val="00DA40CF"/>
    <w:rsid w:val="00DA4E4E"/>
    <w:rsid w:val="00DA5ECF"/>
    <w:rsid w:val="00DA6AB3"/>
    <w:rsid w:val="00DA7151"/>
    <w:rsid w:val="00DA755B"/>
    <w:rsid w:val="00DA77AA"/>
    <w:rsid w:val="00DA7982"/>
    <w:rsid w:val="00DA79D0"/>
    <w:rsid w:val="00DA7B5F"/>
    <w:rsid w:val="00DB18A8"/>
    <w:rsid w:val="00DB1D14"/>
    <w:rsid w:val="00DB3050"/>
    <w:rsid w:val="00DB30EC"/>
    <w:rsid w:val="00DB3374"/>
    <w:rsid w:val="00DB4A1E"/>
    <w:rsid w:val="00DB4D80"/>
    <w:rsid w:val="00DB5C3C"/>
    <w:rsid w:val="00DB6C6C"/>
    <w:rsid w:val="00DC07A4"/>
    <w:rsid w:val="00DC12A5"/>
    <w:rsid w:val="00DC174D"/>
    <w:rsid w:val="00DC2858"/>
    <w:rsid w:val="00DC28C0"/>
    <w:rsid w:val="00DC2F9D"/>
    <w:rsid w:val="00DC2FF2"/>
    <w:rsid w:val="00DC3121"/>
    <w:rsid w:val="00DC4839"/>
    <w:rsid w:val="00DC6453"/>
    <w:rsid w:val="00DC6D2C"/>
    <w:rsid w:val="00DC7597"/>
    <w:rsid w:val="00DC7693"/>
    <w:rsid w:val="00DC7F0B"/>
    <w:rsid w:val="00DD045E"/>
    <w:rsid w:val="00DD1E65"/>
    <w:rsid w:val="00DD2032"/>
    <w:rsid w:val="00DD2635"/>
    <w:rsid w:val="00DD2BE4"/>
    <w:rsid w:val="00DD2C54"/>
    <w:rsid w:val="00DD4B5B"/>
    <w:rsid w:val="00DD5501"/>
    <w:rsid w:val="00DD6D8F"/>
    <w:rsid w:val="00DD6DEF"/>
    <w:rsid w:val="00DD6F04"/>
    <w:rsid w:val="00DD759E"/>
    <w:rsid w:val="00DD7F29"/>
    <w:rsid w:val="00DE01CB"/>
    <w:rsid w:val="00DE0266"/>
    <w:rsid w:val="00DE0893"/>
    <w:rsid w:val="00DE16C3"/>
    <w:rsid w:val="00DE181C"/>
    <w:rsid w:val="00DE26A2"/>
    <w:rsid w:val="00DE3B4F"/>
    <w:rsid w:val="00DE3E14"/>
    <w:rsid w:val="00DE4162"/>
    <w:rsid w:val="00DE6249"/>
    <w:rsid w:val="00DE62F2"/>
    <w:rsid w:val="00DE69AC"/>
    <w:rsid w:val="00DE735D"/>
    <w:rsid w:val="00DE7417"/>
    <w:rsid w:val="00DE783D"/>
    <w:rsid w:val="00DE7D2E"/>
    <w:rsid w:val="00DF1CDD"/>
    <w:rsid w:val="00DF1DF9"/>
    <w:rsid w:val="00DF2FDC"/>
    <w:rsid w:val="00DF3130"/>
    <w:rsid w:val="00DF3A3C"/>
    <w:rsid w:val="00DF42A0"/>
    <w:rsid w:val="00DF472F"/>
    <w:rsid w:val="00DF498D"/>
    <w:rsid w:val="00DF4BDE"/>
    <w:rsid w:val="00DF5077"/>
    <w:rsid w:val="00DF56EC"/>
    <w:rsid w:val="00DF7793"/>
    <w:rsid w:val="00E0059C"/>
    <w:rsid w:val="00E01798"/>
    <w:rsid w:val="00E018BA"/>
    <w:rsid w:val="00E01B40"/>
    <w:rsid w:val="00E02360"/>
    <w:rsid w:val="00E023DF"/>
    <w:rsid w:val="00E052B0"/>
    <w:rsid w:val="00E067A6"/>
    <w:rsid w:val="00E068E0"/>
    <w:rsid w:val="00E06BAE"/>
    <w:rsid w:val="00E06DDE"/>
    <w:rsid w:val="00E0702F"/>
    <w:rsid w:val="00E070DA"/>
    <w:rsid w:val="00E07187"/>
    <w:rsid w:val="00E0734B"/>
    <w:rsid w:val="00E0740A"/>
    <w:rsid w:val="00E079D8"/>
    <w:rsid w:val="00E11392"/>
    <w:rsid w:val="00E114A7"/>
    <w:rsid w:val="00E13D70"/>
    <w:rsid w:val="00E1451D"/>
    <w:rsid w:val="00E15130"/>
    <w:rsid w:val="00E15217"/>
    <w:rsid w:val="00E1542D"/>
    <w:rsid w:val="00E1578C"/>
    <w:rsid w:val="00E15F82"/>
    <w:rsid w:val="00E15FBA"/>
    <w:rsid w:val="00E16F9D"/>
    <w:rsid w:val="00E17683"/>
    <w:rsid w:val="00E2121C"/>
    <w:rsid w:val="00E22278"/>
    <w:rsid w:val="00E2284A"/>
    <w:rsid w:val="00E230FD"/>
    <w:rsid w:val="00E236F1"/>
    <w:rsid w:val="00E2398E"/>
    <w:rsid w:val="00E23A98"/>
    <w:rsid w:val="00E25A41"/>
    <w:rsid w:val="00E25BE4"/>
    <w:rsid w:val="00E2673A"/>
    <w:rsid w:val="00E26F97"/>
    <w:rsid w:val="00E26FCD"/>
    <w:rsid w:val="00E272A4"/>
    <w:rsid w:val="00E27AA4"/>
    <w:rsid w:val="00E30281"/>
    <w:rsid w:val="00E30994"/>
    <w:rsid w:val="00E314FA"/>
    <w:rsid w:val="00E31AAE"/>
    <w:rsid w:val="00E32FE3"/>
    <w:rsid w:val="00E3317B"/>
    <w:rsid w:val="00E33181"/>
    <w:rsid w:val="00E337D9"/>
    <w:rsid w:val="00E3386F"/>
    <w:rsid w:val="00E33E64"/>
    <w:rsid w:val="00E3533B"/>
    <w:rsid w:val="00E3622A"/>
    <w:rsid w:val="00E364C4"/>
    <w:rsid w:val="00E37292"/>
    <w:rsid w:val="00E3757F"/>
    <w:rsid w:val="00E37980"/>
    <w:rsid w:val="00E40AEA"/>
    <w:rsid w:val="00E41133"/>
    <w:rsid w:val="00E41E9F"/>
    <w:rsid w:val="00E42994"/>
    <w:rsid w:val="00E42C74"/>
    <w:rsid w:val="00E43157"/>
    <w:rsid w:val="00E43212"/>
    <w:rsid w:val="00E4390D"/>
    <w:rsid w:val="00E43C54"/>
    <w:rsid w:val="00E43C96"/>
    <w:rsid w:val="00E43E39"/>
    <w:rsid w:val="00E44853"/>
    <w:rsid w:val="00E44961"/>
    <w:rsid w:val="00E45D29"/>
    <w:rsid w:val="00E461F9"/>
    <w:rsid w:val="00E46307"/>
    <w:rsid w:val="00E477E8"/>
    <w:rsid w:val="00E4781D"/>
    <w:rsid w:val="00E47E00"/>
    <w:rsid w:val="00E50136"/>
    <w:rsid w:val="00E51067"/>
    <w:rsid w:val="00E52427"/>
    <w:rsid w:val="00E524D4"/>
    <w:rsid w:val="00E533FF"/>
    <w:rsid w:val="00E53BD8"/>
    <w:rsid w:val="00E53DC6"/>
    <w:rsid w:val="00E53E5E"/>
    <w:rsid w:val="00E54100"/>
    <w:rsid w:val="00E54CE4"/>
    <w:rsid w:val="00E54EF8"/>
    <w:rsid w:val="00E54EF9"/>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4FF5"/>
    <w:rsid w:val="00E654A2"/>
    <w:rsid w:val="00E65711"/>
    <w:rsid w:val="00E65CB4"/>
    <w:rsid w:val="00E661FD"/>
    <w:rsid w:val="00E6703B"/>
    <w:rsid w:val="00E67CBA"/>
    <w:rsid w:val="00E709B3"/>
    <w:rsid w:val="00E70B54"/>
    <w:rsid w:val="00E711AB"/>
    <w:rsid w:val="00E7126F"/>
    <w:rsid w:val="00E71410"/>
    <w:rsid w:val="00E7193A"/>
    <w:rsid w:val="00E71B41"/>
    <w:rsid w:val="00E71E57"/>
    <w:rsid w:val="00E71E89"/>
    <w:rsid w:val="00E71FD7"/>
    <w:rsid w:val="00E72FFF"/>
    <w:rsid w:val="00E74123"/>
    <w:rsid w:val="00E74177"/>
    <w:rsid w:val="00E753FA"/>
    <w:rsid w:val="00E75440"/>
    <w:rsid w:val="00E75F13"/>
    <w:rsid w:val="00E7676B"/>
    <w:rsid w:val="00E767BD"/>
    <w:rsid w:val="00E76C84"/>
    <w:rsid w:val="00E76CBC"/>
    <w:rsid w:val="00E76E80"/>
    <w:rsid w:val="00E7739E"/>
    <w:rsid w:val="00E774E4"/>
    <w:rsid w:val="00E807AA"/>
    <w:rsid w:val="00E80E83"/>
    <w:rsid w:val="00E81771"/>
    <w:rsid w:val="00E81A3E"/>
    <w:rsid w:val="00E82CCD"/>
    <w:rsid w:val="00E82F32"/>
    <w:rsid w:val="00E830CC"/>
    <w:rsid w:val="00E833E9"/>
    <w:rsid w:val="00E833FA"/>
    <w:rsid w:val="00E83848"/>
    <w:rsid w:val="00E855B5"/>
    <w:rsid w:val="00E8617F"/>
    <w:rsid w:val="00E86ABD"/>
    <w:rsid w:val="00E86E84"/>
    <w:rsid w:val="00E86EAF"/>
    <w:rsid w:val="00E87515"/>
    <w:rsid w:val="00E8789F"/>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97CED"/>
    <w:rsid w:val="00EA01E7"/>
    <w:rsid w:val="00EA077D"/>
    <w:rsid w:val="00EA0836"/>
    <w:rsid w:val="00EA1283"/>
    <w:rsid w:val="00EA26BA"/>
    <w:rsid w:val="00EA48EC"/>
    <w:rsid w:val="00EA4EB1"/>
    <w:rsid w:val="00EA4F82"/>
    <w:rsid w:val="00EA5A04"/>
    <w:rsid w:val="00EA5FE2"/>
    <w:rsid w:val="00EA603E"/>
    <w:rsid w:val="00EA6A6E"/>
    <w:rsid w:val="00EA70E0"/>
    <w:rsid w:val="00EA7448"/>
    <w:rsid w:val="00EA7F95"/>
    <w:rsid w:val="00EB01F4"/>
    <w:rsid w:val="00EB0252"/>
    <w:rsid w:val="00EB15FF"/>
    <w:rsid w:val="00EB18F6"/>
    <w:rsid w:val="00EB1CAE"/>
    <w:rsid w:val="00EB1D83"/>
    <w:rsid w:val="00EB24D7"/>
    <w:rsid w:val="00EB2ED9"/>
    <w:rsid w:val="00EB394F"/>
    <w:rsid w:val="00EB4080"/>
    <w:rsid w:val="00EB4249"/>
    <w:rsid w:val="00EB454D"/>
    <w:rsid w:val="00EB454F"/>
    <w:rsid w:val="00EB4B7E"/>
    <w:rsid w:val="00EB51DC"/>
    <w:rsid w:val="00EB51EA"/>
    <w:rsid w:val="00EB55C1"/>
    <w:rsid w:val="00EB5B7A"/>
    <w:rsid w:val="00EB6170"/>
    <w:rsid w:val="00EB62D9"/>
    <w:rsid w:val="00EB6B06"/>
    <w:rsid w:val="00EB7A72"/>
    <w:rsid w:val="00EB7F0A"/>
    <w:rsid w:val="00EC0BA4"/>
    <w:rsid w:val="00EC112E"/>
    <w:rsid w:val="00EC20C2"/>
    <w:rsid w:val="00EC2AAD"/>
    <w:rsid w:val="00EC31F9"/>
    <w:rsid w:val="00EC36F6"/>
    <w:rsid w:val="00EC437D"/>
    <w:rsid w:val="00EC440C"/>
    <w:rsid w:val="00EC45C1"/>
    <w:rsid w:val="00EC5123"/>
    <w:rsid w:val="00EC514D"/>
    <w:rsid w:val="00EC5570"/>
    <w:rsid w:val="00EC59D9"/>
    <w:rsid w:val="00EC68B2"/>
    <w:rsid w:val="00EC6931"/>
    <w:rsid w:val="00EC6F2B"/>
    <w:rsid w:val="00EC703E"/>
    <w:rsid w:val="00EC714E"/>
    <w:rsid w:val="00EC74EB"/>
    <w:rsid w:val="00EC7C31"/>
    <w:rsid w:val="00ED0268"/>
    <w:rsid w:val="00ED04F8"/>
    <w:rsid w:val="00ED0E31"/>
    <w:rsid w:val="00ED0F40"/>
    <w:rsid w:val="00ED1405"/>
    <w:rsid w:val="00ED147C"/>
    <w:rsid w:val="00ED18FD"/>
    <w:rsid w:val="00ED19E9"/>
    <w:rsid w:val="00ED2A53"/>
    <w:rsid w:val="00ED2D1D"/>
    <w:rsid w:val="00ED3A8E"/>
    <w:rsid w:val="00ED3AB2"/>
    <w:rsid w:val="00ED5284"/>
    <w:rsid w:val="00ED52B0"/>
    <w:rsid w:val="00ED56AB"/>
    <w:rsid w:val="00ED5BE1"/>
    <w:rsid w:val="00EE04C1"/>
    <w:rsid w:val="00EE0BA9"/>
    <w:rsid w:val="00EE0D3E"/>
    <w:rsid w:val="00EE140F"/>
    <w:rsid w:val="00EE2931"/>
    <w:rsid w:val="00EE2BD2"/>
    <w:rsid w:val="00EE3522"/>
    <w:rsid w:val="00EE36D7"/>
    <w:rsid w:val="00EE39AD"/>
    <w:rsid w:val="00EE4E4B"/>
    <w:rsid w:val="00EE5C5E"/>
    <w:rsid w:val="00EE5D7E"/>
    <w:rsid w:val="00EE5E58"/>
    <w:rsid w:val="00EE771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3705"/>
    <w:rsid w:val="00F04AFE"/>
    <w:rsid w:val="00F059CF"/>
    <w:rsid w:val="00F0639A"/>
    <w:rsid w:val="00F06961"/>
    <w:rsid w:val="00F06AE9"/>
    <w:rsid w:val="00F1005F"/>
    <w:rsid w:val="00F10CE6"/>
    <w:rsid w:val="00F11242"/>
    <w:rsid w:val="00F1129E"/>
    <w:rsid w:val="00F1188B"/>
    <w:rsid w:val="00F11EF1"/>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27E6"/>
    <w:rsid w:val="00F2328B"/>
    <w:rsid w:val="00F2435F"/>
    <w:rsid w:val="00F24C29"/>
    <w:rsid w:val="00F253CC"/>
    <w:rsid w:val="00F25C31"/>
    <w:rsid w:val="00F267BE"/>
    <w:rsid w:val="00F267E4"/>
    <w:rsid w:val="00F26B0B"/>
    <w:rsid w:val="00F27458"/>
    <w:rsid w:val="00F277DB"/>
    <w:rsid w:val="00F27ACD"/>
    <w:rsid w:val="00F27C08"/>
    <w:rsid w:val="00F27CD8"/>
    <w:rsid w:val="00F27CFD"/>
    <w:rsid w:val="00F27F00"/>
    <w:rsid w:val="00F311E2"/>
    <w:rsid w:val="00F31814"/>
    <w:rsid w:val="00F32262"/>
    <w:rsid w:val="00F3379A"/>
    <w:rsid w:val="00F34265"/>
    <w:rsid w:val="00F345AF"/>
    <w:rsid w:val="00F34A7E"/>
    <w:rsid w:val="00F35C2A"/>
    <w:rsid w:val="00F35E2A"/>
    <w:rsid w:val="00F36C33"/>
    <w:rsid w:val="00F36D40"/>
    <w:rsid w:val="00F36F27"/>
    <w:rsid w:val="00F37481"/>
    <w:rsid w:val="00F377BE"/>
    <w:rsid w:val="00F37F99"/>
    <w:rsid w:val="00F40B92"/>
    <w:rsid w:val="00F4139C"/>
    <w:rsid w:val="00F41A44"/>
    <w:rsid w:val="00F427E6"/>
    <w:rsid w:val="00F434F9"/>
    <w:rsid w:val="00F438CD"/>
    <w:rsid w:val="00F441B9"/>
    <w:rsid w:val="00F45EBF"/>
    <w:rsid w:val="00F46107"/>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179"/>
    <w:rsid w:val="00F6255A"/>
    <w:rsid w:val="00F629C7"/>
    <w:rsid w:val="00F62C42"/>
    <w:rsid w:val="00F6351B"/>
    <w:rsid w:val="00F637BF"/>
    <w:rsid w:val="00F644E6"/>
    <w:rsid w:val="00F652F0"/>
    <w:rsid w:val="00F6589A"/>
    <w:rsid w:val="00F666B5"/>
    <w:rsid w:val="00F66BDC"/>
    <w:rsid w:val="00F70342"/>
    <w:rsid w:val="00F71643"/>
    <w:rsid w:val="00F71982"/>
    <w:rsid w:val="00F71F53"/>
    <w:rsid w:val="00F72247"/>
    <w:rsid w:val="00F724F3"/>
    <w:rsid w:val="00F725D1"/>
    <w:rsid w:val="00F72B58"/>
    <w:rsid w:val="00F737D9"/>
    <w:rsid w:val="00F7392C"/>
    <w:rsid w:val="00F746CA"/>
    <w:rsid w:val="00F74B0B"/>
    <w:rsid w:val="00F75A39"/>
    <w:rsid w:val="00F769C7"/>
    <w:rsid w:val="00F7730A"/>
    <w:rsid w:val="00F7784C"/>
    <w:rsid w:val="00F77995"/>
    <w:rsid w:val="00F77BFA"/>
    <w:rsid w:val="00F77E6F"/>
    <w:rsid w:val="00F820EF"/>
    <w:rsid w:val="00F8244B"/>
    <w:rsid w:val="00F82683"/>
    <w:rsid w:val="00F83D11"/>
    <w:rsid w:val="00F849BF"/>
    <w:rsid w:val="00F857F6"/>
    <w:rsid w:val="00F867F6"/>
    <w:rsid w:val="00F86ACE"/>
    <w:rsid w:val="00F86E36"/>
    <w:rsid w:val="00F86EE8"/>
    <w:rsid w:val="00F87A9A"/>
    <w:rsid w:val="00F902BF"/>
    <w:rsid w:val="00F91540"/>
    <w:rsid w:val="00F916AC"/>
    <w:rsid w:val="00F929C3"/>
    <w:rsid w:val="00F92CA1"/>
    <w:rsid w:val="00F93826"/>
    <w:rsid w:val="00F9653B"/>
    <w:rsid w:val="00F968E5"/>
    <w:rsid w:val="00F977ED"/>
    <w:rsid w:val="00F97B89"/>
    <w:rsid w:val="00F97D53"/>
    <w:rsid w:val="00FA01C8"/>
    <w:rsid w:val="00FA081A"/>
    <w:rsid w:val="00FA1759"/>
    <w:rsid w:val="00FA1ADA"/>
    <w:rsid w:val="00FA21FC"/>
    <w:rsid w:val="00FA2245"/>
    <w:rsid w:val="00FA2C02"/>
    <w:rsid w:val="00FA2C1D"/>
    <w:rsid w:val="00FA310E"/>
    <w:rsid w:val="00FA33B5"/>
    <w:rsid w:val="00FA359A"/>
    <w:rsid w:val="00FA3A17"/>
    <w:rsid w:val="00FA3BDF"/>
    <w:rsid w:val="00FA5E83"/>
    <w:rsid w:val="00FA63CD"/>
    <w:rsid w:val="00FA73EB"/>
    <w:rsid w:val="00FA773D"/>
    <w:rsid w:val="00FA7982"/>
    <w:rsid w:val="00FA7CCD"/>
    <w:rsid w:val="00FB0135"/>
    <w:rsid w:val="00FB0E27"/>
    <w:rsid w:val="00FB0F94"/>
    <w:rsid w:val="00FB1A16"/>
    <w:rsid w:val="00FB1A3C"/>
    <w:rsid w:val="00FB2597"/>
    <w:rsid w:val="00FB3C92"/>
    <w:rsid w:val="00FB49E0"/>
    <w:rsid w:val="00FB4EE9"/>
    <w:rsid w:val="00FB62CF"/>
    <w:rsid w:val="00FB74A8"/>
    <w:rsid w:val="00FC052E"/>
    <w:rsid w:val="00FC07EE"/>
    <w:rsid w:val="00FC084F"/>
    <w:rsid w:val="00FC13F0"/>
    <w:rsid w:val="00FC1E3D"/>
    <w:rsid w:val="00FC28E6"/>
    <w:rsid w:val="00FC2B57"/>
    <w:rsid w:val="00FC3262"/>
    <w:rsid w:val="00FC3283"/>
    <w:rsid w:val="00FC3E0A"/>
    <w:rsid w:val="00FC3EB4"/>
    <w:rsid w:val="00FC47F7"/>
    <w:rsid w:val="00FC4AB2"/>
    <w:rsid w:val="00FC544A"/>
    <w:rsid w:val="00FC5458"/>
    <w:rsid w:val="00FC5E2A"/>
    <w:rsid w:val="00FC6C58"/>
    <w:rsid w:val="00FC70D7"/>
    <w:rsid w:val="00FC77D2"/>
    <w:rsid w:val="00FC78B0"/>
    <w:rsid w:val="00FD1863"/>
    <w:rsid w:val="00FD1C8A"/>
    <w:rsid w:val="00FD1DD0"/>
    <w:rsid w:val="00FD279F"/>
    <w:rsid w:val="00FD3BD1"/>
    <w:rsid w:val="00FD3E3D"/>
    <w:rsid w:val="00FD5518"/>
    <w:rsid w:val="00FD56CC"/>
    <w:rsid w:val="00FD635E"/>
    <w:rsid w:val="00FD6361"/>
    <w:rsid w:val="00FD6B02"/>
    <w:rsid w:val="00FD71F0"/>
    <w:rsid w:val="00FD746F"/>
    <w:rsid w:val="00FE09CA"/>
    <w:rsid w:val="00FE144F"/>
    <w:rsid w:val="00FE157F"/>
    <w:rsid w:val="00FE1C4E"/>
    <w:rsid w:val="00FE1EAD"/>
    <w:rsid w:val="00FE21AB"/>
    <w:rsid w:val="00FE25F4"/>
    <w:rsid w:val="00FE3CC4"/>
    <w:rsid w:val="00FE3CEC"/>
    <w:rsid w:val="00FE40DE"/>
    <w:rsid w:val="00FE4DAB"/>
    <w:rsid w:val="00FE5494"/>
    <w:rsid w:val="00FE5C4B"/>
    <w:rsid w:val="00FE6A5A"/>
    <w:rsid w:val="00FE6B45"/>
    <w:rsid w:val="00FE6B58"/>
    <w:rsid w:val="00FE6EBC"/>
    <w:rsid w:val="00FE6F98"/>
    <w:rsid w:val="00FE769E"/>
    <w:rsid w:val="00FF05BC"/>
    <w:rsid w:val="00FF0651"/>
    <w:rsid w:val="00FF19BA"/>
    <w:rsid w:val="00FF1B45"/>
    <w:rsid w:val="00FF1B5F"/>
    <w:rsid w:val="00FF1C0D"/>
    <w:rsid w:val="00FF1C1C"/>
    <w:rsid w:val="00FF379A"/>
    <w:rsid w:val="00FF3FB7"/>
    <w:rsid w:val="00FF4B22"/>
    <w:rsid w:val="00FF4FE6"/>
    <w:rsid w:val="00FF5724"/>
    <w:rsid w:val="00FF5851"/>
    <w:rsid w:val="00FF6B34"/>
    <w:rsid w:val="00FF6C89"/>
    <w:rsid w:val="00FF7145"/>
    <w:rsid w:val="00FF753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65A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65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DA36AE"/>
    <w:rPr>
      <w:rFonts w:ascii="Cambria" w:eastAsia="Cambria" w:hAnsi="Cambria" w:cs="Cambria"/>
      <w:color w:val="000000"/>
      <w:sz w:val="24"/>
      <w:szCs w:val="24"/>
      <w:u w:color="000000"/>
    </w:rPr>
  </w:style>
  <w:style w:type="paragraph" w:styleId="BodyTextIndent">
    <w:name w:val="Body Text Indent"/>
    <w:rsid w:val="00DA36AE"/>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Heading4Char">
    <w:name w:val="Heading 4 Char"/>
    <w:basedOn w:val="DefaultParagraphFont"/>
    <w:link w:val="Heading4"/>
    <w:uiPriority w:val="9"/>
    <w:rsid w:val="002F6504"/>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12029165">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upremecourt.gov/opinions/07pdf/06-984.pdf" TargetMode="External"/><Relationship Id="rId2" Type="http://schemas.openxmlformats.org/officeDocument/2006/relationships/hyperlink" Target="http://www.icj-cij.org/docket/files/128/8188.pdf" TargetMode="External"/><Relationship Id="rId1" Type="http://schemas.openxmlformats.org/officeDocument/2006/relationships/hyperlink" Target="https://deathpenaltyinfo.org/facts-and-research/dpic-reports/dpic-special-reports/ohio-executions-scheduled-for-2017-2022" TargetMode="External"/><Relationship Id="rId4" Type="http://schemas.openxmlformats.org/officeDocument/2006/relationships/hyperlink" Target="http://www.abanet.org/legalservices/downloads/%20sclaid/deathpenalty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1AAA-BC14-4846-AE5F-CC775181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12923</Words>
  <Characters>66169</Characters>
  <Application>Microsoft Office Word</Application>
  <DocSecurity>0</DocSecurity>
  <Lines>1050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454/21</dc:title>
  <dc:creator/>
  <cp:lastModifiedBy/>
  <cp:revision>1</cp:revision>
  <dcterms:created xsi:type="dcterms:W3CDTF">2022-04-04T17:41:00Z</dcterms:created>
  <dcterms:modified xsi:type="dcterms:W3CDTF">2022-04-04T17:41:00Z</dcterms:modified>
</cp:coreProperties>
</file>